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41DC" w14:textId="5914CA1E" w:rsidR="00EC432E" w:rsidRPr="00C9343F" w:rsidRDefault="00E9487A" w:rsidP="00F66D98">
      <w:pPr>
        <w:rPr>
          <w:sz w:val="28"/>
        </w:rPr>
      </w:pPr>
      <w:r w:rsidRPr="00C9343F">
        <w:rPr>
          <w:noProof/>
        </w:rPr>
        <w:drawing>
          <wp:inline distT="0" distB="0" distL="0" distR="0" wp14:anchorId="3901BECE" wp14:editId="1301A547">
            <wp:extent cx="1400175" cy="1066800"/>
            <wp:effectExtent l="0" t="0" r="0" b="0"/>
            <wp:docPr id="1"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onwealth Coat of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066800"/>
                    </a:xfrm>
                    <a:prstGeom prst="rect">
                      <a:avLst/>
                    </a:prstGeom>
                    <a:noFill/>
                    <a:ln>
                      <a:noFill/>
                    </a:ln>
                  </pic:spPr>
                </pic:pic>
              </a:graphicData>
            </a:graphic>
          </wp:inline>
        </w:drawing>
      </w:r>
    </w:p>
    <w:p w14:paraId="2C936998" w14:textId="77777777" w:rsidR="00EC432E" w:rsidRPr="00C9343F" w:rsidRDefault="00EC432E" w:rsidP="00F66D98">
      <w:pPr>
        <w:pStyle w:val="ShortT"/>
        <w:spacing w:before="240"/>
        <w:rPr>
          <w:i/>
          <w:sz w:val="24"/>
          <w:szCs w:val="24"/>
        </w:rPr>
      </w:pPr>
      <w:r w:rsidRPr="00C9343F">
        <w:rPr>
          <w:i/>
          <w:sz w:val="24"/>
          <w:szCs w:val="24"/>
        </w:rPr>
        <w:t>Defence Determination 2016/19, Conditions of service</w:t>
      </w:r>
    </w:p>
    <w:p w14:paraId="2E46A970" w14:textId="77777777" w:rsidR="00EC432E" w:rsidRPr="00C9343F" w:rsidRDefault="00EC432E" w:rsidP="00F66D98">
      <w:pPr>
        <w:pStyle w:val="CompiledMadeUnder"/>
        <w:spacing w:before="240"/>
        <w:rPr>
          <w:i w:val="0"/>
        </w:rPr>
      </w:pPr>
      <w:r w:rsidRPr="00C9343F">
        <w:rPr>
          <w:i w:val="0"/>
        </w:rPr>
        <w:t>made under section 58B of the</w:t>
      </w:r>
      <w:r w:rsidRPr="00C9343F">
        <w:t xml:space="preserve"> Defence Act 1903</w:t>
      </w:r>
      <w:r w:rsidRPr="00C9343F">
        <w:rPr>
          <w:i w:val="0"/>
        </w:rPr>
        <w:t xml:space="preserve"> </w:t>
      </w:r>
    </w:p>
    <w:p w14:paraId="67DEF085" w14:textId="1CEBB09D" w:rsidR="00A21FB6" w:rsidRPr="00C9343F" w:rsidRDefault="00A21FB6" w:rsidP="00F66D98">
      <w:pPr>
        <w:spacing w:before="1000"/>
        <w:rPr>
          <w:rFonts w:ascii="Times New Roman" w:hAnsi="Times New Roman"/>
          <w:sz w:val="28"/>
          <w:szCs w:val="24"/>
        </w:rPr>
      </w:pPr>
      <w:r w:rsidRPr="00C9343F">
        <w:rPr>
          <w:rFonts w:ascii="Times New Roman" w:hAnsi="Times New Roman"/>
          <w:b/>
          <w:sz w:val="28"/>
          <w:szCs w:val="24"/>
        </w:rPr>
        <w:t xml:space="preserve">Compilation No. </w:t>
      </w:r>
      <w:r w:rsidR="00577FEA" w:rsidRPr="00C9343F">
        <w:rPr>
          <w:rFonts w:ascii="Times New Roman" w:hAnsi="Times New Roman"/>
          <w:b/>
          <w:sz w:val="28"/>
          <w:szCs w:val="24"/>
        </w:rPr>
        <w:t>9</w:t>
      </w:r>
      <w:r w:rsidR="00D12621" w:rsidRPr="00C9343F">
        <w:rPr>
          <w:rFonts w:ascii="Times New Roman" w:hAnsi="Times New Roman"/>
          <w:b/>
          <w:sz w:val="28"/>
          <w:szCs w:val="24"/>
        </w:rPr>
        <w:t>9</w:t>
      </w:r>
    </w:p>
    <w:p w14:paraId="6EBE1F6A" w14:textId="0F9D0375" w:rsidR="00A21FB6" w:rsidRPr="00C9343F" w:rsidRDefault="00A21FB6" w:rsidP="00F66D98">
      <w:pPr>
        <w:spacing w:before="480"/>
        <w:rPr>
          <w:rFonts w:ascii="Times New Roman" w:hAnsi="Times New Roman"/>
          <w:sz w:val="24"/>
          <w:szCs w:val="24"/>
        </w:rPr>
      </w:pPr>
      <w:r w:rsidRPr="00C9343F">
        <w:rPr>
          <w:rFonts w:ascii="Times New Roman" w:hAnsi="Times New Roman"/>
          <w:b/>
          <w:sz w:val="24"/>
          <w:szCs w:val="24"/>
        </w:rPr>
        <w:t>Compilation date:</w:t>
      </w:r>
      <w:r w:rsidRPr="00C9343F">
        <w:rPr>
          <w:rFonts w:ascii="Times New Roman" w:hAnsi="Times New Roman"/>
          <w:b/>
          <w:sz w:val="24"/>
          <w:szCs w:val="24"/>
        </w:rPr>
        <w:tab/>
      </w:r>
      <w:r w:rsidRPr="00C9343F">
        <w:rPr>
          <w:rFonts w:ascii="Times New Roman" w:hAnsi="Times New Roman"/>
          <w:b/>
          <w:sz w:val="24"/>
          <w:szCs w:val="24"/>
        </w:rPr>
        <w:tab/>
      </w:r>
      <w:r w:rsidRPr="00C9343F">
        <w:rPr>
          <w:rFonts w:ascii="Times New Roman" w:hAnsi="Times New Roman"/>
          <w:sz w:val="24"/>
          <w:szCs w:val="24"/>
        </w:rPr>
        <w:tab/>
      </w:r>
      <w:r w:rsidR="00D12621" w:rsidRPr="00C9343F">
        <w:rPr>
          <w:rFonts w:ascii="Times New Roman" w:hAnsi="Times New Roman"/>
          <w:sz w:val="24"/>
          <w:szCs w:val="24"/>
        </w:rPr>
        <w:t>9</w:t>
      </w:r>
      <w:r w:rsidR="002A5CC2" w:rsidRPr="00C9343F">
        <w:rPr>
          <w:rFonts w:ascii="Times New Roman" w:hAnsi="Times New Roman"/>
          <w:sz w:val="24"/>
          <w:szCs w:val="24"/>
        </w:rPr>
        <w:t xml:space="preserve"> </w:t>
      </w:r>
      <w:r w:rsidR="00D12621" w:rsidRPr="00C9343F">
        <w:rPr>
          <w:rFonts w:ascii="Times New Roman" w:hAnsi="Times New Roman"/>
          <w:sz w:val="24"/>
          <w:szCs w:val="24"/>
        </w:rPr>
        <w:t>June</w:t>
      </w:r>
      <w:r w:rsidR="000560BD" w:rsidRPr="00C9343F">
        <w:rPr>
          <w:rFonts w:ascii="Times New Roman" w:hAnsi="Times New Roman"/>
          <w:sz w:val="24"/>
          <w:szCs w:val="24"/>
        </w:rPr>
        <w:t xml:space="preserve"> </w:t>
      </w:r>
      <w:r w:rsidR="00571D11" w:rsidRPr="00C9343F">
        <w:rPr>
          <w:rFonts w:ascii="Times New Roman" w:hAnsi="Times New Roman"/>
          <w:sz w:val="24"/>
          <w:szCs w:val="24"/>
        </w:rPr>
        <w:t>202</w:t>
      </w:r>
      <w:r w:rsidR="0000408B" w:rsidRPr="00C9343F">
        <w:rPr>
          <w:rFonts w:ascii="Times New Roman" w:hAnsi="Times New Roman"/>
          <w:sz w:val="24"/>
          <w:szCs w:val="24"/>
        </w:rPr>
        <w:t>2</w:t>
      </w:r>
    </w:p>
    <w:p w14:paraId="0EC82471" w14:textId="6630D0E3" w:rsidR="00A21FB6" w:rsidRPr="00C9343F" w:rsidRDefault="00A21FB6" w:rsidP="00F66D98">
      <w:pPr>
        <w:spacing w:before="240"/>
        <w:rPr>
          <w:rFonts w:ascii="Times New Roman" w:hAnsi="Times New Roman"/>
          <w:sz w:val="24"/>
          <w:szCs w:val="24"/>
        </w:rPr>
      </w:pPr>
      <w:r w:rsidRPr="00C9343F">
        <w:rPr>
          <w:rFonts w:ascii="Times New Roman" w:hAnsi="Times New Roman"/>
          <w:b/>
          <w:sz w:val="24"/>
          <w:szCs w:val="24"/>
        </w:rPr>
        <w:t>Includes amendments up to:</w:t>
      </w:r>
      <w:r w:rsidRPr="00C9343F">
        <w:rPr>
          <w:rFonts w:ascii="Times New Roman" w:hAnsi="Times New Roman"/>
          <w:b/>
          <w:sz w:val="24"/>
          <w:szCs w:val="24"/>
        </w:rPr>
        <w:tab/>
      </w:r>
      <w:r w:rsidR="00E60FF8" w:rsidRPr="00C9343F">
        <w:rPr>
          <w:rFonts w:ascii="Times New Roman" w:hAnsi="Times New Roman"/>
          <w:sz w:val="24"/>
          <w:szCs w:val="24"/>
        </w:rPr>
        <w:t xml:space="preserve">Defence Determination </w:t>
      </w:r>
      <w:r w:rsidR="00773DC4" w:rsidRPr="00C9343F">
        <w:rPr>
          <w:rFonts w:ascii="Times New Roman" w:hAnsi="Times New Roman"/>
          <w:sz w:val="24"/>
          <w:szCs w:val="24"/>
        </w:rPr>
        <w:t>202</w:t>
      </w:r>
      <w:bookmarkStart w:id="0" w:name="_GoBack"/>
      <w:bookmarkEnd w:id="0"/>
      <w:r w:rsidR="00773DC4" w:rsidRPr="00C9343F">
        <w:rPr>
          <w:rFonts w:ascii="Times New Roman" w:hAnsi="Times New Roman"/>
          <w:sz w:val="24"/>
          <w:szCs w:val="24"/>
        </w:rPr>
        <w:t>2/</w:t>
      </w:r>
      <w:r w:rsidR="00133F69" w:rsidRPr="00C9343F">
        <w:rPr>
          <w:rFonts w:ascii="Times New Roman" w:hAnsi="Times New Roman"/>
          <w:sz w:val="24"/>
          <w:szCs w:val="24"/>
        </w:rPr>
        <w:t>9</w:t>
      </w:r>
    </w:p>
    <w:p w14:paraId="2F2AAB24" w14:textId="77777777" w:rsidR="00EC432E" w:rsidRPr="00C9343F" w:rsidRDefault="00EC432E" w:rsidP="00F66D98">
      <w:pPr>
        <w:spacing w:before="240"/>
        <w:rPr>
          <w:rFonts w:ascii="Times New Roman" w:hAnsi="Times New Roman"/>
          <w:sz w:val="24"/>
          <w:szCs w:val="24"/>
        </w:rPr>
      </w:pPr>
    </w:p>
    <w:p w14:paraId="12F43E60" w14:textId="77777777" w:rsidR="009D27F0" w:rsidRPr="00C9343F" w:rsidRDefault="009D27F0" w:rsidP="00F66D98">
      <w:pPr>
        <w:spacing w:before="240"/>
        <w:rPr>
          <w:rFonts w:ascii="Times New Roman" w:hAnsi="Times New Roman"/>
          <w:sz w:val="24"/>
          <w:szCs w:val="24"/>
        </w:rPr>
      </w:pPr>
      <w:r w:rsidRPr="00C9343F">
        <w:rPr>
          <w:rFonts w:ascii="Times New Roman" w:hAnsi="Times New Roman"/>
          <w:sz w:val="24"/>
          <w:szCs w:val="24"/>
        </w:rPr>
        <w:t>This compilation is in 4 volumes</w:t>
      </w:r>
    </w:p>
    <w:p w14:paraId="3F09A87D" w14:textId="77777777" w:rsidR="00774AD9" w:rsidRPr="00C9343F" w:rsidRDefault="00774AD9" w:rsidP="00F66D98">
      <w:pPr>
        <w:spacing w:before="240"/>
        <w:rPr>
          <w:rFonts w:ascii="Times New Roman" w:hAnsi="Times New Roman"/>
          <w:b/>
          <w:sz w:val="24"/>
          <w:szCs w:val="24"/>
        </w:rPr>
      </w:pPr>
      <w:r w:rsidRPr="00C9343F">
        <w:rPr>
          <w:rFonts w:ascii="Times New Roman" w:hAnsi="Times New Roman"/>
          <w:b/>
          <w:sz w:val="24"/>
          <w:szCs w:val="24"/>
        </w:rPr>
        <w:t>Volume 1</w:t>
      </w:r>
      <w:r w:rsidRPr="00C9343F">
        <w:rPr>
          <w:rFonts w:ascii="Times New Roman" w:hAnsi="Times New Roman"/>
          <w:b/>
          <w:sz w:val="24"/>
          <w:szCs w:val="24"/>
        </w:rPr>
        <w:tab/>
      </w:r>
      <w:r w:rsidRPr="00C9343F">
        <w:rPr>
          <w:rFonts w:ascii="Times New Roman" w:hAnsi="Times New Roman"/>
          <w:b/>
          <w:sz w:val="24"/>
          <w:szCs w:val="24"/>
        </w:rPr>
        <w:tab/>
        <w:t>Chapter 1 – Chapter 5</w:t>
      </w:r>
    </w:p>
    <w:p w14:paraId="7091A56A" w14:textId="77777777" w:rsidR="00774AD9" w:rsidRPr="00C9343F" w:rsidRDefault="00774AD9" w:rsidP="00F66D98">
      <w:pPr>
        <w:spacing w:before="240"/>
        <w:rPr>
          <w:rFonts w:ascii="Times New Roman" w:hAnsi="Times New Roman"/>
          <w:sz w:val="24"/>
          <w:szCs w:val="24"/>
        </w:rPr>
      </w:pPr>
      <w:r w:rsidRPr="00C9343F">
        <w:rPr>
          <w:rFonts w:ascii="Times New Roman" w:hAnsi="Times New Roman"/>
          <w:sz w:val="24"/>
          <w:szCs w:val="24"/>
        </w:rPr>
        <w:t>Volume 2</w:t>
      </w:r>
      <w:r w:rsidRPr="00C9343F">
        <w:rPr>
          <w:rFonts w:ascii="Times New Roman" w:hAnsi="Times New Roman"/>
          <w:sz w:val="24"/>
          <w:szCs w:val="24"/>
        </w:rPr>
        <w:tab/>
      </w:r>
      <w:r w:rsidRPr="00C9343F">
        <w:rPr>
          <w:rFonts w:ascii="Times New Roman" w:hAnsi="Times New Roman"/>
          <w:sz w:val="24"/>
          <w:szCs w:val="24"/>
        </w:rPr>
        <w:tab/>
        <w:t>Chapter 6 – Chapter 11</w:t>
      </w:r>
    </w:p>
    <w:p w14:paraId="1E83C3D4" w14:textId="77777777" w:rsidR="00774AD9" w:rsidRPr="00C9343F" w:rsidRDefault="00774AD9" w:rsidP="00F66D98">
      <w:pPr>
        <w:spacing w:before="240"/>
        <w:rPr>
          <w:rFonts w:ascii="Times New Roman" w:hAnsi="Times New Roman"/>
          <w:sz w:val="24"/>
          <w:szCs w:val="24"/>
        </w:rPr>
      </w:pPr>
      <w:r w:rsidRPr="00C9343F">
        <w:rPr>
          <w:rFonts w:ascii="Times New Roman" w:hAnsi="Times New Roman"/>
          <w:sz w:val="24"/>
          <w:szCs w:val="24"/>
        </w:rPr>
        <w:t>Volume 3</w:t>
      </w:r>
      <w:r w:rsidRPr="00C9343F">
        <w:rPr>
          <w:rFonts w:ascii="Times New Roman" w:hAnsi="Times New Roman"/>
          <w:sz w:val="24"/>
          <w:szCs w:val="24"/>
        </w:rPr>
        <w:tab/>
      </w:r>
      <w:r w:rsidRPr="00C9343F">
        <w:rPr>
          <w:rFonts w:ascii="Times New Roman" w:hAnsi="Times New Roman"/>
          <w:sz w:val="24"/>
          <w:szCs w:val="24"/>
        </w:rPr>
        <w:tab/>
        <w:t>Chapter 12 – Chapter 17</w:t>
      </w:r>
    </w:p>
    <w:p w14:paraId="3FFC5A48" w14:textId="77777777" w:rsidR="00774AD9" w:rsidRPr="00C9343F" w:rsidRDefault="00774AD9" w:rsidP="00F66D98">
      <w:pPr>
        <w:spacing w:before="240"/>
        <w:rPr>
          <w:rFonts w:ascii="Times New Roman" w:hAnsi="Times New Roman"/>
          <w:sz w:val="24"/>
          <w:szCs w:val="24"/>
        </w:rPr>
      </w:pPr>
      <w:r w:rsidRPr="00C9343F">
        <w:rPr>
          <w:rFonts w:ascii="Times New Roman" w:hAnsi="Times New Roman"/>
          <w:sz w:val="24"/>
          <w:szCs w:val="24"/>
        </w:rPr>
        <w:t>Volume 4</w:t>
      </w:r>
      <w:r w:rsidRPr="00C9343F">
        <w:rPr>
          <w:rFonts w:ascii="Times New Roman" w:hAnsi="Times New Roman"/>
          <w:sz w:val="24"/>
          <w:szCs w:val="24"/>
        </w:rPr>
        <w:tab/>
      </w:r>
      <w:r w:rsidRPr="00C9343F">
        <w:rPr>
          <w:rFonts w:ascii="Times New Roman" w:hAnsi="Times New Roman"/>
          <w:sz w:val="24"/>
          <w:szCs w:val="24"/>
        </w:rPr>
        <w:tab/>
        <w:t>Endnotes</w:t>
      </w:r>
    </w:p>
    <w:p w14:paraId="4F2053D2" w14:textId="77777777" w:rsidR="009D27F0" w:rsidRPr="00C9343F" w:rsidRDefault="009D27F0" w:rsidP="00F66D98">
      <w:pPr>
        <w:spacing w:before="240"/>
        <w:rPr>
          <w:rFonts w:ascii="Times New Roman" w:hAnsi="Times New Roman"/>
          <w:sz w:val="24"/>
          <w:szCs w:val="24"/>
        </w:rPr>
      </w:pPr>
      <w:r w:rsidRPr="00C9343F">
        <w:rPr>
          <w:rFonts w:ascii="Times New Roman" w:hAnsi="Times New Roman"/>
          <w:sz w:val="24"/>
          <w:szCs w:val="24"/>
        </w:rPr>
        <w:t>Each volume has its own contents</w:t>
      </w:r>
    </w:p>
    <w:p w14:paraId="263C8D10" w14:textId="77777777" w:rsidR="00EF4BD9" w:rsidRPr="00C9343F" w:rsidRDefault="00EF4BD9" w:rsidP="00F66D98">
      <w:pPr>
        <w:spacing w:before="240"/>
        <w:rPr>
          <w:rFonts w:ascii="Times New Roman" w:hAnsi="Times New Roman"/>
          <w:sz w:val="24"/>
          <w:szCs w:val="24"/>
        </w:rPr>
      </w:pPr>
    </w:p>
    <w:p w14:paraId="7BFC5642" w14:textId="77777777" w:rsidR="00EF4BD9" w:rsidRPr="00C9343F" w:rsidRDefault="00EF4BD9" w:rsidP="00F66D98">
      <w:pPr>
        <w:spacing w:before="240"/>
        <w:rPr>
          <w:rFonts w:ascii="Times New Roman" w:hAnsi="Times New Roman"/>
          <w:sz w:val="24"/>
          <w:szCs w:val="24"/>
        </w:rPr>
      </w:pPr>
    </w:p>
    <w:p w14:paraId="1A860BB4" w14:textId="77777777" w:rsidR="00EF4BD9" w:rsidRPr="00C9343F" w:rsidRDefault="00EF4BD9" w:rsidP="00F66D98">
      <w:pPr>
        <w:spacing w:before="240"/>
        <w:rPr>
          <w:rFonts w:ascii="Times New Roman" w:hAnsi="Times New Roman"/>
          <w:sz w:val="24"/>
          <w:szCs w:val="24"/>
        </w:rPr>
      </w:pPr>
    </w:p>
    <w:p w14:paraId="237BB742" w14:textId="77777777" w:rsidR="00EC432E" w:rsidRPr="00C9343F" w:rsidRDefault="00EC432E" w:rsidP="00F66D98">
      <w:pPr>
        <w:pageBreakBefore/>
        <w:rPr>
          <w:rFonts w:ascii="Times New Roman" w:hAnsi="Times New Roman"/>
          <w:b/>
          <w:sz w:val="32"/>
          <w:szCs w:val="32"/>
        </w:rPr>
      </w:pPr>
      <w:r w:rsidRPr="00C9343F">
        <w:rPr>
          <w:rFonts w:ascii="Times New Roman" w:hAnsi="Times New Roman"/>
          <w:b/>
          <w:sz w:val="32"/>
          <w:szCs w:val="32"/>
        </w:rPr>
        <w:lastRenderedPageBreak/>
        <w:t>About this compilation</w:t>
      </w:r>
    </w:p>
    <w:p w14:paraId="5C3221A9" w14:textId="77777777" w:rsidR="00EC432E" w:rsidRPr="00C9343F" w:rsidRDefault="00EC432E" w:rsidP="00F66D98">
      <w:pPr>
        <w:spacing w:before="240"/>
        <w:rPr>
          <w:rFonts w:ascii="Times New Roman" w:hAnsi="Times New Roman"/>
          <w:sz w:val="24"/>
          <w:szCs w:val="24"/>
        </w:rPr>
      </w:pPr>
      <w:r w:rsidRPr="00C9343F">
        <w:rPr>
          <w:rFonts w:ascii="Times New Roman" w:hAnsi="Times New Roman"/>
          <w:b/>
          <w:sz w:val="24"/>
          <w:szCs w:val="24"/>
        </w:rPr>
        <w:t>This compilation</w:t>
      </w:r>
    </w:p>
    <w:p w14:paraId="0A424390" w14:textId="0E2EE4B5" w:rsidR="00EC432E" w:rsidRPr="00C9343F" w:rsidRDefault="00EC432E" w:rsidP="00F66D98">
      <w:pPr>
        <w:spacing w:before="120" w:after="120"/>
        <w:rPr>
          <w:rFonts w:ascii="Times New Roman" w:hAnsi="Times New Roman"/>
          <w:sz w:val="24"/>
          <w:szCs w:val="24"/>
        </w:rPr>
      </w:pPr>
      <w:r w:rsidRPr="00C9343F">
        <w:rPr>
          <w:rFonts w:ascii="Times New Roman" w:hAnsi="Times New Roman"/>
          <w:sz w:val="24"/>
          <w:szCs w:val="24"/>
        </w:rPr>
        <w:t xml:space="preserve">This is a compilation of </w:t>
      </w:r>
      <w:r w:rsidRPr="00C9343F">
        <w:rPr>
          <w:rFonts w:ascii="Times New Roman" w:hAnsi="Times New Roman"/>
          <w:i/>
          <w:sz w:val="24"/>
          <w:szCs w:val="24"/>
        </w:rPr>
        <w:t>Defence Determination 20</w:t>
      </w:r>
      <w:r w:rsidR="00D513D8" w:rsidRPr="00C9343F">
        <w:rPr>
          <w:rFonts w:ascii="Times New Roman" w:hAnsi="Times New Roman"/>
          <w:i/>
          <w:sz w:val="24"/>
          <w:szCs w:val="24"/>
        </w:rPr>
        <w:t>16</w:t>
      </w:r>
      <w:r w:rsidRPr="00C9343F">
        <w:rPr>
          <w:rFonts w:ascii="Times New Roman" w:hAnsi="Times New Roman"/>
          <w:i/>
          <w:sz w:val="24"/>
          <w:szCs w:val="24"/>
        </w:rPr>
        <w:t>/1</w:t>
      </w:r>
      <w:r w:rsidR="00D513D8" w:rsidRPr="00C9343F">
        <w:rPr>
          <w:rFonts w:ascii="Times New Roman" w:hAnsi="Times New Roman"/>
          <w:i/>
          <w:sz w:val="24"/>
          <w:szCs w:val="24"/>
        </w:rPr>
        <w:t>9</w:t>
      </w:r>
      <w:r w:rsidRPr="00C9343F">
        <w:rPr>
          <w:rFonts w:ascii="Times New Roman" w:hAnsi="Times New Roman"/>
          <w:i/>
          <w:sz w:val="24"/>
          <w:szCs w:val="24"/>
        </w:rPr>
        <w:t>,</w:t>
      </w:r>
      <w:r w:rsidR="002F602D" w:rsidRPr="00C9343F">
        <w:rPr>
          <w:rFonts w:ascii="Times New Roman" w:hAnsi="Times New Roman"/>
          <w:i/>
          <w:sz w:val="24"/>
          <w:szCs w:val="24"/>
        </w:rPr>
        <w:t xml:space="preserve"> Conditions of service</w:t>
      </w:r>
      <w:r w:rsidR="002F602D" w:rsidRPr="00C9343F">
        <w:rPr>
          <w:rFonts w:ascii="Times New Roman" w:hAnsi="Times New Roman"/>
          <w:sz w:val="24"/>
          <w:szCs w:val="24"/>
        </w:rPr>
        <w:t>,</w:t>
      </w:r>
      <w:r w:rsidRPr="00C9343F">
        <w:rPr>
          <w:rFonts w:ascii="Times New Roman" w:hAnsi="Times New Roman"/>
          <w:sz w:val="24"/>
          <w:szCs w:val="24"/>
        </w:rPr>
        <w:t xml:space="preserve"> that shows the text of the law as amended and in force on</w:t>
      </w:r>
      <w:r w:rsidR="00644CAC" w:rsidRPr="00C9343F">
        <w:rPr>
          <w:rFonts w:ascii="Times New Roman" w:hAnsi="Times New Roman"/>
          <w:sz w:val="24"/>
          <w:szCs w:val="24"/>
        </w:rPr>
        <w:t xml:space="preserve"> </w:t>
      </w:r>
      <w:r w:rsidR="00D12621" w:rsidRPr="00C9343F">
        <w:rPr>
          <w:rFonts w:ascii="Times New Roman" w:hAnsi="Times New Roman"/>
          <w:sz w:val="24"/>
          <w:szCs w:val="24"/>
        </w:rPr>
        <w:t>9</w:t>
      </w:r>
      <w:r w:rsidR="0061209E" w:rsidRPr="00C9343F">
        <w:rPr>
          <w:rFonts w:ascii="Times New Roman" w:hAnsi="Times New Roman"/>
          <w:sz w:val="24"/>
          <w:szCs w:val="24"/>
        </w:rPr>
        <w:t>/</w:t>
      </w:r>
      <w:r w:rsidR="00D12621" w:rsidRPr="00C9343F">
        <w:rPr>
          <w:rFonts w:ascii="Times New Roman" w:hAnsi="Times New Roman"/>
          <w:sz w:val="24"/>
          <w:szCs w:val="24"/>
        </w:rPr>
        <w:t>6</w:t>
      </w:r>
      <w:r w:rsidR="0000408B" w:rsidRPr="00C9343F">
        <w:rPr>
          <w:rFonts w:ascii="Times New Roman" w:hAnsi="Times New Roman"/>
          <w:sz w:val="24"/>
          <w:szCs w:val="24"/>
        </w:rPr>
        <w:t>/2022</w:t>
      </w:r>
      <w:r w:rsidRPr="00C9343F">
        <w:rPr>
          <w:rFonts w:ascii="Times New Roman" w:hAnsi="Times New Roman"/>
          <w:sz w:val="24"/>
          <w:szCs w:val="24"/>
        </w:rPr>
        <w:t xml:space="preserve"> (the </w:t>
      </w:r>
      <w:r w:rsidRPr="00C9343F">
        <w:rPr>
          <w:rFonts w:ascii="Times New Roman" w:hAnsi="Times New Roman"/>
          <w:b/>
          <w:i/>
          <w:sz w:val="24"/>
          <w:szCs w:val="24"/>
        </w:rPr>
        <w:t>compilation date</w:t>
      </w:r>
      <w:r w:rsidRPr="00C9343F">
        <w:rPr>
          <w:rFonts w:ascii="Times New Roman" w:hAnsi="Times New Roman"/>
          <w:sz w:val="24"/>
          <w:szCs w:val="24"/>
        </w:rPr>
        <w:t>).</w:t>
      </w:r>
    </w:p>
    <w:p w14:paraId="2B26A5C2" w14:textId="77777777" w:rsidR="00EC432E" w:rsidRPr="00C9343F" w:rsidRDefault="00EC432E" w:rsidP="00F66D98">
      <w:pPr>
        <w:spacing w:after="120"/>
        <w:rPr>
          <w:rFonts w:ascii="Times New Roman" w:hAnsi="Times New Roman"/>
          <w:sz w:val="24"/>
          <w:szCs w:val="24"/>
        </w:rPr>
      </w:pPr>
      <w:r w:rsidRPr="00C9343F">
        <w:rPr>
          <w:rFonts w:ascii="Times New Roman" w:hAnsi="Times New Roman"/>
          <w:sz w:val="24"/>
          <w:szCs w:val="24"/>
        </w:rPr>
        <w:t xml:space="preserve">The notes at the end of this compilation (the </w:t>
      </w:r>
      <w:r w:rsidRPr="00C9343F">
        <w:rPr>
          <w:rFonts w:ascii="Times New Roman" w:hAnsi="Times New Roman"/>
          <w:b/>
          <w:i/>
          <w:sz w:val="24"/>
          <w:szCs w:val="24"/>
        </w:rPr>
        <w:t>endnotes</w:t>
      </w:r>
      <w:r w:rsidRPr="00C9343F">
        <w:rPr>
          <w:rFonts w:ascii="Times New Roman" w:hAnsi="Times New Roman"/>
          <w:sz w:val="24"/>
          <w:szCs w:val="24"/>
        </w:rPr>
        <w:t>) include information about amending laws and the amendment history of provisions of the compiled law.</w:t>
      </w:r>
    </w:p>
    <w:p w14:paraId="04B1D108" w14:textId="77777777" w:rsidR="00EC432E" w:rsidRPr="00C9343F" w:rsidRDefault="00EC432E" w:rsidP="00F66D98">
      <w:pPr>
        <w:tabs>
          <w:tab w:val="left" w:pos="5640"/>
        </w:tabs>
        <w:spacing w:before="120" w:after="120"/>
        <w:rPr>
          <w:rFonts w:ascii="Times New Roman" w:hAnsi="Times New Roman"/>
          <w:b/>
          <w:sz w:val="24"/>
          <w:szCs w:val="24"/>
        </w:rPr>
      </w:pPr>
      <w:r w:rsidRPr="00C9343F">
        <w:rPr>
          <w:rFonts w:ascii="Times New Roman" w:hAnsi="Times New Roman"/>
          <w:b/>
          <w:sz w:val="24"/>
          <w:szCs w:val="24"/>
        </w:rPr>
        <w:t>Uncommenced amendments</w:t>
      </w:r>
    </w:p>
    <w:p w14:paraId="34ACD34F" w14:textId="77777777" w:rsidR="00EC432E" w:rsidRPr="00C9343F" w:rsidRDefault="00EC432E" w:rsidP="00F66D98">
      <w:pPr>
        <w:spacing w:after="120"/>
        <w:rPr>
          <w:rFonts w:ascii="Times New Roman" w:hAnsi="Times New Roman"/>
          <w:sz w:val="24"/>
          <w:szCs w:val="24"/>
        </w:rPr>
      </w:pPr>
      <w:r w:rsidRPr="00C9343F">
        <w:rPr>
          <w:rFonts w:ascii="Times New Roman" w:hAnsi="Times New Roman"/>
          <w:sz w:val="24"/>
          <w:szCs w:val="24"/>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65334867" w14:textId="77777777" w:rsidR="00EC432E" w:rsidRPr="00C9343F" w:rsidRDefault="00EC432E" w:rsidP="00F66D98">
      <w:pPr>
        <w:spacing w:before="120" w:after="120"/>
        <w:rPr>
          <w:rFonts w:ascii="Times New Roman" w:hAnsi="Times New Roman"/>
          <w:b/>
          <w:sz w:val="24"/>
          <w:szCs w:val="24"/>
        </w:rPr>
      </w:pPr>
      <w:r w:rsidRPr="00C9343F">
        <w:rPr>
          <w:rFonts w:ascii="Times New Roman" w:hAnsi="Times New Roman"/>
          <w:b/>
          <w:sz w:val="24"/>
          <w:szCs w:val="24"/>
        </w:rPr>
        <w:t>Application, saving and transitional provisions for provisions and amendments</w:t>
      </w:r>
    </w:p>
    <w:p w14:paraId="7B6D74ED" w14:textId="77777777" w:rsidR="00EC432E" w:rsidRPr="00C9343F" w:rsidRDefault="00EC432E" w:rsidP="00F66D98">
      <w:pPr>
        <w:spacing w:after="120"/>
        <w:rPr>
          <w:rFonts w:ascii="Times New Roman" w:hAnsi="Times New Roman"/>
          <w:sz w:val="24"/>
          <w:szCs w:val="24"/>
        </w:rPr>
      </w:pPr>
      <w:r w:rsidRPr="00C9343F">
        <w:rPr>
          <w:rFonts w:ascii="Times New Roman" w:hAnsi="Times New Roman"/>
          <w:sz w:val="24"/>
          <w:szCs w:val="24"/>
        </w:rPr>
        <w:t>If the operation of a provision or amendment of the compiled law is affected by an application, saving or transitional provision that is not included in this compilation, details are included in the endnotes.</w:t>
      </w:r>
    </w:p>
    <w:p w14:paraId="312B9C50" w14:textId="77777777" w:rsidR="00EC432E" w:rsidRPr="00C9343F" w:rsidRDefault="00EC432E" w:rsidP="00F66D98">
      <w:pPr>
        <w:spacing w:before="120" w:after="120"/>
        <w:rPr>
          <w:rFonts w:ascii="Times New Roman" w:hAnsi="Times New Roman"/>
          <w:b/>
          <w:sz w:val="24"/>
          <w:szCs w:val="24"/>
        </w:rPr>
      </w:pPr>
      <w:r w:rsidRPr="00C9343F">
        <w:rPr>
          <w:rFonts w:ascii="Times New Roman" w:hAnsi="Times New Roman"/>
          <w:b/>
          <w:sz w:val="24"/>
          <w:szCs w:val="24"/>
        </w:rPr>
        <w:t>Modifications</w:t>
      </w:r>
    </w:p>
    <w:p w14:paraId="71187869" w14:textId="77777777" w:rsidR="00EC432E" w:rsidRPr="00C9343F" w:rsidRDefault="00EC432E" w:rsidP="00F66D98">
      <w:pPr>
        <w:spacing w:after="120"/>
        <w:rPr>
          <w:rFonts w:ascii="Times New Roman" w:hAnsi="Times New Roman"/>
          <w:sz w:val="24"/>
          <w:szCs w:val="24"/>
        </w:rPr>
      </w:pPr>
      <w:r w:rsidRPr="00C9343F">
        <w:rPr>
          <w:rFonts w:ascii="Times New Roman" w:hAnsi="Times New Roman"/>
          <w:sz w:val="24"/>
          <w:szCs w:val="24"/>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52D03BB2" w14:textId="77777777" w:rsidR="00EC432E" w:rsidRPr="00C9343F" w:rsidRDefault="00EC432E" w:rsidP="00F66D98">
      <w:pPr>
        <w:spacing w:before="80" w:after="120"/>
        <w:rPr>
          <w:rFonts w:ascii="Times New Roman" w:hAnsi="Times New Roman"/>
          <w:b/>
          <w:sz w:val="24"/>
          <w:szCs w:val="24"/>
        </w:rPr>
      </w:pPr>
      <w:r w:rsidRPr="00C9343F">
        <w:rPr>
          <w:rFonts w:ascii="Times New Roman" w:hAnsi="Times New Roman"/>
          <w:b/>
          <w:sz w:val="24"/>
          <w:szCs w:val="24"/>
        </w:rPr>
        <w:t>Self</w:t>
      </w:r>
      <w:r w:rsidRPr="00C9343F">
        <w:rPr>
          <w:rFonts w:ascii="Times New Roman" w:hAnsi="Times New Roman"/>
          <w:b/>
          <w:sz w:val="24"/>
          <w:szCs w:val="24"/>
        </w:rPr>
        <w:noBreakHyphen/>
        <w:t>repealing provisions</w:t>
      </w:r>
    </w:p>
    <w:p w14:paraId="198EF6B4" w14:textId="77777777" w:rsidR="00A21FB6" w:rsidRPr="00C9343F" w:rsidRDefault="00EC432E" w:rsidP="00F66D98">
      <w:pPr>
        <w:spacing w:after="120"/>
        <w:rPr>
          <w:rFonts w:ascii="Times New Roman" w:hAnsi="Times New Roman"/>
          <w:sz w:val="24"/>
          <w:szCs w:val="24"/>
        </w:rPr>
      </w:pPr>
      <w:r w:rsidRPr="00C9343F">
        <w:rPr>
          <w:rFonts w:ascii="Times New Roman" w:hAnsi="Times New Roman"/>
          <w:sz w:val="24"/>
          <w:szCs w:val="24"/>
        </w:rPr>
        <w:t>If a provision of the compiled law has been repealed in accordance with a provision of the law, details are included in the endnotes.</w:t>
      </w:r>
    </w:p>
    <w:p w14:paraId="32CA0360" w14:textId="77777777" w:rsidR="00225866" w:rsidRPr="00C9343F" w:rsidRDefault="00225866" w:rsidP="00F66D98">
      <w:pPr>
        <w:rPr>
          <w:rFonts w:ascii="Times New Roman" w:hAnsi="Times New Roman"/>
          <w:sz w:val="24"/>
          <w:szCs w:val="24"/>
        </w:rPr>
      </w:pPr>
    </w:p>
    <w:p w14:paraId="0AF05B96" w14:textId="77777777" w:rsidR="00EF4BD9" w:rsidRPr="00C9343F" w:rsidRDefault="00EF4BD9" w:rsidP="00F66D98">
      <w:pPr>
        <w:rPr>
          <w:rFonts w:ascii="Times New Roman" w:hAnsi="Times New Roman"/>
          <w:sz w:val="24"/>
          <w:szCs w:val="24"/>
        </w:rPr>
        <w:sectPr w:rsidR="00EF4BD9" w:rsidRPr="00C9343F" w:rsidSect="00A21FB6">
          <w:footerReference w:type="default" r:id="rId12"/>
          <w:footerReference w:type="first" r:id="rId13"/>
          <w:pgSz w:w="11907" w:h="16840" w:code="9"/>
          <w:pgMar w:top="1134" w:right="1134" w:bottom="992" w:left="1418" w:header="720" w:footer="720" w:gutter="0"/>
          <w:pgNumType w:start="1"/>
          <w:cols w:space="720"/>
          <w:titlePg/>
        </w:sectPr>
      </w:pPr>
    </w:p>
    <w:p w14:paraId="41F63793" w14:textId="77777777" w:rsidR="00422642" w:rsidRPr="00C9343F" w:rsidRDefault="00CA1B78" w:rsidP="00F66D98">
      <w:pPr>
        <w:pStyle w:val="TOC2"/>
      </w:pPr>
      <w:r w:rsidRPr="00C9343F">
        <w:lastRenderedPageBreak/>
        <w:t>Contents</w:t>
      </w:r>
    </w:p>
    <w:p w14:paraId="3E653C90" w14:textId="43CF93E0" w:rsidR="00271952" w:rsidRPr="00C9343F" w:rsidRDefault="00D00FD4">
      <w:pPr>
        <w:pStyle w:val="TOC2"/>
        <w:rPr>
          <w:rFonts w:asciiTheme="minorHAnsi" w:eastAsiaTheme="minorEastAsia" w:hAnsiTheme="minorHAnsi" w:cstheme="minorBidi"/>
          <w:b w:val="0"/>
          <w:noProof/>
          <w:sz w:val="22"/>
          <w:szCs w:val="22"/>
        </w:rPr>
      </w:pPr>
      <w:r w:rsidRPr="00C9343F">
        <w:fldChar w:fldCharType="begin"/>
      </w:r>
      <w:r w:rsidRPr="00C9343F">
        <w:instrText xml:space="preserve"> TOC \o "1-5" \t "Heading 6,6,Heading 7,7,Heading 8,8,Heading 9,9,Guidance Heading,6,ActHead 7,7,ActHead 8,8,ActHead 9,9" </w:instrText>
      </w:r>
      <w:r w:rsidRPr="00C9343F">
        <w:fldChar w:fldCharType="separate"/>
      </w:r>
      <w:r w:rsidR="00271952" w:rsidRPr="00C9343F">
        <w:rPr>
          <w:noProof/>
        </w:rPr>
        <w:t>Chapter 1: Introduction (Required reading)</w:t>
      </w:r>
      <w:r w:rsidR="00271952" w:rsidRPr="00C9343F">
        <w:rPr>
          <w:noProof/>
        </w:rPr>
        <w:tab/>
      </w:r>
      <w:r w:rsidR="00271952" w:rsidRPr="00C9343F">
        <w:rPr>
          <w:noProof/>
        </w:rPr>
        <w:fldChar w:fldCharType="begin"/>
      </w:r>
      <w:r w:rsidR="00271952" w:rsidRPr="00C9343F">
        <w:rPr>
          <w:noProof/>
        </w:rPr>
        <w:instrText xml:space="preserve"> PAGEREF _Toc105053459 \h </w:instrText>
      </w:r>
      <w:r w:rsidR="00271952" w:rsidRPr="00C9343F">
        <w:rPr>
          <w:noProof/>
        </w:rPr>
      </w:r>
      <w:r w:rsidR="00271952" w:rsidRPr="00C9343F">
        <w:rPr>
          <w:noProof/>
        </w:rPr>
        <w:fldChar w:fldCharType="separate"/>
      </w:r>
      <w:r w:rsidR="00271952" w:rsidRPr="00C9343F">
        <w:rPr>
          <w:noProof/>
        </w:rPr>
        <w:t>1</w:t>
      </w:r>
      <w:r w:rsidR="00271952" w:rsidRPr="00C9343F">
        <w:rPr>
          <w:noProof/>
        </w:rPr>
        <w:fldChar w:fldCharType="end"/>
      </w:r>
    </w:p>
    <w:p w14:paraId="4CD13DF9" w14:textId="7AC601D0" w:rsidR="00271952" w:rsidRPr="00C9343F" w:rsidRDefault="00271952">
      <w:pPr>
        <w:pStyle w:val="TOC5"/>
        <w:rPr>
          <w:rFonts w:asciiTheme="minorHAnsi" w:eastAsiaTheme="minorEastAsia" w:hAnsiTheme="minorHAnsi" w:cstheme="minorBidi"/>
          <w:sz w:val="22"/>
          <w:szCs w:val="22"/>
        </w:rPr>
      </w:pPr>
      <w:r w:rsidRPr="00C9343F">
        <w:t>1.1.1    Overview</w:t>
      </w:r>
      <w:r w:rsidRPr="00C9343F">
        <w:tab/>
      </w:r>
      <w:r w:rsidRPr="00C9343F">
        <w:fldChar w:fldCharType="begin"/>
      </w:r>
      <w:r w:rsidRPr="00C9343F">
        <w:instrText xml:space="preserve"> PAGEREF _Toc105053460 \h </w:instrText>
      </w:r>
      <w:r w:rsidRPr="00C9343F">
        <w:fldChar w:fldCharType="separate"/>
      </w:r>
      <w:r w:rsidRPr="00C9343F">
        <w:t>1</w:t>
      </w:r>
      <w:r w:rsidRPr="00C9343F">
        <w:fldChar w:fldCharType="end"/>
      </w:r>
    </w:p>
    <w:p w14:paraId="1243553F" w14:textId="6076F574" w:rsidR="00271952" w:rsidRPr="00C9343F" w:rsidRDefault="00271952">
      <w:pPr>
        <w:pStyle w:val="TOC3"/>
        <w:rPr>
          <w:rFonts w:asciiTheme="minorHAnsi" w:eastAsiaTheme="minorEastAsia" w:hAnsiTheme="minorHAnsi" w:cstheme="minorBidi"/>
          <w:b w:val="0"/>
          <w:sz w:val="22"/>
          <w:szCs w:val="22"/>
        </w:rPr>
      </w:pPr>
      <w:r w:rsidRPr="00C9343F">
        <w:t>Part 1: About this Manual</w:t>
      </w:r>
      <w:r w:rsidRPr="00C9343F">
        <w:tab/>
      </w:r>
      <w:r w:rsidRPr="00C9343F">
        <w:fldChar w:fldCharType="begin"/>
      </w:r>
      <w:r w:rsidRPr="00C9343F">
        <w:instrText xml:space="preserve"> PAGEREF _Toc105053461 \h </w:instrText>
      </w:r>
      <w:r w:rsidRPr="00C9343F">
        <w:fldChar w:fldCharType="separate"/>
      </w:r>
      <w:r w:rsidRPr="00C9343F">
        <w:t>2</w:t>
      </w:r>
      <w:r w:rsidRPr="00C9343F">
        <w:fldChar w:fldCharType="end"/>
      </w:r>
    </w:p>
    <w:p w14:paraId="3C2A18EB" w14:textId="4C525D6E" w:rsidR="00271952" w:rsidRPr="00C9343F" w:rsidRDefault="00271952">
      <w:pPr>
        <w:pStyle w:val="TOC5"/>
        <w:rPr>
          <w:rFonts w:asciiTheme="minorHAnsi" w:eastAsiaTheme="minorEastAsia" w:hAnsiTheme="minorHAnsi" w:cstheme="minorBidi"/>
          <w:sz w:val="22"/>
          <w:szCs w:val="22"/>
        </w:rPr>
      </w:pPr>
      <w:r w:rsidRPr="00C9343F">
        <w:t>1.1.3    Abbreviations</w:t>
      </w:r>
      <w:r w:rsidRPr="00C9343F">
        <w:tab/>
      </w:r>
      <w:r w:rsidRPr="00C9343F">
        <w:fldChar w:fldCharType="begin"/>
      </w:r>
      <w:r w:rsidRPr="00C9343F">
        <w:instrText xml:space="preserve"> PAGEREF _Toc105053462 \h </w:instrText>
      </w:r>
      <w:r w:rsidRPr="00C9343F">
        <w:fldChar w:fldCharType="separate"/>
      </w:r>
      <w:r w:rsidRPr="00C9343F">
        <w:t>2</w:t>
      </w:r>
      <w:r w:rsidRPr="00C9343F">
        <w:fldChar w:fldCharType="end"/>
      </w:r>
    </w:p>
    <w:p w14:paraId="360AD0B4" w14:textId="16A9C224" w:rsidR="00271952" w:rsidRPr="00C9343F" w:rsidRDefault="00271952">
      <w:pPr>
        <w:pStyle w:val="TOC3"/>
        <w:rPr>
          <w:rFonts w:asciiTheme="minorHAnsi" w:eastAsiaTheme="minorEastAsia" w:hAnsiTheme="minorHAnsi" w:cstheme="minorBidi"/>
          <w:b w:val="0"/>
          <w:sz w:val="22"/>
          <w:szCs w:val="22"/>
        </w:rPr>
      </w:pPr>
      <w:r w:rsidRPr="00C9343F">
        <w:t>Part 2: The Defence Determination on conditions of service</w:t>
      </w:r>
      <w:r w:rsidRPr="00C9343F">
        <w:tab/>
      </w:r>
      <w:r w:rsidRPr="00C9343F">
        <w:fldChar w:fldCharType="begin"/>
      </w:r>
      <w:r w:rsidRPr="00C9343F">
        <w:instrText xml:space="preserve"> PAGEREF _Toc105053463 \h </w:instrText>
      </w:r>
      <w:r w:rsidRPr="00C9343F">
        <w:fldChar w:fldCharType="separate"/>
      </w:r>
      <w:r w:rsidRPr="00C9343F">
        <w:t>3</w:t>
      </w:r>
      <w:r w:rsidRPr="00C9343F">
        <w:fldChar w:fldCharType="end"/>
      </w:r>
    </w:p>
    <w:p w14:paraId="57F5615B" w14:textId="20E829D1" w:rsidR="00271952" w:rsidRPr="00C9343F" w:rsidRDefault="00271952">
      <w:pPr>
        <w:pStyle w:val="TOC5"/>
        <w:rPr>
          <w:rFonts w:asciiTheme="minorHAnsi" w:eastAsiaTheme="minorEastAsia" w:hAnsiTheme="minorHAnsi" w:cstheme="minorBidi"/>
          <w:sz w:val="22"/>
          <w:szCs w:val="22"/>
        </w:rPr>
      </w:pPr>
      <w:r w:rsidRPr="00C9343F">
        <w:t xml:space="preserve">1.2.1    Defence </w:t>
      </w:r>
      <w:r w:rsidRPr="00C9343F">
        <w:rPr>
          <w:color w:val="000000"/>
        </w:rPr>
        <w:t>Determination 2016/19</w:t>
      </w:r>
      <w:r w:rsidRPr="00C9343F">
        <w:t xml:space="preserve"> – general</w:t>
      </w:r>
      <w:r w:rsidRPr="00C9343F">
        <w:tab/>
      </w:r>
      <w:r w:rsidRPr="00C9343F">
        <w:fldChar w:fldCharType="begin"/>
      </w:r>
      <w:r w:rsidRPr="00C9343F">
        <w:instrText xml:space="preserve"> PAGEREF _Toc105053464 \h </w:instrText>
      </w:r>
      <w:r w:rsidRPr="00C9343F">
        <w:fldChar w:fldCharType="separate"/>
      </w:r>
      <w:r w:rsidRPr="00C9343F">
        <w:t>3</w:t>
      </w:r>
      <w:r w:rsidRPr="00C9343F">
        <w:fldChar w:fldCharType="end"/>
      </w:r>
    </w:p>
    <w:p w14:paraId="7BA4C356" w14:textId="43D0BD0D" w:rsidR="00271952" w:rsidRPr="00C9343F" w:rsidRDefault="00271952">
      <w:pPr>
        <w:pStyle w:val="TOC5"/>
        <w:rPr>
          <w:rFonts w:asciiTheme="minorHAnsi" w:eastAsiaTheme="minorEastAsia" w:hAnsiTheme="minorHAnsi" w:cstheme="minorBidi"/>
          <w:sz w:val="22"/>
          <w:szCs w:val="22"/>
        </w:rPr>
      </w:pPr>
      <w:r w:rsidRPr="00C9343F">
        <w:t>1.2.2    Members Chapters 1 to 17 apply to</w:t>
      </w:r>
      <w:r w:rsidRPr="00C9343F">
        <w:tab/>
      </w:r>
      <w:r w:rsidRPr="00C9343F">
        <w:fldChar w:fldCharType="begin"/>
      </w:r>
      <w:r w:rsidRPr="00C9343F">
        <w:instrText xml:space="preserve"> PAGEREF _Toc105053465 \h </w:instrText>
      </w:r>
      <w:r w:rsidRPr="00C9343F">
        <w:fldChar w:fldCharType="separate"/>
      </w:r>
      <w:r w:rsidRPr="00C9343F">
        <w:t>3</w:t>
      </w:r>
      <w:r w:rsidRPr="00C9343F">
        <w:fldChar w:fldCharType="end"/>
      </w:r>
    </w:p>
    <w:p w14:paraId="7AE6ADEE" w14:textId="7B8F5609" w:rsidR="00271952" w:rsidRPr="00C9343F" w:rsidRDefault="00271952">
      <w:pPr>
        <w:pStyle w:val="TOC5"/>
        <w:rPr>
          <w:rFonts w:asciiTheme="minorHAnsi" w:eastAsiaTheme="minorEastAsia" w:hAnsiTheme="minorHAnsi" w:cstheme="minorBidi"/>
          <w:sz w:val="22"/>
          <w:szCs w:val="22"/>
        </w:rPr>
      </w:pPr>
      <w:r w:rsidRPr="00C9343F">
        <w:t>1.2.3    Other people this Determination may apply to</w:t>
      </w:r>
      <w:r w:rsidRPr="00C9343F">
        <w:tab/>
      </w:r>
      <w:r w:rsidRPr="00C9343F">
        <w:fldChar w:fldCharType="begin"/>
      </w:r>
      <w:r w:rsidRPr="00C9343F">
        <w:instrText xml:space="preserve"> PAGEREF _Toc105053466 \h </w:instrText>
      </w:r>
      <w:r w:rsidRPr="00C9343F">
        <w:fldChar w:fldCharType="separate"/>
      </w:r>
      <w:r w:rsidRPr="00C9343F">
        <w:t>3</w:t>
      </w:r>
      <w:r w:rsidRPr="00C9343F">
        <w:fldChar w:fldCharType="end"/>
      </w:r>
    </w:p>
    <w:p w14:paraId="7EAB6EAE" w14:textId="3705FA3F" w:rsidR="00271952" w:rsidRPr="00C9343F" w:rsidRDefault="00271952">
      <w:pPr>
        <w:pStyle w:val="TOC5"/>
        <w:rPr>
          <w:rFonts w:asciiTheme="minorHAnsi" w:eastAsiaTheme="minorEastAsia" w:hAnsiTheme="minorHAnsi" w:cstheme="minorBidi"/>
          <w:sz w:val="22"/>
          <w:szCs w:val="22"/>
        </w:rPr>
      </w:pPr>
      <w:r w:rsidRPr="00C9343F">
        <w:t>1.2.4    Meaning of words and phrases</w:t>
      </w:r>
      <w:r w:rsidRPr="00C9343F">
        <w:tab/>
      </w:r>
      <w:r w:rsidRPr="00C9343F">
        <w:fldChar w:fldCharType="begin"/>
      </w:r>
      <w:r w:rsidRPr="00C9343F">
        <w:instrText xml:space="preserve"> PAGEREF _Toc105053467 \h </w:instrText>
      </w:r>
      <w:r w:rsidRPr="00C9343F">
        <w:fldChar w:fldCharType="separate"/>
      </w:r>
      <w:r w:rsidRPr="00C9343F">
        <w:t>4</w:t>
      </w:r>
      <w:r w:rsidRPr="00C9343F">
        <w:fldChar w:fldCharType="end"/>
      </w:r>
    </w:p>
    <w:p w14:paraId="11C206B8" w14:textId="11BECC61" w:rsidR="00271952" w:rsidRPr="00C9343F" w:rsidRDefault="00271952">
      <w:pPr>
        <w:pStyle w:val="TOC5"/>
        <w:rPr>
          <w:rFonts w:asciiTheme="minorHAnsi" w:eastAsiaTheme="minorEastAsia" w:hAnsiTheme="minorHAnsi" w:cstheme="minorBidi"/>
          <w:sz w:val="22"/>
          <w:szCs w:val="22"/>
        </w:rPr>
      </w:pPr>
      <w:r w:rsidRPr="00C9343F">
        <w:t>1.2.5    Forms</w:t>
      </w:r>
      <w:r w:rsidRPr="00C9343F">
        <w:tab/>
      </w:r>
      <w:r w:rsidRPr="00C9343F">
        <w:fldChar w:fldCharType="begin"/>
      </w:r>
      <w:r w:rsidRPr="00C9343F">
        <w:instrText xml:space="preserve"> PAGEREF _Toc105053468 \h </w:instrText>
      </w:r>
      <w:r w:rsidRPr="00C9343F">
        <w:fldChar w:fldCharType="separate"/>
      </w:r>
      <w:r w:rsidRPr="00C9343F">
        <w:t>4</w:t>
      </w:r>
      <w:r w:rsidRPr="00C9343F">
        <w:fldChar w:fldCharType="end"/>
      </w:r>
    </w:p>
    <w:p w14:paraId="5B887DE9" w14:textId="19E69FDB" w:rsidR="00271952" w:rsidRPr="00C9343F" w:rsidRDefault="00271952">
      <w:pPr>
        <w:pStyle w:val="TOC5"/>
        <w:rPr>
          <w:rFonts w:asciiTheme="minorHAnsi" w:eastAsiaTheme="minorEastAsia" w:hAnsiTheme="minorHAnsi" w:cstheme="minorBidi"/>
          <w:sz w:val="22"/>
          <w:szCs w:val="22"/>
        </w:rPr>
      </w:pPr>
      <w:r w:rsidRPr="00C9343F">
        <w:t>1.2.5A    References to rules in other instruments</w:t>
      </w:r>
      <w:r w:rsidRPr="00C9343F">
        <w:tab/>
      </w:r>
      <w:r w:rsidRPr="00C9343F">
        <w:fldChar w:fldCharType="begin"/>
      </w:r>
      <w:r w:rsidRPr="00C9343F">
        <w:instrText xml:space="preserve"> PAGEREF _Toc105053469 \h </w:instrText>
      </w:r>
      <w:r w:rsidRPr="00C9343F">
        <w:fldChar w:fldCharType="separate"/>
      </w:r>
      <w:r w:rsidRPr="00C9343F">
        <w:t>4</w:t>
      </w:r>
      <w:r w:rsidRPr="00C9343F">
        <w:fldChar w:fldCharType="end"/>
      </w:r>
    </w:p>
    <w:p w14:paraId="1E532EE9" w14:textId="7E89FD62" w:rsidR="00271952" w:rsidRPr="00C9343F" w:rsidRDefault="00271952">
      <w:pPr>
        <w:pStyle w:val="TOC5"/>
        <w:rPr>
          <w:rFonts w:asciiTheme="minorHAnsi" w:eastAsiaTheme="minorEastAsia" w:hAnsiTheme="minorHAnsi" w:cstheme="minorBidi"/>
          <w:sz w:val="22"/>
          <w:szCs w:val="22"/>
        </w:rPr>
      </w:pPr>
      <w:r w:rsidRPr="00C9343F">
        <w:t>1.2.6    Collection, use and disclosure of personal information</w:t>
      </w:r>
      <w:r w:rsidRPr="00C9343F">
        <w:tab/>
      </w:r>
      <w:r w:rsidRPr="00C9343F">
        <w:fldChar w:fldCharType="begin"/>
      </w:r>
      <w:r w:rsidRPr="00C9343F">
        <w:instrText xml:space="preserve"> PAGEREF _Toc105053470 \h </w:instrText>
      </w:r>
      <w:r w:rsidRPr="00C9343F">
        <w:fldChar w:fldCharType="separate"/>
      </w:r>
      <w:r w:rsidRPr="00C9343F">
        <w:t>5</w:t>
      </w:r>
      <w:r w:rsidRPr="00C9343F">
        <w:fldChar w:fldCharType="end"/>
      </w:r>
    </w:p>
    <w:p w14:paraId="783B5D42" w14:textId="5FF96785" w:rsidR="00271952" w:rsidRPr="00C9343F" w:rsidRDefault="00271952">
      <w:pPr>
        <w:pStyle w:val="TOC3"/>
        <w:rPr>
          <w:rFonts w:asciiTheme="minorHAnsi" w:eastAsiaTheme="minorEastAsia" w:hAnsiTheme="minorHAnsi" w:cstheme="minorBidi"/>
          <w:b w:val="0"/>
          <w:sz w:val="22"/>
          <w:szCs w:val="22"/>
        </w:rPr>
      </w:pPr>
      <w:r w:rsidRPr="00C9343F">
        <w:t>Part 3: Definitions</w:t>
      </w:r>
      <w:r w:rsidRPr="00C9343F">
        <w:tab/>
      </w:r>
      <w:r w:rsidRPr="00C9343F">
        <w:fldChar w:fldCharType="begin"/>
      </w:r>
      <w:r w:rsidRPr="00C9343F">
        <w:instrText xml:space="preserve"> PAGEREF _Toc105053471 \h </w:instrText>
      </w:r>
      <w:r w:rsidRPr="00C9343F">
        <w:fldChar w:fldCharType="separate"/>
      </w:r>
      <w:r w:rsidRPr="00C9343F">
        <w:t>6</w:t>
      </w:r>
      <w:r w:rsidRPr="00C9343F">
        <w:fldChar w:fldCharType="end"/>
      </w:r>
    </w:p>
    <w:p w14:paraId="1875AB29" w14:textId="3888F990" w:rsidR="00271952" w:rsidRPr="00C9343F" w:rsidRDefault="00271952">
      <w:pPr>
        <w:pStyle w:val="TOC5"/>
        <w:rPr>
          <w:rFonts w:asciiTheme="minorHAnsi" w:eastAsiaTheme="minorEastAsia" w:hAnsiTheme="minorHAnsi" w:cstheme="minorBidi"/>
          <w:sz w:val="22"/>
          <w:szCs w:val="22"/>
        </w:rPr>
      </w:pPr>
      <w:r w:rsidRPr="00C9343F">
        <w:t>1.3.1    Overview</w:t>
      </w:r>
      <w:r w:rsidRPr="00C9343F">
        <w:tab/>
      </w:r>
      <w:r w:rsidRPr="00C9343F">
        <w:fldChar w:fldCharType="begin"/>
      </w:r>
      <w:r w:rsidRPr="00C9343F">
        <w:instrText xml:space="preserve"> PAGEREF _Toc105053472 \h </w:instrText>
      </w:r>
      <w:r w:rsidRPr="00C9343F">
        <w:fldChar w:fldCharType="separate"/>
      </w:r>
      <w:r w:rsidRPr="00C9343F">
        <w:t>6</w:t>
      </w:r>
      <w:r w:rsidRPr="00C9343F">
        <w:fldChar w:fldCharType="end"/>
      </w:r>
    </w:p>
    <w:p w14:paraId="7533F2DF" w14:textId="5D6A96CE" w:rsidR="00271952" w:rsidRPr="00C9343F" w:rsidRDefault="00271952">
      <w:pPr>
        <w:pStyle w:val="TOC4"/>
        <w:rPr>
          <w:rFonts w:asciiTheme="minorHAnsi" w:eastAsiaTheme="minorEastAsia" w:hAnsiTheme="minorHAnsi" w:cstheme="minorBidi"/>
          <w:sz w:val="22"/>
          <w:szCs w:val="22"/>
        </w:rPr>
      </w:pPr>
      <w:r w:rsidRPr="00C9343F">
        <w:t>Division 1: Definitions – general</w:t>
      </w:r>
      <w:r w:rsidRPr="00C9343F">
        <w:tab/>
      </w:r>
      <w:r w:rsidRPr="00C9343F">
        <w:fldChar w:fldCharType="begin"/>
      </w:r>
      <w:r w:rsidRPr="00C9343F">
        <w:instrText xml:space="preserve"> PAGEREF _Toc105053473 \h </w:instrText>
      </w:r>
      <w:r w:rsidRPr="00C9343F">
        <w:fldChar w:fldCharType="separate"/>
      </w:r>
      <w:r w:rsidRPr="00C9343F">
        <w:t>7</w:t>
      </w:r>
      <w:r w:rsidRPr="00C9343F">
        <w:fldChar w:fldCharType="end"/>
      </w:r>
    </w:p>
    <w:p w14:paraId="64F950F1" w14:textId="356B08A9" w:rsidR="00271952" w:rsidRPr="00C9343F" w:rsidRDefault="00271952">
      <w:pPr>
        <w:pStyle w:val="TOC5"/>
        <w:rPr>
          <w:rFonts w:asciiTheme="minorHAnsi" w:eastAsiaTheme="minorEastAsia" w:hAnsiTheme="minorHAnsi" w:cstheme="minorBidi"/>
          <w:sz w:val="22"/>
          <w:szCs w:val="22"/>
        </w:rPr>
      </w:pPr>
      <w:r w:rsidRPr="00C9343F">
        <w:t>1.3.3    Purpose</w:t>
      </w:r>
      <w:r w:rsidRPr="00C9343F">
        <w:tab/>
      </w:r>
      <w:r w:rsidRPr="00C9343F">
        <w:fldChar w:fldCharType="begin"/>
      </w:r>
      <w:r w:rsidRPr="00C9343F">
        <w:instrText xml:space="preserve"> PAGEREF _Toc105053474 \h </w:instrText>
      </w:r>
      <w:r w:rsidRPr="00C9343F">
        <w:fldChar w:fldCharType="separate"/>
      </w:r>
      <w:r w:rsidRPr="00C9343F">
        <w:t>7</w:t>
      </w:r>
      <w:r w:rsidRPr="00C9343F">
        <w:fldChar w:fldCharType="end"/>
      </w:r>
    </w:p>
    <w:p w14:paraId="4BA3182C" w14:textId="178A90B2" w:rsidR="00271952" w:rsidRPr="00C9343F" w:rsidRDefault="00271952">
      <w:pPr>
        <w:pStyle w:val="TOC5"/>
        <w:rPr>
          <w:rFonts w:asciiTheme="minorHAnsi" w:eastAsiaTheme="minorEastAsia" w:hAnsiTheme="minorHAnsi" w:cstheme="minorBidi"/>
          <w:sz w:val="22"/>
          <w:szCs w:val="22"/>
        </w:rPr>
      </w:pPr>
      <w:r w:rsidRPr="00C9343F">
        <w:t>1.3.4    Act</w:t>
      </w:r>
      <w:r w:rsidRPr="00C9343F">
        <w:tab/>
      </w:r>
      <w:r w:rsidRPr="00C9343F">
        <w:fldChar w:fldCharType="begin"/>
      </w:r>
      <w:r w:rsidRPr="00C9343F">
        <w:instrText xml:space="preserve"> PAGEREF _Toc105053475 \h </w:instrText>
      </w:r>
      <w:r w:rsidRPr="00C9343F">
        <w:fldChar w:fldCharType="separate"/>
      </w:r>
      <w:r w:rsidRPr="00C9343F">
        <w:t>7</w:t>
      </w:r>
      <w:r w:rsidRPr="00C9343F">
        <w:fldChar w:fldCharType="end"/>
      </w:r>
    </w:p>
    <w:p w14:paraId="4AE33C08" w14:textId="55CFE2AF" w:rsidR="00271952" w:rsidRPr="00C9343F" w:rsidRDefault="00271952">
      <w:pPr>
        <w:pStyle w:val="TOC5"/>
        <w:rPr>
          <w:rFonts w:asciiTheme="minorHAnsi" w:eastAsiaTheme="minorEastAsia" w:hAnsiTheme="minorHAnsi" w:cstheme="minorBidi"/>
          <w:sz w:val="22"/>
          <w:szCs w:val="22"/>
        </w:rPr>
      </w:pPr>
      <w:r w:rsidRPr="00C9343F">
        <w:t>1.3.5    Allowance</w:t>
      </w:r>
      <w:r w:rsidRPr="00C9343F">
        <w:tab/>
      </w:r>
      <w:r w:rsidRPr="00C9343F">
        <w:fldChar w:fldCharType="begin"/>
      </w:r>
      <w:r w:rsidRPr="00C9343F">
        <w:instrText xml:space="preserve"> PAGEREF _Toc105053476 \h </w:instrText>
      </w:r>
      <w:r w:rsidRPr="00C9343F">
        <w:fldChar w:fldCharType="separate"/>
      </w:r>
      <w:r w:rsidRPr="00C9343F">
        <w:t>7</w:t>
      </w:r>
      <w:r w:rsidRPr="00C9343F">
        <w:fldChar w:fldCharType="end"/>
      </w:r>
    </w:p>
    <w:p w14:paraId="0A82D5E7" w14:textId="15DA6DCB" w:rsidR="00271952" w:rsidRPr="00C9343F" w:rsidRDefault="00271952">
      <w:pPr>
        <w:pStyle w:val="TOC5"/>
        <w:rPr>
          <w:rFonts w:asciiTheme="minorHAnsi" w:eastAsiaTheme="minorEastAsia" w:hAnsiTheme="minorHAnsi" w:cstheme="minorBidi"/>
          <w:sz w:val="22"/>
          <w:szCs w:val="22"/>
        </w:rPr>
      </w:pPr>
      <w:r w:rsidRPr="00C9343F">
        <w:t>1.3.5A    Approved form</w:t>
      </w:r>
      <w:r w:rsidRPr="00C9343F">
        <w:tab/>
      </w:r>
      <w:r w:rsidRPr="00C9343F">
        <w:fldChar w:fldCharType="begin"/>
      </w:r>
      <w:r w:rsidRPr="00C9343F">
        <w:instrText xml:space="preserve"> PAGEREF _Toc105053477 \h </w:instrText>
      </w:r>
      <w:r w:rsidRPr="00C9343F">
        <w:fldChar w:fldCharType="separate"/>
      </w:r>
      <w:r w:rsidRPr="00C9343F">
        <w:t>7</w:t>
      </w:r>
      <w:r w:rsidRPr="00C9343F">
        <w:fldChar w:fldCharType="end"/>
      </w:r>
    </w:p>
    <w:p w14:paraId="5854ADF9" w14:textId="668EFB16" w:rsidR="00271952" w:rsidRPr="00C9343F" w:rsidRDefault="00271952">
      <w:pPr>
        <w:pStyle w:val="TOC5"/>
        <w:rPr>
          <w:rFonts w:asciiTheme="minorHAnsi" w:eastAsiaTheme="minorEastAsia" w:hAnsiTheme="minorHAnsi" w:cstheme="minorBidi"/>
          <w:sz w:val="22"/>
          <w:szCs w:val="22"/>
        </w:rPr>
      </w:pPr>
      <w:r w:rsidRPr="00C9343F">
        <w:t>1.3.6    Baggage</w:t>
      </w:r>
      <w:r w:rsidRPr="00C9343F">
        <w:tab/>
      </w:r>
      <w:r w:rsidRPr="00C9343F">
        <w:fldChar w:fldCharType="begin"/>
      </w:r>
      <w:r w:rsidRPr="00C9343F">
        <w:instrText xml:space="preserve"> PAGEREF _Toc105053478 \h </w:instrText>
      </w:r>
      <w:r w:rsidRPr="00C9343F">
        <w:fldChar w:fldCharType="separate"/>
      </w:r>
      <w:r w:rsidRPr="00C9343F">
        <w:t>7</w:t>
      </w:r>
      <w:r w:rsidRPr="00C9343F">
        <w:fldChar w:fldCharType="end"/>
      </w:r>
    </w:p>
    <w:p w14:paraId="43A305FE" w14:textId="4231D9DE" w:rsidR="00271952" w:rsidRPr="00C9343F" w:rsidRDefault="00271952">
      <w:pPr>
        <w:pStyle w:val="TOC5"/>
        <w:rPr>
          <w:rFonts w:asciiTheme="minorHAnsi" w:eastAsiaTheme="minorEastAsia" w:hAnsiTheme="minorHAnsi" w:cstheme="minorBidi"/>
          <w:sz w:val="22"/>
          <w:szCs w:val="22"/>
        </w:rPr>
      </w:pPr>
      <w:r w:rsidRPr="00C9343F">
        <w:t>1.3.8    Calendar month</w:t>
      </w:r>
      <w:r w:rsidRPr="00C9343F">
        <w:tab/>
      </w:r>
      <w:r w:rsidRPr="00C9343F">
        <w:fldChar w:fldCharType="begin"/>
      </w:r>
      <w:r w:rsidRPr="00C9343F">
        <w:instrText xml:space="preserve"> PAGEREF _Toc105053479 \h </w:instrText>
      </w:r>
      <w:r w:rsidRPr="00C9343F">
        <w:fldChar w:fldCharType="separate"/>
      </w:r>
      <w:r w:rsidRPr="00C9343F">
        <w:t>7</w:t>
      </w:r>
      <w:r w:rsidRPr="00C9343F">
        <w:fldChar w:fldCharType="end"/>
      </w:r>
    </w:p>
    <w:p w14:paraId="6029C7A0" w14:textId="644D31A1" w:rsidR="00271952" w:rsidRPr="00C9343F" w:rsidRDefault="00271952">
      <w:pPr>
        <w:pStyle w:val="TOC5"/>
        <w:rPr>
          <w:rFonts w:asciiTheme="minorHAnsi" w:eastAsiaTheme="minorEastAsia" w:hAnsiTheme="minorHAnsi" w:cstheme="minorBidi"/>
          <w:sz w:val="22"/>
          <w:szCs w:val="22"/>
        </w:rPr>
      </w:pPr>
      <w:r w:rsidRPr="00C9343F">
        <w:t>1.3.9    Capital city</w:t>
      </w:r>
      <w:r w:rsidRPr="00C9343F">
        <w:tab/>
      </w:r>
      <w:r w:rsidRPr="00C9343F">
        <w:fldChar w:fldCharType="begin"/>
      </w:r>
      <w:r w:rsidRPr="00C9343F">
        <w:instrText xml:space="preserve"> PAGEREF _Toc105053480 \h </w:instrText>
      </w:r>
      <w:r w:rsidRPr="00C9343F">
        <w:fldChar w:fldCharType="separate"/>
      </w:r>
      <w:r w:rsidRPr="00C9343F">
        <w:t>8</w:t>
      </w:r>
      <w:r w:rsidRPr="00C9343F">
        <w:fldChar w:fldCharType="end"/>
      </w:r>
    </w:p>
    <w:p w14:paraId="3DDC239C" w14:textId="4E0367D1" w:rsidR="00271952" w:rsidRPr="00C9343F" w:rsidRDefault="00271952">
      <w:pPr>
        <w:pStyle w:val="TOC5"/>
        <w:rPr>
          <w:rFonts w:asciiTheme="minorHAnsi" w:eastAsiaTheme="minorEastAsia" w:hAnsiTheme="minorHAnsi" w:cstheme="minorBidi"/>
          <w:sz w:val="22"/>
          <w:szCs w:val="22"/>
        </w:rPr>
      </w:pPr>
      <w:r w:rsidRPr="00C9343F">
        <w:t>1.3.10    CDF</w:t>
      </w:r>
      <w:r w:rsidRPr="00C9343F">
        <w:tab/>
      </w:r>
      <w:r w:rsidRPr="00C9343F">
        <w:fldChar w:fldCharType="begin"/>
      </w:r>
      <w:r w:rsidRPr="00C9343F">
        <w:instrText xml:space="preserve"> PAGEREF _Toc105053481 \h </w:instrText>
      </w:r>
      <w:r w:rsidRPr="00C9343F">
        <w:fldChar w:fldCharType="separate"/>
      </w:r>
      <w:r w:rsidRPr="00C9343F">
        <w:t>8</w:t>
      </w:r>
      <w:r w:rsidRPr="00C9343F">
        <w:fldChar w:fldCharType="end"/>
      </w:r>
    </w:p>
    <w:p w14:paraId="414EF362" w14:textId="354992F9" w:rsidR="00271952" w:rsidRPr="00C9343F" w:rsidRDefault="00271952">
      <w:pPr>
        <w:pStyle w:val="TOC5"/>
        <w:rPr>
          <w:rFonts w:asciiTheme="minorHAnsi" w:eastAsiaTheme="minorEastAsia" w:hAnsiTheme="minorHAnsi" w:cstheme="minorBidi"/>
          <w:sz w:val="22"/>
          <w:szCs w:val="22"/>
        </w:rPr>
      </w:pPr>
      <w:r w:rsidRPr="00C9343F">
        <w:t>1.3.11    Commonwealth</w:t>
      </w:r>
      <w:r w:rsidRPr="00C9343F">
        <w:tab/>
      </w:r>
      <w:r w:rsidRPr="00C9343F">
        <w:fldChar w:fldCharType="begin"/>
      </w:r>
      <w:r w:rsidRPr="00C9343F">
        <w:instrText xml:space="preserve"> PAGEREF _Toc105053482 \h </w:instrText>
      </w:r>
      <w:r w:rsidRPr="00C9343F">
        <w:fldChar w:fldCharType="separate"/>
      </w:r>
      <w:r w:rsidRPr="00C9343F">
        <w:t>8</w:t>
      </w:r>
      <w:r w:rsidRPr="00C9343F">
        <w:fldChar w:fldCharType="end"/>
      </w:r>
    </w:p>
    <w:p w14:paraId="0CDBDD08" w14:textId="5F7A0D78" w:rsidR="00271952" w:rsidRPr="00C9343F" w:rsidRDefault="00271952">
      <w:pPr>
        <w:pStyle w:val="TOC5"/>
        <w:rPr>
          <w:rFonts w:asciiTheme="minorHAnsi" w:eastAsiaTheme="minorEastAsia" w:hAnsiTheme="minorHAnsi" w:cstheme="minorBidi"/>
          <w:sz w:val="22"/>
          <w:szCs w:val="22"/>
        </w:rPr>
      </w:pPr>
      <w:r w:rsidRPr="00C9343F">
        <w:t>1.3.12    Commonwealth removalist</w:t>
      </w:r>
      <w:r w:rsidRPr="00C9343F">
        <w:tab/>
      </w:r>
      <w:r w:rsidRPr="00C9343F">
        <w:fldChar w:fldCharType="begin"/>
      </w:r>
      <w:r w:rsidRPr="00C9343F">
        <w:instrText xml:space="preserve"> PAGEREF _Toc105053483 \h </w:instrText>
      </w:r>
      <w:r w:rsidRPr="00C9343F">
        <w:fldChar w:fldCharType="separate"/>
      </w:r>
      <w:r w:rsidRPr="00C9343F">
        <w:t>8</w:t>
      </w:r>
      <w:r w:rsidRPr="00C9343F">
        <w:fldChar w:fldCharType="end"/>
      </w:r>
    </w:p>
    <w:p w14:paraId="69BB3AFE" w14:textId="3B7BE099" w:rsidR="00271952" w:rsidRPr="00C9343F" w:rsidRDefault="00271952">
      <w:pPr>
        <w:pStyle w:val="TOC5"/>
        <w:rPr>
          <w:rFonts w:asciiTheme="minorHAnsi" w:eastAsiaTheme="minorEastAsia" w:hAnsiTheme="minorHAnsi" w:cstheme="minorBidi"/>
          <w:sz w:val="22"/>
          <w:szCs w:val="22"/>
        </w:rPr>
      </w:pPr>
      <w:r w:rsidRPr="00C9343F">
        <w:t>1.3.13    Compulsory residency</w:t>
      </w:r>
      <w:r w:rsidRPr="00C9343F">
        <w:tab/>
      </w:r>
      <w:r w:rsidRPr="00C9343F">
        <w:fldChar w:fldCharType="begin"/>
      </w:r>
      <w:r w:rsidRPr="00C9343F">
        <w:instrText xml:space="preserve"> PAGEREF _Toc105053484 \h </w:instrText>
      </w:r>
      <w:r w:rsidRPr="00C9343F">
        <w:fldChar w:fldCharType="separate"/>
      </w:r>
      <w:r w:rsidRPr="00C9343F">
        <w:t>8</w:t>
      </w:r>
      <w:r w:rsidRPr="00C9343F">
        <w:fldChar w:fldCharType="end"/>
      </w:r>
    </w:p>
    <w:p w14:paraId="4ED3203A" w14:textId="246E4971" w:rsidR="00271952" w:rsidRPr="00C9343F" w:rsidRDefault="00271952">
      <w:pPr>
        <w:pStyle w:val="TOC5"/>
        <w:rPr>
          <w:rFonts w:asciiTheme="minorHAnsi" w:eastAsiaTheme="minorEastAsia" w:hAnsiTheme="minorHAnsi" w:cstheme="minorBidi"/>
          <w:sz w:val="22"/>
          <w:szCs w:val="22"/>
        </w:rPr>
      </w:pPr>
      <w:r w:rsidRPr="00C9343F">
        <w:t>1.3.15    Continuous full-time service</w:t>
      </w:r>
      <w:r w:rsidRPr="00C9343F">
        <w:tab/>
      </w:r>
      <w:r w:rsidRPr="00C9343F">
        <w:fldChar w:fldCharType="begin"/>
      </w:r>
      <w:r w:rsidRPr="00C9343F">
        <w:instrText xml:space="preserve"> PAGEREF _Toc105053485 \h </w:instrText>
      </w:r>
      <w:r w:rsidRPr="00C9343F">
        <w:fldChar w:fldCharType="separate"/>
      </w:r>
      <w:r w:rsidRPr="00C9343F">
        <w:t>8</w:t>
      </w:r>
      <w:r w:rsidRPr="00C9343F">
        <w:fldChar w:fldCharType="end"/>
      </w:r>
    </w:p>
    <w:p w14:paraId="148837E0" w14:textId="48C563AB" w:rsidR="00271952" w:rsidRPr="00C9343F" w:rsidRDefault="00271952">
      <w:pPr>
        <w:pStyle w:val="TOC5"/>
        <w:rPr>
          <w:rFonts w:asciiTheme="minorHAnsi" w:eastAsiaTheme="minorEastAsia" w:hAnsiTheme="minorHAnsi" w:cstheme="minorBidi"/>
          <w:sz w:val="22"/>
          <w:szCs w:val="22"/>
        </w:rPr>
      </w:pPr>
      <w:r w:rsidRPr="00C9343F">
        <w:t>1.3.15A    Custody</w:t>
      </w:r>
      <w:r w:rsidRPr="00C9343F">
        <w:tab/>
      </w:r>
      <w:r w:rsidRPr="00C9343F">
        <w:fldChar w:fldCharType="begin"/>
      </w:r>
      <w:r w:rsidRPr="00C9343F">
        <w:instrText xml:space="preserve"> PAGEREF _Toc105053486 \h </w:instrText>
      </w:r>
      <w:r w:rsidRPr="00C9343F">
        <w:fldChar w:fldCharType="separate"/>
      </w:r>
      <w:r w:rsidRPr="00C9343F">
        <w:t>9</w:t>
      </w:r>
      <w:r w:rsidRPr="00C9343F">
        <w:fldChar w:fldCharType="end"/>
      </w:r>
    </w:p>
    <w:p w14:paraId="48D447F1" w14:textId="54BF4CE2" w:rsidR="00271952" w:rsidRPr="00C9343F" w:rsidRDefault="00271952">
      <w:pPr>
        <w:pStyle w:val="TOC5"/>
        <w:rPr>
          <w:rFonts w:asciiTheme="minorHAnsi" w:eastAsiaTheme="minorEastAsia" w:hAnsiTheme="minorHAnsi" w:cstheme="minorBidi"/>
          <w:sz w:val="22"/>
          <w:szCs w:val="22"/>
        </w:rPr>
      </w:pPr>
      <w:r w:rsidRPr="00C9343F">
        <w:t>1.3.16A    Defence Regulation</w:t>
      </w:r>
      <w:r w:rsidRPr="00C9343F">
        <w:tab/>
      </w:r>
      <w:r w:rsidRPr="00C9343F">
        <w:fldChar w:fldCharType="begin"/>
      </w:r>
      <w:r w:rsidRPr="00C9343F">
        <w:instrText xml:space="preserve"> PAGEREF _Toc105053487 \h </w:instrText>
      </w:r>
      <w:r w:rsidRPr="00C9343F">
        <w:fldChar w:fldCharType="separate"/>
      </w:r>
      <w:r w:rsidRPr="00C9343F">
        <w:t>9</w:t>
      </w:r>
      <w:r w:rsidRPr="00C9343F">
        <w:fldChar w:fldCharType="end"/>
      </w:r>
    </w:p>
    <w:p w14:paraId="12D8D1E7" w14:textId="523C7959" w:rsidR="00271952" w:rsidRPr="00C9343F" w:rsidRDefault="00271952">
      <w:pPr>
        <w:pStyle w:val="TOC5"/>
        <w:rPr>
          <w:rFonts w:asciiTheme="minorHAnsi" w:eastAsiaTheme="minorEastAsia" w:hAnsiTheme="minorHAnsi" w:cstheme="minorBidi"/>
          <w:sz w:val="22"/>
          <w:szCs w:val="22"/>
        </w:rPr>
      </w:pPr>
      <w:r w:rsidRPr="00C9343F">
        <w:t>1.3.17    Dentist</w:t>
      </w:r>
      <w:r w:rsidRPr="00C9343F">
        <w:tab/>
      </w:r>
      <w:r w:rsidRPr="00C9343F">
        <w:fldChar w:fldCharType="begin"/>
      </w:r>
      <w:r w:rsidRPr="00C9343F">
        <w:instrText xml:space="preserve"> PAGEREF _Toc105053488 \h </w:instrText>
      </w:r>
      <w:r w:rsidRPr="00C9343F">
        <w:fldChar w:fldCharType="separate"/>
      </w:r>
      <w:r w:rsidRPr="00C9343F">
        <w:t>9</w:t>
      </w:r>
      <w:r w:rsidRPr="00C9343F">
        <w:fldChar w:fldCharType="end"/>
      </w:r>
    </w:p>
    <w:p w14:paraId="22F94D3B" w14:textId="5DE28FB5" w:rsidR="00271952" w:rsidRPr="00C9343F" w:rsidRDefault="00271952">
      <w:pPr>
        <w:pStyle w:val="TOC5"/>
        <w:rPr>
          <w:rFonts w:asciiTheme="minorHAnsi" w:eastAsiaTheme="minorEastAsia" w:hAnsiTheme="minorHAnsi" w:cstheme="minorBidi"/>
          <w:sz w:val="22"/>
          <w:szCs w:val="22"/>
        </w:rPr>
      </w:pPr>
      <w:r w:rsidRPr="00C9343F">
        <w:t>1.3.18    Deployment</w:t>
      </w:r>
      <w:r w:rsidRPr="00C9343F">
        <w:tab/>
      </w:r>
      <w:r w:rsidRPr="00C9343F">
        <w:fldChar w:fldCharType="begin"/>
      </w:r>
      <w:r w:rsidRPr="00C9343F">
        <w:instrText xml:space="preserve"> PAGEREF _Toc105053489 \h </w:instrText>
      </w:r>
      <w:r w:rsidRPr="00C9343F">
        <w:fldChar w:fldCharType="separate"/>
      </w:r>
      <w:r w:rsidRPr="00C9343F">
        <w:t>9</w:t>
      </w:r>
      <w:r w:rsidRPr="00C9343F">
        <w:fldChar w:fldCharType="end"/>
      </w:r>
    </w:p>
    <w:p w14:paraId="5114A0C2" w14:textId="6E450704" w:rsidR="00271952" w:rsidRPr="00C9343F" w:rsidRDefault="00271952">
      <w:pPr>
        <w:pStyle w:val="TOC5"/>
        <w:rPr>
          <w:rFonts w:asciiTheme="minorHAnsi" w:eastAsiaTheme="minorEastAsia" w:hAnsiTheme="minorHAnsi" w:cstheme="minorBidi"/>
          <w:sz w:val="22"/>
          <w:szCs w:val="22"/>
        </w:rPr>
      </w:pPr>
      <w:r w:rsidRPr="00C9343F">
        <w:t>1.3.18A    Detention</w:t>
      </w:r>
      <w:r w:rsidRPr="00C9343F">
        <w:tab/>
      </w:r>
      <w:r w:rsidRPr="00C9343F">
        <w:fldChar w:fldCharType="begin"/>
      </w:r>
      <w:r w:rsidRPr="00C9343F">
        <w:instrText xml:space="preserve"> PAGEREF _Toc105053490 \h </w:instrText>
      </w:r>
      <w:r w:rsidRPr="00C9343F">
        <w:fldChar w:fldCharType="separate"/>
      </w:r>
      <w:r w:rsidRPr="00C9343F">
        <w:t>9</w:t>
      </w:r>
      <w:r w:rsidRPr="00C9343F">
        <w:fldChar w:fldCharType="end"/>
      </w:r>
    </w:p>
    <w:p w14:paraId="1F680187" w14:textId="73D2D196" w:rsidR="00271952" w:rsidRPr="00C9343F" w:rsidRDefault="00271952">
      <w:pPr>
        <w:pStyle w:val="TOC5"/>
        <w:rPr>
          <w:rFonts w:asciiTheme="minorHAnsi" w:eastAsiaTheme="minorEastAsia" w:hAnsiTheme="minorHAnsi" w:cstheme="minorBidi"/>
          <w:sz w:val="22"/>
          <w:szCs w:val="22"/>
        </w:rPr>
      </w:pPr>
      <w:r w:rsidRPr="00C9343F">
        <w:t>1.3.18B    DFRT allowance</w:t>
      </w:r>
      <w:r w:rsidRPr="00C9343F">
        <w:tab/>
      </w:r>
      <w:r w:rsidRPr="00C9343F">
        <w:fldChar w:fldCharType="begin"/>
      </w:r>
      <w:r w:rsidRPr="00C9343F">
        <w:instrText xml:space="preserve"> PAGEREF _Toc105053491 \h </w:instrText>
      </w:r>
      <w:r w:rsidRPr="00C9343F">
        <w:fldChar w:fldCharType="separate"/>
      </w:r>
      <w:r w:rsidRPr="00C9343F">
        <w:t>9</w:t>
      </w:r>
      <w:r w:rsidRPr="00C9343F">
        <w:fldChar w:fldCharType="end"/>
      </w:r>
    </w:p>
    <w:p w14:paraId="740F63B8" w14:textId="6D3B4D3A" w:rsidR="00271952" w:rsidRPr="00C9343F" w:rsidRDefault="00271952">
      <w:pPr>
        <w:pStyle w:val="TOC5"/>
        <w:rPr>
          <w:rFonts w:asciiTheme="minorHAnsi" w:eastAsiaTheme="minorEastAsia" w:hAnsiTheme="minorHAnsi" w:cstheme="minorBidi"/>
          <w:sz w:val="22"/>
          <w:szCs w:val="22"/>
        </w:rPr>
      </w:pPr>
      <w:r w:rsidRPr="00C9343F">
        <w:t>1.3.19    Doctor</w:t>
      </w:r>
      <w:r w:rsidRPr="00C9343F">
        <w:tab/>
      </w:r>
      <w:r w:rsidRPr="00C9343F">
        <w:fldChar w:fldCharType="begin"/>
      </w:r>
      <w:r w:rsidRPr="00C9343F">
        <w:instrText xml:space="preserve"> PAGEREF _Toc105053492 \h </w:instrText>
      </w:r>
      <w:r w:rsidRPr="00C9343F">
        <w:fldChar w:fldCharType="separate"/>
      </w:r>
      <w:r w:rsidRPr="00C9343F">
        <w:t>9</w:t>
      </w:r>
      <w:r w:rsidRPr="00C9343F">
        <w:fldChar w:fldCharType="end"/>
      </w:r>
    </w:p>
    <w:p w14:paraId="0D717538" w14:textId="0EA888EB" w:rsidR="00271952" w:rsidRPr="00C9343F" w:rsidRDefault="00271952">
      <w:pPr>
        <w:pStyle w:val="TOC5"/>
        <w:rPr>
          <w:rFonts w:asciiTheme="minorHAnsi" w:eastAsiaTheme="minorEastAsia" w:hAnsiTheme="minorHAnsi" w:cstheme="minorBidi"/>
          <w:sz w:val="22"/>
          <w:szCs w:val="22"/>
        </w:rPr>
      </w:pPr>
      <w:r w:rsidRPr="00C9343F">
        <w:t>1.3.20    Dual entitlement</w:t>
      </w:r>
      <w:r w:rsidRPr="00C9343F">
        <w:tab/>
      </w:r>
      <w:r w:rsidRPr="00C9343F">
        <w:fldChar w:fldCharType="begin"/>
      </w:r>
      <w:r w:rsidRPr="00C9343F">
        <w:instrText xml:space="preserve"> PAGEREF _Toc105053493 \h </w:instrText>
      </w:r>
      <w:r w:rsidRPr="00C9343F">
        <w:fldChar w:fldCharType="separate"/>
      </w:r>
      <w:r w:rsidRPr="00C9343F">
        <w:t>9</w:t>
      </w:r>
      <w:r w:rsidRPr="00C9343F">
        <w:fldChar w:fldCharType="end"/>
      </w:r>
    </w:p>
    <w:p w14:paraId="54AAA40F" w14:textId="3688C29A" w:rsidR="00271952" w:rsidRPr="00C9343F" w:rsidRDefault="00271952">
      <w:pPr>
        <w:pStyle w:val="TOC5"/>
        <w:rPr>
          <w:rFonts w:asciiTheme="minorHAnsi" w:eastAsiaTheme="minorEastAsia" w:hAnsiTheme="minorHAnsi" w:cstheme="minorBidi"/>
          <w:sz w:val="22"/>
          <w:szCs w:val="22"/>
        </w:rPr>
      </w:pPr>
      <w:r w:rsidRPr="00C9343F">
        <w:lastRenderedPageBreak/>
        <w:t>1.3.21    Effective date of posting</w:t>
      </w:r>
      <w:r w:rsidRPr="00C9343F">
        <w:tab/>
      </w:r>
      <w:r w:rsidRPr="00C9343F">
        <w:fldChar w:fldCharType="begin"/>
      </w:r>
      <w:r w:rsidRPr="00C9343F">
        <w:instrText xml:space="preserve"> PAGEREF _Toc105053494 \h </w:instrText>
      </w:r>
      <w:r w:rsidRPr="00C9343F">
        <w:fldChar w:fldCharType="separate"/>
      </w:r>
      <w:r w:rsidRPr="00C9343F">
        <w:t>10</w:t>
      </w:r>
      <w:r w:rsidRPr="00C9343F">
        <w:fldChar w:fldCharType="end"/>
      </w:r>
    </w:p>
    <w:p w14:paraId="3164AE90" w14:textId="30DFB93E" w:rsidR="00271952" w:rsidRPr="00C9343F" w:rsidRDefault="00271952">
      <w:pPr>
        <w:pStyle w:val="TOC5"/>
        <w:rPr>
          <w:rFonts w:asciiTheme="minorHAnsi" w:eastAsiaTheme="minorEastAsia" w:hAnsiTheme="minorHAnsi" w:cstheme="minorBidi"/>
          <w:sz w:val="22"/>
          <w:szCs w:val="22"/>
        </w:rPr>
      </w:pPr>
      <w:r w:rsidRPr="00C9343F">
        <w:rPr>
          <w:rFonts w:cs="Arial"/>
          <w:color w:val="000000"/>
        </w:rPr>
        <w:t>1.3.21A    Emergency</w:t>
      </w:r>
      <w:r w:rsidRPr="00C9343F">
        <w:tab/>
      </w:r>
      <w:r w:rsidRPr="00C9343F">
        <w:fldChar w:fldCharType="begin"/>
      </w:r>
      <w:r w:rsidRPr="00C9343F">
        <w:instrText xml:space="preserve"> PAGEREF _Toc105053495 \h </w:instrText>
      </w:r>
      <w:r w:rsidRPr="00C9343F">
        <w:fldChar w:fldCharType="separate"/>
      </w:r>
      <w:r w:rsidRPr="00C9343F">
        <w:t>10</w:t>
      </w:r>
      <w:r w:rsidRPr="00C9343F">
        <w:fldChar w:fldCharType="end"/>
      </w:r>
    </w:p>
    <w:p w14:paraId="7E899F5A" w14:textId="649D0FA6" w:rsidR="00271952" w:rsidRPr="00C9343F" w:rsidRDefault="00271952">
      <w:pPr>
        <w:pStyle w:val="TOC5"/>
        <w:rPr>
          <w:rFonts w:asciiTheme="minorHAnsi" w:eastAsiaTheme="minorEastAsia" w:hAnsiTheme="minorHAnsi" w:cstheme="minorBidi"/>
          <w:sz w:val="22"/>
          <w:szCs w:val="22"/>
        </w:rPr>
      </w:pPr>
      <w:r w:rsidRPr="00C9343F">
        <w:t>1.3.22    Employment</w:t>
      </w:r>
      <w:r w:rsidRPr="00C9343F">
        <w:tab/>
      </w:r>
      <w:r w:rsidRPr="00C9343F">
        <w:fldChar w:fldCharType="begin"/>
      </w:r>
      <w:r w:rsidRPr="00C9343F">
        <w:instrText xml:space="preserve"> PAGEREF _Toc105053496 \h </w:instrText>
      </w:r>
      <w:r w:rsidRPr="00C9343F">
        <w:fldChar w:fldCharType="separate"/>
      </w:r>
      <w:r w:rsidRPr="00C9343F">
        <w:t>10</w:t>
      </w:r>
      <w:r w:rsidRPr="00C9343F">
        <w:fldChar w:fldCharType="end"/>
      </w:r>
    </w:p>
    <w:p w14:paraId="00B3461F" w14:textId="6970F9B8" w:rsidR="00271952" w:rsidRPr="00C9343F" w:rsidRDefault="00271952">
      <w:pPr>
        <w:pStyle w:val="TOC5"/>
        <w:rPr>
          <w:rFonts w:asciiTheme="minorHAnsi" w:eastAsiaTheme="minorEastAsia" w:hAnsiTheme="minorHAnsi" w:cstheme="minorBidi"/>
          <w:sz w:val="22"/>
          <w:szCs w:val="22"/>
        </w:rPr>
      </w:pPr>
      <w:r w:rsidRPr="00C9343F">
        <w:t>1.3.23    Engine capacity – rotary engine</w:t>
      </w:r>
      <w:r w:rsidRPr="00C9343F">
        <w:tab/>
      </w:r>
      <w:r w:rsidRPr="00C9343F">
        <w:fldChar w:fldCharType="begin"/>
      </w:r>
      <w:r w:rsidRPr="00C9343F">
        <w:instrText xml:space="preserve"> PAGEREF _Toc105053497 \h </w:instrText>
      </w:r>
      <w:r w:rsidRPr="00C9343F">
        <w:fldChar w:fldCharType="separate"/>
      </w:r>
      <w:r w:rsidRPr="00C9343F">
        <w:t>10</w:t>
      </w:r>
      <w:r w:rsidRPr="00C9343F">
        <w:fldChar w:fldCharType="end"/>
      </w:r>
    </w:p>
    <w:p w14:paraId="7895C1A4" w14:textId="02D9CE26" w:rsidR="00271952" w:rsidRPr="00C9343F" w:rsidRDefault="00271952">
      <w:pPr>
        <w:pStyle w:val="TOC5"/>
        <w:rPr>
          <w:rFonts w:asciiTheme="minorHAnsi" w:eastAsiaTheme="minorEastAsia" w:hAnsiTheme="minorHAnsi" w:cstheme="minorBidi"/>
          <w:sz w:val="22"/>
          <w:szCs w:val="22"/>
        </w:rPr>
      </w:pPr>
      <w:r w:rsidRPr="00C9343F">
        <w:t>1.3.24    Equivalent rank</w:t>
      </w:r>
      <w:r w:rsidRPr="00C9343F">
        <w:tab/>
      </w:r>
      <w:r w:rsidRPr="00C9343F">
        <w:fldChar w:fldCharType="begin"/>
      </w:r>
      <w:r w:rsidRPr="00C9343F">
        <w:instrText xml:space="preserve"> PAGEREF _Toc105053498 \h </w:instrText>
      </w:r>
      <w:r w:rsidRPr="00C9343F">
        <w:fldChar w:fldCharType="separate"/>
      </w:r>
      <w:r w:rsidRPr="00C9343F">
        <w:t>10</w:t>
      </w:r>
      <w:r w:rsidRPr="00C9343F">
        <w:fldChar w:fldCharType="end"/>
      </w:r>
    </w:p>
    <w:p w14:paraId="24329B21" w14:textId="0A5BF5BD" w:rsidR="00271952" w:rsidRPr="00C9343F" w:rsidRDefault="00271952">
      <w:pPr>
        <w:pStyle w:val="TOC5"/>
        <w:rPr>
          <w:rFonts w:asciiTheme="minorHAnsi" w:eastAsiaTheme="minorEastAsia" w:hAnsiTheme="minorHAnsi" w:cstheme="minorBidi"/>
          <w:sz w:val="22"/>
          <w:szCs w:val="22"/>
        </w:rPr>
      </w:pPr>
      <w:r w:rsidRPr="00C9343F">
        <w:t>1.3.24AA    Evacuation order</w:t>
      </w:r>
      <w:r w:rsidRPr="00C9343F">
        <w:tab/>
      </w:r>
      <w:r w:rsidRPr="00C9343F">
        <w:fldChar w:fldCharType="begin"/>
      </w:r>
      <w:r w:rsidRPr="00C9343F">
        <w:instrText xml:space="preserve"> PAGEREF _Toc105053499 \h </w:instrText>
      </w:r>
      <w:r w:rsidRPr="00C9343F">
        <w:fldChar w:fldCharType="separate"/>
      </w:r>
      <w:r w:rsidRPr="00C9343F">
        <w:t>10</w:t>
      </w:r>
      <w:r w:rsidRPr="00C9343F">
        <w:fldChar w:fldCharType="end"/>
      </w:r>
    </w:p>
    <w:p w14:paraId="44760B3E" w14:textId="518E639E" w:rsidR="00271952" w:rsidRPr="00C9343F" w:rsidRDefault="00271952">
      <w:pPr>
        <w:pStyle w:val="TOC5"/>
        <w:rPr>
          <w:rFonts w:asciiTheme="minorHAnsi" w:eastAsiaTheme="minorEastAsia" w:hAnsiTheme="minorHAnsi" w:cstheme="minorBidi"/>
          <w:sz w:val="22"/>
          <w:szCs w:val="22"/>
        </w:rPr>
      </w:pPr>
      <w:r w:rsidRPr="00C9343F">
        <w:t>1.3.24A  Flexible service determination</w:t>
      </w:r>
      <w:r w:rsidRPr="00C9343F">
        <w:tab/>
      </w:r>
      <w:r w:rsidRPr="00C9343F">
        <w:fldChar w:fldCharType="begin"/>
      </w:r>
      <w:r w:rsidRPr="00C9343F">
        <w:instrText xml:space="preserve"> PAGEREF _Toc105053500 \h </w:instrText>
      </w:r>
      <w:r w:rsidRPr="00C9343F">
        <w:fldChar w:fldCharType="separate"/>
      </w:r>
      <w:r w:rsidRPr="00C9343F">
        <w:t>10</w:t>
      </w:r>
      <w:r w:rsidRPr="00C9343F">
        <w:fldChar w:fldCharType="end"/>
      </w:r>
    </w:p>
    <w:p w14:paraId="7F9A2395" w14:textId="1388590C" w:rsidR="00271952" w:rsidRPr="00C9343F" w:rsidRDefault="00271952">
      <w:pPr>
        <w:pStyle w:val="TOC5"/>
        <w:rPr>
          <w:rFonts w:asciiTheme="minorHAnsi" w:eastAsiaTheme="minorEastAsia" w:hAnsiTheme="minorHAnsi" w:cstheme="minorBidi"/>
          <w:sz w:val="22"/>
          <w:szCs w:val="22"/>
        </w:rPr>
      </w:pPr>
      <w:r w:rsidRPr="00C9343F">
        <w:t>1.3.25    Fortnightly rate</w:t>
      </w:r>
      <w:r w:rsidRPr="00C9343F">
        <w:tab/>
      </w:r>
      <w:r w:rsidRPr="00C9343F">
        <w:fldChar w:fldCharType="begin"/>
      </w:r>
      <w:r w:rsidRPr="00C9343F">
        <w:instrText xml:space="preserve"> PAGEREF _Toc105053501 \h </w:instrText>
      </w:r>
      <w:r w:rsidRPr="00C9343F">
        <w:fldChar w:fldCharType="separate"/>
      </w:r>
      <w:r w:rsidRPr="00C9343F">
        <w:t>11</w:t>
      </w:r>
      <w:r w:rsidRPr="00C9343F">
        <w:fldChar w:fldCharType="end"/>
      </w:r>
    </w:p>
    <w:p w14:paraId="57541811" w14:textId="212E5456" w:rsidR="00271952" w:rsidRPr="00C9343F" w:rsidRDefault="00271952">
      <w:pPr>
        <w:pStyle w:val="TOC5"/>
        <w:rPr>
          <w:rFonts w:asciiTheme="minorHAnsi" w:eastAsiaTheme="minorEastAsia" w:hAnsiTheme="minorHAnsi" w:cstheme="minorBidi"/>
          <w:sz w:val="22"/>
          <w:szCs w:val="22"/>
        </w:rPr>
      </w:pPr>
      <w:r w:rsidRPr="00C9343F">
        <w:t>1.3.26    Gaining location</w:t>
      </w:r>
      <w:r w:rsidRPr="00C9343F">
        <w:tab/>
      </w:r>
      <w:r w:rsidRPr="00C9343F">
        <w:fldChar w:fldCharType="begin"/>
      </w:r>
      <w:r w:rsidRPr="00C9343F">
        <w:instrText xml:space="preserve"> PAGEREF _Toc105053502 \h </w:instrText>
      </w:r>
      <w:r w:rsidRPr="00C9343F">
        <w:fldChar w:fldCharType="separate"/>
      </w:r>
      <w:r w:rsidRPr="00C9343F">
        <w:t>11</w:t>
      </w:r>
      <w:r w:rsidRPr="00C9343F">
        <w:fldChar w:fldCharType="end"/>
      </w:r>
    </w:p>
    <w:p w14:paraId="502C37A4" w14:textId="7FDF86D2" w:rsidR="00271952" w:rsidRPr="00C9343F" w:rsidRDefault="00271952">
      <w:pPr>
        <w:pStyle w:val="TOC5"/>
        <w:rPr>
          <w:rFonts w:asciiTheme="minorHAnsi" w:eastAsiaTheme="minorEastAsia" w:hAnsiTheme="minorHAnsi" w:cstheme="minorBidi"/>
          <w:sz w:val="22"/>
          <w:szCs w:val="22"/>
        </w:rPr>
      </w:pPr>
      <w:r w:rsidRPr="00C9343F">
        <w:t>1.3.27    Health professional</w:t>
      </w:r>
      <w:r w:rsidRPr="00C9343F">
        <w:tab/>
      </w:r>
      <w:r w:rsidRPr="00C9343F">
        <w:fldChar w:fldCharType="begin"/>
      </w:r>
      <w:r w:rsidRPr="00C9343F">
        <w:instrText xml:space="preserve"> PAGEREF _Toc105053503 \h </w:instrText>
      </w:r>
      <w:r w:rsidRPr="00C9343F">
        <w:fldChar w:fldCharType="separate"/>
      </w:r>
      <w:r w:rsidRPr="00C9343F">
        <w:t>11</w:t>
      </w:r>
      <w:r w:rsidRPr="00C9343F">
        <w:fldChar w:fldCharType="end"/>
      </w:r>
    </w:p>
    <w:p w14:paraId="4B5F64E5" w14:textId="6302DBD7" w:rsidR="00271952" w:rsidRPr="00C9343F" w:rsidRDefault="00271952">
      <w:pPr>
        <w:pStyle w:val="TOC5"/>
        <w:rPr>
          <w:rFonts w:asciiTheme="minorHAnsi" w:eastAsiaTheme="minorEastAsia" w:hAnsiTheme="minorHAnsi" w:cstheme="minorBidi"/>
          <w:sz w:val="22"/>
          <w:szCs w:val="22"/>
        </w:rPr>
      </w:pPr>
      <w:r w:rsidRPr="00C9343F">
        <w:t>1.3.28    Imprisonment</w:t>
      </w:r>
      <w:r w:rsidRPr="00C9343F">
        <w:tab/>
      </w:r>
      <w:r w:rsidRPr="00C9343F">
        <w:fldChar w:fldCharType="begin"/>
      </w:r>
      <w:r w:rsidRPr="00C9343F">
        <w:instrText xml:space="preserve"> PAGEREF _Toc105053504 \h </w:instrText>
      </w:r>
      <w:r w:rsidRPr="00C9343F">
        <w:fldChar w:fldCharType="separate"/>
      </w:r>
      <w:r w:rsidRPr="00C9343F">
        <w:t>11</w:t>
      </w:r>
      <w:r w:rsidRPr="00C9343F">
        <w:fldChar w:fldCharType="end"/>
      </w:r>
    </w:p>
    <w:p w14:paraId="25AE88A0" w14:textId="42C7254A" w:rsidR="00271952" w:rsidRPr="00C9343F" w:rsidRDefault="00271952">
      <w:pPr>
        <w:pStyle w:val="TOC5"/>
        <w:rPr>
          <w:rFonts w:asciiTheme="minorHAnsi" w:eastAsiaTheme="minorEastAsia" w:hAnsiTheme="minorHAnsi" w:cstheme="minorBidi"/>
          <w:sz w:val="22"/>
          <w:szCs w:val="22"/>
        </w:rPr>
      </w:pPr>
      <w:r w:rsidRPr="00C9343F">
        <w:t>1.3.29A    Initial minimum period of service</w:t>
      </w:r>
      <w:r w:rsidRPr="00C9343F">
        <w:tab/>
      </w:r>
      <w:r w:rsidRPr="00C9343F">
        <w:fldChar w:fldCharType="begin"/>
      </w:r>
      <w:r w:rsidRPr="00C9343F">
        <w:instrText xml:space="preserve"> PAGEREF _Toc105053505 \h </w:instrText>
      </w:r>
      <w:r w:rsidRPr="00C9343F">
        <w:fldChar w:fldCharType="separate"/>
      </w:r>
      <w:r w:rsidRPr="00C9343F">
        <w:t>11</w:t>
      </w:r>
      <w:r w:rsidRPr="00C9343F">
        <w:fldChar w:fldCharType="end"/>
      </w:r>
    </w:p>
    <w:p w14:paraId="33BC1707" w14:textId="4814F00D" w:rsidR="00271952" w:rsidRPr="00C9343F" w:rsidRDefault="00271952">
      <w:pPr>
        <w:pStyle w:val="TOC5"/>
        <w:rPr>
          <w:rFonts w:asciiTheme="minorHAnsi" w:eastAsiaTheme="minorEastAsia" w:hAnsiTheme="minorHAnsi" w:cstheme="minorBidi"/>
          <w:sz w:val="22"/>
          <w:szCs w:val="22"/>
        </w:rPr>
      </w:pPr>
      <w:r w:rsidRPr="00C9343F">
        <w:t>1.3.29B    Isolation period</w:t>
      </w:r>
      <w:r w:rsidRPr="00C9343F">
        <w:tab/>
      </w:r>
      <w:r w:rsidRPr="00C9343F">
        <w:fldChar w:fldCharType="begin"/>
      </w:r>
      <w:r w:rsidRPr="00C9343F">
        <w:instrText xml:space="preserve"> PAGEREF _Toc105053506 \h </w:instrText>
      </w:r>
      <w:r w:rsidRPr="00C9343F">
        <w:fldChar w:fldCharType="separate"/>
      </w:r>
      <w:r w:rsidRPr="00C9343F">
        <w:t>11</w:t>
      </w:r>
      <w:r w:rsidRPr="00C9343F">
        <w:fldChar w:fldCharType="end"/>
      </w:r>
    </w:p>
    <w:p w14:paraId="51CC2429" w14:textId="78CD4004" w:rsidR="00271952" w:rsidRPr="00C9343F" w:rsidRDefault="00271952">
      <w:pPr>
        <w:pStyle w:val="TOC5"/>
        <w:rPr>
          <w:rFonts w:asciiTheme="minorHAnsi" w:eastAsiaTheme="minorEastAsia" w:hAnsiTheme="minorHAnsi" w:cstheme="minorBidi"/>
          <w:sz w:val="22"/>
          <w:szCs w:val="22"/>
        </w:rPr>
      </w:pPr>
      <w:r w:rsidRPr="00C9343F">
        <w:t>1.3.31    Legal officer</w:t>
      </w:r>
      <w:r w:rsidRPr="00C9343F">
        <w:tab/>
      </w:r>
      <w:r w:rsidRPr="00C9343F">
        <w:fldChar w:fldCharType="begin"/>
      </w:r>
      <w:r w:rsidRPr="00C9343F">
        <w:instrText xml:space="preserve"> PAGEREF _Toc105053507 \h </w:instrText>
      </w:r>
      <w:r w:rsidRPr="00C9343F">
        <w:fldChar w:fldCharType="separate"/>
      </w:r>
      <w:r w:rsidRPr="00C9343F">
        <w:t>12</w:t>
      </w:r>
      <w:r w:rsidRPr="00C9343F">
        <w:fldChar w:fldCharType="end"/>
      </w:r>
    </w:p>
    <w:p w14:paraId="1F9410B6" w14:textId="72C1E310" w:rsidR="00271952" w:rsidRPr="00C9343F" w:rsidRDefault="00271952">
      <w:pPr>
        <w:pStyle w:val="TOC5"/>
        <w:rPr>
          <w:rFonts w:asciiTheme="minorHAnsi" w:eastAsiaTheme="minorEastAsia" w:hAnsiTheme="minorHAnsi" w:cstheme="minorBidi"/>
          <w:sz w:val="22"/>
          <w:szCs w:val="22"/>
        </w:rPr>
      </w:pPr>
      <w:r w:rsidRPr="00C9343F">
        <w:t>1.3.32    Living in</w:t>
      </w:r>
      <w:r w:rsidRPr="00C9343F">
        <w:tab/>
      </w:r>
      <w:r w:rsidRPr="00C9343F">
        <w:fldChar w:fldCharType="begin"/>
      </w:r>
      <w:r w:rsidRPr="00C9343F">
        <w:instrText xml:space="preserve"> PAGEREF _Toc105053508 \h </w:instrText>
      </w:r>
      <w:r w:rsidRPr="00C9343F">
        <w:fldChar w:fldCharType="separate"/>
      </w:r>
      <w:r w:rsidRPr="00C9343F">
        <w:t>12</w:t>
      </w:r>
      <w:r w:rsidRPr="00C9343F">
        <w:fldChar w:fldCharType="end"/>
      </w:r>
    </w:p>
    <w:p w14:paraId="0E51EB77" w14:textId="57371A85" w:rsidR="00271952" w:rsidRPr="00C9343F" w:rsidRDefault="00271952">
      <w:pPr>
        <w:pStyle w:val="TOC5"/>
        <w:rPr>
          <w:rFonts w:asciiTheme="minorHAnsi" w:eastAsiaTheme="minorEastAsia" w:hAnsiTheme="minorHAnsi" w:cstheme="minorBidi"/>
          <w:sz w:val="22"/>
          <w:szCs w:val="22"/>
        </w:rPr>
      </w:pPr>
      <w:r w:rsidRPr="00C9343F">
        <w:t>1.3.33    Living-in accommodation</w:t>
      </w:r>
      <w:r w:rsidRPr="00C9343F">
        <w:tab/>
      </w:r>
      <w:r w:rsidRPr="00C9343F">
        <w:fldChar w:fldCharType="begin"/>
      </w:r>
      <w:r w:rsidRPr="00C9343F">
        <w:instrText xml:space="preserve"> PAGEREF _Toc105053509 \h </w:instrText>
      </w:r>
      <w:r w:rsidRPr="00C9343F">
        <w:fldChar w:fldCharType="separate"/>
      </w:r>
      <w:r w:rsidRPr="00C9343F">
        <w:t>12</w:t>
      </w:r>
      <w:r w:rsidRPr="00C9343F">
        <w:fldChar w:fldCharType="end"/>
      </w:r>
    </w:p>
    <w:p w14:paraId="77C2E36F" w14:textId="72BD50D2" w:rsidR="00271952" w:rsidRPr="00C9343F" w:rsidRDefault="00271952">
      <w:pPr>
        <w:pStyle w:val="TOC5"/>
        <w:rPr>
          <w:rFonts w:asciiTheme="minorHAnsi" w:eastAsiaTheme="minorEastAsia" w:hAnsiTheme="minorHAnsi" w:cstheme="minorBidi"/>
          <w:sz w:val="22"/>
          <w:szCs w:val="22"/>
        </w:rPr>
      </w:pPr>
      <w:r w:rsidRPr="00C9343F">
        <w:t>1.3.34    Living out</w:t>
      </w:r>
      <w:r w:rsidRPr="00C9343F">
        <w:tab/>
      </w:r>
      <w:r w:rsidRPr="00C9343F">
        <w:fldChar w:fldCharType="begin"/>
      </w:r>
      <w:r w:rsidRPr="00C9343F">
        <w:instrText xml:space="preserve"> PAGEREF _Toc105053510 \h </w:instrText>
      </w:r>
      <w:r w:rsidRPr="00C9343F">
        <w:fldChar w:fldCharType="separate"/>
      </w:r>
      <w:r w:rsidRPr="00C9343F">
        <w:t>12</w:t>
      </w:r>
      <w:r w:rsidRPr="00C9343F">
        <w:fldChar w:fldCharType="end"/>
      </w:r>
    </w:p>
    <w:p w14:paraId="0A9C03CD" w14:textId="16A5E527" w:rsidR="00271952" w:rsidRPr="00C9343F" w:rsidRDefault="00271952">
      <w:pPr>
        <w:pStyle w:val="TOC5"/>
        <w:rPr>
          <w:rFonts w:asciiTheme="minorHAnsi" w:eastAsiaTheme="minorEastAsia" w:hAnsiTheme="minorHAnsi" w:cstheme="minorBidi"/>
          <w:sz w:val="22"/>
          <w:szCs w:val="22"/>
        </w:rPr>
      </w:pPr>
      <w:r w:rsidRPr="00C9343F">
        <w:t>1.3.35    Location of residence – within Australia</w:t>
      </w:r>
      <w:r w:rsidRPr="00C9343F">
        <w:tab/>
      </w:r>
      <w:r w:rsidRPr="00C9343F">
        <w:fldChar w:fldCharType="begin"/>
      </w:r>
      <w:r w:rsidRPr="00C9343F">
        <w:instrText xml:space="preserve"> PAGEREF _Toc105053511 \h </w:instrText>
      </w:r>
      <w:r w:rsidRPr="00C9343F">
        <w:fldChar w:fldCharType="separate"/>
      </w:r>
      <w:r w:rsidRPr="00C9343F">
        <w:t>12</w:t>
      </w:r>
      <w:r w:rsidRPr="00C9343F">
        <w:fldChar w:fldCharType="end"/>
      </w:r>
    </w:p>
    <w:p w14:paraId="1E4A874C" w14:textId="2C167475" w:rsidR="00271952" w:rsidRPr="00C9343F" w:rsidRDefault="00271952">
      <w:pPr>
        <w:pStyle w:val="TOC5"/>
        <w:rPr>
          <w:rFonts w:asciiTheme="minorHAnsi" w:eastAsiaTheme="minorEastAsia" w:hAnsiTheme="minorHAnsi" w:cstheme="minorBidi"/>
          <w:sz w:val="22"/>
          <w:szCs w:val="22"/>
        </w:rPr>
      </w:pPr>
      <w:r w:rsidRPr="00C9343F">
        <w:t>1.3.36    Long-term posting</w:t>
      </w:r>
      <w:r w:rsidRPr="00C9343F">
        <w:tab/>
      </w:r>
      <w:r w:rsidRPr="00C9343F">
        <w:fldChar w:fldCharType="begin"/>
      </w:r>
      <w:r w:rsidRPr="00C9343F">
        <w:instrText xml:space="preserve"> PAGEREF _Toc105053512 \h </w:instrText>
      </w:r>
      <w:r w:rsidRPr="00C9343F">
        <w:fldChar w:fldCharType="separate"/>
      </w:r>
      <w:r w:rsidRPr="00C9343F">
        <w:t>13</w:t>
      </w:r>
      <w:r w:rsidRPr="00C9343F">
        <w:fldChar w:fldCharType="end"/>
      </w:r>
    </w:p>
    <w:p w14:paraId="2C352E73" w14:textId="521DC023" w:rsidR="00271952" w:rsidRPr="00C9343F" w:rsidRDefault="00271952">
      <w:pPr>
        <w:pStyle w:val="TOC5"/>
        <w:rPr>
          <w:rFonts w:asciiTheme="minorHAnsi" w:eastAsiaTheme="minorEastAsia" w:hAnsiTheme="minorHAnsi" w:cstheme="minorBidi"/>
          <w:sz w:val="22"/>
          <w:szCs w:val="22"/>
        </w:rPr>
      </w:pPr>
      <w:r w:rsidRPr="00C9343F">
        <w:t>1.3.37    Losing location</w:t>
      </w:r>
      <w:r w:rsidRPr="00C9343F">
        <w:tab/>
      </w:r>
      <w:r w:rsidRPr="00C9343F">
        <w:fldChar w:fldCharType="begin"/>
      </w:r>
      <w:r w:rsidRPr="00C9343F">
        <w:instrText xml:space="preserve"> PAGEREF _Toc105053513 \h </w:instrText>
      </w:r>
      <w:r w:rsidRPr="00C9343F">
        <w:fldChar w:fldCharType="separate"/>
      </w:r>
      <w:r w:rsidRPr="00C9343F">
        <w:t>13</w:t>
      </w:r>
      <w:r w:rsidRPr="00C9343F">
        <w:fldChar w:fldCharType="end"/>
      </w:r>
    </w:p>
    <w:p w14:paraId="0F43C254" w14:textId="6A78A5B2" w:rsidR="00271952" w:rsidRPr="00C9343F" w:rsidRDefault="00271952">
      <w:pPr>
        <w:pStyle w:val="TOC5"/>
        <w:rPr>
          <w:rFonts w:asciiTheme="minorHAnsi" w:eastAsiaTheme="minorEastAsia" w:hAnsiTheme="minorHAnsi" w:cstheme="minorBidi"/>
          <w:sz w:val="22"/>
          <w:szCs w:val="22"/>
        </w:rPr>
      </w:pPr>
      <w:r w:rsidRPr="00C9343F">
        <w:t>1.3.38    Meal costs</w:t>
      </w:r>
      <w:r w:rsidRPr="00C9343F">
        <w:tab/>
      </w:r>
      <w:r w:rsidRPr="00C9343F">
        <w:fldChar w:fldCharType="begin"/>
      </w:r>
      <w:r w:rsidRPr="00C9343F">
        <w:instrText xml:space="preserve"> PAGEREF _Toc105053514 \h </w:instrText>
      </w:r>
      <w:r w:rsidRPr="00C9343F">
        <w:fldChar w:fldCharType="separate"/>
      </w:r>
      <w:r w:rsidRPr="00C9343F">
        <w:t>13</w:t>
      </w:r>
      <w:r w:rsidRPr="00C9343F">
        <w:fldChar w:fldCharType="end"/>
      </w:r>
    </w:p>
    <w:p w14:paraId="3582CE1C" w14:textId="26EEA9C3" w:rsidR="00271952" w:rsidRPr="00C9343F" w:rsidRDefault="00271952">
      <w:pPr>
        <w:pStyle w:val="TOC5"/>
        <w:rPr>
          <w:rFonts w:asciiTheme="minorHAnsi" w:eastAsiaTheme="minorEastAsia" w:hAnsiTheme="minorHAnsi" w:cstheme="minorBidi"/>
          <w:sz w:val="22"/>
          <w:szCs w:val="22"/>
        </w:rPr>
      </w:pPr>
      <w:r w:rsidRPr="00C9343F">
        <w:t>1.3.39    Meal period</w:t>
      </w:r>
      <w:r w:rsidRPr="00C9343F">
        <w:tab/>
      </w:r>
      <w:r w:rsidRPr="00C9343F">
        <w:fldChar w:fldCharType="begin"/>
      </w:r>
      <w:r w:rsidRPr="00C9343F">
        <w:instrText xml:space="preserve"> PAGEREF _Toc105053515 \h </w:instrText>
      </w:r>
      <w:r w:rsidRPr="00C9343F">
        <w:fldChar w:fldCharType="separate"/>
      </w:r>
      <w:r w:rsidRPr="00C9343F">
        <w:t>13</w:t>
      </w:r>
      <w:r w:rsidRPr="00C9343F">
        <w:fldChar w:fldCharType="end"/>
      </w:r>
    </w:p>
    <w:p w14:paraId="7629C77C" w14:textId="452B8766" w:rsidR="00271952" w:rsidRPr="00C9343F" w:rsidRDefault="00271952">
      <w:pPr>
        <w:pStyle w:val="TOC5"/>
        <w:rPr>
          <w:rFonts w:asciiTheme="minorHAnsi" w:eastAsiaTheme="minorEastAsia" w:hAnsiTheme="minorHAnsi" w:cstheme="minorBidi"/>
          <w:sz w:val="22"/>
          <w:szCs w:val="22"/>
        </w:rPr>
      </w:pPr>
      <w:r w:rsidRPr="00C9343F">
        <w:t>1.3.40    Medical absence</w:t>
      </w:r>
      <w:r w:rsidRPr="00C9343F">
        <w:tab/>
      </w:r>
      <w:r w:rsidRPr="00C9343F">
        <w:fldChar w:fldCharType="begin"/>
      </w:r>
      <w:r w:rsidRPr="00C9343F">
        <w:instrText xml:space="preserve"> PAGEREF _Toc105053516 \h </w:instrText>
      </w:r>
      <w:r w:rsidRPr="00C9343F">
        <w:fldChar w:fldCharType="separate"/>
      </w:r>
      <w:r w:rsidRPr="00C9343F">
        <w:t>13</w:t>
      </w:r>
      <w:r w:rsidRPr="00C9343F">
        <w:fldChar w:fldCharType="end"/>
      </w:r>
    </w:p>
    <w:p w14:paraId="3BD6CC8B" w14:textId="798B6A39" w:rsidR="00271952" w:rsidRPr="00C9343F" w:rsidRDefault="00271952">
      <w:pPr>
        <w:pStyle w:val="TOC5"/>
        <w:rPr>
          <w:rFonts w:asciiTheme="minorHAnsi" w:eastAsiaTheme="minorEastAsia" w:hAnsiTheme="minorHAnsi" w:cstheme="minorBidi"/>
          <w:sz w:val="22"/>
          <w:szCs w:val="22"/>
        </w:rPr>
      </w:pPr>
      <w:r w:rsidRPr="00C9343F">
        <w:t>1.3.41    Member</w:t>
      </w:r>
      <w:r w:rsidRPr="00C9343F">
        <w:tab/>
      </w:r>
      <w:r w:rsidRPr="00C9343F">
        <w:fldChar w:fldCharType="begin"/>
      </w:r>
      <w:r w:rsidRPr="00C9343F">
        <w:instrText xml:space="preserve"> PAGEREF _Toc105053517 \h </w:instrText>
      </w:r>
      <w:r w:rsidRPr="00C9343F">
        <w:fldChar w:fldCharType="separate"/>
      </w:r>
      <w:r w:rsidRPr="00C9343F">
        <w:t>14</w:t>
      </w:r>
      <w:r w:rsidRPr="00C9343F">
        <w:fldChar w:fldCharType="end"/>
      </w:r>
    </w:p>
    <w:p w14:paraId="3A71CAEF" w14:textId="79F4C1A8" w:rsidR="00271952" w:rsidRPr="00C9343F" w:rsidRDefault="00271952">
      <w:pPr>
        <w:pStyle w:val="TOC5"/>
        <w:rPr>
          <w:rFonts w:asciiTheme="minorHAnsi" w:eastAsiaTheme="minorEastAsia" w:hAnsiTheme="minorHAnsi" w:cstheme="minorBidi"/>
          <w:sz w:val="22"/>
          <w:szCs w:val="22"/>
        </w:rPr>
      </w:pPr>
      <w:r w:rsidRPr="00C9343F">
        <w:t>1.3.43    Member undergoing recategorisation training</w:t>
      </w:r>
      <w:r w:rsidRPr="00C9343F">
        <w:tab/>
      </w:r>
      <w:r w:rsidRPr="00C9343F">
        <w:fldChar w:fldCharType="begin"/>
      </w:r>
      <w:r w:rsidRPr="00C9343F">
        <w:instrText xml:space="preserve"> PAGEREF _Toc105053518 \h </w:instrText>
      </w:r>
      <w:r w:rsidRPr="00C9343F">
        <w:fldChar w:fldCharType="separate"/>
      </w:r>
      <w:r w:rsidRPr="00C9343F">
        <w:t>14</w:t>
      </w:r>
      <w:r w:rsidRPr="00C9343F">
        <w:fldChar w:fldCharType="end"/>
      </w:r>
    </w:p>
    <w:p w14:paraId="3A8315E1" w14:textId="4813B456" w:rsidR="00271952" w:rsidRPr="00C9343F" w:rsidRDefault="00271952">
      <w:pPr>
        <w:pStyle w:val="TOC5"/>
        <w:rPr>
          <w:rFonts w:asciiTheme="minorHAnsi" w:eastAsiaTheme="minorEastAsia" w:hAnsiTheme="minorHAnsi" w:cstheme="minorBidi"/>
          <w:sz w:val="22"/>
          <w:szCs w:val="22"/>
        </w:rPr>
      </w:pPr>
      <w:r w:rsidRPr="00C9343F">
        <w:t>1.3.44    Month</w:t>
      </w:r>
      <w:r w:rsidRPr="00C9343F">
        <w:tab/>
      </w:r>
      <w:r w:rsidRPr="00C9343F">
        <w:fldChar w:fldCharType="begin"/>
      </w:r>
      <w:r w:rsidRPr="00C9343F">
        <w:instrText xml:space="preserve"> PAGEREF _Toc105053519 \h </w:instrText>
      </w:r>
      <w:r w:rsidRPr="00C9343F">
        <w:fldChar w:fldCharType="separate"/>
      </w:r>
      <w:r w:rsidRPr="00C9343F">
        <w:t>14</w:t>
      </w:r>
      <w:r w:rsidRPr="00C9343F">
        <w:fldChar w:fldCharType="end"/>
      </w:r>
    </w:p>
    <w:p w14:paraId="51EB3786" w14:textId="600E8763" w:rsidR="00271952" w:rsidRPr="00C9343F" w:rsidRDefault="00271952">
      <w:pPr>
        <w:pStyle w:val="TOC5"/>
        <w:rPr>
          <w:rFonts w:asciiTheme="minorHAnsi" w:eastAsiaTheme="minorEastAsia" w:hAnsiTheme="minorHAnsi" w:cstheme="minorBidi"/>
          <w:sz w:val="22"/>
          <w:szCs w:val="22"/>
        </w:rPr>
      </w:pPr>
      <w:r w:rsidRPr="00C9343F">
        <w:t>1.3.45    Non-warlike service</w:t>
      </w:r>
      <w:r w:rsidRPr="00C9343F">
        <w:tab/>
      </w:r>
      <w:r w:rsidRPr="00C9343F">
        <w:fldChar w:fldCharType="begin"/>
      </w:r>
      <w:r w:rsidRPr="00C9343F">
        <w:instrText xml:space="preserve"> PAGEREF _Toc105053520 \h </w:instrText>
      </w:r>
      <w:r w:rsidRPr="00C9343F">
        <w:fldChar w:fldCharType="separate"/>
      </w:r>
      <w:r w:rsidRPr="00C9343F">
        <w:t>14</w:t>
      </w:r>
      <w:r w:rsidRPr="00C9343F">
        <w:fldChar w:fldCharType="end"/>
      </w:r>
    </w:p>
    <w:p w14:paraId="47BDE0E7" w14:textId="288D41BD" w:rsidR="00271952" w:rsidRPr="00C9343F" w:rsidRDefault="00271952">
      <w:pPr>
        <w:pStyle w:val="TOC5"/>
        <w:rPr>
          <w:rFonts w:asciiTheme="minorHAnsi" w:eastAsiaTheme="minorEastAsia" w:hAnsiTheme="minorHAnsi" w:cstheme="minorBidi"/>
          <w:sz w:val="22"/>
          <w:szCs w:val="22"/>
        </w:rPr>
      </w:pPr>
      <w:r w:rsidRPr="00C9343F">
        <w:t>1.3.45A  Nonworking period</w:t>
      </w:r>
      <w:r w:rsidRPr="00C9343F">
        <w:tab/>
      </w:r>
      <w:r w:rsidRPr="00C9343F">
        <w:fldChar w:fldCharType="begin"/>
      </w:r>
      <w:r w:rsidRPr="00C9343F">
        <w:instrText xml:space="preserve"> PAGEREF _Toc105053521 \h </w:instrText>
      </w:r>
      <w:r w:rsidRPr="00C9343F">
        <w:fldChar w:fldCharType="separate"/>
      </w:r>
      <w:r w:rsidRPr="00C9343F">
        <w:t>15</w:t>
      </w:r>
      <w:r w:rsidRPr="00C9343F">
        <w:fldChar w:fldCharType="end"/>
      </w:r>
    </w:p>
    <w:p w14:paraId="5A69D3DC" w14:textId="20A58CDF" w:rsidR="00271952" w:rsidRPr="00C9343F" w:rsidRDefault="00271952">
      <w:pPr>
        <w:pStyle w:val="TOC5"/>
        <w:rPr>
          <w:rFonts w:asciiTheme="minorHAnsi" w:eastAsiaTheme="minorEastAsia" w:hAnsiTheme="minorHAnsi" w:cstheme="minorBidi"/>
          <w:sz w:val="22"/>
          <w:szCs w:val="22"/>
        </w:rPr>
      </w:pPr>
      <w:r w:rsidRPr="00C9343F">
        <w:t>1.3.46    Normal departmental liability</w:t>
      </w:r>
      <w:r w:rsidRPr="00C9343F">
        <w:tab/>
      </w:r>
      <w:r w:rsidRPr="00C9343F">
        <w:fldChar w:fldCharType="begin"/>
      </w:r>
      <w:r w:rsidRPr="00C9343F">
        <w:instrText xml:space="preserve"> PAGEREF _Toc105053522 \h </w:instrText>
      </w:r>
      <w:r w:rsidRPr="00C9343F">
        <w:fldChar w:fldCharType="separate"/>
      </w:r>
      <w:r w:rsidRPr="00C9343F">
        <w:t>15</w:t>
      </w:r>
      <w:r w:rsidRPr="00C9343F">
        <w:fldChar w:fldCharType="end"/>
      </w:r>
    </w:p>
    <w:p w14:paraId="28F185E0" w14:textId="576A697C" w:rsidR="00271952" w:rsidRPr="00C9343F" w:rsidRDefault="00271952">
      <w:pPr>
        <w:pStyle w:val="TOC5"/>
        <w:rPr>
          <w:rFonts w:asciiTheme="minorHAnsi" w:eastAsiaTheme="minorEastAsia" w:hAnsiTheme="minorHAnsi" w:cstheme="minorBidi"/>
          <w:sz w:val="22"/>
          <w:szCs w:val="22"/>
        </w:rPr>
      </w:pPr>
      <w:r w:rsidRPr="00C9343F">
        <w:t>1.3.47    Normal working hours</w:t>
      </w:r>
      <w:r w:rsidRPr="00C9343F">
        <w:tab/>
      </w:r>
      <w:r w:rsidRPr="00C9343F">
        <w:fldChar w:fldCharType="begin"/>
      </w:r>
      <w:r w:rsidRPr="00C9343F">
        <w:instrText xml:space="preserve"> PAGEREF _Toc105053523 \h </w:instrText>
      </w:r>
      <w:r w:rsidRPr="00C9343F">
        <w:fldChar w:fldCharType="separate"/>
      </w:r>
      <w:r w:rsidRPr="00C9343F">
        <w:t>15</w:t>
      </w:r>
      <w:r w:rsidRPr="00C9343F">
        <w:fldChar w:fldCharType="end"/>
      </w:r>
    </w:p>
    <w:p w14:paraId="54A9ABE1" w14:textId="4CB65155" w:rsidR="00271952" w:rsidRPr="00C9343F" w:rsidRDefault="00271952">
      <w:pPr>
        <w:pStyle w:val="TOC5"/>
        <w:rPr>
          <w:rFonts w:asciiTheme="minorHAnsi" w:eastAsiaTheme="minorEastAsia" w:hAnsiTheme="minorHAnsi" w:cstheme="minorBidi"/>
          <w:sz w:val="22"/>
          <w:szCs w:val="22"/>
        </w:rPr>
      </w:pPr>
      <w:r w:rsidRPr="00C9343F">
        <w:t>1.3.48    Operational area</w:t>
      </w:r>
      <w:r w:rsidRPr="00C9343F">
        <w:tab/>
      </w:r>
      <w:r w:rsidRPr="00C9343F">
        <w:fldChar w:fldCharType="begin"/>
      </w:r>
      <w:r w:rsidRPr="00C9343F">
        <w:instrText xml:space="preserve"> PAGEREF _Toc105053524 \h </w:instrText>
      </w:r>
      <w:r w:rsidRPr="00C9343F">
        <w:fldChar w:fldCharType="separate"/>
      </w:r>
      <w:r w:rsidRPr="00C9343F">
        <w:t>15</w:t>
      </w:r>
      <w:r w:rsidRPr="00C9343F">
        <w:fldChar w:fldCharType="end"/>
      </w:r>
    </w:p>
    <w:p w14:paraId="0C33B7D9" w14:textId="7158F464" w:rsidR="00271952" w:rsidRPr="00C9343F" w:rsidRDefault="00271952">
      <w:pPr>
        <w:pStyle w:val="TOC5"/>
        <w:rPr>
          <w:rFonts w:asciiTheme="minorHAnsi" w:eastAsiaTheme="minorEastAsia" w:hAnsiTheme="minorHAnsi" w:cstheme="minorBidi"/>
          <w:sz w:val="22"/>
          <w:szCs w:val="22"/>
        </w:rPr>
      </w:pPr>
      <w:r w:rsidRPr="00C9343F">
        <w:t>1.3.49    Own home</w:t>
      </w:r>
      <w:r w:rsidRPr="00C9343F">
        <w:tab/>
      </w:r>
      <w:r w:rsidRPr="00C9343F">
        <w:fldChar w:fldCharType="begin"/>
      </w:r>
      <w:r w:rsidRPr="00C9343F">
        <w:instrText xml:space="preserve"> PAGEREF _Toc105053525 \h </w:instrText>
      </w:r>
      <w:r w:rsidRPr="00C9343F">
        <w:fldChar w:fldCharType="separate"/>
      </w:r>
      <w:r w:rsidRPr="00C9343F">
        <w:t>15</w:t>
      </w:r>
      <w:r w:rsidRPr="00C9343F">
        <w:fldChar w:fldCharType="end"/>
      </w:r>
    </w:p>
    <w:p w14:paraId="3720C2E5" w14:textId="58C62EC7" w:rsidR="00271952" w:rsidRPr="00C9343F" w:rsidRDefault="00271952">
      <w:pPr>
        <w:pStyle w:val="TOC5"/>
        <w:rPr>
          <w:rFonts w:asciiTheme="minorHAnsi" w:eastAsiaTheme="minorEastAsia" w:hAnsiTheme="minorHAnsi" w:cstheme="minorBidi"/>
          <w:sz w:val="22"/>
          <w:szCs w:val="22"/>
        </w:rPr>
      </w:pPr>
      <w:r w:rsidRPr="00C9343F">
        <w:t>1.3.50    Paid leave</w:t>
      </w:r>
      <w:r w:rsidRPr="00C9343F">
        <w:tab/>
      </w:r>
      <w:r w:rsidRPr="00C9343F">
        <w:fldChar w:fldCharType="begin"/>
      </w:r>
      <w:r w:rsidRPr="00C9343F">
        <w:instrText xml:space="preserve"> PAGEREF _Toc105053526 \h </w:instrText>
      </w:r>
      <w:r w:rsidRPr="00C9343F">
        <w:fldChar w:fldCharType="separate"/>
      </w:r>
      <w:r w:rsidRPr="00C9343F">
        <w:t>15</w:t>
      </w:r>
      <w:r w:rsidRPr="00C9343F">
        <w:fldChar w:fldCharType="end"/>
      </w:r>
    </w:p>
    <w:p w14:paraId="7EE19478" w14:textId="61563251" w:rsidR="00271952" w:rsidRPr="00C9343F" w:rsidRDefault="00271952">
      <w:pPr>
        <w:pStyle w:val="TOC5"/>
        <w:rPr>
          <w:rFonts w:asciiTheme="minorHAnsi" w:eastAsiaTheme="minorEastAsia" w:hAnsiTheme="minorHAnsi" w:cstheme="minorBidi"/>
          <w:sz w:val="22"/>
          <w:szCs w:val="22"/>
        </w:rPr>
      </w:pPr>
      <w:r w:rsidRPr="00C9343F">
        <w:t>1.3.50AA  Pattern of Reserve service</w:t>
      </w:r>
      <w:r w:rsidRPr="00C9343F">
        <w:tab/>
      </w:r>
      <w:r w:rsidRPr="00C9343F">
        <w:fldChar w:fldCharType="begin"/>
      </w:r>
      <w:r w:rsidRPr="00C9343F">
        <w:instrText xml:space="preserve"> PAGEREF _Toc105053527 \h </w:instrText>
      </w:r>
      <w:r w:rsidRPr="00C9343F">
        <w:fldChar w:fldCharType="separate"/>
      </w:r>
      <w:r w:rsidRPr="00C9343F">
        <w:t>15</w:t>
      </w:r>
      <w:r w:rsidRPr="00C9343F">
        <w:fldChar w:fldCharType="end"/>
      </w:r>
    </w:p>
    <w:p w14:paraId="2F09B229" w14:textId="198499E5" w:rsidR="00271952" w:rsidRPr="00C9343F" w:rsidRDefault="00271952">
      <w:pPr>
        <w:pStyle w:val="TOC5"/>
        <w:rPr>
          <w:rFonts w:asciiTheme="minorHAnsi" w:eastAsiaTheme="minorEastAsia" w:hAnsiTheme="minorHAnsi" w:cstheme="minorBidi"/>
          <w:sz w:val="22"/>
          <w:szCs w:val="22"/>
        </w:rPr>
      </w:pPr>
      <w:r w:rsidRPr="00C9343F">
        <w:t>1.3.50A  Pattern of service</w:t>
      </w:r>
      <w:r w:rsidRPr="00C9343F">
        <w:tab/>
      </w:r>
      <w:r w:rsidRPr="00C9343F">
        <w:fldChar w:fldCharType="begin"/>
      </w:r>
      <w:r w:rsidRPr="00C9343F">
        <w:instrText xml:space="preserve"> PAGEREF _Toc105053528 \h </w:instrText>
      </w:r>
      <w:r w:rsidRPr="00C9343F">
        <w:fldChar w:fldCharType="separate"/>
      </w:r>
      <w:r w:rsidRPr="00C9343F">
        <w:t>15</w:t>
      </w:r>
      <w:r w:rsidRPr="00C9343F">
        <w:fldChar w:fldCharType="end"/>
      </w:r>
    </w:p>
    <w:p w14:paraId="22049E65" w14:textId="234A6D3B" w:rsidR="00271952" w:rsidRPr="00C9343F" w:rsidRDefault="00271952">
      <w:pPr>
        <w:pStyle w:val="TOC5"/>
        <w:rPr>
          <w:rFonts w:asciiTheme="minorHAnsi" w:eastAsiaTheme="minorEastAsia" w:hAnsiTheme="minorHAnsi" w:cstheme="minorBidi"/>
          <w:sz w:val="22"/>
          <w:szCs w:val="22"/>
        </w:rPr>
      </w:pPr>
      <w:r w:rsidRPr="00C9343F">
        <w:t>1.3.51    Pay grade</w:t>
      </w:r>
      <w:r w:rsidRPr="00C9343F">
        <w:tab/>
      </w:r>
      <w:r w:rsidRPr="00C9343F">
        <w:fldChar w:fldCharType="begin"/>
      </w:r>
      <w:r w:rsidRPr="00C9343F">
        <w:instrText xml:space="preserve"> PAGEREF _Toc105053529 \h </w:instrText>
      </w:r>
      <w:r w:rsidRPr="00C9343F">
        <w:fldChar w:fldCharType="separate"/>
      </w:r>
      <w:r w:rsidRPr="00C9343F">
        <w:t>15</w:t>
      </w:r>
      <w:r w:rsidRPr="00C9343F">
        <w:fldChar w:fldCharType="end"/>
      </w:r>
    </w:p>
    <w:p w14:paraId="263D57D1" w14:textId="179B312B" w:rsidR="00271952" w:rsidRPr="00C9343F" w:rsidRDefault="00271952">
      <w:pPr>
        <w:pStyle w:val="TOC5"/>
        <w:rPr>
          <w:rFonts w:asciiTheme="minorHAnsi" w:eastAsiaTheme="minorEastAsia" w:hAnsiTheme="minorHAnsi" w:cstheme="minorBidi"/>
          <w:sz w:val="22"/>
          <w:szCs w:val="22"/>
        </w:rPr>
      </w:pPr>
      <w:r w:rsidRPr="00C9343F">
        <w:lastRenderedPageBreak/>
        <w:t>1.3.52    Pay to the Commonwealth</w:t>
      </w:r>
      <w:r w:rsidRPr="00C9343F">
        <w:tab/>
      </w:r>
      <w:r w:rsidRPr="00C9343F">
        <w:fldChar w:fldCharType="begin"/>
      </w:r>
      <w:r w:rsidRPr="00C9343F">
        <w:instrText xml:space="preserve"> PAGEREF _Toc105053530 \h </w:instrText>
      </w:r>
      <w:r w:rsidRPr="00C9343F">
        <w:fldChar w:fldCharType="separate"/>
      </w:r>
      <w:r w:rsidRPr="00C9343F">
        <w:t>16</w:t>
      </w:r>
      <w:r w:rsidRPr="00C9343F">
        <w:fldChar w:fldCharType="end"/>
      </w:r>
    </w:p>
    <w:p w14:paraId="1A5EBF93" w14:textId="470A552D" w:rsidR="00271952" w:rsidRPr="00C9343F" w:rsidRDefault="00271952">
      <w:pPr>
        <w:pStyle w:val="TOC5"/>
        <w:rPr>
          <w:rFonts w:asciiTheme="minorHAnsi" w:eastAsiaTheme="minorEastAsia" w:hAnsiTheme="minorHAnsi" w:cstheme="minorBidi"/>
          <w:sz w:val="22"/>
          <w:szCs w:val="22"/>
        </w:rPr>
      </w:pPr>
      <w:r w:rsidRPr="00C9343F">
        <w:t>1.3.53    Period of prospective service</w:t>
      </w:r>
      <w:r w:rsidRPr="00C9343F">
        <w:tab/>
      </w:r>
      <w:r w:rsidRPr="00C9343F">
        <w:fldChar w:fldCharType="begin"/>
      </w:r>
      <w:r w:rsidRPr="00C9343F">
        <w:instrText xml:space="preserve"> PAGEREF _Toc105053531 \h </w:instrText>
      </w:r>
      <w:r w:rsidRPr="00C9343F">
        <w:fldChar w:fldCharType="separate"/>
      </w:r>
      <w:r w:rsidRPr="00C9343F">
        <w:t>16</w:t>
      </w:r>
      <w:r w:rsidRPr="00C9343F">
        <w:fldChar w:fldCharType="end"/>
      </w:r>
    </w:p>
    <w:p w14:paraId="3FE82B4A" w14:textId="417C3B05" w:rsidR="00271952" w:rsidRPr="00C9343F" w:rsidRDefault="00271952">
      <w:pPr>
        <w:pStyle w:val="TOC5"/>
        <w:rPr>
          <w:rFonts w:asciiTheme="minorHAnsi" w:eastAsiaTheme="minorEastAsia" w:hAnsiTheme="minorHAnsi" w:cstheme="minorBidi"/>
          <w:sz w:val="22"/>
          <w:szCs w:val="22"/>
        </w:rPr>
      </w:pPr>
      <w:r w:rsidRPr="00C9343F">
        <w:t>1.3.54    Personal location</w:t>
      </w:r>
      <w:r w:rsidRPr="00C9343F">
        <w:tab/>
      </w:r>
      <w:r w:rsidRPr="00C9343F">
        <w:fldChar w:fldCharType="begin"/>
      </w:r>
      <w:r w:rsidRPr="00C9343F">
        <w:instrText xml:space="preserve"> PAGEREF _Toc105053532 \h </w:instrText>
      </w:r>
      <w:r w:rsidRPr="00C9343F">
        <w:fldChar w:fldCharType="separate"/>
      </w:r>
      <w:r w:rsidRPr="00C9343F">
        <w:t>16</w:t>
      </w:r>
      <w:r w:rsidRPr="00C9343F">
        <w:fldChar w:fldCharType="end"/>
      </w:r>
    </w:p>
    <w:p w14:paraId="48D19B43" w14:textId="5FA16FF2" w:rsidR="00271952" w:rsidRPr="00C9343F" w:rsidRDefault="00271952">
      <w:pPr>
        <w:pStyle w:val="TOC5"/>
        <w:rPr>
          <w:rFonts w:asciiTheme="minorHAnsi" w:eastAsiaTheme="minorEastAsia" w:hAnsiTheme="minorHAnsi" w:cstheme="minorBidi"/>
          <w:sz w:val="22"/>
          <w:szCs w:val="22"/>
        </w:rPr>
      </w:pPr>
      <w:r w:rsidRPr="00C9343F">
        <w:t>1.3.55    Posting location – within Australia</w:t>
      </w:r>
      <w:r w:rsidRPr="00C9343F">
        <w:tab/>
      </w:r>
      <w:r w:rsidRPr="00C9343F">
        <w:fldChar w:fldCharType="begin"/>
      </w:r>
      <w:r w:rsidRPr="00C9343F">
        <w:instrText xml:space="preserve"> PAGEREF _Toc105053533 \h </w:instrText>
      </w:r>
      <w:r w:rsidRPr="00C9343F">
        <w:fldChar w:fldCharType="separate"/>
      </w:r>
      <w:r w:rsidRPr="00C9343F">
        <w:t>16</w:t>
      </w:r>
      <w:r w:rsidRPr="00C9343F">
        <w:fldChar w:fldCharType="end"/>
      </w:r>
    </w:p>
    <w:p w14:paraId="2C3E29F7" w14:textId="1355503A" w:rsidR="00271952" w:rsidRPr="00C9343F" w:rsidRDefault="00271952">
      <w:pPr>
        <w:pStyle w:val="TOC5"/>
        <w:rPr>
          <w:rFonts w:asciiTheme="minorHAnsi" w:eastAsiaTheme="minorEastAsia" w:hAnsiTheme="minorHAnsi" w:cstheme="minorBidi"/>
          <w:sz w:val="22"/>
          <w:szCs w:val="22"/>
        </w:rPr>
      </w:pPr>
      <w:r w:rsidRPr="00C9343F">
        <w:t>1.3.57    Posting period – within Australia</w:t>
      </w:r>
      <w:r w:rsidRPr="00C9343F">
        <w:tab/>
      </w:r>
      <w:r w:rsidRPr="00C9343F">
        <w:fldChar w:fldCharType="begin"/>
      </w:r>
      <w:r w:rsidRPr="00C9343F">
        <w:instrText xml:space="preserve"> PAGEREF _Toc105053534 \h </w:instrText>
      </w:r>
      <w:r w:rsidRPr="00C9343F">
        <w:fldChar w:fldCharType="separate"/>
      </w:r>
      <w:r w:rsidRPr="00C9343F">
        <w:t>17</w:t>
      </w:r>
      <w:r w:rsidRPr="00C9343F">
        <w:fldChar w:fldCharType="end"/>
      </w:r>
    </w:p>
    <w:p w14:paraId="67DCAD4A" w14:textId="435E07D2" w:rsidR="00271952" w:rsidRPr="00C9343F" w:rsidRDefault="00271952">
      <w:pPr>
        <w:pStyle w:val="TOC5"/>
        <w:rPr>
          <w:rFonts w:asciiTheme="minorHAnsi" w:eastAsiaTheme="minorEastAsia" w:hAnsiTheme="minorHAnsi" w:cstheme="minorBidi"/>
          <w:sz w:val="22"/>
          <w:szCs w:val="22"/>
        </w:rPr>
      </w:pPr>
      <w:r w:rsidRPr="00C9343F">
        <w:t>1.3.59    Private Proficient</w:t>
      </w:r>
      <w:r w:rsidRPr="00C9343F">
        <w:tab/>
      </w:r>
      <w:r w:rsidRPr="00C9343F">
        <w:fldChar w:fldCharType="begin"/>
      </w:r>
      <w:r w:rsidRPr="00C9343F">
        <w:instrText xml:space="preserve"> PAGEREF _Toc105053535 \h </w:instrText>
      </w:r>
      <w:r w:rsidRPr="00C9343F">
        <w:fldChar w:fldCharType="separate"/>
      </w:r>
      <w:r w:rsidRPr="00C9343F">
        <w:t>18</w:t>
      </w:r>
      <w:r w:rsidRPr="00C9343F">
        <w:fldChar w:fldCharType="end"/>
      </w:r>
    </w:p>
    <w:p w14:paraId="17F0D171" w14:textId="1BE5C09B" w:rsidR="00271952" w:rsidRPr="00C9343F" w:rsidRDefault="00271952">
      <w:pPr>
        <w:pStyle w:val="TOC5"/>
        <w:rPr>
          <w:rFonts w:asciiTheme="minorHAnsi" w:eastAsiaTheme="minorEastAsia" w:hAnsiTheme="minorHAnsi" w:cstheme="minorBidi"/>
          <w:sz w:val="22"/>
          <w:szCs w:val="22"/>
        </w:rPr>
      </w:pPr>
      <w:r w:rsidRPr="00C9343F">
        <w:t>1.3.60    Private vehicle</w:t>
      </w:r>
      <w:r w:rsidRPr="00C9343F">
        <w:tab/>
      </w:r>
      <w:r w:rsidRPr="00C9343F">
        <w:fldChar w:fldCharType="begin"/>
      </w:r>
      <w:r w:rsidRPr="00C9343F">
        <w:instrText xml:space="preserve"> PAGEREF _Toc105053536 \h </w:instrText>
      </w:r>
      <w:r w:rsidRPr="00C9343F">
        <w:fldChar w:fldCharType="separate"/>
      </w:r>
      <w:r w:rsidRPr="00C9343F">
        <w:t>18</w:t>
      </w:r>
      <w:r w:rsidRPr="00C9343F">
        <w:fldChar w:fldCharType="end"/>
      </w:r>
    </w:p>
    <w:p w14:paraId="0C9FA290" w14:textId="3D1F96B6" w:rsidR="00271952" w:rsidRPr="00C9343F" w:rsidRDefault="00271952">
      <w:pPr>
        <w:pStyle w:val="TOC5"/>
        <w:rPr>
          <w:rFonts w:asciiTheme="minorHAnsi" w:eastAsiaTheme="minorEastAsia" w:hAnsiTheme="minorHAnsi" w:cstheme="minorBidi"/>
          <w:sz w:val="22"/>
          <w:szCs w:val="22"/>
        </w:rPr>
      </w:pPr>
      <w:r w:rsidRPr="00C9343F">
        <w:t>1.3.61    Public holiday</w:t>
      </w:r>
      <w:r w:rsidRPr="00C9343F">
        <w:tab/>
      </w:r>
      <w:r w:rsidRPr="00C9343F">
        <w:fldChar w:fldCharType="begin"/>
      </w:r>
      <w:r w:rsidRPr="00C9343F">
        <w:instrText xml:space="preserve"> PAGEREF _Toc105053537 \h </w:instrText>
      </w:r>
      <w:r w:rsidRPr="00C9343F">
        <w:fldChar w:fldCharType="separate"/>
      </w:r>
      <w:r w:rsidRPr="00C9343F">
        <w:t>18</w:t>
      </w:r>
      <w:r w:rsidRPr="00C9343F">
        <w:fldChar w:fldCharType="end"/>
      </w:r>
    </w:p>
    <w:p w14:paraId="632C1EDD" w14:textId="52758842" w:rsidR="00271952" w:rsidRPr="00C9343F" w:rsidRDefault="00271952">
      <w:pPr>
        <w:pStyle w:val="TOC5"/>
        <w:rPr>
          <w:rFonts w:asciiTheme="minorHAnsi" w:eastAsiaTheme="minorEastAsia" w:hAnsiTheme="minorHAnsi" w:cstheme="minorBidi"/>
          <w:sz w:val="22"/>
          <w:szCs w:val="22"/>
        </w:rPr>
      </w:pPr>
      <w:r w:rsidRPr="00C9343F">
        <w:t>1.3.62    Public transport</w:t>
      </w:r>
      <w:r w:rsidRPr="00C9343F">
        <w:tab/>
      </w:r>
      <w:r w:rsidRPr="00C9343F">
        <w:fldChar w:fldCharType="begin"/>
      </w:r>
      <w:r w:rsidRPr="00C9343F">
        <w:instrText xml:space="preserve"> PAGEREF _Toc105053538 \h </w:instrText>
      </w:r>
      <w:r w:rsidRPr="00C9343F">
        <w:fldChar w:fldCharType="separate"/>
      </w:r>
      <w:r w:rsidRPr="00C9343F">
        <w:t>19</w:t>
      </w:r>
      <w:r w:rsidRPr="00C9343F">
        <w:fldChar w:fldCharType="end"/>
      </w:r>
    </w:p>
    <w:p w14:paraId="2EA8F91A" w14:textId="0DD22F15" w:rsidR="00271952" w:rsidRPr="00C9343F" w:rsidRDefault="00271952">
      <w:pPr>
        <w:pStyle w:val="TOC5"/>
        <w:rPr>
          <w:rFonts w:asciiTheme="minorHAnsi" w:eastAsiaTheme="minorEastAsia" w:hAnsiTheme="minorHAnsi" w:cstheme="minorBidi"/>
          <w:sz w:val="22"/>
          <w:szCs w:val="22"/>
        </w:rPr>
      </w:pPr>
      <w:r w:rsidRPr="00C9343F">
        <w:t>1.3.62A    Quarantine residence</w:t>
      </w:r>
      <w:r w:rsidRPr="00C9343F">
        <w:tab/>
      </w:r>
      <w:r w:rsidRPr="00C9343F">
        <w:fldChar w:fldCharType="begin"/>
      </w:r>
      <w:r w:rsidRPr="00C9343F">
        <w:instrText xml:space="preserve"> PAGEREF _Toc105053539 \h </w:instrText>
      </w:r>
      <w:r w:rsidRPr="00C9343F">
        <w:fldChar w:fldCharType="separate"/>
      </w:r>
      <w:r w:rsidRPr="00C9343F">
        <w:t>19</w:t>
      </w:r>
      <w:r w:rsidRPr="00C9343F">
        <w:fldChar w:fldCharType="end"/>
      </w:r>
    </w:p>
    <w:p w14:paraId="236914BE" w14:textId="30C0B8FF" w:rsidR="00271952" w:rsidRPr="00C9343F" w:rsidRDefault="00271952">
      <w:pPr>
        <w:pStyle w:val="TOC5"/>
        <w:rPr>
          <w:rFonts w:asciiTheme="minorHAnsi" w:eastAsiaTheme="minorEastAsia" w:hAnsiTheme="minorHAnsi" w:cstheme="minorBidi"/>
          <w:sz w:val="22"/>
          <w:szCs w:val="22"/>
        </w:rPr>
      </w:pPr>
      <w:r w:rsidRPr="00C9343F">
        <w:t>1.3.63    Rank</w:t>
      </w:r>
      <w:r w:rsidRPr="00C9343F">
        <w:tab/>
      </w:r>
      <w:r w:rsidRPr="00C9343F">
        <w:fldChar w:fldCharType="begin"/>
      </w:r>
      <w:r w:rsidRPr="00C9343F">
        <w:instrText xml:space="preserve"> PAGEREF _Toc105053540 \h </w:instrText>
      </w:r>
      <w:r w:rsidRPr="00C9343F">
        <w:fldChar w:fldCharType="separate"/>
      </w:r>
      <w:r w:rsidRPr="00C9343F">
        <w:t>19</w:t>
      </w:r>
      <w:r w:rsidRPr="00C9343F">
        <w:fldChar w:fldCharType="end"/>
      </w:r>
    </w:p>
    <w:p w14:paraId="114D7CA4" w14:textId="641F555F" w:rsidR="00271952" w:rsidRPr="00C9343F" w:rsidRDefault="00271952">
      <w:pPr>
        <w:pStyle w:val="TOC5"/>
        <w:rPr>
          <w:rFonts w:asciiTheme="minorHAnsi" w:eastAsiaTheme="minorEastAsia" w:hAnsiTheme="minorHAnsi" w:cstheme="minorBidi"/>
          <w:sz w:val="22"/>
          <w:szCs w:val="22"/>
        </w:rPr>
      </w:pPr>
      <w:r w:rsidRPr="00C9343F">
        <w:t>1.3.64    Refitting port</w:t>
      </w:r>
      <w:r w:rsidRPr="00C9343F">
        <w:tab/>
      </w:r>
      <w:r w:rsidRPr="00C9343F">
        <w:fldChar w:fldCharType="begin"/>
      </w:r>
      <w:r w:rsidRPr="00C9343F">
        <w:instrText xml:space="preserve"> PAGEREF _Toc105053541 \h </w:instrText>
      </w:r>
      <w:r w:rsidRPr="00C9343F">
        <w:fldChar w:fldCharType="separate"/>
      </w:r>
      <w:r w:rsidRPr="00C9343F">
        <w:t>19</w:t>
      </w:r>
      <w:r w:rsidRPr="00C9343F">
        <w:fldChar w:fldCharType="end"/>
      </w:r>
    </w:p>
    <w:p w14:paraId="64B35B38" w14:textId="379AB7F8" w:rsidR="00271952" w:rsidRPr="00C9343F" w:rsidRDefault="00271952">
      <w:pPr>
        <w:pStyle w:val="TOC5"/>
        <w:rPr>
          <w:rFonts w:asciiTheme="minorHAnsi" w:eastAsiaTheme="minorEastAsia" w:hAnsiTheme="minorHAnsi" w:cstheme="minorBidi"/>
          <w:sz w:val="22"/>
          <w:szCs w:val="22"/>
        </w:rPr>
      </w:pPr>
      <w:r w:rsidRPr="00C9343F">
        <w:t>1.3.65    Remote location</w:t>
      </w:r>
      <w:r w:rsidRPr="00C9343F">
        <w:tab/>
      </w:r>
      <w:r w:rsidRPr="00C9343F">
        <w:fldChar w:fldCharType="begin"/>
      </w:r>
      <w:r w:rsidRPr="00C9343F">
        <w:instrText xml:space="preserve"> PAGEREF _Toc105053542 \h </w:instrText>
      </w:r>
      <w:r w:rsidRPr="00C9343F">
        <w:fldChar w:fldCharType="separate"/>
      </w:r>
      <w:r w:rsidRPr="00C9343F">
        <w:t>19</w:t>
      </w:r>
      <w:r w:rsidRPr="00C9343F">
        <w:fldChar w:fldCharType="end"/>
      </w:r>
    </w:p>
    <w:p w14:paraId="4FBF63A9" w14:textId="03368D98" w:rsidR="00271952" w:rsidRPr="00C9343F" w:rsidRDefault="00271952">
      <w:pPr>
        <w:pStyle w:val="TOC5"/>
        <w:rPr>
          <w:rFonts w:asciiTheme="minorHAnsi" w:eastAsiaTheme="minorEastAsia" w:hAnsiTheme="minorHAnsi" w:cstheme="minorBidi"/>
          <w:sz w:val="22"/>
          <w:szCs w:val="22"/>
        </w:rPr>
      </w:pPr>
      <w:r w:rsidRPr="00C9343F">
        <w:t>1.3.66    Removal</w:t>
      </w:r>
      <w:r w:rsidRPr="00C9343F">
        <w:tab/>
      </w:r>
      <w:r w:rsidRPr="00C9343F">
        <w:fldChar w:fldCharType="begin"/>
      </w:r>
      <w:r w:rsidRPr="00C9343F">
        <w:instrText xml:space="preserve"> PAGEREF _Toc105053543 \h </w:instrText>
      </w:r>
      <w:r w:rsidRPr="00C9343F">
        <w:fldChar w:fldCharType="separate"/>
      </w:r>
      <w:r w:rsidRPr="00C9343F">
        <w:t>19</w:t>
      </w:r>
      <w:r w:rsidRPr="00C9343F">
        <w:fldChar w:fldCharType="end"/>
      </w:r>
    </w:p>
    <w:p w14:paraId="7C5F2EF2" w14:textId="052C7BE8" w:rsidR="00271952" w:rsidRPr="00C9343F" w:rsidRDefault="00271952">
      <w:pPr>
        <w:pStyle w:val="TOC5"/>
        <w:rPr>
          <w:rFonts w:asciiTheme="minorHAnsi" w:eastAsiaTheme="minorEastAsia" w:hAnsiTheme="minorHAnsi" w:cstheme="minorBidi"/>
          <w:sz w:val="22"/>
          <w:szCs w:val="22"/>
        </w:rPr>
      </w:pPr>
      <w:r w:rsidRPr="00C9343F">
        <w:rPr>
          <w:bCs/>
        </w:rPr>
        <w:t>1.3.66A    Required to isolate</w:t>
      </w:r>
      <w:r w:rsidRPr="00C9343F">
        <w:tab/>
      </w:r>
      <w:r w:rsidRPr="00C9343F">
        <w:fldChar w:fldCharType="begin"/>
      </w:r>
      <w:r w:rsidRPr="00C9343F">
        <w:instrText xml:space="preserve"> PAGEREF _Toc105053544 \h </w:instrText>
      </w:r>
      <w:r w:rsidRPr="00C9343F">
        <w:fldChar w:fldCharType="separate"/>
      </w:r>
      <w:r w:rsidRPr="00C9343F">
        <w:t>19</w:t>
      </w:r>
      <w:r w:rsidRPr="00C9343F">
        <w:fldChar w:fldCharType="end"/>
      </w:r>
    </w:p>
    <w:p w14:paraId="6A98F0F9" w14:textId="0CAFBFB5" w:rsidR="00271952" w:rsidRPr="00C9343F" w:rsidRDefault="00271952">
      <w:pPr>
        <w:pStyle w:val="TOC5"/>
        <w:rPr>
          <w:rFonts w:asciiTheme="minorHAnsi" w:eastAsiaTheme="minorEastAsia" w:hAnsiTheme="minorHAnsi" w:cstheme="minorBidi"/>
          <w:sz w:val="22"/>
          <w:szCs w:val="22"/>
        </w:rPr>
      </w:pPr>
      <w:r w:rsidRPr="00C9343F">
        <w:t>1.3.67    Reserve service</w:t>
      </w:r>
      <w:r w:rsidRPr="00C9343F">
        <w:tab/>
      </w:r>
      <w:r w:rsidRPr="00C9343F">
        <w:fldChar w:fldCharType="begin"/>
      </w:r>
      <w:r w:rsidRPr="00C9343F">
        <w:instrText xml:space="preserve"> PAGEREF _Toc105053545 \h </w:instrText>
      </w:r>
      <w:r w:rsidRPr="00C9343F">
        <w:fldChar w:fldCharType="separate"/>
      </w:r>
      <w:r w:rsidRPr="00C9343F">
        <w:t>20</w:t>
      </w:r>
      <w:r w:rsidRPr="00C9343F">
        <w:fldChar w:fldCharType="end"/>
      </w:r>
    </w:p>
    <w:p w14:paraId="0861726D" w14:textId="6412D7BB" w:rsidR="00271952" w:rsidRPr="00C9343F" w:rsidRDefault="00271952">
      <w:pPr>
        <w:pStyle w:val="TOC5"/>
        <w:rPr>
          <w:rFonts w:asciiTheme="minorHAnsi" w:eastAsiaTheme="minorEastAsia" w:hAnsiTheme="minorHAnsi" w:cstheme="minorBidi"/>
          <w:sz w:val="22"/>
          <w:szCs w:val="22"/>
        </w:rPr>
      </w:pPr>
      <w:r w:rsidRPr="00C9343F">
        <w:t>1.3.68    Restricted destination</w:t>
      </w:r>
      <w:r w:rsidRPr="00C9343F">
        <w:tab/>
      </w:r>
      <w:r w:rsidRPr="00C9343F">
        <w:fldChar w:fldCharType="begin"/>
      </w:r>
      <w:r w:rsidRPr="00C9343F">
        <w:instrText xml:space="preserve"> PAGEREF _Toc105053546 \h </w:instrText>
      </w:r>
      <w:r w:rsidRPr="00C9343F">
        <w:fldChar w:fldCharType="separate"/>
      </w:r>
      <w:r w:rsidRPr="00C9343F">
        <w:t>20</w:t>
      </w:r>
      <w:r w:rsidRPr="00C9343F">
        <w:fldChar w:fldCharType="end"/>
      </w:r>
    </w:p>
    <w:p w14:paraId="1D6F7DA4" w14:textId="4E5748F6" w:rsidR="00271952" w:rsidRPr="00C9343F" w:rsidRDefault="00271952">
      <w:pPr>
        <w:pStyle w:val="TOC5"/>
        <w:rPr>
          <w:rFonts w:asciiTheme="minorHAnsi" w:eastAsiaTheme="minorEastAsia" w:hAnsiTheme="minorHAnsi" w:cstheme="minorBidi"/>
          <w:sz w:val="22"/>
          <w:szCs w:val="22"/>
        </w:rPr>
      </w:pPr>
      <w:r w:rsidRPr="00C9343F">
        <w:t>1.3.68A    Retirement age</w:t>
      </w:r>
      <w:r w:rsidRPr="00C9343F">
        <w:tab/>
      </w:r>
      <w:r w:rsidRPr="00C9343F">
        <w:fldChar w:fldCharType="begin"/>
      </w:r>
      <w:r w:rsidRPr="00C9343F">
        <w:instrText xml:space="preserve"> PAGEREF _Toc105053547 \h </w:instrText>
      </w:r>
      <w:r w:rsidRPr="00C9343F">
        <w:fldChar w:fldCharType="separate"/>
      </w:r>
      <w:r w:rsidRPr="00C9343F">
        <w:t>20</w:t>
      </w:r>
      <w:r w:rsidRPr="00C9343F">
        <w:fldChar w:fldCharType="end"/>
      </w:r>
    </w:p>
    <w:p w14:paraId="5933BF57" w14:textId="0A69FC7C" w:rsidR="00271952" w:rsidRPr="00C9343F" w:rsidRDefault="00271952">
      <w:pPr>
        <w:pStyle w:val="TOC5"/>
        <w:rPr>
          <w:rFonts w:asciiTheme="minorHAnsi" w:eastAsiaTheme="minorEastAsia" w:hAnsiTheme="minorHAnsi" w:cstheme="minorBidi"/>
          <w:sz w:val="22"/>
          <w:szCs w:val="22"/>
        </w:rPr>
      </w:pPr>
      <w:r w:rsidRPr="00C9343F">
        <w:t>1.3.69    Return of service obligation</w:t>
      </w:r>
      <w:r w:rsidRPr="00C9343F">
        <w:tab/>
      </w:r>
      <w:r w:rsidRPr="00C9343F">
        <w:fldChar w:fldCharType="begin"/>
      </w:r>
      <w:r w:rsidRPr="00C9343F">
        <w:instrText xml:space="preserve"> PAGEREF _Toc105053548 \h </w:instrText>
      </w:r>
      <w:r w:rsidRPr="00C9343F">
        <w:fldChar w:fldCharType="separate"/>
      </w:r>
      <w:r w:rsidRPr="00C9343F">
        <w:t>20</w:t>
      </w:r>
      <w:r w:rsidRPr="00C9343F">
        <w:fldChar w:fldCharType="end"/>
      </w:r>
    </w:p>
    <w:p w14:paraId="31404060" w14:textId="4DD8110C" w:rsidR="00271952" w:rsidRPr="00C9343F" w:rsidRDefault="00271952">
      <w:pPr>
        <w:pStyle w:val="TOC5"/>
        <w:rPr>
          <w:rFonts w:asciiTheme="minorHAnsi" w:eastAsiaTheme="minorEastAsia" w:hAnsiTheme="minorHAnsi" w:cstheme="minorBidi"/>
          <w:sz w:val="22"/>
          <w:szCs w:val="22"/>
        </w:rPr>
      </w:pPr>
      <w:r w:rsidRPr="00C9343F">
        <w:t>1.3.69A    Salary</w:t>
      </w:r>
      <w:r w:rsidRPr="00C9343F">
        <w:tab/>
      </w:r>
      <w:r w:rsidRPr="00C9343F">
        <w:fldChar w:fldCharType="begin"/>
      </w:r>
      <w:r w:rsidRPr="00C9343F">
        <w:instrText xml:space="preserve"> PAGEREF _Toc105053549 \h </w:instrText>
      </w:r>
      <w:r w:rsidRPr="00C9343F">
        <w:fldChar w:fldCharType="separate"/>
      </w:r>
      <w:r w:rsidRPr="00C9343F">
        <w:t>20</w:t>
      </w:r>
      <w:r w:rsidRPr="00C9343F">
        <w:fldChar w:fldCharType="end"/>
      </w:r>
    </w:p>
    <w:p w14:paraId="08F27F91" w14:textId="143BF6A3" w:rsidR="00271952" w:rsidRPr="00C9343F" w:rsidRDefault="00271952">
      <w:pPr>
        <w:pStyle w:val="TOC5"/>
        <w:rPr>
          <w:rFonts w:asciiTheme="minorHAnsi" w:eastAsiaTheme="minorEastAsia" w:hAnsiTheme="minorHAnsi" w:cstheme="minorBidi"/>
          <w:sz w:val="22"/>
          <w:szCs w:val="22"/>
        </w:rPr>
      </w:pPr>
      <w:r w:rsidRPr="00C9343F">
        <w:t>1.3.70    Seagoing ship</w:t>
      </w:r>
      <w:r w:rsidRPr="00C9343F">
        <w:tab/>
      </w:r>
      <w:r w:rsidRPr="00C9343F">
        <w:fldChar w:fldCharType="begin"/>
      </w:r>
      <w:r w:rsidRPr="00C9343F">
        <w:instrText xml:space="preserve"> PAGEREF _Toc105053550 \h </w:instrText>
      </w:r>
      <w:r w:rsidRPr="00C9343F">
        <w:fldChar w:fldCharType="separate"/>
      </w:r>
      <w:r w:rsidRPr="00C9343F">
        <w:t>20</w:t>
      </w:r>
      <w:r w:rsidRPr="00C9343F">
        <w:fldChar w:fldCharType="end"/>
      </w:r>
    </w:p>
    <w:p w14:paraId="5A14853D" w14:textId="633E764A" w:rsidR="00271952" w:rsidRPr="00C9343F" w:rsidRDefault="00271952">
      <w:pPr>
        <w:pStyle w:val="TOC5"/>
        <w:rPr>
          <w:rFonts w:asciiTheme="minorHAnsi" w:eastAsiaTheme="minorEastAsia" w:hAnsiTheme="minorHAnsi" w:cstheme="minorBidi"/>
          <w:sz w:val="22"/>
          <w:szCs w:val="22"/>
        </w:rPr>
      </w:pPr>
      <w:r w:rsidRPr="00C9343F">
        <w:t>1.3.71    Seagoing submarine</w:t>
      </w:r>
      <w:r w:rsidRPr="00C9343F">
        <w:tab/>
      </w:r>
      <w:r w:rsidRPr="00C9343F">
        <w:fldChar w:fldCharType="begin"/>
      </w:r>
      <w:r w:rsidRPr="00C9343F">
        <w:instrText xml:space="preserve"> PAGEREF _Toc105053551 \h </w:instrText>
      </w:r>
      <w:r w:rsidRPr="00C9343F">
        <w:fldChar w:fldCharType="separate"/>
      </w:r>
      <w:r w:rsidRPr="00C9343F">
        <w:t>20</w:t>
      </w:r>
      <w:r w:rsidRPr="00C9343F">
        <w:fldChar w:fldCharType="end"/>
      </w:r>
    </w:p>
    <w:p w14:paraId="60484B67" w14:textId="16DF5D5B" w:rsidR="00271952" w:rsidRPr="00C9343F" w:rsidRDefault="00271952">
      <w:pPr>
        <w:pStyle w:val="TOC5"/>
        <w:rPr>
          <w:rFonts w:asciiTheme="minorHAnsi" w:eastAsiaTheme="minorEastAsia" w:hAnsiTheme="minorHAnsi" w:cstheme="minorBidi"/>
          <w:sz w:val="22"/>
          <w:szCs w:val="22"/>
        </w:rPr>
      </w:pPr>
      <w:r w:rsidRPr="00C9343F">
        <w:t>1.3.72    Serious illness</w:t>
      </w:r>
      <w:r w:rsidRPr="00C9343F">
        <w:tab/>
      </w:r>
      <w:r w:rsidRPr="00C9343F">
        <w:fldChar w:fldCharType="begin"/>
      </w:r>
      <w:r w:rsidRPr="00C9343F">
        <w:instrText xml:space="preserve"> PAGEREF _Toc105053552 \h </w:instrText>
      </w:r>
      <w:r w:rsidRPr="00C9343F">
        <w:fldChar w:fldCharType="separate"/>
      </w:r>
      <w:r w:rsidRPr="00C9343F">
        <w:t>21</w:t>
      </w:r>
      <w:r w:rsidRPr="00C9343F">
        <w:fldChar w:fldCharType="end"/>
      </w:r>
    </w:p>
    <w:p w14:paraId="50818AE1" w14:textId="155EDBF0" w:rsidR="00271952" w:rsidRPr="00C9343F" w:rsidRDefault="00271952">
      <w:pPr>
        <w:pStyle w:val="TOC5"/>
        <w:rPr>
          <w:rFonts w:asciiTheme="minorHAnsi" w:eastAsiaTheme="minorEastAsia" w:hAnsiTheme="minorHAnsi" w:cstheme="minorBidi"/>
          <w:sz w:val="22"/>
          <w:szCs w:val="22"/>
        </w:rPr>
      </w:pPr>
      <w:r w:rsidRPr="00C9343F">
        <w:t>1.3.73    Service residence</w:t>
      </w:r>
      <w:r w:rsidRPr="00C9343F">
        <w:tab/>
      </w:r>
      <w:r w:rsidRPr="00C9343F">
        <w:fldChar w:fldCharType="begin"/>
      </w:r>
      <w:r w:rsidRPr="00C9343F">
        <w:instrText xml:space="preserve"> PAGEREF _Toc105053553 \h </w:instrText>
      </w:r>
      <w:r w:rsidRPr="00C9343F">
        <w:fldChar w:fldCharType="separate"/>
      </w:r>
      <w:r w:rsidRPr="00C9343F">
        <w:t>21</w:t>
      </w:r>
      <w:r w:rsidRPr="00C9343F">
        <w:fldChar w:fldCharType="end"/>
      </w:r>
    </w:p>
    <w:p w14:paraId="14B9B920" w14:textId="563BADE2" w:rsidR="00271952" w:rsidRPr="00C9343F" w:rsidRDefault="00271952">
      <w:pPr>
        <w:pStyle w:val="TOC5"/>
        <w:rPr>
          <w:rFonts w:asciiTheme="minorHAnsi" w:eastAsiaTheme="minorEastAsia" w:hAnsiTheme="minorHAnsi" w:cstheme="minorBidi"/>
          <w:sz w:val="22"/>
          <w:szCs w:val="22"/>
        </w:rPr>
      </w:pPr>
      <w:r w:rsidRPr="00C9343F">
        <w:t>1.3.73A    Ship’s home port</w:t>
      </w:r>
      <w:r w:rsidRPr="00C9343F">
        <w:tab/>
      </w:r>
      <w:r w:rsidRPr="00C9343F">
        <w:fldChar w:fldCharType="begin"/>
      </w:r>
      <w:r w:rsidRPr="00C9343F">
        <w:instrText xml:space="preserve"> PAGEREF _Toc105053554 \h </w:instrText>
      </w:r>
      <w:r w:rsidRPr="00C9343F">
        <w:fldChar w:fldCharType="separate"/>
      </w:r>
      <w:r w:rsidRPr="00C9343F">
        <w:t>21</w:t>
      </w:r>
      <w:r w:rsidRPr="00C9343F">
        <w:fldChar w:fldCharType="end"/>
      </w:r>
    </w:p>
    <w:p w14:paraId="33FFBCDE" w14:textId="6AA5AD79" w:rsidR="00271952" w:rsidRPr="00C9343F" w:rsidRDefault="00271952">
      <w:pPr>
        <w:pStyle w:val="TOC5"/>
        <w:rPr>
          <w:rFonts w:asciiTheme="minorHAnsi" w:eastAsiaTheme="minorEastAsia" w:hAnsiTheme="minorHAnsi" w:cstheme="minorBidi"/>
          <w:sz w:val="22"/>
          <w:szCs w:val="22"/>
        </w:rPr>
      </w:pPr>
      <w:r w:rsidRPr="00C9343F">
        <w:t>1.3.74    Short-term duty</w:t>
      </w:r>
      <w:r w:rsidRPr="00C9343F">
        <w:tab/>
      </w:r>
      <w:r w:rsidRPr="00C9343F">
        <w:fldChar w:fldCharType="begin"/>
      </w:r>
      <w:r w:rsidRPr="00C9343F">
        <w:instrText xml:space="preserve"> PAGEREF _Toc105053555 \h </w:instrText>
      </w:r>
      <w:r w:rsidRPr="00C9343F">
        <w:fldChar w:fldCharType="separate"/>
      </w:r>
      <w:r w:rsidRPr="00C9343F">
        <w:t>21</w:t>
      </w:r>
      <w:r w:rsidRPr="00C9343F">
        <w:fldChar w:fldCharType="end"/>
      </w:r>
    </w:p>
    <w:p w14:paraId="74FD6BFC" w14:textId="3A0A1FF6" w:rsidR="00271952" w:rsidRPr="00C9343F" w:rsidRDefault="00271952">
      <w:pPr>
        <w:pStyle w:val="TOC5"/>
        <w:rPr>
          <w:rFonts w:asciiTheme="minorHAnsi" w:eastAsiaTheme="minorEastAsia" w:hAnsiTheme="minorHAnsi" w:cstheme="minorBidi"/>
          <w:sz w:val="22"/>
          <w:szCs w:val="22"/>
        </w:rPr>
      </w:pPr>
      <w:r w:rsidRPr="00C9343F">
        <w:t>1.3.75    Trainee</w:t>
      </w:r>
      <w:r w:rsidRPr="00C9343F">
        <w:tab/>
      </w:r>
      <w:r w:rsidRPr="00C9343F">
        <w:fldChar w:fldCharType="begin"/>
      </w:r>
      <w:r w:rsidRPr="00C9343F">
        <w:instrText xml:space="preserve"> PAGEREF _Toc105053556 \h </w:instrText>
      </w:r>
      <w:r w:rsidRPr="00C9343F">
        <w:fldChar w:fldCharType="separate"/>
      </w:r>
      <w:r w:rsidRPr="00C9343F">
        <w:t>21</w:t>
      </w:r>
      <w:r w:rsidRPr="00C9343F">
        <w:fldChar w:fldCharType="end"/>
      </w:r>
    </w:p>
    <w:p w14:paraId="39248C7F" w14:textId="2F7F9267" w:rsidR="00271952" w:rsidRPr="00C9343F" w:rsidRDefault="00271952">
      <w:pPr>
        <w:pStyle w:val="TOC5"/>
        <w:rPr>
          <w:rFonts w:asciiTheme="minorHAnsi" w:eastAsiaTheme="minorEastAsia" w:hAnsiTheme="minorHAnsi" w:cstheme="minorBidi"/>
          <w:sz w:val="22"/>
          <w:szCs w:val="22"/>
        </w:rPr>
      </w:pPr>
      <w:r w:rsidRPr="00C9343F">
        <w:t>1.3.76    Training commitment</w:t>
      </w:r>
      <w:r w:rsidRPr="00C9343F">
        <w:tab/>
      </w:r>
      <w:r w:rsidRPr="00C9343F">
        <w:fldChar w:fldCharType="begin"/>
      </w:r>
      <w:r w:rsidRPr="00C9343F">
        <w:instrText xml:space="preserve"> PAGEREF _Toc105053557 \h </w:instrText>
      </w:r>
      <w:r w:rsidRPr="00C9343F">
        <w:fldChar w:fldCharType="separate"/>
      </w:r>
      <w:r w:rsidRPr="00C9343F">
        <w:t>22</w:t>
      </w:r>
      <w:r w:rsidRPr="00C9343F">
        <w:fldChar w:fldCharType="end"/>
      </w:r>
    </w:p>
    <w:p w14:paraId="4A2EB7FB" w14:textId="1A054D42" w:rsidR="00271952" w:rsidRPr="00C9343F" w:rsidRDefault="00271952">
      <w:pPr>
        <w:pStyle w:val="TOC5"/>
        <w:rPr>
          <w:rFonts w:asciiTheme="minorHAnsi" w:eastAsiaTheme="minorEastAsia" w:hAnsiTheme="minorHAnsi" w:cstheme="minorBidi"/>
          <w:sz w:val="22"/>
          <w:szCs w:val="22"/>
        </w:rPr>
      </w:pPr>
      <w:r w:rsidRPr="00C9343F">
        <w:t>1.3.77    Travel card</w:t>
      </w:r>
      <w:r w:rsidRPr="00C9343F">
        <w:tab/>
      </w:r>
      <w:r w:rsidRPr="00C9343F">
        <w:fldChar w:fldCharType="begin"/>
      </w:r>
      <w:r w:rsidRPr="00C9343F">
        <w:instrText xml:space="preserve"> PAGEREF _Toc105053558 \h </w:instrText>
      </w:r>
      <w:r w:rsidRPr="00C9343F">
        <w:fldChar w:fldCharType="separate"/>
      </w:r>
      <w:r w:rsidRPr="00C9343F">
        <w:t>22</w:t>
      </w:r>
      <w:r w:rsidRPr="00C9343F">
        <w:fldChar w:fldCharType="end"/>
      </w:r>
    </w:p>
    <w:p w14:paraId="7D54FBD6" w14:textId="0EE28CBC" w:rsidR="00271952" w:rsidRPr="00C9343F" w:rsidRDefault="00271952">
      <w:pPr>
        <w:pStyle w:val="TOC5"/>
        <w:rPr>
          <w:rFonts w:asciiTheme="minorHAnsi" w:eastAsiaTheme="minorEastAsia" w:hAnsiTheme="minorHAnsi" w:cstheme="minorBidi"/>
          <w:sz w:val="22"/>
          <w:szCs w:val="22"/>
        </w:rPr>
      </w:pPr>
      <w:r w:rsidRPr="00C9343F">
        <w:t>1.3.77A    Unpaid leave</w:t>
      </w:r>
      <w:r w:rsidRPr="00C9343F">
        <w:tab/>
      </w:r>
      <w:r w:rsidRPr="00C9343F">
        <w:fldChar w:fldCharType="begin"/>
      </w:r>
      <w:r w:rsidRPr="00C9343F">
        <w:instrText xml:space="preserve"> PAGEREF _Toc105053559 \h </w:instrText>
      </w:r>
      <w:r w:rsidRPr="00C9343F">
        <w:fldChar w:fldCharType="separate"/>
      </w:r>
      <w:r w:rsidRPr="00C9343F">
        <w:t>22</w:t>
      </w:r>
      <w:r w:rsidRPr="00C9343F">
        <w:fldChar w:fldCharType="end"/>
      </w:r>
    </w:p>
    <w:p w14:paraId="404E30E9" w14:textId="6604681F" w:rsidR="00271952" w:rsidRPr="00C9343F" w:rsidRDefault="00271952">
      <w:pPr>
        <w:pStyle w:val="TOC5"/>
        <w:rPr>
          <w:rFonts w:asciiTheme="minorHAnsi" w:eastAsiaTheme="minorEastAsia" w:hAnsiTheme="minorHAnsi" w:cstheme="minorBidi"/>
          <w:sz w:val="22"/>
          <w:szCs w:val="22"/>
        </w:rPr>
      </w:pPr>
      <w:r w:rsidRPr="00C9343F">
        <w:t>1.3.78    Very serious illness</w:t>
      </w:r>
      <w:r w:rsidRPr="00C9343F">
        <w:tab/>
      </w:r>
      <w:r w:rsidRPr="00C9343F">
        <w:fldChar w:fldCharType="begin"/>
      </w:r>
      <w:r w:rsidRPr="00C9343F">
        <w:instrText xml:space="preserve"> PAGEREF _Toc105053560 \h </w:instrText>
      </w:r>
      <w:r w:rsidRPr="00C9343F">
        <w:fldChar w:fldCharType="separate"/>
      </w:r>
      <w:r w:rsidRPr="00C9343F">
        <w:t>22</w:t>
      </w:r>
      <w:r w:rsidRPr="00C9343F">
        <w:fldChar w:fldCharType="end"/>
      </w:r>
    </w:p>
    <w:p w14:paraId="12B73157" w14:textId="72C1510C" w:rsidR="00271952" w:rsidRPr="00C9343F" w:rsidRDefault="00271952">
      <w:pPr>
        <w:pStyle w:val="TOC5"/>
        <w:rPr>
          <w:rFonts w:asciiTheme="minorHAnsi" w:eastAsiaTheme="minorEastAsia" w:hAnsiTheme="minorHAnsi" w:cstheme="minorBidi"/>
          <w:sz w:val="22"/>
          <w:szCs w:val="22"/>
        </w:rPr>
      </w:pPr>
      <w:r w:rsidRPr="00C9343F">
        <w:t>1.3.79    Warlike service</w:t>
      </w:r>
      <w:r w:rsidRPr="00C9343F">
        <w:tab/>
      </w:r>
      <w:r w:rsidRPr="00C9343F">
        <w:fldChar w:fldCharType="begin"/>
      </w:r>
      <w:r w:rsidRPr="00C9343F">
        <w:instrText xml:space="preserve"> PAGEREF _Toc105053561 \h </w:instrText>
      </w:r>
      <w:r w:rsidRPr="00C9343F">
        <w:fldChar w:fldCharType="separate"/>
      </w:r>
      <w:r w:rsidRPr="00C9343F">
        <w:t>22</w:t>
      </w:r>
      <w:r w:rsidRPr="00C9343F">
        <w:fldChar w:fldCharType="end"/>
      </w:r>
    </w:p>
    <w:p w14:paraId="18EC9027" w14:textId="3E389D78" w:rsidR="00271952" w:rsidRPr="00C9343F" w:rsidRDefault="00271952">
      <w:pPr>
        <w:pStyle w:val="TOC4"/>
        <w:rPr>
          <w:rFonts w:asciiTheme="minorHAnsi" w:eastAsiaTheme="minorEastAsia" w:hAnsiTheme="minorHAnsi" w:cstheme="minorBidi"/>
          <w:sz w:val="22"/>
          <w:szCs w:val="22"/>
        </w:rPr>
      </w:pPr>
      <w:r w:rsidRPr="00C9343F">
        <w:t>Division 2: Dependants and categorisation</w:t>
      </w:r>
      <w:r w:rsidRPr="00C9343F">
        <w:tab/>
      </w:r>
      <w:r w:rsidRPr="00C9343F">
        <w:fldChar w:fldCharType="begin"/>
      </w:r>
      <w:r w:rsidRPr="00C9343F">
        <w:instrText xml:space="preserve"> PAGEREF _Toc105053562 \h </w:instrText>
      </w:r>
      <w:r w:rsidRPr="00C9343F">
        <w:fldChar w:fldCharType="separate"/>
      </w:r>
      <w:r w:rsidRPr="00C9343F">
        <w:t>23</w:t>
      </w:r>
      <w:r w:rsidRPr="00C9343F">
        <w:fldChar w:fldCharType="end"/>
      </w:r>
    </w:p>
    <w:p w14:paraId="4662EED3" w14:textId="33DEB8CC" w:rsidR="00271952" w:rsidRPr="00C9343F" w:rsidRDefault="00271952">
      <w:pPr>
        <w:pStyle w:val="TOC5"/>
        <w:rPr>
          <w:rFonts w:asciiTheme="minorHAnsi" w:eastAsiaTheme="minorEastAsia" w:hAnsiTheme="minorHAnsi" w:cstheme="minorBidi"/>
          <w:sz w:val="22"/>
          <w:szCs w:val="22"/>
        </w:rPr>
      </w:pPr>
      <w:r w:rsidRPr="00C9343F">
        <w:t>Subdivision 1: Household member definitions</w:t>
      </w:r>
      <w:r w:rsidRPr="00C9343F">
        <w:tab/>
      </w:r>
      <w:r w:rsidRPr="00C9343F">
        <w:fldChar w:fldCharType="begin"/>
      </w:r>
      <w:r w:rsidRPr="00C9343F">
        <w:instrText xml:space="preserve"> PAGEREF _Toc105053563 \h </w:instrText>
      </w:r>
      <w:r w:rsidRPr="00C9343F">
        <w:fldChar w:fldCharType="separate"/>
      </w:r>
      <w:r w:rsidRPr="00C9343F">
        <w:t>23</w:t>
      </w:r>
      <w:r w:rsidRPr="00C9343F">
        <w:fldChar w:fldCharType="end"/>
      </w:r>
    </w:p>
    <w:p w14:paraId="5C70F981" w14:textId="20F34B70" w:rsidR="00271952" w:rsidRPr="00C9343F" w:rsidRDefault="00271952">
      <w:pPr>
        <w:pStyle w:val="TOC5"/>
        <w:rPr>
          <w:rFonts w:asciiTheme="minorHAnsi" w:eastAsiaTheme="minorEastAsia" w:hAnsiTheme="minorHAnsi" w:cstheme="minorBidi"/>
          <w:sz w:val="22"/>
          <w:szCs w:val="22"/>
        </w:rPr>
      </w:pPr>
      <w:r w:rsidRPr="00C9343F">
        <w:t>1.3.80    Purpose</w:t>
      </w:r>
      <w:r w:rsidRPr="00C9343F">
        <w:tab/>
      </w:r>
      <w:r w:rsidRPr="00C9343F">
        <w:fldChar w:fldCharType="begin"/>
      </w:r>
      <w:r w:rsidRPr="00C9343F">
        <w:instrText xml:space="preserve"> PAGEREF _Toc105053564 \h </w:instrText>
      </w:r>
      <w:r w:rsidRPr="00C9343F">
        <w:fldChar w:fldCharType="separate"/>
      </w:r>
      <w:r w:rsidRPr="00C9343F">
        <w:t>23</w:t>
      </w:r>
      <w:r w:rsidRPr="00C9343F">
        <w:fldChar w:fldCharType="end"/>
      </w:r>
    </w:p>
    <w:p w14:paraId="7520B66E" w14:textId="4E187724" w:rsidR="00271952" w:rsidRPr="00C9343F" w:rsidRDefault="00271952">
      <w:pPr>
        <w:pStyle w:val="TOC5"/>
        <w:rPr>
          <w:rFonts w:asciiTheme="minorHAnsi" w:eastAsiaTheme="minorEastAsia" w:hAnsiTheme="minorHAnsi" w:cstheme="minorBidi"/>
          <w:sz w:val="22"/>
          <w:szCs w:val="22"/>
        </w:rPr>
      </w:pPr>
      <w:r w:rsidRPr="00C9343F">
        <w:t>1.3.81    Child</w:t>
      </w:r>
      <w:r w:rsidRPr="00C9343F">
        <w:tab/>
      </w:r>
      <w:r w:rsidRPr="00C9343F">
        <w:fldChar w:fldCharType="begin"/>
      </w:r>
      <w:r w:rsidRPr="00C9343F">
        <w:instrText xml:space="preserve"> PAGEREF _Toc105053565 \h </w:instrText>
      </w:r>
      <w:r w:rsidRPr="00C9343F">
        <w:fldChar w:fldCharType="separate"/>
      </w:r>
      <w:r w:rsidRPr="00C9343F">
        <w:t>24</w:t>
      </w:r>
      <w:r w:rsidRPr="00C9343F">
        <w:fldChar w:fldCharType="end"/>
      </w:r>
    </w:p>
    <w:p w14:paraId="0303A1BC" w14:textId="0CECDDC2" w:rsidR="00271952" w:rsidRPr="00C9343F" w:rsidRDefault="00271952">
      <w:pPr>
        <w:pStyle w:val="TOC5"/>
        <w:rPr>
          <w:rFonts w:asciiTheme="minorHAnsi" w:eastAsiaTheme="minorEastAsia" w:hAnsiTheme="minorHAnsi" w:cstheme="minorBidi"/>
          <w:sz w:val="22"/>
          <w:szCs w:val="22"/>
        </w:rPr>
      </w:pPr>
      <w:r w:rsidRPr="00C9343F">
        <w:rPr>
          <w:rFonts w:cs="Arial"/>
          <w:color w:val="000000"/>
        </w:rPr>
        <w:lastRenderedPageBreak/>
        <w:t>1.3.81A    Close relative</w:t>
      </w:r>
      <w:r w:rsidRPr="00C9343F">
        <w:tab/>
      </w:r>
      <w:r w:rsidRPr="00C9343F">
        <w:fldChar w:fldCharType="begin"/>
      </w:r>
      <w:r w:rsidRPr="00C9343F">
        <w:instrText xml:space="preserve"> PAGEREF _Toc105053566 \h </w:instrText>
      </w:r>
      <w:r w:rsidRPr="00C9343F">
        <w:fldChar w:fldCharType="separate"/>
      </w:r>
      <w:r w:rsidRPr="00C9343F">
        <w:t>25</w:t>
      </w:r>
      <w:r w:rsidRPr="00C9343F">
        <w:fldChar w:fldCharType="end"/>
      </w:r>
    </w:p>
    <w:p w14:paraId="3D6061DE" w14:textId="3A833B5C" w:rsidR="00271952" w:rsidRPr="00C9343F" w:rsidRDefault="00271952">
      <w:pPr>
        <w:pStyle w:val="TOC5"/>
        <w:rPr>
          <w:rFonts w:asciiTheme="minorHAnsi" w:eastAsiaTheme="minorEastAsia" w:hAnsiTheme="minorHAnsi" w:cstheme="minorBidi"/>
          <w:sz w:val="22"/>
          <w:szCs w:val="22"/>
        </w:rPr>
      </w:pPr>
      <w:r w:rsidRPr="00C9343F">
        <w:t>1.3.82    Couple</w:t>
      </w:r>
      <w:r w:rsidRPr="00C9343F">
        <w:tab/>
      </w:r>
      <w:r w:rsidRPr="00C9343F">
        <w:fldChar w:fldCharType="begin"/>
      </w:r>
      <w:r w:rsidRPr="00C9343F">
        <w:instrText xml:space="preserve"> PAGEREF _Toc105053567 \h </w:instrText>
      </w:r>
      <w:r w:rsidRPr="00C9343F">
        <w:fldChar w:fldCharType="separate"/>
      </w:r>
      <w:r w:rsidRPr="00C9343F">
        <w:t>25</w:t>
      </w:r>
      <w:r w:rsidRPr="00C9343F">
        <w:fldChar w:fldCharType="end"/>
      </w:r>
    </w:p>
    <w:p w14:paraId="359760D0" w14:textId="04D79CD7" w:rsidR="00271952" w:rsidRPr="00C9343F" w:rsidRDefault="00271952">
      <w:pPr>
        <w:pStyle w:val="TOC5"/>
        <w:rPr>
          <w:rFonts w:asciiTheme="minorHAnsi" w:eastAsiaTheme="minorEastAsia" w:hAnsiTheme="minorHAnsi" w:cstheme="minorBidi"/>
          <w:sz w:val="22"/>
          <w:szCs w:val="22"/>
        </w:rPr>
      </w:pPr>
      <w:r w:rsidRPr="00C9343F">
        <w:t>1.3.83    Dependants</w:t>
      </w:r>
      <w:r w:rsidRPr="00C9343F">
        <w:tab/>
      </w:r>
      <w:r w:rsidRPr="00C9343F">
        <w:fldChar w:fldCharType="begin"/>
      </w:r>
      <w:r w:rsidRPr="00C9343F">
        <w:instrText xml:space="preserve"> PAGEREF _Toc105053568 \h </w:instrText>
      </w:r>
      <w:r w:rsidRPr="00C9343F">
        <w:fldChar w:fldCharType="separate"/>
      </w:r>
      <w:r w:rsidRPr="00C9343F">
        <w:t>25</w:t>
      </w:r>
      <w:r w:rsidRPr="00C9343F">
        <w:fldChar w:fldCharType="end"/>
      </w:r>
    </w:p>
    <w:p w14:paraId="0B69C9E8" w14:textId="0811889C" w:rsidR="00271952" w:rsidRPr="00C9343F" w:rsidRDefault="00271952">
      <w:pPr>
        <w:pStyle w:val="TOC5"/>
        <w:rPr>
          <w:rFonts w:asciiTheme="minorHAnsi" w:eastAsiaTheme="minorEastAsia" w:hAnsiTheme="minorHAnsi" w:cstheme="minorBidi"/>
          <w:sz w:val="22"/>
          <w:szCs w:val="22"/>
        </w:rPr>
      </w:pPr>
      <w:r w:rsidRPr="00C9343F">
        <w:t>1.3.84    Dependant with special needs</w:t>
      </w:r>
      <w:r w:rsidRPr="00C9343F">
        <w:tab/>
      </w:r>
      <w:r w:rsidRPr="00C9343F">
        <w:fldChar w:fldCharType="begin"/>
      </w:r>
      <w:r w:rsidRPr="00C9343F">
        <w:instrText xml:space="preserve"> PAGEREF _Toc105053569 \h </w:instrText>
      </w:r>
      <w:r w:rsidRPr="00C9343F">
        <w:fldChar w:fldCharType="separate"/>
      </w:r>
      <w:r w:rsidRPr="00C9343F">
        <w:t>26</w:t>
      </w:r>
      <w:r w:rsidRPr="00C9343F">
        <w:fldChar w:fldCharType="end"/>
      </w:r>
    </w:p>
    <w:p w14:paraId="7473818D" w14:textId="5B6375BA" w:rsidR="00271952" w:rsidRPr="00C9343F" w:rsidRDefault="00271952">
      <w:pPr>
        <w:pStyle w:val="TOC5"/>
        <w:rPr>
          <w:rFonts w:asciiTheme="minorHAnsi" w:eastAsiaTheme="minorEastAsia" w:hAnsiTheme="minorHAnsi" w:cstheme="minorBidi"/>
          <w:sz w:val="22"/>
          <w:szCs w:val="22"/>
        </w:rPr>
      </w:pPr>
      <w:r w:rsidRPr="00C9343F">
        <w:t>1.3.85    Dependants recognised by CDF</w:t>
      </w:r>
      <w:r w:rsidRPr="00C9343F">
        <w:tab/>
      </w:r>
      <w:r w:rsidRPr="00C9343F">
        <w:fldChar w:fldCharType="begin"/>
      </w:r>
      <w:r w:rsidRPr="00C9343F">
        <w:instrText xml:space="preserve"> PAGEREF _Toc105053570 \h </w:instrText>
      </w:r>
      <w:r w:rsidRPr="00C9343F">
        <w:fldChar w:fldCharType="separate"/>
      </w:r>
      <w:r w:rsidRPr="00C9343F">
        <w:t>28</w:t>
      </w:r>
      <w:r w:rsidRPr="00C9343F">
        <w:fldChar w:fldCharType="end"/>
      </w:r>
    </w:p>
    <w:p w14:paraId="0E3DE7E0" w14:textId="0AC34082" w:rsidR="00271952" w:rsidRPr="00C9343F" w:rsidRDefault="00271952">
      <w:pPr>
        <w:pStyle w:val="TOC5"/>
        <w:rPr>
          <w:rFonts w:asciiTheme="minorHAnsi" w:eastAsiaTheme="minorEastAsia" w:hAnsiTheme="minorHAnsi" w:cstheme="minorBidi"/>
          <w:sz w:val="22"/>
          <w:szCs w:val="22"/>
        </w:rPr>
      </w:pPr>
      <w:r w:rsidRPr="00C9343F">
        <w:t>1.3.86    Non-Service spouse and non-Service partner</w:t>
      </w:r>
      <w:r w:rsidRPr="00C9343F">
        <w:tab/>
      </w:r>
      <w:r w:rsidRPr="00C9343F">
        <w:fldChar w:fldCharType="begin"/>
      </w:r>
      <w:r w:rsidRPr="00C9343F">
        <w:instrText xml:space="preserve"> PAGEREF _Toc105053571 \h </w:instrText>
      </w:r>
      <w:r w:rsidRPr="00C9343F">
        <w:fldChar w:fldCharType="separate"/>
      </w:r>
      <w:r w:rsidRPr="00C9343F">
        <w:t>30</w:t>
      </w:r>
      <w:r w:rsidRPr="00C9343F">
        <w:fldChar w:fldCharType="end"/>
      </w:r>
    </w:p>
    <w:p w14:paraId="77F53458" w14:textId="560A12A3" w:rsidR="00271952" w:rsidRPr="00C9343F" w:rsidRDefault="00271952">
      <w:pPr>
        <w:pStyle w:val="TOC5"/>
        <w:rPr>
          <w:rFonts w:asciiTheme="minorHAnsi" w:eastAsiaTheme="minorEastAsia" w:hAnsiTheme="minorHAnsi" w:cstheme="minorBidi"/>
          <w:sz w:val="22"/>
          <w:szCs w:val="22"/>
        </w:rPr>
      </w:pPr>
      <w:r w:rsidRPr="00C9343F">
        <w:t>1.3.87    Normally lives with</w:t>
      </w:r>
      <w:r w:rsidRPr="00C9343F">
        <w:tab/>
      </w:r>
      <w:r w:rsidRPr="00C9343F">
        <w:fldChar w:fldCharType="begin"/>
      </w:r>
      <w:r w:rsidRPr="00C9343F">
        <w:instrText xml:space="preserve"> PAGEREF _Toc105053572 \h </w:instrText>
      </w:r>
      <w:r w:rsidRPr="00C9343F">
        <w:fldChar w:fldCharType="separate"/>
      </w:r>
      <w:r w:rsidRPr="00C9343F">
        <w:t>30</w:t>
      </w:r>
      <w:r w:rsidRPr="00C9343F">
        <w:fldChar w:fldCharType="end"/>
      </w:r>
    </w:p>
    <w:p w14:paraId="14E6081C" w14:textId="243B62D1" w:rsidR="00271952" w:rsidRPr="00C9343F" w:rsidRDefault="00271952">
      <w:pPr>
        <w:pStyle w:val="TOC5"/>
        <w:rPr>
          <w:rFonts w:asciiTheme="minorHAnsi" w:eastAsiaTheme="minorEastAsia" w:hAnsiTheme="minorHAnsi" w:cstheme="minorBidi"/>
          <w:sz w:val="22"/>
          <w:szCs w:val="22"/>
        </w:rPr>
      </w:pPr>
      <w:r w:rsidRPr="00C9343F">
        <w:t>1.3.88    Partner</w:t>
      </w:r>
      <w:r w:rsidRPr="00C9343F">
        <w:tab/>
      </w:r>
      <w:r w:rsidRPr="00C9343F">
        <w:fldChar w:fldCharType="begin"/>
      </w:r>
      <w:r w:rsidRPr="00C9343F">
        <w:instrText xml:space="preserve"> PAGEREF _Toc105053573 \h </w:instrText>
      </w:r>
      <w:r w:rsidRPr="00C9343F">
        <w:fldChar w:fldCharType="separate"/>
      </w:r>
      <w:r w:rsidRPr="00C9343F">
        <w:t>31</w:t>
      </w:r>
      <w:r w:rsidRPr="00C9343F">
        <w:fldChar w:fldCharType="end"/>
      </w:r>
    </w:p>
    <w:p w14:paraId="57D1E2A0" w14:textId="6BD2FE7A" w:rsidR="00271952" w:rsidRPr="00C9343F" w:rsidRDefault="00271952">
      <w:pPr>
        <w:pStyle w:val="TOC5"/>
        <w:rPr>
          <w:rFonts w:asciiTheme="minorHAnsi" w:eastAsiaTheme="minorEastAsia" w:hAnsiTheme="minorHAnsi" w:cstheme="minorBidi"/>
          <w:sz w:val="22"/>
          <w:szCs w:val="22"/>
        </w:rPr>
      </w:pPr>
      <w:r w:rsidRPr="00C9343F">
        <w:t>1.3.89    Partner – de facto</w:t>
      </w:r>
      <w:r w:rsidRPr="00C9343F">
        <w:tab/>
      </w:r>
      <w:r w:rsidRPr="00C9343F">
        <w:fldChar w:fldCharType="begin"/>
      </w:r>
      <w:r w:rsidRPr="00C9343F">
        <w:instrText xml:space="preserve"> PAGEREF _Toc105053574 \h </w:instrText>
      </w:r>
      <w:r w:rsidRPr="00C9343F">
        <w:fldChar w:fldCharType="separate"/>
      </w:r>
      <w:r w:rsidRPr="00C9343F">
        <w:t>31</w:t>
      </w:r>
      <w:r w:rsidRPr="00C9343F">
        <w:fldChar w:fldCharType="end"/>
      </w:r>
    </w:p>
    <w:p w14:paraId="29F006C4" w14:textId="632CA863" w:rsidR="00271952" w:rsidRPr="00C9343F" w:rsidRDefault="00271952">
      <w:pPr>
        <w:pStyle w:val="TOC5"/>
        <w:rPr>
          <w:rFonts w:asciiTheme="minorHAnsi" w:eastAsiaTheme="minorEastAsia" w:hAnsiTheme="minorHAnsi" w:cstheme="minorBidi"/>
          <w:sz w:val="22"/>
          <w:szCs w:val="22"/>
        </w:rPr>
      </w:pPr>
      <w:r w:rsidRPr="00C9343F">
        <w:t>1.3.90    Partner – registered de facto</w:t>
      </w:r>
      <w:r w:rsidRPr="00C9343F">
        <w:tab/>
      </w:r>
      <w:r w:rsidRPr="00C9343F">
        <w:fldChar w:fldCharType="begin"/>
      </w:r>
      <w:r w:rsidRPr="00C9343F">
        <w:instrText xml:space="preserve"> PAGEREF _Toc105053575 \h </w:instrText>
      </w:r>
      <w:r w:rsidRPr="00C9343F">
        <w:fldChar w:fldCharType="separate"/>
      </w:r>
      <w:r w:rsidRPr="00C9343F">
        <w:t>33</w:t>
      </w:r>
      <w:r w:rsidRPr="00C9343F">
        <w:fldChar w:fldCharType="end"/>
      </w:r>
    </w:p>
    <w:p w14:paraId="78406398" w14:textId="6189A6C7" w:rsidR="00271952" w:rsidRPr="00C9343F" w:rsidRDefault="00271952">
      <w:pPr>
        <w:pStyle w:val="TOC5"/>
        <w:rPr>
          <w:rFonts w:asciiTheme="minorHAnsi" w:eastAsiaTheme="minorEastAsia" w:hAnsiTheme="minorHAnsi" w:cstheme="minorBidi"/>
          <w:sz w:val="22"/>
          <w:szCs w:val="22"/>
        </w:rPr>
      </w:pPr>
      <w:r w:rsidRPr="00C9343F">
        <w:t>1.3.91    Primary emergency contact</w:t>
      </w:r>
      <w:r w:rsidRPr="00C9343F">
        <w:tab/>
      </w:r>
      <w:r w:rsidRPr="00C9343F">
        <w:fldChar w:fldCharType="begin"/>
      </w:r>
      <w:r w:rsidRPr="00C9343F">
        <w:instrText xml:space="preserve"> PAGEREF _Toc105053576 \h </w:instrText>
      </w:r>
      <w:r w:rsidRPr="00C9343F">
        <w:fldChar w:fldCharType="separate"/>
      </w:r>
      <w:r w:rsidRPr="00C9343F">
        <w:t>33</w:t>
      </w:r>
      <w:r w:rsidRPr="00C9343F">
        <w:fldChar w:fldCharType="end"/>
      </w:r>
    </w:p>
    <w:p w14:paraId="5939A89E" w14:textId="647DA661" w:rsidR="00271952" w:rsidRPr="00C9343F" w:rsidRDefault="00271952">
      <w:pPr>
        <w:pStyle w:val="TOC5"/>
        <w:rPr>
          <w:rFonts w:asciiTheme="minorHAnsi" w:eastAsiaTheme="minorEastAsia" w:hAnsiTheme="minorHAnsi" w:cstheme="minorBidi"/>
          <w:sz w:val="22"/>
          <w:szCs w:val="22"/>
        </w:rPr>
      </w:pPr>
      <w:r w:rsidRPr="00C9343F">
        <w:t>1.3.92    Spouse</w:t>
      </w:r>
      <w:r w:rsidRPr="00C9343F">
        <w:tab/>
      </w:r>
      <w:r w:rsidRPr="00C9343F">
        <w:fldChar w:fldCharType="begin"/>
      </w:r>
      <w:r w:rsidRPr="00C9343F">
        <w:instrText xml:space="preserve"> PAGEREF _Toc105053577 \h </w:instrText>
      </w:r>
      <w:r w:rsidRPr="00C9343F">
        <w:fldChar w:fldCharType="separate"/>
      </w:r>
      <w:r w:rsidRPr="00C9343F">
        <w:t>33</w:t>
      </w:r>
      <w:r w:rsidRPr="00C9343F">
        <w:fldChar w:fldCharType="end"/>
      </w:r>
    </w:p>
    <w:p w14:paraId="14068C8B" w14:textId="3B24BA0C" w:rsidR="00271952" w:rsidRPr="00C9343F" w:rsidRDefault="00271952">
      <w:pPr>
        <w:pStyle w:val="TOC5"/>
        <w:rPr>
          <w:rFonts w:asciiTheme="minorHAnsi" w:eastAsiaTheme="minorEastAsia" w:hAnsiTheme="minorHAnsi" w:cstheme="minorBidi"/>
          <w:sz w:val="22"/>
          <w:szCs w:val="22"/>
        </w:rPr>
      </w:pPr>
      <w:r w:rsidRPr="00C9343F">
        <w:t>Subdivision 2: Categorisation of a member for benefit purposes</w:t>
      </w:r>
      <w:r w:rsidRPr="00C9343F">
        <w:tab/>
      </w:r>
      <w:r w:rsidRPr="00C9343F">
        <w:fldChar w:fldCharType="begin"/>
      </w:r>
      <w:r w:rsidRPr="00C9343F">
        <w:instrText xml:space="preserve"> PAGEREF _Toc105053578 \h </w:instrText>
      </w:r>
      <w:r w:rsidRPr="00C9343F">
        <w:fldChar w:fldCharType="separate"/>
      </w:r>
      <w:r w:rsidRPr="00C9343F">
        <w:t>34</w:t>
      </w:r>
      <w:r w:rsidRPr="00C9343F">
        <w:fldChar w:fldCharType="end"/>
      </w:r>
    </w:p>
    <w:p w14:paraId="5A4A6D7D" w14:textId="402AF923" w:rsidR="00271952" w:rsidRPr="00C9343F" w:rsidRDefault="00271952">
      <w:pPr>
        <w:pStyle w:val="TOC5"/>
        <w:rPr>
          <w:rFonts w:asciiTheme="minorHAnsi" w:eastAsiaTheme="minorEastAsia" w:hAnsiTheme="minorHAnsi" w:cstheme="minorBidi"/>
          <w:sz w:val="22"/>
          <w:szCs w:val="22"/>
        </w:rPr>
      </w:pPr>
      <w:r w:rsidRPr="00C9343F">
        <w:t>1.3.93    Applying for Defence-provided benefits</w:t>
      </w:r>
      <w:r w:rsidRPr="00C9343F">
        <w:tab/>
      </w:r>
      <w:r w:rsidRPr="00C9343F">
        <w:fldChar w:fldCharType="begin"/>
      </w:r>
      <w:r w:rsidRPr="00C9343F">
        <w:instrText xml:space="preserve"> PAGEREF _Toc105053579 \h </w:instrText>
      </w:r>
      <w:r w:rsidRPr="00C9343F">
        <w:fldChar w:fldCharType="separate"/>
      </w:r>
      <w:r w:rsidRPr="00C9343F">
        <w:t>34</w:t>
      </w:r>
      <w:r w:rsidRPr="00C9343F">
        <w:fldChar w:fldCharType="end"/>
      </w:r>
    </w:p>
    <w:p w14:paraId="745728B4" w14:textId="4C640E4F" w:rsidR="00271952" w:rsidRPr="00C9343F" w:rsidRDefault="00271952">
      <w:pPr>
        <w:pStyle w:val="TOC5"/>
        <w:rPr>
          <w:rFonts w:asciiTheme="minorHAnsi" w:eastAsiaTheme="minorEastAsia" w:hAnsiTheme="minorHAnsi" w:cstheme="minorBidi"/>
          <w:sz w:val="22"/>
          <w:szCs w:val="22"/>
        </w:rPr>
      </w:pPr>
      <w:r w:rsidRPr="00C9343F">
        <w:t>1.3.94    Member without dependants</w:t>
      </w:r>
      <w:r w:rsidRPr="00C9343F">
        <w:tab/>
      </w:r>
      <w:r w:rsidRPr="00C9343F">
        <w:fldChar w:fldCharType="begin"/>
      </w:r>
      <w:r w:rsidRPr="00C9343F">
        <w:instrText xml:space="preserve"> PAGEREF _Toc105053580 \h </w:instrText>
      </w:r>
      <w:r w:rsidRPr="00C9343F">
        <w:fldChar w:fldCharType="separate"/>
      </w:r>
      <w:r w:rsidRPr="00C9343F">
        <w:t>35</w:t>
      </w:r>
      <w:r w:rsidRPr="00C9343F">
        <w:fldChar w:fldCharType="end"/>
      </w:r>
    </w:p>
    <w:p w14:paraId="4EC1687E" w14:textId="1F7C0EDF" w:rsidR="00271952" w:rsidRPr="00C9343F" w:rsidRDefault="00271952">
      <w:pPr>
        <w:pStyle w:val="TOC5"/>
        <w:rPr>
          <w:rFonts w:asciiTheme="minorHAnsi" w:eastAsiaTheme="minorEastAsia" w:hAnsiTheme="minorHAnsi" w:cstheme="minorBidi"/>
          <w:sz w:val="22"/>
          <w:szCs w:val="22"/>
        </w:rPr>
      </w:pPr>
      <w:r w:rsidRPr="00C9343F">
        <w:t>1.3.95    Member with dependants</w:t>
      </w:r>
      <w:r w:rsidRPr="00C9343F">
        <w:tab/>
      </w:r>
      <w:r w:rsidRPr="00C9343F">
        <w:fldChar w:fldCharType="begin"/>
      </w:r>
      <w:r w:rsidRPr="00C9343F">
        <w:instrText xml:space="preserve"> PAGEREF _Toc105053581 \h </w:instrText>
      </w:r>
      <w:r w:rsidRPr="00C9343F">
        <w:fldChar w:fldCharType="separate"/>
      </w:r>
      <w:r w:rsidRPr="00C9343F">
        <w:t>35</w:t>
      </w:r>
      <w:r w:rsidRPr="00C9343F">
        <w:fldChar w:fldCharType="end"/>
      </w:r>
    </w:p>
    <w:p w14:paraId="6CD28136" w14:textId="18F1A331" w:rsidR="00271952" w:rsidRPr="00C9343F" w:rsidRDefault="00271952">
      <w:pPr>
        <w:pStyle w:val="TOC5"/>
        <w:rPr>
          <w:rFonts w:asciiTheme="minorHAnsi" w:eastAsiaTheme="minorEastAsia" w:hAnsiTheme="minorHAnsi" w:cstheme="minorBidi"/>
          <w:sz w:val="22"/>
          <w:szCs w:val="22"/>
        </w:rPr>
      </w:pPr>
      <w:r w:rsidRPr="00C9343F">
        <w:t>1.3.96    Member with dependants (unaccompanied)</w:t>
      </w:r>
      <w:r w:rsidRPr="00C9343F">
        <w:tab/>
      </w:r>
      <w:r w:rsidRPr="00C9343F">
        <w:fldChar w:fldCharType="begin"/>
      </w:r>
      <w:r w:rsidRPr="00C9343F">
        <w:instrText xml:space="preserve"> PAGEREF _Toc105053582 \h </w:instrText>
      </w:r>
      <w:r w:rsidRPr="00C9343F">
        <w:fldChar w:fldCharType="separate"/>
      </w:r>
      <w:r w:rsidRPr="00C9343F">
        <w:t>35</w:t>
      </w:r>
      <w:r w:rsidRPr="00C9343F">
        <w:fldChar w:fldCharType="end"/>
      </w:r>
    </w:p>
    <w:p w14:paraId="62B3F3D8" w14:textId="73AC805D" w:rsidR="00271952" w:rsidRPr="00C9343F" w:rsidRDefault="00271952">
      <w:pPr>
        <w:pStyle w:val="TOC3"/>
        <w:rPr>
          <w:rFonts w:asciiTheme="minorHAnsi" w:eastAsiaTheme="minorEastAsia" w:hAnsiTheme="minorHAnsi" w:cstheme="minorBidi"/>
          <w:b w:val="0"/>
          <w:sz w:val="22"/>
          <w:szCs w:val="22"/>
        </w:rPr>
      </w:pPr>
      <w:r w:rsidRPr="00C9343F">
        <w:t>Part 4: Equivalent rank and classifications</w:t>
      </w:r>
      <w:r w:rsidRPr="00C9343F">
        <w:tab/>
      </w:r>
      <w:r w:rsidRPr="00C9343F">
        <w:fldChar w:fldCharType="begin"/>
      </w:r>
      <w:r w:rsidRPr="00C9343F">
        <w:instrText xml:space="preserve"> PAGEREF _Toc105053583 \h </w:instrText>
      </w:r>
      <w:r w:rsidRPr="00C9343F">
        <w:fldChar w:fldCharType="separate"/>
      </w:r>
      <w:r w:rsidRPr="00C9343F">
        <w:t>37</w:t>
      </w:r>
      <w:r w:rsidRPr="00C9343F">
        <w:fldChar w:fldCharType="end"/>
      </w:r>
    </w:p>
    <w:p w14:paraId="2C9E8FCB" w14:textId="52E82804" w:rsidR="00271952" w:rsidRPr="00C9343F" w:rsidRDefault="00271952">
      <w:pPr>
        <w:pStyle w:val="TOC5"/>
        <w:rPr>
          <w:rFonts w:asciiTheme="minorHAnsi" w:eastAsiaTheme="minorEastAsia" w:hAnsiTheme="minorHAnsi" w:cstheme="minorBidi"/>
          <w:sz w:val="22"/>
          <w:szCs w:val="22"/>
        </w:rPr>
      </w:pPr>
      <w:r w:rsidRPr="00C9343F">
        <w:t>1.4.1    Overview</w:t>
      </w:r>
      <w:r w:rsidRPr="00C9343F">
        <w:tab/>
      </w:r>
      <w:r w:rsidRPr="00C9343F">
        <w:fldChar w:fldCharType="begin"/>
      </w:r>
      <w:r w:rsidRPr="00C9343F">
        <w:instrText xml:space="preserve"> PAGEREF _Toc105053584 \h </w:instrText>
      </w:r>
      <w:r w:rsidRPr="00C9343F">
        <w:fldChar w:fldCharType="separate"/>
      </w:r>
      <w:r w:rsidRPr="00C9343F">
        <w:t>37</w:t>
      </w:r>
      <w:r w:rsidRPr="00C9343F">
        <w:fldChar w:fldCharType="end"/>
      </w:r>
    </w:p>
    <w:p w14:paraId="59FF2EEB" w14:textId="7C8473DD" w:rsidR="00271952" w:rsidRPr="00C9343F" w:rsidRDefault="00271952">
      <w:pPr>
        <w:pStyle w:val="TOC5"/>
        <w:rPr>
          <w:rFonts w:asciiTheme="minorHAnsi" w:eastAsiaTheme="minorEastAsia" w:hAnsiTheme="minorHAnsi" w:cstheme="minorBidi"/>
          <w:sz w:val="22"/>
          <w:szCs w:val="22"/>
        </w:rPr>
      </w:pPr>
      <w:r w:rsidRPr="00C9343F">
        <w:t>1.4.2    Chaplain and Maritime Spiritual Wellbeing Officer classification for benefit purposes</w:t>
      </w:r>
      <w:r w:rsidRPr="00C9343F">
        <w:tab/>
      </w:r>
      <w:r w:rsidRPr="00C9343F">
        <w:fldChar w:fldCharType="begin"/>
      </w:r>
      <w:r w:rsidRPr="00C9343F">
        <w:instrText xml:space="preserve"> PAGEREF _Toc105053585 \h </w:instrText>
      </w:r>
      <w:r w:rsidRPr="00C9343F">
        <w:fldChar w:fldCharType="separate"/>
      </w:r>
      <w:r w:rsidRPr="00C9343F">
        <w:t>37</w:t>
      </w:r>
      <w:r w:rsidRPr="00C9343F">
        <w:fldChar w:fldCharType="end"/>
      </w:r>
    </w:p>
    <w:p w14:paraId="2DB7D4D9" w14:textId="5E7B722D" w:rsidR="00271952" w:rsidRPr="00C9343F" w:rsidRDefault="00271952">
      <w:pPr>
        <w:pStyle w:val="TOC3"/>
        <w:rPr>
          <w:rFonts w:asciiTheme="minorHAnsi" w:eastAsiaTheme="minorEastAsia" w:hAnsiTheme="minorHAnsi" w:cstheme="minorBidi"/>
          <w:b w:val="0"/>
          <w:sz w:val="22"/>
          <w:szCs w:val="22"/>
        </w:rPr>
      </w:pPr>
      <w:r w:rsidRPr="00C9343F">
        <w:t>Part 5: Member's rights and obligations</w:t>
      </w:r>
      <w:r w:rsidRPr="00C9343F">
        <w:tab/>
      </w:r>
      <w:r w:rsidRPr="00C9343F">
        <w:fldChar w:fldCharType="begin"/>
      </w:r>
      <w:r w:rsidRPr="00C9343F">
        <w:instrText xml:space="preserve"> PAGEREF _Toc105053586 \h </w:instrText>
      </w:r>
      <w:r w:rsidRPr="00C9343F">
        <w:fldChar w:fldCharType="separate"/>
      </w:r>
      <w:r w:rsidRPr="00C9343F">
        <w:t>38</w:t>
      </w:r>
      <w:r w:rsidRPr="00C9343F">
        <w:fldChar w:fldCharType="end"/>
      </w:r>
    </w:p>
    <w:p w14:paraId="006D5CC2" w14:textId="428575AA" w:rsidR="00271952" w:rsidRPr="00C9343F" w:rsidRDefault="00271952">
      <w:pPr>
        <w:pStyle w:val="TOC5"/>
        <w:rPr>
          <w:rFonts w:asciiTheme="minorHAnsi" w:eastAsiaTheme="minorEastAsia" w:hAnsiTheme="minorHAnsi" w:cstheme="minorBidi"/>
          <w:sz w:val="22"/>
          <w:szCs w:val="22"/>
        </w:rPr>
      </w:pPr>
      <w:r w:rsidRPr="00C9343F">
        <w:t>1.5.1    Purpose</w:t>
      </w:r>
      <w:r w:rsidRPr="00C9343F">
        <w:tab/>
      </w:r>
      <w:r w:rsidRPr="00C9343F">
        <w:fldChar w:fldCharType="begin"/>
      </w:r>
      <w:r w:rsidRPr="00C9343F">
        <w:instrText xml:space="preserve"> PAGEREF _Toc105053587 \h </w:instrText>
      </w:r>
      <w:r w:rsidRPr="00C9343F">
        <w:fldChar w:fldCharType="separate"/>
      </w:r>
      <w:r w:rsidRPr="00C9343F">
        <w:t>38</w:t>
      </w:r>
      <w:r w:rsidRPr="00C9343F">
        <w:fldChar w:fldCharType="end"/>
      </w:r>
    </w:p>
    <w:p w14:paraId="7E8C1C5F" w14:textId="45D5866D" w:rsidR="00271952" w:rsidRPr="00C9343F" w:rsidRDefault="00271952">
      <w:pPr>
        <w:pStyle w:val="TOC5"/>
        <w:rPr>
          <w:rFonts w:asciiTheme="minorHAnsi" w:eastAsiaTheme="minorEastAsia" w:hAnsiTheme="minorHAnsi" w:cstheme="minorBidi"/>
          <w:sz w:val="22"/>
          <w:szCs w:val="22"/>
        </w:rPr>
      </w:pPr>
      <w:r w:rsidRPr="00C9343F">
        <w:t>1.5.2    Obligation to provide accurate information</w:t>
      </w:r>
      <w:r w:rsidRPr="00C9343F">
        <w:tab/>
      </w:r>
      <w:r w:rsidRPr="00C9343F">
        <w:fldChar w:fldCharType="begin"/>
      </w:r>
      <w:r w:rsidRPr="00C9343F">
        <w:instrText xml:space="preserve"> PAGEREF _Toc105053588 \h </w:instrText>
      </w:r>
      <w:r w:rsidRPr="00C9343F">
        <w:fldChar w:fldCharType="separate"/>
      </w:r>
      <w:r w:rsidRPr="00C9343F">
        <w:t>38</w:t>
      </w:r>
      <w:r w:rsidRPr="00C9343F">
        <w:fldChar w:fldCharType="end"/>
      </w:r>
    </w:p>
    <w:p w14:paraId="6029548F" w14:textId="73B176E0" w:rsidR="00271952" w:rsidRPr="00C9343F" w:rsidRDefault="00271952">
      <w:pPr>
        <w:pStyle w:val="TOC5"/>
        <w:rPr>
          <w:rFonts w:asciiTheme="minorHAnsi" w:eastAsiaTheme="minorEastAsia" w:hAnsiTheme="minorHAnsi" w:cstheme="minorBidi"/>
          <w:sz w:val="22"/>
          <w:szCs w:val="22"/>
        </w:rPr>
      </w:pPr>
      <w:r w:rsidRPr="00C9343F">
        <w:t>1.5.3    Change in member's circumstances</w:t>
      </w:r>
      <w:r w:rsidRPr="00C9343F">
        <w:tab/>
      </w:r>
      <w:r w:rsidRPr="00C9343F">
        <w:fldChar w:fldCharType="begin"/>
      </w:r>
      <w:r w:rsidRPr="00C9343F">
        <w:instrText xml:space="preserve"> PAGEREF _Toc105053589 \h </w:instrText>
      </w:r>
      <w:r w:rsidRPr="00C9343F">
        <w:fldChar w:fldCharType="separate"/>
      </w:r>
      <w:r w:rsidRPr="00C9343F">
        <w:t>38</w:t>
      </w:r>
      <w:r w:rsidRPr="00C9343F">
        <w:fldChar w:fldCharType="end"/>
      </w:r>
    </w:p>
    <w:p w14:paraId="2C9DD47B" w14:textId="49035869" w:rsidR="00271952" w:rsidRPr="00C9343F" w:rsidRDefault="00271952">
      <w:pPr>
        <w:pStyle w:val="TOC5"/>
        <w:rPr>
          <w:rFonts w:asciiTheme="minorHAnsi" w:eastAsiaTheme="minorEastAsia" w:hAnsiTheme="minorHAnsi" w:cstheme="minorBidi"/>
          <w:sz w:val="22"/>
          <w:szCs w:val="22"/>
        </w:rPr>
      </w:pPr>
      <w:r w:rsidRPr="00C9343F">
        <w:t>1.5.4A    Contributions and payments payable by a member not receiving salary</w:t>
      </w:r>
      <w:r w:rsidRPr="00C9343F">
        <w:tab/>
      </w:r>
      <w:r w:rsidRPr="00C9343F">
        <w:fldChar w:fldCharType="begin"/>
      </w:r>
      <w:r w:rsidRPr="00C9343F">
        <w:instrText xml:space="preserve"> PAGEREF _Toc105053590 \h </w:instrText>
      </w:r>
      <w:r w:rsidRPr="00C9343F">
        <w:fldChar w:fldCharType="separate"/>
      </w:r>
      <w:r w:rsidRPr="00C9343F">
        <w:t>39</w:t>
      </w:r>
      <w:r w:rsidRPr="00C9343F">
        <w:fldChar w:fldCharType="end"/>
      </w:r>
    </w:p>
    <w:p w14:paraId="3DED470E" w14:textId="53C49BD9" w:rsidR="00271952" w:rsidRPr="00C9343F" w:rsidRDefault="00271952">
      <w:pPr>
        <w:pStyle w:val="TOC5"/>
        <w:rPr>
          <w:rFonts w:asciiTheme="minorHAnsi" w:eastAsiaTheme="minorEastAsia" w:hAnsiTheme="minorHAnsi" w:cstheme="minorBidi"/>
          <w:sz w:val="22"/>
          <w:szCs w:val="22"/>
        </w:rPr>
      </w:pPr>
      <w:r w:rsidRPr="00C9343F">
        <w:t>1.5.5    Recovery by the Commonwealth</w:t>
      </w:r>
      <w:r w:rsidRPr="00C9343F">
        <w:tab/>
      </w:r>
      <w:r w:rsidRPr="00C9343F">
        <w:fldChar w:fldCharType="begin"/>
      </w:r>
      <w:r w:rsidRPr="00C9343F">
        <w:instrText xml:space="preserve"> PAGEREF _Toc105053591 \h </w:instrText>
      </w:r>
      <w:r w:rsidRPr="00C9343F">
        <w:fldChar w:fldCharType="separate"/>
      </w:r>
      <w:r w:rsidRPr="00C9343F">
        <w:t>40</w:t>
      </w:r>
      <w:r w:rsidRPr="00C9343F">
        <w:fldChar w:fldCharType="end"/>
      </w:r>
    </w:p>
    <w:p w14:paraId="52CBABCB" w14:textId="5DCEA86B" w:rsidR="00271952" w:rsidRPr="00C9343F" w:rsidRDefault="00271952">
      <w:pPr>
        <w:pStyle w:val="TOC5"/>
        <w:rPr>
          <w:rFonts w:asciiTheme="minorHAnsi" w:eastAsiaTheme="minorEastAsia" w:hAnsiTheme="minorHAnsi" w:cstheme="minorBidi"/>
          <w:sz w:val="22"/>
          <w:szCs w:val="22"/>
        </w:rPr>
      </w:pPr>
      <w:r w:rsidRPr="00C9343F">
        <w:t>1.5.6    Decision-makers to avoid conflict of interest</w:t>
      </w:r>
      <w:r w:rsidRPr="00C9343F">
        <w:tab/>
      </w:r>
      <w:r w:rsidRPr="00C9343F">
        <w:fldChar w:fldCharType="begin"/>
      </w:r>
      <w:r w:rsidRPr="00C9343F">
        <w:instrText xml:space="preserve"> PAGEREF _Toc105053592 \h </w:instrText>
      </w:r>
      <w:r w:rsidRPr="00C9343F">
        <w:fldChar w:fldCharType="separate"/>
      </w:r>
      <w:r w:rsidRPr="00C9343F">
        <w:t>40</w:t>
      </w:r>
      <w:r w:rsidRPr="00C9343F">
        <w:fldChar w:fldCharType="end"/>
      </w:r>
    </w:p>
    <w:p w14:paraId="6A8A5E10" w14:textId="4325B03C" w:rsidR="00271952" w:rsidRPr="00C9343F" w:rsidRDefault="00271952">
      <w:pPr>
        <w:pStyle w:val="TOC5"/>
        <w:rPr>
          <w:rFonts w:asciiTheme="minorHAnsi" w:eastAsiaTheme="minorEastAsia" w:hAnsiTheme="minorHAnsi" w:cstheme="minorBidi"/>
          <w:sz w:val="22"/>
          <w:szCs w:val="22"/>
        </w:rPr>
      </w:pPr>
      <w:r w:rsidRPr="00C9343F">
        <w:t>1.5.7    Member to provide evidence of payment</w:t>
      </w:r>
      <w:r w:rsidRPr="00C9343F">
        <w:tab/>
      </w:r>
      <w:r w:rsidRPr="00C9343F">
        <w:fldChar w:fldCharType="begin"/>
      </w:r>
      <w:r w:rsidRPr="00C9343F">
        <w:instrText xml:space="preserve"> PAGEREF _Toc105053593 \h </w:instrText>
      </w:r>
      <w:r w:rsidRPr="00C9343F">
        <w:fldChar w:fldCharType="separate"/>
      </w:r>
      <w:r w:rsidRPr="00C9343F">
        <w:t>40</w:t>
      </w:r>
      <w:r w:rsidRPr="00C9343F">
        <w:fldChar w:fldCharType="end"/>
      </w:r>
    </w:p>
    <w:p w14:paraId="59478B6A" w14:textId="0BAB6412" w:rsidR="00271952" w:rsidRPr="00C9343F" w:rsidRDefault="00271952">
      <w:pPr>
        <w:pStyle w:val="TOC3"/>
        <w:rPr>
          <w:rFonts w:asciiTheme="minorHAnsi" w:eastAsiaTheme="minorEastAsia" w:hAnsiTheme="minorHAnsi" w:cstheme="minorBidi"/>
          <w:b w:val="0"/>
          <w:sz w:val="22"/>
          <w:szCs w:val="22"/>
        </w:rPr>
      </w:pPr>
      <w:r w:rsidRPr="00C9343F">
        <w:t>Part 6: Payment of benefits in special circumstances</w:t>
      </w:r>
      <w:r w:rsidRPr="00C9343F">
        <w:tab/>
      </w:r>
      <w:r w:rsidRPr="00C9343F">
        <w:fldChar w:fldCharType="begin"/>
      </w:r>
      <w:r w:rsidRPr="00C9343F">
        <w:instrText xml:space="preserve"> PAGEREF _Toc105053594 \h </w:instrText>
      </w:r>
      <w:r w:rsidRPr="00C9343F">
        <w:fldChar w:fldCharType="separate"/>
      </w:r>
      <w:r w:rsidRPr="00C9343F">
        <w:t>41</w:t>
      </w:r>
      <w:r w:rsidRPr="00C9343F">
        <w:fldChar w:fldCharType="end"/>
      </w:r>
    </w:p>
    <w:p w14:paraId="28BC4829" w14:textId="2EE9C70F" w:rsidR="00271952" w:rsidRPr="00C9343F" w:rsidRDefault="00271952">
      <w:pPr>
        <w:pStyle w:val="TOC5"/>
        <w:rPr>
          <w:rFonts w:asciiTheme="minorHAnsi" w:eastAsiaTheme="minorEastAsia" w:hAnsiTheme="minorHAnsi" w:cstheme="minorBidi"/>
          <w:sz w:val="22"/>
          <w:szCs w:val="22"/>
        </w:rPr>
      </w:pPr>
      <w:r w:rsidRPr="00C9343F">
        <w:t>1.6.1    Dual entitlement – member's adult dependant is also a member</w:t>
      </w:r>
      <w:r w:rsidRPr="00C9343F">
        <w:tab/>
      </w:r>
      <w:r w:rsidRPr="00C9343F">
        <w:fldChar w:fldCharType="begin"/>
      </w:r>
      <w:r w:rsidRPr="00C9343F">
        <w:instrText xml:space="preserve"> PAGEREF _Toc105053595 \h </w:instrText>
      </w:r>
      <w:r w:rsidRPr="00C9343F">
        <w:fldChar w:fldCharType="separate"/>
      </w:r>
      <w:r w:rsidRPr="00C9343F">
        <w:t>41</w:t>
      </w:r>
      <w:r w:rsidRPr="00C9343F">
        <w:fldChar w:fldCharType="end"/>
      </w:r>
    </w:p>
    <w:p w14:paraId="5A2920E3" w14:textId="5CE4B528" w:rsidR="00271952" w:rsidRPr="00C9343F" w:rsidRDefault="00271952">
      <w:pPr>
        <w:pStyle w:val="TOC5"/>
        <w:rPr>
          <w:rFonts w:asciiTheme="minorHAnsi" w:eastAsiaTheme="minorEastAsia" w:hAnsiTheme="minorHAnsi" w:cstheme="minorBidi"/>
          <w:sz w:val="22"/>
          <w:szCs w:val="22"/>
        </w:rPr>
      </w:pPr>
      <w:r w:rsidRPr="00C9343F">
        <w:t>1.6.1A    Payment of contributions by another person</w:t>
      </w:r>
      <w:r w:rsidRPr="00C9343F">
        <w:tab/>
      </w:r>
      <w:r w:rsidRPr="00C9343F">
        <w:fldChar w:fldCharType="begin"/>
      </w:r>
      <w:r w:rsidRPr="00C9343F">
        <w:instrText xml:space="preserve"> PAGEREF _Toc105053596 \h </w:instrText>
      </w:r>
      <w:r w:rsidRPr="00C9343F">
        <w:fldChar w:fldCharType="separate"/>
      </w:r>
      <w:r w:rsidRPr="00C9343F">
        <w:t>41</w:t>
      </w:r>
      <w:r w:rsidRPr="00C9343F">
        <w:fldChar w:fldCharType="end"/>
      </w:r>
    </w:p>
    <w:p w14:paraId="76DF960E" w14:textId="099A775D" w:rsidR="00271952" w:rsidRPr="00C9343F" w:rsidRDefault="00271952">
      <w:pPr>
        <w:pStyle w:val="TOC5"/>
        <w:rPr>
          <w:rFonts w:asciiTheme="minorHAnsi" w:eastAsiaTheme="minorEastAsia" w:hAnsiTheme="minorHAnsi" w:cstheme="minorBidi"/>
          <w:sz w:val="22"/>
          <w:szCs w:val="22"/>
        </w:rPr>
      </w:pPr>
      <w:r w:rsidRPr="00C9343F">
        <w:t>1.6.2    Payment of benefit to another person</w:t>
      </w:r>
      <w:r w:rsidRPr="00C9343F">
        <w:tab/>
      </w:r>
      <w:r w:rsidRPr="00C9343F">
        <w:fldChar w:fldCharType="begin"/>
      </w:r>
      <w:r w:rsidRPr="00C9343F">
        <w:instrText xml:space="preserve"> PAGEREF _Toc105053597 \h </w:instrText>
      </w:r>
      <w:r w:rsidRPr="00C9343F">
        <w:fldChar w:fldCharType="separate"/>
      </w:r>
      <w:r w:rsidRPr="00C9343F">
        <w:t>42</w:t>
      </w:r>
      <w:r w:rsidRPr="00C9343F">
        <w:fldChar w:fldCharType="end"/>
      </w:r>
    </w:p>
    <w:p w14:paraId="7A8C7F02" w14:textId="5E336CE2" w:rsidR="00271952" w:rsidRPr="00C9343F" w:rsidRDefault="00271952">
      <w:pPr>
        <w:pStyle w:val="TOC5"/>
        <w:rPr>
          <w:rFonts w:asciiTheme="minorHAnsi" w:eastAsiaTheme="minorEastAsia" w:hAnsiTheme="minorHAnsi" w:cstheme="minorBidi"/>
          <w:sz w:val="22"/>
          <w:szCs w:val="22"/>
        </w:rPr>
      </w:pPr>
      <w:r w:rsidRPr="00C9343F">
        <w:t>1.6.3    Payment of amount to a person under legal disability</w:t>
      </w:r>
      <w:r w:rsidRPr="00C9343F">
        <w:tab/>
      </w:r>
      <w:r w:rsidRPr="00C9343F">
        <w:fldChar w:fldCharType="begin"/>
      </w:r>
      <w:r w:rsidRPr="00C9343F">
        <w:instrText xml:space="preserve"> PAGEREF _Toc105053598 \h </w:instrText>
      </w:r>
      <w:r w:rsidRPr="00C9343F">
        <w:fldChar w:fldCharType="separate"/>
      </w:r>
      <w:r w:rsidRPr="00C9343F">
        <w:t>42</w:t>
      </w:r>
      <w:r w:rsidRPr="00C9343F">
        <w:fldChar w:fldCharType="end"/>
      </w:r>
    </w:p>
    <w:p w14:paraId="7AF16D87" w14:textId="0A702D2B" w:rsidR="00271952" w:rsidRPr="00C9343F" w:rsidRDefault="00271952">
      <w:pPr>
        <w:pStyle w:val="TOC5"/>
        <w:rPr>
          <w:rFonts w:asciiTheme="minorHAnsi" w:eastAsiaTheme="minorEastAsia" w:hAnsiTheme="minorHAnsi" w:cstheme="minorBidi"/>
          <w:sz w:val="22"/>
          <w:szCs w:val="22"/>
        </w:rPr>
      </w:pPr>
      <w:r w:rsidRPr="00C9343F">
        <w:t>1.6.4    Payment of amounts on death of a member</w:t>
      </w:r>
      <w:r w:rsidRPr="00C9343F">
        <w:tab/>
      </w:r>
      <w:r w:rsidRPr="00C9343F">
        <w:fldChar w:fldCharType="begin"/>
      </w:r>
      <w:r w:rsidRPr="00C9343F">
        <w:instrText xml:space="preserve"> PAGEREF _Toc105053599 \h </w:instrText>
      </w:r>
      <w:r w:rsidRPr="00C9343F">
        <w:fldChar w:fldCharType="separate"/>
      </w:r>
      <w:r w:rsidRPr="00C9343F">
        <w:t>42</w:t>
      </w:r>
      <w:r w:rsidRPr="00C9343F">
        <w:fldChar w:fldCharType="end"/>
      </w:r>
    </w:p>
    <w:p w14:paraId="1B03D359" w14:textId="70820F19" w:rsidR="00271952" w:rsidRPr="00C9343F" w:rsidRDefault="00271952">
      <w:pPr>
        <w:pStyle w:val="TOC5"/>
        <w:rPr>
          <w:rFonts w:asciiTheme="minorHAnsi" w:eastAsiaTheme="minorEastAsia" w:hAnsiTheme="minorHAnsi" w:cstheme="minorBidi"/>
          <w:sz w:val="22"/>
          <w:szCs w:val="22"/>
        </w:rPr>
      </w:pPr>
      <w:r w:rsidRPr="00C9343F">
        <w:t>1.6.5    Effect of death on eligibility for salary and allowances</w:t>
      </w:r>
      <w:r w:rsidRPr="00C9343F">
        <w:tab/>
      </w:r>
      <w:r w:rsidRPr="00C9343F">
        <w:fldChar w:fldCharType="begin"/>
      </w:r>
      <w:r w:rsidRPr="00C9343F">
        <w:instrText xml:space="preserve"> PAGEREF _Toc105053600 \h </w:instrText>
      </w:r>
      <w:r w:rsidRPr="00C9343F">
        <w:fldChar w:fldCharType="separate"/>
      </w:r>
      <w:r w:rsidRPr="00C9343F">
        <w:t>43</w:t>
      </w:r>
      <w:r w:rsidRPr="00C9343F">
        <w:fldChar w:fldCharType="end"/>
      </w:r>
    </w:p>
    <w:p w14:paraId="7CCFC82F" w14:textId="03C701DC" w:rsidR="00271952" w:rsidRPr="00C9343F" w:rsidRDefault="00271952">
      <w:pPr>
        <w:pStyle w:val="TOC3"/>
        <w:rPr>
          <w:rFonts w:asciiTheme="minorHAnsi" w:eastAsiaTheme="minorEastAsia" w:hAnsiTheme="minorHAnsi" w:cstheme="minorBidi"/>
          <w:b w:val="0"/>
          <w:sz w:val="22"/>
          <w:szCs w:val="22"/>
        </w:rPr>
      </w:pPr>
      <w:r w:rsidRPr="00C9343F">
        <w:t>Part 7: Imprisonment, detention and custody within Australia</w:t>
      </w:r>
      <w:r w:rsidRPr="00C9343F">
        <w:tab/>
      </w:r>
      <w:r w:rsidRPr="00C9343F">
        <w:fldChar w:fldCharType="begin"/>
      </w:r>
      <w:r w:rsidRPr="00C9343F">
        <w:instrText xml:space="preserve"> PAGEREF _Toc105053601 \h </w:instrText>
      </w:r>
      <w:r w:rsidRPr="00C9343F">
        <w:fldChar w:fldCharType="separate"/>
      </w:r>
      <w:r w:rsidRPr="00C9343F">
        <w:t>44</w:t>
      </w:r>
      <w:r w:rsidRPr="00C9343F">
        <w:fldChar w:fldCharType="end"/>
      </w:r>
    </w:p>
    <w:p w14:paraId="4A3F9E85" w14:textId="1BCE5258" w:rsidR="00271952" w:rsidRPr="00C9343F" w:rsidRDefault="00271952">
      <w:pPr>
        <w:pStyle w:val="TOC5"/>
        <w:rPr>
          <w:rFonts w:asciiTheme="minorHAnsi" w:eastAsiaTheme="minorEastAsia" w:hAnsiTheme="minorHAnsi" w:cstheme="minorBidi"/>
          <w:sz w:val="22"/>
          <w:szCs w:val="22"/>
        </w:rPr>
      </w:pPr>
      <w:r w:rsidRPr="00C9343F">
        <w:lastRenderedPageBreak/>
        <w:t>1.7.1    Purpose</w:t>
      </w:r>
      <w:r w:rsidRPr="00C9343F">
        <w:tab/>
      </w:r>
      <w:r w:rsidRPr="00C9343F">
        <w:fldChar w:fldCharType="begin"/>
      </w:r>
      <w:r w:rsidRPr="00C9343F">
        <w:instrText xml:space="preserve"> PAGEREF _Toc105053602 \h </w:instrText>
      </w:r>
      <w:r w:rsidRPr="00C9343F">
        <w:fldChar w:fldCharType="separate"/>
      </w:r>
      <w:r w:rsidRPr="00C9343F">
        <w:t>44</w:t>
      </w:r>
      <w:r w:rsidRPr="00C9343F">
        <w:fldChar w:fldCharType="end"/>
      </w:r>
    </w:p>
    <w:p w14:paraId="05B14071" w14:textId="06CD5D38" w:rsidR="00271952" w:rsidRPr="00C9343F" w:rsidRDefault="00271952">
      <w:pPr>
        <w:pStyle w:val="TOC5"/>
        <w:rPr>
          <w:rFonts w:asciiTheme="minorHAnsi" w:eastAsiaTheme="minorEastAsia" w:hAnsiTheme="minorHAnsi" w:cstheme="minorBidi"/>
          <w:sz w:val="22"/>
          <w:szCs w:val="22"/>
        </w:rPr>
      </w:pPr>
      <w:r w:rsidRPr="00C9343F">
        <w:t>1.7.2    Member this Part applies to</w:t>
      </w:r>
      <w:r w:rsidRPr="00C9343F">
        <w:tab/>
      </w:r>
      <w:r w:rsidRPr="00C9343F">
        <w:fldChar w:fldCharType="begin"/>
      </w:r>
      <w:r w:rsidRPr="00C9343F">
        <w:instrText xml:space="preserve"> PAGEREF _Toc105053603 \h </w:instrText>
      </w:r>
      <w:r w:rsidRPr="00C9343F">
        <w:fldChar w:fldCharType="separate"/>
      </w:r>
      <w:r w:rsidRPr="00C9343F">
        <w:t>44</w:t>
      </w:r>
      <w:r w:rsidRPr="00C9343F">
        <w:fldChar w:fldCharType="end"/>
      </w:r>
    </w:p>
    <w:p w14:paraId="7C01E6A5" w14:textId="41C38DD8" w:rsidR="00271952" w:rsidRPr="00C9343F" w:rsidRDefault="00271952">
      <w:pPr>
        <w:pStyle w:val="TOC5"/>
        <w:rPr>
          <w:rFonts w:asciiTheme="minorHAnsi" w:eastAsiaTheme="minorEastAsia" w:hAnsiTheme="minorHAnsi" w:cstheme="minorBidi"/>
          <w:sz w:val="22"/>
          <w:szCs w:val="22"/>
        </w:rPr>
      </w:pPr>
      <w:r w:rsidRPr="00C9343F">
        <w:t>1.7.3    Member this Part does not apply to</w:t>
      </w:r>
      <w:r w:rsidRPr="00C9343F">
        <w:tab/>
      </w:r>
      <w:r w:rsidRPr="00C9343F">
        <w:fldChar w:fldCharType="begin"/>
      </w:r>
      <w:r w:rsidRPr="00C9343F">
        <w:instrText xml:space="preserve"> PAGEREF _Toc105053604 \h </w:instrText>
      </w:r>
      <w:r w:rsidRPr="00C9343F">
        <w:fldChar w:fldCharType="separate"/>
      </w:r>
      <w:r w:rsidRPr="00C9343F">
        <w:t>44</w:t>
      </w:r>
      <w:r w:rsidRPr="00C9343F">
        <w:fldChar w:fldCharType="end"/>
      </w:r>
    </w:p>
    <w:p w14:paraId="6FFA3F99" w14:textId="260A8452" w:rsidR="00271952" w:rsidRPr="00C9343F" w:rsidRDefault="00271952">
      <w:pPr>
        <w:pStyle w:val="TOC5"/>
        <w:rPr>
          <w:rFonts w:asciiTheme="minorHAnsi" w:eastAsiaTheme="minorEastAsia" w:hAnsiTheme="minorHAnsi" w:cstheme="minorBidi"/>
          <w:sz w:val="22"/>
          <w:szCs w:val="22"/>
        </w:rPr>
      </w:pPr>
      <w:r w:rsidRPr="00C9343F">
        <w:t>1.7.4    General rule – benefits and contributions</w:t>
      </w:r>
      <w:r w:rsidRPr="00C9343F">
        <w:tab/>
      </w:r>
      <w:r w:rsidRPr="00C9343F">
        <w:fldChar w:fldCharType="begin"/>
      </w:r>
      <w:r w:rsidRPr="00C9343F">
        <w:instrText xml:space="preserve"> PAGEREF _Toc105053605 \h </w:instrText>
      </w:r>
      <w:r w:rsidRPr="00C9343F">
        <w:fldChar w:fldCharType="separate"/>
      </w:r>
      <w:r w:rsidRPr="00C9343F">
        <w:t>44</w:t>
      </w:r>
      <w:r w:rsidRPr="00C9343F">
        <w:fldChar w:fldCharType="end"/>
      </w:r>
    </w:p>
    <w:p w14:paraId="6E66D3EE" w14:textId="3F9B057C" w:rsidR="00271952" w:rsidRPr="00C9343F" w:rsidRDefault="00271952">
      <w:pPr>
        <w:pStyle w:val="TOC5"/>
        <w:rPr>
          <w:rFonts w:asciiTheme="minorHAnsi" w:eastAsiaTheme="minorEastAsia" w:hAnsiTheme="minorHAnsi" w:cstheme="minorBidi"/>
          <w:sz w:val="22"/>
          <w:szCs w:val="22"/>
        </w:rPr>
      </w:pPr>
      <w:r w:rsidRPr="00C9343F">
        <w:t>1.7.5    Salary and DFRT allowances – member in detention</w:t>
      </w:r>
      <w:r w:rsidRPr="00C9343F">
        <w:tab/>
      </w:r>
      <w:r w:rsidRPr="00C9343F">
        <w:fldChar w:fldCharType="begin"/>
      </w:r>
      <w:r w:rsidRPr="00C9343F">
        <w:instrText xml:space="preserve"> PAGEREF _Toc105053606 \h </w:instrText>
      </w:r>
      <w:r w:rsidRPr="00C9343F">
        <w:fldChar w:fldCharType="separate"/>
      </w:r>
      <w:r w:rsidRPr="00C9343F">
        <w:t>45</w:t>
      </w:r>
      <w:r w:rsidRPr="00C9343F">
        <w:fldChar w:fldCharType="end"/>
      </w:r>
    </w:p>
    <w:p w14:paraId="79DD3B55" w14:textId="7416BE04" w:rsidR="00271952" w:rsidRPr="00C9343F" w:rsidRDefault="00271952">
      <w:pPr>
        <w:pStyle w:val="TOC5"/>
        <w:rPr>
          <w:rFonts w:asciiTheme="minorHAnsi" w:eastAsiaTheme="minorEastAsia" w:hAnsiTheme="minorHAnsi" w:cstheme="minorBidi"/>
          <w:sz w:val="22"/>
          <w:szCs w:val="22"/>
        </w:rPr>
      </w:pPr>
      <w:r w:rsidRPr="00C9343F">
        <w:t xml:space="preserve">1.7.6    Salary and </w:t>
      </w:r>
      <w:r w:rsidRPr="00C9343F">
        <w:rPr>
          <w:iCs/>
        </w:rPr>
        <w:t>DFRT allowances</w:t>
      </w:r>
      <w:r w:rsidRPr="00C9343F">
        <w:t xml:space="preserve"> – member imprisoned or in custody</w:t>
      </w:r>
      <w:r w:rsidRPr="00C9343F">
        <w:tab/>
      </w:r>
      <w:r w:rsidRPr="00C9343F">
        <w:fldChar w:fldCharType="begin"/>
      </w:r>
      <w:r w:rsidRPr="00C9343F">
        <w:instrText xml:space="preserve"> PAGEREF _Toc105053607 \h </w:instrText>
      </w:r>
      <w:r w:rsidRPr="00C9343F">
        <w:fldChar w:fldCharType="separate"/>
      </w:r>
      <w:r w:rsidRPr="00C9343F">
        <w:t>46</w:t>
      </w:r>
      <w:r w:rsidRPr="00C9343F">
        <w:fldChar w:fldCharType="end"/>
      </w:r>
    </w:p>
    <w:p w14:paraId="373A1F0B" w14:textId="66497736" w:rsidR="00271952" w:rsidRPr="00C9343F" w:rsidRDefault="00271952">
      <w:pPr>
        <w:pStyle w:val="TOC5"/>
        <w:rPr>
          <w:rFonts w:asciiTheme="minorHAnsi" w:eastAsiaTheme="minorEastAsia" w:hAnsiTheme="minorHAnsi" w:cstheme="minorBidi"/>
          <w:sz w:val="22"/>
          <w:szCs w:val="22"/>
        </w:rPr>
      </w:pPr>
      <w:r w:rsidRPr="00C9343F">
        <w:t>1.7.7    Conviction quashed or set aside</w:t>
      </w:r>
      <w:r w:rsidRPr="00C9343F">
        <w:tab/>
      </w:r>
      <w:r w:rsidRPr="00C9343F">
        <w:fldChar w:fldCharType="begin"/>
      </w:r>
      <w:r w:rsidRPr="00C9343F">
        <w:instrText xml:space="preserve"> PAGEREF _Toc105053608 \h </w:instrText>
      </w:r>
      <w:r w:rsidRPr="00C9343F">
        <w:fldChar w:fldCharType="separate"/>
      </w:r>
      <w:r w:rsidRPr="00C9343F">
        <w:t>46</w:t>
      </w:r>
      <w:r w:rsidRPr="00C9343F">
        <w:fldChar w:fldCharType="end"/>
      </w:r>
    </w:p>
    <w:p w14:paraId="4BC5C9E1" w14:textId="2CCD0688" w:rsidR="00271952" w:rsidRPr="00C9343F" w:rsidRDefault="00271952">
      <w:pPr>
        <w:pStyle w:val="TOC4"/>
        <w:rPr>
          <w:rFonts w:asciiTheme="minorHAnsi" w:eastAsiaTheme="minorEastAsia" w:hAnsiTheme="minorHAnsi" w:cstheme="minorBidi"/>
          <w:sz w:val="22"/>
          <w:szCs w:val="22"/>
        </w:rPr>
      </w:pPr>
      <w:r w:rsidRPr="00C9343F">
        <w:t>Division 1: Leave</w:t>
      </w:r>
      <w:r w:rsidRPr="00C9343F">
        <w:tab/>
      </w:r>
      <w:r w:rsidRPr="00C9343F">
        <w:fldChar w:fldCharType="begin"/>
      </w:r>
      <w:r w:rsidRPr="00C9343F">
        <w:instrText xml:space="preserve"> PAGEREF _Toc105053609 \h </w:instrText>
      </w:r>
      <w:r w:rsidRPr="00C9343F">
        <w:fldChar w:fldCharType="separate"/>
      </w:r>
      <w:r w:rsidRPr="00C9343F">
        <w:t>48</w:t>
      </w:r>
      <w:r w:rsidRPr="00C9343F">
        <w:fldChar w:fldCharType="end"/>
      </w:r>
    </w:p>
    <w:p w14:paraId="7DDE9141" w14:textId="35143132" w:rsidR="00271952" w:rsidRPr="00C9343F" w:rsidRDefault="00271952">
      <w:pPr>
        <w:pStyle w:val="TOC5"/>
        <w:rPr>
          <w:rFonts w:asciiTheme="minorHAnsi" w:eastAsiaTheme="minorEastAsia" w:hAnsiTheme="minorHAnsi" w:cstheme="minorBidi"/>
          <w:sz w:val="22"/>
          <w:szCs w:val="22"/>
        </w:rPr>
      </w:pPr>
      <w:r w:rsidRPr="00C9343F">
        <w:t>1.7.8    Purpose</w:t>
      </w:r>
      <w:r w:rsidRPr="00C9343F">
        <w:tab/>
      </w:r>
      <w:r w:rsidRPr="00C9343F">
        <w:fldChar w:fldCharType="begin"/>
      </w:r>
      <w:r w:rsidRPr="00C9343F">
        <w:instrText xml:space="preserve"> PAGEREF _Toc105053610 \h </w:instrText>
      </w:r>
      <w:r w:rsidRPr="00C9343F">
        <w:fldChar w:fldCharType="separate"/>
      </w:r>
      <w:r w:rsidRPr="00C9343F">
        <w:t>48</w:t>
      </w:r>
      <w:r w:rsidRPr="00C9343F">
        <w:fldChar w:fldCharType="end"/>
      </w:r>
    </w:p>
    <w:p w14:paraId="5E77669E" w14:textId="50FE7CE8" w:rsidR="00271952" w:rsidRPr="00C9343F" w:rsidRDefault="00271952">
      <w:pPr>
        <w:pStyle w:val="TOC5"/>
        <w:rPr>
          <w:rFonts w:asciiTheme="minorHAnsi" w:eastAsiaTheme="minorEastAsia" w:hAnsiTheme="minorHAnsi" w:cstheme="minorBidi"/>
          <w:sz w:val="22"/>
          <w:szCs w:val="22"/>
        </w:rPr>
      </w:pPr>
      <w:r w:rsidRPr="00C9343F">
        <w:t>1.7.9    Recreation leave</w:t>
      </w:r>
      <w:r w:rsidRPr="00C9343F">
        <w:tab/>
      </w:r>
      <w:r w:rsidRPr="00C9343F">
        <w:fldChar w:fldCharType="begin"/>
      </w:r>
      <w:r w:rsidRPr="00C9343F">
        <w:instrText xml:space="preserve"> PAGEREF _Toc105053611 \h </w:instrText>
      </w:r>
      <w:r w:rsidRPr="00C9343F">
        <w:fldChar w:fldCharType="separate"/>
      </w:r>
      <w:r w:rsidRPr="00C9343F">
        <w:t>48</w:t>
      </w:r>
      <w:r w:rsidRPr="00C9343F">
        <w:fldChar w:fldCharType="end"/>
      </w:r>
    </w:p>
    <w:p w14:paraId="25A8ACEB" w14:textId="6A1C676B" w:rsidR="00271952" w:rsidRPr="00C9343F" w:rsidRDefault="00271952">
      <w:pPr>
        <w:pStyle w:val="TOC5"/>
        <w:rPr>
          <w:rFonts w:asciiTheme="minorHAnsi" w:eastAsiaTheme="minorEastAsia" w:hAnsiTheme="minorHAnsi" w:cstheme="minorBidi"/>
          <w:sz w:val="22"/>
          <w:szCs w:val="22"/>
        </w:rPr>
      </w:pPr>
      <w:r w:rsidRPr="00C9343F">
        <w:t>1.7.10    Short absence and medical absence from duty</w:t>
      </w:r>
      <w:r w:rsidRPr="00C9343F">
        <w:tab/>
      </w:r>
      <w:r w:rsidRPr="00C9343F">
        <w:fldChar w:fldCharType="begin"/>
      </w:r>
      <w:r w:rsidRPr="00C9343F">
        <w:instrText xml:space="preserve"> PAGEREF _Toc105053612 \h </w:instrText>
      </w:r>
      <w:r w:rsidRPr="00C9343F">
        <w:fldChar w:fldCharType="separate"/>
      </w:r>
      <w:r w:rsidRPr="00C9343F">
        <w:t>48</w:t>
      </w:r>
      <w:r w:rsidRPr="00C9343F">
        <w:fldChar w:fldCharType="end"/>
      </w:r>
    </w:p>
    <w:p w14:paraId="52FE6DF7" w14:textId="08F8CBC3" w:rsidR="00271952" w:rsidRPr="00C9343F" w:rsidRDefault="00271952">
      <w:pPr>
        <w:pStyle w:val="TOC5"/>
        <w:rPr>
          <w:rFonts w:asciiTheme="minorHAnsi" w:eastAsiaTheme="minorEastAsia" w:hAnsiTheme="minorHAnsi" w:cstheme="minorBidi"/>
          <w:sz w:val="22"/>
          <w:szCs w:val="22"/>
        </w:rPr>
      </w:pPr>
      <w:r w:rsidRPr="00C9343F">
        <w:t>1.7.11    Maternity leave</w:t>
      </w:r>
      <w:r w:rsidRPr="00C9343F">
        <w:tab/>
      </w:r>
      <w:r w:rsidRPr="00C9343F">
        <w:fldChar w:fldCharType="begin"/>
      </w:r>
      <w:r w:rsidRPr="00C9343F">
        <w:instrText xml:space="preserve"> PAGEREF _Toc105053613 \h </w:instrText>
      </w:r>
      <w:r w:rsidRPr="00C9343F">
        <w:fldChar w:fldCharType="separate"/>
      </w:r>
      <w:r w:rsidRPr="00C9343F">
        <w:t>48</w:t>
      </w:r>
      <w:r w:rsidRPr="00C9343F">
        <w:fldChar w:fldCharType="end"/>
      </w:r>
    </w:p>
    <w:p w14:paraId="05CD7839" w14:textId="0A85F045" w:rsidR="00271952" w:rsidRPr="00C9343F" w:rsidRDefault="00271952">
      <w:pPr>
        <w:pStyle w:val="TOC5"/>
        <w:rPr>
          <w:rFonts w:asciiTheme="minorHAnsi" w:eastAsiaTheme="minorEastAsia" w:hAnsiTheme="minorHAnsi" w:cstheme="minorBidi"/>
          <w:sz w:val="22"/>
          <w:szCs w:val="22"/>
        </w:rPr>
      </w:pPr>
      <w:r w:rsidRPr="00C9343F">
        <w:t>1.7.12    Parental leave</w:t>
      </w:r>
      <w:r w:rsidRPr="00C9343F">
        <w:tab/>
      </w:r>
      <w:r w:rsidRPr="00C9343F">
        <w:fldChar w:fldCharType="begin"/>
      </w:r>
      <w:r w:rsidRPr="00C9343F">
        <w:instrText xml:space="preserve"> PAGEREF _Toc105053614 \h </w:instrText>
      </w:r>
      <w:r w:rsidRPr="00C9343F">
        <w:fldChar w:fldCharType="separate"/>
      </w:r>
      <w:r w:rsidRPr="00C9343F">
        <w:t>48</w:t>
      </w:r>
      <w:r w:rsidRPr="00C9343F">
        <w:fldChar w:fldCharType="end"/>
      </w:r>
    </w:p>
    <w:p w14:paraId="3689CDDE" w14:textId="7BD530F3" w:rsidR="00271952" w:rsidRPr="00C9343F" w:rsidRDefault="00271952">
      <w:pPr>
        <w:pStyle w:val="TOC5"/>
        <w:rPr>
          <w:rFonts w:asciiTheme="minorHAnsi" w:eastAsiaTheme="minorEastAsia" w:hAnsiTheme="minorHAnsi" w:cstheme="minorBidi"/>
          <w:sz w:val="22"/>
          <w:szCs w:val="22"/>
        </w:rPr>
      </w:pPr>
      <w:r w:rsidRPr="00C9343F">
        <w:t>1.7.13    Long service leave</w:t>
      </w:r>
      <w:r w:rsidRPr="00C9343F">
        <w:tab/>
      </w:r>
      <w:r w:rsidRPr="00C9343F">
        <w:fldChar w:fldCharType="begin"/>
      </w:r>
      <w:r w:rsidRPr="00C9343F">
        <w:instrText xml:space="preserve"> PAGEREF _Toc105053615 \h </w:instrText>
      </w:r>
      <w:r w:rsidRPr="00C9343F">
        <w:fldChar w:fldCharType="separate"/>
      </w:r>
      <w:r w:rsidRPr="00C9343F">
        <w:t>48</w:t>
      </w:r>
      <w:r w:rsidRPr="00C9343F">
        <w:fldChar w:fldCharType="end"/>
      </w:r>
    </w:p>
    <w:p w14:paraId="5FAB891A" w14:textId="61BD4714" w:rsidR="00271952" w:rsidRPr="00C9343F" w:rsidRDefault="00271952">
      <w:pPr>
        <w:pStyle w:val="TOC5"/>
        <w:rPr>
          <w:rFonts w:asciiTheme="minorHAnsi" w:eastAsiaTheme="minorEastAsia" w:hAnsiTheme="minorHAnsi" w:cstheme="minorBidi"/>
          <w:sz w:val="22"/>
          <w:szCs w:val="22"/>
        </w:rPr>
      </w:pPr>
      <w:r w:rsidRPr="00C9343F">
        <w:t>1.7.14    Other forms of leave with or without pay</w:t>
      </w:r>
      <w:r w:rsidRPr="00C9343F">
        <w:tab/>
      </w:r>
      <w:r w:rsidRPr="00C9343F">
        <w:fldChar w:fldCharType="begin"/>
      </w:r>
      <w:r w:rsidRPr="00C9343F">
        <w:instrText xml:space="preserve"> PAGEREF _Toc105053616 \h </w:instrText>
      </w:r>
      <w:r w:rsidRPr="00C9343F">
        <w:fldChar w:fldCharType="separate"/>
      </w:r>
      <w:r w:rsidRPr="00C9343F">
        <w:t>49</w:t>
      </w:r>
      <w:r w:rsidRPr="00C9343F">
        <w:fldChar w:fldCharType="end"/>
      </w:r>
    </w:p>
    <w:p w14:paraId="52B780E9" w14:textId="2309733F" w:rsidR="00271952" w:rsidRPr="00C9343F" w:rsidRDefault="00271952">
      <w:pPr>
        <w:pStyle w:val="TOC4"/>
        <w:rPr>
          <w:rFonts w:asciiTheme="minorHAnsi" w:eastAsiaTheme="minorEastAsia" w:hAnsiTheme="minorHAnsi" w:cstheme="minorBidi"/>
          <w:sz w:val="22"/>
          <w:szCs w:val="22"/>
        </w:rPr>
      </w:pPr>
      <w:r w:rsidRPr="00C9343F">
        <w:t>Division 2: Housing, removals and storage</w:t>
      </w:r>
      <w:r w:rsidRPr="00C9343F">
        <w:tab/>
      </w:r>
      <w:r w:rsidRPr="00C9343F">
        <w:fldChar w:fldCharType="begin"/>
      </w:r>
      <w:r w:rsidRPr="00C9343F">
        <w:instrText xml:space="preserve"> PAGEREF _Toc105053617 \h </w:instrText>
      </w:r>
      <w:r w:rsidRPr="00C9343F">
        <w:fldChar w:fldCharType="separate"/>
      </w:r>
      <w:r w:rsidRPr="00C9343F">
        <w:t>50</w:t>
      </w:r>
      <w:r w:rsidRPr="00C9343F">
        <w:fldChar w:fldCharType="end"/>
      </w:r>
    </w:p>
    <w:p w14:paraId="64D95C02" w14:textId="0C3423A2" w:rsidR="00271952" w:rsidRPr="00C9343F" w:rsidRDefault="00271952">
      <w:pPr>
        <w:pStyle w:val="TOC5"/>
        <w:rPr>
          <w:rFonts w:asciiTheme="minorHAnsi" w:eastAsiaTheme="minorEastAsia" w:hAnsiTheme="minorHAnsi" w:cstheme="minorBidi"/>
          <w:sz w:val="22"/>
          <w:szCs w:val="22"/>
        </w:rPr>
      </w:pPr>
      <w:r w:rsidRPr="00C9343F">
        <w:t>1.7.15    Purpose</w:t>
      </w:r>
      <w:r w:rsidRPr="00C9343F">
        <w:tab/>
      </w:r>
      <w:r w:rsidRPr="00C9343F">
        <w:fldChar w:fldCharType="begin"/>
      </w:r>
      <w:r w:rsidRPr="00C9343F">
        <w:instrText xml:space="preserve"> PAGEREF _Toc105053618 \h </w:instrText>
      </w:r>
      <w:r w:rsidRPr="00C9343F">
        <w:fldChar w:fldCharType="separate"/>
      </w:r>
      <w:r w:rsidRPr="00C9343F">
        <w:t>50</w:t>
      </w:r>
      <w:r w:rsidRPr="00C9343F">
        <w:fldChar w:fldCharType="end"/>
      </w:r>
    </w:p>
    <w:p w14:paraId="01ABB21D" w14:textId="67B65774" w:rsidR="00271952" w:rsidRPr="00C9343F" w:rsidRDefault="00271952">
      <w:pPr>
        <w:pStyle w:val="TOC5"/>
        <w:rPr>
          <w:rFonts w:asciiTheme="minorHAnsi" w:eastAsiaTheme="minorEastAsia" w:hAnsiTheme="minorHAnsi" w:cstheme="minorBidi"/>
          <w:sz w:val="22"/>
          <w:szCs w:val="22"/>
        </w:rPr>
      </w:pPr>
      <w:r w:rsidRPr="00C9343F">
        <w:t>1.7.16    Member occupying a Service residence or rent band choice property</w:t>
      </w:r>
      <w:r w:rsidRPr="00C9343F">
        <w:tab/>
      </w:r>
      <w:r w:rsidRPr="00C9343F">
        <w:fldChar w:fldCharType="begin"/>
      </w:r>
      <w:r w:rsidRPr="00C9343F">
        <w:instrText xml:space="preserve"> PAGEREF _Toc105053619 \h </w:instrText>
      </w:r>
      <w:r w:rsidRPr="00C9343F">
        <w:fldChar w:fldCharType="separate"/>
      </w:r>
      <w:r w:rsidRPr="00C9343F">
        <w:t>50</w:t>
      </w:r>
      <w:r w:rsidRPr="00C9343F">
        <w:fldChar w:fldCharType="end"/>
      </w:r>
    </w:p>
    <w:p w14:paraId="32DCBFE7" w14:textId="2C074408" w:rsidR="00271952" w:rsidRPr="00C9343F" w:rsidRDefault="00271952">
      <w:pPr>
        <w:pStyle w:val="TOC5"/>
        <w:rPr>
          <w:rFonts w:asciiTheme="minorHAnsi" w:eastAsiaTheme="minorEastAsia" w:hAnsiTheme="minorHAnsi" w:cstheme="minorBidi"/>
          <w:sz w:val="22"/>
          <w:szCs w:val="22"/>
        </w:rPr>
      </w:pPr>
      <w:r w:rsidRPr="00C9343F">
        <w:t>1.7.17    Member occupying a rent allowance property</w:t>
      </w:r>
      <w:r w:rsidRPr="00C9343F">
        <w:tab/>
      </w:r>
      <w:r w:rsidRPr="00C9343F">
        <w:fldChar w:fldCharType="begin"/>
      </w:r>
      <w:r w:rsidRPr="00C9343F">
        <w:instrText xml:space="preserve"> PAGEREF _Toc105053620 \h </w:instrText>
      </w:r>
      <w:r w:rsidRPr="00C9343F">
        <w:fldChar w:fldCharType="separate"/>
      </w:r>
      <w:r w:rsidRPr="00C9343F">
        <w:t>51</w:t>
      </w:r>
      <w:r w:rsidRPr="00C9343F">
        <w:fldChar w:fldCharType="end"/>
      </w:r>
    </w:p>
    <w:p w14:paraId="59BAD1B1" w14:textId="6078122A" w:rsidR="00271952" w:rsidRPr="00C9343F" w:rsidRDefault="00271952">
      <w:pPr>
        <w:pStyle w:val="TOC5"/>
        <w:rPr>
          <w:rFonts w:asciiTheme="minorHAnsi" w:eastAsiaTheme="minorEastAsia" w:hAnsiTheme="minorHAnsi" w:cstheme="minorBidi"/>
          <w:sz w:val="22"/>
          <w:szCs w:val="22"/>
        </w:rPr>
      </w:pPr>
      <w:r w:rsidRPr="00C9343F">
        <w:t>1.7.18    Member occupying living-in accommodation</w:t>
      </w:r>
      <w:r w:rsidRPr="00C9343F">
        <w:tab/>
      </w:r>
      <w:r w:rsidRPr="00C9343F">
        <w:fldChar w:fldCharType="begin"/>
      </w:r>
      <w:r w:rsidRPr="00C9343F">
        <w:instrText xml:space="preserve"> PAGEREF _Toc105053621 \h </w:instrText>
      </w:r>
      <w:r w:rsidRPr="00C9343F">
        <w:fldChar w:fldCharType="separate"/>
      </w:r>
      <w:r w:rsidRPr="00C9343F">
        <w:t>51</w:t>
      </w:r>
      <w:r w:rsidRPr="00C9343F">
        <w:fldChar w:fldCharType="end"/>
      </w:r>
    </w:p>
    <w:p w14:paraId="6F0B5CCC" w14:textId="6AF22541" w:rsidR="00271952" w:rsidRPr="00C9343F" w:rsidRDefault="00271952">
      <w:pPr>
        <w:pStyle w:val="TOC5"/>
        <w:rPr>
          <w:rFonts w:asciiTheme="minorHAnsi" w:eastAsiaTheme="minorEastAsia" w:hAnsiTheme="minorHAnsi" w:cstheme="minorBidi"/>
          <w:sz w:val="22"/>
          <w:szCs w:val="22"/>
        </w:rPr>
      </w:pPr>
      <w:r w:rsidRPr="00C9343F">
        <w:t>1.7.19    Storage costs</w:t>
      </w:r>
      <w:r w:rsidRPr="00C9343F">
        <w:tab/>
      </w:r>
      <w:r w:rsidRPr="00C9343F">
        <w:fldChar w:fldCharType="begin"/>
      </w:r>
      <w:r w:rsidRPr="00C9343F">
        <w:instrText xml:space="preserve"> PAGEREF _Toc105053622 \h </w:instrText>
      </w:r>
      <w:r w:rsidRPr="00C9343F">
        <w:fldChar w:fldCharType="separate"/>
      </w:r>
      <w:r w:rsidRPr="00C9343F">
        <w:t>51</w:t>
      </w:r>
      <w:r w:rsidRPr="00C9343F">
        <w:fldChar w:fldCharType="end"/>
      </w:r>
    </w:p>
    <w:p w14:paraId="21F3F4B9" w14:textId="0ADCB21D" w:rsidR="00271952" w:rsidRPr="00C9343F" w:rsidRDefault="00271952">
      <w:pPr>
        <w:pStyle w:val="TOC5"/>
        <w:rPr>
          <w:rFonts w:asciiTheme="minorHAnsi" w:eastAsiaTheme="minorEastAsia" w:hAnsiTheme="minorHAnsi" w:cstheme="minorBidi"/>
          <w:sz w:val="22"/>
          <w:szCs w:val="22"/>
        </w:rPr>
      </w:pPr>
      <w:r w:rsidRPr="00C9343F">
        <w:t>1.7.20    Contribution for meals</w:t>
      </w:r>
      <w:r w:rsidRPr="00C9343F">
        <w:tab/>
      </w:r>
      <w:r w:rsidRPr="00C9343F">
        <w:fldChar w:fldCharType="begin"/>
      </w:r>
      <w:r w:rsidRPr="00C9343F">
        <w:instrText xml:space="preserve"> PAGEREF _Toc105053623 \h </w:instrText>
      </w:r>
      <w:r w:rsidRPr="00C9343F">
        <w:fldChar w:fldCharType="separate"/>
      </w:r>
      <w:r w:rsidRPr="00C9343F">
        <w:t>52</w:t>
      </w:r>
      <w:r w:rsidRPr="00C9343F">
        <w:fldChar w:fldCharType="end"/>
      </w:r>
    </w:p>
    <w:p w14:paraId="2700255D" w14:textId="3E3BC5E1" w:rsidR="00271952" w:rsidRPr="00C9343F" w:rsidRDefault="00271952">
      <w:pPr>
        <w:pStyle w:val="TOC5"/>
        <w:rPr>
          <w:rFonts w:asciiTheme="minorHAnsi" w:eastAsiaTheme="minorEastAsia" w:hAnsiTheme="minorHAnsi" w:cstheme="minorBidi"/>
          <w:sz w:val="22"/>
          <w:szCs w:val="22"/>
        </w:rPr>
      </w:pPr>
      <w:r w:rsidRPr="00C9343F">
        <w:t>1.7.21    Food allowance</w:t>
      </w:r>
      <w:r w:rsidRPr="00C9343F">
        <w:tab/>
      </w:r>
      <w:r w:rsidRPr="00C9343F">
        <w:fldChar w:fldCharType="begin"/>
      </w:r>
      <w:r w:rsidRPr="00C9343F">
        <w:instrText xml:space="preserve"> PAGEREF _Toc105053624 \h </w:instrText>
      </w:r>
      <w:r w:rsidRPr="00C9343F">
        <w:fldChar w:fldCharType="separate"/>
      </w:r>
      <w:r w:rsidRPr="00C9343F">
        <w:t>52</w:t>
      </w:r>
      <w:r w:rsidRPr="00C9343F">
        <w:fldChar w:fldCharType="end"/>
      </w:r>
    </w:p>
    <w:p w14:paraId="4BA6378D" w14:textId="3915EA4F" w:rsidR="00271952" w:rsidRPr="00C9343F" w:rsidRDefault="00271952">
      <w:pPr>
        <w:pStyle w:val="TOC4"/>
        <w:rPr>
          <w:rFonts w:asciiTheme="minorHAnsi" w:eastAsiaTheme="minorEastAsia" w:hAnsiTheme="minorHAnsi" w:cstheme="minorBidi"/>
          <w:sz w:val="22"/>
          <w:szCs w:val="22"/>
        </w:rPr>
      </w:pPr>
      <w:r w:rsidRPr="00C9343F">
        <w:t>Division 3: Other benefits</w:t>
      </w:r>
      <w:r w:rsidRPr="00C9343F">
        <w:tab/>
      </w:r>
      <w:r w:rsidRPr="00C9343F">
        <w:fldChar w:fldCharType="begin"/>
      </w:r>
      <w:r w:rsidRPr="00C9343F">
        <w:instrText xml:space="preserve"> PAGEREF _Toc105053625 \h </w:instrText>
      </w:r>
      <w:r w:rsidRPr="00C9343F">
        <w:fldChar w:fldCharType="separate"/>
      </w:r>
      <w:r w:rsidRPr="00C9343F">
        <w:t>53</w:t>
      </w:r>
      <w:r w:rsidRPr="00C9343F">
        <w:fldChar w:fldCharType="end"/>
      </w:r>
    </w:p>
    <w:p w14:paraId="42AE0319" w14:textId="058A0858" w:rsidR="00271952" w:rsidRPr="00C9343F" w:rsidRDefault="00271952">
      <w:pPr>
        <w:pStyle w:val="TOC5"/>
        <w:rPr>
          <w:rFonts w:asciiTheme="minorHAnsi" w:eastAsiaTheme="minorEastAsia" w:hAnsiTheme="minorHAnsi" w:cstheme="minorBidi"/>
          <w:sz w:val="22"/>
          <w:szCs w:val="22"/>
        </w:rPr>
      </w:pPr>
      <w:r w:rsidRPr="00C9343F">
        <w:t>1.7.22    Purpose</w:t>
      </w:r>
      <w:r w:rsidRPr="00C9343F">
        <w:tab/>
      </w:r>
      <w:r w:rsidRPr="00C9343F">
        <w:fldChar w:fldCharType="begin"/>
      </w:r>
      <w:r w:rsidRPr="00C9343F">
        <w:instrText xml:space="preserve"> PAGEREF _Toc105053626 \h </w:instrText>
      </w:r>
      <w:r w:rsidRPr="00C9343F">
        <w:fldChar w:fldCharType="separate"/>
      </w:r>
      <w:r w:rsidRPr="00C9343F">
        <w:t>53</w:t>
      </w:r>
      <w:r w:rsidRPr="00C9343F">
        <w:fldChar w:fldCharType="end"/>
      </w:r>
    </w:p>
    <w:p w14:paraId="28B9BEFC" w14:textId="6CDBC5F6" w:rsidR="00271952" w:rsidRPr="00C9343F" w:rsidRDefault="00271952">
      <w:pPr>
        <w:pStyle w:val="TOC5"/>
        <w:rPr>
          <w:rFonts w:asciiTheme="minorHAnsi" w:eastAsiaTheme="minorEastAsia" w:hAnsiTheme="minorHAnsi" w:cstheme="minorBidi"/>
          <w:sz w:val="22"/>
          <w:szCs w:val="22"/>
        </w:rPr>
      </w:pPr>
      <w:r w:rsidRPr="00C9343F">
        <w:t>1.7.24    Travel in Australia</w:t>
      </w:r>
      <w:r w:rsidRPr="00C9343F">
        <w:tab/>
      </w:r>
      <w:r w:rsidRPr="00C9343F">
        <w:fldChar w:fldCharType="begin"/>
      </w:r>
      <w:r w:rsidRPr="00C9343F">
        <w:instrText xml:space="preserve"> PAGEREF _Toc105053627 \h </w:instrText>
      </w:r>
      <w:r w:rsidRPr="00C9343F">
        <w:fldChar w:fldCharType="separate"/>
      </w:r>
      <w:r w:rsidRPr="00C9343F">
        <w:t>53</w:t>
      </w:r>
      <w:r w:rsidRPr="00C9343F">
        <w:fldChar w:fldCharType="end"/>
      </w:r>
    </w:p>
    <w:p w14:paraId="78E08869" w14:textId="3A27BF39" w:rsidR="00271952" w:rsidRPr="00C9343F" w:rsidRDefault="00271952">
      <w:pPr>
        <w:pStyle w:val="TOC5"/>
        <w:rPr>
          <w:rFonts w:asciiTheme="minorHAnsi" w:eastAsiaTheme="minorEastAsia" w:hAnsiTheme="minorHAnsi" w:cstheme="minorBidi"/>
          <w:sz w:val="22"/>
          <w:szCs w:val="22"/>
        </w:rPr>
      </w:pPr>
      <w:r w:rsidRPr="00C9343F">
        <w:t>1.7.25    Funeral costs</w:t>
      </w:r>
      <w:r w:rsidRPr="00C9343F">
        <w:tab/>
      </w:r>
      <w:r w:rsidRPr="00C9343F">
        <w:fldChar w:fldCharType="begin"/>
      </w:r>
      <w:r w:rsidRPr="00C9343F">
        <w:instrText xml:space="preserve"> PAGEREF _Toc105053628 \h </w:instrText>
      </w:r>
      <w:r w:rsidRPr="00C9343F">
        <w:fldChar w:fldCharType="separate"/>
      </w:r>
      <w:r w:rsidRPr="00C9343F">
        <w:t>53</w:t>
      </w:r>
      <w:r w:rsidRPr="00C9343F">
        <w:fldChar w:fldCharType="end"/>
      </w:r>
    </w:p>
    <w:p w14:paraId="58DE0D31" w14:textId="24CE4FFC" w:rsidR="00271952" w:rsidRPr="00C9343F" w:rsidRDefault="00271952">
      <w:pPr>
        <w:pStyle w:val="TOC2"/>
        <w:rPr>
          <w:rFonts w:asciiTheme="minorHAnsi" w:eastAsiaTheme="minorEastAsia" w:hAnsiTheme="minorHAnsi" w:cstheme="minorBidi"/>
          <w:b w:val="0"/>
          <w:noProof/>
          <w:sz w:val="22"/>
          <w:szCs w:val="22"/>
        </w:rPr>
      </w:pPr>
      <w:r w:rsidRPr="00C9343F">
        <w:rPr>
          <w:noProof/>
        </w:rPr>
        <w:t>Chapter 2: ADF career</w:t>
      </w:r>
      <w:r w:rsidRPr="00C9343F">
        <w:rPr>
          <w:noProof/>
        </w:rPr>
        <w:tab/>
      </w:r>
      <w:r w:rsidRPr="00C9343F">
        <w:rPr>
          <w:noProof/>
        </w:rPr>
        <w:fldChar w:fldCharType="begin"/>
      </w:r>
      <w:r w:rsidRPr="00C9343F">
        <w:rPr>
          <w:noProof/>
        </w:rPr>
        <w:instrText xml:space="preserve"> PAGEREF _Toc105053629 \h </w:instrText>
      </w:r>
      <w:r w:rsidRPr="00C9343F">
        <w:rPr>
          <w:noProof/>
        </w:rPr>
      </w:r>
      <w:r w:rsidRPr="00C9343F">
        <w:rPr>
          <w:noProof/>
        </w:rPr>
        <w:fldChar w:fldCharType="separate"/>
      </w:r>
      <w:r w:rsidRPr="00C9343F">
        <w:rPr>
          <w:noProof/>
        </w:rPr>
        <w:t>54</w:t>
      </w:r>
      <w:r w:rsidRPr="00C9343F">
        <w:rPr>
          <w:noProof/>
        </w:rPr>
        <w:fldChar w:fldCharType="end"/>
      </w:r>
    </w:p>
    <w:p w14:paraId="59AD041D" w14:textId="153D477D" w:rsidR="00271952" w:rsidRPr="00C9343F" w:rsidRDefault="00271952">
      <w:pPr>
        <w:pStyle w:val="TOC3"/>
        <w:rPr>
          <w:rFonts w:asciiTheme="minorHAnsi" w:eastAsiaTheme="minorEastAsia" w:hAnsiTheme="minorHAnsi" w:cstheme="minorBidi"/>
          <w:b w:val="0"/>
          <w:sz w:val="22"/>
          <w:szCs w:val="22"/>
        </w:rPr>
      </w:pPr>
      <w:r w:rsidRPr="00C9343F">
        <w:t>Part 1: Joining the ADF</w:t>
      </w:r>
      <w:r w:rsidRPr="00C9343F">
        <w:tab/>
      </w:r>
      <w:r w:rsidRPr="00C9343F">
        <w:fldChar w:fldCharType="begin"/>
      </w:r>
      <w:r w:rsidRPr="00C9343F">
        <w:instrText xml:space="preserve"> PAGEREF _Toc105053630 \h </w:instrText>
      </w:r>
      <w:r w:rsidRPr="00C9343F">
        <w:fldChar w:fldCharType="separate"/>
      </w:r>
      <w:r w:rsidRPr="00C9343F">
        <w:t>54</w:t>
      </w:r>
      <w:r w:rsidRPr="00C9343F">
        <w:fldChar w:fldCharType="end"/>
      </w:r>
    </w:p>
    <w:p w14:paraId="5D83BB47" w14:textId="788F6F83" w:rsidR="00271952" w:rsidRPr="00C9343F" w:rsidRDefault="00271952">
      <w:pPr>
        <w:pStyle w:val="TOC5"/>
        <w:rPr>
          <w:rFonts w:asciiTheme="minorHAnsi" w:eastAsiaTheme="minorEastAsia" w:hAnsiTheme="minorHAnsi" w:cstheme="minorBidi"/>
          <w:sz w:val="22"/>
          <w:szCs w:val="22"/>
        </w:rPr>
      </w:pPr>
      <w:r w:rsidRPr="00C9343F">
        <w:t>2.1.3    Purpose</w:t>
      </w:r>
      <w:r w:rsidRPr="00C9343F">
        <w:tab/>
      </w:r>
      <w:r w:rsidRPr="00C9343F">
        <w:fldChar w:fldCharType="begin"/>
      </w:r>
      <w:r w:rsidRPr="00C9343F">
        <w:instrText xml:space="preserve"> PAGEREF _Toc105053631 \h </w:instrText>
      </w:r>
      <w:r w:rsidRPr="00C9343F">
        <w:fldChar w:fldCharType="separate"/>
      </w:r>
      <w:r w:rsidRPr="00C9343F">
        <w:t>54</w:t>
      </w:r>
      <w:r w:rsidRPr="00C9343F">
        <w:fldChar w:fldCharType="end"/>
      </w:r>
    </w:p>
    <w:p w14:paraId="21B47E78" w14:textId="4A37B3FB" w:rsidR="00271952" w:rsidRPr="00C9343F" w:rsidRDefault="00271952">
      <w:pPr>
        <w:pStyle w:val="TOC5"/>
        <w:rPr>
          <w:rFonts w:asciiTheme="minorHAnsi" w:eastAsiaTheme="minorEastAsia" w:hAnsiTheme="minorHAnsi" w:cstheme="minorBidi"/>
          <w:sz w:val="22"/>
          <w:szCs w:val="22"/>
        </w:rPr>
      </w:pPr>
      <w:r w:rsidRPr="00C9343F">
        <w:rPr>
          <w:rFonts w:cs="Arial"/>
          <w:color w:val="000000"/>
        </w:rPr>
        <w:t>2.1.4    Travel, accommodation and meals</w:t>
      </w:r>
      <w:r w:rsidRPr="00C9343F">
        <w:tab/>
      </w:r>
      <w:r w:rsidRPr="00C9343F">
        <w:fldChar w:fldCharType="begin"/>
      </w:r>
      <w:r w:rsidRPr="00C9343F">
        <w:instrText xml:space="preserve"> PAGEREF _Toc105053632 \h </w:instrText>
      </w:r>
      <w:r w:rsidRPr="00C9343F">
        <w:fldChar w:fldCharType="separate"/>
      </w:r>
      <w:r w:rsidRPr="00C9343F">
        <w:t>54</w:t>
      </w:r>
      <w:r w:rsidRPr="00C9343F">
        <w:fldChar w:fldCharType="end"/>
      </w:r>
    </w:p>
    <w:p w14:paraId="246475BF" w14:textId="3E16897F" w:rsidR="00271952" w:rsidRPr="00C9343F" w:rsidRDefault="00271952">
      <w:pPr>
        <w:pStyle w:val="TOC5"/>
        <w:rPr>
          <w:rFonts w:asciiTheme="minorHAnsi" w:eastAsiaTheme="minorEastAsia" w:hAnsiTheme="minorHAnsi" w:cstheme="minorBidi"/>
          <w:sz w:val="22"/>
          <w:szCs w:val="22"/>
        </w:rPr>
      </w:pPr>
      <w:r w:rsidRPr="00C9343F">
        <w:t>2.1.5    Prepaid fares</w:t>
      </w:r>
      <w:r w:rsidRPr="00C9343F">
        <w:tab/>
      </w:r>
      <w:r w:rsidRPr="00C9343F">
        <w:fldChar w:fldCharType="begin"/>
      </w:r>
      <w:r w:rsidRPr="00C9343F">
        <w:instrText xml:space="preserve"> PAGEREF _Toc105053633 \h </w:instrText>
      </w:r>
      <w:r w:rsidRPr="00C9343F">
        <w:fldChar w:fldCharType="separate"/>
      </w:r>
      <w:r w:rsidRPr="00C9343F">
        <w:t>55</w:t>
      </w:r>
      <w:r w:rsidRPr="00C9343F">
        <w:fldChar w:fldCharType="end"/>
      </w:r>
    </w:p>
    <w:p w14:paraId="3D05E40C" w14:textId="6246C987" w:rsidR="00271952" w:rsidRPr="00C9343F" w:rsidRDefault="00271952">
      <w:pPr>
        <w:pStyle w:val="TOC5"/>
        <w:rPr>
          <w:rFonts w:asciiTheme="minorHAnsi" w:eastAsiaTheme="minorEastAsia" w:hAnsiTheme="minorHAnsi" w:cstheme="minorBidi"/>
          <w:sz w:val="22"/>
          <w:szCs w:val="22"/>
        </w:rPr>
      </w:pPr>
      <w:r w:rsidRPr="00C9343F">
        <w:t>2.1.6    Baggage</w:t>
      </w:r>
      <w:r w:rsidRPr="00C9343F">
        <w:tab/>
      </w:r>
      <w:r w:rsidRPr="00C9343F">
        <w:fldChar w:fldCharType="begin"/>
      </w:r>
      <w:r w:rsidRPr="00C9343F">
        <w:instrText xml:space="preserve"> PAGEREF _Toc105053634 \h </w:instrText>
      </w:r>
      <w:r w:rsidRPr="00C9343F">
        <w:fldChar w:fldCharType="separate"/>
      </w:r>
      <w:r w:rsidRPr="00C9343F">
        <w:t>55</w:t>
      </w:r>
      <w:r w:rsidRPr="00C9343F">
        <w:fldChar w:fldCharType="end"/>
      </w:r>
    </w:p>
    <w:p w14:paraId="260A7B06" w14:textId="341B0F6A" w:rsidR="00271952" w:rsidRPr="00C9343F" w:rsidRDefault="00271952">
      <w:pPr>
        <w:pStyle w:val="TOC5"/>
        <w:rPr>
          <w:rFonts w:asciiTheme="minorHAnsi" w:eastAsiaTheme="minorEastAsia" w:hAnsiTheme="minorHAnsi" w:cstheme="minorBidi"/>
          <w:sz w:val="22"/>
          <w:szCs w:val="22"/>
        </w:rPr>
      </w:pPr>
      <w:r w:rsidRPr="00C9343F">
        <w:t>2.1.7    Loss of wages or salary</w:t>
      </w:r>
      <w:r w:rsidRPr="00C9343F">
        <w:tab/>
      </w:r>
      <w:r w:rsidRPr="00C9343F">
        <w:fldChar w:fldCharType="begin"/>
      </w:r>
      <w:r w:rsidRPr="00C9343F">
        <w:instrText xml:space="preserve"> PAGEREF _Toc105053635 \h </w:instrText>
      </w:r>
      <w:r w:rsidRPr="00C9343F">
        <w:fldChar w:fldCharType="separate"/>
      </w:r>
      <w:r w:rsidRPr="00C9343F">
        <w:t>55</w:t>
      </w:r>
      <w:r w:rsidRPr="00C9343F">
        <w:fldChar w:fldCharType="end"/>
      </w:r>
    </w:p>
    <w:p w14:paraId="7B1E66C6" w14:textId="28BA002E" w:rsidR="00271952" w:rsidRPr="00C9343F" w:rsidRDefault="00271952">
      <w:pPr>
        <w:pStyle w:val="TOC3"/>
        <w:rPr>
          <w:rFonts w:asciiTheme="minorHAnsi" w:eastAsiaTheme="minorEastAsia" w:hAnsiTheme="minorHAnsi" w:cstheme="minorBidi"/>
          <w:b w:val="0"/>
          <w:sz w:val="22"/>
          <w:szCs w:val="22"/>
        </w:rPr>
      </w:pPr>
      <w:r w:rsidRPr="00C9343F">
        <w:t>Part 2: Career transition</w:t>
      </w:r>
      <w:r w:rsidRPr="00C9343F">
        <w:tab/>
      </w:r>
      <w:r w:rsidRPr="00C9343F">
        <w:fldChar w:fldCharType="begin"/>
      </w:r>
      <w:r w:rsidRPr="00C9343F">
        <w:instrText xml:space="preserve"> PAGEREF _Toc105053636 \h </w:instrText>
      </w:r>
      <w:r w:rsidRPr="00C9343F">
        <w:fldChar w:fldCharType="separate"/>
      </w:r>
      <w:r w:rsidRPr="00C9343F">
        <w:t>56</w:t>
      </w:r>
      <w:r w:rsidRPr="00C9343F">
        <w:fldChar w:fldCharType="end"/>
      </w:r>
    </w:p>
    <w:p w14:paraId="5859B2B7" w14:textId="128A34A5" w:rsidR="00271952" w:rsidRPr="00C9343F" w:rsidRDefault="00271952">
      <w:pPr>
        <w:pStyle w:val="TOC5"/>
        <w:rPr>
          <w:rFonts w:asciiTheme="minorHAnsi" w:eastAsiaTheme="minorEastAsia" w:hAnsiTheme="minorHAnsi" w:cstheme="minorBidi"/>
          <w:sz w:val="22"/>
          <w:szCs w:val="22"/>
        </w:rPr>
      </w:pPr>
      <w:r w:rsidRPr="00C9343F">
        <w:t>2.2.1    Purpose</w:t>
      </w:r>
      <w:r w:rsidRPr="00C9343F">
        <w:tab/>
      </w:r>
      <w:r w:rsidRPr="00C9343F">
        <w:fldChar w:fldCharType="begin"/>
      </w:r>
      <w:r w:rsidRPr="00C9343F">
        <w:instrText xml:space="preserve"> PAGEREF _Toc105053637 \h </w:instrText>
      </w:r>
      <w:r w:rsidRPr="00C9343F">
        <w:fldChar w:fldCharType="separate"/>
      </w:r>
      <w:r w:rsidRPr="00C9343F">
        <w:t>56</w:t>
      </w:r>
      <w:r w:rsidRPr="00C9343F">
        <w:fldChar w:fldCharType="end"/>
      </w:r>
    </w:p>
    <w:p w14:paraId="0429E8D5" w14:textId="1343DA95" w:rsidR="00271952" w:rsidRPr="00C9343F" w:rsidRDefault="00271952">
      <w:pPr>
        <w:pStyle w:val="TOC5"/>
        <w:rPr>
          <w:rFonts w:asciiTheme="minorHAnsi" w:eastAsiaTheme="minorEastAsia" w:hAnsiTheme="minorHAnsi" w:cstheme="minorBidi"/>
          <w:sz w:val="22"/>
          <w:szCs w:val="22"/>
        </w:rPr>
      </w:pPr>
      <w:r w:rsidRPr="00C9343F">
        <w:lastRenderedPageBreak/>
        <w:t>2.2.2    Definitions</w:t>
      </w:r>
      <w:r w:rsidRPr="00C9343F">
        <w:tab/>
      </w:r>
      <w:r w:rsidRPr="00C9343F">
        <w:fldChar w:fldCharType="begin"/>
      </w:r>
      <w:r w:rsidRPr="00C9343F">
        <w:instrText xml:space="preserve"> PAGEREF _Toc105053638 \h </w:instrText>
      </w:r>
      <w:r w:rsidRPr="00C9343F">
        <w:fldChar w:fldCharType="separate"/>
      </w:r>
      <w:r w:rsidRPr="00C9343F">
        <w:t>56</w:t>
      </w:r>
      <w:r w:rsidRPr="00C9343F">
        <w:fldChar w:fldCharType="end"/>
      </w:r>
    </w:p>
    <w:p w14:paraId="56D5D864" w14:textId="4299A3DE" w:rsidR="00271952" w:rsidRPr="00C9343F" w:rsidRDefault="00271952">
      <w:pPr>
        <w:pStyle w:val="TOC5"/>
        <w:rPr>
          <w:rFonts w:asciiTheme="minorHAnsi" w:eastAsiaTheme="minorEastAsia" w:hAnsiTheme="minorHAnsi" w:cstheme="minorBidi"/>
          <w:sz w:val="22"/>
          <w:szCs w:val="22"/>
        </w:rPr>
      </w:pPr>
      <w:r w:rsidRPr="00C9343F">
        <w:t>2.2.3    Member this Part applies to</w:t>
      </w:r>
      <w:r w:rsidRPr="00C9343F">
        <w:tab/>
      </w:r>
      <w:r w:rsidRPr="00C9343F">
        <w:fldChar w:fldCharType="begin"/>
      </w:r>
      <w:r w:rsidRPr="00C9343F">
        <w:instrText xml:space="preserve"> PAGEREF _Toc105053639 \h </w:instrText>
      </w:r>
      <w:r w:rsidRPr="00C9343F">
        <w:fldChar w:fldCharType="separate"/>
      </w:r>
      <w:r w:rsidRPr="00C9343F">
        <w:t>56</w:t>
      </w:r>
      <w:r w:rsidRPr="00C9343F">
        <w:fldChar w:fldCharType="end"/>
      </w:r>
    </w:p>
    <w:p w14:paraId="64DB6A30" w14:textId="1EE2A262" w:rsidR="00271952" w:rsidRPr="00C9343F" w:rsidRDefault="00271952">
      <w:pPr>
        <w:pStyle w:val="TOC5"/>
        <w:rPr>
          <w:rFonts w:asciiTheme="minorHAnsi" w:eastAsiaTheme="minorEastAsia" w:hAnsiTheme="minorHAnsi" w:cstheme="minorBidi"/>
          <w:sz w:val="22"/>
          <w:szCs w:val="22"/>
        </w:rPr>
      </w:pPr>
      <w:r w:rsidRPr="00C9343F">
        <w:t>2.2.4    Member this Part does not apply to</w:t>
      </w:r>
      <w:r w:rsidRPr="00C9343F">
        <w:tab/>
      </w:r>
      <w:r w:rsidRPr="00C9343F">
        <w:fldChar w:fldCharType="begin"/>
      </w:r>
      <w:r w:rsidRPr="00C9343F">
        <w:instrText xml:space="preserve"> PAGEREF _Toc105053640 \h </w:instrText>
      </w:r>
      <w:r w:rsidRPr="00C9343F">
        <w:fldChar w:fldCharType="separate"/>
      </w:r>
      <w:r w:rsidRPr="00C9343F">
        <w:t>57</w:t>
      </w:r>
      <w:r w:rsidRPr="00C9343F">
        <w:fldChar w:fldCharType="end"/>
      </w:r>
    </w:p>
    <w:p w14:paraId="5085A8ED" w14:textId="37678B7D" w:rsidR="00271952" w:rsidRPr="00C9343F" w:rsidRDefault="00271952">
      <w:pPr>
        <w:pStyle w:val="TOC5"/>
        <w:rPr>
          <w:rFonts w:asciiTheme="minorHAnsi" w:eastAsiaTheme="minorEastAsia" w:hAnsiTheme="minorHAnsi" w:cstheme="minorBidi"/>
          <w:sz w:val="22"/>
          <w:szCs w:val="22"/>
        </w:rPr>
      </w:pPr>
      <w:r w:rsidRPr="00C9343F">
        <w:t>2.2.5    Career transition training</w:t>
      </w:r>
      <w:r w:rsidRPr="00C9343F">
        <w:tab/>
      </w:r>
      <w:r w:rsidRPr="00C9343F">
        <w:fldChar w:fldCharType="begin"/>
      </w:r>
      <w:r w:rsidRPr="00C9343F">
        <w:instrText xml:space="preserve"> PAGEREF _Toc105053641 \h </w:instrText>
      </w:r>
      <w:r w:rsidRPr="00C9343F">
        <w:fldChar w:fldCharType="separate"/>
      </w:r>
      <w:r w:rsidRPr="00C9343F">
        <w:t>57</w:t>
      </w:r>
      <w:r w:rsidRPr="00C9343F">
        <w:fldChar w:fldCharType="end"/>
      </w:r>
    </w:p>
    <w:p w14:paraId="32AE5EBF" w14:textId="2490F45D" w:rsidR="00271952" w:rsidRPr="00C9343F" w:rsidRDefault="00271952">
      <w:pPr>
        <w:pStyle w:val="TOC5"/>
        <w:rPr>
          <w:rFonts w:asciiTheme="minorHAnsi" w:eastAsiaTheme="minorEastAsia" w:hAnsiTheme="minorHAnsi" w:cstheme="minorBidi"/>
          <w:sz w:val="22"/>
          <w:szCs w:val="22"/>
        </w:rPr>
      </w:pPr>
      <w:r w:rsidRPr="00C9343F">
        <w:t>2.2.6    Assistance for professional financial advice</w:t>
      </w:r>
      <w:r w:rsidRPr="00C9343F">
        <w:tab/>
      </w:r>
      <w:r w:rsidRPr="00C9343F">
        <w:fldChar w:fldCharType="begin"/>
      </w:r>
      <w:r w:rsidRPr="00C9343F">
        <w:instrText xml:space="preserve"> PAGEREF _Toc105053642 \h </w:instrText>
      </w:r>
      <w:r w:rsidRPr="00C9343F">
        <w:fldChar w:fldCharType="separate"/>
      </w:r>
      <w:r w:rsidRPr="00C9343F">
        <w:t>58</w:t>
      </w:r>
      <w:r w:rsidRPr="00C9343F">
        <w:fldChar w:fldCharType="end"/>
      </w:r>
    </w:p>
    <w:p w14:paraId="66758646" w14:textId="245140B3" w:rsidR="00271952" w:rsidRPr="00C9343F" w:rsidRDefault="00271952">
      <w:pPr>
        <w:pStyle w:val="TOC5"/>
        <w:rPr>
          <w:rFonts w:asciiTheme="minorHAnsi" w:eastAsiaTheme="minorEastAsia" w:hAnsiTheme="minorHAnsi" w:cstheme="minorBidi"/>
          <w:sz w:val="22"/>
          <w:szCs w:val="22"/>
        </w:rPr>
      </w:pPr>
      <w:r w:rsidRPr="00C9343F">
        <w:t>2.2.7    Travel and accommodation</w:t>
      </w:r>
      <w:r w:rsidRPr="00C9343F">
        <w:tab/>
      </w:r>
      <w:r w:rsidRPr="00C9343F">
        <w:fldChar w:fldCharType="begin"/>
      </w:r>
      <w:r w:rsidRPr="00C9343F">
        <w:instrText xml:space="preserve"> PAGEREF _Toc105053643 \h </w:instrText>
      </w:r>
      <w:r w:rsidRPr="00C9343F">
        <w:fldChar w:fldCharType="separate"/>
      </w:r>
      <w:r w:rsidRPr="00C9343F">
        <w:t>58</w:t>
      </w:r>
      <w:r w:rsidRPr="00C9343F">
        <w:fldChar w:fldCharType="end"/>
      </w:r>
    </w:p>
    <w:p w14:paraId="45AD10CF" w14:textId="18DB9E23" w:rsidR="00271952" w:rsidRPr="00C9343F" w:rsidRDefault="00271952">
      <w:pPr>
        <w:pStyle w:val="TOC5"/>
        <w:rPr>
          <w:rFonts w:asciiTheme="minorHAnsi" w:eastAsiaTheme="minorEastAsia" w:hAnsiTheme="minorHAnsi" w:cstheme="minorBidi"/>
          <w:sz w:val="22"/>
          <w:szCs w:val="22"/>
        </w:rPr>
      </w:pPr>
      <w:r w:rsidRPr="00C9343F">
        <w:t>2.2.8    Approved absence</w:t>
      </w:r>
      <w:r w:rsidRPr="00C9343F">
        <w:tab/>
      </w:r>
      <w:r w:rsidRPr="00C9343F">
        <w:fldChar w:fldCharType="begin"/>
      </w:r>
      <w:r w:rsidRPr="00C9343F">
        <w:instrText xml:space="preserve"> PAGEREF _Toc105053644 \h </w:instrText>
      </w:r>
      <w:r w:rsidRPr="00C9343F">
        <w:fldChar w:fldCharType="separate"/>
      </w:r>
      <w:r w:rsidRPr="00C9343F">
        <w:t>58</w:t>
      </w:r>
      <w:r w:rsidRPr="00C9343F">
        <w:fldChar w:fldCharType="end"/>
      </w:r>
    </w:p>
    <w:p w14:paraId="1B6AA5D3" w14:textId="39D8F027" w:rsidR="00271952" w:rsidRPr="00C9343F" w:rsidRDefault="00271952">
      <w:pPr>
        <w:pStyle w:val="TOC5"/>
        <w:rPr>
          <w:rFonts w:asciiTheme="minorHAnsi" w:eastAsiaTheme="minorEastAsia" w:hAnsiTheme="minorHAnsi" w:cstheme="minorBidi"/>
          <w:sz w:val="22"/>
          <w:szCs w:val="22"/>
        </w:rPr>
      </w:pPr>
      <w:r w:rsidRPr="00C9343F">
        <w:t>2.2.9    How to apply for transition assistance and approved absence</w:t>
      </w:r>
      <w:r w:rsidRPr="00C9343F">
        <w:tab/>
      </w:r>
      <w:r w:rsidRPr="00C9343F">
        <w:fldChar w:fldCharType="begin"/>
      </w:r>
      <w:r w:rsidRPr="00C9343F">
        <w:instrText xml:space="preserve"> PAGEREF _Toc105053645 \h </w:instrText>
      </w:r>
      <w:r w:rsidRPr="00C9343F">
        <w:fldChar w:fldCharType="separate"/>
      </w:r>
      <w:r w:rsidRPr="00C9343F">
        <w:t>59</w:t>
      </w:r>
      <w:r w:rsidRPr="00C9343F">
        <w:fldChar w:fldCharType="end"/>
      </w:r>
    </w:p>
    <w:p w14:paraId="65685436" w14:textId="060CA461" w:rsidR="00271952" w:rsidRPr="00C9343F" w:rsidRDefault="00271952">
      <w:pPr>
        <w:pStyle w:val="TOC3"/>
        <w:rPr>
          <w:rFonts w:asciiTheme="minorHAnsi" w:eastAsiaTheme="minorEastAsia" w:hAnsiTheme="minorHAnsi" w:cstheme="minorBidi"/>
          <w:b w:val="0"/>
          <w:sz w:val="22"/>
          <w:szCs w:val="22"/>
        </w:rPr>
      </w:pPr>
      <w:r w:rsidRPr="00C9343F">
        <w:t>Part 3: Leaving the ADF: Redundancy</w:t>
      </w:r>
      <w:r w:rsidRPr="00C9343F">
        <w:tab/>
      </w:r>
      <w:r w:rsidRPr="00C9343F">
        <w:fldChar w:fldCharType="begin"/>
      </w:r>
      <w:r w:rsidRPr="00C9343F">
        <w:instrText xml:space="preserve"> PAGEREF _Toc105053646 \h </w:instrText>
      </w:r>
      <w:r w:rsidRPr="00C9343F">
        <w:fldChar w:fldCharType="separate"/>
      </w:r>
      <w:r w:rsidRPr="00C9343F">
        <w:t>60</w:t>
      </w:r>
      <w:r w:rsidRPr="00C9343F">
        <w:fldChar w:fldCharType="end"/>
      </w:r>
    </w:p>
    <w:p w14:paraId="6E737D2C" w14:textId="5F6CCC33" w:rsidR="00271952" w:rsidRPr="00C9343F" w:rsidRDefault="00271952">
      <w:pPr>
        <w:pStyle w:val="TOC4"/>
        <w:rPr>
          <w:rFonts w:asciiTheme="minorHAnsi" w:eastAsiaTheme="minorEastAsia" w:hAnsiTheme="minorHAnsi" w:cstheme="minorBidi"/>
          <w:sz w:val="22"/>
          <w:szCs w:val="22"/>
        </w:rPr>
      </w:pPr>
      <w:r w:rsidRPr="00C9343F">
        <w:t>Division 1: Redundancy</w:t>
      </w:r>
      <w:r w:rsidRPr="00C9343F">
        <w:tab/>
      </w:r>
      <w:r w:rsidRPr="00C9343F">
        <w:fldChar w:fldCharType="begin"/>
      </w:r>
      <w:r w:rsidRPr="00C9343F">
        <w:instrText xml:space="preserve"> PAGEREF _Toc105053647 \h </w:instrText>
      </w:r>
      <w:r w:rsidRPr="00C9343F">
        <w:fldChar w:fldCharType="separate"/>
      </w:r>
      <w:r w:rsidRPr="00C9343F">
        <w:t>60</w:t>
      </w:r>
      <w:r w:rsidRPr="00C9343F">
        <w:fldChar w:fldCharType="end"/>
      </w:r>
    </w:p>
    <w:p w14:paraId="5F95EDDB" w14:textId="7A2734C4" w:rsidR="00271952" w:rsidRPr="00C9343F" w:rsidRDefault="00271952">
      <w:pPr>
        <w:pStyle w:val="TOC5"/>
        <w:rPr>
          <w:rFonts w:asciiTheme="minorHAnsi" w:eastAsiaTheme="minorEastAsia" w:hAnsiTheme="minorHAnsi" w:cstheme="minorBidi"/>
          <w:sz w:val="22"/>
          <w:szCs w:val="22"/>
        </w:rPr>
      </w:pPr>
      <w:r w:rsidRPr="00C9343F">
        <w:t>2.3.3    Purpose</w:t>
      </w:r>
      <w:r w:rsidRPr="00C9343F">
        <w:tab/>
      </w:r>
      <w:r w:rsidRPr="00C9343F">
        <w:fldChar w:fldCharType="begin"/>
      </w:r>
      <w:r w:rsidRPr="00C9343F">
        <w:instrText xml:space="preserve"> PAGEREF _Toc105053648 \h </w:instrText>
      </w:r>
      <w:r w:rsidRPr="00C9343F">
        <w:fldChar w:fldCharType="separate"/>
      </w:r>
      <w:r w:rsidRPr="00C9343F">
        <w:t>60</w:t>
      </w:r>
      <w:r w:rsidRPr="00C9343F">
        <w:fldChar w:fldCharType="end"/>
      </w:r>
    </w:p>
    <w:p w14:paraId="15D2C18E" w14:textId="6B07DB96" w:rsidR="00271952" w:rsidRPr="00C9343F" w:rsidRDefault="00271952">
      <w:pPr>
        <w:pStyle w:val="TOC5"/>
        <w:rPr>
          <w:rFonts w:asciiTheme="minorHAnsi" w:eastAsiaTheme="minorEastAsia" w:hAnsiTheme="minorHAnsi" w:cstheme="minorBidi"/>
          <w:sz w:val="22"/>
          <w:szCs w:val="22"/>
        </w:rPr>
      </w:pPr>
      <w:r w:rsidRPr="00C9343F">
        <w:t>2.3.4    Member this Division applies to</w:t>
      </w:r>
      <w:r w:rsidRPr="00C9343F">
        <w:tab/>
      </w:r>
      <w:r w:rsidRPr="00C9343F">
        <w:fldChar w:fldCharType="begin"/>
      </w:r>
      <w:r w:rsidRPr="00C9343F">
        <w:instrText xml:space="preserve"> PAGEREF _Toc105053649 \h </w:instrText>
      </w:r>
      <w:r w:rsidRPr="00C9343F">
        <w:fldChar w:fldCharType="separate"/>
      </w:r>
      <w:r w:rsidRPr="00C9343F">
        <w:t>60</w:t>
      </w:r>
      <w:r w:rsidRPr="00C9343F">
        <w:fldChar w:fldCharType="end"/>
      </w:r>
    </w:p>
    <w:p w14:paraId="515813A4" w14:textId="0D113966" w:rsidR="00271952" w:rsidRPr="00C9343F" w:rsidRDefault="00271952">
      <w:pPr>
        <w:pStyle w:val="TOC5"/>
        <w:rPr>
          <w:rFonts w:asciiTheme="minorHAnsi" w:eastAsiaTheme="minorEastAsia" w:hAnsiTheme="minorHAnsi" w:cstheme="minorBidi"/>
          <w:sz w:val="22"/>
          <w:szCs w:val="22"/>
        </w:rPr>
      </w:pPr>
      <w:r w:rsidRPr="00C9343F">
        <w:t>2.3.5    Benefit</w:t>
      </w:r>
      <w:r w:rsidRPr="00C9343F">
        <w:tab/>
      </w:r>
      <w:r w:rsidRPr="00C9343F">
        <w:fldChar w:fldCharType="begin"/>
      </w:r>
      <w:r w:rsidRPr="00C9343F">
        <w:instrText xml:space="preserve"> PAGEREF _Toc105053650 \h </w:instrText>
      </w:r>
      <w:r w:rsidRPr="00C9343F">
        <w:fldChar w:fldCharType="separate"/>
      </w:r>
      <w:r w:rsidRPr="00C9343F">
        <w:t>60</w:t>
      </w:r>
      <w:r w:rsidRPr="00C9343F">
        <w:fldChar w:fldCharType="end"/>
      </w:r>
    </w:p>
    <w:p w14:paraId="3AF6571D" w14:textId="19CB792B" w:rsidR="00271952" w:rsidRPr="00C9343F" w:rsidRDefault="00271952">
      <w:pPr>
        <w:pStyle w:val="TOC5"/>
        <w:rPr>
          <w:rFonts w:asciiTheme="minorHAnsi" w:eastAsiaTheme="minorEastAsia" w:hAnsiTheme="minorHAnsi" w:cstheme="minorBidi"/>
          <w:sz w:val="22"/>
          <w:szCs w:val="22"/>
        </w:rPr>
      </w:pPr>
      <w:r w:rsidRPr="00C9343F">
        <w:t>2.3.6    Additional payment</w:t>
      </w:r>
      <w:r w:rsidRPr="00C9343F">
        <w:tab/>
      </w:r>
      <w:r w:rsidRPr="00C9343F">
        <w:fldChar w:fldCharType="begin"/>
      </w:r>
      <w:r w:rsidRPr="00C9343F">
        <w:instrText xml:space="preserve"> PAGEREF _Toc105053651 \h </w:instrText>
      </w:r>
      <w:r w:rsidRPr="00C9343F">
        <w:fldChar w:fldCharType="separate"/>
      </w:r>
      <w:r w:rsidRPr="00C9343F">
        <w:t>60</w:t>
      </w:r>
      <w:r w:rsidRPr="00C9343F">
        <w:fldChar w:fldCharType="end"/>
      </w:r>
    </w:p>
    <w:p w14:paraId="1778D9E4" w14:textId="053274F8" w:rsidR="00271952" w:rsidRPr="00C9343F" w:rsidRDefault="00271952">
      <w:pPr>
        <w:pStyle w:val="TOC5"/>
        <w:rPr>
          <w:rFonts w:asciiTheme="minorHAnsi" w:eastAsiaTheme="minorEastAsia" w:hAnsiTheme="minorHAnsi" w:cstheme="minorBidi"/>
          <w:sz w:val="22"/>
          <w:szCs w:val="22"/>
        </w:rPr>
      </w:pPr>
      <w:r w:rsidRPr="00C9343F">
        <w:t>2.3.7    Amount repayable if member continues service</w:t>
      </w:r>
      <w:r w:rsidRPr="00C9343F">
        <w:tab/>
      </w:r>
      <w:r w:rsidRPr="00C9343F">
        <w:fldChar w:fldCharType="begin"/>
      </w:r>
      <w:r w:rsidRPr="00C9343F">
        <w:instrText xml:space="preserve"> PAGEREF _Toc105053652 \h </w:instrText>
      </w:r>
      <w:r w:rsidRPr="00C9343F">
        <w:fldChar w:fldCharType="separate"/>
      </w:r>
      <w:r w:rsidRPr="00C9343F">
        <w:t>61</w:t>
      </w:r>
      <w:r w:rsidRPr="00C9343F">
        <w:fldChar w:fldCharType="end"/>
      </w:r>
    </w:p>
    <w:p w14:paraId="124BB7F4" w14:textId="11C2B0BC" w:rsidR="00271952" w:rsidRPr="00C9343F" w:rsidRDefault="00271952">
      <w:pPr>
        <w:pStyle w:val="TOC4"/>
        <w:rPr>
          <w:rFonts w:asciiTheme="minorHAnsi" w:eastAsiaTheme="minorEastAsia" w:hAnsiTheme="minorHAnsi" w:cstheme="minorBidi"/>
          <w:sz w:val="22"/>
          <w:szCs w:val="22"/>
        </w:rPr>
      </w:pPr>
      <w:r w:rsidRPr="00C9343F">
        <w:t>Division 3: Special benefit payment</w:t>
      </w:r>
      <w:r w:rsidRPr="00C9343F">
        <w:tab/>
      </w:r>
      <w:r w:rsidRPr="00C9343F">
        <w:fldChar w:fldCharType="begin"/>
      </w:r>
      <w:r w:rsidRPr="00C9343F">
        <w:instrText xml:space="preserve"> PAGEREF _Toc105053653 \h </w:instrText>
      </w:r>
      <w:r w:rsidRPr="00C9343F">
        <w:fldChar w:fldCharType="separate"/>
      </w:r>
      <w:r w:rsidRPr="00C9343F">
        <w:t>62</w:t>
      </w:r>
      <w:r w:rsidRPr="00C9343F">
        <w:fldChar w:fldCharType="end"/>
      </w:r>
    </w:p>
    <w:p w14:paraId="7DDCC0FC" w14:textId="3AFB8F75" w:rsidR="00271952" w:rsidRPr="00C9343F" w:rsidRDefault="00271952">
      <w:pPr>
        <w:pStyle w:val="TOC5"/>
        <w:rPr>
          <w:rFonts w:asciiTheme="minorHAnsi" w:eastAsiaTheme="minorEastAsia" w:hAnsiTheme="minorHAnsi" w:cstheme="minorBidi"/>
          <w:sz w:val="22"/>
          <w:szCs w:val="22"/>
        </w:rPr>
      </w:pPr>
      <w:r w:rsidRPr="00C9343F">
        <w:t>2.3.20    Purpose</w:t>
      </w:r>
      <w:r w:rsidRPr="00C9343F">
        <w:tab/>
      </w:r>
      <w:r w:rsidRPr="00C9343F">
        <w:fldChar w:fldCharType="begin"/>
      </w:r>
      <w:r w:rsidRPr="00C9343F">
        <w:instrText xml:space="preserve"> PAGEREF _Toc105053654 \h </w:instrText>
      </w:r>
      <w:r w:rsidRPr="00C9343F">
        <w:fldChar w:fldCharType="separate"/>
      </w:r>
      <w:r w:rsidRPr="00C9343F">
        <w:t>62</w:t>
      </w:r>
      <w:r w:rsidRPr="00C9343F">
        <w:fldChar w:fldCharType="end"/>
      </w:r>
    </w:p>
    <w:p w14:paraId="18E49057" w14:textId="4CA45BF9" w:rsidR="00271952" w:rsidRPr="00C9343F" w:rsidRDefault="00271952">
      <w:pPr>
        <w:pStyle w:val="TOC5"/>
        <w:rPr>
          <w:rFonts w:asciiTheme="minorHAnsi" w:eastAsiaTheme="minorEastAsia" w:hAnsiTheme="minorHAnsi" w:cstheme="minorBidi"/>
          <w:sz w:val="22"/>
          <w:szCs w:val="22"/>
        </w:rPr>
      </w:pPr>
      <w:r w:rsidRPr="00C9343F">
        <w:t>2.3.22    Member eligible for a special benefit</w:t>
      </w:r>
      <w:r w:rsidRPr="00C9343F">
        <w:tab/>
      </w:r>
      <w:r w:rsidRPr="00C9343F">
        <w:fldChar w:fldCharType="begin"/>
      </w:r>
      <w:r w:rsidRPr="00C9343F">
        <w:instrText xml:space="preserve"> PAGEREF _Toc105053655 \h </w:instrText>
      </w:r>
      <w:r w:rsidRPr="00C9343F">
        <w:fldChar w:fldCharType="separate"/>
      </w:r>
      <w:r w:rsidRPr="00C9343F">
        <w:t>62</w:t>
      </w:r>
      <w:r w:rsidRPr="00C9343F">
        <w:fldChar w:fldCharType="end"/>
      </w:r>
    </w:p>
    <w:p w14:paraId="138218C6" w14:textId="0F9C0996" w:rsidR="00271952" w:rsidRPr="00C9343F" w:rsidRDefault="00271952">
      <w:pPr>
        <w:pStyle w:val="TOC5"/>
        <w:rPr>
          <w:rFonts w:asciiTheme="minorHAnsi" w:eastAsiaTheme="minorEastAsia" w:hAnsiTheme="minorHAnsi" w:cstheme="minorBidi"/>
          <w:sz w:val="22"/>
          <w:szCs w:val="22"/>
        </w:rPr>
      </w:pPr>
      <w:r w:rsidRPr="00C9343F">
        <w:t>2.3.23    Amount of special benefit</w:t>
      </w:r>
      <w:r w:rsidRPr="00C9343F">
        <w:tab/>
      </w:r>
      <w:r w:rsidRPr="00C9343F">
        <w:fldChar w:fldCharType="begin"/>
      </w:r>
      <w:r w:rsidRPr="00C9343F">
        <w:instrText xml:space="preserve"> PAGEREF _Toc105053656 \h </w:instrText>
      </w:r>
      <w:r w:rsidRPr="00C9343F">
        <w:fldChar w:fldCharType="separate"/>
      </w:r>
      <w:r w:rsidRPr="00C9343F">
        <w:t>63</w:t>
      </w:r>
      <w:r w:rsidRPr="00C9343F">
        <w:fldChar w:fldCharType="end"/>
      </w:r>
    </w:p>
    <w:p w14:paraId="00FD1C21" w14:textId="04D3F8C9" w:rsidR="00271952" w:rsidRPr="00C9343F" w:rsidRDefault="00271952">
      <w:pPr>
        <w:pStyle w:val="TOC5"/>
        <w:rPr>
          <w:rFonts w:asciiTheme="minorHAnsi" w:eastAsiaTheme="minorEastAsia" w:hAnsiTheme="minorHAnsi" w:cstheme="minorBidi"/>
          <w:sz w:val="22"/>
          <w:szCs w:val="22"/>
        </w:rPr>
      </w:pPr>
      <w:r w:rsidRPr="00C9343F">
        <w:t>2.3.25    Repayment of special benefit</w:t>
      </w:r>
      <w:r w:rsidRPr="00C9343F">
        <w:tab/>
      </w:r>
      <w:r w:rsidRPr="00C9343F">
        <w:fldChar w:fldCharType="begin"/>
      </w:r>
      <w:r w:rsidRPr="00C9343F">
        <w:instrText xml:space="preserve"> PAGEREF _Toc105053657 \h </w:instrText>
      </w:r>
      <w:r w:rsidRPr="00C9343F">
        <w:fldChar w:fldCharType="separate"/>
      </w:r>
      <w:r w:rsidRPr="00C9343F">
        <w:t>63</w:t>
      </w:r>
      <w:r w:rsidRPr="00C9343F">
        <w:fldChar w:fldCharType="end"/>
      </w:r>
    </w:p>
    <w:p w14:paraId="092CDA4F" w14:textId="58434BE8" w:rsidR="00271952" w:rsidRPr="00C9343F" w:rsidRDefault="00271952">
      <w:pPr>
        <w:pStyle w:val="TOC4"/>
        <w:rPr>
          <w:rFonts w:asciiTheme="minorHAnsi" w:eastAsiaTheme="minorEastAsia" w:hAnsiTheme="minorHAnsi" w:cstheme="minorBidi"/>
          <w:sz w:val="22"/>
          <w:szCs w:val="22"/>
        </w:rPr>
      </w:pPr>
      <w:r w:rsidRPr="00C9343F">
        <w:t>Division 4: Additional transition period</w:t>
      </w:r>
      <w:r w:rsidRPr="00C9343F">
        <w:tab/>
      </w:r>
      <w:r w:rsidRPr="00C9343F">
        <w:fldChar w:fldCharType="begin"/>
      </w:r>
      <w:r w:rsidRPr="00C9343F">
        <w:instrText xml:space="preserve"> PAGEREF _Toc105053658 \h </w:instrText>
      </w:r>
      <w:r w:rsidRPr="00C9343F">
        <w:fldChar w:fldCharType="separate"/>
      </w:r>
      <w:r w:rsidRPr="00C9343F">
        <w:t>64</w:t>
      </w:r>
      <w:r w:rsidRPr="00C9343F">
        <w:fldChar w:fldCharType="end"/>
      </w:r>
    </w:p>
    <w:p w14:paraId="18BFC4A5" w14:textId="12A59FD0" w:rsidR="00271952" w:rsidRPr="00C9343F" w:rsidRDefault="00271952">
      <w:pPr>
        <w:pStyle w:val="TOC5"/>
        <w:rPr>
          <w:rFonts w:asciiTheme="minorHAnsi" w:eastAsiaTheme="minorEastAsia" w:hAnsiTheme="minorHAnsi" w:cstheme="minorBidi"/>
          <w:sz w:val="22"/>
          <w:szCs w:val="22"/>
        </w:rPr>
      </w:pPr>
      <w:r w:rsidRPr="00C9343F">
        <w:t>2.3.26    Additional transition period</w:t>
      </w:r>
      <w:r w:rsidRPr="00C9343F">
        <w:tab/>
      </w:r>
      <w:r w:rsidRPr="00C9343F">
        <w:fldChar w:fldCharType="begin"/>
      </w:r>
      <w:r w:rsidRPr="00C9343F">
        <w:instrText xml:space="preserve"> PAGEREF _Toc105053659 \h </w:instrText>
      </w:r>
      <w:r w:rsidRPr="00C9343F">
        <w:fldChar w:fldCharType="separate"/>
      </w:r>
      <w:r w:rsidRPr="00C9343F">
        <w:t>64</w:t>
      </w:r>
      <w:r w:rsidRPr="00C9343F">
        <w:fldChar w:fldCharType="end"/>
      </w:r>
    </w:p>
    <w:p w14:paraId="0FE7B8E9" w14:textId="5BC552B2" w:rsidR="00271952" w:rsidRPr="00C9343F" w:rsidRDefault="00271952">
      <w:pPr>
        <w:pStyle w:val="TOC5"/>
        <w:rPr>
          <w:rFonts w:asciiTheme="minorHAnsi" w:eastAsiaTheme="minorEastAsia" w:hAnsiTheme="minorHAnsi" w:cstheme="minorBidi"/>
          <w:sz w:val="22"/>
          <w:szCs w:val="22"/>
        </w:rPr>
      </w:pPr>
      <w:r w:rsidRPr="00C9343F">
        <w:t>2.3.27    Benefits during additional transition</w:t>
      </w:r>
      <w:r w:rsidRPr="00C9343F">
        <w:tab/>
      </w:r>
      <w:r w:rsidRPr="00C9343F">
        <w:fldChar w:fldCharType="begin"/>
      </w:r>
      <w:r w:rsidRPr="00C9343F">
        <w:instrText xml:space="preserve"> PAGEREF _Toc105053660 \h </w:instrText>
      </w:r>
      <w:r w:rsidRPr="00C9343F">
        <w:fldChar w:fldCharType="separate"/>
      </w:r>
      <w:r w:rsidRPr="00C9343F">
        <w:t>64</w:t>
      </w:r>
      <w:r w:rsidRPr="00C9343F">
        <w:fldChar w:fldCharType="end"/>
      </w:r>
    </w:p>
    <w:p w14:paraId="47AD7F00" w14:textId="72C612D8" w:rsidR="00271952" w:rsidRPr="00C9343F" w:rsidRDefault="00271952">
      <w:pPr>
        <w:pStyle w:val="TOC2"/>
        <w:rPr>
          <w:rFonts w:asciiTheme="minorHAnsi" w:eastAsiaTheme="minorEastAsia" w:hAnsiTheme="minorHAnsi" w:cstheme="minorBidi"/>
          <w:b w:val="0"/>
          <w:noProof/>
          <w:sz w:val="22"/>
          <w:szCs w:val="22"/>
        </w:rPr>
      </w:pPr>
      <w:r w:rsidRPr="00C9343F">
        <w:rPr>
          <w:noProof/>
        </w:rPr>
        <w:t>Chapter 3: ADF salaries and bonuses</w:t>
      </w:r>
      <w:r w:rsidRPr="00C9343F">
        <w:rPr>
          <w:noProof/>
        </w:rPr>
        <w:tab/>
      </w:r>
      <w:r w:rsidRPr="00C9343F">
        <w:rPr>
          <w:noProof/>
        </w:rPr>
        <w:fldChar w:fldCharType="begin"/>
      </w:r>
      <w:r w:rsidRPr="00C9343F">
        <w:rPr>
          <w:noProof/>
        </w:rPr>
        <w:instrText xml:space="preserve"> PAGEREF _Toc105053661 \h </w:instrText>
      </w:r>
      <w:r w:rsidRPr="00C9343F">
        <w:rPr>
          <w:noProof/>
        </w:rPr>
      </w:r>
      <w:r w:rsidRPr="00C9343F">
        <w:rPr>
          <w:noProof/>
        </w:rPr>
        <w:fldChar w:fldCharType="separate"/>
      </w:r>
      <w:r w:rsidRPr="00C9343F">
        <w:rPr>
          <w:noProof/>
        </w:rPr>
        <w:t>65</w:t>
      </w:r>
      <w:r w:rsidRPr="00C9343F">
        <w:rPr>
          <w:noProof/>
        </w:rPr>
        <w:fldChar w:fldCharType="end"/>
      </w:r>
    </w:p>
    <w:p w14:paraId="65EDF59B" w14:textId="09E73D19" w:rsidR="00271952" w:rsidRPr="00C9343F" w:rsidRDefault="00271952">
      <w:pPr>
        <w:pStyle w:val="TOC3"/>
        <w:rPr>
          <w:rFonts w:asciiTheme="minorHAnsi" w:eastAsiaTheme="minorEastAsia" w:hAnsiTheme="minorHAnsi" w:cstheme="minorBidi"/>
          <w:b w:val="0"/>
          <w:sz w:val="22"/>
          <w:szCs w:val="22"/>
        </w:rPr>
      </w:pPr>
      <w:r w:rsidRPr="00C9343F">
        <w:t>Part 2: Administration of salaries</w:t>
      </w:r>
      <w:r w:rsidRPr="00C9343F">
        <w:tab/>
      </w:r>
      <w:r w:rsidRPr="00C9343F">
        <w:fldChar w:fldCharType="begin"/>
      </w:r>
      <w:r w:rsidRPr="00C9343F">
        <w:instrText xml:space="preserve"> PAGEREF _Toc105053662 \h </w:instrText>
      </w:r>
      <w:r w:rsidRPr="00C9343F">
        <w:fldChar w:fldCharType="separate"/>
      </w:r>
      <w:r w:rsidRPr="00C9343F">
        <w:t>65</w:t>
      </w:r>
      <w:r w:rsidRPr="00C9343F">
        <w:fldChar w:fldCharType="end"/>
      </w:r>
    </w:p>
    <w:p w14:paraId="74F4324B" w14:textId="72E24C76" w:rsidR="00271952" w:rsidRPr="00C9343F" w:rsidRDefault="00271952">
      <w:pPr>
        <w:pStyle w:val="TOC5"/>
        <w:rPr>
          <w:rFonts w:asciiTheme="minorHAnsi" w:eastAsiaTheme="minorEastAsia" w:hAnsiTheme="minorHAnsi" w:cstheme="minorBidi"/>
          <w:sz w:val="22"/>
          <w:szCs w:val="22"/>
        </w:rPr>
      </w:pPr>
      <w:r w:rsidRPr="00C9343F">
        <w:t>3.2.1    Overview</w:t>
      </w:r>
      <w:r w:rsidRPr="00C9343F">
        <w:tab/>
      </w:r>
      <w:r w:rsidRPr="00C9343F">
        <w:fldChar w:fldCharType="begin"/>
      </w:r>
      <w:r w:rsidRPr="00C9343F">
        <w:instrText xml:space="preserve"> PAGEREF _Toc105053663 \h </w:instrText>
      </w:r>
      <w:r w:rsidRPr="00C9343F">
        <w:fldChar w:fldCharType="separate"/>
      </w:r>
      <w:r w:rsidRPr="00C9343F">
        <w:t>65</w:t>
      </w:r>
      <w:r w:rsidRPr="00C9343F">
        <w:fldChar w:fldCharType="end"/>
      </w:r>
    </w:p>
    <w:p w14:paraId="573A522B" w14:textId="5142D997" w:rsidR="00271952" w:rsidRPr="00C9343F" w:rsidRDefault="00271952">
      <w:pPr>
        <w:pStyle w:val="TOC4"/>
        <w:rPr>
          <w:rFonts w:asciiTheme="minorHAnsi" w:eastAsiaTheme="minorEastAsia" w:hAnsiTheme="minorHAnsi" w:cstheme="minorBidi"/>
          <w:sz w:val="22"/>
          <w:szCs w:val="22"/>
        </w:rPr>
      </w:pPr>
      <w:r w:rsidRPr="00C9343F">
        <w:t>Division 1: About salaries</w:t>
      </w:r>
      <w:r w:rsidRPr="00C9343F">
        <w:tab/>
      </w:r>
      <w:r w:rsidRPr="00C9343F">
        <w:fldChar w:fldCharType="begin"/>
      </w:r>
      <w:r w:rsidRPr="00C9343F">
        <w:instrText xml:space="preserve"> PAGEREF _Toc105053664 \h </w:instrText>
      </w:r>
      <w:r w:rsidRPr="00C9343F">
        <w:fldChar w:fldCharType="separate"/>
      </w:r>
      <w:r w:rsidRPr="00C9343F">
        <w:t>66</w:t>
      </w:r>
      <w:r w:rsidRPr="00C9343F">
        <w:fldChar w:fldCharType="end"/>
      </w:r>
    </w:p>
    <w:p w14:paraId="736F1D40" w14:textId="471B35E1" w:rsidR="00271952" w:rsidRPr="00C9343F" w:rsidRDefault="00271952">
      <w:pPr>
        <w:pStyle w:val="TOC5"/>
        <w:rPr>
          <w:rFonts w:asciiTheme="minorHAnsi" w:eastAsiaTheme="minorEastAsia" w:hAnsiTheme="minorHAnsi" w:cstheme="minorBidi"/>
          <w:sz w:val="22"/>
          <w:szCs w:val="22"/>
        </w:rPr>
      </w:pPr>
      <w:r w:rsidRPr="00C9343F">
        <w:rPr>
          <w:color w:val="000000"/>
        </w:rPr>
        <w:t>3.2.3    Purpose</w:t>
      </w:r>
      <w:r w:rsidRPr="00C9343F">
        <w:tab/>
      </w:r>
      <w:r w:rsidRPr="00C9343F">
        <w:fldChar w:fldCharType="begin"/>
      </w:r>
      <w:r w:rsidRPr="00C9343F">
        <w:instrText xml:space="preserve"> PAGEREF _Toc105053665 \h </w:instrText>
      </w:r>
      <w:r w:rsidRPr="00C9343F">
        <w:fldChar w:fldCharType="separate"/>
      </w:r>
      <w:r w:rsidRPr="00C9343F">
        <w:t>66</w:t>
      </w:r>
      <w:r w:rsidRPr="00C9343F">
        <w:fldChar w:fldCharType="end"/>
      </w:r>
    </w:p>
    <w:p w14:paraId="08C21418" w14:textId="72652F58" w:rsidR="00271952" w:rsidRPr="00C9343F" w:rsidRDefault="00271952">
      <w:pPr>
        <w:pStyle w:val="TOC5"/>
        <w:rPr>
          <w:rFonts w:asciiTheme="minorHAnsi" w:eastAsiaTheme="minorEastAsia" w:hAnsiTheme="minorHAnsi" w:cstheme="minorBidi"/>
          <w:sz w:val="22"/>
          <w:szCs w:val="22"/>
        </w:rPr>
      </w:pPr>
      <w:r w:rsidRPr="00C9343F">
        <w:t>3.2.5    Time for payment of salary for a member on continuous full-time service</w:t>
      </w:r>
      <w:r w:rsidRPr="00C9343F">
        <w:tab/>
      </w:r>
      <w:r w:rsidRPr="00C9343F">
        <w:fldChar w:fldCharType="begin"/>
      </w:r>
      <w:r w:rsidRPr="00C9343F">
        <w:instrText xml:space="preserve"> PAGEREF _Toc105053666 \h </w:instrText>
      </w:r>
      <w:r w:rsidRPr="00C9343F">
        <w:fldChar w:fldCharType="separate"/>
      </w:r>
      <w:r w:rsidRPr="00C9343F">
        <w:t>66</w:t>
      </w:r>
      <w:r w:rsidRPr="00C9343F">
        <w:fldChar w:fldCharType="end"/>
      </w:r>
    </w:p>
    <w:p w14:paraId="1889894E" w14:textId="70EC99F4" w:rsidR="00271952" w:rsidRPr="00C9343F" w:rsidRDefault="00271952">
      <w:pPr>
        <w:pStyle w:val="TOC5"/>
        <w:rPr>
          <w:rFonts w:asciiTheme="minorHAnsi" w:eastAsiaTheme="minorEastAsia" w:hAnsiTheme="minorHAnsi" w:cstheme="minorBidi"/>
          <w:sz w:val="22"/>
          <w:szCs w:val="22"/>
        </w:rPr>
      </w:pPr>
      <w:r w:rsidRPr="00C9343F">
        <w:t>3.2.6    Method of payment of salary for a member on continuous full-time service</w:t>
      </w:r>
      <w:r w:rsidRPr="00C9343F">
        <w:tab/>
      </w:r>
      <w:r w:rsidRPr="00C9343F">
        <w:fldChar w:fldCharType="begin"/>
      </w:r>
      <w:r w:rsidRPr="00C9343F">
        <w:instrText xml:space="preserve"> PAGEREF _Toc105053667 \h </w:instrText>
      </w:r>
      <w:r w:rsidRPr="00C9343F">
        <w:fldChar w:fldCharType="separate"/>
      </w:r>
      <w:r w:rsidRPr="00C9343F">
        <w:t>66</w:t>
      </w:r>
      <w:r w:rsidRPr="00C9343F">
        <w:fldChar w:fldCharType="end"/>
      </w:r>
    </w:p>
    <w:p w14:paraId="6F652BBB" w14:textId="5399FD16" w:rsidR="00271952" w:rsidRPr="00C9343F" w:rsidRDefault="00271952">
      <w:pPr>
        <w:pStyle w:val="TOC5"/>
        <w:rPr>
          <w:rFonts w:asciiTheme="minorHAnsi" w:eastAsiaTheme="minorEastAsia" w:hAnsiTheme="minorHAnsi" w:cstheme="minorBidi"/>
          <w:sz w:val="22"/>
          <w:szCs w:val="22"/>
        </w:rPr>
      </w:pPr>
      <w:r w:rsidRPr="00C9343F">
        <w:t>3.2.7    Administration of allowances</w:t>
      </w:r>
      <w:r w:rsidRPr="00C9343F">
        <w:tab/>
      </w:r>
      <w:r w:rsidRPr="00C9343F">
        <w:fldChar w:fldCharType="begin"/>
      </w:r>
      <w:r w:rsidRPr="00C9343F">
        <w:instrText xml:space="preserve"> PAGEREF _Toc105053668 \h </w:instrText>
      </w:r>
      <w:r w:rsidRPr="00C9343F">
        <w:fldChar w:fldCharType="separate"/>
      </w:r>
      <w:r w:rsidRPr="00C9343F">
        <w:t>66</w:t>
      </w:r>
      <w:r w:rsidRPr="00C9343F">
        <w:fldChar w:fldCharType="end"/>
      </w:r>
    </w:p>
    <w:p w14:paraId="174BA032" w14:textId="7C1546D6" w:rsidR="00271952" w:rsidRPr="00C9343F" w:rsidRDefault="00271952">
      <w:pPr>
        <w:pStyle w:val="TOC5"/>
        <w:rPr>
          <w:rFonts w:asciiTheme="minorHAnsi" w:eastAsiaTheme="minorEastAsia" w:hAnsiTheme="minorHAnsi" w:cstheme="minorBidi"/>
          <w:sz w:val="22"/>
          <w:szCs w:val="22"/>
        </w:rPr>
      </w:pPr>
      <w:r w:rsidRPr="00C9343F">
        <w:t>3.2.7AA    Salary and DFRT determinations – flexible service determinations</w:t>
      </w:r>
      <w:r w:rsidRPr="00C9343F">
        <w:tab/>
      </w:r>
      <w:r w:rsidRPr="00C9343F">
        <w:fldChar w:fldCharType="begin"/>
      </w:r>
      <w:r w:rsidRPr="00C9343F">
        <w:instrText xml:space="preserve"> PAGEREF _Toc105053669 \h </w:instrText>
      </w:r>
      <w:r w:rsidRPr="00C9343F">
        <w:fldChar w:fldCharType="separate"/>
      </w:r>
      <w:r w:rsidRPr="00C9343F">
        <w:t>66</w:t>
      </w:r>
      <w:r w:rsidRPr="00C9343F">
        <w:fldChar w:fldCharType="end"/>
      </w:r>
    </w:p>
    <w:p w14:paraId="4B4D49FF" w14:textId="026E6B31" w:rsidR="00271952" w:rsidRPr="00C9343F" w:rsidRDefault="00271952">
      <w:pPr>
        <w:pStyle w:val="TOC5"/>
        <w:rPr>
          <w:rFonts w:asciiTheme="minorHAnsi" w:eastAsiaTheme="minorEastAsia" w:hAnsiTheme="minorHAnsi" w:cstheme="minorBidi"/>
          <w:sz w:val="22"/>
          <w:szCs w:val="22"/>
        </w:rPr>
      </w:pPr>
      <w:r w:rsidRPr="00C9343F">
        <w:t>3.2.7A    Section 58B Allowances – flexible service determinations</w:t>
      </w:r>
      <w:r w:rsidRPr="00C9343F">
        <w:tab/>
      </w:r>
      <w:r w:rsidRPr="00C9343F">
        <w:fldChar w:fldCharType="begin"/>
      </w:r>
      <w:r w:rsidRPr="00C9343F">
        <w:instrText xml:space="preserve"> PAGEREF _Toc105053670 \h </w:instrText>
      </w:r>
      <w:r w:rsidRPr="00C9343F">
        <w:fldChar w:fldCharType="separate"/>
      </w:r>
      <w:r w:rsidRPr="00C9343F">
        <w:t>67</w:t>
      </w:r>
      <w:r w:rsidRPr="00C9343F">
        <w:fldChar w:fldCharType="end"/>
      </w:r>
    </w:p>
    <w:p w14:paraId="6F1C9F70" w14:textId="542A48C7" w:rsidR="00271952" w:rsidRPr="00C9343F" w:rsidRDefault="00271952">
      <w:pPr>
        <w:pStyle w:val="TOC5"/>
        <w:rPr>
          <w:rFonts w:asciiTheme="minorHAnsi" w:eastAsiaTheme="minorEastAsia" w:hAnsiTheme="minorHAnsi" w:cstheme="minorBidi"/>
          <w:sz w:val="22"/>
          <w:szCs w:val="22"/>
        </w:rPr>
      </w:pPr>
      <w:r w:rsidRPr="00C9343F">
        <w:t>3.2.8    Pro rating contributions</w:t>
      </w:r>
      <w:r w:rsidRPr="00C9343F">
        <w:tab/>
      </w:r>
      <w:r w:rsidRPr="00C9343F">
        <w:fldChar w:fldCharType="begin"/>
      </w:r>
      <w:r w:rsidRPr="00C9343F">
        <w:instrText xml:space="preserve"> PAGEREF _Toc105053671 \h </w:instrText>
      </w:r>
      <w:r w:rsidRPr="00C9343F">
        <w:fldChar w:fldCharType="separate"/>
      </w:r>
      <w:r w:rsidRPr="00C9343F">
        <w:t>68</w:t>
      </w:r>
      <w:r w:rsidRPr="00C9343F">
        <w:fldChar w:fldCharType="end"/>
      </w:r>
    </w:p>
    <w:p w14:paraId="381D89CB" w14:textId="18833C8B" w:rsidR="00271952" w:rsidRPr="00C9343F" w:rsidRDefault="00271952">
      <w:pPr>
        <w:pStyle w:val="TOC5"/>
        <w:rPr>
          <w:rFonts w:asciiTheme="minorHAnsi" w:eastAsiaTheme="minorEastAsia" w:hAnsiTheme="minorHAnsi" w:cstheme="minorBidi"/>
          <w:sz w:val="22"/>
          <w:szCs w:val="22"/>
        </w:rPr>
      </w:pPr>
      <w:r w:rsidRPr="00C9343F">
        <w:t>3.2.9    Death or presumed death of member</w:t>
      </w:r>
      <w:r w:rsidRPr="00C9343F">
        <w:tab/>
      </w:r>
      <w:r w:rsidRPr="00C9343F">
        <w:fldChar w:fldCharType="begin"/>
      </w:r>
      <w:r w:rsidRPr="00C9343F">
        <w:instrText xml:space="preserve"> PAGEREF _Toc105053672 \h </w:instrText>
      </w:r>
      <w:r w:rsidRPr="00C9343F">
        <w:fldChar w:fldCharType="separate"/>
      </w:r>
      <w:r w:rsidRPr="00C9343F">
        <w:t>68</w:t>
      </w:r>
      <w:r w:rsidRPr="00C9343F">
        <w:fldChar w:fldCharType="end"/>
      </w:r>
    </w:p>
    <w:p w14:paraId="603BFF32" w14:textId="78635640" w:rsidR="00271952" w:rsidRPr="00C9343F" w:rsidRDefault="00271952">
      <w:pPr>
        <w:pStyle w:val="TOC5"/>
        <w:rPr>
          <w:rFonts w:asciiTheme="minorHAnsi" w:eastAsiaTheme="minorEastAsia" w:hAnsiTheme="minorHAnsi" w:cstheme="minorBidi"/>
          <w:sz w:val="22"/>
          <w:szCs w:val="22"/>
        </w:rPr>
      </w:pPr>
      <w:r w:rsidRPr="00C9343F">
        <w:t>3.2.13    Reserve member taken to be attending for duty</w:t>
      </w:r>
      <w:r w:rsidRPr="00C9343F">
        <w:tab/>
      </w:r>
      <w:r w:rsidRPr="00C9343F">
        <w:fldChar w:fldCharType="begin"/>
      </w:r>
      <w:r w:rsidRPr="00C9343F">
        <w:instrText xml:space="preserve"> PAGEREF _Toc105053673 \h </w:instrText>
      </w:r>
      <w:r w:rsidRPr="00C9343F">
        <w:fldChar w:fldCharType="separate"/>
      </w:r>
      <w:r w:rsidRPr="00C9343F">
        <w:t>68</w:t>
      </w:r>
      <w:r w:rsidRPr="00C9343F">
        <w:fldChar w:fldCharType="end"/>
      </w:r>
    </w:p>
    <w:p w14:paraId="78BA01D2" w14:textId="2A5278B6" w:rsidR="00271952" w:rsidRPr="00C9343F" w:rsidRDefault="00271952">
      <w:pPr>
        <w:pStyle w:val="TOC5"/>
        <w:rPr>
          <w:rFonts w:asciiTheme="minorHAnsi" w:eastAsiaTheme="minorEastAsia" w:hAnsiTheme="minorHAnsi" w:cstheme="minorBidi"/>
          <w:sz w:val="22"/>
          <w:szCs w:val="22"/>
        </w:rPr>
      </w:pPr>
      <w:r w:rsidRPr="00C9343F">
        <w:lastRenderedPageBreak/>
        <w:t>3.2.14    Reserve member attending for duty in special circumstances</w:t>
      </w:r>
      <w:r w:rsidRPr="00C9343F">
        <w:tab/>
      </w:r>
      <w:r w:rsidRPr="00C9343F">
        <w:fldChar w:fldCharType="begin"/>
      </w:r>
      <w:r w:rsidRPr="00C9343F">
        <w:instrText xml:space="preserve"> PAGEREF _Toc105053674 \h </w:instrText>
      </w:r>
      <w:r w:rsidRPr="00C9343F">
        <w:fldChar w:fldCharType="separate"/>
      </w:r>
      <w:r w:rsidRPr="00C9343F">
        <w:t>69</w:t>
      </w:r>
      <w:r w:rsidRPr="00C9343F">
        <w:fldChar w:fldCharType="end"/>
      </w:r>
    </w:p>
    <w:p w14:paraId="12E4BB45" w14:textId="4B6CBF03" w:rsidR="00271952" w:rsidRPr="00C9343F" w:rsidRDefault="00271952">
      <w:pPr>
        <w:pStyle w:val="TOC5"/>
        <w:rPr>
          <w:rFonts w:asciiTheme="minorHAnsi" w:eastAsiaTheme="minorEastAsia" w:hAnsiTheme="minorHAnsi" w:cstheme="minorBidi"/>
          <w:sz w:val="22"/>
          <w:szCs w:val="22"/>
        </w:rPr>
      </w:pPr>
      <w:r w:rsidRPr="00C9343F">
        <w:t>3.2.15    Reserve Assistance Program attendance</w:t>
      </w:r>
      <w:r w:rsidRPr="00C9343F">
        <w:tab/>
      </w:r>
      <w:r w:rsidRPr="00C9343F">
        <w:fldChar w:fldCharType="begin"/>
      </w:r>
      <w:r w:rsidRPr="00C9343F">
        <w:instrText xml:space="preserve"> PAGEREF _Toc105053675 \h </w:instrText>
      </w:r>
      <w:r w:rsidRPr="00C9343F">
        <w:fldChar w:fldCharType="separate"/>
      </w:r>
      <w:r w:rsidRPr="00C9343F">
        <w:t>70</w:t>
      </w:r>
      <w:r w:rsidRPr="00C9343F">
        <w:fldChar w:fldCharType="end"/>
      </w:r>
    </w:p>
    <w:p w14:paraId="6BF101C8" w14:textId="3FB8409C" w:rsidR="00271952" w:rsidRPr="00C9343F" w:rsidRDefault="00271952">
      <w:pPr>
        <w:pStyle w:val="TOC5"/>
        <w:rPr>
          <w:rFonts w:asciiTheme="minorHAnsi" w:eastAsiaTheme="minorEastAsia" w:hAnsiTheme="minorHAnsi" w:cstheme="minorBidi"/>
          <w:sz w:val="22"/>
          <w:szCs w:val="22"/>
        </w:rPr>
      </w:pPr>
      <w:r w:rsidRPr="00C9343F">
        <w:t>3.2.17    Method of payment of salary and allowances for a member on Reserve service</w:t>
      </w:r>
      <w:r w:rsidRPr="00C9343F">
        <w:tab/>
      </w:r>
      <w:r w:rsidRPr="00C9343F">
        <w:fldChar w:fldCharType="begin"/>
      </w:r>
      <w:r w:rsidRPr="00C9343F">
        <w:instrText xml:space="preserve"> PAGEREF _Toc105053676 \h </w:instrText>
      </w:r>
      <w:r w:rsidRPr="00C9343F">
        <w:fldChar w:fldCharType="separate"/>
      </w:r>
      <w:r w:rsidRPr="00C9343F">
        <w:t>70</w:t>
      </w:r>
      <w:r w:rsidRPr="00C9343F">
        <w:fldChar w:fldCharType="end"/>
      </w:r>
    </w:p>
    <w:p w14:paraId="17DE4CF2" w14:textId="703612FA" w:rsidR="00271952" w:rsidRPr="00C9343F" w:rsidRDefault="00271952">
      <w:pPr>
        <w:pStyle w:val="TOC4"/>
        <w:rPr>
          <w:rFonts w:asciiTheme="minorHAnsi" w:eastAsiaTheme="minorEastAsia" w:hAnsiTheme="minorHAnsi" w:cstheme="minorBidi"/>
          <w:sz w:val="22"/>
          <w:szCs w:val="22"/>
        </w:rPr>
      </w:pPr>
      <w:r w:rsidRPr="00C9343F">
        <w:t>Division 2: Commencement salary</w:t>
      </w:r>
      <w:r w:rsidRPr="00C9343F">
        <w:tab/>
      </w:r>
      <w:r w:rsidRPr="00C9343F">
        <w:fldChar w:fldCharType="begin"/>
      </w:r>
      <w:r w:rsidRPr="00C9343F">
        <w:instrText xml:space="preserve"> PAGEREF _Toc105053677 \h </w:instrText>
      </w:r>
      <w:r w:rsidRPr="00C9343F">
        <w:fldChar w:fldCharType="separate"/>
      </w:r>
      <w:r w:rsidRPr="00C9343F">
        <w:t>71</w:t>
      </w:r>
      <w:r w:rsidRPr="00C9343F">
        <w:fldChar w:fldCharType="end"/>
      </w:r>
    </w:p>
    <w:p w14:paraId="463A99FC" w14:textId="544AC2C9" w:rsidR="00271952" w:rsidRPr="00C9343F" w:rsidRDefault="00271952">
      <w:pPr>
        <w:pStyle w:val="TOC5"/>
        <w:rPr>
          <w:rFonts w:asciiTheme="minorHAnsi" w:eastAsiaTheme="minorEastAsia" w:hAnsiTheme="minorHAnsi" w:cstheme="minorBidi"/>
          <w:sz w:val="22"/>
          <w:szCs w:val="22"/>
        </w:rPr>
      </w:pPr>
      <w:r w:rsidRPr="00C9343F">
        <w:t>3.2.18    Purpose</w:t>
      </w:r>
      <w:r w:rsidRPr="00C9343F">
        <w:tab/>
      </w:r>
      <w:r w:rsidRPr="00C9343F">
        <w:fldChar w:fldCharType="begin"/>
      </w:r>
      <w:r w:rsidRPr="00C9343F">
        <w:instrText xml:space="preserve"> PAGEREF _Toc105053678 \h </w:instrText>
      </w:r>
      <w:r w:rsidRPr="00C9343F">
        <w:fldChar w:fldCharType="separate"/>
      </w:r>
      <w:r w:rsidRPr="00C9343F">
        <w:t>71</w:t>
      </w:r>
      <w:r w:rsidRPr="00C9343F">
        <w:fldChar w:fldCharType="end"/>
      </w:r>
    </w:p>
    <w:p w14:paraId="5132299E" w14:textId="6B0F895B" w:rsidR="00271952" w:rsidRPr="00C9343F" w:rsidRDefault="00271952">
      <w:pPr>
        <w:pStyle w:val="TOC5"/>
        <w:rPr>
          <w:rFonts w:asciiTheme="minorHAnsi" w:eastAsiaTheme="minorEastAsia" w:hAnsiTheme="minorHAnsi" w:cstheme="minorBidi"/>
          <w:sz w:val="22"/>
          <w:szCs w:val="22"/>
        </w:rPr>
      </w:pPr>
      <w:r w:rsidRPr="00C9343F">
        <w:t>3.2.18B    Definitions</w:t>
      </w:r>
      <w:r w:rsidRPr="00C9343F">
        <w:tab/>
      </w:r>
      <w:r w:rsidRPr="00C9343F">
        <w:fldChar w:fldCharType="begin"/>
      </w:r>
      <w:r w:rsidRPr="00C9343F">
        <w:instrText xml:space="preserve"> PAGEREF _Toc105053679 \h </w:instrText>
      </w:r>
      <w:r w:rsidRPr="00C9343F">
        <w:fldChar w:fldCharType="separate"/>
      </w:r>
      <w:r w:rsidRPr="00C9343F">
        <w:t>71</w:t>
      </w:r>
      <w:r w:rsidRPr="00C9343F">
        <w:fldChar w:fldCharType="end"/>
      </w:r>
    </w:p>
    <w:p w14:paraId="0C7380C5" w14:textId="3F3FF5EF" w:rsidR="00271952" w:rsidRPr="00C9343F" w:rsidRDefault="00271952">
      <w:pPr>
        <w:pStyle w:val="TOC5"/>
        <w:rPr>
          <w:rFonts w:asciiTheme="minorHAnsi" w:eastAsiaTheme="minorEastAsia" w:hAnsiTheme="minorHAnsi" w:cstheme="minorBidi"/>
          <w:sz w:val="22"/>
          <w:szCs w:val="22"/>
        </w:rPr>
      </w:pPr>
      <w:r w:rsidRPr="00C9343F">
        <w:t>3.2.19    Salary on enlistment or appointment</w:t>
      </w:r>
      <w:r w:rsidRPr="00C9343F">
        <w:tab/>
      </w:r>
      <w:r w:rsidRPr="00C9343F">
        <w:fldChar w:fldCharType="begin"/>
      </w:r>
      <w:r w:rsidRPr="00C9343F">
        <w:instrText xml:space="preserve"> PAGEREF _Toc105053680 \h </w:instrText>
      </w:r>
      <w:r w:rsidRPr="00C9343F">
        <w:fldChar w:fldCharType="separate"/>
      </w:r>
      <w:r w:rsidRPr="00C9343F">
        <w:t>71</w:t>
      </w:r>
      <w:r w:rsidRPr="00C9343F">
        <w:fldChar w:fldCharType="end"/>
      </w:r>
    </w:p>
    <w:p w14:paraId="461FCE66" w14:textId="19705E4C" w:rsidR="00271952" w:rsidRPr="00C9343F" w:rsidRDefault="00271952">
      <w:pPr>
        <w:pStyle w:val="TOC5"/>
        <w:rPr>
          <w:rFonts w:asciiTheme="minorHAnsi" w:eastAsiaTheme="minorEastAsia" w:hAnsiTheme="minorHAnsi" w:cstheme="minorBidi"/>
          <w:sz w:val="22"/>
          <w:szCs w:val="22"/>
        </w:rPr>
      </w:pPr>
      <w:r w:rsidRPr="00C9343F">
        <w:t>3.2.20    Salary on promotion – general</w:t>
      </w:r>
      <w:r w:rsidRPr="00C9343F">
        <w:tab/>
      </w:r>
      <w:r w:rsidRPr="00C9343F">
        <w:fldChar w:fldCharType="begin"/>
      </w:r>
      <w:r w:rsidRPr="00C9343F">
        <w:instrText xml:space="preserve"> PAGEREF _Toc105053681 \h </w:instrText>
      </w:r>
      <w:r w:rsidRPr="00C9343F">
        <w:fldChar w:fldCharType="separate"/>
      </w:r>
      <w:r w:rsidRPr="00C9343F">
        <w:t>72</w:t>
      </w:r>
      <w:r w:rsidRPr="00C9343F">
        <w:fldChar w:fldCharType="end"/>
      </w:r>
    </w:p>
    <w:p w14:paraId="4D3DE7CF" w14:textId="7BEA7ECA" w:rsidR="00271952" w:rsidRPr="00C9343F" w:rsidRDefault="00271952">
      <w:pPr>
        <w:pStyle w:val="TOC5"/>
        <w:rPr>
          <w:rFonts w:asciiTheme="minorHAnsi" w:eastAsiaTheme="minorEastAsia" w:hAnsiTheme="minorHAnsi" w:cstheme="minorBidi"/>
          <w:sz w:val="22"/>
          <w:szCs w:val="22"/>
        </w:rPr>
      </w:pPr>
      <w:r w:rsidRPr="00C9343F">
        <w:t>3.2.21    Salary on change of pay grade or specialist level</w:t>
      </w:r>
      <w:r w:rsidRPr="00C9343F">
        <w:tab/>
      </w:r>
      <w:r w:rsidRPr="00C9343F">
        <w:fldChar w:fldCharType="begin"/>
      </w:r>
      <w:r w:rsidRPr="00C9343F">
        <w:instrText xml:space="preserve"> PAGEREF _Toc105053682 \h </w:instrText>
      </w:r>
      <w:r w:rsidRPr="00C9343F">
        <w:fldChar w:fldCharType="separate"/>
      </w:r>
      <w:r w:rsidRPr="00C9343F">
        <w:t>72</w:t>
      </w:r>
      <w:r w:rsidRPr="00C9343F">
        <w:fldChar w:fldCharType="end"/>
      </w:r>
    </w:p>
    <w:p w14:paraId="5AF2D859" w14:textId="7E1112BE" w:rsidR="00271952" w:rsidRPr="00C9343F" w:rsidRDefault="00271952">
      <w:pPr>
        <w:pStyle w:val="TOC5"/>
        <w:rPr>
          <w:rFonts w:asciiTheme="minorHAnsi" w:eastAsiaTheme="minorEastAsia" w:hAnsiTheme="minorHAnsi" w:cstheme="minorBidi"/>
          <w:sz w:val="22"/>
          <w:szCs w:val="22"/>
        </w:rPr>
      </w:pPr>
      <w:r w:rsidRPr="00C9343F">
        <w:t>3.2.22    Salary on ceasing to be a specialist officer</w:t>
      </w:r>
      <w:r w:rsidRPr="00C9343F">
        <w:tab/>
      </w:r>
      <w:r w:rsidRPr="00C9343F">
        <w:fldChar w:fldCharType="begin"/>
      </w:r>
      <w:r w:rsidRPr="00C9343F">
        <w:instrText xml:space="preserve"> PAGEREF _Toc105053683 \h </w:instrText>
      </w:r>
      <w:r w:rsidRPr="00C9343F">
        <w:fldChar w:fldCharType="separate"/>
      </w:r>
      <w:r w:rsidRPr="00C9343F">
        <w:t>72</w:t>
      </w:r>
      <w:r w:rsidRPr="00C9343F">
        <w:fldChar w:fldCharType="end"/>
      </w:r>
    </w:p>
    <w:p w14:paraId="3162BA9B" w14:textId="74EE560F" w:rsidR="00271952" w:rsidRPr="00C9343F" w:rsidRDefault="00271952">
      <w:pPr>
        <w:pStyle w:val="TOC5"/>
        <w:rPr>
          <w:rFonts w:asciiTheme="minorHAnsi" w:eastAsiaTheme="minorEastAsia" w:hAnsiTheme="minorHAnsi" w:cstheme="minorBidi"/>
          <w:sz w:val="22"/>
          <w:szCs w:val="22"/>
        </w:rPr>
      </w:pPr>
      <w:r w:rsidRPr="00C9343F">
        <w:t>3.2.23    Member with previous service – commencement salary</w:t>
      </w:r>
      <w:r w:rsidRPr="00C9343F">
        <w:tab/>
      </w:r>
      <w:r w:rsidRPr="00C9343F">
        <w:fldChar w:fldCharType="begin"/>
      </w:r>
      <w:r w:rsidRPr="00C9343F">
        <w:instrText xml:space="preserve"> PAGEREF _Toc105053684 \h </w:instrText>
      </w:r>
      <w:r w:rsidRPr="00C9343F">
        <w:fldChar w:fldCharType="separate"/>
      </w:r>
      <w:r w:rsidRPr="00C9343F">
        <w:t>72</w:t>
      </w:r>
      <w:r w:rsidRPr="00C9343F">
        <w:fldChar w:fldCharType="end"/>
      </w:r>
    </w:p>
    <w:p w14:paraId="339D91D8" w14:textId="1CE08B7B" w:rsidR="00271952" w:rsidRPr="00C9343F" w:rsidRDefault="00271952">
      <w:pPr>
        <w:pStyle w:val="TOC5"/>
        <w:rPr>
          <w:rFonts w:asciiTheme="minorHAnsi" w:eastAsiaTheme="minorEastAsia" w:hAnsiTheme="minorHAnsi" w:cstheme="minorBidi"/>
          <w:sz w:val="22"/>
          <w:szCs w:val="22"/>
        </w:rPr>
      </w:pPr>
      <w:r w:rsidRPr="00C9343F">
        <w:t>3.2.24    Recognition of service in the Reserves</w:t>
      </w:r>
      <w:r w:rsidRPr="00C9343F">
        <w:tab/>
      </w:r>
      <w:r w:rsidRPr="00C9343F">
        <w:fldChar w:fldCharType="begin"/>
      </w:r>
      <w:r w:rsidRPr="00C9343F">
        <w:instrText xml:space="preserve"> PAGEREF _Toc105053685 \h </w:instrText>
      </w:r>
      <w:r w:rsidRPr="00C9343F">
        <w:fldChar w:fldCharType="separate"/>
      </w:r>
      <w:r w:rsidRPr="00C9343F">
        <w:t>73</w:t>
      </w:r>
      <w:r w:rsidRPr="00C9343F">
        <w:fldChar w:fldCharType="end"/>
      </w:r>
    </w:p>
    <w:p w14:paraId="3EF0D486" w14:textId="3D804052" w:rsidR="00271952" w:rsidRPr="00C9343F" w:rsidRDefault="00271952">
      <w:pPr>
        <w:pStyle w:val="TOC5"/>
        <w:rPr>
          <w:rFonts w:asciiTheme="minorHAnsi" w:eastAsiaTheme="minorEastAsia" w:hAnsiTheme="minorHAnsi" w:cstheme="minorBidi"/>
          <w:sz w:val="22"/>
          <w:szCs w:val="22"/>
        </w:rPr>
      </w:pPr>
      <w:r w:rsidRPr="00C9343F">
        <w:t>3.2.25    Salary – member undergoing recategorisation training</w:t>
      </w:r>
      <w:r w:rsidRPr="00C9343F">
        <w:tab/>
      </w:r>
      <w:r w:rsidRPr="00C9343F">
        <w:fldChar w:fldCharType="begin"/>
      </w:r>
      <w:r w:rsidRPr="00C9343F">
        <w:instrText xml:space="preserve"> PAGEREF _Toc105053686 \h </w:instrText>
      </w:r>
      <w:r w:rsidRPr="00C9343F">
        <w:fldChar w:fldCharType="separate"/>
      </w:r>
      <w:r w:rsidRPr="00C9343F">
        <w:t>73</w:t>
      </w:r>
      <w:r w:rsidRPr="00C9343F">
        <w:fldChar w:fldCharType="end"/>
      </w:r>
    </w:p>
    <w:p w14:paraId="3815F657" w14:textId="26F9E801" w:rsidR="00271952" w:rsidRPr="00C9343F" w:rsidRDefault="00271952">
      <w:pPr>
        <w:pStyle w:val="TOC5"/>
        <w:rPr>
          <w:rFonts w:asciiTheme="minorHAnsi" w:eastAsiaTheme="minorEastAsia" w:hAnsiTheme="minorHAnsi" w:cstheme="minorBidi"/>
          <w:sz w:val="22"/>
          <w:szCs w:val="22"/>
        </w:rPr>
      </w:pPr>
      <w:r w:rsidRPr="00C9343F">
        <w:rPr>
          <w:color w:val="000000"/>
        </w:rPr>
        <w:t>3.2.26    Salary rate for training – start and advancement dates</w:t>
      </w:r>
      <w:r w:rsidRPr="00C9343F">
        <w:tab/>
      </w:r>
      <w:r w:rsidRPr="00C9343F">
        <w:fldChar w:fldCharType="begin"/>
      </w:r>
      <w:r w:rsidRPr="00C9343F">
        <w:instrText xml:space="preserve"> PAGEREF _Toc105053687 \h </w:instrText>
      </w:r>
      <w:r w:rsidRPr="00C9343F">
        <w:fldChar w:fldCharType="separate"/>
      </w:r>
      <w:r w:rsidRPr="00C9343F">
        <w:t>74</w:t>
      </w:r>
      <w:r w:rsidRPr="00C9343F">
        <w:fldChar w:fldCharType="end"/>
      </w:r>
    </w:p>
    <w:p w14:paraId="3D984365" w14:textId="569F8BAC" w:rsidR="00271952" w:rsidRPr="00C9343F" w:rsidRDefault="00271952">
      <w:pPr>
        <w:pStyle w:val="TOC4"/>
        <w:rPr>
          <w:rFonts w:asciiTheme="minorHAnsi" w:eastAsiaTheme="minorEastAsia" w:hAnsiTheme="minorHAnsi" w:cstheme="minorBidi"/>
          <w:sz w:val="22"/>
          <w:szCs w:val="22"/>
        </w:rPr>
      </w:pPr>
      <w:r w:rsidRPr="00C9343F">
        <w:t>Division 3: Increments</w:t>
      </w:r>
      <w:r w:rsidRPr="00C9343F">
        <w:tab/>
      </w:r>
      <w:r w:rsidRPr="00C9343F">
        <w:fldChar w:fldCharType="begin"/>
      </w:r>
      <w:r w:rsidRPr="00C9343F">
        <w:instrText xml:space="preserve"> PAGEREF _Toc105053688 \h </w:instrText>
      </w:r>
      <w:r w:rsidRPr="00C9343F">
        <w:fldChar w:fldCharType="separate"/>
      </w:r>
      <w:r w:rsidRPr="00C9343F">
        <w:t>75</w:t>
      </w:r>
      <w:r w:rsidRPr="00C9343F">
        <w:fldChar w:fldCharType="end"/>
      </w:r>
    </w:p>
    <w:p w14:paraId="155E40BA" w14:textId="235F00EE" w:rsidR="00271952" w:rsidRPr="00C9343F" w:rsidRDefault="00271952">
      <w:pPr>
        <w:pStyle w:val="TOC5"/>
        <w:rPr>
          <w:rFonts w:asciiTheme="minorHAnsi" w:eastAsiaTheme="minorEastAsia" w:hAnsiTheme="minorHAnsi" w:cstheme="minorBidi"/>
          <w:sz w:val="22"/>
          <w:szCs w:val="22"/>
        </w:rPr>
      </w:pPr>
      <w:r w:rsidRPr="00C9343F">
        <w:t>3.2.27    Purpose</w:t>
      </w:r>
      <w:r w:rsidRPr="00C9343F">
        <w:tab/>
      </w:r>
      <w:r w:rsidRPr="00C9343F">
        <w:fldChar w:fldCharType="begin"/>
      </w:r>
      <w:r w:rsidRPr="00C9343F">
        <w:instrText xml:space="preserve"> PAGEREF _Toc105053689 \h </w:instrText>
      </w:r>
      <w:r w:rsidRPr="00C9343F">
        <w:fldChar w:fldCharType="separate"/>
      </w:r>
      <w:r w:rsidRPr="00C9343F">
        <w:t>75</w:t>
      </w:r>
      <w:r w:rsidRPr="00C9343F">
        <w:fldChar w:fldCharType="end"/>
      </w:r>
    </w:p>
    <w:p w14:paraId="5BE5DA8A" w14:textId="59DAB9A4" w:rsidR="00271952" w:rsidRPr="00C9343F" w:rsidRDefault="00271952">
      <w:pPr>
        <w:pStyle w:val="TOC5"/>
        <w:rPr>
          <w:rFonts w:asciiTheme="minorHAnsi" w:eastAsiaTheme="minorEastAsia" w:hAnsiTheme="minorHAnsi" w:cstheme="minorBidi"/>
          <w:sz w:val="22"/>
          <w:szCs w:val="22"/>
        </w:rPr>
      </w:pPr>
      <w:r w:rsidRPr="00C9343F">
        <w:t>3.2.28    Definitions</w:t>
      </w:r>
      <w:r w:rsidRPr="00C9343F">
        <w:tab/>
      </w:r>
      <w:r w:rsidRPr="00C9343F">
        <w:fldChar w:fldCharType="begin"/>
      </w:r>
      <w:r w:rsidRPr="00C9343F">
        <w:instrText xml:space="preserve"> PAGEREF _Toc105053690 \h </w:instrText>
      </w:r>
      <w:r w:rsidRPr="00C9343F">
        <w:fldChar w:fldCharType="separate"/>
      </w:r>
      <w:r w:rsidRPr="00C9343F">
        <w:t>75</w:t>
      </w:r>
      <w:r w:rsidRPr="00C9343F">
        <w:fldChar w:fldCharType="end"/>
      </w:r>
    </w:p>
    <w:p w14:paraId="1BFDB81A" w14:textId="3BE41D7C" w:rsidR="00271952" w:rsidRPr="00C9343F" w:rsidRDefault="00271952">
      <w:pPr>
        <w:pStyle w:val="TOC5"/>
        <w:rPr>
          <w:rFonts w:asciiTheme="minorHAnsi" w:eastAsiaTheme="minorEastAsia" w:hAnsiTheme="minorHAnsi" w:cstheme="minorBidi"/>
          <w:sz w:val="22"/>
          <w:szCs w:val="22"/>
        </w:rPr>
      </w:pPr>
      <w:r w:rsidRPr="00C9343F">
        <w:t>3.2.29    Member this Division does not apply to</w:t>
      </w:r>
      <w:r w:rsidRPr="00C9343F">
        <w:tab/>
      </w:r>
      <w:r w:rsidRPr="00C9343F">
        <w:fldChar w:fldCharType="begin"/>
      </w:r>
      <w:r w:rsidRPr="00C9343F">
        <w:instrText xml:space="preserve"> PAGEREF _Toc105053691 \h </w:instrText>
      </w:r>
      <w:r w:rsidRPr="00C9343F">
        <w:fldChar w:fldCharType="separate"/>
      </w:r>
      <w:r w:rsidRPr="00C9343F">
        <w:t>75</w:t>
      </w:r>
      <w:r w:rsidRPr="00C9343F">
        <w:fldChar w:fldCharType="end"/>
      </w:r>
    </w:p>
    <w:p w14:paraId="6F8C7A5C" w14:textId="0AAE1A08" w:rsidR="00271952" w:rsidRPr="00C9343F" w:rsidRDefault="00271952">
      <w:pPr>
        <w:pStyle w:val="TOC5"/>
        <w:rPr>
          <w:rFonts w:asciiTheme="minorHAnsi" w:eastAsiaTheme="minorEastAsia" w:hAnsiTheme="minorHAnsi" w:cstheme="minorBidi"/>
          <w:sz w:val="22"/>
          <w:szCs w:val="22"/>
        </w:rPr>
      </w:pPr>
      <w:r w:rsidRPr="00C9343F">
        <w:t>3.2.30    Increment advancement</w:t>
      </w:r>
      <w:r w:rsidRPr="00C9343F">
        <w:tab/>
      </w:r>
      <w:r w:rsidRPr="00C9343F">
        <w:fldChar w:fldCharType="begin"/>
      </w:r>
      <w:r w:rsidRPr="00C9343F">
        <w:instrText xml:space="preserve"> PAGEREF _Toc105053692 \h </w:instrText>
      </w:r>
      <w:r w:rsidRPr="00C9343F">
        <w:fldChar w:fldCharType="separate"/>
      </w:r>
      <w:r w:rsidRPr="00C9343F">
        <w:t>75</w:t>
      </w:r>
      <w:r w:rsidRPr="00C9343F">
        <w:fldChar w:fldCharType="end"/>
      </w:r>
    </w:p>
    <w:p w14:paraId="7B3F0F1C" w14:textId="4B2CD764" w:rsidR="00271952" w:rsidRPr="00C9343F" w:rsidRDefault="00271952">
      <w:pPr>
        <w:pStyle w:val="TOC5"/>
        <w:rPr>
          <w:rFonts w:asciiTheme="minorHAnsi" w:eastAsiaTheme="minorEastAsia" w:hAnsiTheme="minorHAnsi" w:cstheme="minorBidi"/>
          <w:sz w:val="22"/>
          <w:szCs w:val="22"/>
        </w:rPr>
      </w:pPr>
      <w:r w:rsidRPr="00C9343F">
        <w:t>3.2.33    Increment deferral</w:t>
      </w:r>
      <w:r w:rsidRPr="00C9343F">
        <w:tab/>
      </w:r>
      <w:r w:rsidRPr="00C9343F">
        <w:fldChar w:fldCharType="begin"/>
      </w:r>
      <w:r w:rsidRPr="00C9343F">
        <w:instrText xml:space="preserve"> PAGEREF _Toc105053693 \h </w:instrText>
      </w:r>
      <w:r w:rsidRPr="00C9343F">
        <w:fldChar w:fldCharType="separate"/>
      </w:r>
      <w:r w:rsidRPr="00C9343F">
        <w:t>76</w:t>
      </w:r>
      <w:r w:rsidRPr="00C9343F">
        <w:fldChar w:fldCharType="end"/>
      </w:r>
    </w:p>
    <w:p w14:paraId="3D339065" w14:textId="2102B368" w:rsidR="00271952" w:rsidRPr="00C9343F" w:rsidRDefault="00271952">
      <w:pPr>
        <w:pStyle w:val="TOC5"/>
        <w:rPr>
          <w:rFonts w:asciiTheme="minorHAnsi" w:eastAsiaTheme="minorEastAsia" w:hAnsiTheme="minorHAnsi" w:cstheme="minorBidi"/>
          <w:sz w:val="22"/>
          <w:szCs w:val="22"/>
        </w:rPr>
      </w:pPr>
      <w:r w:rsidRPr="00C9343F">
        <w:t>3.2.34    Effect of pay increases on increments</w:t>
      </w:r>
      <w:r w:rsidRPr="00C9343F">
        <w:tab/>
      </w:r>
      <w:r w:rsidRPr="00C9343F">
        <w:fldChar w:fldCharType="begin"/>
      </w:r>
      <w:r w:rsidRPr="00C9343F">
        <w:instrText xml:space="preserve"> PAGEREF _Toc105053694 \h </w:instrText>
      </w:r>
      <w:r w:rsidRPr="00C9343F">
        <w:fldChar w:fldCharType="separate"/>
      </w:r>
      <w:r w:rsidRPr="00C9343F">
        <w:t>76</w:t>
      </w:r>
      <w:r w:rsidRPr="00C9343F">
        <w:fldChar w:fldCharType="end"/>
      </w:r>
    </w:p>
    <w:p w14:paraId="7E3749D4" w14:textId="15096D7F" w:rsidR="00271952" w:rsidRPr="00C9343F" w:rsidRDefault="00271952">
      <w:pPr>
        <w:pStyle w:val="TOC5"/>
        <w:rPr>
          <w:rFonts w:asciiTheme="minorHAnsi" w:eastAsiaTheme="minorEastAsia" w:hAnsiTheme="minorHAnsi" w:cstheme="minorBidi"/>
          <w:sz w:val="22"/>
          <w:szCs w:val="22"/>
        </w:rPr>
      </w:pPr>
      <w:r w:rsidRPr="00C9343F">
        <w:t xml:space="preserve">3.2.35    Effect of </w:t>
      </w:r>
      <w:r w:rsidRPr="00C9343F">
        <w:rPr>
          <w:i/>
        </w:rPr>
        <w:t>pay grade</w:t>
      </w:r>
      <w:r w:rsidRPr="00C9343F">
        <w:t xml:space="preserve"> changes on increments</w:t>
      </w:r>
      <w:r w:rsidRPr="00C9343F">
        <w:tab/>
      </w:r>
      <w:r w:rsidRPr="00C9343F">
        <w:fldChar w:fldCharType="begin"/>
      </w:r>
      <w:r w:rsidRPr="00C9343F">
        <w:instrText xml:space="preserve"> PAGEREF _Toc105053695 \h </w:instrText>
      </w:r>
      <w:r w:rsidRPr="00C9343F">
        <w:fldChar w:fldCharType="separate"/>
      </w:r>
      <w:r w:rsidRPr="00C9343F">
        <w:t>76</w:t>
      </w:r>
      <w:r w:rsidRPr="00C9343F">
        <w:fldChar w:fldCharType="end"/>
      </w:r>
    </w:p>
    <w:p w14:paraId="2A1853BC" w14:textId="76A95600" w:rsidR="00271952" w:rsidRPr="00C9343F" w:rsidRDefault="00271952">
      <w:pPr>
        <w:pStyle w:val="TOC5"/>
        <w:rPr>
          <w:rFonts w:asciiTheme="minorHAnsi" w:eastAsiaTheme="minorEastAsia" w:hAnsiTheme="minorHAnsi" w:cstheme="minorBidi"/>
          <w:sz w:val="22"/>
          <w:szCs w:val="22"/>
        </w:rPr>
      </w:pPr>
      <w:r w:rsidRPr="00C9343F">
        <w:t>3.2.36    Promotion after previous service at temporary or acting rank</w:t>
      </w:r>
      <w:r w:rsidRPr="00C9343F">
        <w:tab/>
      </w:r>
      <w:r w:rsidRPr="00C9343F">
        <w:fldChar w:fldCharType="begin"/>
      </w:r>
      <w:r w:rsidRPr="00C9343F">
        <w:instrText xml:space="preserve"> PAGEREF _Toc105053696 \h </w:instrText>
      </w:r>
      <w:r w:rsidRPr="00C9343F">
        <w:fldChar w:fldCharType="separate"/>
      </w:r>
      <w:r w:rsidRPr="00C9343F">
        <w:t>77</w:t>
      </w:r>
      <w:r w:rsidRPr="00C9343F">
        <w:fldChar w:fldCharType="end"/>
      </w:r>
    </w:p>
    <w:p w14:paraId="025127BF" w14:textId="4B7EBED3" w:rsidR="00271952" w:rsidRPr="00C9343F" w:rsidRDefault="00271952">
      <w:pPr>
        <w:pStyle w:val="TOC5"/>
        <w:rPr>
          <w:rFonts w:asciiTheme="minorHAnsi" w:eastAsiaTheme="minorEastAsia" w:hAnsiTheme="minorHAnsi" w:cstheme="minorBidi"/>
          <w:sz w:val="22"/>
          <w:szCs w:val="22"/>
        </w:rPr>
      </w:pPr>
      <w:r w:rsidRPr="00C9343F">
        <w:t>3.2.37    Salary – Private Proficient</w:t>
      </w:r>
      <w:r w:rsidRPr="00C9343F">
        <w:tab/>
      </w:r>
      <w:r w:rsidRPr="00C9343F">
        <w:fldChar w:fldCharType="begin"/>
      </w:r>
      <w:r w:rsidRPr="00C9343F">
        <w:instrText xml:space="preserve"> PAGEREF _Toc105053697 \h </w:instrText>
      </w:r>
      <w:r w:rsidRPr="00C9343F">
        <w:fldChar w:fldCharType="separate"/>
      </w:r>
      <w:r w:rsidRPr="00C9343F">
        <w:t>77</w:t>
      </w:r>
      <w:r w:rsidRPr="00C9343F">
        <w:fldChar w:fldCharType="end"/>
      </w:r>
    </w:p>
    <w:p w14:paraId="7E6E72B2" w14:textId="4CE27B07" w:rsidR="00271952" w:rsidRPr="00C9343F" w:rsidRDefault="00271952">
      <w:pPr>
        <w:pStyle w:val="TOC5"/>
        <w:rPr>
          <w:rFonts w:asciiTheme="minorHAnsi" w:eastAsiaTheme="minorEastAsia" w:hAnsiTheme="minorHAnsi" w:cstheme="minorBidi"/>
          <w:sz w:val="22"/>
          <w:szCs w:val="22"/>
        </w:rPr>
      </w:pPr>
      <w:r w:rsidRPr="00C9343F">
        <w:t>3.2.38    Salary on reduction of rank</w:t>
      </w:r>
      <w:r w:rsidRPr="00C9343F">
        <w:tab/>
      </w:r>
      <w:r w:rsidRPr="00C9343F">
        <w:fldChar w:fldCharType="begin"/>
      </w:r>
      <w:r w:rsidRPr="00C9343F">
        <w:instrText xml:space="preserve"> PAGEREF _Toc105053698 \h </w:instrText>
      </w:r>
      <w:r w:rsidRPr="00C9343F">
        <w:fldChar w:fldCharType="separate"/>
      </w:r>
      <w:r w:rsidRPr="00C9343F">
        <w:t>78</w:t>
      </w:r>
      <w:r w:rsidRPr="00C9343F">
        <w:fldChar w:fldCharType="end"/>
      </w:r>
    </w:p>
    <w:p w14:paraId="6E330C3A" w14:textId="5D4E3FE0" w:rsidR="00271952" w:rsidRPr="00C9343F" w:rsidRDefault="00271952">
      <w:pPr>
        <w:pStyle w:val="TOC5"/>
        <w:rPr>
          <w:rFonts w:asciiTheme="minorHAnsi" w:eastAsiaTheme="minorEastAsia" w:hAnsiTheme="minorHAnsi" w:cstheme="minorBidi"/>
          <w:sz w:val="22"/>
          <w:szCs w:val="22"/>
        </w:rPr>
      </w:pPr>
      <w:r w:rsidRPr="00C9343F">
        <w:t>3.2.39    Salary on promotion to rank previously held</w:t>
      </w:r>
      <w:r w:rsidRPr="00C9343F">
        <w:tab/>
      </w:r>
      <w:r w:rsidRPr="00C9343F">
        <w:fldChar w:fldCharType="begin"/>
      </w:r>
      <w:r w:rsidRPr="00C9343F">
        <w:instrText xml:space="preserve"> PAGEREF _Toc105053699 \h </w:instrText>
      </w:r>
      <w:r w:rsidRPr="00C9343F">
        <w:fldChar w:fldCharType="separate"/>
      </w:r>
      <w:r w:rsidRPr="00C9343F">
        <w:t>78</w:t>
      </w:r>
      <w:r w:rsidRPr="00C9343F">
        <w:fldChar w:fldCharType="end"/>
      </w:r>
    </w:p>
    <w:p w14:paraId="3768FDB0" w14:textId="0D202F42" w:rsidR="00271952" w:rsidRPr="00C9343F" w:rsidRDefault="00271952">
      <w:pPr>
        <w:pStyle w:val="TOC4"/>
        <w:rPr>
          <w:rFonts w:asciiTheme="minorHAnsi" w:eastAsiaTheme="minorEastAsia" w:hAnsiTheme="minorHAnsi" w:cstheme="minorBidi"/>
          <w:sz w:val="22"/>
          <w:szCs w:val="22"/>
        </w:rPr>
      </w:pPr>
      <w:r w:rsidRPr="00C9343F">
        <w:t>Division 4: Specialist Officer – increment and competency arrangements</w:t>
      </w:r>
      <w:r w:rsidRPr="00C9343F">
        <w:tab/>
      </w:r>
      <w:r w:rsidRPr="00C9343F">
        <w:fldChar w:fldCharType="begin"/>
      </w:r>
      <w:r w:rsidRPr="00C9343F">
        <w:instrText xml:space="preserve"> PAGEREF _Toc105053700 \h </w:instrText>
      </w:r>
      <w:r w:rsidRPr="00C9343F">
        <w:fldChar w:fldCharType="separate"/>
      </w:r>
      <w:r w:rsidRPr="00C9343F">
        <w:t>79</w:t>
      </w:r>
      <w:r w:rsidRPr="00C9343F">
        <w:fldChar w:fldCharType="end"/>
      </w:r>
    </w:p>
    <w:p w14:paraId="51D92313" w14:textId="1D8D6FD8" w:rsidR="00271952" w:rsidRPr="00C9343F" w:rsidRDefault="00271952">
      <w:pPr>
        <w:pStyle w:val="TOC5"/>
        <w:rPr>
          <w:rFonts w:asciiTheme="minorHAnsi" w:eastAsiaTheme="minorEastAsia" w:hAnsiTheme="minorHAnsi" w:cstheme="minorBidi"/>
          <w:sz w:val="22"/>
          <w:szCs w:val="22"/>
        </w:rPr>
      </w:pPr>
      <w:r w:rsidRPr="00C9343F">
        <w:t>3.2.40    Purpose</w:t>
      </w:r>
      <w:r w:rsidRPr="00C9343F">
        <w:tab/>
      </w:r>
      <w:r w:rsidRPr="00C9343F">
        <w:fldChar w:fldCharType="begin"/>
      </w:r>
      <w:r w:rsidRPr="00C9343F">
        <w:instrText xml:space="preserve"> PAGEREF _Toc105053701 \h </w:instrText>
      </w:r>
      <w:r w:rsidRPr="00C9343F">
        <w:fldChar w:fldCharType="separate"/>
      </w:r>
      <w:r w:rsidRPr="00C9343F">
        <w:t>79</w:t>
      </w:r>
      <w:r w:rsidRPr="00C9343F">
        <w:fldChar w:fldCharType="end"/>
      </w:r>
    </w:p>
    <w:p w14:paraId="12237D73" w14:textId="6B9F0915" w:rsidR="00271952" w:rsidRPr="00C9343F" w:rsidRDefault="00271952">
      <w:pPr>
        <w:pStyle w:val="TOC5"/>
        <w:rPr>
          <w:rFonts w:asciiTheme="minorHAnsi" w:eastAsiaTheme="minorEastAsia" w:hAnsiTheme="minorHAnsi" w:cstheme="minorBidi"/>
          <w:sz w:val="22"/>
          <w:szCs w:val="22"/>
        </w:rPr>
      </w:pPr>
      <w:r w:rsidRPr="00C9343F">
        <w:t>3.2.41    Chaplain, Maritime Spiritual Wellbeing Officers and dental officers – increment advancement, promotion and advancement</w:t>
      </w:r>
      <w:r w:rsidRPr="00C9343F">
        <w:tab/>
      </w:r>
      <w:r w:rsidRPr="00C9343F">
        <w:fldChar w:fldCharType="begin"/>
      </w:r>
      <w:r w:rsidRPr="00C9343F">
        <w:instrText xml:space="preserve"> PAGEREF _Toc105053702 \h </w:instrText>
      </w:r>
      <w:r w:rsidRPr="00C9343F">
        <w:fldChar w:fldCharType="separate"/>
      </w:r>
      <w:r w:rsidRPr="00C9343F">
        <w:t>79</w:t>
      </w:r>
      <w:r w:rsidRPr="00C9343F">
        <w:fldChar w:fldCharType="end"/>
      </w:r>
    </w:p>
    <w:p w14:paraId="76906DAE" w14:textId="2D2642FD" w:rsidR="00271952" w:rsidRPr="00C9343F" w:rsidRDefault="00271952">
      <w:pPr>
        <w:pStyle w:val="TOC5"/>
        <w:rPr>
          <w:rFonts w:asciiTheme="minorHAnsi" w:eastAsiaTheme="minorEastAsia" w:hAnsiTheme="minorHAnsi" w:cstheme="minorBidi"/>
          <w:sz w:val="22"/>
          <w:szCs w:val="22"/>
        </w:rPr>
      </w:pPr>
      <w:r w:rsidRPr="00C9343F">
        <w:t>3.2.42    Medical officers – increment advancement and promotion</w:t>
      </w:r>
      <w:r w:rsidRPr="00C9343F">
        <w:tab/>
      </w:r>
      <w:r w:rsidRPr="00C9343F">
        <w:fldChar w:fldCharType="begin"/>
      </w:r>
      <w:r w:rsidRPr="00C9343F">
        <w:instrText xml:space="preserve"> PAGEREF _Toc105053703 \h </w:instrText>
      </w:r>
      <w:r w:rsidRPr="00C9343F">
        <w:fldChar w:fldCharType="separate"/>
      </w:r>
      <w:r w:rsidRPr="00C9343F">
        <w:t>80</w:t>
      </w:r>
      <w:r w:rsidRPr="00C9343F">
        <w:fldChar w:fldCharType="end"/>
      </w:r>
    </w:p>
    <w:p w14:paraId="1DCCA24D" w14:textId="054402D1" w:rsidR="00271952" w:rsidRPr="00C9343F" w:rsidRDefault="00271952">
      <w:pPr>
        <w:pStyle w:val="TOC5"/>
        <w:rPr>
          <w:rFonts w:asciiTheme="minorHAnsi" w:eastAsiaTheme="minorEastAsia" w:hAnsiTheme="minorHAnsi" w:cstheme="minorBidi"/>
          <w:sz w:val="22"/>
          <w:szCs w:val="22"/>
        </w:rPr>
      </w:pPr>
      <w:r w:rsidRPr="00C9343F">
        <w:t>3.2.42A   Salary on promotion – senior medical officers</w:t>
      </w:r>
      <w:r w:rsidRPr="00C9343F">
        <w:tab/>
      </w:r>
      <w:r w:rsidRPr="00C9343F">
        <w:fldChar w:fldCharType="begin"/>
      </w:r>
      <w:r w:rsidRPr="00C9343F">
        <w:instrText xml:space="preserve"> PAGEREF _Toc105053704 \h </w:instrText>
      </w:r>
      <w:r w:rsidRPr="00C9343F">
        <w:fldChar w:fldCharType="separate"/>
      </w:r>
      <w:r w:rsidRPr="00C9343F">
        <w:t>80</w:t>
      </w:r>
      <w:r w:rsidRPr="00C9343F">
        <w:fldChar w:fldCharType="end"/>
      </w:r>
    </w:p>
    <w:p w14:paraId="4E7B21A3" w14:textId="2E41CF85" w:rsidR="00271952" w:rsidRPr="00C9343F" w:rsidRDefault="00271952">
      <w:pPr>
        <w:pStyle w:val="TOC5"/>
        <w:rPr>
          <w:rFonts w:asciiTheme="minorHAnsi" w:eastAsiaTheme="minorEastAsia" w:hAnsiTheme="minorHAnsi" w:cstheme="minorBidi"/>
          <w:sz w:val="22"/>
          <w:szCs w:val="22"/>
        </w:rPr>
      </w:pPr>
      <w:r w:rsidRPr="00C9343F">
        <w:t>3.2.43</w:t>
      </w:r>
      <w:r w:rsidRPr="00C9343F">
        <w:rPr>
          <w:color w:val="000000"/>
        </w:rPr>
        <w:t>    </w:t>
      </w:r>
      <w:r w:rsidRPr="00C9343F">
        <w:t>Legal Officers – increment advancement and promotion</w:t>
      </w:r>
      <w:r w:rsidRPr="00C9343F">
        <w:tab/>
      </w:r>
      <w:r w:rsidRPr="00C9343F">
        <w:fldChar w:fldCharType="begin"/>
      </w:r>
      <w:r w:rsidRPr="00C9343F">
        <w:instrText xml:space="preserve"> PAGEREF _Toc105053705 \h </w:instrText>
      </w:r>
      <w:r w:rsidRPr="00C9343F">
        <w:fldChar w:fldCharType="separate"/>
      </w:r>
      <w:r w:rsidRPr="00C9343F">
        <w:t>81</w:t>
      </w:r>
      <w:r w:rsidRPr="00C9343F">
        <w:fldChar w:fldCharType="end"/>
      </w:r>
    </w:p>
    <w:p w14:paraId="64C656DC" w14:textId="25E46920" w:rsidR="00271952" w:rsidRPr="00C9343F" w:rsidRDefault="00271952">
      <w:pPr>
        <w:pStyle w:val="TOC5"/>
        <w:rPr>
          <w:rFonts w:asciiTheme="minorHAnsi" w:eastAsiaTheme="minorEastAsia" w:hAnsiTheme="minorHAnsi" w:cstheme="minorBidi"/>
          <w:sz w:val="22"/>
          <w:szCs w:val="22"/>
        </w:rPr>
      </w:pPr>
      <w:r w:rsidRPr="00C9343F">
        <w:rPr>
          <w:color w:val="000000"/>
        </w:rPr>
        <w:t>3.2.44    Competency levels – Chaplain and Maritime Spiritual Wellbeing Officer</w:t>
      </w:r>
      <w:r w:rsidRPr="00C9343F">
        <w:tab/>
      </w:r>
      <w:r w:rsidRPr="00C9343F">
        <w:fldChar w:fldCharType="begin"/>
      </w:r>
      <w:r w:rsidRPr="00C9343F">
        <w:instrText xml:space="preserve"> PAGEREF _Toc105053706 \h </w:instrText>
      </w:r>
      <w:r w:rsidRPr="00C9343F">
        <w:fldChar w:fldCharType="separate"/>
      </w:r>
      <w:r w:rsidRPr="00C9343F">
        <w:t>81</w:t>
      </w:r>
      <w:r w:rsidRPr="00C9343F">
        <w:fldChar w:fldCharType="end"/>
      </w:r>
    </w:p>
    <w:p w14:paraId="27FF1E4C" w14:textId="60510B8D" w:rsidR="00271952" w:rsidRPr="00C9343F" w:rsidRDefault="00271952">
      <w:pPr>
        <w:pStyle w:val="TOC5"/>
        <w:rPr>
          <w:rFonts w:asciiTheme="minorHAnsi" w:eastAsiaTheme="minorEastAsia" w:hAnsiTheme="minorHAnsi" w:cstheme="minorBidi"/>
          <w:sz w:val="22"/>
          <w:szCs w:val="22"/>
        </w:rPr>
      </w:pPr>
      <w:r w:rsidRPr="00C9343F">
        <w:t>3.2.45    Dental levels – dental officer</w:t>
      </w:r>
      <w:r w:rsidRPr="00C9343F">
        <w:tab/>
      </w:r>
      <w:r w:rsidRPr="00C9343F">
        <w:fldChar w:fldCharType="begin"/>
      </w:r>
      <w:r w:rsidRPr="00C9343F">
        <w:instrText xml:space="preserve"> PAGEREF _Toc105053707 \h </w:instrText>
      </w:r>
      <w:r w:rsidRPr="00C9343F">
        <w:fldChar w:fldCharType="separate"/>
      </w:r>
      <w:r w:rsidRPr="00C9343F">
        <w:t>81</w:t>
      </w:r>
      <w:r w:rsidRPr="00C9343F">
        <w:fldChar w:fldCharType="end"/>
      </w:r>
    </w:p>
    <w:p w14:paraId="013A246D" w14:textId="38F883A7" w:rsidR="00271952" w:rsidRPr="00C9343F" w:rsidRDefault="00271952">
      <w:pPr>
        <w:pStyle w:val="TOC5"/>
        <w:rPr>
          <w:rFonts w:asciiTheme="minorHAnsi" w:eastAsiaTheme="minorEastAsia" w:hAnsiTheme="minorHAnsi" w:cstheme="minorBidi"/>
          <w:sz w:val="22"/>
          <w:szCs w:val="22"/>
        </w:rPr>
      </w:pPr>
      <w:r w:rsidRPr="00C9343F">
        <w:rPr>
          <w:color w:val="000000"/>
        </w:rPr>
        <w:t>3.2.46    Legal levels – legal officer</w:t>
      </w:r>
      <w:r w:rsidRPr="00C9343F">
        <w:tab/>
      </w:r>
      <w:r w:rsidRPr="00C9343F">
        <w:fldChar w:fldCharType="begin"/>
      </w:r>
      <w:r w:rsidRPr="00C9343F">
        <w:instrText xml:space="preserve"> PAGEREF _Toc105053708 \h </w:instrText>
      </w:r>
      <w:r w:rsidRPr="00C9343F">
        <w:fldChar w:fldCharType="separate"/>
      </w:r>
      <w:r w:rsidRPr="00C9343F">
        <w:t>81</w:t>
      </w:r>
      <w:r w:rsidRPr="00C9343F">
        <w:fldChar w:fldCharType="end"/>
      </w:r>
    </w:p>
    <w:p w14:paraId="2E9422C5" w14:textId="0059F7E9" w:rsidR="00271952" w:rsidRPr="00C9343F" w:rsidRDefault="00271952">
      <w:pPr>
        <w:pStyle w:val="TOC5"/>
        <w:rPr>
          <w:rFonts w:asciiTheme="minorHAnsi" w:eastAsiaTheme="minorEastAsia" w:hAnsiTheme="minorHAnsi" w:cstheme="minorBidi"/>
          <w:sz w:val="22"/>
          <w:szCs w:val="22"/>
        </w:rPr>
      </w:pPr>
      <w:r w:rsidRPr="00C9343F">
        <w:t>3.2.47</w:t>
      </w:r>
      <w:r w:rsidRPr="00C9343F">
        <w:rPr>
          <w:color w:val="000000"/>
        </w:rPr>
        <w:t xml:space="preserve">    Military </w:t>
      </w:r>
      <w:r w:rsidRPr="00C9343F">
        <w:t>medical levels – medical officer</w:t>
      </w:r>
      <w:r w:rsidRPr="00C9343F">
        <w:tab/>
      </w:r>
      <w:r w:rsidRPr="00C9343F">
        <w:fldChar w:fldCharType="begin"/>
      </w:r>
      <w:r w:rsidRPr="00C9343F">
        <w:instrText xml:space="preserve"> PAGEREF _Toc105053709 \h </w:instrText>
      </w:r>
      <w:r w:rsidRPr="00C9343F">
        <w:fldChar w:fldCharType="separate"/>
      </w:r>
      <w:r w:rsidRPr="00C9343F">
        <w:t>82</w:t>
      </w:r>
      <w:r w:rsidRPr="00C9343F">
        <w:fldChar w:fldCharType="end"/>
      </w:r>
    </w:p>
    <w:p w14:paraId="0406A9C0" w14:textId="2A0AF663" w:rsidR="00271952" w:rsidRPr="00C9343F" w:rsidRDefault="00271952">
      <w:pPr>
        <w:pStyle w:val="TOC4"/>
        <w:rPr>
          <w:rFonts w:asciiTheme="minorHAnsi" w:eastAsiaTheme="minorEastAsia" w:hAnsiTheme="minorHAnsi" w:cstheme="minorBidi"/>
          <w:sz w:val="22"/>
          <w:szCs w:val="22"/>
        </w:rPr>
      </w:pPr>
      <w:r w:rsidRPr="00C9343F">
        <w:lastRenderedPageBreak/>
        <w:t>Division 4A: Specialist Officer – Aviation – increment placement, progression and transfer</w:t>
      </w:r>
      <w:r w:rsidRPr="00C9343F">
        <w:tab/>
      </w:r>
      <w:r w:rsidRPr="00C9343F">
        <w:fldChar w:fldCharType="begin"/>
      </w:r>
      <w:r w:rsidRPr="00C9343F">
        <w:instrText xml:space="preserve"> PAGEREF _Toc105053710 \h </w:instrText>
      </w:r>
      <w:r w:rsidRPr="00C9343F">
        <w:fldChar w:fldCharType="separate"/>
      </w:r>
      <w:r w:rsidRPr="00C9343F">
        <w:t>83</w:t>
      </w:r>
      <w:r w:rsidRPr="00C9343F">
        <w:fldChar w:fldCharType="end"/>
      </w:r>
    </w:p>
    <w:p w14:paraId="0EAAE2FD" w14:textId="750B598C" w:rsidR="00271952" w:rsidRPr="00C9343F" w:rsidRDefault="00271952">
      <w:pPr>
        <w:pStyle w:val="TOC5"/>
        <w:rPr>
          <w:rFonts w:asciiTheme="minorHAnsi" w:eastAsiaTheme="minorEastAsia" w:hAnsiTheme="minorHAnsi" w:cstheme="minorBidi"/>
          <w:sz w:val="22"/>
          <w:szCs w:val="22"/>
        </w:rPr>
      </w:pPr>
      <w:r w:rsidRPr="00C9343F">
        <w:t>3.2.47B    Definitions</w:t>
      </w:r>
      <w:r w:rsidRPr="00C9343F">
        <w:tab/>
      </w:r>
      <w:r w:rsidRPr="00C9343F">
        <w:fldChar w:fldCharType="begin"/>
      </w:r>
      <w:r w:rsidRPr="00C9343F">
        <w:instrText xml:space="preserve"> PAGEREF _Toc105053711 \h </w:instrText>
      </w:r>
      <w:r w:rsidRPr="00C9343F">
        <w:fldChar w:fldCharType="separate"/>
      </w:r>
      <w:r w:rsidRPr="00C9343F">
        <w:t>83</w:t>
      </w:r>
      <w:r w:rsidRPr="00C9343F">
        <w:fldChar w:fldCharType="end"/>
      </w:r>
    </w:p>
    <w:p w14:paraId="4CD2B088" w14:textId="2DE1D06E" w:rsidR="00271952" w:rsidRPr="00C9343F" w:rsidRDefault="00271952">
      <w:pPr>
        <w:pStyle w:val="TOC5"/>
        <w:rPr>
          <w:rFonts w:asciiTheme="minorHAnsi" w:eastAsiaTheme="minorEastAsia" w:hAnsiTheme="minorHAnsi" w:cstheme="minorBidi"/>
          <w:sz w:val="22"/>
          <w:szCs w:val="22"/>
        </w:rPr>
      </w:pPr>
      <w:r w:rsidRPr="00C9343F">
        <w:t>3.2.47E    Entry placement – member who is an aviation specialist</w:t>
      </w:r>
      <w:r w:rsidRPr="00C9343F">
        <w:tab/>
      </w:r>
      <w:r w:rsidRPr="00C9343F">
        <w:fldChar w:fldCharType="begin"/>
      </w:r>
      <w:r w:rsidRPr="00C9343F">
        <w:instrText xml:space="preserve"> PAGEREF _Toc105053712 \h </w:instrText>
      </w:r>
      <w:r w:rsidRPr="00C9343F">
        <w:fldChar w:fldCharType="separate"/>
      </w:r>
      <w:r w:rsidRPr="00C9343F">
        <w:t>84</w:t>
      </w:r>
      <w:r w:rsidRPr="00C9343F">
        <w:fldChar w:fldCharType="end"/>
      </w:r>
    </w:p>
    <w:p w14:paraId="49CB1E78" w14:textId="735ED624" w:rsidR="00271952" w:rsidRPr="00C9343F" w:rsidRDefault="00271952">
      <w:pPr>
        <w:pStyle w:val="TOC5"/>
        <w:rPr>
          <w:rFonts w:asciiTheme="minorHAnsi" w:eastAsiaTheme="minorEastAsia" w:hAnsiTheme="minorHAnsi" w:cstheme="minorBidi"/>
          <w:sz w:val="22"/>
          <w:szCs w:val="22"/>
        </w:rPr>
      </w:pPr>
      <w:r w:rsidRPr="00C9343F">
        <w:t>3.2.47F    Entry placement – Other Rank member transfers to the Officer Aviation Pay Structure</w:t>
      </w:r>
      <w:r w:rsidRPr="00C9343F">
        <w:tab/>
      </w:r>
      <w:r w:rsidRPr="00C9343F">
        <w:fldChar w:fldCharType="begin"/>
      </w:r>
      <w:r w:rsidRPr="00C9343F">
        <w:instrText xml:space="preserve"> PAGEREF _Toc105053713 \h </w:instrText>
      </w:r>
      <w:r w:rsidRPr="00C9343F">
        <w:fldChar w:fldCharType="separate"/>
      </w:r>
      <w:r w:rsidRPr="00C9343F">
        <w:t>85</w:t>
      </w:r>
      <w:r w:rsidRPr="00C9343F">
        <w:fldChar w:fldCharType="end"/>
      </w:r>
    </w:p>
    <w:p w14:paraId="105CC7A6" w14:textId="19AFD6ED" w:rsidR="00271952" w:rsidRPr="00C9343F" w:rsidRDefault="00271952">
      <w:pPr>
        <w:pStyle w:val="TOC5"/>
        <w:rPr>
          <w:rFonts w:asciiTheme="minorHAnsi" w:eastAsiaTheme="minorEastAsia" w:hAnsiTheme="minorHAnsi" w:cstheme="minorBidi"/>
          <w:sz w:val="22"/>
          <w:szCs w:val="22"/>
        </w:rPr>
      </w:pPr>
      <w:r w:rsidRPr="00C9343F">
        <w:t>3.2.47G    Entry placement – Navy Aviation Officers</w:t>
      </w:r>
      <w:r w:rsidRPr="00C9343F">
        <w:tab/>
      </w:r>
      <w:r w:rsidRPr="00C9343F">
        <w:fldChar w:fldCharType="begin"/>
      </w:r>
      <w:r w:rsidRPr="00C9343F">
        <w:instrText xml:space="preserve"> PAGEREF _Toc105053714 \h </w:instrText>
      </w:r>
      <w:r w:rsidRPr="00C9343F">
        <w:fldChar w:fldCharType="separate"/>
      </w:r>
      <w:r w:rsidRPr="00C9343F">
        <w:t>85</w:t>
      </w:r>
      <w:r w:rsidRPr="00C9343F">
        <w:fldChar w:fldCharType="end"/>
      </w:r>
    </w:p>
    <w:p w14:paraId="5263EDEA" w14:textId="1D55C39F" w:rsidR="00271952" w:rsidRPr="00C9343F" w:rsidRDefault="00271952">
      <w:pPr>
        <w:pStyle w:val="TOC5"/>
        <w:rPr>
          <w:rFonts w:asciiTheme="minorHAnsi" w:eastAsiaTheme="minorEastAsia" w:hAnsiTheme="minorHAnsi" w:cstheme="minorBidi"/>
          <w:sz w:val="22"/>
          <w:szCs w:val="22"/>
        </w:rPr>
      </w:pPr>
      <w:r w:rsidRPr="00C9343F">
        <w:t>3.2.47K    Entry placement – member in the Air Force who is not an aviation specialist</w:t>
      </w:r>
      <w:r w:rsidRPr="00C9343F">
        <w:tab/>
      </w:r>
      <w:r w:rsidRPr="00C9343F">
        <w:fldChar w:fldCharType="begin"/>
      </w:r>
      <w:r w:rsidRPr="00C9343F">
        <w:instrText xml:space="preserve"> PAGEREF _Toc105053715 \h </w:instrText>
      </w:r>
      <w:r w:rsidRPr="00C9343F">
        <w:fldChar w:fldCharType="separate"/>
      </w:r>
      <w:r w:rsidRPr="00C9343F">
        <w:t>93</w:t>
      </w:r>
      <w:r w:rsidRPr="00C9343F">
        <w:fldChar w:fldCharType="end"/>
      </w:r>
    </w:p>
    <w:p w14:paraId="5EAB1634" w14:textId="4D5E7B5D" w:rsidR="00271952" w:rsidRPr="00C9343F" w:rsidRDefault="00271952">
      <w:pPr>
        <w:pStyle w:val="TOC5"/>
        <w:rPr>
          <w:rFonts w:asciiTheme="minorHAnsi" w:eastAsiaTheme="minorEastAsia" w:hAnsiTheme="minorHAnsi" w:cstheme="minorBidi"/>
          <w:sz w:val="22"/>
          <w:szCs w:val="22"/>
        </w:rPr>
      </w:pPr>
      <w:r w:rsidRPr="00C9343F">
        <w:t>3.2.47L    Entry placement – Officer transferring from other salary structures</w:t>
      </w:r>
      <w:r w:rsidRPr="00C9343F">
        <w:tab/>
      </w:r>
      <w:r w:rsidRPr="00C9343F">
        <w:fldChar w:fldCharType="begin"/>
      </w:r>
      <w:r w:rsidRPr="00C9343F">
        <w:instrText xml:space="preserve"> PAGEREF _Toc105053716 \h </w:instrText>
      </w:r>
      <w:r w:rsidRPr="00C9343F">
        <w:fldChar w:fldCharType="separate"/>
      </w:r>
      <w:r w:rsidRPr="00C9343F">
        <w:t>95</w:t>
      </w:r>
      <w:r w:rsidRPr="00C9343F">
        <w:fldChar w:fldCharType="end"/>
      </w:r>
    </w:p>
    <w:p w14:paraId="647FADD1" w14:textId="63927ADE" w:rsidR="00271952" w:rsidRPr="00C9343F" w:rsidRDefault="00271952">
      <w:pPr>
        <w:pStyle w:val="TOC5"/>
        <w:rPr>
          <w:rFonts w:asciiTheme="minorHAnsi" w:eastAsiaTheme="minorEastAsia" w:hAnsiTheme="minorHAnsi" w:cstheme="minorBidi"/>
          <w:sz w:val="22"/>
          <w:szCs w:val="22"/>
        </w:rPr>
      </w:pPr>
      <w:r w:rsidRPr="00C9343F">
        <w:t>3.2.47M    Entry placement – CDF discretions</w:t>
      </w:r>
      <w:r w:rsidRPr="00C9343F">
        <w:tab/>
      </w:r>
      <w:r w:rsidRPr="00C9343F">
        <w:fldChar w:fldCharType="begin"/>
      </w:r>
      <w:r w:rsidRPr="00C9343F">
        <w:instrText xml:space="preserve"> PAGEREF _Toc105053717 \h </w:instrText>
      </w:r>
      <w:r w:rsidRPr="00C9343F">
        <w:fldChar w:fldCharType="separate"/>
      </w:r>
      <w:r w:rsidRPr="00C9343F">
        <w:t>96</w:t>
      </w:r>
      <w:r w:rsidRPr="00C9343F">
        <w:fldChar w:fldCharType="end"/>
      </w:r>
    </w:p>
    <w:p w14:paraId="113C1E78" w14:textId="2964F4C7" w:rsidR="00271952" w:rsidRPr="00C9343F" w:rsidRDefault="00271952">
      <w:pPr>
        <w:pStyle w:val="TOC5"/>
        <w:rPr>
          <w:rFonts w:asciiTheme="minorHAnsi" w:eastAsiaTheme="minorEastAsia" w:hAnsiTheme="minorHAnsi" w:cstheme="minorBidi"/>
          <w:sz w:val="22"/>
          <w:szCs w:val="22"/>
        </w:rPr>
      </w:pPr>
      <w:r w:rsidRPr="00C9343F">
        <w:t>3.2.47N    Increment placement – Navy Sub Lieutenant and Lieutenant</w:t>
      </w:r>
      <w:r w:rsidRPr="00C9343F">
        <w:tab/>
      </w:r>
      <w:r w:rsidRPr="00C9343F">
        <w:fldChar w:fldCharType="begin"/>
      </w:r>
      <w:r w:rsidRPr="00C9343F">
        <w:instrText xml:space="preserve"> PAGEREF _Toc105053718 \h </w:instrText>
      </w:r>
      <w:r w:rsidRPr="00C9343F">
        <w:fldChar w:fldCharType="separate"/>
      </w:r>
      <w:r w:rsidRPr="00C9343F">
        <w:t>96</w:t>
      </w:r>
      <w:r w:rsidRPr="00C9343F">
        <w:fldChar w:fldCharType="end"/>
      </w:r>
    </w:p>
    <w:p w14:paraId="4A699884" w14:textId="4023E443" w:rsidR="00271952" w:rsidRPr="00C9343F" w:rsidRDefault="00271952">
      <w:pPr>
        <w:pStyle w:val="TOC5"/>
        <w:rPr>
          <w:rFonts w:asciiTheme="minorHAnsi" w:eastAsiaTheme="minorEastAsia" w:hAnsiTheme="minorHAnsi" w:cstheme="minorBidi"/>
          <w:sz w:val="22"/>
          <w:szCs w:val="22"/>
        </w:rPr>
      </w:pPr>
      <w:r w:rsidRPr="00C9343F">
        <w:t>3.2.47O    Increment on promotion</w:t>
      </w:r>
      <w:r w:rsidRPr="00C9343F">
        <w:tab/>
      </w:r>
      <w:r w:rsidRPr="00C9343F">
        <w:fldChar w:fldCharType="begin"/>
      </w:r>
      <w:r w:rsidRPr="00C9343F">
        <w:instrText xml:space="preserve"> PAGEREF _Toc105053719 \h </w:instrText>
      </w:r>
      <w:r w:rsidRPr="00C9343F">
        <w:fldChar w:fldCharType="separate"/>
      </w:r>
      <w:r w:rsidRPr="00C9343F">
        <w:t>97</w:t>
      </w:r>
      <w:r w:rsidRPr="00C9343F">
        <w:fldChar w:fldCharType="end"/>
      </w:r>
    </w:p>
    <w:p w14:paraId="500CDF43" w14:textId="410DF775" w:rsidR="00271952" w:rsidRPr="00C9343F" w:rsidRDefault="00271952">
      <w:pPr>
        <w:pStyle w:val="TOC5"/>
        <w:rPr>
          <w:rFonts w:asciiTheme="minorHAnsi" w:eastAsiaTheme="minorEastAsia" w:hAnsiTheme="minorHAnsi" w:cstheme="minorBidi"/>
          <w:sz w:val="22"/>
          <w:szCs w:val="22"/>
        </w:rPr>
      </w:pPr>
      <w:r w:rsidRPr="00C9343F">
        <w:t>3.2.47P    Increment on Command appointment – Navy and Army</w:t>
      </w:r>
      <w:r w:rsidRPr="00C9343F">
        <w:tab/>
      </w:r>
      <w:r w:rsidRPr="00C9343F">
        <w:fldChar w:fldCharType="begin"/>
      </w:r>
      <w:r w:rsidRPr="00C9343F">
        <w:instrText xml:space="preserve"> PAGEREF _Toc105053720 \h </w:instrText>
      </w:r>
      <w:r w:rsidRPr="00C9343F">
        <w:fldChar w:fldCharType="separate"/>
      </w:r>
      <w:r w:rsidRPr="00C9343F">
        <w:t>98</w:t>
      </w:r>
      <w:r w:rsidRPr="00C9343F">
        <w:fldChar w:fldCharType="end"/>
      </w:r>
    </w:p>
    <w:p w14:paraId="18DDE8FB" w14:textId="299A7442" w:rsidR="00271952" w:rsidRPr="00C9343F" w:rsidRDefault="00271952">
      <w:pPr>
        <w:pStyle w:val="TOC5"/>
        <w:rPr>
          <w:rFonts w:asciiTheme="minorHAnsi" w:eastAsiaTheme="minorEastAsia" w:hAnsiTheme="minorHAnsi" w:cstheme="minorBidi"/>
          <w:sz w:val="22"/>
          <w:szCs w:val="22"/>
        </w:rPr>
      </w:pPr>
      <w:r w:rsidRPr="00C9343F">
        <w:t>3.2.47Q    Increment on rank reduction</w:t>
      </w:r>
      <w:r w:rsidRPr="00C9343F">
        <w:tab/>
      </w:r>
      <w:r w:rsidRPr="00C9343F">
        <w:fldChar w:fldCharType="begin"/>
      </w:r>
      <w:r w:rsidRPr="00C9343F">
        <w:instrText xml:space="preserve"> PAGEREF _Toc105053721 \h </w:instrText>
      </w:r>
      <w:r w:rsidRPr="00C9343F">
        <w:fldChar w:fldCharType="separate"/>
      </w:r>
      <w:r w:rsidRPr="00C9343F">
        <w:t>99</w:t>
      </w:r>
      <w:r w:rsidRPr="00C9343F">
        <w:fldChar w:fldCharType="end"/>
      </w:r>
    </w:p>
    <w:p w14:paraId="143F9E48" w14:textId="417D1467" w:rsidR="00271952" w:rsidRPr="00C9343F" w:rsidRDefault="00271952">
      <w:pPr>
        <w:pStyle w:val="TOC5"/>
        <w:rPr>
          <w:rFonts w:asciiTheme="minorHAnsi" w:eastAsiaTheme="minorEastAsia" w:hAnsiTheme="minorHAnsi" w:cstheme="minorBidi"/>
          <w:sz w:val="22"/>
          <w:szCs w:val="22"/>
        </w:rPr>
      </w:pPr>
      <w:r w:rsidRPr="00C9343F">
        <w:t>3.2.47R    Increment on loss of Command appointment</w:t>
      </w:r>
      <w:r w:rsidRPr="00C9343F">
        <w:tab/>
      </w:r>
      <w:r w:rsidRPr="00C9343F">
        <w:fldChar w:fldCharType="begin"/>
      </w:r>
      <w:r w:rsidRPr="00C9343F">
        <w:instrText xml:space="preserve"> PAGEREF _Toc105053722 \h </w:instrText>
      </w:r>
      <w:r w:rsidRPr="00C9343F">
        <w:fldChar w:fldCharType="separate"/>
      </w:r>
      <w:r w:rsidRPr="00C9343F">
        <w:t>99</w:t>
      </w:r>
      <w:r w:rsidRPr="00C9343F">
        <w:fldChar w:fldCharType="end"/>
      </w:r>
    </w:p>
    <w:p w14:paraId="67A7F35D" w14:textId="1DE745E8" w:rsidR="00271952" w:rsidRPr="00C9343F" w:rsidRDefault="00271952">
      <w:pPr>
        <w:pStyle w:val="TOC5"/>
        <w:rPr>
          <w:rFonts w:asciiTheme="minorHAnsi" w:eastAsiaTheme="minorEastAsia" w:hAnsiTheme="minorHAnsi" w:cstheme="minorBidi"/>
          <w:sz w:val="22"/>
          <w:szCs w:val="22"/>
        </w:rPr>
      </w:pPr>
      <w:r w:rsidRPr="00C9343F">
        <w:t>3.2.47S    Increment advancement</w:t>
      </w:r>
      <w:r w:rsidRPr="00C9343F">
        <w:tab/>
      </w:r>
      <w:r w:rsidRPr="00C9343F">
        <w:fldChar w:fldCharType="begin"/>
      </w:r>
      <w:r w:rsidRPr="00C9343F">
        <w:instrText xml:space="preserve"> PAGEREF _Toc105053723 \h </w:instrText>
      </w:r>
      <w:r w:rsidRPr="00C9343F">
        <w:fldChar w:fldCharType="separate"/>
      </w:r>
      <w:r w:rsidRPr="00C9343F">
        <w:t>99</w:t>
      </w:r>
      <w:r w:rsidRPr="00C9343F">
        <w:fldChar w:fldCharType="end"/>
      </w:r>
    </w:p>
    <w:p w14:paraId="3130345E" w14:textId="51A080B1" w:rsidR="00271952" w:rsidRPr="00C9343F" w:rsidRDefault="00271952">
      <w:pPr>
        <w:pStyle w:val="TOC5"/>
        <w:rPr>
          <w:rFonts w:asciiTheme="minorHAnsi" w:eastAsiaTheme="minorEastAsia" w:hAnsiTheme="minorHAnsi" w:cstheme="minorBidi"/>
          <w:sz w:val="22"/>
          <w:szCs w:val="22"/>
        </w:rPr>
      </w:pPr>
      <w:r w:rsidRPr="00C9343F">
        <w:t>3.2.47T    Increment on transfer between Services</w:t>
      </w:r>
      <w:r w:rsidRPr="00C9343F">
        <w:tab/>
      </w:r>
      <w:r w:rsidRPr="00C9343F">
        <w:fldChar w:fldCharType="begin"/>
      </w:r>
      <w:r w:rsidRPr="00C9343F">
        <w:instrText xml:space="preserve"> PAGEREF _Toc105053724 \h </w:instrText>
      </w:r>
      <w:r w:rsidRPr="00C9343F">
        <w:fldChar w:fldCharType="separate"/>
      </w:r>
      <w:r w:rsidRPr="00C9343F">
        <w:t>102</w:t>
      </w:r>
      <w:r w:rsidRPr="00C9343F">
        <w:fldChar w:fldCharType="end"/>
      </w:r>
    </w:p>
    <w:p w14:paraId="2155BE1C" w14:textId="53566787" w:rsidR="00271952" w:rsidRPr="00C9343F" w:rsidRDefault="00271952">
      <w:pPr>
        <w:pStyle w:val="TOC5"/>
        <w:rPr>
          <w:rFonts w:asciiTheme="minorHAnsi" w:eastAsiaTheme="minorEastAsia" w:hAnsiTheme="minorHAnsi" w:cstheme="minorBidi"/>
          <w:sz w:val="22"/>
          <w:szCs w:val="22"/>
        </w:rPr>
      </w:pPr>
      <w:r w:rsidRPr="00C9343F">
        <w:t>3.2.47U    Increment on transfer between pathways and competency streams</w:t>
      </w:r>
      <w:r w:rsidRPr="00C9343F">
        <w:tab/>
      </w:r>
      <w:r w:rsidRPr="00C9343F">
        <w:fldChar w:fldCharType="begin"/>
      </w:r>
      <w:r w:rsidRPr="00C9343F">
        <w:instrText xml:space="preserve"> PAGEREF _Toc105053725 \h </w:instrText>
      </w:r>
      <w:r w:rsidRPr="00C9343F">
        <w:fldChar w:fldCharType="separate"/>
      </w:r>
      <w:r w:rsidRPr="00C9343F">
        <w:t>103</w:t>
      </w:r>
      <w:r w:rsidRPr="00C9343F">
        <w:fldChar w:fldCharType="end"/>
      </w:r>
    </w:p>
    <w:p w14:paraId="716B0858" w14:textId="11F8CE27" w:rsidR="00271952" w:rsidRPr="00C9343F" w:rsidRDefault="00271952">
      <w:pPr>
        <w:pStyle w:val="TOC4"/>
        <w:rPr>
          <w:rFonts w:asciiTheme="minorHAnsi" w:eastAsiaTheme="minorEastAsia" w:hAnsiTheme="minorHAnsi" w:cstheme="minorBidi"/>
          <w:sz w:val="22"/>
          <w:szCs w:val="22"/>
        </w:rPr>
      </w:pPr>
      <w:r w:rsidRPr="00C9343F">
        <w:t>Division 5: Salary non-reduction provisions</w:t>
      </w:r>
      <w:r w:rsidRPr="00C9343F">
        <w:tab/>
      </w:r>
      <w:r w:rsidRPr="00C9343F">
        <w:fldChar w:fldCharType="begin"/>
      </w:r>
      <w:r w:rsidRPr="00C9343F">
        <w:instrText xml:space="preserve"> PAGEREF _Toc105053726 \h </w:instrText>
      </w:r>
      <w:r w:rsidRPr="00C9343F">
        <w:fldChar w:fldCharType="separate"/>
      </w:r>
      <w:r w:rsidRPr="00C9343F">
        <w:t>105</w:t>
      </w:r>
      <w:r w:rsidRPr="00C9343F">
        <w:fldChar w:fldCharType="end"/>
      </w:r>
    </w:p>
    <w:p w14:paraId="322BFF72" w14:textId="4430B94D" w:rsidR="00271952" w:rsidRPr="00C9343F" w:rsidRDefault="00271952">
      <w:pPr>
        <w:pStyle w:val="TOC5"/>
        <w:rPr>
          <w:rFonts w:asciiTheme="minorHAnsi" w:eastAsiaTheme="minorEastAsia" w:hAnsiTheme="minorHAnsi" w:cstheme="minorBidi"/>
          <w:sz w:val="22"/>
          <w:szCs w:val="22"/>
        </w:rPr>
      </w:pPr>
      <w:r w:rsidRPr="00C9343F">
        <w:rPr>
          <w:color w:val="000000"/>
        </w:rPr>
        <w:t>3.2.48    Purpose</w:t>
      </w:r>
      <w:r w:rsidRPr="00C9343F">
        <w:tab/>
      </w:r>
      <w:r w:rsidRPr="00C9343F">
        <w:fldChar w:fldCharType="begin"/>
      </w:r>
      <w:r w:rsidRPr="00C9343F">
        <w:instrText xml:space="preserve"> PAGEREF _Toc105053727 \h </w:instrText>
      </w:r>
      <w:r w:rsidRPr="00C9343F">
        <w:fldChar w:fldCharType="separate"/>
      </w:r>
      <w:r w:rsidRPr="00C9343F">
        <w:t>105</w:t>
      </w:r>
      <w:r w:rsidRPr="00C9343F">
        <w:fldChar w:fldCharType="end"/>
      </w:r>
    </w:p>
    <w:p w14:paraId="5CF38C68" w14:textId="06B46F83" w:rsidR="00271952" w:rsidRPr="00C9343F" w:rsidRDefault="00271952">
      <w:pPr>
        <w:pStyle w:val="TOC5"/>
        <w:rPr>
          <w:rFonts w:asciiTheme="minorHAnsi" w:eastAsiaTheme="minorEastAsia" w:hAnsiTheme="minorHAnsi" w:cstheme="minorBidi"/>
          <w:sz w:val="22"/>
          <w:szCs w:val="22"/>
        </w:rPr>
      </w:pPr>
      <w:r w:rsidRPr="00C9343F">
        <w:rPr>
          <w:color w:val="000000"/>
        </w:rPr>
        <w:t>3.2.49    Definitions</w:t>
      </w:r>
      <w:r w:rsidRPr="00C9343F">
        <w:tab/>
      </w:r>
      <w:r w:rsidRPr="00C9343F">
        <w:fldChar w:fldCharType="begin"/>
      </w:r>
      <w:r w:rsidRPr="00C9343F">
        <w:instrText xml:space="preserve"> PAGEREF _Toc105053728 \h </w:instrText>
      </w:r>
      <w:r w:rsidRPr="00C9343F">
        <w:fldChar w:fldCharType="separate"/>
      </w:r>
      <w:r w:rsidRPr="00C9343F">
        <w:t>105</w:t>
      </w:r>
      <w:r w:rsidRPr="00C9343F">
        <w:fldChar w:fldCharType="end"/>
      </w:r>
    </w:p>
    <w:p w14:paraId="065E6360" w14:textId="39CA36D0" w:rsidR="00271952" w:rsidRPr="00C9343F" w:rsidRDefault="00271952">
      <w:pPr>
        <w:pStyle w:val="TOC5"/>
        <w:rPr>
          <w:rFonts w:asciiTheme="minorHAnsi" w:eastAsiaTheme="minorEastAsia" w:hAnsiTheme="minorHAnsi" w:cstheme="minorBidi"/>
          <w:sz w:val="22"/>
          <w:szCs w:val="22"/>
        </w:rPr>
      </w:pPr>
      <w:r w:rsidRPr="00C9343F">
        <w:rPr>
          <w:color w:val="000000"/>
        </w:rPr>
        <w:t>3.2.50    Member this Division applies to</w:t>
      </w:r>
      <w:r w:rsidRPr="00C9343F">
        <w:tab/>
      </w:r>
      <w:r w:rsidRPr="00C9343F">
        <w:fldChar w:fldCharType="begin"/>
      </w:r>
      <w:r w:rsidRPr="00C9343F">
        <w:instrText xml:space="preserve"> PAGEREF _Toc105053729 \h </w:instrText>
      </w:r>
      <w:r w:rsidRPr="00C9343F">
        <w:fldChar w:fldCharType="separate"/>
      </w:r>
      <w:r w:rsidRPr="00C9343F">
        <w:t>105</w:t>
      </w:r>
      <w:r w:rsidRPr="00C9343F">
        <w:fldChar w:fldCharType="end"/>
      </w:r>
    </w:p>
    <w:p w14:paraId="6E171B6F" w14:textId="4DC854A9" w:rsidR="00271952" w:rsidRPr="00C9343F" w:rsidRDefault="00271952">
      <w:pPr>
        <w:pStyle w:val="TOC5"/>
        <w:rPr>
          <w:rFonts w:asciiTheme="minorHAnsi" w:eastAsiaTheme="minorEastAsia" w:hAnsiTheme="minorHAnsi" w:cstheme="minorBidi"/>
          <w:sz w:val="22"/>
          <w:szCs w:val="22"/>
        </w:rPr>
      </w:pPr>
      <w:r w:rsidRPr="00C9343F">
        <w:t>3.2.51    Member this Division does not apply to</w:t>
      </w:r>
      <w:r w:rsidRPr="00C9343F">
        <w:tab/>
      </w:r>
      <w:r w:rsidRPr="00C9343F">
        <w:fldChar w:fldCharType="begin"/>
      </w:r>
      <w:r w:rsidRPr="00C9343F">
        <w:instrText xml:space="preserve"> PAGEREF _Toc105053730 \h </w:instrText>
      </w:r>
      <w:r w:rsidRPr="00C9343F">
        <w:fldChar w:fldCharType="separate"/>
      </w:r>
      <w:r w:rsidRPr="00C9343F">
        <w:t>105</w:t>
      </w:r>
      <w:r w:rsidRPr="00C9343F">
        <w:fldChar w:fldCharType="end"/>
      </w:r>
    </w:p>
    <w:p w14:paraId="07846F0F" w14:textId="3D9AA88C" w:rsidR="00271952" w:rsidRPr="00C9343F" w:rsidRDefault="00271952">
      <w:pPr>
        <w:pStyle w:val="TOC5"/>
        <w:rPr>
          <w:rFonts w:asciiTheme="minorHAnsi" w:eastAsiaTheme="minorEastAsia" w:hAnsiTheme="minorHAnsi" w:cstheme="minorBidi"/>
          <w:sz w:val="22"/>
          <w:szCs w:val="22"/>
        </w:rPr>
      </w:pPr>
      <w:r w:rsidRPr="00C9343F">
        <w:rPr>
          <w:color w:val="000000"/>
        </w:rPr>
        <w:t>3.2.52    Salary non-reduction period</w:t>
      </w:r>
      <w:r w:rsidRPr="00C9343F">
        <w:tab/>
      </w:r>
      <w:r w:rsidRPr="00C9343F">
        <w:fldChar w:fldCharType="begin"/>
      </w:r>
      <w:r w:rsidRPr="00C9343F">
        <w:instrText xml:space="preserve"> PAGEREF _Toc105053731 \h </w:instrText>
      </w:r>
      <w:r w:rsidRPr="00C9343F">
        <w:fldChar w:fldCharType="separate"/>
      </w:r>
      <w:r w:rsidRPr="00C9343F">
        <w:t>106</w:t>
      </w:r>
      <w:r w:rsidRPr="00C9343F">
        <w:fldChar w:fldCharType="end"/>
      </w:r>
    </w:p>
    <w:p w14:paraId="7EA53E21" w14:textId="261D2541" w:rsidR="00271952" w:rsidRPr="00C9343F" w:rsidRDefault="00271952">
      <w:pPr>
        <w:pStyle w:val="TOC5"/>
        <w:rPr>
          <w:rFonts w:asciiTheme="minorHAnsi" w:eastAsiaTheme="minorEastAsia" w:hAnsiTheme="minorHAnsi" w:cstheme="minorBidi"/>
          <w:sz w:val="22"/>
          <w:szCs w:val="22"/>
        </w:rPr>
      </w:pPr>
      <w:r w:rsidRPr="00C9343F">
        <w:t>3.2.52A    Salary non-reduction – Air Force Flight Test Engineer</w:t>
      </w:r>
      <w:r w:rsidRPr="00C9343F">
        <w:tab/>
      </w:r>
      <w:r w:rsidRPr="00C9343F">
        <w:fldChar w:fldCharType="begin"/>
      </w:r>
      <w:r w:rsidRPr="00C9343F">
        <w:instrText xml:space="preserve"> PAGEREF _Toc105053732 \h </w:instrText>
      </w:r>
      <w:r w:rsidRPr="00C9343F">
        <w:fldChar w:fldCharType="separate"/>
      </w:r>
      <w:r w:rsidRPr="00C9343F">
        <w:t>107</w:t>
      </w:r>
      <w:r w:rsidRPr="00C9343F">
        <w:fldChar w:fldCharType="end"/>
      </w:r>
    </w:p>
    <w:p w14:paraId="244D7439" w14:textId="2284C28E" w:rsidR="00271952" w:rsidRPr="00C9343F" w:rsidRDefault="00271952">
      <w:pPr>
        <w:pStyle w:val="TOC5"/>
        <w:rPr>
          <w:rFonts w:asciiTheme="minorHAnsi" w:eastAsiaTheme="minorEastAsia" w:hAnsiTheme="minorHAnsi" w:cstheme="minorBidi"/>
          <w:sz w:val="22"/>
          <w:szCs w:val="22"/>
        </w:rPr>
      </w:pPr>
      <w:r w:rsidRPr="00C9343F">
        <w:rPr>
          <w:color w:val="000000"/>
        </w:rPr>
        <w:t>3.2.53    Service during salary non-reduction period to count for certain purposes</w:t>
      </w:r>
      <w:r w:rsidRPr="00C9343F">
        <w:tab/>
      </w:r>
      <w:r w:rsidRPr="00C9343F">
        <w:fldChar w:fldCharType="begin"/>
      </w:r>
      <w:r w:rsidRPr="00C9343F">
        <w:instrText xml:space="preserve"> PAGEREF _Toc105053733 \h </w:instrText>
      </w:r>
      <w:r w:rsidRPr="00C9343F">
        <w:fldChar w:fldCharType="separate"/>
      </w:r>
      <w:r w:rsidRPr="00C9343F">
        <w:t>107</w:t>
      </w:r>
      <w:r w:rsidRPr="00C9343F">
        <w:fldChar w:fldCharType="end"/>
      </w:r>
    </w:p>
    <w:p w14:paraId="4A70687A" w14:textId="6B5F2A72" w:rsidR="00271952" w:rsidRPr="00C9343F" w:rsidRDefault="00271952">
      <w:pPr>
        <w:pStyle w:val="TOC5"/>
        <w:rPr>
          <w:rFonts w:asciiTheme="minorHAnsi" w:eastAsiaTheme="minorEastAsia" w:hAnsiTheme="minorHAnsi" w:cstheme="minorBidi"/>
          <w:sz w:val="22"/>
          <w:szCs w:val="22"/>
        </w:rPr>
      </w:pPr>
      <w:r w:rsidRPr="00C9343F">
        <w:rPr>
          <w:color w:val="000000"/>
        </w:rPr>
        <w:t>3.2.55    Retention of pay grade</w:t>
      </w:r>
      <w:r w:rsidRPr="00C9343F">
        <w:tab/>
      </w:r>
      <w:r w:rsidRPr="00C9343F">
        <w:fldChar w:fldCharType="begin"/>
      </w:r>
      <w:r w:rsidRPr="00C9343F">
        <w:instrText xml:space="preserve"> PAGEREF _Toc105053734 \h </w:instrText>
      </w:r>
      <w:r w:rsidRPr="00C9343F">
        <w:fldChar w:fldCharType="separate"/>
      </w:r>
      <w:r w:rsidRPr="00C9343F">
        <w:t>107</w:t>
      </w:r>
      <w:r w:rsidRPr="00C9343F">
        <w:fldChar w:fldCharType="end"/>
      </w:r>
    </w:p>
    <w:p w14:paraId="5564EBE2" w14:textId="11EAFCDE" w:rsidR="00271952" w:rsidRPr="00C9343F" w:rsidRDefault="00271952">
      <w:pPr>
        <w:pStyle w:val="TOC5"/>
        <w:rPr>
          <w:rFonts w:asciiTheme="minorHAnsi" w:eastAsiaTheme="minorEastAsia" w:hAnsiTheme="minorHAnsi" w:cstheme="minorBidi"/>
          <w:sz w:val="22"/>
          <w:szCs w:val="22"/>
        </w:rPr>
      </w:pPr>
      <w:r w:rsidRPr="00C9343F">
        <w:t>3.2.56    Non-reduction supplement for Other Rank members</w:t>
      </w:r>
      <w:r w:rsidRPr="00C9343F">
        <w:tab/>
      </w:r>
      <w:r w:rsidRPr="00C9343F">
        <w:fldChar w:fldCharType="begin"/>
      </w:r>
      <w:r w:rsidRPr="00C9343F">
        <w:instrText xml:space="preserve"> PAGEREF _Toc105053735 \h </w:instrText>
      </w:r>
      <w:r w:rsidRPr="00C9343F">
        <w:fldChar w:fldCharType="separate"/>
      </w:r>
      <w:r w:rsidRPr="00C9343F">
        <w:t>108</w:t>
      </w:r>
      <w:r w:rsidRPr="00C9343F">
        <w:fldChar w:fldCharType="end"/>
      </w:r>
    </w:p>
    <w:p w14:paraId="1BBA1598" w14:textId="43B7AFBB" w:rsidR="00271952" w:rsidRPr="00C9343F" w:rsidRDefault="00271952">
      <w:pPr>
        <w:pStyle w:val="TOC5"/>
        <w:rPr>
          <w:rFonts w:asciiTheme="minorHAnsi" w:eastAsiaTheme="minorEastAsia" w:hAnsiTheme="minorHAnsi" w:cstheme="minorBidi"/>
          <w:sz w:val="22"/>
          <w:szCs w:val="22"/>
        </w:rPr>
      </w:pPr>
      <w:r w:rsidRPr="00C9343F">
        <w:t>3.2.57    Non-reduction supplement for Other Rank members of the Reserves</w:t>
      </w:r>
      <w:r w:rsidRPr="00C9343F">
        <w:tab/>
      </w:r>
      <w:r w:rsidRPr="00C9343F">
        <w:fldChar w:fldCharType="begin"/>
      </w:r>
      <w:r w:rsidRPr="00C9343F">
        <w:instrText xml:space="preserve"> PAGEREF _Toc105053736 \h </w:instrText>
      </w:r>
      <w:r w:rsidRPr="00C9343F">
        <w:fldChar w:fldCharType="separate"/>
      </w:r>
      <w:r w:rsidRPr="00C9343F">
        <w:t>108</w:t>
      </w:r>
      <w:r w:rsidRPr="00C9343F">
        <w:fldChar w:fldCharType="end"/>
      </w:r>
    </w:p>
    <w:p w14:paraId="4CDB2F8D" w14:textId="23643FF6" w:rsidR="00271952" w:rsidRPr="00C9343F" w:rsidRDefault="00271952">
      <w:pPr>
        <w:pStyle w:val="TOC5"/>
        <w:rPr>
          <w:rFonts w:asciiTheme="minorHAnsi" w:eastAsiaTheme="minorEastAsia" w:hAnsiTheme="minorHAnsi" w:cstheme="minorBidi"/>
          <w:sz w:val="22"/>
          <w:szCs w:val="22"/>
        </w:rPr>
      </w:pPr>
      <w:r w:rsidRPr="00C9343F">
        <w:t>3.2.58    Movements between Reserve service and continuous full-time service</w:t>
      </w:r>
      <w:r w:rsidRPr="00C9343F">
        <w:tab/>
      </w:r>
      <w:r w:rsidRPr="00C9343F">
        <w:fldChar w:fldCharType="begin"/>
      </w:r>
      <w:r w:rsidRPr="00C9343F">
        <w:instrText xml:space="preserve"> PAGEREF _Toc105053737 \h </w:instrText>
      </w:r>
      <w:r w:rsidRPr="00C9343F">
        <w:fldChar w:fldCharType="separate"/>
      </w:r>
      <w:r w:rsidRPr="00C9343F">
        <w:t>109</w:t>
      </w:r>
      <w:r w:rsidRPr="00C9343F">
        <w:fldChar w:fldCharType="end"/>
      </w:r>
    </w:p>
    <w:p w14:paraId="0FBC0B11" w14:textId="5E1A59FE" w:rsidR="00271952" w:rsidRPr="00C9343F" w:rsidRDefault="00271952">
      <w:pPr>
        <w:pStyle w:val="TOC5"/>
        <w:rPr>
          <w:rFonts w:asciiTheme="minorHAnsi" w:eastAsiaTheme="minorEastAsia" w:hAnsiTheme="minorHAnsi" w:cstheme="minorBidi"/>
          <w:sz w:val="22"/>
          <w:szCs w:val="22"/>
        </w:rPr>
      </w:pPr>
      <w:r w:rsidRPr="00C9343F">
        <w:t>3.2.59    Member on salary non-reduction or salary preservation on 13 May 2021</w:t>
      </w:r>
      <w:r w:rsidRPr="00C9343F">
        <w:tab/>
      </w:r>
      <w:r w:rsidRPr="00C9343F">
        <w:fldChar w:fldCharType="begin"/>
      </w:r>
      <w:r w:rsidRPr="00C9343F">
        <w:instrText xml:space="preserve"> PAGEREF _Toc105053738 \h </w:instrText>
      </w:r>
      <w:r w:rsidRPr="00C9343F">
        <w:fldChar w:fldCharType="separate"/>
      </w:r>
      <w:r w:rsidRPr="00C9343F">
        <w:t>109</w:t>
      </w:r>
      <w:r w:rsidRPr="00C9343F">
        <w:fldChar w:fldCharType="end"/>
      </w:r>
    </w:p>
    <w:p w14:paraId="3C0152A8" w14:textId="437AB92D" w:rsidR="00271952" w:rsidRPr="00C9343F" w:rsidRDefault="00271952">
      <w:pPr>
        <w:pStyle w:val="TOC4"/>
        <w:rPr>
          <w:rFonts w:asciiTheme="minorHAnsi" w:eastAsiaTheme="minorEastAsia" w:hAnsiTheme="minorHAnsi" w:cstheme="minorBidi"/>
          <w:sz w:val="22"/>
          <w:szCs w:val="22"/>
        </w:rPr>
      </w:pPr>
      <w:r w:rsidRPr="00C9343F">
        <w:t>Annex 3.2.B: Salary non-reduction – members with the rank of Warrant Officer Class 1 or lower</w:t>
      </w:r>
      <w:r w:rsidRPr="00C9343F">
        <w:tab/>
      </w:r>
      <w:r w:rsidRPr="00C9343F">
        <w:fldChar w:fldCharType="begin"/>
      </w:r>
      <w:r w:rsidRPr="00C9343F">
        <w:instrText xml:space="preserve"> PAGEREF _Toc105053739 \h </w:instrText>
      </w:r>
      <w:r w:rsidRPr="00C9343F">
        <w:fldChar w:fldCharType="separate"/>
      </w:r>
      <w:r w:rsidRPr="00C9343F">
        <w:t>111</w:t>
      </w:r>
      <w:r w:rsidRPr="00C9343F">
        <w:fldChar w:fldCharType="end"/>
      </w:r>
    </w:p>
    <w:p w14:paraId="19CCDBD0" w14:textId="4C6D0629" w:rsidR="00271952" w:rsidRPr="00C9343F" w:rsidRDefault="00271952">
      <w:pPr>
        <w:pStyle w:val="TOC5"/>
        <w:rPr>
          <w:rFonts w:asciiTheme="minorHAnsi" w:eastAsiaTheme="minorEastAsia" w:hAnsiTheme="minorHAnsi" w:cstheme="minorBidi"/>
          <w:sz w:val="22"/>
          <w:szCs w:val="22"/>
        </w:rPr>
      </w:pPr>
      <w:r w:rsidRPr="00C9343F">
        <w:t>Part 1: Members with the rank of Warrant Officer Class 1</w:t>
      </w:r>
      <w:r w:rsidRPr="00C9343F">
        <w:tab/>
      </w:r>
      <w:r w:rsidRPr="00C9343F">
        <w:fldChar w:fldCharType="begin"/>
      </w:r>
      <w:r w:rsidRPr="00C9343F">
        <w:instrText xml:space="preserve"> PAGEREF _Toc105053740 \h </w:instrText>
      </w:r>
      <w:r w:rsidRPr="00C9343F">
        <w:fldChar w:fldCharType="separate"/>
      </w:r>
      <w:r w:rsidRPr="00C9343F">
        <w:t>111</w:t>
      </w:r>
      <w:r w:rsidRPr="00C9343F">
        <w:fldChar w:fldCharType="end"/>
      </w:r>
    </w:p>
    <w:p w14:paraId="631979CD" w14:textId="3B4E5C7E" w:rsidR="00271952" w:rsidRPr="00C9343F" w:rsidRDefault="00271952">
      <w:pPr>
        <w:pStyle w:val="TOC5"/>
        <w:rPr>
          <w:rFonts w:asciiTheme="minorHAnsi" w:eastAsiaTheme="minorEastAsia" w:hAnsiTheme="minorHAnsi" w:cstheme="minorBidi"/>
          <w:sz w:val="22"/>
          <w:szCs w:val="22"/>
        </w:rPr>
      </w:pPr>
      <w:r w:rsidRPr="00C9343F">
        <w:t>Part 2: Members with the rank of Warrant Officer Class 2 or lower</w:t>
      </w:r>
      <w:r w:rsidRPr="00C9343F">
        <w:tab/>
      </w:r>
      <w:r w:rsidRPr="00C9343F">
        <w:fldChar w:fldCharType="begin"/>
      </w:r>
      <w:r w:rsidRPr="00C9343F">
        <w:instrText xml:space="preserve"> PAGEREF _Toc105053741 \h </w:instrText>
      </w:r>
      <w:r w:rsidRPr="00C9343F">
        <w:fldChar w:fldCharType="separate"/>
      </w:r>
      <w:r w:rsidRPr="00C9343F">
        <w:t>112</w:t>
      </w:r>
      <w:r w:rsidRPr="00C9343F">
        <w:fldChar w:fldCharType="end"/>
      </w:r>
    </w:p>
    <w:p w14:paraId="63629300" w14:textId="5094571A" w:rsidR="00271952" w:rsidRPr="00C9343F" w:rsidRDefault="00271952">
      <w:pPr>
        <w:pStyle w:val="TOC4"/>
        <w:rPr>
          <w:rFonts w:asciiTheme="minorHAnsi" w:eastAsiaTheme="minorEastAsia" w:hAnsiTheme="minorHAnsi" w:cstheme="minorBidi"/>
          <w:sz w:val="22"/>
          <w:szCs w:val="22"/>
        </w:rPr>
      </w:pPr>
      <w:r w:rsidRPr="00C9343F">
        <w:t>Annex 3.2.D: Salary non-reduction – Officers</w:t>
      </w:r>
      <w:r w:rsidRPr="00C9343F">
        <w:tab/>
      </w:r>
      <w:r w:rsidRPr="00C9343F">
        <w:fldChar w:fldCharType="begin"/>
      </w:r>
      <w:r w:rsidRPr="00C9343F">
        <w:instrText xml:space="preserve"> PAGEREF _Toc105053742 \h </w:instrText>
      </w:r>
      <w:r w:rsidRPr="00C9343F">
        <w:fldChar w:fldCharType="separate"/>
      </w:r>
      <w:r w:rsidRPr="00C9343F">
        <w:t>117</w:t>
      </w:r>
      <w:r w:rsidRPr="00C9343F">
        <w:fldChar w:fldCharType="end"/>
      </w:r>
    </w:p>
    <w:p w14:paraId="57AE458F" w14:textId="7AF952E6" w:rsidR="00271952" w:rsidRPr="00C9343F" w:rsidRDefault="00271952">
      <w:pPr>
        <w:pStyle w:val="TOC4"/>
        <w:rPr>
          <w:rFonts w:asciiTheme="minorHAnsi" w:eastAsiaTheme="minorEastAsia" w:hAnsiTheme="minorHAnsi" w:cstheme="minorBidi"/>
          <w:sz w:val="22"/>
          <w:szCs w:val="22"/>
        </w:rPr>
      </w:pPr>
      <w:r w:rsidRPr="00C9343F">
        <w:t>Annex 3.2.E: Officer Aviation Specialist Structure to Officer Aviation Pay Structure — conversion table</w:t>
      </w:r>
      <w:r w:rsidRPr="00C9343F">
        <w:tab/>
      </w:r>
      <w:r w:rsidRPr="00C9343F">
        <w:fldChar w:fldCharType="begin"/>
      </w:r>
      <w:r w:rsidRPr="00C9343F">
        <w:instrText xml:space="preserve"> PAGEREF _Toc105053743 \h </w:instrText>
      </w:r>
      <w:r w:rsidRPr="00C9343F">
        <w:fldChar w:fldCharType="separate"/>
      </w:r>
      <w:r w:rsidRPr="00C9343F">
        <w:t>118</w:t>
      </w:r>
      <w:r w:rsidRPr="00C9343F">
        <w:fldChar w:fldCharType="end"/>
      </w:r>
    </w:p>
    <w:p w14:paraId="53AF61A1" w14:textId="0C708F7D" w:rsidR="00271952" w:rsidRPr="00C9343F" w:rsidRDefault="00271952">
      <w:pPr>
        <w:pStyle w:val="TOC3"/>
        <w:rPr>
          <w:rFonts w:asciiTheme="minorHAnsi" w:eastAsiaTheme="minorEastAsia" w:hAnsiTheme="minorHAnsi" w:cstheme="minorBidi"/>
          <w:b w:val="0"/>
          <w:sz w:val="22"/>
          <w:szCs w:val="22"/>
        </w:rPr>
      </w:pPr>
      <w:r w:rsidRPr="00C9343F">
        <w:t>Part 5: Retention and completion benefits</w:t>
      </w:r>
      <w:r w:rsidRPr="00C9343F">
        <w:tab/>
      </w:r>
      <w:r w:rsidRPr="00C9343F">
        <w:fldChar w:fldCharType="begin"/>
      </w:r>
      <w:r w:rsidRPr="00C9343F">
        <w:instrText xml:space="preserve"> PAGEREF _Toc105053744 \h </w:instrText>
      </w:r>
      <w:r w:rsidRPr="00C9343F">
        <w:fldChar w:fldCharType="separate"/>
      </w:r>
      <w:r w:rsidRPr="00C9343F">
        <w:t>119</w:t>
      </w:r>
      <w:r w:rsidRPr="00C9343F">
        <w:fldChar w:fldCharType="end"/>
      </w:r>
    </w:p>
    <w:p w14:paraId="0A413FCC" w14:textId="77E867D2" w:rsidR="00271952" w:rsidRPr="00C9343F" w:rsidRDefault="00271952">
      <w:pPr>
        <w:pStyle w:val="TOC4"/>
        <w:rPr>
          <w:rFonts w:asciiTheme="minorHAnsi" w:eastAsiaTheme="minorEastAsia" w:hAnsiTheme="minorHAnsi" w:cstheme="minorBidi"/>
          <w:sz w:val="22"/>
          <w:szCs w:val="22"/>
        </w:rPr>
      </w:pPr>
      <w:r w:rsidRPr="00C9343F">
        <w:lastRenderedPageBreak/>
        <w:t>Division 1: General provisions</w:t>
      </w:r>
      <w:r w:rsidRPr="00C9343F">
        <w:tab/>
      </w:r>
      <w:r w:rsidRPr="00C9343F">
        <w:fldChar w:fldCharType="begin"/>
      </w:r>
      <w:r w:rsidRPr="00C9343F">
        <w:instrText xml:space="preserve"> PAGEREF _Toc105053745 \h </w:instrText>
      </w:r>
      <w:r w:rsidRPr="00C9343F">
        <w:fldChar w:fldCharType="separate"/>
      </w:r>
      <w:r w:rsidRPr="00C9343F">
        <w:t>119</w:t>
      </w:r>
      <w:r w:rsidRPr="00C9343F">
        <w:fldChar w:fldCharType="end"/>
      </w:r>
    </w:p>
    <w:p w14:paraId="04393494" w14:textId="025DDF18" w:rsidR="00271952" w:rsidRPr="00C9343F" w:rsidRDefault="00271952">
      <w:pPr>
        <w:pStyle w:val="TOC5"/>
        <w:rPr>
          <w:rFonts w:asciiTheme="minorHAnsi" w:eastAsiaTheme="minorEastAsia" w:hAnsiTheme="minorHAnsi" w:cstheme="minorBidi"/>
          <w:sz w:val="22"/>
          <w:szCs w:val="22"/>
        </w:rPr>
      </w:pPr>
      <w:r w:rsidRPr="00C9343F">
        <w:t>3.5.1    Purpose</w:t>
      </w:r>
      <w:r w:rsidRPr="00C9343F">
        <w:tab/>
      </w:r>
      <w:r w:rsidRPr="00C9343F">
        <w:fldChar w:fldCharType="begin"/>
      </w:r>
      <w:r w:rsidRPr="00C9343F">
        <w:instrText xml:space="preserve"> PAGEREF _Toc105053746 \h </w:instrText>
      </w:r>
      <w:r w:rsidRPr="00C9343F">
        <w:fldChar w:fldCharType="separate"/>
      </w:r>
      <w:r w:rsidRPr="00C9343F">
        <w:t>119</w:t>
      </w:r>
      <w:r w:rsidRPr="00C9343F">
        <w:fldChar w:fldCharType="end"/>
      </w:r>
    </w:p>
    <w:p w14:paraId="21A2BF79" w14:textId="414C8FDD" w:rsidR="00271952" w:rsidRPr="00C9343F" w:rsidRDefault="00271952">
      <w:pPr>
        <w:pStyle w:val="TOC5"/>
        <w:rPr>
          <w:rFonts w:asciiTheme="minorHAnsi" w:eastAsiaTheme="minorEastAsia" w:hAnsiTheme="minorHAnsi" w:cstheme="minorBidi"/>
          <w:sz w:val="22"/>
          <w:szCs w:val="22"/>
        </w:rPr>
      </w:pPr>
      <w:r w:rsidRPr="00C9343F">
        <w:t>3.5.2    Calculating effective service for a member on a flexible service determination</w:t>
      </w:r>
      <w:r w:rsidRPr="00C9343F">
        <w:tab/>
      </w:r>
      <w:r w:rsidRPr="00C9343F">
        <w:fldChar w:fldCharType="begin"/>
      </w:r>
      <w:r w:rsidRPr="00C9343F">
        <w:instrText xml:space="preserve"> PAGEREF _Toc105053747 \h </w:instrText>
      </w:r>
      <w:r w:rsidRPr="00C9343F">
        <w:fldChar w:fldCharType="separate"/>
      </w:r>
      <w:r w:rsidRPr="00C9343F">
        <w:t>119</w:t>
      </w:r>
      <w:r w:rsidRPr="00C9343F">
        <w:fldChar w:fldCharType="end"/>
      </w:r>
    </w:p>
    <w:p w14:paraId="7B985726" w14:textId="77F031C5" w:rsidR="00271952" w:rsidRPr="00C9343F" w:rsidRDefault="00271952">
      <w:pPr>
        <w:pStyle w:val="TOC4"/>
        <w:rPr>
          <w:rFonts w:asciiTheme="minorHAnsi" w:eastAsiaTheme="minorEastAsia" w:hAnsiTheme="minorHAnsi" w:cstheme="minorBidi"/>
          <w:sz w:val="22"/>
          <w:szCs w:val="22"/>
        </w:rPr>
      </w:pPr>
      <w:r w:rsidRPr="00C9343F">
        <w:t>Division 2: Bonus framework</w:t>
      </w:r>
      <w:r w:rsidRPr="00C9343F">
        <w:tab/>
      </w:r>
      <w:r w:rsidRPr="00C9343F">
        <w:fldChar w:fldCharType="begin"/>
      </w:r>
      <w:r w:rsidRPr="00C9343F">
        <w:instrText xml:space="preserve"> PAGEREF _Toc105053748 \h </w:instrText>
      </w:r>
      <w:r w:rsidRPr="00C9343F">
        <w:fldChar w:fldCharType="separate"/>
      </w:r>
      <w:r w:rsidRPr="00C9343F">
        <w:t>120</w:t>
      </w:r>
      <w:r w:rsidRPr="00C9343F">
        <w:fldChar w:fldCharType="end"/>
      </w:r>
    </w:p>
    <w:p w14:paraId="1E5456FA" w14:textId="32AC3926" w:rsidR="00271952" w:rsidRPr="00C9343F" w:rsidRDefault="00271952">
      <w:pPr>
        <w:pStyle w:val="TOC5"/>
        <w:rPr>
          <w:rFonts w:asciiTheme="minorHAnsi" w:eastAsiaTheme="minorEastAsia" w:hAnsiTheme="minorHAnsi" w:cstheme="minorBidi"/>
          <w:sz w:val="22"/>
          <w:szCs w:val="22"/>
        </w:rPr>
      </w:pPr>
      <w:r w:rsidRPr="00C9343F">
        <w:t>3.5.4    Purpose</w:t>
      </w:r>
      <w:r w:rsidRPr="00C9343F">
        <w:tab/>
      </w:r>
      <w:r w:rsidRPr="00C9343F">
        <w:fldChar w:fldCharType="begin"/>
      </w:r>
      <w:r w:rsidRPr="00C9343F">
        <w:instrText xml:space="preserve"> PAGEREF _Toc105053749 \h </w:instrText>
      </w:r>
      <w:r w:rsidRPr="00C9343F">
        <w:fldChar w:fldCharType="separate"/>
      </w:r>
      <w:r w:rsidRPr="00C9343F">
        <w:t>120</w:t>
      </w:r>
      <w:r w:rsidRPr="00C9343F">
        <w:fldChar w:fldCharType="end"/>
      </w:r>
    </w:p>
    <w:p w14:paraId="24996633" w14:textId="2707C4B4" w:rsidR="00271952" w:rsidRPr="00C9343F" w:rsidRDefault="00271952">
      <w:pPr>
        <w:pStyle w:val="TOC5"/>
        <w:rPr>
          <w:rFonts w:asciiTheme="minorHAnsi" w:eastAsiaTheme="minorEastAsia" w:hAnsiTheme="minorHAnsi" w:cstheme="minorBidi"/>
          <w:sz w:val="22"/>
          <w:szCs w:val="22"/>
        </w:rPr>
      </w:pPr>
      <w:r w:rsidRPr="00C9343F">
        <w:t>3.5.5    Definitions</w:t>
      </w:r>
      <w:r w:rsidRPr="00C9343F">
        <w:tab/>
      </w:r>
      <w:r w:rsidRPr="00C9343F">
        <w:fldChar w:fldCharType="begin"/>
      </w:r>
      <w:r w:rsidRPr="00C9343F">
        <w:instrText xml:space="preserve"> PAGEREF _Toc105053750 \h </w:instrText>
      </w:r>
      <w:r w:rsidRPr="00C9343F">
        <w:fldChar w:fldCharType="separate"/>
      </w:r>
      <w:r w:rsidRPr="00C9343F">
        <w:t>120</w:t>
      </w:r>
      <w:r w:rsidRPr="00C9343F">
        <w:fldChar w:fldCharType="end"/>
      </w:r>
    </w:p>
    <w:p w14:paraId="2BF280E7" w14:textId="2A3EAE9E" w:rsidR="00271952" w:rsidRPr="00C9343F" w:rsidRDefault="00271952">
      <w:pPr>
        <w:pStyle w:val="TOC5"/>
        <w:rPr>
          <w:rFonts w:asciiTheme="minorHAnsi" w:eastAsiaTheme="minorEastAsia" w:hAnsiTheme="minorHAnsi" w:cstheme="minorBidi"/>
          <w:sz w:val="22"/>
          <w:szCs w:val="22"/>
        </w:rPr>
      </w:pPr>
      <w:r w:rsidRPr="00C9343F">
        <w:t>3.5.6    Member eligible for a bonus</w:t>
      </w:r>
      <w:r w:rsidRPr="00C9343F">
        <w:tab/>
      </w:r>
      <w:r w:rsidRPr="00C9343F">
        <w:fldChar w:fldCharType="begin"/>
      </w:r>
      <w:r w:rsidRPr="00C9343F">
        <w:instrText xml:space="preserve"> PAGEREF _Toc105053751 \h </w:instrText>
      </w:r>
      <w:r w:rsidRPr="00C9343F">
        <w:fldChar w:fldCharType="separate"/>
      </w:r>
      <w:r w:rsidRPr="00C9343F">
        <w:t>120</w:t>
      </w:r>
      <w:r w:rsidRPr="00C9343F">
        <w:fldChar w:fldCharType="end"/>
      </w:r>
    </w:p>
    <w:p w14:paraId="1147F79C" w14:textId="3D118A3B" w:rsidR="00271952" w:rsidRPr="00C9343F" w:rsidRDefault="00271952">
      <w:pPr>
        <w:pStyle w:val="TOC5"/>
        <w:rPr>
          <w:rFonts w:asciiTheme="minorHAnsi" w:eastAsiaTheme="minorEastAsia" w:hAnsiTheme="minorHAnsi" w:cstheme="minorBidi"/>
          <w:sz w:val="22"/>
          <w:szCs w:val="22"/>
        </w:rPr>
      </w:pPr>
      <w:r w:rsidRPr="00C9343F">
        <w:t>3.5.7    Member who is not eligible for a bonus</w:t>
      </w:r>
      <w:r w:rsidRPr="00C9343F">
        <w:tab/>
      </w:r>
      <w:r w:rsidRPr="00C9343F">
        <w:fldChar w:fldCharType="begin"/>
      </w:r>
      <w:r w:rsidRPr="00C9343F">
        <w:instrText xml:space="preserve"> PAGEREF _Toc105053752 \h </w:instrText>
      </w:r>
      <w:r w:rsidRPr="00C9343F">
        <w:fldChar w:fldCharType="separate"/>
      </w:r>
      <w:r w:rsidRPr="00C9343F">
        <w:t>120</w:t>
      </w:r>
      <w:r w:rsidRPr="00C9343F">
        <w:fldChar w:fldCharType="end"/>
      </w:r>
    </w:p>
    <w:p w14:paraId="10F2DF69" w14:textId="56586D21" w:rsidR="00271952" w:rsidRPr="00C9343F" w:rsidRDefault="00271952">
      <w:pPr>
        <w:pStyle w:val="TOC5"/>
        <w:rPr>
          <w:rFonts w:asciiTheme="minorHAnsi" w:eastAsiaTheme="minorEastAsia" w:hAnsiTheme="minorHAnsi" w:cstheme="minorBidi"/>
          <w:sz w:val="22"/>
          <w:szCs w:val="22"/>
        </w:rPr>
      </w:pPr>
      <w:r w:rsidRPr="00C9343F">
        <w:t>3.5.8    Offer of a bonus</w:t>
      </w:r>
      <w:r w:rsidRPr="00C9343F">
        <w:tab/>
      </w:r>
      <w:r w:rsidRPr="00C9343F">
        <w:fldChar w:fldCharType="begin"/>
      </w:r>
      <w:r w:rsidRPr="00C9343F">
        <w:instrText xml:space="preserve"> PAGEREF _Toc105053753 \h </w:instrText>
      </w:r>
      <w:r w:rsidRPr="00C9343F">
        <w:fldChar w:fldCharType="separate"/>
      </w:r>
      <w:r w:rsidRPr="00C9343F">
        <w:t>121</w:t>
      </w:r>
      <w:r w:rsidRPr="00C9343F">
        <w:fldChar w:fldCharType="end"/>
      </w:r>
    </w:p>
    <w:p w14:paraId="50717A6A" w14:textId="1AA777C7" w:rsidR="00271952" w:rsidRPr="00C9343F" w:rsidRDefault="00271952">
      <w:pPr>
        <w:pStyle w:val="TOC5"/>
        <w:rPr>
          <w:rFonts w:asciiTheme="minorHAnsi" w:eastAsiaTheme="minorEastAsia" w:hAnsiTheme="minorHAnsi" w:cstheme="minorBidi"/>
          <w:sz w:val="22"/>
          <w:szCs w:val="22"/>
        </w:rPr>
      </w:pPr>
      <w:r w:rsidRPr="00C9343F">
        <w:t>3.5.9    Factors to be considered before offering a bonus</w:t>
      </w:r>
      <w:r w:rsidRPr="00C9343F">
        <w:tab/>
      </w:r>
      <w:r w:rsidRPr="00C9343F">
        <w:fldChar w:fldCharType="begin"/>
      </w:r>
      <w:r w:rsidRPr="00C9343F">
        <w:instrText xml:space="preserve"> PAGEREF _Toc105053754 \h </w:instrText>
      </w:r>
      <w:r w:rsidRPr="00C9343F">
        <w:fldChar w:fldCharType="separate"/>
      </w:r>
      <w:r w:rsidRPr="00C9343F">
        <w:t>121</w:t>
      </w:r>
      <w:r w:rsidRPr="00C9343F">
        <w:fldChar w:fldCharType="end"/>
      </w:r>
    </w:p>
    <w:p w14:paraId="2C7201FC" w14:textId="77C04395" w:rsidR="00271952" w:rsidRPr="00C9343F" w:rsidRDefault="00271952">
      <w:pPr>
        <w:pStyle w:val="TOC5"/>
        <w:rPr>
          <w:rFonts w:asciiTheme="minorHAnsi" w:eastAsiaTheme="minorEastAsia" w:hAnsiTheme="minorHAnsi" w:cstheme="minorBidi"/>
          <w:sz w:val="22"/>
          <w:szCs w:val="22"/>
        </w:rPr>
      </w:pPr>
      <w:r w:rsidRPr="00C9343F">
        <w:t>3.5.10    Effective service for the purpose of the bonus</w:t>
      </w:r>
      <w:r w:rsidRPr="00C9343F">
        <w:tab/>
      </w:r>
      <w:r w:rsidRPr="00C9343F">
        <w:fldChar w:fldCharType="begin"/>
      </w:r>
      <w:r w:rsidRPr="00C9343F">
        <w:instrText xml:space="preserve"> PAGEREF _Toc105053755 \h </w:instrText>
      </w:r>
      <w:r w:rsidRPr="00C9343F">
        <w:fldChar w:fldCharType="separate"/>
      </w:r>
      <w:r w:rsidRPr="00C9343F">
        <w:t>122</w:t>
      </w:r>
      <w:r w:rsidRPr="00C9343F">
        <w:fldChar w:fldCharType="end"/>
      </w:r>
    </w:p>
    <w:p w14:paraId="2CC2F358" w14:textId="5DAE4574" w:rsidR="00271952" w:rsidRPr="00C9343F" w:rsidRDefault="00271952">
      <w:pPr>
        <w:pStyle w:val="TOC5"/>
        <w:rPr>
          <w:rFonts w:asciiTheme="minorHAnsi" w:eastAsiaTheme="minorEastAsia" w:hAnsiTheme="minorHAnsi" w:cstheme="minorBidi"/>
          <w:sz w:val="22"/>
          <w:szCs w:val="22"/>
        </w:rPr>
      </w:pPr>
      <w:r w:rsidRPr="00C9343F">
        <w:t>3.5.11    How the offer is accepted</w:t>
      </w:r>
      <w:r w:rsidRPr="00C9343F">
        <w:tab/>
      </w:r>
      <w:r w:rsidRPr="00C9343F">
        <w:fldChar w:fldCharType="begin"/>
      </w:r>
      <w:r w:rsidRPr="00C9343F">
        <w:instrText xml:space="preserve"> PAGEREF _Toc105053756 \h </w:instrText>
      </w:r>
      <w:r w:rsidRPr="00C9343F">
        <w:fldChar w:fldCharType="separate"/>
      </w:r>
      <w:r w:rsidRPr="00C9343F">
        <w:t>123</w:t>
      </w:r>
      <w:r w:rsidRPr="00C9343F">
        <w:fldChar w:fldCharType="end"/>
      </w:r>
    </w:p>
    <w:p w14:paraId="4DFE45CB" w14:textId="6B94827B" w:rsidR="00271952" w:rsidRPr="00C9343F" w:rsidRDefault="00271952">
      <w:pPr>
        <w:pStyle w:val="TOC5"/>
        <w:rPr>
          <w:rFonts w:asciiTheme="minorHAnsi" w:eastAsiaTheme="minorEastAsia" w:hAnsiTheme="minorHAnsi" w:cstheme="minorBidi"/>
          <w:sz w:val="22"/>
          <w:szCs w:val="22"/>
        </w:rPr>
      </w:pPr>
      <w:r w:rsidRPr="00C9343F">
        <w:t>3.5.12    Transfer in from another bonus</w:t>
      </w:r>
      <w:r w:rsidRPr="00C9343F">
        <w:tab/>
      </w:r>
      <w:r w:rsidRPr="00C9343F">
        <w:fldChar w:fldCharType="begin"/>
      </w:r>
      <w:r w:rsidRPr="00C9343F">
        <w:instrText xml:space="preserve"> PAGEREF _Toc105053757 \h </w:instrText>
      </w:r>
      <w:r w:rsidRPr="00C9343F">
        <w:fldChar w:fldCharType="separate"/>
      </w:r>
      <w:r w:rsidRPr="00C9343F">
        <w:t>123</w:t>
      </w:r>
      <w:r w:rsidRPr="00C9343F">
        <w:fldChar w:fldCharType="end"/>
      </w:r>
    </w:p>
    <w:p w14:paraId="2EC859E2" w14:textId="0BF0C0FE" w:rsidR="00271952" w:rsidRPr="00C9343F" w:rsidRDefault="00271952">
      <w:pPr>
        <w:pStyle w:val="TOC5"/>
        <w:rPr>
          <w:rFonts w:asciiTheme="minorHAnsi" w:eastAsiaTheme="minorEastAsia" w:hAnsiTheme="minorHAnsi" w:cstheme="minorBidi"/>
          <w:sz w:val="22"/>
          <w:szCs w:val="22"/>
        </w:rPr>
      </w:pPr>
      <w:r w:rsidRPr="00C9343F">
        <w:t>3.5.13    Payment of the bonus</w:t>
      </w:r>
      <w:r w:rsidRPr="00C9343F">
        <w:tab/>
      </w:r>
      <w:r w:rsidRPr="00C9343F">
        <w:fldChar w:fldCharType="begin"/>
      </w:r>
      <w:r w:rsidRPr="00C9343F">
        <w:instrText xml:space="preserve"> PAGEREF _Toc105053758 \h </w:instrText>
      </w:r>
      <w:r w:rsidRPr="00C9343F">
        <w:fldChar w:fldCharType="separate"/>
      </w:r>
      <w:r w:rsidRPr="00C9343F">
        <w:t>124</w:t>
      </w:r>
      <w:r w:rsidRPr="00C9343F">
        <w:fldChar w:fldCharType="end"/>
      </w:r>
    </w:p>
    <w:p w14:paraId="572D0479" w14:textId="302B78C2" w:rsidR="00271952" w:rsidRPr="00C9343F" w:rsidRDefault="00271952">
      <w:pPr>
        <w:pStyle w:val="TOC5"/>
        <w:rPr>
          <w:rFonts w:asciiTheme="minorHAnsi" w:eastAsiaTheme="minorEastAsia" w:hAnsiTheme="minorHAnsi" w:cstheme="minorBidi"/>
          <w:sz w:val="22"/>
          <w:szCs w:val="22"/>
        </w:rPr>
      </w:pPr>
      <w:r w:rsidRPr="00C9343F">
        <w:t>3.5.14    Member leaves scheme</w:t>
      </w:r>
      <w:r w:rsidRPr="00C9343F">
        <w:tab/>
      </w:r>
      <w:r w:rsidRPr="00C9343F">
        <w:fldChar w:fldCharType="begin"/>
      </w:r>
      <w:r w:rsidRPr="00C9343F">
        <w:instrText xml:space="preserve"> PAGEREF _Toc105053759 \h </w:instrText>
      </w:r>
      <w:r w:rsidRPr="00C9343F">
        <w:fldChar w:fldCharType="separate"/>
      </w:r>
      <w:r w:rsidRPr="00C9343F">
        <w:t>124</w:t>
      </w:r>
      <w:r w:rsidRPr="00C9343F">
        <w:fldChar w:fldCharType="end"/>
      </w:r>
    </w:p>
    <w:p w14:paraId="751179D5" w14:textId="3603330B" w:rsidR="00271952" w:rsidRPr="00C9343F" w:rsidRDefault="00271952">
      <w:pPr>
        <w:pStyle w:val="TOC4"/>
        <w:rPr>
          <w:rFonts w:asciiTheme="minorHAnsi" w:eastAsiaTheme="minorEastAsia" w:hAnsiTheme="minorHAnsi" w:cstheme="minorBidi"/>
          <w:sz w:val="22"/>
          <w:szCs w:val="22"/>
        </w:rPr>
      </w:pPr>
      <w:r w:rsidRPr="00C9343F">
        <w:t>Division 2A: Reserve capability payment</w:t>
      </w:r>
      <w:r w:rsidRPr="00C9343F">
        <w:tab/>
      </w:r>
      <w:r w:rsidRPr="00C9343F">
        <w:fldChar w:fldCharType="begin"/>
      </w:r>
      <w:r w:rsidRPr="00C9343F">
        <w:instrText xml:space="preserve"> PAGEREF _Toc105053760 \h </w:instrText>
      </w:r>
      <w:r w:rsidRPr="00C9343F">
        <w:fldChar w:fldCharType="separate"/>
      </w:r>
      <w:r w:rsidRPr="00C9343F">
        <w:t>126</w:t>
      </w:r>
      <w:r w:rsidRPr="00C9343F">
        <w:fldChar w:fldCharType="end"/>
      </w:r>
    </w:p>
    <w:p w14:paraId="3A7BE574" w14:textId="3B0327BE" w:rsidR="00271952" w:rsidRPr="00C9343F" w:rsidRDefault="00271952">
      <w:pPr>
        <w:pStyle w:val="TOC5"/>
        <w:rPr>
          <w:rFonts w:asciiTheme="minorHAnsi" w:eastAsiaTheme="minorEastAsia" w:hAnsiTheme="minorHAnsi" w:cstheme="minorBidi"/>
          <w:sz w:val="22"/>
          <w:szCs w:val="22"/>
        </w:rPr>
      </w:pPr>
      <w:r w:rsidRPr="00C9343F">
        <w:rPr>
          <w:bCs/>
        </w:rPr>
        <w:t>3.5.14A    Purpose</w:t>
      </w:r>
      <w:r w:rsidRPr="00C9343F">
        <w:tab/>
      </w:r>
      <w:r w:rsidRPr="00C9343F">
        <w:fldChar w:fldCharType="begin"/>
      </w:r>
      <w:r w:rsidRPr="00C9343F">
        <w:instrText xml:space="preserve"> PAGEREF _Toc105053761 \h </w:instrText>
      </w:r>
      <w:r w:rsidRPr="00C9343F">
        <w:fldChar w:fldCharType="separate"/>
      </w:r>
      <w:r w:rsidRPr="00C9343F">
        <w:t>126</w:t>
      </w:r>
      <w:r w:rsidRPr="00C9343F">
        <w:fldChar w:fldCharType="end"/>
      </w:r>
    </w:p>
    <w:p w14:paraId="3E1E5D65" w14:textId="4D7AA58E" w:rsidR="00271952" w:rsidRPr="00C9343F" w:rsidRDefault="00271952">
      <w:pPr>
        <w:pStyle w:val="TOC5"/>
        <w:rPr>
          <w:rFonts w:asciiTheme="minorHAnsi" w:eastAsiaTheme="minorEastAsia" w:hAnsiTheme="minorHAnsi" w:cstheme="minorBidi"/>
          <w:sz w:val="22"/>
          <w:szCs w:val="22"/>
        </w:rPr>
      </w:pPr>
      <w:r w:rsidRPr="00C9343F">
        <w:rPr>
          <w:bCs/>
        </w:rPr>
        <w:t>3.5.14C    Member this Division applies to</w:t>
      </w:r>
      <w:r w:rsidRPr="00C9343F">
        <w:tab/>
      </w:r>
      <w:r w:rsidRPr="00C9343F">
        <w:fldChar w:fldCharType="begin"/>
      </w:r>
      <w:r w:rsidRPr="00C9343F">
        <w:instrText xml:space="preserve"> PAGEREF _Toc105053762 \h </w:instrText>
      </w:r>
      <w:r w:rsidRPr="00C9343F">
        <w:fldChar w:fldCharType="separate"/>
      </w:r>
      <w:r w:rsidRPr="00C9343F">
        <w:t>126</w:t>
      </w:r>
      <w:r w:rsidRPr="00C9343F">
        <w:fldChar w:fldCharType="end"/>
      </w:r>
    </w:p>
    <w:p w14:paraId="2DF1C5C2" w14:textId="054546C7" w:rsidR="00271952" w:rsidRPr="00C9343F" w:rsidRDefault="00271952">
      <w:pPr>
        <w:pStyle w:val="TOC5"/>
        <w:rPr>
          <w:rFonts w:asciiTheme="minorHAnsi" w:eastAsiaTheme="minorEastAsia" w:hAnsiTheme="minorHAnsi" w:cstheme="minorBidi"/>
          <w:sz w:val="22"/>
          <w:szCs w:val="22"/>
        </w:rPr>
      </w:pPr>
      <w:r w:rsidRPr="00C9343F">
        <w:t>3.5.14D    Offer of a Reserve capability payment</w:t>
      </w:r>
      <w:r w:rsidRPr="00C9343F">
        <w:tab/>
      </w:r>
      <w:r w:rsidRPr="00C9343F">
        <w:fldChar w:fldCharType="begin"/>
      </w:r>
      <w:r w:rsidRPr="00C9343F">
        <w:instrText xml:space="preserve"> PAGEREF _Toc105053763 \h </w:instrText>
      </w:r>
      <w:r w:rsidRPr="00C9343F">
        <w:fldChar w:fldCharType="separate"/>
      </w:r>
      <w:r w:rsidRPr="00C9343F">
        <w:t>126</w:t>
      </w:r>
      <w:r w:rsidRPr="00C9343F">
        <w:fldChar w:fldCharType="end"/>
      </w:r>
    </w:p>
    <w:p w14:paraId="2F3C63B1" w14:textId="45FC1C83" w:rsidR="00271952" w:rsidRPr="00C9343F" w:rsidRDefault="00271952">
      <w:pPr>
        <w:pStyle w:val="TOC5"/>
        <w:rPr>
          <w:rFonts w:asciiTheme="minorHAnsi" w:eastAsiaTheme="minorEastAsia" w:hAnsiTheme="minorHAnsi" w:cstheme="minorBidi"/>
          <w:sz w:val="22"/>
          <w:szCs w:val="22"/>
        </w:rPr>
      </w:pPr>
      <w:r w:rsidRPr="00C9343F">
        <w:t>3.5.14E    Acceptance of an offer</w:t>
      </w:r>
      <w:r w:rsidRPr="00C9343F">
        <w:tab/>
      </w:r>
      <w:r w:rsidRPr="00C9343F">
        <w:fldChar w:fldCharType="begin"/>
      </w:r>
      <w:r w:rsidRPr="00C9343F">
        <w:instrText xml:space="preserve"> PAGEREF _Toc105053764 \h </w:instrText>
      </w:r>
      <w:r w:rsidRPr="00C9343F">
        <w:fldChar w:fldCharType="separate"/>
      </w:r>
      <w:r w:rsidRPr="00C9343F">
        <w:t>127</w:t>
      </w:r>
      <w:r w:rsidRPr="00C9343F">
        <w:fldChar w:fldCharType="end"/>
      </w:r>
    </w:p>
    <w:p w14:paraId="3AC94A54" w14:textId="1CFA27F6" w:rsidR="00271952" w:rsidRPr="00C9343F" w:rsidRDefault="00271952">
      <w:pPr>
        <w:pStyle w:val="TOC5"/>
        <w:rPr>
          <w:rFonts w:asciiTheme="minorHAnsi" w:eastAsiaTheme="minorEastAsia" w:hAnsiTheme="minorHAnsi" w:cstheme="minorBidi"/>
          <w:sz w:val="22"/>
          <w:szCs w:val="22"/>
        </w:rPr>
      </w:pPr>
      <w:r w:rsidRPr="00C9343F">
        <w:t>3.5.14F    Cessation of the Reserve capability payment</w:t>
      </w:r>
      <w:r w:rsidRPr="00C9343F">
        <w:tab/>
      </w:r>
      <w:r w:rsidRPr="00C9343F">
        <w:fldChar w:fldCharType="begin"/>
      </w:r>
      <w:r w:rsidRPr="00C9343F">
        <w:instrText xml:space="preserve"> PAGEREF _Toc105053765 \h </w:instrText>
      </w:r>
      <w:r w:rsidRPr="00C9343F">
        <w:fldChar w:fldCharType="separate"/>
      </w:r>
      <w:r w:rsidRPr="00C9343F">
        <w:t>127</w:t>
      </w:r>
      <w:r w:rsidRPr="00C9343F">
        <w:fldChar w:fldCharType="end"/>
      </w:r>
    </w:p>
    <w:p w14:paraId="573547DD" w14:textId="42A0DB06" w:rsidR="00271952" w:rsidRPr="00C9343F" w:rsidRDefault="00271952">
      <w:pPr>
        <w:pStyle w:val="TOC4"/>
        <w:rPr>
          <w:rFonts w:asciiTheme="minorHAnsi" w:eastAsiaTheme="minorEastAsia" w:hAnsiTheme="minorHAnsi" w:cstheme="minorBidi"/>
          <w:sz w:val="22"/>
          <w:szCs w:val="22"/>
        </w:rPr>
      </w:pPr>
      <w:r w:rsidRPr="00C9343F">
        <w:t>Division 2B: Reserve capability completion bonus – capability at short-notice</w:t>
      </w:r>
      <w:r w:rsidRPr="00C9343F">
        <w:tab/>
      </w:r>
      <w:r w:rsidRPr="00C9343F">
        <w:fldChar w:fldCharType="begin"/>
      </w:r>
      <w:r w:rsidRPr="00C9343F">
        <w:instrText xml:space="preserve"> PAGEREF _Toc105053766 \h </w:instrText>
      </w:r>
      <w:r w:rsidRPr="00C9343F">
        <w:fldChar w:fldCharType="separate"/>
      </w:r>
      <w:r w:rsidRPr="00C9343F">
        <w:t>128</w:t>
      </w:r>
      <w:r w:rsidRPr="00C9343F">
        <w:fldChar w:fldCharType="end"/>
      </w:r>
    </w:p>
    <w:p w14:paraId="3212D0D6" w14:textId="753E5B7A" w:rsidR="00271952" w:rsidRPr="00C9343F" w:rsidRDefault="00271952">
      <w:pPr>
        <w:pStyle w:val="TOC5"/>
        <w:rPr>
          <w:rFonts w:asciiTheme="minorHAnsi" w:eastAsiaTheme="minorEastAsia" w:hAnsiTheme="minorHAnsi" w:cstheme="minorBidi"/>
          <w:sz w:val="22"/>
          <w:szCs w:val="22"/>
        </w:rPr>
      </w:pPr>
      <w:r w:rsidRPr="00C9343F">
        <w:t>3.5.14G    Purpose</w:t>
      </w:r>
      <w:r w:rsidRPr="00C9343F">
        <w:tab/>
      </w:r>
      <w:r w:rsidRPr="00C9343F">
        <w:fldChar w:fldCharType="begin"/>
      </w:r>
      <w:r w:rsidRPr="00C9343F">
        <w:instrText xml:space="preserve"> PAGEREF _Toc105053767 \h </w:instrText>
      </w:r>
      <w:r w:rsidRPr="00C9343F">
        <w:fldChar w:fldCharType="separate"/>
      </w:r>
      <w:r w:rsidRPr="00C9343F">
        <w:t>128</w:t>
      </w:r>
      <w:r w:rsidRPr="00C9343F">
        <w:fldChar w:fldCharType="end"/>
      </w:r>
    </w:p>
    <w:p w14:paraId="16E27CA2" w14:textId="31F74D4D" w:rsidR="00271952" w:rsidRPr="00C9343F" w:rsidRDefault="00271952">
      <w:pPr>
        <w:pStyle w:val="TOC5"/>
        <w:rPr>
          <w:rFonts w:asciiTheme="minorHAnsi" w:eastAsiaTheme="minorEastAsia" w:hAnsiTheme="minorHAnsi" w:cstheme="minorBidi"/>
          <w:sz w:val="22"/>
          <w:szCs w:val="22"/>
        </w:rPr>
      </w:pPr>
      <w:r w:rsidRPr="00C9343F">
        <w:t>3.5.14H    Member eligible for Reserve capability completion bonus</w:t>
      </w:r>
      <w:r w:rsidRPr="00C9343F">
        <w:tab/>
      </w:r>
      <w:r w:rsidRPr="00C9343F">
        <w:fldChar w:fldCharType="begin"/>
      </w:r>
      <w:r w:rsidRPr="00C9343F">
        <w:instrText xml:space="preserve"> PAGEREF _Toc105053768 \h </w:instrText>
      </w:r>
      <w:r w:rsidRPr="00C9343F">
        <w:fldChar w:fldCharType="separate"/>
      </w:r>
      <w:r w:rsidRPr="00C9343F">
        <w:t>128</w:t>
      </w:r>
      <w:r w:rsidRPr="00C9343F">
        <w:fldChar w:fldCharType="end"/>
      </w:r>
    </w:p>
    <w:p w14:paraId="09D412FE" w14:textId="35CD1274" w:rsidR="00271952" w:rsidRPr="00C9343F" w:rsidRDefault="00271952">
      <w:pPr>
        <w:pStyle w:val="TOC5"/>
        <w:rPr>
          <w:rFonts w:asciiTheme="minorHAnsi" w:eastAsiaTheme="minorEastAsia" w:hAnsiTheme="minorHAnsi" w:cstheme="minorBidi"/>
          <w:sz w:val="22"/>
          <w:szCs w:val="22"/>
        </w:rPr>
      </w:pPr>
      <w:r w:rsidRPr="00C9343F">
        <w:t>3.5.14I    Payment of the bonus</w:t>
      </w:r>
      <w:r w:rsidRPr="00C9343F">
        <w:tab/>
      </w:r>
      <w:r w:rsidRPr="00C9343F">
        <w:fldChar w:fldCharType="begin"/>
      </w:r>
      <w:r w:rsidRPr="00C9343F">
        <w:instrText xml:space="preserve"> PAGEREF _Toc105053769 \h </w:instrText>
      </w:r>
      <w:r w:rsidRPr="00C9343F">
        <w:fldChar w:fldCharType="separate"/>
      </w:r>
      <w:r w:rsidRPr="00C9343F">
        <w:t>128</w:t>
      </w:r>
      <w:r w:rsidRPr="00C9343F">
        <w:fldChar w:fldCharType="end"/>
      </w:r>
    </w:p>
    <w:p w14:paraId="27E96055" w14:textId="3B676FBD" w:rsidR="00271952" w:rsidRPr="00C9343F" w:rsidRDefault="00271952">
      <w:pPr>
        <w:pStyle w:val="TOC5"/>
        <w:rPr>
          <w:rFonts w:asciiTheme="minorHAnsi" w:eastAsiaTheme="minorEastAsia" w:hAnsiTheme="minorHAnsi" w:cstheme="minorBidi"/>
          <w:sz w:val="22"/>
          <w:szCs w:val="22"/>
        </w:rPr>
      </w:pPr>
      <w:r w:rsidRPr="00C9343F">
        <w:t>3.5.14IA    Recognised service</w:t>
      </w:r>
      <w:r w:rsidRPr="00C9343F">
        <w:tab/>
      </w:r>
      <w:r w:rsidRPr="00C9343F">
        <w:fldChar w:fldCharType="begin"/>
      </w:r>
      <w:r w:rsidRPr="00C9343F">
        <w:instrText xml:space="preserve"> PAGEREF _Toc105053770 \h </w:instrText>
      </w:r>
      <w:r w:rsidRPr="00C9343F">
        <w:fldChar w:fldCharType="separate"/>
      </w:r>
      <w:r w:rsidRPr="00C9343F">
        <w:t>128</w:t>
      </w:r>
      <w:r w:rsidRPr="00C9343F">
        <w:fldChar w:fldCharType="end"/>
      </w:r>
    </w:p>
    <w:p w14:paraId="3F217059" w14:textId="38CBBC9C" w:rsidR="00271952" w:rsidRPr="00C9343F" w:rsidRDefault="00271952">
      <w:pPr>
        <w:pStyle w:val="TOC5"/>
        <w:rPr>
          <w:rFonts w:asciiTheme="minorHAnsi" w:eastAsiaTheme="minorEastAsia" w:hAnsiTheme="minorHAnsi" w:cstheme="minorBidi"/>
          <w:sz w:val="22"/>
          <w:szCs w:val="22"/>
        </w:rPr>
      </w:pPr>
      <w:r w:rsidRPr="00C9343F">
        <w:t>3.5.14J    Reduced payment of bonus</w:t>
      </w:r>
      <w:r w:rsidRPr="00C9343F">
        <w:tab/>
      </w:r>
      <w:r w:rsidRPr="00C9343F">
        <w:fldChar w:fldCharType="begin"/>
      </w:r>
      <w:r w:rsidRPr="00C9343F">
        <w:instrText xml:space="preserve"> PAGEREF _Toc105053771 \h </w:instrText>
      </w:r>
      <w:r w:rsidRPr="00C9343F">
        <w:fldChar w:fldCharType="separate"/>
      </w:r>
      <w:r w:rsidRPr="00C9343F">
        <w:t>129</w:t>
      </w:r>
      <w:r w:rsidRPr="00C9343F">
        <w:fldChar w:fldCharType="end"/>
      </w:r>
    </w:p>
    <w:p w14:paraId="00DFED83" w14:textId="44F2DC4E" w:rsidR="00271952" w:rsidRPr="00C9343F" w:rsidRDefault="00271952">
      <w:pPr>
        <w:pStyle w:val="TOC4"/>
        <w:rPr>
          <w:rFonts w:asciiTheme="minorHAnsi" w:eastAsiaTheme="minorEastAsia" w:hAnsiTheme="minorHAnsi" w:cstheme="minorBidi"/>
          <w:sz w:val="22"/>
          <w:szCs w:val="22"/>
        </w:rPr>
      </w:pPr>
      <w:r w:rsidRPr="00C9343F">
        <w:t>Division 9: Navy – Individuals critical to Navy capability</w:t>
      </w:r>
      <w:r w:rsidRPr="00C9343F">
        <w:tab/>
      </w:r>
      <w:r w:rsidRPr="00C9343F">
        <w:fldChar w:fldCharType="begin"/>
      </w:r>
      <w:r w:rsidRPr="00C9343F">
        <w:instrText xml:space="preserve"> PAGEREF _Toc105053772 \h </w:instrText>
      </w:r>
      <w:r w:rsidRPr="00C9343F">
        <w:fldChar w:fldCharType="separate"/>
      </w:r>
      <w:r w:rsidRPr="00C9343F">
        <w:t>130</w:t>
      </w:r>
      <w:r w:rsidRPr="00C9343F">
        <w:fldChar w:fldCharType="end"/>
      </w:r>
    </w:p>
    <w:p w14:paraId="29A772A3" w14:textId="46B9A300" w:rsidR="00271952" w:rsidRPr="00C9343F" w:rsidRDefault="00271952">
      <w:pPr>
        <w:pStyle w:val="TOC5"/>
        <w:rPr>
          <w:rFonts w:asciiTheme="minorHAnsi" w:eastAsiaTheme="minorEastAsia" w:hAnsiTheme="minorHAnsi" w:cstheme="minorBidi"/>
          <w:sz w:val="22"/>
          <w:szCs w:val="22"/>
        </w:rPr>
      </w:pPr>
      <w:r w:rsidRPr="00C9343F">
        <w:t>3.5.64    Purpose</w:t>
      </w:r>
      <w:r w:rsidRPr="00C9343F">
        <w:tab/>
      </w:r>
      <w:r w:rsidRPr="00C9343F">
        <w:fldChar w:fldCharType="begin"/>
      </w:r>
      <w:r w:rsidRPr="00C9343F">
        <w:instrText xml:space="preserve"> PAGEREF _Toc105053773 \h </w:instrText>
      </w:r>
      <w:r w:rsidRPr="00C9343F">
        <w:fldChar w:fldCharType="separate"/>
      </w:r>
      <w:r w:rsidRPr="00C9343F">
        <w:t>130</w:t>
      </w:r>
      <w:r w:rsidRPr="00C9343F">
        <w:fldChar w:fldCharType="end"/>
      </w:r>
    </w:p>
    <w:p w14:paraId="17E5ABF6" w14:textId="2D6E8EA0" w:rsidR="00271952" w:rsidRPr="00C9343F" w:rsidRDefault="00271952">
      <w:pPr>
        <w:pStyle w:val="TOC5"/>
        <w:rPr>
          <w:rFonts w:asciiTheme="minorHAnsi" w:eastAsiaTheme="minorEastAsia" w:hAnsiTheme="minorHAnsi" w:cstheme="minorBidi"/>
          <w:sz w:val="22"/>
          <w:szCs w:val="22"/>
        </w:rPr>
      </w:pPr>
      <w:r w:rsidRPr="00C9343F">
        <w:t>3.5.65    Definitions</w:t>
      </w:r>
      <w:r w:rsidRPr="00C9343F">
        <w:tab/>
      </w:r>
      <w:r w:rsidRPr="00C9343F">
        <w:fldChar w:fldCharType="begin"/>
      </w:r>
      <w:r w:rsidRPr="00C9343F">
        <w:instrText xml:space="preserve"> PAGEREF _Toc105053774 \h </w:instrText>
      </w:r>
      <w:r w:rsidRPr="00C9343F">
        <w:fldChar w:fldCharType="separate"/>
      </w:r>
      <w:r w:rsidRPr="00C9343F">
        <w:t>130</w:t>
      </w:r>
      <w:r w:rsidRPr="00C9343F">
        <w:fldChar w:fldCharType="end"/>
      </w:r>
    </w:p>
    <w:p w14:paraId="6102CC0D" w14:textId="6FAE7B70" w:rsidR="00271952" w:rsidRPr="00C9343F" w:rsidRDefault="00271952">
      <w:pPr>
        <w:pStyle w:val="TOC5"/>
        <w:rPr>
          <w:rFonts w:asciiTheme="minorHAnsi" w:eastAsiaTheme="minorEastAsia" w:hAnsiTheme="minorHAnsi" w:cstheme="minorBidi"/>
          <w:sz w:val="22"/>
          <w:szCs w:val="22"/>
        </w:rPr>
      </w:pPr>
      <w:r w:rsidRPr="00C9343F">
        <w:t>3.5.66    Member who is eligible for a retention bonus under this Division</w:t>
      </w:r>
      <w:r w:rsidRPr="00C9343F">
        <w:tab/>
      </w:r>
      <w:r w:rsidRPr="00C9343F">
        <w:fldChar w:fldCharType="begin"/>
      </w:r>
      <w:r w:rsidRPr="00C9343F">
        <w:instrText xml:space="preserve"> PAGEREF _Toc105053775 \h </w:instrText>
      </w:r>
      <w:r w:rsidRPr="00C9343F">
        <w:fldChar w:fldCharType="separate"/>
      </w:r>
      <w:r w:rsidRPr="00C9343F">
        <w:t>130</w:t>
      </w:r>
      <w:r w:rsidRPr="00C9343F">
        <w:fldChar w:fldCharType="end"/>
      </w:r>
    </w:p>
    <w:p w14:paraId="435B0273" w14:textId="517E38E9" w:rsidR="00271952" w:rsidRPr="00C9343F" w:rsidRDefault="00271952">
      <w:pPr>
        <w:pStyle w:val="TOC5"/>
        <w:rPr>
          <w:rFonts w:asciiTheme="minorHAnsi" w:eastAsiaTheme="minorEastAsia" w:hAnsiTheme="minorHAnsi" w:cstheme="minorBidi"/>
          <w:sz w:val="22"/>
          <w:szCs w:val="22"/>
        </w:rPr>
      </w:pPr>
      <w:r w:rsidRPr="00C9343F">
        <w:t>3.5.67    Transfer from another bonus scheme</w:t>
      </w:r>
      <w:r w:rsidRPr="00C9343F">
        <w:tab/>
      </w:r>
      <w:r w:rsidRPr="00C9343F">
        <w:fldChar w:fldCharType="begin"/>
      </w:r>
      <w:r w:rsidRPr="00C9343F">
        <w:instrText xml:space="preserve"> PAGEREF _Toc105053776 \h </w:instrText>
      </w:r>
      <w:r w:rsidRPr="00C9343F">
        <w:fldChar w:fldCharType="separate"/>
      </w:r>
      <w:r w:rsidRPr="00C9343F">
        <w:t>131</w:t>
      </w:r>
      <w:r w:rsidRPr="00C9343F">
        <w:fldChar w:fldCharType="end"/>
      </w:r>
    </w:p>
    <w:p w14:paraId="1579D158" w14:textId="6DB9D821" w:rsidR="00271952" w:rsidRPr="00C9343F" w:rsidRDefault="00271952">
      <w:pPr>
        <w:pStyle w:val="TOC5"/>
        <w:rPr>
          <w:rFonts w:asciiTheme="minorHAnsi" w:eastAsiaTheme="minorEastAsia" w:hAnsiTheme="minorHAnsi" w:cstheme="minorBidi"/>
          <w:sz w:val="22"/>
          <w:szCs w:val="22"/>
        </w:rPr>
      </w:pPr>
      <w:r w:rsidRPr="00C9343F">
        <w:t>3.5.68    </w:t>
      </w:r>
      <w:r w:rsidRPr="00C9343F">
        <w:rPr>
          <w:rFonts w:cs="Arial"/>
        </w:rPr>
        <w:t>Member who is not eligible for a bonus under this Division</w:t>
      </w:r>
      <w:r w:rsidRPr="00C9343F">
        <w:tab/>
      </w:r>
      <w:r w:rsidRPr="00C9343F">
        <w:fldChar w:fldCharType="begin"/>
      </w:r>
      <w:r w:rsidRPr="00C9343F">
        <w:instrText xml:space="preserve"> PAGEREF _Toc105053777 \h </w:instrText>
      </w:r>
      <w:r w:rsidRPr="00C9343F">
        <w:fldChar w:fldCharType="separate"/>
      </w:r>
      <w:r w:rsidRPr="00C9343F">
        <w:t>132</w:t>
      </w:r>
      <w:r w:rsidRPr="00C9343F">
        <w:fldChar w:fldCharType="end"/>
      </w:r>
    </w:p>
    <w:p w14:paraId="7D60CF18" w14:textId="40359572" w:rsidR="00271952" w:rsidRPr="00C9343F" w:rsidRDefault="00271952">
      <w:pPr>
        <w:pStyle w:val="TOC5"/>
        <w:rPr>
          <w:rFonts w:asciiTheme="minorHAnsi" w:eastAsiaTheme="minorEastAsia" w:hAnsiTheme="minorHAnsi" w:cstheme="minorBidi"/>
          <w:sz w:val="22"/>
          <w:szCs w:val="22"/>
        </w:rPr>
      </w:pPr>
      <w:r w:rsidRPr="00C9343F">
        <w:t>3.5.69    How to accept the offer of a retention bonus</w:t>
      </w:r>
      <w:r w:rsidRPr="00C9343F">
        <w:tab/>
      </w:r>
      <w:r w:rsidRPr="00C9343F">
        <w:fldChar w:fldCharType="begin"/>
      </w:r>
      <w:r w:rsidRPr="00C9343F">
        <w:instrText xml:space="preserve"> PAGEREF _Toc105053778 \h </w:instrText>
      </w:r>
      <w:r w:rsidRPr="00C9343F">
        <w:fldChar w:fldCharType="separate"/>
      </w:r>
      <w:r w:rsidRPr="00C9343F">
        <w:t>132</w:t>
      </w:r>
      <w:r w:rsidRPr="00C9343F">
        <w:fldChar w:fldCharType="end"/>
      </w:r>
    </w:p>
    <w:p w14:paraId="05F5B96B" w14:textId="497820B1" w:rsidR="00271952" w:rsidRPr="00C9343F" w:rsidRDefault="00271952">
      <w:pPr>
        <w:pStyle w:val="TOC5"/>
        <w:rPr>
          <w:rFonts w:asciiTheme="minorHAnsi" w:eastAsiaTheme="minorEastAsia" w:hAnsiTheme="minorHAnsi" w:cstheme="minorBidi"/>
          <w:sz w:val="22"/>
          <w:szCs w:val="22"/>
        </w:rPr>
      </w:pPr>
      <w:r w:rsidRPr="00C9343F">
        <w:t>3.5.70    Service that counts towards a member's retention bonus</w:t>
      </w:r>
      <w:r w:rsidRPr="00C9343F">
        <w:tab/>
      </w:r>
      <w:r w:rsidRPr="00C9343F">
        <w:fldChar w:fldCharType="begin"/>
      </w:r>
      <w:r w:rsidRPr="00C9343F">
        <w:instrText xml:space="preserve"> PAGEREF _Toc105053779 \h </w:instrText>
      </w:r>
      <w:r w:rsidRPr="00C9343F">
        <w:fldChar w:fldCharType="separate"/>
      </w:r>
      <w:r w:rsidRPr="00C9343F">
        <w:t>132</w:t>
      </w:r>
      <w:r w:rsidRPr="00C9343F">
        <w:fldChar w:fldCharType="end"/>
      </w:r>
    </w:p>
    <w:p w14:paraId="3ED6EE5A" w14:textId="5B0C42FE" w:rsidR="00271952" w:rsidRPr="00C9343F" w:rsidRDefault="00271952">
      <w:pPr>
        <w:pStyle w:val="TOC5"/>
        <w:rPr>
          <w:rFonts w:asciiTheme="minorHAnsi" w:eastAsiaTheme="minorEastAsia" w:hAnsiTheme="minorHAnsi" w:cstheme="minorBidi"/>
          <w:sz w:val="22"/>
          <w:szCs w:val="22"/>
        </w:rPr>
      </w:pPr>
      <w:r w:rsidRPr="00C9343F">
        <w:t>3.5.71    Payment of the retention bonus</w:t>
      </w:r>
      <w:r w:rsidRPr="00C9343F">
        <w:tab/>
      </w:r>
      <w:r w:rsidRPr="00C9343F">
        <w:fldChar w:fldCharType="begin"/>
      </w:r>
      <w:r w:rsidRPr="00C9343F">
        <w:instrText xml:space="preserve"> PAGEREF _Toc105053780 \h </w:instrText>
      </w:r>
      <w:r w:rsidRPr="00C9343F">
        <w:fldChar w:fldCharType="separate"/>
      </w:r>
      <w:r w:rsidRPr="00C9343F">
        <w:t>133</w:t>
      </w:r>
      <w:r w:rsidRPr="00C9343F">
        <w:fldChar w:fldCharType="end"/>
      </w:r>
    </w:p>
    <w:p w14:paraId="5682BA2D" w14:textId="4CB1A0E6" w:rsidR="00271952" w:rsidRPr="00C9343F" w:rsidRDefault="00271952">
      <w:pPr>
        <w:pStyle w:val="TOC5"/>
        <w:rPr>
          <w:rFonts w:asciiTheme="minorHAnsi" w:eastAsiaTheme="minorEastAsia" w:hAnsiTheme="minorHAnsi" w:cstheme="minorBidi"/>
          <w:sz w:val="22"/>
          <w:szCs w:val="22"/>
        </w:rPr>
      </w:pPr>
      <w:r w:rsidRPr="00C9343F">
        <w:lastRenderedPageBreak/>
        <w:t>3.5.72    Repayment</w:t>
      </w:r>
      <w:r w:rsidRPr="00C9343F">
        <w:tab/>
      </w:r>
      <w:r w:rsidRPr="00C9343F">
        <w:fldChar w:fldCharType="begin"/>
      </w:r>
      <w:r w:rsidRPr="00C9343F">
        <w:instrText xml:space="preserve"> PAGEREF _Toc105053781 \h </w:instrText>
      </w:r>
      <w:r w:rsidRPr="00C9343F">
        <w:fldChar w:fldCharType="separate"/>
      </w:r>
      <w:r w:rsidRPr="00C9343F">
        <w:t>134</w:t>
      </w:r>
      <w:r w:rsidRPr="00C9343F">
        <w:fldChar w:fldCharType="end"/>
      </w:r>
    </w:p>
    <w:p w14:paraId="702D3520" w14:textId="318F5BA7" w:rsidR="00271952" w:rsidRPr="00C9343F" w:rsidRDefault="00271952">
      <w:pPr>
        <w:pStyle w:val="TOC4"/>
        <w:rPr>
          <w:rFonts w:asciiTheme="minorHAnsi" w:eastAsiaTheme="minorEastAsia" w:hAnsiTheme="minorHAnsi" w:cstheme="minorBidi"/>
          <w:sz w:val="22"/>
          <w:szCs w:val="22"/>
        </w:rPr>
      </w:pPr>
      <w:r w:rsidRPr="00C9343F">
        <w:t>Annex 3.5.B: Bonus framework form</w:t>
      </w:r>
      <w:r w:rsidRPr="00C9343F">
        <w:tab/>
      </w:r>
      <w:r w:rsidRPr="00C9343F">
        <w:fldChar w:fldCharType="begin"/>
      </w:r>
      <w:r w:rsidRPr="00C9343F">
        <w:instrText xml:space="preserve"> PAGEREF _Toc105053782 \h </w:instrText>
      </w:r>
      <w:r w:rsidRPr="00C9343F">
        <w:fldChar w:fldCharType="separate"/>
      </w:r>
      <w:r w:rsidRPr="00C9343F">
        <w:t>136</w:t>
      </w:r>
      <w:r w:rsidRPr="00C9343F">
        <w:fldChar w:fldCharType="end"/>
      </w:r>
    </w:p>
    <w:p w14:paraId="115BF23B" w14:textId="7138F23C" w:rsidR="00271952" w:rsidRPr="00C9343F" w:rsidRDefault="00271952">
      <w:pPr>
        <w:pStyle w:val="TOC4"/>
        <w:rPr>
          <w:rFonts w:asciiTheme="minorHAnsi" w:eastAsiaTheme="minorEastAsia" w:hAnsiTheme="minorHAnsi" w:cstheme="minorBidi"/>
          <w:sz w:val="22"/>
          <w:szCs w:val="22"/>
        </w:rPr>
      </w:pPr>
      <w:r w:rsidRPr="00C9343F">
        <w:t>Annex 3.5.G: Navy – Individuals critical to Navy capability</w:t>
      </w:r>
      <w:r w:rsidRPr="00C9343F">
        <w:tab/>
      </w:r>
      <w:r w:rsidRPr="00C9343F">
        <w:fldChar w:fldCharType="begin"/>
      </w:r>
      <w:r w:rsidRPr="00C9343F">
        <w:instrText xml:space="preserve"> PAGEREF _Toc105053783 \h </w:instrText>
      </w:r>
      <w:r w:rsidRPr="00C9343F">
        <w:fldChar w:fldCharType="separate"/>
      </w:r>
      <w:r w:rsidRPr="00C9343F">
        <w:t>141</w:t>
      </w:r>
      <w:r w:rsidRPr="00C9343F">
        <w:fldChar w:fldCharType="end"/>
      </w:r>
    </w:p>
    <w:p w14:paraId="0F68809A" w14:textId="5F16172A" w:rsidR="00271952" w:rsidRPr="00C9343F" w:rsidRDefault="00271952">
      <w:pPr>
        <w:pStyle w:val="TOC4"/>
        <w:rPr>
          <w:rFonts w:asciiTheme="minorHAnsi" w:eastAsiaTheme="minorEastAsia" w:hAnsiTheme="minorHAnsi" w:cstheme="minorBidi"/>
          <w:sz w:val="22"/>
          <w:szCs w:val="22"/>
        </w:rPr>
      </w:pPr>
      <w:r w:rsidRPr="00C9343F">
        <w:t>Annex 3.5.J: Bonus payment election</w:t>
      </w:r>
      <w:r w:rsidRPr="00C9343F">
        <w:tab/>
      </w:r>
      <w:r w:rsidRPr="00C9343F">
        <w:fldChar w:fldCharType="begin"/>
      </w:r>
      <w:r w:rsidRPr="00C9343F">
        <w:instrText xml:space="preserve"> PAGEREF _Toc105053784 \h </w:instrText>
      </w:r>
      <w:r w:rsidRPr="00C9343F">
        <w:fldChar w:fldCharType="separate"/>
      </w:r>
      <w:r w:rsidRPr="00C9343F">
        <w:t>146</w:t>
      </w:r>
      <w:r w:rsidRPr="00C9343F">
        <w:fldChar w:fldCharType="end"/>
      </w:r>
    </w:p>
    <w:p w14:paraId="371A4C24" w14:textId="14132CAD" w:rsidR="00271952" w:rsidRPr="00C9343F" w:rsidRDefault="00271952">
      <w:pPr>
        <w:pStyle w:val="TOC3"/>
        <w:rPr>
          <w:rFonts w:asciiTheme="minorHAnsi" w:eastAsiaTheme="minorEastAsia" w:hAnsiTheme="minorHAnsi" w:cstheme="minorBidi"/>
          <w:b w:val="0"/>
          <w:sz w:val="22"/>
          <w:szCs w:val="22"/>
        </w:rPr>
      </w:pPr>
      <w:r w:rsidRPr="00C9343F">
        <w:t>Part 6: Deliberately differentiated offer for members</w:t>
      </w:r>
      <w:r w:rsidRPr="00C9343F">
        <w:tab/>
      </w:r>
      <w:r w:rsidRPr="00C9343F">
        <w:fldChar w:fldCharType="begin"/>
      </w:r>
      <w:r w:rsidRPr="00C9343F">
        <w:instrText xml:space="preserve"> PAGEREF _Toc105053785 \h </w:instrText>
      </w:r>
      <w:r w:rsidRPr="00C9343F">
        <w:fldChar w:fldCharType="separate"/>
      </w:r>
      <w:r w:rsidRPr="00C9343F">
        <w:t>148</w:t>
      </w:r>
      <w:r w:rsidRPr="00C9343F">
        <w:fldChar w:fldCharType="end"/>
      </w:r>
    </w:p>
    <w:p w14:paraId="06E7E3C3" w14:textId="1E3779AF" w:rsidR="00271952" w:rsidRPr="00C9343F" w:rsidRDefault="00271952">
      <w:pPr>
        <w:pStyle w:val="TOC5"/>
        <w:rPr>
          <w:rFonts w:asciiTheme="minorHAnsi" w:eastAsiaTheme="minorEastAsia" w:hAnsiTheme="minorHAnsi" w:cstheme="minorBidi"/>
          <w:sz w:val="22"/>
          <w:szCs w:val="22"/>
        </w:rPr>
      </w:pPr>
      <w:r w:rsidRPr="00C9343F">
        <w:t>3.6.1    Purpose</w:t>
      </w:r>
      <w:r w:rsidRPr="00C9343F">
        <w:tab/>
      </w:r>
      <w:r w:rsidRPr="00C9343F">
        <w:fldChar w:fldCharType="begin"/>
      </w:r>
      <w:r w:rsidRPr="00C9343F">
        <w:instrText xml:space="preserve"> PAGEREF _Toc105053786 \h </w:instrText>
      </w:r>
      <w:r w:rsidRPr="00C9343F">
        <w:fldChar w:fldCharType="separate"/>
      </w:r>
      <w:r w:rsidRPr="00C9343F">
        <w:t>148</w:t>
      </w:r>
      <w:r w:rsidRPr="00C9343F">
        <w:fldChar w:fldCharType="end"/>
      </w:r>
    </w:p>
    <w:p w14:paraId="09196BC9" w14:textId="0CF9220F" w:rsidR="00271952" w:rsidRPr="00C9343F" w:rsidRDefault="00271952">
      <w:pPr>
        <w:pStyle w:val="TOC5"/>
        <w:rPr>
          <w:rFonts w:asciiTheme="minorHAnsi" w:eastAsiaTheme="minorEastAsia" w:hAnsiTheme="minorHAnsi" w:cstheme="minorBidi"/>
          <w:sz w:val="22"/>
          <w:szCs w:val="22"/>
        </w:rPr>
      </w:pPr>
      <w:r w:rsidRPr="00C9343F">
        <w:t>3.6.2    Definitions</w:t>
      </w:r>
      <w:r w:rsidRPr="00C9343F">
        <w:tab/>
      </w:r>
      <w:r w:rsidRPr="00C9343F">
        <w:fldChar w:fldCharType="begin"/>
      </w:r>
      <w:r w:rsidRPr="00C9343F">
        <w:instrText xml:space="preserve"> PAGEREF _Toc105053787 \h </w:instrText>
      </w:r>
      <w:r w:rsidRPr="00C9343F">
        <w:fldChar w:fldCharType="separate"/>
      </w:r>
      <w:r w:rsidRPr="00C9343F">
        <w:t>148</w:t>
      </w:r>
      <w:r w:rsidRPr="00C9343F">
        <w:fldChar w:fldCharType="end"/>
      </w:r>
    </w:p>
    <w:p w14:paraId="2F48BD7C" w14:textId="00FC86C1" w:rsidR="00271952" w:rsidRPr="00C9343F" w:rsidRDefault="00271952">
      <w:pPr>
        <w:pStyle w:val="TOC5"/>
        <w:rPr>
          <w:rFonts w:asciiTheme="minorHAnsi" w:eastAsiaTheme="minorEastAsia" w:hAnsiTheme="minorHAnsi" w:cstheme="minorBidi"/>
          <w:sz w:val="22"/>
          <w:szCs w:val="22"/>
        </w:rPr>
      </w:pPr>
      <w:r w:rsidRPr="00C9343F">
        <w:t>3.6.3    Member this Part applies to</w:t>
      </w:r>
      <w:r w:rsidRPr="00C9343F">
        <w:tab/>
      </w:r>
      <w:r w:rsidRPr="00C9343F">
        <w:fldChar w:fldCharType="begin"/>
      </w:r>
      <w:r w:rsidRPr="00C9343F">
        <w:instrText xml:space="preserve"> PAGEREF _Toc105053788 \h </w:instrText>
      </w:r>
      <w:r w:rsidRPr="00C9343F">
        <w:fldChar w:fldCharType="separate"/>
      </w:r>
      <w:r w:rsidRPr="00C9343F">
        <w:t>148</w:t>
      </w:r>
      <w:r w:rsidRPr="00C9343F">
        <w:fldChar w:fldCharType="end"/>
      </w:r>
    </w:p>
    <w:p w14:paraId="149A121F" w14:textId="71E6AFE6" w:rsidR="00271952" w:rsidRPr="00C9343F" w:rsidRDefault="00271952">
      <w:pPr>
        <w:pStyle w:val="TOC5"/>
        <w:rPr>
          <w:rFonts w:asciiTheme="minorHAnsi" w:eastAsiaTheme="minorEastAsia" w:hAnsiTheme="minorHAnsi" w:cstheme="minorBidi"/>
          <w:sz w:val="22"/>
          <w:szCs w:val="22"/>
        </w:rPr>
      </w:pPr>
      <w:r w:rsidRPr="00C9343F">
        <w:t>3.6.4    Situations that delay service</w:t>
      </w:r>
      <w:r w:rsidRPr="00C9343F">
        <w:tab/>
      </w:r>
      <w:r w:rsidRPr="00C9343F">
        <w:fldChar w:fldCharType="begin"/>
      </w:r>
      <w:r w:rsidRPr="00C9343F">
        <w:instrText xml:space="preserve"> PAGEREF _Toc105053789 \h </w:instrText>
      </w:r>
      <w:r w:rsidRPr="00C9343F">
        <w:fldChar w:fldCharType="separate"/>
      </w:r>
      <w:r w:rsidRPr="00C9343F">
        <w:t>149</w:t>
      </w:r>
      <w:r w:rsidRPr="00C9343F">
        <w:fldChar w:fldCharType="end"/>
      </w:r>
    </w:p>
    <w:p w14:paraId="75B5DB18" w14:textId="481D1619" w:rsidR="00271952" w:rsidRPr="00C9343F" w:rsidRDefault="00271952">
      <w:pPr>
        <w:pStyle w:val="TOC5"/>
        <w:rPr>
          <w:rFonts w:asciiTheme="minorHAnsi" w:eastAsiaTheme="minorEastAsia" w:hAnsiTheme="minorHAnsi" w:cstheme="minorBidi"/>
          <w:sz w:val="22"/>
          <w:szCs w:val="22"/>
        </w:rPr>
      </w:pPr>
      <w:r w:rsidRPr="00C9343F">
        <w:t>3.6.5    Considerations before an offer is made</w:t>
      </w:r>
      <w:r w:rsidRPr="00C9343F">
        <w:tab/>
      </w:r>
      <w:r w:rsidRPr="00C9343F">
        <w:fldChar w:fldCharType="begin"/>
      </w:r>
      <w:r w:rsidRPr="00C9343F">
        <w:instrText xml:space="preserve"> PAGEREF _Toc105053790 \h </w:instrText>
      </w:r>
      <w:r w:rsidRPr="00C9343F">
        <w:fldChar w:fldCharType="separate"/>
      </w:r>
      <w:r w:rsidRPr="00C9343F">
        <w:t>149</w:t>
      </w:r>
      <w:r w:rsidRPr="00C9343F">
        <w:fldChar w:fldCharType="end"/>
      </w:r>
    </w:p>
    <w:p w14:paraId="5CA30B86" w14:textId="783C9501" w:rsidR="00271952" w:rsidRPr="00C9343F" w:rsidRDefault="00271952">
      <w:pPr>
        <w:pStyle w:val="TOC5"/>
        <w:rPr>
          <w:rFonts w:asciiTheme="minorHAnsi" w:eastAsiaTheme="minorEastAsia" w:hAnsiTheme="minorHAnsi" w:cstheme="minorBidi"/>
          <w:sz w:val="22"/>
          <w:szCs w:val="22"/>
        </w:rPr>
      </w:pPr>
      <w:r w:rsidRPr="00C9343F">
        <w:t>3.6.6    Deliberately differentiated offer</w:t>
      </w:r>
      <w:r w:rsidRPr="00C9343F">
        <w:tab/>
      </w:r>
      <w:r w:rsidRPr="00C9343F">
        <w:fldChar w:fldCharType="begin"/>
      </w:r>
      <w:r w:rsidRPr="00C9343F">
        <w:instrText xml:space="preserve"> PAGEREF _Toc105053791 \h </w:instrText>
      </w:r>
      <w:r w:rsidRPr="00C9343F">
        <w:fldChar w:fldCharType="separate"/>
      </w:r>
      <w:r w:rsidRPr="00C9343F">
        <w:t>150</w:t>
      </w:r>
      <w:r w:rsidRPr="00C9343F">
        <w:fldChar w:fldCharType="end"/>
      </w:r>
    </w:p>
    <w:p w14:paraId="75FDEB6B" w14:textId="05A77DA4" w:rsidR="00271952" w:rsidRPr="00C9343F" w:rsidRDefault="00271952">
      <w:pPr>
        <w:pStyle w:val="TOC5"/>
        <w:rPr>
          <w:rFonts w:asciiTheme="minorHAnsi" w:eastAsiaTheme="minorEastAsia" w:hAnsiTheme="minorHAnsi" w:cstheme="minorBidi"/>
          <w:sz w:val="22"/>
          <w:szCs w:val="22"/>
        </w:rPr>
      </w:pPr>
      <w:r w:rsidRPr="00C9343F">
        <w:t>3.6.7    How the offer is accepted</w:t>
      </w:r>
      <w:r w:rsidRPr="00C9343F">
        <w:tab/>
      </w:r>
      <w:r w:rsidRPr="00C9343F">
        <w:fldChar w:fldCharType="begin"/>
      </w:r>
      <w:r w:rsidRPr="00C9343F">
        <w:instrText xml:space="preserve"> PAGEREF _Toc105053792 \h </w:instrText>
      </w:r>
      <w:r w:rsidRPr="00C9343F">
        <w:fldChar w:fldCharType="separate"/>
      </w:r>
      <w:r w:rsidRPr="00C9343F">
        <w:t>151</w:t>
      </w:r>
      <w:r w:rsidRPr="00C9343F">
        <w:fldChar w:fldCharType="end"/>
      </w:r>
    </w:p>
    <w:p w14:paraId="293D5C9C" w14:textId="053140B9" w:rsidR="00271952" w:rsidRPr="00C9343F" w:rsidRDefault="00271952">
      <w:pPr>
        <w:pStyle w:val="TOC5"/>
        <w:rPr>
          <w:rFonts w:asciiTheme="minorHAnsi" w:eastAsiaTheme="minorEastAsia" w:hAnsiTheme="minorHAnsi" w:cstheme="minorBidi"/>
          <w:sz w:val="22"/>
          <w:szCs w:val="22"/>
        </w:rPr>
      </w:pPr>
      <w:r w:rsidRPr="00C9343F">
        <w:t>3.6.8    Member does not complete the period of agreed service</w:t>
      </w:r>
      <w:r w:rsidRPr="00C9343F">
        <w:tab/>
      </w:r>
      <w:r w:rsidRPr="00C9343F">
        <w:fldChar w:fldCharType="begin"/>
      </w:r>
      <w:r w:rsidRPr="00C9343F">
        <w:instrText xml:space="preserve"> PAGEREF _Toc105053793 \h </w:instrText>
      </w:r>
      <w:r w:rsidRPr="00C9343F">
        <w:fldChar w:fldCharType="separate"/>
      </w:r>
      <w:r w:rsidRPr="00C9343F">
        <w:t>152</w:t>
      </w:r>
      <w:r w:rsidRPr="00C9343F">
        <w:fldChar w:fldCharType="end"/>
      </w:r>
    </w:p>
    <w:p w14:paraId="3216A683" w14:textId="585C5672" w:rsidR="00271952" w:rsidRPr="00C9343F" w:rsidRDefault="00271952">
      <w:pPr>
        <w:pStyle w:val="TOC4"/>
        <w:rPr>
          <w:rFonts w:asciiTheme="minorHAnsi" w:eastAsiaTheme="minorEastAsia" w:hAnsiTheme="minorHAnsi" w:cstheme="minorBidi"/>
          <w:sz w:val="22"/>
          <w:szCs w:val="22"/>
        </w:rPr>
      </w:pPr>
      <w:r w:rsidRPr="00C9343F">
        <w:t>Annex 3.6.A: Deliberately differentiated offer form</w:t>
      </w:r>
      <w:r w:rsidRPr="00C9343F">
        <w:tab/>
      </w:r>
      <w:r w:rsidRPr="00C9343F">
        <w:fldChar w:fldCharType="begin"/>
      </w:r>
      <w:r w:rsidRPr="00C9343F">
        <w:instrText xml:space="preserve"> PAGEREF _Toc105053794 \h </w:instrText>
      </w:r>
      <w:r w:rsidRPr="00C9343F">
        <w:fldChar w:fldCharType="separate"/>
      </w:r>
      <w:r w:rsidRPr="00C9343F">
        <w:t>153</w:t>
      </w:r>
      <w:r w:rsidRPr="00C9343F">
        <w:fldChar w:fldCharType="end"/>
      </w:r>
    </w:p>
    <w:p w14:paraId="29FEC143" w14:textId="11C4C2BC" w:rsidR="00271952" w:rsidRPr="00C9343F" w:rsidRDefault="00271952">
      <w:pPr>
        <w:pStyle w:val="TOC2"/>
        <w:rPr>
          <w:rFonts w:asciiTheme="minorHAnsi" w:eastAsiaTheme="minorEastAsia" w:hAnsiTheme="minorHAnsi" w:cstheme="minorBidi"/>
          <w:b w:val="0"/>
          <w:noProof/>
          <w:sz w:val="22"/>
          <w:szCs w:val="22"/>
        </w:rPr>
      </w:pPr>
      <w:r w:rsidRPr="00C9343F">
        <w:rPr>
          <w:noProof/>
        </w:rPr>
        <w:t>Chapter 4: ADF allowances and reimbursements</w:t>
      </w:r>
      <w:r w:rsidRPr="00C9343F">
        <w:rPr>
          <w:noProof/>
        </w:rPr>
        <w:tab/>
      </w:r>
      <w:r w:rsidRPr="00C9343F">
        <w:rPr>
          <w:noProof/>
        </w:rPr>
        <w:fldChar w:fldCharType="begin"/>
      </w:r>
      <w:r w:rsidRPr="00C9343F">
        <w:rPr>
          <w:noProof/>
        </w:rPr>
        <w:instrText xml:space="preserve"> PAGEREF _Toc105053795 \h </w:instrText>
      </w:r>
      <w:r w:rsidRPr="00C9343F">
        <w:rPr>
          <w:noProof/>
        </w:rPr>
      </w:r>
      <w:r w:rsidRPr="00C9343F">
        <w:rPr>
          <w:noProof/>
        </w:rPr>
        <w:fldChar w:fldCharType="separate"/>
      </w:r>
      <w:r w:rsidRPr="00C9343F">
        <w:rPr>
          <w:noProof/>
        </w:rPr>
        <w:t>158</w:t>
      </w:r>
      <w:r w:rsidRPr="00C9343F">
        <w:rPr>
          <w:noProof/>
        </w:rPr>
        <w:fldChar w:fldCharType="end"/>
      </w:r>
    </w:p>
    <w:p w14:paraId="2D4900BB" w14:textId="5C87FE58" w:rsidR="00271952" w:rsidRPr="00C9343F" w:rsidRDefault="00271952">
      <w:pPr>
        <w:pStyle w:val="TOC3"/>
        <w:rPr>
          <w:rFonts w:asciiTheme="minorHAnsi" w:eastAsiaTheme="minorEastAsia" w:hAnsiTheme="minorHAnsi" w:cstheme="minorBidi"/>
          <w:b w:val="0"/>
          <w:sz w:val="22"/>
          <w:szCs w:val="22"/>
        </w:rPr>
      </w:pPr>
      <w:r w:rsidRPr="00C9343F">
        <w:t>Part 1: Higher duties allowance</w:t>
      </w:r>
      <w:r w:rsidRPr="00C9343F">
        <w:tab/>
      </w:r>
      <w:r w:rsidRPr="00C9343F">
        <w:fldChar w:fldCharType="begin"/>
      </w:r>
      <w:r w:rsidRPr="00C9343F">
        <w:instrText xml:space="preserve"> PAGEREF _Toc105053796 \h </w:instrText>
      </w:r>
      <w:r w:rsidRPr="00C9343F">
        <w:fldChar w:fldCharType="separate"/>
      </w:r>
      <w:r w:rsidRPr="00C9343F">
        <w:t>158</w:t>
      </w:r>
      <w:r w:rsidRPr="00C9343F">
        <w:fldChar w:fldCharType="end"/>
      </w:r>
    </w:p>
    <w:p w14:paraId="64ADD428" w14:textId="7DF73339" w:rsidR="00271952" w:rsidRPr="00C9343F" w:rsidRDefault="00271952">
      <w:pPr>
        <w:pStyle w:val="TOC5"/>
        <w:rPr>
          <w:rFonts w:asciiTheme="minorHAnsi" w:eastAsiaTheme="minorEastAsia" w:hAnsiTheme="minorHAnsi" w:cstheme="minorBidi"/>
          <w:sz w:val="22"/>
          <w:szCs w:val="22"/>
        </w:rPr>
      </w:pPr>
      <w:r w:rsidRPr="00C9343F">
        <w:t>4.1.1    Purpose</w:t>
      </w:r>
      <w:r w:rsidRPr="00C9343F">
        <w:tab/>
      </w:r>
      <w:r w:rsidRPr="00C9343F">
        <w:fldChar w:fldCharType="begin"/>
      </w:r>
      <w:r w:rsidRPr="00C9343F">
        <w:instrText xml:space="preserve"> PAGEREF _Toc105053797 \h </w:instrText>
      </w:r>
      <w:r w:rsidRPr="00C9343F">
        <w:fldChar w:fldCharType="separate"/>
      </w:r>
      <w:r w:rsidRPr="00C9343F">
        <w:t>158</w:t>
      </w:r>
      <w:r w:rsidRPr="00C9343F">
        <w:fldChar w:fldCharType="end"/>
      </w:r>
    </w:p>
    <w:p w14:paraId="7BB0F4A5" w14:textId="5944FDD1" w:rsidR="00271952" w:rsidRPr="00C9343F" w:rsidRDefault="00271952">
      <w:pPr>
        <w:pStyle w:val="TOC5"/>
        <w:rPr>
          <w:rFonts w:asciiTheme="minorHAnsi" w:eastAsiaTheme="minorEastAsia" w:hAnsiTheme="minorHAnsi" w:cstheme="minorBidi"/>
          <w:sz w:val="22"/>
          <w:szCs w:val="22"/>
        </w:rPr>
      </w:pPr>
      <w:r w:rsidRPr="00C9343F">
        <w:t>4.1.2    Definitions</w:t>
      </w:r>
      <w:r w:rsidRPr="00C9343F">
        <w:tab/>
      </w:r>
      <w:r w:rsidRPr="00C9343F">
        <w:fldChar w:fldCharType="begin"/>
      </w:r>
      <w:r w:rsidRPr="00C9343F">
        <w:instrText xml:space="preserve"> PAGEREF _Toc105053798 \h </w:instrText>
      </w:r>
      <w:r w:rsidRPr="00C9343F">
        <w:fldChar w:fldCharType="separate"/>
      </w:r>
      <w:r w:rsidRPr="00C9343F">
        <w:t>158</w:t>
      </w:r>
      <w:r w:rsidRPr="00C9343F">
        <w:fldChar w:fldCharType="end"/>
      </w:r>
    </w:p>
    <w:p w14:paraId="4EA65048" w14:textId="07075DD0" w:rsidR="00271952" w:rsidRPr="00C9343F" w:rsidRDefault="00271952">
      <w:pPr>
        <w:pStyle w:val="TOC5"/>
        <w:rPr>
          <w:rFonts w:asciiTheme="minorHAnsi" w:eastAsiaTheme="minorEastAsia" w:hAnsiTheme="minorHAnsi" w:cstheme="minorBidi"/>
          <w:sz w:val="22"/>
          <w:szCs w:val="22"/>
        </w:rPr>
      </w:pPr>
      <w:r w:rsidRPr="00C9343F">
        <w:t>4.1.3    Member this Part applies to</w:t>
      </w:r>
      <w:r w:rsidRPr="00C9343F">
        <w:tab/>
      </w:r>
      <w:r w:rsidRPr="00C9343F">
        <w:fldChar w:fldCharType="begin"/>
      </w:r>
      <w:r w:rsidRPr="00C9343F">
        <w:instrText xml:space="preserve"> PAGEREF _Toc105053799 \h </w:instrText>
      </w:r>
      <w:r w:rsidRPr="00C9343F">
        <w:fldChar w:fldCharType="separate"/>
      </w:r>
      <w:r w:rsidRPr="00C9343F">
        <w:t>159</w:t>
      </w:r>
      <w:r w:rsidRPr="00C9343F">
        <w:fldChar w:fldCharType="end"/>
      </w:r>
    </w:p>
    <w:p w14:paraId="5D62BB30" w14:textId="45ED74D6" w:rsidR="00271952" w:rsidRPr="00C9343F" w:rsidRDefault="00271952">
      <w:pPr>
        <w:pStyle w:val="TOC5"/>
        <w:rPr>
          <w:rFonts w:asciiTheme="minorHAnsi" w:eastAsiaTheme="minorEastAsia" w:hAnsiTheme="minorHAnsi" w:cstheme="minorBidi"/>
          <w:sz w:val="22"/>
          <w:szCs w:val="22"/>
        </w:rPr>
      </w:pPr>
      <w:r w:rsidRPr="00C9343F">
        <w:t>4.1.4    Member not eligible for higher duties allowance</w:t>
      </w:r>
      <w:r w:rsidRPr="00C9343F">
        <w:tab/>
      </w:r>
      <w:r w:rsidRPr="00C9343F">
        <w:fldChar w:fldCharType="begin"/>
      </w:r>
      <w:r w:rsidRPr="00C9343F">
        <w:instrText xml:space="preserve"> PAGEREF _Toc105053800 \h </w:instrText>
      </w:r>
      <w:r w:rsidRPr="00C9343F">
        <w:fldChar w:fldCharType="separate"/>
      </w:r>
      <w:r w:rsidRPr="00C9343F">
        <w:t>159</w:t>
      </w:r>
      <w:r w:rsidRPr="00C9343F">
        <w:fldChar w:fldCharType="end"/>
      </w:r>
    </w:p>
    <w:p w14:paraId="2FB402E5" w14:textId="13729B5C" w:rsidR="00271952" w:rsidRPr="00C9343F" w:rsidRDefault="00271952">
      <w:pPr>
        <w:pStyle w:val="TOC5"/>
        <w:rPr>
          <w:rFonts w:asciiTheme="minorHAnsi" w:eastAsiaTheme="minorEastAsia" w:hAnsiTheme="minorHAnsi" w:cstheme="minorBidi"/>
          <w:sz w:val="22"/>
          <w:szCs w:val="22"/>
        </w:rPr>
      </w:pPr>
      <w:r w:rsidRPr="00C9343F">
        <w:t>4.1.5    Eligibility for higher duties allowance</w:t>
      </w:r>
      <w:r w:rsidRPr="00C9343F">
        <w:tab/>
      </w:r>
      <w:r w:rsidRPr="00C9343F">
        <w:fldChar w:fldCharType="begin"/>
      </w:r>
      <w:r w:rsidRPr="00C9343F">
        <w:instrText xml:space="preserve"> PAGEREF _Toc105053801 \h </w:instrText>
      </w:r>
      <w:r w:rsidRPr="00C9343F">
        <w:fldChar w:fldCharType="separate"/>
      </w:r>
      <w:r w:rsidRPr="00C9343F">
        <w:t>159</w:t>
      </w:r>
      <w:r w:rsidRPr="00C9343F">
        <w:fldChar w:fldCharType="end"/>
      </w:r>
    </w:p>
    <w:p w14:paraId="27DFD898" w14:textId="3DBFFCEA" w:rsidR="00271952" w:rsidRPr="00C9343F" w:rsidRDefault="00271952">
      <w:pPr>
        <w:pStyle w:val="TOC5"/>
        <w:rPr>
          <w:rFonts w:asciiTheme="minorHAnsi" w:eastAsiaTheme="minorEastAsia" w:hAnsiTheme="minorHAnsi" w:cstheme="minorBidi"/>
          <w:sz w:val="22"/>
          <w:szCs w:val="22"/>
        </w:rPr>
      </w:pPr>
      <w:r w:rsidRPr="00C9343F">
        <w:t>4.1.6    Rate of higher duties allowance</w:t>
      </w:r>
      <w:r w:rsidRPr="00C9343F">
        <w:tab/>
      </w:r>
      <w:r w:rsidRPr="00C9343F">
        <w:fldChar w:fldCharType="begin"/>
      </w:r>
      <w:r w:rsidRPr="00C9343F">
        <w:instrText xml:space="preserve"> PAGEREF _Toc105053802 \h </w:instrText>
      </w:r>
      <w:r w:rsidRPr="00C9343F">
        <w:fldChar w:fldCharType="separate"/>
      </w:r>
      <w:r w:rsidRPr="00C9343F">
        <w:t>160</w:t>
      </w:r>
      <w:r w:rsidRPr="00C9343F">
        <w:fldChar w:fldCharType="end"/>
      </w:r>
    </w:p>
    <w:p w14:paraId="51850B0C" w14:textId="419FA97B" w:rsidR="00271952" w:rsidRPr="00C9343F" w:rsidRDefault="00271952">
      <w:pPr>
        <w:pStyle w:val="TOC5"/>
        <w:rPr>
          <w:rFonts w:asciiTheme="minorHAnsi" w:eastAsiaTheme="minorEastAsia" w:hAnsiTheme="minorHAnsi" w:cstheme="minorBidi"/>
          <w:sz w:val="22"/>
          <w:szCs w:val="22"/>
        </w:rPr>
      </w:pPr>
      <w:r w:rsidRPr="00C9343F">
        <w:t>4.1.7    End of higher duties allowance</w:t>
      </w:r>
      <w:r w:rsidRPr="00C9343F">
        <w:tab/>
      </w:r>
      <w:r w:rsidRPr="00C9343F">
        <w:fldChar w:fldCharType="begin"/>
      </w:r>
      <w:r w:rsidRPr="00C9343F">
        <w:instrText xml:space="preserve"> PAGEREF _Toc105053803 \h </w:instrText>
      </w:r>
      <w:r w:rsidRPr="00C9343F">
        <w:fldChar w:fldCharType="separate"/>
      </w:r>
      <w:r w:rsidRPr="00C9343F">
        <w:t>160</w:t>
      </w:r>
      <w:r w:rsidRPr="00C9343F">
        <w:fldChar w:fldCharType="end"/>
      </w:r>
    </w:p>
    <w:p w14:paraId="78059E4D" w14:textId="1E130020" w:rsidR="00271952" w:rsidRPr="00C9343F" w:rsidRDefault="00271952">
      <w:pPr>
        <w:pStyle w:val="TOC3"/>
        <w:rPr>
          <w:rFonts w:asciiTheme="minorHAnsi" w:eastAsiaTheme="minorEastAsia" w:hAnsiTheme="minorHAnsi" w:cstheme="minorBidi"/>
          <w:b w:val="0"/>
          <w:sz w:val="22"/>
          <w:szCs w:val="22"/>
        </w:rPr>
      </w:pPr>
      <w:r w:rsidRPr="00C9343F">
        <w:t>Part 4: Location allowances</w:t>
      </w:r>
      <w:r w:rsidRPr="00C9343F">
        <w:tab/>
      </w:r>
      <w:r w:rsidRPr="00C9343F">
        <w:fldChar w:fldCharType="begin"/>
      </w:r>
      <w:r w:rsidRPr="00C9343F">
        <w:instrText xml:space="preserve"> PAGEREF _Toc105053804 \h </w:instrText>
      </w:r>
      <w:r w:rsidRPr="00C9343F">
        <w:fldChar w:fldCharType="separate"/>
      </w:r>
      <w:r w:rsidRPr="00C9343F">
        <w:t>161</w:t>
      </w:r>
      <w:r w:rsidRPr="00C9343F">
        <w:fldChar w:fldCharType="end"/>
      </w:r>
    </w:p>
    <w:p w14:paraId="0A96F31A" w14:textId="6F16287B" w:rsidR="00271952" w:rsidRPr="00C9343F" w:rsidRDefault="00271952">
      <w:pPr>
        <w:pStyle w:val="TOC4"/>
        <w:rPr>
          <w:rFonts w:asciiTheme="minorHAnsi" w:eastAsiaTheme="minorEastAsia" w:hAnsiTheme="minorHAnsi" w:cstheme="minorBidi"/>
          <w:sz w:val="22"/>
          <w:szCs w:val="22"/>
        </w:rPr>
      </w:pPr>
      <w:r w:rsidRPr="00C9343F">
        <w:t>Division 1: ADF district allowance – general and rates</w:t>
      </w:r>
      <w:r w:rsidRPr="00C9343F">
        <w:tab/>
      </w:r>
      <w:r w:rsidRPr="00C9343F">
        <w:fldChar w:fldCharType="begin"/>
      </w:r>
      <w:r w:rsidRPr="00C9343F">
        <w:instrText xml:space="preserve"> PAGEREF _Toc105053805 \h </w:instrText>
      </w:r>
      <w:r w:rsidRPr="00C9343F">
        <w:fldChar w:fldCharType="separate"/>
      </w:r>
      <w:r w:rsidRPr="00C9343F">
        <w:t>161</w:t>
      </w:r>
      <w:r w:rsidRPr="00C9343F">
        <w:fldChar w:fldCharType="end"/>
      </w:r>
    </w:p>
    <w:p w14:paraId="5BF8DB20" w14:textId="61B265FE" w:rsidR="00271952" w:rsidRPr="00C9343F" w:rsidRDefault="00271952">
      <w:pPr>
        <w:pStyle w:val="TOC5"/>
        <w:rPr>
          <w:rFonts w:asciiTheme="minorHAnsi" w:eastAsiaTheme="minorEastAsia" w:hAnsiTheme="minorHAnsi" w:cstheme="minorBidi"/>
          <w:sz w:val="22"/>
          <w:szCs w:val="22"/>
        </w:rPr>
      </w:pPr>
      <w:r w:rsidRPr="00C9343F">
        <w:t>4.4.3    Purpose</w:t>
      </w:r>
      <w:r w:rsidRPr="00C9343F">
        <w:tab/>
      </w:r>
      <w:r w:rsidRPr="00C9343F">
        <w:fldChar w:fldCharType="begin"/>
      </w:r>
      <w:r w:rsidRPr="00C9343F">
        <w:instrText xml:space="preserve"> PAGEREF _Toc105053806 \h </w:instrText>
      </w:r>
      <w:r w:rsidRPr="00C9343F">
        <w:fldChar w:fldCharType="separate"/>
      </w:r>
      <w:r w:rsidRPr="00C9343F">
        <w:t>161</w:t>
      </w:r>
      <w:r w:rsidRPr="00C9343F">
        <w:fldChar w:fldCharType="end"/>
      </w:r>
    </w:p>
    <w:p w14:paraId="74FB3AAE" w14:textId="7A3E7C0F" w:rsidR="00271952" w:rsidRPr="00C9343F" w:rsidRDefault="00271952">
      <w:pPr>
        <w:pStyle w:val="TOC5"/>
        <w:rPr>
          <w:rFonts w:asciiTheme="minorHAnsi" w:eastAsiaTheme="minorEastAsia" w:hAnsiTheme="minorHAnsi" w:cstheme="minorBidi"/>
          <w:sz w:val="22"/>
          <w:szCs w:val="22"/>
        </w:rPr>
      </w:pPr>
      <w:r w:rsidRPr="00C9343F">
        <w:t>4.4.4    Definitions</w:t>
      </w:r>
      <w:r w:rsidRPr="00C9343F">
        <w:tab/>
      </w:r>
      <w:r w:rsidRPr="00C9343F">
        <w:fldChar w:fldCharType="begin"/>
      </w:r>
      <w:r w:rsidRPr="00C9343F">
        <w:instrText xml:space="preserve"> PAGEREF _Toc105053807 \h </w:instrText>
      </w:r>
      <w:r w:rsidRPr="00C9343F">
        <w:fldChar w:fldCharType="separate"/>
      </w:r>
      <w:r w:rsidRPr="00C9343F">
        <w:t>161</w:t>
      </w:r>
      <w:r w:rsidRPr="00C9343F">
        <w:fldChar w:fldCharType="end"/>
      </w:r>
    </w:p>
    <w:p w14:paraId="6507202B" w14:textId="423E36BA" w:rsidR="00271952" w:rsidRPr="00C9343F" w:rsidRDefault="00271952">
      <w:pPr>
        <w:pStyle w:val="TOC5"/>
        <w:rPr>
          <w:rFonts w:asciiTheme="minorHAnsi" w:eastAsiaTheme="minorEastAsia" w:hAnsiTheme="minorHAnsi" w:cstheme="minorBidi"/>
          <w:sz w:val="22"/>
          <w:szCs w:val="22"/>
        </w:rPr>
      </w:pPr>
      <w:r w:rsidRPr="00C9343F">
        <w:t>4.4.5    Members who are eligible</w:t>
      </w:r>
      <w:r w:rsidRPr="00C9343F">
        <w:tab/>
      </w:r>
      <w:r w:rsidRPr="00C9343F">
        <w:fldChar w:fldCharType="begin"/>
      </w:r>
      <w:r w:rsidRPr="00C9343F">
        <w:instrText xml:space="preserve"> PAGEREF _Toc105053808 \h </w:instrText>
      </w:r>
      <w:r w:rsidRPr="00C9343F">
        <w:fldChar w:fldCharType="separate"/>
      </w:r>
      <w:r w:rsidRPr="00C9343F">
        <w:t>161</w:t>
      </w:r>
      <w:r w:rsidRPr="00C9343F">
        <w:fldChar w:fldCharType="end"/>
      </w:r>
    </w:p>
    <w:p w14:paraId="5D69EE4E" w14:textId="1D5F6B38" w:rsidR="00271952" w:rsidRPr="00C9343F" w:rsidRDefault="00271952">
      <w:pPr>
        <w:pStyle w:val="TOC5"/>
        <w:rPr>
          <w:rFonts w:asciiTheme="minorHAnsi" w:eastAsiaTheme="minorEastAsia" w:hAnsiTheme="minorHAnsi" w:cstheme="minorBidi"/>
          <w:sz w:val="22"/>
          <w:szCs w:val="22"/>
        </w:rPr>
      </w:pPr>
      <w:r w:rsidRPr="00C9343F">
        <w:t>4.4.6    Members who are not eligible</w:t>
      </w:r>
      <w:r w:rsidRPr="00C9343F">
        <w:tab/>
      </w:r>
      <w:r w:rsidRPr="00C9343F">
        <w:fldChar w:fldCharType="begin"/>
      </w:r>
      <w:r w:rsidRPr="00C9343F">
        <w:instrText xml:space="preserve"> PAGEREF _Toc105053809 \h </w:instrText>
      </w:r>
      <w:r w:rsidRPr="00C9343F">
        <w:fldChar w:fldCharType="separate"/>
      </w:r>
      <w:r w:rsidRPr="00C9343F">
        <w:t>162</w:t>
      </w:r>
      <w:r w:rsidRPr="00C9343F">
        <w:fldChar w:fldCharType="end"/>
      </w:r>
    </w:p>
    <w:p w14:paraId="43E81AA0" w14:textId="31D66C51" w:rsidR="00271952" w:rsidRPr="00C9343F" w:rsidRDefault="00271952">
      <w:pPr>
        <w:pStyle w:val="TOC5"/>
        <w:rPr>
          <w:rFonts w:asciiTheme="minorHAnsi" w:eastAsiaTheme="minorEastAsia" w:hAnsiTheme="minorHAnsi" w:cstheme="minorBidi"/>
          <w:sz w:val="22"/>
          <w:szCs w:val="22"/>
        </w:rPr>
      </w:pPr>
      <w:r w:rsidRPr="00C9343F">
        <w:t>4.4.7    Period of benefit</w:t>
      </w:r>
      <w:r w:rsidRPr="00C9343F">
        <w:tab/>
      </w:r>
      <w:r w:rsidRPr="00C9343F">
        <w:fldChar w:fldCharType="begin"/>
      </w:r>
      <w:r w:rsidRPr="00C9343F">
        <w:instrText xml:space="preserve"> PAGEREF _Toc105053810 \h </w:instrText>
      </w:r>
      <w:r w:rsidRPr="00C9343F">
        <w:fldChar w:fldCharType="separate"/>
      </w:r>
      <w:r w:rsidRPr="00C9343F">
        <w:t>162</w:t>
      </w:r>
      <w:r w:rsidRPr="00C9343F">
        <w:fldChar w:fldCharType="end"/>
      </w:r>
    </w:p>
    <w:p w14:paraId="3A52425E" w14:textId="574A4675" w:rsidR="00271952" w:rsidRPr="00C9343F" w:rsidRDefault="00271952">
      <w:pPr>
        <w:pStyle w:val="TOC5"/>
        <w:rPr>
          <w:rFonts w:asciiTheme="minorHAnsi" w:eastAsiaTheme="minorEastAsia" w:hAnsiTheme="minorHAnsi" w:cstheme="minorBidi"/>
          <w:sz w:val="22"/>
          <w:szCs w:val="22"/>
        </w:rPr>
      </w:pPr>
      <w:r w:rsidRPr="00C9343F">
        <w:t>4.4.8    Grading of locations</w:t>
      </w:r>
      <w:r w:rsidRPr="00C9343F">
        <w:tab/>
      </w:r>
      <w:r w:rsidRPr="00C9343F">
        <w:fldChar w:fldCharType="begin"/>
      </w:r>
      <w:r w:rsidRPr="00C9343F">
        <w:instrText xml:space="preserve"> PAGEREF _Toc105053811 \h </w:instrText>
      </w:r>
      <w:r w:rsidRPr="00C9343F">
        <w:fldChar w:fldCharType="separate"/>
      </w:r>
      <w:r w:rsidRPr="00C9343F">
        <w:t>162</w:t>
      </w:r>
      <w:r w:rsidRPr="00C9343F">
        <w:fldChar w:fldCharType="end"/>
      </w:r>
    </w:p>
    <w:p w14:paraId="00C8EC9D" w14:textId="64BD20F0" w:rsidR="00271952" w:rsidRPr="00C9343F" w:rsidRDefault="00271952">
      <w:pPr>
        <w:pStyle w:val="TOC5"/>
        <w:rPr>
          <w:rFonts w:asciiTheme="minorHAnsi" w:eastAsiaTheme="minorEastAsia" w:hAnsiTheme="minorHAnsi" w:cstheme="minorBidi"/>
          <w:sz w:val="22"/>
          <w:szCs w:val="22"/>
        </w:rPr>
      </w:pPr>
      <w:r w:rsidRPr="00C9343F">
        <w:t>4.4.9    Rate of allowance</w:t>
      </w:r>
      <w:r w:rsidRPr="00C9343F">
        <w:tab/>
      </w:r>
      <w:r w:rsidRPr="00C9343F">
        <w:fldChar w:fldCharType="begin"/>
      </w:r>
      <w:r w:rsidRPr="00C9343F">
        <w:instrText xml:space="preserve"> PAGEREF _Toc105053812 \h </w:instrText>
      </w:r>
      <w:r w:rsidRPr="00C9343F">
        <w:fldChar w:fldCharType="separate"/>
      </w:r>
      <w:r w:rsidRPr="00C9343F">
        <w:t>162</w:t>
      </w:r>
      <w:r w:rsidRPr="00C9343F">
        <w:fldChar w:fldCharType="end"/>
      </w:r>
    </w:p>
    <w:p w14:paraId="3729FC0E" w14:textId="38067C2C" w:rsidR="00271952" w:rsidRPr="00C9343F" w:rsidRDefault="00271952">
      <w:pPr>
        <w:pStyle w:val="TOC4"/>
        <w:rPr>
          <w:rFonts w:asciiTheme="minorHAnsi" w:eastAsiaTheme="minorEastAsia" w:hAnsiTheme="minorHAnsi" w:cstheme="minorBidi"/>
          <w:sz w:val="22"/>
          <w:szCs w:val="22"/>
        </w:rPr>
      </w:pPr>
      <w:r w:rsidRPr="00C9343F">
        <w:t>Division 2: ADF district allowance – movement to or from remote location</w:t>
      </w:r>
      <w:r w:rsidRPr="00C9343F">
        <w:tab/>
      </w:r>
      <w:r w:rsidRPr="00C9343F">
        <w:fldChar w:fldCharType="begin"/>
      </w:r>
      <w:r w:rsidRPr="00C9343F">
        <w:instrText xml:space="preserve"> PAGEREF _Toc105053813 \h </w:instrText>
      </w:r>
      <w:r w:rsidRPr="00C9343F">
        <w:fldChar w:fldCharType="separate"/>
      </w:r>
      <w:r w:rsidRPr="00C9343F">
        <w:t>164</w:t>
      </w:r>
      <w:r w:rsidRPr="00C9343F">
        <w:fldChar w:fldCharType="end"/>
      </w:r>
    </w:p>
    <w:p w14:paraId="60B787B1" w14:textId="133E569F" w:rsidR="00271952" w:rsidRPr="00C9343F" w:rsidRDefault="00271952">
      <w:pPr>
        <w:pStyle w:val="TOC5"/>
        <w:rPr>
          <w:rFonts w:asciiTheme="minorHAnsi" w:eastAsiaTheme="minorEastAsia" w:hAnsiTheme="minorHAnsi" w:cstheme="minorBidi"/>
          <w:sz w:val="22"/>
          <w:szCs w:val="22"/>
        </w:rPr>
      </w:pPr>
      <w:r w:rsidRPr="00C9343F">
        <w:t>4.4.11    Absence for temporary duty</w:t>
      </w:r>
      <w:r w:rsidRPr="00C9343F">
        <w:tab/>
      </w:r>
      <w:r w:rsidRPr="00C9343F">
        <w:fldChar w:fldCharType="begin"/>
      </w:r>
      <w:r w:rsidRPr="00C9343F">
        <w:instrText xml:space="preserve"> PAGEREF _Toc105053814 \h </w:instrText>
      </w:r>
      <w:r w:rsidRPr="00C9343F">
        <w:fldChar w:fldCharType="separate"/>
      </w:r>
      <w:r w:rsidRPr="00C9343F">
        <w:t>164</w:t>
      </w:r>
      <w:r w:rsidRPr="00C9343F">
        <w:fldChar w:fldCharType="end"/>
      </w:r>
    </w:p>
    <w:p w14:paraId="7BDD7819" w14:textId="41B3B512" w:rsidR="00271952" w:rsidRPr="00C9343F" w:rsidRDefault="00271952">
      <w:pPr>
        <w:pStyle w:val="TOC5"/>
        <w:rPr>
          <w:rFonts w:asciiTheme="minorHAnsi" w:eastAsiaTheme="minorEastAsia" w:hAnsiTheme="minorHAnsi" w:cstheme="minorBidi"/>
          <w:sz w:val="22"/>
          <w:szCs w:val="22"/>
        </w:rPr>
      </w:pPr>
      <w:r w:rsidRPr="00C9343F">
        <w:t>4.4.12    On leave and returning to duty</w:t>
      </w:r>
      <w:r w:rsidRPr="00C9343F">
        <w:tab/>
      </w:r>
      <w:r w:rsidRPr="00C9343F">
        <w:fldChar w:fldCharType="begin"/>
      </w:r>
      <w:r w:rsidRPr="00C9343F">
        <w:instrText xml:space="preserve"> PAGEREF _Toc105053815 \h </w:instrText>
      </w:r>
      <w:r w:rsidRPr="00C9343F">
        <w:fldChar w:fldCharType="separate"/>
      </w:r>
      <w:r w:rsidRPr="00C9343F">
        <w:t>164</w:t>
      </w:r>
      <w:r w:rsidRPr="00C9343F">
        <w:fldChar w:fldCharType="end"/>
      </w:r>
    </w:p>
    <w:p w14:paraId="7A555F60" w14:textId="31A85178" w:rsidR="00271952" w:rsidRPr="00C9343F" w:rsidRDefault="00271952">
      <w:pPr>
        <w:pStyle w:val="TOC5"/>
        <w:rPr>
          <w:rFonts w:asciiTheme="minorHAnsi" w:eastAsiaTheme="minorEastAsia" w:hAnsiTheme="minorHAnsi" w:cstheme="minorBidi"/>
          <w:sz w:val="22"/>
          <w:szCs w:val="22"/>
        </w:rPr>
      </w:pPr>
      <w:r w:rsidRPr="00C9343F">
        <w:t>4.4.13    Payment after completion of duty</w:t>
      </w:r>
      <w:r w:rsidRPr="00C9343F">
        <w:tab/>
      </w:r>
      <w:r w:rsidRPr="00C9343F">
        <w:fldChar w:fldCharType="begin"/>
      </w:r>
      <w:r w:rsidRPr="00C9343F">
        <w:instrText xml:space="preserve"> PAGEREF _Toc105053816 \h </w:instrText>
      </w:r>
      <w:r w:rsidRPr="00C9343F">
        <w:fldChar w:fldCharType="separate"/>
      </w:r>
      <w:r w:rsidRPr="00C9343F">
        <w:t>165</w:t>
      </w:r>
      <w:r w:rsidRPr="00C9343F">
        <w:fldChar w:fldCharType="end"/>
      </w:r>
    </w:p>
    <w:p w14:paraId="3838CF4D" w14:textId="02A85429" w:rsidR="00271952" w:rsidRPr="00C9343F" w:rsidRDefault="00271952">
      <w:pPr>
        <w:pStyle w:val="TOC5"/>
        <w:rPr>
          <w:rFonts w:asciiTheme="minorHAnsi" w:eastAsiaTheme="minorEastAsia" w:hAnsiTheme="minorHAnsi" w:cstheme="minorBidi"/>
          <w:sz w:val="22"/>
          <w:szCs w:val="22"/>
        </w:rPr>
      </w:pPr>
      <w:r w:rsidRPr="00C9343F">
        <w:lastRenderedPageBreak/>
        <w:t>4.4.14    Posting from one remote location to another remote location</w:t>
      </w:r>
      <w:r w:rsidRPr="00C9343F">
        <w:tab/>
      </w:r>
      <w:r w:rsidRPr="00C9343F">
        <w:fldChar w:fldCharType="begin"/>
      </w:r>
      <w:r w:rsidRPr="00C9343F">
        <w:instrText xml:space="preserve"> PAGEREF _Toc105053817 \h </w:instrText>
      </w:r>
      <w:r w:rsidRPr="00C9343F">
        <w:fldChar w:fldCharType="separate"/>
      </w:r>
      <w:r w:rsidRPr="00C9343F">
        <w:t>165</w:t>
      </w:r>
      <w:r w:rsidRPr="00C9343F">
        <w:fldChar w:fldCharType="end"/>
      </w:r>
    </w:p>
    <w:p w14:paraId="76758653" w14:textId="5D4DE01E" w:rsidR="00271952" w:rsidRPr="00C9343F" w:rsidRDefault="00271952">
      <w:pPr>
        <w:pStyle w:val="TOC5"/>
        <w:rPr>
          <w:rFonts w:asciiTheme="minorHAnsi" w:eastAsiaTheme="minorEastAsia" w:hAnsiTheme="minorHAnsi" w:cstheme="minorBidi"/>
          <w:sz w:val="22"/>
          <w:szCs w:val="22"/>
        </w:rPr>
      </w:pPr>
      <w:r w:rsidRPr="00C9343F">
        <w:t>4.4.15    Posting from a remote location to non-remote location</w:t>
      </w:r>
      <w:r w:rsidRPr="00C9343F">
        <w:tab/>
      </w:r>
      <w:r w:rsidRPr="00C9343F">
        <w:fldChar w:fldCharType="begin"/>
      </w:r>
      <w:r w:rsidRPr="00C9343F">
        <w:instrText xml:space="preserve"> PAGEREF _Toc105053818 \h </w:instrText>
      </w:r>
      <w:r w:rsidRPr="00C9343F">
        <w:fldChar w:fldCharType="separate"/>
      </w:r>
      <w:r w:rsidRPr="00C9343F">
        <w:t>166</w:t>
      </w:r>
      <w:r w:rsidRPr="00C9343F">
        <w:fldChar w:fldCharType="end"/>
      </w:r>
    </w:p>
    <w:p w14:paraId="15AF17B0" w14:textId="2DF365BE" w:rsidR="00271952" w:rsidRPr="00C9343F" w:rsidRDefault="00271952">
      <w:pPr>
        <w:pStyle w:val="TOC5"/>
        <w:rPr>
          <w:rFonts w:asciiTheme="minorHAnsi" w:eastAsiaTheme="minorEastAsia" w:hAnsiTheme="minorHAnsi" w:cstheme="minorBidi"/>
          <w:sz w:val="22"/>
          <w:szCs w:val="22"/>
        </w:rPr>
      </w:pPr>
      <w:r w:rsidRPr="00C9343F">
        <w:t>4.4.16    Member serving a period of detentions</w:t>
      </w:r>
      <w:r w:rsidRPr="00C9343F">
        <w:tab/>
      </w:r>
      <w:r w:rsidRPr="00C9343F">
        <w:fldChar w:fldCharType="begin"/>
      </w:r>
      <w:r w:rsidRPr="00C9343F">
        <w:instrText xml:space="preserve"> PAGEREF _Toc105053819 \h </w:instrText>
      </w:r>
      <w:r w:rsidRPr="00C9343F">
        <w:fldChar w:fldCharType="separate"/>
      </w:r>
      <w:r w:rsidRPr="00C9343F">
        <w:t>166</w:t>
      </w:r>
      <w:r w:rsidRPr="00C9343F">
        <w:fldChar w:fldCharType="end"/>
      </w:r>
    </w:p>
    <w:p w14:paraId="792C8663" w14:textId="48CF2AC1" w:rsidR="00271952" w:rsidRPr="00C9343F" w:rsidRDefault="00271952">
      <w:pPr>
        <w:pStyle w:val="TOC4"/>
        <w:rPr>
          <w:rFonts w:asciiTheme="minorHAnsi" w:eastAsiaTheme="minorEastAsia" w:hAnsiTheme="minorHAnsi" w:cstheme="minorBidi"/>
          <w:sz w:val="22"/>
          <w:szCs w:val="22"/>
        </w:rPr>
      </w:pPr>
      <w:r w:rsidRPr="00C9343F">
        <w:t>Division 3: Port Wakefield allowance</w:t>
      </w:r>
      <w:r w:rsidRPr="00C9343F">
        <w:tab/>
      </w:r>
      <w:r w:rsidRPr="00C9343F">
        <w:fldChar w:fldCharType="begin"/>
      </w:r>
      <w:r w:rsidRPr="00C9343F">
        <w:instrText xml:space="preserve"> PAGEREF _Toc105053820 \h </w:instrText>
      </w:r>
      <w:r w:rsidRPr="00C9343F">
        <w:fldChar w:fldCharType="separate"/>
      </w:r>
      <w:r w:rsidRPr="00C9343F">
        <w:t>167</w:t>
      </w:r>
      <w:r w:rsidRPr="00C9343F">
        <w:fldChar w:fldCharType="end"/>
      </w:r>
    </w:p>
    <w:p w14:paraId="3C2C80CC" w14:textId="2F28BFB9" w:rsidR="00271952" w:rsidRPr="00C9343F" w:rsidRDefault="00271952">
      <w:pPr>
        <w:pStyle w:val="TOC5"/>
        <w:rPr>
          <w:rFonts w:asciiTheme="minorHAnsi" w:eastAsiaTheme="minorEastAsia" w:hAnsiTheme="minorHAnsi" w:cstheme="minorBidi"/>
          <w:sz w:val="22"/>
          <w:szCs w:val="22"/>
        </w:rPr>
      </w:pPr>
      <w:r w:rsidRPr="00C9343F">
        <w:t>4.4.17    Purpose</w:t>
      </w:r>
      <w:r w:rsidRPr="00C9343F">
        <w:tab/>
      </w:r>
      <w:r w:rsidRPr="00C9343F">
        <w:fldChar w:fldCharType="begin"/>
      </w:r>
      <w:r w:rsidRPr="00C9343F">
        <w:instrText xml:space="preserve"> PAGEREF _Toc105053821 \h </w:instrText>
      </w:r>
      <w:r w:rsidRPr="00C9343F">
        <w:fldChar w:fldCharType="separate"/>
      </w:r>
      <w:r w:rsidRPr="00C9343F">
        <w:t>167</w:t>
      </w:r>
      <w:r w:rsidRPr="00C9343F">
        <w:fldChar w:fldCharType="end"/>
      </w:r>
    </w:p>
    <w:p w14:paraId="1255DD44" w14:textId="1C27C492" w:rsidR="00271952" w:rsidRPr="00C9343F" w:rsidRDefault="00271952">
      <w:pPr>
        <w:pStyle w:val="TOC5"/>
        <w:rPr>
          <w:rFonts w:asciiTheme="minorHAnsi" w:eastAsiaTheme="minorEastAsia" w:hAnsiTheme="minorHAnsi" w:cstheme="minorBidi"/>
          <w:sz w:val="22"/>
          <w:szCs w:val="22"/>
        </w:rPr>
      </w:pPr>
      <w:r w:rsidRPr="00C9343F">
        <w:t>4.4.19    Benefit</w:t>
      </w:r>
      <w:r w:rsidRPr="00C9343F">
        <w:tab/>
      </w:r>
      <w:r w:rsidRPr="00C9343F">
        <w:fldChar w:fldCharType="begin"/>
      </w:r>
      <w:r w:rsidRPr="00C9343F">
        <w:instrText xml:space="preserve"> PAGEREF _Toc105053822 \h </w:instrText>
      </w:r>
      <w:r w:rsidRPr="00C9343F">
        <w:fldChar w:fldCharType="separate"/>
      </w:r>
      <w:r w:rsidRPr="00C9343F">
        <w:t>167</w:t>
      </w:r>
      <w:r w:rsidRPr="00C9343F">
        <w:fldChar w:fldCharType="end"/>
      </w:r>
    </w:p>
    <w:p w14:paraId="0316344D" w14:textId="748D88E2" w:rsidR="00271952" w:rsidRPr="00C9343F" w:rsidRDefault="00271952">
      <w:pPr>
        <w:pStyle w:val="TOC5"/>
        <w:rPr>
          <w:rFonts w:asciiTheme="minorHAnsi" w:eastAsiaTheme="minorEastAsia" w:hAnsiTheme="minorHAnsi" w:cstheme="minorBidi"/>
          <w:sz w:val="22"/>
          <w:szCs w:val="22"/>
        </w:rPr>
      </w:pPr>
      <w:r w:rsidRPr="00C9343F">
        <w:t>4.4.20    Member not eligible</w:t>
      </w:r>
      <w:r w:rsidRPr="00C9343F">
        <w:tab/>
      </w:r>
      <w:r w:rsidRPr="00C9343F">
        <w:fldChar w:fldCharType="begin"/>
      </w:r>
      <w:r w:rsidRPr="00C9343F">
        <w:instrText xml:space="preserve"> PAGEREF _Toc105053823 \h </w:instrText>
      </w:r>
      <w:r w:rsidRPr="00C9343F">
        <w:fldChar w:fldCharType="separate"/>
      </w:r>
      <w:r w:rsidRPr="00C9343F">
        <w:t>167</w:t>
      </w:r>
      <w:r w:rsidRPr="00C9343F">
        <w:fldChar w:fldCharType="end"/>
      </w:r>
    </w:p>
    <w:p w14:paraId="05E1231A" w14:textId="5E8E3ACC" w:rsidR="00271952" w:rsidRPr="00C9343F" w:rsidRDefault="00271952">
      <w:pPr>
        <w:pStyle w:val="TOC5"/>
        <w:rPr>
          <w:rFonts w:asciiTheme="minorHAnsi" w:eastAsiaTheme="minorEastAsia" w:hAnsiTheme="minorHAnsi" w:cstheme="minorBidi"/>
          <w:sz w:val="22"/>
          <w:szCs w:val="22"/>
        </w:rPr>
      </w:pPr>
      <w:r w:rsidRPr="00C9343F">
        <w:t xml:space="preserve">4.4.21    Absence from </w:t>
      </w:r>
      <w:r w:rsidRPr="00C9343F">
        <w:rPr>
          <w:iCs/>
          <w:lang w:eastAsia="en-US"/>
        </w:rPr>
        <w:t>the Proof and Experimental Establishment at Port Wakefield</w:t>
      </w:r>
      <w:r w:rsidRPr="00C9343F">
        <w:tab/>
      </w:r>
      <w:r w:rsidRPr="00C9343F">
        <w:fldChar w:fldCharType="begin"/>
      </w:r>
      <w:r w:rsidRPr="00C9343F">
        <w:instrText xml:space="preserve"> PAGEREF _Toc105053824 \h </w:instrText>
      </w:r>
      <w:r w:rsidRPr="00C9343F">
        <w:fldChar w:fldCharType="separate"/>
      </w:r>
      <w:r w:rsidRPr="00C9343F">
        <w:t>167</w:t>
      </w:r>
      <w:r w:rsidRPr="00C9343F">
        <w:fldChar w:fldCharType="end"/>
      </w:r>
    </w:p>
    <w:p w14:paraId="290C479C" w14:textId="660CAA39" w:rsidR="00271952" w:rsidRPr="00C9343F" w:rsidRDefault="00271952">
      <w:pPr>
        <w:pStyle w:val="TOC4"/>
        <w:rPr>
          <w:rFonts w:asciiTheme="minorHAnsi" w:eastAsiaTheme="minorEastAsia" w:hAnsiTheme="minorHAnsi" w:cstheme="minorBidi"/>
          <w:sz w:val="22"/>
          <w:szCs w:val="22"/>
        </w:rPr>
      </w:pPr>
      <w:r w:rsidRPr="00C9343F">
        <w:t>Division 4: Scherger allowance</w:t>
      </w:r>
      <w:r w:rsidRPr="00C9343F">
        <w:tab/>
      </w:r>
      <w:r w:rsidRPr="00C9343F">
        <w:fldChar w:fldCharType="begin"/>
      </w:r>
      <w:r w:rsidRPr="00C9343F">
        <w:instrText xml:space="preserve"> PAGEREF _Toc105053825 \h </w:instrText>
      </w:r>
      <w:r w:rsidRPr="00C9343F">
        <w:fldChar w:fldCharType="separate"/>
      </w:r>
      <w:r w:rsidRPr="00C9343F">
        <w:t>168</w:t>
      </w:r>
      <w:r w:rsidRPr="00C9343F">
        <w:fldChar w:fldCharType="end"/>
      </w:r>
    </w:p>
    <w:p w14:paraId="5723E7C1" w14:textId="63469C7C" w:rsidR="00271952" w:rsidRPr="00C9343F" w:rsidRDefault="00271952">
      <w:pPr>
        <w:pStyle w:val="TOC5"/>
        <w:rPr>
          <w:rFonts w:asciiTheme="minorHAnsi" w:eastAsiaTheme="minorEastAsia" w:hAnsiTheme="minorHAnsi" w:cstheme="minorBidi"/>
          <w:sz w:val="22"/>
          <w:szCs w:val="22"/>
        </w:rPr>
      </w:pPr>
      <w:r w:rsidRPr="00C9343F">
        <w:t>4.4.22    Purpose</w:t>
      </w:r>
      <w:r w:rsidRPr="00C9343F">
        <w:tab/>
      </w:r>
      <w:r w:rsidRPr="00C9343F">
        <w:fldChar w:fldCharType="begin"/>
      </w:r>
      <w:r w:rsidRPr="00C9343F">
        <w:instrText xml:space="preserve"> PAGEREF _Toc105053826 \h </w:instrText>
      </w:r>
      <w:r w:rsidRPr="00C9343F">
        <w:fldChar w:fldCharType="separate"/>
      </w:r>
      <w:r w:rsidRPr="00C9343F">
        <w:t>168</w:t>
      </w:r>
      <w:r w:rsidRPr="00C9343F">
        <w:fldChar w:fldCharType="end"/>
      </w:r>
    </w:p>
    <w:p w14:paraId="177EBBA2" w14:textId="0927BB66" w:rsidR="00271952" w:rsidRPr="00C9343F" w:rsidRDefault="00271952">
      <w:pPr>
        <w:pStyle w:val="TOC5"/>
        <w:rPr>
          <w:rFonts w:asciiTheme="minorHAnsi" w:eastAsiaTheme="minorEastAsia" w:hAnsiTheme="minorHAnsi" w:cstheme="minorBidi"/>
          <w:sz w:val="22"/>
          <w:szCs w:val="22"/>
        </w:rPr>
      </w:pPr>
      <w:r w:rsidRPr="00C9343F">
        <w:t>4.4.23    Member who is eligible</w:t>
      </w:r>
      <w:r w:rsidRPr="00C9343F">
        <w:tab/>
      </w:r>
      <w:r w:rsidRPr="00C9343F">
        <w:fldChar w:fldCharType="begin"/>
      </w:r>
      <w:r w:rsidRPr="00C9343F">
        <w:instrText xml:space="preserve"> PAGEREF _Toc105053827 \h </w:instrText>
      </w:r>
      <w:r w:rsidRPr="00C9343F">
        <w:fldChar w:fldCharType="separate"/>
      </w:r>
      <w:r w:rsidRPr="00C9343F">
        <w:t>168</w:t>
      </w:r>
      <w:r w:rsidRPr="00C9343F">
        <w:fldChar w:fldCharType="end"/>
      </w:r>
    </w:p>
    <w:p w14:paraId="73F0EFD8" w14:textId="171A9E04" w:rsidR="00271952" w:rsidRPr="00C9343F" w:rsidRDefault="00271952">
      <w:pPr>
        <w:pStyle w:val="TOC5"/>
        <w:rPr>
          <w:rFonts w:asciiTheme="minorHAnsi" w:eastAsiaTheme="minorEastAsia" w:hAnsiTheme="minorHAnsi" w:cstheme="minorBidi"/>
          <w:sz w:val="22"/>
          <w:szCs w:val="22"/>
        </w:rPr>
      </w:pPr>
      <w:r w:rsidRPr="00C9343F">
        <w:t>4.4.23A  Member not eligible</w:t>
      </w:r>
      <w:r w:rsidRPr="00C9343F">
        <w:tab/>
      </w:r>
      <w:r w:rsidRPr="00C9343F">
        <w:fldChar w:fldCharType="begin"/>
      </w:r>
      <w:r w:rsidRPr="00C9343F">
        <w:instrText xml:space="preserve"> PAGEREF _Toc105053828 \h </w:instrText>
      </w:r>
      <w:r w:rsidRPr="00C9343F">
        <w:fldChar w:fldCharType="separate"/>
      </w:r>
      <w:r w:rsidRPr="00C9343F">
        <w:t>168</w:t>
      </w:r>
      <w:r w:rsidRPr="00C9343F">
        <w:fldChar w:fldCharType="end"/>
      </w:r>
    </w:p>
    <w:p w14:paraId="7D2E21EF" w14:textId="286713A6" w:rsidR="00271952" w:rsidRPr="00C9343F" w:rsidRDefault="00271952">
      <w:pPr>
        <w:pStyle w:val="TOC5"/>
        <w:rPr>
          <w:rFonts w:asciiTheme="minorHAnsi" w:eastAsiaTheme="minorEastAsia" w:hAnsiTheme="minorHAnsi" w:cstheme="minorBidi"/>
          <w:sz w:val="22"/>
          <w:szCs w:val="22"/>
        </w:rPr>
      </w:pPr>
      <w:r w:rsidRPr="00C9343F">
        <w:t>4.4.24    Rate of allowance</w:t>
      </w:r>
      <w:r w:rsidRPr="00C9343F">
        <w:tab/>
      </w:r>
      <w:r w:rsidRPr="00C9343F">
        <w:fldChar w:fldCharType="begin"/>
      </w:r>
      <w:r w:rsidRPr="00C9343F">
        <w:instrText xml:space="preserve"> PAGEREF _Toc105053829 \h </w:instrText>
      </w:r>
      <w:r w:rsidRPr="00C9343F">
        <w:fldChar w:fldCharType="separate"/>
      </w:r>
      <w:r w:rsidRPr="00C9343F">
        <w:t>168</w:t>
      </w:r>
      <w:r w:rsidRPr="00C9343F">
        <w:fldChar w:fldCharType="end"/>
      </w:r>
    </w:p>
    <w:p w14:paraId="6DD8C063" w14:textId="103E4945" w:rsidR="00271952" w:rsidRPr="00C9343F" w:rsidRDefault="00271952">
      <w:pPr>
        <w:pStyle w:val="TOC4"/>
        <w:rPr>
          <w:rFonts w:asciiTheme="minorHAnsi" w:eastAsiaTheme="minorEastAsia" w:hAnsiTheme="minorHAnsi" w:cstheme="minorBidi"/>
          <w:sz w:val="22"/>
          <w:szCs w:val="22"/>
        </w:rPr>
      </w:pPr>
      <w:r w:rsidRPr="00C9343F">
        <w:t>Division 5: Allowances for services in Antarctica – general provisions</w:t>
      </w:r>
      <w:r w:rsidRPr="00C9343F">
        <w:tab/>
      </w:r>
      <w:r w:rsidRPr="00C9343F">
        <w:fldChar w:fldCharType="begin"/>
      </w:r>
      <w:r w:rsidRPr="00C9343F">
        <w:instrText xml:space="preserve"> PAGEREF _Toc105053830 \h </w:instrText>
      </w:r>
      <w:r w:rsidRPr="00C9343F">
        <w:fldChar w:fldCharType="separate"/>
      </w:r>
      <w:r w:rsidRPr="00C9343F">
        <w:t>169</w:t>
      </w:r>
      <w:r w:rsidRPr="00C9343F">
        <w:fldChar w:fldCharType="end"/>
      </w:r>
    </w:p>
    <w:p w14:paraId="2F598BD4" w14:textId="39AC25C5" w:rsidR="00271952" w:rsidRPr="00C9343F" w:rsidRDefault="00271952">
      <w:pPr>
        <w:pStyle w:val="TOC5"/>
        <w:rPr>
          <w:rFonts w:asciiTheme="minorHAnsi" w:eastAsiaTheme="minorEastAsia" w:hAnsiTheme="minorHAnsi" w:cstheme="minorBidi"/>
          <w:sz w:val="22"/>
          <w:szCs w:val="22"/>
        </w:rPr>
      </w:pPr>
      <w:r w:rsidRPr="00C9343F">
        <w:t>4.4.25    Definitions</w:t>
      </w:r>
      <w:r w:rsidRPr="00C9343F">
        <w:tab/>
      </w:r>
      <w:r w:rsidRPr="00C9343F">
        <w:fldChar w:fldCharType="begin"/>
      </w:r>
      <w:r w:rsidRPr="00C9343F">
        <w:instrText xml:space="preserve"> PAGEREF _Toc105053831 \h </w:instrText>
      </w:r>
      <w:r w:rsidRPr="00C9343F">
        <w:fldChar w:fldCharType="separate"/>
      </w:r>
      <w:r w:rsidRPr="00C9343F">
        <w:t>169</w:t>
      </w:r>
      <w:r w:rsidRPr="00C9343F">
        <w:fldChar w:fldCharType="end"/>
      </w:r>
    </w:p>
    <w:p w14:paraId="19561338" w14:textId="512CA63C" w:rsidR="00271952" w:rsidRPr="00C9343F" w:rsidRDefault="00271952">
      <w:pPr>
        <w:pStyle w:val="TOC4"/>
        <w:rPr>
          <w:rFonts w:asciiTheme="minorHAnsi" w:eastAsiaTheme="minorEastAsia" w:hAnsiTheme="minorHAnsi" w:cstheme="minorBidi"/>
          <w:sz w:val="22"/>
          <w:szCs w:val="22"/>
        </w:rPr>
      </w:pPr>
      <w:r w:rsidRPr="00C9343F">
        <w:t>Division 6: Allowances for services in Antarctica – Antarctic allowance</w:t>
      </w:r>
      <w:r w:rsidRPr="00C9343F">
        <w:tab/>
      </w:r>
      <w:r w:rsidRPr="00C9343F">
        <w:fldChar w:fldCharType="begin"/>
      </w:r>
      <w:r w:rsidRPr="00C9343F">
        <w:instrText xml:space="preserve"> PAGEREF _Toc105053832 \h </w:instrText>
      </w:r>
      <w:r w:rsidRPr="00C9343F">
        <w:fldChar w:fldCharType="separate"/>
      </w:r>
      <w:r w:rsidRPr="00C9343F">
        <w:t>170</w:t>
      </w:r>
      <w:r w:rsidRPr="00C9343F">
        <w:fldChar w:fldCharType="end"/>
      </w:r>
    </w:p>
    <w:p w14:paraId="162BFE99" w14:textId="0B99C253" w:rsidR="00271952" w:rsidRPr="00C9343F" w:rsidRDefault="00271952">
      <w:pPr>
        <w:pStyle w:val="TOC5"/>
        <w:rPr>
          <w:rFonts w:asciiTheme="minorHAnsi" w:eastAsiaTheme="minorEastAsia" w:hAnsiTheme="minorHAnsi" w:cstheme="minorBidi"/>
          <w:sz w:val="22"/>
          <w:szCs w:val="22"/>
        </w:rPr>
      </w:pPr>
      <w:r w:rsidRPr="00C9343F">
        <w:t>4.4.29    Purpose</w:t>
      </w:r>
      <w:r w:rsidRPr="00C9343F">
        <w:tab/>
      </w:r>
      <w:r w:rsidRPr="00C9343F">
        <w:fldChar w:fldCharType="begin"/>
      </w:r>
      <w:r w:rsidRPr="00C9343F">
        <w:instrText xml:space="preserve"> PAGEREF _Toc105053833 \h </w:instrText>
      </w:r>
      <w:r w:rsidRPr="00C9343F">
        <w:fldChar w:fldCharType="separate"/>
      </w:r>
      <w:r w:rsidRPr="00C9343F">
        <w:t>170</w:t>
      </w:r>
      <w:r w:rsidRPr="00C9343F">
        <w:fldChar w:fldCharType="end"/>
      </w:r>
    </w:p>
    <w:p w14:paraId="30D2F05A" w14:textId="3CFD6F96" w:rsidR="00271952" w:rsidRPr="00C9343F" w:rsidRDefault="00271952">
      <w:pPr>
        <w:pStyle w:val="TOC5"/>
        <w:rPr>
          <w:rFonts w:asciiTheme="minorHAnsi" w:eastAsiaTheme="minorEastAsia" w:hAnsiTheme="minorHAnsi" w:cstheme="minorBidi"/>
          <w:sz w:val="22"/>
          <w:szCs w:val="22"/>
        </w:rPr>
      </w:pPr>
      <w:r w:rsidRPr="00C9343F">
        <w:t>4.4.30    Member this Division applies to</w:t>
      </w:r>
      <w:r w:rsidRPr="00C9343F">
        <w:tab/>
      </w:r>
      <w:r w:rsidRPr="00C9343F">
        <w:fldChar w:fldCharType="begin"/>
      </w:r>
      <w:r w:rsidRPr="00C9343F">
        <w:instrText xml:space="preserve"> PAGEREF _Toc105053834 \h </w:instrText>
      </w:r>
      <w:r w:rsidRPr="00C9343F">
        <w:fldChar w:fldCharType="separate"/>
      </w:r>
      <w:r w:rsidRPr="00C9343F">
        <w:t>170</w:t>
      </w:r>
      <w:r w:rsidRPr="00C9343F">
        <w:fldChar w:fldCharType="end"/>
      </w:r>
    </w:p>
    <w:p w14:paraId="275B6C16" w14:textId="1E9C160C" w:rsidR="00271952" w:rsidRPr="00C9343F" w:rsidRDefault="00271952">
      <w:pPr>
        <w:pStyle w:val="TOC5"/>
        <w:rPr>
          <w:rFonts w:asciiTheme="minorHAnsi" w:eastAsiaTheme="minorEastAsia" w:hAnsiTheme="minorHAnsi" w:cstheme="minorBidi"/>
          <w:sz w:val="22"/>
          <w:szCs w:val="22"/>
        </w:rPr>
      </w:pPr>
      <w:r w:rsidRPr="00C9343F">
        <w:t>4.4.31    Rate of allowance</w:t>
      </w:r>
      <w:r w:rsidRPr="00C9343F">
        <w:tab/>
      </w:r>
      <w:r w:rsidRPr="00C9343F">
        <w:fldChar w:fldCharType="begin"/>
      </w:r>
      <w:r w:rsidRPr="00C9343F">
        <w:instrText xml:space="preserve"> PAGEREF _Toc105053835 \h </w:instrText>
      </w:r>
      <w:r w:rsidRPr="00C9343F">
        <w:fldChar w:fldCharType="separate"/>
      </w:r>
      <w:r w:rsidRPr="00C9343F">
        <w:t>170</w:t>
      </w:r>
      <w:r w:rsidRPr="00C9343F">
        <w:fldChar w:fldCharType="end"/>
      </w:r>
    </w:p>
    <w:p w14:paraId="794E5517" w14:textId="0E6D4359" w:rsidR="00271952" w:rsidRPr="00C9343F" w:rsidRDefault="00271952">
      <w:pPr>
        <w:pStyle w:val="TOC5"/>
        <w:rPr>
          <w:rFonts w:asciiTheme="minorHAnsi" w:eastAsiaTheme="minorEastAsia" w:hAnsiTheme="minorHAnsi" w:cstheme="minorBidi"/>
          <w:sz w:val="22"/>
          <w:szCs w:val="22"/>
        </w:rPr>
      </w:pPr>
      <w:r w:rsidRPr="00C9343F">
        <w:t>4.4.32    Period of eligibility</w:t>
      </w:r>
      <w:r w:rsidRPr="00C9343F">
        <w:tab/>
      </w:r>
      <w:r w:rsidRPr="00C9343F">
        <w:fldChar w:fldCharType="begin"/>
      </w:r>
      <w:r w:rsidRPr="00C9343F">
        <w:instrText xml:space="preserve"> PAGEREF _Toc105053836 \h </w:instrText>
      </w:r>
      <w:r w:rsidRPr="00C9343F">
        <w:fldChar w:fldCharType="separate"/>
      </w:r>
      <w:r w:rsidRPr="00C9343F">
        <w:t>170</w:t>
      </w:r>
      <w:r w:rsidRPr="00C9343F">
        <w:fldChar w:fldCharType="end"/>
      </w:r>
    </w:p>
    <w:p w14:paraId="4D235009" w14:textId="149A81DA" w:rsidR="00271952" w:rsidRPr="00C9343F" w:rsidRDefault="00271952">
      <w:pPr>
        <w:pStyle w:val="TOC5"/>
        <w:rPr>
          <w:rFonts w:asciiTheme="minorHAnsi" w:eastAsiaTheme="minorEastAsia" w:hAnsiTheme="minorHAnsi" w:cstheme="minorBidi"/>
          <w:sz w:val="22"/>
          <w:szCs w:val="22"/>
        </w:rPr>
      </w:pPr>
      <w:r w:rsidRPr="00C9343F">
        <w:t>4.4.33    Effect of receiving other allowances</w:t>
      </w:r>
      <w:r w:rsidRPr="00C9343F">
        <w:tab/>
      </w:r>
      <w:r w:rsidRPr="00C9343F">
        <w:fldChar w:fldCharType="begin"/>
      </w:r>
      <w:r w:rsidRPr="00C9343F">
        <w:instrText xml:space="preserve"> PAGEREF _Toc105053837 \h </w:instrText>
      </w:r>
      <w:r w:rsidRPr="00C9343F">
        <w:fldChar w:fldCharType="separate"/>
      </w:r>
      <w:r w:rsidRPr="00C9343F">
        <w:t>170</w:t>
      </w:r>
      <w:r w:rsidRPr="00C9343F">
        <w:fldChar w:fldCharType="end"/>
      </w:r>
    </w:p>
    <w:p w14:paraId="5EC24CB3" w14:textId="02567327" w:rsidR="00271952" w:rsidRPr="00C9343F" w:rsidRDefault="00271952">
      <w:pPr>
        <w:pStyle w:val="TOC5"/>
        <w:rPr>
          <w:rFonts w:asciiTheme="minorHAnsi" w:eastAsiaTheme="minorEastAsia" w:hAnsiTheme="minorHAnsi" w:cstheme="minorBidi"/>
          <w:sz w:val="22"/>
          <w:szCs w:val="22"/>
        </w:rPr>
      </w:pPr>
      <w:r w:rsidRPr="00C9343F">
        <w:t>4.4.34    Member on long service leave</w:t>
      </w:r>
      <w:r w:rsidRPr="00C9343F">
        <w:tab/>
      </w:r>
      <w:r w:rsidRPr="00C9343F">
        <w:fldChar w:fldCharType="begin"/>
      </w:r>
      <w:r w:rsidRPr="00C9343F">
        <w:instrText xml:space="preserve"> PAGEREF _Toc105053838 \h </w:instrText>
      </w:r>
      <w:r w:rsidRPr="00C9343F">
        <w:fldChar w:fldCharType="separate"/>
      </w:r>
      <w:r w:rsidRPr="00C9343F">
        <w:t>171</w:t>
      </w:r>
      <w:r w:rsidRPr="00C9343F">
        <w:fldChar w:fldCharType="end"/>
      </w:r>
    </w:p>
    <w:p w14:paraId="5F054A4A" w14:textId="4327FC7A" w:rsidR="00271952" w:rsidRPr="00C9343F" w:rsidRDefault="00271952">
      <w:pPr>
        <w:pStyle w:val="TOC5"/>
        <w:rPr>
          <w:rFonts w:asciiTheme="minorHAnsi" w:eastAsiaTheme="minorEastAsia" w:hAnsiTheme="minorHAnsi" w:cstheme="minorBidi"/>
          <w:sz w:val="22"/>
          <w:szCs w:val="22"/>
        </w:rPr>
      </w:pPr>
      <w:r w:rsidRPr="00C9343F">
        <w:t>4.4.35    Recreation leave after duty in Antarctica</w:t>
      </w:r>
      <w:r w:rsidRPr="00C9343F">
        <w:tab/>
      </w:r>
      <w:r w:rsidRPr="00C9343F">
        <w:fldChar w:fldCharType="begin"/>
      </w:r>
      <w:r w:rsidRPr="00C9343F">
        <w:instrText xml:space="preserve"> PAGEREF _Toc105053839 \h </w:instrText>
      </w:r>
      <w:r w:rsidRPr="00C9343F">
        <w:fldChar w:fldCharType="separate"/>
      </w:r>
      <w:r w:rsidRPr="00C9343F">
        <w:t>171</w:t>
      </w:r>
      <w:r w:rsidRPr="00C9343F">
        <w:fldChar w:fldCharType="end"/>
      </w:r>
    </w:p>
    <w:p w14:paraId="68FFDBDC" w14:textId="42F99A92" w:rsidR="00271952" w:rsidRPr="00C9343F" w:rsidRDefault="00271952">
      <w:pPr>
        <w:pStyle w:val="TOC4"/>
        <w:rPr>
          <w:rFonts w:asciiTheme="minorHAnsi" w:eastAsiaTheme="minorEastAsia" w:hAnsiTheme="minorHAnsi" w:cstheme="minorBidi"/>
          <w:sz w:val="22"/>
          <w:szCs w:val="22"/>
        </w:rPr>
      </w:pPr>
      <w:r w:rsidRPr="00C9343F">
        <w:t>Division 7: Allowances for service in the Antarctic – Common duties allowance</w:t>
      </w:r>
      <w:r w:rsidRPr="00C9343F">
        <w:tab/>
      </w:r>
      <w:r w:rsidRPr="00C9343F">
        <w:fldChar w:fldCharType="begin"/>
      </w:r>
      <w:r w:rsidRPr="00C9343F">
        <w:instrText xml:space="preserve"> PAGEREF _Toc105053840 \h </w:instrText>
      </w:r>
      <w:r w:rsidRPr="00C9343F">
        <w:fldChar w:fldCharType="separate"/>
      </w:r>
      <w:r w:rsidRPr="00C9343F">
        <w:t>172</w:t>
      </w:r>
      <w:r w:rsidRPr="00C9343F">
        <w:fldChar w:fldCharType="end"/>
      </w:r>
    </w:p>
    <w:p w14:paraId="3AA2851A" w14:textId="1197657F" w:rsidR="00271952" w:rsidRPr="00C9343F" w:rsidRDefault="00271952">
      <w:pPr>
        <w:pStyle w:val="TOC5"/>
        <w:rPr>
          <w:rFonts w:asciiTheme="minorHAnsi" w:eastAsiaTheme="minorEastAsia" w:hAnsiTheme="minorHAnsi" w:cstheme="minorBidi"/>
          <w:sz w:val="22"/>
          <w:szCs w:val="22"/>
        </w:rPr>
      </w:pPr>
      <w:r w:rsidRPr="00C9343F">
        <w:t>4.4.36    Eligibility</w:t>
      </w:r>
      <w:r w:rsidRPr="00C9343F">
        <w:tab/>
      </w:r>
      <w:r w:rsidRPr="00C9343F">
        <w:fldChar w:fldCharType="begin"/>
      </w:r>
      <w:r w:rsidRPr="00C9343F">
        <w:instrText xml:space="preserve"> PAGEREF _Toc105053841 \h </w:instrText>
      </w:r>
      <w:r w:rsidRPr="00C9343F">
        <w:fldChar w:fldCharType="separate"/>
      </w:r>
      <w:r w:rsidRPr="00C9343F">
        <w:t>172</w:t>
      </w:r>
      <w:r w:rsidRPr="00C9343F">
        <w:fldChar w:fldCharType="end"/>
      </w:r>
    </w:p>
    <w:p w14:paraId="07D90BCB" w14:textId="7C2EA273" w:rsidR="00271952" w:rsidRPr="00C9343F" w:rsidRDefault="00271952">
      <w:pPr>
        <w:pStyle w:val="TOC4"/>
        <w:rPr>
          <w:rFonts w:asciiTheme="minorHAnsi" w:eastAsiaTheme="minorEastAsia" w:hAnsiTheme="minorHAnsi" w:cstheme="minorBidi"/>
          <w:sz w:val="22"/>
          <w:szCs w:val="22"/>
        </w:rPr>
      </w:pPr>
      <w:r w:rsidRPr="00C9343F">
        <w:t>Division 8: Allowances for service in the Antarctic – Antarctic parity allowance</w:t>
      </w:r>
      <w:r w:rsidRPr="00C9343F">
        <w:tab/>
      </w:r>
      <w:r w:rsidRPr="00C9343F">
        <w:fldChar w:fldCharType="begin"/>
      </w:r>
      <w:r w:rsidRPr="00C9343F">
        <w:instrText xml:space="preserve"> PAGEREF _Toc105053842 \h </w:instrText>
      </w:r>
      <w:r w:rsidRPr="00C9343F">
        <w:fldChar w:fldCharType="separate"/>
      </w:r>
      <w:r w:rsidRPr="00C9343F">
        <w:t>173</w:t>
      </w:r>
      <w:r w:rsidRPr="00C9343F">
        <w:fldChar w:fldCharType="end"/>
      </w:r>
    </w:p>
    <w:p w14:paraId="2CA619F4" w14:textId="5A2AF2E6" w:rsidR="00271952" w:rsidRPr="00C9343F" w:rsidRDefault="00271952">
      <w:pPr>
        <w:pStyle w:val="TOC5"/>
        <w:rPr>
          <w:rFonts w:asciiTheme="minorHAnsi" w:eastAsiaTheme="minorEastAsia" w:hAnsiTheme="minorHAnsi" w:cstheme="minorBidi"/>
          <w:sz w:val="22"/>
          <w:szCs w:val="22"/>
        </w:rPr>
      </w:pPr>
      <w:r w:rsidRPr="00C9343F">
        <w:t>4.4.37    Purpose</w:t>
      </w:r>
      <w:r w:rsidRPr="00C9343F">
        <w:tab/>
      </w:r>
      <w:r w:rsidRPr="00C9343F">
        <w:fldChar w:fldCharType="begin"/>
      </w:r>
      <w:r w:rsidRPr="00C9343F">
        <w:instrText xml:space="preserve"> PAGEREF _Toc105053843 \h </w:instrText>
      </w:r>
      <w:r w:rsidRPr="00C9343F">
        <w:fldChar w:fldCharType="separate"/>
      </w:r>
      <w:r w:rsidRPr="00C9343F">
        <w:t>173</w:t>
      </w:r>
      <w:r w:rsidRPr="00C9343F">
        <w:fldChar w:fldCharType="end"/>
      </w:r>
    </w:p>
    <w:p w14:paraId="7B3E69BF" w14:textId="376493E7" w:rsidR="00271952" w:rsidRPr="00C9343F" w:rsidRDefault="00271952">
      <w:pPr>
        <w:pStyle w:val="TOC5"/>
        <w:rPr>
          <w:rFonts w:asciiTheme="minorHAnsi" w:eastAsiaTheme="minorEastAsia" w:hAnsiTheme="minorHAnsi" w:cstheme="minorBidi"/>
          <w:sz w:val="22"/>
          <w:szCs w:val="22"/>
        </w:rPr>
      </w:pPr>
      <w:r w:rsidRPr="00C9343F">
        <w:t>4.4.38    Definitions</w:t>
      </w:r>
      <w:r w:rsidRPr="00C9343F">
        <w:tab/>
      </w:r>
      <w:r w:rsidRPr="00C9343F">
        <w:fldChar w:fldCharType="begin"/>
      </w:r>
      <w:r w:rsidRPr="00C9343F">
        <w:instrText xml:space="preserve"> PAGEREF _Toc105053844 \h </w:instrText>
      </w:r>
      <w:r w:rsidRPr="00C9343F">
        <w:fldChar w:fldCharType="separate"/>
      </w:r>
      <w:r w:rsidRPr="00C9343F">
        <w:t>173</w:t>
      </w:r>
      <w:r w:rsidRPr="00C9343F">
        <w:fldChar w:fldCharType="end"/>
      </w:r>
    </w:p>
    <w:p w14:paraId="246BC8DD" w14:textId="751622BC" w:rsidR="00271952" w:rsidRPr="00C9343F" w:rsidRDefault="00271952">
      <w:pPr>
        <w:pStyle w:val="TOC5"/>
        <w:rPr>
          <w:rFonts w:asciiTheme="minorHAnsi" w:eastAsiaTheme="minorEastAsia" w:hAnsiTheme="minorHAnsi" w:cstheme="minorBidi"/>
          <w:sz w:val="22"/>
          <w:szCs w:val="22"/>
        </w:rPr>
      </w:pPr>
      <w:r w:rsidRPr="00C9343F">
        <w:t>4.4.39    Member this Division applies to</w:t>
      </w:r>
      <w:r w:rsidRPr="00C9343F">
        <w:tab/>
      </w:r>
      <w:r w:rsidRPr="00C9343F">
        <w:fldChar w:fldCharType="begin"/>
      </w:r>
      <w:r w:rsidRPr="00C9343F">
        <w:instrText xml:space="preserve"> PAGEREF _Toc105053845 \h </w:instrText>
      </w:r>
      <w:r w:rsidRPr="00C9343F">
        <w:fldChar w:fldCharType="separate"/>
      </w:r>
      <w:r w:rsidRPr="00C9343F">
        <w:t>173</w:t>
      </w:r>
      <w:r w:rsidRPr="00C9343F">
        <w:fldChar w:fldCharType="end"/>
      </w:r>
    </w:p>
    <w:p w14:paraId="56057F28" w14:textId="07D17E03" w:rsidR="00271952" w:rsidRPr="00C9343F" w:rsidRDefault="00271952">
      <w:pPr>
        <w:pStyle w:val="TOC5"/>
        <w:rPr>
          <w:rFonts w:asciiTheme="minorHAnsi" w:eastAsiaTheme="minorEastAsia" w:hAnsiTheme="minorHAnsi" w:cstheme="minorBidi"/>
          <w:sz w:val="22"/>
          <w:szCs w:val="22"/>
        </w:rPr>
      </w:pPr>
      <w:r w:rsidRPr="00C9343F">
        <w:t>4.4.40    Eligibility</w:t>
      </w:r>
      <w:r w:rsidRPr="00C9343F">
        <w:tab/>
      </w:r>
      <w:r w:rsidRPr="00C9343F">
        <w:fldChar w:fldCharType="begin"/>
      </w:r>
      <w:r w:rsidRPr="00C9343F">
        <w:instrText xml:space="preserve"> PAGEREF _Toc105053846 \h </w:instrText>
      </w:r>
      <w:r w:rsidRPr="00C9343F">
        <w:fldChar w:fldCharType="separate"/>
      </w:r>
      <w:r w:rsidRPr="00C9343F">
        <w:t>173</w:t>
      </w:r>
      <w:r w:rsidRPr="00C9343F">
        <w:fldChar w:fldCharType="end"/>
      </w:r>
    </w:p>
    <w:p w14:paraId="2BEBF634" w14:textId="01A9C3F5" w:rsidR="00271952" w:rsidRPr="00C9343F" w:rsidRDefault="00271952">
      <w:pPr>
        <w:pStyle w:val="TOC5"/>
        <w:rPr>
          <w:rFonts w:asciiTheme="minorHAnsi" w:eastAsiaTheme="minorEastAsia" w:hAnsiTheme="minorHAnsi" w:cstheme="minorBidi"/>
          <w:sz w:val="22"/>
          <w:szCs w:val="22"/>
        </w:rPr>
      </w:pPr>
      <w:r w:rsidRPr="00C9343F">
        <w:t>4.4.41    Period of eligibility</w:t>
      </w:r>
      <w:r w:rsidRPr="00C9343F">
        <w:tab/>
      </w:r>
      <w:r w:rsidRPr="00C9343F">
        <w:fldChar w:fldCharType="begin"/>
      </w:r>
      <w:r w:rsidRPr="00C9343F">
        <w:instrText xml:space="preserve"> PAGEREF _Toc105053847 \h </w:instrText>
      </w:r>
      <w:r w:rsidRPr="00C9343F">
        <w:fldChar w:fldCharType="separate"/>
      </w:r>
      <w:r w:rsidRPr="00C9343F">
        <w:t>173</w:t>
      </w:r>
      <w:r w:rsidRPr="00C9343F">
        <w:fldChar w:fldCharType="end"/>
      </w:r>
    </w:p>
    <w:p w14:paraId="1650E61C" w14:textId="6979990A" w:rsidR="00271952" w:rsidRPr="00C9343F" w:rsidRDefault="00271952">
      <w:pPr>
        <w:pStyle w:val="TOC4"/>
        <w:rPr>
          <w:rFonts w:asciiTheme="minorHAnsi" w:eastAsiaTheme="minorEastAsia" w:hAnsiTheme="minorHAnsi" w:cstheme="minorBidi"/>
          <w:sz w:val="22"/>
          <w:szCs w:val="22"/>
        </w:rPr>
      </w:pPr>
      <w:r w:rsidRPr="00C9343F">
        <w:t>Annex 4.4.A: Remote locations for ADF district allowance</w:t>
      </w:r>
      <w:r w:rsidRPr="00C9343F">
        <w:tab/>
      </w:r>
      <w:r w:rsidRPr="00C9343F">
        <w:fldChar w:fldCharType="begin"/>
      </w:r>
      <w:r w:rsidRPr="00C9343F">
        <w:instrText xml:space="preserve"> PAGEREF _Toc105053848 \h </w:instrText>
      </w:r>
      <w:r w:rsidRPr="00C9343F">
        <w:fldChar w:fldCharType="separate"/>
      </w:r>
      <w:r w:rsidRPr="00C9343F">
        <w:t>174</w:t>
      </w:r>
      <w:r w:rsidRPr="00C9343F">
        <w:fldChar w:fldCharType="end"/>
      </w:r>
    </w:p>
    <w:p w14:paraId="38988302" w14:textId="07D77C19" w:rsidR="00271952" w:rsidRPr="00C9343F" w:rsidRDefault="00271952">
      <w:pPr>
        <w:pStyle w:val="TOC3"/>
        <w:rPr>
          <w:rFonts w:asciiTheme="minorHAnsi" w:eastAsiaTheme="minorEastAsia" w:hAnsiTheme="minorHAnsi" w:cstheme="minorBidi"/>
          <w:b w:val="0"/>
          <w:sz w:val="22"/>
          <w:szCs w:val="22"/>
        </w:rPr>
      </w:pPr>
      <w:r w:rsidRPr="00C9343F">
        <w:t>Part 5: Meal allowance</w:t>
      </w:r>
      <w:r w:rsidRPr="00C9343F">
        <w:tab/>
      </w:r>
      <w:r w:rsidRPr="00C9343F">
        <w:fldChar w:fldCharType="begin"/>
      </w:r>
      <w:r w:rsidRPr="00C9343F">
        <w:instrText xml:space="preserve"> PAGEREF _Toc105053849 \h </w:instrText>
      </w:r>
      <w:r w:rsidRPr="00C9343F">
        <w:fldChar w:fldCharType="separate"/>
      </w:r>
      <w:r w:rsidRPr="00C9343F">
        <w:t>176</w:t>
      </w:r>
      <w:r w:rsidRPr="00C9343F">
        <w:fldChar w:fldCharType="end"/>
      </w:r>
    </w:p>
    <w:p w14:paraId="4DE6BE77" w14:textId="61525A26" w:rsidR="00271952" w:rsidRPr="00C9343F" w:rsidRDefault="00271952">
      <w:pPr>
        <w:pStyle w:val="TOC5"/>
        <w:rPr>
          <w:rFonts w:asciiTheme="minorHAnsi" w:eastAsiaTheme="minorEastAsia" w:hAnsiTheme="minorHAnsi" w:cstheme="minorBidi"/>
          <w:sz w:val="22"/>
          <w:szCs w:val="22"/>
        </w:rPr>
      </w:pPr>
      <w:r w:rsidRPr="00C9343F">
        <w:t>4.5.2    Purpose</w:t>
      </w:r>
      <w:r w:rsidRPr="00C9343F">
        <w:tab/>
      </w:r>
      <w:r w:rsidRPr="00C9343F">
        <w:fldChar w:fldCharType="begin"/>
      </w:r>
      <w:r w:rsidRPr="00C9343F">
        <w:instrText xml:space="preserve"> PAGEREF _Toc105053850 \h </w:instrText>
      </w:r>
      <w:r w:rsidRPr="00C9343F">
        <w:fldChar w:fldCharType="separate"/>
      </w:r>
      <w:r w:rsidRPr="00C9343F">
        <w:t>176</w:t>
      </w:r>
      <w:r w:rsidRPr="00C9343F">
        <w:fldChar w:fldCharType="end"/>
      </w:r>
    </w:p>
    <w:p w14:paraId="2825B3CC" w14:textId="53976AD1" w:rsidR="00271952" w:rsidRPr="00C9343F" w:rsidRDefault="00271952">
      <w:pPr>
        <w:pStyle w:val="TOC5"/>
        <w:rPr>
          <w:rFonts w:asciiTheme="minorHAnsi" w:eastAsiaTheme="minorEastAsia" w:hAnsiTheme="minorHAnsi" w:cstheme="minorBidi"/>
          <w:sz w:val="22"/>
          <w:szCs w:val="22"/>
        </w:rPr>
      </w:pPr>
      <w:r w:rsidRPr="00C9343F">
        <w:t>4.5.2A    Definitions</w:t>
      </w:r>
      <w:r w:rsidRPr="00C9343F">
        <w:tab/>
      </w:r>
      <w:r w:rsidRPr="00C9343F">
        <w:fldChar w:fldCharType="begin"/>
      </w:r>
      <w:r w:rsidRPr="00C9343F">
        <w:instrText xml:space="preserve"> PAGEREF _Toc105053851 \h </w:instrText>
      </w:r>
      <w:r w:rsidRPr="00C9343F">
        <w:fldChar w:fldCharType="separate"/>
      </w:r>
      <w:r w:rsidRPr="00C9343F">
        <w:t>176</w:t>
      </w:r>
      <w:r w:rsidRPr="00C9343F">
        <w:fldChar w:fldCharType="end"/>
      </w:r>
    </w:p>
    <w:p w14:paraId="496F6769" w14:textId="5C93D2AB" w:rsidR="00271952" w:rsidRPr="00C9343F" w:rsidRDefault="00271952">
      <w:pPr>
        <w:pStyle w:val="TOC5"/>
        <w:rPr>
          <w:rFonts w:asciiTheme="minorHAnsi" w:eastAsiaTheme="minorEastAsia" w:hAnsiTheme="minorHAnsi" w:cstheme="minorBidi"/>
          <w:sz w:val="22"/>
          <w:szCs w:val="22"/>
        </w:rPr>
      </w:pPr>
      <w:r w:rsidRPr="00C9343F">
        <w:t>4.5.3    Member this Part applies to</w:t>
      </w:r>
      <w:r w:rsidRPr="00C9343F">
        <w:tab/>
      </w:r>
      <w:r w:rsidRPr="00C9343F">
        <w:fldChar w:fldCharType="begin"/>
      </w:r>
      <w:r w:rsidRPr="00C9343F">
        <w:instrText xml:space="preserve"> PAGEREF _Toc105053852 \h </w:instrText>
      </w:r>
      <w:r w:rsidRPr="00C9343F">
        <w:fldChar w:fldCharType="separate"/>
      </w:r>
      <w:r w:rsidRPr="00C9343F">
        <w:t>176</w:t>
      </w:r>
      <w:r w:rsidRPr="00C9343F">
        <w:fldChar w:fldCharType="end"/>
      </w:r>
    </w:p>
    <w:p w14:paraId="51DEF9DD" w14:textId="0E846087" w:rsidR="00271952" w:rsidRPr="00C9343F" w:rsidRDefault="00271952">
      <w:pPr>
        <w:pStyle w:val="TOC5"/>
        <w:rPr>
          <w:rFonts w:asciiTheme="minorHAnsi" w:eastAsiaTheme="minorEastAsia" w:hAnsiTheme="minorHAnsi" w:cstheme="minorBidi"/>
          <w:sz w:val="22"/>
          <w:szCs w:val="22"/>
        </w:rPr>
      </w:pPr>
      <w:r w:rsidRPr="00C9343F">
        <w:lastRenderedPageBreak/>
        <w:t>4.5.4    Meal allowance not paid</w:t>
      </w:r>
      <w:r w:rsidRPr="00C9343F">
        <w:tab/>
      </w:r>
      <w:r w:rsidRPr="00C9343F">
        <w:fldChar w:fldCharType="begin"/>
      </w:r>
      <w:r w:rsidRPr="00C9343F">
        <w:instrText xml:space="preserve"> PAGEREF _Toc105053853 \h </w:instrText>
      </w:r>
      <w:r w:rsidRPr="00C9343F">
        <w:fldChar w:fldCharType="separate"/>
      </w:r>
      <w:r w:rsidRPr="00C9343F">
        <w:t>176</w:t>
      </w:r>
      <w:r w:rsidRPr="00C9343F">
        <w:fldChar w:fldCharType="end"/>
      </w:r>
    </w:p>
    <w:p w14:paraId="72248180" w14:textId="766366AA" w:rsidR="00271952" w:rsidRPr="00C9343F" w:rsidRDefault="00271952">
      <w:pPr>
        <w:pStyle w:val="TOC5"/>
        <w:rPr>
          <w:rFonts w:asciiTheme="minorHAnsi" w:eastAsiaTheme="minorEastAsia" w:hAnsiTheme="minorHAnsi" w:cstheme="minorBidi"/>
          <w:sz w:val="22"/>
          <w:szCs w:val="22"/>
        </w:rPr>
      </w:pPr>
      <w:r w:rsidRPr="00C9343F">
        <w:t>4.5.6    Member who lives in</w:t>
      </w:r>
      <w:r w:rsidRPr="00C9343F">
        <w:tab/>
      </w:r>
      <w:r w:rsidRPr="00C9343F">
        <w:fldChar w:fldCharType="begin"/>
      </w:r>
      <w:r w:rsidRPr="00C9343F">
        <w:instrText xml:space="preserve"> PAGEREF _Toc105053854 \h </w:instrText>
      </w:r>
      <w:r w:rsidRPr="00C9343F">
        <w:fldChar w:fldCharType="separate"/>
      </w:r>
      <w:r w:rsidRPr="00C9343F">
        <w:t>176</w:t>
      </w:r>
      <w:r w:rsidRPr="00C9343F">
        <w:fldChar w:fldCharType="end"/>
      </w:r>
    </w:p>
    <w:p w14:paraId="7D89131E" w14:textId="6339E9DA" w:rsidR="00271952" w:rsidRPr="00C9343F" w:rsidRDefault="00271952">
      <w:pPr>
        <w:pStyle w:val="TOC5"/>
        <w:rPr>
          <w:rFonts w:asciiTheme="minorHAnsi" w:eastAsiaTheme="minorEastAsia" w:hAnsiTheme="minorHAnsi" w:cstheme="minorBidi"/>
          <w:sz w:val="22"/>
          <w:szCs w:val="22"/>
        </w:rPr>
      </w:pPr>
      <w:r w:rsidRPr="00C9343F">
        <w:t>4.5.7    Member who lives out</w:t>
      </w:r>
      <w:r w:rsidRPr="00C9343F">
        <w:tab/>
      </w:r>
      <w:r w:rsidRPr="00C9343F">
        <w:fldChar w:fldCharType="begin"/>
      </w:r>
      <w:r w:rsidRPr="00C9343F">
        <w:instrText xml:space="preserve"> PAGEREF _Toc105053855 \h </w:instrText>
      </w:r>
      <w:r w:rsidRPr="00C9343F">
        <w:fldChar w:fldCharType="separate"/>
      </w:r>
      <w:r w:rsidRPr="00C9343F">
        <w:t>177</w:t>
      </w:r>
      <w:r w:rsidRPr="00C9343F">
        <w:fldChar w:fldCharType="end"/>
      </w:r>
    </w:p>
    <w:p w14:paraId="0EAF5D6A" w14:textId="20EA1009" w:rsidR="00271952" w:rsidRPr="00C9343F" w:rsidRDefault="00271952">
      <w:pPr>
        <w:pStyle w:val="TOC5"/>
        <w:rPr>
          <w:rFonts w:asciiTheme="minorHAnsi" w:eastAsiaTheme="minorEastAsia" w:hAnsiTheme="minorHAnsi" w:cstheme="minorBidi"/>
          <w:sz w:val="22"/>
          <w:szCs w:val="22"/>
        </w:rPr>
      </w:pPr>
      <w:r w:rsidRPr="00C9343F">
        <w:t>4.5.9    Rates of allowance</w:t>
      </w:r>
      <w:r w:rsidRPr="00C9343F">
        <w:tab/>
      </w:r>
      <w:r w:rsidRPr="00C9343F">
        <w:fldChar w:fldCharType="begin"/>
      </w:r>
      <w:r w:rsidRPr="00C9343F">
        <w:instrText xml:space="preserve"> PAGEREF _Toc105053856 \h </w:instrText>
      </w:r>
      <w:r w:rsidRPr="00C9343F">
        <w:fldChar w:fldCharType="separate"/>
      </w:r>
      <w:r w:rsidRPr="00C9343F">
        <w:t>177</w:t>
      </w:r>
      <w:r w:rsidRPr="00C9343F">
        <w:fldChar w:fldCharType="end"/>
      </w:r>
    </w:p>
    <w:p w14:paraId="789F5431" w14:textId="2049DE46" w:rsidR="00271952" w:rsidRPr="00C9343F" w:rsidRDefault="00271952">
      <w:pPr>
        <w:pStyle w:val="TOC3"/>
        <w:rPr>
          <w:rFonts w:asciiTheme="minorHAnsi" w:eastAsiaTheme="minorEastAsia" w:hAnsiTheme="minorHAnsi" w:cstheme="minorBidi"/>
          <w:b w:val="0"/>
          <w:sz w:val="22"/>
          <w:szCs w:val="22"/>
        </w:rPr>
      </w:pPr>
      <w:r w:rsidRPr="00C9343F">
        <w:t>Part 6: Additional benefits for star rank officers</w:t>
      </w:r>
      <w:r w:rsidRPr="00C9343F">
        <w:tab/>
      </w:r>
      <w:r w:rsidRPr="00C9343F">
        <w:fldChar w:fldCharType="begin"/>
      </w:r>
      <w:r w:rsidRPr="00C9343F">
        <w:instrText xml:space="preserve"> PAGEREF _Toc105053857 \h </w:instrText>
      </w:r>
      <w:r w:rsidRPr="00C9343F">
        <w:fldChar w:fldCharType="separate"/>
      </w:r>
      <w:r w:rsidRPr="00C9343F">
        <w:t>178</w:t>
      </w:r>
      <w:r w:rsidRPr="00C9343F">
        <w:fldChar w:fldCharType="end"/>
      </w:r>
    </w:p>
    <w:p w14:paraId="136DCDD8" w14:textId="6A09D21B" w:rsidR="00271952" w:rsidRPr="00C9343F" w:rsidRDefault="00271952">
      <w:pPr>
        <w:pStyle w:val="TOC5"/>
        <w:rPr>
          <w:rFonts w:asciiTheme="minorHAnsi" w:eastAsiaTheme="minorEastAsia" w:hAnsiTheme="minorHAnsi" w:cstheme="minorBidi"/>
          <w:sz w:val="22"/>
          <w:szCs w:val="22"/>
        </w:rPr>
      </w:pPr>
      <w:r w:rsidRPr="00C9343F">
        <w:t>4.6.1    Purpose</w:t>
      </w:r>
      <w:r w:rsidRPr="00C9343F">
        <w:tab/>
      </w:r>
      <w:r w:rsidRPr="00C9343F">
        <w:fldChar w:fldCharType="begin"/>
      </w:r>
      <w:r w:rsidRPr="00C9343F">
        <w:instrText xml:space="preserve"> PAGEREF _Toc105053858 \h </w:instrText>
      </w:r>
      <w:r w:rsidRPr="00C9343F">
        <w:fldChar w:fldCharType="separate"/>
      </w:r>
      <w:r w:rsidRPr="00C9343F">
        <w:t>178</w:t>
      </w:r>
      <w:r w:rsidRPr="00C9343F">
        <w:fldChar w:fldCharType="end"/>
      </w:r>
    </w:p>
    <w:p w14:paraId="767E9CA0" w14:textId="3D80BE5F" w:rsidR="00271952" w:rsidRPr="00C9343F" w:rsidRDefault="00271952">
      <w:pPr>
        <w:pStyle w:val="TOC5"/>
        <w:rPr>
          <w:rFonts w:asciiTheme="minorHAnsi" w:eastAsiaTheme="minorEastAsia" w:hAnsiTheme="minorHAnsi" w:cstheme="minorBidi"/>
          <w:sz w:val="22"/>
          <w:szCs w:val="22"/>
        </w:rPr>
      </w:pPr>
      <w:r w:rsidRPr="00C9343F">
        <w:t>4.6.2    Member this Part applies to</w:t>
      </w:r>
      <w:r w:rsidRPr="00C9343F">
        <w:tab/>
      </w:r>
      <w:r w:rsidRPr="00C9343F">
        <w:fldChar w:fldCharType="begin"/>
      </w:r>
      <w:r w:rsidRPr="00C9343F">
        <w:instrText xml:space="preserve"> PAGEREF _Toc105053859 \h </w:instrText>
      </w:r>
      <w:r w:rsidRPr="00C9343F">
        <w:fldChar w:fldCharType="separate"/>
      </w:r>
      <w:r w:rsidRPr="00C9343F">
        <w:t>178</w:t>
      </w:r>
      <w:r w:rsidRPr="00C9343F">
        <w:fldChar w:fldCharType="end"/>
      </w:r>
    </w:p>
    <w:p w14:paraId="724B9910" w14:textId="75037F43" w:rsidR="00271952" w:rsidRPr="00C9343F" w:rsidRDefault="00271952">
      <w:pPr>
        <w:pStyle w:val="TOC5"/>
        <w:rPr>
          <w:rFonts w:asciiTheme="minorHAnsi" w:eastAsiaTheme="minorEastAsia" w:hAnsiTheme="minorHAnsi" w:cstheme="minorBidi"/>
          <w:sz w:val="22"/>
          <w:szCs w:val="22"/>
        </w:rPr>
      </w:pPr>
      <w:r w:rsidRPr="00C9343F">
        <w:t>4.6.4    Membership of airline club</w:t>
      </w:r>
      <w:r w:rsidRPr="00C9343F">
        <w:tab/>
      </w:r>
      <w:r w:rsidRPr="00C9343F">
        <w:fldChar w:fldCharType="begin"/>
      </w:r>
      <w:r w:rsidRPr="00C9343F">
        <w:instrText xml:space="preserve"> PAGEREF _Toc105053860 \h </w:instrText>
      </w:r>
      <w:r w:rsidRPr="00C9343F">
        <w:fldChar w:fldCharType="separate"/>
      </w:r>
      <w:r w:rsidRPr="00C9343F">
        <w:t>178</w:t>
      </w:r>
      <w:r w:rsidRPr="00C9343F">
        <w:fldChar w:fldCharType="end"/>
      </w:r>
    </w:p>
    <w:p w14:paraId="593BED3A" w14:textId="584C757F" w:rsidR="00271952" w:rsidRPr="00C9343F" w:rsidRDefault="00271952">
      <w:pPr>
        <w:pStyle w:val="TOC5"/>
        <w:rPr>
          <w:rFonts w:asciiTheme="minorHAnsi" w:eastAsiaTheme="minorEastAsia" w:hAnsiTheme="minorHAnsi" w:cstheme="minorBidi"/>
          <w:sz w:val="22"/>
          <w:szCs w:val="22"/>
        </w:rPr>
      </w:pPr>
      <w:r w:rsidRPr="00C9343F">
        <w:t>4.6.5    Mobile telephones and hand held devices</w:t>
      </w:r>
      <w:r w:rsidRPr="00C9343F">
        <w:tab/>
      </w:r>
      <w:r w:rsidRPr="00C9343F">
        <w:fldChar w:fldCharType="begin"/>
      </w:r>
      <w:r w:rsidRPr="00C9343F">
        <w:instrText xml:space="preserve"> PAGEREF _Toc105053861 \h </w:instrText>
      </w:r>
      <w:r w:rsidRPr="00C9343F">
        <w:fldChar w:fldCharType="separate"/>
      </w:r>
      <w:r w:rsidRPr="00C9343F">
        <w:t>178</w:t>
      </w:r>
      <w:r w:rsidRPr="00C9343F">
        <w:fldChar w:fldCharType="end"/>
      </w:r>
    </w:p>
    <w:p w14:paraId="6B08B1FE" w14:textId="02C89645" w:rsidR="00271952" w:rsidRPr="00C9343F" w:rsidRDefault="00271952">
      <w:pPr>
        <w:pStyle w:val="TOC5"/>
        <w:rPr>
          <w:rFonts w:asciiTheme="minorHAnsi" w:eastAsiaTheme="minorEastAsia" w:hAnsiTheme="minorHAnsi" w:cstheme="minorBidi"/>
          <w:sz w:val="22"/>
          <w:szCs w:val="22"/>
        </w:rPr>
      </w:pPr>
      <w:r w:rsidRPr="00C9343F">
        <w:t>4.6.6    Executive vehicle allowance</w:t>
      </w:r>
      <w:r w:rsidRPr="00C9343F">
        <w:tab/>
      </w:r>
      <w:r w:rsidRPr="00C9343F">
        <w:fldChar w:fldCharType="begin"/>
      </w:r>
      <w:r w:rsidRPr="00C9343F">
        <w:instrText xml:space="preserve"> PAGEREF _Toc105053862 \h </w:instrText>
      </w:r>
      <w:r w:rsidRPr="00C9343F">
        <w:fldChar w:fldCharType="separate"/>
      </w:r>
      <w:r w:rsidRPr="00C9343F">
        <w:t>178</w:t>
      </w:r>
      <w:r w:rsidRPr="00C9343F">
        <w:fldChar w:fldCharType="end"/>
      </w:r>
    </w:p>
    <w:p w14:paraId="47A15B01" w14:textId="0F8B9071" w:rsidR="00271952" w:rsidRPr="00C9343F" w:rsidRDefault="00271952">
      <w:pPr>
        <w:pStyle w:val="TOC5"/>
        <w:rPr>
          <w:rFonts w:asciiTheme="minorHAnsi" w:eastAsiaTheme="minorEastAsia" w:hAnsiTheme="minorHAnsi" w:cstheme="minorBidi"/>
          <w:sz w:val="22"/>
          <w:szCs w:val="22"/>
        </w:rPr>
      </w:pPr>
      <w:r w:rsidRPr="00C9343F">
        <w:t>4.6.7    Parking space or permit</w:t>
      </w:r>
      <w:r w:rsidRPr="00C9343F">
        <w:tab/>
      </w:r>
      <w:r w:rsidRPr="00C9343F">
        <w:fldChar w:fldCharType="begin"/>
      </w:r>
      <w:r w:rsidRPr="00C9343F">
        <w:instrText xml:space="preserve"> PAGEREF _Toc105053863 \h </w:instrText>
      </w:r>
      <w:r w:rsidRPr="00C9343F">
        <w:fldChar w:fldCharType="separate"/>
      </w:r>
      <w:r w:rsidRPr="00C9343F">
        <w:t>179</w:t>
      </w:r>
      <w:r w:rsidRPr="00C9343F">
        <w:fldChar w:fldCharType="end"/>
      </w:r>
    </w:p>
    <w:p w14:paraId="142D076A" w14:textId="6142F43D" w:rsidR="00271952" w:rsidRPr="00C9343F" w:rsidRDefault="00271952">
      <w:pPr>
        <w:pStyle w:val="TOC3"/>
        <w:rPr>
          <w:rFonts w:asciiTheme="minorHAnsi" w:eastAsiaTheme="minorEastAsia" w:hAnsiTheme="minorHAnsi" w:cstheme="minorBidi"/>
          <w:b w:val="0"/>
          <w:sz w:val="22"/>
          <w:szCs w:val="22"/>
        </w:rPr>
      </w:pPr>
      <w:r w:rsidRPr="00C9343F">
        <w:t>Part 7: Victoria Cross for Australia representational duties</w:t>
      </w:r>
      <w:r w:rsidRPr="00C9343F">
        <w:tab/>
      </w:r>
      <w:r w:rsidRPr="00C9343F">
        <w:fldChar w:fldCharType="begin"/>
      </w:r>
      <w:r w:rsidRPr="00C9343F">
        <w:instrText xml:space="preserve"> PAGEREF _Toc105053864 \h </w:instrText>
      </w:r>
      <w:r w:rsidRPr="00C9343F">
        <w:fldChar w:fldCharType="separate"/>
      </w:r>
      <w:r w:rsidRPr="00C9343F">
        <w:t>180</w:t>
      </w:r>
      <w:r w:rsidRPr="00C9343F">
        <w:fldChar w:fldCharType="end"/>
      </w:r>
    </w:p>
    <w:p w14:paraId="1E821D04" w14:textId="46727327" w:rsidR="00271952" w:rsidRPr="00C9343F" w:rsidRDefault="00271952">
      <w:pPr>
        <w:pStyle w:val="TOC5"/>
        <w:rPr>
          <w:rFonts w:asciiTheme="minorHAnsi" w:eastAsiaTheme="minorEastAsia" w:hAnsiTheme="minorHAnsi" w:cstheme="minorBidi"/>
          <w:sz w:val="22"/>
          <w:szCs w:val="22"/>
        </w:rPr>
      </w:pPr>
      <w:r w:rsidRPr="00C9343F">
        <w:t>4.7.1    Purpose</w:t>
      </w:r>
      <w:r w:rsidRPr="00C9343F">
        <w:tab/>
      </w:r>
      <w:r w:rsidRPr="00C9343F">
        <w:fldChar w:fldCharType="begin"/>
      </w:r>
      <w:r w:rsidRPr="00C9343F">
        <w:instrText xml:space="preserve"> PAGEREF _Toc105053865 \h </w:instrText>
      </w:r>
      <w:r w:rsidRPr="00C9343F">
        <w:fldChar w:fldCharType="separate"/>
      </w:r>
      <w:r w:rsidRPr="00C9343F">
        <w:t>180</w:t>
      </w:r>
      <w:r w:rsidRPr="00C9343F">
        <w:fldChar w:fldCharType="end"/>
      </w:r>
    </w:p>
    <w:p w14:paraId="009FDC14" w14:textId="76DA19B9" w:rsidR="00271952" w:rsidRPr="00C9343F" w:rsidRDefault="00271952">
      <w:pPr>
        <w:pStyle w:val="TOC5"/>
        <w:rPr>
          <w:rFonts w:asciiTheme="minorHAnsi" w:eastAsiaTheme="minorEastAsia" w:hAnsiTheme="minorHAnsi" w:cstheme="minorBidi"/>
          <w:sz w:val="22"/>
          <w:szCs w:val="22"/>
        </w:rPr>
      </w:pPr>
      <w:r w:rsidRPr="00C9343F">
        <w:t>4.7.2    Persons this Part applies to</w:t>
      </w:r>
      <w:r w:rsidRPr="00C9343F">
        <w:tab/>
      </w:r>
      <w:r w:rsidRPr="00C9343F">
        <w:fldChar w:fldCharType="begin"/>
      </w:r>
      <w:r w:rsidRPr="00C9343F">
        <w:instrText xml:space="preserve"> PAGEREF _Toc105053866 \h </w:instrText>
      </w:r>
      <w:r w:rsidRPr="00C9343F">
        <w:fldChar w:fldCharType="separate"/>
      </w:r>
      <w:r w:rsidRPr="00C9343F">
        <w:t>180</w:t>
      </w:r>
      <w:r w:rsidRPr="00C9343F">
        <w:fldChar w:fldCharType="end"/>
      </w:r>
    </w:p>
    <w:p w14:paraId="0FCA9288" w14:textId="62F8166A" w:rsidR="00271952" w:rsidRPr="00C9343F" w:rsidRDefault="00271952">
      <w:pPr>
        <w:pStyle w:val="TOC5"/>
        <w:rPr>
          <w:rFonts w:asciiTheme="minorHAnsi" w:eastAsiaTheme="minorEastAsia" w:hAnsiTheme="minorHAnsi" w:cstheme="minorBidi"/>
          <w:sz w:val="22"/>
          <w:szCs w:val="22"/>
        </w:rPr>
      </w:pPr>
      <w:r w:rsidRPr="00C9343F">
        <w:t>4.7.3    Nominated family of member posthumously awarded</w:t>
      </w:r>
      <w:r w:rsidRPr="00C9343F">
        <w:tab/>
      </w:r>
      <w:r w:rsidRPr="00C9343F">
        <w:fldChar w:fldCharType="begin"/>
      </w:r>
      <w:r w:rsidRPr="00C9343F">
        <w:instrText xml:space="preserve"> PAGEREF _Toc105053867 \h </w:instrText>
      </w:r>
      <w:r w:rsidRPr="00C9343F">
        <w:fldChar w:fldCharType="separate"/>
      </w:r>
      <w:r w:rsidRPr="00C9343F">
        <w:t>180</w:t>
      </w:r>
      <w:r w:rsidRPr="00C9343F">
        <w:fldChar w:fldCharType="end"/>
      </w:r>
    </w:p>
    <w:p w14:paraId="696425C6" w14:textId="322A8EC3" w:rsidR="00271952" w:rsidRPr="00C9343F" w:rsidRDefault="00271952">
      <w:pPr>
        <w:pStyle w:val="TOC5"/>
        <w:rPr>
          <w:rFonts w:asciiTheme="minorHAnsi" w:eastAsiaTheme="minorEastAsia" w:hAnsiTheme="minorHAnsi" w:cstheme="minorBidi"/>
          <w:sz w:val="22"/>
          <w:szCs w:val="22"/>
        </w:rPr>
      </w:pPr>
      <w:r w:rsidRPr="00C9343F">
        <w:t>4.7.4    Expenses related to representational duties</w:t>
      </w:r>
      <w:r w:rsidRPr="00C9343F">
        <w:tab/>
      </w:r>
      <w:r w:rsidRPr="00C9343F">
        <w:fldChar w:fldCharType="begin"/>
      </w:r>
      <w:r w:rsidRPr="00C9343F">
        <w:instrText xml:space="preserve"> PAGEREF _Toc105053868 \h </w:instrText>
      </w:r>
      <w:r w:rsidRPr="00C9343F">
        <w:fldChar w:fldCharType="separate"/>
      </w:r>
      <w:r w:rsidRPr="00C9343F">
        <w:t>180</w:t>
      </w:r>
      <w:r w:rsidRPr="00C9343F">
        <w:fldChar w:fldCharType="end"/>
      </w:r>
    </w:p>
    <w:p w14:paraId="420A1561" w14:textId="63132D06" w:rsidR="00271952" w:rsidRPr="00C9343F" w:rsidRDefault="00271952">
      <w:pPr>
        <w:pStyle w:val="TOC5"/>
        <w:rPr>
          <w:rFonts w:asciiTheme="minorHAnsi" w:eastAsiaTheme="minorEastAsia" w:hAnsiTheme="minorHAnsi" w:cstheme="minorBidi"/>
          <w:sz w:val="22"/>
          <w:szCs w:val="22"/>
        </w:rPr>
      </w:pPr>
      <w:r w:rsidRPr="00C9343F">
        <w:t>4.7.5    Business class travel</w:t>
      </w:r>
      <w:r w:rsidRPr="00C9343F">
        <w:tab/>
      </w:r>
      <w:r w:rsidRPr="00C9343F">
        <w:fldChar w:fldCharType="begin"/>
      </w:r>
      <w:r w:rsidRPr="00C9343F">
        <w:instrText xml:space="preserve"> PAGEREF _Toc105053869 \h </w:instrText>
      </w:r>
      <w:r w:rsidRPr="00C9343F">
        <w:fldChar w:fldCharType="separate"/>
      </w:r>
      <w:r w:rsidRPr="00C9343F">
        <w:t>181</w:t>
      </w:r>
      <w:r w:rsidRPr="00C9343F">
        <w:fldChar w:fldCharType="end"/>
      </w:r>
    </w:p>
    <w:p w14:paraId="17E2F060" w14:textId="0245B8F8" w:rsidR="00271952" w:rsidRPr="00C9343F" w:rsidRDefault="00271952">
      <w:pPr>
        <w:pStyle w:val="TOC5"/>
        <w:rPr>
          <w:rFonts w:asciiTheme="minorHAnsi" w:eastAsiaTheme="minorEastAsia" w:hAnsiTheme="minorHAnsi" w:cstheme="minorBidi"/>
          <w:sz w:val="22"/>
          <w:szCs w:val="22"/>
        </w:rPr>
      </w:pPr>
      <w:r w:rsidRPr="00C9343F">
        <w:t>4.7.6    Travel allowance</w:t>
      </w:r>
      <w:r w:rsidRPr="00C9343F">
        <w:tab/>
      </w:r>
      <w:r w:rsidRPr="00C9343F">
        <w:fldChar w:fldCharType="begin"/>
      </w:r>
      <w:r w:rsidRPr="00C9343F">
        <w:instrText xml:space="preserve"> PAGEREF _Toc105053870 \h </w:instrText>
      </w:r>
      <w:r w:rsidRPr="00C9343F">
        <w:fldChar w:fldCharType="separate"/>
      </w:r>
      <w:r w:rsidRPr="00C9343F">
        <w:t>181</w:t>
      </w:r>
      <w:r w:rsidRPr="00C9343F">
        <w:fldChar w:fldCharType="end"/>
      </w:r>
    </w:p>
    <w:p w14:paraId="782C46F2" w14:textId="105F1168" w:rsidR="00271952" w:rsidRPr="00C9343F" w:rsidRDefault="00271952">
      <w:pPr>
        <w:pStyle w:val="TOC3"/>
        <w:rPr>
          <w:rFonts w:asciiTheme="minorHAnsi" w:eastAsiaTheme="minorEastAsia" w:hAnsiTheme="minorHAnsi" w:cstheme="minorBidi"/>
          <w:b w:val="0"/>
          <w:sz w:val="22"/>
          <w:szCs w:val="22"/>
        </w:rPr>
      </w:pPr>
      <w:r w:rsidRPr="00C9343F">
        <w:t>Part 8: Training payments</w:t>
      </w:r>
      <w:r w:rsidRPr="00C9343F">
        <w:tab/>
      </w:r>
      <w:r w:rsidRPr="00C9343F">
        <w:fldChar w:fldCharType="begin"/>
      </w:r>
      <w:r w:rsidRPr="00C9343F">
        <w:instrText xml:space="preserve"> PAGEREF _Toc105053871 \h </w:instrText>
      </w:r>
      <w:r w:rsidRPr="00C9343F">
        <w:fldChar w:fldCharType="separate"/>
      </w:r>
      <w:r w:rsidRPr="00C9343F">
        <w:t>182</w:t>
      </w:r>
      <w:r w:rsidRPr="00C9343F">
        <w:fldChar w:fldCharType="end"/>
      </w:r>
    </w:p>
    <w:p w14:paraId="55AABB55" w14:textId="54293EEB" w:rsidR="00271952" w:rsidRPr="00C9343F" w:rsidRDefault="00271952">
      <w:pPr>
        <w:pStyle w:val="TOC4"/>
        <w:rPr>
          <w:rFonts w:asciiTheme="minorHAnsi" w:eastAsiaTheme="minorEastAsia" w:hAnsiTheme="minorHAnsi" w:cstheme="minorBidi"/>
          <w:sz w:val="22"/>
          <w:szCs w:val="22"/>
        </w:rPr>
      </w:pPr>
      <w:r w:rsidRPr="00C9343F">
        <w:t>Division 1: General provisions</w:t>
      </w:r>
      <w:r w:rsidRPr="00C9343F">
        <w:tab/>
      </w:r>
      <w:r w:rsidRPr="00C9343F">
        <w:fldChar w:fldCharType="begin"/>
      </w:r>
      <w:r w:rsidRPr="00C9343F">
        <w:instrText xml:space="preserve"> PAGEREF _Toc105053872 \h </w:instrText>
      </w:r>
      <w:r w:rsidRPr="00C9343F">
        <w:fldChar w:fldCharType="separate"/>
      </w:r>
      <w:r w:rsidRPr="00C9343F">
        <w:t>182</w:t>
      </w:r>
      <w:r w:rsidRPr="00C9343F">
        <w:fldChar w:fldCharType="end"/>
      </w:r>
    </w:p>
    <w:p w14:paraId="11E18AD1" w14:textId="17A1D652" w:rsidR="00271952" w:rsidRPr="00C9343F" w:rsidRDefault="00271952">
      <w:pPr>
        <w:pStyle w:val="TOC5"/>
        <w:rPr>
          <w:rFonts w:asciiTheme="minorHAnsi" w:eastAsiaTheme="minorEastAsia" w:hAnsiTheme="minorHAnsi" w:cstheme="minorBidi"/>
          <w:sz w:val="22"/>
          <w:szCs w:val="22"/>
        </w:rPr>
      </w:pPr>
      <w:r w:rsidRPr="00C9343F">
        <w:t>4.8.1    Definitions</w:t>
      </w:r>
      <w:r w:rsidRPr="00C9343F">
        <w:tab/>
      </w:r>
      <w:r w:rsidRPr="00C9343F">
        <w:fldChar w:fldCharType="begin"/>
      </w:r>
      <w:r w:rsidRPr="00C9343F">
        <w:instrText xml:space="preserve"> PAGEREF _Toc105053873 \h </w:instrText>
      </w:r>
      <w:r w:rsidRPr="00C9343F">
        <w:fldChar w:fldCharType="separate"/>
      </w:r>
      <w:r w:rsidRPr="00C9343F">
        <w:t>182</w:t>
      </w:r>
      <w:r w:rsidRPr="00C9343F">
        <w:fldChar w:fldCharType="end"/>
      </w:r>
    </w:p>
    <w:p w14:paraId="14972CB9" w14:textId="37D2EE76" w:rsidR="00271952" w:rsidRPr="00C9343F" w:rsidRDefault="00271952">
      <w:pPr>
        <w:pStyle w:val="TOC4"/>
        <w:rPr>
          <w:rFonts w:asciiTheme="minorHAnsi" w:eastAsiaTheme="minorEastAsia" w:hAnsiTheme="minorHAnsi" w:cstheme="minorBidi"/>
          <w:sz w:val="22"/>
          <w:szCs w:val="22"/>
        </w:rPr>
      </w:pPr>
      <w:r w:rsidRPr="00C9343F">
        <w:t>Division 1A: Trainee’s dependant allowance</w:t>
      </w:r>
      <w:r w:rsidRPr="00C9343F">
        <w:tab/>
      </w:r>
      <w:r w:rsidRPr="00C9343F">
        <w:fldChar w:fldCharType="begin"/>
      </w:r>
      <w:r w:rsidRPr="00C9343F">
        <w:instrText xml:space="preserve"> PAGEREF _Toc105053874 \h </w:instrText>
      </w:r>
      <w:r w:rsidRPr="00C9343F">
        <w:fldChar w:fldCharType="separate"/>
      </w:r>
      <w:r w:rsidRPr="00C9343F">
        <w:t>183</w:t>
      </w:r>
      <w:r w:rsidRPr="00C9343F">
        <w:fldChar w:fldCharType="end"/>
      </w:r>
    </w:p>
    <w:p w14:paraId="069B82E9" w14:textId="551736DD" w:rsidR="00271952" w:rsidRPr="00C9343F" w:rsidRDefault="00271952">
      <w:pPr>
        <w:pStyle w:val="TOC5"/>
        <w:rPr>
          <w:rFonts w:asciiTheme="minorHAnsi" w:eastAsiaTheme="minorEastAsia" w:hAnsiTheme="minorHAnsi" w:cstheme="minorBidi"/>
          <w:sz w:val="22"/>
          <w:szCs w:val="22"/>
        </w:rPr>
      </w:pPr>
      <w:r w:rsidRPr="00C9343F">
        <w:t>4.8.3    Purpose</w:t>
      </w:r>
      <w:r w:rsidRPr="00C9343F">
        <w:tab/>
      </w:r>
      <w:r w:rsidRPr="00C9343F">
        <w:fldChar w:fldCharType="begin"/>
      </w:r>
      <w:r w:rsidRPr="00C9343F">
        <w:instrText xml:space="preserve"> PAGEREF _Toc105053875 \h </w:instrText>
      </w:r>
      <w:r w:rsidRPr="00C9343F">
        <w:fldChar w:fldCharType="separate"/>
      </w:r>
      <w:r w:rsidRPr="00C9343F">
        <w:t>183</w:t>
      </w:r>
      <w:r w:rsidRPr="00C9343F">
        <w:fldChar w:fldCharType="end"/>
      </w:r>
    </w:p>
    <w:p w14:paraId="16F9E5FC" w14:textId="08974F6C" w:rsidR="00271952" w:rsidRPr="00C9343F" w:rsidRDefault="00271952">
      <w:pPr>
        <w:pStyle w:val="TOC5"/>
        <w:rPr>
          <w:rFonts w:asciiTheme="minorHAnsi" w:eastAsiaTheme="minorEastAsia" w:hAnsiTheme="minorHAnsi" w:cstheme="minorBidi"/>
          <w:sz w:val="22"/>
          <w:szCs w:val="22"/>
        </w:rPr>
      </w:pPr>
      <w:r w:rsidRPr="00C9343F">
        <w:t>4.8.5    Member this Division applies to</w:t>
      </w:r>
      <w:r w:rsidRPr="00C9343F">
        <w:tab/>
      </w:r>
      <w:r w:rsidRPr="00C9343F">
        <w:fldChar w:fldCharType="begin"/>
      </w:r>
      <w:r w:rsidRPr="00C9343F">
        <w:instrText xml:space="preserve"> PAGEREF _Toc105053876 \h </w:instrText>
      </w:r>
      <w:r w:rsidRPr="00C9343F">
        <w:fldChar w:fldCharType="separate"/>
      </w:r>
      <w:r w:rsidRPr="00C9343F">
        <w:t>183</w:t>
      </w:r>
      <w:r w:rsidRPr="00C9343F">
        <w:fldChar w:fldCharType="end"/>
      </w:r>
    </w:p>
    <w:p w14:paraId="0BF8B703" w14:textId="0F1052C1" w:rsidR="00271952" w:rsidRPr="00C9343F" w:rsidRDefault="00271952">
      <w:pPr>
        <w:pStyle w:val="TOC5"/>
        <w:rPr>
          <w:rFonts w:asciiTheme="minorHAnsi" w:eastAsiaTheme="minorEastAsia" w:hAnsiTheme="minorHAnsi" w:cstheme="minorBidi"/>
          <w:sz w:val="22"/>
          <w:szCs w:val="22"/>
        </w:rPr>
      </w:pPr>
      <w:r w:rsidRPr="00C9343F">
        <w:t>4.8.6    When this Division does not apply</w:t>
      </w:r>
      <w:r w:rsidRPr="00C9343F">
        <w:tab/>
      </w:r>
      <w:r w:rsidRPr="00C9343F">
        <w:fldChar w:fldCharType="begin"/>
      </w:r>
      <w:r w:rsidRPr="00C9343F">
        <w:instrText xml:space="preserve"> PAGEREF _Toc105053877 \h </w:instrText>
      </w:r>
      <w:r w:rsidRPr="00C9343F">
        <w:fldChar w:fldCharType="separate"/>
      </w:r>
      <w:r w:rsidRPr="00C9343F">
        <w:t>183</w:t>
      </w:r>
      <w:r w:rsidRPr="00C9343F">
        <w:fldChar w:fldCharType="end"/>
      </w:r>
    </w:p>
    <w:p w14:paraId="5F91A5FC" w14:textId="74F7AE4D" w:rsidR="00271952" w:rsidRPr="00C9343F" w:rsidRDefault="00271952">
      <w:pPr>
        <w:pStyle w:val="TOC5"/>
        <w:rPr>
          <w:rFonts w:asciiTheme="minorHAnsi" w:eastAsiaTheme="minorEastAsia" w:hAnsiTheme="minorHAnsi" w:cstheme="minorBidi"/>
          <w:sz w:val="22"/>
          <w:szCs w:val="22"/>
        </w:rPr>
      </w:pPr>
      <w:r w:rsidRPr="00C9343F">
        <w:t>4.8.6A    Applying for trainee’s dependant allowance and notification of change in expected income</w:t>
      </w:r>
      <w:r w:rsidRPr="00C9343F">
        <w:tab/>
      </w:r>
      <w:r w:rsidRPr="00C9343F">
        <w:fldChar w:fldCharType="begin"/>
      </w:r>
      <w:r w:rsidRPr="00C9343F">
        <w:instrText xml:space="preserve"> PAGEREF _Toc105053878 \h </w:instrText>
      </w:r>
      <w:r w:rsidRPr="00C9343F">
        <w:fldChar w:fldCharType="separate"/>
      </w:r>
      <w:r w:rsidRPr="00C9343F">
        <w:t>183</w:t>
      </w:r>
      <w:r w:rsidRPr="00C9343F">
        <w:fldChar w:fldCharType="end"/>
      </w:r>
    </w:p>
    <w:p w14:paraId="7199A1B7" w14:textId="776D7987" w:rsidR="00271952" w:rsidRPr="00C9343F" w:rsidRDefault="00271952">
      <w:pPr>
        <w:pStyle w:val="TOC5"/>
        <w:rPr>
          <w:rFonts w:asciiTheme="minorHAnsi" w:eastAsiaTheme="minorEastAsia" w:hAnsiTheme="minorHAnsi" w:cstheme="minorBidi"/>
          <w:sz w:val="22"/>
          <w:szCs w:val="22"/>
        </w:rPr>
      </w:pPr>
      <w:r w:rsidRPr="00C9343F">
        <w:t>4.8.7    Rate of benefit</w:t>
      </w:r>
      <w:r w:rsidRPr="00C9343F">
        <w:tab/>
      </w:r>
      <w:r w:rsidRPr="00C9343F">
        <w:fldChar w:fldCharType="begin"/>
      </w:r>
      <w:r w:rsidRPr="00C9343F">
        <w:instrText xml:space="preserve"> PAGEREF _Toc105053879 \h </w:instrText>
      </w:r>
      <w:r w:rsidRPr="00C9343F">
        <w:fldChar w:fldCharType="separate"/>
      </w:r>
      <w:r w:rsidRPr="00C9343F">
        <w:t>183</w:t>
      </w:r>
      <w:r w:rsidRPr="00C9343F">
        <w:fldChar w:fldCharType="end"/>
      </w:r>
    </w:p>
    <w:p w14:paraId="2DDDDC46" w14:textId="53618DCA" w:rsidR="00271952" w:rsidRPr="00C9343F" w:rsidRDefault="00271952">
      <w:pPr>
        <w:pStyle w:val="TOC5"/>
        <w:rPr>
          <w:rFonts w:asciiTheme="minorHAnsi" w:eastAsiaTheme="minorEastAsia" w:hAnsiTheme="minorHAnsi" w:cstheme="minorBidi"/>
          <w:sz w:val="22"/>
          <w:szCs w:val="22"/>
        </w:rPr>
      </w:pPr>
      <w:r w:rsidRPr="00C9343F">
        <w:t>4.8.8    Dual entitlement</w:t>
      </w:r>
      <w:r w:rsidRPr="00C9343F">
        <w:tab/>
      </w:r>
      <w:r w:rsidRPr="00C9343F">
        <w:fldChar w:fldCharType="begin"/>
      </w:r>
      <w:r w:rsidRPr="00C9343F">
        <w:instrText xml:space="preserve"> PAGEREF _Toc105053880 \h </w:instrText>
      </w:r>
      <w:r w:rsidRPr="00C9343F">
        <w:fldChar w:fldCharType="separate"/>
      </w:r>
      <w:r w:rsidRPr="00C9343F">
        <w:t>184</w:t>
      </w:r>
      <w:r w:rsidRPr="00C9343F">
        <w:fldChar w:fldCharType="end"/>
      </w:r>
    </w:p>
    <w:p w14:paraId="33582766" w14:textId="5F0BD894" w:rsidR="00271952" w:rsidRPr="00C9343F" w:rsidRDefault="00271952">
      <w:pPr>
        <w:pStyle w:val="TOC4"/>
        <w:rPr>
          <w:rFonts w:asciiTheme="minorHAnsi" w:eastAsiaTheme="minorEastAsia" w:hAnsiTheme="minorHAnsi" w:cstheme="minorBidi"/>
          <w:sz w:val="22"/>
          <w:szCs w:val="22"/>
        </w:rPr>
      </w:pPr>
      <w:r w:rsidRPr="00C9343F">
        <w:t>Division 2: Medical residency – additional salary</w:t>
      </w:r>
      <w:r w:rsidRPr="00C9343F">
        <w:tab/>
      </w:r>
      <w:r w:rsidRPr="00C9343F">
        <w:fldChar w:fldCharType="begin"/>
      </w:r>
      <w:r w:rsidRPr="00C9343F">
        <w:instrText xml:space="preserve"> PAGEREF _Toc105053881 \h </w:instrText>
      </w:r>
      <w:r w:rsidRPr="00C9343F">
        <w:fldChar w:fldCharType="separate"/>
      </w:r>
      <w:r w:rsidRPr="00C9343F">
        <w:t>185</w:t>
      </w:r>
      <w:r w:rsidRPr="00C9343F">
        <w:fldChar w:fldCharType="end"/>
      </w:r>
    </w:p>
    <w:p w14:paraId="57EC2FD9" w14:textId="740D7136" w:rsidR="00271952" w:rsidRPr="00C9343F" w:rsidRDefault="00271952">
      <w:pPr>
        <w:pStyle w:val="TOC5"/>
        <w:rPr>
          <w:rFonts w:asciiTheme="minorHAnsi" w:eastAsiaTheme="minorEastAsia" w:hAnsiTheme="minorHAnsi" w:cstheme="minorBidi"/>
          <w:sz w:val="22"/>
          <w:szCs w:val="22"/>
        </w:rPr>
      </w:pPr>
      <w:r w:rsidRPr="00C9343F">
        <w:t>4.8.9    Purpose</w:t>
      </w:r>
      <w:r w:rsidRPr="00C9343F">
        <w:tab/>
      </w:r>
      <w:r w:rsidRPr="00C9343F">
        <w:fldChar w:fldCharType="begin"/>
      </w:r>
      <w:r w:rsidRPr="00C9343F">
        <w:instrText xml:space="preserve"> PAGEREF _Toc105053882 \h </w:instrText>
      </w:r>
      <w:r w:rsidRPr="00C9343F">
        <w:fldChar w:fldCharType="separate"/>
      </w:r>
      <w:r w:rsidRPr="00C9343F">
        <w:t>185</w:t>
      </w:r>
      <w:r w:rsidRPr="00C9343F">
        <w:fldChar w:fldCharType="end"/>
      </w:r>
    </w:p>
    <w:p w14:paraId="1AF46FBA" w14:textId="37F799CA" w:rsidR="00271952" w:rsidRPr="00C9343F" w:rsidRDefault="00271952">
      <w:pPr>
        <w:pStyle w:val="TOC5"/>
        <w:rPr>
          <w:rFonts w:asciiTheme="minorHAnsi" w:eastAsiaTheme="minorEastAsia" w:hAnsiTheme="minorHAnsi" w:cstheme="minorBidi"/>
          <w:sz w:val="22"/>
          <w:szCs w:val="22"/>
        </w:rPr>
      </w:pPr>
      <w:r w:rsidRPr="00C9343F">
        <w:t>4.8.10    Members this Division applies to</w:t>
      </w:r>
      <w:r w:rsidRPr="00C9343F">
        <w:tab/>
      </w:r>
      <w:r w:rsidRPr="00C9343F">
        <w:fldChar w:fldCharType="begin"/>
      </w:r>
      <w:r w:rsidRPr="00C9343F">
        <w:instrText xml:space="preserve"> PAGEREF _Toc105053883 \h </w:instrText>
      </w:r>
      <w:r w:rsidRPr="00C9343F">
        <w:fldChar w:fldCharType="separate"/>
      </w:r>
      <w:r w:rsidRPr="00C9343F">
        <w:t>185</w:t>
      </w:r>
      <w:r w:rsidRPr="00C9343F">
        <w:fldChar w:fldCharType="end"/>
      </w:r>
    </w:p>
    <w:p w14:paraId="2E6EE885" w14:textId="60D1A05E" w:rsidR="00271952" w:rsidRPr="00C9343F" w:rsidRDefault="00271952">
      <w:pPr>
        <w:pStyle w:val="TOC5"/>
        <w:rPr>
          <w:rFonts w:asciiTheme="minorHAnsi" w:eastAsiaTheme="minorEastAsia" w:hAnsiTheme="minorHAnsi" w:cstheme="minorBidi"/>
          <w:sz w:val="22"/>
          <w:szCs w:val="22"/>
        </w:rPr>
      </w:pPr>
      <w:r w:rsidRPr="00C9343F">
        <w:t>4.8.11    Rate of additional payment</w:t>
      </w:r>
      <w:r w:rsidRPr="00C9343F">
        <w:tab/>
      </w:r>
      <w:r w:rsidRPr="00C9343F">
        <w:fldChar w:fldCharType="begin"/>
      </w:r>
      <w:r w:rsidRPr="00C9343F">
        <w:instrText xml:space="preserve"> PAGEREF _Toc105053884 \h </w:instrText>
      </w:r>
      <w:r w:rsidRPr="00C9343F">
        <w:fldChar w:fldCharType="separate"/>
      </w:r>
      <w:r w:rsidRPr="00C9343F">
        <w:t>185</w:t>
      </w:r>
      <w:r w:rsidRPr="00C9343F">
        <w:fldChar w:fldCharType="end"/>
      </w:r>
    </w:p>
    <w:p w14:paraId="6FDB07C3" w14:textId="14CA933A" w:rsidR="00271952" w:rsidRPr="00C9343F" w:rsidRDefault="00271952">
      <w:pPr>
        <w:pStyle w:val="TOC5"/>
        <w:rPr>
          <w:rFonts w:asciiTheme="minorHAnsi" w:eastAsiaTheme="minorEastAsia" w:hAnsiTheme="minorHAnsi" w:cstheme="minorBidi"/>
          <w:sz w:val="22"/>
          <w:szCs w:val="22"/>
        </w:rPr>
      </w:pPr>
      <w:r w:rsidRPr="00C9343F">
        <w:t>4.8.12    Payment for accrued leave</w:t>
      </w:r>
      <w:r w:rsidRPr="00C9343F">
        <w:tab/>
      </w:r>
      <w:r w:rsidRPr="00C9343F">
        <w:fldChar w:fldCharType="begin"/>
      </w:r>
      <w:r w:rsidRPr="00C9343F">
        <w:instrText xml:space="preserve"> PAGEREF _Toc105053885 \h </w:instrText>
      </w:r>
      <w:r w:rsidRPr="00C9343F">
        <w:fldChar w:fldCharType="separate"/>
      </w:r>
      <w:r w:rsidRPr="00C9343F">
        <w:t>185</w:t>
      </w:r>
      <w:r w:rsidRPr="00C9343F">
        <w:fldChar w:fldCharType="end"/>
      </w:r>
    </w:p>
    <w:p w14:paraId="40C5AEB0" w14:textId="6F5C0B43" w:rsidR="00271952" w:rsidRPr="00C9343F" w:rsidRDefault="00271952">
      <w:pPr>
        <w:pStyle w:val="TOC5"/>
        <w:rPr>
          <w:rFonts w:asciiTheme="minorHAnsi" w:eastAsiaTheme="minorEastAsia" w:hAnsiTheme="minorHAnsi" w:cstheme="minorBidi"/>
          <w:sz w:val="22"/>
          <w:szCs w:val="22"/>
        </w:rPr>
      </w:pPr>
      <w:r w:rsidRPr="00C9343F">
        <w:t>4.8.13    Conditions of entitlement</w:t>
      </w:r>
      <w:r w:rsidRPr="00C9343F">
        <w:tab/>
      </w:r>
      <w:r w:rsidRPr="00C9343F">
        <w:fldChar w:fldCharType="begin"/>
      </w:r>
      <w:r w:rsidRPr="00C9343F">
        <w:instrText xml:space="preserve"> PAGEREF _Toc105053886 \h </w:instrText>
      </w:r>
      <w:r w:rsidRPr="00C9343F">
        <w:fldChar w:fldCharType="separate"/>
      </w:r>
      <w:r w:rsidRPr="00C9343F">
        <w:t>185</w:t>
      </w:r>
      <w:r w:rsidRPr="00C9343F">
        <w:fldChar w:fldCharType="end"/>
      </w:r>
    </w:p>
    <w:p w14:paraId="7ACB70AC" w14:textId="636DE408" w:rsidR="00271952" w:rsidRPr="00C9343F" w:rsidRDefault="00271952">
      <w:pPr>
        <w:pStyle w:val="TOC4"/>
        <w:rPr>
          <w:rFonts w:asciiTheme="minorHAnsi" w:eastAsiaTheme="minorEastAsia" w:hAnsiTheme="minorHAnsi" w:cstheme="minorBidi"/>
          <w:sz w:val="22"/>
          <w:szCs w:val="22"/>
        </w:rPr>
      </w:pPr>
      <w:r w:rsidRPr="00C9343F">
        <w:t>Division 3: Former medical or dental officer – refresher training</w:t>
      </w:r>
      <w:r w:rsidRPr="00C9343F">
        <w:tab/>
      </w:r>
      <w:r w:rsidRPr="00C9343F">
        <w:fldChar w:fldCharType="begin"/>
      </w:r>
      <w:r w:rsidRPr="00C9343F">
        <w:instrText xml:space="preserve"> PAGEREF _Toc105053887 \h </w:instrText>
      </w:r>
      <w:r w:rsidRPr="00C9343F">
        <w:fldChar w:fldCharType="separate"/>
      </w:r>
      <w:r w:rsidRPr="00C9343F">
        <w:t>186</w:t>
      </w:r>
      <w:r w:rsidRPr="00C9343F">
        <w:fldChar w:fldCharType="end"/>
      </w:r>
    </w:p>
    <w:p w14:paraId="69AE7569" w14:textId="12DC881A" w:rsidR="00271952" w:rsidRPr="00C9343F" w:rsidRDefault="00271952">
      <w:pPr>
        <w:pStyle w:val="TOC5"/>
        <w:rPr>
          <w:rFonts w:asciiTheme="minorHAnsi" w:eastAsiaTheme="minorEastAsia" w:hAnsiTheme="minorHAnsi" w:cstheme="minorBidi"/>
          <w:sz w:val="22"/>
          <w:szCs w:val="22"/>
        </w:rPr>
      </w:pPr>
      <w:r w:rsidRPr="00C9343F">
        <w:t>4.8.14    Purpose</w:t>
      </w:r>
      <w:r w:rsidRPr="00C9343F">
        <w:tab/>
      </w:r>
      <w:r w:rsidRPr="00C9343F">
        <w:fldChar w:fldCharType="begin"/>
      </w:r>
      <w:r w:rsidRPr="00C9343F">
        <w:instrText xml:space="preserve"> PAGEREF _Toc105053888 \h </w:instrText>
      </w:r>
      <w:r w:rsidRPr="00C9343F">
        <w:fldChar w:fldCharType="separate"/>
      </w:r>
      <w:r w:rsidRPr="00C9343F">
        <w:t>186</w:t>
      </w:r>
      <w:r w:rsidRPr="00C9343F">
        <w:fldChar w:fldCharType="end"/>
      </w:r>
    </w:p>
    <w:p w14:paraId="64DB31F5" w14:textId="432E6062" w:rsidR="00271952" w:rsidRPr="00C9343F" w:rsidRDefault="00271952">
      <w:pPr>
        <w:pStyle w:val="TOC5"/>
        <w:rPr>
          <w:rFonts w:asciiTheme="minorHAnsi" w:eastAsiaTheme="minorEastAsia" w:hAnsiTheme="minorHAnsi" w:cstheme="minorBidi"/>
          <w:sz w:val="22"/>
          <w:szCs w:val="22"/>
        </w:rPr>
      </w:pPr>
      <w:r w:rsidRPr="00C9343F">
        <w:lastRenderedPageBreak/>
        <w:t>4.8.15    Definition</w:t>
      </w:r>
      <w:r w:rsidRPr="00C9343F">
        <w:tab/>
      </w:r>
      <w:r w:rsidRPr="00C9343F">
        <w:fldChar w:fldCharType="begin"/>
      </w:r>
      <w:r w:rsidRPr="00C9343F">
        <w:instrText xml:space="preserve"> PAGEREF _Toc105053889 \h </w:instrText>
      </w:r>
      <w:r w:rsidRPr="00C9343F">
        <w:fldChar w:fldCharType="separate"/>
      </w:r>
      <w:r w:rsidRPr="00C9343F">
        <w:t>186</w:t>
      </w:r>
      <w:r w:rsidRPr="00C9343F">
        <w:fldChar w:fldCharType="end"/>
      </w:r>
    </w:p>
    <w:p w14:paraId="481864A9" w14:textId="58ED54B9" w:rsidR="00271952" w:rsidRPr="00C9343F" w:rsidRDefault="00271952">
      <w:pPr>
        <w:pStyle w:val="TOC5"/>
        <w:rPr>
          <w:rFonts w:asciiTheme="minorHAnsi" w:eastAsiaTheme="minorEastAsia" w:hAnsiTheme="minorHAnsi" w:cstheme="minorBidi"/>
          <w:sz w:val="22"/>
          <w:szCs w:val="22"/>
        </w:rPr>
      </w:pPr>
      <w:r w:rsidRPr="00C9343F">
        <w:t>4.8.16    Members this Division applies to</w:t>
      </w:r>
      <w:r w:rsidRPr="00C9343F">
        <w:tab/>
      </w:r>
      <w:r w:rsidRPr="00C9343F">
        <w:fldChar w:fldCharType="begin"/>
      </w:r>
      <w:r w:rsidRPr="00C9343F">
        <w:instrText xml:space="preserve"> PAGEREF _Toc105053890 \h </w:instrText>
      </w:r>
      <w:r w:rsidRPr="00C9343F">
        <w:fldChar w:fldCharType="separate"/>
      </w:r>
      <w:r w:rsidRPr="00C9343F">
        <w:t>186</w:t>
      </w:r>
      <w:r w:rsidRPr="00C9343F">
        <w:fldChar w:fldCharType="end"/>
      </w:r>
    </w:p>
    <w:p w14:paraId="6ADA8D5F" w14:textId="634C7919" w:rsidR="00271952" w:rsidRPr="00C9343F" w:rsidRDefault="00271952">
      <w:pPr>
        <w:pStyle w:val="TOC5"/>
        <w:rPr>
          <w:rFonts w:asciiTheme="minorHAnsi" w:eastAsiaTheme="minorEastAsia" w:hAnsiTheme="minorHAnsi" w:cstheme="minorBidi"/>
          <w:sz w:val="22"/>
          <w:szCs w:val="22"/>
        </w:rPr>
      </w:pPr>
      <w:r w:rsidRPr="00C9343F">
        <w:t>4.8.17    Conditions for refresher training payment</w:t>
      </w:r>
      <w:r w:rsidRPr="00C9343F">
        <w:tab/>
      </w:r>
      <w:r w:rsidRPr="00C9343F">
        <w:fldChar w:fldCharType="begin"/>
      </w:r>
      <w:r w:rsidRPr="00C9343F">
        <w:instrText xml:space="preserve"> PAGEREF _Toc105053891 \h </w:instrText>
      </w:r>
      <w:r w:rsidRPr="00C9343F">
        <w:fldChar w:fldCharType="separate"/>
      </w:r>
      <w:r w:rsidRPr="00C9343F">
        <w:t>186</w:t>
      </w:r>
      <w:r w:rsidRPr="00C9343F">
        <w:fldChar w:fldCharType="end"/>
      </w:r>
    </w:p>
    <w:p w14:paraId="5D6E5784" w14:textId="5C95291F" w:rsidR="00271952" w:rsidRPr="00C9343F" w:rsidRDefault="00271952">
      <w:pPr>
        <w:pStyle w:val="TOC5"/>
        <w:rPr>
          <w:rFonts w:asciiTheme="minorHAnsi" w:eastAsiaTheme="minorEastAsia" w:hAnsiTheme="minorHAnsi" w:cstheme="minorBidi"/>
          <w:sz w:val="22"/>
          <w:szCs w:val="22"/>
        </w:rPr>
      </w:pPr>
      <w:r w:rsidRPr="00C9343F">
        <w:t>4.8.18    Amount of payment</w:t>
      </w:r>
      <w:r w:rsidRPr="00C9343F">
        <w:tab/>
      </w:r>
      <w:r w:rsidRPr="00C9343F">
        <w:fldChar w:fldCharType="begin"/>
      </w:r>
      <w:r w:rsidRPr="00C9343F">
        <w:instrText xml:space="preserve"> PAGEREF _Toc105053892 \h </w:instrText>
      </w:r>
      <w:r w:rsidRPr="00C9343F">
        <w:fldChar w:fldCharType="separate"/>
      </w:r>
      <w:r w:rsidRPr="00C9343F">
        <w:t>186</w:t>
      </w:r>
      <w:r w:rsidRPr="00C9343F">
        <w:fldChar w:fldCharType="end"/>
      </w:r>
    </w:p>
    <w:p w14:paraId="6D205345" w14:textId="15399BEF" w:rsidR="00271952" w:rsidRPr="00C9343F" w:rsidRDefault="00271952">
      <w:pPr>
        <w:pStyle w:val="TOC4"/>
        <w:rPr>
          <w:rFonts w:asciiTheme="minorHAnsi" w:eastAsiaTheme="minorEastAsia" w:hAnsiTheme="minorHAnsi" w:cstheme="minorBidi"/>
          <w:sz w:val="22"/>
          <w:szCs w:val="22"/>
        </w:rPr>
      </w:pPr>
      <w:r w:rsidRPr="00C9343F">
        <w:t>Division 4: Australian Defence Force Academy learning materials</w:t>
      </w:r>
      <w:r w:rsidRPr="00C9343F">
        <w:tab/>
      </w:r>
      <w:r w:rsidRPr="00C9343F">
        <w:fldChar w:fldCharType="begin"/>
      </w:r>
      <w:r w:rsidRPr="00C9343F">
        <w:instrText xml:space="preserve"> PAGEREF _Toc105053893 \h </w:instrText>
      </w:r>
      <w:r w:rsidRPr="00C9343F">
        <w:fldChar w:fldCharType="separate"/>
      </w:r>
      <w:r w:rsidRPr="00C9343F">
        <w:t>188</w:t>
      </w:r>
      <w:r w:rsidRPr="00C9343F">
        <w:fldChar w:fldCharType="end"/>
      </w:r>
    </w:p>
    <w:p w14:paraId="0C2762A0" w14:textId="04925B47" w:rsidR="00271952" w:rsidRPr="00C9343F" w:rsidRDefault="00271952">
      <w:pPr>
        <w:pStyle w:val="TOC5"/>
        <w:rPr>
          <w:rFonts w:asciiTheme="minorHAnsi" w:eastAsiaTheme="minorEastAsia" w:hAnsiTheme="minorHAnsi" w:cstheme="minorBidi"/>
          <w:sz w:val="22"/>
          <w:szCs w:val="22"/>
        </w:rPr>
      </w:pPr>
      <w:r w:rsidRPr="00C9343F">
        <w:t>4.8.19    Purpose</w:t>
      </w:r>
      <w:r w:rsidRPr="00C9343F">
        <w:tab/>
      </w:r>
      <w:r w:rsidRPr="00C9343F">
        <w:fldChar w:fldCharType="begin"/>
      </w:r>
      <w:r w:rsidRPr="00C9343F">
        <w:instrText xml:space="preserve"> PAGEREF _Toc105053894 \h </w:instrText>
      </w:r>
      <w:r w:rsidRPr="00C9343F">
        <w:fldChar w:fldCharType="separate"/>
      </w:r>
      <w:r w:rsidRPr="00C9343F">
        <w:t>188</w:t>
      </w:r>
      <w:r w:rsidRPr="00C9343F">
        <w:fldChar w:fldCharType="end"/>
      </w:r>
    </w:p>
    <w:p w14:paraId="5DFF3E9C" w14:textId="10152AC3" w:rsidR="00271952" w:rsidRPr="00C9343F" w:rsidRDefault="00271952">
      <w:pPr>
        <w:pStyle w:val="TOC5"/>
        <w:rPr>
          <w:rFonts w:asciiTheme="minorHAnsi" w:eastAsiaTheme="minorEastAsia" w:hAnsiTheme="minorHAnsi" w:cstheme="minorBidi"/>
          <w:sz w:val="22"/>
          <w:szCs w:val="22"/>
        </w:rPr>
      </w:pPr>
      <w:r w:rsidRPr="00C9343F">
        <w:t>4.8.20    Member this Part applies to</w:t>
      </w:r>
      <w:r w:rsidRPr="00C9343F">
        <w:tab/>
      </w:r>
      <w:r w:rsidRPr="00C9343F">
        <w:fldChar w:fldCharType="begin"/>
      </w:r>
      <w:r w:rsidRPr="00C9343F">
        <w:instrText xml:space="preserve"> PAGEREF _Toc105053895 \h </w:instrText>
      </w:r>
      <w:r w:rsidRPr="00C9343F">
        <w:fldChar w:fldCharType="separate"/>
      </w:r>
      <w:r w:rsidRPr="00C9343F">
        <w:t>188</w:t>
      </w:r>
      <w:r w:rsidRPr="00C9343F">
        <w:fldChar w:fldCharType="end"/>
      </w:r>
    </w:p>
    <w:p w14:paraId="2411C023" w14:textId="7611EF57" w:rsidR="00271952" w:rsidRPr="00C9343F" w:rsidRDefault="00271952">
      <w:pPr>
        <w:pStyle w:val="TOC5"/>
        <w:rPr>
          <w:rFonts w:asciiTheme="minorHAnsi" w:eastAsiaTheme="minorEastAsia" w:hAnsiTheme="minorHAnsi" w:cstheme="minorBidi"/>
          <w:sz w:val="22"/>
          <w:szCs w:val="22"/>
        </w:rPr>
      </w:pPr>
      <w:r w:rsidRPr="00C9343F">
        <w:t>4.8.21    Learning materials</w:t>
      </w:r>
      <w:r w:rsidRPr="00C9343F">
        <w:tab/>
      </w:r>
      <w:r w:rsidRPr="00C9343F">
        <w:fldChar w:fldCharType="begin"/>
      </w:r>
      <w:r w:rsidRPr="00C9343F">
        <w:instrText xml:space="preserve"> PAGEREF _Toc105053896 \h </w:instrText>
      </w:r>
      <w:r w:rsidRPr="00C9343F">
        <w:fldChar w:fldCharType="separate"/>
      </w:r>
      <w:r w:rsidRPr="00C9343F">
        <w:t>188</w:t>
      </w:r>
      <w:r w:rsidRPr="00C9343F">
        <w:fldChar w:fldCharType="end"/>
      </w:r>
    </w:p>
    <w:p w14:paraId="5804D3E8" w14:textId="363380BB" w:rsidR="00271952" w:rsidRPr="00C9343F" w:rsidRDefault="00271952">
      <w:pPr>
        <w:pStyle w:val="TOC4"/>
        <w:rPr>
          <w:rFonts w:asciiTheme="minorHAnsi" w:eastAsiaTheme="minorEastAsia" w:hAnsiTheme="minorHAnsi" w:cstheme="minorBidi"/>
          <w:sz w:val="22"/>
          <w:szCs w:val="22"/>
        </w:rPr>
      </w:pPr>
      <w:r w:rsidRPr="00C9343F">
        <w:t>Division 5: In-service medical officers – refresher training</w:t>
      </w:r>
      <w:r w:rsidRPr="00C9343F">
        <w:tab/>
      </w:r>
      <w:r w:rsidRPr="00C9343F">
        <w:fldChar w:fldCharType="begin"/>
      </w:r>
      <w:r w:rsidRPr="00C9343F">
        <w:instrText xml:space="preserve"> PAGEREF _Toc105053897 \h </w:instrText>
      </w:r>
      <w:r w:rsidRPr="00C9343F">
        <w:fldChar w:fldCharType="separate"/>
      </w:r>
      <w:r w:rsidRPr="00C9343F">
        <w:t>189</w:t>
      </w:r>
      <w:r w:rsidRPr="00C9343F">
        <w:fldChar w:fldCharType="end"/>
      </w:r>
    </w:p>
    <w:p w14:paraId="4C425947" w14:textId="391A9BEC" w:rsidR="00271952" w:rsidRPr="00C9343F" w:rsidRDefault="00271952">
      <w:pPr>
        <w:pStyle w:val="TOC5"/>
        <w:rPr>
          <w:rFonts w:asciiTheme="minorHAnsi" w:eastAsiaTheme="minorEastAsia" w:hAnsiTheme="minorHAnsi" w:cstheme="minorBidi"/>
          <w:sz w:val="22"/>
          <w:szCs w:val="22"/>
        </w:rPr>
      </w:pPr>
      <w:r w:rsidRPr="00C9343F">
        <w:t>4.8.22    Purpose</w:t>
      </w:r>
      <w:r w:rsidRPr="00C9343F">
        <w:tab/>
      </w:r>
      <w:r w:rsidRPr="00C9343F">
        <w:fldChar w:fldCharType="begin"/>
      </w:r>
      <w:r w:rsidRPr="00C9343F">
        <w:instrText xml:space="preserve"> PAGEREF _Toc105053898 \h </w:instrText>
      </w:r>
      <w:r w:rsidRPr="00C9343F">
        <w:fldChar w:fldCharType="separate"/>
      </w:r>
      <w:r w:rsidRPr="00C9343F">
        <w:t>189</w:t>
      </w:r>
      <w:r w:rsidRPr="00C9343F">
        <w:fldChar w:fldCharType="end"/>
      </w:r>
    </w:p>
    <w:p w14:paraId="2867C526" w14:textId="743B9936" w:rsidR="00271952" w:rsidRPr="00C9343F" w:rsidRDefault="00271952">
      <w:pPr>
        <w:pStyle w:val="TOC5"/>
        <w:rPr>
          <w:rFonts w:asciiTheme="minorHAnsi" w:eastAsiaTheme="minorEastAsia" w:hAnsiTheme="minorHAnsi" w:cstheme="minorBidi"/>
          <w:sz w:val="22"/>
          <w:szCs w:val="22"/>
        </w:rPr>
      </w:pPr>
      <w:r w:rsidRPr="00C9343F">
        <w:t>4.8.23    Members this Division applies to</w:t>
      </w:r>
      <w:r w:rsidRPr="00C9343F">
        <w:tab/>
      </w:r>
      <w:r w:rsidRPr="00C9343F">
        <w:fldChar w:fldCharType="begin"/>
      </w:r>
      <w:r w:rsidRPr="00C9343F">
        <w:instrText xml:space="preserve"> PAGEREF _Toc105053899 \h </w:instrText>
      </w:r>
      <w:r w:rsidRPr="00C9343F">
        <w:fldChar w:fldCharType="separate"/>
      </w:r>
      <w:r w:rsidRPr="00C9343F">
        <w:t>189</w:t>
      </w:r>
      <w:r w:rsidRPr="00C9343F">
        <w:fldChar w:fldCharType="end"/>
      </w:r>
    </w:p>
    <w:p w14:paraId="3002F9CE" w14:textId="22DC5631" w:rsidR="00271952" w:rsidRPr="00C9343F" w:rsidRDefault="00271952">
      <w:pPr>
        <w:pStyle w:val="TOC5"/>
        <w:rPr>
          <w:rFonts w:asciiTheme="minorHAnsi" w:eastAsiaTheme="minorEastAsia" w:hAnsiTheme="minorHAnsi" w:cstheme="minorBidi"/>
          <w:sz w:val="22"/>
          <w:szCs w:val="22"/>
        </w:rPr>
      </w:pPr>
      <w:r w:rsidRPr="00C9343F">
        <w:t>4.8.24    Conditions of training</w:t>
      </w:r>
      <w:r w:rsidRPr="00C9343F">
        <w:tab/>
      </w:r>
      <w:r w:rsidRPr="00C9343F">
        <w:fldChar w:fldCharType="begin"/>
      </w:r>
      <w:r w:rsidRPr="00C9343F">
        <w:instrText xml:space="preserve"> PAGEREF _Toc105053900 \h </w:instrText>
      </w:r>
      <w:r w:rsidRPr="00C9343F">
        <w:fldChar w:fldCharType="separate"/>
      </w:r>
      <w:r w:rsidRPr="00C9343F">
        <w:t>189</w:t>
      </w:r>
      <w:r w:rsidRPr="00C9343F">
        <w:fldChar w:fldCharType="end"/>
      </w:r>
    </w:p>
    <w:p w14:paraId="7D3613BF" w14:textId="1E752856" w:rsidR="00271952" w:rsidRPr="00C9343F" w:rsidRDefault="00271952">
      <w:pPr>
        <w:pStyle w:val="TOC5"/>
        <w:rPr>
          <w:rFonts w:asciiTheme="minorHAnsi" w:eastAsiaTheme="minorEastAsia" w:hAnsiTheme="minorHAnsi" w:cstheme="minorBidi"/>
          <w:sz w:val="22"/>
          <w:szCs w:val="22"/>
        </w:rPr>
      </w:pPr>
      <w:r w:rsidRPr="00C9343F">
        <w:t>4.8.25    Refresher training allowance</w:t>
      </w:r>
      <w:r w:rsidRPr="00C9343F">
        <w:tab/>
      </w:r>
      <w:r w:rsidRPr="00C9343F">
        <w:fldChar w:fldCharType="begin"/>
      </w:r>
      <w:r w:rsidRPr="00C9343F">
        <w:instrText xml:space="preserve"> PAGEREF _Toc105053901 \h </w:instrText>
      </w:r>
      <w:r w:rsidRPr="00C9343F">
        <w:fldChar w:fldCharType="separate"/>
      </w:r>
      <w:r w:rsidRPr="00C9343F">
        <w:t>189</w:t>
      </w:r>
      <w:r w:rsidRPr="00C9343F">
        <w:fldChar w:fldCharType="end"/>
      </w:r>
    </w:p>
    <w:p w14:paraId="1EA08445" w14:textId="1C0A9BC5" w:rsidR="00271952" w:rsidRPr="00C9343F" w:rsidRDefault="00271952">
      <w:pPr>
        <w:pStyle w:val="TOC5"/>
        <w:rPr>
          <w:rFonts w:asciiTheme="minorHAnsi" w:eastAsiaTheme="minorEastAsia" w:hAnsiTheme="minorHAnsi" w:cstheme="minorBidi"/>
          <w:sz w:val="22"/>
          <w:szCs w:val="22"/>
        </w:rPr>
      </w:pPr>
      <w:r w:rsidRPr="00C9343F">
        <w:t>4.8.26    Expenses associated with training</w:t>
      </w:r>
      <w:r w:rsidRPr="00C9343F">
        <w:tab/>
      </w:r>
      <w:r w:rsidRPr="00C9343F">
        <w:fldChar w:fldCharType="begin"/>
      </w:r>
      <w:r w:rsidRPr="00C9343F">
        <w:instrText xml:space="preserve"> PAGEREF _Toc105053902 \h </w:instrText>
      </w:r>
      <w:r w:rsidRPr="00C9343F">
        <w:fldChar w:fldCharType="separate"/>
      </w:r>
      <w:r w:rsidRPr="00C9343F">
        <w:t>189</w:t>
      </w:r>
      <w:r w:rsidRPr="00C9343F">
        <w:fldChar w:fldCharType="end"/>
      </w:r>
    </w:p>
    <w:p w14:paraId="0EFF048A" w14:textId="47D515B0" w:rsidR="00271952" w:rsidRPr="00C9343F" w:rsidRDefault="00271952">
      <w:pPr>
        <w:pStyle w:val="TOC4"/>
        <w:rPr>
          <w:rFonts w:asciiTheme="minorHAnsi" w:eastAsiaTheme="minorEastAsia" w:hAnsiTheme="minorHAnsi" w:cstheme="minorBidi"/>
          <w:sz w:val="22"/>
          <w:szCs w:val="22"/>
        </w:rPr>
      </w:pPr>
      <w:r w:rsidRPr="00C9343F">
        <w:t>Division 6: Army dental officer professional development scheme</w:t>
      </w:r>
      <w:r w:rsidRPr="00C9343F">
        <w:tab/>
      </w:r>
      <w:r w:rsidRPr="00C9343F">
        <w:fldChar w:fldCharType="begin"/>
      </w:r>
      <w:r w:rsidRPr="00C9343F">
        <w:instrText xml:space="preserve"> PAGEREF _Toc105053903 \h </w:instrText>
      </w:r>
      <w:r w:rsidRPr="00C9343F">
        <w:fldChar w:fldCharType="separate"/>
      </w:r>
      <w:r w:rsidRPr="00C9343F">
        <w:t>190</w:t>
      </w:r>
      <w:r w:rsidRPr="00C9343F">
        <w:fldChar w:fldCharType="end"/>
      </w:r>
    </w:p>
    <w:p w14:paraId="685DE1D2" w14:textId="778718DE" w:rsidR="00271952" w:rsidRPr="00C9343F" w:rsidRDefault="00271952">
      <w:pPr>
        <w:pStyle w:val="TOC5"/>
        <w:rPr>
          <w:rFonts w:asciiTheme="minorHAnsi" w:eastAsiaTheme="minorEastAsia" w:hAnsiTheme="minorHAnsi" w:cstheme="minorBidi"/>
          <w:sz w:val="22"/>
          <w:szCs w:val="22"/>
        </w:rPr>
      </w:pPr>
      <w:r w:rsidRPr="00C9343F">
        <w:t>4.8.27    Purpose</w:t>
      </w:r>
      <w:r w:rsidRPr="00C9343F">
        <w:tab/>
      </w:r>
      <w:r w:rsidRPr="00C9343F">
        <w:fldChar w:fldCharType="begin"/>
      </w:r>
      <w:r w:rsidRPr="00C9343F">
        <w:instrText xml:space="preserve"> PAGEREF _Toc105053904 \h </w:instrText>
      </w:r>
      <w:r w:rsidRPr="00C9343F">
        <w:fldChar w:fldCharType="separate"/>
      </w:r>
      <w:r w:rsidRPr="00C9343F">
        <w:t>190</w:t>
      </w:r>
      <w:r w:rsidRPr="00C9343F">
        <w:fldChar w:fldCharType="end"/>
      </w:r>
    </w:p>
    <w:p w14:paraId="74AD1E43" w14:textId="3C682EBF" w:rsidR="00271952" w:rsidRPr="00C9343F" w:rsidRDefault="00271952">
      <w:pPr>
        <w:pStyle w:val="TOC5"/>
        <w:rPr>
          <w:rFonts w:asciiTheme="minorHAnsi" w:eastAsiaTheme="minorEastAsia" w:hAnsiTheme="minorHAnsi" w:cstheme="minorBidi"/>
          <w:sz w:val="22"/>
          <w:szCs w:val="22"/>
        </w:rPr>
      </w:pPr>
      <w:r w:rsidRPr="00C9343F">
        <w:t>4.8.29    Member this Division applies to</w:t>
      </w:r>
      <w:r w:rsidRPr="00C9343F">
        <w:tab/>
      </w:r>
      <w:r w:rsidRPr="00C9343F">
        <w:fldChar w:fldCharType="begin"/>
      </w:r>
      <w:r w:rsidRPr="00C9343F">
        <w:instrText xml:space="preserve"> PAGEREF _Toc105053905 \h </w:instrText>
      </w:r>
      <w:r w:rsidRPr="00C9343F">
        <w:fldChar w:fldCharType="separate"/>
      </w:r>
      <w:r w:rsidRPr="00C9343F">
        <w:t>190</w:t>
      </w:r>
      <w:r w:rsidRPr="00C9343F">
        <w:fldChar w:fldCharType="end"/>
      </w:r>
    </w:p>
    <w:p w14:paraId="306EDC8A" w14:textId="199359E0" w:rsidR="00271952" w:rsidRPr="00C9343F" w:rsidRDefault="00271952">
      <w:pPr>
        <w:pStyle w:val="TOC5"/>
        <w:rPr>
          <w:rFonts w:asciiTheme="minorHAnsi" w:eastAsiaTheme="minorEastAsia" w:hAnsiTheme="minorHAnsi" w:cstheme="minorBidi"/>
          <w:sz w:val="22"/>
          <w:szCs w:val="22"/>
        </w:rPr>
      </w:pPr>
      <w:r w:rsidRPr="00C9343F">
        <w:t>4.8.30    Payment</w:t>
      </w:r>
      <w:r w:rsidRPr="00C9343F">
        <w:tab/>
      </w:r>
      <w:r w:rsidRPr="00C9343F">
        <w:fldChar w:fldCharType="begin"/>
      </w:r>
      <w:r w:rsidRPr="00C9343F">
        <w:instrText xml:space="preserve"> PAGEREF _Toc105053906 \h </w:instrText>
      </w:r>
      <w:r w:rsidRPr="00C9343F">
        <w:fldChar w:fldCharType="separate"/>
      </w:r>
      <w:r w:rsidRPr="00C9343F">
        <w:t>190</w:t>
      </w:r>
      <w:r w:rsidRPr="00C9343F">
        <w:fldChar w:fldCharType="end"/>
      </w:r>
    </w:p>
    <w:p w14:paraId="280F58B3" w14:textId="18150658" w:rsidR="00271952" w:rsidRPr="00C9343F" w:rsidRDefault="00271952">
      <w:pPr>
        <w:pStyle w:val="TOC5"/>
        <w:rPr>
          <w:rFonts w:asciiTheme="minorHAnsi" w:eastAsiaTheme="minorEastAsia" w:hAnsiTheme="minorHAnsi" w:cstheme="minorBidi"/>
          <w:sz w:val="22"/>
          <w:szCs w:val="22"/>
        </w:rPr>
      </w:pPr>
      <w:r w:rsidRPr="00C9343F">
        <w:t>4.8.31    Professional development activities</w:t>
      </w:r>
      <w:r w:rsidRPr="00C9343F">
        <w:tab/>
      </w:r>
      <w:r w:rsidRPr="00C9343F">
        <w:fldChar w:fldCharType="begin"/>
      </w:r>
      <w:r w:rsidRPr="00C9343F">
        <w:instrText xml:space="preserve"> PAGEREF _Toc105053907 \h </w:instrText>
      </w:r>
      <w:r w:rsidRPr="00C9343F">
        <w:fldChar w:fldCharType="separate"/>
      </w:r>
      <w:r w:rsidRPr="00C9343F">
        <w:t>190</w:t>
      </w:r>
      <w:r w:rsidRPr="00C9343F">
        <w:fldChar w:fldCharType="end"/>
      </w:r>
    </w:p>
    <w:p w14:paraId="6FCA9833" w14:textId="78F02CF9" w:rsidR="00271952" w:rsidRPr="00C9343F" w:rsidRDefault="00271952">
      <w:pPr>
        <w:pStyle w:val="TOC5"/>
        <w:rPr>
          <w:rFonts w:asciiTheme="minorHAnsi" w:eastAsiaTheme="minorEastAsia" w:hAnsiTheme="minorHAnsi" w:cstheme="minorBidi"/>
          <w:sz w:val="22"/>
          <w:szCs w:val="22"/>
        </w:rPr>
      </w:pPr>
      <w:r w:rsidRPr="00C9343F">
        <w:t>4.8.32    Calculation of the maximum</w:t>
      </w:r>
      <w:r w:rsidRPr="00C9343F">
        <w:tab/>
      </w:r>
      <w:r w:rsidRPr="00C9343F">
        <w:fldChar w:fldCharType="begin"/>
      </w:r>
      <w:r w:rsidRPr="00C9343F">
        <w:instrText xml:space="preserve"> PAGEREF _Toc105053908 \h </w:instrText>
      </w:r>
      <w:r w:rsidRPr="00C9343F">
        <w:fldChar w:fldCharType="separate"/>
      </w:r>
      <w:r w:rsidRPr="00C9343F">
        <w:t>191</w:t>
      </w:r>
      <w:r w:rsidRPr="00C9343F">
        <w:fldChar w:fldCharType="end"/>
      </w:r>
    </w:p>
    <w:p w14:paraId="4A3DE02D" w14:textId="3F7C561A" w:rsidR="00271952" w:rsidRPr="00C9343F" w:rsidRDefault="00271952">
      <w:pPr>
        <w:pStyle w:val="TOC3"/>
        <w:rPr>
          <w:rFonts w:asciiTheme="minorHAnsi" w:eastAsiaTheme="minorEastAsia" w:hAnsiTheme="minorHAnsi" w:cstheme="minorBidi"/>
          <w:b w:val="0"/>
          <w:sz w:val="22"/>
          <w:szCs w:val="22"/>
        </w:rPr>
      </w:pPr>
      <w:r w:rsidRPr="00C9343F">
        <w:t>Part 9: Reserves</w:t>
      </w:r>
      <w:r w:rsidRPr="00C9343F">
        <w:tab/>
      </w:r>
      <w:r w:rsidRPr="00C9343F">
        <w:fldChar w:fldCharType="begin"/>
      </w:r>
      <w:r w:rsidRPr="00C9343F">
        <w:instrText xml:space="preserve"> PAGEREF _Toc105053909 \h </w:instrText>
      </w:r>
      <w:r w:rsidRPr="00C9343F">
        <w:fldChar w:fldCharType="separate"/>
      </w:r>
      <w:r w:rsidRPr="00C9343F">
        <w:t>193</w:t>
      </w:r>
      <w:r w:rsidRPr="00C9343F">
        <w:fldChar w:fldCharType="end"/>
      </w:r>
    </w:p>
    <w:p w14:paraId="42CDFDBB" w14:textId="1954DE29" w:rsidR="00271952" w:rsidRPr="00C9343F" w:rsidRDefault="00271952">
      <w:pPr>
        <w:pStyle w:val="TOC4"/>
        <w:rPr>
          <w:rFonts w:asciiTheme="minorHAnsi" w:eastAsiaTheme="minorEastAsia" w:hAnsiTheme="minorHAnsi" w:cstheme="minorBidi"/>
          <w:sz w:val="22"/>
          <w:szCs w:val="22"/>
        </w:rPr>
      </w:pPr>
      <w:r w:rsidRPr="00C9343F">
        <w:t>Division 1: Legal officer sessional fee</w:t>
      </w:r>
      <w:r w:rsidRPr="00C9343F">
        <w:tab/>
      </w:r>
      <w:r w:rsidRPr="00C9343F">
        <w:fldChar w:fldCharType="begin"/>
      </w:r>
      <w:r w:rsidRPr="00C9343F">
        <w:instrText xml:space="preserve"> PAGEREF _Toc105053910 \h </w:instrText>
      </w:r>
      <w:r w:rsidRPr="00C9343F">
        <w:fldChar w:fldCharType="separate"/>
      </w:r>
      <w:r w:rsidRPr="00C9343F">
        <w:t>193</w:t>
      </w:r>
      <w:r w:rsidRPr="00C9343F">
        <w:fldChar w:fldCharType="end"/>
      </w:r>
    </w:p>
    <w:p w14:paraId="738BD189" w14:textId="14C85946" w:rsidR="00271952" w:rsidRPr="00C9343F" w:rsidRDefault="00271952">
      <w:pPr>
        <w:pStyle w:val="TOC5"/>
        <w:rPr>
          <w:rFonts w:asciiTheme="minorHAnsi" w:eastAsiaTheme="minorEastAsia" w:hAnsiTheme="minorHAnsi" w:cstheme="minorBidi"/>
          <w:sz w:val="22"/>
          <w:szCs w:val="22"/>
        </w:rPr>
      </w:pPr>
      <w:r w:rsidRPr="00C9343F">
        <w:t>4.9.3    Purpose</w:t>
      </w:r>
      <w:r w:rsidRPr="00C9343F">
        <w:tab/>
      </w:r>
      <w:r w:rsidRPr="00C9343F">
        <w:fldChar w:fldCharType="begin"/>
      </w:r>
      <w:r w:rsidRPr="00C9343F">
        <w:instrText xml:space="preserve"> PAGEREF _Toc105053911 \h </w:instrText>
      </w:r>
      <w:r w:rsidRPr="00C9343F">
        <w:fldChar w:fldCharType="separate"/>
      </w:r>
      <w:r w:rsidRPr="00C9343F">
        <w:t>193</w:t>
      </w:r>
      <w:r w:rsidRPr="00C9343F">
        <w:fldChar w:fldCharType="end"/>
      </w:r>
    </w:p>
    <w:p w14:paraId="55F27678" w14:textId="3A977EF9" w:rsidR="00271952" w:rsidRPr="00C9343F" w:rsidRDefault="00271952">
      <w:pPr>
        <w:pStyle w:val="TOC5"/>
        <w:rPr>
          <w:rFonts w:asciiTheme="minorHAnsi" w:eastAsiaTheme="minorEastAsia" w:hAnsiTheme="minorHAnsi" w:cstheme="minorBidi"/>
          <w:sz w:val="22"/>
          <w:szCs w:val="22"/>
        </w:rPr>
      </w:pPr>
      <w:r w:rsidRPr="00C9343F">
        <w:t>4.9.4    Definitions</w:t>
      </w:r>
      <w:r w:rsidRPr="00C9343F">
        <w:tab/>
      </w:r>
      <w:r w:rsidRPr="00C9343F">
        <w:fldChar w:fldCharType="begin"/>
      </w:r>
      <w:r w:rsidRPr="00C9343F">
        <w:instrText xml:space="preserve"> PAGEREF _Toc105053912 \h </w:instrText>
      </w:r>
      <w:r w:rsidRPr="00C9343F">
        <w:fldChar w:fldCharType="separate"/>
      </w:r>
      <w:r w:rsidRPr="00C9343F">
        <w:t>193</w:t>
      </w:r>
      <w:r w:rsidRPr="00C9343F">
        <w:fldChar w:fldCharType="end"/>
      </w:r>
    </w:p>
    <w:p w14:paraId="51B7C39E" w14:textId="4AA01231" w:rsidR="00271952" w:rsidRPr="00C9343F" w:rsidRDefault="00271952">
      <w:pPr>
        <w:pStyle w:val="TOC5"/>
        <w:rPr>
          <w:rFonts w:asciiTheme="minorHAnsi" w:eastAsiaTheme="minorEastAsia" w:hAnsiTheme="minorHAnsi" w:cstheme="minorBidi"/>
          <w:sz w:val="22"/>
          <w:szCs w:val="22"/>
        </w:rPr>
      </w:pPr>
      <w:r w:rsidRPr="00C9343F">
        <w:t>4.9.5    Members this Division applies to</w:t>
      </w:r>
      <w:r w:rsidRPr="00C9343F">
        <w:tab/>
      </w:r>
      <w:r w:rsidRPr="00C9343F">
        <w:fldChar w:fldCharType="begin"/>
      </w:r>
      <w:r w:rsidRPr="00C9343F">
        <w:instrText xml:space="preserve"> PAGEREF _Toc105053913 \h </w:instrText>
      </w:r>
      <w:r w:rsidRPr="00C9343F">
        <w:fldChar w:fldCharType="separate"/>
      </w:r>
      <w:r w:rsidRPr="00C9343F">
        <w:t>193</w:t>
      </w:r>
      <w:r w:rsidRPr="00C9343F">
        <w:fldChar w:fldCharType="end"/>
      </w:r>
    </w:p>
    <w:p w14:paraId="11D85F11" w14:textId="27D3C3CB" w:rsidR="00271952" w:rsidRPr="00C9343F" w:rsidRDefault="00271952">
      <w:pPr>
        <w:pStyle w:val="TOC5"/>
        <w:rPr>
          <w:rFonts w:asciiTheme="minorHAnsi" w:eastAsiaTheme="minorEastAsia" w:hAnsiTheme="minorHAnsi" w:cstheme="minorBidi"/>
          <w:sz w:val="22"/>
          <w:szCs w:val="22"/>
        </w:rPr>
      </w:pPr>
      <w:r w:rsidRPr="00C9343F">
        <w:t>4.9.6    Duties attracting a sessional fee</w:t>
      </w:r>
      <w:r w:rsidRPr="00C9343F">
        <w:tab/>
      </w:r>
      <w:r w:rsidRPr="00C9343F">
        <w:fldChar w:fldCharType="begin"/>
      </w:r>
      <w:r w:rsidRPr="00C9343F">
        <w:instrText xml:space="preserve"> PAGEREF _Toc105053914 \h </w:instrText>
      </w:r>
      <w:r w:rsidRPr="00C9343F">
        <w:fldChar w:fldCharType="separate"/>
      </w:r>
      <w:r w:rsidRPr="00C9343F">
        <w:t>193</w:t>
      </w:r>
      <w:r w:rsidRPr="00C9343F">
        <w:fldChar w:fldCharType="end"/>
      </w:r>
    </w:p>
    <w:p w14:paraId="34C3BA69" w14:textId="7E7D7360" w:rsidR="00271952" w:rsidRPr="00C9343F" w:rsidRDefault="00271952">
      <w:pPr>
        <w:pStyle w:val="TOC5"/>
        <w:rPr>
          <w:rFonts w:asciiTheme="minorHAnsi" w:eastAsiaTheme="minorEastAsia" w:hAnsiTheme="minorHAnsi" w:cstheme="minorBidi"/>
          <w:sz w:val="22"/>
          <w:szCs w:val="22"/>
        </w:rPr>
      </w:pPr>
      <w:r w:rsidRPr="00C9343F">
        <w:t>4.9.7    Sessional fee and Reserve salary</w:t>
      </w:r>
      <w:r w:rsidRPr="00C9343F">
        <w:tab/>
      </w:r>
      <w:r w:rsidRPr="00C9343F">
        <w:fldChar w:fldCharType="begin"/>
      </w:r>
      <w:r w:rsidRPr="00C9343F">
        <w:instrText xml:space="preserve"> PAGEREF _Toc105053915 \h </w:instrText>
      </w:r>
      <w:r w:rsidRPr="00C9343F">
        <w:fldChar w:fldCharType="separate"/>
      </w:r>
      <w:r w:rsidRPr="00C9343F">
        <w:t>195</w:t>
      </w:r>
      <w:r w:rsidRPr="00C9343F">
        <w:fldChar w:fldCharType="end"/>
      </w:r>
    </w:p>
    <w:p w14:paraId="53D32091" w14:textId="5633DD61" w:rsidR="00271952" w:rsidRPr="00C9343F" w:rsidRDefault="00271952">
      <w:pPr>
        <w:pStyle w:val="TOC5"/>
        <w:rPr>
          <w:rFonts w:asciiTheme="minorHAnsi" w:eastAsiaTheme="minorEastAsia" w:hAnsiTheme="minorHAnsi" w:cstheme="minorBidi"/>
          <w:sz w:val="22"/>
          <w:szCs w:val="22"/>
        </w:rPr>
      </w:pPr>
      <w:r w:rsidRPr="00C9343F">
        <w:t>4.9.8    Amount of sessional fee</w:t>
      </w:r>
      <w:r w:rsidRPr="00C9343F">
        <w:tab/>
      </w:r>
      <w:r w:rsidRPr="00C9343F">
        <w:fldChar w:fldCharType="begin"/>
      </w:r>
      <w:r w:rsidRPr="00C9343F">
        <w:instrText xml:space="preserve"> PAGEREF _Toc105053916 \h </w:instrText>
      </w:r>
      <w:r w:rsidRPr="00C9343F">
        <w:fldChar w:fldCharType="separate"/>
      </w:r>
      <w:r w:rsidRPr="00C9343F">
        <w:t>195</w:t>
      </w:r>
      <w:r w:rsidRPr="00C9343F">
        <w:fldChar w:fldCharType="end"/>
      </w:r>
    </w:p>
    <w:p w14:paraId="65952D05" w14:textId="43704E3F" w:rsidR="00271952" w:rsidRPr="00C9343F" w:rsidRDefault="00271952">
      <w:pPr>
        <w:pStyle w:val="TOC4"/>
        <w:rPr>
          <w:rFonts w:asciiTheme="minorHAnsi" w:eastAsiaTheme="minorEastAsia" w:hAnsiTheme="minorHAnsi" w:cstheme="minorBidi"/>
          <w:sz w:val="22"/>
          <w:szCs w:val="22"/>
        </w:rPr>
      </w:pPr>
      <w:r w:rsidRPr="00C9343F">
        <w:t>Division 2: Airfield Defence Guards (annual proficiency bonus)</w:t>
      </w:r>
      <w:r w:rsidRPr="00C9343F">
        <w:tab/>
      </w:r>
      <w:r w:rsidRPr="00C9343F">
        <w:fldChar w:fldCharType="begin"/>
      </w:r>
      <w:r w:rsidRPr="00C9343F">
        <w:instrText xml:space="preserve"> PAGEREF _Toc105053917 \h </w:instrText>
      </w:r>
      <w:r w:rsidRPr="00C9343F">
        <w:fldChar w:fldCharType="separate"/>
      </w:r>
      <w:r w:rsidRPr="00C9343F">
        <w:t>197</w:t>
      </w:r>
      <w:r w:rsidRPr="00C9343F">
        <w:fldChar w:fldCharType="end"/>
      </w:r>
    </w:p>
    <w:p w14:paraId="26ED0A8F" w14:textId="2B200425" w:rsidR="00271952" w:rsidRPr="00C9343F" w:rsidRDefault="00271952">
      <w:pPr>
        <w:pStyle w:val="TOC5"/>
        <w:rPr>
          <w:rFonts w:asciiTheme="minorHAnsi" w:eastAsiaTheme="minorEastAsia" w:hAnsiTheme="minorHAnsi" w:cstheme="minorBidi"/>
          <w:sz w:val="22"/>
          <w:szCs w:val="22"/>
        </w:rPr>
      </w:pPr>
      <w:r w:rsidRPr="00C9343F">
        <w:t>4.9.9    Purpose</w:t>
      </w:r>
      <w:r w:rsidRPr="00C9343F">
        <w:tab/>
      </w:r>
      <w:r w:rsidRPr="00C9343F">
        <w:fldChar w:fldCharType="begin"/>
      </w:r>
      <w:r w:rsidRPr="00C9343F">
        <w:instrText xml:space="preserve"> PAGEREF _Toc105053918 \h </w:instrText>
      </w:r>
      <w:r w:rsidRPr="00C9343F">
        <w:fldChar w:fldCharType="separate"/>
      </w:r>
      <w:r w:rsidRPr="00C9343F">
        <w:t>197</w:t>
      </w:r>
      <w:r w:rsidRPr="00C9343F">
        <w:fldChar w:fldCharType="end"/>
      </w:r>
    </w:p>
    <w:p w14:paraId="6EBADF72" w14:textId="774DB984" w:rsidR="00271952" w:rsidRPr="00C9343F" w:rsidRDefault="00271952">
      <w:pPr>
        <w:pStyle w:val="TOC5"/>
        <w:rPr>
          <w:rFonts w:asciiTheme="minorHAnsi" w:eastAsiaTheme="minorEastAsia" w:hAnsiTheme="minorHAnsi" w:cstheme="minorBidi"/>
          <w:sz w:val="22"/>
          <w:szCs w:val="22"/>
        </w:rPr>
      </w:pPr>
      <w:r w:rsidRPr="00C9343F">
        <w:t>4.9.10    Members this Division applies to</w:t>
      </w:r>
      <w:r w:rsidRPr="00C9343F">
        <w:tab/>
      </w:r>
      <w:r w:rsidRPr="00C9343F">
        <w:fldChar w:fldCharType="begin"/>
      </w:r>
      <w:r w:rsidRPr="00C9343F">
        <w:instrText xml:space="preserve"> PAGEREF _Toc105053919 \h </w:instrText>
      </w:r>
      <w:r w:rsidRPr="00C9343F">
        <w:fldChar w:fldCharType="separate"/>
      </w:r>
      <w:r w:rsidRPr="00C9343F">
        <w:t>197</w:t>
      </w:r>
      <w:r w:rsidRPr="00C9343F">
        <w:fldChar w:fldCharType="end"/>
      </w:r>
    </w:p>
    <w:p w14:paraId="121B0DE8" w14:textId="39042BF0" w:rsidR="00271952" w:rsidRPr="00C9343F" w:rsidRDefault="00271952">
      <w:pPr>
        <w:pStyle w:val="TOC5"/>
        <w:rPr>
          <w:rFonts w:asciiTheme="minorHAnsi" w:eastAsiaTheme="minorEastAsia" w:hAnsiTheme="minorHAnsi" w:cstheme="minorBidi"/>
          <w:sz w:val="22"/>
          <w:szCs w:val="22"/>
        </w:rPr>
      </w:pPr>
      <w:r w:rsidRPr="00C9343F">
        <w:t>4.9.11    Conditions of eligibility</w:t>
      </w:r>
      <w:r w:rsidRPr="00C9343F">
        <w:tab/>
      </w:r>
      <w:r w:rsidRPr="00C9343F">
        <w:fldChar w:fldCharType="begin"/>
      </w:r>
      <w:r w:rsidRPr="00C9343F">
        <w:instrText xml:space="preserve"> PAGEREF _Toc105053920 \h </w:instrText>
      </w:r>
      <w:r w:rsidRPr="00C9343F">
        <w:fldChar w:fldCharType="separate"/>
      </w:r>
      <w:r w:rsidRPr="00C9343F">
        <w:t>197</w:t>
      </w:r>
      <w:r w:rsidRPr="00C9343F">
        <w:fldChar w:fldCharType="end"/>
      </w:r>
    </w:p>
    <w:p w14:paraId="32F12991" w14:textId="0E68DD20" w:rsidR="00271952" w:rsidRPr="00C9343F" w:rsidRDefault="00271952">
      <w:pPr>
        <w:pStyle w:val="TOC5"/>
        <w:rPr>
          <w:rFonts w:asciiTheme="minorHAnsi" w:eastAsiaTheme="minorEastAsia" w:hAnsiTheme="minorHAnsi" w:cstheme="minorBidi"/>
          <w:sz w:val="22"/>
          <w:szCs w:val="22"/>
        </w:rPr>
      </w:pPr>
      <w:r w:rsidRPr="00C9343F">
        <w:t>4.9.12    Rate and date of eligibility</w:t>
      </w:r>
      <w:r w:rsidRPr="00C9343F">
        <w:tab/>
      </w:r>
      <w:r w:rsidRPr="00C9343F">
        <w:fldChar w:fldCharType="begin"/>
      </w:r>
      <w:r w:rsidRPr="00C9343F">
        <w:instrText xml:space="preserve"> PAGEREF _Toc105053921 \h </w:instrText>
      </w:r>
      <w:r w:rsidRPr="00C9343F">
        <w:fldChar w:fldCharType="separate"/>
      </w:r>
      <w:r w:rsidRPr="00C9343F">
        <w:t>197</w:t>
      </w:r>
      <w:r w:rsidRPr="00C9343F">
        <w:fldChar w:fldCharType="end"/>
      </w:r>
    </w:p>
    <w:p w14:paraId="68D46090" w14:textId="17C95C6F" w:rsidR="00271952" w:rsidRPr="00C9343F" w:rsidRDefault="00271952">
      <w:pPr>
        <w:pStyle w:val="TOC5"/>
        <w:rPr>
          <w:rFonts w:asciiTheme="minorHAnsi" w:eastAsiaTheme="minorEastAsia" w:hAnsiTheme="minorHAnsi" w:cstheme="minorBidi"/>
          <w:sz w:val="22"/>
          <w:szCs w:val="22"/>
        </w:rPr>
      </w:pPr>
      <w:r w:rsidRPr="00C9343F">
        <w:t>4.9.13    Preservation of eligibility on transfer</w:t>
      </w:r>
      <w:r w:rsidRPr="00C9343F">
        <w:tab/>
      </w:r>
      <w:r w:rsidRPr="00C9343F">
        <w:fldChar w:fldCharType="begin"/>
      </w:r>
      <w:r w:rsidRPr="00C9343F">
        <w:instrText xml:space="preserve"> PAGEREF _Toc105053922 \h </w:instrText>
      </w:r>
      <w:r w:rsidRPr="00C9343F">
        <w:fldChar w:fldCharType="separate"/>
      </w:r>
      <w:r w:rsidRPr="00C9343F">
        <w:t>198</w:t>
      </w:r>
      <w:r w:rsidRPr="00C9343F">
        <w:fldChar w:fldCharType="end"/>
      </w:r>
    </w:p>
    <w:p w14:paraId="368959B1" w14:textId="18BA7880" w:rsidR="00271952" w:rsidRPr="00C9343F" w:rsidRDefault="00271952">
      <w:pPr>
        <w:pStyle w:val="TOC4"/>
        <w:rPr>
          <w:rFonts w:asciiTheme="minorHAnsi" w:eastAsiaTheme="minorEastAsia" w:hAnsiTheme="minorHAnsi" w:cstheme="minorBidi"/>
          <w:sz w:val="22"/>
          <w:szCs w:val="22"/>
        </w:rPr>
      </w:pPr>
      <w:r w:rsidRPr="00C9343F">
        <w:t>Division 3: Health support allowance – Reserves</w:t>
      </w:r>
      <w:r w:rsidRPr="00C9343F">
        <w:tab/>
      </w:r>
      <w:r w:rsidRPr="00C9343F">
        <w:fldChar w:fldCharType="begin"/>
      </w:r>
      <w:r w:rsidRPr="00C9343F">
        <w:instrText xml:space="preserve"> PAGEREF _Toc105053923 \h </w:instrText>
      </w:r>
      <w:r w:rsidRPr="00C9343F">
        <w:fldChar w:fldCharType="separate"/>
      </w:r>
      <w:r w:rsidRPr="00C9343F">
        <w:t>199</w:t>
      </w:r>
      <w:r w:rsidRPr="00C9343F">
        <w:fldChar w:fldCharType="end"/>
      </w:r>
    </w:p>
    <w:p w14:paraId="4E42ABEC" w14:textId="4E244266" w:rsidR="00271952" w:rsidRPr="00C9343F" w:rsidRDefault="00271952">
      <w:pPr>
        <w:pStyle w:val="TOC5"/>
        <w:rPr>
          <w:rFonts w:asciiTheme="minorHAnsi" w:eastAsiaTheme="minorEastAsia" w:hAnsiTheme="minorHAnsi" w:cstheme="minorBidi"/>
          <w:sz w:val="22"/>
          <w:szCs w:val="22"/>
        </w:rPr>
      </w:pPr>
      <w:r w:rsidRPr="00C9343F">
        <w:t>4.9.14    Purpose</w:t>
      </w:r>
      <w:r w:rsidRPr="00C9343F">
        <w:tab/>
      </w:r>
      <w:r w:rsidRPr="00C9343F">
        <w:fldChar w:fldCharType="begin"/>
      </w:r>
      <w:r w:rsidRPr="00C9343F">
        <w:instrText xml:space="preserve"> PAGEREF _Toc105053924 \h </w:instrText>
      </w:r>
      <w:r w:rsidRPr="00C9343F">
        <w:fldChar w:fldCharType="separate"/>
      </w:r>
      <w:r w:rsidRPr="00C9343F">
        <w:t>199</w:t>
      </w:r>
      <w:r w:rsidRPr="00C9343F">
        <w:fldChar w:fldCharType="end"/>
      </w:r>
    </w:p>
    <w:p w14:paraId="6ECA67A8" w14:textId="4DD207CF" w:rsidR="00271952" w:rsidRPr="00C9343F" w:rsidRDefault="00271952">
      <w:pPr>
        <w:pStyle w:val="TOC5"/>
        <w:rPr>
          <w:rFonts w:asciiTheme="minorHAnsi" w:eastAsiaTheme="minorEastAsia" w:hAnsiTheme="minorHAnsi" w:cstheme="minorBidi"/>
          <w:sz w:val="22"/>
          <w:szCs w:val="22"/>
        </w:rPr>
      </w:pPr>
      <w:r w:rsidRPr="00C9343F">
        <w:lastRenderedPageBreak/>
        <w:t>4.9.16    Health support allowance – Capability at short-notice</w:t>
      </w:r>
      <w:r w:rsidRPr="00C9343F">
        <w:tab/>
      </w:r>
      <w:r w:rsidRPr="00C9343F">
        <w:fldChar w:fldCharType="begin"/>
      </w:r>
      <w:r w:rsidRPr="00C9343F">
        <w:instrText xml:space="preserve"> PAGEREF _Toc105053925 \h </w:instrText>
      </w:r>
      <w:r w:rsidRPr="00C9343F">
        <w:fldChar w:fldCharType="separate"/>
      </w:r>
      <w:r w:rsidRPr="00C9343F">
        <w:t>199</w:t>
      </w:r>
      <w:r w:rsidRPr="00C9343F">
        <w:fldChar w:fldCharType="end"/>
      </w:r>
    </w:p>
    <w:p w14:paraId="65F77996" w14:textId="6F74F282" w:rsidR="00271952" w:rsidRPr="00C9343F" w:rsidRDefault="00271952">
      <w:pPr>
        <w:pStyle w:val="TOC5"/>
        <w:rPr>
          <w:rFonts w:asciiTheme="minorHAnsi" w:eastAsiaTheme="minorEastAsia" w:hAnsiTheme="minorHAnsi" w:cstheme="minorBidi"/>
          <w:sz w:val="22"/>
          <w:szCs w:val="22"/>
        </w:rPr>
      </w:pPr>
      <w:r w:rsidRPr="00C9343F">
        <w:t>4.9.17    Health support allowance – Members on Reserve service</w:t>
      </w:r>
      <w:r w:rsidRPr="00C9343F">
        <w:tab/>
      </w:r>
      <w:r w:rsidRPr="00C9343F">
        <w:fldChar w:fldCharType="begin"/>
      </w:r>
      <w:r w:rsidRPr="00C9343F">
        <w:instrText xml:space="preserve"> PAGEREF _Toc105053926 \h </w:instrText>
      </w:r>
      <w:r w:rsidRPr="00C9343F">
        <w:fldChar w:fldCharType="separate"/>
      </w:r>
      <w:r w:rsidRPr="00C9343F">
        <w:t>200</w:t>
      </w:r>
      <w:r w:rsidRPr="00C9343F">
        <w:fldChar w:fldCharType="end"/>
      </w:r>
    </w:p>
    <w:p w14:paraId="62005C83" w14:textId="18692749" w:rsidR="00271952" w:rsidRPr="00C9343F" w:rsidRDefault="00271952">
      <w:pPr>
        <w:pStyle w:val="TOC4"/>
        <w:rPr>
          <w:rFonts w:asciiTheme="minorHAnsi" w:eastAsiaTheme="minorEastAsia" w:hAnsiTheme="minorHAnsi" w:cstheme="minorBidi"/>
          <w:sz w:val="22"/>
          <w:szCs w:val="22"/>
        </w:rPr>
      </w:pPr>
      <w:r w:rsidRPr="00C9343F">
        <w:t>Division 4: Reserve service payment – infectious diseases</w:t>
      </w:r>
      <w:r w:rsidRPr="00C9343F">
        <w:tab/>
      </w:r>
      <w:r w:rsidRPr="00C9343F">
        <w:fldChar w:fldCharType="begin"/>
      </w:r>
      <w:r w:rsidRPr="00C9343F">
        <w:instrText xml:space="preserve"> PAGEREF _Toc105053927 \h </w:instrText>
      </w:r>
      <w:r w:rsidRPr="00C9343F">
        <w:fldChar w:fldCharType="separate"/>
      </w:r>
      <w:r w:rsidRPr="00C9343F">
        <w:t>201</w:t>
      </w:r>
      <w:r w:rsidRPr="00C9343F">
        <w:fldChar w:fldCharType="end"/>
      </w:r>
    </w:p>
    <w:p w14:paraId="42E9F272" w14:textId="6DF98F13" w:rsidR="00271952" w:rsidRPr="00C9343F" w:rsidRDefault="00271952">
      <w:pPr>
        <w:pStyle w:val="TOC5"/>
        <w:rPr>
          <w:rFonts w:asciiTheme="minorHAnsi" w:eastAsiaTheme="minorEastAsia" w:hAnsiTheme="minorHAnsi" w:cstheme="minorBidi"/>
          <w:sz w:val="22"/>
          <w:szCs w:val="22"/>
        </w:rPr>
      </w:pPr>
      <w:r w:rsidRPr="00C9343F">
        <w:t>4.9.19    Member this Division applies to</w:t>
      </w:r>
      <w:r w:rsidRPr="00C9343F">
        <w:tab/>
      </w:r>
      <w:r w:rsidRPr="00C9343F">
        <w:fldChar w:fldCharType="begin"/>
      </w:r>
      <w:r w:rsidRPr="00C9343F">
        <w:instrText xml:space="preserve"> PAGEREF _Toc105053928 \h </w:instrText>
      </w:r>
      <w:r w:rsidRPr="00C9343F">
        <w:fldChar w:fldCharType="separate"/>
      </w:r>
      <w:r w:rsidRPr="00C9343F">
        <w:t>201</w:t>
      </w:r>
      <w:r w:rsidRPr="00C9343F">
        <w:fldChar w:fldCharType="end"/>
      </w:r>
    </w:p>
    <w:p w14:paraId="2406C5A0" w14:textId="4180D4D1" w:rsidR="00271952" w:rsidRPr="00C9343F" w:rsidRDefault="00271952">
      <w:pPr>
        <w:pStyle w:val="TOC5"/>
        <w:rPr>
          <w:rFonts w:asciiTheme="minorHAnsi" w:eastAsiaTheme="minorEastAsia" w:hAnsiTheme="minorHAnsi" w:cstheme="minorBidi"/>
          <w:sz w:val="22"/>
          <w:szCs w:val="22"/>
        </w:rPr>
      </w:pPr>
      <w:r w:rsidRPr="00C9343F">
        <w:t>4.9.20    Payments for periods of isolation associated with military service</w:t>
      </w:r>
      <w:r w:rsidRPr="00C9343F">
        <w:tab/>
      </w:r>
      <w:r w:rsidRPr="00C9343F">
        <w:fldChar w:fldCharType="begin"/>
      </w:r>
      <w:r w:rsidRPr="00C9343F">
        <w:instrText xml:space="preserve"> PAGEREF _Toc105053929 \h </w:instrText>
      </w:r>
      <w:r w:rsidRPr="00C9343F">
        <w:fldChar w:fldCharType="separate"/>
      </w:r>
      <w:r w:rsidRPr="00C9343F">
        <w:t>201</w:t>
      </w:r>
      <w:r w:rsidRPr="00C9343F">
        <w:fldChar w:fldCharType="end"/>
      </w:r>
    </w:p>
    <w:p w14:paraId="32D8462B" w14:textId="703EC41A" w:rsidR="00271952" w:rsidRPr="00C9343F" w:rsidRDefault="00271952">
      <w:pPr>
        <w:pStyle w:val="TOC5"/>
        <w:rPr>
          <w:rFonts w:asciiTheme="minorHAnsi" w:eastAsiaTheme="minorEastAsia" w:hAnsiTheme="minorHAnsi" w:cstheme="minorBidi"/>
          <w:sz w:val="22"/>
          <w:szCs w:val="22"/>
        </w:rPr>
      </w:pPr>
      <w:r w:rsidRPr="00C9343F">
        <w:t>4.9.21    Payment following a Defence activity</w:t>
      </w:r>
      <w:r w:rsidRPr="00C9343F">
        <w:tab/>
      </w:r>
      <w:r w:rsidRPr="00C9343F">
        <w:fldChar w:fldCharType="begin"/>
      </w:r>
      <w:r w:rsidRPr="00C9343F">
        <w:instrText xml:space="preserve"> PAGEREF _Toc105053930 \h </w:instrText>
      </w:r>
      <w:r w:rsidRPr="00C9343F">
        <w:fldChar w:fldCharType="separate"/>
      </w:r>
      <w:r w:rsidRPr="00C9343F">
        <w:t>201</w:t>
      </w:r>
      <w:r w:rsidRPr="00C9343F">
        <w:fldChar w:fldCharType="end"/>
      </w:r>
    </w:p>
    <w:p w14:paraId="2E08BE8F" w14:textId="474BB4A0" w:rsidR="00271952" w:rsidRPr="00C9343F" w:rsidRDefault="00271952">
      <w:pPr>
        <w:pStyle w:val="TOC5"/>
        <w:rPr>
          <w:rFonts w:asciiTheme="minorHAnsi" w:eastAsiaTheme="minorEastAsia" w:hAnsiTheme="minorHAnsi" w:cstheme="minorBidi"/>
          <w:sz w:val="22"/>
          <w:szCs w:val="22"/>
        </w:rPr>
      </w:pPr>
      <w:r w:rsidRPr="00C9343F">
        <w:t>4.9.22    Payment for an inability to work a pattern of Reserve service</w:t>
      </w:r>
      <w:r w:rsidRPr="00C9343F">
        <w:tab/>
      </w:r>
      <w:r w:rsidRPr="00C9343F">
        <w:fldChar w:fldCharType="begin"/>
      </w:r>
      <w:r w:rsidRPr="00C9343F">
        <w:instrText xml:space="preserve"> PAGEREF _Toc105053931 \h </w:instrText>
      </w:r>
      <w:r w:rsidRPr="00C9343F">
        <w:fldChar w:fldCharType="separate"/>
      </w:r>
      <w:r w:rsidRPr="00C9343F">
        <w:t>201</w:t>
      </w:r>
      <w:r w:rsidRPr="00C9343F">
        <w:fldChar w:fldCharType="end"/>
      </w:r>
    </w:p>
    <w:p w14:paraId="20832CBF" w14:textId="5AE0CD27" w:rsidR="00271952" w:rsidRPr="00C9343F" w:rsidRDefault="00271952">
      <w:pPr>
        <w:pStyle w:val="TOC5"/>
        <w:rPr>
          <w:rFonts w:asciiTheme="minorHAnsi" w:eastAsiaTheme="minorEastAsia" w:hAnsiTheme="minorHAnsi" w:cstheme="minorBidi"/>
          <w:sz w:val="22"/>
          <w:szCs w:val="22"/>
        </w:rPr>
      </w:pPr>
      <w:r w:rsidRPr="00C9343F">
        <w:t>4.9.23    Payment for COVID-19</w:t>
      </w:r>
      <w:r w:rsidRPr="00C9343F">
        <w:tab/>
      </w:r>
      <w:r w:rsidRPr="00C9343F">
        <w:fldChar w:fldCharType="begin"/>
      </w:r>
      <w:r w:rsidRPr="00C9343F">
        <w:instrText xml:space="preserve"> PAGEREF _Toc105053932 \h </w:instrText>
      </w:r>
      <w:r w:rsidRPr="00C9343F">
        <w:fldChar w:fldCharType="separate"/>
      </w:r>
      <w:r w:rsidRPr="00C9343F">
        <w:t>202</w:t>
      </w:r>
      <w:r w:rsidRPr="00C9343F">
        <w:fldChar w:fldCharType="end"/>
      </w:r>
    </w:p>
    <w:p w14:paraId="63586916" w14:textId="1B9A7433" w:rsidR="00271952" w:rsidRPr="00C9343F" w:rsidRDefault="00271952">
      <w:pPr>
        <w:pStyle w:val="TOC5"/>
        <w:rPr>
          <w:rFonts w:asciiTheme="minorHAnsi" w:eastAsiaTheme="minorEastAsia" w:hAnsiTheme="minorHAnsi" w:cstheme="minorBidi"/>
          <w:sz w:val="22"/>
          <w:szCs w:val="22"/>
        </w:rPr>
      </w:pPr>
      <w:r w:rsidRPr="00C9343F">
        <w:t>4.9.24    Periods of non-payment</w:t>
      </w:r>
      <w:r w:rsidRPr="00C9343F">
        <w:tab/>
      </w:r>
      <w:r w:rsidRPr="00C9343F">
        <w:fldChar w:fldCharType="begin"/>
      </w:r>
      <w:r w:rsidRPr="00C9343F">
        <w:instrText xml:space="preserve"> PAGEREF _Toc105053933 \h </w:instrText>
      </w:r>
      <w:r w:rsidRPr="00C9343F">
        <w:fldChar w:fldCharType="separate"/>
      </w:r>
      <w:r w:rsidRPr="00C9343F">
        <w:t>202</w:t>
      </w:r>
      <w:r w:rsidRPr="00C9343F">
        <w:fldChar w:fldCharType="end"/>
      </w:r>
    </w:p>
    <w:p w14:paraId="51C458B1" w14:textId="46BBEEB5" w:rsidR="00271952" w:rsidRPr="00C9343F" w:rsidRDefault="00271952">
      <w:pPr>
        <w:pStyle w:val="TOC3"/>
        <w:rPr>
          <w:rFonts w:asciiTheme="minorHAnsi" w:eastAsiaTheme="minorEastAsia" w:hAnsiTheme="minorHAnsi" w:cstheme="minorBidi"/>
          <w:b w:val="0"/>
          <w:sz w:val="22"/>
          <w:szCs w:val="22"/>
        </w:rPr>
      </w:pPr>
      <w:r w:rsidRPr="00C9343F">
        <w:t>Part 10: Life insurance – additional risk insurance</w:t>
      </w:r>
      <w:r w:rsidRPr="00C9343F">
        <w:tab/>
      </w:r>
      <w:r w:rsidRPr="00C9343F">
        <w:fldChar w:fldCharType="begin"/>
      </w:r>
      <w:r w:rsidRPr="00C9343F">
        <w:instrText xml:space="preserve"> PAGEREF _Toc105053934 \h </w:instrText>
      </w:r>
      <w:r w:rsidRPr="00C9343F">
        <w:fldChar w:fldCharType="separate"/>
      </w:r>
      <w:r w:rsidRPr="00C9343F">
        <w:t>203</w:t>
      </w:r>
      <w:r w:rsidRPr="00C9343F">
        <w:fldChar w:fldCharType="end"/>
      </w:r>
    </w:p>
    <w:p w14:paraId="748B671F" w14:textId="166A8E53" w:rsidR="00271952" w:rsidRPr="00C9343F" w:rsidRDefault="00271952">
      <w:pPr>
        <w:pStyle w:val="TOC5"/>
        <w:rPr>
          <w:rFonts w:asciiTheme="minorHAnsi" w:eastAsiaTheme="minorEastAsia" w:hAnsiTheme="minorHAnsi" w:cstheme="minorBidi"/>
          <w:sz w:val="22"/>
          <w:szCs w:val="22"/>
        </w:rPr>
      </w:pPr>
      <w:r w:rsidRPr="00C9343F">
        <w:t>4.10.1    Purpose</w:t>
      </w:r>
      <w:r w:rsidRPr="00C9343F">
        <w:tab/>
      </w:r>
      <w:r w:rsidRPr="00C9343F">
        <w:fldChar w:fldCharType="begin"/>
      </w:r>
      <w:r w:rsidRPr="00C9343F">
        <w:instrText xml:space="preserve"> PAGEREF _Toc105053935 \h </w:instrText>
      </w:r>
      <w:r w:rsidRPr="00C9343F">
        <w:fldChar w:fldCharType="separate"/>
      </w:r>
      <w:r w:rsidRPr="00C9343F">
        <w:t>203</w:t>
      </w:r>
      <w:r w:rsidRPr="00C9343F">
        <w:fldChar w:fldCharType="end"/>
      </w:r>
    </w:p>
    <w:p w14:paraId="230014E3" w14:textId="449B73C8" w:rsidR="00271952" w:rsidRPr="00C9343F" w:rsidRDefault="00271952">
      <w:pPr>
        <w:pStyle w:val="TOC5"/>
        <w:rPr>
          <w:rFonts w:asciiTheme="minorHAnsi" w:eastAsiaTheme="minorEastAsia" w:hAnsiTheme="minorHAnsi" w:cstheme="minorBidi"/>
          <w:sz w:val="22"/>
          <w:szCs w:val="22"/>
        </w:rPr>
      </w:pPr>
      <w:r w:rsidRPr="00C9343F">
        <w:t>4.10.2    Members eligible</w:t>
      </w:r>
      <w:r w:rsidRPr="00C9343F">
        <w:tab/>
      </w:r>
      <w:r w:rsidRPr="00C9343F">
        <w:fldChar w:fldCharType="begin"/>
      </w:r>
      <w:r w:rsidRPr="00C9343F">
        <w:instrText xml:space="preserve"> PAGEREF _Toc105053936 \h </w:instrText>
      </w:r>
      <w:r w:rsidRPr="00C9343F">
        <w:fldChar w:fldCharType="separate"/>
      </w:r>
      <w:r w:rsidRPr="00C9343F">
        <w:t>203</w:t>
      </w:r>
      <w:r w:rsidRPr="00C9343F">
        <w:fldChar w:fldCharType="end"/>
      </w:r>
    </w:p>
    <w:p w14:paraId="552E0F6C" w14:textId="65A8F409" w:rsidR="00271952" w:rsidRPr="00C9343F" w:rsidRDefault="00271952">
      <w:pPr>
        <w:pStyle w:val="TOC5"/>
        <w:rPr>
          <w:rFonts w:asciiTheme="minorHAnsi" w:eastAsiaTheme="minorEastAsia" w:hAnsiTheme="minorHAnsi" w:cstheme="minorBidi"/>
          <w:sz w:val="22"/>
          <w:szCs w:val="22"/>
        </w:rPr>
      </w:pPr>
      <w:r w:rsidRPr="00C9343F">
        <w:t>4.10.3    Members not eligible</w:t>
      </w:r>
      <w:r w:rsidRPr="00C9343F">
        <w:tab/>
      </w:r>
      <w:r w:rsidRPr="00C9343F">
        <w:fldChar w:fldCharType="begin"/>
      </w:r>
      <w:r w:rsidRPr="00C9343F">
        <w:instrText xml:space="preserve"> PAGEREF _Toc105053937 \h </w:instrText>
      </w:r>
      <w:r w:rsidRPr="00C9343F">
        <w:fldChar w:fldCharType="separate"/>
      </w:r>
      <w:r w:rsidRPr="00C9343F">
        <w:t>203</w:t>
      </w:r>
      <w:r w:rsidRPr="00C9343F">
        <w:fldChar w:fldCharType="end"/>
      </w:r>
    </w:p>
    <w:p w14:paraId="63127C99" w14:textId="3E642E16" w:rsidR="00271952" w:rsidRPr="00C9343F" w:rsidRDefault="00271952">
      <w:pPr>
        <w:pStyle w:val="TOC5"/>
        <w:rPr>
          <w:rFonts w:asciiTheme="minorHAnsi" w:eastAsiaTheme="minorEastAsia" w:hAnsiTheme="minorHAnsi" w:cstheme="minorBidi"/>
          <w:sz w:val="22"/>
          <w:szCs w:val="22"/>
        </w:rPr>
      </w:pPr>
      <w:r w:rsidRPr="00C9343F">
        <w:t>4.10.4    Amount of reimbursement</w:t>
      </w:r>
      <w:r w:rsidRPr="00C9343F">
        <w:tab/>
      </w:r>
      <w:r w:rsidRPr="00C9343F">
        <w:fldChar w:fldCharType="begin"/>
      </w:r>
      <w:r w:rsidRPr="00C9343F">
        <w:instrText xml:space="preserve"> PAGEREF _Toc105053938 \h </w:instrText>
      </w:r>
      <w:r w:rsidRPr="00C9343F">
        <w:fldChar w:fldCharType="separate"/>
      </w:r>
      <w:r w:rsidRPr="00C9343F">
        <w:t>203</w:t>
      </w:r>
      <w:r w:rsidRPr="00C9343F">
        <w:fldChar w:fldCharType="end"/>
      </w:r>
    </w:p>
    <w:p w14:paraId="5742D5AB" w14:textId="7D480C29" w:rsidR="00271952" w:rsidRPr="00C9343F" w:rsidRDefault="00271952">
      <w:pPr>
        <w:pStyle w:val="TOC5"/>
        <w:rPr>
          <w:rFonts w:asciiTheme="minorHAnsi" w:eastAsiaTheme="minorEastAsia" w:hAnsiTheme="minorHAnsi" w:cstheme="minorBidi"/>
          <w:sz w:val="22"/>
          <w:szCs w:val="22"/>
        </w:rPr>
      </w:pPr>
      <w:r w:rsidRPr="00C9343F">
        <w:t>4.10.5    Timing of reimbursement</w:t>
      </w:r>
      <w:r w:rsidRPr="00C9343F">
        <w:tab/>
      </w:r>
      <w:r w:rsidRPr="00C9343F">
        <w:fldChar w:fldCharType="begin"/>
      </w:r>
      <w:r w:rsidRPr="00C9343F">
        <w:instrText xml:space="preserve"> PAGEREF _Toc105053939 \h </w:instrText>
      </w:r>
      <w:r w:rsidRPr="00C9343F">
        <w:fldChar w:fldCharType="separate"/>
      </w:r>
      <w:r w:rsidRPr="00C9343F">
        <w:t>203</w:t>
      </w:r>
      <w:r w:rsidRPr="00C9343F">
        <w:fldChar w:fldCharType="end"/>
      </w:r>
    </w:p>
    <w:p w14:paraId="3A0BE407" w14:textId="32628D8E" w:rsidR="00271952" w:rsidRPr="00C9343F" w:rsidRDefault="00271952">
      <w:pPr>
        <w:pStyle w:val="TOC3"/>
        <w:rPr>
          <w:rFonts w:asciiTheme="minorHAnsi" w:eastAsiaTheme="minorEastAsia" w:hAnsiTheme="minorHAnsi" w:cstheme="minorBidi"/>
          <w:b w:val="0"/>
          <w:sz w:val="22"/>
          <w:szCs w:val="22"/>
        </w:rPr>
      </w:pPr>
      <w:r w:rsidRPr="00C9343F">
        <w:t>Part 11: Parking</w:t>
      </w:r>
      <w:r w:rsidRPr="00C9343F">
        <w:tab/>
      </w:r>
      <w:r w:rsidRPr="00C9343F">
        <w:fldChar w:fldCharType="begin"/>
      </w:r>
      <w:r w:rsidRPr="00C9343F">
        <w:instrText xml:space="preserve"> PAGEREF _Toc105053940 \h </w:instrText>
      </w:r>
      <w:r w:rsidRPr="00C9343F">
        <w:fldChar w:fldCharType="separate"/>
      </w:r>
      <w:r w:rsidRPr="00C9343F">
        <w:t>205</w:t>
      </w:r>
      <w:r w:rsidRPr="00C9343F">
        <w:fldChar w:fldCharType="end"/>
      </w:r>
    </w:p>
    <w:p w14:paraId="7537B163" w14:textId="210C445B" w:rsidR="00271952" w:rsidRPr="00C9343F" w:rsidRDefault="00271952">
      <w:pPr>
        <w:pStyle w:val="TOC5"/>
        <w:rPr>
          <w:rFonts w:asciiTheme="minorHAnsi" w:eastAsiaTheme="minorEastAsia" w:hAnsiTheme="minorHAnsi" w:cstheme="minorBidi"/>
          <w:sz w:val="22"/>
          <w:szCs w:val="22"/>
        </w:rPr>
      </w:pPr>
      <w:r w:rsidRPr="00C9343F">
        <w:t>4.11.1    Purpose</w:t>
      </w:r>
      <w:r w:rsidRPr="00C9343F">
        <w:tab/>
      </w:r>
      <w:r w:rsidRPr="00C9343F">
        <w:fldChar w:fldCharType="begin"/>
      </w:r>
      <w:r w:rsidRPr="00C9343F">
        <w:instrText xml:space="preserve"> PAGEREF _Toc105053941 \h </w:instrText>
      </w:r>
      <w:r w:rsidRPr="00C9343F">
        <w:fldChar w:fldCharType="separate"/>
      </w:r>
      <w:r w:rsidRPr="00C9343F">
        <w:t>205</w:t>
      </w:r>
      <w:r w:rsidRPr="00C9343F">
        <w:fldChar w:fldCharType="end"/>
      </w:r>
    </w:p>
    <w:p w14:paraId="749D22CA" w14:textId="1E826D02" w:rsidR="00271952" w:rsidRPr="00C9343F" w:rsidRDefault="00271952">
      <w:pPr>
        <w:pStyle w:val="TOC5"/>
        <w:rPr>
          <w:rFonts w:asciiTheme="minorHAnsi" w:eastAsiaTheme="minorEastAsia" w:hAnsiTheme="minorHAnsi" w:cstheme="minorBidi"/>
          <w:sz w:val="22"/>
          <w:szCs w:val="22"/>
        </w:rPr>
      </w:pPr>
      <w:r w:rsidRPr="00C9343F">
        <w:t>4.11.2    Contributions for parking and parking permits</w:t>
      </w:r>
      <w:r w:rsidRPr="00C9343F">
        <w:tab/>
      </w:r>
      <w:r w:rsidRPr="00C9343F">
        <w:fldChar w:fldCharType="begin"/>
      </w:r>
      <w:r w:rsidRPr="00C9343F">
        <w:instrText xml:space="preserve"> PAGEREF _Toc105053942 \h </w:instrText>
      </w:r>
      <w:r w:rsidRPr="00C9343F">
        <w:fldChar w:fldCharType="separate"/>
      </w:r>
      <w:r w:rsidRPr="00C9343F">
        <w:t>205</w:t>
      </w:r>
      <w:r w:rsidRPr="00C9343F">
        <w:fldChar w:fldCharType="end"/>
      </w:r>
    </w:p>
    <w:p w14:paraId="4B4C9B17" w14:textId="237918EA" w:rsidR="00271952" w:rsidRPr="00C9343F" w:rsidRDefault="00271952">
      <w:pPr>
        <w:pStyle w:val="TOC3"/>
        <w:rPr>
          <w:rFonts w:asciiTheme="minorHAnsi" w:eastAsiaTheme="minorEastAsia" w:hAnsiTheme="minorHAnsi" w:cstheme="minorBidi"/>
          <w:b w:val="0"/>
          <w:sz w:val="22"/>
          <w:szCs w:val="22"/>
        </w:rPr>
      </w:pPr>
      <w:r w:rsidRPr="00C9343F">
        <w:t>Part 12: Operation COVID-19 ASSIST allowance</w:t>
      </w:r>
      <w:r w:rsidRPr="00C9343F">
        <w:tab/>
      </w:r>
      <w:r w:rsidRPr="00C9343F">
        <w:fldChar w:fldCharType="begin"/>
      </w:r>
      <w:r w:rsidRPr="00C9343F">
        <w:instrText xml:space="preserve"> PAGEREF _Toc105053943 \h </w:instrText>
      </w:r>
      <w:r w:rsidRPr="00C9343F">
        <w:fldChar w:fldCharType="separate"/>
      </w:r>
      <w:r w:rsidRPr="00C9343F">
        <w:t>206</w:t>
      </w:r>
      <w:r w:rsidRPr="00C9343F">
        <w:fldChar w:fldCharType="end"/>
      </w:r>
    </w:p>
    <w:p w14:paraId="54E696FF" w14:textId="6D0A1C24" w:rsidR="00271952" w:rsidRPr="00C9343F" w:rsidRDefault="00271952">
      <w:pPr>
        <w:pStyle w:val="TOC5"/>
        <w:rPr>
          <w:rFonts w:asciiTheme="minorHAnsi" w:eastAsiaTheme="minorEastAsia" w:hAnsiTheme="minorHAnsi" w:cstheme="minorBidi"/>
          <w:sz w:val="22"/>
          <w:szCs w:val="22"/>
        </w:rPr>
      </w:pPr>
      <w:r w:rsidRPr="00C9343F">
        <w:t>4.12.1    Purpose</w:t>
      </w:r>
      <w:r w:rsidRPr="00C9343F">
        <w:tab/>
      </w:r>
      <w:r w:rsidRPr="00C9343F">
        <w:fldChar w:fldCharType="begin"/>
      </w:r>
      <w:r w:rsidRPr="00C9343F">
        <w:instrText xml:space="preserve"> PAGEREF _Toc105053944 \h </w:instrText>
      </w:r>
      <w:r w:rsidRPr="00C9343F">
        <w:fldChar w:fldCharType="separate"/>
      </w:r>
      <w:r w:rsidRPr="00C9343F">
        <w:t>206</w:t>
      </w:r>
      <w:r w:rsidRPr="00C9343F">
        <w:fldChar w:fldCharType="end"/>
      </w:r>
    </w:p>
    <w:p w14:paraId="2D3BA614" w14:textId="5DF85D7E" w:rsidR="00271952" w:rsidRPr="00C9343F" w:rsidRDefault="00271952">
      <w:pPr>
        <w:pStyle w:val="TOC5"/>
        <w:rPr>
          <w:rFonts w:asciiTheme="minorHAnsi" w:eastAsiaTheme="minorEastAsia" w:hAnsiTheme="minorHAnsi" w:cstheme="minorBidi"/>
          <w:sz w:val="22"/>
          <w:szCs w:val="22"/>
        </w:rPr>
      </w:pPr>
      <w:r w:rsidRPr="00C9343F">
        <w:t>4.12.2    Member this Part applies to</w:t>
      </w:r>
      <w:r w:rsidRPr="00C9343F">
        <w:tab/>
      </w:r>
      <w:r w:rsidRPr="00C9343F">
        <w:fldChar w:fldCharType="begin"/>
      </w:r>
      <w:r w:rsidRPr="00C9343F">
        <w:instrText xml:space="preserve"> PAGEREF _Toc105053945 \h </w:instrText>
      </w:r>
      <w:r w:rsidRPr="00C9343F">
        <w:fldChar w:fldCharType="separate"/>
      </w:r>
      <w:r w:rsidRPr="00C9343F">
        <w:t>206</w:t>
      </w:r>
      <w:r w:rsidRPr="00C9343F">
        <w:fldChar w:fldCharType="end"/>
      </w:r>
    </w:p>
    <w:p w14:paraId="645F2741" w14:textId="42DD4CEF" w:rsidR="00271952" w:rsidRPr="00C9343F" w:rsidRDefault="00271952">
      <w:pPr>
        <w:pStyle w:val="TOC5"/>
        <w:rPr>
          <w:rFonts w:asciiTheme="minorHAnsi" w:eastAsiaTheme="minorEastAsia" w:hAnsiTheme="minorHAnsi" w:cstheme="minorBidi"/>
          <w:sz w:val="22"/>
          <w:szCs w:val="22"/>
        </w:rPr>
      </w:pPr>
      <w:r w:rsidRPr="00C9343F">
        <w:t>4.12.3    Operation COVID-19 ASSIST allowance</w:t>
      </w:r>
      <w:r w:rsidRPr="00C9343F">
        <w:tab/>
      </w:r>
      <w:r w:rsidRPr="00C9343F">
        <w:fldChar w:fldCharType="begin"/>
      </w:r>
      <w:r w:rsidRPr="00C9343F">
        <w:instrText xml:space="preserve"> PAGEREF _Toc105053946 \h </w:instrText>
      </w:r>
      <w:r w:rsidRPr="00C9343F">
        <w:fldChar w:fldCharType="separate"/>
      </w:r>
      <w:r w:rsidRPr="00C9343F">
        <w:t>206</w:t>
      </w:r>
      <w:r w:rsidRPr="00C9343F">
        <w:fldChar w:fldCharType="end"/>
      </w:r>
    </w:p>
    <w:p w14:paraId="3171C839" w14:textId="6A1A7436" w:rsidR="00271952" w:rsidRPr="00C9343F" w:rsidRDefault="00271952">
      <w:pPr>
        <w:pStyle w:val="TOC5"/>
        <w:rPr>
          <w:rFonts w:asciiTheme="minorHAnsi" w:eastAsiaTheme="minorEastAsia" w:hAnsiTheme="minorHAnsi" w:cstheme="minorBidi"/>
          <w:sz w:val="22"/>
          <w:szCs w:val="22"/>
        </w:rPr>
      </w:pPr>
      <w:r w:rsidRPr="00C9343F">
        <w:t>4.12.4    Allowance payable from</w:t>
      </w:r>
      <w:r w:rsidRPr="00C9343F">
        <w:tab/>
      </w:r>
      <w:r w:rsidRPr="00C9343F">
        <w:fldChar w:fldCharType="begin"/>
      </w:r>
      <w:r w:rsidRPr="00C9343F">
        <w:instrText xml:space="preserve"> PAGEREF _Toc105053947 \h </w:instrText>
      </w:r>
      <w:r w:rsidRPr="00C9343F">
        <w:fldChar w:fldCharType="separate"/>
      </w:r>
      <w:r w:rsidRPr="00C9343F">
        <w:t>207</w:t>
      </w:r>
      <w:r w:rsidRPr="00C9343F">
        <w:fldChar w:fldCharType="end"/>
      </w:r>
    </w:p>
    <w:p w14:paraId="751B03DA" w14:textId="25FE3B01" w:rsidR="00271952" w:rsidRPr="00C9343F" w:rsidRDefault="00271952">
      <w:pPr>
        <w:pStyle w:val="TOC2"/>
        <w:rPr>
          <w:rFonts w:asciiTheme="minorHAnsi" w:eastAsiaTheme="minorEastAsia" w:hAnsiTheme="minorHAnsi" w:cstheme="minorBidi"/>
          <w:b w:val="0"/>
          <w:noProof/>
          <w:sz w:val="22"/>
          <w:szCs w:val="22"/>
        </w:rPr>
      </w:pPr>
      <w:r w:rsidRPr="00C9343F">
        <w:rPr>
          <w:noProof/>
        </w:rPr>
        <w:t>Chapter 5: Leave</w:t>
      </w:r>
      <w:r w:rsidRPr="00C9343F">
        <w:rPr>
          <w:noProof/>
        </w:rPr>
        <w:tab/>
      </w:r>
      <w:r w:rsidRPr="00C9343F">
        <w:rPr>
          <w:noProof/>
        </w:rPr>
        <w:fldChar w:fldCharType="begin"/>
      </w:r>
      <w:r w:rsidRPr="00C9343F">
        <w:rPr>
          <w:noProof/>
        </w:rPr>
        <w:instrText xml:space="preserve"> PAGEREF _Toc105053948 \h </w:instrText>
      </w:r>
      <w:r w:rsidRPr="00C9343F">
        <w:rPr>
          <w:noProof/>
        </w:rPr>
      </w:r>
      <w:r w:rsidRPr="00C9343F">
        <w:rPr>
          <w:noProof/>
        </w:rPr>
        <w:fldChar w:fldCharType="separate"/>
      </w:r>
      <w:r w:rsidRPr="00C9343F">
        <w:rPr>
          <w:noProof/>
        </w:rPr>
        <w:t>208</w:t>
      </w:r>
      <w:r w:rsidRPr="00C9343F">
        <w:rPr>
          <w:noProof/>
        </w:rPr>
        <w:fldChar w:fldCharType="end"/>
      </w:r>
    </w:p>
    <w:p w14:paraId="286FB789" w14:textId="507BB2CA" w:rsidR="00271952" w:rsidRPr="00C9343F" w:rsidRDefault="00271952">
      <w:pPr>
        <w:pStyle w:val="TOC3"/>
        <w:rPr>
          <w:rFonts w:asciiTheme="minorHAnsi" w:eastAsiaTheme="minorEastAsia" w:hAnsiTheme="minorHAnsi" w:cstheme="minorBidi"/>
          <w:b w:val="0"/>
          <w:sz w:val="22"/>
          <w:szCs w:val="22"/>
        </w:rPr>
      </w:pPr>
      <w:r w:rsidRPr="00C9343F">
        <w:t>Part 1: General provisions</w:t>
      </w:r>
      <w:r w:rsidRPr="00C9343F">
        <w:tab/>
      </w:r>
      <w:r w:rsidRPr="00C9343F">
        <w:fldChar w:fldCharType="begin"/>
      </w:r>
      <w:r w:rsidRPr="00C9343F">
        <w:instrText xml:space="preserve"> PAGEREF _Toc105053949 \h </w:instrText>
      </w:r>
      <w:r w:rsidRPr="00C9343F">
        <w:fldChar w:fldCharType="separate"/>
      </w:r>
      <w:r w:rsidRPr="00C9343F">
        <w:t>208</w:t>
      </w:r>
      <w:r w:rsidRPr="00C9343F">
        <w:fldChar w:fldCharType="end"/>
      </w:r>
    </w:p>
    <w:p w14:paraId="60E0C7A0" w14:textId="17F64D0C" w:rsidR="00271952" w:rsidRPr="00C9343F" w:rsidRDefault="00271952">
      <w:pPr>
        <w:pStyle w:val="TOC5"/>
        <w:rPr>
          <w:rFonts w:asciiTheme="minorHAnsi" w:eastAsiaTheme="minorEastAsia" w:hAnsiTheme="minorHAnsi" w:cstheme="minorBidi"/>
          <w:sz w:val="22"/>
          <w:szCs w:val="22"/>
        </w:rPr>
      </w:pPr>
      <w:r w:rsidRPr="00C9343F">
        <w:t>5.1.1    Purpose</w:t>
      </w:r>
      <w:r w:rsidRPr="00C9343F">
        <w:tab/>
      </w:r>
      <w:r w:rsidRPr="00C9343F">
        <w:fldChar w:fldCharType="begin"/>
      </w:r>
      <w:r w:rsidRPr="00C9343F">
        <w:instrText xml:space="preserve"> PAGEREF _Toc105053950 \h </w:instrText>
      </w:r>
      <w:r w:rsidRPr="00C9343F">
        <w:fldChar w:fldCharType="separate"/>
      </w:r>
      <w:r w:rsidRPr="00C9343F">
        <w:t>208</w:t>
      </w:r>
      <w:r w:rsidRPr="00C9343F">
        <w:fldChar w:fldCharType="end"/>
      </w:r>
    </w:p>
    <w:p w14:paraId="2A57428E" w14:textId="575540F7" w:rsidR="00271952" w:rsidRPr="00C9343F" w:rsidRDefault="00271952">
      <w:pPr>
        <w:pStyle w:val="TOC5"/>
        <w:rPr>
          <w:rFonts w:asciiTheme="minorHAnsi" w:eastAsiaTheme="minorEastAsia" w:hAnsiTheme="minorHAnsi" w:cstheme="minorBidi"/>
          <w:sz w:val="22"/>
          <w:szCs w:val="22"/>
        </w:rPr>
      </w:pPr>
      <w:r w:rsidRPr="00C9343F">
        <w:t>5.1.2    Leave – overview</w:t>
      </w:r>
      <w:r w:rsidRPr="00C9343F">
        <w:tab/>
      </w:r>
      <w:r w:rsidRPr="00C9343F">
        <w:fldChar w:fldCharType="begin"/>
      </w:r>
      <w:r w:rsidRPr="00C9343F">
        <w:instrText xml:space="preserve"> PAGEREF _Toc105053951 \h </w:instrText>
      </w:r>
      <w:r w:rsidRPr="00C9343F">
        <w:fldChar w:fldCharType="separate"/>
      </w:r>
      <w:r w:rsidRPr="00C9343F">
        <w:t>209</w:t>
      </w:r>
      <w:r w:rsidRPr="00C9343F">
        <w:fldChar w:fldCharType="end"/>
      </w:r>
    </w:p>
    <w:p w14:paraId="70A11DF8" w14:textId="213DD7DB" w:rsidR="00271952" w:rsidRPr="00C9343F" w:rsidRDefault="00271952">
      <w:pPr>
        <w:pStyle w:val="TOC3"/>
        <w:rPr>
          <w:rFonts w:asciiTheme="minorHAnsi" w:eastAsiaTheme="minorEastAsia" w:hAnsiTheme="minorHAnsi" w:cstheme="minorBidi"/>
          <w:b w:val="0"/>
          <w:sz w:val="22"/>
          <w:szCs w:val="22"/>
        </w:rPr>
      </w:pPr>
      <w:r w:rsidRPr="00C9343F">
        <w:t xml:space="preserve">Part 2: Leave for travel </w:t>
      </w:r>
      <w:r w:rsidRPr="00C9343F">
        <w:rPr>
          <w:bCs/>
        </w:rPr>
        <w:t>to restricted destinations</w:t>
      </w:r>
      <w:r w:rsidRPr="00C9343F">
        <w:tab/>
      </w:r>
      <w:r w:rsidRPr="00C9343F">
        <w:fldChar w:fldCharType="begin"/>
      </w:r>
      <w:r w:rsidRPr="00C9343F">
        <w:instrText xml:space="preserve"> PAGEREF _Toc105053952 \h </w:instrText>
      </w:r>
      <w:r w:rsidRPr="00C9343F">
        <w:fldChar w:fldCharType="separate"/>
      </w:r>
      <w:r w:rsidRPr="00C9343F">
        <w:t>210</w:t>
      </w:r>
      <w:r w:rsidRPr="00C9343F">
        <w:fldChar w:fldCharType="end"/>
      </w:r>
    </w:p>
    <w:p w14:paraId="7007B1DF" w14:textId="2836DA0F" w:rsidR="00271952" w:rsidRPr="00C9343F" w:rsidRDefault="00271952">
      <w:pPr>
        <w:pStyle w:val="TOC5"/>
        <w:rPr>
          <w:rFonts w:asciiTheme="minorHAnsi" w:eastAsiaTheme="minorEastAsia" w:hAnsiTheme="minorHAnsi" w:cstheme="minorBidi"/>
          <w:sz w:val="22"/>
          <w:szCs w:val="22"/>
        </w:rPr>
      </w:pPr>
      <w:r w:rsidRPr="00C9343F">
        <w:t>5.2.1    Purpose</w:t>
      </w:r>
      <w:r w:rsidRPr="00C9343F">
        <w:tab/>
      </w:r>
      <w:r w:rsidRPr="00C9343F">
        <w:fldChar w:fldCharType="begin"/>
      </w:r>
      <w:r w:rsidRPr="00C9343F">
        <w:instrText xml:space="preserve"> PAGEREF _Toc105053953 \h </w:instrText>
      </w:r>
      <w:r w:rsidRPr="00C9343F">
        <w:fldChar w:fldCharType="separate"/>
      </w:r>
      <w:r w:rsidRPr="00C9343F">
        <w:t>210</w:t>
      </w:r>
      <w:r w:rsidRPr="00C9343F">
        <w:fldChar w:fldCharType="end"/>
      </w:r>
    </w:p>
    <w:p w14:paraId="723F9EBC" w14:textId="5E56A477" w:rsidR="00271952" w:rsidRPr="00C9343F" w:rsidRDefault="00271952">
      <w:pPr>
        <w:pStyle w:val="TOC5"/>
        <w:rPr>
          <w:rFonts w:asciiTheme="minorHAnsi" w:eastAsiaTheme="minorEastAsia" w:hAnsiTheme="minorHAnsi" w:cstheme="minorBidi"/>
          <w:sz w:val="22"/>
          <w:szCs w:val="22"/>
        </w:rPr>
      </w:pPr>
      <w:r w:rsidRPr="00C9343F">
        <w:t>5.2.2    Member this Part applies to</w:t>
      </w:r>
      <w:r w:rsidRPr="00C9343F">
        <w:tab/>
      </w:r>
      <w:r w:rsidRPr="00C9343F">
        <w:fldChar w:fldCharType="begin"/>
      </w:r>
      <w:r w:rsidRPr="00C9343F">
        <w:instrText xml:space="preserve"> PAGEREF _Toc105053954 \h </w:instrText>
      </w:r>
      <w:r w:rsidRPr="00C9343F">
        <w:fldChar w:fldCharType="separate"/>
      </w:r>
      <w:r w:rsidRPr="00C9343F">
        <w:t>210</w:t>
      </w:r>
      <w:r w:rsidRPr="00C9343F">
        <w:fldChar w:fldCharType="end"/>
      </w:r>
    </w:p>
    <w:p w14:paraId="0DB993B4" w14:textId="62357578" w:rsidR="00271952" w:rsidRPr="00C9343F" w:rsidRDefault="00271952">
      <w:pPr>
        <w:pStyle w:val="TOC5"/>
        <w:rPr>
          <w:rFonts w:asciiTheme="minorHAnsi" w:eastAsiaTheme="minorEastAsia" w:hAnsiTheme="minorHAnsi" w:cstheme="minorBidi"/>
          <w:sz w:val="22"/>
          <w:szCs w:val="22"/>
        </w:rPr>
      </w:pPr>
      <w:r w:rsidRPr="00C9343F">
        <w:t>5.2.3    Definitions</w:t>
      </w:r>
      <w:r w:rsidRPr="00C9343F">
        <w:tab/>
      </w:r>
      <w:r w:rsidRPr="00C9343F">
        <w:fldChar w:fldCharType="begin"/>
      </w:r>
      <w:r w:rsidRPr="00C9343F">
        <w:instrText xml:space="preserve"> PAGEREF _Toc105053955 \h </w:instrText>
      </w:r>
      <w:r w:rsidRPr="00C9343F">
        <w:fldChar w:fldCharType="separate"/>
      </w:r>
      <w:r w:rsidRPr="00C9343F">
        <w:t>210</w:t>
      </w:r>
      <w:r w:rsidRPr="00C9343F">
        <w:fldChar w:fldCharType="end"/>
      </w:r>
    </w:p>
    <w:p w14:paraId="2364082E" w14:textId="0E164F09" w:rsidR="00271952" w:rsidRPr="00C9343F" w:rsidRDefault="00271952">
      <w:pPr>
        <w:pStyle w:val="TOC5"/>
        <w:rPr>
          <w:rFonts w:asciiTheme="minorHAnsi" w:eastAsiaTheme="minorEastAsia" w:hAnsiTheme="minorHAnsi" w:cstheme="minorBidi"/>
          <w:sz w:val="22"/>
          <w:szCs w:val="22"/>
        </w:rPr>
      </w:pPr>
      <w:r w:rsidRPr="00C9343F">
        <w:t>5.2.4    Restriction on the grant of leave</w:t>
      </w:r>
      <w:r w:rsidRPr="00C9343F">
        <w:tab/>
      </w:r>
      <w:r w:rsidRPr="00C9343F">
        <w:fldChar w:fldCharType="begin"/>
      </w:r>
      <w:r w:rsidRPr="00C9343F">
        <w:instrText xml:space="preserve"> PAGEREF _Toc105053956 \h </w:instrText>
      </w:r>
      <w:r w:rsidRPr="00C9343F">
        <w:fldChar w:fldCharType="separate"/>
      </w:r>
      <w:r w:rsidRPr="00C9343F">
        <w:t>210</w:t>
      </w:r>
      <w:r w:rsidRPr="00C9343F">
        <w:fldChar w:fldCharType="end"/>
      </w:r>
    </w:p>
    <w:p w14:paraId="4F9A917F" w14:textId="6080F1CA" w:rsidR="00271952" w:rsidRPr="00C9343F" w:rsidRDefault="00271952">
      <w:pPr>
        <w:pStyle w:val="TOC5"/>
        <w:rPr>
          <w:rFonts w:asciiTheme="minorHAnsi" w:eastAsiaTheme="minorEastAsia" w:hAnsiTheme="minorHAnsi" w:cstheme="minorBidi"/>
          <w:sz w:val="22"/>
          <w:szCs w:val="22"/>
        </w:rPr>
      </w:pPr>
      <w:r w:rsidRPr="00C9343F">
        <w:t>5.2.5    Cancellation of leave in a restricted destination</w:t>
      </w:r>
      <w:r w:rsidRPr="00C9343F">
        <w:tab/>
      </w:r>
      <w:r w:rsidRPr="00C9343F">
        <w:fldChar w:fldCharType="begin"/>
      </w:r>
      <w:r w:rsidRPr="00C9343F">
        <w:instrText xml:space="preserve"> PAGEREF _Toc105053957 \h </w:instrText>
      </w:r>
      <w:r w:rsidRPr="00C9343F">
        <w:fldChar w:fldCharType="separate"/>
      </w:r>
      <w:r w:rsidRPr="00C9343F">
        <w:t>210</w:t>
      </w:r>
      <w:r w:rsidRPr="00C9343F">
        <w:fldChar w:fldCharType="end"/>
      </w:r>
    </w:p>
    <w:p w14:paraId="77CC853B" w14:textId="28AD8223" w:rsidR="00271952" w:rsidRPr="00C9343F" w:rsidRDefault="00271952">
      <w:pPr>
        <w:pStyle w:val="TOC3"/>
        <w:rPr>
          <w:rFonts w:asciiTheme="minorHAnsi" w:eastAsiaTheme="minorEastAsia" w:hAnsiTheme="minorHAnsi" w:cstheme="minorBidi"/>
          <w:b w:val="0"/>
          <w:sz w:val="22"/>
          <w:szCs w:val="22"/>
        </w:rPr>
      </w:pPr>
      <w:r w:rsidRPr="00C9343F">
        <w:t>Part 3: Medical absence from duty</w:t>
      </w:r>
      <w:r w:rsidRPr="00C9343F">
        <w:tab/>
      </w:r>
      <w:r w:rsidRPr="00C9343F">
        <w:fldChar w:fldCharType="begin"/>
      </w:r>
      <w:r w:rsidRPr="00C9343F">
        <w:instrText xml:space="preserve"> PAGEREF _Toc105053958 \h </w:instrText>
      </w:r>
      <w:r w:rsidRPr="00C9343F">
        <w:fldChar w:fldCharType="separate"/>
      </w:r>
      <w:r w:rsidRPr="00C9343F">
        <w:t>212</w:t>
      </w:r>
      <w:r w:rsidRPr="00C9343F">
        <w:fldChar w:fldCharType="end"/>
      </w:r>
    </w:p>
    <w:p w14:paraId="7C202F4D" w14:textId="1FD5CCD2" w:rsidR="00271952" w:rsidRPr="00C9343F" w:rsidRDefault="00271952">
      <w:pPr>
        <w:pStyle w:val="TOC5"/>
        <w:rPr>
          <w:rFonts w:asciiTheme="minorHAnsi" w:eastAsiaTheme="minorEastAsia" w:hAnsiTheme="minorHAnsi" w:cstheme="minorBidi"/>
          <w:sz w:val="22"/>
          <w:szCs w:val="22"/>
        </w:rPr>
      </w:pPr>
      <w:r w:rsidRPr="00C9343F">
        <w:t>5.3.1    Purpose</w:t>
      </w:r>
      <w:r w:rsidRPr="00C9343F">
        <w:tab/>
      </w:r>
      <w:r w:rsidRPr="00C9343F">
        <w:fldChar w:fldCharType="begin"/>
      </w:r>
      <w:r w:rsidRPr="00C9343F">
        <w:instrText xml:space="preserve"> PAGEREF _Toc105053959 \h </w:instrText>
      </w:r>
      <w:r w:rsidRPr="00C9343F">
        <w:fldChar w:fldCharType="separate"/>
      </w:r>
      <w:r w:rsidRPr="00C9343F">
        <w:t>212</w:t>
      </w:r>
      <w:r w:rsidRPr="00C9343F">
        <w:fldChar w:fldCharType="end"/>
      </w:r>
    </w:p>
    <w:p w14:paraId="79C39B60" w14:textId="42A93EFC" w:rsidR="00271952" w:rsidRPr="00C9343F" w:rsidRDefault="00271952">
      <w:pPr>
        <w:pStyle w:val="TOC5"/>
        <w:rPr>
          <w:rFonts w:asciiTheme="minorHAnsi" w:eastAsiaTheme="minorEastAsia" w:hAnsiTheme="minorHAnsi" w:cstheme="minorBidi"/>
          <w:sz w:val="22"/>
          <w:szCs w:val="22"/>
        </w:rPr>
      </w:pPr>
      <w:r w:rsidRPr="00C9343F">
        <w:t>5.3.2    Member this Part applies to</w:t>
      </w:r>
      <w:r w:rsidRPr="00C9343F">
        <w:tab/>
      </w:r>
      <w:r w:rsidRPr="00C9343F">
        <w:fldChar w:fldCharType="begin"/>
      </w:r>
      <w:r w:rsidRPr="00C9343F">
        <w:instrText xml:space="preserve"> PAGEREF _Toc105053960 \h </w:instrText>
      </w:r>
      <w:r w:rsidRPr="00C9343F">
        <w:fldChar w:fldCharType="separate"/>
      </w:r>
      <w:r w:rsidRPr="00C9343F">
        <w:t>212</w:t>
      </w:r>
      <w:r w:rsidRPr="00C9343F">
        <w:fldChar w:fldCharType="end"/>
      </w:r>
    </w:p>
    <w:p w14:paraId="602C9C32" w14:textId="4F0189BB" w:rsidR="00271952" w:rsidRPr="00C9343F" w:rsidRDefault="00271952">
      <w:pPr>
        <w:pStyle w:val="TOC5"/>
        <w:rPr>
          <w:rFonts w:asciiTheme="minorHAnsi" w:eastAsiaTheme="minorEastAsia" w:hAnsiTheme="minorHAnsi" w:cstheme="minorBidi"/>
          <w:sz w:val="22"/>
          <w:szCs w:val="22"/>
        </w:rPr>
      </w:pPr>
      <w:r w:rsidRPr="00C9343F">
        <w:lastRenderedPageBreak/>
        <w:t>5.3.3    How to apply for a medical absence</w:t>
      </w:r>
      <w:r w:rsidRPr="00C9343F">
        <w:tab/>
      </w:r>
      <w:r w:rsidRPr="00C9343F">
        <w:fldChar w:fldCharType="begin"/>
      </w:r>
      <w:r w:rsidRPr="00C9343F">
        <w:instrText xml:space="preserve"> PAGEREF _Toc105053961 \h </w:instrText>
      </w:r>
      <w:r w:rsidRPr="00C9343F">
        <w:fldChar w:fldCharType="separate"/>
      </w:r>
      <w:r w:rsidRPr="00C9343F">
        <w:t>212</w:t>
      </w:r>
      <w:r w:rsidRPr="00C9343F">
        <w:fldChar w:fldCharType="end"/>
      </w:r>
    </w:p>
    <w:p w14:paraId="2A7120C7" w14:textId="67343E5B" w:rsidR="00271952" w:rsidRPr="00C9343F" w:rsidRDefault="00271952">
      <w:pPr>
        <w:pStyle w:val="TOC5"/>
        <w:rPr>
          <w:rFonts w:asciiTheme="minorHAnsi" w:eastAsiaTheme="minorEastAsia" w:hAnsiTheme="minorHAnsi" w:cstheme="minorBidi"/>
          <w:sz w:val="22"/>
          <w:szCs w:val="22"/>
        </w:rPr>
      </w:pPr>
      <w:r w:rsidRPr="00C9343F">
        <w:t>5.3.4    Medical absence without recommendation from a health professional</w:t>
      </w:r>
      <w:r w:rsidRPr="00C9343F">
        <w:tab/>
      </w:r>
      <w:r w:rsidRPr="00C9343F">
        <w:fldChar w:fldCharType="begin"/>
      </w:r>
      <w:r w:rsidRPr="00C9343F">
        <w:instrText xml:space="preserve"> PAGEREF _Toc105053962 \h </w:instrText>
      </w:r>
      <w:r w:rsidRPr="00C9343F">
        <w:fldChar w:fldCharType="separate"/>
      </w:r>
      <w:r w:rsidRPr="00C9343F">
        <w:t>212</w:t>
      </w:r>
      <w:r w:rsidRPr="00C9343F">
        <w:fldChar w:fldCharType="end"/>
      </w:r>
    </w:p>
    <w:p w14:paraId="51033A60" w14:textId="3D6A4449" w:rsidR="00271952" w:rsidRPr="00C9343F" w:rsidRDefault="00271952">
      <w:pPr>
        <w:pStyle w:val="TOC5"/>
        <w:rPr>
          <w:rFonts w:asciiTheme="minorHAnsi" w:eastAsiaTheme="minorEastAsia" w:hAnsiTheme="minorHAnsi" w:cstheme="minorBidi"/>
          <w:sz w:val="22"/>
          <w:szCs w:val="22"/>
        </w:rPr>
      </w:pPr>
      <w:r w:rsidRPr="00C9343F">
        <w:t>5.3.5    Medical absence on recommendation from a health professional</w:t>
      </w:r>
      <w:r w:rsidRPr="00C9343F">
        <w:tab/>
      </w:r>
      <w:r w:rsidRPr="00C9343F">
        <w:fldChar w:fldCharType="begin"/>
      </w:r>
      <w:r w:rsidRPr="00C9343F">
        <w:instrText xml:space="preserve"> PAGEREF _Toc105053963 \h </w:instrText>
      </w:r>
      <w:r w:rsidRPr="00C9343F">
        <w:fldChar w:fldCharType="separate"/>
      </w:r>
      <w:r w:rsidRPr="00C9343F">
        <w:t>213</w:t>
      </w:r>
      <w:r w:rsidRPr="00C9343F">
        <w:fldChar w:fldCharType="end"/>
      </w:r>
    </w:p>
    <w:p w14:paraId="03E344AD" w14:textId="17396821" w:rsidR="00271952" w:rsidRPr="00C9343F" w:rsidRDefault="00271952">
      <w:pPr>
        <w:pStyle w:val="TOC5"/>
        <w:rPr>
          <w:rFonts w:asciiTheme="minorHAnsi" w:eastAsiaTheme="minorEastAsia" w:hAnsiTheme="minorHAnsi" w:cstheme="minorBidi"/>
          <w:sz w:val="22"/>
          <w:szCs w:val="22"/>
        </w:rPr>
      </w:pPr>
      <w:r w:rsidRPr="00C9343F">
        <w:t>5.3.6    Refusal to grant a medical absence</w:t>
      </w:r>
      <w:r w:rsidRPr="00C9343F">
        <w:tab/>
      </w:r>
      <w:r w:rsidRPr="00C9343F">
        <w:fldChar w:fldCharType="begin"/>
      </w:r>
      <w:r w:rsidRPr="00C9343F">
        <w:instrText xml:space="preserve"> PAGEREF _Toc105053964 \h </w:instrText>
      </w:r>
      <w:r w:rsidRPr="00C9343F">
        <w:fldChar w:fldCharType="separate"/>
      </w:r>
      <w:r w:rsidRPr="00C9343F">
        <w:t>214</w:t>
      </w:r>
      <w:r w:rsidRPr="00C9343F">
        <w:fldChar w:fldCharType="end"/>
      </w:r>
    </w:p>
    <w:p w14:paraId="40CE657B" w14:textId="07BEDA57" w:rsidR="00271952" w:rsidRPr="00C9343F" w:rsidRDefault="00271952">
      <w:pPr>
        <w:pStyle w:val="TOC5"/>
        <w:rPr>
          <w:rFonts w:asciiTheme="minorHAnsi" w:eastAsiaTheme="minorEastAsia" w:hAnsiTheme="minorHAnsi" w:cstheme="minorBidi"/>
          <w:sz w:val="22"/>
          <w:szCs w:val="22"/>
        </w:rPr>
      </w:pPr>
      <w:r w:rsidRPr="00C9343F">
        <w:t>5.3.7    Granting a medical absence without an application form</w:t>
      </w:r>
      <w:r w:rsidRPr="00C9343F">
        <w:tab/>
      </w:r>
      <w:r w:rsidRPr="00C9343F">
        <w:fldChar w:fldCharType="begin"/>
      </w:r>
      <w:r w:rsidRPr="00C9343F">
        <w:instrText xml:space="preserve"> PAGEREF _Toc105053965 \h </w:instrText>
      </w:r>
      <w:r w:rsidRPr="00C9343F">
        <w:fldChar w:fldCharType="separate"/>
      </w:r>
      <w:r w:rsidRPr="00C9343F">
        <w:t>214</w:t>
      </w:r>
      <w:r w:rsidRPr="00C9343F">
        <w:fldChar w:fldCharType="end"/>
      </w:r>
    </w:p>
    <w:p w14:paraId="49180835" w14:textId="6541F076" w:rsidR="00271952" w:rsidRPr="00C9343F" w:rsidRDefault="00271952">
      <w:pPr>
        <w:pStyle w:val="TOC5"/>
        <w:rPr>
          <w:rFonts w:asciiTheme="minorHAnsi" w:eastAsiaTheme="minorEastAsia" w:hAnsiTheme="minorHAnsi" w:cstheme="minorBidi"/>
          <w:sz w:val="22"/>
          <w:szCs w:val="22"/>
        </w:rPr>
      </w:pPr>
      <w:r w:rsidRPr="00C9343F">
        <w:t>5.3.9    Payment of salary and allowances on a medical absence</w:t>
      </w:r>
      <w:r w:rsidRPr="00C9343F">
        <w:tab/>
      </w:r>
      <w:r w:rsidRPr="00C9343F">
        <w:fldChar w:fldCharType="begin"/>
      </w:r>
      <w:r w:rsidRPr="00C9343F">
        <w:instrText xml:space="preserve"> PAGEREF _Toc105053966 \h </w:instrText>
      </w:r>
      <w:r w:rsidRPr="00C9343F">
        <w:fldChar w:fldCharType="separate"/>
      </w:r>
      <w:r w:rsidRPr="00C9343F">
        <w:t>215</w:t>
      </w:r>
      <w:r w:rsidRPr="00C9343F">
        <w:fldChar w:fldCharType="end"/>
      </w:r>
    </w:p>
    <w:p w14:paraId="39FFC201" w14:textId="33FC4681" w:rsidR="00271952" w:rsidRPr="00C9343F" w:rsidRDefault="00271952">
      <w:pPr>
        <w:pStyle w:val="TOC5"/>
        <w:rPr>
          <w:rFonts w:asciiTheme="minorHAnsi" w:eastAsiaTheme="minorEastAsia" w:hAnsiTheme="minorHAnsi" w:cstheme="minorBidi"/>
          <w:sz w:val="22"/>
          <w:szCs w:val="22"/>
        </w:rPr>
      </w:pPr>
      <w:r w:rsidRPr="00C9343F">
        <w:t>5.3.10    Interaction between medical absence and other forms of leave</w:t>
      </w:r>
      <w:r w:rsidRPr="00C9343F">
        <w:tab/>
      </w:r>
      <w:r w:rsidRPr="00C9343F">
        <w:fldChar w:fldCharType="begin"/>
      </w:r>
      <w:r w:rsidRPr="00C9343F">
        <w:instrText xml:space="preserve"> PAGEREF _Toc105053967 \h </w:instrText>
      </w:r>
      <w:r w:rsidRPr="00C9343F">
        <w:fldChar w:fldCharType="separate"/>
      </w:r>
      <w:r w:rsidRPr="00C9343F">
        <w:t>215</w:t>
      </w:r>
      <w:r w:rsidRPr="00C9343F">
        <w:fldChar w:fldCharType="end"/>
      </w:r>
    </w:p>
    <w:p w14:paraId="23C277A8" w14:textId="11A899BA" w:rsidR="00271952" w:rsidRPr="00C9343F" w:rsidRDefault="00271952">
      <w:pPr>
        <w:pStyle w:val="TOC5"/>
        <w:rPr>
          <w:rFonts w:asciiTheme="minorHAnsi" w:eastAsiaTheme="minorEastAsia" w:hAnsiTheme="minorHAnsi" w:cstheme="minorBidi"/>
          <w:sz w:val="22"/>
          <w:szCs w:val="22"/>
        </w:rPr>
      </w:pPr>
      <w:r w:rsidRPr="00C9343F">
        <w:t>5.3.11    Travel for medical purposes</w:t>
      </w:r>
      <w:r w:rsidRPr="00C9343F">
        <w:tab/>
      </w:r>
      <w:r w:rsidRPr="00C9343F">
        <w:fldChar w:fldCharType="begin"/>
      </w:r>
      <w:r w:rsidRPr="00C9343F">
        <w:instrText xml:space="preserve"> PAGEREF _Toc105053968 \h </w:instrText>
      </w:r>
      <w:r w:rsidRPr="00C9343F">
        <w:fldChar w:fldCharType="separate"/>
      </w:r>
      <w:r w:rsidRPr="00C9343F">
        <w:t>215</w:t>
      </w:r>
      <w:r w:rsidRPr="00C9343F">
        <w:fldChar w:fldCharType="end"/>
      </w:r>
    </w:p>
    <w:p w14:paraId="767532F5" w14:textId="3378625B" w:rsidR="00271952" w:rsidRPr="00C9343F" w:rsidRDefault="00271952">
      <w:pPr>
        <w:pStyle w:val="TOC3"/>
        <w:rPr>
          <w:rFonts w:asciiTheme="minorHAnsi" w:eastAsiaTheme="minorEastAsia" w:hAnsiTheme="minorHAnsi" w:cstheme="minorBidi"/>
          <w:b w:val="0"/>
          <w:sz w:val="22"/>
          <w:szCs w:val="22"/>
        </w:rPr>
      </w:pPr>
      <w:r w:rsidRPr="00C9343F">
        <w:t>Part 4: Recreation leave</w:t>
      </w:r>
      <w:r w:rsidRPr="00C9343F">
        <w:tab/>
      </w:r>
      <w:r w:rsidRPr="00C9343F">
        <w:fldChar w:fldCharType="begin"/>
      </w:r>
      <w:r w:rsidRPr="00C9343F">
        <w:instrText xml:space="preserve"> PAGEREF _Toc105053969 \h </w:instrText>
      </w:r>
      <w:r w:rsidRPr="00C9343F">
        <w:fldChar w:fldCharType="separate"/>
      </w:r>
      <w:r w:rsidRPr="00C9343F">
        <w:t>217</w:t>
      </w:r>
      <w:r w:rsidRPr="00C9343F">
        <w:fldChar w:fldCharType="end"/>
      </w:r>
    </w:p>
    <w:p w14:paraId="0930D36C" w14:textId="217488A7" w:rsidR="00271952" w:rsidRPr="00C9343F" w:rsidRDefault="00271952">
      <w:pPr>
        <w:pStyle w:val="TOC4"/>
        <w:rPr>
          <w:rFonts w:asciiTheme="minorHAnsi" w:eastAsiaTheme="minorEastAsia" w:hAnsiTheme="minorHAnsi" w:cstheme="minorBidi"/>
          <w:sz w:val="22"/>
          <w:szCs w:val="22"/>
        </w:rPr>
      </w:pPr>
      <w:r w:rsidRPr="00C9343F">
        <w:t>Division 1: General provisions</w:t>
      </w:r>
      <w:r w:rsidRPr="00C9343F">
        <w:tab/>
      </w:r>
      <w:r w:rsidRPr="00C9343F">
        <w:fldChar w:fldCharType="begin"/>
      </w:r>
      <w:r w:rsidRPr="00C9343F">
        <w:instrText xml:space="preserve"> PAGEREF _Toc105053970 \h </w:instrText>
      </w:r>
      <w:r w:rsidRPr="00C9343F">
        <w:fldChar w:fldCharType="separate"/>
      </w:r>
      <w:r w:rsidRPr="00C9343F">
        <w:t>217</w:t>
      </w:r>
      <w:r w:rsidRPr="00C9343F">
        <w:fldChar w:fldCharType="end"/>
      </w:r>
    </w:p>
    <w:p w14:paraId="312B97CC" w14:textId="64E38FD1" w:rsidR="00271952" w:rsidRPr="00C9343F" w:rsidRDefault="00271952">
      <w:pPr>
        <w:pStyle w:val="TOC5"/>
        <w:rPr>
          <w:rFonts w:asciiTheme="minorHAnsi" w:eastAsiaTheme="minorEastAsia" w:hAnsiTheme="minorHAnsi" w:cstheme="minorBidi"/>
          <w:sz w:val="22"/>
          <w:szCs w:val="22"/>
        </w:rPr>
      </w:pPr>
      <w:r w:rsidRPr="00C9343F">
        <w:t>5.4.3    Purpose</w:t>
      </w:r>
      <w:r w:rsidRPr="00C9343F">
        <w:tab/>
      </w:r>
      <w:r w:rsidRPr="00C9343F">
        <w:fldChar w:fldCharType="begin"/>
      </w:r>
      <w:r w:rsidRPr="00C9343F">
        <w:instrText xml:space="preserve"> PAGEREF _Toc105053971 \h </w:instrText>
      </w:r>
      <w:r w:rsidRPr="00C9343F">
        <w:fldChar w:fldCharType="separate"/>
      </w:r>
      <w:r w:rsidRPr="00C9343F">
        <w:t>217</w:t>
      </w:r>
      <w:r w:rsidRPr="00C9343F">
        <w:fldChar w:fldCharType="end"/>
      </w:r>
    </w:p>
    <w:p w14:paraId="706B4479" w14:textId="1AFABA2E" w:rsidR="00271952" w:rsidRPr="00C9343F" w:rsidRDefault="00271952">
      <w:pPr>
        <w:pStyle w:val="TOC5"/>
        <w:rPr>
          <w:rFonts w:asciiTheme="minorHAnsi" w:eastAsiaTheme="minorEastAsia" w:hAnsiTheme="minorHAnsi" w:cstheme="minorBidi"/>
          <w:sz w:val="22"/>
          <w:szCs w:val="22"/>
        </w:rPr>
      </w:pPr>
      <w:r w:rsidRPr="00C9343F">
        <w:t>5.4.4    Members this Part applies to</w:t>
      </w:r>
      <w:r w:rsidRPr="00C9343F">
        <w:tab/>
      </w:r>
      <w:r w:rsidRPr="00C9343F">
        <w:fldChar w:fldCharType="begin"/>
      </w:r>
      <w:r w:rsidRPr="00C9343F">
        <w:instrText xml:space="preserve"> PAGEREF _Toc105053972 \h </w:instrText>
      </w:r>
      <w:r w:rsidRPr="00C9343F">
        <w:fldChar w:fldCharType="separate"/>
      </w:r>
      <w:r w:rsidRPr="00C9343F">
        <w:t>217</w:t>
      </w:r>
      <w:r w:rsidRPr="00C9343F">
        <w:fldChar w:fldCharType="end"/>
      </w:r>
    </w:p>
    <w:p w14:paraId="5E2ECE37" w14:textId="04343873" w:rsidR="00271952" w:rsidRPr="00C9343F" w:rsidRDefault="00271952">
      <w:pPr>
        <w:pStyle w:val="TOC5"/>
        <w:rPr>
          <w:rFonts w:asciiTheme="minorHAnsi" w:eastAsiaTheme="minorEastAsia" w:hAnsiTheme="minorHAnsi" w:cstheme="minorBidi"/>
          <w:sz w:val="22"/>
          <w:szCs w:val="22"/>
        </w:rPr>
      </w:pPr>
      <w:r w:rsidRPr="00C9343F">
        <w:t>5.4.5    Members this Part does not apply to</w:t>
      </w:r>
      <w:r w:rsidRPr="00C9343F">
        <w:tab/>
      </w:r>
      <w:r w:rsidRPr="00C9343F">
        <w:fldChar w:fldCharType="begin"/>
      </w:r>
      <w:r w:rsidRPr="00C9343F">
        <w:instrText xml:space="preserve"> PAGEREF _Toc105053973 \h </w:instrText>
      </w:r>
      <w:r w:rsidRPr="00C9343F">
        <w:fldChar w:fldCharType="separate"/>
      </w:r>
      <w:r w:rsidRPr="00C9343F">
        <w:t>217</w:t>
      </w:r>
      <w:r w:rsidRPr="00C9343F">
        <w:fldChar w:fldCharType="end"/>
      </w:r>
    </w:p>
    <w:p w14:paraId="44AA025A" w14:textId="6645C41E" w:rsidR="00271952" w:rsidRPr="00C9343F" w:rsidRDefault="00271952">
      <w:pPr>
        <w:pStyle w:val="TOC5"/>
        <w:rPr>
          <w:rFonts w:asciiTheme="minorHAnsi" w:eastAsiaTheme="minorEastAsia" w:hAnsiTheme="minorHAnsi" w:cstheme="minorBidi"/>
          <w:sz w:val="22"/>
          <w:szCs w:val="22"/>
        </w:rPr>
      </w:pPr>
      <w:r w:rsidRPr="00C9343F">
        <w:t>5.4.6    Definitions</w:t>
      </w:r>
      <w:r w:rsidRPr="00C9343F">
        <w:tab/>
      </w:r>
      <w:r w:rsidRPr="00C9343F">
        <w:fldChar w:fldCharType="begin"/>
      </w:r>
      <w:r w:rsidRPr="00C9343F">
        <w:instrText xml:space="preserve"> PAGEREF _Toc105053974 \h </w:instrText>
      </w:r>
      <w:r w:rsidRPr="00C9343F">
        <w:fldChar w:fldCharType="separate"/>
      </w:r>
      <w:r w:rsidRPr="00C9343F">
        <w:t>217</w:t>
      </w:r>
      <w:r w:rsidRPr="00C9343F">
        <w:fldChar w:fldCharType="end"/>
      </w:r>
    </w:p>
    <w:p w14:paraId="4928FF86" w14:textId="0A7E3A53" w:rsidR="00271952" w:rsidRPr="00C9343F" w:rsidRDefault="00271952">
      <w:pPr>
        <w:pStyle w:val="TOC4"/>
        <w:rPr>
          <w:rFonts w:asciiTheme="minorHAnsi" w:eastAsiaTheme="minorEastAsia" w:hAnsiTheme="minorHAnsi" w:cstheme="minorBidi"/>
          <w:sz w:val="22"/>
          <w:szCs w:val="22"/>
        </w:rPr>
      </w:pPr>
      <w:r w:rsidRPr="00C9343F">
        <w:t>Division 2: Basic recreation leave</w:t>
      </w:r>
      <w:r w:rsidRPr="00C9343F">
        <w:tab/>
      </w:r>
      <w:r w:rsidRPr="00C9343F">
        <w:fldChar w:fldCharType="begin"/>
      </w:r>
      <w:r w:rsidRPr="00C9343F">
        <w:instrText xml:space="preserve"> PAGEREF _Toc105053975 \h </w:instrText>
      </w:r>
      <w:r w:rsidRPr="00C9343F">
        <w:fldChar w:fldCharType="separate"/>
      </w:r>
      <w:r w:rsidRPr="00C9343F">
        <w:t>219</w:t>
      </w:r>
      <w:r w:rsidRPr="00C9343F">
        <w:fldChar w:fldCharType="end"/>
      </w:r>
    </w:p>
    <w:p w14:paraId="44DFA6CC" w14:textId="3375D477" w:rsidR="00271952" w:rsidRPr="00C9343F" w:rsidRDefault="00271952">
      <w:pPr>
        <w:pStyle w:val="TOC5"/>
        <w:rPr>
          <w:rFonts w:asciiTheme="minorHAnsi" w:eastAsiaTheme="minorEastAsia" w:hAnsiTheme="minorHAnsi" w:cstheme="minorBidi"/>
          <w:sz w:val="22"/>
          <w:szCs w:val="22"/>
        </w:rPr>
      </w:pPr>
      <w:r w:rsidRPr="00C9343F">
        <w:t>5.4.7    Purpose</w:t>
      </w:r>
      <w:r w:rsidRPr="00C9343F">
        <w:tab/>
      </w:r>
      <w:r w:rsidRPr="00C9343F">
        <w:fldChar w:fldCharType="begin"/>
      </w:r>
      <w:r w:rsidRPr="00C9343F">
        <w:instrText xml:space="preserve"> PAGEREF _Toc105053976 \h </w:instrText>
      </w:r>
      <w:r w:rsidRPr="00C9343F">
        <w:fldChar w:fldCharType="separate"/>
      </w:r>
      <w:r w:rsidRPr="00C9343F">
        <w:t>219</w:t>
      </w:r>
      <w:r w:rsidRPr="00C9343F">
        <w:fldChar w:fldCharType="end"/>
      </w:r>
    </w:p>
    <w:p w14:paraId="530EC842" w14:textId="44FE6EE4" w:rsidR="00271952" w:rsidRPr="00C9343F" w:rsidRDefault="00271952">
      <w:pPr>
        <w:pStyle w:val="TOC5"/>
        <w:rPr>
          <w:rFonts w:asciiTheme="minorHAnsi" w:eastAsiaTheme="minorEastAsia" w:hAnsiTheme="minorHAnsi" w:cstheme="minorBidi"/>
          <w:sz w:val="22"/>
          <w:szCs w:val="22"/>
        </w:rPr>
      </w:pPr>
      <w:r w:rsidRPr="00C9343F">
        <w:t>5.4.8    Basic recreation leave credit</w:t>
      </w:r>
      <w:r w:rsidRPr="00C9343F">
        <w:tab/>
      </w:r>
      <w:r w:rsidRPr="00C9343F">
        <w:fldChar w:fldCharType="begin"/>
      </w:r>
      <w:r w:rsidRPr="00C9343F">
        <w:instrText xml:space="preserve"> PAGEREF _Toc105053977 \h </w:instrText>
      </w:r>
      <w:r w:rsidRPr="00C9343F">
        <w:fldChar w:fldCharType="separate"/>
      </w:r>
      <w:r w:rsidRPr="00C9343F">
        <w:t>219</w:t>
      </w:r>
      <w:r w:rsidRPr="00C9343F">
        <w:fldChar w:fldCharType="end"/>
      </w:r>
    </w:p>
    <w:p w14:paraId="7925783F" w14:textId="74070989" w:rsidR="00271952" w:rsidRPr="00C9343F" w:rsidRDefault="00271952">
      <w:pPr>
        <w:pStyle w:val="TOC4"/>
        <w:rPr>
          <w:rFonts w:asciiTheme="minorHAnsi" w:eastAsiaTheme="minorEastAsia" w:hAnsiTheme="minorHAnsi" w:cstheme="minorBidi"/>
          <w:sz w:val="22"/>
          <w:szCs w:val="22"/>
        </w:rPr>
      </w:pPr>
      <w:r w:rsidRPr="00C9343F">
        <w:t>Division 3: Additional recreation leave</w:t>
      </w:r>
      <w:r w:rsidRPr="00C9343F">
        <w:tab/>
      </w:r>
      <w:r w:rsidRPr="00C9343F">
        <w:fldChar w:fldCharType="begin"/>
      </w:r>
      <w:r w:rsidRPr="00C9343F">
        <w:instrText xml:space="preserve"> PAGEREF _Toc105053978 \h </w:instrText>
      </w:r>
      <w:r w:rsidRPr="00C9343F">
        <w:fldChar w:fldCharType="separate"/>
      </w:r>
      <w:r w:rsidRPr="00C9343F">
        <w:t>220</w:t>
      </w:r>
      <w:r w:rsidRPr="00C9343F">
        <w:fldChar w:fldCharType="end"/>
      </w:r>
    </w:p>
    <w:p w14:paraId="2D82F4C9" w14:textId="706EDF19" w:rsidR="00271952" w:rsidRPr="00C9343F" w:rsidRDefault="00271952">
      <w:pPr>
        <w:pStyle w:val="TOC5"/>
        <w:rPr>
          <w:rFonts w:asciiTheme="minorHAnsi" w:eastAsiaTheme="minorEastAsia" w:hAnsiTheme="minorHAnsi" w:cstheme="minorBidi"/>
          <w:sz w:val="22"/>
          <w:szCs w:val="22"/>
        </w:rPr>
      </w:pPr>
      <w:r w:rsidRPr="00C9343F">
        <w:t>5.4.9    Purpose</w:t>
      </w:r>
      <w:r w:rsidRPr="00C9343F">
        <w:tab/>
      </w:r>
      <w:r w:rsidRPr="00C9343F">
        <w:fldChar w:fldCharType="begin"/>
      </w:r>
      <w:r w:rsidRPr="00C9343F">
        <w:instrText xml:space="preserve"> PAGEREF _Toc105053979 \h </w:instrText>
      </w:r>
      <w:r w:rsidRPr="00C9343F">
        <w:fldChar w:fldCharType="separate"/>
      </w:r>
      <w:r w:rsidRPr="00C9343F">
        <w:t>220</w:t>
      </w:r>
      <w:r w:rsidRPr="00C9343F">
        <w:fldChar w:fldCharType="end"/>
      </w:r>
    </w:p>
    <w:p w14:paraId="13F58C14" w14:textId="3D27E1BF" w:rsidR="00271952" w:rsidRPr="00C9343F" w:rsidRDefault="00271952">
      <w:pPr>
        <w:pStyle w:val="TOC5"/>
        <w:rPr>
          <w:rFonts w:asciiTheme="minorHAnsi" w:eastAsiaTheme="minorEastAsia" w:hAnsiTheme="minorHAnsi" w:cstheme="minorBidi"/>
          <w:sz w:val="22"/>
          <w:szCs w:val="22"/>
        </w:rPr>
      </w:pPr>
      <w:r w:rsidRPr="00C9343F">
        <w:t>5.4.11    How additional leave accrues</w:t>
      </w:r>
      <w:r w:rsidRPr="00C9343F">
        <w:tab/>
      </w:r>
      <w:r w:rsidRPr="00C9343F">
        <w:fldChar w:fldCharType="begin"/>
      </w:r>
      <w:r w:rsidRPr="00C9343F">
        <w:instrText xml:space="preserve"> PAGEREF _Toc105053980 \h </w:instrText>
      </w:r>
      <w:r w:rsidRPr="00C9343F">
        <w:fldChar w:fldCharType="separate"/>
      </w:r>
      <w:r w:rsidRPr="00C9343F">
        <w:t>220</w:t>
      </w:r>
      <w:r w:rsidRPr="00C9343F">
        <w:fldChar w:fldCharType="end"/>
      </w:r>
    </w:p>
    <w:p w14:paraId="4E0B9290" w14:textId="44CFC897" w:rsidR="00271952" w:rsidRPr="00C9343F" w:rsidRDefault="00271952">
      <w:pPr>
        <w:pStyle w:val="TOC5"/>
        <w:rPr>
          <w:rFonts w:asciiTheme="minorHAnsi" w:eastAsiaTheme="minorEastAsia" w:hAnsiTheme="minorHAnsi" w:cstheme="minorBidi"/>
          <w:sz w:val="22"/>
          <w:szCs w:val="22"/>
        </w:rPr>
      </w:pPr>
      <w:r w:rsidRPr="00C9343F">
        <w:t>5.4.12    Maximum annual credit for sea service, field service, flight duties and special service</w:t>
      </w:r>
      <w:r w:rsidRPr="00C9343F">
        <w:tab/>
      </w:r>
      <w:r w:rsidRPr="00C9343F">
        <w:fldChar w:fldCharType="begin"/>
      </w:r>
      <w:r w:rsidRPr="00C9343F">
        <w:instrText xml:space="preserve"> PAGEREF _Toc105053981 \h </w:instrText>
      </w:r>
      <w:r w:rsidRPr="00C9343F">
        <w:fldChar w:fldCharType="separate"/>
      </w:r>
      <w:r w:rsidRPr="00C9343F">
        <w:t>220</w:t>
      </w:r>
      <w:r w:rsidRPr="00C9343F">
        <w:fldChar w:fldCharType="end"/>
      </w:r>
    </w:p>
    <w:p w14:paraId="2D027A1A" w14:textId="3BEF086A" w:rsidR="00271952" w:rsidRPr="00C9343F" w:rsidRDefault="00271952">
      <w:pPr>
        <w:pStyle w:val="TOC5"/>
        <w:rPr>
          <w:rFonts w:asciiTheme="minorHAnsi" w:eastAsiaTheme="minorEastAsia" w:hAnsiTheme="minorHAnsi" w:cstheme="minorBidi"/>
          <w:sz w:val="22"/>
          <w:szCs w:val="22"/>
        </w:rPr>
      </w:pPr>
      <w:r w:rsidRPr="00C9343F">
        <w:t>5.4.13    Sea service</w:t>
      </w:r>
      <w:r w:rsidRPr="00C9343F">
        <w:tab/>
      </w:r>
      <w:r w:rsidRPr="00C9343F">
        <w:fldChar w:fldCharType="begin"/>
      </w:r>
      <w:r w:rsidRPr="00C9343F">
        <w:instrText xml:space="preserve"> PAGEREF _Toc105053982 \h </w:instrText>
      </w:r>
      <w:r w:rsidRPr="00C9343F">
        <w:fldChar w:fldCharType="separate"/>
      </w:r>
      <w:r w:rsidRPr="00C9343F">
        <w:t>220</w:t>
      </w:r>
      <w:r w:rsidRPr="00C9343F">
        <w:fldChar w:fldCharType="end"/>
      </w:r>
    </w:p>
    <w:p w14:paraId="5312FE7A" w14:textId="25E2519C" w:rsidR="00271952" w:rsidRPr="00C9343F" w:rsidRDefault="00271952">
      <w:pPr>
        <w:pStyle w:val="TOC5"/>
        <w:rPr>
          <w:rFonts w:asciiTheme="minorHAnsi" w:eastAsiaTheme="minorEastAsia" w:hAnsiTheme="minorHAnsi" w:cstheme="minorBidi"/>
          <w:sz w:val="22"/>
          <w:szCs w:val="22"/>
        </w:rPr>
      </w:pPr>
      <w:r w:rsidRPr="00C9343F">
        <w:t>5.4.14    Field service</w:t>
      </w:r>
      <w:r w:rsidRPr="00C9343F">
        <w:tab/>
      </w:r>
      <w:r w:rsidRPr="00C9343F">
        <w:fldChar w:fldCharType="begin"/>
      </w:r>
      <w:r w:rsidRPr="00C9343F">
        <w:instrText xml:space="preserve"> PAGEREF _Toc105053983 \h </w:instrText>
      </w:r>
      <w:r w:rsidRPr="00C9343F">
        <w:fldChar w:fldCharType="separate"/>
      </w:r>
      <w:r w:rsidRPr="00C9343F">
        <w:t>221</w:t>
      </w:r>
      <w:r w:rsidRPr="00C9343F">
        <w:fldChar w:fldCharType="end"/>
      </w:r>
    </w:p>
    <w:p w14:paraId="1AB96FA8" w14:textId="65B1921D" w:rsidR="00271952" w:rsidRPr="00C9343F" w:rsidRDefault="00271952">
      <w:pPr>
        <w:pStyle w:val="TOC5"/>
        <w:rPr>
          <w:rFonts w:asciiTheme="minorHAnsi" w:eastAsiaTheme="minorEastAsia" w:hAnsiTheme="minorHAnsi" w:cstheme="minorBidi"/>
          <w:sz w:val="22"/>
          <w:szCs w:val="22"/>
        </w:rPr>
      </w:pPr>
      <w:r w:rsidRPr="00C9343F">
        <w:t>5.4.15    Flight duties</w:t>
      </w:r>
      <w:r w:rsidRPr="00C9343F">
        <w:tab/>
      </w:r>
      <w:r w:rsidRPr="00C9343F">
        <w:fldChar w:fldCharType="begin"/>
      </w:r>
      <w:r w:rsidRPr="00C9343F">
        <w:instrText xml:space="preserve"> PAGEREF _Toc105053984 \h </w:instrText>
      </w:r>
      <w:r w:rsidRPr="00C9343F">
        <w:fldChar w:fldCharType="separate"/>
      </w:r>
      <w:r w:rsidRPr="00C9343F">
        <w:t>221</w:t>
      </w:r>
      <w:r w:rsidRPr="00C9343F">
        <w:fldChar w:fldCharType="end"/>
      </w:r>
    </w:p>
    <w:p w14:paraId="56FD31A2" w14:textId="3E6AB01E" w:rsidR="00271952" w:rsidRPr="00C9343F" w:rsidRDefault="00271952">
      <w:pPr>
        <w:pStyle w:val="TOC5"/>
        <w:rPr>
          <w:rFonts w:asciiTheme="minorHAnsi" w:eastAsiaTheme="minorEastAsia" w:hAnsiTheme="minorHAnsi" w:cstheme="minorBidi"/>
          <w:sz w:val="22"/>
          <w:szCs w:val="22"/>
        </w:rPr>
      </w:pPr>
      <w:r w:rsidRPr="00C9343F">
        <w:t>5.4.16    Special service</w:t>
      </w:r>
      <w:r w:rsidRPr="00C9343F">
        <w:tab/>
      </w:r>
      <w:r w:rsidRPr="00C9343F">
        <w:fldChar w:fldCharType="begin"/>
      </w:r>
      <w:r w:rsidRPr="00C9343F">
        <w:instrText xml:space="preserve"> PAGEREF _Toc105053985 \h </w:instrText>
      </w:r>
      <w:r w:rsidRPr="00C9343F">
        <w:fldChar w:fldCharType="separate"/>
      </w:r>
      <w:r w:rsidRPr="00C9343F">
        <w:t>222</w:t>
      </w:r>
      <w:r w:rsidRPr="00C9343F">
        <w:fldChar w:fldCharType="end"/>
      </w:r>
    </w:p>
    <w:p w14:paraId="4A65F722" w14:textId="50F5D085" w:rsidR="00271952" w:rsidRPr="00C9343F" w:rsidRDefault="00271952">
      <w:pPr>
        <w:pStyle w:val="TOC5"/>
        <w:rPr>
          <w:rFonts w:asciiTheme="minorHAnsi" w:eastAsiaTheme="minorEastAsia" w:hAnsiTheme="minorHAnsi" w:cstheme="minorBidi"/>
          <w:sz w:val="22"/>
          <w:szCs w:val="22"/>
        </w:rPr>
      </w:pPr>
      <w:r w:rsidRPr="00C9343F">
        <w:t>5.4.17    Service in a remote location</w:t>
      </w:r>
      <w:r w:rsidRPr="00C9343F">
        <w:tab/>
      </w:r>
      <w:r w:rsidRPr="00C9343F">
        <w:fldChar w:fldCharType="begin"/>
      </w:r>
      <w:r w:rsidRPr="00C9343F">
        <w:instrText xml:space="preserve"> PAGEREF _Toc105053986 \h </w:instrText>
      </w:r>
      <w:r w:rsidRPr="00C9343F">
        <w:fldChar w:fldCharType="separate"/>
      </w:r>
      <w:r w:rsidRPr="00C9343F">
        <w:t>222</w:t>
      </w:r>
      <w:r w:rsidRPr="00C9343F">
        <w:fldChar w:fldCharType="end"/>
      </w:r>
    </w:p>
    <w:p w14:paraId="44C6A0AD" w14:textId="34DB467C" w:rsidR="00271952" w:rsidRPr="00C9343F" w:rsidRDefault="00271952">
      <w:pPr>
        <w:pStyle w:val="TOC4"/>
        <w:rPr>
          <w:rFonts w:asciiTheme="minorHAnsi" w:eastAsiaTheme="minorEastAsia" w:hAnsiTheme="minorHAnsi" w:cstheme="minorBidi"/>
          <w:sz w:val="22"/>
          <w:szCs w:val="22"/>
        </w:rPr>
      </w:pPr>
      <w:r w:rsidRPr="00C9343F">
        <w:t>Division 4: Extra recreation leave</w:t>
      </w:r>
      <w:r w:rsidRPr="00C9343F">
        <w:tab/>
      </w:r>
      <w:r w:rsidRPr="00C9343F">
        <w:fldChar w:fldCharType="begin"/>
      </w:r>
      <w:r w:rsidRPr="00C9343F">
        <w:instrText xml:space="preserve"> PAGEREF _Toc105053987 \h </w:instrText>
      </w:r>
      <w:r w:rsidRPr="00C9343F">
        <w:fldChar w:fldCharType="separate"/>
      </w:r>
      <w:r w:rsidRPr="00C9343F">
        <w:t>224</w:t>
      </w:r>
      <w:r w:rsidRPr="00C9343F">
        <w:fldChar w:fldCharType="end"/>
      </w:r>
    </w:p>
    <w:p w14:paraId="130EF813" w14:textId="5B26D63B" w:rsidR="00271952" w:rsidRPr="00C9343F" w:rsidRDefault="00271952">
      <w:pPr>
        <w:pStyle w:val="TOC5"/>
        <w:rPr>
          <w:rFonts w:asciiTheme="minorHAnsi" w:eastAsiaTheme="minorEastAsia" w:hAnsiTheme="minorHAnsi" w:cstheme="minorBidi"/>
          <w:sz w:val="22"/>
          <w:szCs w:val="22"/>
        </w:rPr>
      </w:pPr>
      <w:r w:rsidRPr="00C9343F">
        <w:t>5.4.18    Purpose</w:t>
      </w:r>
      <w:r w:rsidRPr="00C9343F">
        <w:tab/>
      </w:r>
      <w:r w:rsidRPr="00C9343F">
        <w:fldChar w:fldCharType="begin"/>
      </w:r>
      <w:r w:rsidRPr="00C9343F">
        <w:instrText xml:space="preserve"> PAGEREF _Toc105053988 \h </w:instrText>
      </w:r>
      <w:r w:rsidRPr="00C9343F">
        <w:fldChar w:fldCharType="separate"/>
      </w:r>
      <w:r w:rsidRPr="00C9343F">
        <w:t>224</w:t>
      </w:r>
      <w:r w:rsidRPr="00C9343F">
        <w:fldChar w:fldCharType="end"/>
      </w:r>
    </w:p>
    <w:p w14:paraId="404FA19B" w14:textId="046C98EF" w:rsidR="00271952" w:rsidRPr="00C9343F" w:rsidRDefault="00271952">
      <w:pPr>
        <w:pStyle w:val="TOC5"/>
        <w:rPr>
          <w:rFonts w:asciiTheme="minorHAnsi" w:eastAsiaTheme="minorEastAsia" w:hAnsiTheme="minorHAnsi" w:cstheme="minorBidi"/>
          <w:sz w:val="22"/>
          <w:szCs w:val="22"/>
        </w:rPr>
      </w:pPr>
      <w:r w:rsidRPr="00C9343F">
        <w:t>5.4.19    Member this Division does not apply to</w:t>
      </w:r>
      <w:r w:rsidRPr="00C9343F">
        <w:tab/>
      </w:r>
      <w:r w:rsidRPr="00C9343F">
        <w:fldChar w:fldCharType="begin"/>
      </w:r>
      <w:r w:rsidRPr="00C9343F">
        <w:instrText xml:space="preserve"> PAGEREF _Toc105053989 \h </w:instrText>
      </w:r>
      <w:r w:rsidRPr="00C9343F">
        <w:fldChar w:fldCharType="separate"/>
      </w:r>
      <w:r w:rsidRPr="00C9343F">
        <w:t>224</w:t>
      </w:r>
      <w:r w:rsidRPr="00C9343F">
        <w:fldChar w:fldCharType="end"/>
      </w:r>
    </w:p>
    <w:p w14:paraId="49F793B2" w14:textId="035980A3" w:rsidR="00271952" w:rsidRPr="00C9343F" w:rsidRDefault="00271952">
      <w:pPr>
        <w:pStyle w:val="TOC5"/>
        <w:rPr>
          <w:rFonts w:asciiTheme="minorHAnsi" w:eastAsiaTheme="minorEastAsia" w:hAnsiTheme="minorHAnsi" w:cstheme="minorBidi"/>
          <w:sz w:val="22"/>
          <w:szCs w:val="22"/>
        </w:rPr>
      </w:pPr>
      <w:r w:rsidRPr="00C9343F">
        <w:t>5.4.20    Eligibility</w:t>
      </w:r>
      <w:r w:rsidRPr="00C9343F">
        <w:tab/>
      </w:r>
      <w:r w:rsidRPr="00C9343F">
        <w:fldChar w:fldCharType="begin"/>
      </w:r>
      <w:r w:rsidRPr="00C9343F">
        <w:instrText xml:space="preserve"> PAGEREF _Toc105053990 \h </w:instrText>
      </w:r>
      <w:r w:rsidRPr="00C9343F">
        <w:fldChar w:fldCharType="separate"/>
      </w:r>
      <w:r w:rsidRPr="00C9343F">
        <w:t>224</w:t>
      </w:r>
      <w:r w:rsidRPr="00C9343F">
        <w:fldChar w:fldCharType="end"/>
      </w:r>
    </w:p>
    <w:p w14:paraId="39E9EC15" w14:textId="089DCB48" w:rsidR="00271952" w:rsidRPr="00C9343F" w:rsidRDefault="00271952">
      <w:pPr>
        <w:pStyle w:val="TOC4"/>
        <w:rPr>
          <w:rFonts w:asciiTheme="minorHAnsi" w:eastAsiaTheme="minorEastAsia" w:hAnsiTheme="minorHAnsi" w:cstheme="minorBidi"/>
          <w:sz w:val="22"/>
          <w:szCs w:val="22"/>
        </w:rPr>
      </w:pPr>
      <w:r w:rsidRPr="00C9343F">
        <w:t>Division 5: Purchased recreation leave</w:t>
      </w:r>
      <w:r w:rsidRPr="00C9343F">
        <w:tab/>
      </w:r>
      <w:r w:rsidRPr="00C9343F">
        <w:fldChar w:fldCharType="begin"/>
      </w:r>
      <w:r w:rsidRPr="00C9343F">
        <w:instrText xml:space="preserve"> PAGEREF _Toc105053991 \h </w:instrText>
      </w:r>
      <w:r w:rsidRPr="00C9343F">
        <w:fldChar w:fldCharType="separate"/>
      </w:r>
      <w:r w:rsidRPr="00C9343F">
        <w:t>225</w:t>
      </w:r>
      <w:r w:rsidRPr="00C9343F">
        <w:fldChar w:fldCharType="end"/>
      </w:r>
    </w:p>
    <w:p w14:paraId="5E12A1FE" w14:textId="230E3538" w:rsidR="00271952" w:rsidRPr="00C9343F" w:rsidRDefault="00271952">
      <w:pPr>
        <w:pStyle w:val="TOC5"/>
        <w:rPr>
          <w:rFonts w:asciiTheme="minorHAnsi" w:eastAsiaTheme="minorEastAsia" w:hAnsiTheme="minorHAnsi" w:cstheme="minorBidi"/>
          <w:sz w:val="22"/>
          <w:szCs w:val="22"/>
        </w:rPr>
      </w:pPr>
      <w:r w:rsidRPr="00C9343F">
        <w:t>5.4.21    Purpose</w:t>
      </w:r>
      <w:r w:rsidRPr="00C9343F">
        <w:tab/>
      </w:r>
      <w:r w:rsidRPr="00C9343F">
        <w:fldChar w:fldCharType="begin"/>
      </w:r>
      <w:r w:rsidRPr="00C9343F">
        <w:instrText xml:space="preserve"> PAGEREF _Toc105053992 \h </w:instrText>
      </w:r>
      <w:r w:rsidRPr="00C9343F">
        <w:fldChar w:fldCharType="separate"/>
      </w:r>
      <w:r w:rsidRPr="00C9343F">
        <w:t>225</w:t>
      </w:r>
      <w:r w:rsidRPr="00C9343F">
        <w:fldChar w:fldCharType="end"/>
      </w:r>
    </w:p>
    <w:p w14:paraId="0BDD683D" w14:textId="574FAE6D" w:rsidR="00271952" w:rsidRPr="00C9343F" w:rsidRDefault="00271952">
      <w:pPr>
        <w:pStyle w:val="TOC5"/>
        <w:rPr>
          <w:rFonts w:asciiTheme="minorHAnsi" w:eastAsiaTheme="minorEastAsia" w:hAnsiTheme="minorHAnsi" w:cstheme="minorBidi"/>
          <w:sz w:val="22"/>
          <w:szCs w:val="22"/>
        </w:rPr>
      </w:pPr>
      <w:r w:rsidRPr="00C9343F">
        <w:t>5.4.22    Application to purchase recreation leave</w:t>
      </w:r>
      <w:r w:rsidRPr="00C9343F">
        <w:tab/>
      </w:r>
      <w:r w:rsidRPr="00C9343F">
        <w:fldChar w:fldCharType="begin"/>
      </w:r>
      <w:r w:rsidRPr="00C9343F">
        <w:instrText xml:space="preserve"> PAGEREF _Toc105053993 \h </w:instrText>
      </w:r>
      <w:r w:rsidRPr="00C9343F">
        <w:fldChar w:fldCharType="separate"/>
      </w:r>
      <w:r w:rsidRPr="00C9343F">
        <w:t>225</w:t>
      </w:r>
      <w:r w:rsidRPr="00C9343F">
        <w:fldChar w:fldCharType="end"/>
      </w:r>
    </w:p>
    <w:p w14:paraId="47F4B344" w14:textId="578F320D" w:rsidR="00271952" w:rsidRPr="00C9343F" w:rsidRDefault="00271952">
      <w:pPr>
        <w:pStyle w:val="TOC5"/>
        <w:rPr>
          <w:rFonts w:asciiTheme="minorHAnsi" w:eastAsiaTheme="minorEastAsia" w:hAnsiTheme="minorHAnsi" w:cstheme="minorBidi"/>
          <w:sz w:val="22"/>
          <w:szCs w:val="22"/>
        </w:rPr>
      </w:pPr>
      <w:r w:rsidRPr="00C9343F">
        <w:t>5.4.23    Approval to purchase recreation leave</w:t>
      </w:r>
      <w:r w:rsidRPr="00C9343F">
        <w:tab/>
      </w:r>
      <w:r w:rsidRPr="00C9343F">
        <w:fldChar w:fldCharType="begin"/>
      </w:r>
      <w:r w:rsidRPr="00C9343F">
        <w:instrText xml:space="preserve"> PAGEREF _Toc105053994 \h </w:instrText>
      </w:r>
      <w:r w:rsidRPr="00C9343F">
        <w:fldChar w:fldCharType="separate"/>
      </w:r>
      <w:r w:rsidRPr="00C9343F">
        <w:t>225</w:t>
      </w:r>
      <w:r w:rsidRPr="00C9343F">
        <w:fldChar w:fldCharType="end"/>
      </w:r>
    </w:p>
    <w:p w14:paraId="118E2002" w14:textId="05FD2014" w:rsidR="00271952" w:rsidRPr="00C9343F" w:rsidRDefault="00271952">
      <w:pPr>
        <w:pStyle w:val="TOC5"/>
        <w:rPr>
          <w:rFonts w:asciiTheme="minorHAnsi" w:eastAsiaTheme="minorEastAsia" w:hAnsiTheme="minorHAnsi" w:cstheme="minorBidi"/>
          <w:sz w:val="22"/>
          <w:szCs w:val="22"/>
        </w:rPr>
      </w:pPr>
      <w:r w:rsidRPr="00C9343F">
        <w:t>5.4.24    Payment</w:t>
      </w:r>
      <w:r w:rsidRPr="00C9343F">
        <w:tab/>
      </w:r>
      <w:r w:rsidRPr="00C9343F">
        <w:fldChar w:fldCharType="begin"/>
      </w:r>
      <w:r w:rsidRPr="00C9343F">
        <w:instrText xml:space="preserve"> PAGEREF _Toc105053995 \h </w:instrText>
      </w:r>
      <w:r w:rsidRPr="00C9343F">
        <w:fldChar w:fldCharType="separate"/>
      </w:r>
      <w:r w:rsidRPr="00C9343F">
        <w:t>226</w:t>
      </w:r>
      <w:r w:rsidRPr="00C9343F">
        <w:fldChar w:fldCharType="end"/>
      </w:r>
    </w:p>
    <w:p w14:paraId="146E9A36" w14:textId="73111B84" w:rsidR="00271952" w:rsidRPr="00C9343F" w:rsidRDefault="00271952">
      <w:pPr>
        <w:pStyle w:val="TOC5"/>
        <w:rPr>
          <w:rFonts w:asciiTheme="minorHAnsi" w:eastAsiaTheme="minorEastAsia" w:hAnsiTheme="minorHAnsi" w:cstheme="minorBidi"/>
          <w:sz w:val="22"/>
          <w:szCs w:val="22"/>
        </w:rPr>
      </w:pPr>
      <w:r w:rsidRPr="00C9343F">
        <w:t>5.4.25    Credit of purchased recreation leave</w:t>
      </w:r>
      <w:r w:rsidRPr="00C9343F">
        <w:tab/>
      </w:r>
      <w:r w:rsidRPr="00C9343F">
        <w:fldChar w:fldCharType="begin"/>
      </w:r>
      <w:r w:rsidRPr="00C9343F">
        <w:instrText xml:space="preserve"> PAGEREF _Toc105053996 \h </w:instrText>
      </w:r>
      <w:r w:rsidRPr="00C9343F">
        <w:fldChar w:fldCharType="separate"/>
      </w:r>
      <w:r w:rsidRPr="00C9343F">
        <w:t>226</w:t>
      </w:r>
      <w:r w:rsidRPr="00C9343F">
        <w:fldChar w:fldCharType="end"/>
      </w:r>
    </w:p>
    <w:p w14:paraId="721EC6E8" w14:textId="6910C565" w:rsidR="00271952" w:rsidRPr="00C9343F" w:rsidRDefault="00271952">
      <w:pPr>
        <w:pStyle w:val="TOC5"/>
        <w:rPr>
          <w:rFonts w:asciiTheme="minorHAnsi" w:eastAsiaTheme="minorEastAsia" w:hAnsiTheme="minorHAnsi" w:cstheme="minorBidi"/>
          <w:sz w:val="22"/>
          <w:szCs w:val="22"/>
        </w:rPr>
      </w:pPr>
      <w:r w:rsidRPr="00C9343F">
        <w:lastRenderedPageBreak/>
        <w:t xml:space="preserve">5.4.26    Cancellation to the amount of purchased recreation </w:t>
      </w:r>
      <w:r w:rsidRPr="00C9343F">
        <w:rPr>
          <w:color w:val="000000"/>
        </w:rPr>
        <w:t>leave</w:t>
      </w:r>
      <w:r w:rsidRPr="00C9343F">
        <w:tab/>
      </w:r>
      <w:r w:rsidRPr="00C9343F">
        <w:fldChar w:fldCharType="begin"/>
      </w:r>
      <w:r w:rsidRPr="00C9343F">
        <w:instrText xml:space="preserve"> PAGEREF _Toc105053997 \h </w:instrText>
      </w:r>
      <w:r w:rsidRPr="00C9343F">
        <w:fldChar w:fldCharType="separate"/>
      </w:r>
      <w:r w:rsidRPr="00C9343F">
        <w:t>226</w:t>
      </w:r>
      <w:r w:rsidRPr="00C9343F">
        <w:fldChar w:fldCharType="end"/>
      </w:r>
    </w:p>
    <w:p w14:paraId="21C1A273" w14:textId="2C10A4DC" w:rsidR="00271952" w:rsidRPr="00C9343F" w:rsidRDefault="00271952">
      <w:pPr>
        <w:pStyle w:val="TOC4"/>
        <w:rPr>
          <w:rFonts w:asciiTheme="minorHAnsi" w:eastAsiaTheme="minorEastAsia" w:hAnsiTheme="minorHAnsi" w:cstheme="minorBidi"/>
          <w:sz w:val="22"/>
          <w:szCs w:val="22"/>
        </w:rPr>
      </w:pPr>
      <w:r w:rsidRPr="00C9343F">
        <w:t>Division 6: Additional recreation leave for training ('trainee leave')</w:t>
      </w:r>
      <w:r w:rsidRPr="00C9343F">
        <w:tab/>
      </w:r>
      <w:r w:rsidRPr="00C9343F">
        <w:fldChar w:fldCharType="begin"/>
      </w:r>
      <w:r w:rsidRPr="00C9343F">
        <w:instrText xml:space="preserve"> PAGEREF _Toc105053998 \h </w:instrText>
      </w:r>
      <w:r w:rsidRPr="00C9343F">
        <w:fldChar w:fldCharType="separate"/>
      </w:r>
      <w:r w:rsidRPr="00C9343F">
        <w:t>228</w:t>
      </w:r>
      <w:r w:rsidRPr="00C9343F">
        <w:fldChar w:fldCharType="end"/>
      </w:r>
    </w:p>
    <w:p w14:paraId="1C81EC79" w14:textId="4B8967BF" w:rsidR="00271952" w:rsidRPr="00C9343F" w:rsidRDefault="00271952">
      <w:pPr>
        <w:pStyle w:val="TOC5"/>
        <w:rPr>
          <w:rFonts w:asciiTheme="minorHAnsi" w:eastAsiaTheme="minorEastAsia" w:hAnsiTheme="minorHAnsi" w:cstheme="minorBidi"/>
          <w:sz w:val="22"/>
          <w:szCs w:val="22"/>
        </w:rPr>
      </w:pPr>
      <w:r w:rsidRPr="00C9343F">
        <w:t>5.4.27    Purpose</w:t>
      </w:r>
      <w:r w:rsidRPr="00C9343F">
        <w:tab/>
      </w:r>
      <w:r w:rsidRPr="00C9343F">
        <w:fldChar w:fldCharType="begin"/>
      </w:r>
      <w:r w:rsidRPr="00C9343F">
        <w:instrText xml:space="preserve"> PAGEREF _Toc105053999 \h </w:instrText>
      </w:r>
      <w:r w:rsidRPr="00C9343F">
        <w:fldChar w:fldCharType="separate"/>
      </w:r>
      <w:r w:rsidRPr="00C9343F">
        <w:t>228</w:t>
      </w:r>
      <w:r w:rsidRPr="00C9343F">
        <w:fldChar w:fldCharType="end"/>
      </w:r>
    </w:p>
    <w:p w14:paraId="3F599781" w14:textId="44170092" w:rsidR="00271952" w:rsidRPr="00C9343F" w:rsidRDefault="00271952">
      <w:pPr>
        <w:pStyle w:val="TOC5"/>
        <w:rPr>
          <w:rFonts w:asciiTheme="minorHAnsi" w:eastAsiaTheme="minorEastAsia" w:hAnsiTheme="minorHAnsi" w:cstheme="minorBidi"/>
          <w:sz w:val="22"/>
          <w:szCs w:val="22"/>
        </w:rPr>
      </w:pPr>
      <w:r w:rsidRPr="00C9343F">
        <w:t>5.4.28    Member eligible for trainee leave</w:t>
      </w:r>
      <w:r w:rsidRPr="00C9343F">
        <w:tab/>
      </w:r>
      <w:r w:rsidRPr="00C9343F">
        <w:fldChar w:fldCharType="begin"/>
      </w:r>
      <w:r w:rsidRPr="00C9343F">
        <w:instrText xml:space="preserve"> PAGEREF _Toc105054000 \h </w:instrText>
      </w:r>
      <w:r w:rsidRPr="00C9343F">
        <w:fldChar w:fldCharType="separate"/>
      </w:r>
      <w:r w:rsidRPr="00C9343F">
        <w:t>228</w:t>
      </w:r>
      <w:r w:rsidRPr="00C9343F">
        <w:fldChar w:fldCharType="end"/>
      </w:r>
    </w:p>
    <w:p w14:paraId="6B15F685" w14:textId="4266AB93" w:rsidR="00271952" w:rsidRPr="00C9343F" w:rsidRDefault="00271952">
      <w:pPr>
        <w:pStyle w:val="TOC5"/>
        <w:rPr>
          <w:rFonts w:asciiTheme="minorHAnsi" w:eastAsiaTheme="minorEastAsia" w:hAnsiTheme="minorHAnsi" w:cstheme="minorBidi"/>
          <w:sz w:val="22"/>
          <w:szCs w:val="22"/>
        </w:rPr>
      </w:pPr>
      <w:r w:rsidRPr="00C9343F">
        <w:t>5.4.29    Member on a flexible service determination</w:t>
      </w:r>
      <w:r w:rsidRPr="00C9343F">
        <w:tab/>
      </w:r>
      <w:r w:rsidRPr="00C9343F">
        <w:fldChar w:fldCharType="begin"/>
      </w:r>
      <w:r w:rsidRPr="00C9343F">
        <w:instrText xml:space="preserve"> PAGEREF _Toc105054001 \h </w:instrText>
      </w:r>
      <w:r w:rsidRPr="00C9343F">
        <w:fldChar w:fldCharType="separate"/>
      </w:r>
      <w:r w:rsidRPr="00C9343F">
        <w:t>228</w:t>
      </w:r>
      <w:r w:rsidRPr="00C9343F">
        <w:fldChar w:fldCharType="end"/>
      </w:r>
    </w:p>
    <w:p w14:paraId="449F312C" w14:textId="367359E2" w:rsidR="00271952" w:rsidRPr="00C9343F" w:rsidRDefault="00271952">
      <w:pPr>
        <w:pStyle w:val="TOC4"/>
        <w:rPr>
          <w:rFonts w:asciiTheme="minorHAnsi" w:eastAsiaTheme="minorEastAsia" w:hAnsiTheme="minorHAnsi" w:cstheme="minorBidi"/>
          <w:sz w:val="22"/>
          <w:szCs w:val="22"/>
        </w:rPr>
      </w:pPr>
      <w:r w:rsidRPr="00C9343F">
        <w:t>Division 7: Administration and payment for recreation leave</w:t>
      </w:r>
      <w:r w:rsidRPr="00C9343F">
        <w:tab/>
      </w:r>
      <w:r w:rsidRPr="00C9343F">
        <w:fldChar w:fldCharType="begin"/>
      </w:r>
      <w:r w:rsidRPr="00C9343F">
        <w:instrText xml:space="preserve"> PAGEREF _Toc105054002 \h </w:instrText>
      </w:r>
      <w:r w:rsidRPr="00C9343F">
        <w:fldChar w:fldCharType="separate"/>
      </w:r>
      <w:r w:rsidRPr="00C9343F">
        <w:t>229</w:t>
      </w:r>
      <w:r w:rsidRPr="00C9343F">
        <w:fldChar w:fldCharType="end"/>
      </w:r>
    </w:p>
    <w:p w14:paraId="2A2E2B58" w14:textId="268334A3" w:rsidR="00271952" w:rsidRPr="00C9343F" w:rsidRDefault="00271952">
      <w:pPr>
        <w:pStyle w:val="TOC5"/>
        <w:rPr>
          <w:rFonts w:asciiTheme="minorHAnsi" w:eastAsiaTheme="minorEastAsia" w:hAnsiTheme="minorHAnsi" w:cstheme="minorBidi"/>
          <w:sz w:val="22"/>
          <w:szCs w:val="22"/>
        </w:rPr>
      </w:pPr>
      <w:r w:rsidRPr="00C9343F">
        <w:t>5.4.30    Purpose</w:t>
      </w:r>
      <w:r w:rsidRPr="00C9343F">
        <w:tab/>
      </w:r>
      <w:r w:rsidRPr="00C9343F">
        <w:fldChar w:fldCharType="begin"/>
      </w:r>
      <w:r w:rsidRPr="00C9343F">
        <w:instrText xml:space="preserve"> PAGEREF _Toc105054003 \h </w:instrText>
      </w:r>
      <w:r w:rsidRPr="00C9343F">
        <w:fldChar w:fldCharType="separate"/>
      </w:r>
      <w:r w:rsidRPr="00C9343F">
        <w:t>229</w:t>
      </w:r>
      <w:r w:rsidRPr="00C9343F">
        <w:fldChar w:fldCharType="end"/>
      </w:r>
    </w:p>
    <w:p w14:paraId="484197F3" w14:textId="28B0F7F6" w:rsidR="00271952" w:rsidRPr="00C9343F" w:rsidRDefault="00271952">
      <w:pPr>
        <w:pStyle w:val="TOC5"/>
        <w:rPr>
          <w:rFonts w:asciiTheme="minorHAnsi" w:eastAsiaTheme="minorEastAsia" w:hAnsiTheme="minorHAnsi" w:cstheme="minorBidi"/>
          <w:sz w:val="22"/>
          <w:szCs w:val="22"/>
        </w:rPr>
      </w:pPr>
      <w:r w:rsidRPr="00C9343F">
        <w:t>5.4.31    Conditions of granting of leave</w:t>
      </w:r>
      <w:r w:rsidRPr="00C9343F">
        <w:tab/>
      </w:r>
      <w:r w:rsidRPr="00C9343F">
        <w:fldChar w:fldCharType="begin"/>
      </w:r>
      <w:r w:rsidRPr="00C9343F">
        <w:instrText xml:space="preserve"> PAGEREF _Toc105054004 \h </w:instrText>
      </w:r>
      <w:r w:rsidRPr="00C9343F">
        <w:fldChar w:fldCharType="separate"/>
      </w:r>
      <w:r w:rsidRPr="00C9343F">
        <w:t>229</w:t>
      </w:r>
      <w:r w:rsidRPr="00C9343F">
        <w:fldChar w:fldCharType="end"/>
      </w:r>
    </w:p>
    <w:p w14:paraId="176F1BF9" w14:textId="1E45BFFA" w:rsidR="00271952" w:rsidRPr="00C9343F" w:rsidRDefault="00271952">
      <w:pPr>
        <w:pStyle w:val="TOC5"/>
        <w:rPr>
          <w:rFonts w:asciiTheme="minorHAnsi" w:eastAsiaTheme="minorEastAsia" w:hAnsiTheme="minorHAnsi" w:cstheme="minorBidi"/>
          <w:sz w:val="22"/>
          <w:szCs w:val="22"/>
        </w:rPr>
      </w:pPr>
      <w:r w:rsidRPr="00C9343F">
        <w:t>5.4.32    Recreation leave management</w:t>
      </w:r>
      <w:r w:rsidRPr="00C9343F">
        <w:tab/>
      </w:r>
      <w:r w:rsidRPr="00C9343F">
        <w:fldChar w:fldCharType="begin"/>
      </w:r>
      <w:r w:rsidRPr="00C9343F">
        <w:instrText xml:space="preserve"> PAGEREF _Toc105054005 \h </w:instrText>
      </w:r>
      <w:r w:rsidRPr="00C9343F">
        <w:fldChar w:fldCharType="separate"/>
      </w:r>
      <w:r w:rsidRPr="00C9343F">
        <w:t>229</w:t>
      </w:r>
      <w:r w:rsidRPr="00C9343F">
        <w:fldChar w:fldCharType="end"/>
      </w:r>
    </w:p>
    <w:p w14:paraId="1C90D901" w14:textId="104F9D15" w:rsidR="00271952" w:rsidRPr="00C9343F" w:rsidRDefault="00271952">
      <w:pPr>
        <w:pStyle w:val="TOC5"/>
        <w:rPr>
          <w:rFonts w:asciiTheme="minorHAnsi" w:eastAsiaTheme="minorEastAsia" w:hAnsiTheme="minorHAnsi" w:cstheme="minorBidi"/>
          <w:sz w:val="22"/>
          <w:szCs w:val="22"/>
        </w:rPr>
      </w:pPr>
      <w:r w:rsidRPr="00C9343F">
        <w:t>5.4.33    Grant of recreation leave</w:t>
      </w:r>
      <w:r w:rsidRPr="00C9343F">
        <w:tab/>
      </w:r>
      <w:r w:rsidRPr="00C9343F">
        <w:fldChar w:fldCharType="begin"/>
      </w:r>
      <w:r w:rsidRPr="00C9343F">
        <w:instrText xml:space="preserve"> PAGEREF _Toc105054006 \h </w:instrText>
      </w:r>
      <w:r w:rsidRPr="00C9343F">
        <w:fldChar w:fldCharType="separate"/>
      </w:r>
      <w:r w:rsidRPr="00C9343F">
        <w:t>229</w:t>
      </w:r>
      <w:r w:rsidRPr="00C9343F">
        <w:fldChar w:fldCharType="end"/>
      </w:r>
    </w:p>
    <w:p w14:paraId="7BE1C204" w14:textId="68F1A71F" w:rsidR="00271952" w:rsidRPr="00C9343F" w:rsidRDefault="00271952">
      <w:pPr>
        <w:pStyle w:val="TOC5"/>
        <w:rPr>
          <w:rFonts w:asciiTheme="minorHAnsi" w:eastAsiaTheme="minorEastAsia" w:hAnsiTheme="minorHAnsi" w:cstheme="minorBidi"/>
          <w:sz w:val="22"/>
          <w:szCs w:val="22"/>
        </w:rPr>
      </w:pPr>
      <w:r w:rsidRPr="00C9343F">
        <w:t>5.4.33A    Leave credits</w:t>
      </w:r>
      <w:r w:rsidRPr="00C9343F">
        <w:tab/>
      </w:r>
      <w:r w:rsidRPr="00C9343F">
        <w:fldChar w:fldCharType="begin"/>
      </w:r>
      <w:r w:rsidRPr="00C9343F">
        <w:instrText xml:space="preserve"> PAGEREF _Toc105054007 \h </w:instrText>
      </w:r>
      <w:r w:rsidRPr="00C9343F">
        <w:fldChar w:fldCharType="separate"/>
      </w:r>
      <w:r w:rsidRPr="00C9343F">
        <w:t>230</w:t>
      </w:r>
      <w:r w:rsidRPr="00C9343F">
        <w:fldChar w:fldCharType="end"/>
      </w:r>
    </w:p>
    <w:p w14:paraId="1EDD1EAC" w14:textId="0E81E47D" w:rsidR="00271952" w:rsidRPr="00C9343F" w:rsidRDefault="00271952">
      <w:pPr>
        <w:pStyle w:val="TOC5"/>
        <w:rPr>
          <w:rFonts w:asciiTheme="minorHAnsi" w:eastAsiaTheme="minorEastAsia" w:hAnsiTheme="minorHAnsi" w:cstheme="minorBidi"/>
          <w:sz w:val="22"/>
          <w:szCs w:val="22"/>
        </w:rPr>
      </w:pPr>
      <w:r w:rsidRPr="00C9343F">
        <w:t>5.4.34    Expiration of recreation leave credits ('leave lapsing')</w:t>
      </w:r>
      <w:r w:rsidRPr="00C9343F">
        <w:tab/>
      </w:r>
      <w:r w:rsidRPr="00C9343F">
        <w:fldChar w:fldCharType="begin"/>
      </w:r>
      <w:r w:rsidRPr="00C9343F">
        <w:instrText xml:space="preserve"> PAGEREF _Toc105054008 \h </w:instrText>
      </w:r>
      <w:r w:rsidRPr="00C9343F">
        <w:fldChar w:fldCharType="separate"/>
      </w:r>
      <w:r w:rsidRPr="00C9343F">
        <w:t>230</w:t>
      </w:r>
      <w:r w:rsidRPr="00C9343F">
        <w:fldChar w:fldCharType="end"/>
      </w:r>
    </w:p>
    <w:p w14:paraId="23EE72D8" w14:textId="63F7D8E5" w:rsidR="00271952" w:rsidRPr="00C9343F" w:rsidRDefault="00271952">
      <w:pPr>
        <w:pStyle w:val="TOC5"/>
        <w:rPr>
          <w:rFonts w:asciiTheme="minorHAnsi" w:eastAsiaTheme="minorEastAsia" w:hAnsiTheme="minorHAnsi" w:cstheme="minorBidi"/>
          <w:sz w:val="22"/>
          <w:szCs w:val="22"/>
        </w:rPr>
      </w:pPr>
      <w:r w:rsidRPr="00C9343F">
        <w:t>5.4.35    Re-credit of recreation leave</w:t>
      </w:r>
      <w:r w:rsidRPr="00C9343F">
        <w:tab/>
      </w:r>
      <w:r w:rsidRPr="00C9343F">
        <w:fldChar w:fldCharType="begin"/>
      </w:r>
      <w:r w:rsidRPr="00C9343F">
        <w:instrText xml:space="preserve"> PAGEREF _Toc105054009 \h </w:instrText>
      </w:r>
      <w:r w:rsidRPr="00C9343F">
        <w:fldChar w:fldCharType="separate"/>
      </w:r>
      <w:r w:rsidRPr="00C9343F">
        <w:t>230</w:t>
      </w:r>
      <w:r w:rsidRPr="00C9343F">
        <w:fldChar w:fldCharType="end"/>
      </w:r>
    </w:p>
    <w:p w14:paraId="0DB89174" w14:textId="08BDBD09" w:rsidR="00271952" w:rsidRPr="00C9343F" w:rsidRDefault="00271952">
      <w:pPr>
        <w:pStyle w:val="TOC5"/>
        <w:rPr>
          <w:rFonts w:asciiTheme="minorHAnsi" w:eastAsiaTheme="minorEastAsia" w:hAnsiTheme="minorHAnsi" w:cstheme="minorBidi"/>
          <w:sz w:val="22"/>
          <w:szCs w:val="22"/>
        </w:rPr>
      </w:pPr>
      <w:r w:rsidRPr="00C9343F">
        <w:t>5.4.36    Salary for recreation leave</w:t>
      </w:r>
      <w:r w:rsidRPr="00C9343F">
        <w:tab/>
      </w:r>
      <w:r w:rsidRPr="00C9343F">
        <w:fldChar w:fldCharType="begin"/>
      </w:r>
      <w:r w:rsidRPr="00C9343F">
        <w:instrText xml:space="preserve"> PAGEREF _Toc105054010 \h </w:instrText>
      </w:r>
      <w:r w:rsidRPr="00C9343F">
        <w:fldChar w:fldCharType="separate"/>
      </w:r>
      <w:r w:rsidRPr="00C9343F">
        <w:t>231</w:t>
      </w:r>
      <w:r w:rsidRPr="00C9343F">
        <w:fldChar w:fldCharType="end"/>
      </w:r>
    </w:p>
    <w:p w14:paraId="7CB0BF77" w14:textId="31EF683D" w:rsidR="00271952" w:rsidRPr="00C9343F" w:rsidRDefault="00271952">
      <w:pPr>
        <w:pStyle w:val="TOC5"/>
        <w:rPr>
          <w:rFonts w:asciiTheme="minorHAnsi" w:eastAsiaTheme="minorEastAsia" w:hAnsiTheme="minorHAnsi" w:cstheme="minorBidi"/>
          <w:sz w:val="22"/>
          <w:szCs w:val="22"/>
        </w:rPr>
      </w:pPr>
      <w:r w:rsidRPr="00C9343F">
        <w:t>5.4.37    Payment of allowances on recreation leave</w:t>
      </w:r>
      <w:r w:rsidRPr="00C9343F">
        <w:tab/>
      </w:r>
      <w:r w:rsidRPr="00C9343F">
        <w:fldChar w:fldCharType="begin"/>
      </w:r>
      <w:r w:rsidRPr="00C9343F">
        <w:instrText xml:space="preserve"> PAGEREF _Toc105054011 \h </w:instrText>
      </w:r>
      <w:r w:rsidRPr="00C9343F">
        <w:fldChar w:fldCharType="separate"/>
      </w:r>
      <w:r w:rsidRPr="00C9343F">
        <w:t>231</w:t>
      </w:r>
      <w:r w:rsidRPr="00C9343F">
        <w:fldChar w:fldCharType="end"/>
      </w:r>
    </w:p>
    <w:p w14:paraId="23AE3E81" w14:textId="7A55F99D" w:rsidR="00271952" w:rsidRPr="00C9343F" w:rsidRDefault="00271952">
      <w:pPr>
        <w:pStyle w:val="TOC5"/>
        <w:rPr>
          <w:rFonts w:asciiTheme="minorHAnsi" w:eastAsiaTheme="minorEastAsia" w:hAnsiTheme="minorHAnsi" w:cstheme="minorBidi"/>
          <w:sz w:val="22"/>
          <w:szCs w:val="22"/>
        </w:rPr>
      </w:pPr>
      <w:r w:rsidRPr="00C9343F">
        <w:t>5.4.38    Member seconded or attached for duty</w:t>
      </w:r>
      <w:r w:rsidRPr="00C9343F">
        <w:tab/>
      </w:r>
      <w:r w:rsidRPr="00C9343F">
        <w:fldChar w:fldCharType="begin"/>
      </w:r>
      <w:r w:rsidRPr="00C9343F">
        <w:instrText xml:space="preserve"> PAGEREF _Toc105054012 \h </w:instrText>
      </w:r>
      <w:r w:rsidRPr="00C9343F">
        <w:fldChar w:fldCharType="separate"/>
      </w:r>
      <w:r w:rsidRPr="00C9343F">
        <w:t>232</w:t>
      </w:r>
      <w:r w:rsidRPr="00C9343F">
        <w:fldChar w:fldCharType="end"/>
      </w:r>
    </w:p>
    <w:p w14:paraId="6EA0A185" w14:textId="550AE677" w:rsidR="00271952" w:rsidRPr="00C9343F" w:rsidRDefault="00271952">
      <w:pPr>
        <w:pStyle w:val="TOC4"/>
        <w:rPr>
          <w:rFonts w:asciiTheme="minorHAnsi" w:eastAsiaTheme="minorEastAsia" w:hAnsiTheme="minorHAnsi" w:cstheme="minorBidi"/>
          <w:sz w:val="22"/>
          <w:szCs w:val="22"/>
        </w:rPr>
      </w:pPr>
      <w:r w:rsidRPr="00C9343F">
        <w:t>Division 8: Payment or transfer of recreation leave credit</w:t>
      </w:r>
      <w:r w:rsidRPr="00C9343F">
        <w:tab/>
      </w:r>
      <w:r w:rsidRPr="00C9343F">
        <w:fldChar w:fldCharType="begin"/>
      </w:r>
      <w:r w:rsidRPr="00C9343F">
        <w:instrText xml:space="preserve"> PAGEREF _Toc105054013 \h </w:instrText>
      </w:r>
      <w:r w:rsidRPr="00C9343F">
        <w:fldChar w:fldCharType="separate"/>
      </w:r>
      <w:r w:rsidRPr="00C9343F">
        <w:t>233</w:t>
      </w:r>
      <w:r w:rsidRPr="00C9343F">
        <w:fldChar w:fldCharType="end"/>
      </w:r>
    </w:p>
    <w:p w14:paraId="2361502C" w14:textId="075A947B" w:rsidR="00271952" w:rsidRPr="00C9343F" w:rsidRDefault="00271952">
      <w:pPr>
        <w:pStyle w:val="TOC5"/>
        <w:rPr>
          <w:rFonts w:asciiTheme="minorHAnsi" w:eastAsiaTheme="minorEastAsia" w:hAnsiTheme="minorHAnsi" w:cstheme="minorBidi"/>
          <w:sz w:val="22"/>
          <w:szCs w:val="22"/>
        </w:rPr>
      </w:pPr>
      <w:r w:rsidRPr="00C9343F">
        <w:t>5.4.40    Purpose</w:t>
      </w:r>
      <w:r w:rsidRPr="00C9343F">
        <w:tab/>
      </w:r>
      <w:r w:rsidRPr="00C9343F">
        <w:fldChar w:fldCharType="begin"/>
      </w:r>
      <w:r w:rsidRPr="00C9343F">
        <w:instrText xml:space="preserve"> PAGEREF _Toc105054014 \h </w:instrText>
      </w:r>
      <w:r w:rsidRPr="00C9343F">
        <w:fldChar w:fldCharType="separate"/>
      </w:r>
      <w:r w:rsidRPr="00C9343F">
        <w:t>233</w:t>
      </w:r>
      <w:r w:rsidRPr="00C9343F">
        <w:fldChar w:fldCharType="end"/>
      </w:r>
    </w:p>
    <w:p w14:paraId="674D6E57" w14:textId="1C5FC941" w:rsidR="00271952" w:rsidRPr="00C9343F" w:rsidRDefault="00271952">
      <w:pPr>
        <w:pStyle w:val="TOC5"/>
        <w:rPr>
          <w:rFonts w:asciiTheme="minorHAnsi" w:eastAsiaTheme="minorEastAsia" w:hAnsiTheme="minorHAnsi" w:cstheme="minorBidi"/>
          <w:sz w:val="22"/>
          <w:szCs w:val="22"/>
        </w:rPr>
      </w:pPr>
      <w:r w:rsidRPr="00C9343F">
        <w:t>5.4.41    Member this Division applies to</w:t>
      </w:r>
      <w:r w:rsidRPr="00C9343F">
        <w:tab/>
      </w:r>
      <w:r w:rsidRPr="00C9343F">
        <w:fldChar w:fldCharType="begin"/>
      </w:r>
      <w:r w:rsidRPr="00C9343F">
        <w:instrText xml:space="preserve"> PAGEREF _Toc105054015 \h </w:instrText>
      </w:r>
      <w:r w:rsidRPr="00C9343F">
        <w:fldChar w:fldCharType="separate"/>
      </w:r>
      <w:r w:rsidRPr="00C9343F">
        <w:t>233</w:t>
      </w:r>
      <w:r w:rsidRPr="00C9343F">
        <w:fldChar w:fldCharType="end"/>
      </w:r>
    </w:p>
    <w:p w14:paraId="208EEEF3" w14:textId="69AD30D2" w:rsidR="00271952" w:rsidRPr="00C9343F" w:rsidRDefault="00271952">
      <w:pPr>
        <w:pStyle w:val="TOC5"/>
        <w:rPr>
          <w:rFonts w:asciiTheme="minorHAnsi" w:eastAsiaTheme="minorEastAsia" w:hAnsiTheme="minorHAnsi" w:cstheme="minorBidi"/>
          <w:sz w:val="22"/>
          <w:szCs w:val="22"/>
        </w:rPr>
      </w:pPr>
      <w:r w:rsidRPr="00C9343F">
        <w:t>5.4.42    Definitions</w:t>
      </w:r>
      <w:r w:rsidRPr="00C9343F">
        <w:tab/>
      </w:r>
      <w:r w:rsidRPr="00C9343F">
        <w:fldChar w:fldCharType="begin"/>
      </w:r>
      <w:r w:rsidRPr="00C9343F">
        <w:instrText xml:space="preserve"> PAGEREF _Toc105054016 \h </w:instrText>
      </w:r>
      <w:r w:rsidRPr="00C9343F">
        <w:fldChar w:fldCharType="separate"/>
      </w:r>
      <w:r w:rsidRPr="00C9343F">
        <w:t>233</w:t>
      </w:r>
      <w:r w:rsidRPr="00C9343F">
        <w:fldChar w:fldCharType="end"/>
      </w:r>
    </w:p>
    <w:p w14:paraId="2671B6F9" w14:textId="5551B531" w:rsidR="00271952" w:rsidRPr="00C9343F" w:rsidRDefault="00271952">
      <w:pPr>
        <w:pStyle w:val="TOC5"/>
        <w:rPr>
          <w:rFonts w:asciiTheme="minorHAnsi" w:eastAsiaTheme="minorEastAsia" w:hAnsiTheme="minorHAnsi" w:cstheme="minorBidi"/>
          <w:sz w:val="22"/>
          <w:szCs w:val="22"/>
        </w:rPr>
      </w:pPr>
      <w:r w:rsidRPr="00C9343F">
        <w:t>5.4.43    Election for payment or transfer of leave credit</w:t>
      </w:r>
      <w:r w:rsidRPr="00C9343F">
        <w:tab/>
      </w:r>
      <w:r w:rsidRPr="00C9343F">
        <w:fldChar w:fldCharType="begin"/>
      </w:r>
      <w:r w:rsidRPr="00C9343F">
        <w:instrText xml:space="preserve"> PAGEREF _Toc105054017 \h </w:instrText>
      </w:r>
      <w:r w:rsidRPr="00C9343F">
        <w:fldChar w:fldCharType="separate"/>
      </w:r>
      <w:r w:rsidRPr="00C9343F">
        <w:t>234</w:t>
      </w:r>
      <w:r w:rsidRPr="00C9343F">
        <w:fldChar w:fldCharType="end"/>
      </w:r>
    </w:p>
    <w:p w14:paraId="73852800" w14:textId="1ED2E3A1" w:rsidR="00271952" w:rsidRPr="00C9343F" w:rsidRDefault="00271952">
      <w:pPr>
        <w:pStyle w:val="TOC5"/>
        <w:rPr>
          <w:rFonts w:asciiTheme="minorHAnsi" w:eastAsiaTheme="minorEastAsia" w:hAnsiTheme="minorHAnsi" w:cstheme="minorBidi"/>
          <w:sz w:val="22"/>
          <w:szCs w:val="22"/>
        </w:rPr>
      </w:pPr>
      <w:r w:rsidRPr="00C9343F">
        <w:t xml:space="preserve">5.4.44    Payment to member for </w:t>
      </w:r>
      <w:r w:rsidRPr="00C9343F">
        <w:rPr>
          <w:i/>
        </w:rPr>
        <w:t>leave credit</w:t>
      </w:r>
      <w:r w:rsidRPr="00C9343F">
        <w:tab/>
      </w:r>
      <w:r w:rsidRPr="00C9343F">
        <w:fldChar w:fldCharType="begin"/>
      </w:r>
      <w:r w:rsidRPr="00C9343F">
        <w:instrText xml:space="preserve"> PAGEREF _Toc105054018 \h </w:instrText>
      </w:r>
      <w:r w:rsidRPr="00C9343F">
        <w:fldChar w:fldCharType="separate"/>
      </w:r>
      <w:r w:rsidRPr="00C9343F">
        <w:t>234</w:t>
      </w:r>
      <w:r w:rsidRPr="00C9343F">
        <w:fldChar w:fldCharType="end"/>
      </w:r>
    </w:p>
    <w:p w14:paraId="565C7505" w14:textId="73FD66AF" w:rsidR="00271952" w:rsidRPr="00C9343F" w:rsidRDefault="00271952">
      <w:pPr>
        <w:pStyle w:val="TOC5"/>
        <w:rPr>
          <w:rFonts w:asciiTheme="minorHAnsi" w:eastAsiaTheme="minorEastAsia" w:hAnsiTheme="minorHAnsi" w:cstheme="minorBidi"/>
          <w:sz w:val="22"/>
          <w:szCs w:val="22"/>
        </w:rPr>
      </w:pPr>
      <w:r w:rsidRPr="00C9343F">
        <w:t>5.4.44A    Payment to senior officer who transitioned for leave credit</w:t>
      </w:r>
      <w:r w:rsidRPr="00C9343F">
        <w:tab/>
      </w:r>
      <w:r w:rsidRPr="00C9343F">
        <w:fldChar w:fldCharType="begin"/>
      </w:r>
      <w:r w:rsidRPr="00C9343F">
        <w:instrText xml:space="preserve"> PAGEREF _Toc105054019 \h </w:instrText>
      </w:r>
      <w:r w:rsidRPr="00C9343F">
        <w:fldChar w:fldCharType="separate"/>
      </w:r>
      <w:r w:rsidRPr="00C9343F">
        <w:t>235</w:t>
      </w:r>
      <w:r w:rsidRPr="00C9343F">
        <w:fldChar w:fldCharType="end"/>
      </w:r>
    </w:p>
    <w:p w14:paraId="340225BF" w14:textId="0CF71C73" w:rsidR="00271952" w:rsidRPr="00C9343F" w:rsidRDefault="00271952">
      <w:pPr>
        <w:pStyle w:val="TOC5"/>
        <w:rPr>
          <w:rFonts w:asciiTheme="minorHAnsi" w:eastAsiaTheme="minorEastAsia" w:hAnsiTheme="minorHAnsi" w:cstheme="minorBidi"/>
          <w:sz w:val="22"/>
          <w:szCs w:val="22"/>
        </w:rPr>
      </w:pPr>
      <w:r w:rsidRPr="00C9343F">
        <w:t>5.4.45    Transfer of leave credits and payment to new Commonwealth</w:t>
      </w:r>
      <w:r w:rsidRPr="00C9343F">
        <w:rPr>
          <w:i/>
        </w:rPr>
        <w:t xml:space="preserve"> </w:t>
      </w:r>
      <w:r w:rsidRPr="00C9343F">
        <w:t>entity</w:t>
      </w:r>
      <w:r w:rsidRPr="00C9343F">
        <w:tab/>
      </w:r>
      <w:r w:rsidRPr="00C9343F">
        <w:fldChar w:fldCharType="begin"/>
      </w:r>
      <w:r w:rsidRPr="00C9343F">
        <w:instrText xml:space="preserve"> PAGEREF _Toc105054020 \h </w:instrText>
      </w:r>
      <w:r w:rsidRPr="00C9343F">
        <w:fldChar w:fldCharType="separate"/>
      </w:r>
      <w:r w:rsidRPr="00C9343F">
        <w:t>235</w:t>
      </w:r>
      <w:r w:rsidRPr="00C9343F">
        <w:fldChar w:fldCharType="end"/>
      </w:r>
    </w:p>
    <w:p w14:paraId="516EDD90" w14:textId="5D380981" w:rsidR="00271952" w:rsidRPr="00C9343F" w:rsidRDefault="00271952">
      <w:pPr>
        <w:pStyle w:val="TOC4"/>
        <w:rPr>
          <w:rFonts w:asciiTheme="minorHAnsi" w:eastAsiaTheme="minorEastAsia" w:hAnsiTheme="minorHAnsi" w:cstheme="minorBidi"/>
          <w:sz w:val="22"/>
          <w:szCs w:val="22"/>
        </w:rPr>
      </w:pPr>
      <w:r w:rsidRPr="00C9343F">
        <w:t>Annex 5.4.A: Remote locations within Australia — additional recreation leave</w:t>
      </w:r>
      <w:r w:rsidRPr="00C9343F">
        <w:tab/>
      </w:r>
      <w:r w:rsidRPr="00C9343F">
        <w:fldChar w:fldCharType="begin"/>
      </w:r>
      <w:r w:rsidRPr="00C9343F">
        <w:instrText xml:space="preserve"> PAGEREF _Toc105054021 \h </w:instrText>
      </w:r>
      <w:r w:rsidRPr="00C9343F">
        <w:fldChar w:fldCharType="separate"/>
      </w:r>
      <w:r w:rsidRPr="00C9343F">
        <w:t>237</w:t>
      </w:r>
      <w:r w:rsidRPr="00C9343F">
        <w:fldChar w:fldCharType="end"/>
      </w:r>
    </w:p>
    <w:p w14:paraId="2536BA9A" w14:textId="629FAC1F" w:rsidR="00271952" w:rsidRPr="00C9343F" w:rsidRDefault="00271952">
      <w:pPr>
        <w:pStyle w:val="TOC3"/>
        <w:rPr>
          <w:rFonts w:asciiTheme="minorHAnsi" w:eastAsiaTheme="minorEastAsia" w:hAnsiTheme="minorHAnsi" w:cstheme="minorBidi"/>
          <w:b w:val="0"/>
          <w:sz w:val="22"/>
          <w:szCs w:val="22"/>
        </w:rPr>
      </w:pPr>
      <w:r w:rsidRPr="00C9343F">
        <w:t>Part 5: Long service leave</w:t>
      </w:r>
      <w:r w:rsidRPr="00C9343F">
        <w:tab/>
      </w:r>
      <w:r w:rsidRPr="00C9343F">
        <w:fldChar w:fldCharType="begin"/>
      </w:r>
      <w:r w:rsidRPr="00C9343F">
        <w:instrText xml:space="preserve"> PAGEREF _Toc105054022 \h </w:instrText>
      </w:r>
      <w:r w:rsidRPr="00C9343F">
        <w:fldChar w:fldCharType="separate"/>
      </w:r>
      <w:r w:rsidRPr="00C9343F">
        <w:t>239</w:t>
      </w:r>
      <w:r w:rsidRPr="00C9343F">
        <w:fldChar w:fldCharType="end"/>
      </w:r>
    </w:p>
    <w:p w14:paraId="3FA15EE4" w14:textId="270CF827" w:rsidR="00271952" w:rsidRPr="00C9343F" w:rsidRDefault="00271952">
      <w:pPr>
        <w:pStyle w:val="TOC4"/>
        <w:rPr>
          <w:rFonts w:asciiTheme="minorHAnsi" w:eastAsiaTheme="minorEastAsia" w:hAnsiTheme="minorHAnsi" w:cstheme="minorBidi"/>
          <w:sz w:val="22"/>
          <w:szCs w:val="22"/>
        </w:rPr>
      </w:pPr>
      <w:r w:rsidRPr="00C9343F">
        <w:t>Division 1: General provisions</w:t>
      </w:r>
      <w:r w:rsidRPr="00C9343F">
        <w:tab/>
      </w:r>
      <w:r w:rsidRPr="00C9343F">
        <w:fldChar w:fldCharType="begin"/>
      </w:r>
      <w:r w:rsidRPr="00C9343F">
        <w:instrText xml:space="preserve"> PAGEREF _Toc105054023 \h </w:instrText>
      </w:r>
      <w:r w:rsidRPr="00C9343F">
        <w:fldChar w:fldCharType="separate"/>
      </w:r>
      <w:r w:rsidRPr="00C9343F">
        <w:t>239</w:t>
      </w:r>
      <w:r w:rsidRPr="00C9343F">
        <w:fldChar w:fldCharType="end"/>
      </w:r>
    </w:p>
    <w:p w14:paraId="2CC22C78" w14:textId="44864A02" w:rsidR="00271952" w:rsidRPr="00C9343F" w:rsidRDefault="00271952">
      <w:pPr>
        <w:pStyle w:val="TOC5"/>
        <w:rPr>
          <w:rFonts w:asciiTheme="minorHAnsi" w:eastAsiaTheme="minorEastAsia" w:hAnsiTheme="minorHAnsi" w:cstheme="minorBidi"/>
          <w:sz w:val="22"/>
          <w:szCs w:val="22"/>
        </w:rPr>
      </w:pPr>
      <w:r w:rsidRPr="00C9343F">
        <w:t>5.5.1    Purpose</w:t>
      </w:r>
      <w:r w:rsidRPr="00C9343F">
        <w:tab/>
      </w:r>
      <w:r w:rsidRPr="00C9343F">
        <w:fldChar w:fldCharType="begin"/>
      </w:r>
      <w:r w:rsidRPr="00C9343F">
        <w:instrText xml:space="preserve"> PAGEREF _Toc105054024 \h </w:instrText>
      </w:r>
      <w:r w:rsidRPr="00C9343F">
        <w:fldChar w:fldCharType="separate"/>
      </w:r>
      <w:r w:rsidRPr="00C9343F">
        <w:t>239</w:t>
      </w:r>
      <w:r w:rsidRPr="00C9343F">
        <w:fldChar w:fldCharType="end"/>
      </w:r>
    </w:p>
    <w:p w14:paraId="3030B0B1" w14:textId="6963E65F" w:rsidR="00271952" w:rsidRPr="00C9343F" w:rsidRDefault="00271952">
      <w:pPr>
        <w:pStyle w:val="TOC5"/>
        <w:rPr>
          <w:rFonts w:asciiTheme="minorHAnsi" w:eastAsiaTheme="minorEastAsia" w:hAnsiTheme="minorHAnsi" w:cstheme="minorBidi"/>
          <w:sz w:val="22"/>
          <w:szCs w:val="22"/>
        </w:rPr>
      </w:pPr>
      <w:r w:rsidRPr="00C9343F">
        <w:t>5.5.4    Member this Part applies to</w:t>
      </w:r>
      <w:r w:rsidRPr="00C9343F">
        <w:tab/>
      </w:r>
      <w:r w:rsidRPr="00C9343F">
        <w:fldChar w:fldCharType="begin"/>
      </w:r>
      <w:r w:rsidRPr="00C9343F">
        <w:instrText xml:space="preserve"> PAGEREF _Toc105054025 \h </w:instrText>
      </w:r>
      <w:r w:rsidRPr="00C9343F">
        <w:fldChar w:fldCharType="separate"/>
      </w:r>
      <w:r w:rsidRPr="00C9343F">
        <w:t>239</w:t>
      </w:r>
      <w:r w:rsidRPr="00C9343F">
        <w:fldChar w:fldCharType="end"/>
      </w:r>
    </w:p>
    <w:p w14:paraId="56F73983" w14:textId="721F59C7" w:rsidR="00271952" w:rsidRPr="00C9343F" w:rsidRDefault="00271952">
      <w:pPr>
        <w:pStyle w:val="TOC5"/>
        <w:rPr>
          <w:rFonts w:asciiTheme="minorHAnsi" w:eastAsiaTheme="minorEastAsia" w:hAnsiTheme="minorHAnsi" w:cstheme="minorBidi"/>
          <w:sz w:val="22"/>
          <w:szCs w:val="22"/>
        </w:rPr>
      </w:pPr>
      <w:r w:rsidRPr="00C9343F">
        <w:t>5.5.5    Definitions</w:t>
      </w:r>
      <w:r w:rsidRPr="00C9343F">
        <w:tab/>
      </w:r>
      <w:r w:rsidRPr="00C9343F">
        <w:fldChar w:fldCharType="begin"/>
      </w:r>
      <w:r w:rsidRPr="00C9343F">
        <w:instrText xml:space="preserve"> PAGEREF _Toc105054026 \h </w:instrText>
      </w:r>
      <w:r w:rsidRPr="00C9343F">
        <w:fldChar w:fldCharType="separate"/>
      </w:r>
      <w:r w:rsidRPr="00C9343F">
        <w:t>239</w:t>
      </w:r>
      <w:r w:rsidRPr="00C9343F">
        <w:fldChar w:fldCharType="end"/>
      </w:r>
    </w:p>
    <w:p w14:paraId="65662DCE" w14:textId="20281694" w:rsidR="00271952" w:rsidRPr="00C9343F" w:rsidRDefault="00271952">
      <w:pPr>
        <w:pStyle w:val="TOC5"/>
        <w:rPr>
          <w:rFonts w:asciiTheme="minorHAnsi" w:eastAsiaTheme="minorEastAsia" w:hAnsiTheme="minorHAnsi" w:cstheme="minorBidi"/>
          <w:sz w:val="22"/>
          <w:szCs w:val="22"/>
        </w:rPr>
      </w:pPr>
      <w:r w:rsidRPr="00C9343F">
        <w:t>5.5.6    Administrative concepts</w:t>
      </w:r>
      <w:r w:rsidRPr="00C9343F">
        <w:tab/>
      </w:r>
      <w:r w:rsidRPr="00C9343F">
        <w:fldChar w:fldCharType="begin"/>
      </w:r>
      <w:r w:rsidRPr="00C9343F">
        <w:instrText xml:space="preserve"> PAGEREF _Toc105054027 \h </w:instrText>
      </w:r>
      <w:r w:rsidRPr="00C9343F">
        <w:fldChar w:fldCharType="separate"/>
      </w:r>
      <w:r w:rsidRPr="00C9343F">
        <w:t>239</w:t>
      </w:r>
      <w:r w:rsidRPr="00C9343F">
        <w:fldChar w:fldCharType="end"/>
      </w:r>
    </w:p>
    <w:p w14:paraId="1BF82229" w14:textId="7BF55DF1" w:rsidR="00271952" w:rsidRPr="00C9343F" w:rsidRDefault="00271952">
      <w:pPr>
        <w:pStyle w:val="TOC5"/>
        <w:rPr>
          <w:rFonts w:asciiTheme="minorHAnsi" w:eastAsiaTheme="minorEastAsia" w:hAnsiTheme="minorHAnsi" w:cstheme="minorBidi"/>
          <w:sz w:val="22"/>
          <w:szCs w:val="22"/>
        </w:rPr>
      </w:pPr>
      <w:r w:rsidRPr="00C9343F">
        <w:t>5.5.7    </w:t>
      </w:r>
      <w:r w:rsidRPr="00C9343F">
        <w:rPr>
          <w:bCs/>
        </w:rPr>
        <w:t>Applying for long service leave</w:t>
      </w:r>
      <w:r w:rsidRPr="00C9343F">
        <w:tab/>
      </w:r>
      <w:r w:rsidRPr="00C9343F">
        <w:fldChar w:fldCharType="begin"/>
      </w:r>
      <w:r w:rsidRPr="00C9343F">
        <w:instrText xml:space="preserve"> PAGEREF _Toc105054028 \h </w:instrText>
      </w:r>
      <w:r w:rsidRPr="00C9343F">
        <w:fldChar w:fldCharType="separate"/>
      </w:r>
      <w:r w:rsidRPr="00C9343F">
        <w:t>239</w:t>
      </w:r>
      <w:r w:rsidRPr="00C9343F">
        <w:fldChar w:fldCharType="end"/>
      </w:r>
    </w:p>
    <w:p w14:paraId="19434F12" w14:textId="76F8CB3A" w:rsidR="00271952" w:rsidRPr="00C9343F" w:rsidRDefault="00271952">
      <w:pPr>
        <w:pStyle w:val="TOC4"/>
        <w:rPr>
          <w:rFonts w:asciiTheme="minorHAnsi" w:eastAsiaTheme="minorEastAsia" w:hAnsiTheme="minorHAnsi" w:cstheme="minorBidi"/>
          <w:sz w:val="22"/>
          <w:szCs w:val="22"/>
        </w:rPr>
      </w:pPr>
      <w:r w:rsidRPr="00C9343F">
        <w:t>Division 2: Entitlement to long service leave</w:t>
      </w:r>
      <w:r w:rsidRPr="00C9343F">
        <w:tab/>
      </w:r>
      <w:r w:rsidRPr="00C9343F">
        <w:fldChar w:fldCharType="begin"/>
      </w:r>
      <w:r w:rsidRPr="00C9343F">
        <w:instrText xml:space="preserve"> PAGEREF _Toc105054029 \h </w:instrText>
      </w:r>
      <w:r w:rsidRPr="00C9343F">
        <w:fldChar w:fldCharType="separate"/>
      </w:r>
      <w:r w:rsidRPr="00C9343F">
        <w:t>240</w:t>
      </w:r>
      <w:r w:rsidRPr="00C9343F">
        <w:fldChar w:fldCharType="end"/>
      </w:r>
    </w:p>
    <w:p w14:paraId="463D26A7" w14:textId="044897CE" w:rsidR="00271952" w:rsidRPr="00C9343F" w:rsidRDefault="00271952">
      <w:pPr>
        <w:pStyle w:val="TOC5"/>
        <w:rPr>
          <w:rFonts w:asciiTheme="minorHAnsi" w:eastAsiaTheme="minorEastAsia" w:hAnsiTheme="minorHAnsi" w:cstheme="minorBidi"/>
          <w:sz w:val="22"/>
          <w:szCs w:val="22"/>
        </w:rPr>
      </w:pPr>
      <w:r w:rsidRPr="00C9343F">
        <w:t>5.5.8    Long service leave entitlement</w:t>
      </w:r>
      <w:r w:rsidRPr="00C9343F">
        <w:tab/>
      </w:r>
      <w:r w:rsidRPr="00C9343F">
        <w:fldChar w:fldCharType="begin"/>
      </w:r>
      <w:r w:rsidRPr="00C9343F">
        <w:instrText xml:space="preserve"> PAGEREF _Toc105054030 \h </w:instrText>
      </w:r>
      <w:r w:rsidRPr="00C9343F">
        <w:fldChar w:fldCharType="separate"/>
      </w:r>
      <w:r w:rsidRPr="00C9343F">
        <w:t>240</w:t>
      </w:r>
      <w:r w:rsidRPr="00C9343F">
        <w:fldChar w:fldCharType="end"/>
      </w:r>
    </w:p>
    <w:p w14:paraId="3300A897" w14:textId="28A34247" w:rsidR="00271952" w:rsidRPr="00C9343F" w:rsidRDefault="00271952">
      <w:pPr>
        <w:pStyle w:val="TOC5"/>
        <w:rPr>
          <w:rFonts w:asciiTheme="minorHAnsi" w:eastAsiaTheme="minorEastAsia" w:hAnsiTheme="minorHAnsi" w:cstheme="minorBidi"/>
          <w:sz w:val="22"/>
          <w:szCs w:val="22"/>
        </w:rPr>
      </w:pPr>
      <w:r w:rsidRPr="00C9343F">
        <w:rPr>
          <w:rFonts w:cs="Arial"/>
          <w:color w:val="000000"/>
        </w:rPr>
        <w:t>5.5.9    Eligibility to take leave</w:t>
      </w:r>
      <w:r w:rsidRPr="00C9343F">
        <w:tab/>
      </w:r>
      <w:r w:rsidRPr="00C9343F">
        <w:fldChar w:fldCharType="begin"/>
      </w:r>
      <w:r w:rsidRPr="00C9343F">
        <w:instrText xml:space="preserve"> PAGEREF _Toc105054031 \h </w:instrText>
      </w:r>
      <w:r w:rsidRPr="00C9343F">
        <w:fldChar w:fldCharType="separate"/>
      </w:r>
      <w:r w:rsidRPr="00C9343F">
        <w:t>240</w:t>
      </w:r>
      <w:r w:rsidRPr="00C9343F">
        <w:fldChar w:fldCharType="end"/>
      </w:r>
    </w:p>
    <w:p w14:paraId="3B506D1E" w14:textId="1DDC36DD" w:rsidR="00271952" w:rsidRPr="00C9343F" w:rsidRDefault="00271952">
      <w:pPr>
        <w:pStyle w:val="TOC5"/>
        <w:rPr>
          <w:rFonts w:asciiTheme="minorHAnsi" w:eastAsiaTheme="minorEastAsia" w:hAnsiTheme="minorHAnsi" w:cstheme="minorBidi"/>
          <w:sz w:val="22"/>
          <w:szCs w:val="22"/>
        </w:rPr>
      </w:pPr>
      <w:r w:rsidRPr="00C9343F">
        <w:rPr>
          <w:rFonts w:cs="Arial"/>
          <w:color w:val="000000"/>
        </w:rPr>
        <w:t>5.5.10    Taking leave and long service leave credits</w:t>
      </w:r>
      <w:r w:rsidRPr="00C9343F">
        <w:tab/>
      </w:r>
      <w:r w:rsidRPr="00C9343F">
        <w:fldChar w:fldCharType="begin"/>
      </w:r>
      <w:r w:rsidRPr="00C9343F">
        <w:instrText xml:space="preserve"> PAGEREF _Toc105054032 \h </w:instrText>
      </w:r>
      <w:r w:rsidRPr="00C9343F">
        <w:fldChar w:fldCharType="separate"/>
      </w:r>
      <w:r w:rsidRPr="00C9343F">
        <w:t>241</w:t>
      </w:r>
      <w:r w:rsidRPr="00C9343F">
        <w:fldChar w:fldCharType="end"/>
      </w:r>
    </w:p>
    <w:p w14:paraId="1776DD96" w14:textId="6FBE5FEA" w:rsidR="00271952" w:rsidRPr="00C9343F" w:rsidRDefault="00271952">
      <w:pPr>
        <w:pStyle w:val="TOC5"/>
        <w:rPr>
          <w:rFonts w:asciiTheme="minorHAnsi" w:eastAsiaTheme="minorEastAsia" w:hAnsiTheme="minorHAnsi" w:cstheme="minorBidi"/>
          <w:sz w:val="22"/>
          <w:szCs w:val="22"/>
        </w:rPr>
      </w:pPr>
      <w:r w:rsidRPr="00C9343F">
        <w:lastRenderedPageBreak/>
        <w:t>5.5.12    Re-credit of long service leave</w:t>
      </w:r>
      <w:r w:rsidRPr="00C9343F">
        <w:tab/>
      </w:r>
      <w:r w:rsidRPr="00C9343F">
        <w:fldChar w:fldCharType="begin"/>
      </w:r>
      <w:r w:rsidRPr="00C9343F">
        <w:instrText xml:space="preserve"> PAGEREF _Toc105054033 \h </w:instrText>
      </w:r>
      <w:r w:rsidRPr="00C9343F">
        <w:fldChar w:fldCharType="separate"/>
      </w:r>
      <w:r w:rsidRPr="00C9343F">
        <w:t>241</w:t>
      </w:r>
      <w:r w:rsidRPr="00C9343F">
        <w:fldChar w:fldCharType="end"/>
      </w:r>
    </w:p>
    <w:p w14:paraId="461F741F" w14:textId="785C37F9" w:rsidR="00271952" w:rsidRPr="00C9343F" w:rsidRDefault="00271952">
      <w:pPr>
        <w:pStyle w:val="TOC4"/>
        <w:rPr>
          <w:rFonts w:asciiTheme="minorHAnsi" w:eastAsiaTheme="minorEastAsia" w:hAnsiTheme="minorHAnsi" w:cstheme="minorBidi"/>
          <w:sz w:val="22"/>
          <w:szCs w:val="22"/>
        </w:rPr>
      </w:pPr>
      <w:r w:rsidRPr="00C9343F">
        <w:t>Division 3: Accrual of service for long service leave</w:t>
      </w:r>
      <w:r w:rsidRPr="00C9343F">
        <w:tab/>
      </w:r>
      <w:r w:rsidRPr="00C9343F">
        <w:fldChar w:fldCharType="begin"/>
      </w:r>
      <w:r w:rsidRPr="00C9343F">
        <w:instrText xml:space="preserve"> PAGEREF _Toc105054034 \h </w:instrText>
      </w:r>
      <w:r w:rsidRPr="00C9343F">
        <w:fldChar w:fldCharType="separate"/>
      </w:r>
      <w:r w:rsidRPr="00C9343F">
        <w:t>242</w:t>
      </w:r>
      <w:r w:rsidRPr="00C9343F">
        <w:fldChar w:fldCharType="end"/>
      </w:r>
    </w:p>
    <w:p w14:paraId="3FB69EAE" w14:textId="757B5548" w:rsidR="00271952" w:rsidRPr="00C9343F" w:rsidRDefault="00271952">
      <w:pPr>
        <w:pStyle w:val="TOC5"/>
        <w:rPr>
          <w:rFonts w:asciiTheme="minorHAnsi" w:eastAsiaTheme="minorEastAsia" w:hAnsiTheme="minorHAnsi" w:cstheme="minorBidi"/>
          <w:sz w:val="22"/>
          <w:szCs w:val="22"/>
        </w:rPr>
      </w:pPr>
      <w:r w:rsidRPr="00C9343F">
        <w:t>5.5.13    Accrued service</w:t>
      </w:r>
      <w:r w:rsidRPr="00C9343F">
        <w:tab/>
      </w:r>
      <w:r w:rsidRPr="00C9343F">
        <w:fldChar w:fldCharType="begin"/>
      </w:r>
      <w:r w:rsidRPr="00C9343F">
        <w:instrText xml:space="preserve"> PAGEREF _Toc105054035 \h </w:instrText>
      </w:r>
      <w:r w:rsidRPr="00C9343F">
        <w:fldChar w:fldCharType="separate"/>
      </w:r>
      <w:r w:rsidRPr="00C9343F">
        <w:t>242</w:t>
      </w:r>
      <w:r w:rsidRPr="00C9343F">
        <w:fldChar w:fldCharType="end"/>
      </w:r>
    </w:p>
    <w:p w14:paraId="5BF255BF" w14:textId="2FB622E1" w:rsidR="00271952" w:rsidRPr="00C9343F" w:rsidRDefault="00271952">
      <w:pPr>
        <w:pStyle w:val="TOC5"/>
        <w:rPr>
          <w:rFonts w:asciiTheme="minorHAnsi" w:eastAsiaTheme="minorEastAsia" w:hAnsiTheme="minorHAnsi" w:cstheme="minorBidi"/>
          <w:sz w:val="22"/>
          <w:szCs w:val="22"/>
        </w:rPr>
      </w:pPr>
      <w:r w:rsidRPr="00C9343F">
        <w:t>5.5.14    Prior Reserve service</w:t>
      </w:r>
      <w:r w:rsidRPr="00C9343F">
        <w:tab/>
      </w:r>
      <w:r w:rsidRPr="00C9343F">
        <w:fldChar w:fldCharType="begin"/>
      </w:r>
      <w:r w:rsidRPr="00C9343F">
        <w:instrText xml:space="preserve"> PAGEREF _Toc105054036 \h </w:instrText>
      </w:r>
      <w:r w:rsidRPr="00C9343F">
        <w:fldChar w:fldCharType="separate"/>
      </w:r>
      <w:r w:rsidRPr="00C9343F">
        <w:t>242</w:t>
      </w:r>
      <w:r w:rsidRPr="00C9343F">
        <w:fldChar w:fldCharType="end"/>
      </w:r>
    </w:p>
    <w:p w14:paraId="7AD066BC" w14:textId="1CFDB5B7" w:rsidR="00271952" w:rsidRPr="00C9343F" w:rsidRDefault="00271952">
      <w:pPr>
        <w:pStyle w:val="TOC5"/>
        <w:rPr>
          <w:rFonts w:asciiTheme="minorHAnsi" w:eastAsiaTheme="minorEastAsia" w:hAnsiTheme="minorHAnsi" w:cstheme="minorBidi"/>
          <w:sz w:val="22"/>
          <w:szCs w:val="22"/>
        </w:rPr>
      </w:pPr>
      <w:r w:rsidRPr="00C9343F">
        <w:t>5.5.15    Prior service</w:t>
      </w:r>
      <w:r w:rsidRPr="00C9343F">
        <w:tab/>
      </w:r>
      <w:r w:rsidRPr="00C9343F">
        <w:fldChar w:fldCharType="begin"/>
      </w:r>
      <w:r w:rsidRPr="00C9343F">
        <w:instrText xml:space="preserve"> PAGEREF _Toc105054037 \h </w:instrText>
      </w:r>
      <w:r w:rsidRPr="00C9343F">
        <w:fldChar w:fldCharType="separate"/>
      </w:r>
      <w:r w:rsidRPr="00C9343F">
        <w:t>242</w:t>
      </w:r>
      <w:r w:rsidRPr="00C9343F">
        <w:fldChar w:fldCharType="end"/>
      </w:r>
    </w:p>
    <w:p w14:paraId="28023F26" w14:textId="6FCEA458" w:rsidR="00271952" w:rsidRPr="00C9343F" w:rsidRDefault="00271952">
      <w:pPr>
        <w:pStyle w:val="TOC5"/>
        <w:rPr>
          <w:rFonts w:asciiTheme="minorHAnsi" w:eastAsiaTheme="minorEastAsia" w:hAnsiTheme="minorHAnsi" w:cstheme="minorBidi"/>
          <w:sz w:val="22"/>
          <w:szCs w:val="22"/>
        </w:rPr>
      </w:pPr>
      <w:r w:rsidRPr="00C9343F">
        <w:t>5.5.16    Overlapping prior service</w:t>
      </w:r>
      <w:r w:rsidRPr="00C9343F">
        <w:tab/>
      </w:r>
      <w:r w:rsidRPr="00C9343F">
        <w:fldChar w:fldCharType="begin"/>
      </w:r>
      <w:r w:rsidRPr="00C9343F">
        <w:instrText xml:space="preserve"> PAGEREF _Toc105054038 \h </w:instrText>
      </w:r>
      <w:r w:rsidRPr="00C9343F">
        <w:fldChar w:fldCharType="separate"/>
      </w:r>
      <w:r w:rsidRPr="00C9343F">
        <w:t>243</w:t>
      </w:r>
      <w:r w:rsidRPr="00C9343F">
        <w:fldChar w:fldCharType="end"/>
      </w:r>
    </w:p>
    <w:p w14:paraId="793D4A3A" w14:textId="1EF2C0CA" w:rsidR="00271952" w:rsidRPr="00C9343F" w:rsidRDefault="00271952">
      <w:pPr>
        <w:pStyle w:val="TOC5"/>
        <w:rPr>
          <w:rFonts w:asciiTheme="minorHAnsi" w:eastAsiaTheme="minorEastAsia" w:hAnsiTheme="minorHAnsi" w:cstheme="minorBidi"/>
          <w:sz w:val="22"/>
          <w:szCs w:val="22"/>
        </w:rPr>
      </w:pPr>
      <w:r w:rsidRPr="00C9343F">
        <w:t>5.5.17    Effect of part-time prior service</w:t>
      </w:r>
      <w:r w:rsidRPr="00C9343F">
        <w:tab/>
      </w:r>
      <w:r w:rsidRPr="00C9343F">
        <w:fldChar w:fldCharType="begin"/>
      </w:r>
      <w:r w:rsidRPr="00C9343F">
        <w:instrText xml:space="preserve"> PAGEREF _Toc105054039 \h </w:instrText>
      </w:r>
      <w:r w:rsidRPr="00C9343F">
        <w:fldChar w:fldCharType="separate"/>
      </w:r>
      <w:r w:rsidRPr="00C9343F">
        <w:t>243</w:t>
      </w:r>
      <w:r w:rsidRPr="00C9343F">
        <w:fldChar w:fldCharType="end"/>
      </w:r>
    </w:p>
    <w:p w14:paraId="3F558077" w14:textId="6507E813" w:rsidR="00271952" w:rsidRPr="00C9343F" w:rsidRDefault="00271952">
      <w:pPr>
        <w:pStyle w:val="TOC5"/>
        <w:rPr>
          <w:rFonts w:asciiTheme="minorHAnsi" w:eastAsiaTheme="minorEastAsia" w:hAnsiTheme="minorHAnsi" w:cstheme="minorBidi"/>
          <w:sz w:val="22"/>
          <w:szCs w:val="22"/>
        </w:rPr>
      </w:pPr>
      <w:r w:rsidRPr="00C9343F">
        <w:t>5.5.18    Periods that are not accrued service</w:t>
      </w:r>
      <w:r w:rsidRPr="00C9343F">
        <w:tab/>
      </w:r>
      <w:r w:rsidRPr="00C9343F">
        <w:fldChar w:fldCharType="begin"/>
      </w:r>
      <w:r w:rsidRPr="00C9343F">
        <w:instrText xml:space="preserve"> PAGEREF _Toc105054040 \h </w:instrText>
      </w:r>
      <w:r w:rsidRPr="00C9343F">
        <w:fldChar w:fldCharType="separate"/>
      </w:r>
      <w:r w:rsidRPr="00C9343F">
        <w:t>244</w:t>
      </w:r>
      <w:r w:rsidRPr="00C9343F">
        <w:fldChar w:fldCharType="end"/>
      </w:r>
    </w:p>
    <w:p w14:paraId="4E2E3690" w14:textId="0BBA5172" w:rsidR="00271952" w:rsidRPr="00C9343F" w:rsidRDefault="00271952">
      <w:pPr>
        <w:pStyle w:val="TOC5"/>
        <w:rPr>
          <w:rFonts w:asciiTheme="minorHAnsi" w:eastAsiaTheme="minorEastAsia" w:hAnsiTheme="minorHAnsi" w:cstheme="minorBidi"/>
          <w:sz w:val="22"/>
          <w:szCs w:val="22"/>
        </w:rPr>
      </w:pPr>
      <w:r w:rsidRPr="00C9343F">
        <w:t>5.5.19    Member's responsibilities</w:t>
      </w:r>
      <w:r w:rsidRPr="00C9343F">
        <w:tab/>
      </w:r>
      <w:r w:rsidRPr="00C9343F">
        <w:fldChar w:fldCharType="begin"/>
      </w:r>
      <w:r w:rsidRPr="00C9343F">
        <w:instrText xml:space="preserve"> PAGEREF _Toc105054041 \h </w:instrText>
      </w:r>
      <w:r w:rsidRPr="00C9343F">
        <w:fldChar w:fldCharType="separate"/>
      </w:r>
      <w:r w:rsidRPr="00C9343F">
        <w:t>244</w:t>
      </w:r>
      <w:r w:rsidRPr="00C9343F">
        <w:fldChar w:fldCharType="end"/>
      </w:r>
    </w:p>
    <w:p w14:paraId="5DF00A47" w14:textId="456F8828" w:rsidR="00271952" w:rsidRPr="00C9343F" w:rsidRDefault="00271952">
      <w:pPr>
        <w:pStyle w:val="TOC5"/>
        <w:rPr>
          <w:rFonts w:asciiTheme="minorHAnsi" w:eastAsiaTheme="minorEastAsia" w:hAnsiTheme="minorHAnsi" w:cstheme="minorBidi"/>
          <w:sz w:val="22"/>
          <w:szCs w:val="22"/>
        </w:rPr>
      </w:pPr>
      <w:r w:rsidRPr="00C9343F">
        <w:t>5.5.20    Working out the total period for a member’s long service leave credit</w:t>
      </w:r>
      <w:r w:rsidRPr="00C9343F">
        <w:tab/>
      </w:r>
      <w:r w:rsidRPr="00C9343F">
        <w:fldChar w:fldCharType="begin"/>
      </w:r>
      <w:r w:rsidRPr="00C9343F">
        <w:instrText xml:space="preserve"> PAGEREF _Toc105054042 \h </w:instrText>
      </w:r>
      <w:r w:rsidRPr="00C9343F">
        <w:fldChar w:fldCharType="separate"/>
      </w:r>
      <w:r w:rsidRPr="00C9343F">
        <w:t>245</w:t>
      </w:r>
      <w:r w:rsidRPr="00C9343F">
        <w:fldChar w:fldCharType="end"/>
      </w:r>
    </w:p>
    <w:p w14:paraId="5CC72912" w14:textId="746CD1BE" w:rsidR="00271952" w:rsidRPr="00C9343F" w:rsidRDefault="00271952">
      <w:pPr>
        <w:pStyle w:val="TOC4"/>
        <w:rPr>
          <w:rFonts w:asciiTheme="minorHAnsi" w:eastAsiaTheme="minorEastAsia" w:hAnsiTheme="minorHAnsi" w:cstheme="minorBidi"/>
          <w:sz w:val="22"/>
          <w:szCs w:val="22"/>
        </w:rPr>
      </w:pPr>
      <w:r w:rsidRPr="00C9343F">
        <w:t>Division 4: Salary and allowances during long service leave</w:t>
      </w:r>
      <w:r w:rsidRPr="00C9343F">
        <w:tab/>
      </w:r>
      <w:r w:rsidRPr="00C9343F">
        <w:fldChar w:fldCharType="begin"/>
      </w:r>
      <w:r w:rsidRPr="00C9343F">
        <w:instrText xml:space="preserve"> PAGEREF _Toc105054043 \h </w:instrText>
      </w:r>
      <w:r w:rsidRPr="00C9343F">
        <w:fldChar w:fldCharType="separate"/>
      </w:r>
      <w:r w:rsidRPr="00C9343F">
        <w:t>246</w:t>
      </w:r>
      <w:r w:rsidRPr="00C9343F">
        <w:fldChar w:fldCharType="end"/>
      </w:r>
    </w:p>
    <w:p w14:paraId="5F7F8B3A" w14:textId="06B43981" w:rsidR="00271952" w:rsidRPr="00C9343F" w:rsidRDefault="00271952">
      <w:pPr>
        <w:pStyle w:val="TOC5"/>
        <w:rPr>
          <w:rFonts w:asciiTheme="minorHAnsi" w:eastAsiaTheme="minorEastAsia" w:hAnsiTheme="minorHAnsi" w:cstheme="minorBidi"/>
          <w:sz w:val="22"/>
          <w:szCs w:val="22"/>
        </w:rPr>
      </w:pPr>
      <w:r w:rsidRPr="00C9343F">
        <w:t>5.5.21    Salary during long service leave</w:t>
      </w:r>
      <w:r w:rsidRPr="00C9343F">
        <w:tab/>
      </w:r>
      <w:r w:rsidRPr="00C9343F">
        <w:fldChar w:fldCharType="begin"/>
      </w:r>
      <w:r w:rsidRPr="00C9343F">
        <w:instrText xml:space="preserve"> PAGEREF _Toc105054044 \h </w:instrText>
      </w:r>
      <w:r w:rsidRPr="00C9343F">
        <w:fldChar w:fldCharType="separate"/>
      </w:r>
      <w:r w:rsidRPr="00C9343F">
        <w:t>246</w:t>
      </w:r>
      <w:r w:rsidRPr="00C9343F">
        <w:fldChar w:fldCharType="end"/>
      </w:r>
    </w:p>
    <w:p w14:paraId="3B0D1B4B" w14:textId="401028F9" w:rsidR="00271952" w:rsidRPr="00C9343F" w:rsidRDefault="00271952">
      <w:pPr>
        <w:pStyle w:val="TOC5"/>
        <w:rPr>
          <w:rFonts w:asciiTheme="minorHAnsi" w:eastAsiaTheme="minorEastAsia" w:hAnsiTheme="minorHAnsi" w:cstheme="minorBidi"/>
          <w:sz w:val="22"/>
          <w:szCs w:val="22"/>
        </w:rPr>
      </w:pPr>
      <w:r w:rsidRPr="00C9343F">
        <w:t>5.5.23    DFRT allowances during long service leave</w:t>
      </w:r>
      <w:r w:rsidRPr="00C9343F">
        <w:tab/>
      </w:r>
      <w:r w:rsidRPr="00C9343F">
        <w:fldChar w:fldCharType="begin"/>
      </w:r>
      <w:r w:rsidRPr="00C9343F">
        <w:instrText xml:space="preserve"> PAGEREF _Toc105054045 \h </w:instrText>
      </w:r>
      <w:r w:rsidRPr="00C9343F">
        <w:fldChar w:fldCharType="separate"/>
      </w:r>
      <w:r w:rsidRPr="00C9343F">
        <w:t>246</w:t>
      </w:r>
      <w:r w:rsidRPr="00C9343F">
        <w:fldChar w:fldCharType="end"/>
      </w:r>
    </w:p>
    <w:p w14:paraId="00DCE351" w14:textId="6C3E9068" w:rsidR="00271952" w:rsidRPr="00C9343F" w:rsidRDefault="00271952">
      <w:pPr>
        <w:pStyle w:val="TOC4"/>
        <w:rPr>
          <w:rFonts w:asciiTheme="minorHAnsi" w:eastAsiaTheme="minorEastAsia" w:hAnsiTheme="minorHAnsi" w:cstheme="minorBidi"/>
          <w:sz w:val="22"/>
          <w:szCs w:val="22"/>
        </w:rPr>
      </w:pPr>
      <w:r w:rsidRPr="00C9343F">
        <w:t>Division 5: Payment instead of long service leave</w:t>
      </w:r>
      <w:r w:rsidRPr="00C9343F">
        <w:tab/>
      </w:r>
      <w:r w:rsidRPr="00C9343F">
        <w:fldChar w:fldCharType="begin"/>
      </w:r>
      <w:r w:rsidRPr="00C9343F">
        <w:instrText xml:space="preserve"> PAGEREF _Toc105054046 \h </w:instrText>
      </w:r>
      <w:r w:rsidRPr="00C9343F">
        <w:fldChar w:fldCharType="separate"/>
      </w:r>
      <w:r w:rsidRPr="00C9343F">
        <w:t>247</w:t>
      </w:r>
      <w:r w:rsidRPr="00C9343F">
        <w:fldChar w:fldCharType="end"/>
      </w:r>
    </w:p>
    <w:p w14:paraId="35095073" w14:textId="7F625046" w:rsidR="00271952" w:rsidRPr="00C9343F" w:rsidRDefault="00271952">
      <w:pPr>
        <w:pStyle w:val="TOC5"/>
        <w:rPr>
          <w:rFonts w:asciiTheme="minorHAnsi" w:eastAsiaTheme="minorEastAsia" w:hAnsiTheme="minorHAnsi" w:cstheme="minorBidi"/>
          <w:sz w:val="22"/>
          <w:szCs w:val="22"/>
        </w:rPr>
      </w:pPr>
      <w:r w:rsidRPr="00C9343F">
        <w:t>5.5.24    Member this Division applies to</w:t>
      </w:r>
      <w:r w:rsidRPr="00C9343F">
        <w:tab/>
      </w:r>
      <w:r w:rsidRPr="00C9343F">
        <w:fldChar w:fldCharType="begin"/>
      </w:r>
      <w:r w:rsidRPr="00C9343F">
        <w:instrText xml:space="preserve"> PAGEREF _Toc105054047 \h </w:instrText>
      </w:r>
      <w:r w:rsidRPr="00C9343F">
        <w:fldChar w:fldCharType="separate"/>
      </w:r>
      <w:r w:rsidRPr="00C9343F">
        <w:t>247</w:t>
      </w:r>
      <w:r w:rsidRPr="00C9343F">
        <w:fldChar w:fldCharType="end"/>
      </w:r>
    </w:p>
    <w:p w14:paraId="41602432" w14:textId="5F83D001" w:rsidR="00271952" w:rsidRPr="00C9343F" w:rsidRDefault="00271952">
      <w:pPr>
        <w:pStyle w:val="TOC5"/>
        <w:rPr>
          <w:rFonts w:asciiTheme="minorHAnsi" w:eastAsiaTheme="minorEastAsia" w:hAnsiTheme="minorHAnsi" w:cstheme="minorBidi"/>
          <w:sz w:val="22"/>
          <w:szCs w:val="22"/>
        </w:rPr>
      </w:pPr>
      <w:r w:rsidRPr="00C9343F">
        <w:t>5.5.25    Members this Division does not apply to</w:t>
      </w:r>
      <w:r w:rsidRPr="00C9343F">
        <w:tab/>
      </w:r>
      <w:r w:rsidRPr="00C9343F">
        <w:fldChar w:fldCharType="begin"/>
      </w:r>
      <w:r w:rsidRPr="00C9343F">
        <w:instrText xml:space="preserve"> PAGEREF _Toc105054048 \h </w:instrText>
      </w:r>
      <w:r w:rsidRPr="00C9343F">
        <w:fldChar w:fldCharType="separate"/>
      </w:r>
      <w:r w:rsidRPr="00C9343F">
        <w:t>247</w:t>
      </w:r>
      <w:r w:rsidRPr="00C9343F">
        <w:fldChar w:fldCharType="end"/>
      </w:r>
    </w:p>
    <w:p w14:paraId="20595E08" w14:textId="574F0584" w:rsidR="00271952" w:rsidRPr="00C9343F" w:rsidRDefault="00271952">
      <w:pPr>
        <w:pStyle w:val="TOC5"/>
        <w:rPr>
          <w:rFonts w:asciiTheme="minorHAnsi" w:eastAsiaTheme="minorEastAsia" w:hAnsiTheme="minorHAnsi" w:cstheme="minorBidi"/>
          <w:sz w:val="22"/>
          <w:szCs w:val="22"/>
        </w:rPr>
      </w:pPr>
      <w:r w:rsidRPr="00C9343F">
        <w:t>5.5.26    Payment instead of long service leave</w:t>
      </w:r>
      <w:r w:rsidRPr="00C9343F">
        <w:tab/>
      </w:r>
      <w:r w:rsidRPr="00C9343F">
        <w:fldChar w:fldCharType="begin"/>
      </w:r>
      <w:r w:rsidRPr="00C9343F">
        <w:instrText xml:space="preserve"> PAGEREF _Toc105054049 \h </w:instrText>
      </w:r>
      <w:r w:rsidRPr="00C9343F">
        <w:fldChar w:fldCharType="separate"/>
      </w:r>
      <w:r w:rsidRPr="00C9343F">
        <w:t>247</w:t>
      </w:r>
      <w:r w:rsidRPr="00C9343F">
        <w:fldChar w:fldCharType="end"/>
      </w:r>
    </w:p>
    <w:p w14:paraId="1F791C32" w14:textId="181C9B34" w:rsidR="00271952" w:rsidRPr="00C9343F" w:rsidRDefault="00271952">
      <w:pPr>
        <w:pStyle w:val="TOC5"/>
        <w:rPr>
          <w:rFonts w:asciiTheme="minorHAnsi" w:eastAsiaTheme="minorEastAsia" w:hAnsiTheme="minorHAnsi" w:cstheme="minorBidi"/>
          <w:sz w:val="22"/>
          <w:szCs w:val="22"/>
        </w:rPr>
      </w:pPr>
      <w:r w:rsidRPr="00C9343F">
        <w:t>5.5.27    Member on higher duties, temporary or acting rank</w:t>
      </w:r>
      <w:r w:rsidRPr="00C9343F">
        <w:tab/>
      </w:r>
      <w:r w:rsidRPr="00C9343F">
        <w:fldChar w:fldCharType="begin"/>
      </w:r>
      <w:r w:rsidRPr="00C9343F">
        <w:instrText xml:space="preserve"> PAGEREF _Toc105054050 \h </w:instrText>
      </w:r>
      <w:r w:rsidRPr="00C9343F">
        <w:fldChar w:fldCharType="separate"/>
      </w:r>
      <w:r w:rsidRPr="00C9343F">
        <w:t>249</w:t>
      </w:r>
      <w:r w:rsidRPr="00C9343F">
        <w:fldChar w:fldCharType="end"/>
      </w:r>
    </w:p>
    <w:p w14:paraId="043B61FD" w14:textId="3B2AC439" w:rsidR="00271952" w:rsidRPr="00C9343F" w:rsidRDefault="00271952">
      <w:pPr>
        <w:pStyle w:val="TOC5"/>
        <w:rPr>
          <w:rFonts w:asciiTheme="minorHAnsi" w:eastAsiaTheme="minorEastAsia" w:hAnsiTheme="minorHAnsi" w:cstheme="minorBidi"/>
          <w:sz w:val="22"/>
          <w:szCs w:val="22"/>
        </w:rPr>
      </w:pPr>
      <w:r w:rsidRPr="00C9343F">
        <w:t>5.5.28    Pro rata entitlement</w:t>
      </w:r>
      <w:r w:rsidRPr="00C9343F">
        <w:tab/>
      </w:r>
      <w:r w:rsidRPr="00C9343F">
        <w:fldChar w:fldCharType="begin"/>
      </w:r>
      <w:r w:rsidRPr="00C9343F">
        <w:instrText xml:space="preserve"> PAGEREF _Toc105054051 \h </w:instrText>
      </w:r>
      <w:r w:rsidRPr="00C9343F">
        <w:fldChar w:fldCharType="separate"/>
      </w:r>
      <w:r w:rsidRPr="00C9343F">
        <w:t>250</w:t>
      </w:r>
      <w:r w:rsidRPr="00C9343F">
        <w:fldChar w:fldCharType="end"/>
      </w:r>
    </w:p>
    <w:p w14:paraId="752AE6BF" w14:textId="67FD1679" w:rsidR="00271952" w:rsidRPr="00C9343F" w:rsidRDefault="00271952">
      <w:pPr>
        <w:pStyle w:val="TOC5"/>
        <w:rPr>
          <w:rFonts w:asciiTheme="minorHAnsi" w:eastAsiaTheme="minorEastAsia" w:hAnsiTheme="minorHAnsi" w:cstheme="minorBidi"/>
          <w:sz w:val="22"/>
          <w:szCs w:val="22"/>
        </w:rPr>
      </w:pPr>
      <w:r w:rsidRPr="00C9343F">
        <w:t>5.5.29    Transfer of long service leave credits</w:t>
      </w:r>
      <w:r w:rsidRPr="00C9343F">
        <w:tab/>
      </w:r>
      <w:r w:rsidRPr="00C9343F">
        <w:fldChar w:fldCharType="begin"/>
      </w:r>
      <w:r w:rsidRPr="00C9343F">
        <w:instrText xml:space="preserve"> PAGEREF _Toc105054052 \h </w:instrText>
      </w:r>
      <w:r w:rsidRPr="00C9343F">
        <w:fldChar w:fldCharType="separate"/>
      </w:r>
      <w:r w:rsidRPr="00C9343F">
        <w:t>250</w:t>
      </w:r>
      <w:r w:rsidRPr="00C9343F">
        <w:fldChar w:fldCharType="end"/>
      </w:r>
    </w:p>
    <w:p w14:paraId="09E3244D" w14:textId="5E923AF4" w:rsidR="00271952" w:rsidRPr="00C9343F" w:rsidRDefault="00271952">
      <w:pPr>
        <w:pStyle w:val="TOC3"/>
        <w:rPr>
          <w:rFonts w:asciiTheme="minorHAnsi" w:eastAsiaTheme="minorEastAsia" w:hAnsiTheme="minorHAnsi" w:cstheme="minorBidi"/>
          <w:b w:val="0"/>
          <w:sz w:val="22"/>
          <w:szCs w:val="22"/>
        </w:rPr>
      </w:pPr>
      <w:r w:rsidRPr="00C9343F">
        <w:t>Part 6: Maternity leave</w:t>
      </w:r>
      <w:r w:rsidRPr="00C9343F">
        <w:tab/>
      </w:r>
      <w:r w:rsidRPr="00C9343F">
        <w:fldChar w:fldCharType="begin"/>
      </w:r>
      <w:r w:rsidRPr="00C9343F">
        <w:instrText xml:space="preserve"> PAGEREF _Toc105054053 \h </w:instrText>
      </w:r>
      <w:r w:rsidRPr="00C9343F">
        <w:fldChar w:fldCharType="separate"/>
      </w:r>
      <w:r w:rsidRPr="00C9343F">
        <w:t>251</w:t>
      </w:r>
      <w:r w:rsidRPr="00C9343F">
        <w:fldChar w:fldCharType="end"/>
      </w:r>
    </w:p>
    <w:p w14:paraId="69F45BA3" w14:textId="3A7DC945" w:rsidR="00271952" w:rsidRPr="00C9343F" w:rsidRDefault="00271952">
      <w:pPr>
        <w:pStyle w:val="TOC5"/>
        <w:rPr>
          <w:rFonts w:asciiTheme="minorHAnsi" w:eastAsiaTheme="minorEastAsia" w:hAnsiTheme="minorHAnsi" w:cstheme="minorBidi"/>
          <w:sz w:val="22"/>
          <w:szCs w:val="22"/>
        </w:rPr>
      </w:pPr>
      <w:r w:rsidRPr="00C9343F">
        <w:t>5.6.1    Purpose</w:t>
      </w:r>
      <w:r w:rsidRPr="00C9343F">
        <w:tab/>
      </w:r>
      <w:r w:rsidRPr="00C9343F">
        <w:fldChar w:fldCharType="begin"/>
      </w:r>
      <w:r w:rsidRPr="00C9343F">
        <w:instrText xml:space="preserve"> PAGEREF _Toc105054054 \h </w:instrText>
      </w:r>
      <w:r w:rsidRPr="00C9343F">
        <w:fldChar w:fldCharType="separate"/>
      </w:r>
      <w:r w:rsidRPr="00C9343F">
        <w:t>251</w:t>
      </w:r>
      <w:r w:rsidRPr="00C9343F">
        <w:fldChar w:fldCharType="end"/>
      </w:r>
    </w:p>
    <w:p w14:paraId="5E6C68DC" w14:textId="10FEEF0B" w:rsidR="00271952" w:rsidRPr="00C9343F" w:rsidRDefault="00271952">
      <w:pPr>
        <w:pStyle w:val="TOC4"/>
        <w:rPr>
          <w:rFonts w:asciiTheme="minorHAnsi" w:eastAsiaTheme="minorEastAsia" w:hAnsiTheme="minorHAnsi" w:cstheme="minorBidi"/>
          <w:sz w:val="22"/>
          <w:szCs w:val="22"/>
        </w:rPr>
      </w:pPr>
      <w:r w:rsidRPr="00C9343F">
        <w:t>Division 1: Overview</w:t>
      </w:r>
      <w:r w:rsidRPr="00C9343F">
        <w:tab/>
      </w:r>
      <w:r w:rsidRPr="00C9343F">
        <w:fldChar w:fldCharType="begin"/>
      </w:r>
      <w:r w:rsidRPr="00C9343F">
        <w:instrText xml:space="preserve"> PAGEREF _Toc105054055 \h </w:instrText>
      </w:r>
      <w:r w:rsidRPr="00C9343F">
        <w:fldChar w:fldCharType="separate"/>
      </w:r>
      <w:r w:rsidRPr="00C9343F">
        <w:t>252</w:t>
      </w:r>
      <w:r w:rsidRPr="00C9343F">
        <w:fldChar w:fldCharType="end"/>
      </w:r>
    </w:p>
    <w:p w14:paraId="7FFFA84B" w14:textId="4E7E22EB" w:rsidR="00271952" w:rsidRPr="00C9343F" w:rsidRDefault="00271952">
      <w:pPr>
        <w:pStyle w:val="TOC5"/>
        <w:rPr>
          <w:rFonts w:asciiTheme="minorHAnsi" w:eastAsiaTheme="minorEastAsia" w:hAnsiTheme="minorHAnsi" w:cstheme="minorBidi"/>
          <w:sz w:val="22"/>
          <w:szCs w:val="22"/>
        </w:rPr>
      </w:pPr>
      <w:r w:rsidRPr="00C9343F">
        <w:t>5.6.3    Summary</w:t>
      </w:r>
      <w:r w:rsidRPr="00C9343F">
        <w:tab/>
      </w:r>
      <w:r w:rsidRPr="00C9343F">
        <w:fldChar w:fldCharType="begin"/>
      </w:r>
      <w:r w:rsidRPr="00C9343F">
        <w:instrText xml:space="preserve"> PAGEREF _Toc105054056 \h </w:instrText>
      </w:r>
      <w:r w:rsidRPr="00C9343F">
        <w:fldChar w:fldCharType="separate"/>
      </w:r>
      <w:r w:rsidRPr="00C9343F">
        <w:t>252</w:t>
      </w:r>
      <w:r w:rsidRPr="00C9343F">
        <w:fldChar w:fldCharType="end"/>
      </w:r>
    </w:p>
    <w:p w14:paraId="0DE8466D" w14:textId="5E670347" w:rsidR="00271952" w:rsidRPr="00C9343F" w:rsidRDefault="00271952">
      <w:pPr>
        <w:pStyle w:val="TOC5"/>
        <w:rPr>
          <w:rFonts w:asciiTheme="minorHAnsi" w:eastAsiaTheme="minorEastAsia" w:hAnsiTheme="minorHAnsi" w:cstheme="minorBidi"/>
          <w:sz w:val="22"/>
          <w:szCs w:val="22"/>
        </w:rPr>
      </w:pPr>
      <w:r w:rsidRPr="00C9343F">
        <w:t>5.6.4    Definitions</w:t>
      </w:r>
      <w:r w:rsidRPr="00C9343F">
        <w:tab/>
      </w:r>
      <w:r w:rsidRPr="00C9343F">
        <w:fldChar w:fldCharType="begin"/>
      </w:r>
      <w:r w:rsidRPr="00C9343F">
        <w:instrText xml:space="preserve"> PAGEREF _Toc105054057 \h </w:instrText>
      </w:r>
      <w:r w:rsidRPr="00C9343F">
        <w:fldChar w:fldCharType="separate"/>
      </w:r>
      <w:r w:rsidRPr="00C9343F">
        <w:t>252</w:t>
      </w:r>
      <w:r w:rsidRPr="00C9343F">
        <w:fldChar w:fldCharType="end"/>
      </w:r>
    </w:p>
    <w:p w14:paraId="22E27CC5" w14:textId="5AD70C08" w:rsidR="00271952" w:rsidRPr="00C9343F" w:rsidRDefault="00271952">
      <w:pPr>
        <w:pStyle w:val="TOC5"/>
        <w:rPr>
          <w:rFonts w:asciiTheme="minorHAnsi" w:eastAsiaTheme="minorEastAsia" w:hAnsiTheme="minorHAnsi" w:cstheme="minorBidi"/>
          <w:sz w:val="22"/>
          <w:szCs w:val="22"/>
        </w:rPr>
      </w:pPr>
      <w:r w:rsidRPr="00C9343F">
        <w:t>5.6.5    Members this Part applies to</w:t>
      </w:r>
      <w:r w:rsidRPr="00C9343F">
        <w:tab/>
      </w:r>
      <w:r w:rsidRPr="00C9343F">
        <w:fldChar w:fldCharType="begin"/>
      </w:r>
      <w:r w:rsidRPr="00C9343F">
        <w:instrText xml:space="preserve"> PAGEREF _Toc105054058 \h </w:instrText>
      </w:r>
      <w:r w:rsidRPr="00C9343F">
        <w:fldChar w:fldCharType="separate"/>
      </w:r>
      <w:r w:rsidRPr="00C9343F">
        <w:t>252</w:t>
      </w:r>
      <w:r w:rsidRPr="00C9343F">
        <w:fldChar w:fldCharType="end"/>
      </w:r>
    </w:p>
    <w:p w14:paraId="65D95BBE" w14:textId="0F041A92" w:rsidR="00271952" w:rsidRPr="00C9343F" w:rsidRDefault="00271952">
      <w:pPr>
        <w:pStyle w:val="TOC5"/>
        <w:rPr>
          <w:rFonts w:asciiTheme="minorHAnsi" w:eastAsiaTheme="minorEastAsia" w:hAnsiTheme="minorHAnsi" w:cstheme="minorBidi"/>
          <w:sz w:val="22"/>
          <w:szCs w:val="22"/>
        </w:rPr>
      </w:pPr>
      <w:r w:rsidRPr="00C9343F">
        <w:t>5.6.6    Required absence and maternity leave</w:t>
      </w:r>
      <w:r w:rsidRPr="00C9343F">
        <w:tab/>
      </w:r>
      <w:r w:rsidRPr="00C9343F">
        <w:fldChar w:fldCharType="begin"/>
      </w:r>
      <w:r w:rsidRPr="00C9343F">
        <w:instrText xml:space="preserve"> PAGEREF _Toc105054059 \h </w:instrText>
      </w:r>
      <w:r w:rsidRPr="00C9343F">
        <w:fldChar w:fldCharType="separate"/>
      </w:r>
      <w:r w:rsidRPr="00C9343F">
        <w:t>252</w:t>
      </w:r>
      <w:r w:rsidRPr="00C9343F">
        <w:fldChar w:fldCharType="end"/>
      </w:r>
    </w:p>
    <w:p w14:paraId="5EA1817B" w14:textId="1A8AF113" w:rsidR="00271952" w:rsidRPr="00C9343F" w:rsidRDefault="00271952">
      <w:pPr>
        <w:pStyle w:val="TOC5"/>
        <w:rPr>
          <w:rFonts w:asciiTheme="minorHAnsi" w:eastAsiaTheme="minorEastAsia" w:hAnsiTheme="minorHAnsi" w:cstheme="minorBidi"/>
          <w:sz w:val="22"/>
          <w:szCs w:val="22"/>
        </w:rPr>
      </w:pPr>
      <w:r w:rsidRPr="00C9343F">
        <w:t>5.6.7    Termination of pregnancy – overview</w:t>
      </w:r>
      <w:r w:rsidRPr="00C9343F">
        <w:tab/>
      </w:r>
      <w:r w:rsidRPr="00C9343F">
        <w:fldChar w:fldCharType="begin"/>
      </w:r>
      <w:r w:rsidRPr="00C9343F">
        <w:instrText xml:space="preserve"> PAGEREF _Toc105054060 \h </w:instrText>
      </w:r>
      <w:r w:rsidRPr="00C9343F">
        <w:fldChar w:fldCharType="separate"/>
      </w:r>
      <w:r w:rsidRPr="00C9343F">
        <w:t>253</w:t>
      </w:r>
      <w:r w:rsidRPr="00C9343F">
        <w:fldChar w:fldCharType="end"/>
      </w:r>
    </w:p>
    <w:p w14:paraId="74F13661" w14:textId="21F286BA" w:rsidR="00271952" w:rsidRPr="00C9343F" w:rsidRDefault="00271952">
      <w:pPr>
        <w:pStyle w:val="TOC5"/>
        <w:rPr>
          <w:rFonts w:asciiTheme="minorHAnsi" w:eastAsiaTheme="minorEastAsia" w:hAnsiTheme="minorHAnsi" w:cstheme="minorBidi"/>
          <w:sz w:val="22"/>
          <w:szCs w:val="22"/>
        </w:rPr>
      </w:pPr>
      <w:r w:rsidRPr="00C9343F">
        <w:t>5.6.8    Leave without pay and maternity leave</w:t>
      </w:r>
      <w:r w:rsidRPr="00C9343F">
        <w:tab/>
      </w:r>
      <w:r w:rsidRPr="00C9343F">
        <w:fldChar w:fldCharType="begin"/>
      </w:r>
      <w:r w:rsidRPr="00C9343F">
        <w:instrText xml:space="preserve"> PAGEREF _Toc105054061 \h </w:instrText>
      </w:r>
      <w:r w:rsidRPr="00C9343F">
        <w:fldChar w:fldCharType="separate"/>
      </w:r>
      <w:r w:rsidRPr="00C9343F">
        <w:t>253</w:t>
      </w:r>
      <w:r w:rsidRPr="00C9343F">
        <w:fldChar w:fldCharType="end"/>
      </w:r>
    </w:p>
    <w:p w14:paraId="64C01A40" w14:textId="7DC9F695" w:rsidR="00271952" w:rsidRPr="00C9343F" w:rsidRDefault="00271952">
      <w:pPr>
        <w:pStyle w:val="TOC5"/>
        <w:rPr>
          <w:rFonts w:asciiTheme="minorHAnsi" w:eastAsiaTheme="minorEastAsia" w:hAnsiTheme="minorHAnsi" w:cstheme="minorBidi"/>
          <w:sz w:val="22"/>
          <w:szCs w:val="22"/>
        </w:rPr>
      </w:pPr>
      <w:r w:rsidRPr="00C9343F">
        <w:t>5.6.9    Parental leave and maternity leave</w:t>
      </w:r>
      <w:r w:rsidRPr="00C9343F">
        <w:tab/>
      </w:r>
      <w:r w:rsidRPr="00C9343F">
        <w:fldChar w:fldCharType="begin"/>
      </w:r>
      <w:r w:rsidRPr="00C9343F">
        <w:instrText xml:space="preserve"> PAGEREF _Toc105054062 \h </w:instrText>
      </w:r>
      <w:r w:rsidRPr="00C9343F">
        <w:fldChar w:fldCharType="separate"/>
      </w:r>
      <w:r w:rsidRPr="00C9343F">
        <w:t>253</w:t>
      </w:r>
      <w:r w:rsidRPr="00C9343F">
        <w:fldChar w:fldCharType="end"/>
      </w:r>
    </w:p>
    <w:p w14:paraId="38BC028F" w14:textId="31ECCDB6" w:rsidR="00271952" w:rsidRPr="00C9343F" w:rsidRDefault="00271952">
      <w:pPr>
        <w:pStyle w:val="TOC5"/>
        <w:rPr>
          <w:rFonts w:asciiTheme="minorHAnsi" w:eastAsiaTheme="minorEastAsia" w:hAnsiTheme="minorHAnsi" w:cstheme="minorBidi"/>
          <w:sz w:val="22"/>
          <w:szCs w:val="22"/>
        </w:rPr>
      </w:pPr>
      <w:r w:rsidRPr="00C9343F">
        <w:t>5.6.10    Notice</w:t>
      </w:r>
      <w:r w:rsidRPr="00C9343F">
        <w:tab/>
      </w:r>
      <w:r w:rsidRPr="00C9343F">
        <w:fldChar w:fldCharType="begin"/>
      </w:r>
      <w:r w:rsidRPr="00C9343F">
        <w:instrText xml:space="preserve"> PAGEREF _Toc105054063 \h </w:instrText>
      </w:r>
      <w:r w:rsidRPr="00C9343F">
        <w:fldChar w:fldCharType="separate"/>
      </w:r>
      <w:r w:rsidRPr="00C9343F">
        <w:t>253</w:t>
      </w:r>
      <w:r w:rsidRPr="00C9343F">
        <w:fldChar w:fldCharType="end"/>
      </w:r>
    </w:p>
    <w:p w14:paraId="1FBB04B6" w14:textId="360D5A05" w:rsidR="00271952" w:rsidRPr="00C9343F" w:rsidRDefault="00271952">
      <w:pPr>
        <w:pStyle w:val="TOC5"/>
        <w:rPr>
          <w:rFonts w:asciiTheme="minorHAnsi" w:eastAsiaTheme="minorEastAsia" w:hAnsiTheme="minorHAnsi" w:cstheme="minorBidi"/>
          <w:sz w:val="22"/>
          <w:szCs w:val="22"/>
        </w:rPr>
      </w:pPr>
      <w:r w:rsidRPr="00C9343F">
        <w:t>5.6.11    How to apply for maternity leave</w:t>
      </w:r>
      <w:r w:rsidRPr="00C9343F">
        <w:tab/>
      </w:r>
      <w:r w:rsidRPr="00C9343F">
        <w:fldChar w:fldCharType="begin"/>
      </w:r>
      <w:r w:rsidRPr="00C9343F">
        <w:instrText xml:space="preserve"> PAGEREF _Toc105054064 \h </w:instrText>
      </w:r>
      <w:r w:rsidRPr="00C9343F">
        <w:fldChar w:fldCharType="separate"/>
      </w:r>
      <w:r w:rsidRPr="00C9343F">
        <w:t>253</w:t>
      </w:r>
      <w:r w:rsidRPr="00C9343F">
        <w:fldChar w:fldCharType="end"/>
      </w:r>
    </w:p>
    <w:p w14:paraId="64B08F02" w14:textId="3EFC01A2" w:rsidR="00271952" w:rsidRPr="00C9343F" w:rsidRDefault="00271952">
      <w:pPr>
        <w:pStyle w:val="TOC4"/>
        <w:rPr>
          <w:rFonts w:asciiTheme="minorHAnsi" w:eastAsiaTheme="minorEastAsia" w:hAnsiTheme="minorHAnsi" w:cstheme="minorBidi"/>
          <w:sz w:val="22"/>
          <w:szCs w:val="22"/>
        </w:rPr>
      </w:pPr>
      <w:r w:rsidRPr="00C9343F">
        <w:t>Division 2: Maternity leave entitlements</w:t>
      </w:r>
      <w:r w:rsidRPr="00C9343F">
        <w:tab/>
      </w:r>
      <w:r w:rsidRPr="00C9343F">
        <w:fldChar w:fldCharType="begin"/>
      </w:r>
      <w:r w:rsidRPr="00C9343F">
        <w:instrText xml:space="preserve"> PAGEREF _Toc105054065 \h </w:instrText>
      </w:r>
      <w:r w:rsidRPr="00C9343F">
        <w:fldChar w:fldCharType="separate"/>
      </w:r>
      <w:r w:rsidRPr="00C9343F">
        <w:t>255</w:t>
      </w:r>
      <w:r w:rsidRPr="00C9343F">
        <w:fldChar w:fldCharType="end"/>
      </w:r>
    </w:p>
    <w:p w14:paraId="646B3836" w14:textId="5E7C7A1A" w:rsidR="00271952" w:rsidRPr="00C9343F" w:rsidRDefault="00271952">
      <w:pPr>
        <w:pStyle w:val="TOC5"/>
        <w:rPr>
          <w:rFonts w:asciiTheme="minorHAnsi" w:eastAsiaTheme="minorEastAsia" w:hAnsiTheme="minorHAnsi" w:cstheme="minorBidi"/>
          <w:sz w:val="22"/>
          <w:szCs w:val="22"/>
        </w:rPr>
      </w:pPr>
      <w:r w:rsidRPr="00C9343F">
        <w:t>5.6.12    Purpose</w:t>
      </w:r>
      <w:r w:rsidRPr="00C9343F">
        <w:tab/>
      </w:r>
      <w:r w:rsidRPr="00C9343F">
        <w:fldChar w:fldCharType="begin"/>
      </w:r>
      <w:r w:rsidRPr="00C9343F">
        <w:instrText xml:space="preserve"> PAGEREF _Toc105054066 \h </w:instrText>
      </w:r>
      <w:r w:rsidRPr="00C9343F">
        <w:fldChar w:fldCharType="separate"/>
      </w:r>
      <w:r w:rsidRPr="00C9343F">
        <w:t>255</w:t>
      </w:r>
      <w:r w:rsidRPr="00C9343F">
        <w:fldChar w:fldCharType="end"/>
      </w:r>
    </w:p>
    <w:p w14:paraId="00584C75" w14:textId="11FCF066" w:rsidR="00271952" w:rsidRPr="00C9343F" w:rsidRDefault="00271952">
      <w:pPr>
        <w:pStyle w:val="TOC5"/>
        <w:rPr>
          <w:rFonts w:asciiTheme="minorHAnsi" w:eastAsiaTheme="minorEastAsia" w:hAnsiTheme="minorHAnsi" w:cstheme="minorBidi"/>
          <w:sz w:val="22"/>
          <w:szCs w:val="22"/>
        </w:rPr>
      </w:pPr>
      <w:r w:rsidRPr="00C9343F">
        <w:t>5.6.13    Leave entitlement</w:t>
      </w:r>
      <w:r w:rsidRPr="00C9343F">
        <w:tab/>
      </w:r>
      <w:r w:rsidRPr="00C9343F">
        <w:fldChar w:fldCharType="begin"/>
      </w:r>
      <w:r w:rsidRPr="00C9343F">
        <w:instrText xml:space="preserve"> PAGEREF _Toc105054067 \h </w:instrText>
      </w:r>
      <w:r w:rsidRPr="00C9343F">
        <w:fldChar w:fldCharType="separate"/>
      </w:r>
      <w:r w:rsidRPr="00C9343F">
        <w:t>255</w:t>
      </w:r>
      <w:r w:rsidRPr="00C9343F">
        <w:fldChar w:fldCharType="end"/>
      </w:r>
    </w:p>
    <w:p w14:paraId="5679DA00" w14:textId="01686BA2" w:rsidR="00271952" w:rsidRPr="00C9343F" w:rsidRDefault="00271952">
      <w:pPr>
        <w:pStyle w:val="TOC5"/>
        <w:rPr>
          <w:rFonts w:asciiTheme="minorHAnsi" w:eastAsiaTheme="minorEastAsia" w:hAnsiTheme="minorHAnsi" w:cstheme="minorBidi"/>
          <w:sz w:val="22"/>
          <w:szCs w:val="22"/>
        </w:rPr>
      </w:pPr>
      <w:r w:rsidRPr="00C9343F">
        <w:t>5.6.14    Paid maternity leave</w:t>
      </w:r>
      <w:r w:rsidRPr="00C9343F">
        <w:tab/>
      </w:r>
      <w:r w:rsidRPr="00C9343F">
        <w:fldChar w:fldCharType="begin"/>
      </w:r>
      <w:r w:rsidRPr="00C9343F">
        <w:instrText xml:space="preserve"> PAGEREF _Toc105054068 \h </w:instrText>
      </w:r>
      <w:r w:rsidRPr="00C9343F">
        <w:fldChar w:fldCharType="separate"/>
      </w:r>
      <w:r w:rsidRPr="00C9343F">
        <w:t>255</w:t>
      </w:r>
      <w:r w:rsidRPr="00C9343F">
        <w:fldChar w:fldCharType="end"/>
      </w:r>
    </w:p>
    <w:p w14:paraId="1BAD265E" w14:textId="40CCDA1F" w:rsidR="00271952" w:rsidRPr="00C9343F" w:rsidRDefault="00271952">
      <w:pPr>
        <w:pStyle w:val="TOC5"/>
        <w:rPr>
          <w:rFonts w:asciiTheme="minorHAnsi" w:eastAsiaTheme="minorEastAsia" w:hAnsiTheme="minorHAnsi" w:cstheme="minorBidi"/>
          <w:sz w:val="22"/>
          <w:szCs w:val="22"/>
        </w:rPr>
      </w:pPr>
      <w:r w:rsidRPr="00C9343F">
        <w:lastRenderedPageBreak/>
        <w:t>5.6.15    Maternity leave at half pay</w:t>
      </w:r>
      <w:r w:rsidRPr="00C9343F">
        <w:tab/>
      </w:r>
      <w:r w:rsidRPr="00C9343F">
        <w:fldChar w:fldCharType="begin"/>
      </w:r>
      <w:r w:rsidRPr="00C9343F">
        <w:instrText xml:space="preserve"> PAGEREF _Toc105054069 \h </w:instrText>
      </w:r>
      <w:r w:rsidRPr="00C9343F">
        <w:fldChar w:fldCharType="separate"/>
      </w:r>
      <w:r w:rsidRPr="00C9343F">
        <w:t>255</w:t>
      </w:r>
      <w:r w:rsidRPr="00C9343F">
        <w:fldChar w:fldCharType="end"/>
      </w:r>
    </w:p>
    <w:p w14:paraId="5CA5A961" w14:textId="0B508FCA" w:rsidR="00271952" w:rsidRPr="00C9343F" w:rsidRDefault="00271952">
      <w:pPr>
        <w:pStyle w:val="TOC5"/>
        <w:rPr>
          <w:rFonts w:asciiTheme="minorHAnsi" w:eastAsiaTheme="minorEastAsia" w:hAnsiTheme="minorHAnsi" w:cstheme="minorBidi"/>
          <w:sz w:val="22"/>
          <w:szCs w:val="22"/>
        </w:rPr>
      </w:pPr>
      <w:r w:rsidRPr="00C9343F">
        <w:t>5.6.16    Member on Reserve service</w:t>
      </w:r>
      <w:r w:rsidRPr="00C9343F">
        <w:tab/>
      </w:r>
      <w:r w:rsidRPr="00C9343F">
        <w:fldChar w:fldCharType="begin"/>
      </w:r>
      <w:r w:rsidRPr="00C9343F">
        <w:instrText xml:space="preserve"> PAGEREF _Toc105054070 \h </w:instrText>
      </w:r>
      <w:r w:rsidRPr="00C9343F">
        <w:fldChar w:fldCharType="separate"/>
      </w:r>
      <w:r w:rsidRPr="00C9343F">
        <w:t>256</w:t>
      </w:r>
      <w:r w:rsidRPr="00C9343F">
        <w:fldChar w:fldCharType="end"/>
      </w:r>
    </w:p>
    <w:p w14:paraId="5A5FE825" w14:textId="3DEAA512" w:rsidR="00271952" w:rsidRPr="00C9343F" w:rsidRDefault="00271952">
      <w:pPr>
        <w:pStyle w:val="TOC5"/>
        <w:rPr>
          <w:rFonts w:asciiTheme="minorHAnsi" w:eastAsiaTheme="minorEastAsia" w:hAnsiTheme="minorHAnsi" w:cstheme="minorBidi"/>
          <w:sz w:val="22"/>
          <w:szCs w:val="22"/>
        </w:rPr>
      </w:pPr>
      <w:r w:rsidRPr="00C9343F">
        <w:t>5.6.17    Second period of maternity leave</w:t>
      </w:r>
      <w:r w:rsidRPr="00C9343F">
        <w:tab/>
      </w:r>
      <w:r w:rsidRPr="00C9343F">
        <w:fldChar w:fldCharType="begin"/>
      </w:r>
      <w:r w:rsidRPr="00C9343F">
        <w:instrText xml:space="preserve"> PAGEREF _Toc105054071 \h </w:instrText>
      </w:r>
      <w:r w:rsidRPr="00C9343F">
        <w:fldChar w:fldCharType="separate"/>
      </w:r>
      <w:r w:rsidRPr="00C9343F">
        <w:t>256</w:t>
      </w:r>
      <w:r w:rsidRPr="00C9343F">
        <w:fldChar w:fldCharType="end"/>
      </w:r>
    </w:p>
    <w:p w14:paraId="2C59C196" w14:textId="252D5C3F" w:rsidR="00271952" w:rsidRPr="00C9343F" w:rsidRDefault="00271952">
      <w:pPr>
        <w:pStyle w:val="TOC5"/>
        <w:rPr>
          <w:rFonts w:asciiTheme="minorHAnsi" w:eastAsiaTheme="minorEastAsia" w:hAnsiTheme="minorHAnsi" w:cstheme="minorBidi"/>
          <w:sz w:val="22"/>
          <w:szCs w:val="22"/>
        </w:rPr>
      </w:pPr>
      <w:r w:rsidRPr="00C9343F">
        <w:t>5.6.18    Access to other leave</w:t>
      </w:r>
      <w:r w:rsidRPr="00C9343F">
        <w:tab/>
      </w:r>
      <w:r w:rsidRPr="00C9343F">
        <w:fldChar w:fldCharType="begin"/>
      </w:r>
      <w:r w:rsidRPr="00C9343F">
        <w:instrText xml:space="preserve"> PAGEREF _Toc105054072 \h </w:instrText>
      </w:r>
      <w:r w:rsidRPr="00C9343F">
        <w:fldChar w:fldCharType="separate"/>
      </w:r>
      <w:r w:rsidRPr="00C9343F">
        <w:t>256</w:t>
      </w:r>
      <w:r w:rsidRPr="00C9343F">
        <w:fldChar w:fldCharType="end"/>
      </w:r>
    </w:p>
    <w:p w14:paraId="0A6471C9" w14:textId="6E418FF4" w:rsidR="00271952" w:rsidRPr="00C9343F" w:rsidRDefault="00271952">
      <w:pPr>
        <w:pStyle w:val="TOC5"/>
        <w:rPr>
          <w:rFonts w:asciiTheme="minorHAnsi" w:eastAsiaTheme="minorEastAsia" w:hAnsiTheme="minorHAnsi" w:cstheme="minorBidi"/>
          <w:sz w:val="22"/>
          <w:szCs w:val="22"/>
        </w:rPr>
      </w:pPr>
      <w:r w:rsidRPr="00C9343F">
        <w:t>5.6.19    Effect of unpaid maternity leave</w:t>
      </w:r>
      <w:r w:rsidRPr="00C9343F">
        <w:tab/>
      </w:r>
      <w:r w:rsidRPr="00C9343F">
        <w:fldChar w:fldCharType="begin"/>
      </w:r>
      <w:r w:rsidRPr="00C9343F">
        <w:instrText xml:space="preserve"> PAGEREF _Toc105054073 \h </w:instrText>
      </w:r>
      <w:r w:rsidRPr="00C9343F">
        <w:fldChar w:fldCharType="separate"/>
      </w:r>
      <w:r w:rsidRPr="00C9343F">
        <w:t>256</w:t>
      </w:r>
      <w:r w:rsidRPr="00C9343F">
        <w:fldChar w:fldCharType="end"/>
      </w:r>
    </w:p>
    <w:p w14:paraId="4A6DDAC6" w14:textId="0C243186" w:rsidR="00271952" w:rsidRPr="00C9343F" w:rsidRDefault="00271952">
      <w:pPr>
        <w:pStyle w:val="TOC5"/>
        <w:rPr>
          <w:rFonts w:asciiTheme="minorHAnsi" w:eastAsiaTheme="minorEastAsia" w:hAnsiTheme="minorHAnsi" w:cstheme="minorBidi"/>
          <w:sz w:val="22"/>
          <w:szCs w:val="22"/>
        </w:rPr>
      </w:pPr>
      <w:r w:rsidRPr="00C9343F">
        <w:t>5.6.20    Resuming duty</w:t>
      </w:r>
      <w:r w:rsidRPr="00C9343F">
        <w:tab/>
      </w:r>
      <w:r w:rsidRPr="00C9343F">
        <w:fldChar w:fldCharType="begin"/>
      </w:r>
      <w:r w:rsidRPr="00C9343F">
        <w:instrText xml:space="preserve"> PAGEREF _Toc105054074 \h </w:instrText>
      </w:r>
      <w:r w:rsidRPr="00C9343F">
        <w:fldChar w:fldCharType="separate"/>
      </w:r>
      <w:r w:rsidRPr="00C9343F">
        <w:t>257</w:t>
      </w:r>
      <w:r w:rsidRPr="00C9343F">
        <w:fldChar w:fldCharType="end"/>
      </w:r>
    </w:p>
    <w:p w14:paraId="736EC4F4" w14:textId="1713A0F9" w:rsidR="00271952" w:rsidRPr="00C9343F" w:rsidRDefault="00271952">
      <w:pPr>
        <w:pStyle w:val="TOC5"/>
        <w:rPr>
          <w:rFonts w:asciiTheme="minorHAnsi" w:eastAsiaTheme="minorEastAsia" w:hAnsiTheme="minorHAnsi" w:cstheme="minorBidi"/>
          <w:sz w:val="22"/>
          <w:szCs w:val="22"/>
        </w:rPr>
      </w:pPr>
      <w:r w:rsidRPr="00C9343F">
        <w:t>5.6.21    Resuming leave</w:t>
      </w:r>
      <w:r w:rsidRPr="00C9343F">
        <w:tab/>
      </w:r>
      <w:r w:rsidRPr="00C9343F">
        <w:fldChar w:fldCharType="begin"/>
      </w:r>
      <w:r w:rsidRPr="00C9343F">
        <w:instrText xml:space="preserve"> PAGEREF _Toc105054075 \h </w:instrText>
      </w:r>
      <w:r w:rsidRPr="00C9343F">
        <w:fldChar w:fldCharType="separate"/>
      </w:r>
      <w:r w:rsidRPr="00C9343F">
        <w:t>257</w:t>
      </w:r>
      <w:r w:rsidRPr="00C9343F">
        <w:fldChar w:fldCharType="end"/>
      </w:r>
    </w:p>
    <w:p w14:paraId="7B86BB79" w14:textId="4B9747ED" w:rsidR="00271952" w:rsidRPr="00C9343F" w:rsidRDefault="00271952">
      <w:pPr>
        <w:pStyle w:val="TOC4"/>
        <w:rPr>
          <w:rFonts w:asciiTheme="minorHAnsi" w:eastAsiaTheme="minorEastAsia" w:hAnsiTheme="minorHAnsi" w:cstheme="minorBidi"/>
          <w:sz w:val="22"/>
          <w:szCs w:val="22"/>
        </w:rPr>
      </w:pPr>
      <w:r w:rsidRPr="00C9343F">
        <w:t>Division 3: Required absence</w:t>
      </w:r>
      <w:r w:rsidRPr="00C9343F">
        <w:tab/>
      </w:r>
      <w:r w:rsidRPr="00C9343F">
        <w:fldChar w:fldCharType="begin"/>
      </w:r>
      <w:r w:rsidRPr="00C9343F">
        <w:instrText xml:space="preserve"> PAGEREF _Toc105054076 \h </w:instrText>
      </w:r>
      <w:r w:rsidRPr="00C9343F">
        <w:fldChar w:fldCharType="separate"/>
      </w:r>
      <w:r w:rsidRPr="00C9343F">
        <w:t>258</w:t>
      </w:r>
      <w:r w:rsidRPr="00C9343F">
        <w:fldChar w:fldCharType="end"/>
      </w:r>
    </w:p>
    <w:p w14:paraId="7AD31474" w14:textId="15CA8B38" w:rsidR="00271952" w:rsidRPr="00C9343F" w:rsidRDefault="00271952">
      <w:pPr>
        <w:pStyle w:val="TOC5"/>
        <w:rPr>
          <w:rFonts w:asciiTheme="minorHAnsi" w:eastAsiaTheme="minorEastAsia" w:hAnsiTheme="minorHAnsi" w:cstheme="minorBidi"/>
          <w:sz w:val="22"/>
          <w:szCs w:val="22"/>
        </w:rPr>
      </w:pPr>
      <w:r w:rsidRPr="00C9343F">
        <w:t>5.6.23    Required absence</w:t>
      </w:r>
      <w:r w:rsidRPr="00C9343F">
        <w:tab/>
      </w:r>
      <w:r w:rsidRPr="00C9343F">
        <w:fldChar w:fldCharType="begin"/>
      </w:r>
      <w:r w:rsidRPr="00C9343F">
        <w:instrText xml:space="preserve"> PAGEREF _Toc105054077 \h </w:instrText>
      </w:r>
      <w:r w:rsidRPr="00C9343F">
        <w:fldChar w:fldCharType="separate"/>
      </w:r>
      <w:r w:rsidRPr="00C9343F">
        <w:t>258</w:t>
      </w:r>
      <w:r w:rsidRPr="00C9343F">
        <w:fldChar w:fldCharType="end"/>
      </w:r>
    </w:p>
    <w:p w14:paraId="0EC49DF4" w14:textId="4022FE3F" w:rsidR="00271952" w:rsidRPr="00C9343F" w:rsidRDefault="00271952">
      <w:pPr>
        <w:pStyle w:val="TOC5"/>
        <w:rPr>
          <w:rFonts w:asciiTheme="minorHAnsi" w:eastAsiaTheme="minorEastAsia" w:hAnsiTheme="minorHAnsi" w:cstheme="minorBidi"/>
          <w:sz w:val="22"/>
          <w:szCs w:val="22"/>
        </w:rPr>
      </w:pPr>
      <w:r w:rsidRPr="00C9343F">
        <w:t>5.6.24    Period of required absence</w:t>
      </w:r>
      <w:r w:rsidRPr="00C9343F">
        <w:tab/>
      </w:r>
      <w:r w:rsidRPr="00C9343F">
        <w:fldChar w:fldCharType="begin"/>
      </w:r>
      <w:r w:rsidRPr="00C9343F">
        <w:instrText xml:space="preserve"> PAGEREF _Toc105054078 \h </w:instrText>
      </w:r>
      <w:r w:rsidRPr="00C9343F">
        <w:fldChar w:fldCharType="separate"/>
      </w:r>
      <w:r w:rsidRPr="00C9343F">
        <w:t>258</w:t>
      </w:r>
      <w:r w:rsidRPr="00C9343F">
        <w:fldChar w:fldCharType="end"/>
      </w:r>
    </w:p>
    <w:p w14:paraId="27EC5E34" w14:textId="73958A47" w:rsidR="00271952" w:rsidRPr="00C9343F" w:rsidRDefault="00271952">
      <w:pPr>
        <w:pStyle w:val="TOC5"/>
        <w:rPr>
          <w:rFonts w:asciiTheme="minorHAnsi" w:eastAsiaTheme="minorEastAsia" w:hAnsiTheme="minorHAnsi" w:cstheme="minorBidi"/>
          <w:sz w:val="22"/>
          <w:szCs w:val="22"/>
        </w:rPr>
      </w:pPr>
      <w:r w:rsidRPr="00C9343F">
        <w:t>5.6.25    Fitness for duty and the required absence</w:t>
      </w:r>
      <w:r w:rsidRPr="00C9343F">
        <w:tab/>
      </w:r>
      <w:r w:rsidRPr="00C9343F">
        <w:fldChar w:fldCharType="begin"/>
      </w:r>
      <w:r w:rsidRPr="00C9343F">
        <w:instrText xml:space="preserve"> PAGEREF _Toc105054079 \h </w:instrText>
      </w:r>
      <w:r w:rsidRPr="00C9343F">
        <w:fldChar w:fldCharType="separate"/>
      </w:r>
      <w:r w:rsidRPr="00C9343F">
        <w:t>259</w:t>
      </w:r>
      <w:r w:rsidRPr="00C9343F">
        <w:fldChar w:fldCharType="end"/>
      </w:r>
    </w:p>
    <w:p w14:paraId="31E6AC16" w14:textId="4DB330AB" w:rsidR="00271952" w:rsidRPr="00C9343F" w:rsidRDefault="00271952">
      <w:pPr>
        <w:pStyle w:val="TOC5"/>
        <w:rPr>
          <w:rFonts w:asciiTheme="minorHAnsi" w:eastAsiaTheme="minorEastAsia" w:hAnsiTheme="minorHAnsi" w:cstheme="minorBidi"/>
          <w:sz w:val="22"/>
          <w:szCs w:val="22"/>
        </w:rPr>
      </w:pPr>
      <w:r w:rsidRPr="00C9343F">
        <w:t>5.6.26    Continuing to perform duty during the required absence</w:t>
      </w:r>
      <w:r w:rsidRPr="00C9343F">
        <w:tab/>
      </w:r>
      <w:r w:rsidRPr="00C9343F">
        <w:fldChar w:fldCharType="begin"/>
      </w:r>
      <w:r w:rsidRPr="00C9343F">
        <w:instrText xml:space="preserve"> PAGEREF _Toc105054080 \h </w:instrText>
      </w:r>
      <w:r w:rsidRPr="00C9343F">
        <w:fldChar w:fldCharType="separate"/>
      </w:r>
      <w:r w:rsidRPr="00C9343F">
        <w:t>259</w:t>
      </w:r>
      <w:r w:rsidRPr="00C9343F">
        <w:fldChar w:fldCharType="end"/>
      </w:r>
    </w:p>
    <w:p w14:paraId="79648E7F" w14:textId="038392BC" w:rsidR="00271952" w:rsidRPr="00C9343F" w:rsidRDefault="00271952">
      <w:pPr>
        <w:pStyle w:val="TOC5"/>
        <w:rPr>
          <w:rFonts w:asciiTheme="minorHAnsi" w:eastAsiaTheme="minorEastAsia" w:hAnsiTheme="minorHAnsi" w:cstheme="minorBidi"/>
          <w:sz w:val="22"/>
          <w:szCs w:val="22"/>
        </w:rPr>
      </w:pPr>
      <w:r w:rsidRPr="00C9343F">
        <w:t>5.6.27    Resuming duty during the required absence</w:t>
      </w:r>
      <w:r w:rsidRPr="00C9343F">
        <w:tab/>
      </w:r>
      <w:r w:rsidRPr="00C9343F">
        <w:fldChar w:fldCharType="begin"/>
      </w:r>
      <w:r w:rsidRPr="00C9343F">
        <w:instrText xml:space="preserve"> PAGEREF _Toc105054081 \h </w:instrText>
      </w:r>
      <w:r w:rsidRPr="00C9343F">
        <w:fldChar w:fldCharType="separate"/>
      </w:r>
      <w:r w:rsidRPr="00C9343F">
        <w:t>259</w:t>
      </w:r>
      <w:r w:rsidRPr="00C9343F">
        <w:fldChar w:fldCharType="end"/>
      </w:r>
    </w:p>
    <w:p w14:paraId="21BB9B6B" w14:textId="2F4F6DC1" w:rsidR="00271952" w:rsidRPr="00C9343F" w:rsidRDefault="00271952">
      <w:pPr>
        <w:pStyle w:val="TOC4"/>
        <w:rPr>
          <w:rFonts w:asciiTheme="minorHAnsi" w:eastAsiaTheme="minorEastAsia" w:hAnsiTheme="minorHAnsi" w:cstheme="minorBidi"/>
          <w:sz w:val="22"/>
          <w:szCs w:val="22"/>
        </w:rPr>
      </w:pPr>
      <w:r w:rsidRPr="00C9343F">
        <w:t>Division 4: Member already on leave without pay</w:t>
      </w:r>
      <w:r w:rsidRPr="00C9343F">
        <w:tab/>
      </w:r>
      <w:r w:rsidRPr="00C9343F">
        <w:fldChar w:fldCharType="begin"/>
      </w:r>
      <w:r w:rsidRPr="00C9343F">
        <w:instrText xml:space="preserve"> PAGEREF _Toc105054082 \h </w:instrText>
      </w:r>
      <w:r w:rsidRPr="00C9343F">
        <w:fldChar w:fldCharType="separate"/>
      </w:r>
      <w:r w:rsidRPr="00C9343F">
        <w:t>261</w:t>
      </w:r>
      <w:r w:rsidRPr="00C9343F">
        <w:fldChar w:fldCharType="end"/>
      </w:r>
    </w:p>
    <w:p w14:paraId="35462652" w14:textId="36D3A984" w:rsidR="00271952" w:rsidRPr="00C9343F" w:rsidRDefault="00271952">
      <w:pPr>
        <w:pStyle w:val="TOC5"/>
        <w:rPr>
          <w:rFonts w:asciiTheme="minorHAnsi" w:eastAsiaTheme="minorEastAsia" w:hAnsiTheme="minorHAnsi" w:cstheme="minorBidi"/>
          <w:sz w:val="22"/>
          <w:szCs w:val="22"/>
        </w:rPr>
      </w:pPr>
      <w:r w:rsidRPr="00C9343F">
        <w:t>5.6.28    Member already on leave without pay</w:t>
      </w:r>
      <w:r w:rsidRPr="00C9343F">
        <w:tab/>
      </w:r>
      <w:r w:rsidRPr="00C9343F">
        <w:fldChar w:fldCharType="begin"/>
      </w:r>
      <w:r w:rsidRPr="00C9343F">
        <w:instrText xml:space="preserve"> PAGEREF _Toc105054083 \h </w:instrText>
      </w:r>
      <w:r w:rsidRPr="00C9343F">
        <w:fldChar w:fldCharType="separate"/>
      </w:r>
      <w:r w:rsidRPr="00C9343F">
        <w:t>261</w:t>
      </w:r>
      <w:r w:rsidRPr="00C9343F">
        <w:fldChar w:fldCharType="end"/>
      </w:r>
    </w:p>
    <w:p w14:paraId="5F38F872" w14:textId="0D61BB98" w:rsidR="00271952" w:rsidRPr="00C9343F" w:rsidRDefault="00271952">
      <w:pPr>
        <w:pStyle w:val="TOC5"/>
        <w:rPr>
          <w:rFonts w:asciiTheme="minorHAnsi" w:eastAsiaTheme="minorEastAsia" w:hAnsiTheme="minorHAnsi" w:cstheme="minorBidi"/>
          <w:sz w:val="22"/>
          <w:szCs w:val="22"/>
        </w:rPr>
      </w:pPr>
      <w:r w:rsidRPr="00C9343F">
        <w:t>5.6.29    Cancelling the leave without pay</w:t>
      </w:r>
      <w:r w:rsidRPr="00C9343F">
        <w:tab/>
      </w:r>
      <w:r w:rsidRPr="00C9343F">
        <w:fldChar w:fldCharType="begin"/>
      </w:r>
      <w:r w:rsidRPr="00C9343F">
        <w:instrText xml:space="preserve"> PAGEREF _Toc105054084 \h </w:instrText>
      </w:r>
      <w:r w:rsidRPr="00C9343F">
        <w:fldChar w:fldCharType="separate"/>
      </w:r>
      <w:r w:rsidRPr="00C9343F">
        <w:t>261</w:t>
      </w:r>
      <w:r w:rsidRPr="00C9343F">
        <w:fldChar w:fldCharType="end"/>
      </w:r>
    </w:p>
    <w:p w14:paraId="27A01365" w14:textId="2ACD89D1" w:rsidR="00271952" w:rsidRPr="00C9343F" w:rsidRDefault="00271952">
      <w:pPr>
        <w:pStyle w:val="TOC5"/>
        <w:rPr>
          <w:rFonts w:asciiTheme="minorHAnsi" w:eastAsiaTheme="minorEastAsia" w:hAnsiTheme="minorHAnsi" w:cstheme="minorBidi"/>
          <w:sz w:val="22"/>
          <w:szCs w:val="22"/>
        </w:rPr>
      </w:pPr>
      <w:r w:rsidRPr="00C9343F">
        <w:t>5.6.30    Required absence</w:t>
      </w:r>
      <w:r w:rsidRPr="00C9343F">
        <w:tab/>
      </w:r>
      <w:r w:rsidRPr="00C9343F">
        <w:fldChar w:fldCharType="begin"/>
      </w:r>
      <w:r w:rsidRPr="00C9343F">
        <w:instrText xml:space="preserve"> PAGEREF _Toc105054085 \h </w:instrText>
      </w:r>
      <w:r w:rsidRPr="00C9343F">
        <w:fldChar w:fldCharType="separate"/>
      </w:r>
      <w:r w:rsidRPr="00C9343F">
        <w:t>261</w:t>
      </w:r>
      <w:r w:rsidRPr="00C9343F">
        <w:fldChar w:fldCharType="end"/>
      </w:r>
    </w:p>
    <w:p w14:paraId="4314C556" w14:textId="3AAC9417" w:rsidR="00271952" w:rsidRPr="00C9343F" w:rsidRDefault="00271952">
      <w:pPr>
        <w:pStyle w:val="TOC5"/>
        <w:rPr>
          <w:rFonts w:asciiTheme="minorHAnsi" w:eastAsiaTheme="minorEastAsia" w:hAnsiTheme="minorHAnsi" w:cstheme="minorBidi"/>
          <w:sz w:val="22"/>
          <w:szCs w:val="22"/>
        </w:rPr>
      </w:pPr>
      <w:r w:rsidRPr="00C9343F">
        <w:t>5.6.31    Maternity leave</w:t>
      </w:r>
      <w:r w:rsidRPr="00C9343F">
        <w:tab/>
      </w:r>
      <w:r w:rsidRPr="00C9343F">
        <w:fldChar w:fldCharType="begin"/>
      </w:r>
      <w:r w:rsidRPr="00C9343F">
        <w:instrText xml:space="preserve"> PAGEREF _Toc105054086 \h </w:instrText>
      </w:r>
      <w:r w:rsidRPr="00C9343F">
        <w:fldChar w:fldCharType="separate"/>
      </w:r>
      <w:r w:rsidRPr="00C9343F">
        <w:t>261</w:t>
      </w:r>
      <w:r w:rsidRPr="00C9343F">
        <w:fldChar w:fldCharType="end"/>
      </w:r>
    </w:p>
    <w:p w14:paraId="0EE33E33" w14:textId="603B47B9" w:rsidR="00271952" w:rsidRPr="00C9343F" w:rsidRDefault="00271952">
      <w:pPr>
        <w:pStyle w:val="TOC5"/>
        <w:rPr>
          <w:rFonts w:asciiTheme="minorHAnsi" w:eastAsiaTheme="minorEastAsia" w:hAnsiTheme="minorHAnsi" w:cstheme="minorBidi"/>
          <w:sz w:val="22"/>
          <w:szCs w:val="22"/>
        </w:rPr>
      </w:pPr>
      <w:r w:rsidRPr="00C9343F">
        <w:t>5.6.32    Discretion to vary</w:t>
      </w:r>
      <w:r w:rsidRPr="00C9343F">
        <w:tab/>
      </w:r>
      <w:r w:rsidRPr="00C9343F">
        <w:fldChar w:fldCharType="begin"/>
      </w:r>
      <w:r w:rsidRPr="00C9343F">
        <w:instrText xml:space="preserve"> PAGEREF _Toc105054087 \h </w:instrText>
      </w:r>
      <w:r w:rsidRPr="00C9343F">
        <w:fldChar w:fldCharType="separate"/>
      </w:r>
      <w:r w:rsidRPr="00C9343F">
        <w:t>262</w:t>
      </w:r>
      <w:r w:rsidRPr="00C9343F">
        <w:fldChar w:fldCharType="end"/>
      </w:r>
    </w:p>
    <w:p w14:paraId="3ED5E8B8" w14:textId="6F476B3C" w:rsidR="00271952" w:rsidRPr="00C9343F" w:rsidRDefault="00271952">
      <w:pPr>
        <w:pStyle w:val="TOC3"/>
        <w:rPr>
          <w:rFonts w:asciiTheme="minorHAnsi" w:eastAsiaTheme="minorEastAsia" w:hAnsiTheme="minorHAnsi" w:cstheme="minorBidi"/>
          <w:b w:val="0"/>
          <w:sz w:val="22"/>
          <w:szCs w:val="22"/>
        </w:rPr>
      </w:pPr>
      <w:r w:rsidRPr="00C9343F">
        <w:t>Part 7: Parental leave</w:t>
      </w:r>
      <w:r w:rsidRPr="00C9343F">
        <w:tab/>
      </w:r>
      <w:r w:rsidRPr="00C9343F">
        <w:fldChar w:fldCharType="begin"/>
      </w:r>
      <w:r w:rsidRPr="00C9343F">
        <w:instrText xml:space="preserve"> PAGEREF _Toc105054088 \h </w:instrText>
      </w:r>
      <w:r w:rsidRPr="00C9343F">
        <w:fldChar w:fldCharType="separate"/>
      </w:r>
      <w:r w:rsidRPr="00C9343F">
        <w:t>263</w:t>
      </w:r>
      <w:r w:rsidRPr="00C9343F">
        <w:fldChar w:fldCharType="end"/>
      </w:r>
    </w:p>
    <w:p w14:paraId="2F4DAB8B" w14:textId="5119C34B" w:rsidR="00271952" w:rsidRPr="00C9343F" w:rsidRDefault="00271952">
      <w:pPr>
        <w:pStyle w:val="TOC4"/>
        <w:rPr>
          <w:rFonts w:asciiTheme="minorHAnsi" w:eastAsiaTheme="minorEastAsia" w:hAnsiTheme="minorHAnsi" w:cstheme="minorBidi"/>
          <w:sz w:val="22"/>
          <w:szCs w:val="22"/>
        </w:rPr>
      </w:pPr>
      <w:r w:rsidRPr="00C9343F">
        <w:t>Division 1: General provisions</w:t>
      </w:r>
      <w:r w:rsidRPr="00C9343F">
        <w:tab/>
      </w:r>
      <w:r w:rsidRPr="00C9343F">
        <w:fldChar w:fldCharType="begin"/>
      </w:r>
      <w:r w:rsidRPr="00C9343F">
        <w:instrText xml:space="preserve"> PAGEREF _Toc105054089 \h </w:instrText>
      </w:r>
      <w:r w:rsidRPr="00C9343F">
        <w:fldChar w:fldCharType="separate"/>
      </w:r>
      <w:r w:rsidRPr="00C9343F">
        <w:t>263</w:t>
      </w:r>
      <w:r w:rsidRPr="00C9343F">
        <w:fldChar w:fldCharType="end"/>
      </w:r>
    </w:p>
    <w:p w14:paraId="51BABF06" w14:textId="45FF14ED" w:rsidR="00271952" w:rsidRPr="00C9343F" w:rsidRDefault="00271952">
      <w:pPr>
        <w:pStyle w:val="TOC5"/>
        <w:rPr>
          <w:rFonts w:asciiTheme="minorHAnsi" w:eastAsiaTheme="minorEastAsia" w:hAnsiTheme="minorHAnsi" w:cstheme="minorBidi"/>
          <w:sz w:val="22"/>
          <w:szCs w:val="22"/>
        </w:rPr>
      </w:pPr>
      <w:r w:rsidRPr="00C9343F">
        <w:t>5.7.1    Purpose</w:t>
      </w:r>
      <w:r w:rsidRPr="00C9343F">
        <w:tab/>
      </w:r>
      <w:r w:rsidRPr="00C9343F">
        <w:fldChar w:fldCharType="begin"/>
      </w:r>
      <w:r w:rsidRPr="00C9343F">
        <w:instrText xml:space="preserve"> PAGEREF _Toc105054090 \h </w:instrText>
      </w:r>
      <w:r w:rsidRPr="00C9343F">
        <w:fldChar w:fldCharType="separate"/>
      </w:r>
      <w:r w:rsidRPr="00C9343F">
        <w:t>263</w:t>
      </w:r>
      <w:r w:rsidRPr="00C9343F">
        <w:fldChar w:fldCharType="end"/>
      </w:r>
    </w:p>
    <w:p w14:paraId="043F269F" w14:textId="0AC1532D" w:rsidR="00271952" w:rsidRPr="00C9343F" w:rsidRDefault="00271952">
      <w:pPr>
        <w:pStyle w:val="TOC5"/>
        <w:rPr>
          <w:rFonts w:asciiTheme="minorHAnsi" w:eastAsiaTheme="minorEastAsia" w:hAnsiTheme="minorHAnsi" w:cstheme="minorBidi"/>
          <w:sz w:val="22"/>
          <w:szCs w:val="22"/>
        </w:rPr>
      </w:pPr>
      <w:r w:rsidRPr="00C9343F">
        <w:t>5.7.3    Member this Part does not apply to</w:t>
      </w:r>
      <w:r w:rsidRPr="00C9343F">
        <w:tab/>
      </w:r>
      <w:r w:rsidRPr="00C9343F">
        <w:fldChar w:fldCharType="begin"/>
      </w:r>
      <w:r w:rsidRPr="00C9343F">
        <w:instrText xml:space="preserve"> PAGEREF _Toc105054091 \h </w:instrText>
      </w:r>
      <w:r w:rsidRPr="00C9343F">
        <w:fldChar w:fldCharType="separate"/>
      </w:r>
      <w:r w:rsidRPr="00C9343F">
        <w:t>263</w:t>
      </w:r>
      <w:r w:rsidRPr="00C9343F">
        <w:fldChar w:fldCharType="end"/>
      </w:r>
    </w:p>
    <w:p w14:paraId="05B94249" w14:textId="1C2E68CC" w:rsidR="00271952" w:rsidRPr="00C9343F" w:rsidRDefault="00271952">
      <w:pPr>
        <w:pStyle w:val="TOC5"/>
        <w:rPr>
          <w:rFonts w:asciiTheme="minorHAnsi" w:eastAsiaTheme="minorEastAsia" w:hAnsiTheme="minorHAnsi" w:cstheme="minorBidi"/>
          <w:sz w:val="22"/>
          <w:szCs w:val="22"/>
        </w:rPr>
      </w:pPr>
      <w:r w:rsidRPr="00C9343F">
        <w:t>5.7.4    Definitions</w:t>
      </w:r>
      <w:r w:rsidRPr="00C9343F">
        <w:tab/>
      </w:r>
      <w:r w:rsidRPr="00C9343F">
        <w:fldChar w:fldCharType="begin"/>
      </w:r>
      <w:r w:rsidRPr="00C9343F">
        <w:instrText xml:space="preserve"> PAGEREF _Toc105054092 \h </w:instrText>
      </w:r>
      <w:r w:rsidRPr="00C9343F">
        <w:fldChar w:fldCharType="separate"/>
      </w:r>
      <w:r w:rsidRPr="00C9343F">
        <w:t>263</w:t>
      </w:r>
      <w:r w:rsidRPr="00C9343F">
        <w:fldChar w:fldCharType="end"/>
      </w:r>
    </w:p>
    <w:p w14:paraId="2F30978E" w14:textId="73E9B6BF" w:rsidR="00271952" w:rsidRPr="00C9343F" w:rsidRDefault="00271952">
      <w:pPr>
        <w:pStyle w:val="TOC5"/>
        <w:rPr>
          <w:rFonts w:asciiTheme="minorHAnsi" w:eastAsiaTheme="minorEastAsia" w:hAnsiTheme="minorHAnsi" w:cstheme="minorBidi"/>
          <w:sz w:val="22"/>
          <w:szCs w:val="22"/>
        </w:rPr>
      </w:pPr>
      <w:r w:rsidRPr="00C9343F">
        <w:t>5.7.4A    How to apply for parental leave</w:t>
      </w:r>
      <w:r w:rsidRPr="00C9343F">
        <w:tab/>
      </w:r>
      <w:r w:rsidRPr="00C9343F">
        <w:fldChar w:fldCharType="begin"/>
      </w:r>
      <w:r w:rsidRPr="00C9343F">
        <w:instrText xml:space="preserve"> PAGEREF _Toc105054093 \h </w:instrText>
      </w:r>
      <w:r w:rsidRPr="00C9343F">
        <w:fldChar w:fldCharType="separate"/>
      </w:r>
      <w:r w:rsidRPr="00C9343F">
        <w:t>263</w:t>
      </w:r>
      <w:r w:rsidRPr="00C9343F">
        <w:fldChar w:fldCharType="end"/>
      </w:r>
    </w:p>
    <w:p w14:paraId="7632DC6D" w14:textId="3CCBBB99" w:rsidR="00271952" w:rsidRPr="00C9343F" w:rsidRDefault="00271952">
      <w:pPr>
        <w:pStyle w:val="TOC5"/>
        <w:rPr>
          <w:rFonts w:asciiTheme="minorHAnsi" w:eastAsiaTheme="minorEastAsia" w:hAnsiTheme="minorHAnsi" w:cstheme="minorBidi"/>
          <w:sz w:val="22"/>
          <w:szCs w:val="22"/>
        </w:rPr>
      </w:pPr>
      <w:r w:rsidRPr="00C9343F">
        <w:t>5.7.4B    Limit on the amount of parental leave</w:t>
      </w:r>
      <w:r w:rsidRPr="00C9343F">
        <w:tab/>
      </w:r>
      <w:r w:rsidRPr="00C9343F">
        <w:fldChar w:fldCharType="begin"/>
      </w:r>
      <w:r w:rsidRPr="00C9343F">
        <w:instrText xml:space="preserve"> PAGEREF _Toc105054094 \h </w:instrText>
      </w:r>
      <w:r w:rsidRPr="00C9343F">
        <w:fldChar w:fldCharType="separate"/>
      </w:r>
      <w:r w:rsidRPr="00C9343F">
        <w:t>263</w:t>
      </w:r>
      <w:r w:rsidRPr="00C9343F">
        <w:fldChar w:fldCharType="end"/>
      </w:r>
    </w:p>
    <w:p w14:paraId="183F4A7F" w14:textId="7D9A34B1" w:rsidR="00271952" w:rsidRPr="00C9343F" w:rsidRDefault="00271952">
      <w:pPr>
        <w:pStyle w:val="TOC5"/>
        <w:rPr>
          <w:rFonts w:asciiTheme="minorHAnsi" w:eastAsiaTheme="minorEastAsia" w:hAnsiTheme="minorHAnsi" w:cstheme="minorBidi"/>
          <w:sz w:val="22"/>
          <w:szCs w:val="22"/>
        </w:rPr>
      </w:pPr>
      <w:r w:rsidRPr="00C9343F">
        <w:t>5.7.4C    Dual serving parents</w:t>
      </w:r>
      <w:r w:rsidRPr="00C9343F">
        <w:tab/>
      </w:r>
      <w:r w:rsidRPr="00C9343F">
        <w:fldChar w:fldCharType="begin"/>
      </w:r>
      <w:r w:rsidRPr="00C9343F">
        <w:instrText xml:space="preserve"> PAGEREF _Toc105054095 \h </w:instrText>
      </w:r>
      <w:r w:rsidRPr="00C9343F">
        <w:fldChar w:fldCharType="separate"/>
      </w:r>
      <w:r w:rsidRPr="00C9343F">
        <w:t>264</w:t>
      </w:r>
      <w:r w:rsidRPr="00C9343F">
        <w:fldChar w:fldCharType="end"/>
      </w:r>
    </w:p>
    <w:p w14:paraId="4F199838" w14:textId="0BDBF9E8" w:rsidR="00271952" w:rsidRPr="00C9343F" w:rsidRDefault="00271952">
      <w:pPr>
        <w:pStyle w:val="TOC5"/>
        <w:rPr>
          <w:rFonts w:asciiTheme="minorHAnsi" w:eastAsiaTheme="minorEastAsia" w:hAnsiTheme="minorHAnsi" w:cstheme="minorBidi"/>
          <w:sz w:val="22"/>
          <w:szCs w:val="22"/>
        </w:rPr>
      </w:pPr>
      <w:r w:rsidRPr="00C9343F">
        <w:t>5.7.4D    Members subject to a flexible service determination</w:t>
      </w:r>
      <w:r w:rsidRPr="00C9343F">
        <w:tab/>
      </w:r>
      <w:r w:rsidRPr="00C9343F">
        <w:fldChar w:fldCharType="begin"/>
      </w:r>
      <w:r w:rsidRPr="00C9343F">
        <w:instrText xml:space="preserve"> PAGEREF _Toc105054096 \h </w:instrText>
      </w:r>
      <w:r w:rsidRPr="00C9343F">
        <w:fldChar w:fldCharType="separate"/>
      </w:r>
      <w:r w:rsidRPr="00C9343F">
        <w:t>264</w:t>
      </w:r>
      <w:r w:rsidRPr="00C9343F">
        <w:fldChar w:fldCharType="end"/>
      </w:r>
    </w:p>
    <w:p w14:paraId="23F16B05" w14:textId="0A260A8D" w:rsidR="00271952" w:rsidRPr="00C9343F" w:rsidRDefault="00271952">
      <w:pPr>
        <w:pStyle w:val="TOC4"/>
        <w:rPr>
          <w:rFonts w:asciiTheme="minorHAnsi" w:eastAsiaTheme="minorEastAsia" w:hAnsiTheme="minorHAnsi" w:cstheme="minorBidi"/>
          <w:sz w:val="22"/>
          <w:szCs w:val="22"/>
        </w:rPr>
      </w:pPr>
      <w:r w:rsidRPr="00C9343F">
        <w:t>Division 2: Paid parental leave</w:t>
      </w:r>
      <w:r w:rsidRPr="00C9343F">
        <w:tab/>
      </w:r>
      <w:r w:rsidRPr="00C9343F">
        <w:fldChar w:fldCharType="begin"/>
      </w:r>
      <w:r w:rsidRPr="00C9343F">
        <w:instrText xml:space="preserve"> PAGEREF _Toc105054097 \h </w:instrText>
      </w:r>
      <w:r w:rsidRPr="00C9343F">
        <w:fldChar w:fldCharType="separate"/>
      </w:r>
      <w:r w:rsidRPr="00C9343F">
        <w:t>265</w:t>
      </w:r>
      <w:r w:rsidRPr="00C9343F">
        <w:fldChar w:fldCharType="end"/>
      </w:r>
    </w:p>
    <w:p w14:paraId="7FA36E03" w14:textId="6490162B" w:rsidR="00271952" w:rsidRPr="00C9343F" w:rsidRDefault="00271952">
      <w:pPr>
        <w:pStyle w:val="TOC5"/>
        <w:rPr>
          <w:rFonts w:asciiTheme="minorHAnsi" w:eastAsiaTheme="minorEastAsia" w:hAnsiTheme="minorHAnsi" w:cstheme="minorBidi"/>
          <w:sz w:val="22"/>
          <w:szCs w:val="22"/>
        </w:rPr>
      </w:pPr>
      <w:r w:rsidRPr="00C9343F">
        <w:t>5.7.4E    Member this Division applies to</w:t>
      </w:r>
      <w:r w:rsidRPr="00C9343F">
        <w:tab/>
      </w:r>
      <w:r w:rsidRPr="00C9343F">
        <w:fldChar w:fldCharType="begin"/>
      </w:r>
      <w:r w:rsidRPr="00C9343F">
        <w:instrText xml:space="preserve"> PAGEREF _Toc105054098 \h </w:instrText>
      </w:r>
      <w:r w:rsidRPr="00C9343F">
        <w:fldChar w:fldCharType="separate"/>
      </w:r>
      <w:r w:rsidRPr="00C9343F">
        <w:t>265</w:t>
      </w:r>
      <w:r w:rsidRPr="00C9343F">
        <w:fldChar w:fldCharType="end"/>
      </w:r>
    </w:p>
    <w:p w14:paraId="3BC06911" w14:textId="01BAA5E2" w:rsidR="00271952" w:rsidRPr="00C9343F" w:rsidRDefault="00271952">
      <w:pPr>
        <w:pStyle w:val="TOC5"/>
        <w:rPr>
          <w:rFonts w:asciiTheme="minorHAnsi" w:eastAsiaTheme="minorEastAsia" w:hAnsiTheme="minorHAnsi" w:cstheme="minorBidi"/>
          <w:sz w:val="22"/>
          <w:szCs w:val="22"/>
        </w:rPr>
      </w:pPr>
      <w:r w:rsidRPr="00C9343F">
        <w:t>5.7.5    Paid parental leave</w:t>
      </w:r>
      <w:r w:rsidRPr="00C9343F">
        <w:tab/>
      </w:r>
      <w:r w:rsidRPr="00C9343F">
        <w:fldChar w:fldCharType="begin"/>
      </w:r>
      <w:r w:rsidRPr="00C9343F">
        <w:instrText xml:space="preserve"> PAGEREF _Toc105054099 \h </w:instrText>
      </w:r>
      <w:r w:rsidRPr="00C9343F">
        <w:fldChar w:fldCharType="separate"/>
      </w:r>
      <w:r w:rsidRPr="00C9343F">
        <w:t>265</w:t>
      </w:r>
      <w:r w:rsidRPr="00C9343F">
        <w:fldChar w:fldCharType="end"/>
      </w:r>
    </w:p>
    <w:p w14:paraId="5F8B944E" w14:textId="0A459922" w:rsidR="00271952" w:rsidRPr="00C9343F" w:rsidRDefault="00271952">
      <w:pPr>
        <w:pStyle w:val="TOC4"/>
        <w:rPr>
          <w:rFonts w:asciiTheme="minorHAnsi" w:eastAsiaTheme="minorEastAsia" w:hAnsiTheme="minorHAnsi" w:cstheme="minorBidi"/>
          <w:sz w:val="22"/>
          <w:szCs w:val="22"/>
        </w:rPr>
      </w:pPr>
      <w:r w:rsidRPr="00C9343F">
        <w:t>Division 3: Special paid parental leave</w:t>
      </w:r>
      <w:r w:rsidRPr="00C9343F">
        <w:tab/>
      </w:r>
      <w:r w:rsidRPr="00C9343F">
        <w:fldChar w:fldCharType="begin"/>
      </w:r>
      <w:r w:rsidRPr="00C9343F">
        <w:instrText xml:space="preserve"> PAGEREF _Toc105054100 \h </w:instrText>
      </w:r>
      <w:r w:rsidRPr="00C9343F">
        <w:fldChar w:fldCharType="separate"/>
      </w:r>
      <w:r w:rsidRPr="00C9343F">
        <w:t>266</w:t>
      </w:r>
      <w:r w:rsidRPr="00C9343F">
        <w:fldChar w:fldCharType="end"/>
      </w:r>
    </w:p>
    <w:p w14:paraId="08C55A18" w14:textId="6290C4BE" w:rsidR="00271952" w:rsidRPr="00C9343F" w:rsidRDefault="00271952">
      <w:pPr>
        <w:pStyle w:val="TOC5"/>
        <w:rPr>
          <w:rFonts w:asciiTheme="minorHAnsi" w:eastAsiaTheme="minorEastAsia" w:hAnsiTheme="minorHAnsi" w:cstheme="minorBidi"/>
          <w:sz w:val="22"/>
          <w:szCs w:val="22"/>
        </w:rPr>
      </w:pPr>
      <w:r w:rsidRPr="00C9343F">
        <w:t>5.7.6    Purpose of special paid parental leave</w:t>
      </w:r>
      <w:r w:rsidRPr="00C9343F">
        <w:tab/>
      </w:r>
      <w:r w:rsidRPr="00C9343F">
        <w:fldChar w:fldCharType="begin"/>
      </w:r>
      <w:r w:rsidRPr="00C9343F">
        <w:instrText xml:space="preserve"> PAGEREF _Toc105054101 \h </w:instrText>
      </w:r>
      <w:r w:rsidRPr="00C9343F">
        <w:fldChar w:fldCharType="separate"/>
      </w:r>
      <w:r w:rsidRPr="00C9343F">
        <w:t>266</w:t>
      </w:r>
      <w:r w:rsidRPr="00C9343F">
        <w:fldChar w:fldCharType="end"/>
      </w:r>
    </w:p>
    <w:p w14:paraId="161DF176" w14:textId="06666F77" w:rsidR="00271952" w:rsidRPr="00C9343F" w:rsidRDefault="00271952">
      <w:pPr>
        <w:pStyle w:val="TOC5"/>
        <w:rPr>
          <w:rFonts w:asciiTheme="minorHAnsi" w:eastAsiaTheme="minorEastAsia" w:hAnsiTheme="minorHAnsi" w:cstheme="minorBidi"/>
          <w:sz w:val="22"/>
          <w:szCs w:val="22"/>
        </w:rPr>
      </w:pPr>
      <w:r w:rsidRPr="00C9343F">
        <w:t>5.7.6A    Members this Division applies to</w:t>
      </w:r>
      <w:r w:rsidRPr="00C9343F">
        <w:tab/>
      </w:r>
      <w:r w:rsidRPr="00C9343F">
        <w:fldChar w:fldCharType="begin"/>
      </w:r>
      <w:r w:rsidRPr="00C9343F">
        <w:instrText xml:space="preserve"> PAGEREF _Toc105054102 \h </w:instrText>
      </w:r>
      <w:r w:rsidRPr="00C9343F">
        <w:fldChar w:fldCharType="separate"/>
      </w:r>
      <w:r w:rsidRPr="00C9343F">
        <w:t>266</w:t>
      </w:r>
      <w:r w:rsidRPr="00C9343F">
        <w:fldChar w:fldCharType="end"/>
      </w:r>
    </w:p>
    <w:p w14:paraId="15C4EBD3" w14:textId="3F93F842" w:rsidR="00271952" w:rsidRPr="00C9343F" w:rsidRDefault="00271952">
      <w:pPr>
        <w:pStyle w:val="TOC5"/>
        <w:rPr>
          <w:rFonts w:asciiTheme="minorHAnsi" w:eastAsiaTheme="minorEastAsia" w:hAnsiTheme="minorHAnsi" w:cstheme="minorBidi"/>
          <w:sz w:val="22"/>
          <w:szCs w:val="22"/>
        </w:rPr>
      </w:pPr>
      <w:r w:rsidRPr="00C9343F">
        <w:t>5.7.6B    Members this Division does not apply to</w:t>
      </w:r>
      <w:r w:rsidRPr="00C9343F">
        <w:tab/>
      </w:r>
      <w:r w:rsidRPr="00C9343F">
        <w:fldChar w:fldCharType="begin"/>
      </w:r>
      <w:r w:rsidRPr="00C9343F">
        <w:instrText xml:space="preserve"> PAGEREF _Toc105054103 \h </w:instrText>
      </w:r>
      <w:r w:rsidRPr="00C9343F">
        <w:fldChar w:fldCharType="separate"/>
      </w:r>
      <w:r w:rsidRPr="00C9343F">
        <w:t>266</w:t>
      </w:r>
      <w:r w:rsidRPr="00C9343F">
        <w:fldChar w:fldCharType="end"/>
      </w:r>
    </w:p>
    <w:p w14:paraId="3E97BAB8" w14:textId="6BE71809" w:rsidR="00271952" w:rsidRPr="00C9343F" w:rsidRDefault="00271952">
      <w:pPr>
        <w:pStyle w:val="TOC5"/>
        <w:rPr>
          <w:rFonts w:asciiTheme="minorHAnsi" w:eastAsiaTheme="minorEastAsia" w:hAnsiTheme="minorHAnsi" w:cstheme="minorBidi"/>
          <w:sz w:val="22"/>
          <w:szCs w:val="22"/>
        </w:rPr>
      </w:pPr>
      <w:r w:rsidRPr="00C9343F">
        <w:t>5.7.6C    Special paid parental leave – dual serving parent</w:t>
      </w:r>
      <w:r w:rsidRPr="00C9343F">
        <w:tab/>
      </w:r>
      <w:r w:rsidRPr="00C9343F">
        <w:fldChar w:fldCharType="begin"/>
      </w:r>
      <w:r w:rsidRPr="00C9343F">
        <w:instrText xml:space="preserve"> PAGEREF _Toc105054104 \h </w:instrText>
      </w:r>
      <w:r w:rsidRPr="00C9343F">
        <w:fldChar w:fldCharType="separate"/>
      </w:r>
      <w:r w:rsidRPr="00C9343F">
        <w:t>266</w:t>
      </w:r>
      <w:r w:rsidRPr="00C9343F">
        <w:fldChar w:fldCharType="end"/>
      </w:r>
    </w:p>
    <w:p w14:paraId="5DE3001B" w14:textId="48C28623" w:rsidR="00271952" w:rsidRPr="00C9343F" w:rsidRDefault="00271952">
      <w:pPr>
        <w:pStyle w:val="TOC5"/>
        <w:rPr>
          <w:rFonts w:asciiTheme="minorHAnsi" w:eastAsiaTheme="minorEastAsia" w:hAnsiTheme="minorHAnsi" w:cstheme="minorBidi"/>
          <w:sz w:val="22"/>
          <w:szCs w:val="22"/>
        </w:rPr>
      </w:pPr>
      <w:r w:rsidRPr="00C9343F">
        <w:lastRenderedPageBreak/>
        <w:t>5.7.6D    Special paid parental leave – other circumstances</w:t>
      </w:r>
      <w:r w:rsidRPr="00C9343F">
        <w:tab/>
      </w:r>
      <w:r w:rsidRPr="00C9343F">
        <w:fldChar w:fldCharType="begin"/>
      </w:r>
      <w:r w:rsidRPr="00C9343F">
        <w:instrText xml:space="preserve"> PAGEREF _Toc105054105 \h </w:instrText>
      </w:r>
      <w:r w:rsidRPr="00C9343F">
        <w:fldChar w:fldCharType="separate"/>
      </w:r>
      <w:r w:rsidRPr="00C9343F">
        <w:t>267</w:t>
      </w:r>
      <w:r w:rsidRPr="00C9343F">
        <w:fldChar w:fldCharType="end"/>
      </w:r>
    </w:p>
    <w:p w14:paraId="6887EEC9" w14:textId="06F358A7" w:rsidR="00271952" w:rsidRPr="00C9343F" w:rsidRDefault="00271952">
      <w:pPr>
        <w:pStyle w:val="TOC5"/>
        <w:rPr>
          <w:rFonts w:asciiTheme="minorHAnsi" w:eastAsiaTheme="minorEastAsia" w:hAnsiTheme="minorHAnsi" w:cstheme="minorBidi"/>
          <w:sz w:val="22"/>
          <w:szCs w:val="22"/>
        </w:rPr>
      </w:pPr>
      <w:r w:rsidRPr="00C9343F">
        <w:t>5.7.6E    How special paid parental leave must be taken</w:t>
      </w:r>
      <w:r w:rsidRPr="00C9343F">
        <w:tab/>
      </w:r>
      <w:r w:rsidRPr="00C9343F">
        <w:fldChar w:fldCharType="begin"/>
      </w:r>
      <w:r w:rsidRPr="00C9343F">
        <w:instrText xml:space="preserve"> PAGEREF _Toc105054106 \h </w:instrText>
      </w:r>
      <w:r w:rsidRPr="00C9343F">
        <w:fldChar w:fldCharType="separate"/>
      </w:r>
      <w:r w:rsidRPr="00C9343F">
        <w:t>267</w:t>
      </w:r>
      <w:r w:rsidRPr="00C9343F">
        <w:fldChar w:fldCharType="end"/>
      </w:r>
    </w:p>
    <w:p w14:paraId="41E09333" w14:textId="591CF149" w:rsidR="00271952" w:rsidRPr="00C9343F" w:rsidRDefault="00271952">
      <w:pPr>
        <w:pStyle w:val="TOC5"/>
        <w:rPr>
          <w:rFonts w:asciiTheme="minorHAnsi" w:eastAsiaTheme="minorEastAsia" w:hAnsiTheme="minorHAnsi" w:cstheme="minorBidi"/>
          <w:sz w:val="22"/>
          <w:szCs w:val="22"/>
        </w:rPr>
      </w:pPr>
      <w:r w:rsidRPr="00C9343F">
        <w:t>5.7.6F    Special paid parental leave and effective service</w:t>
      </w:r>
      <w:r w:rsidRPr="00C9343F">
        <w:tab/>
      </w:r>
      <w:r w:rsidRPr="00C9343F">
        <w:fldChar w:fldCharType="begin"/>
      </w:r>
      <w:r w:rsidRPr="00C9343F">
        <w:instrText xml:space="preserve"> PAGEREF _Toc105054107 \h </w:instrText>
      </w:r>
      <w:r w:rsidRPr="00C9343F">
        <w:fldChar w:fldCharType="separate"/>
      </w:r>
      <w:r w:rsidRPr="00C9343F">
        <w:t>267</w:t>
      </w:r>
      <w:r w:rsidRPr="00C9343F">
        <w:fldChar w:fldCharType="end"/>
      </w:r>
    </w:p>
    <w:p w14:paraId="5F7BE0DE" w14:textId="7963F8DA" w:rsidR="00271952" w:rsidRPr="00C9343F" w:rsidRDefault="00271952">
      <w:pPr>
        <w:pStyle w:val="TOC4"/>
        <w:rPr>
          <w:rFonts w:asciiTheme="minorHAnsi" w:eastAsiaTheme="minorEastAsia" w:hAnsiTheme="minorHAnsi" w:cstheme="minorBidi"/>
          <w:sz w:val="22"/>
          <w:szCs w:val="22"/>
        </w:rPr>
      </w:pPr>
      <w:r w:rsidRPr="00C9343F">
        <w:t>Division 4: Unpaid parental leave</w:t>
      </w:r>
      <w:r w:rsidRPr="00C9343F">
        <w:tab/>
      </w:r>
      <w:r w:rsidRPr="00C9343F">
        <w:fldChar w:fldCharType="begin"/>
      </w:r>
      <w:r w:rsidRPr="00C9343F">
        <w:instrText xml:space="preserve"> PAGEREF _Toc105054108 \h </w:instrText>
      </w:r>
      <w:r w:rsidRPr="00C9343F">
        <w:fldChar w:fldCharType="separate"/>
      </w:r>
      <w:r w:rsidRPr="00C9343F">
        <w:t>268</w:t>
      </w:r>
      <w:r w:rsidRPr="00C9343F">
        <w:fldChar w:fldCharType="end"/>
      </w:r>
    </w:p>
    <w:p w14:paraId="2E6EA095" w14:textId="1E347CAA" w:rsidR="00271952" w:rsidRPr="00C9343F" w:rsidRDefault="00271952">
      <w:pPr>
        <w:pStyle w:val="TOC5"/>
        <w:rPr>
          <w:rFonts w:asciiTheme="minorHAnsi" w:eastAsiaTheme="minorEastAsia" w:hAnsiTheme="minorHAnsi" w:cstheme="minorBidi"/>
          <w:sz w:val="22"/>
          <w:szCs w:val="22"/>
        </w:rPr>
      </w:pPr>
      <w:r w:rsidRPr="00C9343F">
        <w:t>5.7.6G    Member this Division applies to</w:t>
      </w:r>
      <w:r w:rsidRPr="00C9343F">
        <w:tab/>
      </w:r>
      <w:r w:rsidRPr="00C9343F">
        <w:fldChar w:fldCharType="begin"/>
      </w:r>
      <w:r w:rsidRPr="00C9343F">
        <w:instrText xml:space="preserve"> PAGEREF _Toc105054109 \h </w:instrText>
      </w:r>
      <w:r w:rsidRPr="00C9343F">
        <w:fldChar w:fldCharType="separate"/>
      </w:r>
      <w:r w:rsidRPr="00C9343F">
        <w:t>268</w:t>
      </w:r>
      <w:r w:rsidRPr="00C9343F">
        <w:fldChar w:fldCharType="end"/>
      </w:r>
    </w:p>
    <w:p w14:paraId="6513383D" w14:textId="38EC8575" w:rsidR="00271952" w:rsidRPr="00C9343F" w:rsidRDefault="00271952">
      <w:pPr>
        <w:pStyle w:val="TOC5"/>
        <w:rPr>
          <w:rFonts w:asciiTheme="minorHAnsi" w:eastAsiaTheme="minorEastAsia" w:hAnsiTheme="minorHAnsi" w:cstheme="minorBidi"/>
          <w:sz w:val="22"/>
          <w:szCs w:val="22"/>
        </w:rPr>
      </w:pPr>
      <w:r w:rsidRPr="00C9343F">
        <w:t>5.7.7    Unpaid parental leave</w:t>
      </w:r>
      <w:r w:rsidRPr="00C9343F">
        <w:tab/>
      </w:r>
      <w:r w:rsidRPr="00C9343F">
        <w:fldChar w:fldCharType="begin"/>
      </w:r>
      <w:r w:rsidRPr="00C9343F">
        <w:instrText xml:space="preserve"> PAGEREF _Toc105054110 \h </w:instrText>
      </w:r>
      <w:r w:rsidRPr="00C9343F">
        <w:fldChar w:fldCharType="separate"/>
      </w:r>
      <w:r w:rsidRPr="00C9343F">
        <w:t>268</w:t>
      </w:r>
      <w:r w:rsidRPr="00C9343F">
        <w:fldChar w:fldCharType="end"/>
      </w:r>
    </w:p>
    <w:p w14:paraId="2D615A46" w14:textId="304D1E44" w:rsidR="00271952" w:rsidRPr="00C9343F" w:rsidRDefault="00271952">
      <w:pPr>
        <w:pStyle w:val="TOC3"/>
        <w:rPr>
          <w:rFonts w:asciiTheme="minorHAnsi" w:eastAsiaTheme="minorEastAsia" w:hAnsiTheme="minorHAnsi" w:cstheme="minorBidi"/>
          <w:b w:val="0"/>
          <w:sz w:val="22"/>
          <w:szCs w:val="22"/>
        </w:rPr>
      </w:pPr>
      <w:r w:rsidRPr="00C9343F">
        <w:t>Part 8: War service leave</w:t>
      </w:r>
      <w:r w:rsidRPr="00C9343F">
        <w:tab/>
      </w:r>
      <w:r w:rsidRPr="00C9343F">
        <w:fldChar w:fldCharType="begin"/>
      </w:r>
      <w:r w:rsidRPr="00C9343F">
        <w:instrText xml:space="preserve"> PAGEREF _Toc105054111 \h </w:instrText>
      </w:r>
      <w:r w:rsidRPr="00C9343F">
        <w:fldChar w:fldCharType="separate"/>
      </w:r>
      <w:r w:rsidRPr="00C9343F">
        <w:t>269</w:t>
      </w:r>
      <w:r w:rsidRPr="00C9343F">
        <w:fldChar w:fldCharType="end"/>
      </w:r>
    </w:p>
    <w:p w14:paraId="0AD0E84E" w14:textId="794E52BE" w:rsidR="00271952" w:rsidRPr="00C9343F" w:rsidRDefault="00271952">
      <w:pPr>
        <w:pStyle w:val="TOC5"/>
        <w:rPr>
          <w:rFonts w:asciiTheme="minorHAnsi" w:eastAsiaTheme="minorEastAsia" w:hAnsiTheme="minorHAnsi" w:cstheme="minorBidi"/>
          <w:sz w:val="22"/>
          <w:szCs w:val="22"/>
        </w:rPr>
      </w:pPr>
      <w:r w:rsidRPr="00C9343F">
        <w:t>5.8.1    Purpose</w:t>
      </w:r>
      <w:r w:rsidRPr="00C9343F">
        <w:tab/>
      </w:r>
      <w:r w:rsidRPr="00C9343F">
        <w:fldChar w:fldCharType="begin"/>
      </w:r>
      <w:r w:rsidRPr="00C9343F">
        <w:instrText xml:space="preserve"> PAGEREF _Toc105054112 \h </w:instrText>
      </w:r>
      <w:r w:rsidRPr="00C9343F">
        <w:fldChar w:fldCharType="separate"/>
      </w:r>
      <w:r w:rsidRPr="00C9343F">
        <w:t>269</w:t>
      </w:r>
      <w:r w:rsidRPr="00C9343F">
        <w:fldChar w:fldCharType="end"/>
      </w:r>
    </w:p>
    <w:p w14:paraId="0B6CA6A5" w14:textId="33AD8E3A" w:rsidR="00271952" w:rsidRPr="00C9343F" w:rsidRDefault="00271952">
      <w:pPr>
        <w:pStyle w:val="TOC5"/>
        <w:rPr>
          <w:rFonts w:asciiTheme="minorHAnsi" w:eastAsiaTheme="minorEastAsia" w:hAnsiTheme="minorHAnsi" w:cstheme="minorBidi"/>
          <w:sz w:val="22"/>
          <w:szCs w:val="22"/>
        </w:rPr>
      </w:pPr>
      <w:r w:rsidRPr="00C9343F">
        <w:t>5.8.2    Definitions</w:t>
      </w:r>
      <w:r w:rsidRPr="00C9343F">
        <w:tab/>
      </w:r>
      <w:r w:rsidRPr="00C9343F">
        <w:fldChar w:fldCharType="begin"/>
      </w:r>
      <w:r w:rsidRPr="00C9343F">
        <w:instrText xml:space="preserve"> PAGEREF _Toc105054113 \h </w:instrText>
      </w:r>
      <w:r w:rsidRPr="00C9343F">
        <w:fldChar w:fldCharType="separate"/>
      </w:r>
      <w:r w:rsidRPr="00C9343F">
        <w:t>269</w:t>
      </w:r>
      <w:r w:rsidRPr="00C9343F">
        <w:fldChar w:fldCharType="end"/>
      </w:r>
    </w:p>
    <w:p w14:paraId="6241C528" w14:textId="516B6679" w:rsidR="00271952" w:rsidRPr="00C9343F" w:rsidRDefault="00271952">
      <w:pPr>
        <w:pStyle w:val="TOC5"/>
        <w:rPr>
          <w:rFonts w:asciiTheme="minorHAnsi" w:eastAsiaTheme="minorEastAsia" w:hAnsiTheme="minorHAnsi" w:cstheme="minorBidi"/>
          <w:sz w:val="22"/>
          <w:szCs w:val="22"/>
        </w:rPr>
      </w:pPr>
      <w:r w:rsidRPr="00C9343F">
        <w:t>5.8.3    Members this Part applies to</w:t>
      </w:r>
      <w:r w:rsidRPr="00C9343F">
        <w:tab/>
      </w:r>
      <w:r w:rsidRPr="00C9343F">
        <w:fldChar w:fldCharType="begin"/>
      </w:r>
      <w:r w:rsidRPr="00C9343F">
        <w:instrText xml:space="preserve"> PAGEREF _Toc105054114 \h </w:instrText>
      </w:r>
      <w:r w:rsidRPr="00C9343F">
        <w:fldChar w:fldCharType="separate"/>
      </w:r>
      <w:r w:rsidRPr="00C9343F">
        <w:t>269</w:t>
      </w:r>
      <w:r w:rsidRPr="00C9343F">
        <w:fldChar w:fldCharType="end"/>
      </w:r>
    </w:p>
    <w:p w14:paraId="103578BC" w14:textId="122CB14A" w:rsidR="00271952" w:rsidRPr="00C9343F" w:rsidRDefault="00271952">
      <w:pPr>
        <w:pStyle w:val="TOC5"/>
        <w:rPr>
          <w:rFonts w:asciiTheme="minorHAnsi" w:eastAsiaTheme="minorEastAsia" w:hAnsiTheme="minorHAnsi" w:cstheme="minorBidi"/>
          <w:sz w:val="22"/>
          <w:szCs w:val="22"/>
        </w:rPr>
      </w:pPr>
      <w:r w:rsidRPr="00C9343F">
        <w:t>5.8.4    War service leave credit</w:t>
      </w:r>
      <w:r w:rsidRPr="00C9343F">
        <w:tab/>
      </w:r>
      <w:r w:rsidRPr="00C9343F">
        <w:fldChar w:fldCharType="begin"/>
      </w:r>
      <w:r w:rsidRPr="00C9343F">
        <w:instrText xml:space="preserve"> PAGEREF _Toc105054115 \h </w:instrText>
      </w:r>
      <w:r w:rsidRPr="00C9343F">
        <w:fldChar w:fldCharType="separate"/>
      </w:r>
      <w:r w:rsidRPr="00C9343F">
        <w:t>269</w:t>
      </w:r>
      <w:r w:rsidRPr="00C9343F">
        <w:fldChar w:fldCharType="end"/>
      </w:r>
    </w:p>
    <w:p w14:paraId="6E6578AB" w14:textId="0CE71F3D" w:rsidR="00271952" w:rsidRPr="00C9343F" w:rsidRDefault="00271952">
      <w:pPr>
        <w:pStyle w:val="TOC5"/>
        <w:rPr>
          <w:rFonts w:asciiTheme="minorHAnsi" w:eastAsiaTheme="minorEastAsia" w:hAnsiTheme="minorHAnsi" w:cstheme="minorBidi"/>
          <w:sz w:val="22"/>
          <w:szCs w:val="22"/>
        </w:rPr>
      </w:pPr>
      <w:r w:rsidRPr="00C9343F">
        <w:t>5.8.5    Granting leave</w:t>
      </w:r>
      <w:r w:rsidRPr="00C9343F">
        <w:tab/>
      </w:r>
      <w:r w:rsidRPr="00C9343F">
        <w:fldChar w:fldCharType="begin"/>
      </w:r>
      <w:r w:rsidRPr="00C9343F">
        <w:instrText xml:space="preserve"> PAGEREF _Toc105054116 \h </w:instrText>
      </w:r>
      <w:r w:rsidRPr="00C9343F">
        <w:fldChar w:fldCharType="separate"/>
      </w:r>
      <w:r w:rsidRPr="00C9343F">
        <w:t>269</w:t>
      </w:r>
      <w:r w:rsidRPr="00C9343F">
        <w:fldChar w:fldCharType="end"/>
      </w:r>
    </w:p>
    <w:p w14:paraId="45D3370D" w14:textId="1FE53C6E" w:rsidR="00271952" w:rsidRPr="00C9343F" w:rsidRDefault="00271952">
      <w:pPr>
        <w:pStyle w:val="TOC5"/>
        <w:rPr>
          <w:rFonts w:asciiTheme="minorHAnsi" w:eastAsiaTheme="minorEastAsia" w:hAnsiTheme="minorHAnsi" w:cstheme="minorBidi"/>
          <w:sz w:val="22"/>
          <w:szCs w:val="22"/>
        </w:rPr>
      </w:pPr>
      <w:r w:rsidRPr="00C9343F">
        <w:t>5.8.6    War service leave and other leave</w:t>
      </w:r>
      <w:r w:rsidRPr="00C9343F">
        <w:tab/>
      </w:r>
      <w:r w:rsidRPr="00C9343F">
        <w:fldChar w:fldCharType="begin"/>
      </w:r>
      <w:r w:rsidRPr="00C9343F">
        <w:instrText xml:space="preserve"> PAGEREF _Toc105054117 \h </w:instrText>
      </w:r>
      <w:r w:rsidRPr="00C9343F">
        <w:fldChar w:fldCharType="separate"/>
      </w:r>
      <w:r w:rsidRPr="00C9343F">
        <w:t>270</w:t>
      </w:r>
      <w:r w:rsidRPr="00C9343F">
        <w:fldChar w:fldCharType="end"/>
      </w:r>
    </w:p>
    <w:p w14:paraId="52F3BC2C" w14:textId="0F8C43AB" w:rsidR="00271952" w:rsidRPr="00C9343F" w:rsidRDefault="00271952">
      <w:pPr>
        <w:pStyle w:val="TOC5"/>
        <w:rPr>
          <w:rFonts w:asciiTheme="minorHAnsi" w:eastAsiaTheme="minorEastAsia" w:hAnsiTheme="minorHAnsi" w:cstheme="minorBidi"/>
          <w:sz w:val="22"/>
          <w:szCs w:val="22"/>
        </w:rPr>
      </w:pPr>
      <w:r w:rsidRPr="00C9343F">
        <w:t>5.8.7    Debiting leave credit</w:t>
      </w:r>
      <w:r w:rsidRPr="00C9343F">
        <w:tab/>
      </w:r>
      <w:r w:rsidRPr="00C9343F">
        <w:fldChar w:fldCharType="begin"/>
      </w:r>
      <w:r w:rsidRPr="00C9343F">
        <w:instrText xml:space="preserve"> PAGEREF _Toc105054118 \h </w:instrText>
      </w:r>
      <w:r w:rsidRPr="00C9343F">
        <w:fldChar w:fldCharType="separate"/>
      </w:r>
      <w:r w:rsidRPr="00C9343F">
        <w:t>270</w:t>
      </w:r>
      <w:r w:rsidRPr="00C9343F">
        <w:fldChar w:fldCharType="end"/>
      </w:r>
    </w:p>
    <w:p w14:paraId="6B86C4A4" w14:textId="43EAD230" w:rsidR="00271952" w:rsidRPr="00C9343F" w:rsidRDefault="00271952">
      <w:pPr>
        <w:pStyle w:val="TOC5"/>
        <w:rPr>
          <w:rFonts w:asciiTheme="minorHAnsi" w:eastAsiaTheme="minorEastAsia" w:hAnsiTheme="minorHAnsi" w:cstheme="minorBidi"/>
          <w:sz w:val="22"/>
          <w:szCs w:val="22"/>
        </w:rPr>
      </w:pPr>
      <w:r w:rsidRPr="00C9343F">
        <w:t xml:space="preserve">5.8.9    Payment instead of leave </w:t>
      </w:r>
      <w:r w:rsidRPr="00C9343F">
        <w:rPr>
          <w:rFonts w:cs="Arial"/>
        </w:rPr>
        <w:t>—</w:t>
      </w:r>
      <w:r w:rsidRPr="00C9343F">
        <w:t xml:space="preserve"> during ADF service</w:t>
      </w:r>
      <w:r w:rsidRPr="00C9343F">
        <w:tab/>
      </w:r>
      <w:r w:rsidRPr="00C9343F">
        <w:fldChar w:fldCharType="begin"/>
      </w:r>
      <w:r w:rsidRPr="00C9343F">
        <w:instrText xml:space="preserve"> PAGEREF _Toc105054119 \h </w:instrText>
      </w:r>
      <w:r w:rsidRPr="00C9343F">
        <w:fldChar w:fldCharType="separate"/>
      </w:r>
      <w:r w:rsidRPr="00C9343F">
        <w:t>270</w:t>
      </w:r>
      <w:r w:rsidRPr="00C9343F">
        <w:fldChar w:fldCharType="end"/>
      </w:r>
    </w:p>
    <w:p w14:paraId="2C32AD8F" w14:textId="669A4E6C" w:rsidR="00271952" w:rsidRPr="00C9343F" w:rsidRDefault="00271952">
      <w:pPr>
        <w:pStyle w:val="TOC5"/>
        <w:rPr>
          <w:rFonts w:asciiTheme="minorHAnsi" w:eastAsiaTheme="minorEastAsia" w:hAnsiTheme="minorHAnsi" w:cstheme="minorBidi"/>
          <w:sz w:val="22"/>
          <w:szCs w:val="22"/>
        </w:rPr>
      </w:pPr>
      <w:r w:rsidRPr="00C9343F">
        <w:t xml:space="preserve">5.8.10    Payment instead of leave </w:t>
      </w:r>
      <w:r w:rsidRPr="00C9343F">
        <w:rPr>
          <w:rFonts w:cs="Arial"/>
        </w:rPr>
        <w:t>—</w:t>
      </w:r>
      <w:r w:rsidRPr="00C9343F">
        <w:t xml:space="preserve"> leaving continuous full-time service</w:t>
      </w:r>
      <w:r w:rsidRPr="00C9343F">
        <w:tab/>
      </w:r>
      <w:r w:rsidRPr="00C9343F">
        <w:fldChar w:fldCharType="begin"/>
      </w:r>
      <w:r w:rsidRPr="00C9343F">
        <w:instrText xml:space="preserve"> PAGEREF _Toc105054120 \h </w:instrText>
      </w:r>
      <w:r w:rsidRPr="00C9343F">
        <w:fldChar w:fldCharType="separate"/>
      </w:r>
      <w:r w:rsidRPr="00C9343F">
        <w:t>271</w:t>
      </w:r>
      <w:r w:rsidRPr="00C9343F">
        <w:fldChar w:fldCharType="end"/>
      </w:r>
    </w:p>
    <w:p w14:paraId="2F3902AB" w14:textId="20BD5DD1" w:rsidR="00271952" w:rsidRPr="00C9343F" w:rsidRDefault="00271952">
      <w:pPr>
        <w:pStyle w:val="TOC5"/>
        <w:rPr>
          <w:rFonts w:asciiTheme="minorHAnsi" w:eastAsiaTheme="minorEastAsia" w:hAnsiTheme="minorHAnsi" w:cstheme="minorBidi"/>
          <w:sz w:val="22"/>
          <w:szCs w:val="22"/>
        </w:rPr>
      </w:pPr>
      <w:r w:rsidRPr="00C9343F">
        <w:t>5.8.11    How to apply for war service leave</w:t>
      </w:r>
      <w:r w:rsidRPr="00C9343F">
        <w:tab/>
      </w:r>
      <w:r w:rsidRPr="00C9343F">
        <w:fldChar w:fldCharType="begin"/>
      </w:r>
      <w:r w:rsidRPr="00C9343F">
        <w:instrText xml:space="preserve"> PAGEREF _Toc105054121 \h </w:instrText>
      </w:r>
      <w:r w:rsidRPr="00C9343F">
        <w:fldChar w:fldCharType="separate"/>
      </w:r>
      <w:r w:rsidRPr="00C9343F">
        <w:t>271</w:t>
      </w:r>
      <w:r w:rsidRPr="00C9343F">
        <w:fldChar w:fldCharType="end"/>
      </w:r>
    </w:p>
    <w:p w14:paraId="39282B0B" w14:textId="671A4991" w:rsidR="00271952" w:rsidRPr="00C9343F" w:rsidRDefault="00271952">
      <w:pPr>
        <w:pStyle w:val="TOC3"/>
        <w:rPr>
          <w:rFonts w:asciiTheme="minorHAnsi" w:eastAsiaTheme="minorEastAsia" w:hAnsiTheme="minorHAnsi" w:cstheme="minorBidi"/>
          <w:b w:val="0"/>
          <w:sz w:val="22"/>
          <w:szCs w:val="22"/>
        </w:rPr>
      </w:pPr>
      <w:r w:rsidRPr="00C9343F">
        <w:t>Part 9: Other leave with pay</w:t>
      </w:r>
      <w:r w:rsidRPr="00C9343F">
        <w:tab/>
      </w:r>
      <w:r w:rsidRPr="00C9343F">
        <w:fldChar w:fldCharType="begin"/>
      </w:r>
      <w:r w:rsidRPr="00C9343F">
        <w:instrText xml:space="preserve"> PAGEREF _Toc105054122 \h </w:instrText>
      </w:r>
      <w:r w:rsidRPr="00C9343F">
        <w:fldChar w:fldCharType="separate"/>
      </w:r>
      <w:r w:rsidRPr="00C9343F">
        <w:t>272</w:t>
      </w:r>
      <w:r w:rsidRPr="00C9343F">
        <w:fldChar w:fldCharType="end"/>
      </w:r>
    </w:p>
    <w:p w14:paraId="5508256E" w14:textId="213BF471" w:rsidR="00271952" w:rsidRPr="00C9343F" w:rsidRDefault="00271952">
      <w:pPr>
        <w:pStyle w:val="TOC4"/>
        <w:rPr>
          <w:rFonts w:asciiTheme="minorHAnsi" w:eastAsiaTheme="minorEastAsia" w:hAnsiTheme="minorHAnsi" w:cstheme="minorBidi"/>
          <w:sz w:val="22"/>
          <w:szCs w:val="22"/>
        </w:rPr>
      </w:pPr>
      <w:r w:rsidRPr="00C9343F">
        <w:t>Division 1: General provisions</w:t>
      </w:r>
      <w:r w:rsidRPr="00C9343F">
        <w:tab/>
      </w:r>
      <w:r w:rsidRPr="00C9343F">
        <w:fldChar w:fldCharType="begin"/>
      </w:r>
      <w:r w:rsidRPr="00C9343F">
        <w:instrText xml:space="preserve"> PAGEREF _Toc105054123 \h </w:instrText>
      </w:r>
      <w:r w:rsidRPr="00C9343F">
        <w:fldChar w:fldCharType="separate"/>
      </w:r>
      <w:r w:rsidRPr="00C9343F">
        <w:t>272</w:t>
      </w:r>
      <w:r w:rsidRPr="00C9343F">
        <w:fldChar w:fldCharType="end"/>
      </w:r>
    </w:p>
    <w:p w14:paraId="3490BE09" w14:textId="3FD45B43" w:rsidR="00271952" w:rsidRPr="00C9343F" w:rsidRDefault="00271952">
      <w:pPr>
        <w:pStyle w:val="TOC5"/>
        <w:rPr>
          <w:rFonts w:asciiTheme="minorHAnsi" w:eastAsiaTheme="minorEastAsia" w:hAnsiTheme="minorHAnsi" w:cstheme="minorBidi"/>
          <w:sz w:val="22"/>
          <w:szCs w:val="22"/>
        </w:rPr>
      </w:pPr>
      <w:r w:rsidRPr="00C9343F">
        <w:t>5.9.3    Purpose</w:t>
      </w:r>
      <w:r w:rsidRPr="00C9343F">
        <w:tab/>
      </w:r>
      <w:r w:rsidRPr="00C9343F">
        <w:fldChar w:fldCharType="begin"/>
      </w:r>
      <w:r w:rsidRPr="00C9343F">
        <w:instrText xml:space="preserve"> PAGEREF _Toc105054124 \h </w:instrText>
      </w:r>
      <w:r w:rsidRPr="00C9343F">
        <w:fldChar w:fldCharType="separate"/>
      </w:r>
      <w:r w:rsidRPr="00C9343F">
        <w:t>272</w:t>
      </w:r>
      <w:r w:rsidRPr="00C9343F">
        <w:fldChar w:fldCharType="end"/>
      </w:r>
    </w:p>
    <w:p w14:paraId="2FD72747" w14:textId="15FE05D1" w:rsidR="00271952" w:rsidRPr="00C9343F" w:rsidRDefault="00271952">
      <w:pPr>
        <w:pStyle w:val="TOC5"/>
        <w:rPr>
          <w:rFonts w:asciiTheme="minorHAnsi" w:eastAsiaTheme="minorEastAsia" w:hAnsiTheme="minorHAnsi" w:cstheme="minorBidi"/>
          <w:sz w:val="22"/>
          <w:szCs w:val="22"/>
        </w:rPr>
      </w:pPr>
      <w:r w:rsidRPr="00C9343F">
        <w:t>5.9.4    Member this Part does not apply to</w:t>
      </w:r>
      <w:r w:rsidRPr="00C9343F">
        <w:tab/>
      </w:r>
      <w:r w:rsidRPr="00C9343F">
        <w:fldChar w:fldCharType="begin"/>
      </w:r>
      <w:r w:rsidRPr="00C9343F">
        <w:instrText xml:space="preserve"> PAGEREF _Toc105054125 \h </w:instrText>
      </w:r>
      <w:r w:rsidRPr="00C9343F">
        <w:fldChar w:fldCharType="separate"/>
      </w:r>
      <w:r w:rsidRPr="00C9343F">
        <w:t>272</w:t>
      </w:r>
      <w:r w:rsidRPr="00C9343F">
        <w:fldChar w:fldCharType="end"/>
      </w:r>
    </w:p>
    <w:p w14:paraId="6C0A979F" w14:textId="79F344D6" w:rsidR="00271952" w:rsidRPr="00C9343F" w:rsidRDefault="00271952">
      <w:pPr>
        <w:pStyle w:val="TOC5"/>
        <w:rPr>
          <w:rFonts w:asciiTheme="minorHAnsi" w:eastAsiaTheme="minorEastAsia" w:hAnsiTheme="minorHAnsi" w:cstheme="minorBidi"/>
          <w:sz w:val="22"/>
          <w:szCs w:val="22"/>
        </w:rPr>
      </w:pPr>
      <w:r w:rsidRPr="00C9343F">
        <w:t>5.9.5    Leave not to accrue under this Part</w:t>
      </w:r>
      <w:r w:rsidRPr="00C9343F">
        <w:tab/>
      </w:r>
      <w:r w:rsidRPr="00C9343F">
        <w:fldChar w:fldCharType="begin"/>
      </w:r>
      <w:r w:rsidRPr="00C9343F">
        <w:instrText xml:space="preserve"> PAGEREF _Toc105054126 \h </w:instrText>
      </w:r>
      <w:r w:rsidRPr="00C9343F">
        <w:fldChar w:fldCharType="separate"/>
      </w:r>
      <w:r w:rsidRPr="00C9343F">
        <w:t>272</w:t>
      </w:r>
      <w:r w:rsidRPr="00C9343F">
        <w:fldChar w:fldCharType="end"/>
      </w:r>
    </w:p>
    <w:p w14:paraId="6D679DE1" w14:textId="148CF30D" w:rsidR="00271952" w:rsidRPr="00C9343F" w:rsidRDefault="00271952">
      <w:pPr>
        <w:pStyle w:val="TOC5"/>
        <w:rPr>
          <w:rFonts w:asciiTheme="minorHAnsi" w:eastAsiaTheme="minorEastAsia" w:hAnsiTheme="minorHAnsi" w:cstheme="minorBidi"/>
          <w:sz w:val="22"/>
          <w:szCs w:val="22"/>
        </w:rPr>
      </w:pPr>
      <w:r w:rsidRPr="00C9343F">
        <w:t>5.9.6    Member on a flexible service determination</w:t>
      </w:r>
      <w:r w:rsidRPr="00C9343F">
        <w:tab/>
      </w:r>
      <w:r w:rsidRPr="00C9343F">
        <w:fldChar w:fldCharType="begin"/>
      </w:r>
      <w:r w:rsidRPr="00C9343F">
        <w:instrText xml:space="preserve"> PAGEREF _Toc105054127 \h </w:instrText>
      </w:r>
      <w:r w:rsidRPr="00C9343F">
        <w:fldChar w:fldCharType="separate"/>
      </w:r>
      <w:r w:rsidRPr="00C9343F">
        <w:t>272</w:t>
      </w:r>
      <w:r w:rsidRPr="00C9343F">
        <w:fldChar w:fldCharType="end"/>
      </w:r>
    </w:p>
    <w:p w14:paraId="3B20A8F7" w14:textId="3AF2AB06" w:rsidR="00271952" w:rsidRPr="00C9343F" w:rsidRDefault="00271952">
      <w:pPr>
        <w:pStyle w:val="TOC5"/>
        <w:rPr>
          <w:rFonts w:asciiTheme="minorHAnsi" w:eastAsiaTheme="minorEastAsia" w:hAnsiTheme="minorHAnsi" w:cstheme="minorBidi"/>
          <w:sz w:val="22"/>
          <w:szCs w:val="22"/>
        </w:rPr>
      </w:pPr>
      <w:r w:rsidRPr="00C9343F">
        <w:t>5.9.7    How to apply for leave</w:t>
      </w:r>
      <w:r w:rsidRPr="00C9343F">
        <w:tab/>
      </w:r>
      <w:r w:rsidRPr="00C9343F">
        <w:fldChar w:fldCharType="begin"/>
      </w:r>
      <w:r w:rsidRPr="00C9343F">
        <w:instrText xml:space="preserve"> PAGEREF _Toc105054128 \h </w:instrText>
      </w:r>
      <w:r w:rsidRPr="00C9343F">
        <w:fldChar w:fldCharType="separate"/>
      </w:r>
      <w:r w:rsidRPr="00C9343F">
        <w:t>272</w:t>
      </w:r>
      <w:r w:rsidRPr="00C9343F">
        <w:fldChar w:fldCharType="end"/>
      </w:r>
    </w:p>
    <w:p w14:paraId="6EFED8AE" w14:textId="07AC0638" w:rsidR="00271952" w:rsidRPr="00C9343F" w:rsidRDefault="00271952">
      <w:pPr>
        <w:pStyle w:val="TOC4"/>
        <w:rPr>
          <w:rFonts w:asciiTheme="minorHAnsi" w:eastAsiaTheme="minorEastAsia" w:hAnsiTheme="minorHAnsi" w:cstheme="minorBidi"/>
          <w:sz w:val="22"/>
          <w:szCs w:val="22"/>
        </w:rPr>
      </w:pPr>
      <w:r w:rsidRPr="00C9343F">
        <w:t>Division 2: Compassionate leave</w:t>
      </w:r>
      <w:r w:rsidRPr="00C9343F">
        <w:tab/>
      </w:r>
      <w:r w:rsidRPr="00C9343F">
        <w:fldChar w:fldCharType="begin"/>
      </w:r>
      <w:r w:rsidRPr="00C9343F">
        <w:instrText xml:space="preserve"> PAGEREF _Toc105054129 \h </w:instrText>
      </w:r>
      <w:r w:rsidRPr="00C9343F">
        <w:fldChar w:fldCharType="separate"/>
      </w:r>
      <w:r w:rsidRPr="00C9343F">
        <w:t>273</w:t>
      </w:r>
      <w:r w:rsidRPr="00C9343F">
        <w:fldChar w:fldCharType="end"/>
      </w:r>
    </w:p>
    <w:p w14:paraId="41CB79F5" w14:textId="2DD03EFA" w:rsidR="00271952" w:rsidRPr="00C9343F" w:rsidRDefault="00271952">
      <w:pPr>
        <w:pStyle w:val="TOC5"/>
        <w:rPr>
          <w:rFonts w:asciiTheme="minorHAnsi" w:eastAsiaTheme="minorEastAsia" w:hAnsiTheme="minorHAnsi" w:cstheme="minorBidi"/>
          <w:sz w:val="22"/>
          <w:szCs w:val="22"/>
        </w:rPr>
      </w:pPr>
      <w:r w:rsidRPr="00C9343F">
        <w:t>5.9.8    Purpose</w:t>
      </w:r>
      <w:r w:rsidRPr="00C9343F">
        <w:tab/>
      </w:r>
      <w:r w:rsidRPr="00C9343F">
        <w:fldChar w:fldCharType="begin"/>
      </w:r>
      <w:r w:rsidRPr="00C9343F">
        <w:instrText xml:space="preserve"> PAGEREF _Toc105054130 \h </w:instrText>
      </w:r>
      <w:r w:rsidRPr="00C9343F">
        <w:fldChar w:fldCharType="separate"/>
      </w:r>
      <w:r w:rsidRPr="00C9343F">
        <w:t>273</w:t>
      </w:r>
      <w:r w:rsidRPr="00C9343F">
        <w:fldChar w:fldCharType="end"/>
      </w:r>
    </w:p>
    <w:p w14:paraId="36127177" w14:textId="7AE54D7A" w:rsidR="00271952" w:rsidRPr="00C9343F" w:rsidRDefault="00271952">
      <w:pPr>
        <w:pStyle w:val="TOC5"/>
        <w:rPr>
          <w:rFonts w:asciiTheme="minorHAnsi" w:eastAsiaTheme="minorEastAsia" w:hAnsiTheme="minorHAnsi" w:cstheme="minorBidi"/>
          <w:sz w:val="22"/>
          <w:szCs w:val="22"/>
        </w:rPr>
      </w:pPr>
      <w:r w:rsidRPr="00C9343F">
        <w:t>5.9.10    Compassionate leave</w:t>
      </w:r>
      <w:r w:rsidRPr="00C9343F">
        <w:tab/>
      </w:r>
      <w:r w:rsidRPr="00C9343F">
        <w:fldChar w:fldCharType="begin"/>
      </w:r>
      <w:r w:rsidRPr="00C9343F">
        <w:instrText xml:space="preserve"> PAGEREF _Toc105054131 \h </w:instrText>
      </w:r>
      <w:r w:rsidRPr="00C9343F">
        <w:fldChar w:fldCharType="separate"/>
      </w:r>
      <w:r w:rsidRPr="00C9343F">
        <w:t>273</w:t>
      </w:r>
      <w:r w:rsidRPr="00C9343F">
        <w:fldChar w:fldCharType="end"/>
      </w:r>
    </w:p>
    <w:p w14:paraId="7C97A450" w14:textId="2EA87485" w:rsidR="00271952" w:rsidRPr="00C9343F" w:rsidRDefault="00271952">
      <w:pPr>
        <w:pStyle w:val="TOC4"/>
        <w:rPr>
          <w:rFonts w:asciiTheme="minorHAnsi" w:eastAsiaTheme="minorEastAsia" w:hAnsiTheme="minorHAnsi" w:cstheme="minorBidi"/>
          <w:sz w:val="22"/>
          <w:szCs w:val="22"/>
        </w:rPr>
      </w:pPr>
      <w:r w:rsidRPr="00C9343F">
        <w:t>Division 3: Carer's leave</w:t>
      </w:r>
      <w:r w:rsidRPr="00C9343F">
        <w:tab/>
      </w:r>
      <w:r w:rsidRPr="00C9343F">
        <w:fldChar w:fldCharType="begin"/>
      </w:r>
      <w:r w:rsidRPr="00C9343F">
        <w:instrText xml:space="preserve"> PAGEREF _Toc105054132 \h </w:instrText>
      </w:r>
      <w:r w:rsidRPr="00C9343F">
        <w:fldChar w:fldCharType="separate"/>
      </w:r>
      <w:r w:rsidRPr="00C9343F">
        <w:t>274</w:t>
      </w:r>
      <w:r w:rsidRPr="00C9343F">
        <w:fldChar w:fldCharType="end"/>
      </w:r>
    </w:p>
    <w:p w14:paraId="60879935" w14:textId="3BD6E90E" w:rsidR="00271952" w:rsidRPr="00C9343F" w:rsidRDefault="00271952">
      <w:pPr>
        <w:pStyle w:val="TOC5"/>
        <w:rPr>
          <w:rFonts w:asciiTheme="minorHAnsi" w:eastAsiaTheme="minorEastAsia" w:hAnsiTheme="minorHAnsi" w:cstheme="minorBidi"/>
          <w:sz w:val="22"/>
          <w:szCs w:val="22"/>
        </w:rPr>
      </w:pPr>
      <w:r w:rsidRPr="00C9343F">
        <w:t>5.9.11    Purpose</w:t>
      </w:r>
      <w:r w:rsidRPr="00C9343F">
        <w:tab/>
      </w:r>
      <w:r w:rsidRPr="00C9343F">
        <w:fldChar w:fldCharType="begin"/>
      </w:r>
      <w:r w:rsidRPr="00C9343F">
        <w:instrText xml:space="preserve"> PAGEREF _Toc105054133 \h </w:instrText>
      </w:r>
      <w:r w:rsidRPr="00C9343F">
        <w:fldChar w:fldCharType="separate"/>
      </w:r>
      <w:r w:rsidRPr="00C9343F">
        <w:t>274</w:t>
      </w:r>
      <w:r w:rsidRPr="00C9343F">
        <w:fldChar w:fldCharType="end"/>
      </w:r>
    </w:p>
    <w:p w14:paraId="4D0D61BE" w14:textId="35B04DD0" w:rsidR="00271952" w:rsidRPr="00C9343F" w:rsidRDefault="00271952">
      <w:pPr>
        <w:pStyle w:val="TOC5"/>
        <w:rPr>
          <w:rFonts w:asciiTheme="minorHAnsi" w:eastAsiaTheme="minorEastAsia" w:hAnsiTheme="minorHAnsi" w:cstheme="minorBidi"/>
          <w:sz w:val="22"/>
          <w:szCs w:val="22"/>
        </w:rPr>
      </w:pPr>
      <w:r w:rsidRPr="00C9343F">
        <w:t>5.9.12    Carer's leave</w:t>
      </w:r>
      <w:r w:rsidRPr="00C9343F">
        <w:tab/>
      </w:r>
      <w:r w:rsidRPr="00C9343F">
        <w:fldChar w:fldCharType="begin"/>
      </w:r>
      <w:r w:rsidRPr="00C9343F">
        <w:instrText xml:space="preserve"> PAGEREF _Toc105054134 \h </w:instrText>
      </w:r>
      <w:r w:rsidRPr="00C9343F">
        <w:fldChar w:fldCharType="separate"/>
      </w:r>
      <w:r w:rsidRPr="00C9343F">
        <w:t>274</w:t>
      </w:r>
      <w:r w:rsidRPr="00C9343F">
        <w:fldChar w:fldCharType="end"/>
      </w:r>
    </w:p>
    <w:p w14:paraId="156B878C" w14:textId="48A07BFE" w:rsidR="00271952" w:rsidRPr="00C9343F" w:rsidRDefault="00271952">
      <w:pPr>
        <w:pStyle w:val="TOC4"/>
        <w:rPr>
          <w:rFonts w:asciiTheme="minorHAnsi" w:eastAsiaTheme="minorEastAsia" w:hAnsiTheme="minorHAnsi" w:cstheme="minorBidi"/>
          <w:sz w:val="22"/>
          <w:szCs w:val="22"/>
        </w:rPr>
      </w:pPr>
      <w:r w:rsidRPr="00C9343F">
        <w:t>Division 4: Special leave for private purposes</w:t>
      </w:r>
      <w:r w:rsidRPr="00C9343F">
        <w:tab/>
      </w:r>
      <w:r w:rsidRPr="00C9343F">
        <w:fldChar w:fldCharType="begin"/>
      </w:r>
      <w:r w:rsidRPr="00C9343F">
        <w:instrText xml:space="preserve"> PAGEREF _Toc105054135 \h </w:instrText>
      </w:r>
      <w:r w:rsidRPr="00C9343F">
        <w:fldChar w:fldCharType="separate"/>
      </w:r>
      <w:r w:rsidRPr="00C9343F">
        <w:t>275</w:t>
      </w:r>
      <w:r w:rsidRPr="00C9343F">
        <w:fldChar w:fldCharType="end"/>
      </w:r>
    </w:p>
    <w:p w14:paraId="593BD150" w14:textId="16B192DB" w:rsidR="00271952" w:rsidRPr="00C9343F" w:rsidRDefault="00271952">
      <w:pPr>
        <w:pStyle w:val="TOC5"/>
        <w:rPr>
          <w:rFonts w:asciiTheme="minorHAnsi" w:eastAsiaTheme="minorEastAsia" w:hAnsiTheme="minorHAnsi" w:cstheme="minorBidi"/>
          <w:sz w:val="22"/>
          <w:szCs w:val="22"/>
        </w:rPr>
      </w:pPr>
      <w:r w:rsidRPr="00C9343F">
        <w:t>5.9.13    Member this Division applies to</w:t>
      </w:r>
      <w:r w:rsidRPr="00C9343F">
        <w:tab/>
      </w:r>
      <w:r w:rsidRPr="00C9343F">
        <w:fldChar w:fldCharType="begin"/>
      </w:r>
      <w:r w:rsidRPr="00C9343F">
        <w:instrText xml:space="preserve"> PAGEREF _Toc105054136 \h </w:instrText>
      </w:r>
      <w:r w:rsidRPr="00C9343F">
        <w:fldChar w:fldCharType="separate"/>
      </w:r>
      <w:r w:rsidRPr="00C9343F">
        <w:t>275</w:t>
      </w:r>
      <w:r w:rsidRPr="00C9343F">
        <w:fldChar w:fldCharType="end"/>
      </w:r>
    </w:p>
    <w:p w14:paraId="66D9C087" w14:textId="657A94E7" w:rsidR="00271952" w:rsidRPr="00C9343F" w:rsidRDefault="00271952">
      <w:pPr>
        <w:pStyle w:val="TOC5"/>
        <w:rPr>
          <w:rFonts w:asciiTheme="minorHAnsi" w:eastAsiaTheme="minorEastAsia" w:hAnsiTheme="minorHAnsi" w:cstheme="minorBidi"/>
          <w:sz w:val="22"/>
          <w:szCs w:val="22"/>
        </w:rPr>
      </w:pPr>
      <w:r w:rsidRPr="00C9343F">
        <w:t>5.9.14    Special leave for private purposes</w:t>
      </w:r>
      <w:r w:rsidRPr="00C9343F">
        <w:tab/>
      </w:r>
      <w:r w:rsidRPr="00C9343F">
        <w:fldChar w:fldCharType="begin"/>
      </w:r>
      <w:r w:rsidRPr="00C9343F">
        <w:instrText xml:space="preserve"> PAGEREF _Toc105054137 \h </w:instrText>
      </w:r>
      <w:r w:rsidRPr="00C9343F">
        <w:fldChar w:fldCharType="separate"/>
      </w:r>
      <w:r w:rsidRPr="00C9343F">
        <w:t>275</w:t>
      </w:r>
      <w:r w:rsidRPr="00C9343F">
        <w:fldChar w:fldCharType="end"/>
      </w:r>
    </w:p>
    <w:p w14:paraId="4ABBEC69" w14:textId="50868E02" w:rsidR="00271952" w:rsidRPr="00C9343F" w:rsidRDefault="00271952">
      <w:pPr>
        <w:pStyle w:val="TOC4"/>
        <w:rPr>
          <w:rFonts w:asciiTheme="minorHAnsi" w:eastAsiaTheme="minorEastAsia" w:hAnsiTheme="minorHAnsi" w:cstheme="minorBidi"/>
          <w:sz w:val="22"/>
          <w:szCs w:val="22"/>
        </w:rPr>
      </w:pPr>
      <w:r w:rsidRPr="00C9343F">
        <w:t>Division 5: Examination leave</w:t>
      </w:r>
      <w:r w:rsidRPr="00C9343F">
        <w:tab/>
      </w:r>
      <w:r w:rsidRPr="00C9343F">
        <w:fldChar w:fldCharType="begin"/>
      </w:r>
      <w:r w:rsidRPr="00C9343F">
        <w:instrText xml:space="preserve"> PAGEREF _Toc105054138 \h </w:instrText>
      </w:r>
      <w:r w:rsidRPr="00C9343F">
        <w:fldChar w:fldCharType="separate"/>
      </w:r>
      <w:r w:rsidRPr="00C9343F">
        <w:t>276</w:t>
      </w:r>
      <w:r w:rsidRPr="00C9343F">
        <w:fldChar w:fldCharType="end"/>
      </w:r>
    </w:p>
    <w:p w14:paraId="26694B2B" w14:textId="40AEB5AA" w:rsidR="00271952" w:rsidRPr="00C9343F" w:rsidRDefault="00271952">
      <w:pPr>
        <w:pStyle w:val="TOC5"/>
        <w:rPr>
          <w:rFonts w:asciiTheme="minorHAnsi" w:eastAsiaTheme="minorEastAsia" w:hAnsiTheme="minorHAnsi" w:cstheme="minorBidi"/>
          <w:sz w:val="22"/>
          <w:szCs w:val="22"/>
        </w:rPr>
      </w:pPr>
      <w:r w:rsidRPr="00C9343F">
        <w:t>5.9.15    Examination leave</w:t>
      </w:r>
      <w:r w:rsidRPr="00C9343F">
        <w:tab/>
      </w:r>
      <w:r w:rsidRPr="00C9343F">
        <w:fldChar w:fldCharType="begin"/>
      </w:r>
      <w:r w:rsidRPr="00C9343F">
        <w:instrText xml:space="preserve"> PAGEREF _Toc105054139 \h </w:instrText>
      </w:r>
      <w:r w:rsidRPr="00C9343F">
        <w:fldChar w:fldCharType="separate"/>
      </w:r>
      <w:r w:rsidRPr="00C9343F">
        <w:t>276</w:t>
      </w:r>
      <w:r w:rsidRPr="00C9343F">
        <w:fldChar w:fldCharType="end"/>
      </w:r>
    </w:p>
    <w:p w14:paraId="30756DFD" w14:textId="13AD0EA3" w:rsidR="00271952" w:rsidRPr="00C9343F" w:rsidRDefault="00271952">
      <w:pPr>
        <w:pStyle w:val="TOC4"/>
        <w:rPr>
          <w:rFonts w:asciiTheme="minorHAnsi" w:eastAsiaTheme="minorEastAsia" w:hAnsiTheme="minorHAnsi" w:cstheme="minorBidi"/>
          <w:sz w:val="22"/>
          <w:szCs w:val="22"/>
        </w:rPr>
      </w:pPr>
      <w:r w:rsidRPr="00C9343F">
        <w:lastRenderedPageBreak/>
        <w:t>Division 6: Travelling leave</w:t>
      </w:r>
      <w:r w:rsidRPr="00C9343F">
        <w:tab/>
      </w:r>
      <w:r w:rsidRPr="00C9343F">
        <w:fldChar w:fldCharType="begin"/>
      </w:r>
      <w:r w:rsidRPr="00C9343F">
        <w:instrText xml:space="preserve"> PAGEREF _Toc105054140 \h </w:instrText>
      </w:r>
      <w:r w:rsidRPr="00C9343F">
        <w:fldChar w:fldCharType="separate"/>
      </w:r>
      <w:r w:rsidRPr="00C9343F">
        <w:t>277</w:t>
      </w:r>
      <w:r w:rsidRPr="00C9343F">
        <w:fldChar w:fldCharType="end"/>
      </w:r>
    </w:p>
    <w:p w14:paraId="240953AF" w14:textId="6F361CF2" w:rsidR="00271952" w:rsidRPr="00C9343F" w:rsidRDefault="00271952">
      <w:pPr>
        <w:pStyle w:val="TOC5"/>
        <w:rPr>
          <w:rFonts w:asciiTheme="minorHAnsi" w:eastAsiaTheme="minorEastAsia" w:hAnsiTheme="minorHAnsi" w:cstheme="minorBidi"/>
          <w:sz w:val="22"/>
          <w:szCs w:val="22"/>
        </w:rPr>
      </w:pPr>
      <w:r w:rsidRPr="00C9343F">
        <w:t>5.9.16    Purpose</w:t>
      </w:r>
      <w:r w:rsidRPr="00C9343F">
        <w:tab/>
      </w:r>
      <w:r w:rsidRPr="00C9343F">
        <w:fldChar w:fldCharType="begin"/>
      </w:r>
      <w:r w:rsidRPr="00C9343F">
        <w:instrText xml:space="preserve"> PAGEREF _Toc105054141 \h </w:instrText>
      </w:r>
      <w:r w:rsidRPr="00C9343F">
        <w:fldChar w:fldCharType="separate"/>
      </w:r>
      <w:r w:rsidRPr="00C9343F">
        <w:t>277</w:t>
      </w:r>
      <w:r w:rsidRPr="00C9343F">
        <w:fldChar w:fldCharType="end"/>
      </w:r>
    </w:p>
    <w:p w14:paraId="14DC3313" w14:textId="2AF2E675" w:rsidR="00271952" w:rsidRPr="00C9343F" w:rsidRDefault="00271952">
      <w:pPr>
        <w:pStyle w:val="TOC5"/>
        <w:rPr>
          <w:rFonts w:asciiTheme="minorHAnsi" w:eastAsiaTheme="minorEastAsia" w:hAnsiTheme="minorHAnsi" w:cstheme="minorBidi"/>
          <w:sz w:val="22"/>
          <w:szCs w:val="22"/>
        </w:rPr>
      </w:pPr>
      <w:r w:rsidRPr="00C9343F">
        <w:t>5.9.17    Member this Division applies to</w:t>
      </w:r>
      <w:r w:rsidRPr="00C9343F">
        <w:tab/>
      </w:r>
      <w:r w:rsidRPr="00C9343F">
        <w:fldChar w:fldCharType="begin"/>
      </w:r>
      <w:r w:rsidRPr="00C9343F">
        <w:instrText xml:space="preserve"> PAGEREF _Toc105054142 \h </w:instrText>
      </w:r>
      <w:r w:rsidRPr="00C9343F">
        <w:fldChar w:fldCharType="separate"/>
      </w:r>
      <w:r w:rsidRPr="00C9343F">
        <w:t>277</w:t>
      </w:r>
      <w:r w:rsidRPr="00C9343F">
        <w:fldChar w:fldCharType="end"/>
      </w:r>
    </w:p>
    <w:p w14:paraId="5EA012DA" w14:textId="1492E637" w:rsidR="00271952" w:rsidRPr="00C9343F" w:rsidRDefault="00271952">
      <w:pPr>
        <w:pStyle w:val="TOC5"/>
        <w:rPr>
          <w:rFonts w:asciiTheme="minorHAnsi" w:eastAsiaTheme="minorEastAsia" w:hAnsiTheme="minorHAnsi" w:cstheme="minorBidi"/>
          <w:sz w:val="22"/>
          <w:szCs w:val="22"/>
        </w:rPr>
      </w:pPr>
      <w:r w:rsidRPr="00C9343F">
        <w:t>5.9.18    Benefit</w:t>
      </w:r>
      <w:r w:rsidRPr="00C9343F">
        <w:tab/>
      </w:r>
      <w:r w:rsidRPr="00C9343F">
        <w:fldChar w:fldCharType="begin"/>
      </w:r>
      <w:r w:rsidRPr="00C9343F">
        <w:instrText xml:space="preserve"> PAGEREF _Toc105054143 \h </w:instrText>
      </w:r>
      <w:r w:rsidRPr="00C9343F">
        <w:fldChar w:fldCharType="separate"/>
      </w:r>
      <w:r w:rsidRPr="00C9343F">
        <w:t>277</w:t>
      </w:r>
      <w:r w:rsidRPr="00C9343F">
        <w:fldChar w:fldCharType="end"/>
      </w:r>
    </w:p>
    <w:p w14:paraId="3E0022D1" w14:textId="5660D0F3" w:rsidR="00271952" w:rsidRPr="00C9343F" w:rsidRDefault="00271952">
      <w:pPr>
        <w:pStyle w:val="TOC4"/>
        <w:rPr>
          <w:rFonts w:asciiTheme="minorHAnsi" w:eastAsiaTheme="minorEastAsia" w:hAnsiTheme="minorHAnsi" w:cstheme="minorBidi"/>
          <w:sz w:val="22"/>
          <w:szCs w:val="22"/>
        </w:rPr>
      </w:pPr>
      <w:r w:rsidRPr="00C9343F">
        <w:t>Division 7: Pre-deployment leave</w:t>
      </w:r>
      <w:r w:rsidRPr="00C9343F">
        <w:tab/>
      </w:r>
      <w:r w:rsidRPr="00C9343F">
        <w:fldChar w:fldCharType="begin"/>
      </w:r>
      <w:r w:rsidRPr="00C9343F">
        <w:instrText xml:space="preserve"> PAGEREF _Toc105054144 \h </w:instrText>
      </w:r>
      <w:r w:rsidRPr="00C9343F">
        <w:fldChar w:fldCharType="separate"/>
      </w:r>
      <w:r w:rsidRPr="00C9343F">
        <w:t>279</w:t>
      </w:r>
      <w:r w:rsidRPr="00C9343F">
        <w:fldChar w:fldCharType="end"/>
      </w:r>
    </w:p>
    <w:p w14:paraId="26447BCD" w14:textId="623EA269" w:rsidR="00271952" w:rsidRPr="00C9343F" w:rsidRDefault="00271952">
      <w:pPr>
        <w:pStyle w:val="TOC5"/>
        <w:rPr>
          <w:rFonts w:asciiTheme="minorHAnsi" w:eastAsiaTheme="minorEastAsia" w:hAnsiTheme="minorHAnsi" w:cstheme="minorBidi"/>
          <w:sz w:val="22"/>
          <w:szCs w:val="22"/>
        </w:rPr>
      </w:pPr>
      <w:r w:rsidRPr="00C9343F">
        <w:t>5.9.19    Purpose</w:t>
      </w:r>
      <w:r w:rsidRPr="00C9343F">
        <w:tab/>
      </w:r>
      <w:r w:rsidRPr="00C9343F">
        <w:fldChar w:fldCharType="begin"/>
      </w:r>
      <w:r w:rsidRPr="00C9343F">
        <w:instrText xml:space="preserve"> PAGEREF _Toc105054145 \h </w:instrText>
      </w:r>
      <w:r w:rsidRPr="00C9343F">
        <w:fldChar w:fldCharType="separate"/>
      </w:r>
      <w:r w:rsidRPr="00C9343F">
        <w:t>279</w:t>
      </w:r>
      <w:r w:rsidRPr="00C9343F">
        <w:fldChar w:fldCharType="end"/>
      </w:r>
    </w:p>
    <w:p w14:paraId="2C4E3314" w14:textId="4D0A0489" w:rsidR="00271952" w:rsidRPr="00C9343F" w:rsidRDefault="00271952">
      <w:pPr>
        <w:pStyle w:val="TOC5"/>
        <w:rPr>
          <w:rFonts w:asciiTheme="minorHAnsi" w:eastAsiaTheme="minorEastAsia" w:hAnsiTheme="minorHAnsi" w:cstheme="minorBidi"/>
          <w:sz w:val="22"/>
          <w:szCs w:val="22"/>
        </w:rPr>
      </w:pPr>
      <w:r w:rsidRPr="00C9343F">
        <w:t>5.9.21    Benefit</w:t>
      </w:r>
      <w:r w:rsidRPr="00C9343F">
        <w:tab/>
      </w:r>
      <w:r w:rsidRPr="00C9343F">
        <w:fldChar w:fldCharType="begin"/>
      </w:r>
      <w:r w:rsidRPr="00C9343F">
        <w:instrText xml:space="preserve"> PAGEREF _Toc105054146 \h </w:instrText>
      </w:r>
      <w:r w:rsidRPr="00C9343F">
        <w:fldChar w:fldCharType="separate"/>
      </w:r>
      <w:r w:rsidRPr="00C9343F">
        <w:t>279</w:t>
      </w:r>
      <w:r w:rsidRPr="00C9343F">
        <w:fldChar w:fldCharType="end"/>
      </w:r>
    </w:p>
    <w:p w14:paraId="4F0A444E" w14:textId="5784054C" w:rsidR="00271952" w:rsidRPr="00C9343F" w:rsidRDefault="00271952">
      <w:pPr>
        <w:pStyle w:val="TOC5"/>
        <w:rPr>
          <w:rFonts w:asciiTheme="minorHAnsi" w:eastAsiaTheme="minorEastAsia" w:hAnsiTheme="minorHAnsi" w:cstheme="minorBidi"/>
          <w:sz w:val="22"/>
          <w:szCs w:val="22"/>
        </w:rPr>
      </w:pPr>
      <w:r w:rsidRPr="00C9343F">
        <w:t>5.9.22    Conditions of benefit</w:t>
      </w:r>
      <w:r w:rsidRPr="00C9343F">
        <w:tab/>
      </w:r>
      <w:r w:rsidRPr="00C9343F">
        <w:fldChar w:fldCharType="begin"/>
      </w:r>
      <w:r w:rsidRPr="00C9343F">
        <w:instrText xml:space="preserve"> PAGEREF _Toc105054147 \h </w:instrText>
      </w:r>
      <w:r w:rsidRPr="00C9343F">
        <w:fldChar w:fldCharType="separate"/>
      </w:r>
      <w:r w:rsidRPr="00C9343F">
        <w:t>279</w:t>
      </w:r>
      <w:r w:rsidRPr="00C9343F">
        <w:fldChar w:fldCharType="end"/>
      </w:r>
    </w:p>
    <w:p w14:paraId="57EB4D76" w14:textId="1B6397E2" w:rsidR="00271952" w:rsidRPr="00C9343F" w:rsidRDefault="00271952">
      <w:pPr>
        <w:pStyle w:val="TOC5"/>
        <w:rPr>
          <w:rFonts w:asciiTheme="minorHAnsi" w:eastAsiaTheme="minorEastAsia" w:hAnsiTheme="minorHAnsi" w:cstheme="minorBidi"/>
          <w:sz w:val="22"/>
          <w:szCs w:val="22"/>
        </w:rPr>
      </w:pPr>
      <w:r w:rsidRPr="00C9343F">
        <w:t>5.9.23    Member of the Reserves</w:t>
      </w:r>
      <w:r w:rsidRPr="00C9343F">
        <w:tab/>
      </w:r>
      <w:r w:rsidRPr="00C9343F">
        <w:fldChar w:fldCharType="begin"/>
      </w:r>
      <w:r w:rsidRPr="00C9343F">
        <w:instrText xml:space="preserve"> PAGEREF _Toc105054148 \h </w:instrText>
      </w:r>
      <w:r w:rsidRPr="00C9343F">
        <w:fldChar w:fldCharType="separate"/>
      </w:r>
      <w:r w:rsidRPr="00C9343F">
        <w:t>279</w:t>
      </w:r>
      <w:r w:rsidRPr="00C9343F">
        <w:fldChar w:fldCharType="end"/>
      </w:r>
    </w:p>
    <w:p w14:paraId="79077BA2" w14:textId="53A097F7" w:rsidR="00271952" w:rsidRPr="00C9343F" w:rsidRDefault="00271952">
      <w:pPr>
        <w:pStyle w:val="TOC4"/>
        <w:rPr>
          <w:rFonts w:asciiTheme="minorHAnsi" w:eastAsiaTheme="minorEastAsia" w:hAnsiTheme="minorHAnsi" w:cstheme="minorBidi"/>
          <w:sz w:val="22"/>
          <w:szCs w:val="22"/>
        </w:rPr>
      </w:pPr>
      <w:r w:rsidRPr="00C9343F">
        <w:t>Division 8: Leave to attend civilian court proceedings</w:t>
      </w:r>
      <w:r w:rsidRPr="00C9343F">
        <w:tab/>
      </w:r>
      <w:r w:rsidRPr="00C9343F">
        <w:fldChar w:fldCharType="begin"/>
      </w:r>
      <w:r w:rsidRPr="00C9343F">
        <w:instrText xml:space="preserve"> PAGEREF _Toc105054149 \h </w:instrText>
      </w:r>
      <w:r w:rsidRPr="00C9343F">
        <w:fldChar w:fldCharType="separate"/>
      </w:r>
      <w:r w:rsidRPr="00C9343F">
        <w:t>280</w:t>
      </w:r>
      <w:r w:rsidRPr="00C9343F">
        <w:fldChar w:fldCharType="end"/>
      </w:r>
    </w:p>
    <w:p w14:paraId="2F1EF8E7" w14:textId="21956ED8" w:rsidR="00271952" w:rsidRPr="00C9343F" w:rsidRDefault="00271952">
      <w:pPr>
        <w:pStyle w:val="TOC5"/>
        <w:rPr>
          <w:rFonts w:asciiTheme="minorHAnsi" w:eastAsiaTheme="minorEastAsia" w:hAnsiTheme="minorHAnsi" w:cstheme="minorBidi"/>
          <w:sz w:val="22"/>
          <w:szCs w:val="22"/>
        </w:rPr>
      </w:pPr>
      <w:r w:rsidRPr="00C9343F">
        <w:t>5.9.24    Attendance at court proceedings</w:t>
      </w:r>
      <w:r w:rsidRPr="00C9343F">
        <w:tab/>
      </w:r>
      <w:r w:rsidRPr="00C9343F">
        <w:fldChar w:fldCharType="begin"/>
      </w:r>
      <w:r w:rsidRPr="00C9343F">
        <w:instrText xml:space="preserve"> PAGEREF _Toc105054150 \h </w:instrText>
      </w:r>
      <w:r w:rsidRPr="00C9343F">
        <w:fldChar w:fldCharType="separate"/>
      </w:r>
      <w:r w:rsidRPr="00C9343F">
        <w:t>280</w:t>
      </w:r>
      <w:r w:rsidRPr="00C9343F">
        <w:fldChar w:fldCharType="end"/>
      </w:r>
    </w:p>
    <w:p w14:paraId="523F83EB" w14:textId="6057717C" w:rsidR="00271952" w:rsidRPr="00C9343F" w:rsidRDefault="00271952">
      <w:pPr>
        <w:pStyle w:val="TOC3"/>
        <w:rPr>
          <w:rFonts w:asciiTheme="minorHAnsi" w:eastAsiaTheme="minorEastAsia" w:hAnsiTheme="minorHAnsi" w:cstheme="minorBidi"/>
          <w:b w:val="0"/>
          <w:sz w:val="22"/>
          <w:szCs w:val="22"/>
        </w:rPr>
      </w:pPr>
      <w:r w:rsidRPr="00C9343F">
        <w:t>Part 10: Leave without pay</w:t>
      </w:r>
      <w:r w:rsidRPr="00C9343F">
        <w:tab/>
      </w:r>
      <w:r w:rsidRPr="00C9343F">
        <w:fldChar w:fldCharType="begin"/>
      </w:r>
      <w:r w:rsidRPr="00C9343F">
        <w:instrText xml:space="preserve"> PAGEREF _Toc105054151 \h </w:instrText>
      </w:r>
      <w:r w:rsidRPr="00C9343F">
        <w:fldChar w:fldCharType="separate"/>
      </w:r>
      <w:r w:rsidRPr="00C9343F">
        <w:t>281</w:t>
      </w:r>
      <w:r w:rsidRPr="00C9343F">
        <w:fldChar w:fldCharType="end"/>
      </w:r>
    </w:p>
    <w:p w14:paraId="69B4AB94" w14:textId="280A19ED" w:rsidR="00271952" w:rsidRPr="00C9343F" w:rsidRDefault="00271952">
      <w:pPr>
        <w:pStyle w:val="TOC5"/>
        <w:rPr>
          <w:rFonts w:asciiTheme="minorHAnsi" w:eastAsiaTheme="minorEastAsia" w:hAnsiTheme="minorHAnsi" w:cstheme="minorBidi"/>
          <w:sz w:val="22"/>
          <w:szCs w:val="22"/>
        </w:rPr>
      </w:pPr>
      <w:r w:rsidRPr="00C9343F">
        <w:t>5.10.3    Purpose</w:t>
      </w:r>
      <w:r w:rsidRPr="00C9343F">
        <w:tab/>
      </w:r>
      <w:r w:rsidRPr="00C9343F">
        <w:fldChar w:fldCharType="begin"/>
      </w:r>
      <w:r w:rsidRPr="00C9343F">
        <w:instrText xml:space="preserve"> PAGEREF _Toc105054152 \h </w:instrText>
      </w:r>
      <w:r w:rsidRPr="00C9343F">
        <w:fldChar w:fldCharType="separate"/>
      </w:r>
      <w:r w:rsidRPr="00C9343F">
        <w:t>281</w:t>
      </w:r>
      <w:r w:rsidRPr="00C9343F">
        <w:fldChar w:fldCharType="end"/>
      </w:r>
    </w:p>
    <w:p w14:paraId="53274B78" w14:textId="2E37C253" w:rsidR="00271952" w:rsidRPr="00C9343F" w:rsidRDefault="00271952">
      <w:pPr>
        <w:pStyle w:val="TOC5"/>
        <w:rPr>
          <w:rFonts w:asciiTheme="minorHAnsi" w:eastAsiaTheme="minorEastAsia" w:hAnsiTheme="minorHAnsi" w:cstheme="minorBidi"/>
          <w:sz w:val="22"/>
          <w:szCs w:val="22"/>
        </w:rPr>
      </w:pPr>
      <w:r w:rsidRPr="00C9343F">
        <w:t>5.10.4    Grant of leave without pay</w:t>
      </w:r>
      <w:r w:rsidRPr="00C9343F">
        <w:tab/>
      </w:r>
      <w:r w:rsidRPr="00C9343F">
        <w:fldChar w:fldCharType="begin"/>
      </w:r>
      <w:r w:rsidRPr="00C9343F">
        <w:instrText xml:space="preserve"> PAGEREF _Toc105054153 \h </w:instrText>
      </w:r>
      <w:r w:rsidRPr="00C9343F">
        <w:fldChar w:fldCharType="separate"/>
      </w:r>
      <w:r w:rsidRPr="00C9343F">
        <w:t>281</w:t>
      </w:r>
      <w:r w:rsidRPr="00C9343F">
        <w:fldChar w:fldCharType="end"/>
      </w:r>
    </w:p>
    <w:p w14:paraId="25871A5B" w14:textId="4A028353" w:rsidR="00271952" w:rsidRPr="00C9343F" w:rsidRDefault="00271952">
      <w:pPr>
        <w:pStyle w:val="TOC5"/>
        <w:rPr>
          <w:rFonts w:asciiTheme="minorHAnsi" w:eastAsiaTheme="minorEastAsia" w:hAnsiTheme="minorHAnsi" w:cstheme="minorBidi"/>
          <w:sz w:val="22"/>
          <w:szCs w:val="22"/>
        </w:rPr>
      </w:pPr>
      <w:r w:rsidRPr="00C9343F">
        <w:t>5.10.5    Leave without pay to accompany spouse or partner on posting</w:t>
      </w:r>
      <w:r w:rsidRPr="00C9343F">
        <w:tab/>
      </w:r>
      <w:r w:rsidRPr="00C9343F">
        <w:fldChar w:fldCharType="begin"/>
      </w:r>
      <w:r w:rsidRPr="00C9343F">
        <w:instrText xml:space="preserve"> PAGEREF _Toc105054154 \h </w:instrText>
      </w:r>
      <w:r w:rsidRPr="00C9343F">
        <w:fldChar w:fldCharType="separate"/>
      </w:r>
      <w:r w:rsidRPr="00C9343F">
        <w:t>281</w:t>
      </w:r>
      <w:r w:rsidRPr="00C9343F">
        <w:fldChar w:fldCharType="end"/>
      </w:r>
    </w:p>
    <w:p w14:paraId="4B0ACDC7" w14:textId="1ABFBB6C" w:rsidR="00271952" w:rsidRPr="00C9343F" w:rsidRDefault="00271952">
      <w:pPr>
        <w:pStyle w:val="TOC5"/>
        <w:rPr>
          <w:rFonts w:asciiTheme="minorHAnsi" w:eastAsiaTheme="minorEastAsia" w:hAnsiTheme="minorHAnsi" w:cstheme="minorBidi"/>
          <w:sz w:val="22"/>
          <w:szCs w:val="22"/>
        </w:rPr>
      </w:pPr>
      <w:r w:rsidRPr="00C9343F">
        <w:t>5.10.6    Allowances during leave without pay</w:t>
      </w:r>
      <w:r w:rsidRPr="00C9343F">
        <w:tab/>
      </w:r>
      <w:r w:rsidRPr="00C9343F">
        <w:fldChar w:fldCharType="begin"/>
      </w:r>
      <w:r w:rsidRPr="00C9343F">
        <w:instrText xml:space="preserve"> PAGEREF _Toc105054155 \h </w:instrText>
      </w:r>
      <w:r w:rsidRPr="00C9343F">
        <w:fldChar w:fldCharType="separate"/>
      </w:r>
      <w:r w:rsidRPr="00C9343F">
        <w:t>282</w:t>
      </w:r>
      <w:r w:rsidRPr="00C9343F">
        <w:fldChar w:fldCharType="end"/>
      </w:r>
    </w:p>
    <w:p w14:paraId="78853863" w14:textId="26BAB349" w:rsidR="00271952" w:rsidRPr="00C9343F" w:rsidRDefault="00271952">
      <w:pPr>
        <w:pStyle w:val="TOC5"/>
        <w:rPr>
          <w:rFonts w:asciiTheme="minorHAnsi" w:eastAsiaTheme="minorEastAsia" w:hAnsiTheme="minorHAnsi" w:cstheme="minorBidi"/>
          <w:sz w:val="22"/>
          <w:szCs w:val="22"/>
        </w:rPr>
      </w:pPr>
      <w:r w:rsidRPr="00C9343F">
        <w:t>5.10.7    Effects on other conditions of service – summary</w:t>
      </w:r>
      <w:r w:rsidRPr="00C9343F">
        <w:tab/>
      </w:r>
      <w:r w:rsidRPr="00C9343F">
        <w:fldChar w:fldCharType="begin"/>
      </w:r>
      <w:r w:rsidRPr="00C9343F">
        <w:instrText xml:space="preserve"> PAGEREF _Toc105054156 \h </w:instrText>
      </w:r>
      <w:r w:rsidRPr="00C9343F">
        <w:fldChar w:fldCharType="separate"/>
      </w:r>
      <w:r w:rsidRPr="00C9343F">
        <w:t>282</w:t>
      </w:r>
      <w:r w:rsidRPr="00C9343F">
        <w:fldChar w:fldCharType="end"/>
      </w:r>
    </w:p>
    <w:p w14:paraId="29D119CA" w14:textId="7A00078C" w:rsidR="00271952" w:rsidRPr="00C9343F" w:rsidRDefault="00271952">
      <w:pPr>
        <w:pStyle w:val="TOC5"/>
        <w:rPr>
          <w:rFonts w:asciiTheme="minorHAnsi" w:eastAsiaTheme="minorEastAsia" w:hAnsiTheme="minorHAnsi" w:cstheme="minorBidi"/>
          <w:sz w:val="22"/>
          <w:szCs w:val="22"/>
        </w:rPr>
      </w:pPr>
      <w:r w:rsidRPr="00C9343F">
        <w:t>5.10.8    Payment of charges</w:t>
      </w:r>
      <w:r w:rsidRPr="00C9343F">
        <w:tab/>
      </w:r>
      <w:r w:rsidRPr="00C9343F">
        <w:fldChar w:fldCharType="begin"/>
      </w:r>
      <w:r w:rsidRPr="00C9343F">
        <w:instrText xml:space="preserve"> PAGEREF _Toc105054157 \h </w:instrText>
      </w:r>
      <w:r w:rsidRPr="00C9343F">
        <w:fldChar w:fldCharType="separate"/>
      </w:r>
      <w:r w:rsidRPr="00C9343F">
        <w:t>283</w:t>
      </w:r>
      <w:r w:rsidRPr="00C9343F">
        <w:fldChar w:fldCharType="end"/>
      </w:r>
    </w:p>
    <w:p w14:paraId="55D71C8B" w14:textId="4DF09D9B" w:rsidR="00271952" w:rsidRPr="00C9343F" w:rsidRDefault="00271952">
      <w:pPr>
        <w:pStyle w:val="TOC3"/>
        <w:rPr>
          <w:rFonts w:asciiTheme="minorHAnsi" w:eastAsiaTheme="minorEastAsia" w:hAnsiTheme="minorHAnsi" w:cstheme="minorBidi"/>
          <w:b w:val="0"/>
          <w:sz w:val="22"/>
          <w:szCs w:val="22"/>
        </w:rPr>
      </w:pPr>
      <w:r w:rsidRPr="00C9343F">
        <w:t>Part 11: Short absence</w:t>
      </w:r>
      <w:r w:rsidRPr="00C9343F">
        <w:tab/>
      </w:r>
      <w:r w:rsidRPr="00C9343F">
        <w:fldChar w:fldCharType="begin"/>
      </w:r>
      <w:r w:rsidRPr="00C9343F">
        <w:instrText xml:space="preserve"> PAGEREF _Toc105054158 \h </w:instrText>
      </w:r>
      <w:r w:rsidRPr="00C9343F">
        <w:fldChar w:fldCharType="separate"/>
      </w:r>
      <w:r w:rsidRPr="00C9343F">
        <w:t>284</w:t>
      </w:r>
      <w:r w:rsidRPr="00C9343F">
        <w:fldChar w:fldCharType="end"/>
      </w:r>
    </w:p>
    <w:p w14:paraId="386EE93F" w14:textId="6403E799" w:rsidR="00271952" w:rsidRPr="00C9343F" w:rsidRDefault="00271952">
      <w:pPr>
        <w:pStyle w:val="TOC4"/>
        <w:rPr>
          <w:rFonts w:asciiTheme="minorHAnsi" w:eastAsiaTheme="minorEastAsia" w:hAnsiTheme="minorHAnsi" w:cstheme="minorBidi"/>
          <w:sz w:val="22"/>
          <w:szCs w:val="22"/>
        </w:rPr>
      </w:pPr>
      <w:r w:rsidRPr="00C9343F">
        <w:t>Division 1: Short absence from duty</w:t>
      </w:r>
      <w:r w:rsidRPr="00C9343F">
        <w:tab/>
      </w:r>
      <w:r w:rsidRPr="00C9343F">
        <w:fldChar w:fldCharType="begin"/>
      </w:r>
      <w:r w:rsidRPr="00C9343F">
        <w:instrText xml:space="preserve"> PAGEREF _Toc105054159 \h </w:instrText>
      </w:r>
      <w:r w:rsidRPr="00C9343F">
        <w:fldChar w:fldCharType="separate"/>
      </w:r>
      <w:r w:rsidRPr="00C9343F">
        <w:t>284</w:t>
      </w:r>
      <w:r w:rsidRPr="00C9343F">
        <w:fldChar w:fldCharType="end"/>
      </w:r>
    </w:p>
    <w:p w14:paraId="11F6ED2E" w14:textId="49D81C17" w:rsidR="00271952" w:rsidRPr="00C9343F" w:rsidRDefault="00271952">
      <w:pPr>
        <w:pStyle w:val="TOC5"/>
        <w:rPr>
          <w:rFonts w:asciiTheme="minorHAnsi" w:eastAsiaTheme="minorEastAsia" w:hAnsiTheme="minorHAnsi" w:cstheme="minorBidi"/>
          <w:sz w:val="22"/>
          <w:szCs w:val="22"/>
        </w:rPr>
      </w:pPr>
      <w:r w:rsidRPr="00C9343F">
        <w:t>5.11.3    Purpose</w:t>
      </w:r>
      <w:r w:rsidRPr="00C9343F">
        <w:tab/>
      </w:r>
      <w:r w:rsidRPr="00C9343F">
        <w:fldChar w:fldCharType="begin"/>
      </w:r>
      <w:r w:rsidRPr="00C9343F">
        <w:instrText xml:space="preserve"> PAGEREF _Toc105054160 \h </w:instrText>
      </w:r>
      <w:r w:rsidRPr="00C9343F">
        <w:fldChar w:fldCharType="separate"/>
      </w:r>
      <w:r w:rsidRPr="00C9343F">
        <w:t>284</w:t>
      </w:r>
      <w:r w:rsidRPr="00C9343F">
        <w:fldChar w:fldCharType="end"/>
      </w:r>
    </w:p>
    <w:p w14:paraId="48F5C8A4" w14:textId="0F030F20" w:rsidR="00271952" w:rsidRPr="00C9343F" w:rsidRDefault="00271952">
      <w:pPr>
        <w:pStyle w:val="TOC5"/>
        <w:rPr>
          <w:rFonts w:asciiTheme="minorHAnsi" w:eastAsiaTheme="minorEastAsia" w:hAnsiTheme="minorHAnsi" w:cstheme="minorBidi"/>
          <w:sz w:val="22"/>
          <w:szCs w:val="22"/>
        </w:rPr>
      </w:pPr>
      <w:r w:rsidRPr="00C9343F">
        <w:t>5.11.4    Decision-maker and time limits</w:t>
      </w:r>
      <w:r w:rsidRPr="00C9343F">
        <w:tab/>
      </w:r>
      <w:r w:rsidRPr="00C9343F">
        <w:fldChar w:fldCharType="begin"/>
      </w:r>
      <w:r w:rsidRPr="00C9343F">
        <w:instrText xml:space="preserve"> PAGEREF _Toc105054161 \h </w:instrText>
      </w:r>
      <w:r w:rsidRPr="00C9343F">
        <w:fldChar w:fldCharType="separate"/>
      </w:r>
      <w:r w:rsidRPr="00C9343F">
        <w:t>284</w:t>
      </w:r>
      <w:r w:rsidRPr="00C9343F">
        <w:fldChar w:fldCharType="end"/>
      </w:r>
    </w:p>
    <w:p w14:paraId="181F07A2" w14:textId="1E380999" w:rsidR="00271952" w:rsidRPr="00C9343F" w:rsidRDefault="00271952">
      <w:pPr>
        <w:pStyle w:val="TOC5"/>
        <w:rPr>
          <w:rFonts w:asciiTheme="minorHAnsi" w:eastAsiaTheme="minorEastAsia" w:hAnsiTheme="minorHAnsi" w:cstheme="minorBidi"/>
          <w:sz w:val="22"/>
          <w:szCs w:val="22"/>
        </w:rPr>
      </w:pPr>
      <w:r w:rsidRPr="00C9343F">
        <w:t>5.11.5    Approval of absence</w:t>
      </w:r>
      <w:r w:rsidRPr="00C9343F">
        <w:tab/>
      </w:r>
      <w:r w:rsidRPr="00C9343F">
        <w:fldChar w:fldCharType="begin"/>
      </w:r>
      <w:r w:rsidRPr="00C9343F">
        <w:instrText xml:space="preserve"> PAGEREF _Toc105054162 \h </w:instrText>
      </w:r>
      <w:r w:rsidRPr="00C9343F">
        <w:fldChar w:fldCharType="separate"/>
      </w:r>
      <w:r w:rsidRPr="00C9343F">
        <w:t>284</w:t>
      </w:r>
      <w:r w:rsidRPr="00C9343F">
        <w:fldChar w:fldCharType="end"/>
      </w:r>
    </w:p>
    <w:p w14:paraId="79749356" w14:textId="77ED9A16" w:rsidR="00271952" w:rsidRPr="00C9343F" w:rsidRDefault="00271952">
      <w:pPr>
        <w:pStyle w:val="TOC5"/>
        <w:rPr>
          <w:rFonts w:asciiTheme="minorHAnsi" w:eastAsiaTheme="minorEastAsia" w:hAnsiTheme="minorHAnsi" w:cstheme="minorBidi"/>
          <w:sz w:val="22"/>
          <w:szCs w:val="22"/>
        </w:rPr>
      </w:pPr>
      <w:r w:rsidRPr="00C9343F">
        <w:t>5.11.6    Short absence from duty and additional recreation leave</w:t>
      </w:r>
      <w:r w:rsidRPr="00C9343F">
        <w:tab/>
      </w:r>
      <w:r w:rsidRPr="00C9343F">
        <w:fldChar w:fldCharType="begin"/>
      </w:r>
      <w:r w:rsidRPr="00C9343F">
        <w:instrText xml:space="preserve"> PAGEREF _Toc105054163 \h </w:instrText>
      </w:r>
      <w:r w:rsidRPr="00C9343F">
        <w:fldChar w:fldCharType="separate"/>
      </w:r>
      <w:r w:rsidRPr="00C9343F">
        <w:t>285</w:t>
      </w:r>
      <w:r w:rsidRPr="00C9343F">
        <w:fldChar w:fldCharType="end"/>
      </w:r>
    </w:p>
    <w:p w14:paraId="08454102" w14:textId="7500E956" w:rsidR="00271952" w:rsidRPr="00C9343F" w:rsidRDefault="00271952">
      <w:pPr>
        <w:pStyle w:val="TOC5"/>
        <w:rPr>
          <w:rFonts w:asciiTheme="minorHAnsi" w:eastAsiaTheme="minorEastAsia" w:hAnsiTheme="minorHAnsi" w:cstheme="minorBidi"/>
          <w:sz w:val="22"/>
          <w:szCs w:val="22"/>
        </w:rPr>
      </w:pPr>
      <w:r w:rsidRPr="00C9343F">
        <w:t>5.11.7    Conditions on grant of absence</w:t>
      </w:r>
      <w:r w:rsidRPr="00C9343F">
        <w:tab/>
      </w:r>
      <w:r w:rsidRPr="00C9343F">
        <w:fldChar w:fldCharType="begin"/>
      </w:r>
      <w:r w:rsidRPr="00C9343F">
        <w:instrText xml:space="preserve"> PAGEREF _Toc105054164 \h </w:instrText>
      </w:r>
      <w:r w:rsidRPr="00C9343F">
        <w:fldChar w:fldCharType="separate"/>
      </w:r>
      <w:r w:rsidRPr="00C9343F">
        <w:t>285</w:t>
      </w:r>
      <w:r w:rsidRPr="00C9343F">
        <w:fldChar w:fldCharType="end"/>
      </w:r>
    </w:p>
    <w:p w14:paraId="63DB9974" w14:textId="2A21949D" w:rsidR="00271952" w:rsidRPr="00C9343F" w:rsidRDefault="00271952">
      <w:pPr>
        <w:pStyle w:val="TOC4"/>
        <w:rPr>
          <w:rFonts w:asciiTheme="minorHAnsi" w:eastAsiaTheme="minorEastAsia" w:hAnsiTheme="minorHAnsi" w:cstheme="minorBidi"/>
          <w:sz w:val="22"/>
          <w:szCs w:val="22"/>
        </w:rPr>
      </w:pPr>
      <w:r w:rsidRPr="00C9343F">
        <w:t>Division 2: Short absence for removal purposes</w:t>
      </w:r>
      <w:r w:rsidRPr="00C9343F">
        <w:tab/>
      </w:r>
      <w:r w:rsidRPr="00C9343F">
        <w:fldChar w:fldCharType="begin"/>
      </w:r>
      <w:r w:rsidRPr="00C9343F">
        <w:instrText xml:space="preserve"> PAGEREF _Toc105054165 \h </w:instrText>
      </w:r>
      <w:r w:rsidRPr="00C9343F">
        <w:fldChar w:fldCharType="separate"/>
      </w:r>
      <w:r w:rsidRPr="00C9343F">
        <w:t>286</w:t>
      </w:r>
      <w:r w:rsidRPr="00C9343F">
        <w:fldChar w:fldCharType="end"/>
      </w:r>
    </w:p>
    <w:p w14:paraId="7A9AEC07" w14:textId="60406A24" w:rsidR="00271952" w:rsidRPr="00C9343F" w:rsidRDefault="00271952">
      <w:pPr>
        <w:pStyle w:val="TOC5"/>
        <w:rPr>
          <w:rFonts w:asciiTheme="minorHAnsi" w:eastAsiaTheme="minorEastAsia" w:hAnsiTheme="minorHAnsi" w:cstheme="minorBidi"/>
          <w:sz w:val="22"/>
          <w:szCs w:val="22"/>
        </w:rPr>
      </w:pPr>
      <w:r w:rsidRPr="00C9343F">
        <w:t>5.11.8    Purpose</w:t>
      </w:r>
      <w:r w:rsidRPr="00C9343F">
        <w:tab/>
      </w:r>
      <w:r w:rsidRPr="00C9343F">
        <w:fldChar w:fldCharType="begin"/>
      </w:r>
      <w:r w:rsidRPr="00C9343F">
        <w:instrText xml:space="preserve"> PAGEREF _Toc105054166 \h </w:instrText>
      </w:r>
      <w:r w:rsidRPr="00C9343F">
        <w:fldChar w:fldCharType="separate"/>
      </w:r>
      <w:r w:rsidRPr="00C9343F">
        <w:t>286</w:t>
      </w:r>
      <w:r w:rsidRPr="00C9343F">
        <w:fldChar w:fldCharType="end"/>
      </w:r>
    </w:p>
    <w:p w14:paraId="245DB02C" w14:textId="7E583660" w:rsidR="00271952" w:rsidRPr="00C9343F" w:rsidRDefault="00271952">
      <w:pPr>
        <w:pStyle w:val="TOC5"/>
        <w:rPr>
          <w:rFonts w:asciiTheme="minorHAnsi" w:eastAsiaTheme="minorEastAsia" w:hAnsiTheme="minorHAnsi" w:cstheme="minorBidi"/>
          <w:sz w:val="22"/>
          <w:szCs w:val="22"/>
        </w:rPr>
      </w:pPr>
      <w:r w:rsidRPr="00C9343F">
        <w:t>5.11.9    Approval of absence</w:t>
      </w:r>
      <w:r w:rsidRPr="00C9343F">
        <w:tab/>
      </w:r>
      <w:r w:rsidRPr="00C9343F">
        <w:fldChar w:fldCharType="begin"/>
      </w:r>
      <w:r w:rsidRPr="00C9343F">
        <w:instrText xml:space="preserve"> PAGEREF _Toc105054167 \h </w:instrText>
      </w:r>
      <w:r w:rsidRPr="00C9343F">
        <w:fldChar w:fldCharType="separate"/>
      </w:r>
      <w:r w:rsidRPr="00C9343F">
        <w:t>286</w:t>
      </w:r>
      <w:r w:rsidRPr="00C9343F">
        <w:fldChar w:fldCharType="end"/>
      </w:r>
    </w:p>
    <w:p w14:paraId="393C438E" w14:textId="51B5D650" w:rsidR="00271952" w:rsidRPr="00C9343F" w:rsidRDefault="00271952">
      <w:pPr>
        <w:pStyle w:val="TOC5"/>
        <w:rPr>
          <w:rFonts w:asciiTheme="minorHAnsi" w:eastAsiaTheme="minorEastAsia" w:hAnsiTheme="minorHAnsi" w:cstheme="minorBidi"/>
          <w:sz w:val="22"/>
          <w:szCs w:val="22"/>
        </w:rPr>
      </w:pPr>
      <w:r w:rsidRPr="00C9343F">
        <w:t>5.11.10  Conditions on grant of absence</w:t>
      </w:r>
      <w:r w:rsidRPr="00C9343F">
        <w:tab/>
      </w:r>
      <w:r w:rsidRPr="00C9343F">
        <w:fldChar w:fldCharType="begin"/>
      </w:r>
      <w:r w:rsidRPr="00C9343F">
        <w:instrText xml:space="preserve"> PAGEREF _Toc105054168 \h </w:instrText>
      </w:r>
      <w:r w:rsidRPr="00C9343F">
        <w:fldChar w:fldCharType="separate"/>
      </w:r>
      <w:r w:rsidRPr="00C9343F">
        <w:t>286</w:t>
      </w:r>
      <w:r w:rsidRPr="00C9343F">
        <w:fldChar w:fldCharType="end"/>
      </w:r>
    </w:p>
    <w:p w14:paraId="57F86192" w14:textId="6BBA7C96" w:rsidR="00271952" w:rsidRPr="00C9343F" w:rsidRDefault="00271952">
      <w:pPr>
        <w:pStyle w:val="TOC4"/>
        <w:rPr>
          <w:rFonts w:asciiTheme="minorHAnsi" w:eastAsiaTheme="minorEastAsia" w:hAnsiTheme="minorHAnsi" w:cstheme="minorBidi"/>
          <w:sz w:val="22"/>
          <w:szCs w:val="22"/>
        </w:rPr>
      </w:pPr>
      <w:r w:rsidRPr="00C9343F">
        <w:t>Division 3: Short absence – Infectious diseases</w:t>
      </w:r>
      <w:r w:rsidRPr="00C9343F">
        <w:tab/>
      </w:r>
      <w:r w:rsidRPr="00C9343F">
        <w:fldChar w:fldCharType="begin"/>
      </w:r>
      <w:r w:rsidRPr="00C9343F">
        <w:instrText xml:space="preserve"> PAGEREF _Toc105054169 \h </w:instrText>
      </w:r>
      <w:r w:rsidRPr="00C9343F">
        <w:fldChar w:fldCharType="separate"/>
      </w:r>
      <w:r w:rsidRPr="00C9343F">
        <w:t>287</w:t>
      </w:r>
      <w:r w:rsidRPr="00C9343F">
        <w:fldChar w:fldCharType="end"/>
      </w:r>
    </w:p>
    <w:p w14:paraId="6EC406B6" w14:textId="023BC41E" w:rsidR="00271952" w:rsidRPr="00C9343F" w:rsidRDefault="00271952">
      <w:pPr>
        <w:pStyle w:val="TOC5"/>
        <w:rPr>
          <w:rFonts w:asciiTheme="minorHAnsi" w:eastAsiaTheme="minorEastAsia" w:hAnsiTheme="minorHAnsi" w:cstheme="minorBidi"/>
          <w:sz w:val="22"/>
          <w:szCs w:val="22"/>
        </w:rPr>
      </w:pPr>
      <w:r w:rsidRPr="00C9343F">
        <w:t>5.11.11    Purpose</w:t>
      </w:r>
      <w:r w:rsidRPr="00C9343F">
        <w:tab/>
      </w:r>
      <w:r w:rsidRPr="00C9343F">
        <w:fldChar w:fldCharType="begin"/>
      </w:r>
      <w:r w:rsidRPr="00C9343F">
        <w:instrText xml:space="preserve"> PAGEREF _Toc105054170 \h </w:instrText>
      </w:r>
      <w:r w:rsidRPr="00C9343F">
        <w:fldChar w:fldCharType="separate"/>
      </w:r>
      <w:r w:rsidRPr="00C9343F">
        <w:t>287</w:t>
      </w:r>
      <w:r w:rsidRPr="00C9343F">
        <w:fldChar w:fldCharType="end"/>
      </w:r>
    </w:p>
    <w:p w14:paraId="71426ACD" w14:textId="5099D89D" w:rsidR="00271952" w:rsidRPr="00C9343F" w:rsidRDefault="00271952">
      <w:pPr>
        <w:pStyle w:val="TOC5"/>
        <w:rPr>
          <w:rFonts w:asciiTheme="minorHAnsi" w:eastAsiaTheme="minorEastAsia" w:hAnsiTheme="minorHAnsi" w:cstheme="minorBidi"/>
          <w:sz w:val="22"/>
          <w:szCs w:val="22"/>
        </w:rPr>
      </w:pPr>
      <w:r w:rsidRPr="00C9343F">
        <w:t>5.11.13    Member this Division applies to</w:t>
      </w:r>
      <w:r w:rsidRPr="00C9343F">
        <w:tab/>
      </w:r>
      <w:r w:rsidRPr="00C9343F">
        <w:fldChar w:fldCharType="begin"/>
      </w:r>
      <w:r w:rsidRPr="00C9343F">
        <w:instrText xml:space="preserve"> PAGEREF _Toc105054171 \h </w:instrText>
      </w:r>
      <w:r w:rsidRPr="00C9343F">
        <w:fldChar w:fldCharType="separate"/>
      </w:r>
      <w:r w:rsidRPr="00C9343F">
        <w:t>287</w:t>
      </w:r>
      <w:r w:rsidRPr="00C9343F">
        <w:fldChar w:fldCharType="end"/>
      </w:r>
    </w:p>
    <w:p w14:paraId="1C082FE3" w14:textId="3EDCACA3" w:rsidR="00271952" w:rsidRPr="00C9343F" w:rsidRDefault="00271952">
      <w:pPr>
        <w:pStyle w:val="TOC5"/>
        <w:rPr>
          <w:rFonts w:asciiTheme="minorHAnsi" w:eastAsiaTheme="minorEastAsia" w:hAnsiTheme="minorHAnsi" w:cstheme="minorBidi"/>
          <w:sz w:val="22"/>
          <w:szCs w:val="22"/>
        </w:rPr>
      </w:pPr>
      <w:r w:rsidRPr="00C9343F">
        <w:rPr>
          <w:bCs/>
        </w:rPr>
        <w:t>5.11.13A    Member this Division does not apply to</w:t>
      </w:r>
      <w:r w:rsidRPr="00C9343F">
        <w:tab/>
      </w:r>
      <w:r w:rsidRPr="00C9343F">
        <w:fldChar w:fldCharType="begin"/>
      </w:r>
      <w:r w:rsidRPr="00C9343F">
        <w:instrText xml:space="preserve"> PAGEREF _Toc105054172 \h </w:instrText>
      </w:r>
      <w:r w:rsidRPr="00C9343F">
        <w:fldChar w:fldCharType="separate"/>
      </w:r>
      <w:r w:rsidRPr="00C9343F">
        <w:t>287</w:t>
      </w:r>
      <w:r w:rsidRPr="00C9343F">
        <w:fldChar w:fldCharType="end"/>
      </w:r>
    </w:p>
    <w:p w14:paraId="0121E339" w14:textId="19390B44" w:rsidR="00271952" w:rsidRPr="00C9343F" w:rsidRDefault="00271952">
      <w:pPr>
        <w:pStyle w:val="TOC5"/>
        <w:rPr>
          <w:rFonts w:asciiTheme="minorHAnsi" w:eastAsiaTheme="minorEastAsia" w:hAnsiTheme="minorHAnsi" w:cstheme="minorBidi"/>
          <w:sz w:val="22"/>
          <w:szCs w:val="22"/>
        </w:rPr>
      </w:pPr>
      <w:r w:rsidRPr="00C9343F">
        <w:t>5.11.14    Short absence from duty – isolation</w:t>
      </w:r>
      <w:r w:rsidRPr="00C9343F">
        <w:tab/>
      </w:r>
      <w:r w:rsidRPr="00C9343F">
        <w:fldChar w:fldCharType="begin"/>
      </w:r>
      <w:r w:rsidRPr="00C9343F">
        <w:instrText xml:space="preserve"> PAGEREF _Toc105054173 \h </w:instrText>
      </w:r>
      <w:r w:rsidRPr="00C9343F">
        <w:fldChar w:fldCharType="separate"/>
      </w:r>
      <w:r w:rsidRPr="00C9343F">
        <w:t>287</w:t>
      </w:r>
      <w:r w:rsidRPr="00C9343F">
        <w:fldChar w:fldCharType="end"/>
      </w:r>
    </w:p>
    <w:p w14:paraId="0C16A753" w14:textId="64D128F9" w:rsidR="00271952" w:rsidRPr="00C9343F" w:rsidRDefault="00271952">
      <w:pPr>
        <w:pStyle w:val="TOC5"/>
        <w:rPr>
          <w:rFonts w:asciiTheme="minorHAnsi" w:eastAsiaTheme="minorEastAsia" w:hAnsiTheme="minorHAnsi" w:cstheme="minorBidi"/>
          <w:sz w:val="22"/>
          <w:szCs w:val="22"/>
        </w:rPr>
      </w:pPr>
      <w:r w:rsidRPr="00C9343F">
        <w:t>5.11.15    Short absence from duty – supervision</w:t>
      </w:r>
      <w:r w:rsidRPr="00C9343F">
        <w:tab/>
      </w:r>
      <w:r w:rsidRPr="00C9343F">
        <w:fldChar w:fldCharType="begin"/>
      </w:r>
      <w:r w:rsidRPr="00C9343F">
        <w:instrText xml:space="preserve"> PAGEREF _Toc105054174 \h </w:instrText>
      </w:r>
      <w:r w:rsidRPr="00C9343F">
        <w:fldChar w:fldCharType="separate"/>
      </w:r>
      <w:r w:rsidRPr="00C9343F">
        <w:t>287</w:t>
      </w:r>
      <w:r w:rsidRPr="00C9343F">
        <w:fldChar w:fldCharType="end"/>
      </w:r>
    </w:p>
    <w:p w14:paraId="5C1DD5AC" w14:textId="014CB470" w:rsidR="00271952" w:rsidRPr="00C9343F" w:rsidRDefault="00271952">
      <w:pPr>
        <w:pStyle w:val="TOC4"/>
        <w:rPr>
          <w:rFonts w:asciiTheme="minorHAnsi" w:eastAsiaTheme="minorEastAsia" w:hAnsiTheme="minorHAnsi" w:cstheme="minorBidi"/>
          <w:sz w:val="22"/>
          <w:szCs w:val="22"/>
        </w:rPr>
      </w:pPr>
      <w:r w:rsidRPr="00C9343F">
        <w:lastRenderedPageBreak/>
        <w:t>Division 4: Short absence – supervision of children</w:t>
      </w:r>
      <w:r w:rsidRPr="00C9343F">
        <w:tab/>
      </w:r>
      <w:r w:rsidRPr="00C9343F">
        <w:fldChar w:fldCharType="begin"/>
      </w:r>
      <w:r w:rsidRPr="00C9343F">
        <w:instrText xml:space="preserve"> PAGEREF _Toc105054175 \h </w:instrText>
      </w:r>
      <w:r w:rsidRPr="00C9343F">
        <w:fldChar w:fldCharType="separate"/>
      </w:r>
      <w:r w:rsidRPr="00C9343F">
        <w:t>288</w:t>
      </w:r>
      <w:r w:rsidRPr="00C9343F">
        <w:fldChar w:fldCharType="end"/>
      </w:r>
    </w:p>
    <w:p w14:paraId="7F9B0780" w14:textId="3B136BCA" w:rsidR="00271952" w:rsidRPr="00C9343F" w:rsidRDefault="00271952">
      <w:pPr>
        <w:pStyle w:val="TOC5"/>
        <w:rPr>
          <w:rFonts w:asciiTheme="minorHAnsi" w:eastAsiaTheme="minorEastAsia" w:hAnsiTheme="minorHAnsi" w:cstheme="minorBidi"/>
          <w:sz w:val="22"/>
          <w:szCs w:val="22"/>
        </w:rPr>
      </w:pPr>
      <w:r w:rsidRPr="00C9343F">
        <w:t>5.11.16    Purpose</w:t>
      </w:r>
      <w:r w:rsidRPr="00C9343F">
        <w:tab/>
      </w:r>
      <w:r w:rsidRPr="00C9343F">
        <w:fldChar w:fldCharType="begin"/>
      </w:r>
      <w:r w:rsidRPr="00C9343F">
        <w:instrText xml:space="preserve"> PAGEREF _Toc105054176 \h </w:instrText>
      </w:r>
      <w:r w:rsidRPr="00C9343F">
        <w:fldChar w:fldCharType="separate"/>
      </w:r>
      <w:r w:rsidRPr="00C9343F">
        <w:t>288</w:t>
      </w:r>
      <w:r w:rsidRPr="00C9343F">
        <w:fldChar w:fldCharType="end"/>
      </w:r>
    </w:p>
    <w:p w14:paraId="797BC41D" w14:textId="1700A6A6" w:rsidR="00271952" w:rsidRPr="00C9343F" w:rsidRDefault="00271952">
      <w:pPr>
        <w:pStyle w:val="TOC5"/>
        <w:rPr>
          <w:rFonts w:asciiTheme="minorHAnsi" w:eastAsiaTheme="minorEastAsia" w:hAnsiTheme="minorHAnsi" w:cstheme="minorBidi"/>
          <w:sz w:val="22"/>
          <w:szCs w:val="22"/>
        </w:rPr>
      </w:pPr>
      <w:r w:rsidRPr="00C9343F">
        <w:t>5.11.16A    Definitions</w:t>
      </w:r>
      <w:r w:rsidRPr="00C9343F">
        <w:tab/>
      </w:r>
      <w:r w:rsidRPr="00C9343F">
        <w:fldChar w:fldCharType="begin"/>
      </w:r>
      <w:r w:rsidRPr="00C9343F">
        <w:instrText xml:space="preserve"> PAGEREF _Toc105054177 \h </w:instrText>
      </w:r>
      <w:r w:rsidRPr="00C9343F">
        <w:fldChar w:fldCharType="separate"/>
      </w:r>
      <w:r w:rsidRPr="00C9343F">
        <w:t>288</w:t>
      </w:r>
      <w:r w:rsidRPr="00C9343F">
        <w:fldChar w:fldCharType="end"/>
      </w:r>
    </w:p>
    <w:p w14:paraId="1C1F8E3D" w14:textId="05E0A95C" w:rsidR="00271952" w:rsidRPr="00C9343F" w:rsidRDefault="00271952">
      <w:pPr>
        <w:pStyle w:val="TOC5"/>
        <w:rPr>
          <w:rFonts w:asciiTheme="minorHAnsi" w:eastAsiaTheme="minorEastAsia" w:hAnsiTheme="minorHAnsi" w:cstheme="minorBidi"/>
          <w:sz w:val="22"/>
          <w:szCs w:val="22"/>
        </w:rPr>
      </w:pPr>
      <w:r w:rsidRPr="00C9343F">
        <w:t>5.11.17    Member this Division applies to</w:t>
      </w:r>
      <w:r w:rsidRPr="00C9343F">
        <w:tab/>
      </w:r>
      <w:r w:rsidRPr="00C9343F">
        <w:fldChar w:fldCharType="begin"/>
      </w:r>
      <w:r w:rsidRPr="00C9343F">
        <w:instrText xml:space="preserve"> PAGEREF _Toc105054178 \h </w:instrText>
      </w:r>
      <w:r w:rsidRPr="00C9343F">
        <w:fldChar w:fldCharType="separate"/>
      </w:r>
      <w:r w:rsidRPr="00C9343F">
        <w:t>288</w:t>
      </w:r>
      <w:r w:rsidRPr="00C9343F">
        <w:fldChar w:fldCharType="end"/>
      </w:r>
    </w:p>
    <w:p w14:paraId="01A07DD3" w14:textId="3B9E9580" w:rsidR="00271952" w:rsidRPr="00C9343F" w:rsidRDefault="00271952">
      <w:pPr>
        <w:pStyle w:val="TOC5"/>
        <w:rPr>
          <w:rFonts w:asciiTheme="minorHAnsi" w:eastAsiaTheme="minorEastAsia" w:hAnsiTheme="minorHAnsi" w:cstheme="minorBidi"/>
          <w:sz w:val="22"/>
          <w:szCs w:val="22"/>
        </w:rPr>
      </w:pPr>
      <w:r w:rsidRPr="00C9343F">
        <w:t xml:space="preserve">5.11.18    Short absence from duty – </w:t>
      </w:r>
      <w:r w:rsidRPr="00C9343F">
        <w:rPr>
          <w:lang w:eastAsia="en-US"/>
        </w:rPr>
        <w:t>school and child care attendance</w:t>
      </w:r>
      <w:r w:rsidRPr="00C9343F">
        <w:tab/>
      </w:r>
      <w:r w:rsidRPr="00C9343F">
        <w:fldChar w:fldCharType="begin"/>
      </w:r>
      <w:r w:rsidRPr="00C9343F">
        <w:instrText xml:space="preserve"> PAGEREF _Toc105054179 \h </w:instrText>
      </w:r>
      <w:r w:rsidRPr="00C9343F">
        <w:fldChar w:fldCharType="separate"/>
      </w:r>
      <w:r w:rsidRPr="00C9343F">
        <w:t>288</w:t>
      </w:r>
      <w:r w:rsidRPr="00C9343F">
        <w:fldChar w:fldCharType="end"/>
      </w:r>
    </w:p>
    <w:p w14:paraId="0507BBF5" w14:textId="6E584B2D" w:rsidR="00271952" w:rsidRPr="00C9343F" w:rsidRDefault="00271952">
      <w:pPr>
        <w:pStyle w:val="TOC3"/>
        <w:rPr>
          <w:rFonts w:asciiTheme="minorHAnsi" w:eastAsiaTheme="minorEastAsia" w:hAnsiTheme="minorHAnsi" w:cstheme="minorBidi"/>
          <w:b w:val="0"/>
          <w:sz w:val="22"/>
          <w:szCs w:val="22"/>
        </w:rPr>
      </w:pPr>
      <w:r w:rsidRPr="00C9343F">
        <w:t>Part 12: Public holidays – Australia</w:t>
      </w:r>
      <w:r w:rsidRPr="00C9343F">
        <w:tab/>
      </w:r>
      <w:r w:rsidRPr="00C9343F">
        <w:fldChar w:fldCharType="begin"/>
      </w:r>
      <w:r w:rsidRPr="00C9343F">
        <w:instrText xml:space="preserve"> PAGEREF _Toc105054180 \h </w:instrText>
      </w:r>
      <w:r w:rsidRPr="00C9343F">
        <w:fldChar w:fldCharType="separate"/>
      </w:r>
      <w:r w:rsidRPr="00C9343F">
        <w:t>290</w:t>
      </w:r>
      <w:r w:rsidRPr="00C9343F">
        <w:fldChar w:fldCharType="end"/>
      </w:r>
    </w:p>
    <w:p w14:paraId="14C2513E" w14:textId="23B0AA86" w:rsidR="00271952" w:rsidRPr="00C9343F" w:rsidRDefault="00271952">
      <w:pPr>
        <w:pStyle w:val="TOC5"/>
        <w:rPr>
          <w:rFonts w:asciiTheme="minorHAnsi" w:eastAsiaTheme="minorEastAsia" w:hAnsiTheme="minorHAnsi" w:cstheme="minorBidi"/>
          <w:sz w:val="22"/>
          <w:szCs w:val="22"/>
        </w:rPr>
      </w:pPr>
      <w:r w:rsidRPr="00C9343F">
        <w:t>5.12.1    Public holidays</w:t>
      </w:r>
      <w:r w:rsidRPr="00C9343F">
        <w:tab/>
      </w:r>
      <w:r w:rsidRPr="00C9343F">
        <w:fldChar w:fldCharType="begin"/>
      </w:r>
      <w:r w:rsidRPr="00C9343F">
        <w:instrText xml:space="preserve"> PAGEREF _Toc105054181 \h </w:instrText>
      </w:r>
      <w:r w:rsidRPr="00C9343F">
        <w:fldChar w:fldCharType="separate"/>
      </w:r>
      <w:r w:rsidRPr="00C9343F">
        <w:t>290</w:t>
      </w:r>
      <w:r w:rsidRPr="00C9343F">
        <w:fldChar w:fldCharType="end"/>
      </w:r>
    </w:p>
    <w:p w14:paraId="7DB36F13" w14:textId="30EC4605" w:rsidR="00271952" w:rsidRPr="00C9343F" w:rsidRDefault="00271952">
      <w:pPr>
        <w:pStyle w:val="TOC5"/>
        <w:rPr>
          <w:rFonts w:asciiTheme="minorHAnsi" w:eastAsiaTheme="minorEastAsia" w:hAnsiTheme="minorHAnsi" w:cstheme="minorBidi"/>
          <w:sz w:val="22"/>
          <w:szCs w:val="22"/>
        </w:rPr>
      </w:pPr>
      <w:r w:rsidRPr="00C9343F">
        <w:t>5.12.2    Substitution of public holidays</w:t>
      </w:r>
      <w:r w:rsidRPr="00C9343F">
        <w:tab/>
      </w:r>
      <w:r w:rsidRPr="00C9343F">
        <w:fldChar w:fldCharType="begin"/>
      </w:r>
      <w:r w:rsidRPr="00C9343F">
        <w:instrText xml:space="preserve"> PAGEREF _Toc105054182 \h </w:instrText>
      </w:r>
      <w:r w:rsidRPr="00C9343F">
        <w:fldChar w:fldCharType="separate"/>
      </w:r>
      <w:r w:rsidRPr="00C9343F">
        <w:t>290</w:t>
      </w:r>
      <w:r w:rsidRPr="00C9343F">
        <w:fldChar w:fldCharType="end"/>
      </w:r>
    </w:p>
    <w:p w14:paraId="67B92BA2" w14:textId="48342964" w:rsidR="00271952" w:rsidRPr="00C9343F" w:rsidRDefault="00271952">
      <w:pPr>
        <w:pStyle w:val="TOC5"/>
        <w:rPr>
          <w:rFonts w:asciiTheme="minorHAnsi" w:eastAsiaTheme="minorEastAsia" w:hAnsiTheme="minorHAnsi" w:cstheme="minorBidi"/>
          <w:sz w:val="22"/>
          <w:szCs w:val="22"/>
        </w:rPr>
      </w:pPr>
      <w:r w:rsidRPr="00C9343F">
        <w:t>5.12.3    Christmas stand-down</w:t>
      </w:r>
      <w:r w:rsidRPr="00C9343F">
        <w:tab/>
      </w:r>
      <w:r w:rsidRPr="00C9343F">
        <w:fldChar w:fldCharType="begin"/>
      </w:r>
      <w:r w:rsidRPr="00C9343F">
        <w:instrText xml:space="preserve"> PAGEREF _Toc105054183 \h </w:instrText>
      </w:r>
      <w:r w:rsidRPr="00C9343F">
        <w:fldChar w:fldCharType="separate"/>
      </w:r>
      <w:r w:rsidRPr="00C9343F">
        <w:t>290</w:t>
      </w:r>
      <w:r w:rsidRPr="00C9343F">
        <w:fldChar w:fldCharType="end"/>
      </w:r>
    </w:p>
    <w:p w14:paraId="45CBE24F" w14:textId="3566CB25" w:rsidR="00271952" w:rsidRPr="00C9343F" w:rsidRDefault="00271952">
      <w:pPr>
        <w:pStyle w:val="TOC3"/>
        <w:rPr>
          <w:rFonts w:asciiTheme="minorHAnsi" w:eastAsiaTheme="minorEastAsia" w:hAnsiTheme="minorHAnsi" w:cstheme="minorBidi"/>
          <w:b w:val="0"/>
          <w:sz w:val="22"/>
          <w:szCs w:val="22"/>
        </w:rPr>
      </w:pPr>
      <w:r w:rsidRPr="00C9343F">
        <w:t>Part 13: Cancellation of, or recall from, leave</w:t>
      </w:r>
      <w:r w:rsidRPr="00C9343F">
        <w:tab/>
      </w:r>
      <w:r w:rsidRPr="00C9343F">
        <w:fldChar w:fldCharType="begin"/>
      </w:r>
      <w:r w:rsidRPr="00C9343F">
        <w:instrText xml:space="preserve"> PAGEREF _Toc105054184 \h </w:instrText>
      </w:r>
      <w:r w:rsidRPr="00C9343F">
        <w:fldChar w:fldCharType="separate"/>
      </w:r>
      <w:r w:rsidRPr="00C9343F">
        <w:t>291</w:t>
      </w:r>
      <w:r w:rsidRPr="00C9343F">
        <w:fldChar w:fldCharType="end"/>
      </w:r>
    </w:p>
    <w:p w14:paraId="39B5BF3A" w14:textId="6AB958F0" w:rsidR="00271952" w:rsidRPr="00C9343F" w:rsidRDefault="00271952">
      <w:pPr>
        <w:pStyle w:val="TOC5"/>
        <w:rPr>
          <w:rFonts w:asciiTheme="minorHAnsi" w:eastAsiaTheme="minorEastAsia" w:hAnsiTheme="minorHAnsi" w:cstheme="minorBidi"/>
          <w:sz w:val="22"/>
          <w:szCs w:val="22"/>
        </w:rPr>
      </w:pPr>
      <w:r w:rsidRPr="00C9343F">
        <w:t>5.13.1    Purpose</w:t>
      </w:r>
      <w:r w:rsidRPr="00C9343F">
        <w:tab/>
      </w:r>
      <w:r w:rsidRPr="00C9343F">
        <w:fldChar w:fldCharType="begin"/>
      </w:r>
      <w:r w:rsidRPr="00C9343F">
        <w:instrText xml:space="preserve"> PAGEREF _Toc105054185 \h </w:instrText>
      </w:r>
      <w:r w:rsidRPr="00C9343F">
        <w:fldChar w:fldCharType="separate"/>
      </w:r>
      <w:r w:rsidRPr="00C9343F">
        <w:t>291</w:t>
      </w:r>
      <w:r w:rsidRPr="00C9343F">
        <w:fldChar w:fldCharType="end"/>
      </w:r>
    </w:p>
    <w:p w14:paraId="0C75D556" w14:textId="6D7EA0E2" w:rsidR="00271952" w:rsidRPr="00C9343F" w:rsidRDefault="00271952">
      <w:pPr>
        <w:pStyle w:val="TOC5"/>
        <w:rPr>
          <w:rFonts w:asciiTheme="minorHAnsi" w:eastAsiaTheme="minorEastAsia" w:hAnsiTheme="minorHAnsi" w:cstheme="minorBidi"/>
          <w:sz w:val="22"/>
          <w:szCs w:val="22"/>
        </w:rPr>
      </w:pPr>
      <w:r w:rsidRPr="00C9343F">
        <w:t>5.13.2    Basis</w:t>
      </w:r>
      <w:r w:rsidRPr="00C9343F">
        <w:tab/>
      </w:r>
      <w:r w:rsidRPr="00C9343F">
        <w:fldChar w:fldCharType="begin"/>
      </w:r>
      <w:r w:rsidRPr="00C9343F">
        <w:instrText xml:space="preserve"> PAGEREF _Toc105054186 \h </w:instrText>
      </w:r>
      <w:r w:rsidRPr="00C9343F">
        <w:fldChar w:fldCharType="separate"/>
      </w:r>
      <w:r w:rsidRPr="00C9343F">
        <w:t>291</w:t>
      </w:r>
      <w:r w:rsidRPr="00C9343F">
        <w:fldChar w:fldCharType="end"/>
      </w:r>
    </w:p>
    <w:p w14:paraId="1F85FFBD" w14:textId="1E96ED91" w:rsidR="00271952" w:rsidRPr="00C9343F" w:rsidRDefault="00271952">
      <w:pPr>
        <w:pStyle w:val="TOC5"/>
        <w:rPr>
          <w:rFonts w:asciiTheme="minorHAnsi" w:eastAsiaTheme="minorEastAsia" w:hAnsiTheme="minorHAnsi" w:cstheme="minorBidi"/>
          <w:sz w:val="22"/>
          <w:szCs w:val="22"/>
        </w:rPr>
      </w:pPr>
      <w:r w:rsidRPr="00C9343F">
        <w:t>5.13.4    Member is recalled from posting location</w:t>
      </w:r>
      <w:r w:rsidRPr="00C9343F">
        <w:tab/>
      </w:r>
      <w:r w:rsidRPr="00C9343F">
        <w:fldChar w:fldCharType="begin"/>
      </w:r>
      <w:r w:rsidRPr="00C9343F">
        <w:instrText xml:space="preserve"> PAGEREF _Toc105054187 \h </w:instrText>
      </w:r>
      <w:r w:rsidRPr="00C9343F">
        <w:fldChar w:fldCharType="separate"/>
      </w:r>
      <w:r w:rsidRPr="00C9343F">
        <w:t>291</w:t>
      </w:r>
      <w:r w:rsidRPr="00C9343F">
        <w:fldChar w:fldCharType="end"/>
      </w:r>
    </w:p>
    <w:p w14:paraId="72B0B1AD" w14:textId="444085B9" w:rsidR="00271952" w:rsidRPr="00C9343F" w:rsidRDefault="00271952">
      <w:pPr>
        <w:pStyle w:val="TOC5"/>
        <w:rPr>
          <w:rFonts w:asciiTheme="minorHAnsi" w:eastAsiaTheme="minorEastAsia" w:hAnsiTheme="minorHAnsi" w:cstheme="minorBidi"/>
          <w:sz w:val="22"/>
          <w:szCs w:val="22"/>
        </w:rPr>
      </w:pPr>
      <w:r w:rsidRPr="00C9343F">
        <w:t>5.13.5    Member is temporarily recalled from leave location</w:t>
      </w:r>
      <w:r w:rsidRPr="00C9343F">
        <w:tab/>
      </w:r>
      <w:r w:rsidRPr="00C9343F">
        <w:fldChar w:fldCharType="begin"/>
      </w:r>
      <w:r w:rsidRPr="00C9343F">
        <w:instrText xml:space="preserve"> PAGEREF _Toc105054188 \h </w:instrText>
      </w:r>
      <w:r w:rsidRPr="00C9343F">
        <w:fldChar w:fldCharType="separate"/>
      </w:r>
      <w:r w:rsidRPr="00C9343F">
        <w:t>291</w:t>
      </w:r>
      <w:r w:rsidRPr="00C9343F">
        <w:fldChar w:fldCharType="end"/>
      </w:r>
    </w:p>
    <w:p w14:paraId="7F9D26A4" w14:textId="1E661A6C" w:rsidR="00271952" w:rsidRPr="00C9343F" w:rsidRDefault="00271952">
      <w:pPr>
        <w:pStyle w:val="TOC5"/>
        <w:rPr>
          <w:rFonts w:asciiTheme="minorHAnsi" w:eastAsiaTheme="minorEastAsia" w:hAnsiTheme="minorHAnsi" w:cstheme="minorBidi"/>
          <w:sz w:val="22"/>
          <w:szCs w:val="22"/>
        </w:rPr>
      </w:pPr>
      <w:r w:rsidRPr="00C9343F">
        <w:t>5.13.6    Costs if a member is recalled from holiday location</w:t>
      </w:r>
      <w:r w:rsidRPr="00C9343F">
        <w:tab/>
      </w:r>
      <w:r w:rsidRPr="00C9343F">
        <w:fldChar w:fldCharType="begin"/>
      </w:r>
      <w:r w:rsidRPr="00C9343F">
        <w:instrText xml:space="preserve"> PAGEREF _Toc105054189 \h </w:instrText>
      </w:r>
      <w:r w:rsidRPr="00C9343F">
        <w:fldChar w:fldCharType="separate"/>
      </w:r>
      <w:r w:rsidRPr="00C9343F">
        <w:t>292</w:t>
      </w:r>
      <w:r w:rsidRPr="00C9343F">
        <w:fldChar w:fldCharType="end"/>
      </w:r>
    </w:p>
    <w:p w14:paraId="4AE057E4" w14:textId="295A66B2" w:rsidR="00271952" w:rsidRPr="00C9343F" w:rsidRDefault="00271952">
      <w:pPr>
        <w:pStyle w:val="TOC5"/>
        <w:rPr>
          <w:rFonts w:asciiTheme="minorHAnsi" w:eastAsiaTheme="minorEastAsia" w:hAnsiTheme="minorHAnsi" w:cstheme="minorBidi"/>
          <w:sz w:val="22"/>
          <w:szCs w:val="22"/>
        </w:rPr>
      </w:pPr>
      <w:r w:rsidRPr="00C9343F">
        <w:t>5.13.7    Costs if a member's leave is cancelled before it starts</w:t>
      </w:r>
      <w:r w:rsidRPr="00C9343F">
        <w:tab/>
      </w:r>
      <w:r w:rsidRPr="00C9343F">
        <w:fldChar w:fldCharType="begin"/>
      </w:r>
      <w:r w:rsidRPr="00C9343F">
        <w:instrText xml:space="preserve"> PAGEREF _Toc105054190 \h </w:instrText>
      </w:r>
      <w:r w:rsidRPr="00C9343F">
        <w:fldChar w:fldCharType="separate"/>
      </w:r>
      <w:r w:rsidRPr="00C9343F">
        <w:t>293</w:t>
      </w:r>
      <w:r w:rsidRPr="00C9343F">
        <w:fldChar w:fldCharType="end"/>
      </w:r>
    </w:p>
    <w:p w14:paraId="1B98987A" w14:textId="57C702A2" w:rsidR="00271952" w:rsidRPr="00C9343F" w:rsidRDefault="00271952">
      <w:pPr>
        <w:pStyle w:val="TOC5"/>
        <w:rPr>
          <w:rFonts w:asciiTheme="minorHAnsi" w:eastAsiaTheme="minorEastAsia" w:hAnsiTheme="minorHAnsi" w:cstheme="minorBidi"/>
          <w:sz w:val="22"/>
          <w:szCs w:val="22"/>
        </w:rPr>
      </w:pPr>
      <w:r w:rsidRPr="00C9343F">
        <w:t>5.13.8    Claiming reimbursement</w:t>
      </w:r>
      <w:r w:rsidRPr="00C9343F">
        <w:tab/>
      </w:r>
      <w:r w:rsidRPr="00C9343F">
        <w:fldChar w:fldCharType="begin"/>
      </w:r>
      <w:r w:rsidRPr="00C9343F">
        <w:instrText xml:space="preserve"> PAGEREF _Toc105054191 \h </w:instrText>
      </w:r>
      <w:r w:rsidRPr="00C9343F">
        <w:fldChar w:fldCharType="separate"/>
      </w:r>
      <w:r w:rsidRPr="00C9343F">
        <w:t>293</w:t>
      </w:r>
      <w:r w:rsidRPr="00C9343F">
        <w:fldChar w:fldCharType="end"/>
      </w:r>
    </w:p>
    <w:p w14:paraId="481E4135" w14:textId="4A09473B" w:rsidR="00271952" w:rsidRPr="00C9343F" w:rsidRDefault="00271952">
      <w:pPr>
        <w:pStyle w:val="TOC5"/>
        <w:rPr>
          <w:rFonts w:asciiTheme="minorHAnsi" w:eastAsiaTheme="minorEastAsia" w:hAnsiTheme="minorHAnsi" w:cstheme="minorBidi"/>
          <w:sz w:val="22"/>
          <w:szCs w:val="22"/>
        </w:rPr>
      </w:pPr>
      <w:r w:rsidRPr="00C9343F">
        <w:t>5.13.9    Re-credit of leave</w:t>
      </w:r>
      <w:r w:rsidRPr="00C9343F">
        <w:tab/>
      </w:r>
      <w:r w:rsidRPr="00C9343F">
        <w:fldChar w:fldCharType="begin"/>
      </w:r>
      <w:r w:rsidRPr="00C9343F">
        <w:instrText xml:space="preserve"> PAGEREF _Toc105054192 \h </w:instrText>
      </w:r>
      <w:r w:rsidRPr="00C9343F">
        <w:fldChar w:fldCharType="separate"/>
      </w:r>
      <w:r w:rsidRPr="00C9343F">
        <w:t>293</w:t>
      </w:r>
      <w:r w:rsidRPr="00C9343F">
        <w:fldChar w:fldCharType="end"/>
      </w:r>
    </w:p>
    <w:p w14:paraId="0B80791C" w14:textId="5A9FC569" w:rsidR="009D27F0" w:rsidRPr="00C9343F" w:rsidRDefault="00D00FD4" w:rsidP="00F66D98">
      <w:r w:rsidRPr="00C9343F">
        <w:rPr>
          <w:rFonts w:cs="Arial"/>
          <w:sz w:val="21"/>
          <w:szCs w:val="24"/>
        </w:rPr>
        <w:fldChar w:fldCharType="end"/>
      </w:r>
    </w:p>
    <w:p w14:paraId="5AB2E62F" w14:textId="77777777" w:rsidR="00CF5D3C" w:rsidRPr="00C9343F" w:rsidRDefault="00CF5D3C" w:rsidP="00F66D98"/>
    <w:p w14:paraId="1C359010" w14:textId="77777777" w:rsidR="00697580" w:rsidRPr="00C9343F" w:rsidRDefault="00697580" w:rsidP="00F66D98">
      <w:pPr>
        <w:pStyle w:val="BlockTextArial"/>
        <w:sectPr w:rsidR="00697580" w:rsidRPr="00C9343F" w:rsidSect="00774AD9">
          <w:headerReference w:type="even" r:id="rId14"/>
          <w:headerReference w:type="default" r:id="rId15"/>
          <w:footerReference w:type="default" r:id="rId16"/>
          <w:headerReference w:type="first" r:id="rId17"/>
          <w:pgSz w:w="11907" w:h="16840" w:code="9"/>
          <w:pgMar w:top="1134" w:right="1134" w:bottom="992" w:left="1418" w:header="720" w:footer="720" w:gutter="0"/>
          <w:pgNumType w:fmt="lowerRoman" w:start="1"/>
          <w:cols w:space="720"/>
        </w:sectPr>
      </w:pPr>
    </w:p>
    <w:p w14:paraId="4DE47A5F" w14:textId="77777777" w:rsidR="00AF060B" w:rsidRPr="00C9343F" w:rsidRDefault="00AF060B" w:rsidP="00F66D98">
      <w:pPr>
        <w:pStyle w:val="Heading2"/>
        <w:shd w:val="clear" w:color="auto" w:fill="auto"/>
        <w:tabs>
          <w:tab w:val="left" w:pos="8190"/>
        </w:tabs>
      </w:pPr>
      <w:bookmarkStart w:id="1" w:name="_Toc105053459"/>
      <w:r w:rsidRPr="00C9343F">
        <w:lastRenderedPageBreak/>
        <w:t>Chapter 1: Introduction (Required reading)</w:t>
      </w:r>
      <w:bookmarkEnd w:id="1"/>
    </w:p>
    <w:p w14:paraId="51377011" w14:textId="34E4FFC8" w:rsidR="00AF060B" w:rsidRPr="00C9343F" w:rsidRDefault="00AF060B" w:rsidP="00F66D98">
      <w:pPr>
        <w:pStyle w:val="Heading5"/>
      </w:pPr>
      <w:bookmarkStart w:id="2" w:name="_Toc105053460"/>
      <w:bookmarkStart w:id="3" w:name="bk93626111Overview"/>
      <w:bookmarkStart w:id="4" w:name="bk132502111Overview"/>
      <w:r w:rsidRPr="00C9343F">
        <w:t>1.1.1</w:t>
      </w:r>
      <w:r w:rsidR="00D94006" w:rsidRPr="00C9343F">
        <w:t>    </w:t>
      </w:r>
      <w:r w:rsidRPr="00C9343F">
        <w:t>Overview</w:t>
      </w:r>
      <w:bookmarkEnd w:id="2"/>
    </w:p>
    <w:tbl>
      <w:tblPr>
        <w:tblW w:w="0" w:type="auto"/>
        <w:tblInd w:w="113" w:type="dxa"/>
        <w:tblLayout w:type="fixed"/>
        <w:tblLook w:val="0000" w:firstRow="0" w:lastRow="0" w:firstColumn="0" w:lastColumn="0" w:noHBand="0" w:noVBand="0"/>
      </w:tblPr>
      <w:tblGrid>
        <w:gridCol w:w="992"/>
        <w:gridCol w:w="8363"/>
      </w:tblGrid>
      <w:tr w:rsidR="00AF060B" w:rsidRPr="00C9343F" w14:paraId="43AADA3E" w14:textId="77777777">
        <w:tc>
          <w:tcPr>
            <w:tcW w:w="992" w:type="dxa"/>
          </w:tcPr>
          <w:p w14:paraId="56D3290C" w14:textId="77777777" w:rsidR="00AF060B" w:rsidRPr="00C9343F" w:rsidRDefault="00AF060B" w:rsidP="00F66D98">
            <w:pPr>
              <w:pStyle w:val="BlockText-Plain"/>
              <w:jc w:val="center"/>
            </w:pPr>
          </w:p>
        </w:tc>
        <w:tc>
          <w:tcPr>
            <w:tcW w:w="8363" w:type="dxa"/>
            <w:tcBorders>
              <w:top w:val="single" w:sz="4" w:space="0" w:color="auto"/>
              <w:left w:val="single" w:sz="4" w:space="0" w:color="auto"/>
              <w:bottom w:val="single" w:sz="4" w:space="0" w:color="auto"/>
              <w:right w:val="single" w:sz="4" w:space="0" w:color="auto"/>
            </w:tcBorders>
          </w:tcPr>
          <w:p w14:paraId="7DDA8846" w14:textId="77777777" w:rsidR="00AF060B" w:rsidRPr="00C9343F" w:rsidRDefault="00AF060B" w:rsidP="00F66D98">
            <w:pPr>
              <w:pStyle w:val="BlockText-Plain"/>
            </w:pPr>
            <w:r w:rsidRPr="00C9343F">
              <w:t xml:space="preserve">This </w:t>
            </w:r>
            <w:r w:rsidR="00580C86" w:rsidRPr="00C9343F">
              <w:t>section</w:t>
            </w:r>
            <w:r w:rsidRPr="00C9343F">
              <w:t xml:space="preserve"> is reserved for publication in the </w:t>
            </w:r>
            <w:r w:rsidRPr="00C9343F">
              <w:rPr>
                <w:i/>
              </w:rPr>
              <w:t xml:space="preserve">ADF Pay and Conditions Manual </w:t>
            </w:r>
            <w:r w:rsidRPr="00C9343F">
              <w:t>of</w:t>
            </w:r>
            <w:r w:rsidRPr="00C9343F">
              <w:rPr>
                <w:i/>
              </w:rPr>
              <w:t xml:space="preserve"> </w:t>
            </w:r>
            <w:r w:rsidRPr="00C9343F">
              <w:t>an administrative description of the aims of Chapter 1.</w:t>
            </w:r>
          </w:p>
        </w:tc>
      </w:tr>
    </w:tbl>
    <w:p w14:paraId="0C835D42" w14:textId="0B4EF989" w:rsidR="00AF060B" w:rsidRPr="00C9343F" w:rsidRDefault="00AF060B" w:rsidP="004076F2">
      <w:pPr>
        <w:pStyle w:val="Heading3"/>
        <w:pageBreakBefore/>
      </w:pPr>
      <w:bookmarkStart w:id="5" w:name="_Toc105053461"/>
      <w:bookmarkEnd w:id="3"/>
      <w:bookmarkEnd w:id="4"/>
      <w:r w:rsidRPr="00C9343F">
        <w:lastRenderedPageBreak/>
        <w:t>Part 1: About this Manual</w:t>
      </w:r>
      <w:bookmarkEnd w:id="5"/>
    </w:p>
    <w:p w14:paraId="548205E1" w14:textId="77777777" w:rsidR="00D817E9" w:rsidRPr="00C9343F" w:rsidRDefault="00D817E9" w:rsidP="00D817E9">
      <w:pPr>
        <w:pStyle w:val="Heading5"/>
      </w:pPr>
      <w:bookmarkStart w:id="6" w:name="_Toc79671972"/>
      <w:bookmarkStart w:id="7" w:name="_Toc105053462"/>
      <w:bookmarkStart w:id="8" w:name="bk940121398Abbreviations"/>
      <w:bookmarkStart w:id="9" w:name="bk113735AMPurposeoftheManual"/>
      <w:bookmarkStart w:id="10" w:name="bk134418111PurposeoftheManual"/>
      <w:bookmarkStart w:id="11" w:name="bk112407AM111PurposeoftheManual"/>
      <w:bookmarkStart w:id="12" w:name="bk93634113Overview"/>
      <w:bookmarkStart w:id="13" w:name="bk134107113Overview"/>
      <w:bookmarkStart w:id="14" w:name="bk134118113Overview"/>
      <w:r w:rsidRPr="00C9343F">
        <w:t>1.1.3    Abbreviations</w:t>
      </w:r>
      <w:bookmarkEnd w:id="6"/>
      <w:bookmarkEnd w:id="7"/>
    </w:p>
    <w:tbl>
      <w:tblPr>
        <w:tblW w:w="9359" w:type="dxa"/>
        <w:tblInd w:w="113" w:type="dxa"/>
        <w:tblLayout w:type="fixed"/>
        <w:tblLook w:val="0000" w:firstRow="0" w:lastRow="0" w:firstColumn="0" w:lastColumn="0" w:noHBand="0" w:noVBand="0"/>
      </w:tblPr>
      <w:tblGrid>
        <w:gridCol w:w="992"/>
        <w:gridCol w:w="8367"/>
      </w:tblGrid>
      <w:tr w:rsidR="00D817E9" w:rsidRPr="00C9343F" w14:paraId="2C1B18BF" w14:textId="77777777" w:rsidTr="00445FEB">
        <w:tc>
          <w:tcPr>
            <w:tcW w:w="992" w:type="dxa"/>
          </w:tcPr>
          <w:p w14:paraId="1B287A1B" w14:textId="77777777" w:rsidR="00D817E9" w:rsidRPr="00C9343F" w:rsidRDefault="00D817E9" w:rsidP="00445FEB">
            <w:pPr>
              <w:pStyle w:val="BlockText-PlainNoSpacing"/>
            </w:pPr>
          </w:p>
        </w:tc>
        <w:tc>
          <w:tcPr>
            <w:tcW w:w="8367" w:type="dxa"/>
          </w:tcPr>
          <w:p w14:paraId="7AE130D3" w14:textId="7F9622A0" w:rsidR="00D817E9" w:rsidRPr="00C9343F" w:rsidRDefault="001E3591" w:rsidP="00445FEB">
            <w:pPr>
              <w:pStyle w:val="BlockText-PlainNoSpacing"/>
              <w:spacing w:before="0" w:after="200"/>
            </w:pPr>
            <w:r w:rsidRPr="00C9343F">
              <w:t>The</w:t>
            </w:r>
            <w:r w:rsidR="00D817E9" w:rsidRPr="00C9343F">
              <w:t xml:space="preserve"> following abbreviations apply in Chapters 1 to 17.</w:t>
            </w:r>
          </w:p>
        </w:tc>
      </w:tr>
      <w:tr w:rsidR="00D817E9" w:rsidRPr="00C9343F" w14:paraId="7A706288" w14:textId="77777777" w:rsidTr="00445FEB">
        <w:tc>
          <w:tcPr>
            <w:tcW w:w="992" w:type="dxa"/>
          </w:tcPr>
          <w:p w14:paraId="2691283C" w14:textId="77777777" w:rsidR="00D817E9" w:rsidRPr="00C9343F" w:rsidRDefault="00D817E9" w:rsidP="00445FEB">
            <w:pPr>
              <w:pStyle w:val="BlockText-Plain"/>
            </w:pPr>
          </w:p>
        </w:tc>
        <w:tc>
          <w:tcPr>
            <w:tcW w:w="8367" w:type="dxa"/>
          </w:tcPr>
          <w:p w14:paraId="29C15F43" w14:textId="77777777" w:rsidR="00D817E9" w:rsidRPr="00C9343F" w:rsidRDefault="00D817E9" w:rsidP="00445FEB">
            <w:pPr>
              <w:pStyle w:val="BlockText-Plain"/>
              <w:rPr>
                <w:iCs/>
              </w:rPr>
            </w:pPr>
            <w:r w:rsidRPr="00C9343F">
              <w:rPr>
                <w:b/>
              </w:rPr>
              <w:t>ADF</w:t>
            </w:r>
            <w:r w:rsidRPr="00C9343F">
              <w:t xml:space="preserve"> means the Australian Defence Force.</w:t>
            </w:r>
          </w:p>
        </w:tc>
      </w:tr>
      <w:tr w:rsidR="00D817E9" w:rsidRPr="00C9343F" w14:paraId="7169C2ED" w14:textId="77777777" w:rsidTr="00445FEB">
        <w:tc>
          <w:tcPr>
            <w:tcW w:w="992" w:type="dxa"/>
          </w:tcPr>
          <w:p w14:paraId="4480E967" w14:textId="77777777" w:rsidR="00D817E9" w:rsidRPr="00C9343F" w:rsidRDefault="00D817E9" w:rsidP="00445FEB">
            <w:pPr>
              <w:pStyle w:val="BlockText-Plain"/>
            </w:pPr>
          </w:p>
        </w:tc>
        <w:tc>
          <w:tcPr>
            <w:tcW w:w="8367" w:type="dxa"/>
          </w:tcPr>
          <w:p w14:paraId="2086E0C6" w14:textId="77777777" w:rsidR="00D817E9" w:rsidRPr="00C9343F" w:rsidRDefault="00D817E9" w:rsidP="00445FEB">
            <w:pPr>
              <w:pStyle w:val="BlockText-Plain"/>
              <w:rPr>
                <w:b/>
              </w:rPr>
            </w:pPr>
            <w:r w:rsidRPr="00C9343F">
              <w:rPr>
                <w:b/>
              </w:rPr>
              <w:t>APS</w:t>
            </w:r>
            <w:r w:rsidRPr="00C9343F">
              <w:t xml:space="preserve"> means the Australian Public Service.</w:t>
            </w:r>
          </w:p>
        </w:tc>
      </w:tr>
      <w:tr w:rsidR="00D817E9" w:rsidRPr="00C9343F" w14:paraId="6884D208" w14:textId="77777777" w:rsidTr="00445FEB">
        <w:tc>
          <w:tcPr>
            <w:tcW w:w="992" w:type="dxa"/>
          </w:tcPr>
          <w:p w14:paraId="0167E461" w14:textId="77777777" w:rsidR="00D817E9" w:rsidRPr="00C9343F" w:rsidRDefault="00D817E9" w:rsidP="00445FEB">
            <w:pPr>
              <w:pStyle w:val="BlockText-Plain"/>
            </w:pPr>
          </w:p>
        </w:tc>
        <w:tc>
          <w:tcPr>
            <w:tcW w:w="8367" w:type="dxa"/>
          </w:tcPr>
          <w:p w14:paraId="09B10E78" w14:textId="77777777" w:rsidR="00D817E9" w:rsidRPr="00C9343F" w:rsidRDefault="00D817E9" w:rsidP="00445FEB">
            <w:pPr>
              <w:pStyle w:val="BlockText-Plain"/>
              <w:rPr>
                <w:b/>
              </w:rPr>
            </w:pPr>
            <w:r w:rsidRPr="00C9343F">
              <w:rPr>
                <w:b/>
              </w:rPr>
              <w:t>CDF</w:t>
            </w:r>
            <w:r w:rsidRPr="00C9343F">
              <w:t xml:space="preserve"> means the Chief of the Defence Force.</w:t>
            </w:r>
          </w:p>
        </w:tc>
      </w:tr>
      <w:tr w:rsidR="00D817E9" w:rsidRPr="00C9343F" w14:paraId="3A5D462F" w14:textId="77777777" w:rsidTr="00445FEB">
        <w:tc>
          <w:tcPr>
            <w:tcW w:w="992" w:type="dxa"/>
          </w:tcPr>
          <w:p w14:paraId="4A7A6A57" w14:textId="77777777" w:rsidR="00D817E9" w:rsidRPr="00C9343F" w:rsidRDefault="00D817E9" w:rsidP="00445FEB">
            <w:pPr>
              <w:pStyle w:val="BlockText-Plain"/>
            </w:pPr>
          </w:p>
        </w:tc>
        <w:tc>
          <w:tcPr>
            <w:tcW w:w="8367" w:type="dxa"/>
          </w:tcPr>
          <w:p w14:paraId="554E5D47" w14:textId="503332F4" w:rsidR="00D817E9" w:rsidRPr="00C9343F" w:rsidRDefault="00D817E9" w:rsidP="00445FEB">
            <w:pPr>
              <w:pStyle w:val="BlockText-Plain"/>
              <w:rPr>
                <w:b/>
              </w:rPr>
            </w:pPr>
            <w:r w:rsidRPr="00C9343F">
              <w:rPr>
                <w:b/>
              </w:rPr>
              <w:t>DFRDB</w:t>
            </w:r>
            <w:r w:rsidRPr="00C9343F">
              <w:t xml:space="preserve"> Act means the </w:t>
            </w:r>
            <w:r w:rsidRPr="00C9343F">
              <w:rPr>
                <w:i/>
              </w:rPr>
              <w:t>Defence Force Retirement and Death Benefits Act 1973</w:t>
            </w:r>
            <w:r w:rsidRPr="00C9343F">
              <w:t>.</w:t>
            </w:r>
          </w:p>
        </w:tc>
      </w:tr>
      <w:tr w:rsidR="00D817E9" w:rsidRPr="00C9343F" w14:paraId="14EA4B8D" w14:textId="77777777" w:rsidTr="00445FEB">
        <w:tc>
          <w:tcPr>
            <w:tcW w:w="992" w:type="dxa"/>
          </w:tcPr>
          <w:p w14:paraId="275A474D" w14:textId="77777777" w:rsidR="00D817E9" w:rsidRPr="00C9343F" w:rsidRDefault="00D817E9" w:rsidP="00445FEB">
            <w:pPr>
              <w:pStyle w:val="BlockText-Plain"/>
            </w:pPr>
          </w:p>
        </w:tc>
        <w:tc>
          <w:tcPr>
            <w:tcW w:w="8367" w:type="dxa"/>
          </w:tcPr>
          <w:p w14:paraId="4D6E20BA" w14:textId="77777777" w:rsidR="00D817E9" w:rsidRPr="00C9343F" w:rsidRDefault="00D817E9" w:rsidP="00445FEB">
            <w:pPr>
              <w:pStyle w:val="BlockText-Plain"/>
              <w:rPr>
                <w:b/>
              </w:rPr>
            </w:pPr>
            <w:r w:rsidRPr="00C9343F">
              <w:rPr>
                <w:b/>
              </w:rPr>
              <w:t>DFRT</w:t>
            </w:r>
            <w:r w:rsidRPr="00C9343F">
              <w:t xml:space="preserve"> means the Defence Force Remuneration Tribunal.</w:t>
            </w:r>
          </w:p>
        </w:tc>
      </w:tr>
      <w:tr w:rsidR="00D817E9" w:rsidRPr="00C9343F" w14:paraId="10000D24" w14:textId="77777777" w:rsidTr="00445FEB">
        <w:tc>
          <w:tcPr>
            <w:tcW w:w="992" w:type="dxa"/>
          </w:tcPr>
          <w:p w14:paraId="7B611ABD" w14:textId="77777777" w:rsidR="00D817E9" w:rsidRPr="00C9343F" w:rsidRDefault="00D817E9" w:rsidP="00445FEB">
            <w:pPr>
              <w:pStyle w:val="BlockText-Plain"/>
            </w:pPr>
          </w:p>
        </w:tc>
        <w:tc>
          <w:tcPr>
            <w:tcW w:w="8367" w:type="dxa"/>
          </w:tcPr>
          <w:p w14:paraId="574BBF8B" w14:textId="77777777" w:rsidR="00D817E9" w:rsidRPr="00C9343F" w:rsidRDefault="00D817E9" w:rsidP="00445FEB">
            <w:pPr>
              <w:pStyle w:val="BlockText-Plain"/>
              <w:rPr>
                <w:b/>
              </w:rPr>
            </w:pPr>
            <w:r w:rsidRPr="00C9343F">
              <w:rPr>
                <w:b/>
              </w:rPr>
              <w:t>MSBS</w:t>
            </w:r>
            <w:r w:rsidRPr="00C9343F">
              <w:t xml:space="preserve"> means the Military Superannuation and Benefits Scheme.</w:t>
            </w:r>
          </w:p>
        </w:tc>
      </w:tr>
      <w:tr w:rsidR="00D817E9" w:rsidRPr="00C9343F" w14:paraId="4CE93700" w14:textId="77777777" w:rsidTr="00445FEB">
        <w:tc>
          <w:tcPr>
            <w:tcW w:w="992" w:type="dxa"/>
          </w:tcPr>
          <w:p w14:paraId="6D04E927" w14:textId="77777777" w:rsidR="00D817E9" w:rsidRPr="00C9343F" w:rsidRDefault="00D817E9" w:rsidP="00445FEB">
            <w:pPr>
              <w:pStyle w:val="BlockText-Plain"/>
            </w:pPr>
          </w:p>
        </w:tc>
        <w:tc>
          <w:tcPr>
            <w:tcW w:w="8367" w:type="dxa"/>
          </w:tcPr>
          <w:p w14:paraId="70717D84" w14:textId="77777777" w:rsidR="00D817E9" w:rsidRPr="00C9343F" w:rsidRDefault="00D817E9" w:rsidP="00445FEB">
            <w:pPr>
              <w:pStyle w:val="BlockText-Plain"/>
              <w:rPr>
                <w:b/>
              </w:rPr>
            </w:pPr>
            <w:r w:rsidRPr="00C9343F">
              <w:rPr>
                <w:b/>
              </w:rPr>
              <w:t>UK</w:t>
            </w:r>
            <w:r w:rsidRPr="00C9343F">
              <w:t xml:space="preserve"> means the United Kingdom.</w:t>
            </w:r>
          </w:p>
        </w:tc>
      </w:tr>
      <w:tr w:rsidR="00D817E9" w:rsidRPr="00C9343F" w14:paraId="58A14B16" w14:textId="77777777" w:rsidTr="00445FEB">
        <w:tc>
          <w:tcPr>
            <w:tcW w:w="992" w:type="dxa"/>
          </w:tcPr>
          <w:p w14:paraId="29EFD331" w14:textId="77777777" w:rsidR="00D817E9" w:rsidRPr="00C9343F" w:rsidRDefault="00D817E9" w:rsidP="00445FEB">
            <w:pPr>
              <w:pStyle w:val="BlockText-Plain"/>
            </w:pPr>
          </w:p>
        </w:tc>
        <w:tc>
          <w:tcPr>
            <w:tcW w:w="8367" w:type="dxa"/>
          </w:tcPr>
          <w:p w14:paraId="7085D09F" w14:textId="77777777" w:rsidR="00D817E9" w:rsidRPr="00C9343F" w:rsidRDefault="00D817E9" w:rsidP="00445FEB">
            <w:pPr>
              <w:pStyle w:val="BlockText-Plain"/>
            </w:pPr>
            <w:r w:rsidRPr="00C9343F">
              <w:rPr>
                <w:b/>
              </w:rPr>
              <w:t>USA</w:t>
            </w:r>
            <w:r w:rsidRPr="00C9343F">
              <w:t xml:space="preserve"> means the United States of America.</w:t>
            </w:r>
          </w:p>
        </w:tc>
      </w:tr>
      <w:tr w:rsidR="00D817E9" w:rsidRPr="00C9343F" w14:paraId="47508DFF" w14:textId="77777777" w:rsidTr="00445FEB">
        <w:tc>
          <w:tcPr>
            <w:tcW w:w="992" w:type="dxa"/>
          </w:tcPr>
          <w:p w14:paraId="3ECA776A" w14:textId="77777777" w:rsidR="00D817E9" w:rsidRPr="00C9343F" w:rsidRDefault="00D817E9" w:rsidP="00445FEB">
            <w:pPr>
              <w:pStyle w:val="BlockText-Plain"/>
            </w:pPr>
          </w:p>
        </w:tc>
        <w:tc>
          <w:tcPr>
            <w:tcW w:w="8367" w:type="dxa"/>
          </w:tcPr>
          <w:p w14:paraId="7853F0FA" w14:textId="77777777" w:rsidR="00D817E9" w:rsidRPr="00C9343F" w:rsidRDefault="00D817E9" w:rsidP="00445FEB">
            <w:pPr>
              <w:pStyle w:val="BlockText-Plain"/>
            </w:pPr>
            <w:r w:rsidRPr="00C9343F">
              <w:rPr>
                <w:b/>
              </w:rPr>
              <w:t>VCDF</w:t>
            </w:r>
            <w:r w:rsidRPr="00C9343F">
              <w:t xml:space="preserve"> means the Vice Chief of the Defence Force.</w:t>
            </w:r>
          </w:p>
        </w:tc>
      </w:tr>
    </w:tbl>
    <w:p w14:paraId="6D643609" w14:textId="5873C468" w:rsidR="00E528BA" w:rsidRPr="00C9343F" w:rsidRDefault="00AF060B" w:rsidP="00D817E9">
      <w:pPr>
        <w:pStyle w:val="Heading3"/>
        <w:pageBreakBefore/>
      </w:pPr>
      <w:bookmarkStart w:id="15" w:name="_Toc105053463"/>
      <w:bookmarkEnd w:id="8"/>
      <w:bookmarkEnd w:id="9"/>
      <w:bookmarkEnd w:id="10"/>
      <w:bookmarkEnd w:id="11"/>
      <w:bookmarkEnd w:id="12"/>
      <w:bookmarkEnd w:id="13"/>
      <w:bookmarkEnd w:id="14"/>
      <w:r w:rsidRPr="00C9343F">
        <w:lastRenderedPageBreak/>
        <w:t xml:space="preserve">Part 2: </w:t>
      </w:r>
      <w:r w:rsidR="00E528BA" w:rsidRPr="00C9343F">
        <w:t>The Defence Determination on conditions of service</w:t>
      </w:r>
      <w:bookmarkEnd w:id="15"/>
    </w:p>
    <w:p w14:paraId="3879E3C4" w14:textId="0C737549" w:rsidR="00E528BA" w:rsidRPr="00C9343F" w:rsidRDefault="00E528BA" w:rsidP="00F66D98">
      <w:pPr>
        <w:pStyle w:val="Heading5"/>
      </w:pPr>
      <w:bookmarkStart w:id="16" w:name="_Toc105053464"/>
      <w:bookmarkStart w:id="17" w:name="bk41707PM117DefenceDetermination200321g"/>
      <w:bookmarkStart w:id="18" w:name="bk32031PM128DefenceDetermination200321g"/>
      <w:bookmarkStart w:id="19" w:name="bk93703128DefenceDetermination2005XXgen"/>
      <w:bookmarkStart w:id="20" w:name="bk134151128DefenceDetermination2005XXge"/>
      <w:r w:rsidRPr="00C9343F">
        <w:t>1.2.1</w:t>
      </w:r>
      <w:r w:rsidR="00D94006" w:rsidRPr="00C9343F">
        <w:t>    </w:t>
      </w:r>
      <w:r w:rsidRPr="00C9343F">
        <w:t xml:space="preserve">Defence </w:t>
      </w:r>
      <w:r w:rsidRPr="00C9343F">
        <w:rPr>
          <w:color w:val="000000"/>
        </w:rPr>
        <w:t>Determination 201</w:t>
      </w:r>
      <w:r w:rsidR="003A4A89" w:rsidRPr="00C9343F">
        <w:rPr>
          <w:color w:val="000000"/>
        </w:rPr>
        <w:t>6</w:t>
      </w:r>
      <w:r w:rsidRPr="00C9343F">
        <w:rPr>
          <w:color w:val="000000"/>
        </w:rPr>
        <w:t>/</w:t>
      </w:r>
      <w:r w:rsidR="00315694" w:rsidRPr="00C9343F">
        <w:rPr>
          <w:color w:val="000000"/>
        </w:rPr>
        <w:t>19</w:t>
      </w:r>
      <w:r w:rsidRPr="00C9343F">
        <w:t xml:space="preserve"> – general</w:t>
      </w:r>
      <w:bookmarkEnd w:id="16"/>
    </w:p>
    <w:tbl>
      <w:tblPr>
        <w:tblW w:w="0" w:type="auto"/>
        <w:tblInd w:w="113" w:type="dxa"/>
        <w:tblLayout w:type="fixed"/>
        <w:tblLook w:val="0000" w:firstRow="0" w:lastRow="0" w:firstColumn="0" w:lastColumn="0" w:noHBand="0" w:noVBand="0"/>
      </w:tblPr>
      <w:tblGrid>
        <w:gridCol w:w="992"/>
        <w:gridCol w:w="8363"/>
      </w:tblGrid>
      <w:tr w:rsidR="00E528BA" w:rsidRPr="00C9343F" w14:paraId="02DBC584" w14:textId="77777777" w:rsidTr="00123046">
        <w:tc>
          <w:tcPr>
            <w:tcW w:w="992" w:type="dxa"/>
          </w:tcPr>
          <w:bookmarkEnd w:id="17"/>
          <w:bookmarkEnd w:id="18"/>
          <w:bookmarkEnd w:id="19"/>
          <w:bookmarkEnd w:id="20"/>
          <w:p w14:paraId="3723B0A4" w14:textId="77777777" w:rsidR="00E528BA" w:rsidRPr="00C9343F" w:rsidRDefault="00853843" w:rsidP="00F66D98">
            <w:pPr>
              <w:pStyle w:val="BlockText-Plain"/>
              <w:jc w:val="center"/>
            </w:pPr>
            <w:r w:rsidRPr="00C9343F">
              <w:t>1.</w:t>
            </w:r>
          </w:p>
        </w:tc>
        <w:tc>
          <w:tcPr>
            <w:tcW w:w="8363" w:type="dxa"/>
          </w:tcPr>
          <w:p w14:paraId="6F3C66A1" w14:textId="77777777" w:rsidR="00E528BA" w:rsidRPr="00C9343F" w:rsidRDefault="00E528BA" w:rsidP="00F66D98">
            <w:pPr>
              <w:pStyle w:val="BlockText-Plain"/>
            </w:pPr>
            <w:r w:rsidRPr="00C9343F">
              <w:rPr>
                <w:i/>
              </w:rPr>
              <w:t xml:space="preserve">Defence Determination </w:t>
            </w:r>
            <w:r w:rsidRPr="00C9343F">
              <w:rPr>
                <w:i/>
                <w:color w:val="000000"/>
              </w:rPr>
              <w:t>201</w:t>
            </w:r>
            <w:r w:rsidR="003A4A89" w:rsidRPr="00C9343F">
              <w:rPr>
                <w:i/>
                <w:color w:val="000000"/>
              </w:rPr>
              <w:t>6</w:t>
            </w:r>
            <w:r w:rsidRPr="00C9343F">
              <w:rPr>
                <w:i/>
                <w:color w:val="000000"/>
              </w:rPr>
              <w:t>/</w:t>
            </w:r>
            <w:r w:rsidR="00315694" w:rsidRPr="00C9343F">
              <w:rPr>
                <w:i/>
                <w:color w:val="000000"/>
              </w:rPr>
              <w:t>19</w:t>
            </w:r>
            <w:r w:rsidRPr="00C9343F">
              <w:rPr>
                <w:i/>
                <w:color w:val="000000"/>
              </w:rPr>
              <w:t>, Conditions</w:t>
            </w:r>
            <w:r w:rsidRPr="00C9343F">
              <w:rPr>
                <w:i/>
              </w:rPr>
              <w:t xml:space="preserve"> of service</w:t>
            </w:r>
            <w:r w:rsidRPr="00C9343F">
              <w:t>, is the main Determination authorising ADF conditions of service within Australia and overseas. It deals with a wide range of ADF conditions of service.</w:t>
            </w:r>
          </w:p>
          <w:p w14:paraId="7B3A33A2" w14:textId="77777777" w:rsidR="00E528BA" w:rsidRPr="00C9343F" w:rsidRDefault="00E528BA" w:rsidP="00F66D98">
            <w:pPr>
              <w:pStyle w:val="BlockText-Plain"/>
            </w:pPr>
            <w:r w:rsidRPr="00C9343F">
              <w:rPr>
                <w:b/>
              </w:rPr>
              <w:t>Examples:</w:t>
            </w:r>
            <w:r w:rsidRPr="00C9343F">
              <w:t xml:space="preserve"> Leave, location allowances, reimbursement to members of Service-related expenses.</w:t>
            </w:r>
          </w:p>
        </w:tc>
      </w:tr>
      <w:tr w:rsidR="00853843" w:rsidRPr="00C9343F" w14:paraId="1147FBA8" w14:textId="77777777" w:rsidTr="00123046">
        <w:tc>
          <w:tcPr>
            <w:tcW w:w="992" w:type="dxa"/>
          </w:tcPr>
          <w:p w14:paraId="44350F93" w14:textId="77777777" w:rsidR="00853843" w:rsidRPr="00C9343F" w:rsidRDefault="00853843" w:rsidP="00F66D98">
            <w:pPr>
              <w:pStyle w:val="BlockText-Plain"/>
              <w:jc w:val="center"/>
            </w:pPr>
            <w:r w:rsidRPr="00C9343F">
              <w:t>2.</w:t>
            </w:r>
          </w:p>
        </w:tc>
        <w:tc>
          <w:tcPr>
            <w:tcW w:w="8363" w:type="dxa"/>
          </w:tcPr>
          <w:p w14:paraId="42A36434" w14:textId="77777777" w:rsidR="00853843" w:rsidRPr="00C9343F" w:rsidRDefault="00853843" w:rsidP="00F66D98">
            <w:pPr>
              <w:pStyle w:val="BlockText-Plain"/>
            </w:pPr>
            <w:r w:rsidRPr="00C9343F">
              <w:t>This Determination commences on 1 July 2016.</w:t>
            </w:r>
          </w:p>
        </w:tc>
      </w:tr>
    </w:tbl>
    <w:p w14:paraId="118E0A91" w14:textId="1C2E6064" w:rsidR="00E528BA" w:rsidRPr="00C9343F" w:rsidRDefault="00E528BA" w:rsidP="00F66D98">
      <w:pPr>
        <w:pStyle w:val="Heading5"/>
      </w:pPr>
      <w:bookmarkStart w:id="21" w:name="_Toc105053465"/>
      <w:bookmarkStart w:id="22" w:name="bk41707PM119MemberthisDeterminationappl"/>
      <w:bookmarkStart w:id="23" w:name="bk32031PM1210MemberthisDeterminationapp"/>
      <w:bookmarkStart w:id="24" w:name="bk937031210MemberChapters1to17applyto"/>
      <w:bookmarkStart w:id="25" w:name="bk1341511210MemberChapters1to17applyto"/>
      <w:r w:rsidRPr="00C9343F">
        <w:t>1.2.2</w:t>
      </w:r>
      <w:r w:rsidR="00D94006" w:rsidRPr="00C9343F">
        <w:t>    </w:t>
      </w:r>
      <w:r w:rsidRPr="00C9343F">
        <w:t>Members Chapters 1 to 17 apply to</w:t>
      </w:r>
      <w:bookmarkEnd w:id="21"/>
    </w:p>
    <w:tbl>
      <w:tblPr>
        <w:tblW w:w="0" w:type="auto"/>
        <w:tblInd w:w="113" w:type="dxa"/>
        <w:tblLayout w:type="fixed"/>
        <w:tblLook w:val="0000" w:firstRow="0" w:lastRow="0" w:firstColumn="0" w:lastColumn="0" w:noHBand="0" w:noVBand="0"/>
      </w:tblPr>
      <w:tblGrid>
        <w:gridCol w:w="992"/>
        <w:gridCol w:w="567"/>
        <w:gridCol w:w="7796"/>
      </w:tblGrid>
      <w:tr w:rsidR="00E528BA" w:rsidRPr="00C9343F" w14:paraId="308A6BC2" w14:textId="77777777" w:rsidTr="00123046">
        <w:tc>
          <w:tcPr>
            <w:tcW w:w="992" w:type="dxa"/>
          </w:tcPr>
          <w:p w14:paraId="11380870" w14:textId="77777777" w:rsidR="00E528BA" w:rsidRPr="00C9343F" w:rsidRDefault="00E528BA" w:rsidP="00F66D98">
            <w:pPr>
              <w:pStyle w:val="BlockText-Plain"/>
              <w:jc w:val="center"/>
            </w:pPr>
            <w:r w:rsidRPr="00C9343F">
              <w:t>1.</w:t>
            </w:r>
          </w:p>
        </w:tc>
        <w:tc>
          <w:tcPr>
            <w:tcW w:w="8363" w:type="dxa"/>
            <w:gridSpan w:val="2"/>
          </w:tcPr>
          <w:p w14:paraId="2DA86729" w14:textId="77777777" w:rsidR="00E528BA" w:rsidRPr="00C9343F" w:rsidRDefault="00E528BA" w:rsidP="00F66D98">
            <w:pPr>
              <w:pStyle w:val="BlockText-Plain"/>
            </w:pPr>
            <w:r w:rsidRPr="00C9343F">
              <w:t xml:space="preserve">Chapter 1 (other than Part 3 Division 2) applies in relation to all ADF members, including members of the Reserves on Reserve service. Chapter 1 Part 3 Division 2 applies only to members on </w:t>
            </w:r>
            <w:r w:rsidRPr="00C9343F">
              <w:rPr>
                <w:b/>
                <w:i/>
              </w:rPr>
              <w:t>continuous full-time service</w:t>
            </w:r>
            <w:r w:rsidRPr="00C9343F">
              <w:t>, unless expressly stated otherwise.</w:t>
            </w:r>
          </w:p>
        </w:tc>
      </w:tr>
      <w:bookmarkEnd w:id="22"/>
      <w:bookmarkEnd w:id="23"/>
      <w:bookmarkEnd w:id="24"/>
      <w:bookmarkEnd w:id="25"/>
      <w:tr w:rsidR="00E528BA" w:rsidRPr="00C9343F" w14:paraId="191C5FC7" w14:textId="77777777" w:rsidTr="00123046">
        <w:tc>
          <w:tcPr>
            <w:tcW w:w="992" w:type="dxa"/>
          </w:tcPr>
          <w:p w14:paraId="4954BF7A" w14:textId="77777777" w:rsidR="00E528BA" w:rsidRPr="00C9343F" w:rsidRDefault="00E528BA" w:rsidP="00F66D98">
            <w:pPr>
              <w:pStyle w:val="BlockText-Plain"/>
              <w:jc w:val="center"/>
            </w:pPr>
            <w:r w:rsidRPr="00C9343F">
              <w:t>2.</w:t>
            </w:r>
          </w:p>
        </w:tc>
        <w:tc>
          <w:tcPr>
            <w:tcW w:w="8363" w:type="dxa"/>
            <w:gridSpan w:val="2"/>
          </w:tcPr>
          <w:p w14:paraId="53428888" w14:textId="77777777" w:rsidR="00E528BA" w:rsidRPr="00C9343F" w:rsidRDefault="00E528BA" w:rsidP="00F66D98">
            <w:pPr>
              <w:pStyle w:val="BlockText-Plain"/>
            </w:pPr>
            <w:r w:rsidRPr="00C9343F">
              <w:t>Chapters 2 to 17 apply only in relation to members on continuous full-time service. This is unless an express intention to deal with another class of person is clear.</w:t>
            </w:r>
          </w:p>
          <w:p w14:paraId="3A7CA1BF" w14:textId="77777777" w:rsidR="00E528BA" w:rsidRPr="00C9343F" w:rsidRDefault="00E528BA" w:rsidP="00F66D98">
            <w:pPr>
              <w:pStyle w:val="BlockText-Plain"/>
            </w:pPr>
            <w:r w:rsidRPr="00C9343F">
              <w:rPr>
                <w:b/>
              </w:rPr>
              <w:t>Example 1:</w:t>
            </w:r>
            <w:r w:rsidRPr="00C9343F">
              <w:t xml:space="preserve"> A member of the Reserves on Reserve service is not eligible for housing assistance under Chapter 7. There is no express intention in that Chapter to apply housing assistance to members other than those on continuous full-</w:t>
            </w:r>
            <w:r w:rsidR="003A4A89" w:rsidRPr="00C9343F">
              <w:t>time service.</w:t>
            </w:r>
            <w:r w:rsidRPr="00C9343F">
              <w:t xml:space="preserve"> Some benefits in this Determination may be provided to the family members of a</w:t>
            </w:r>
            <w:r w:rsidR="003A4A89" w:rsidRPr="00C9343F">
              <w:t xml:space="preserve"> member</w:t>
            </w:r>
            <w:r w:rsidRPr="00C9343F">
              <w:t>.</w:t>
            </w:r>
          </w:p>
          <w:p w14:paraId="5A55FC25" w14:textId="77777777" w:rsidR="00E528BA" w:rsidRPr="00C9343F" w:rsidRDefault="00E528BA" w:rsidP="00F66D98">
            <w:pPr>
              <w:pStyle w:val="BlockText-Plain"/>
            </w:pPr>
            <w:r w:rsidRPr="00C9343F">
              <w:rPr>
                <w:b/>
              </w:rPr>
              <w:t>Example 2:</w:t>
            </w:r>
            <w:r w:rsidRPr="00C9343F">
              <w:t xml:space="preserve"> A member of the Reserves on Reserve service is eligible for the payment of costs for travel on Defence business. Section 9.5.14 states that this benefit applies to these members.</w:t>
            </w:r>
          </w:p>
          <w:p w14:paraId="2FB6F687" w14:textId="77777777" w:rsidR="003A4A89" w:rsidRPr="00C9343F" w:rsidRDefault="003A4A89" w:rsidP="00F66D98">
            <w:pPr>
              <w:pStyle w:val="BlockText-Plain"/>
            </w:pPr>
            <w:r w:rsidRPr="00C9343F">
              <w:rPr>
                <w:b/>
              </w:rPr>
              <w:t>Example 3:</w:t>
            </w:r>
            <w:r w:rsidRPr="00C9343F">
              <w:t xml:space="preserve"> Some removal and housing benefits are provided for dependants under Chapters 6 and 7 after the death of a member, or under Chapter 8 for the breakdown of their marriage or relationship. The provisions make it clear that the dependants have these benefits.</w:t>
            </w:r>
          </w:p>
        </w:tc>
      </w:tr>
      <w:tr w:rsidR="00E528BA" w:rsidRPr="00C9343F" w14:paraId="0CBE2676" w14:textId="77777777" w:rsidTr="00123046">
        <w:tc>
          <w:tcPr>
            <w:tcW w:w="992" w:type="dxa"/>
          </w:tcPr>
          <w:p w14:paraId="70931AC0" w14:textId="77777777" w:rsidR="00E528BA" w:rsidRPr="00C9343F" w:rsidRDefault="00E528BA" w:rsidP="00F66D98">
            <w:pPr>
              <w:pStyle w:val="BlockText-Plain"/>
              <w:jc w:val="center"/>
            </w:pPr>
            <w:r w:rsidRPr="00C9343F">
              <w:t>3.</w:t>
            </w:r>
          </w:p>
        </w:tc>
        <w:tc>
          <w:tcPr>
            <w:tcW w:w="8363" w:type="dxa"/>
            <w:gridSpan w:val="2"/>
          </w:tcPr>
          <w:p w14:paraId="56762033" w14:textId="77777777" w:rsidR="00E528BA" w:rsidRPr="00C9343F" w:rsidRDefault="00E528BA" w:rsidP="00F66D98">
            <w:pPr>
              <w:pStyle w:val="BlockText-Plain"/>
            </w:pPr>
            <w:r w:rsidRPr="00C9343F">
              <w:t xml:space="preserve">The following classes of members are on continuous full-time service for the purposes of this Determination. </w:t>
            </w:r>
          </w:p>
        </w:tc>
      </w:tr>
      <w:tr w:rsidR="00E528BA" w:rsidRPr="00C9343F" w14:paraId="1C60A72A" w14:textId="77777777" w:rsidTr="00123046">
        <w:trPr>
          <w:cantSplit/>
        </w:trPr>
        <w:tc>
          <w:tcPr>
            <w:tcW w:w="992" w:type="dxa"/>
          </w:tcPr>
          <w:p w14:paraId="75D63FDA" w14:textId="77777777" w:rsidR="00E528BA" w:rsidRPr="00C9343F" w:rsidRDefault="00E528BA" w:rsidP="00F66D98">
            <w:pPr>
              <w:pStyle w:val="BlockText-Plain"/>
            </w:pPr>
          </w:p>
        </w:tc>
        <w:tc>
          <w:tcPr>
            <w:tcW w:w="567" w:type="dxa"/>
          </w:tcPr>
          <w:p w14:paraId="375C76DF" w14:textId="77777777" w:rsidR="00E528BA" w:rsidRPr="00C9343F" w:rsidRDefault="00E528BA" w:rsidP="007114B1">
            <w:pPr>
              <w:pStyle w:val="BlockText-Plain"/>
              <w:jc w:val="center"/>
            </w:pPr>
            <w:r w:rsidRPr="00C9343F">
              <w:t>a.</w:t>
            </w:r>
          </w:p>
        </w:tc>
        <w:tc>
          <w:tcPr>
            <w:tcW w:w="7796" w:type="dxa"/>
          </w:tcPr>
          <w:p w14:paraId="71491968" w14:textId="77777777" w:rsidR="00E528BA" w:rsidRPr="00C9343F" w:rsidRDefault="00E528BA" w:rsidP="00F66D98">
            <w:pPr>
              <w:pStyle w:val="BlockText-Plain"/>
            </w:pPr>
            <w:r w:rsidRPr="00C9343F">
              <w:t>A member of the Permanent Forces.</w:t>
            </w:r>
          </w:p>
        </w:tc>
      </w:tr>
      <w:tr w:rsidR="00E528BA" w:rsidRPr="00C9343F" w14:paraId="5B80629D" w14:textId="77777777" w:rsidTr="00123046">
        <w:trPr>
          <w:cantSplit/>
        </w:trPr>
        <w:tc>
          <w:tcPr>
            <w:tcW w:w="992" w:type="dxa"/>
          </w:tcPr>
          <w:p w14:paraId="42F9BDD1" w14:textId="77777777" w:rsidR="00E528BA" w:rsidRPr="00C9343F" w:rsidRDefault="00E528BA" w:rsidP="00F66D98">
            <w:pPr>
              <w:pStyle w:val="BlockText-Plain"/>
            </w:pPr>
          </w:p>
        </w:tc>
        <w:tc>
          <w:tcPr>
            <w:tcW w:w="567" w:type="dxa"/>
          </w:tcPr>
          <w:p w14:paraId="01F3C050" w14:textId="77777777" w:rsidR="00E528BA" w:rsidRPr="00C9343F" w:rsidRDefault="00E528BA" w:rsidP="007114B1">
            <w:pPr>
              <w:pStyle w:val="BlockText-Plain"/>
              <w:jc w:val="center"/>
            </w:pPr>
            <w:r w:rsidRPr="00C9343F">
              <w:t>b.</w:t>
            </w:r>
          </w:p>
        </w:tc>
        <w:tc>
          <w:tcPr>
            <w:tcW w:w="7796" w:type="dxa"/>
          </w:tcPr>
          <w:p w14:paraId="7F25782D" w14:textId="77777777" w:rsidR="00E528BA" w:rsidRPr="00C9343F" w:rsidRDefault="00E528BA" w:rsidP="00F66D98">
            <w:pPr>
              <w:pStyle w:val="BlockText-Plain"/>
            </w:pPr>
            <w:r w:rsidRPr="00C9343F">
              <w:t>A member of the Reserves on continuous full-time service.</w:t>
            </w:r>
          </w:p>
        </w:tc>
      </w:tr>
      <w:tr w:rsidR="00E528BA" w:rsidRPr="00C9343F" w14:paraId="6A05A3AB" w14:textId="77777777" w:rsidTr="00123046">
        <w:tc>
          <w:tcPr>
            <w:tcW w:w="992" w:type="dxa"/>
          </w:tcPr>
          <w:p w14:paraId="67541326" w14:textId="77777777" w:rsidR="00E528BA" w:rsidRPr="00C9343F" w:rsidRDefault="00E528BA" w:rsidP="00F66D98">
            <w:pPr>
              <w:pStyle w:val="BlockText-Plain"/>
              <w:jc w:val="center"/>
            </w:pPr>
            <w:r w:rsidRPr="00C9343F">
              <w:t>4.</w:t>
            </w:r>
          </w:p>
        </w:tc>
        <w:tc>
          <w:tcPr>
            <w:tcW w:w="8363" w:type="dxa"/>
            <w:gridSpan w:val="2"/>
          </w:tcPr>
          <w:p w14:paraId="1F6F8B26" w14:textId="77777777" w:rsidR="00E528BA" w:rsidRPr="00C9343F" w:rsidRDefault="00E528BA" w:rsidP="00F66D98">
            <w:pPr>
              <w:pStyle w:val="BlockText-Plain"/>
            </w:pPr>
            <w:r w:rsidRPr="00C9343F">
              <w:t>A member of the Reserves on Reserve service is not on continuous full-time service.</w:t>
            </w:r>
          </w:p>
          <w:p w14:paraId="1539EB54" w14:textId="77777777" w:rsidR="00E528BA" w:rsidRPr="00C9343F" w:rsidRDefault="00E528BA" w:rsidP="00F66D98">
            <w:pPr>
              <w:pStyle w:val="BlockText-Plain"/>
            </w:pPr>
            <w:r w:rsidRPr="00C9343F">
              <w:rPr>
                <w:b/>
              </w:rPr>
              <w:t>See:</w:t>
            </w:r>
            <w:r w:rsidRPr="00C9343F">
              <w:t xml:space="preserve"> The descriptions of continuous full-time service and Reserve service in Part 3 Division 1.</w:t>
            </w:r>
          </w:p>
        </w:tc>
      </w:tr>
    </w:tbl>
    <w:p w14:paraId="7564D320" w14:textId="0A8CFB3B" w:rsidR="00E528BA" w:rsidRPr="00C9343F" w:rsidRDefault="00E528BA" w:rsidP="00F66D98">
      <w:pPr>
        <w:pStyle w:val="Heading5"/>
      </w:pPr>
      <w:bookmarkStart w:id="26" w:name="_Toc105053466"/>
      <w:r w:rsidRPr="00C9343F">
        <w:t>1.2.3</w:t>
      </w:r>
      <w:r w:rsidR="00D94006" w:rsidRPr="00C9343F">
        <w:t>    </w:t>
      </w:r>
      <w:r w:rsidRPr="00C9343F">
        <w:t>Other people this Determination may apply to</w:t>
      </w:r>
      <w:bookmarkEnd w:id="26"/>
    </w:p>
    <w:tbl>
      <w:tblPr>
        <w:tblW w:w="0" w:type="auto"/>
        <w:tblInd w:w="113" w:type="dxa"/>
        <w:tblLayout w:type="fixed"/>
        <w:tblLook w:val="0000" w:firstRow="0" w:lastRow="0" w:firstColumn="0" w:lastColumn="0" w:noHBand="0" w:noVBand="0"/>
      </w:tblPr>
      <w:tblGrid>
        <w:gridCol w:w="992"/>
        <w:gridCol w:w="8363"/>
      </w:tblGrid>
      <w:tr w:rsidR="00E528BA" w:rsidRPr="00C9343F" w14:paraId="0E1B7C9C" w14:textId="77777777" w:rsidTr="00123046">
        <w:tc>
          <w:tcPr>
            <w:tcW w:w="992" w:type="dxa"/>
          </w:tcPr>
          <w:p w14:paraId="38046411" w14:textId="77777777" w:rsidR="00E528BA" w:rsidRPr="00C9343F" w:rsidRDefault="00E528BA" w:rsidP="00F66D98">
            <w:pPr>
              <w:pStyle w:val="BlockText-Plain"/>
              <w:jc w:val="center"/>
            </w:pPr>
          </w:p>
        </w:tc>
        <w:tc>
          <w:tcPr>
            <w:tcW w:w="8363" w:type="dxa"/>
          </w:tcPr>
          <w:p w14:paraId="1B7FBA51" w14:textId="77777777" w:rsidR="00E528BA" w:rsidRPr="00C9343F" w:rsidRDefault="00E528BA" w:rsidP="00F66D98">
            <w:pPr>
              <w:pStyle w:val="BlockText-Plain"/>
            </w:pPr>
            <w:r w:rsidRPr="00C9343F">
              <w:t>Some benefits in this Determination may be provided to the family members of a member.</w:t>
            </w:r>
          </w:p>
        </w:tc>
      </w:tr>
      <w:tr w:rsidR="00E528BA" w:rsidRPr="00C9343F" w14:paraId="34762571" w14:textId="77777777" w:rsidTr="00123046">
        <w:tc>
          <w:tcPr>
            <w:tcW w:w="992" w:type="dxa"/>
          </w:tcPr>
          <w:p w14:paraId="4F883594" w14:textId="77777777" w:rsidR="00E528BA" w:rsidRPr="00C9343F" w:rsidRDefault="00E528BA" w:rsidP="00F66D98">
            <w:pPr>
              <w:pStyle w:val="BlockText-Plain"/>
              <w:jc w:val="center"/>
            </w:pPr>
          </w:p>
        </w:tc>
        <w:tc>
          <w:tcPr>
            <w:tcW w:w="8363" w:type="dxa"/>
          </w:tcPr>
          <w:p w14:paraId="377C3E7D" w14:textId="77777777" w:rsidR="00E528BA" w:rsidRPr="00C9343F" w:rsidRDefault="00E528BA" w:rsidP="00F66D98">
            <w:pPr>
              <w:pStyle w:val="BlockText-Plain"/>
            </w:pPr>
            <w:r w:rsidRPr="00C9343F">
              <w:rPr>
                <w:b/>
              </w:rPr>
              <w:t xml:space="preserve">Example: </w:t>
            </w:r>
            <w:r w:rsidRPr="00C9343F">
              <w:t>Some removal and housing benefits are provided for dependants under Chapters 6 and 7 after the death of a member, or under Chapter 8 for the breakdown of their marriage. The provisions make it clear that the dependants have these benefits.</w:t>
            </w:r>
          </w:p>
        </w:tc>
      </w:tr>
    </w:tbl>
    <w:p w14:paraId="62D67341" w14:textId="7F1A2877" w:rsidR="00E528BA" w:rsidRPr="00C9343F" w:rsidRDefault="00E528BA" w:rsidP="00F66D98">
      <w:pPr>
        <w:pStyle w:val="Heading5"/>
      </w:pPr>
      <w:bookmarkStart w:id="27" w:name="_Toc105053467"/>
      <w:bookmarkStart w:id="28" w:name="bk41707PM1110Meaningsofwordsandphrases"/>
      <w:bookmarkStart w:id="29" w:name="bk32031PM1211Meaningsofwordsandphrases"/>
      <w:bookmarkStart w:id="30" w:name="bk937031211Meaningofwordsandphrases"/>
      <w:bookmarkStart w:id="31" w:name="bk1341511211Meaningofwordsandphrases"/>
      <w:r w:rsidRPr="00C9343F">
        <w:lastRenderedPageBreak/>
        <w:t>1.2.4</w:t>
      </w:r>
      <w:r w:rsidR="00D94006" w:rsidRPr="00C9343F">
        <w:t>    </w:t>
      </w:r>
      <w:r w:rsidRPr="00C9343F">
        <w:t>Meaning of words and phrases</w:t>
      </w:r>
      <w:bookmarkEnd w:id="27"/>
    </w:p>
    <w:tbl>
      <w:tblPr>
        <w:tblW w:w="0" w:type="auto"/>
        <w:tblInd w:w="113" w:type="dxa"/>
        <w:tblLayout w:type="fixed"/>
        <w:tblLook w:val="0000" w:firstRow="0" w:lastRow="0" w:firstColumn="0" w:lastColumn="0" w:noHBand="0" w:noVBand="0"/>
      </w:tblPr>
      <w:tblGrid>
        <w:gridCol w:w="992"/>
        <w:gridCol w:w="567"/>
        <w:gridCol w:w="7804"/>
      </w:tblGrid>
      <w:tr w:rsidR="00E528BA" w:rsidRPr="00C9343F" w14:paraId="6689BA87" w14:textId="77777777" w:rsidTr="00123046">
        <w:tc>
          <w:tcPr>
            <w:tcW w:w="992" w:type="dxa"/>
          </w:tcPr>
          <w:p w14:paraId="58105F6D" w14:textId="77777777" w:rsidR="00E528BA" w:rsidRPr="00C9343F" w:rsidRDefault="00E528BA" w:rsidP="00F66D98">
            <w:pPr>
              <w:pStyle w:val="BlockText-Plain"/>
              <w:jc w:val="center"/>
            </w:pPr>
            <w:r w:rsidRPr="00C9343F">
              <w:t>1.</w:t>
            </w:r>
          </w:p>
        </w:tc>
        <w:tc>
          <w:tcPr>
            <w:tcW w:w="8371" w:type="dxa"/>
            <w:gridSpan w:val="2"/>
          </w:tcPr>
          <w:p w14:paraId="0729B823" w14:textId="77777777" w:rsidR="00E528BA" w:rsidRPr="00C9343F" w:rsidRDefault="00E528BA" w:rsidP="00F66D98">
            <w:pPr>
              <w:pStyle w:val="blocktext-plain0"/>
            </w:pPr>
            <w:r w:rsidRPr="00C9343F">
              <w:t>Part 3 of this Chapter defines terms used in Chapters 1 to 17. The definition applies to each use of the term throughout the Chapters, unless it is made clear otherwise.</w:t>
            </w:r>
          </w:p>
        </w:tc>
      </w:tr>
      <w:tr w:rsidR="00E528BA" w:rsidRPr="00C9343F" w14:paraId="3F13B6C0" w14:textId="77777777" w:rsidTr="00123046">
        <w:tc>
          <w:tcPr>
            <w:tcW w:w="992" w:type="dxa"/>
          </w:tcPr>
          <w:p w14:paraId="4CC5C680" w14:textId="77777777" w:rsidR="00E528BA" w:rsidRPr="00C9343F" w:rsidRDefault="00E528BA" w:rsidP="00F66D98">
            <w:pPr>
              <w:pStyle w:val="BlockText-Plain"/>
              <w:jc w:val="center"/>
            </w:pPr>
            <w:r w:rsidRPr="00C9343F">
              <w:t>2.</w:t>
            </w:r>
          </w:p>
        </w:tc>
        <w:tc>
          <w:tcPr>
            <w:tcW w:w="8371" w:type="dxa"/>
            <w:gridSpan w:val="2"/>
          </w:tcPr>
          <w:p w14:paraId="5A5D0732" w14:textId="77777777" w:rsidR="00E528BA" w:rsidRPr="00C9343F" w:rsidRDefault="00E528BA" w:rsidP="00F66D98">
            <w:pPr>
              <w:pStyle w:val="BlockText-Plain"/>
            </w:pPr>
            <w:r w:rsidRPr="00C9343F">
              <w:t>To avoid doubt, definitions in Part 3 may apply in relation to a Reserve service member if necessary to determine their eligibility for a benefit.</w:t>
            </w:r>
          </w:p>
          <w:p w14:paraId="3DE9FC2E" w14:textId="77777777" w:rsidR="00E528BA" w:rsidRPr="00C9343F" w:rsidRDefault="00E528BA" w:rsidP="00F66D98">
            <w:pPr>
              <w:pStyle w:val="BlockText-Plain"/>
            </w:pPr>
            <w:r w:rsidRPr="00C9343F">
              <w:rPr>
                <w:b/>
              </w:rPr>
              <w:t xml:space="preserve">Note: </w:t>
            </w:r>
            <w:r w:rsidRPr="00C9343F">
              <w:t>If an allowance is not normally payable to a member on Reserve service, then the definitions cannot be used to create that eligibility.</w:t>
            </w:r>
          </w:p>
          <w:p w14:paraId="547C4395" w14:textId="77777777" w:rsidR="00E528BA" w:rsidRPr="00C9343F" w:rsidRDefault="00E528BA" w:rsidP="00F66D98">
            <w:pPr>
              <w:pStyle w:val="BlockText-Plain"/>
            </w:pPr>
            <w:r w:rsidRPr="00C9343F">
              <w:rPr>
                <w:b/>
              </w:rPr>
              <w:t xml:space="preserve">Example: </w:t>
            </w:r>
            <w:r w:rsidRPr="00C9343F">
              <w:t>An allowance is available to Reserve service members. The allowance rules use a term that is defined in Part 3. That definition applies to Reserve service members to assist in the interpretation of the allowance rules and assess a member's eligibility.</w:t>
            </w:r>
          </w:p>
          <w:p w14:paraId="3E3980EC" w14:textId="77777777" w:rsidR="00E528BA" w:rsidRPr="00C9343F" w:rsidRDefault="00E528BA" w:rsidP="00F66D98">
            <w:pPr>
              <w:pStyle w:val="BlockText-Plain"/>
              <w:spacing w:after="0"/>
            </w:pPr>
            <w:r w:rsidRPr="00C9343F">
              <w:rPr>
                <w:b/>
              </w:rPr>
              <w:t>Non-examples:</w:t>
            </w:r>
          </w:p>
        </w:tc>
      </w:tr>
      <w:tr w:rsidR="00E528BA" w:rsidRPr="00C9343F" w14:paraId="4945D164" w14:textId="77777777" w:rsidTr="00123046">
        <w:trPr>
          <w:cantSplit/>
        </w:trPr>
        <w:tc>
          <w:tcPr>
            <w:tcW w:w="992" w:type="dxa"/>
          </w:tcPr>
          <w:p w14:paraId="7256B57E" w14:textId="77777777" w:rsidR="00E528BA" w:rsidRPr="00C9343F" w:rsidRDefault="00E528BA" w:rsidP="00F66D98">
            <w:pPr>
              <w:pStyle w:val="BlockText-Plain"/>
            </w:pPr>
          </w:p>
        </w:tc>
        <w:tc>
          <w:tcPr>
            <w:tcW w:w="567" w:type="dxa"/>
          </w:tcPr>
          <w:p w14:paraId="037DA980" w14:textId="77777777" w:rsidR="00E528BA" w:rsidRPr="00C9343F" w:rsidRDefault="00E528BA" w:rsidP="00F66D98">
            <w:pPr>
              <w:pStyle w:val="BlockText-Plain"/>
              <w:jc w:val="center"/>
            </w:pPr>
            <w:r w:rsidRPr="00C9343F">
              <w:t>1.</w:t>
            </w:r>
          </w:p>
        </w:tc>
        <w:tc>
          <w:tcPr>
            <w:tcW w:w="7804" w:type="dxa"/>
          </w:tcPr>
          <w:p w14:paraId="06DC3765" w14:textId="77777777" w:rsidR="00E528BA" w:rsidRPr="00C9343F" w:rsidRDefault="00E528BA" w:rsidP="00F66D98">
            <w:pPr>
              <w:pStyle w:val="BlockText-Plain"/>
            </w:pPr>
            <w:r w:rsidRPr="00C9343F">
              <w:t>Recreation leave only applies to members on continuous full-time service and uses terms defined in Part 3. This rule does not operate to make recreation leave apply to members on Reserve service.</w:t>
            </w:r>
          </w:p>
        </w:tc>
      </w:tr>
      <w:tr w:rsidR="00E528BA" w:rsidRPr="00C9343F" w14:paraId="603EE5E9" w14:textId="77777777" w:rsidTr="00123046">
        <w:trPr>
          <w:cantSplit/>
        </w:trPr>
        <w:tc>
          <w:tcPr>
            <w:tcW w:w="992" w:type="dxa"/>
          </w:tcPr>
          <w:p w14:paraId="167ECFE8" w14:textId="77777777" w:rsidR="00E528BA" w:rsidRPr="00C9343F" w:rsidRDefault="00E528BA" w:rsidP="00F66D98">
            <w:pPr>
              <w:pStyle w:val="BlockText-Plain"/>
            </w:pPr>
          </w:p>
        </w:tc>
        <w:tc>
          <w:tcPr>
            <w:tcW w:w="567" w:type="dxa"/>
          </w:tcPr>
          <w:p w14:paraId="19FAC44F" w14:textId="77777777" w:rsidR="00E528BA" w:rsidRPr="00C9343F" w:rsidRDefault="00E528BA" w:rsidP="00F66D98">
            <w:pPr>
              <w:pStyle w:val="BlockText-Plain"/>
              <w:jc w:val="center"/>
            </w:pPr>
            <w:r w:rsidRPr="00C9343F">
              <w:t>2.</w:t>
            </w:r>
          </w:p>
        </w:tc>
        <w:tc>
          <w:tcPr>
            <w:tcW w:w="7804" w:type="dxa"/>
          </w:tcPr>
          <w:p w14:paraId="4449DA0C" w14:textId="77777777" w:rsidR="00E528BA" w:rsidRPr="00C9343F" w:rsidRDefault="00E528BA" w:rsidP="00F66D98">
            <w:pPr>
              <w:pStyle w:val="BlockText-Plain"/>
            </w:pPr>
            <w:r w:rsidRPr="00C9343F">
              <w:t>Housing assistance is based on a posting location that is a term defined in Part 3. The housing rules do not apply to Reserve service members. Members cannot use the posting location definition to create a housing benefit for themselves.</w:t>
            </w:r>
          </w:p>
        </w:tc>
      </w:tr>
      <w:tr w:rsidR="00E528BA" w:rsidRPr="00C9343F" w14:paraId="41E5A1B4" w14:textId="77777777" w:rsidTr="00123046">
        <w:tc>
          <w:tcPr>
            <w:tcW w:w="992" w:type="dxa"/>
          </w:tcPr>
          <w:p w14:paraId="6806F688" w14:textId="77777777" w:rsidR="00E528BA" w:rsidRPr="00C9343F" w:rsidRDefault="00E528BA" w:rsidP="00F66D98">
            <w:pPr>
              <w:pStyle w:val="BlockText-Plain"/>
              <w:jc w:val="center"/>
            </w:pPr>
          </w:p>
        </w:tc>
        <w:tc>
          <w:tcPr>
            <w:tcW w:w="8371" w:type="dxa"/>
            <w:gridSpan w:val="2"/>
          </w:tcPr>
          <w:p w14:paraId="6E2CA5E8" w14:textId="77777777" w:rsidR="00E528BA" w:rsidRPr="00C9343F" w:rsidRDefault="00E528BA" w:rsidP="00F66D98">
            <w:pPr>
              <w:pStyle w:val="BlockText-Plain"/>
            </w:pPr>
            <w:r w:rsidRPr="00C9343F">
              <w:rPr>
                <w:b/>
                <w:iCs/>
              </w:rPr>
              <w:t xml:space="preserve">See: </w:t>
            </w:r>
            <w:r w:rsidRPr="00C9343F">
              <w:rPr>
                <w:iCs/>
              </w:rPr>
              <w:t>Part 3, Definitions</w:t>
            </w:r>
          </w:p>
        </w:tc>
      </w:tr>
    </w:tbl>
    <w:p w14:paraId="217949F0" w14:textId="79BE7723" w:rsidR="00A72E80" w:rsidRPr="00C9343F" w:rsidRDefault="00A72E80" w:rsidP="00F66D98">
      <w:pPr>
        <w:pStyle w:val="Heading5"/>
      </w:pPr>
      <w:bookmarkStart w:id="32" w:name="_Toc105053468"/>
      <w:bookmarkEnd w:id="28"/>
      <w:bookmarkEnd w:id="29"/>
      <w:bookmarkEnd w:id="30"/>
      <w:bookmarkEnd w:id="31"/>
      <w:r w:rsidRPr="00C9343F">
        <w:t>1.2.5</w:t>
      </w:r>
      <w:r w:rsidR="00D94006" w:rsidRPr="00C9343F">
        <w:t>    </w:t>
      </w:r>
      <w:r w:rsidRPr="00C9343F">
        <w:t>Forms</w:t>
      </w:r>
      <w:bookmarkEnd w:id="32"/>
    </w:p>
    <w:tbl>
      <w:tblPr>
        <w:tblW w:w="9360" w:type="dxa"/>
        <w:tblInd w:w="113" w:type="dxa"/>
        <w:tblCellMar>
          <w:left w:w="0" w:type="dxa"/>
          <w:right w:w="0" w:type="dxa"/>
        </w:tblCellMar>
        <w:tblLook w:val="04A0" w:firstRow="1" w:lastRow="0" w:firstColumn="1" w:lastColumn="0" w:noHBand="0" w:noVBand="1"/>
      </w:tblPr>
      <w:tblGrid>
        <w:gridCol w:w="992"/>
        <w:gridCol w:w="8368"/>
      </w:tblGrid>
      <w:tr w:rsidR="00A72E80" w:rsidRPr="00C9343F" w14:paraId="13D093B9" w14:textId="77777777" w:rsidTr="00A72E80">
        <w:tc>
          <w:tcPr>
            <w:tcW w:w="992" w:type="dxa"/>
            <w:tcMar>
              <w:top w:w="0" w:type="dxa"/>
              <w:left w:w="108" w:type="dxa"/>
              <w:bottom w:w="0" w:type="dxa"/>
              <w:right w:w="108" w:type="dxa"/>
            </w:tcMar>
            <w:hideMark/>
          </w:tcPr>
          <w:p w14:paraId="451643F8" w14:textId="77777777" w:rsidR="00A72E80" w:rsidRPr="00C9343F" w:rsidRDefault="00A72E80" w:rsidP="00F66D98">
            <w:pPr>
              <w:pStyle w:val="BlockText-Plain"/>
              <w:jc w:val="center"/>
            </w:pPr>
            <w:r w:rsidRPr="00C9343F">
              <w:t> </w:t>
            </w:r>
          </w:p>
        </w:tc>
        <w:tc>
          <w:tcPr>
            <w:tcW w:w="8367" w:type="dxa"/>
            <w:tcMar>
              <w:top w:w="0" w:type="dxa"/>
              <w:left w:w="108" w:type="dxa"/>
              <w:bottom w:w="0" w:type="dxa"/>
              <w:right w:w="108" w:type="dxa"/>
            </w:tcMar>
            <w:hideMark/>
          </w:tcPr>
          <w:p w14:paraId="023A5B63" w14:textId="77777777" w:rsidR="00A72E80" w:rsidRPr="00C9343F" w:rsidRDefault="00A72E80" w:rsidP="00F66D98">
            <w:pPr>
              <w:pStyle w:val="BlockText-Plain"/>
            </w:pPr>
            <w:r w:rsidRPr="00C9343F">
              <w:t>If an approved form is specified in relation to a benefit, the member must complete and submit the approved form in accordance with any instructions on it.</w:t>
            </w:r>
          </w:p>
        </w:tc>
      </w:tr>
    </w:tbl>
    <w:p w14:paraId="43BFE0DF" w14:textId="07AE8995" w:rsidR="00ED3E3D" w:rsidRPr="00C9343F" w:rsidRDefault="00ED3E3D" w:rsidP="00F66D98">
      <w:pPr>
        <w:pStyle w:val="Heading5"/>
      </w:pPr>
      <w:bookmarkStart w:id="33" w:name="_Toc105053469"/>
      <w:r w:rsidRPr="00C9343F">
        <w:t>1.2.5A</w:t>
      </w:r>
      <w:r w:rsidR="002A5CC2" w:rsidRPr="00C9343F">
        <w:t>    </w:t>
      </w:r>
      <w:r w:rsidRPr="00C9343F">
        <w:t>References to rules in other instruments</w:t>
      </w:r>
      <w:bookmarkEnd w:id="33"/>
    </w:p>
    <w:tbl>
      <w:tblPr>
        <w:tblW w:w="0" w:type="auto"/>
        <w:tblInd w:w="113" w:type="dxa"/>
        <w:tblLayout w:type="fixed"/>
        <w:tblLook w:val="0000" w:firstRow="0" w:lastRow="0" w:firstColumn="0" w:lastColumn="0" w:noHBand="0" w:noVBand="0"/>
      </w:tblPr>
      <w:tblGrid>
        <w:gridCol w:w="992"/>
        <w:gridCol w:w="567"/>
        <w:gridCol w:w="7796"/>
      </w:tblGrid>
      <w:tr w:rsidR="00ED3E3D" w:rsidRPr="00C9343F" w14:paraId="36723624" w14:textId="77777777">
        <w:tc>
          <w:tcPr>
            <w:tcW w:w="992" w:type="dxa"/>
          </w:tcPr>
          <w:p w14:paraId="3322B27D" w14:textId="77777777" w:rsidR="00ED3E3D" w:rsidRPr="00C9343F" w:rsidRDefault="00ED3E3D" w:rsidP="00F66D98">
            <w:pPr>
              <w:pStyle w:val="BlockText-Plain"/>
              <w:jc w:val="center"/>
            </w:pPr>
            <w:r w:rsidRPr="00C9343F">
              <w:t>1.</w:t>
            </w:r>
          </w:p>
        </w:tc>
        <w:tc>
          <w:tcPr>
            <w:tcW w:w="8363" w:type="dxa"/>
            <w:gridSpan w:val="2"/>
          </w:tcPr>
          <w:p w14:paraId="55263954" w14:textId="77777777" w:rsidR="00ED3E3D" w:rsidRPr="00C9343F" w:rsidRDefault="00ED3E3D" w:rsidP="00F66D98">
            <w:pPr>
              <w:pStyle w:val="BlockText-Plain"/>
            </w:pPr>
            <w:r w:rsidRPr="00C9343F">
              <w:t>This Determination may make reference to rules in other instruments. Subsection 2 applies to any of the following instruments.</w:t>
            </w:r>
          </w:p>
        </w:tc>
      </w:tr>
      <w:tr w:rsidR="00ED3E3D" w:rsidRPr="00C9343F" w14:paraId="2E28DDA6" w14:textId="77777777">
        <w:trPr>
          <w:cantSplit/>
        </w:trPr>
        <w:tc>
          <w:tcPr>
            <w:tcW w:w="992" w:type="dxa"/>
          </w:tcPr>
          <w:p w14:paraId="5693C8C3" w14:textId="77777777" w:rsidR="00ED3E3D" w:rsidRPr="00C9343F" w:rsidRDefault="00ED3E3D" w:rsidP="00F66D98">
            <w:pPr>
              <w:pStyle w:val="BlockText-Plain"/>
            </w:pPr>
          </w:p>
        </w:tc>
        <w:tc>
          <w:tcPr>
            <w:tcW w:w="567" w:type="dxa"/>
          </w:tcPr>
          <w:p w14:paraId="7E89B7D4" w14:textId="77777777" w:rsidR="00ED3E3D" w:rsidRPr="00C9343F" w:rsidRDefault="00ED3E3D" w:rsidP="007114B1">
            <w:pPr>
              <w:pStyle w:val="BlockText-Plain"/>
              <w:jc w:val="center"/>
            </w:pPr>
            <w:r w:rsidRPr="00C9343F">
              <w:t>a.</w:t>
            </w:r>
          </w:p>
        </w:tc>
        <w:tc>
          <w:tcPr>
            <w:tcW w:w="7796" w:type="dxa"/>
          </w:tcPr>
          <w:p w14:paraId="045E3BCD" w14:textId="77777777" w:rsidR="00ED3E3D" w:rsidRPr="00C9343F" w:rsidRDefault="00ED3E3D" w:rsidP="00F66D98">
            <w:pPr>
              <w:pStyle w:val="BlockText-Plain"/>
            </w:pPr>
            <w:r w:rsidRPr="00C9343F">
              <w:t>Acts of parliament.</w:t>
            </w:r>
          </w:p>
        </w:tc>
      </w:tr>
      <w:tr w:rsidR="00ED3E3D" w:rsidRPr="00C9343F" w14:paraId="4E47FD3D" w14:textId="77777777">
        <w:trPr>
          <w:cantSplit/>
        </w:trPr>
        <w:tc>
          <w:tcPr>
            <w:tcW w:w="992" w:type="dxa"/>
          </w:tcPr>
          <w:p w14:paraId="70CBE94A" w14:textId="77777777" w:rsidR="00ED3E3D" w:rsidRPr="00C9343F" w:rsidRDefault="00ED3E3D" w:rsidP="00F66D98">
            <w:pPr>
              <w:pStyle w:val="BlockText-Plain"/>
            </w:pPr>
          </w:p>
        </w:tc>
        <w:tc>
          <w:tcPr>
            <w:tcW w:w="567" w:type="dxa"/>
          </w:tcPr>
          <w:p w14:paraId="59C1C0BB" w14:textId="77777777" w:rsidR="00ED3E3D" w:rsidRPr="00C9343F" w:rsidRDefault="00ED3E3D" w:rsidP="007114B1">
            <w:pPr>
              <w:pStyle w:val="BlockText-Plain"/>
              <w:jc w:val="center"/>
            </w:pPr>
            <w:r w:rsidRPr="00C9343F">
              <w:t>b.</w:t>
            </w:r>
          </w:p>
        </w:tc>
        <w:tc>
          <w:tcPr>
            <w:tcW w:w="7796" w:type="dxa"/>
          </w:tcPr>
          <w:p w14:paraId="790BA1B8" w14:textId="77777777" w:rsidR="00ED3E3D" w:rsidRPr="00C9343F" w:rsidRDefault="00ED3E3D" w:rsidP="00F66D98">
            <w:pPr>
              <w:pStyle w:val="BlockText-Plain"/>
            </w:pPr>
            <w:r w:rsidRPr="00C9343F">
              <w:t xml:space="preserve">Provisions of legislative instruments covered by subsection 14(3) of the </w:t>
            </w:r>
            <w:r w:rsidRPr="00C9343F">
              <w:rPr>
                <w:i/>
              </w:rPr>
              <w:t>Legislation Act 2003</w:t>
            </w:r>
            <w:r w:rsidRPr="00C9343F">
              <w:t>.</w:t>
            </w:r>
          </w:p>
        </w:tc>
      </w:tr>
      <w:tr w:rsidR="00ED3E3D" w:rsidRPr="00C9343F" w14:paraId="39C00699" w14:textId="77777777">
        <w:trPr>
          <w:cantSplit/>
        </w:trPr>
        <w:tc>
          <w:tcPr>
            <w:tcW w:w="992" w:type="dxa"/>
          </w:tcPr>
          <w:p w14:paraId="3ACAEE7E" w14:textId="77777777" w:rsidR="00ED3E3D" w:rsidRPr="00C9343F" w:rsidRDefault="00ED3E3D" w:rsidP="00F66D98">
            <w:pPr>
              <w:pStyle w:val="BlockText-Plain"/>
            </w:pPr>
          </w:p>
        </w:tc>
        <w:tc>
          <w:tcPr>
            <w:tcW w:w="567" w:type="dxa"/>
          </w:tcPr>
          <w:p w14:paraId="162C2FBE" w14:textId="77777777" w:rsidR="00ED3E3D" w:rsidRPr="00C9343F" w:rsidRDefault="00ED3E3D" w:rsidP="007114B1">
            <w:pPr>
              <w:pStyle w:val="BlockText-Plain"/>
              <w:jc w:val="center"/>
            </w:pPr>
            <w:r w:rsidRPr="00C9343F">
              <w:t>c.</w:t>
            </w:r>
          </w:p>
        </w:tc>
        <w:tc>
          <w:tcPr>
            <w:tcW w:w="7796" w:type="dxa"/>
          </w:tcPr>
          <w:p w14:paraId="383048F1" w14:textId="77777777" w:rsidR="00ED3E3D" w:rsidRPr="00C9343F" w:rsidRDefault="00ED3E3D" w:rsidP="00F66D98">
            <w:pPr>
              <w:pStyle w:val="BlockText-Plain"/>
            </w:pPr>
            <w:r w:rsidRPr="00C9343F">
              <w:t xml:space="preserve">Determinations of the Defence Force Remuneration Tribunal made under section 58H of the </w:t>
            </w:r>
            <w:r w:rsidRPr="00C9343F">
              <w:rPr>
                <w:i/>
              </w:rPr>
              <w:t>Defence Act 1903</w:t>
            </w:r>
            <w:r w:rsidRPr="00C9343F">
              <w:t>.</w:t>
            </w:r>
          </w:p>
          <w:p w14:paraId="2F6B12E1" w14:textId="77777777" w:rsidR="00ED3E3D" w:rsidRPr="00C9343F" w:rsidRDefault="00ED3E3D" w:rsidP="00F66D98">
            <w:pPr>
              <w:pStyle w:val="BlockText-Plain"/>
            </w:pPr>
            <w:r w:rsidRPr="00C9343F">
              <w:rPr>
                <w:b/>
              </w:rPr>
              <w:t>Note:</w:t>
            </w:r>
            <w:r w:rsidRPr="00C9343F">
              <w:t xml:space="preserve"> Subsection 58B(1A) of the</w:t>
            </w:r>
            <w:r w:rsidRPr="00C9343F">
              <w:rPr>
                <w:i/>
              </w:rPr>
              <w:t xml:space="preserve"> Defence Act 1903</w:t>
            </w:r>
            <w:r w:rsidRPr="00C9343F">
              <w:t xml:space="preserve"> provides that paragraph 14(1)(a) of the </w:t>
            </w:r>
            <w:r w:rsidRPr="00C9343F">
              <w:rPr>
                <w:i/>
              </w:rPr>
              <w:t>Legislation Act 2003</w:t>
            </w:r>
            <w:r w:rsidRPr="00C9343F">
              <w:t xml:space="preserve"> applies to these determinations. This means the provisions may be referenced as they were in force on a particular date or from time to time.</w:t>
            </w:r>
          </w:p>
        </w:tc>
      </w:tr>
      <w:tr w:rsidR="00ED3E3D" w:rsidRPr="00C9343F" w14:paraId="1BFDACB8" w14:textId="77777777">
        <w:tc>
          <w:tcPr>
            <w:tcW w:w="992" w:type="dxa"/>
          </w:tcPr>
          <w:p w14:paraId="16C9F2A7" w14:textId="77777777" w:rsidR="00ED3E3D" w:rsidRPr="00C9343F" w:rsidRDefault="00ED3E3D" w:rsidP="00F66D98">
            <w:pPr>
              <w:pStyle w:val="BlockText-Plain"/>
              <w:jc w:val="center"/>
            </w:pPr>
            <w:r w:rsidRPr="00C9343F">
              <w:t>2.</w:t>
            </w:r>
          </w:p>
        </w:tc>
        <w:tc>
          <w:tcPr>
            <w:tcW w:w="8363" w:type="dxa"/>
            <w:gridSpan w:val="2"/>
          </w:tcPr>
          <w:p w14:paraId="5C6EA6B1" w14:textId="77777777" w:rsidR="00ED3E3D" w:rsidRPr="00C9343F" w:rsidRDefault="00ED3E3D" w:rsidP="00F66D98">
            <w:pPr>
              <w:pStyle w:val="BlockText-Plain"/>
            </w:pPr>
            <w:r w:rsidRPr="00C9343F">
              <w:t>Both the following apply to instruments listed in subsection 1.</w:t>
            </w:r>
          </w:p>
        </w:tc>
      </w:tr>
      <w:tr w:rsidR="00ED3E3D" w:rsidRPr="00C9343F" w14:paraId="4415B9D2" w14:textId="77777777">
        <w:trPr>
          <w:cantSplit/>
        </w:trPr>
        <w:tc>
          <w:tcPr>
            <w:tcW w:w="992" w:type="dxa"/>
          </w:tcPr>
          <w:p w14:paraId="6DD7CF34" w14:textId="77777777" w:rsidR="00ED3E3D" w:rsidRPr="00C9343F" w:rsidRDefault="00ED3E3D" w:rsidP="00F66D98">
            <w:pPr>
              <w:pStyle w:val="BlockText-Plain"/>
            </w:pPr>
          </w:p>
        </w:tc>
        <w:tc>
          <w:tcPr>
            <w:tcW w:w="567" w:type="dxa"/>
          </w:tcPr>
          <w:p w14:paraId="0B34FF38" w14:textId="77777777" w:rsidR="00ED3E3D" w:rsidRPr="00C9343F" w:rsidRDefault="00ED3E3D" w:rsidP="007114B1">
            <w:pPr>
              <w:pStyle w:val="BlockText-Plain"/>
              <w:jc w:val="center"/>
            </w:pPr>
            <w:r w:rsidRPr="00C9343F">
              <w:t>a.</w:t>
            </w:r>
          </w:p>
        </w:tc>
        <w:tc>
          <w:tcPr>
            <w:tcW w:w="7796" w:type="dxa"/>
          </w:tcPr>
          <w:p w14:paraId="0B2FCE9B" w14:textId="44101270" w:rsidR="00ED3E3D" w:rsidRPr="00C9343F" w:rsidRDefault="00F26D1E" w:rsidP="00F66D98">
            <w:pPr>
              <w:pStyle w:val="BlockText-Plain"/>
            </w:pPr>
            <w:r w:rsidRPr="00C9343F">
              <w:t>If</w:t>
            </w:r>
            <w:r w:rsidR="00ED3E3D" w:rsidRPr="00C9343F">
              <w:t xml:space="preserve"> a date is specified, the reference is to the rules that were in force on that date.</w:t>
            </w:r>
          </w:p>
        </w:tc>
      </w:tr>
      <w:tr w:rsidR="00ED3E3D" w:rsidRPr="00C9343F" w14:paraId="3BEF20B8" w14:textId="77777777">
        <w:trPr>
          <w:cantSplit/>
        </w:trPr>
        <w:tc>
          <w:tcPr>
            <w:tcW w:w="992" w:type="dxa"/>
          </w:tcPr>
          <w:p w14:paraId="108678E5" w14:textId="77777777" w:rsidR="00ED3E3D" w:rsidRPr="00C9343F" w:rsidRDefault="00ED3E3D" w:rsidP="00F66D98">
            <w:pPr>
              <w:pStyle w:val="BlockText-Plain"/>
            </w:pPr>
          </w:p>
        </w:tc>
        <w:tc>
          <w:tcPr>
            <w:tcW w:w="567" w:type="dxa"/>
          </w:tcPr>
          <w:p w14:paraId="11D8A73C" w14:textId="77777777" w:rsidR="00ED3E3D" w:rsidRPr="00C9343F" w:rsidRDefault="00ED3E3D" w:rsidP="007114B1">
            <w:pPr>
              <w:pStyle w:val="BlockText-Plain"/>
              <w:jc w:val="center"/>
            </w:pPr>
            <w:r w:rsidRPr="00C9343F">
              <w:t>b.</w:t>
            </w:r>
          </w:p>
        </w:tc>
        <w:tc>
          <w:tcPr>
            <w:tcW w:w="7796" w:type="dxa"/>
          </w:tcPr>
          <w:p w14:paraId="3F946B8F" w14:textId="38E5AA6B" w:rsidR="00ED3E3D" w:rsidRPr="00C9343F" w:rsidRDefault="00F26D1E" w:rsidP="00F66D98">
            <w:pPr>
              <w:pStyle w:val="BlockText-Plain"/>
            </w:pPr>
            <w:r w:rsidRPr="00C9343F">
              <w:t>If</w:t>
            </w:r>
            <w:r w:rsidR="00ED3E3D" w:rsidRPr="00C9343F">
              <w:t xml:space="preserve"> no date is specified, the reference is to the rules that are in force from time to time.</w:t>
            </w:r>
          </w:p>
        </w:tc>
      </w:tr>
    </w:tbl>
    <w:p w14:paraId="5FC70F87" w14:textId="77777777" w:rsidR="0007173F" w:rsidRPr="00C9343F" w:rsidRDefault="0007173F" w:rsidP="00F66D98"/>
    <w:p w14:paraId="72ABA254" w14:textId="7A9CA186" w:rsidR="0007173F" w:rsidRPr="00C9343F" w:rsidRDefault="0007173F" w:rsidP="00F66D98">
      <w:pPr>
        <w:pStyle w:val="Heading5"/>
      </w:pPr>
      <w:bookmarkStart w:id="34" w:name="_Toc105053470"/>
      <w:r w:rsidRPr="00C9343F">
        <w:lastRenderedPageBreak/>
        <w:t>1.2.6</w:t>
      </w:r>
      <w:r w:rsidR="00D94006" w:rsidRPr="00C9343F">
        <w:t>    </w:t>
      </w:r>
      <w:r w:rsidRPr="00C9343F">
        <w:t>Collection, use and disclosure of personal information</w:t>
      </w:r>
      <w:bookmarkEnd w:id="34"/>
    </w:p>
    <w:tbl>
      <w:tblPr>
        <w:tblW w:w="0" w:type="auto"/>
        <w:tblInd w:w="113" w:type="dxa"/>
        <w:tblLayout w:type="fixed"/>
        <w:tblLook w:val="0000" w:firstRow="0" w:lastRow="0" w:firstColumn="0" w:lastColumn="0" w:noHBand="0" w:noVBand="0"/>
      </w:tblPr>
      <w:tblGrid>
        <w:gridCol w:w="992"/>
        <w:gridCol w:w="567"/>
        <w:gridCol w:w="7796"/>
      </w:tblGrid>
      <w:tr w:rsidR="0007173F" w:rsidRPr="00C9343F" w14:paraId="3932EA76" w14:textId="77777777" w:rsidTr="00753A03">
        <w:tc>
          <w:tcPr>
            <w:tcW w:w="992" w:type="dxa"/>
          </w:tcPr>
          <w:p w14:paraId="3D7F6D1F" w14:textId="77777777" w:rsidR="0007173F" w:rsidRPr="00C9343F" w:rsidRDefault="0007173F" w:rsidP="00F66D98">
            <w:pPr>
              <w:pStyle w:val="BlockText-Plain"/>
              <w:jc w:val="center"/>
            </w:pPr>
            <w:r w:rsidRPr="00C9343F">
              <w:t>1.</w:t>
            </w:r>
          </w:p>
        </w:tc>
        <w:tc>
          <w:tcPr>
            <w:tcW w:w="8363" w:type="dxa"/>
            <w:gridSpan w:val="2"/>
          </w:tcPr>
          <w:p w14:paraId="5C8A1ACC" w14:textId="77777777" w:rsidR="0007173F" w:rsidRPr="00C9343F" w:rsidRDefault="0007173F" w:rsidP="00F66D98">
            <w:pPr>
              <w:pStyle w:val="BlockText-Plain"/>
            </w:pPr>
            <w:r w:rsidRPr="00C9343F">
              <w:t xml:space="preserve">For the purpose of the Australian Privacy Principles, as provided in schedule 1 of the </w:t>
            </w:r>
            <w:r w:rsidRPr="00C9343F">
              <w:rPr>
                <w:i/>
                <w:iCs/>
              </w:rPr>
              <w:t>Privacy Act 1988</w:t>
            </w:r>
            <w:r w:rsidRPr="00C9343F">
              <w:t>, Defence is authorised to collect, use and disclose personal information and sensitive information necessary or required for the administration of benefits provided to a member under this Determination and salary and allowances provided under Determinations made by the DFRT.</w:t>
            </w:r>
          </w:p>
        </w:tc>
      </w:tr>
      <w:tr w:rsidR="0007173F" w:rsidRPr="00C9343F" w14:paraId="2BA2BB36" w14:textId="77777777" w:rsidTr="00753A03">
        <w:tc>
          <w:tcPr>
            <w:tcW w:w="992" w:type="dxa"/>
          </w:tcPr>
          <w:p w14:paraId="71598F59" w14:textId="77777777" w:rsidR="0007173F" w:rsidRPr="00C9343F" w:rsidRDefault="0007173F" w:rsidP="00F66D98">
            <w:pPr>
              <w:pStyle w:val="BlockText-Plain"/>
              <w:jc w:val="center"/>
            </w:pPr>
            <w:r w:rsidRPr="00C9343F">
              <w:t>2.</w:t>
            </w:r>
          </w:p>
        </w:tc>
        <w:tc>
          <w:tcPr>
            <w:tcW w:w="8363" w:type="dxa"/>
            <w:gridSpan w:val="2"/>
          </w:tcPr>
          <w:p w14:paraId="13DD4B69" w14:textId="77777777" w:rsidR="0007173F" w:rsidRPr="00C9343F" w:rsidRDefault="0007173F" w:rsidP="00F66D98">
            <w:pPr>
              <w:pStyle w:val="BlockText-Plain"/>
            </w:pPr>
            <w:r w:rsidRPr="00C9343F">
              <w:t>For the purpose of clarity, the administration of benefits includes, but is not limited to, the following:</w:t>
            </w:r>
          </w:p>
        </w:tc>
      </w:tr>
      <w:tr w:rsidR="0007173F" w:rsidRPr="00C9343F" w14:paraId="19542D80" w14:textId="77777777" w:rsidTr="00753A03">
        <w:trPr>
          <w:cantSplit/>
        </w:trPr>
        <w:tc>
          <w:tcPr>
            <w:tcW w:w="992" w:type="dxa"/>
          </w:tcPr>
          <w:p w14:paraId="1CF4C5B6" w14:textId="77777777" w:rsidR="0007173F" w:rsidRPr="00C9343F" w:rsidRDefault="0007173F" w:rsidP="00F66D98">
            <w:pPr>
              <w:pStyle w:val="BlockText-Plain"/>
            </w:pPr>
          </w:p>
        </w:tc>
        <w:tc>
          <w:tcPr>
            <w:tcW w:w="567" w:type="dxa"/>
          </w:tcPr>
          <w:p w14:paraId="75518858" w14:textId="77777777" w:rsidR="0007173F" w:rsidRPr="00C9343F" w:rsidRDefault="0007173F" w:rsidP="007114B1">
            <w:pPr>
              <w:pStyle w:val="BlockText-Plain"/>
              <w:jc w:val="center"/>
            </w:pPr>
            <w:r w:rsidRPr="00C9343F">
              <w:t>a.</w:t>
            </w:r>
          </w:p>
        </w:tc>
        <w:tc>
          <w:tcPr>
            <w:tcW w:w="7796" w:type="dxa"/>
          </w:tcPr>
          <w:p w14:paraId="53E87EC5" w14:textId="77777777" w:rsidR="0007173F" w:rsidRPr="00C9343F" w:rsidRDefault="0007173F" w:rsidP="00F66D98">
            <w:pPr>
              <w:pStyle w:val="BlockText-Plain"/>
            </w:pPr>
            <w:r w:rsidRPr="00C9343F">
              <w:t>The granting of benefits.</w:t>
            </w:r>
          </w:p>
        </w:tc>
      </w:tr>
      <w:tr w:rsidR="0007173F" w:rsidRPr="00C9343F" w14:paraId="15EE8C75" w14:textId="77777777" w:rsidTr="00753A03">
        <w:trPr>
          <w:cantSplit/>
        </w:trPr>
        <w:tc>
          <w:tcPr>
            <w:tcW w:w="992" w:type="dxa"/>
          </w:tcPr>
          <w:p w14:paraId="4D624A7C" w14:textId="77777777" w:rsidR="0007173F" w:rsidRPr="00C9343F" w:rsidRDefault="0007173F" w:rsidP="00F66D98">
            <w:pPr>
              <w:pStyle w:val="BlockText-Plain"/>
            </w:pPr>
          </w:p>
        </w:tc>
        <w:tc>
          <w:tcPr>
            <w:tcW w:w="567" w:type="dxa"/>
          </w:tcPr>
          <w:p w14:paraId="4ED05FB9" w14:textId="77777777" w:rsidR="0007173F" w:rsidRPr="00C9343F" w:rsidRDefault="0007173F" w:rsidP="007114B1">
            <w:pPr>
              <w:pStyle w:val="BlockText-Plain"/>
              <w:jc w:val="center"/>
            </w:pPr>
            <w:r w:rsidRPr="00C9343F">
              <w:t>b.</w:t>
            </w:r>
          </w:p>
        </w:tc>
        <w:tc>
          <w:tcPr>
            <w:tcW w:w="7796" w:type="dxa"/>
          </w:tcPr>
          <w:p w14:paraId="2AF50C88" w14:textId="77777777" w:rsidR="0007173F" w:rsidRPr="00C9343F" w:rsidRDefault="0007173F" w:rsidP="00F66D98">
            <w:pPr>
              <w:pStyle w:val="BlockText-Plain"/>
            </w:pPr>
            <w:r w:rsidRPr="00C9343F">
              <w:t>Reviewing decisions made with respect to benefits.</w:t>
            </w:r>
          </w:p>
        </w:tc>
      </w:tr>
      <w:tr w:rsidR="0007173F" w:rsidRPr="00C9343F" w14:paraId="3BE1DCDE" w14:textId="77777777" w:rsidTr="00753A03">
        <w:trPr>
          <w:cantSplit/>
        </w:trPr>
        <w:tc>
          <w:tcPr>
            <w:tcW w:w="992" w:type="dxa"/>
          </w:tcPr>
          <w:p w14:paraId="7B8F302E" w14:textId="77777777" w:rsidR="0007173F" w:rsidRPr="00C9343F" w:rsidRDefault="0007173F" w:rsidP="00F66D98">
            <w:pPr>
              <w:pStyle w:val="BlockText-Plain"/>
            </w:pPr>
          </w:p>
        </w:tc>
        <w:tc>
          <w:tcPr>
            <w:tcW w:w="567" w:type="dxa"/>
          </w:tcPr>
          <w:p w14:paraId="3F384015" w14:textId="77777777" w:rsidR="0007173F" w:rsidRPr="00C9343F" w:rsidRDefault="0007173F" w:rsidP="007114B1">
            <w:pPr>
              <w:pStyle w:val="BlockText-Plain"/>
              <w:jc w:val="center"/>
            </w:pPr>
            <w:r w:rsidRPr="00C9343F">
              <w:t>c.</w:t>
            </w:r>
          </w:p>
        </w:tc>
        <w:tc>
          <w:tcPr>
            <w:tcW w:w="7796" w:type="dxa"/>
          </w:tcPr>
          <w:p w14:paraId="6BFF4AB4" w14:textId="77777777" w:rsidR="0007173F" w:rsidRPr="00C9343F" w:rsidRDefault="0007173F" w:rsidP="00F66D98">
            <w:pPr>
              <w:pStyle w:val="BlockText-Plain"/>
            </w:pPr>
            <w:r w:rsidRPr="00C9343F">
              <w:t>Conducting audits of benefits provided to a member.</w:t>
            </w:r>
          </w:p>
        </w:tc>
      </w:tr>
      <w:tr w:rsidR="0007173F" w:rsidRPr="00C9343F" w14:paraId="52C10B10" w14:textId="77777777" w:rsidTr="00753A03">
        <w:trPr>
          <w:cantSplit/>
        </w:trPr>
        <w:tc>
          <w:tcPr>
            <w:tcW w:w="992" w:type="dxa"/>
          </w:tcPr>
          <w:p w14:paraId="62E305B1" w14:textId="77777777" w:rsidR="0007173F" w:rsidRPr="00C9343F" w:rsidRDefault="0007173F" w:rsidP="00F66D98">
            <w:pPr>
              <w:pStyle w:val="BlockText-Plain"/>
            </w:pPr>
          </w:p>
        </w:tc>
        <w:tc>
          <w:tcPr>
            <w:tcW w:w="567" w:type="dxa"/>
          </w:tcPr>
          <w:p w14:paraId="3A5E375C" w14:textId="77777777" w:rsidR="0007173F" w:rsidRPr="00C9343F" w:rsidRDefault="0007173F" w:rsidP="007114B1">
            <w:pPr>
              <w:pStyle w:val="BlockText-Plain"/>
              <w:jc w:val="center"/>
            </w:pPr>
            <w:r w:rsidRPr="00C9343F">
              <w:t>d.</w:t>
            </w:r>
          </w:p>
        </w:tc>
        <w:tc>
          <w:tcPr>
            <w:tcW w:w="7796" w:type="dxa"/>
          </w:tcPr>
          <w:p w14:paraId="4B7E9904" w14:textId="77777777" w:rsidR="0007173F" w:rsidRPr="00C9343F" w:rsidRDefault="0007173F" w:rsidP="00F66D98">
            <w:pPr>
              <w:pStyle w:val="BlockText-Plain"/>
            </w:pPr>
            <w:r w:rsidRPr="00C9343F">
              <w:t>Providing advice about the availability of benefits.</w:t>
            </w:r>
          </w:p>
        </w:tc>
      </w:tr>
      <w:tr w:rsidR="0007173F" w:rsidRPr="00C9343F" w14:paraId="16459492" w14:textId="77777777" w:rsidTr="00753A03">
        <w:tc>
          <w:tcPr>
            <w:tcW w:w="992" w:type="dxa"/>
          </w:tcPr>
          <w:p w14:paraId="52D25222" w14:textId="77777777" w:rsidR="0007173F" w:rsidRPr="00C9343F" w:rsidRDefault="0007173F" w:rsidP="00F66D98">
            <w:pPr>
              <w:pStyle w:val="BlockText-Plain"/>
              <w:jc w:val="center"/>
            </w:pPr>
            <w:r w:rsidRPr="00C9343F">
              <w:t>3.</w:t>
            </w:r>
          </w:p>
        </w:tc>
        <w:tc>
          <w:tcPr>
            <w:tcW w:w="8363" w:type="dxa"/>
            <w:gridSpan w:val="2"/>
          </w:tcPr>
          <w:p w14:paraId="69A5BCB6" w14:textId="77777777" w:rsidR="0007173F" w:rsidRPr="00C9343F" w:rsidRDefault="0007173F" w:rsidP="00F66D98">
            <w:pPr>
              <w:pStyle w:val="BlockText-Plain"/>
            </w:pPr>
            <w:r w:rsidRPr="00C9343F">
              <w:t xml:space="preserve">For the purpose of the Australian Privacy Principle 8, as provided in schedule 1 of the </w:t>
            </w:r>
            <w:r w:rsidRPr="00C9343F">
              <w:rPr>
                <w:i/>
                <w:iCs/>
              </w:rPr>
              <w:t>Privacy Act 1988</w:t>
            </w:r>
            <w:r w:rsidRPr="00C9343F">
              <w:t>, Defence is authorised to disclose personal information and sensitive information to an overseas recipient as necessary or required for the administration of benefits provided to a member under this Determination.</w:t>
            </w:r>
          </w:p>
        </w:tc>
      </w:tr>
    </w:tbl>
    <w:p w14:paraId="06616196" w14:textId="77777777" w:rsidR="0007173F" w:rsidRPr="00C9343F" w:rsidRDefault="0007173F" w:rsidP="00F66D98">
      <w:pPr>
        <w:pStyle w:val="BlockTextArial"/>
      </w:pPr>
    </w:p>
    <w:p w14:paraId="60E961FA" w14:textId="5A812B10" w:rsidR="00AF060B" w:rsidRPr="00C9343F" w:rsidRDefault="00AF060B" w:rsidP="00B91711">
      <w:pPr>
        <w:pStyle w:val="Heading3"/>
        <w:pageBreakBefore/>
      </w:pPr>
      <w:bookmarkStart w:id="35" w:name="_Toc105053471"/>
      <w:r w:rsidRPr="00C9343F">
        <w:lastRenderedPageBreak/>
        <w:t>Part 3: Definitions</w:t>
      </w:r>
      <w:bookmarkEnd w:id="35"/>
    </w:p>
    <w:p w14:paraId="74608D48" w14:textId="18D7094D" w:rsidR="00AF060B" w:rsidRPr="00C9343F" w:rsidRDefault="00AF060B" w:rsidP="00F66D98">
      <w:pPr>
        <w:pStyle w:val="Heading5"/>
      </w:pPr>
      <w:bookmarkStart w:id="36" w:name="_Toc105053472"/>
      <w:bookmarkStart w:id="37" w:name="bk941201117Overview"/>
      <w:bookmarkStart w:id="38" w:name="bk23801PM131Overview"/>
      <w:bookmarkStart w:id="39" w:name="bk23902PM131Overview"/>
      <w:bookmarkStart w:id="40" w:name="bk111210AM121Overview"/>
      <w:bookmarkStart w:id="41" w:name="bk93835131Overview"/>
      <w:r w:rsidRPr="00C9343F">
        <w:t>1.3.1</w:t>
      </w:r>
      <w:r w:rsidR="00D94006" w:rsidRPr="00C9343F">
        <w:t>    </w:t>
      </w:r>
      <w:r w:rsidRPr="00C9343F">
        <w:t>Overview</w:t>
      </w:r>
      <w:bookmarkEnd w:id="36"/>
    </w:p>
    <w:tbl>
      <w:tblPr>
        <w:tblW w:w="0" w:type="auto"/>
        <w:tblInd w:w="113" w:type="dxa"/>
        <w:tblLayout w:type="fixed"/>
        <w:tblLook w:val="0000" w:firstRow="0" w:lastRow="0" w:firstColumn="0" w:lastColumn="0" w:noHBand="0" w:noVBand="0"/>
      </w:tblPr>
      <w:tblGrid>
        <w:gridCol w:w="992"/>
        <w:gridCol w:w="8363"/>
      </w:tblGrid>
      <w:tr w:rsidR="00AF060B" w:rsidRPr="00C9343F" w14:paraId="288C56C2" w14:textId="77777777">
        <w:tc>
          <w:tcPr>
            <w:tcW w:w="992" w:type="dxa"/>
          </w:tcPr>
          <w:bookmarkEnd w:id="37"/>
          <w:bookmarkEnd w:id="38"/>
          <w:bookmarkEnd w:id="39"/>
          <w:bookmarkEnd w:id="40"/>
          <w:bookmarkEnd w:id="41"/>
          <w:p w14:paraId="3718FEB7" w14:textId="77777777" w:rsidR="00AF060B" w:rsidRPr="00C9343F" w:rsidRDefault="00AF060B" w:rsidP="00F66D98">
            <w:pPr>
              <w:pStyle w:val="BlockText-PlainNoSpacing"/>
              <w:jc w:val="center"/>
            </w:pPr>
            <w:r w:rsidRPr="00C9343F">
              <w:t>1.</w:t>
            </w:r>
          </w:p>
        </w:tc>
        <w:tc>
          <w:tcPr>
            <w:tcW w:w="8363" w:type="dxa"/>
          </w:tcPr>
          <w:p w14:paraId="54F07A30" w14:textId="77777777" w:rsidR="00AF060B" w:rsidRPr="00C9343F" w:rsidRDefault="00AF060B" w:rsidP="00F66D98">
            <w:pPr>
              <w:pStyle w:val="BlockText-Plain"/>
            </w:pPr>
            <w:r w:rsidRPr="00C9343F">
              <w:t>This Part defines terms and explains concepts used in Chapters 1 to 17.</w:t>
            </w:r>
          </w:p>
        </w:tc>
      </w:tr>
      <w:tr w:rsidR="00AF060B" w:rsidRPr="00C9343F" w14:paraId="60604458" w14:textId="77777777">
        <w:tc>
          <w:tcPr>
            <w:tcW w:w="992" w:type="dxa"/>
          </w:tcPr>
          <w:p w14:paraId="2AE929B8" w14:textId="77777777" w:rsidR="00AF060B" w:rsidRPr="00C9343F" w:rsidRDefault="00AF060B" w:rsidP="00F66D98">
            <w:pPr>
              <w:pStyle w:val="BlockText-PlainNoSpacing"/>
              <w:jc w:val="center"/>
            </w:pPr>
            <w:r w:rsidRPr="00C9343F">
              <w:t>2.</w:t>
            </w:r>
          </w:p>
        </w:tc>
        <w:tc>
          <w:tcPr>
            <w:tcW w:w="8363" w:type="dxa"/>
          </w:tcPr>
          <w:p w14:paraId="4DF23822" w14:textId="77777777" w:rsidR="00AF060B" w:rsidRPr="00C9343F" w:rsidRDefault="00AF060B" w:rsidP="00F66D98">
            <w:pPr>
              <w:pStyle w:val="BlockText-Plain"/>
            </w:pPr>
            <w:r w:rsidRPr="00C9343F">
              <w:t xml:space="preserve">The terms defined in this Part apply to more than one Chapter. Terms with a special definition used only in particular areas are defined in that area. </w:t>
            </w:r>
          </w:p>
        </w:tc>
      </w:tr>
      <w:tr w:rsidR="00AF060B" w:rsidRPr="00C9343F" w14:paraId="632786BD" w14:textId="77777777">
        <w:tc>
          <w:tcPr>
            <w:tcW w:w="992" w:type="dxa"/>
          </w:tcPr>
          <w:p w14:paraId="682AD58F" w14:textId="77777777" w:rsidR="00AF060B" w:rsidRPr="00C9343F" w:rsidRDefault="00AF060B" w:rsidP="00F66D98">
            <w:pPr>
              <w:pStyle w:val="BlockText-PlainNoSpacing"/>
              <w:jc w:val="center"/>
            </w:pPr>
            <w:r w:rsidRPr="00C9343F">
              <w:t>3.</w:t>
            </w:r>
          </w:p>
        </w:tc>
        <w:tc>
          <w:tcPr>
            <w:tcW w:w="8363" w:type="dxa"/>
          </w:tcPr>
          <w:p w14:paraId="4E4FB6E0" w14:textId="77777777" w:rsidR="00AF060B" w:rsidRPr="00C9343F" w:rsidRDefault="00AF060B" w:rsidP="00F66D98">
            <w:pPr>
              <w:pStyle w:val="BlockText-Plain"/>
            </w:pPr>
            <w:r w:rsidRPr="00C9343F">
              <w:t>Special definitions about dependants are in Division 2 of this Part.</w:t>
            </w:r>
          </w:p>
        </w:tc>
      </w:tr>
      <w:tr w:rsidR="00AF060B" w:rsidRPr="00C9343F" w14:paraId="68A48AFB" w14:textId="77777777">
        <w:tc>
          <w:tcPr>
            <w:tcW w:w="992" w:type="dxa"/>
          </w:tcPr>
          <w:p w14:paraId="7E68F8EB" w14:textId="77777777" w:rsidR="00AF060B" w:rsidRPr="00C9343F" w:rsidRDefault="00AF060B" w:rsidP="00F66D98">
            <w:pPr>
              <w:pStyle w:val="BlockText-PlainNoSpacing"/>
              <w:jc w:val="center"/>
            </w:pPr>
            <w:r w:rsidRPr="00C9343F">
              <w:t>4.</w:t>
            </w:r>
          </w:p>
        </w:tc>
        <w:tc>
          <w:tcPr>
            <w:tcW w:w="8363" w:type="dxa"/>
          </w:tcPr>
          <w:p w14:paraId="1C223DAB" w14:textId="77777777" w:rsidR="00AF060B" w:rsidRPr="00C9343F" w:rsidRDefault="00AF060B" w:rsidP="00F66D98">
            <w:pPr>
              <w:pStyle w:val="BlockText-Plain"/>
            </w:pPr>
            <w:r w:rsidRPr="00C9343F">
              <w:t>Special definitions about overseas conditions of service are in Chapter 12 Part 3.</w:t>
            </w:r>
          </w:p>
        </w:tc>
      </w:tr>
      <w:tr w:rsidR="00AF060B" w:rsidRPr="00C9343F" w14:paraId="5ED3D8AF" w14:textId="77777777">
        <w:tc>
          <w:tcPr>
            <w:tcW w:w="992" w:type="dxa"/>
          </w:tcPr>
          <w:p w14:paraId="0B74B26D" w14:textId="77777777" w:rsidR="00AF060B" w:rsidRPr="00C9343F" w:rsidRDefault="00AF060B" w:rsidP="00F66D98">
            <w:pPr>
              <w:pStyle w:val="BlockText-PlainNoSpacing"/>
              <w:jc w:val="center"/>
            </w:pPr>
            <w:r w:rsidRPr="00C9343F">
              <w:t>5.</w:t>
            </w:r>
          </w:p>
        </w:tc>
        <w:tc>
          <w:tcPr>
            <w:tcW w:w="8363" w:type="dxa"/>
          </w:tcPr>
          <w:p w14:paraId="16EDC103" w14:textId="77777777" w:rsidR="00AF060B" w:rsidRPr="00C9343F" w:rsidRDefault="00AF060B" w:rsidP="00F66D98">
            <w:pPr>
              <w:pStyle w:val="BlockText-Plain"/>
            </w:pPr>
            <w:r w:rsidRPr="00C9343F">
              <w:t xml:space="preserve">The </w:t>
            </w:r>
            <w:r w:rsidRPr="00C9343F">
              <w:rPr>
                <w:i/>
              </w:rPr>
              <w:t>Acts Interpretation Act 1901</w:t>
            </w:r>
            <w:r w:rsidRPr="00C9343F">
              <w:t xml:space="preserve"> and the </w:t>
            </w:r>
            <w:r w:rsidRPr="00C9343F">
              <w:rPr>
                <w:i/>
              </w:rPr>
              <w:t>Defence Act 1903</w:t>
            </w:r>
            <w:r w:rsidRPr="00C9343F">
              <w:t xml:space="preserve"> contain definitions of other terms that may apply. </w:t>
            </w:r>
          </w:p>
          <w:p w14:paraId="3A125985" w14:textId="77777777" w:rsidR="00AF060B" w:rsidRPr="00C9343F" w:rsidRDefault="00AF060B" w:rsidP="00F66D98">
            <w:pPr>
              <w:pStyle w:val="BlockText-Plain"/>
            </w:pPr>
            <w:r w:rsidRPr="00C9343F">
              <w:rPr>
                <w:b/>
              </w:rPr>
              <w:t>Example 1:</w:t>
            </w:r>
            <w:r w:rsidRPr="00C9343F">
              <w:t xml:space="preserve"> The </w:t>
            </w:r>
            <w:r w:rsidRPr="00C9343F">
              <w:rPr>
                <w:i/>
              </w:rPr>
              <w:t>Defence Act 1903</w:t>
            </w:r>
            <w:r w:rsidRPr="00C9343F">
              <w:t xml:space="preserve"> defines member, officer, remuneration, the Permanent Forces and the Reserves.</w:t>
            </w:r>
          </w:p>
          <w:p w14:paraId="6D011D74" w14:textId="77777777" w:rsidR="00AF060B" w:rsidRPr="00C9343F" w:rsidRDefault="00AF060B" w:rsidP="00F66D98">
            <w:pPr>
              <w:pStyle w:val="BlockText-Plain"/>
            </w:pPr>
            <w:r w:rsidRPr="00C9343F">
              <w:rPr>
                <w:b/>
              </w:rPr>
              <w:t>Example 2:</w:t>
            </w:r>
            <w:r w:rsidRPr="00C9343F">
              <w:t xml:space="preserve"> The </w:t>
            </w:r>
            <w:r w:rsidRPr="00C9343F">
              <w:rPr>
                <w:i/>
              </w:rPr>
              <w:t>Acts Interpretation Act 1901</w:t>
            </w:r>
            <w:r w:rsidRPr="00C9343F">
              <w:t xml:space="preserve"> specifies how to work out periods of time and defines some commonly used words, including Australia, month, calendar year, financial year, the Commonwealth.</w:t>
            </w:r>
          </w:p>
        </w:tc>
      </w:tr>
      <w:tr w:rsidR="00AF060B" w:rsidRPr="00C9343F" w14:paraId="3A23F7AE" w14:textId="77777777">
        <w:tc>
          <w:tcPr>
            <w:tcW w:w="992" w:type="dxa"/>
          </w:tcPr>
          <w:p w14:paraId="002CA0FF" w14:textId="77777777" w:rsidR="00AF060B" w:rsidRPr="00C9343F" w:rsidRDefault="00AF060B" w:rsidP="00F66D98">
            <w:pPr>
              <w:pStyle w:val="BlockText-PlainNoSpacing"/>
              <w:jc w:val="center"/>
            </w:pPr>
            <w:r w:rsidRPr="00C9343F">
              <w:t>6.</w:t>
            </w:r>
          </w:p>
        </w:tc>
        <w:tc>
          <w:tcPr>
            <w:tcW w:w="8363" w:type="dxa"/>
          </w:tcPr>
          <w:p w14:paraId="4B290DEF" w14:textId="77777777" w:rsidR="00AF060B" w:rsidRPr="00C9343F" w:rsidRDefault="00AF060B" w:rsidP="00F66D98">
            <w:pPr>
              <w:pStyle w:val="BlockText-Plain"/>
            </w:pPr>
            <w:r w:rsidRPr="00C9343F">
              <w:t>Time is expressed using a 24-hour clock system.</w:t>
            </w:r>
          </w:p>
          <w:p w14:paraId="0108659E" w14:textId="77777777" w:rsidR="00E30D62" w:rsidRPr="00C9343F" w:rsidRDefault="00E30D62" w:rsidP="00F66D98">
            <w:pPr>
              <w:pStyle w:val="BlockText-Plain"/>
            </w:pPr>
            <w:r w:rsidRPr="00C9343F">
              <w:rPr>
                <w:b/>
              </w:rPr>
              <w:t xml:space="preserve">Note: </w:t>
            </w:r>
            <w:r w:rsidRPr="00C9343F">
              <w:t xml:space="preserve">Definitions in this Part may apply to Reserve service members. For further information see </w:t>
            </w:r>
            <w:r w:rsidR="00580C86" w:rsidRPr="00C9343F">
              <w:t>section</w:t>
            </w:r>
            <w:r w:rsidRPr="00C9343F">
              <w:t xml:space="preserve"> 1.2.</w:t>
            </w:r>
            <w:r w:rsidR="00CD13A3" w:rsidRPr="00C9343F">
              <w:t>4</w:t>
            </w:r>
            <w:r w:rsidRPr="00C9343F">
              <w:t>.</w:t>
            </w:r>
          </w:p>
          <w:p w14:paraId="3A2F0D74" w14:textId="77777777" w:rsidR="00E30D62" w:rsidRPr="00C9343F" w:rsidRDefault="00E30D62" w:rsidP="00F66D98">
            <w:pPr>
              <w:pStyle w:val="BlockText-Plain"/>
            </w:pPr>
            <w:r w:rsidRPr="00C9343F">
              <w:rPr>
                <w:b/>
              </w:rPr>
              <w:t>See:</w:t>
            </w:r>
            <w:r w:rsidRPr="00C9343F">
              <w:t xml:space="preserve"> Part 2 </w:t>
            </w:r>
            <w:r w:rsidR="00580C86" w:rsidRPr="00C9343F">
              <w:t>section</w:t>
            </w:r>
            <w:r w:rsidRPr="00C9343F">
              <w:t xml:space="preserve"> 1.2.</w:t>
            </w:r>
            <w:r w:rsidR="00CD13A3" w:rsidRPr="00C9343F">
              <w:t>4</w:t>
            </w:r>
            <w:r w:rsidRPr="00C9343F">
              <w:t>, Meaning of words and phrases</w:t>
            </w:r>
          </w:p>
        </w:tc>
      </w:tr>
    </w:tbl>
    <w:p w14:paraId="10E199AB" w14:textId="77777777" w:rsidR="00AF060B" w:rsidRPr="00C9343F" w:rsidRDefault="00AF060B" w:rsidP="00F66D98"/>
    <w:p w14:paraId="39D0E53A" w14:textId="6B06BDC2" w:rsidR="00AF060B" w:rsidRPr="00C9343F" w:rsidRDefault="00AF060B" w:rsidP="00B91711">
      <w:pPr>
        <w:pStyle w:val="Heading4"/>
        <w:pageBreakBefore/>
      </w:pPr>
      <w:bookmarkStart w:id="42" w:name="_Toc105053473"/>
      <w:r w:rsidRPr="00C9343F">
        <w:lastRenderedPageBreak/>
        <w:t>Division 1: Definitions – general</w:t>
      </w:r>
      <w:bookmarkEnd w:id="42"/>
      <w:r w:rsidRPr="00C9343F">
        <w:t xml:space="preserve"> </w:t>
      </w:r>
    </w:p>
    <w:tbl>
      <w:tblPr>
        <w:tblW w:w="0" w:type="auto"/>
        <w:tblInd w:w="113" w:type="dxa"/>
        <w:tblLayout w:type="fixed"/>
        <w:tblLook w:val="0000" w:firstRow="0" w:lastRow="0" w:firstColumn="0" w:lastColumn="0" w:noHBand="0" w:noVBand="0"/>
      </w:tblPr>
      <w:tblGrid>
        <w:gridCol w:w="992"/>
        <w:gridCol w:w="8363"/>
      </w:tblGrid>
      <w:tr w:rsidR="00AF060B" w:rsidRPr="00C9343F" w14:paraId="7AAA3576" w14:textId="77777777">
        <w:tc>
          <w:tcPr>
            <w:tcW w:w="992" w:type="dxa"/>
          </w:tcPr>
          <w:p w14:paraId="1DF6AD13" w14:textId="77777777" w:rsidR="00AF060B" w:rsidRPr="00C9343F" w:rsidRDefault="00AF060B" w:rsidP="00F66D98">
            <w:pPr>
              <w:pStyle w:val="BlockText-Plain"/>
              <w:jc w:val="center"/>
            </w:pPr>
          </w:p>
        </w:tc>
        <w:tc>
          <w:tcPr>
            <w:tcW w:w="8363" w:type="dxa"/>
          </w:tcPr>
          <w:p w14:paraId="1B5A84ED" w14:textId="77777777" w:rsidR="00AF060B" w:rsidRPr="00C9343F" w:rsidRDefault="00AF060B" w:rsidP="00F66D98">
            <w:pPr>
              <w:pStyle w:val="BlockText-Plain"/>
              <w:rPr>
                <w:b/>
              </w:rPr>
            </w:pPr>
            <w:r w:rsidRPr="00C9343F">
              <w:rPr>
                <w:b/>
              </w:rPr>
              <w:t>FOR DEFINITIONS RELATING TO DEPENDANTS, SEE CHAPTER 1 PART 3 DIVISION 2</w:t>
            </w:r>
          </w:p>
        </w:tc>
      </w:tr>
      <w:tr w:rsidR="00AF060B" w:rsidRPr="00C9343F" w14:paraId="5A571075" w14:textId="77777777">
        <w:tc>
          <w:tcPr>
            <w:tcW w:w="992" w:type="dxa"/>
          </w:tcPr>
          <w:p w14:paraId="6ED1E700" w14:textId="77777777" w:rsidR="00AF060B" w:rsidRPr="00C9343F" w:rsidRDefault="00AF060B" w:rsidP="00F66D98">
            <w:pPr>
              <w:pStyle w:val="BlockText-Plain"/>
              <w:jc w:val="center"/>
            </w:pPr>
          </w:p>
        </w:tc>
        <w:tc>
          <w:tcPr>
            <w:tcW w:w="8363" w:type="dxa"/>
          </w:tcPr>
          <w:p w14:paraId="0597E403" w14:textId="77777777" w:rsidR="00AF060B" w:rsidRPr="00C9343F" w:rsidRDefault="00AF060B" w:rsidP="00F66D98">
            <w:pPr>
              <w:pStyle w:val="BlockText-Plain"/>
            </w:pPr>
            <w:r w:rsidRPr="00C9343F">
              <w:rPr>
                <w:b/>
              </w:rPr>
              <w:t>WARNING – DIFFERENT DEFINITIONS FOR OVERSEAS CONDITIONS OF SERVICE</w:t>
            </w:r>
          </w:p>
          <w:p w14:paraId="2F13080E" w14:textId="77777777" w:rsidR="00AF060B" w:rsidRPr="00C9343F" w:rsidRDefault="00AF060B" w:rsidP="00F66D98">
            <w:pPr>
              <w:pStyle w:val="BlockText-Plain"/>
            </w:pPr>
            <w:r w:rsidRPr="00C9343F">
              <w:t>The following terms are defined differently for overseas conditions of service:</w:t>
            </w:r>
          </w:p>
          <w:p w14:paraId="0828C713" w14:textId="7B72AAE1" w:rsidR="00AF060B" w:rsidRPr="00C9343F" w:rsidRDefault="00D94006" w:rsidP="00F66D98">
            <w:pPr>
              <w:pStyle w:val="BlockText-Plain"/>
              <w:spacing w:after="0"/>
              <w:ind w:left="29"/>
              <w:rPr>
                <w:b/>
                <w:i/>
              </w:rPr>
            </w:pPr>
            <w:r w:rsidRPr="00C9343F">
              <w:rPr>
                <w:i/>
              </w:rPr>
              <w:t>    </w:t>
            </w:r>
            <w:r w:rsidR="00AF060B" w:rsidRPr="00C9343F">
              <w:rPr>
                <w:i/>
              </w:rPr>
              <w:t> </w:t>
            </w:r>
            <w:r w:rsidR="00AF060B" w:rsidRPr="00C9343F">
              <w:rPr>
                <w:b/>
                <w:i/>
              </w:rPr>
              <w:t>long-term posting</w:t>
            </w:r>
          </w:p>
          <w:p w14:paraId="1F69CA0B" w14:textId="52E5DADB" w:rsidR="00AF060B" w:rsidRPr="00C9343F" w:rsidRDefault="00D94006" w:rsidP="00F66D98">
            <w:pPr>
              <w:pStyle w:val="BlockText-Plain"/>
              <w:spacing w:after="0"/>
              <w:ind w:left="29"/>
              <w:rPr>
                <w:b/>
                <w:i/>
              </w:rPr>
            </w:pPr>
            <w:r w:rsidRPr="00C9343F">
              <w:rPr>
                <w:i/>
              </w:rPr>
              <w:t>    </w:t>
            </w:r>
            <w:r w:rsidR="00AF060B" w:rsidRPr="00C9343F">
              <w:rPr>
                <w:i/>
              </w:rPr>
              <w:t> </w:t>
            </w:r>
            <w:r w:rsidR="00AF060B" w:rsidRPr="00C9343F">
              <w:rPr>
                <w:b/>
                <w:i/>
              </w:rPr>
              <w:t>posting location</w:t>
            </w:r>
          </w:p>
          <w:p w14:paraId="3878CCEE" w14:textId="2F48F1B2" w:rsidR="00AF060B" w:rsidRPr="00C9343F" w:rsidRDefault="00D94006" w:rsidP="00F66D98">
            <w:pPr>
              <w:pStyle w:val="BlockText-Plain"/>
              <w:spacing w:after="0"/>
              <w:ind w:left="29"/>
              <w:rPr>
                <w:b/>
              </w:rPr>
            </w:pPr>
            <w:r w:rsidRPr="00C9343F">
              <w:rPr>
                <w:i/>
              </w:rPr>
              <w:t>    </w:t>
            </w:r>
            <w:r w:rsidR="00AF060B" w:rsidRPr="00C9343F">
              <w:rPr>
                <w:i/>
              </w:rPr>
              <w:t> </w:t>
            </w:r>
            <w:r w:rsidR="00AF060B" w:rsidRPr="00C9343F">
              <w:rPr>
                <w:b/>
              </w:rPr>
              <w:t>posting period</w:t>
            </w:r>
          </w:p>
          <w:p w14:paraId="0D5AA480" w14:textId="1D3668B2" w:rsidR="00AF060B" w:rsidRPr="00C9343F" w:rsidRDefault="00D94006" w:rsidP="00F66D98">
            <w:pPr>
              <w:pStyle w:val="BlockText-Plain"/>
              <w:ind w:left="29"/>
              <w:rPr>
                <w:b/>
                <w:i/>
              </w:rPr>
            </w:pPr>
            <w:r w:rsidRPr="00C9343F">
              <w:rPr>
                <w:i/>
              </w:rPr>
              <w:t>    </w:t>
            </w:r>
            <w:r w:rsidR="00AF060B" w:rsidRPr="00C9343F">
              <w:rPr>
                <w:i/>
              </w:rPr>
              <w:t> </w:t>
            </w:r>
            <w:r w:rsidR="00AF060B" w:rsidRPr="00C9343F">
              <w:rPr>
                <w:b/>
                <w:i/>
              </w:rPr>
              <w:t>short-term duty</w:t>
            </w:r>
          </w:p>
          <w:p w14:paraId="69657466" w14:textId="77777777" w:rsidR="00AF060B" w:rsidRPr="00C9343F" w:rsidRDefault="00AF060B" w:rsidP="00F66D98">
            <w:pPr>
              <w:pStyle w:val="BlockText-Plain"/>
            </w:pPr>
            <w:r w:rsidRPr="00C9343F">
              <w:t xml:space="preserve">Those definitions are in Chapter 12. </w:t>
            </w:r>
          </w:p>
          <w:p w14:paraId="742F6C35" w14:textId="77777777" w:rsidR="00AF060B" w:rsidRPr="00C9343F" w:rsidRDefault="00AF060B" w:rsidP="00F66D98">
            <w:pPr>
              <w:pStyle w:val="BlockText-Plain"/>
              <w:rPr>
                <w:b/>
              </w:rPr>
            </w:pPr>
            <w:r w:rsidRPr="00C9343F">
              <w:rPr>
                <w:b/>
              </w:rPr>
              <w:t xml:space="preserve">See: </w:t>
            </w:r>
            <w:r w:rsidRPr="00C9343F">
              <w:t>Chapter 12 Part 3, Definitions for Chapters 12 to 17.</w:t>
            </w:r>
          </w:p>
        </w:tc>
      </w:tr>
    </w:tbl>
    <w:p w14:paraId="591F4539" w14:textId="0BE11F78" w:rsidR="00AF060B" w:rsidRPr="00C9343F" w:rsidRDefault="00AF060B" w:rsidP="00F66D98">
      <w:pPr>
        <w:pStyle w:val="Heading5"/>
      </w:pPr>
      <w:bookmarkStart w:id="43" w:name="_Toc105053474"/>
      <w:r w:rsidRPr="00C9343F">
        <w:t>1.3.3</w:t>
      </w:r>
      <w:r w:rsidR="00D94006" w:rsidRPr="00C9343F">
        <w:t>    </w:t>
      </w:r>
      <w:r w:rsidRPr="00C9343F">
        <w:t>Purpose</w:t>
      </w:r>
      <w:bookmarkEnd w:id="43"/>
    </w:p>
    <w:tbl>
      <w:tblPr>
        <w:tblW w:w="0" w:type="auto"/>
        <w:tblInd w:w="113" w:type="dxa"/>
        <w:tblLayout w:type="fixed"/>
        <w:tblLook w:val="0000" w:firstRow="0" w:lastRow="0" w:firstColumn="0" w:lastColumn="0" w:noHBand="0" w:noVBand="0"/>
      </w:tblPr>
      <w:tblGrid>
        <w:gridCol w:w="992"/>
        <w:gridCol w:w="8363"/>
      </w:tblGrid>
      <w:tr w:rsidR="00AF060B" w:rsidRPr="00C9343F" w14:paraId="2D61D188" w14:textId="77777777">
        <w:tc>
          <w:tcPr>
            <w:tcW w:w="992" w:type="dxa"/>
          </w:tcPr>
          <w:p w14:paraId="1FAF8B0E" w14:textId="77777777" w:rsidR="00AF060B" w:rsidRPr="00C9343F" w:rsidRDefault="00AF060B" w:rsidP="00F66D98">
            <w:pPr>
              <w:pStyle w:val="BlockText-PlainNoSpacing"/>
            </w:pPr>
          </w:p>
        </w:tc>
        <w:tc>
          <w:tcPr>
            <w:tcW w:w="8363" w:type="dxa"/>
          </w:tcPr>
          <w:p w14:paraId="2C76486B" w14:textId="77777777" w:rsidR="00AF060B" w:rsidRPr="00C9343F" w:rsidRDefault="00AF060B" w:rsidP="00F66D98">
            <w:pPr>
              <w:pStyle w:val="BlockText-Plain"/>
            </w:pPr>
            <w:r w:rsidRPr="00C9343F">
              <w:t xml:space="preserve">This Division defines general terms and explains important concepts used in Chapters 1 to 17. </w:t>
            </w:r>
          </w:p>
          <w:p w14:paraId="50C4EA6A" w14:textId="77777777" w:rsidR="00AF060B" w:rsidRPr="00C9343F" w:rsidRDefault="00AF060B" w:rsidP="00F66D98">
            <w:pPr>
              <w:pStyle w:val="BlockText-Plain"/>
            </w:pPr>
            <w:r w:rsidRPr="00C9343F">
              <w:rPr>
                <w:b/>
              </w:rPr>
              <w:t>See:</w:t>
            </w:r>
            <w:r w:rsidRPr="00C9343F">
              <w:t xml:space="preserve"> Division </w:t>
            </w:r>
            <w:bookmarkStart w:id="44" w:name="_Hlt102983309"/>
            <w:r w:rsidRPr="00C9343F">
              <w:t>2</w:t>
            </w:r>
            <w:bookmarkEnd w:id="44"/>
            <w:r w:rsidRPr="00C9343F">
              <w:t xml:space="preserve"> for definitions and interpretations related to dependants. </w:t>
            </w:r>
          </w:p>
        </w:tc>
      </w:tr>
    </w:tbl>
    <w:p w14:paraId="1CB00CE6" w14:textId="06449A8B" w:rsidR="00AF060B" w:rsidRPr="00C9343F" w:rsidRDefault="00AF060B" w:rsidP="00F66D98">
      <w:pPr>
        <w:pStyle w:val="Heading5"/>
      </w:pPr>
      <w:bookmarkStart w:id="45" w:name="A"/>
      <w:bookmarkStart w:id="46" w:name="_Toc105053475"/>
      <w:bookmarkEnd w:id="45"/>
      <w:r w:rsidRPr="00C9343F">
        <w:t>1.3.4</w:t>
      </w:r>
      <w:r w:rsidR="00D94006" w:rsidRPr="00C9343F">
        <w:t>    </w:t>
      </w:r>
      <w:r w:rsidRPr="00C9343F">
        <w:t>Act</w:t>
      </w:r>
      <w:bookmarkEnd w:id="46"/>
    </w:p>
    <w:tbl>
      <w:tblPr>
        <w:tblW w:w="0" w:type="auto"/>
        <w:tblInd w:w="113" w:type="dxa"/>
        <w:tblLayout w:type="fixed"/>
        <w:tblLook w:val="0000" w:firstRow="0" w:lastRow="0" w:firstColumn="0" w:lastColumn="0" w:noHBand="0" w:noVBand="0"/>
      </w:tblPr>
      <w:tblGrid>
        <w:gridCol w:w="992"/>
        <w:gridCol w:w="8363"/>
      </w:tblGrid>
      <w:tr w:rsidR="00AF060B" w:rsidRPr="00C9343F" w14:paraId="712DE2D1" w14:textId="77777777">
        <w:tc>
          <w:tcPr>
            <w:tcW w:w="992" w:type="dxa"/>
          </w:tcPr>
          <w:p w14:paraId="28EB99C4" w14:textId="77777777" w:rsidR="00AF060B" w:rsidRPr="00C9343F" w:rsidRDefault="00AF060B" w:rsidP="00F66D98">
            <w:pPr>
              <w:pStyle w:val="BlockText-Plain"/>
              <w:jc w:val="center"/>
            </w:pPr>
          </w:p>
        </w:tc>
        <w:tc>
          <w:tcPr>
            <w:tcW w:w="8363" w:type="dxa"/>
          </w:tcPr>
          <w:p w14:paraId="7176AF3E" w14:textId="77777777" w:rsidR="00AF060B" w:rsidRPr="00C9343F" w:rsidRDefault="00AF060B" w:rsidP="00F66D98">
            <w:pPr>
              <w:pStyle w:val="BlockText-Plain"/>
            </w:pPr>
            <w:r w:rsidRPr="00C9343F">
              <w:t xml:space="preserve">Act means the </w:t>
            </w:r>
            <w:r w:rsidRPr="00C9343F">
              <w:rPr>
                <w:i/>
              </w:rPr>
              <w:t>Defence Act 1903.</w:t>
            </w:r>
          </w:p>
        </w:tc>
      </w:tr>
    </w:tbl>
    <w:p w14:paraId="08637187" w14:textId="325CBA75" w:rsidR="00AF060B" w:rsidRPr="00C9343F" w:rsidRDefault="005E6487" w:rsidP="00F66D98">
      <w:pPr>
        <w:pStyle w:val="Heading5"/>
      </w:pPr>
      <w:bookmarkStart w:id="47" w:name="_Toc105053476"/>
      <w:r w:rsidRPr="00C9343F">
        <w:t>1.3.5</w:t>
      </w:r>
      <w:r w:rsidR="00D94006" w:rsidRPr="00C9343F">
        <w:t>    </w:t>
      </w:r>
      <w:r w:rsidRPr="00C9343F">
        <w:t>Allowance</w:t>
      </w:r>
      <w:bookmarkEnd w:id="47"/>
    </w:p>
    <w:tbl>
      <w:tblPr>
        <w:tblW w:w="0" w:type="auto"/>
        <w:tblInd w:w="113" w:type="dxa"/>
        <w:tblLayout w:type="fixed"/>
        <w:tblLook w:val="0000" w:firstRow="0" w:lastRow="0" w:firstColumn="0" w:lastColumn="0" w:noHBand="0" w:noVBand="0"/>
      </w:tblPr>
      <w:tblGrid>
        <w:gridCol w:w="992"/>
        <w:gridCol w:w="8363"/>
      </w:tblGrid>
      <w:tr w:rsidR="00AF060B" w:rsidRPr="00C9343F" w14:paraId="338818BC" w14:textId="77777777">
        <w:tc>
          <w:tcPr>
            <w:tcW w:w="992" w:type="dxa"/>
          </w:tcPr>
          <w:p w14:paraId="6A06F66C" w14:textId="77777777" w:rsidR="00AF060B" w:rsidRPr="00C9343F" w:rsidRDefault="00AF060B" w:rsidP="00F66D98">
            <w:pPr>
              <w:pStyle w:val="BlockText-Plain"/>
              <w:jc w:val="center"/>
            </w:pPr>
          </w:p>
        </w:tc>
        <w:tc>
          <w:tcPr>
            <w:tcW w:w="8363" w:type="dxa"/>
          </w:tcPr>
          <w:p w14:paraId="282877C9" w14:textId="77777777" w:rsidR="001F6921" w:rsidRPr="00C9343F" w:rsidRDefault="005E6487" w:rsidP="00F66D98">
            <w:pPr>
              <w:pStyle w:val="BlockText-Plain"/>
              <w:rPr>
                <w:color w:val="008000"/>
              </w:rPr>
            </w:pPr>
            <w:r w:rsidRPr="00C9343F">
              <w:t xml:space="preserve">Includes an allowance made under section 58B or section 58H of the </w:t>
            </w:r>
            <w:r w:rsidRPr="00C9343F">
              <w:rPr>
                <w:i/>
              </w:rPr>
              <w:t>Defence Act 1903</w:t>
            </w:r>
            <w:r w:rsidRPr="00C9343F">
              <w:t>, unless expressly stated otherwise.</w:t>
            </w:r>
          </w:p>
        </w:tc>
      </w:tr>
    </w:tbl>
    <w:p w14:paraId="0729BF6A" w14:textId="385DA2D6" w:rsidR="00A72E80" w:rsidRPr="00C9343F" w:rsidRDefault="00A72E80" w:rsidP="00F66D98">
      <w:pPr>
        <w:pStyle w:val="Heading5"/>
      </w:pPr>
      <w:bookmarkStart w:id="48" w:name="_Toc105053477"/>
      <w:r w:rsidRPr="00C9343F">
        <w:t>1.3.5A</w:t>
      </w:r>
      <w:r w:rsidR="00D94006" w:rsidRPr="00C9343F">
        <w:t>    </w:t>
      </w:r>
      <w:r w:rsidRPr="00C9343F">
        <w:t>Approved form</w:t>
      </w:r>
      <w:bookmarkEnd w:id="48"/>
    </w:p>
    <w:tbl>
      <w:tblPr>
        <w:tblW w:w="0" w:type="auto"/>
        <w:jc w:val="center"/>
        <w:tblLayout w:type="fixed"/>
        <w:tblLook w:val="0000" w:firstRow="0" w:lastRow="0" w:firstColumn="0" w:lastColumn="0" w:noHBand="0" w:noVBand="0"/>
      </w:tblPr>
      <w:tblGrid>
        <w:gridCol w:w="992"/>
        <w:gridCol w:w="8363"/>
      </w:tblGrid>
      <w:tr w:rsidR="00A72E80" w:rsidRPr="00C9343F" w14:paraId="29739DBC" w14:textId="77777777" w:rsidTr="00A72E80">
        <w:trPr>
          <w:jc w:val="center"/>
        </w:trPr>
        <w:tc>
          <w:tcPr>
            <w:tcW w:w="992" w:type="dxa"/>
          </w:tcPr>
          <w:p w14:paraId="67A0F430" w14:textId="77777777" w:rsidR="00A72E80" w:rsidRPr="00C9343F" w:rsidRDefault="00A72E80" w:rsidP="00F66D98">
            <w:pPr>
              <w:pStyle w:val="BlockText-Plain"/>
              <w:jc w:val="center"/>
            </w:pPr>
          </w:p>
        </w:tc>
        <w:tc>
          <w:tcPr>
            <w:tcW w:w="8363" w:type="dxa"/>
          </w:tcPr>
          <w:p w14:paraId="24C4B57F" w14:textId="77777777" w:rsidR="00A72E80" w:rsidRPr="00C9343F" w:rsidRDefault="00A72E80" w:rsidP="00F66D98">
            <w:pPr>
              <w:pStyle w:val="BlockText-Plain"/>
            </w:pPr>
            <w:r w:rsidRPr="00C9343F">
              <w:t>Means a form approved by Assistant Secretary People Policy and Employment Conditions by notifiable instrument.</w:t>
            </w:r>
          </w:p>
        </w:tc>
      </w:tr>
    </w:tbl>
    <w:p w14:paraId="5376EB8B" w14:textId="1F954E10" w:rsidR="00AF060B" w:rsidRPr="00C9343F" w:rsidRDefault="00AF060B" w:rsidP="00F66D98">
      <w:pPr>
        <w:pStyle w:val="Heading5"/>
      </w:pPr>
      <w:bookmarkStart w:id="49" w:name="B"/>
      <w:bookmarkStart w:id="50" w:name="_Toc105053478"/>
      <w:bookmarkEnd w:id="49"/>
      <w:r w:rsidRPr="00C9343F">
        <w:t>1.3.6</w:t>
      </w:r>
      <w:r w:rsidR="00D94006" w:rsidRPr="00C9343F">
        <w:t>    </w:t>
      </w:r>
      <w:r w:rsidRPr="00C9343F">
        <w:t>Baggage</w:t>
      </w:r>
      <w:bookmarkEnd w:id="50"/>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7A940EF7" w14:textId="77777777">
        <w:tc>
          <w:tcPr>
            <w:tcW w:w="992" w:type="dxa"/>
          </w:tcPr>
          <w:p w14:paraId="143720D2" w14:textId="77777777" w:rsidR="00AF060B" w:rsidRPr="00C9343F" w:rsidRDefault="00AF060B" w:rsidP="00F66D98">
            <w:pPr>
              <w:pStyle w:val="BlockText-Plain"/>
              <w:jc w:val="center"/>
            </w:pPr>
            <w:r w:rsidRPr="00C9343F">
              <w:t>1.</w:t>
            </w:r>
          </w:p>
        </w:tc>
        <w:tc>
          <w:tcPr>
            <w:tcW w:w="8363" w:type="dxa"/>
            <w:gridSpan w:val="2"/>
          </w:tcPr>
          <w:p w14:paraId="21F2CC4B" w14:textId="77777777" w:rsidR="00AF060B" w:rsidRPr="00C9343F" w:rsidRDefault="00AF060B" w:rsidP="00F66D98">
            <w:pPr>
              <w:pStyle w:val="BlockText-Plain"/>
            </w:pPr>
            <w:r w:rsidRPr="00C9343F">
              <w:t>For service within Australia – baggage means personal possessions that meet either of these conditions.</w:t>
            </w:r>
          </w:p>
        </w:tc>
      </w:tr>
      <w:tr w:rsidR="00AF060B" w:rsidRPr="00C9343F" w14:paraId="56CA5DCD" w14:textId="77777777">
        <w:trPr>
          <w:cantSplit/>
        </w:trPr>
        <w:tc>
          <w:tcPr>
            <w:tcW w:w="992" w:type="dxa"/>
          </w:tcPr>
          <w:p w14:paraId="1D0F2300" w14:textId="77777777" w:rsidR="00AF060B" w:rsidRPr="00C9343F" w:rsidRDefault="00AF060B" w:rsidP="00F66D98">
            <w:pPr>
              <w:pStyle w:val="BlockText-Plain"/>
            </w:pPr>
          </w:p>
        </w:tc>
        <w:tc>
          <w:tcPr>
            <w:tcW w:w="567" w:type="dxa"/>
          </w:tcPr>
          <w:p w14:paraId="68BE87D8" w14:textId="77777777" w:rsidR="00AF060B" w:rsidRPr="00C9343F" w:rsidRDefault="00AF060B" w:rsidP="007114B1">
            <w:pPr>
              <w:pStyle w:val="BlockText-Plain"/>
              <w:jc w:val="center"/>
            </w:pPr>
            <w:r w:rsidRPr="00C9343F">
              <w:t>a.</w:t>
            </w:r>
          </w:p>
        </w:tc>
        <w:tc>
          <w:tcPr>
            <w:tcW w:w="7796" w:type="dxa"/>
          </w:tcPr>
          <w:p w14:paraId="706E694B" w14:textId="77777777" w:rsidR="00AF060B" w:rsidRPr="00C9343F" w:rsidRDefault="00AF060B" w:rsidP="00F66D98">
            <w:pPr>
              <w:pStyle w:val="BlockText-Plain"/>
            </w:pPr>
            <w:r w:rsidRPr="00C9343F">
              <w:t>They accompany the member by public transport.</w:t>
            </w:r>
          </w:p>
        </w:tc>
      </w:tr>
      <w:tr w:rsidR="00AF060B" w:rsidRPr="00C9343F" w14:paraId="21631AE9" w14:textId="77777777">
        <w:trPr>
          <w:cantSplit/>
        </w:trPr>
        <w:tc>
          <w:tcPr>
            <w:tcW w:w="992" w:type="dxa"/>
          </w:tcPr>
          <w:p w14:paraId="2C7D6F8B" w14:textId="77777777" w:rsidR="00AF060B" w:rsidRPr="00C9343F" w:rsidRDefault="00AF060B" w:rsidP="00F66D98">
            <w:pPr>
              <w:pStyle w:val="BlockText-Plain"/>
            </w:pPr>
          </w:p>
        </w:tc>
        <w:tc>
          <w:tcPr>
            <w:tcW w:w="567" w:type="dxa"/>
          </w:tcPr>
          <w:p w14:paraId="632CFAD1" w14:textId="77777777" w:rsidR="00AF060B" w:rsidRPr="00C9343F" w:rsidRDefault="00AF060B" w:rsidP="007114B1">
            <w:pPr>
              <w:pStyle w:val="BlockText-Plain"/>
              <w:jc w:val="center"/>
            </w:pPr>
            <w:r w:rsidRPr="00C9343F">
              <w:t>b.</w:t>
            </w:r>
          </w:p>
        </w:tc>
        <w:tc>
          <w:tcPr>
            <w:tcW w:w="7796" w:type="dxa"/>
          </w:tcPr>
          <w:p w14:paraId="4F9EFD2A" w14:textId="77777777" w:rsidR="00AF060B" w:rsidRPr="00C9343F" w:rsidRDefault="00AF060B" w:rsidP="00F66D98">
            <w:pPr>
              <w:pStyle w:val="BlockText-Plain"/>
            </w:pPr>
            <w:r w:rsidRPr="00C9343F">
              <w:t>They are sent by public transport unaccompanied.</w:t>
            </w:r>
          </w:p>
        </w:tc>
      </w:tr>
      <w:tr w:rsidR="00AF060B" w:rsidRPr="00C9343F" w14:paraId="5EB49CC3" w14:textId="77777777">
        <w:tc>
          <w:tcPr>
            <w:tcW w:w="992" w:type="dxa"/>
          </w:tcPr>
          <w:p w14:paraId="720C30A3" w14:textId="77777777" w:rsidR="00AF060B" w:rsidRPr="00C9343F" w:rsidRDefault="00AF060B" w:rsidP="00F66D98">
            <w:pPr>
              <w:pStyle w:val="BlockText-Plain"/>
              <w:jc w:val="center"/>
            </w:pPr>
            <w:r w:rsidRPr="00C9343F">
              <w:t>2.</w:t>
            </w:r>
          </w:p>
        </w:tc>
        <w:tc>
          <w:tcPr>
            <w:tcW w:w="8363" w:type="dxa"/>
            <w:gridSpan w:val="2"/>
          </w:tcPr>
          <w:p w14:paraId="58B2CECE" w14:textId="77777777" w:rsidR="00AF060B" w:rsidRPr="00C9343F" w:rsidRDefault="00AF060B" w:rsidP="00F66D98">
            <w:pPr>
              <w:pStyle w:val="BlockText-Plain"/>
            </w:pPr>
            <w:r w:rsidRPr="00C9343F">
              <w:t xml:space="preserve">For a removal, baggage includes parts of a </w:t>
            </w:r>
            <w:r w:rsidR="00157960" w:rsidRPr="00C9343F">
              <w:t>person</w:t>
            </w:r>
            <w:r w:rsidRPr="00C9343F">
              <w:t>’s furniture and effects that they choose not to be carried by a contracted removalist.</w:t>
            </w:r>
          </w:p>
        </w:tc>
      </w:tr>
    </w:tbl>
    <w:p w14:paraId="51EEBC35" w14:textId="153145BE" w:rsidR="00AF060B" w:rsidRPr="00C9343F" w:rsidRDefault="00AF060B" w:rsidP="00F66D98">
      <w:pPr>
        <w:pStyle w:val="Heading5"/>
      </w:pPr>
      <w:bookmarkStart w:id="51" w:name="C"/>
      <w:bookmarkStart w:id="52" w:name="calendar"/>
      <w:bookmarkStart w:id="53" w:name="_Toc105053479"/>
      <w:bookmarkEnd w:id="51"/>
      <w:bookmarkEnd w:id="52"/>
      <w:r w:rsidRPr="00C9343F">
        <w:lastRenderedPageBreak/>
        <w:t>1.3.8</w:t>
      </w:r>
      <w:r w:rsidR="00D94006" w:rsidRPr="00C9343F">
        <w:t>    </w:t>
      </w:r>
      <w:r w:rsidRPr="00C9343F">
        <w:t>Calendar month</w:t>
      </w:r>
      <w:bookmarkEnd w:id="53"/>
    </w:p>
    <w:tbl>
      <w:tblPr>
        <w:tblW w:w="0" w:type="auto"/>
        <w:tblInd w:w="113" w:type="dxa"/>
        <w:tblLayout w:type="fixed"/>
        <w:tblLook w:val="0000" w:firstRow="0" w:lastRow="0" w:firstColumn="0" w:lastColumn="0" w:noHBand="0" w:noVBand="0"/>
      </w:tblPr>
      <w:tblGrid>
        <w:gridCol w:w="992"/>
        <w:gridCol w:w="8367"/>
      </w:tblGrid>
      <w:tr w:rsidR="00AF060B" w:rsidRPr="00C9343F" w14:paraId="59628E4E" w14:textId="77777777" w:rsidTr="00DF289D">
        <w:tc>
          <w:tcPr>
            <w:tcW w:w="992" w:type="dxa"/>
          </w:tcPr>
          <w:p w14:paraId="4EB70F26" w14:textId="77777777" w:rsidR="00AF060B" w:rsidRPr="00C9343F" w:rsidRDefault="00AF060B" w:rsidP="00F66D98">
            <w:pPr>
              <w:pStyle w:val="BlockText-Plain"/>
              <w:jc w:val="center"/>
            </w:pPr>
          </w:p>
        </w:tc>
        <w:tc>
          <w:tcPr>
            <w:tcW w:w="8367" w:type="dxa"/>
          </w:tcPr>
          <w:p w14:paraId="5FCD1319" w14:textId="77777777" w:rsidR="00AF060B" w:rsidRPr="00C9343F" w:rsidRDefault="00AF060B" w:rsidP="00F66D98">
            <w:pPr>
              <w:pStyle w:val="BlockText-Plain"/>
            </w:pPr>
            <w:r w:rsidRPr="00C9343F">
              <w:t xml:space="preserve">Calendar month </w:t>
            </w:r>
            <w:r w:rsidR="00DF289D" w:rsidRPr="00C9343F">
              <w:t>has the same meaning as in section 2B of the Acts Interpretation Act 1901.</w:t>
            </w:r>
          </w:p>
        </w:tc>
      </w:tr>
    </w:tbl>
    <w:p w14:paraId="34FA3994" w14:textId="1BCF0B9A" w:rsidR="00AF060B" w:rsidRPr="00C9343F" w:rsidRDefault="00AF060B" w:rsidP="00F66D98">
      <w:pPr>
        <w:pStyle w:val="Heading5"/>
      </w:pPr>
      <w:bookmarkStart w:id="54" w:name="_Toc105053480"/>
      <w:r w:rsidRPr="00C9343F">
        <w:t>1.3.9</w:t>
      </w:r>
      <w:r w:rsidR="00D94006" w:rsidRPr="00C9343F">
        <w:t>    </w:t>
      </w:r>
      <w:r w:rsidRPr="00C9343F">
        <w:t>Capital city</w:t>
      </w:r>
      <w:bookmarkEnd w:id="54"/>
    </w:p>
    <w:tbl>
      <w:tblPr>
        <w:tblW w:w="0" w:type="auto"/>
        <w:tblInd w:w="113" w:type="dxa"/>
        <w:tblLayout w:type="fixed"/>
        <w:tblLook w:val="0000" w:firstRow="0" w:lastRow="0" w:firstColumn="0" w:lastColumn="0" w:noHBand="0" w:noVBand="0"/>
      </w:tblPr>
      <w:tblGrid>
        <w:gridCol w:w="992"/>
        <w:gridCol w:w="8363"/>
      </w:tblGrid>
      <w:tr w:rsidR="00AF060B" w:rsidRPr="00C9343F" w14:paraId="47583937" w14:textId="77777777">
        <w:tc>
          <w:tcPr>
            <w:tcW w:w="992" w:type="dxa"/>
          </w:tcPr>
          <w:p w14:paraId="7E7FA42D" w14:textId="77777777" w:rsidR="00AF060B" w:rsidRPr="00C9343F" w:rsidRDefault="00AF060B" w:rsidP="00F66D98">
            <w:pPr>
              <w:pStyle w:val="BlockText-Plain"/>
              <w:jc w:val="center"/>
            </w:pPr>
          </w:p>
        </w:tc>
        <w:tc>
          <w:tcPr>
            <w:tcW w:w="8363" w:type="dxa"/>
          </w:tcPr>
          <w:p w14:paraId="01CA4225" w14:textId="77777777" w:rsidR="00AF060B" w:rsidRPr="00C9343F" w:rsidRDefault="00AF060B" w:rsidP="00F66D98">
            <w:pPr>
              <w:pStyle w:val="BlockText-Plain"/>
            </w:pPr>
            <w:r w:rsidRPr="00C9343F">
              <w:t>Capital city means Canberra, Darwin or the metropolitan area of the capital city of a State.</w:t>
            </w:r>
          </w:p>
        </w:tc>
      </w:tr>
    </w:tbl>
    <w:p w14:paraId="1E97E088" w14:textId="4825BBFD" w:rsidR="00AF060B" w:rsidRPr="00C9343F" w:rsidRDefault="00AF060B" w:rsidP="00F66D98">
      <w:pPr>
        <w:pStyle w:val="Heading5"/>
      </w:pPr>
      <w:bookmarkStart w:id="55" w:name="_Toc105053481"/>
      <w:r w:rsidRPr="00C9343F">
        <w:t>1.3.10</w:t>
      </w:r>
      <w:r w:rsidR="00D94006" w:rsidRPr="00C9343F">
        <w:t>    </w:t>
      </w:r>
      <w:r w:rsidRPr="00C9343F">
        <w:t>CDF</w:t>
      </w:r>
      <w:bookmarkEnd w:id="55"/>
    </w:p>
    <w:tbl>
      <w:tblPr>
        <w:tblW w:w="0" w:type="auto"/>
        <w:tblInd w:w="113" w:type="dxa"/>
        <w:tblLayout w:type="fixed"/>
        <w:tblLook w:val="0000" w:firstRow="0" w:lastRow="0" w:firstColumn="0" w:lastColumn="0" w:noHBand="0" w:noVBand="0"/>
      </w:tblPr>
      <w:tblGrid>
        <w:gridCol w:w="992"/>
        <w:gridCol w:w="8363"/>
      </w:tblGrid>
      <w:tr w:rsidR="00AF060B" w:rsidRPr="00C9343F" w14:paraId="5215AD76" w14:textId="77777777">
        <w:tc>
          <w:tcPr>
            <w:tcW w:w="992" w:type="dxa"/>
          </w:tcPr>
          <w:p w14:paraId="438D7AF4" w14:textId="77777777" w:rsidR="00AF060B" w:rsidRPr="00C9343F" w:rsidRDefault="00AF060B" w:rsidP="00F66D98">
            <w:pPr>
              <w:pStyle w:val="BlockText-Plain"/>
              <w:jc w:val="center"/>
            </w:pPr>
          </w:p>
        </w:tc>
        <w:tc>
          <w:tcPr>
            <w:tcW w:w="8363" w:type="dxa"/>
          </w:tcPr>
          <w:p w14:paraId="25B2A94D" w14:textId="77777777" w:rsidR="00AF060B" w:rsidRPr="00C9343F" w:rsidRDefault="00AF060B" w:rsidP="00F66D98">
            <w:pPr>
              <w:pStyle w:val="BlockText-Plain"/>
            </w:pPr>
            <w:r w:rsidRPr="00C9343F">
              <w:t>CDF means the Chief of the Defence Force. This includes a reference to another person that the CDF authorises to act on their behalf.</w:t>
            </w:r>
          </w:p>
        </w:tc>
      </w:tr>
    </w:tbl>
    <w:p w14:paraId="24AC7471" w14:textId="7337881D" w:rsidR="00AF060B" w:rsidRPr="00C9343F" w:rsidRDefault="00AF060B" w:rsidP="00F66D98">
      <w:pPr>
        <w:pStyle w:val="Heading5"/>
      </w:pPr>
      <w:bookmarkStart w:id="56" w:name="_Toc105053482"/>
      <w:r w:rsidRPr="00C9343F">
        <w:t>1.3.11</w:t>
      </w:r>
      <w:r w:rsidR="00D94006" w:rsidRPr="00C9343F">
        <w:t>    </w:t>
      </w:r>
      <w:r w:rsidRPr="00C9343F">
        <w:t>Commonwealth</w:t>
      </w:r>
      <w:bookmarkEnd w:id="56"/>
    </w:p>
    <w:tbl>
      <w:tblPr>
        <w:tblW w:w="0" w:type="auto"/>
        <w:tblInd w:w="113" w:type="dxa"/>
        <w:tblLayout w:type="fixed"/>
        <w:tblLook w:val="0000" w:firstRow="0" w:lastRow="0" w:firstColumn="0" w:lastColumn="0" w:noHBand="0" w:noVBand="0"/>
      </w:tblPr>
      <w:tblGrid>
        <w:gridCol w:w="992"/>
        <w:gridCol w:w="8363"/>
      </w:tblGrid>
      <w:tr w:rsidR="00AF060B" w:rsidRPr="00C9343F" w14:paraId="6E9238B7" w14:textId="77777777">
        <w:tc>
          <w:tcPr>
            <w:tcW w:w="992" w:type="dxa"/>
          </w:tcPr>
          <w:p w14:paraId="06FBCE19" w14:textId="77777777" w:rsidR="00AF060B" w:rsidRPr="00C9343F" w:rsidRDefault="00AF060B" w:rsidP="00F66D98">
            <w:pPr>
              <w:pStyle w:val="BlockText-Plain"/>
              <w:jc w:val="center"/>
            </w:pPr>
          </w:p>
        </w:tc>
        <w:tc>
          <w:tcPr>
            <w:tcW w:w="8363" w:type="dxa"/>
          </w:tcPr>
          <w:p w14:paraId="051E4DA8" w14:textId="77777777" w:rsidR="00AF060B" w:rsidRPr="00C9343F" w:rsidRDefault="00AF060B" w:rsidP="00F66D98">
            <w:pPr>
              <w:pStyle w:val="BlockText-Plain"/>
            </w:pPr>
            <w:r w:rsidRPr="00C9343F">
              <w:t>Commonwealth includes a body corporate incorporated for a public purpose by or under a law of the Commonwealth or of a Territory. Commonwealth excludes an incorporated company, society or association.</w:t>
            </w:r>
          </w:p>
          <w:p w14:paraId="7695DED3" w14:textId="77777777" w:rsidR="00AF060B" w:rsidRPr="00C9343F" w:rsidRDefault="00AF060B" w:rsidP="00F66D98">
            <w:pPr>
              <w:pStyle w:val="BlockText-Plain"/>
            </w:pPr>
            <w:r w:rsidRPr="00C9343F">
              <w:rPr>
                <w:b/>
              </w:rPr>
              <w:t>See</w:t>
            </w:r>
            <w:r w:rsidR="001F6921" w:rsidRPr="00C9343F">
              <w:rPr>
                <w:b/>
              </w:rPr>
              <w:t>:</w:t>
            </w:r>
            <w:r w:rsidRPr="00C9343F">
              <w:t xml:space="preserve"> </w:t>
            </w:r>
            <w:r w:rsidR="0083748C" w:rsidRPr="00C9343F">
              <w:t>S</w:t>
            </w:r>
            <w:r w:rsidRPr="00C9343F">
              <w:t xml:space="preserve">ection 17 of the </w:t>
            </w:r>
            <w:r w:rsidRPr="00C9343F">
              <w:rPr>
                <w:i/>
              </w:rPr>
              <w:t>Acts Interpretation Act 1901</w:t>
            </w:r>
          </w:p>
        </w:tc>
      </w:tr>
    </w:tbl>
    <w:p w14:paraId="7A96AC41" w14:textId="0F3ABC70" w:rsidR="00AF060B" w:rsidRPr="00C9343F" w:rsidRDefault="00AF060B" w:rsidP="00F66D98">
      <w:pPr>
        <w:pStyle w:val="Heading5"/>
      </w:pPr>
      <w:bookmarkStart w:id="57" w:name="commremovalist"/>
      <w:bookmarkStart w:id="58" w:name="_Toc105053483"/>
      <w:bookmarkEnd w:id="57"/>
      <w:r w:rsidRPr="00C9343F">
        <w:t>1.3.12</w:t>
      </w:r>
      <w:r w:rsidR="00D94006" w:rsidRPr="00C9343F">
        <w:t>    </w:t>
      </w:r>
      <w:r w:rsidRPr="00C9343F">
        <w:t>Commonwealth removalist</w:t>
      </w:r>
      <w:bookmarkEnd w:id="58"/>
    </w:p>
    <w:tbl>
      <w:tblPr>
        <w:tblW w:w="0" w:type="auto"/>
        <w:tblInd w:w="113" w:type="dxa"/>
        <w:tblLayout w:type="fixed"/>
        <w:tblLook w:val="0000" w:firstRow="0" w:lastRow="0" w:firstColumn="0" w:lastColumn="0" w:noHBand="0" w:noVBand="0"/>
      </w:tblPr>
      <w:tblGrid>
        <w:gridCol w:w="992"/>
        <w:gridCol w:w="8363"/>
      </w:tblGrid>
      <w:tr w:rsidR="00AF060B" w:rsidRPr="00C9343F" w14:paraId="101FF2AF" w14:textId="77777777">
        <w:tc>
          <w:tcPr>
            <w:tcW w:w="992" w:type="dxa"/>
          </w:tcPr>
          <w:p w14:paraId="015B297C" w14:textId="77777777" w:rsidR="00AF060B" w:rsidRPr="00C9343F" w:rsidRDefault="00AF060B" w:rsidP="00F66D98">
            <w:pPr>
              <w:pStyle w:val="BlockText-Plain"/>
              <w:jc w:val="center"/>
            </w:pPr>
          </w:p>
        </w:tc>
        <w:tc>
          <w:tcPr>
            <w:tcW w:w="8363" w:type="dxa"/>
          </w:tcPr>
          <w:p w14:paraId="215334DE" w14:textId="77777777" w:rsidR="00AF060B" w:rsidRPr="00C9343F" w:rsidRDefault="00BD10CC" w:rsidP="00F66D98">
            <w:pPr>
              <w:pStyle w:val="BlockText-Plain"/>
            </w:pPr>
            <w:r w:rsidRPr="00C9343F">
              <w:t>Commonwealth removalist means Toll Transitions Pty Ltd, its subcontractors, agents or employees who provide removal services under a contract with the Commonwealth.</w:t>
            </w:r>
          </w:p>
        </w:tc>
      </w:tr>
    </w:tbl>
    <w:p w14:paraId="34ADCDDF" w14:textId="5F361ACA" w:rsidR="00AF060B" w:rsidRPr="00C9343F" w:rsidRDefault="00AF060B" w:rsidP="00F66D98">
      <w:pPr>
        <w:pStyle w:val="Heading5"/>
      </w:pPr>
      <w:bookmarkStart w:id="59" w:name="_Toc105053484"/>
      <w:r w:rsidRPr="00C9343F">
        <w:t>1.3.13</w:t>
      </w:r>
      <w:r w:rsidR="00D94006" w:rsidRPr="00C9343F">
        <w:t>    </w:t>
      </w:r>
      <w:r w:rsidRPr="00C9343F">
        <w:t>Compulsory residency</w:t>
      </w:r>
      <w:bookmarkEnd w:id="59"/>
    </w:p>
    <w:tbl>
      <w:tblPr>
        <w:tblW w:w="0" w:type="auto"/>
        <w:tblInd w:w="113" w:type="dxa"/>
        <w:tblLayout w:type="fixed"/>
        <w:tblLook w:val="0000" w:firstRow="0" w:lastRow="0" w:firstColumn="0" w:lastColumn="0" w:noHBand="0" w:noVBand="0"/>
      </w:tblPr>
      <w:tblGrid>
        <w:gridCol w:w="992"/>
        <w:gridCol w:w="8363"/>
      </w:tblGrid>
      <w:tr w:rsidR="00AF060B" w:rsidRPr="00C9343F" w14:paraId="35473604" w14:textId="77777777">
        <w:tc>
          <w:tcPr>
            <w:tcW w:w="992" w:type="dxa"/>
          </w:tcPr>
          <w:p w14:paraId="0ABFBF3E" w14:textId="77777777" w:rsidR="00AF060B" w:rsidRPr="00C9343F" w:rsidRDefault="00AF060B" w:rsidP="00F66D98">
            <w:pPr>
              <w:pStyle w:val="BlockText-Plain"/>
              <w:jc w:val="center"/>
            </w:pPr>
          </w:p>
        </w:tc>
        <w:tc>
          <w:tcPr>
            <w:tcW w:w="8363" w:type="dxa"/>
          </w:tcPr>
          <w:p w14:paraId="79185379" w14:textId="77777777" w:rsidR="00AF060B" w:rsidRPr="00C9343F" w:rsidRDefault="00AF060B" w:rsidP="00F66D98">
            <w:pPr>
              <w:pStyle w:val="BlockText-Plain"/>
            </w:pPr>
            <w:r w:rsidRPr="00C9343F">
              <w:t>Compulsory residency means training in a hospital undertaken by a medical officer as a condition of entry into the medical profession. It does not matter whether or not the medical officer lives in accommodation provided by the hospital.</w:t>
            </w:r>
          </w:p>
        </w:tc>
      </w:tr>
    </w:tbl>
    <w:p w14:paraId="07F00CA6" w14:textId="634504C1" w:rsidR="00AF060B" w:rsidRPr="00C9343F" w:rsidRDefault="00AF060B" w:rsidP="00F66D98">
      <w:pPr>
        <w:pStyle w:val="Heading5"/>
      </w:pPr>
      <w:bookmarkStart w:id="60" w:name="_Toc105053485"/>
      <w:r w:rsidRPr="00C9343F">
        <w:t>1</w:t>
      </w:r>
      <w:bookmarkStart w:id="61" w:name="continuousFT"/>
      <w:bookmarkEnd w:id="61"/>
      <w:r w:rsidRPr="00C9343F">
        <w:t>.3.15</w:t>
      </w:r>
      <w:r w:rsidR="00D94006" w:rsidRPr="00C9343F">
        <w:t>    </w:t>
      </w:r>
      <w:r w:rsidRPr="00C9343F">
        <w:t>Continuous full-time service</w:t>
      </w:r>
      <w:bookmarkEnd w:id="60"/>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03B5BD7F" w14:textId="77777777">
        <w:tc>
          <w:tcPr>
            <w:tcW w:w="992" w:type="dxa"/>
          </w:tcPr>
          <w:p w14:paraId="1F2203F0" w14:textId="77777777" w:rsidR="00AF060B" w:rsidRPr="00C9343F" w:rsidRDefault="00AF060B" w:rsidP="00F66D98">
            <w:pPr>
              <w:pStyle w:val="BlockText-Plain"/>
              <w:jc w:val="center"/>
            </w:pPr>
            <w:r w:rsidRPr="00C9343F">
              <w:t>1.</w:t>
            </w:r>
          </w:p>
        </w:tc>
        <w:tc>
          <w:tcPr>
            <w:tcW w:w="8363" w:type="dxa"/>
            <w:gridSpan w:val="2"/>
          </w:tcPr>
          <w:p w14:paraId="76FDDA89" w14:textId="3801C67B" w:rsidR="00AF060B" w:rsidRPr="00C9343F" w:rsidRDefault="00AF060B" w:rsidP="00F66D98">
            <w:pPr>
              <w:pStyle w:val="BlockText-Plain"/>
            </w:pPr>
            <w:r w:rsidRPr="00C9343F">
              <w:t>Continuous full-time service excludes Reserve service. Members on continuous full-time service are paid an annual rate of salary. If eligible, they are entitled to the conditions of service under Chapters 2 to 17.</w:t>
            </w:r>
          </w:p>
        </w:tc>
      </w:tr>
      <w:tr w:rsidR="00AF060B" w:rsidRPr="00C9343F" w14:paraId="4DCEF2ED" w14:textId="77777777">
        <w:tc>
          <w:tcPr>
            <w:tcW w:w="992" w:type="dxa"/>
          </w:tcPr>
          <w:p w14:paraId="6E337133" w14:textId="77777777" w:rsidR="00AF060B" w:rsidRPr="00C9343F" w:rsidRDefault="00AF060B" w:rsidP="00F66D98">
            <w:pPr>
              <w:pStyle w:val="BlockText-Plain"/>
              <w:jc w:val="center"/>
            </w:pPr>
            <w:r w:rsidRPr="00C9343F">
              <w:t>2.</w:t>
            </w:r>
          </w:p>
        </w:tc>
        <w:tc>
          <w:tcPr>
            <w:tcW w:w="8363" w:type="dxa"/>
            <w:gridSpan w:val="2"/>
          </w:tcPr>
          <w:p w14:paraId="468A96FB" w14:textId="77777777" w:rsidR="00AF060B" w:rsidRPr="00C9343F" w:rsidRDefault="00AF060B" w:rsidP="00F66D98">
            <w:pPr>
              <w:pStyle w:val="BlockText-Plain"/>
            </w:pPr>
            <w:r w:rsidRPr="00C9343F">
              <w:t xml:space="preserve">This </w:t>
            </w:r>
            <w:r w:rsidR="00157960" w:rsidRPr="00C9343F">
              <w:t>concept</w:t>
            </w:r>
            <w:r w:rsidRPr="00C9343F">
              <w:t xml:space="preserve"> applies to the service performed by these two groups of members. </w:t>
            </w:r>
          </w:p>
        </w:tc>
      </w:tr>
      <w:tr w:rsidR="00AF060B" w:rsidRPr="00C9343F" w14:paraId="65083443" w14:textId="77777777">
        <w:trPr>
          <w:cantSplit/>
        </w:trPr>
        <w:tc>
          <w:tcPr>
            <w:tcW w:w="992" w:type="dxa"/>
          </w:tcPr>
          <w:p w14:paraId="174A3C7A" w14:textId="77777777" w:rsidR="00AF060B" w:rsidRPr="00C9343F" w:rsidRDefault="00AF060B" w:rsidP="00F66D98">
            <w:pPr>
              <w:pStyle w:val="BlockText-Plain"/>
            </w:pPr>
          </w:p>
        </w:tc>
        <w:tc>
          <w:tcPr>
            <w:tcW w:w="567" w:type="dxa"/>
          </w:tcPr>
          <w:p w14:paraId="15FEC7A6" w14:textId="77777777" w:rsidR="00AF060B" w:rsidRPr="00C9343F" w:rsidRDefault="00AF060B" w:rsidP="007114B1">
            <w:pPr>
              <w:pStyle w:val="BlockText-Plain"/>
              <w:jc w:val="center"/>
            </w:pPr>
            <w:r w:rsidRPr="00C9343F">
              <w:t>a.</w:t>
            </w:r>
          </w:p>
        </w:tc>
        <w:tc>
          <w:tcPr>
            <w:tcW w:w="7796" w:type="dxa"/>
          </w:tcPr>
          <w:p w14:paraId="6A3DEF0A" w14:textId="77777777" w:rsidR="00AF060B" w:rsidRPr="00C9343F" w:rsidRDefault="00AF060B" w:rsidP="00F66D98">
            <w:pPr>
              <w:pStyle w:val="BlockText-Plain"/>
            </w:pPr>
            <w:r w:rsidRPr="00C9343F">
              <w:t>Members of the Permanent Forces.</w:t>
            </w:r>
          </w:p>
        </w:tc>
      </w:tr>
      <w:tr w:rsidR="00AF060B" w:rsidRPr="00C9343F" w14:paraId="435F2B4B" w14:textId="77777777">
        <w:trPr>
          <w:cantSplit/>
        </w:trPr>
        <w:tc>
          <w:tcPr>
            <w:tcW w:w="992" w:type="dxa"/>
          </w:tcPr>
          <w:p w14:paraId="06C9E22F" w14:textId="77777777" w:rsidR="00AF060B" w:rsidRPr="00C9343F" w:rsidRDefault="00AF060B" w:rsidP="00F66D98">
            <w:pPr>
              <w:pStyle w:val="BlockText-Plain"/>
            </w:pPr>
          </w:p>
        </w:tc>
        <w:tc>
          <w:tcPr>
            <w:tcW w:w="567" w:type="dxa"/>
          </w:tcPr>
          <w:p w14:paraId="09F6D183" w14:textId="77777777" w:rsidR="00AF060B" w:rsidRPr="00C9343F" w:rsidRDefault="00AF060B" w:rsidP="007114B1">
            <w:pPr>
              <w:pStyle w:val="BlockText-Plain"/>
              <w:jc w:val="center"/>
            </w:pPr>
            <w:r w:rsidRPr="00C9343F">
              <w:t>b.</w:t>
            </w:r>
          </w:p>
        </w:tc>
        <w:tc>
          <w:tcPr>
            <w:tcW w:w="7796" w:type="dxa"/>
          </w:tcPr>
          <w:p w14:paraId="5CD0370D" w14:textId="77777777" w:rsidR="00AF060B" w:rsidRPr="00C9343F" w:rsidRDefault="00AF060B" w:rsidP="00F66D98">
            <w:pPr>
              <w:pStyle w:val="BlockText-Plain"/>
            </w:pPr>
            <w:r w:rsidRPr="00C9343F">
              <w:t xml:space="preserve">Members of the Reserves who </w:t>
            </w:r>
            <w:r w:rsidR="00C160F5" w:rsidRPr="00C9343F">
              <w:t xml:space="preserve">are </w:t>
            </w:r>
            <w:r w:rsidR="00157960" w:rsidRPr="00C9343F">
              <w:t>required to perform</w:t>
            </w:r>
            <w:r w:rsidRPr="00C9343F">
              <w:t xml:space="preserve"> a period of continuous full-time service with the Permanent Forces. </w:t>
            </w:r>
          </w:p>
          <w:p w14:paraId="3ADCCADC" w14:textId="77777777" w:rsidR="00AF060B" w:rsidRPr="00C9343F" w:rsidRDefault="00AF060B" w:rsidP="00F66D98">
            <w:pPr>
              <w:pStyle w:val="BlockText-Plain"/>
            </w:pPr>
            <w:r w:rsidRPr="00C9343F">
              <w:rPr>
                <w:b/>
              </w:rPr>
              <w:t>See also:</w:t>
            </w:r>
            <w:r w:rsidRPr="00C9343F">
              <w:t xml:space="preserve"> </w:t>
            </w:r>
            <w:r w:rsidR="00580C86" w:rsidRPr="00C9343F">
              <w:t>Section</w:t>
            </w:r>
            <w:r w:rsidRPr="00C9343F">
              <w:t xml:space="preserve"> 1.3</w:t>
            </w:r>
            <w:bookmarkStart w:id="62" w:name="_Hlt103760843"/>
            <w:r w:rsidRPr="00C9343F">
              <w:t>.</w:t>
            </w:r>
            <w:bookmarkEnd w:id="62"/>
            <w:r w:rsidRPr="00C9343F">
              <w:t>6</w:t>
            </w:r>
            <w:r w:rsidR="0083748C" w:rsidRPr="00C9343F">
              <w:t>7</w:t>
            </w:r>
            <w:r w:rsidR="001F6921" w:rsidRPr="00C9343F">
              <w:t>,</w:t>
            </w:r>
            <w:r w:rsidRPr="00C9343F">
              <w:t xml:space="preserve"> Re</w:t>
            </w:r>
            <w:r w:rsidR="001F6921" w:rsidRPr="00C9343F">
              <w:t>serve service</w:t>
            </w:r>
          </w:p>
        </w:tc>
      </w:tr>
      <w:tr w:rsidR="00AF060B" w:rsidRPr="00C9343F" w14:paraId="60832F7F" w14:textId="77777777">
        <w:tc>
          <w:tcPr>
            <w:tcW w:w="992" w:type="dxa"/>
          </w:tcPr>
          <w:p w14:paraId="350CC020" w14:textId="77777777" w:rsidR="00AF060B" w:rsidRPr="00C9343F" w:rsidRDefault="00AF060B" w:rsidP="00F66D98">
            <w:pPr>
              <w:pStyle w:val="BlockText-Plain"/>
              <w:jc w:val="center"/>
            </w:pPr>
          </w:p>
        </w:tc>
        <w:tc>
          <w:tcPr>
            <w:tcW w:w="8363" w:type="dxa"/>
            <w:gridSpan w:val="2"/>
          </w:tcPr>
          <w:p w14:paraId="45336A56" w14:textId="77777777" w:rsidR="00AF060B" w:rsidRPr="00C9343F" w:rsidRDefault="00AF060B" w:rsidP="00F66D98">
            <w:pPr>
              <w:pStyle w:val="BlockText-Plain"/>
            </w:pPr>
            <w:r w:rsidRPr="00C9343F">
              <w:rPr>
                <w:b/>
              </w:rPr>
              <w:t>Example:</w:t>
            </w:r>
            <w:r w:rsidRPr="00C9343F">
              <w:t xml:space="preserve"> A member joined the Navy in </w:t>
            </w:r>
            <w:r w:rsidR="0083748C" w:rsidRPr="00C9343F">
              <w:t>200</w:t>
            </w:r>
            <w:r w:rsidRPr="00C9343F">
              <w:t>0 and served 10 years in the Permanent Forces. The member then joined the Reserves and performed intermittent Navy reserve days during 20</w:t>
            </w:r>
            <w:r w:rsidR="0083748C" w:rsidRPr="00C9343F">
              <w:t>1</w:t>
            </w:r>
            <w:r w:rsidRPr="00C9343F">
              <w:t>0 to 20</w:t>
            </w:r>
            <w:r w:rsidR="0083748C" w:rsidRPr="00C9343F">
              <w:t>1</w:t>
            </w:r>
            <w:r w:rsidRPr="00C9343F">
              <w:t>4. The member is then called out for continuous full-time service for all of 20</w:t>
            </w:r>
            <w:r w:rsidR="0083748C" w:rsidRPr="00C9343F">
              <w:t>1</w:t>
            </w:r>
            <w:r w:rsidRPr="00C9343F">
              <w:t>5.</w:t>
            </w:r>
          </w:p>
        </w:tc>
      </w:tr>
    </w:tbl>
    <w:p w14:paraId="23C1F534" w14:textId="77777777" w:rsidR="00AF060B" w:rsidRPr="00C9343F" w:rsidRDefault="00AF060B"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3685"/>
        <w:gridCol w:w="4111"/>
      </w:tblGrid>
      <w:tr w:rsidR="00AF060B" w:rsidRPr="00C9343F" w14:paraId="7B606AE7" w14:textId="77777777">
        <w:trPr>
          <w:cantSplit/>
        </w:trPr>
        <w:tc>
          <w:tcPr>
            <w:tcW w:w="567" w:type="dxa"/>
            <w:tcBorders>
              <w:top w:val="single" w:sz="6" w:space="0" w:color="auto"/>
              <w:left w:val="single" w:sz="6" w:space="0" w:color="auto"/>
              <w:bottom w:val="single" w:sz="6" w:space="0" w:color="auto"/>
              <w:right w:val="single" w:sz="6" w:space="0" w:color="auto"/>
            </w:tcBorders>
          </w:tcPr>
          <w:p w14:paraId="62E88C1A" w14:textId="77777777" w:rsidR="00AF060B" w:rsidRPr="00C9343F" w:rsidRDefault="00AF060B" w:rsidP="00F66D98">
            <w:pPr>
              <w:pStyle w:val="TableHeaderArial"/>
            </w:pPr>
            <w:r w:rsidRPr="00C9343F">
              <w:lastRenderedPageBreak/>
              <w:t>Item</w:t>
            </w:r>
          </w:p>
        </w:tc>
        <w:tc>
          <w:tcPr>
            <w:tcW w:w="3685" w:type="dxa"/>
            <w:tcBorders>
              <w:top w:val="single" w:sz="6" w:space="0" w:color="auto"/>
              <w:left w:val="single" w:sz="6" w:space="0" w:color="auto"/>
              <w:bottom w:val="single" w:sz="6" w:space="0" w:color="auto"/>
              <w:right w:val="single" w:sz="6" w:space="0" w:color="auto"/>
            </w:tcBorders>
          </w:tcPr>
          <w:p w14:paraId="0E53B4D7" w14:textId="2EA953E9" w:rsidR="00AF060B" w:rsidRPr="00C9343F" w:rsidRDefault="00AF060B" w:rsidP="00F66D98">
            <w:pPr>
              <w:pStyle w:val="TableHeaderArial"/>
            </w:pPr>
            <w:r w:rsidRPr="00C9343F">
              <w:t>During the period</w:t>
            </w:r>
            <w:r w:rsidR="00D94006" w:rsidRPr="00C9343F">
              <w:t>    </w:t>
            </w:r>
          </w:p>
        </w:tc>
        <w:tc>
          <w:tcPr>
            <w:tcW w:w="4111" w:type="dxa"/>
            <w:tcBorders>
              <w:top w:val="single" w:sz="6" w:space="0" w:color="auto"/>
              <w:left w:val="single" w:sz="6" w:space="0" w:color="auto"/>
              <w:bottom w:val="single" w:sz="6" w:space="0" w:color="auto"/>
              <w:right w:val="single" w:sz="6" w:space="0" w:color="auto"/>
            </w:tcBorders>
          </w:tcPr>
          <w:p w14:paraId="3C4D4518" w14:textId="246355E1" w:rsidR="00AF060B" w:rsidRPr="00C9343F" w:rsidRDefault="00AF060B" w:rsidP="00F66D98">
            <w:pPr>
              <w:pStyle w:val="TableHeaderArial"/>
            </w:pPr>
            <w:r w:rsidRPr="00C9343F">
              <w:t>the member was on</w:t>
            </w:r>
            <w:r w:rsidR="00D94006" w:rsidRPr="00C9343F">
              <w:t>    </w:t>
            </w:r>
          </w:p>
        </w:tc>
      </w:tr>
      <w:tr w:rsidR="00AF060B" w:rsidRPr="00C9343F" w14:paraId="39FFE0F0" w14:textId="77777777">
        <w:trPr>
          <w:cantSplit/>
        </w:trPr>
        <w:tc>
          <w:tcPr>
            <w:tcW w:w="567" w:type="dxa"/>
            <w:tcBorders>
              <w:top w:val="single" w:sz="6" w:space="0" w:color="auto"/>
              <w:left w:val="single" w:sz="6" w:space="0" w:color="auto"/>
              <w:bottom w:val="single" w:sz="6" w:space="0" w:color="auto"/>
              <w:right w:val="single" w:sz="6" w:space="0" w:color="auto"/>
            </w:tcBorders>
          </w:tcPr>
          <w:p w14:paraId="3CF2212B" w14:textId="77777777" w:rsidR="00AF060B" w:rsidRPr="00C9343F" w:rsidRDefault="00AF060B" w:rsidP="00F66D98">
            <w:pPr>
              <w:pStyle w:val="TableTextArial-left"/>
              <w:jc w:val="center"/>
            </w:pPr>
            <w:r w:rsidRPr="00C9343F">
              <w:t>1.</w:t>
            </w:r>
          </w:p>
        </w:tc>
        <w:tc>
          <w:tcPr>
            <w:tcW w:w="3685" w:type="dxa"/>
            <w:tcBorders>
              <w:top w:val="single" w:sz="6" w:space="0" w:color="auto"/>
              <w:left w:val="single" w:sz="6" w:space="0" w:color="auto"/>
              <w:bottom w:val="single" w:sz="6" w:space="0" w:color="auto"/>
              <w:right w:val="single" w:sz="6" w:space="0" w:color="auto"/>
            </w:tcBorders>
          </w:tcPr>
          <w:p w14:paraId="2FEF5533" w14:textId="77777777" w:rsidR="00AF060B" w:rsidRPr="00C9343F" w:rsidRDefault="0083748C" w:rsidP="00F66D98">
            <w:pPr>
              <w:pStyle w:val="TableTextArial-left"/>
            </w:pPr>
            <w:r w:rsidRPr="00C9343F">
              <w:t>200</w:t>
            </w:r>
            <w:r w:rsidR="00AF060B" w:rsidRPr="00C9343F">
              <w:t xml:space="preserve">0 to </w:t>
            </w:r>
            <w:r w:rsidRPr="00C9343F">
              <w:t>200</w:t>
            </w:r>
            <w:r w:rsidR="00AF060B" w:rsidRPr="00C9343F">
              <w:t>9</w:t>
            </w:r>
          </w:p>
        </w:tc>
        <w:tc>
          <w:tcPr>
            <w:tcW w:w="4111" w:type="dxa"/>
            <w:tcBorders>
              <w:top w:val="single" w:sz="6" w:space="0" w:color="auto"/>
              <w:left w:val="single" w:sz="6" w:space="0" w:color="auto"/>
              <w:bottom w:val="single" w:sz="6" w:space="0" w:color="auto"/>
              <w:right w:val="single" w:sz="6" w:space="0" w:color="auto"/>
            </w:tcBorders>
          </w:tcPr>
          <w:p w14:paraId="0BA4528F" w14:textId="77777777" w:rsidR="00AF060B" w:rsidRPr="00C9343F" w:rsidRDefault="00AF060B" w:rsidP="00F66D98">
            <w:pPr>
              <w:pStyle w:val="TableTextArial-left"/>
            </w:pPr>
            <w:r w:rsidRPr="00C9343F">
              <w:t>continuous full-time service.</w:t>
            </w:r>
          </w:p>
        </w:tc>
      </w:tr>
      <w:tr w:rsidR="00AF060B" w:rsidRPr="00C9343F" w14:paraId="2E269607" w14:textId="77777777">
        <w:trPr>
          <w:cantSplit/>
        </w:trPr>
        <w:tc>
          <w:tcPr>
            <w:tcW w:w="567" w:type="dxa"/>
            <w:tcBorders>
              <w:top w:val="single" w:sz="6" w:space="0" w:color="auto"/>
              <w:left w:val="single" w:sz="6" w:space="0" w:color="auto"/>
              <w:bottom w:val="single" w:sz="6" w:space="0" w:color="auto"/>
              <w:right w:val="single" w:sz="6" w:space="0" w:color="auto"/>
            </w:tcBorders>
          </w:tcPr>
          <w:p w14:paraId="28651860" w14:textId="77777777" w:rsidR="00AF060B" w:rsidRPr="00C9343F" w:rsidRDefault="00AF060B" w:rsidP="00F66D98">
            <w:pPr>
              <w:pStyle w:val="TableTextArial-left"/>
              <w:jc w:val="center"/>
            </w:pPr>
            <w:r w:rsidRPr="00C9343F">
              <w:t>2.</w:t>
            </w:r>
          </w:p>
        </w:tc>
        <w:tc>
          <w:tcPr>
            <w:tcW w:w="3685" w:type="dxa"/>
            <w:tcBorders>
              <w:top w:val="single" w:sz="6" w:space="0" w:color="auto"/>
              <w:left w:val="single" w:sz="6" w:space="0" w:color="auto"/>
              <w:bottom w:val="single" w:sz="6" w:space="0" w:color="auto"/>
              <w:right w:val="single" w:sz="6" w:space="0" w:color="auto"/>
            </w:tcBorders>
          </w:tcPr>
          <w:p w14:paraId="4964F5C3" w14:textId="77777777" w:rsidR="00AF060B" w:rsidRPr="00C9343F" w:rsidRDefault="00AF060B" w:rsidP="00F66D98">
            <w:pPr>
              <w:pStyle w:val="TableTextArial-left"/>
            </w:pPr>
            <w:r w:rsidRPr="00C9343F">
              <w:t>20</w:t>
            </w:r>
            <w:r w:rsidR="0083748C" w:rsidRPr="00C9343F">
              <w:t>1</w:t>
            </w:r>
            <w:r w:rsidRPr="00C9343F">
              <w:t>0 to 20</w:t>
            </w:r>
            <w:r w:rsidR="0083748C" w:rsidRPr="00C9343F">
              <w:t>1</w:t>
            </w:r>
            <w:r w:rsidRPr="00C9343F">
              <w:t>4</w:t>
            </w:r>
          </w:p>
        </w:tc>
        <w:tc>
          <w:tcPr>
            <w:tcW w:w="4111" w:type="dxa"/>
            <w:tcBorders>
              <w:top w:val="single" w:sz="6" w:space="0" w:color="auto"/>
              <w:left w:val="single" w:sz="6" w:space="0" w:color="auto"/>
              <w:bottom w:val="single" w:sz="6" w:space="0" w:color="auto"/>
              <w:right w:val="single" w:sz="6" w:space="0" w:color="auto"/>
            </w:tcBorders>
          </w:tcPr>
          <w:p w14:paraId="41352058" w14:textId="77777777" w:rsidR="00AF060B" w:rsidRPr="00C9343F" w:rsidRDefault="00AF060B" w:rsidP="00F66D98">
            <w:pPr>
              <w:pStyle w:val="TableTextArial-left"/>
            </w:pPr>
            <w:r w:rsidRPr="00C9343F">
              <w:t>Reserve service.</w:t>
            </w:r>
          </w:p>
        </w:tc>
      </w:tr>
      <w:tr w:rsidR="00AF060B" w:rsidRPr="00C9343F" w14:paraId="0FB92048" w14:textId="77777777">
        <w:trPr>
          <w:cantSplit/>
        </w:trPr>
        <w:tc>
          <w:tcPr>
            <w:tcW w:w="567" w:type="dxa"/>
            <w:tcBorders>
              <w:top w:val="single" w:sz="6" w:space="0" w:color="auto"/>
              <w:left w:val="single" w:sz="6" w:space="0" w:color="auto"/>
              <w:bottom w:val="single" w:sz="6" w:space="0" w:color="auto"/>
              <w:right w:val="single" w:sz="6" w:space="0" w:color="auto"/>
            </w:tcBorders>
          </w:tcPr>
          <w:p w14:paraId="19565E04" w14:textId="77777777" w:rsidR="00AF060B" w:rsidRPr="00C9343F" w:rsidRDefault="00AF060B" w:rsidP="00F66D98">
            <w:pPr>
              <w:pStyle w:val="TableTextArial-left"/>
              <w:jc w:val="center"/>
            </w:pPr>
            <w:r w:rsidRPr="00C9343F">
              <w:t>3.</w:t>
            </w:r>
          </w:p>
        </w:tc>
        <w:tc>
          <w:tcPr>
            <w:tcW w:w="3685" w:type="dxa"/>
            <w:tcBorders>
              <w:top w:val="single" w:sz="6" w:space="0" w:color="auto"/>
              <w:left w:val="single" w:sz="6" w:space="0" w:color="auto"/>
              <w:bottom w:val="single" w:sz="6" w:space="0" w:color="auto"/>
              <w:right w:val="single" w:sz="6" w:space="0" w:color="auto"/>
            </w:tcBorders>
          </w:tcPr>
          <w:p w14:paraId="21618045" w14:textId="77777777" w:rsidR="00AF060B" w:rsidRPr="00C9343F" w:rsidRDefault="00AF060B" w:rsidP="00F66D98">
            <w:pPr>
              <w:pStyle w:val="TableTextArial-left"/>
            </w:pPr>
            <w:r w:rsidRPr="00C9343F">
              <w:t>20</w:t>
            </w:r>
            <w:r w:rsidR="0083748C" w:rsidRPr="00C9343F">
              <w:t>1</w:t>
            </w:r>
            <w:r w:rsidRPr="00C9343F">
              <w:t>5</w:t>
            </w:r>
          </w:p>
        </w:tc>
        <w:tc>
          <w:tcPr>
            <w:tcW w:w="4111" w:type="dxa"/>
            <w:tcBorders>
              <w:top w:val="single" w:sz="6" w:space="0" w:color="auto"/>
              <w:left w:val="single" w:sz="6" w:space="0" w:color="auto"/>
              <w:bottom w:val="single" w:sz="6" w:space="0" w:color="auto"/>
              <w:right w:val="single" w:sz="6" w:space="0" w:color="auto"/>
            </w:tcBorders>
          </w:tcPr>
          <w:p w14:paraId="34828F1D" w14:textId="77777777" w:rsidR="00AF060B" w:rsidRPr="00C9343F" w:rsidRDefault="00AF060B" w:rsidP="00F66D98">
            <w:pPr>
              <w:pStyle w:val="TableTextArial-left"/>
            </w:pPr>
            <w:r w:rsidRPr="00C9343F">
              <w:t>continuous full-time service.</w:t>
            </w:r>
          </w:p>
        </w:tc>
      </w:tr>
    </w:tbl>
    <w:p w14:paraId="4C182E57" w14:textId="77777777" w:rsidR="00AF060B" w:rsidRPr="00C9343F" w:rsidRDefault="00AF060B" w:rsidP="00F66D98"/>
    <w:tbl>
      <w:tblPr>
        <w:tblW w:w="9355" w:type="dxa"/>
        <w:tblInd w:w="113" w:type="dxa"/>
        <w:tblLayout w:type="fixed"/>
        <w:tblLook w:val="0000" w:firstRow="0" w:lastRow="0" w:firstColumn="0" w:lastColumn="0" w:noHBand="0" w:noVBand="0"/>
      </w:tblPr>
      <w:tblGrid>
        <w:gridCol w:w="992"/>
        <w:gridCol w:w="8363"/>
      </w:tblGrid>
      <w:tr w:rsidR="00AF060B" w:rsidRPr="00C9343F" w14:paraId="0DCC3CFC" w14:textId="77777777" w:rsidTr="005C1173">
        <w:tc>
          <w:tcPr>
            <w:tcW w:w="992" w:type="dxa"/>
          </w:tcPr>
          <w:p w14:paraId="56B6A4AF" w14:textId="77777777" w:rsidR="00AF060B" w:rsidRPr="00C9343F" w:rsidRDefault="00AF060B" w:rsidP="00F66D98">
            <w:pPr>
              <w:pStyle w:val="BlockText-Plain"/>
              <w:jc w:val="center"/>
            </w:pPr>
            <w:bookmarkStart w:id="63" w:name="D"/>
            <w:bookmarkEnd w:id="63"/>
          </w:p>
        </w:tc>
        <w:tc>
          <w:tcPr>
            <w:tcW w:w="8363" w:type="dxa"/>
          </w:tcPr>
          <w:p w14:paraId="37D8A8B0" w14:textId="77777777" w:rsidR="00AF060B" w:rsidRPr="00C9343F" w:rsidRDefault="00AF060B" w:rsidP="00F66D98">
            <w:pPr>
              <w:pStyle w:val="BlockText-PlainNoSpacing"/>
              <w:spacing w:after="200"/>
              <w:rPr>
                <w:b/>
              </w:rPr>
            </w:pPr>
            <w:r w:rsidRPr="00C9343F">
              <w:rPr>
                <w:b/>
              </w:rPr>
              <w:t xml:space="preserve">Note: </w:t>
            </w:r>
            <w:r w:rsidRPr="00C9343F">
              <w:t xml:space="preserve">'Ceasing continuous full-time service' includes all forms of </w:t>
            </w:r>
            <w:r w:rsidR="00157960" w:rsidRPr="00C9343F">
              <w:t>termination or transfer of service</w:t>
            </w:r>
            <w:r w:rsidRPr="00C9343F">
              <w:t>. This includes on retirement, retrenchment, and on completing a period of engagement.</w:t>
            </w:r>
          </w:p>
        </w:tc>
      </w:tr>
    </w:tbl>
    <w:p w14:paraId="435A018A" w14:textId="52F6E404" w:rsidR="005C1173" w:rsidRPr="00C9343F" w:rsidRDefault="005C1173" w:rsidP="00F66D98">
      <w:pPr>
        <w:pStyle w:val="Heading5"/>
      </w:pPr>
      <w:bookmarkStart w:id="64" w:name="_Toc32570616"/>
      <w:bookmarkStart w:id="65" w:name="_Toc105053486"/>
      <w:r w:rsidRPr="00C9343F">
        <w:t>1.3.15A</w:t>
      </w:r>
      <w:r w:rsidR="00D94006" w:rsidRPr="00C9343F">
        <w:t>    </w:t>
      </w:r>
      <w:r w:rsidRPr="00C9343F">
        <w:t>Custody</w:t>
      </w:r>
      <w:bookmarkEnd w:id="64"/>
      <w:bookmarkEnd w:id="65"/>
    </w:p>
    <w:tbl>
      <w:tblPr>
        <w:tblW w:w="9359" w:type="dxa"/>
        <w:tblInd w:w="113" w:type="dxa"/>
        <w:tblLayout w:type="fixed"/>
        <w:tblLook w:val="0000" w:firstRow="0" w:lastRow="0" w:firstColumn="0" w:lastColumn="0" w:noHBand="0" w:noVBand="0"/>
      </w:tblPr>
      <w:tblGrid>
        <w:gridCol w:w="992"/>
        <w:gridCol w:w="567"/>
        <w:gridCol w:w="7800"/>
      </w:tblGrid>
      <w:tr w:rsidR="005C1173" w:rsidRPr="00C9343F" w14:paraId="115DEC69" w14:textId="77777777" w:rsidTr="00B02E82">
        <w:tc>
          <w:tcPr>
            <w:tcW w:w="992" w:type="dxa"/>
          </w:tcPr>
          <w:p w14:paraId="6EF9D563" w14:textId="77777777" w:rsidR="005C1173" w:rsidRPr="00C9343F" w:rsidRDefault="005C1173" w:rsidP="00F66D98">
            <w:pPr>
              <w:pStyle w:val="BlockText-Plain"/>
              <w:jc w:val="center"/>
            </w:pPr>
          </w:p>
        </w:tc>
        <w:tc>
          <w:tcPr>
            <w:tcW w:w="8367" w:type="dxa"/>
            <w:gridSpan w:val="2"/>
          </w:tcPr>
          <w:p w14:paraId="017C1C7F" w14:textId="77777777" w:rsidR="005C1173" w:rsidRPr="00C9343F" w:rsidRDefault="005C1173" w:rsidP="00F66D98">
            <w:pPr>
              <w:pStyle w:val="BlockText-Plain"/>
              <w:rPr>
                <w:iCs/>
              </w:rPr>
            </w:pPr>
            <w:r w:rsidRPr="00C9343F">
              <w:t>Means civil custody in the absence of a finding of guilt under any of the following.</w:t>
            </w:r>
          </w:p>
        </w:tc>
      </w:tr>
      <w:tr w:rsidR="005C1173" w:rsidRPr="00C9343F" w14:paraId="57BE56A4" w14:textId="77777777" w:rsidTr="00B02E82">
        <w:trPr>
          <w:cantSplit/>
        </w:trPr>
        <w:tc>
          <w:tcPr>
            <w:tcW w:w="992" w:type="dxa"/>
          </w:tcPr>
          <w:p w14:paraId="5B433B6E" w14:textId="77777777" w:rsidR="005C1173" w:rsidRPr="00C9343F" w:rsidRDefault="005C1173" w:rsidP="00F66D98">
            <w:pPr>
              <w:pStyle w:val="BlockText-Plain"/>
            </w:pPr>
          </w:p>
        </w:tc>
        <w:tc>
          <w:tcPr>
            <w:tcW w:w="567" w:type="dxa"/>
          </w:tcPr>
          <w:p w14:paraId="3D4BD4A6" w14:textId="77777777" w:rsidR="005C1173" w:rsidRPr="00C9343F" w:rsidRDefault="005C1173" w:rsidP="007114B1">
            <w:pPr>
              <w:pStyle w:val="BlockText-Plain"/>
              <w:jc w:val="center"/>
            </w:pPr>
            <w:r w:rsidRPr="00C9343F">
              <w:t>a.</w:t>
            </w:r>
          </w:p>
        </w:tc>
        <w:tc>
          <w:tcPr>
            <w:tcW w:w="7800" w:type="dxa"/>
          </w:tcPr>
          <w:p w14:paraId="2129B2D5" w14:textId="77777777" w:rsidR="005C1173" w:rsidRPr="00C9343F" w:rsidRDefault="005C1173" w:rsidP="00F66D98">
            <w:pPr>
              <w:pStyle w:val="BlockText-Plain"/>
            </w:pPr>
            <w:r w:rsidRPr="00C9343F">
              <w:t xml:space="preserve">A Commonwealth law, other than the </w:t>
            </w:r>
            <w:r w:rsidRPr="00C9343F">
              <w:rPr>
                <w:i/>
              </w:rPr>
              <w:t>Defence Force Discipline Act 1982</w:t>
            </w:r>
            <w:r w:rsidRPr="00C9343F">
              <w:t>.</w:t>
            </w:r>
          </w:p>
        </w:tc>
      </w:tr>
      <w:tr w:rsidR="005C1173" w:rsidRPr="00C9343F" w14:paraId="2678B263" w14:textId="77777777" w:rsidTr="00B02E82">
        <w:trPr>
          <w:cantSplit/>
        </w:trPr>
        <w:tc>
          <w:tcPr>
            <w:tcW w:w="992" w:type="dxa"/>
          </w:tcPr>
          <w:p w14:paraId="3C0EB36F" w14:textId="77777777" w:rsidR="005C1173" w:rsidRPr="00C9343F" w:rsidRDefault="005C1173" w:rsidP="00F66D98">
            <w:pPr>
              <w:pStyle w:val="BlockText-Plain"/>
            </w:pPr>
          </w:p>
        </w:tc>
        <w:tc>
          <w:tcPr>
            <w:tcW w:w="567" w:type="dxa"/>
          </w:tcPr>
          <w:p w14:paraId="1B068BB5" w14:textId="77777777" w:rsidR="005C1173" w:rsidRPr="00C9343F" w:rsidRDefault="005C1173" w:rsidP="007114B1">
            <w:pPr>
              <w:pStyle w:val="BlockText-Plain"/>
              <w:jc w:val="center"/>
            </w:pPr>
            <w:r w:rsidRPr="00C9343F">
              <w:t>b.</w:t>
            </w:r>
          </w:p>
        </w:tc>
        <w:tc>
          <w:tcPr>
            <w:tcW w:w="7800" w:type="dxa"/>
          </w:tcPr>
          <w:p w14:paraId="652A652F" w14:textId="77777777" w:rsidR="005C1173" w:rsidRPr="00C9343F" w:rsidRDefault="005C1173" w:rsidP="00F66D98">
            <w:pPr>
              <w:pStyle w:val="BlockText-Plain"/>
            </w:pPr>
            <w:r w:rsidRPr="00C9343F">
              <w:t>A State or Territory law.</w:t>
            </w:r>
          </w:p>
        </w:tc>
      </w:tr>
      <w:tr w:rsidR="005C1173" w:rsidRPr="00C9343F" w14:paraId="061A68D4" w14:textId="77777777" w:rsidTr="00B02E82">
        <w:trPr>
          <w:cantSplit/>
        </w:trPr>
        <w:tc>
          <w:tcPr>
            <w:tcW w:w="992" w:type="dxa"/>
          </w:tcPr>
          <w:p w14:paraId="7F605288" w14:textId="77777777" w:rsidR="005C1173" w:rsidRPr="00C9343F" w:rsidRDefault="005C1173" w:rsidP="00F66D98">
            <w:pPr>
              <w:pStyle w:val="BlockText-Plain"/>
            </w:pPr>
          </w:p>
        </w:tc>
        <w:tc>
          <w:tcPr>
            <w:tcW w:w="567" w:type="dxa"/>
          </w:tcPr>
          <w:p w14:paraId="2D4B320E" w14:textId="77777777" w:rsidR="005C1173" w:rsidRPr="00C9343F" w:rsidRDefault="005C1173" w:rsidP="007114B1">
            <w:pPr>
              <w:pStyle w:val="BlockText-Plain"/>
              <w:jc w:val="center"/>
            </w:pPr>
            <w:r w:rsidRPr="00C9343F">
              <w:t>c.</w:t>
            </w:r>
          </w:p>
        </w:tc>
        <w:tc>
          <w:tcPr>
            <w:tcW w:w="7800" w:type="dxa"/>
          </w:tcPr>
          <w:p w14:paraId="38CC064C" w14:textId="77777777" w:rsidR="005C1173" w:rsidRPr="00C9343F" w:rsidRDefault="005C1173" w:rsidP="00F66D98">
            <w:pPr>
              <w:pStyle w:val="BlockText-Plain"/>
            </w:pPr>
            <w:r w:rsidRPr="00C9343F">
              <w:t>A foreign law.</w:t>
            </w:r>
          </w:p>
        </w:tc>
      </w:tr>
      <w:tr w:rsidR="005C1173" w:rsidRPr="00C9343F" w14:paraId="18FD35C1" w14:textId="77777777" w:rsidTr="00B02E82">
        <w:tc>
          <w:tcPr>
            <w:tcW w:w="992" w:type="dxa"/>
          </w:tcPr>
          <w:p w14:paraId="3E3450FA" w14:textId="77777777" w:rsidR="005C1173" w:rsidRPr="00C9343F" w:rsidRDefault="005C1173" w:rsidP="00F66D98">
            <w:pPr>
              <w:pStyle w:val="BlockText-Plain"/>
              <w:jc w:val="center"/>
            </w:pPr>
          </w:p>
        </w:tc>
        <w:tc>
          <w:tcPr>
            <w:tcW w:w="8367" w:type="dxa"/>
            <w:gridSpan w:val="2"/>
          </w:tcPr>
          <w:p w14:paraId="781356FE" w14:textId="77777777" w:rsidR="005C1173" w:rsidRPr="00C9343F" w:rsidRDefault="005C1173" w:rsidP="00F66D98">
            <w:pPr>
              <w:pStyle w:val="BlockText-Plain"/>
              <w:rPr>
                <w:iCs/>
              </w:rPr>
            </w:pPr>
            <w:r w:rsidRPr="00C9343F">
              <w:rPr>
                <w:b/>
                <w:bCs/>
              </w:rPr>
              <w:t xml:space="preserve">Note: </w:t>
            </w:r>
            <w:r w:rsidRPr="00C9343F">
              <w:t>Custody does not include military custody.</w:t>
            </w:r>
          </w:p>
        </w:tc>
      </w:tr>
    </w:tbl>
    <w:p w14:paraId="238200E1" w14:textId="32EFEBF1" w:rsidR="00C646A1" w:rsidRPr="00C9343F" w:rsidRDefault="00C646A1" w:rsidP="00F66D98">
      <w:pPr>
        <w:pStyle w:val="Heading5"/>
      </w:pPr>
      <w:bookmarkStart w:id="66" w:name="_Toc105053487"/>
      <w:r w:rsidRPr="00C9343F">
        <w:t>1.3.16A</w:t>
      </w:r>
      <w:r w:rsidR="00D94006" w:rsidRPr="00C9343F">
        <w:t>    </w:t>
      </w:r>
      <w:r w:rsidRPr="00C9343F">
        <w:t>Defence Regulation</w:t>
      </w:r>
      <w:bookmarkEnd w:id="66"/>
    </w:p>
    <w:tbl>
      <w:tblPr>
        <w:tblW w:w="9359" w:type="dxa"/>
        <w:tblInd w:w="113" w:type="dxa"/>
        <w:tblLayout w:type="fixed"/>
        <w:tblLook w:val="04A0" w:firstRow="1" w:lastRow="0" w:firstColumn="1" w:lastColumn="0" w:noHBand="0" w:noVBand="1"/>
      </w:tblPr>
      <w:tblGrid>
        <w:gridCol w:w="992"/>
        <w:gridCol w:w="8367"/>
      </w:tblGrid>
      <w:tr w:rsidR="00C646A1" w:rsidRPr="00C9343F" w14:paraId="26A7447F" w14:textId="77777777" w:rsidTr="00B902C5">
        <w:tc>
          <w:tcPr>
            <w:tcW w:w="992" w:type="dxa"/>
          </w:tcPr>
          <w:p w14:paraId="4D688BCF" w14:textId="77777777" w:rsidR="00C646A1" w:rsidRPr="00C9343F" w:rsidRDefault="00C646A1" w:rsidP="00F66D98">
            <w:pPr>
              <w:pStyle w:val="BlockText-Plain"/>
              <w:jc w:val="center"/>
              <w:rPr>
                <w:lang w:eastAsia="en-US"/>
              </w:rPr>
            </w:pPr>
          </w:p>
        </w:tc>
        <w:tc>
          <w:tcPr>
            <w:tcW w:w="8367" w:type="dxa"/>
            <w:hideMark/>
          </w:tcPr>
          <w:p w14:paraId="3EC85665" w14:textId="77777777" w:rsidR="00C646A1" w:rsidRPr="00C9343F" w:rsidRDefault="00C646A1" w:rsidP="00F66D98">
            <w:pPr>
              <w:pStyle w:val="BlockText-Plain"/>
              <w:rPr>
                <w:rFonts w:cs="Arial"/>
                <w:lang w:eastAsia="en-US"/>
              </w:rPr>
            </w:pPr>
            <w:r w:rsidRPr="00C9343F">
              <w:rPr>
                <w:rFonts w:cs="Arial"/>
                <w:lang w:eastAsia="en-US"/>
              </w:rPr>
              <w:t xml:space="preserve">Defence Regulation means the </w:t>
            </w:r>
            <w:r w:rsidRPr="00C9343F">
              <w:rPr>
                <w:rFonts w:cs="Arial"/>
                <w:i/>
                <w:lang w:eastAsia="en-US"/>
              </w:rPr>
              <w:t>Defence Regulation 2016</w:t>
            </w:r>
            <w:r w:rsidRPr="00C9343F">
              <w:rPr>
                <w:rFonts w:cs="Arial"/>
                <w:lang w:eastAsia="en-US"/>
              </w:rPr>
              <w:t>.</w:t>
            </w:r>
          </w:p>
        </w:tc>
      </w:tr>
    </w:tbl>
    <w:p w14:paraId="79FB93E0" w14:textId="0CFCB149" w:rsidR="00AF060B" w:rsidRPr="00C9343F" w:rsidRDefault="00AF060B" w:rsidP="00F66D98">
      <w:pPr>
        <w:pStyle w:val="Heading5"/>
      </w:pPr>
      <w:bookmarkStart w:id="67" w:name="_Toc105053488"/>
      <w:r w:rsidRPr="00C9343F">
        <w:t>1.3.17</w:t>
      </w:r>
      <w:r w:rsidR="00D94006" w:rsidRPr="00C9343F">
        <w:t>    </w:t>
      </w:r>
      <w:r w:rsidRPr="00C9343F">
        <w:t>Dentist</w:t>
      </w:r>
      <w:bookmarkEnd w:id="67"/>
    </w:p>
    <w:tbl>
      <w:tblPr>
        <w:tblW w:w="0" w:type="auto"/>
        <w:tblInd w:w="113" w:type="dxa"/>
        <w:tblLayout w:type="fixed"/>
        <w:tblLook w:val="0000" w:firstRow="0" w:lastRow="0" w:firstColumn="0" w:lastColumn="0" w:noHBand="0" w:noVBand="0"/>
      </w:tblPr>
      <w:tblGrid>
        <w:gridCol w:w="992"/>
        <w:gridCol w:w="8363"/>
      </w:tblGrid>
      <w:tr w:rsidR="00AF060B" w:rsidRPr="00C9343F" w14:paraId="3DFD738C" w14:textId="77777777">
        <w:tc>
          <w:tcPr>
            <w:tcW w:w="992" w:type="dxa"/>
          </w:tcPr>
          <w:p w14:paraId="4364ED1D" w14:textId="77777777" w:rsidR="00AF060B" w:rsidRPr="00C9343F" w:rsidRDefault="00AF060B" w:rsidP="00F66D98">
            <w:pPr>
              <w:pStyle w:val="BlockText-Plain"/>
              <w:jc w:val="center"/>
            </w:pPr>
          </w:p>
        </w:tc>
        <w:tc>
          <w:tcPr>
            <w:tcW w:w="8363" w:type="dxa"/>
          </w:tcPr>
          <w:p w14:paraId="11E94B61" w14:textId="77777777" w:rsidR="00AF060B" w:rsidRPr="00C9343F" w:rsidRDefault="00AF060B" w:rsidP="00F66D98">
            <w:pPr>
              <w:pStyle w:val="BlockText-Plain"/>
            </w:pPr>
            <w:r w:rsidRPr="00C9343F">
              <w:rPr>
                <w:b/>
                <w:i/>
              </w:rPr>
              <w:t>Dentist</w:t>
            </w:r>
            <w:r w:rsidRPr="00C9343F">
              <w:t xml:space="preserve"> means a dental practitioner registered under the law of a State or Territory. It includes an ADF dental officer.</w:t>
            </w:r>
          </w:p>
        </w:tc>
      </w:tr>
    </w:tbl>
    <w:p w14:paraId="3F469B40" w14:textId="5249D299" w:rsidR="00AF060B" w:rsidRPr="00C9343F" w:rsidRDefault="00AF060B" w:rsidP="00F66D98">
      <w:pPr>
        <w:pStyle w:val="Heading5"/>
      </w:pPr>
      <w:bookmarkStart w:id="68" w:name="_Toc105053489"/>
      <w:r w:rsidRPr="00C9343F">
        <w:t>1.3.18</w:t>
      </w:r>
      <w:r w:rsidR="00D94006" w:rsidRPr="00C9343F">
        <w:t>    </w:t>
      </w:r>
      <w:r w:rsidRPr="00C9343F">
        <w:t>Deployment</w:t>
      </w:r>
      <w:bookmarkEnd w:id="68"/>
    </w:p>
    <w:tbl>
      <w:tblPr>
        <w:tblW w:w="9355" w:type="dxa"/>
        <w:tblInd w:w="113" w:type="dxa"/>
        <w:tblLayout w:type="fixed"/>
        <w:tblLook w:val="0000" w:firstRow="0" w:lastRow="0" w:firstColumn="0" w:lastColumn="0" w:noHBand="0" w:noVBand="0"/>
      </w:tblPr>
      <w:tblGrid>
        <w:gridCol w:w="992"/>
        <w:gridCol w:w="8363"/>
      </w:tblGrid>
      <w:tr w:rsidR="00AF060B" w:rsidRPr="00C9343F" w14:paraId="60F13CE1" w14:textId="77777777" w:rsidTr="005C1173">
        <w:tc>
          <w:tcPr>
            <w:tcW w:w="992" w:type="dxa"/>
          </w:tcPr>
          <w:p w14:paraId="12BEB47A" w14:textId="77777777" w:rsidR="00AF060B" w:rsidRPr="00C9343F" w:rsidRDefault="00AF060B" w:rsidP="00F66D98">
            <w:pPr>
              <w:pStyle w:val="BlockText-Plain"/>
              <w:jc w:val="center"/>
            </w:pPr>
          </w:p>
        </w:tc>
        <w:tc>
          <w:tcPr>
            <w:tcW w:w="8363" w:type="dxa"/>
          </w:tcPr>
          <w:p w14:paraId="391E7813" w14:textId="7C7F1565" w:rsidR="00AF060B" w:rsidRPr="00C9343F" w:rsidRDefault="00AF060B" w:rsidP="000E7E44">
            <w:pPr>
              <w:pStyle w:val="BlockText-Plain"/>
            </w:pPr>
            <w:r w:rsidRPr="00C9343F">
              <w:t xml:space="preserve">Deployment means warlike or non-warlike service overseas by members assigned for duty with a </w:t>
            </w:r>
            <w:r w:rsidR="000E7E44" w:rsidRPr="00C9343F">
              <w:t>United Nations</w:t>
            </w:r>
            <w:r w:rsidRPr="00C9343F">
              <w:t xml:space="preserve"> mission or a similar force.</w:t>
            </w:r>
          </w:p>
        </w:tc>
      </w:tr>
    </w:tbl>
    <w:p w14:paraId="7941B9D1" w14:textId="676884CB" w:rsidR="005C1173" w:rsidRPr="00C9343F" w:rsidRDefault="005C1173" w:rsidP="00F66D98">
      <w:pPr>
        <w:pStyle w:val="Heading5"/>
      </w:pPr>
      <w:bookmarkStart w:id="69" w:name="_Toc32570622"/>
      <w:bookmarkStart w:id="70" w:name="_Toc105053490"/>
      <w:r w:rsidRPr="00C9343F">
        <w:t>1.3.18A</w:t>
      </w:r>
      <w:r w:rsidR="00D94006" w:rsidRPr="00C9343F">
        <w:t>    </w:t>
      </w:r>
      <w:r w:rsidRPr="00C9343F">
        <w:t>Detention</w:t>
      </w:r>
      <w:bookmarkEnd w:id="69"/>
      <w:bookmarkEnd w:id="70"/>
    </w:p>
    <w:tbl>
      <w:tblPr>
        <w:tblW w:w="9359" w:type="dxa"/>
        <w:tblInd w:w="113" w:type="dxa"/>
        <w:tblLayout w:type="fixed"/>
        <w:tblLook w:val="0000" w:firstRow="0" w:lastRow="0" w:firstColumn="0" w:lastColumn="0" w:noHBand="0" w:noVBand="0"/>
      </w:tblPr>
      <w:tblGrid>
        <w:gridCol w:w="992"/>
        <w:gridCol w:w="8367"/>
      </w:tblGrid>
      <w:tr w:rsidR="005C1173" w:rsidRPr="00C9343F" w14:paraId="46F3913E" w14:textId="77777777" w:rsidTr="00B02E82">
        <w:tc>
          <w:tcPr>
            <w:tcW w:w="992" w:type="dxa"/>
          </w:tcPr>
          <w:p w14:paraId="69827A63" w14:textId="77777777" w:rsidR="005C1173" w:rsidRPr="00C9343F" w:rsidRDefault="005C1173" w:rsidP="00F66D98">
            <w:pPr>
              <w:pStyle w:val="BlockText-Plain"/>
              <w:jc w:val="center"/>
            </w:pPr>
          </w:p>
        </w:tc>
        <w:tc>
          <w:tcPr>
            <w:tcW w:w="8367" w:type="dxa"/>
          </w:tcPr>
          <w:p w14:paraId="4D9E24B8" w14:textId="77777777" w:rsidR="005C1173" w:rsidRPr="00C9343F" w:rsidRDefault="005C1173" w:rsidP="00F66D98">
            <w:pPr>
              <w:pStyle w:val="BlockText-Plain"/>
              <w:rPr>
                <w:i/>
                <w:iCs/>
              </w:rPr>
            </w:pPr>
            <w:r w:rsidRPr="00C9343F">
              <w:t xml:space="preserve">Means a punishment of detention imposed on a member who has been convicted of a Service offence under the </w:t>
            </w:r>
            <w:r w:rsidRPr="00C9343F">
              <w:rPr>
                <w:i/>
                <w:iCs/>
              </w:rPr>
              <w:t>Defence Force Discipline Act 1982.</w:t>
            </w:r>
          </w:p>
        </w:tc>
      </w:tr>
    </w:tbl>
    <w:p w14:paraId="0E7F55CA" w14:textId="5290BFC4" w:rsidR="00721283" w:rsidRPr="00C9343F" w:rsidRDefault="00721283" w:rsidP="00F66D98">
      <w:pPr>
        <w:pStyle w:val="Heading5"/>
      </w:pPr>
      <w:bookmarkStart w:id="71" w:name="_Toc105053491"/>
      <w:r w:rsidRPr="00C9343F">
        <w:t>1.3.18B</w:t>
      </w:r>
      <w:r w:rsidR="00D94006" w:rsidRPr="00C9343F">
        <w:t>    </w:t>
      </w:r>
      <w:r w:rsidRPr="00C9343F">
        <w:t>DFRT allowance</w:t>
      </w:r>
      <w:bookmarkEnd w:id="71"/>
    </w:p>
    <w:tbl>
      <w:tblPr>
        <w:tblW w:w="9359" w:type="dxa"/>
        <w:tblInd w:w="113" w:type="dxa"/>
        <w:tblLayout w:type="fixed"/>
        <w:tblLook w:val="04A0" w:firstRow="1" w:lastRow="0" w:firstColumn="1" w:lastColumn="0" w:noHBand="0" w:noVBand="1"/>
      </w:tblPr>
      <w:tblGrid>
        <w:gridCol w:w="992"/>
        <w:gridCol w:w="8367"/>
      </w:tblGrid>
      <w:tr w:rsidR="00721283" w:rsidRPr="00C9343F" w14:paraId="366D0B4B" w14:textId="77777777" w:rsidTr="006E5056">
        <w:tc>
          <w:tcPr>
            <w:tcW w:w="992" w:type="dxa"/>
          </w:tcPr>
          <w:p w14:paraId="460AD12B" w14:textId="77777777" w:rsidR="00721283" w:rsidRPr="00C9343F" w:rsidRDefault="00721283" w:rsidP="00F66D98">
            <w:pPr>
              <w:pStyle w:val="Sectiontext0"/>
              <w:jc w:val="center"/>
              <w:rPr>
                <w:lang w:eastAsia="en-US"/>
              </w:rPr>
            </w:pPr>
          </w:p>
        </w:tc>
        <w:tc>
          <w:tcPr>
            <w:tcW w:w="8367" w:type="dxa"/>
          </w:tcPr>
          <w:p w14:paraId="28072D99" w14:textId="77777777" w:rsidR="00721283" w:rsidRPr="00C9343F" w:rsidRDefault="00721283" w:rsidP="00F66D98">
            <w:pPr>
              <w:pStyle w:val="Sectiontext0"/>
              <w:rPr>
                <w:rFonts w:cs="Arial"/>
                <w:lang w:eastAsia="en-US"/>
              </w:rPr>
            </w:pPr>
            <w:r w:rsidRPr="00C9343F">
              <w:t>DFRT allowance means any relevant allowances, as defined under section 58F of the Act, that are paid on a fortnightly basis.</w:t>
            </w:r>
          </w:p>
        </w:tc>
      </w:tr>
    </w:tbl>
    <w:p w14:paraId="21B9649F" w14:textId="7DBC7D37" w:rsidR="00AF060B" w:rsidRPr="00C9343F" w:rsidRDefault="00AF060B" w:rsidP="00F66D98">
      <w:pPr>
        <w:pStyle w:val="Heading5"/>
      </w:pPr>
      <w:bookmarkStart w:id="72" w:name="_Toc105053492"/>
      <w:r w:rsidRPr="00C9343F">
        <w:t>1.3.19</w:t>
      </w:r>
      <w:r w:rsidR="00D94006" w:rsidRPr="00C9343F">
        <w:t>    </w:t>
      </w:r>
      <w:r w:rsidRPr="00C9343F">
        <w:t>Doctor</w:t>
      </w:r>
      <w:bookmarkEnd w:id="72"/>
    </w:p>
    <w:tbl>
      <w:tblPr>
        <w:tblW w:w="0" w:type="auto"/>
        <w:tblInd w:w="113" w:type="dxa"/>
        <w:tblLayout w:type="fixed"/>
        <w:tblLook w:val="0000" w:firstRow="0" w:lastRow="0" w:firstColumn="0" w:lastColumn="0" w:noHBand="0" w:noVBand="0"/>
      </w:tblPr>
      <w:tblGrid>
        <w:gridCol w:w="992"/>
        <w:gridCol w:w="8363"/>
      </w:tblGrid>
      <w:tr w:rsidR="00AF060B" w:rsidRPr="00C9343F" w14:paraId="16E9228E" w14:textId="77777777">
        <w:tc>
          <w:tcPr>
            <w:tcW w:w="992" w:type="dxa"/>
          </w:tcPr>
          <w:p w14:paraId="6055FC47" w14:textId="77777777" w:rsidR="00AF060B" w:rsidRPr="00C9343F" w:rsidRDefault="00AF060B" w:rsidP="00F66D98">
            <w:pPr>
              <w:pStyle w:val="BlockText-Plain"/>
              <w:jc w:val="center"/>
            </w:pPr>
          </w:p>
        </w:tc>
        <w:tc>
          <w:tcPr>
            <w:tcW w:w="8363" w:type="dxa"/>
          </w:tcPr>
          <w:p w14:paraId="5DBC2BCC" w14:textId="77777777" w:rsidR="00AF060B" w:rsidRPr="00C9343F" w:rsidRDefault="00AF060B" w:rsidP="00F66D98">
            <w:pPr>
              <w:pStyle w:val="BlockText-Plain"/>
            </w:pPr>
            <w:r w:rsidRPr="00C9343F">
              <w:t>Doctor means a medical practitioner registered under the law of a State or Territory. It includes an ADF medical officer.</w:t>
            </w:r>
          </w:p>
        </w:tc>
      </w:tr>
    </w:tbl>
    <w:p w14:paraId="08DF5537" w14:textId="03923C7E" w:rsidR="00AF060B" w:rsidRPr="00C9343F" w:rsidRDefault="00AF060B" w:rsidP="00F66D98">
      <w:pPr>
        <w:pStyle w:val="Heading5"/>
      </w:pPr>
      <w:bookmarkStart w:id="73" w:name="_Toc105053493"/>
      <w:r w:rsidRPr="00C9343F">
        <w:lastRenderedPageBreak/>
        <w:t>1.3.20</w:t>
      </w:r>
      <w:r w:rsidR="00D94006" w:rsidRPr="00C9343F">
        <w:t>    </w:t>
      </w:r>
      <w:r w:rsidRPr="00C9343F">
        <w:t>Dual entitlement</w:t>
      </w:r>
      <w:bookmarkEnd w:id="73"/>
    </w:p>
    <w:tbl>
      <w:tblPr>
        <w:tblW w:w="0" w:type="auto"/>
        <w:tblInd w:w="113" w:type="dxa"/>
        <w:tblLayout w:type="fixed"/>
        <w:tblLook w:val="0000" w:firstRow="0" w:lastRow="0" w:firstColumn="0" w:lastColumn="0" w:noHBand="0" w:noVBand="0"/>
      </w:tblPr>
      <w:tblGrid>
        <w:gridCol w:w="992"/>
        <w:gridCol w:w="8363"/>
      </w:tblGrid>
      <w:tr w:rsidR="00AF060B" w:rsidRPr="00C9343F" w14:paraId="5FC70564" w14:textId="77777777">
        <w:tc>
          <w:tcPr>
            <w:tcW w:w="992" w:type="dxa"/>
          </w:tcPr>
          <w:p w14:paraId="7AD4D839" w14:textId="77777777" w:rsidR="00AF060B" w:rsidRPr="00C9343F" w:rsidRDefault="00AF060B" w:rsidP="00F66D98">
            <w:pPr>
              <w:pStyle w:val="BlockText-Plain"/>
              <w:jc w:val="center"/>
            </w:pPr>
          </w:p>
        </w:tc>
        <w:tc>
          <w:tcPr>
            <w:tcW w:w="8363" w:type="dxa"/>
          </w:tcPr>
          <w:p w14:paraId="5277FA38" w14:textId="77777777" w:rsidR="00AF060B" w:rsidRPr="00C9343F" w:rsidRDefault="00AF060B" w:rsidP="00F66D98">
            <w:pPr>
              <w:pStyle w:val="BlockText-Plain"/>
            </w:pPr>
            <w:r w:rsidRPr="00C9343F">
              <w:rPr>
                <w:b/>
              </w:rPr>
              <w:t>See:</w:t>
            </w:r>
            <w:r w:rsidRPr="00C9343F">
              <w:t xml:space="preserve"> Part 6 </w:t>
            </w:r>
            <w:r w:rsidR="00580C86" w:rsidRPr="00C9343F">
              <w:t>section</w:t>
            </w:r>
            <w:r w:rsidRPr="00C9343F">
              <w:t xml:space="preserve"> 1.6.1</w:t>
            </w:r>
            <w:r w:rsidR="00EE28A3" w:rsidRPr="00C9343F">
              <w:t>, Dual entitlement</w:t>
            </w:r>
            <w:r w:rsidR="00EE28A3" w:rsidRPr="00C9343F">
              <w:rPr>
                <w:b/>
                <w:i/>
              </w:rPr>
              <w:t xml:space="preserve"> </w:t>
            </w:r>
            <w:r w:rsidR="00EE28A3" w:rsidRPr="00C9343F">
              <w:t>– member's adult dependant is also a member</w:t>
            </w:r>
            <w:r w:rsidRPr="00C9343F">
              <w:t>.</w:t>
            </w:r>
          </w:p>
        </w:tc>
      </w:tr>
    </w:tbl>
    <w:p w14:paraId="7126BF5E" w14:textId="60D6CE9C" w:rsidR="00AF060B" w:rsidRPr="00C9343F" w:rsidRDefault="00AF060B" w:rsidP="00F66D98">
      <w:pPr>
        <w:pStyle w:val="Heading5"/>
      </w:pPr>
      <w:bookmarkStart w:id="74" w:name="E"/>
      <w:bookmarkStart w:id="75" w:name="_Toc105053494"/>
      <w:bookmarkEnd w:id="74"/>
      <w:r w:rsidRPr="00C9343F">
        <w:t>1.3.21</w:t>
      </w:r>
      <w:r w:rsidR="00D94006" w:rsidRPr="00C9343F">
        <w:t>    </w:t>
      </w:r>
      <w:r w:rsidRPr="00C9343F">
        <w:t>Effective date of posting</w:t>
      </w:r>
      <w:bookmarkEnd w:id="75"/>
    </w:p>
    <w:tbl>
      <w:tblPr>
        <w:tblW w:w="9355" w:type="dxa"/>
        <w:tblInd w:w="113" w:type="dxa"/>
        <w:tblLayout w:type="fixed"/>
        <w:tblLook w:val="0000" w:firstRow="0" w:lastRow="0" w:firstColumn="0" w:lastColumn="0" w:noHBand="0" w:noVBand="0"/>
      </w:tblPr>
      <w:tblGrid>
        <w:gridCol w:w="992"/>
        <w:gridCol w:w="563"/>
        <w:gridCol w:w="7800"/>
      </w:tblGrid>
      <w:tr w:rsidR="00AF060B" w:rsidRPr="00C9343F" w14:paraId="344528E1" w14:textId="77777777" w:rsidTr="00F45CB5">
        <w:tc>
          <w:tcPr>
            <w:tcW w:w="992" w:type="dxa"/>
          </w:tcPr>
          <w:p w14:paraId="76886485" w14:textId="77777777" w:rsidR="00AF060B" w:rsidRPr="00C9343F" w:rsidRDefault="00AF060B" w:rsidP="00F66D98">
            <w:pPr>
              <w:pStyle w:val="BlockText-Plain"/>
              <w:keepNext/>
              <w:keepLines/>
              <w:jc w:val="center"/>
            </w:pPr>
          </w:p>
        </w:tc>
        <w:tc>
          <w:tcPr>
            <w:tcW w:w="8363" w:type="dxa"/>
            <w:gridSpan w:val="2"/>
          </w:tcPr>
          <w:p w14:paraId="69852764" w14:textId="77777777" w:rsidR="00AF060B" w:rsidRPr="00C9343F" w:rsidRDefault="00AF060B" w:rsidP="00F66D98">
            <w:pPr>
              <w:pStyle w:val="BlockText-Plain"/>
              <w:keepNext/>
              <w:keepLines/>
            </w:pPr>
            <w:r w:rsidRPr="00C9343F">
              <w:t>Effective date of posting means whichever is the later of these dates.</w:t>
            </w:r>
          </w:p>
        </w:tc>
      </w:tr>
      <w:tr w:rsidR="006D7DDA" w:rsidRPr="00C9343F" w14:paraId="0C007160" w14:textId="77777777" w:rsidTr="00F45CB5">
        <w:trPr>
          <w:cantSplit/>
        </w:trPr>
        <w:tc>
          <w:tcPr>
            <w:tcW w:w="992" w:type="dxa"/>
          </w:tcPr>
          <w:p w14:paraId="5C3E1BC0" w14:textId="77777777" w:rsidR="006D7DDA" w:rsidRPr="00C9343F" w:rsidRDefault="006D7DDA" w:rsidP="00F66D98">
            <w:pPr>
              <w:pStyle w:val="BlockText-Plain"/>
            </w:pPr>
          </w:p>
        </w:tc>
        <w:tc>
          <w:tcPr>
            <w:tcW w:w="563" w:type="dxa"/>
          </w:tcPr>
          <w:p w14:paraId="55BB70B0" w14:textId="77777777" w:rsidR="006D7DDA" w:rsidRPr="00C9343F" w:rsidRDefault="006D7DDA" w:rsidP="007114B1">
            <w:pPr>
              <w:pStyle w:val="BlockText-Plain"/>
              <w:jc w:val="center"/>
            </w:pPr>
            <w:r w:rsidRPr="00C9343F">
              <w:t>a.</w:t>
            </w:r>
          </w:p>
        </w:tc>
        <w:tc>
          <w:tcPr>
            <w:tcW w:w="7800" w:type="dxa"/>
          </w:tcPr>
          <w:p w14:paraId="12DEE4E9" w14:textId="77777777" w:rsidR="006D7DDA" w:rsidRPr="00C9343F" w:rsidRDefault="006D7DDA" w:rsidP="00F66D98">
            <w:pPr>
              <w:pStyle w:val="BlockText-Plain"/>
            </w:pPr>
            <w:r w:rsidRPr="00C9343F">
              <w:t>The date in the member's posting order.</w:t>
            </w:r>
          </w:p>
        </w:tc>
      </w:tr>
      <w:tr w:rsidR="006D7DDA" w:rsidRPr="00C9343F" w14:paraId="13B38952" w14:textId="77777777" w:rsidTr="00F45CB5">
        <w:trPr>
          <w:cantSplit/>
        </w:trPr>
        <w:tc>
          <w:tcPr>
            <w:tcW w:w="992" w:type="dxa"/>
          </w:tcPr>
          <w:p w14:paraId="080A223B" w14:textId="77777777" w:rsidR="006D7DDA" w:rsidRPr="00C9343F" w:rsidRDefault="006D7DDA" w:rsidP="00F66D98">
            <w:pPr>
              <w:pStyle w:val="BlockText-Plain"/>
            </w:pPr>
          </w:p>
        </w:tc>
        <w:tc>
          <w:tcPr>
            <w:tcW w:w="563" w:type="dxa"/>
          </w:tcPr>
          <w:p w14:paraId="07CFE750" w14:textId="77777777" w:rsidR="006D7DDA" w:rsidRPr="00C9343F" w:rsidRDefault="006D7DDA" w:rsidP="007114B1">
            <w:pPr>
              <w:pStyle w:val="BlockText-Plain"/>
              <w:jc w:val="center"/>
            </w:pPr>
            <w:r w:rsidRPr="00C9343F">
              <w:t>b.</w:t>
            </w:r>
          </w:p>
        </w:tc>
        <w:tc>
          <w:tcPr>
            <w:tcW w:w="7800" w:type="dxa"/>
          </w:tcPr>
          <w:p w14:paraId="4DE98C2D" w14:textId="77777777" w:rsidR="006D7DDA" w:rsidRPr="00C9343F" w:rsidRDefault="006D7DDA" w:rsidP="00F66D98">
            <w:pPr>
              <w:pStyle w:val="BlockText-Plain"/>
            </w:pPr>
            <w:r w:rsidRPr="00C9343F">
              <w:t>The date the member starts duty at their new posting location.</w:t>
            </w:r>
          </w:p>
        </w:tc>
      </w:tr>
    </w:tbl>
    <w:p w14:paraId="54C2B7F1" w14:textId="0611893C" w:rsidR="00785EFD" w:rsidRPr="00C9343F" w:rsidRDefault="00785EFD" w:rsidP="00F66D98">
      <w:pPr>
        <w:pStyle w:val="Heading5"/>
        <w:rPr>
          <w:rFonts w:cs="Arial"/>
          <w:color w:val="000000"/>
          <w:szCs w:val="22"/>
        </w:rPr>
      </w:pPr>
      <w:bookmarkStart w:id="76" w:name="_Toc105053495"/>
      <w:r w:rsidRPr="00C9343F">
        <w:rPr>
          <w:rFonts w:cs="Arial"/>
          <w:color w:val="000000"/>
          <w:szCs w:val="22"/>
        </w:rPr>
        <w:t>1.3.21A</w:t>
      </w:r>
      <w:r w:rsidR="00D94006" w:rsidRPr="00C9343F">
        <w:rPr>
          <w:rFonts w:cs="Arial"/>
          <w:color w:val="000000"/>
          <w:szCs w:val="22"/>
        </w:rPr>
        <w:t>    </w:t>
      </w:r>
      <w:r w:rsidRPr="00C9343F">
        <w:rPr>
          <w:rFonts w:cs="Arial"/>
          <w:color w:val="000000"/>
          <w:szCs w:val="22"/>
        </w:rPr>
        <w:t>Emergency</w:t>
      </w:r>
      <w:bookmarkEnd w:id="76"/>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563"/>
        <w:gridCol w:w="7805"/>
      </w:tblGrid>
      <w:tr w:rsidR="00785EFD" w:rsidRPr="00C9343F" w14:paraId="4FC801A8" w14:textId="77777777" w:rsidTr="00785EFD">
        <w:tc>
          <w:tcPr>
            <w:tcW w:w="992" w:type="dxa"/>
            <w:shd w:val="clear" w:color="auto" w:fill="FFFFFF"/>
            <w:tcMar>
              <w:top w:w="0" w:type="dxa"/>
              <w:left w:w="108" w:type="dxa"/>
              <w:bottom w:w="0" w:type="dxa"/>
              <w:right w:w="108" w:type="dxa"/>
            </w:tcMar>
            <w:hideMark/>
          </w:tcPr>
          <w:p w14:paraId="4D17790F" w14:textId="77777777" w:rsidR="00785EFD" w:rsidRPr="00C9343F" w:rsidRDefault="00785EFD"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8367" w:type="dxa"/>
            <w:gridSpan w:val="2"/>
            <w:shd w:val="clear" w:color="auto" w:fill="FFFFFF"/>
            <w:tcMar>
              <w:top w:w="0" w:type="dxa"/>
              <w:left w:w="108" w:type="dxa"/>
              <w:bottom w:w="0" w:type="dxa"/>
              <w:right w:w="108" w:type="dxa"/>
            </w:tcMar>
            <w:hideMark/>
          </w:tcPr>
          <w:p w14:paraId="188C0C7E" w14:textId="77777777" w:rsidR="00785EFD" w:rsidRPr="00C9343F" w:rsidRDefault="00785EFD"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Emergency</w:t>
            </w:r>
            <w:r w:rsidRPr="00C9343F">
              <w:rPr>
                <w:rFonts w:ascii="Arial" w:hAnsi="Arial" w:cs="Arial"/>
                <w:b/>
                <w:bCs/>
                <w:color w:val="000000"/>
                <w:sz w:val="20"/>
                <w:szCs w:val="20"/>
              </w:rPr>
              <w:t> </w:t>
            </w:r>
            <w:r w:rsidRPr="00C9343F">
              <w:rPr>
                <w:rFonts w:ascii="Arial" w:hAnsi="Arial" w:cs="Arial"/>
                <w:color w:val="000000"/>
                <w:sz w:val="20"/>
                <w:szCs w:val="20"/>
              </w:rPr>
              <w:t>means an event that causes, or threatens to cause any of the following.</w:t>
            </w:r>
          </w:p>
        </w:tc>
      </w:tr>
      <w:tr w:rsidR="00785EFD" w:rsidRPr="00C9343F" w14:paraId="283941C2" w14:textId="77777777" w:rsidTr="00785EFD">
        <w:tc>
          <w:tcPr>
            <w:tcW w:w="992" w:type="dxa"/>
            <w:shd w:val="clear" w:color="auto" w:fill="FFFFFF"/>
            <w:tcMar>
              <w:top w:w="0" w:type="dxa"/>
              <w:left w:w="108" w:type="dxa"/>
              <w:bottom w:w="0" w:type="dxa"/>
              <w:right w:w="108" w:type="dxa"/>
            </w:tcMar>
            <w:hideMark/>
          </w:tcPr>
          <w:p w14:paraId="46F47999" w14:textId="77777777" w:rsidR="00785EFD" w:rsidRPr="00C9343F" w:rsidRDefault="00785EFD"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2BE9CE2E" w14:textId="77777777" w:rsidR="00785EFD" w:rsidRPr="00C9343F" w:rsidRDefault="00785EFD"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a.</w:t>
            </w:r>
          </w:p>
        </w:tc>
        <w:tc>
          <w:tcPr>
            <w:tcW w:w="7804" w:type="dxa"/>
            <w:shd w:val="clear" w:color="auto" w:fill="FFFFFF"/>
            <w:tcMar>
              <w:top w:w="0" w:type="dxa"/>
              <w:left w:w="108" w:type="dxa"/>
              <w:bottom w:w="0" w:type="dxa"/>
              <w:right w:w="108" w:type="dxa"/>
            </w:tcMar>
            <w:hideMark/>
          </w:tcPr>
          <w:p w14:paraId="43978E42" w14:textId="77777777" w:rsidR="00785EFD" w:rsidRPr="00C9343F" w:rsidRDefault="00785EFD"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death of, or injury or other damage to the health of, any person on a Defence establishment.</w:t>
            </w:r>
          </w:p>
        </w:tc>
      </w:tr>
      <w:tr w:rsidR="00785EFD" w:rsidRPr="00C9343F" w14:paraId="45101366" w14:textId="77777777" w:rsidTr="00785EFD">
        <w:tc>
          <w:tcPr>
            <w:tcW w:w="992" w:type="dxa"/>
            <w:shd w:val="clear" w:color="auto" w:fill="FFFFFF"/>
            <w:tcMar>
              <w:top w:w="0" w:type="dxa"/>
              <w:left w:w="108" w:type="dxa"/>
              <w:bottom w:w="0" w:type="dxa"/>
              <w:right w:w="108" w:type="dxa"/>
            </w:tcMar>
            <w:hideMark/>
          </w:tcPr>
          <w:p w14:paraId="379C89C4" w14:textId="77777777" w:rsidR="00785EFD" w:rsidRPr="00C9343F" w:rsidRDefault="00785EFD"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0B5DF953" w14:textId="77777777" w:rsidR="00785EFD" w:rsidRPr="00C9343F" w:rsidRDefault="00785EFD"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b.</w:t>
            </w:r>
          </w:p>
        </w:tc>
        <w:tc>
          <w:tcPr>
            <w:tcW w:w="7804" w:type="dxa"/>
            <w:shd w:val="clear" w:color="auto" w:fill="FFFFFF"/>
            <w:tcMar>
              <w:top w:w="0" w:type="dxa"/>
              <w:left w:w="108" w:type="dxa"/>
              <w:bottom w:w="0" w:type="dxa"/>
              <w:right w:w="108" w:type="dxa"/>
            </w:tcMar>
            <w:hideMark/>
          </w:tcPr>
          <w:p w14:paraId="2F32A5D1" w14:textId="77777777" w:rsidR="00785EFD" w:rsidRPr="00C9343F" w:rsidRDefault="00785EFD"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destruction of, or damage to, any property on a Defence establishment.</w:t>
            </w:r>
          </w:p>
        </w:tc>
      </w:tr>
      <w:tr w:rsidR="00785EFD" w:rsidRPr="00C9343F" w14:paraId="1C057D97" w14:textId="77777777" w:rsidTr="00785EFD">
        <w:tc>
          <w:tcPr>
            <w:tcW w:w="992" w:type="dxa"/>
            <w:shd w:val="clear" w:color="auto" w:fill="FFFFFF"/>
            <w:tcMar>
              <w:top w:w="0" w:type="dxa"/>
              <w:left w:w="108" w:type="dxa"/>
              <w:bottom w:w="0" w:type="dxa"/>
              <w:right w:w="108" w:type="dxa"/>
            </w:tcMar>
            <w:hideMark/>
          </w:tcPr>
          <w:p w14:paraId="14C50D0B" w14:textId="77777777" w:rsidR="00785EFD" w:rsidRPr="00C9343F" w:rsidRDefault="00785EFD"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6692226E" w14:textId="77777777" w:rsidR="00785EFD" w:rsidRPr="00C9343F" w:rsidRDefault="00785EFD"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c.</w:t>
            </w:r>
          </w:p>
        </w:tc>
        <w:tc>
          <w:tcPr>
            <w:tcW w:w="7804" w:type="dxa"/>
            <w:shd w:val="clear" w:color="auto" w:fill="FFFFFF"/>
            <w:tcMar>
              <w:top w:w="0" w:type="dxa"/>
              <w:left w:w="108" w:type="dxa"/>
              <w:bottom w:w="0" w:type="dxa"/>
              <w:right w:w="108" w:type="dxa"/>
            </w:tcMar>
            <w:hideMark/>
          </w:tcPr>
          <w:p w14:paraId="0F3FC216" w14:textId="77777777" w:rsidR="00785EFD" w:rsidRPr="00C9343F" w:rsidRDefault="00785EFD"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A disruption to essential services on a Defence establishment.</w:t>
            </w:r>
          </w:p>
        </w:tc>
      </w:tr>
      <w:tr w:rsidR="00785EFD" w:rsidRPr="00C9343F" w14:paraId="1C7B9619" w14:textId="77777777" w:rsidTr="00785EFD">
        <w:tc>
          <w:tcPr>
            <w:tcW w:w="992" w:type="dxa"/>
            <w:shd w:val="clear" w:color="auto" w:fill="FFFFFF"/>
            <w:tcMar>
              <w:top w:w="0" w:type="dxa"/>
              <w:left w:w="108" w:type="dxa"/>
              <w:bottom w:w="0" w:type="dxa"/>
              <w:right w:w="108" w:type="dxa"/>
            </w:tcMar>
            <w:hideMark/>
          </w:tcPr>
          <w:p w14:paraId="19AFDB28" w14:textId="77777777" w:rsidR="00785EFD" w:rsidRPr="00C9343F" w:rsidRDefault="00785EFD"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8367" w:type="dxa"/>
            <w:gridSpan w:val="2"/>
            <w:shd w:val="clear" w:color="auto" w:fill="FFFFFF"/>
            <w:tcMar>
              <w:top w:w="0" w:type="dxa"/>
              <w:left w:w="108" w:type="dxa"/>
              <w:bottom w:w="0" w:type="dxa"/>
              <w:right w:w="108" w:type="dxa"/>
            </w:tcMar>
            <w:hideMark/>
          </w:tcPr>
          <w:p w14:paraId="0A774415" w14:textId="77777777" w:rsidR="00785EFD" w:rsidRPr="00C9343F" w:rsidRDefault="00785EFD" w:rsidP="00F66D98">
            <w:pPr>
              <w:pStyle w:val="sectiontext"/>
              <w:spacing w:before="0" w:beforeAutospacing="0" w:after="200" w:afterAutospacing="0"/>
              <w:rPr>
                <w:rFonts w:ascii="Arial" w:hAnsi="Arial" w:cs="Arial"/>
                <w:color w:val="000000"/>
                <w:sz w:val="20"/>
                <w:szCs w:val="20"/>
              </w:rPr>
            </w:pPr>
            <w:r w:rsidRPr="00C9343F">
              <w:rPr>
                <w:rFonts w:ascii="Arial" w:hAnsi="Arial" w:cs="Arial"/>
                <w:b/>
                <w:bCs/>
                <w:color w:val="000000"/>
                <w:sz w:val="20"/>
                <w:szCs w:val="20"/>
              </w:rPr>
              <w:t>Note:</w:t>
            </w:r>
            <w:r w:rsidRPr="00C9343F">
              <w:rPr>
                <w:rFonts w:ascii="Arial" w:hAnsi="Arial" w:cs="Arial"/>
                <w:color w:val="000000"/>
                <w:sz w:val="20"/>
                <w:szCs w:val="20"/>
              </w:rPr>
              <w:t> This is not limited to naturally occurring events (such as earthquakes, floods or storms) but would, for example, include fires, explosions, accidents, epidemics, pandemics, emissions of poisons, radiation or other hazardous agents, hijacks, sieges, riots, acts of terrorism and hostilities by an enemy.</w:t>
            </w:r>
          </w:p>
        </w:tc>
      </w:tr>
    </w:tbl>
    <w:p w14:paraId="4C3A06F6" w14:textId="6052C0BC" w:rsidR="00AF060B" w:rsidRPr="00C9343F" w:rsidRDefault="00AF060B" w:rsidP="00F66D98">
      <w:pPr>
        <w:pStyle w:val="Heading5"/>
      </w:pPr>
      <w:bookmarkStart w:id="77" w:name="_Toc105053496"/>
      <w:r w:rsidRPr="00C9343F">
        <w:t>1.3.22</w:t>
      </w:r>
      <w:r w:rsidR="00D94006" w:rsidRPr="00C9343F">
        <w:t>    </w:t>
      </w:r>
      <w:r w:rsidRPr="00C9343F">
        <w:t>Employment</w:t>
      </w:r>
      <w:bookmarkEnd w:id="77"/>
    </w:p>
    <w:tbl>
      <w:tblPr>
        <w:tblW w:w="0" w:type="auto"/>
        <w:tblInd w:w="113" w:type="dxa"/>
        <w:tblLayout w:type="fixed"/>
        <w:tblLook w:val="0000" w:firstRow="0" w:lastRow="0" w:firstColumn="0" w:lastColumn="0" w:noHBand="0" w:noVBand="0"/>
      </w:tblPr>
      <w:tblGrid>
        <w:gridCol w:w="992"/>
        <w:gridCol w:w="8363"/>
      </w:tblGrid>
      <w:tr w:rsidR="00AF060B" w:rsidRPr="00C9343F" w14:paraId="6B3D5305" w14:textId="77777777">
        <w:tc>
          <w:tcPr>
            <w:tcW w:w="992" w:type="dxa"/>
          </w:tcPr>
          <w:p w14:paraId="6929E8F3" w14:textId="77777777" w:rsidR="00AF060B" w:rsidRPr="00C9343F" w:rsidRDefault="00AF060B" w:rsidP="00F66D98">
            <w:pPr>
              <w:pStyle w:val="BlockText-Plain"/>
              <w:jc w:val="center"/>
            </w:pPr>
          </w:p>
        </w:tc>
        <w:tc>
          <w:tcPr>
            <w:tcW w:w="8363" w:type="dxa"/>
          </w:tcPr>
          <w:p w14:paraId="07DAAD77" w14:textId="77777777" w:rsidR="00AF060B" w:rsidRPr="00C9343F" w:rsidRDefault="00AF060B" w:rsidP="00F66D98">
            <w:pPr>
              <w:pStyle w:val="BlockText-Plain"/>
            </w:pPr>
            <w:r w:rsidRPr="00C9343F">
              <w:t>Employment includes full-time or part-time work. It does not include voluntary work.</w:t>
            </w:r>
          </w:p>
        </w:tc>
      </w:tr>
    </w:tbl>
    <w:p w14:paraId="2AA6C7C6" w14:textId="370EFD88" w:rsidR="00AF060B" w:rsidRPr="00C9343F" w:rsidRDefault="00AF060B" w:rsidP="00F66D98">
      <w:pPr>
        <w:pStyle w:val="Heading5"/>
      </w:pPr>
      <w:bookmarkStart w:id="78" w:name="_Toc105053497"/>
      <w:r w:rsidRPr="00C9343F">
        <w:t>1.3.23</w:t>
      </w:r>
      <w:r w:rsidR="00D94006" w:rsidRPr="00C9343F">
        <w:t>    </w:t>
      </w:r>
      <w:r w:rsidRPr="00C9343F">
        <w:t>Engine capacity – rotary engine</w:t>
      </w:r>
      <w:bookmarkEnd w:id="78"/>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3248D5ED" w14:textId="77777777">
        <w:tc>
          <w:tcPr>
            <w:tcW w:w="992" w:type="dxa"/>
          </w:tcPr>
          <w:p w14:paraId="5B4AD291" w14:textId="77777777" w:rsidR="00AF060B" w:rsidRPr="00C9343F" w:rsidRDefault="00AF060B" w:rsidP="00F66D98">
            <w:pPr>
              <w:pStyle w:val="BlockText-Plain"/>
              <w:jc w:val="center"/>
            </w:pPr>
            <w:r w:rsidRPr="00C9343F">
              <w:t>1.</w:t>
            </w:r>
          </w:p>
        </w:tc>
        <w:tc>
          <w:tcPr>
            <w:tcW w:w="8363" w:type="dxa"/>
            <w:gridSpan w:val="2"/>
          </w:tcPr>
          <w:p w14:paraId="607CE422" w14:textId="77777777" w:rsidR="00AF060B" w:rsidRPr="00C9343F" w:rsidRDefault="00AF060B" w:rsidP="00F66D98">
            <w:pPr>
              <w:pStyle w:val="BlockText-Plain"/>
            </w:pPr>
            <w:r w:rsidRPr="00C9343F">
              <w:t>The capacity of a rotary engine is the displacement of the engine according to the specifications of the engine issued by the manufacturer of the vehicle.</w:t>
            </w:r>
          </w:p>
        </w:tc>
      </w:tr>
      <w:tr w:rsidR="00AF060B" w:rsidRPr="00C9343F" w14:paraId="076C2D24" w14:textId="77777777">
        <w:tc>
          <w:tcPr>
            <w:tcW w:w="992" w:type="dxa"/>
          </w:tcPr>
          <w:p w14:paraId="2F43BC51" w14:textId="77777777" w:rsidR="00AF060B" w:rsidRPr="00C9343F" w:rsidRDefault="00AF060B" w:rsidP="00F66D98">
            <w:pPr>
              <w:pStyle w:val="BlockText-Plain"/>
              <w:jc w:val="center"/>
            </w:pPr>
            <w:r w:rsidRPr="00C9343F">
              <w:t>2.</w:t>
            </w:r>
          </w:p>
        </w:tc>
        <w:tc>
          <w:tcPr>
            <w:tcW w:w="8363" w:type="dxa"/>
            <w:gridSpan w:val="2"/>
          </w:tcPr>
          <w:p w14:paraId="549C3363" w14:textId="77777777" w:rsidR="00AF060B" w:rsidRPr="00C9343F" w:rsidRDefault="00AF060B" w:rsidP="00F66D98">
            <w:pPr>
              <w:pStyle w:val="BlockText-Plain"/>
            </w:pPr>
            <w:r w:rsidRPr="00C9343F">
              <w:t>The manufacturer of a rotary engine-driven vehicle may not state the displacement of the engine in the specifications. They may state the displacement of the rotor or rotors comprising the engine instead. In this case, the capacity of the engine is taken to be either of these figures.</w:t>
            </w:r>
          </w:p>
        </w:tc>
      </w:tr>
      <w:tr w:rsidR="00AF060B" w:rsidRPr="00C9343F" w14:paraId="736D6846" w14:textId="77777777">
        <w:trPr>
          <w:cantSplit/>
        </w:trPr>
        <w:tc>
          <w:tcPr>
            <w:tcW w:w="992" w:type="dxa"/>
          </w:tcPr>
          <w:p w14:paraId="5C0C7F30" w14:textId="77777777" w:rsidR="00AF060B" w:rsidRPr="00C9343F" w:rsidRDefault="00AF060B" w:rsidP="00F66D98">
            <w:pPr>
              <w:pStyle w:val="BlockText-Plain"/>
            </w:pPr>
          </w:p>
        </w:tc>
        <w:tc>
          <w:tcPr>
            <w:tcW w:w="567" w:type="dxa"/>
          </w:tcPr>
          <w:p w14:paraId="66784EB8" w14:textId="77777777" w:rsidR="00AF060B" w:rsidRPr="00C9343F" w:rsidRDefault="00AF060B" w:rsidP="007114B1">
            <w:pPr>
              <w:pStyle w:val="BlockText-Plain"/>
              <w:jc w:val="center"/>
            </w:pPr>
            <w:r w:rsidRPr="00C9343F">
              <w:t>a.</w:t>
            </w:r>
          </w:p>
        </w:tc>
        <w:tc>
          <w:tcPr>
            <w:tcW w:w="7796" w:type="dxa"/>
          </w:tcPr>
          <w:p w14:paraId="3070D378" w14:textId="77777777" w:rsidR="00AF060B" w:rsidRPr="00C9343F" w:rsidRDefault="00AF060B" w:rsidP="00F66D98">
            <w:pPr>
              <w:pStyle w:val="BlockText-Plain"/>
            </w:pPr>
            <w:r w:rsidRPr="00C9343F">
              <w:t>The displacement of the rotor that makes up the engine.</w:t>
            </w:r>
          </w:p>
        </w:tc>
      </w:tr>
      <w:tr w:rsidR="00AF060B" w:rsidRPr="00C9343F" w14:paraId="0E6BA9F4" w14:textId="77777777">
        <w:trPr>
          <w:cantSplit/>
        </w:trPr>
        <w:tc>
          <w:tcPr>
            <w:tcW w:w="992" w:type="dxa"/>
          </w:tcPr>
          <w:p w14:paraId="474642C9" w14:textId="77777777" w:rsidR="00AF060B" w:rsidRPr="00C9343F" w:rsidRDefault="00AF060B" w:rsidP="00F66D98">
            <w:pPr>
              <w:pStyle w:val="BlockText-Plain"/>
            </w:pPr>
          </w:p>
        </w:tc>
        <w:tc>
          <w:tcPr>
            <w:tcW w:w="567" w:type="dxa"/>
          </w:tcPr>
          <w:p w14:paraId="6D7CEE83" w14:textId="77777777" w:rsidR="00AF060B" w:rsidRPr="00C9343F" w:rsidRDefault="00AF060B" w:rsidP="007114B1">
            <w:pPr>
              <w:pStyle w:val="BlockText-Plain"/>
              <w:jc w:val="center"/>
            </w:pPr>
            <w:r w:rsidRPr="00C9343F">
              <w:t>b.</w:t>
            </w:r>
          </w:p>
        </w:tc>
        <w:tc>
          <w:tcPr>
            <w:tcW w:w="7796" w:type="dxa"/>
          </w:tcPr>
          <w:p w14:paraId="6CD6FB18" w14:textId="77777777" w:rsidR="00AF060B" w:rsidRPr="00C9343F" w:rsidRDefault="00AF060B" w:rsidP="00F66D98">
            <w:pPr>
              <w:pStyle w:val="BlockText-Plain"/>
            </w:pPr>
            <w:r w:rsidRPr="00C9343F">
              <w:t>The sum of the displacements of the rotors that make up the engine.</w:t>
            </w:r>
          </w:p>
        </w:tc>
      </w:tr>
    </w:tbl>
    <w:p w14:paraId="5363AE36" w14:textId="4B83BBC7" w:rsidR="00AF060B" w:rsidRPr="00C9343F" w:rsidRDefault="00AF060B" w:rsidP="00F66D98">
      <w:pPr>
        <w:pStyle w:val="Heading5"/>
      </w:pPr>
      <w:bookmarkStart w:id="79" w:name="_Toc105053498"/>
      <w:r w:rsidRPr="00C9343F">
        <w:t>1.3.24</w:t>
      </w:r>
      <w:r w:rsidR="00D94006" w:rsidRPr="00C9343F">
        <w:t>    </w:t>
      </w:r>
      <w:r w:rsidRPr="00C9343F">
        <w:t>Equivalent rank</w:t>
      </w:r>
      <w:bookmarkEnd w:id="79"/>
    </w:p>
    <w:tbl>
      <w:tblPr>
        <w:tblW w:w="0" w:type="auto"/>
        <w:tblInd w:w="113" w:type="dxa"/>
        <w:tblLayout w:type="fixed"/>
        <w:tblLook w:val="0000" w:firstRow="0" w:lastRow="0" w:firstColumn="0" w:lastColumn="0" w:noHBand="0" w:noVBand="0"/>
      </w:tblPr>
      <w:tblGrid>
        <w:gridCol w:w="992"/>
        <w:gridCol w:w="8363"/>
      </w:tblGrid>
      <w:tr w:rsidR="00AF060B" w:rsidRPr="00C9343F" w14:paraId="7F3E46F8" w14:textId="77777777">
        <w:tc>
          <w:tcPr>
            <w:tcW w:w="992" w:type="dxa"/>
          </w:tcPr>
          <w:p w14:paraId="321F2CC7" w14:textId="77777777" w:rsidR="00AF060B" w:rsidRPr="00C9343F" w:rsidRDefault="00AF060B" w:rsidP="00F66D98">
            <w:pPr>
              <w:pStyle w:val="BlockText-Plain"/>
              <w:jc w:val="center"/>
            </w:pPr>
          </w:p>
        </w:tc>
        <w:tc>
          <w:tcPr>
            <w:tcW w:w="8363" w:type="dxa"/>
          </w:tcPr>
          <w:p w14:paraId="71059BFE" w14:textId="77777777" w:rsidR="00AF060B" w:rsidRPr="00C9343F" w:rsidRDefault="00AF060B" w:rsidP="00F66D98">
            <w:pPr>
              <w:pStyle w:val="BlockText-Plain"/>
            </w:pPr>
            <w:r w:rsidRPr="00C9343F">
              <w:rPr>
                <w:b/>
              </w:rPr>
              <w:t xml:space="preserve">See: </w:t>
            </w:r>
            <w:r w:rsidRPr="00C9343F">
              <w:t>Chapter 1 Part 4.</w:t>
            </w:r>
          </w:p>
        </w:tc>
      </w:tr>
    </w:tbl>
    <w:p w14:paraId="1335A749" w14:textId="26D8E19F" w:rsidR="00785EFD" w:rsidRPr="00C9343F" w:rsidRDefault="00785EFD" w:rsidP="00F66D98">
      <w:pPr>
        <w:pStyle w:val="Heading5"/>
      </w:pPr>
      <w:bookmarkStart w:id="80" w:name="F"/>
      <w:bookmarkStart w:id="81" w:name="_Toc105053499"/>
      <w:bookmarkEnd w:id="80"/>
      <w:r w:rsidRPr="00C9343F">
        <w:lastRenderedPageBreak/>
        <w:t>1.3.24AA</w:t>
      </w:r>
      <w:r w:rsidR="00D94006" w:rsidRPr="00C9343F">
        <w:t>    </w:t>
      </w:r>
      <w:r w:rsidRPr="00C9343F">
        <w:t>Evacuation order</w:t>
      </w:r>
      <w:bookmarkEnd w:id="81"/>
    </w:p>
    <w:tbl>
      <w:tblPr>
        <w:tblW w:w="9359" w:type="dxa"/>
        <w:tblInd w:w="113" w:type="dxa"/>
        <w:tblLayout w:type="fixed"/>
        <w:tblLook w:val="0000" w:firstRow="0" w:lastRow="0" w:firstColumn="0" w:lastColumn="0" w:noHBand="0" w:noVBand="0"/>
      </w:tblPr>
      <w:tblGrid>
        <w:gridCol w:w="992"/>
        <w:gridCol w:w="8367"/>
      </w:tblGrid>
      <w:tr w:rsidR="00785EFD" w:rsidRPr="00C9343F" w14:paraId="2DBDA788" w14:textId="77777777" w:rsidTr="00ED1EA8">
        <w:tc>
          <w:tcPr>
            <w:tcW w:w="992" w:type="dxa"/>
          </w:tcPr>
          <w:p w14:paraId="0C5F537F" w14:textId="77777777" w:rsidR="00785EFD" w:rsidRPr="00C9343F" w:rsidRDefault="00785EFD" w:rsidP="00F66D98">
            <w:pPr>
              <w:pStyle w:val="Sectiontext0"/>
              <w:jc w:val="center"/>
            </w:pPr>
          </w:p>
        </w:tc>
        <w:tc>
          <w:tcPr>
            <w:tcW w:w="8367" w:type="dxa"/>
          </w:tcPr>
          <w:p w14:paraId="4012D68D" w14:textId="77777777" w:rsidR="00785EFD" w:rsidRPr="00C9343F" w:rsidRDefault="00785EFD" w:rsidP="00F66D98">
            <w:pPr>
              <w:pStyle w:val="Sectiontext0"/>
              <w:rPr>
                <w:iCs/>
              </w:rPr>
            </w:pPr>
            <w:r w:rsidRPr="00C9343F">
              <w:rPr>
                <w:rFonts w:cs="Arial"/>
                <w:color w:val="000000"/>
                <w:shd w:val="clear" w:color="auto" w:fill="FFFFFF"/>
              </w:rPr>
              <w:t>Evacuation order means an order given by the Senior ADF Officer of a Defence establishment in response to an emergency to evacuate the establishment.</w:t>
            </w:r>
          </w:p>
        </w:tc>
      </w:tr>
    </w:tbl>
    <w:p w14:paraId="5FD0CABF" w14:textId="77777777" w:rsidR="00432C88" w:rsidRPr="00C9343F" w:rsidRDefault="00432C88" w:rsidP="00F66D98">
      <w:pPr>
        <w:pStyle w:val="Heading5"/>
      </w:pPr>
      <w:bookmarkStart w:id="82" w:name="_Toc105053500"/>
      <w:r w:rsidRPr="00C9343F">
        <w:t>1.3.24A  </w:t>
      </w:r>
      <w:r w:rsidR="00325E4A" w:rsidRPr="00C9343F">
        <w:t>Flexible service determination</w:t>
      </w:r>
      <w:bookmarkEnd w:id="82"/>
    </w:p>
    <w:tbl>
      <w:tblPr>
        <w:tblW w:w="9355" w:type="dxa"/>
        <w:tblInd w:w="113" w:type="dxa"/>
        <w:tblLayout w:type="fixed"/>
        <w:tblLook w:val="0000" w:firstRow="0" w:lastRow="0" w:firstColumn="0" w:lastColumn="0" w:noHBand="0" w:noVBand="0"/>
      </w:tblPr>
      <w:tblGrid>
        <w:gridCol w:w="992"/>
        <w:gridCol w:w="8363"/>
      </w:tblGrid>
      <w:tr w:rsidR="00325E4A" w:rsidRPr="00C9343F" w14:paraId="68A8F86A" w14:textId="77777777" w:rsidTr="007E6444">
        <w:tc>
          <w:tcPr>
            <w:tcW w:w="992" w:type="dxa"/>
          </w:tcPr>
          <w:p w14:paraId="67FEE005" w14:textId="77777777" w:rsidR="00325E4A" w:rsidRPr="00C9343F" w:rsidRDefault="00325E4A" w:rsidP="00F66D98">
            <w:pPr>
              <w:pStyle w:val="BlockText-Plain"/>
              <w:jc w:val="center"/>
            </w:pPr>
            <w:r w:rsidRPr="00C9343F">
              <w:t>1.</w:t>
            </w:r>
          </w:p>
        </w:tc>
        <w:tc>
          <w:tcPr>
            <w:tcW w:w="8363" w:type="dxa"/>
          </w:tcPr>
          <w:p w14:paraId="37E50977" w14:textId="77777777" w:rsidR="00325E4A" w:rsidRPr="00C9343F" w:rsidRDefault="00325E4A" w:rsidP="00F66D98">
            <w:pPr>
              <w:pStyle w:val="BlockText-Plain"/>
            </w:pPr>
            <w:r w:rsidRPr="00C9343F">
              <w:t xml:space="preserve">A flexible service determination is a determination made under subsection 23(2) of the </w:t>
            </w:r>
            <w:r w:rsidRPr="00C9343F">
              <w:rPr>
                <w:i/>
                <w:iCs/>
              </w:rPr>
              <w:t>Defence Act 1903</w:t>
            </w:r>
            <w:r w:rsidRPr="00C9343F">
              <w:t>.</w:t>
            </w:r>
          </w:p>
        </w:tc>
      </w:tr>
    </w:tbl>
    <w:p w14:paraId="77C9C388" w14:textId="77777777" w:rsidR="007E6444" w:rsidRPr="00C9343F" w:rsidRDefault="007E6444" w:rsidP="007E6444">
      <w:pPr>
        <w:pStyle w:val="Heading5"/>
      </w:pPr>
      <w:bookmarkStart w:id="83" w:name="G"/>
      <w:bookmarkStart w:id="84" w:name="_Toc105053501"/>
      <w:bookmarkEnd w:id="83"/>
      <w:r w:rsidRPr="00C9343F">
        <w:t>1.3.25    Fortnightly rate</w:t>
      </w:r>
      <w:bookmarkEnd w:id="84"/>
    </w:p>
    <w:tbl>
      <w:tblPr>
        <w:tblW w:w="9360" w:type="dxa"/>
        <w:tblInd w:w="113" w:type="dxa"/>
        <w:tblLayout w:type="fixed"/>
        <w:tblLook w:val="04A0" w:firstRow="1" w:lastRow="0" w:firstColumn="1" w:lastColumn="0" w:noHBand="0" w:noVBand="1"/>
      </w:tblPr>
      <w:tblGrid>
        <w:gridCol w:w="992"/>
        <w:gridCol w:w="8368"/>
      </w:tblGrid>
      <w:tr w:rsidR="007E6444" w:rsidRPr="00C9343F" w14:paraId="096A1F84" w14:textId="77777777" w:rsidTr="005E243D">
        <w:tc>
          <w:tcPr>
            <w:tcW w:w="992" w:type="dxa"/>
          </w:tcPr>
          <w:p w14:paraId="125F2940" w14:textId="77777777" w:rsidR="007E6444" w:rsidRPr="00C9343F" w:rsidRDefault="007E6444" w:rsidP="005E243D">
            <w:pPr>
              <w:pStyle w:val="Sectiontext0"/>
              <w:jc w:val="center"/>
              <w:rPr>
                <w:lang w:eastAsia="en-US"/>
              </w:rPr>
            </w:pPr>
          </w:p>
        </w:tc>
        <w:tc>
          <w:tcPr>
            <w:tcW w:w="8368" w:type="dxa"/>
          </w:tcPr>
          <w:p w14:paraId="67BE4501" w14:textId="77777777" w:rsidR="007E6444" w:rsidRPr="00C9343F" w:rsidRDefault="007E6444" w:rsidP="005E243D">
            <w:pPr>
              <w:pStyle w:val="Sectiontext0"/>
              <w:rPr>
                <w:rFonts w:cs="Arial"/>
                <w:lang w:eastAsia="en-US"/>
              </w:rPr>
            </w:pPr>
            <w:r w:rsidRPr="00C9343F">
              <w:t>The fortnightly rate of an annual rate of allowance under this Determination means the amount using the calculation set out at subsection 3.2.7.3.</w:t>
            </w:r>
          </w:p>
        </w:tc>
      </w:tr>
    </w:tbl>
    <w:p w14:paraId="32AF06F7" w14:textId="3721293B" w:rsidR="00AF060B" w:rsidRPr="00C9343F" w:rsidRDefault="00AF060B" w:rsidP="00F66D98">
      <w:pPr>
        <w:pStyle w:val="Heading5"/>
      </w:pPr>
      <w:bookmarkStart w:id="85" w:name="_Toc105053502"/>
      <w:r w:rsidRPr="00C9343F">
        <w:t>1.3.26</w:t>
      </w:r>
      <w:r w:rsidR="00D94006" w:rsidRPr="00C9343F">
        <w:t>    </w:t>
      </w:r>
      <w:r w:rsidRPr="00C9343F">
        <w:t>Gaining location</w:t>
      </w:r>
      <w:bookmarkEnd w:id="85"/>
    </w:p>
    <w:tbl>
      <w:tblPr>
        <w:tblW w:w="0" w:type="auto"/>
        <w:tblInd w:w="113" w:type="dxa"/>
        <w:tblLayout w:type="fixed"/>
        <w:tblLook w:val="0000" w:firstRow="0" w:lastRow="0" w:firstColumn="0" w:lastColumn="0" w:noHBand="0" w:noVBand="0"/>
      </w:tblPr>
      <w:tblGrid>
        <w:gridCol w:w="992"/>
        <w:gridCol w:w="8363"/>
      </w:tblGrid>
      <w:tr w:rsidR="00AF060B" w:rsidRPr="00C9343F" w14:paraId="459A851D" w14:textId="77777777">
        <w:tc>
          <w:tcPr>
            <w:tcW w:w="992" w:type="dxa"/>
          </w:tcPr>
          <w:p w14:paraId="7FAAEE6B" w14:textId="77777777" w:rsidR="00AF060B" w:rsidRPr="00C9343F" w:rsidRDefault="00AF060B" w:rsidP="00F66D98">
            <w:pPr>
              <w:pStyle w:val="BlockText-Plain"/>
              <w:jc w:val="center"/>
            </w:pPr>
          </w:p>
        </w:tc>
        <w:tc>
          <w:tcPr>
            <w:tcW w:w="8363" w:type="dxa"/>
          </w:tcPr>
          <w:p w14:paraId="5B898404" w14:textId="77777777" w:rsidR="00AF060B" w:rsidRPr="00C9343F" w:rsidRDefault="00AF060B" w:rsidP="00F66D98">
            <w:pPr>
              <w:pStyle w:val="BlockText-Plain"/>
            </w:pPr>
            <w:r w:rsidRPr="00C9343F">
              <w:t>Gaining location means the posting location to which a member is posted in their posting authority.</w:t>
            </w:r>
          </w:p>
        </w:tc>
      </w:tr>
    </w:tbl>
    <w:p w14:paraId="53F18672" w14:textId="5A995D00" w:rsidR="000B4EFE" w:rsidRPr="00C9343F" w:rsidRDefault="000B4EFE" w:rsidP="00F66D98">
      <w:pPr>
        <w:pStyle w:val="Heading5"/>
      </w:pPr>
      <w:bookmarkStart w:id="86" w:name="H"/>
      <w:bookmarkStart w:id="87" w:name="_Toc105053503"/>
      <w:bookmarkEnd w:id="86"/>
      <w:r w:rsidRPr="00C9343F">
        <w:t>1.3.2</w:t>
      </w:r>
      <w:r w:rsidR="00156A98" w:rsidRPr="00C9343F">
        <w:t>7</w:t>
      </w:r>
      <w:r w:rsidR="00D94006" w:rsidRPr="00C9343F">
        <w:t>    </w:t>
      </w:r>
      <w:r w:rsidRPr="00C9343F">
        <w:t>Health professional</w:t>
      </w:r>
      <w:bookmarkEnd w:id="87"/>
    </w:p>
    <w:tbl>
      <w:tblPr>
        <w:tblW w:w="9359" w:type="dxa"/>
        <w:tblInd w:w="113" w:type="dxa"/>
        <w:tblLayout w:type="fixed"/>
        <w:tblLook w:val="0000" w:firstRow="0" w:lastRow="0" w:firstColumn="0" w:lastColumn="0" w:noHBand="0" w:noVBand="0"/>
      </w:tblPr>
      <w:tblGrid>
        <w:gridCol w:w="992"/>
        <w:gridCol w:w="567"/>
        <w:gridCol w:w="567"/>
        <w:gridCol w:w="7233"/>
      </w:tblGrid>
      <w:tr w:rsidR="000B4EFE" w:rsidRPr="00C9343F" w14:paraId="77E0A4EF" w14:textId="77777777" w:rsidTr="005C1173">
        <w:tc>
          <w:tcPr>
            <w:tcW w:w="992" w:type="dxa"/>
          </w:tcPr>
          <w:p w14:paraId="73BFA63E" w14:textId="77777777" w:rsidR="000B4EFE" w:rsidRPr="00C9343F" w:rsidRDefault="000B4EFE" w:rsidP="00F66D98">
            <w:pPr>
              <w:pStyle w:val="BlockText-Plain"/>
              <w:jc w:val="center"/>
            </w:pPr>
          </w:p>
        </w:tc>
        <w:tc>
          <w:tcPr>
            <w:tcW w:w="8367" w:type="dxa"/>
            <w:gridSpan w:val="3"/>
          </w:tcPr>
          <w:p w14:paraId="1A5988C5" w14:textId="77777777" w:rsidR="000B4EFE" w:rsidRPr="00C9343F" w:rsidRDefault="000B4EFE" w:rsidP="00F66D98">
            <w:pPr>
              <w:pStyle w:val="BlockText-Plain"/>
            </w:pPr>
            <w:r w:rsidRPr="00C9343F">
              <w:t>For the purpose of a medical absence, a health professional</w:t>
            </w:r>
            <w:r w:rsidRPr="00C9343F">
              <w:rPr>
                <w:b/>
                <w:i/>
              </w:rPr>
              <w:t xml:space="preserve"> </w:t>
            </w:r>
            <w:r w:rsidRPr="00C9343F">
              <w:t>means:</w:t>
            </w:r>
          </w:p>
        </w:tc>
      </w:tr>
      <w:tr w:rsidR="000B4EFE" w:rsidRPr="00C9343F" w14:paraId="439BD704" w14:textId="77777777" w:rsidTr="005C1173">
        <w:trPr>
          <w:cantSplit/>
        </w:trPr>
        <w:tc>
          <w:tcPr>
            <w:tcW w:w="992" w:type="dxa"/>
          </w:tcPr>
          <w:p w14:paraId="00246DF2" w14:textId="77777777" w:rsidR="000B4EFE" w:rsidRPr="00C9343F" w:rsidRDefault="000B4EFE" w:rsidP="00F66D98">
            <w:pPr>
              <w:pStyle w:val="BlockText-Plain"/>
            </w:pPr>
          </w:p>
        </w:tc>
        <w:tc>
          <w:tcPr>
            <w:tcW w:w="567" w:type="dxa"/>
          </w:tcPr>
          <w:p w14:paraId="109A9FFA" w14:textId="77777777" w:rsidR="000B4EFE" w:rsidRPr="00C9343F" w:rsidRDefault="000B4EFE" w:rsidP="007114B1">
            <w:pPr>
              <w:pStyle w:val="BlockText-Plain"/>
              <w:jc w:val="center"/>
            </w:pPr>
            <w:r w:rsidRPr="00C9343F">
              <w:t>a.</w:t>
            </w:r>
          </w:p>
        </w:tc>
        <w:tc>
          <w:tcPr>
            <w:tcW w:w="7800" w:type="dxa"/>
            <w:gridSpan w:val="2"/>
          </w:tcPr>
          <w:p w14:paraId="16F8031B" w14:textId="77777777" w:rsidR="000B4EFE" w:rsidRPr="00C9343F" w:rsidRDefault="000B4EFE" w:rsidP="00F66D98">
            <w:pPr>
              <w:pStyle w:val="BlockText-Plain"/>
            </w:pPr>
            <w:r w:rsidRPr="00C9343F">
              <w:t>A registered medical or dental practitioner who provides services as a Defence member, Australian Public Service employee or otherwise under an agreement in place with Defence.</w:t>
            </w:r>
          </w:p>
        </w:tc>
      </w:tr>
      <w:tr w:rsidR="000B4EFE" w:rsidRPr="00C9343F" w14:paraId="67976D9D" w14:textId="77777777" w:rsidTr="005C1173">
        <w:trPr>
          <w:cantSplit/>
        </w:trPr>
        <w:tc>
          <w:tcPr>
            <w:tcW w:w="992" w:type="dxa"/>
          </w:tcPr>
          <w:p w14:paraId="4C9486EE" w14:textId="77777777" w:rsidR="000B4EFE" w:rsidRPr="00C9343F" w:rsidRDefault="000B4EFE" w:rsidP="00F66D98">
            <w:pPr>
              <w:pStyle w:val="BlockText-Plain"/>
            </w:pPr>
          </w:p>
        </w:tc>
        <w:tc>
          <w:tcPr>
            <w:tcW w:w="567" w:type="dxa"/>
          </w:tcPr>
          <w:p w14:paraId="790939A4" w14:textId="77777777" w:rsidR="000B4EFE" w:rsidRPr="00C9343F" w:rsidRDefault="000B4EFE" w:rsidP="007114B1">
            <w:pPr>
              <w:pStyle w:val="BlockText-Plain"/>
              <w:jc w:val="center"/>
            </w:pPr>
            <w:r w:rsidRPr="00C9343F">
              <w:t>b.</w:t>
            </w:r>
          </w:p>
        </w:tc>
        <w:tc>
          <w:tcPr>
            <w:tcW w:w="7800" w:type="dxa"/>
            <w:gridSpan w:val="2"/>
          </w:tcPr>
          <w:p w14:paraId="71F538F8" w14:textId="77777777" w:rsidR="000B4EFE" w:rsidRPr="00C9343F" w:rsidRDefault="000B4EFE" w:rsidP="00F66D98">
            <w:pPr>
              <w:pStyle w:val="BlockText-Plain"/>
            </w:pPr>
            <w:r w:rsidRPr="00C9343F">
              <w:t>A registered medical practitioner.</w:t>
            </w:r>
          </w:p>
        </w:tc>
      </w:tr>
      <w:tr w:rsidR="000B4EFE" w:rsidRPr="00C9343F" w14:paraId="15D6611C" w14:textId="77777777" w:rsidTr="005C1173">
        <w:trPr>
          <w:cantSplit/>
        </w:trPr>
        <w:tc>
          <w:tcPr>
            <w:tcW w:w="992" w:type="dxa"/>
          </w:tcPr>
          <w:p w14:paraId="3755130D" w14:textId="77777777" w:rsidR="000B4EFE" w:rsidRPr="00C9343F" w:rsidRDefault="000B4EFE" w:rsidP="00F66D98">
            <w:pPr>
              <w:pStyle w:val="BlockText-Plain"/>
            </w:pPr>
          </w:p>
        </w:tc>
        <w:tc>
          <w:tcPr>
            <w:tcW w:w="567" w:type="dxa"/>
          </w:tcPr>
          <w:p w14:paraId="55C8AC98" w14:textId="77777777" w:rsidR="000B4EFE" w:rsidRPr="00C9343F" w:rsidRDefault="000B4EFE" w:rsidP="007114B1">
            <w:pPr>
              <w:pStyle w:val="BlockText-Plain"/>
              <w:jc w:val="center"/>
            </w:pPr>
            <w:r w:rsidRPr="00C9343F">
              <w:t>c.</w:t>
            </w:r>
          </w:p>
        </w:tc>
        <w:tc>
          <w:tcPr>
            <w:tcW w:w="7800" w:type="dxa"/>
            <w:gridSpan w:val="2"/>
          </w:tcPr>
          <w:p w14:paraId="0E921904" w14:textId="77777777" w:rsidR="000B4EFE" w:rsidRPr="00C9343F" w:rsidRDefault="000B4EFE" w:rsidP="00F66D98">
            <w:pPr>
              <w:pStyle w:val="BlockText-Plain"/>
            </w:pPr>
            <w:r w:rsidRPr="00C9343F">
              <w:t>Any of the following persons who are competent, credentialed and authorised by Surgeon General Australian Defence Force to perform an extended role.</w:t>
            </w:r>
          </w:p>
        </w:tc>
      </w:tr>
      <w:tr w:rsidR="000B4EFE" w:rsidRPr="00C9343F" w14:paraId="7197C2F1" w14:textId="77777777" w:rsidTr="005C1173">
        <w:trPr>
          <w:cantSplit/>
        </w:trPr>
        <w:tc>
          <w:tcPr>
            <w:tcW w:w="1559" w:type="dxa"/>
            <w:gridSpan w:val="2"/>
          </w:tcPr>
          <w:p w14:paraId="5C581A8E" w14:textId="77777777" w:rsidR="000B4EFE" w:rsidRPr="00C9343F" w:rsidRDefault="000B4EFE" w:rsidP="00F66D98">
            <w:pPr>
              <w:pStyle w:val="BlockText-Plain"/>
            </w:pPr>
          </w:p>
        </w:tc>
        <w:tc>
          <w:tcPr>
            <w:tcW w:w="567" w:type="dxa"/>
          </w:tcPr>
          <w:p w14:paraId="3AFF99F2" w14:textId="77777777" w:rsidR="000B4EFE" w:rsidRPr="00C9343F" w:rsidRDefault="000B4EFE" w:rsidP="007114B1">
            <w:pPr>
              <w:pStyle w:val="BlockText-Plain"/>
            </w:pPr>
            <w:r w:rsidRPr="00C9343F">
              <w:t>i.</w:t>
            </w:r>
          </w:p>
        </w:tc>
        <w:tc>
          <w:tcPr>
            <w:tcW w:w="7233" w:type="dxa"/>
          </w:tcPr>
          <w:p w14:paraId="7AC1A304" w14:textId="77777777" w:rsidR="000B4EFE" w:rsidRPr="00C9343F" w:rsidRDefault="000B4EFE" w:rsidP="00F66D98">
            <w:pPr>
              <w:pStyle w:val="BlockText-Plain"/>
            </w:pPr>
            <w:r w:rsidRPr="00C9343F">
              <w:t>A Nursing Officer.</w:t>
            </w:r>
          </w:p>
        </w:tc>
      </w:tr>
      <w:tr w:rsidR="000B4EFE" w:rsidRPr="00C9343F" w14:paraId="4C85B538" w14:textId="77777777" w:rsidTr="005C1173">
        <w:trPr>
          <w:cantSplit/>
        </w:trPr>
        <w:tc>
          <w:tcPr>
            <w:tcW w:w="1559" w:type="dxa"/>
            <w:gridSpan w:val="2"/>
          </w:tcPr>
          <w:p w14:paraId="661E865E" w14:textId="77777777" w:rsidR="000B4EFE" w:rsidRPr="00C9343F" w:rsidRDefault="000B4EFE" w:rsidP="00F66D98">
            <w:pPr>
              <w:pStyle w:val="BlockText-Plain"/>
            </w:pPr>
          </w:p>
        </w:tc>
        <w:tc>
          <w:tcPr>
            <w:tcW w:w="567" w:type="dxa"/>
          </w:tcPr>
          <w:p w14:paraId="3C15B6DD" w14:textId="77777777" w:rsidR="000B4EFE" w:rsidRPr="00C9343F" w:rsidRDefault="000B4EFE" w:rsidP="007114B1">
            <w:pPr>
              <w:pStyle w:val="BlockText-Plain"/>
            </w:pPr>
            <w:r w:rsidRPr="00C9343F">
              <w:t>ii.</w:t>
            </w:r>
          </w:p>
        </w:tc>
        <w:tc>
          <w:tcPr>
            <w:tcW w:w="7233" w:type="dxa"/>
          </w:tcPr>
          <w:p w14:paraId="281519A6" w14:textId="77777777" w:rsidR="000B4EFE" w:rsidRPr="00C9343F" w:rsidRDefault="000B4EFE" w:rsidP="00F66D98">
            <w:pPr>
              <w:pStyle w:val="BlockText-Plain"/>
            </w:pPr>
            <w:r w:rsidRPr="00C9343F">
              <w:t>A Nurse Practitioner.</w:t>
            </w:r>
          </w:p>
        </w:tc>
      </w:tr>
      <w:tr w:rsidR="000B4EFE" w:rsidRPr="00C9343F" w14:paraId="69A73961" w14:textId="77777777" w:rsidTr="005C1173">
        <w:trPr>
          <w:cantSplit/>
        </w:trPr>
        <w:tc>
          <w:tcPr>
            <w:tcW w:w="1559" w:type="dxa"/>
            <w:gridSpan w:val="2"/>
          </w:tcPr>
          <w:p w14:paraId="4085FCDC" w14:textId="77777777" w:rsidR="000B4EFE" w:rsidRPr="00C9343F" w:rsidRDefault="000B4EFE" w:rsidP="00F66D98">
            <w:pPr>
              <w:pStyle w:val="BlockText-Plain"/>
            </w:pPr>
          </w:p>
        </w:tc>
        <w:tc>
          <w:tcPr>
            <w:tcW w:w="567" w:type="dxa"/>
          </w:tcPr>
          <w:p w14:paraId="6F4263C1" w14:textId="77777777" w:rsidR="000B4EFE" w:rsidRPr="00C9343F" w:rsidRDefault="000B4EFE" w:rsidP="007114B1">
            <w:pPr>
              <w:pStyle w:val="BlockText-Plain"/>
            </w:pPr>
            <w:r w:rsidRPr="00C9343F">
              <w:t>iii.</w:t>
            </w:r>
          </w:p>
        </w:tc>
        <w:tc>
          <w:tcPr>
            <w:tcW w:w="7233" w:type="dxa"/>
          </w:tcPr>
          <w:p w14:paraId="60F9C92A" w14:textId="77777777" w:rsidR="000B4EFE" w:rsidRPr="00C9343F" w:rsidRDefault="000B4EFE" w:rsidP="00F66D98">
            <w:pPr>
              <w:pStyle w:val="BlockText-Plain"/>
            </w:pPr>
            <w:r w:rsidRPr="00C9343F">
              <w:t>An Advanced Medical Assistant (AMA) or Advanced Medical Technician (AMT).</w:t>
            </w:r>
          </w:p>
        </w:tc>
      </w:tr>
      <w:tr w:rsidR="000B4EFE" w:rsidRPr="00C9343F" w14:paraId="13895B63" w14:textId="77777777" w:rsidTr="005C1173">
        <w:trPr>
          <w:cantSplit/>
        </w:trPr>
        <w:tc>
          <w:tcPr>
            <w:tcW w:w="1559" w:type="dxa"/>
            <w:gridSpan w:val="2"/>
          </w:tcPr>
          <w:p w14:paraId="4F51385F" w14:textId="77777777" w:rsidR="000B4EFE" w:rsidRPr="00C9343F" w:rsidRDefault="000B4EFE" w:rsidP="00F66D98">
            <w:pPr>
              <w:pStyle w:val="BlockText-Plain"/>
            </w:pPr>
          </w:p>
        </w:tc>
        <w:tc>
          <w:tcPr>
            <w:tcW w:w="567" w:type="dxa"/>
          </w:tcPr>
          <w:p w14:paraId="79EC7132" w14:textId="77777777" w:rsidR="000B4EFE" w:rsidRPr="00C9343F" w:rsidRDefault="000B4EFE" w:rsidP="007114B1">
            <w:pPr>
              <w:pStyle w:val="BlockText-Plain"/>
            </w:pPr>
            <w:r w:rsidRPr="00C9343F">
              <w:t>iv.</w:t>
            </w:r>
          </w:p>
        </w:tc>
        <w:tc>
          <w:tcPr>
            <w:tcW w:w="7233" w:type="dxa"/>
          </w:tcPr>
          <w:p w14:paraId="7EBF7F73" w14:textId="77777777" w:rsidR="000B4EFE" w:rsidRPr="00C9343F" w:rsidRDefault="000B4EFE" w:rsidP="00F66D98">
            <w:pPr>
              <w:pStyle w:val="BlockText-Plain"/>
            </w:pPr>
            <w:r w:rsidRPr="00C9343F">
              <w:t>A Clinical Manager (CM).</w:t>
            </w:r>
          </w:p>
        </w:tc>
      </w:tr>
    </w:tbl>
    <w:p w14:paraId="387123D2" w14:textId="5C7C9872" w:rsidR="005C1173" w:rsidRPr="00C9343F" w:rsidRDefault="005C1173" w:rsidP="00F66D98">
      <w:pPr>
        <w:pStyle w:val="Heading5"/>
      </w:pPr>
      <w:bookmarkStart w:id="88" w:name="L"/>
      <w:bookmarkStart w:id="89" w:name="_Toc32570625"/>
      <w:bookmarkStart w:id="90" w:name="_Toc105053504"/>
      <w:bookmarkEnd w:id="88"/>
      <w:r w:rsidRPr="00C9343F">
        <w:t>1.3.28</w:t>
      </w:r>
      <w:r w:rsidR="00D94006" w:rsidRPr="00C9343F">
        <w:t>    </w:t>
      </w:r>
      <w:r w:rsidRPr="00C9343F">
        <w:t>Imprisonment</w:t>
      </w:r>
      <w:bookmarkEnd w:id="89"/>
      <w:bookmarkEnd w:id="90"/>
    </w:p>
    <w:tbl>
      <w:tblPr>
        <w:tblW w:w="9359" w:type="dxa"/>
        <w:tblInd w:w="113" w:type="dxa"/>
        <w:tblLayout w:type="fixed"/>
        <w:tblLook w:val="0000" w:firstRow="0" w:lastRow="0" w:firstColumn="0" w:lastColumn="0" w:noHBand="0" w:noVBand="0"/>
      </w:tblPr>
      <w:tblGrid>
        <w:gridCol w:w="992"/>
        <w:gridCol w:w="567"/>
        <w:gridCol w:w="7800"/>
      </w:tblGrid>
      <w:tr w:rsidR="005C1173" w:rsidRPr="00C9343F" w14:paraId="14F4B8E4" w14:textId="77777777" w:rsidTr="00B02E82">
        <w:tc>
          <w:tcPr>
            <w:tcW w:w="992" w:type="dxa"/>
          </w:tcPr>
          <w:p w14:paraId="6777FF76" w14:textId="77777777" w:rsidR="005C1173" w:rsidRPr="00C9343F" w:rsidRDefault="005C1173" w:rsidP="00F66D98">
            <w:pPr>
              <w:pStyle w:val="BlockText-Plain"/>
              <w:jc w:val="center"/>
            </w:pPr>
          </w:p>
        </w:tc>
        <w:tc>
          <w:tcPr>
            <w:tcW w:w="8367" w:type="dxa"/>
            <w:gridSpan w:val="2"/>
          </w:tcPr>
          <w:p w14:paraId="01903959" w14:textId="77777777" w:rsidR="005C1173" w:rsidRPr="00C9343F" w:rsidRDefault="005C1173" w:rsidP="00F66D98">
            <w:pPr>
              <w:pStyle w:val="BlockText-Plain"/>
              <w:rPr>
                <w:iCs/>
              </w:rPr>
            </w:pPr>
            <w:r w:rsidRPr="00C9343F">
              <w:t>Means a punishment of imprisonment imposed on a member who has been convicted of an offence by any of the following.</w:t>
            </w:r>
          </w:p>
        </w:tc>
      </w:tr>
      <w:tr w:rsidR="005C1173" w:rsidRPr="00C9343F" w14:paraId="71DF66CB" w14:textId="77777777" w:rsidTr="00B02E82">
        <w:trPr>
          <w:cantSplit/>
        </w:trPr>
        <w:tc>
          <w:tcPr>
            <w:tcW w:w="992" w:type="dxa"/>
          </w:tcPr>
          <w:p w14:paraId="0B65C718" w14:textId="77777777" w:rsidR="005C1173" w:rsidRPr="00C9343F" w:rsidRDefault="005C1173" w:rsidP="00F66D98">
            <w:pPr>
              <w:pStyle w:val="BlockText-Plain"/>
            </w:pPr>
          </w:p>
        </w:tc>
        <w:tc>
          <w:tcPr>
            <w:tcW w:w="567" w:type="dxa"/>
          </w:tcPr>
          <w:p w14:paraId="5A938E8A" w14:textId="77777777" w:rsidR="005C1173" w:rsidRPr="00C9343F" w:rsidRDefault="005C1173" w:rsidP="007114B1">
            <w:pPr>
              <w:pStyle w:val="BlockText-Plain"/>
              <w:jc w:val="center"/>
            </w:pPr>
            <w:r w:rsidRPr="00C9343F">
              <w:t>a.</w:t>
            </w:r>
          </w:p>
        </w:tc>
        <w:tc>
          <w:tcPr>
            <w:tcW w:w="7800" w:type="dxa"/>
          </w:tcPr>
          <w:p w14:paraId="69D029C5" w14:textId="77777777" w:rsidR="005C1173" w:rsidRPr="00C9343F" w:rsidRDefault="005C1173" w:rsidP="00F66D98">
            <w:pPr>
              <w:pStyle w:val="BlockText-Plain"/>
            </w:pPr>
            <w:r w:rsidRPr="00C9343F">
              <w:t xml:space="preserve">A Service Tribunal under the </w:t>
            </w:r>
            <w:r w:rsidRPr="00C9343F">
              <w:rPr>
                <w:i/>
                <w:iCs/>
              </w:rPr>
              <w:t>Defence Force Discipline Act 1982.</w:t>
            </w:r>
          </w:p>
        </w:tc>
      </w:tr>
      <w:tr w:rsidR="005C1173" w:rsidRPr="00C9343F" w14:paraId="3DC98FDD" w14:textId="77777777" w:rsidTr="00B02E82">
        <w:trPr>
          <w:cantSplit/>
        </w:trPr>
        <w:tc>
          <w:tcPr>
            <w:tcW w:w="992" w:type="dxa"/>
          </w:tcPr>
          <w:p w14:paraId="22778018" w14:textId="77777777" w:rsidR="005C1173" w:rsidRPr="00C9343F" w:rsidRDefault="005C1173" w:rsidP="00F66D98">
            <w:pPr>
              <w:pStyle w:val="BlockText-Plain"/>
            </w:pPr>
          </w:p>
        </w:tc>
        <w:tc>
          <w:tcPr>
            <w:tcW w:w="567" w:type="dxa"/>
          </w:tcPr>
          <w:p w14:paraId="5D79E66B" w14:textId="77777777" w:rsidR="005C1173" w:rsidRPr="00C9343F" w:rsidRDefault="005C1173" w:rsidP="007114B1">
            <w:pPr>
              <w:pStyle w:val="BlockText-Plain"/>
              <w:jc w:val="center"/>
            </w:pPr>
            <w:r w:rsidRPr="00C9343F">
              <w:t>b.</w:t>
            </w:r>
          </w:p>
        </w:tc>
        <w:tc>
          <w:tcPr>
            <w:tcW w:w="7800" w:type="dxa"/>
          </w:tcPr>
          <w:p w14:paraId="28897E93" w14:textId="77777777" w:rsidR="005C1173" w:rsidRPr="00C9343F" w:rsidRDefault="005C1173" w:rsidP="00F66D98">
            <w:pPr>
              <w:pStyle w:val="BlockText-Plain"/>
            </w:pPr>
            <w:r w:rsidRPr="00C9343F">
              <w:t>A civilian court under the law of the Commonwealth, State or Territory.</w:t>
            </w:r>
          </w:p>
        </w:tc>
      </w:tr>
      <w:tr w:rsidR="005C1173" w:rsidRPr="00C9343F" w14:paraId="76FC2F0E" w14:textId="77777777" w:rsidTr="00B02E82">
        <w:trPr>
          <w:cantSplit/>
        </w:trPr>
        <w:tc>
          <w:tcPr>
            <w:tcW w:w="992" w:type="dxa"/>
          </w:tcPr>
          <w:p w14:paraId="78A0EF8B" w14:textId="77777777" w:rsidR="005C1173" w:rsidRPr="00C9343F" w:rsidRDefault="005C1173" w:rsidP="00F66D98">
            <w:pPr>
              <w:pStyle w:val="BlockText-Plain"/>
            </w:pPr>
          </w:p>
        </w:tc>
        <w:tc>
          <w:tcPr>
            <w:tcW w:w="567" w:type="dxa"/>
          </w:tcPr>
          <w:p w14:paraId="511294AA" w14:textId="77777777" w:rsidR="005C1173" w:rsidRPr="00C9343F" w:rsidRDefault="005C1173" w:rsidP="007114B1">
            <w:pPr>
              <w:pStyle w:val="BlockText-Plain"/>
              <w:jc w:val="center"/>
            </w:pPr>
            <w:r w:rsidRPr="00C9343F">
              <w:t>c.</w:t>
            </w:r>
          </w:p>
        </w:tc>
        <w:tc>
          <w:tcPr>
            <w:tcW w:w="7800" w:type="dxa"/>
          </w:tcPr>
          <w:p w14:paraId="50DE309F" w14:textId="77777777" w:rsidR="005C1173" w:rsidRPr="00C9343F" w:rsidRDefault="005C1173" w:rsidP="00F66D98">
            <w:pPr>
              <w:pStyle w:val="BlockText-Plain"/>
            </w:pPr>
            <w:r w:rsidRPr="00C9343F">
              <w:t>A civil court of another country.</w:t>
            </w:r>
          </w:p>
        </w:tc>
      </w:tr>
    </w:tbl>
    <w:p w14:paraId="17839B24" w14:textId="25A9F2F8" w:rsidR="0084087E" w:rsidRPr="00C9343F" w:rsidRDefault="0084087E" w:rsidP="00F66D98">
      <w:pPr>
        <w:pStyle w:val="Heading5"/>
      </w:pPr>
      <w:bookmarkStart w:id="91" w:name="_Toc105053505"/>
      <w:r w:rsidRPr="00C9343F">
        <w:lastRenderedPageBreak/>
        <w:t>1.3.29A</w:t>
      </w:r>
      <w:r w:rsidR="00D94006" w:rsidRPr="00C9343F">
        <w:t>    </w:t>
      </w:r>
      <w:r w:rsidRPr="00C9343F">
        <w:t>Initial minimum period of service</w:t>
      </w:r>
      <w:bookmarkEnd w:id="91"/>
    </w:p>
    <w:tbl>
      <w:tblPr>
        <w:tblW w:w="0" w:type="auto"/>
        <w:tblInd w:w="108" w:type="dxa"/>
        <w:tblLayout w:type="fixed"/>
        <w:tblLook w:val="0000" w:firstRow="0" w:lastRow="0" w:firstColumn="0" w:lastColumn="0" w:noHBand="0" w:noVBand="0"/>
      </w:tblPr>
      <w:tblGrid>
        <w:gridCol w:w="997"/>
        <w:gridCol w:w="8367"/>
      </w:tblGrid>
      <w:tr w:rsidR="0084087E" w:rsidRPr="00C9343F" w14:paraId="1257833D" w14:textId="77777777" w:rsidTr="0005003D">
        <w:tc>
          <w:tcPr>
            <w:tcW w:w="997" w:type="dxa"/>
          </w:tcPr>
          <w:p w14:paraId="2EE37411" w14:textId="77777777" w:rsidR="0084087E" w:rsidRPr="00C9343F" w:rsidRDefault="0084087E" w:rsidP="00F66D98">
            <w:pPr>
              <w:pStyle w:val="BlockText-Plain"/>
              <w:jc w:val="center"/>
            </w:pPr>
          </w:p>
        </w:tc>
        <w:tc>
          <w:tcPr>
            <w:tcW w:w="8367" w:type="dxa"/>
          </w:tcPr>
          <w:p w14:paraId="66E88EA9" w14:textId="77777777" w:rsidR="0084087E" w:rsidRPr="00C9343F" w:rsidRDefault="0084087E" w:rsidP="00F66D98">
            <w:pPr>
              <w:pStyle w:val="BlockText-Plain"/>
            </w:pPr>
            <w:r w:rsidRPr="00C9343F">
              <w:t xml:space="preserve">Initial minimum period of service means the period of service a member must serve following enlistment or appointment, which if not completed may result in a service obligation debt under </w:t>
            </w:r>
            <w:r w:rsidR="004974D5" w:rsidRPr="00C9343F">
              <w:t>Defence Regulation</w:t>
            </w:r>
            <w:r w:rsidRPr="00C9343F">
              <w:t xml:space="preserve">. </w:t>
            </w:r>
          </w:p>
          <w:p w14:paraId="02B5C51C" w14:textId="77777777" w:rsidR="0084087E" w:rsidRPr="00C9343F" w:rsidRDefault="0084087E" w:rsidP="00F66D98">
            <w:pPr>
              <w:pStyle w:val="BlockText-Plain"/>
            </w:pPr>
            <w:r w:rsidRPr="00C9343F">
              <w:rPr>
                <w:b/>
              </w:rPr>
              <w:t>See:</w:t>
            </w:r>
            <w:r w:rsidRPr="00C9343F">
              <w:t xml:space="preserve"> Section 25 of the </w:t>
            </w:r>
            <w:r w:rsidR="004974D5" w:rsidRPr="00C9343F">
              <w:t>Defence Regulation</w:t>
            </w:r>
          </w:p>
        </w:tc>
      </w:tr>
    </w:tbl>
    <w:p w14:paraId="42527A41" w14:textId="7DE09BE6" w:rsidR="008C3365" w:rsidRPr="00C9343F" w:rsidRDefault="008C3365" w:rsidP="00F66D98">
      <w:pPr>
        <w:pStyle w:val="Heading5"/>
      </w:pPr>
      <w:bookmarkStart w:id="92" w:name="_Toc105053506"/>
      <w:r w:rsidRPr="00C9343F">
        <w:t>1.3.29B</w:t>
      </w:r>
      <w:r w:rsidR="00D94006" w:rsidRPr="00C9343F">
        <w:t>    </w:t>
      </w:r>
      <w:r w:rsidRPr="00C9343F">
        <w:t>Isolation period</w:t>
      </w:r>
      <w:bookmarkEnd w:id="92"/>
    </w:p>
    <w:tbl>
      <w:tblPr>
        <w:tblW w:w="9359" w:type="dxa"/>
        <w:tblInd w:w="113" w:type="dxa"/>
        <w:tblLayout w:type="fixed"/>
        <w:tblLook w:val="04A0" w:firstRow="1" w:lastRow="0" w:firstColumn="1" w:lastColumn="0" w:noHBand="0" w:noVBand="1"/>
      </w:tblPr>
      <w:tblGrid>
        <w:gridCol w:w="992"/>
        <w:gridCol w:w="8367"/>
      </w:tblGrid>
      <w:tr w:rsidR="008C3365" w:rsidRPr="00C9343F" w14:paraId="55EDAB16" w14:textId="77777777" w:rsidTr="006C044B">
        <w:tc>
          <w:tcPr>
            <w:tcW w:w="992" w:type="dxa"/>
          </w:tcPr>
          <w:p w14:paraId="7128D7D7" w14:textId="77777777" w:rsidR="008C3365" w:rsidRPr="00C9343F" w:rsidRDefault="008C3365" w:rsidP="00F66D98">
            <w:pPr>
              <w:pStyle w:val="Sectiontext0"/>
              <w:jc w:val="center"/>
              <w:rPr>
                <w:rFonts w:cs="Arial"/>
                <w:lang w:eastAsia="en-US"/>
              </w:rPr>
            </w:pPr>
          </w:p>
        </w:tc>
        <w:tc>
          <w:tcPr>
            <w:tcW w:w="8367" w:type="dxa"/>
          </w:tcPr>
          <w:p w14:paraId="46ED5734" w14:textId="77777777" w:rsidR="008C3365" w:rsidRPr="00C9343F" w:rsidRDefault="008C3365" w:rsidP="00F66D98">
            <w:pPr>
              <w:pStyle w:val="Sectiontext0"/>
              <w:rPr>
                <w:rFonts w:cs="Arial"/>
                <w:lang w:eastAsia="en-US"/>
              </w:rPr>
            </w:pPr>
            <w:r w:rsidRPr="00C9343F">
              <w:rPr>
                <w:rFonts w:cs="Arial"/>
                <w:lang w:eastAsia="en-US"/>
              </w:rPr>
              <w:t>Isolation period means the period a person is required to isolate themself.</w:t>
            </w:r>
          </w:p>
          <w:p w14:paraId="1A3748B9" w14:textId="4D2751F5" w:rsidR="008C3365" w:rsidRPr="00C9343F" w:rsidRDefault="00C317D9" w:rsidP="00F66D98">
            <w:pPr>
              <w:pStyle w:val="Sectiontext0"/>
              <w:rPr>
                <w:rFonts w:cs="Arial"/>
                <w:lang w:eastAsia="en-US"/>
              </w:rPr>
            </w:pPr>
            <w:r w:rsidRPr="00C9343F">
              <w:rPr>
                <w:b/>
                <w:iCs/>
              </w:rPr>
              <w:t>Note:</w:t>
            </w:r>
            <w:r w:rsidRPr="00C9343F">
              <w:rPr>
                <w:iCs/>
              </w:rPr>
              <w:t xml:space="preserve"> An isolation period may also be known as a quarantine period.</w:t>
            </w:r>
          </w:p>
        </w:tc>
      </w:tr>
    </w:tbl>
    <w:p w14:paraId="70E1440A" w14:textId="349FCD2A" w:rsidR="00AF060B" w:rsidRPr="00C9343F" w:rsidRDefault="00156A98" w:rsidP="00F66D98">
      <w:pPr>
        <w:pStyle w:val="Heading5"/>
      </w:pPr>
      <w:bookmarkStart w:id="93" w:name="_Toc105053507"/>
      <w:r w:rsidRPr="00C9343F">
        <w:t>1.3.31</w:t>
      </w:r>
      <w:r w:rsidR="00D94006" w:rsidRPr="00C9343F">
        <w:t>    </w:t>
      </w:r>
      <w:r w:rsidR="00AF060B" w:rsidRPr="00C9343F">
        <w:t>Legal officer</w:t>
      </w:r>
      <w:bookmarkEnd w:id="93"/>
    </w:p>
    <w:tbl>
      <w:tblPr>
        <w:tblW w:w="0" w:type="auto"/>
        <w:tblInd w:w="113" w:type="dxa"/>
        <w:tblLayout w:type="fixed"/>
        <w:tblLook w:val="0000" w:firstRow="0" w:lastRow="0" w:firstColumn="0" w:lastColumn="0" w:noHBand="0" w:noVBand="0"/>
      </w:tblPr>
      <w:tblGrid>
        <w:gridCol w:w="992"/>
        <w:gridCol w:w="8363"/>
      </w:tblGrid>
      <w:tr w:rsidR="00AF060B" w:rsidRPr="00C9343F" w14:paraId="32899DCC" w14:textId="77777777">
        <w:tc>
          <w:tcPr>
            <w:tcW w:w="992" w:type="dxa"/>
          </w:tcPr>
          <w:p w14:paraId="0CFC2B99" w14:textId="77777777" w:rsidR="00AF060B" w:rsidRPr="00C9343F" w:rsidRDefault="00AF060B" w:rsidP="00F66D98">
            <w:pPr>
              <w:pStyle w:val="BlockText-Plain"/>
              <w:jc w:val="center"/>
            </w:pPr>
          </w:p>
        </w:tc>
        <w:tc>
          <w:tcPr>
            <w:tcW w:w="8363" w:type="dxa"/>
          </w:tcPr>
          <w:p w14:paraId="412138B7" w14:textId="77777777" w:rsidR="00AF060B" w:rsidRPr="00C9343F" w:rsidRDefault="00AF060B" w:rsidP="00F66D98">
            <w:pPr>
              <w:pStyle w:val="BlockText-Plain"/>
            </w:pPr>
            <w:r w:rsidRPr="00C9343F">
              <w:t>Legal officer means an officer who is, or is eligible to be, admitted as a barrister or solicitor of the High Court or the Supreme Court of a State or Territory. This does not include an officer who is a Judge of the Federal Court or a Judge of a court of a State or Territory.</w:t>
            </w:r>
          </w:p>
        </w:tc>
      </w:tr>
    </w:tbl>
    <w:p w14:paraId="6477625D" w14:textId="3DA25BE3" w:rsidR="00AF060B" w:rsidRPr="00C9343F" w:rsidRDefault="00AF060B" w:rsidP="00F66D98">
      <w:pPr>
        <w:pStyle w:val="Heading5"/>
      </w:pPr>
      <w:bookmarkStart w:id="94" w:name="livingin"/>
      <w:bookmarkStart w:id="95" w:name="_Toc105053508"/>
      <w:r w:rsidRPr="00C9343F">
        <w:t>1</w:t>
      </w:r>
      <w:bookmarkEnd w:id="94"/>
      <w:r w:rsidRPr="00C9343F">
        <w:t>.3.3</w:t>
      </w:r>
      <w:r w:rsidR="00156A98" w:rsidRPr="00C9343F">
        <w:t>2</w:t>
      </w:r>
      <w:r w:rsidR="00D94006" w:rsidRPr="00C9343F">
        <w:t>    </w:t>
      </w:r>
      <w:r w:rsidRPr="00C9343F">
        <w:t>Living in</w:t>
      </w:r>
      <w:bookmarkEnd w:id="95"/>
    </w:p>
    <w:tbl>
      <w:tblPr>
        <w:tblW w:w="0" w:type="auto"/>
        <w:tblInd w:w="113" w:type="dxa"/>
        <w:tblLayout w:type="fixed"/>
        <w:tblLook w:val="0000" w:firstRow="0" w:lastRow="0" w:firstColumn="0" w:lastColumn="0" w:noHBand="0" w:noVBand="0"/>
      </w:tblPr>
      <w:tblGrid>
        <w:gridCol w:w="992"/>
        <w:gridCol w:w="8363"/>
      </w:tblGrid>
      <w:tr w:rsidR="00AF060B" w:rsidRPr="00C9343F" w14:paraId="363BAA10" w14:textId="77777777">
        <w:tc>
          <w:tcPr>
            <w:tcW w:w="992" w:type="dxa"/>
          </w:tcPr>
          <w:p w14:paraId="53058005" w14:textId="77777777" w:rsidR="00AF060B" w:rsidRPr="00C9343F" w:rsidRDefault="00AF060B" w:rsidP="00F66D98">
            <w:pPr>
              <w:pStyle w:val="BlockText-Plain"/>
              <w:jc w:val="center"/>
            </w:pPr>
          </w:p>
        </w:tc>
        <w:tc>
          <w:tcPr>
            <w:tcW w:w="8363" w:type="dxa"/>
          </w:tcPr>
          <w:p w14:paraId="150D31C9" w14:textId="77777777" w:rsidR="00AF060B" w:rsidRPr="00C9343F" w:rsidRDefault="00AF060B" w:rsidP="00F66D98">
            <w:pPr>
              <w:pStyle w:val="BlockText-Plain"/>
            </w:pPr>
            <w:r w:rsidRPr="00C9343F">
              <w:t>Living in means occupying living-in accommodation.</w:t>
            </w:r>
          </w:p>
        </w:tc>
      </w:tr>
    </w:tbl>
    <w:p w14:paraId="29F7EA93" w14:textId="0031BE78" w:rsidR="00AF060B" w:rsidRPr="00C9343F" w:rsidRDefault="00AF060B" w:rsidP="00F66D98">
      <w:pPr>
        <w:pStyle w:val="Heading5"/>
      </w:pPr>
      <w:bookmarkStart w:id="96" w:name="livinginaccommodation"/>
      <w:bookmarkStart w:id="97" w:name="_Toc105053509"/>
      <w:bookmarkEnd w:id="96"/>
      <w:r w:rsidRPr="00C9343F">
        <w:t>1.3.3</w:t>
      </w:r>
      <w:r w:rsidR="00156A98" w:rsidRPr="00C9343F">
        <w:t>3</w:t>
      </w:r>
      <w:r w:rsidR="00D94006" w:rsidRPr="00C9343F">
        <w:t>    </w:t>
      </w:r>
      <w:r w:rsidRPr="00C9343F">
        <w:t>Living-in accommodation</w:t>
      </w:r>
      <w:bookmarkEnd w:id="97"/>
    </w:p>
    <w:tbl>
      <w:tblPr>
        <w:tblW w:w="9359" w:type="dxa"/>
        <w:tblInd w:w="113" w:type="dxa"/>
        <w:tblLayout w:type="fixed"/>
        <w:tblLook w:val="0000" w:firstRow="0" w:lastRow="0" w:firstColumn="0" w:lastColumn="0" w:noHBand="0" w:noVBand="0"/>
      </w:tblPr>
      <w:tblGrid>
        <w:gridCol w:w="992"/>
        <w:gridCol w:w="567"/>
        <w:gridCol w:w="567"/>
        <w:gridCol w:w="7233"/>
      </w:tblGrid>
      <w:tr w:rsidR="00AF060B" w:rsidRPr="00C9343F" w14:paraId="22243D69" w14:textId="77777777" w:rsidTr="00EC00B7">
        <w:tc>
          <w:tcPr>
            <w:tcW w:w="992" w:type="dxa"/>
          </w:tcPr>
          <w:p w14:paraId="26EEDD2D" w14:textId="77777777" w:rsidR="00AF060B" w:rsidRPr="00C9343F" w:rsidRDefault="00AF060B" w:rsidP="00F66D98">
            <w:pPr>
              <w:pStyle w:val="BlockText-Plain"/>
              <w:jc w:val="center"/>
            </w:pPr>
          </w:p>
        </w:tc>
        <w:tc>
          <w:tcPr>
            <w:tcW w:w="8367" w:type="dxa"/>
            <w:gridSpan w:val="3"/>
          </w:tcPr>
          <w:p w14:paraId="34A7BDAC" w14:textId="0A17CAA0" w:rsidR="00AF060B" w:rsidRPr="00C9343F" w:rsidRDefault="00AF060B" w:rsidP="00F66D98">
            <w:pPr>
              <w:pStyle w:val="BlockText-Plain"/>
            </w:pPr>
            <w:r w:rsidRPr="00C9343F">
              <w:t xml:space="preserve">Living-in accommodation means </w:t>
            </w:r>
            <w:r w:rsidR="00EC00B7" w:rsidRPr="00C9343F">
              <w:t>one</w:t>
            </w:r>
            <w:r w:rsidRPr="00C9343F">
              <w:t xml:space="preserve"> of these forms of accommodation. </w:t>
            </w:r>
          </w:p>
        </w:tc>
      </w:tr>
      <w:tr w:rsidR="00AF060B" w:rsidRPr="00C9343F" w14:paraId="176ECCCB" w14:textId="77777777" w:rsidTr="00EC00B7">
        <w:trPr>
          <w:cantSplit/>
        </w:trPr>
        <w:tc>
          <w:tcPr>
            <w:tcW w:w="992" w:type="dxa"/>
          </w:tcPr>
          <w:p w14:paraId="6354BB63" w14:textId="77777777" w:rsidR="00AF060B" w:rsidRPr="00C9343F" w:rsidRDefault="00AF060B" w:rsidP="00F66D98">
            <w:pPr>
              <w:pStyle w:val="BlockText-Plain"/>
            </w:pPr>
          </w:p>
        </w:tc>
        <w:tc>
          <w:tcPr>
            <w:tcW w:w="567" w:type="dxa"/>
          </w:tcPr>
          <w:p w14:paraId="44A5A16D" w14:textId="77777777" w:rsidR="00AF060B" w:rsidRPr="00C9343F" w:rsidRDefault="00AF060B" w:rsidP="007114B1">
            <w:pPr>
              <w:pStyle w:val="BlockText-Plain"/>
              <w:jc w:val="center"/>
            </w:pPr>
            <w:r w:rsidRPr="00C9343F">
              <w:t>a.</w:t>
            </w:r>
          </w:p>
        </w:tc>
        <w:tc>
          <w:tcPr>
            <w:tcW w:w="7800" w:type="dxa"/>
            <w:gridSpan w:val="2"/>
          </w:tcPr>
          <w:p w14:paraId="212EB1FC" w14:textId="77777777" w:rsidR="00AF060B" w:rsidRPr="00C9343F" w:rsidRDefault="00AF060B" w:rsidP="00F66D98">
            <w:pPr>
              <w:pStyle w:val="BlockText-Plain"/>
            </w:pPr>
            <w:r w:rsidRPr="00C9343F">
              <w:t>A barracks or similar kind of residential accommodation that meets both these conditions.</w:t>
            </w:r>
          </w:p>
        </w:tc>
      </w:tr>
      <w:tr w:rsidR="00AF060B" w:rsidRPr="00C9343F" w14:paraId="6DE32FC4" w14:textId="77777777" w:rsidTr="00EC00B7">
        <w:trPr>
          <w:cantSplit/>
        </w:trPr>
        <w:tc>
          <w:tcPr>
            <w:tcW w:w="1559" w:type="dxa"/>
            <w:gridSpan w:val="2"/>
          </w:tcPr>
          <w:p w14:paraId="10B33CB9" w14:textId="77777777" w:rsidR="00AF060B" w:rsidRPr="00C9343F" w:rsidRDefault="00AF060B" w:rsidP="00F66D98">
            <w:pPr>
              <w:pStyle w:val="BlockText-Plain"/>
            </w:pPr>
          </w:p>
        </w:tc>
        <w:tc>
          <w:tcPr>
            <w:tcW w:w="567" w:type="dxa"/>
          </w:tcPr>
          <w:p w14:paraId="472D48CB" w14:textId="77777777" w:rsidR="00AF060B" w:rsidRPr="00C9343F" w:rsidRDefault="00AF060B" w:rsidP="007114B1">
            <w:pPr>
              <w:pStyle w:val="BlockText-Plain"/>
            </w:pPr>
            <w:r w:rsidRPr="00C9343F">
              <w:t>i.</w:t>
            </w:r>
          </w:p>
        </w:tc>
        <w:tc>
          <w:tcPr>
            <w:tcW w:w="7233" w:type="dxa"/>
          </w:tcPr>
          <w:p w14:paraId="2F4E6771" w14:textId="77777777" w:rsidR="00AF060B" w:rsidRPr="00C9343F" w:rsidRDefault="00AF060B" w:rsidP="00F66D98">
            <w:pPr>
              <w:pStyle w:val="BlockText-Plain"/>
            </w:pPr>
            <w:r w:rsidRPr="00C9343F">
              <w:t>It is owned or controlled by the Commonwealth.</w:t>
            </w:r>
          </w:p>
        </w:tc>
      </w:tr>
      <w:tr w:rsidR="00AF060B" w:rsidRPr="00C9343F" w14:paraId="10EA8C70" w14:textId="77777777" w:rsidTr="00EC00B7">
        <w:trPr>
          <w:cantSplit/>
        </w:trPr>
        <w:tc>
          <w:tcPr>
            <w:tcW w:w="1559" w:type="dxa"/>
            <w:gridSpan w:val="2"/>
          </w:tcPr>
          <w:p w14:paraId="3FAC6A9D" w14:textId="77777777" w:rsidR="00AF060B" w:rsidRPr="00C9343F" w:rsidRDefault="00AF060B" w:rsidP="00F66D98">
            <w:pPr>
              <w:pStyle w:val="BlockText-Plain"/>
            </w:pPr>
          </w:p>
        </w:tc>
        <w:tc>
          <w:tcPr>
            <w:tcW w:w="567" w:type="dxa"/>
          </w:tcPr>
          <w:p w14:paraId="5482DEFA" w14:textId="77777777" w:rsidR="00AF060B" w:rsidRPr="00C9343F" w:rsidRDefault="00AF060B" w:rsidP="007114B1">
            <w:pPr>
              <w:pStyle w:val="BlockText-Plain"/>
            </w:pPr>
            <w:r w:rsidRPr="00C9343F">
              <w:t>ii.</w:t>
            </w:r>
          </w:p>
        </w:tc>
        <w:tc>
          <w:tcPr>
            <w:tcW w:w="7233" w:type="dxa"/>
          </w:tcPr>
          <w:p w14:paraId="3BB103C6" w14:textId="77777777" w:rsidR="00AF060B" w:rsidRPr="00C9343F" w:rsidRDefault="00AF060B" w:rsidP="00F66D98">
            <w:pPr>
              <w:pStyle w:val="BlockText-Plain"/>
            </w:pPr>
            <w:r w:rsidRPr="00C9343F">
              <w:t>It is provided primarily for the use of members without dependants.</w:t>
            </w:r>
          </w:p>
        </w:tc>
      </w:tr>
      <w:tr w:rsidR="00AF060B" w:rsidRPr="00C9343F" w14:paraId="231A2817" w14:textId="77777777" w:rsidTr="00EC00B7">
        <w:trPr>
          <w:cantSplit/>
        </w:trPr>
        <w:tc>
          <w:tcPr>
            <w:tcW w:w="992" w:type="dxa"/>
          </w:tcPr>
          <w:p w14:paraId="111A5F6F" w14:textId="77777777" w:rsidR="00AF060B" w:rsidRPr="00C9343F" w:rsidRDefault="00AF060B" w:rsidP="00F66D98">
            <w:pPr>
              <w:pStyle w:val="BlockText-Plain"/>
            </w:pPr>
          </w:p>
        </w:tc>
        <w:tc>
          <w:tcPr>
            <w:tcW w:w="567" w:type="dxa"/>
          </w:tcPr>
          <w:p w14:paraId="3BCBE863" w14:textId="77777777" w:rsidR="00AF060B" w:rsidRPr="00C9343F" w:rsidRDefault="00AF060B" w:rsidP="007114B1">
            <w:pPr>
              <w:pStyle w:val="BlockText-Plain"/>
              <w:jc w:val="center"/>
            </w:pPr>
            <w:r w:rsidRPr="00C9343F">
              <w:t>b.</w:t>
            </w:r>
          </w:p>
        </w:tc>
        <w:tc>
          <w:tcPr>
            <w:tcW w:w="7800" w:type="dxa"/>
            <w:gridSpan w:val="2"/>
          </w:tcPr>
          <w:p w14:paraId="189EE73F" w14:textId="77777777" w:rsidR="00AF060B" w:rsidRPr="00C9343F" w:rsidRDefault="00AF060B" w:rsidP="00F66D98">
            <w:pPr>
              <w:pStyle w:val="BlockText-Plain"/>
            </w:pPr>
            <w:r w:rsidRPr="00C9343F">
              <w:t>Accommodation like that described in paragraph a. that a foreign government or other organisation provides for members without dependants.</w:t>
            </w:r>
          </w:p>
        </w:tc>
      </w:tr>
      <w:tr w:rsidR="00EC00B7" w:rsidRPr="00C9343F" w14:paraId="2729600E" w14:textId="77777777" w:rsidTr="00EC00B7">
        <w:trPr>
          <w:cantSplit/>
        </w:trPr>
        <w:tc>
          <w:tcPr>
            <w:tcW w:w="992" w:type="dxa"/>
          </w:tcPr>
          <w:p w14:paraId="0B58D3F4" w14:textId="77777777" w:rsidR="00EC00B7" w:rsidRPr="00C9343F" w:rsidRDefault="00EC00B7" w:rsidP="00F66D98">
            <w:pPr>
              <w:pStyle w:val="BlockText-Plain"/>
            </w:pPr>
          </w:p>
        </w:tc>
        <w:tc>
          <w:tcPr>
            <w:tcW w:w="567" w:type="dxa"/>
          </w:tcPr>
          <w:p w14:paraId="69C7E951" w14:textId="56546E48" w:rsidR="00EC00B7" w:rsidRPr="00C9343F" w:rsidRDefault="00EC00B7" w:rsidP="007114B1">
            <w:pPr>
              <w:pStyle w:val="BlockText-Plain"/>
              <w:jc w:val="center"/>
            </w:pPr>
            <w:r w:rsidRPr="00C9343F">
              <w:t>c.</w:t>
            </w:r>
          </w:p>
        </w:tc>
        <w:tc>
          <w:tcPr>
            <w:tcW w:w="7800" w:type="dxa"/>
            <w:gridSpan w:val="2"/>
          </w:tcPr>
          <w:p w14:paraId="354EB2AD" w14:textId="0017985A" w:rsidR="00EC00B7" w:rsidRPr="00C9343F" w:rsidRDefault="00EC00B7" w:rsidP="00F66D98">
            <w:pPr>
              <w:pStyle w:val="BlockText-Plain"/>
            </w:pPr>
            <w:r w:rsidRPr="00C9343F">
              <w:t>Accommodation provided by a hospital for a medical officer to occupy during a period of compulsory residency.</w:t>
            </w:r>
          </w:p>
        </w:tc>
      </w:tr>
      <w:tr w:rsidR="00EC00B7" w:rsidRPr="00C9343F" w14:paraId="38BE2FF7" w14:textId="77777777" w:rsidTr="00EC00B7">
        <w:trPr>
          <w:cantSplit/>
        </w:trPr>
        <w:tc>
          <w:tcPr>
            <w:tcW w:w="992" w:type="dxa"/>
          </w:tcPr>
          <w:p w14:paraId="7E6A286D" w14:textId="77777777" w:rsidR="00EC00B7" w:rsidRPr="00C9343F" w:rsidRDefault="00EC00B7" w:rsidP="00F66D98">
            <w:pPr>
              <w:pStyle w:val="BlockText-Plain"/>
            </w:pPr>
          </w:p>
        </w:tc>
        <w:tc>
          <w:tcPr>
            <w:tcW w:w="567" w:type="dxa"/>
          </w:tcPr>
          <w:p w14:paraId="499DCBE4" w14:textId="243C6028" w:rsidR="00EC00B7" w:rsidRPr="00C9343F" w:rsidRDefault="00EC00B7" w:rsidP="007114B1">
            <w:pPr>
              <w:pStyle w:val="BlockText-Plain"/>
              <w:jc w:val="center"/>
            </w:pPr>
            <w:r w:rsidRPr="00C9343F">
              <w:t>d.</w:t>
            </w:r>
          </w:p>
        </w:tc>
        <w:tc>
          <w:tcPr>
            <w:tcW w:w="7800" w:type="dxa"/>
            <w:gridSpan w:val="2"/>
          </w:tcPr>
          <w:p w14:paraId="45A3D20E" w14:textId="3B419F7F" w:rsidR="00EC00B7" w:rsidRPr="00C9343F" w:rsidRDefault="00EC00B7" w:rsidP="00F66D98">
            <w:pPr>
              <w:pStyle w:val="BlockText-Plain"/>
            </w:pPr>
            <w:r w:rsidRPr="00C9343F">
              <w:t xml:space="preserve">Accommodation provided by a seminary or theological college for a Chaplain to occupy when undertaking training at the seminary or theological college. </w:t>
            </w:r>
          </w:p>
        </w:tc>
      </w:tr>
      <w:tr w:rsidR="00EC00B7" w:rsidRPr="00C9343F" w14:paraId="51287E3A" w14:textId="77777777" w:rsidTr="00EC00B7">
        <w:trPr>
          <w:cantSplit/>
        </w:trPr>
        <w:tc>
          <w:tcPr>
            <w:tcW w:w="992" w:type="dxa"/>
          </w:tcPr>
          <w:p w14:paraId="74083A56" w14:textId="77777777" w:rsidR="00EC00B7" w:rsidRPr="00C9343F" w:rsidRDefault="00EC00B7" w:rsidP="00F66D98">
            <w:pPr>
              <w:pStyle w:val="BlockText-Plain"/>
            </w:pPr>
          </w:p>
        </w:tc>
        <w:tc>
          <w:tcPr>
            <w:tcW w:w="567" w:type="dxa"/>
          </w:tcPr>
          <w:p w14:paraId="7AB2EC9A" w14:textId="5F909EC1" w:rsidR="00EC00B7" w:rsidRPr="00C9343F" w:rsidRDefault="00EC00B7" w:rsidP="007114B1">
            <w:pPr>
              <w:pStyle w:val="BlockText-Plain"/>
              <w:jc w:val="center"/>
            </w:pPr>
            <w:r w:rsidRPr="00C9343F">
              <w:t>e.</w:t>
            </w:r>
          </w:p>
        </w:tc>
        <w:tc>
          <w:tcPr>
            <w:tcW w:w="7800" w:type="dxa"/>
            <w:gridSpan w:val="2"/>
          </w:tcPr>
          <w:p w14:paraId="3D2BB76C" w14:textId="4A27473A" w:rsidR="00EC00B7" w:rsidRPr="00C9343F" w:rsidRDefault="00EC00B7" w:rsidP="00F66D98">
            <w:pPr>
              <w:pStyle w:val="BlockText-Plain"/>
            </w:pPr>
            <w:r w:rsidRPr="00C9343F">
              <w:t xml:space="preserve">Accommodation provided by an educational institution for a Maritime Spiritual Wellbeing Officer to occupy when undertaking compulsory post-graduate work experience at the institution. </w:t>
            </w:r>
          </w:p>
        </w:tc>
      </w:tr>
    </w:tbl>
    <w:p w14:paraId="3D80C9C8" w14:textId="2F1CDCCE" w:rsidR="00AF060B" w:rsidRPr="00C9343F" w:rsidRDefault="00AF060B" w:rsidP="00F66D98">
      <w:pPr>
        <w:pStyle w:val="Heading5"/>
      </w:pPr>
      <w:bookmarkStart w:id="98" w:name="_Toc105053510"/>
      <w:r w:rsidRPr="00C9343F">
        <w:t>1.3.3</w:t>
      </w:r>
      <w:r w:rsidR="00156A98" w:rsidRPr="00C9343F">
        <w:t>4</w:t>
      </w:r>
      <w:r w:rsidR="00D94006" w:rsidRPr="00C9343F">
        <w:t>    </w:t>
      </w:r>
      <w:r w:rsidRPr="00C9343F">
        <w:t>Living out</w:t>
      </w:r>
      <w:bookmarkEnd w:id="98"/>
    </w:p>
    <w:tbl>
      <w:tblPr>
        <w:tblW w:w="0" w:type="auto"/>
        <w:tblInd w:w="113" w:type="dxa"/>
        <w:tblLayout w:type="fixed"/>
        <w:tblLook w:val="0000" w:firstRow="0" w:lastRow="0" w:firstColumn="0" w:lastColumn="0" w:noHBand="0" w:noVBand="0"/>
      </w:tblPr>
      <w:tblGrid>
        <w:gridCol w:w="992"/>
        <w:gridCol w:w="8363"/>
      </w:tblGrid>
      <w:tr w:rsidR="00AF060B" w:rsidRPr="00C9343F" w14:paraId="61CCB93A" w14:textId="77777777">
        <w:tc>
          <w:tcPr>
            <w:tcW w:w="992" w:type="dxa"/>
          </w:tcPr>
          <w:p w14:paraId="10C9C5D1" w14:textId="77777777" w:rsidR="00AF060B" w:rsidRPr="00C9343F" w:rsidRDefault="00AF060B" w:rsidP="00F66D98">
            <w:pPr>
              <w:pStyle w:val="BlockText-Plain"/>
              <w:jc w:val="center"/>
            </w:pPr>
          </w:p>
        </w:tc>
        <w:tc>
          <w:tcPr>
            <w:tcW w:w="8363" w:type="dxa"/>
          </w:tcPr>
          <w:p w14:paraId="27B69355" w14:textId="77777777" w:rsidR="00AF060B" w:rsidRPr="00C9343F" w:rsidRDefault="00AF060B" w:rsidP="00F66D98">
            <w:pPr>
              <w:pStyle w:val="BlockText-Plain"/>
            </w:pPr>
            <w:r w:rsidRPr="00C9343F">
              <w:t>Living out means not living in.</w:t>
            </w:r>
          </w:p>
          <w:p w14:paraId="223EE465" w14:textId="77777777" w:rsidR="00AF060B" w:rsidRPr="00C9343F" w:rsidRDefault="00AF060B" w:rsidP="00F66D98">
            <w:pPr>
              <w:pStyle w:val="BlockText-Plain"/>
            </w:pPr>
            <w:r w:rsidRPr="00C9343F">
              <w:rPr>
                <w:b/>
              </w:rPr>
              <w:t xml:space="preserve">See: </w:t>
            </w:r>
            <w:r w:rsidR="00580C86" w:rsidRPr="00C9343F">
              <w:t>Section</w:t>
            </w:r>
            <w:r w:rsidRPr="00C9343F">
              <w:t xml:space="preserve"> 1.3.32, Living in</w:t>
            </w:r>
          </w:p>
        </w:tc>
      </w:tr>
    </w:tbl>
    <w:p w14:paraId="05EACB4D" w14:textId="6E4C0BCA" w:rsidR="00AF060B" w:rsidRPr="00C9343F" w:rsidRDefault="00AF060B" w:rsidP="00F66D98">
      <w:pPr>
        <w:pStyle w:val="Heading5"/>
      </w:pPr>
      <w:bookmarkStart w:id="99" w:name="residence"/>
      <w:bookmarkStart w:id="100" w:name="_Toc105053511"/>
      <w:bookmarkEnd w:id="99"/>
      <w:r w:rsidRPr="00C9343F">
        <w:lastRenderedPageBreak/>
        <w:t>1.3.3</w:t>
      </w:r>
      <w:r w:rsidR="00156A98" w:rsidRPr="00C9343F">
        <w:t>5</w:t>
      </w:r>
      <w:r w:rsidR="00D94006" w:rsidRPr="00C9343F">
        <w:t>    </w:t>
      </w:r>
      <w:r w:rsidRPr="00C9343F">
        <w:t>Location of residence – within Australia</w:t>
      </w:r>
      <w:bookmarkEnd w:id="100"/>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680BA1F8" w14:textId="77777777">
        <w:tc>
          <w:tcPr>
            <w:tcW w:w="992" w:type="dxa"/>
          </w:tcPr>
          <w:p w14:paraId="1B860BA9" w14:textId="77777777" w:rsidR="00AF060B" w:rsidRPr="00C9343F" w:rsidRDefault="00AF060B" w:rsidP="00F66D98">
            <w:pPr>
              <w:pStyle w:val="BlockText-Plain"/>
              <w:jc w:val="center"/>
            </w:pPr>
          </w:p>
        </w:tc>
        <w:tc>
          <w:tcPr>
            <w:tcW w:w="8363" w:type="dxa"/>
            <w:gridSpan w:val="2"/>
          </w:tcPr>
          <w:p w14:paraId="007A1F33" w14:textId="77777777" w:rsidR="00AF060B" w:rsidRPr="00C9343F" w:rsidRDefault="00AF060B" w:rsidP="00F66D98">
            <w:pPr>
              <w:pStyle w:val="BlockText-Plain"/>
            </w:pPr>
            <w:r w:rsidRPr="00C9343F">
              <w:t>For service within Australia, location of residence means an area surrounding a member's residence. It is the area defined by the distance the member can travel from their residence and back, door to door. The distance is the greater of these two distances.</w:t>
            </w:r>
          </w:p>
        </w:tc>
      </w:tr>
      <w:tr w:rsidR="00AF060B" w:rsidRPr="00C9343F" w14:paraId="064EC81B" w14:textId="77777777">
        <w:trPr>
          <w:cantSplit/>
        </w:trPr>
        <w:tc>
          <w:tcPr>
            <w:tcW w:w="992" w:type="dxa"/>
          </w:tcPr>
          <w:p w14:paraId="21519B03" w14:textId="77777777" w:rsidR="00AF060B" w:rsidRPr="00C9343F" w:rsidRDefault="00AF060B" w:rsidP="00F66D98">
            <w:pPr>
              <w:pStyle w:val="BlockText-Plain"/>
            </w:pPr>
          </w:p>
        </w:tc>
        <w:tc>
          <w:tcPr>
            <w:tcW w:w="567" w:type="dxa"/>
          </w:tcPr>
          <w:p w14:paraId="52B480F4" w14:textId="77777777" w:rsidR="00AF060B" w:rsidRPr="00C9343F" w:rsidRDefault="00AF060B" w:rsidP="007114B1">
            <w:pPr>
              <w:pStyle w:val="BlockText-Plain"/>
              <w:jc w:val="center"/>
            </w:pPr>
            <w:r w:rsidRPr="00C9343F">
              <w:t>a.</w:t>
            </w:r>
          </w:p>
        </w:tc>
        <w:tc>
          <w:tcPr>
            <w:tcW w:w="7796" w:type="dxa"/>
          </w:tcPr>
          <w:p w14:paraId="71C3F9B0" w14:textId="77777777" w:rsidR="00AF060B" w:rsidRPr="00C9343F" w:rsidRDefault="00AF060B" w:rsidP="00F66D98">
            <w:pPr>
              <w:pStyle w:val="BlockText-Plain"/>
            </w:pPr>
            <w:r w:rsidRPr="00C9343F">
              <w:t>How far the member can travel in 150 minutes by the most appropriate and efficient means of public transport.</w:t>
            </w:r>
          </w:p>
        </w:tc>
      </w:tr>
      <w:tr w:rsidR="00AF060B" w:rsidRPr="00C9343F" w14:paraId="16EBBB17" w14:textId="77777777">
        <w:trPr>
          <w:cantSplit/>
        </w:trPr>
        <w:tc>
          <w:tcPr>
            <w:tcW w:w="992" w:type="dxa"/>
          </w:tcPr>
          <w:p w14:paraId="175F6E55" w14:textId="77777777" w:rsidR="00AF060B" w:rsidRPr="00C9343F" w:rsidRDefault="00AF060B" w:rsidP="00F66D98">
            <w:pPr>
              <w:pStyle w:val="BlockText-Plain"/>
              <w:keepNext/>
              <w:keepLines/>
            </w:pPr>
          </w:p>
        </w:tc>
        <w:tc>
          <w:tcPr>
            <w:tcW w:w="567" w:type="dxa"/>
          </w:tcPr>
          <w:p w14:paraId="43186109" w14:textId="77777777" w:rsidR="00AF060B" w:rsidRPr="00C9343F" w:rsidRDefault="00AF060B" w:rsidP="007114B1">
            <w:pPr>
              <w:pStyle w:val="BlockText-Plain"/>
              <w:keepNext/>
              <w:keepLines/>
              <w:jc w:val="center"/>
            </w:pPr>
            <w:r w:rsidRPr="00C9343F">
              <w:t>b.</w:t>
            </w:r>
          </w:p>
        </w:tc>
        <w:tc>
          <w:tcPr>
            <w:tcW w:w="7796" w:type="dxa"/>
          </w:tcPr>
          <w:p w14:paraId="194F6BEA" w14:textId="77777777" w:rsidR="00AF060B" w:rsidRPr="00C9343F" w:rsidRDefault="00AF060B" w:rsidP="00F66D98">
            <w:pPr>
              <w:pStyle w:val="BlockText-Plain"/>
              <w:keepNext/>
              <w:keepLines/>
            </w:pPr>
            <w:r w:rsidRPr="00C9343F">
              <w:t>30 km each way by public road.</w:t>
            </w:r>
          </w:p>
        </w:tc>
      </w:tr>
      <w:tr w:rsidR="00AF060B" w:rsidRPr="00C9343F" w14:paraId="7E9AFCE4" w14:textId="77777777">
        <w:tc>
          <w:tcPr>
            <w:tcW w:w="992" w:type="dxa"/>
          </w:tcPr>
          <w:p w14:paraId="6C7514FB" w14:textId="77777777" w:rsidR="00AF060B" w:rsidRPr="00C9343F" w:rsidRDefault="00AF060B" w:rsidP="00F66D98">
            <w:pPr>
              <w:pStyle w:val="BlockText-Plain"/>
              <w:keepNext/>
              <w:keepLines/>
              <w:jc w:val="center"/>
            </w:pPr>
          </w:p>
        </w:tc>
        <w:tc>
          <w:tcPr>
            <w:tcW w:w="8363" w:type="dxa"/>
            <w:gridSpan w:val="2"/>
          </w:tcPr>
          <w:p w14:paraId="62B2C0CA" w14:textId="77777777" w:rsidR="00AF060B" w:rsidRPr="00C9343F" w:rsidRDefault="00AF060B" w:rsidP="00F66D98">
            <w:pPr>
              <w:pStyle w:val="BlockText-Plain"/>
              <w:keepNext/>
              <w:keepLines/>
            </w:pPr>
            <w:r w:rsidRPr="00C9343F">
              <w:rPr>
                <w:b/>
              </w:rPr>
              <w:t>See also:</w:t>
            </w:r>
            <w:r w:rsidRPr="00C9343F">
              <w:t xml:space="preserve"> </w:t>
            </w:r>
            <w:r w:rsidR="00580C86" w:rsidRPr="00C9343F">
              <w:t>Section</w:t>
            </w:r>
            <w:r w:rsidRPr="00C9343F">
              <w:t xml:space="preserve"> 1.3.5</w:t>
            </w:r>
            <w:r w:rsidR="00DC49DD" w:rsidRPr="00C9343F">
              <w:t>5</w:t>
            </w:r>
            <w:r w:rsidR="00156A98" w:rsidRPr="00C9343F">
              <w:t>,</w:t>
            </w:r>
            <w:r w:rsidRPr="00C9343F">
              <w:t xml:space="preserve"> Posting location – within Australia</w:t>
            </w:r>
          </w:p>
        </w:tc>
      </w:tr>
    </w:tbl>
    <w:p w14:paraId="1AE4AC2B" w14:textId="13AE6A71" w:rsidR="00AF060B" w:rsidRPr="00C9343F" w:rsidRDefault="00AF060B" w:rsidP="00F66D98">
      <w:pPr>
        <w:pStyle w:val="Heading5"/>
      </w:pPr>
      <w:bookmarkStart w:id="101" w:name="_Toc105053512"/>
      <w:r w:rsidRPr="00C9343F">
        <w:t>1.3.3</w:t>
      </w:r>
      <w:r w:rsidR="00156A98" w:rsidRPr="00C9343F">
        <w:t>6</w:t>
      </w:r>
      <w:r w:rsidR="00D94006" w:rsidRPr="00C9343F">
        <w:t>    </w:t>
      </w:r>
      <w:r w:rsidRPr="00C9343F">
        <w:t>Long-term posting</w:t>
      </w:r>
      <w:bookmarkEnd w:id="101"/>
    </w:p>
    <w:tbl>
      <w:tblPr>
        <w:tblW w:w="0" w:type="auto"/>
        <w:tblInd w:w="113" w:type="dxa"/>
        <w:tblLayout w:type="fixed"/>
        <w:tblLook w:val="0000" w:firstRow="0" w:lastRow="0" w:firstColumn="0" w:lastColumn="0" w:noHBand="0" w:noVBand="0"/>
      </w:tblPr>
      <w:tblGrid>
        <w:gridCol w:w="992"/>
        <w:gridCol w:w="8363"/>
      </w:tblGrid>
      <w:tr w:rsidR="00AF060B" w:rsidRPr="00C9343F" w14:paraId="458E7523" w14:textId="77777777">
        <w:tc>
          <w:tcPr>
            <w:tcW w:w="992" w:type="dxa"/>
          </w:tcPr>
          <w:p w14:paraId="51ADB27B" w14:textId="77777777" w:rsidR="00AF060B" w:rsidRPr="00C9343F" w:rsidRDefault="00AF060B" w:rsidP="00F66D98">
            <w:pPr>
              <w:pStyle w:val="BlockText-Plain"/>
              <w:jc w:val="center"/>
            </w:pPr>
            <w:r w:rsidRPr="00C9343F">
              <w:t>1.</w:t>
            </w:r>
          </w:p>
        </w:tc>
        <w:tc>
          <w:tcPr>
            <w:tcW w:w="8363" w:type="dxa"/>
          </w:tcPr>
          <w:p w14:paraId="0FA4EFC1" w14:textId="77777777" w:rsidR="00AF060B" w:rsidRPr="00C9343F" w:rsidRDefault="00AF060B" w:rsidP="00F66D98">
            <w:pPr>
              <w:pStyle w:val="BlockText-Plain"/>
            </w:pPr>
            <w:r w:rsidRPr="00C9343F">
              <w:t>Within Australia – long-term posting means a period of duty that the member's Service has directed to be for more than six months.</w:t>
            </w:r>
          </w:p>
        </w:tc>
      </w:tr>
      <w:tr w:rsidR="00AF060B" w:rsidRPr="00C9343F" w14:paraId="72131771" w14:textId="77777777">
        <w:tc>
          <w:tcPr>
            <w:tcW w:w="992" w:type="dxa"/>
          </w:tcPr>
          <w:p w14:paraId="05309822" w14:textId="77777777" w:rsidR="00AF060B" w:rsidRPr="00C9343F" w:rsidRDefault="00AF060B" w:rsidP="00F66D98">
            <w:pPr>
              <w:pStyle w:val="BlockText-Plain"/>
              <w:jc w:val="center"/>
            </w:pPr>
            <w:r w:rsidRPr="00C9343F">
              <w:t>2.</w:t>
            </w:r>
          </w:p>
        </w:tc>
        <w:tc>
          <w:tcPr>
            <w:tcW w:w="8363" w:type="dxa"/>
          </w:tcPr>
          <w:p w14:paraId="344910B7" w14:textId="77777777" w:rsidR="00AF060B" w:rsidRPr="00C9343F" w:rsidRDefault="00AF060B" w:rsidP="00F66D98">
            <w:pPr>
              <w:pStyle w:val="TableTextNumbered"/>
              <w:rPr>
                <w:b/>
              </w:rPr>
            </w:pPr>
            <w:r w:rsidRPr="00C9343F">
              <w:t xml:space="preserve">For duty overseas – see Chapter 12 Part 3 </w:t>
            </w:r>
            <w:r w:rsidR="00580C86" w:rsidRPr="00C9343F">
              <w:t>section</w:t>
            </w:r>
            <w:r w:rsidRPr="00C9343F">
              <w:t xml:space="preserve"> 12.3.9</w:t>
            </w:r>
            <w:r w:rsidR="00156A98" w:rsidRPr="00C9343F">
              <w:rPr>
                <w:color w:val="008000"/>
              </w:rPr>
              <w:t>,</w:t>
            </w:r>
            <w:r w:rsidRPr="00C9343F">
              <w:t xml:space="preserve"> Long-term posting overseas. </w:t>
            </w:r>
          </w:p>
        </w:tc>
      </w:tr>
    </w:tbl>
    <w:p w14:paraId="61773785" w14:textId="3C380F56" w:rsidR="00AF060B" w:rsidRPr="00C9343F" w:rsidRDefault="00AF060B" w:rsidP="00F66D98">
      <w:pPr>
        <w:pStyle w:val="Heading5"/>
      </w:pPr>
      <w:bookmarkStart w:id="102" w:name="_Toc105053513"/>
      <w:r w:rsidRPr="00C9343F">
        <w:t>1.3.3</w:t>
      </w:r>
      <w:r w:rsidR="00156A98" w:rsidRPr="00C9343F">
        <w:t>7</w:t>
      </w:r>
      <w:r w:rsidR="00D94006" w:rsidRPr="00C9343F">
        <w:t>    </w:t>
      </w:r>
      <w:r w:rsidRPr="00C9343F">
        <w:t>Losing location</w:t>
      </w:r>
      <w:bookmarkEnd w:id="102"/>
    </w:p>
    <w:tbl>
      <w:tblPr>
        <w:tblW w:w="0" w:type="auto"/>
        <w:tblInd w:w="113" w:type="dxa"/>
        <w:tblLayout w:type="fixed"/>
        <w:tblLook w:val="0000" w:firstRow="0" w:lastRow="0" w:firstColumn="0" w:lastColumn="0" w:noHBand="0" w:noVBand="0"/>
      </w:tblPr>
      <w:tblGrid>
        <w:gridCol w:w="992"/>
        <w:gridCol w:w="8363"/>
      </w:tblGrid>
      <w:tr w:rsidR="00AF060B" w:rsidRPr="00C9343F" w14:paraId="64D78E11" w14:textId="77777777">
        <w:tc>
          <w:tcPr>
            <w:tcW w:w="992" w:type="dxa"/>
          </w:tcPr>
          <w:p w14:paraId="3599D1B1" w14:textId="77777777" w:rsidR="00AF060B" w:rsidRPr="00C9343F" w:rsidRDefault="00AF060B" w:rsidP="00F66D98">
            <w:pPr>
              <w:pStyle w:val="BlockText-PlainNoSpacing"/>
            </w:pPr>
          </w:p>
        </w:tc>
        <w:tc>
          <w:tcPr>
            <w:tcW w:w="8363" w:type="dxa"/>
          </w:tcPr>
          <w:p w14:paraId="690E4E1D" w14:textId="77777777" w:rsidR="00AF060B" w:rsidRPr="00C9343F" w:rsidRDefault="00AF060B" w:rsidP="00F66D98">
            <w:pPr>
              <w:pStyle w:val="BlockText-Plain"/>
              <w:jc w:val="both"/>
            </w:pPr>
            <w:r w:rsidRPr="00C9343F">
              <w:t>This table defines losing location for a member granted a removal.</w:t>
            </w:r>
          </w:p>
        </w:tc>
      </w:tr>
    </w:tbl>
    <w:p w14:paraId="3C7212B8" w14:textId="77777777" w:rsidR="00AF060B" w:rsidRPr="00C9343F" w:rsidRDefault="00AF060B"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3402"/>
        <w:gridCol w:w="4394"/>
      </w:tblGrid>
      <w:tr w:rsidR="00AF060B" w:rsidRPr="00C9343F" w14:paraId="10A792C6" w14:textId="77777777">
        <w:trPr>
          <w:cantSplit/>
        </w:trPr>
        <w:tc>
          <w:tcPr>
            <w:tcW w:w="567" w:type="dxa"/>
            <w:tcBorders>
              <w:top w:val="single" w:sz="6" w:space="0" w:color="auto"/>
              <w:left w:val="single" w:sz="6" w:space="0" w:color="auto"/>
              <w:bottom w:val="single" w:sz="6" w:space="0" w:color="auto"/>
              <w:right w:val="single" w:sz="6" w:space="0" w:color="auto"/>
            </w:tcBorders>
          </w:tcPr>
          <w:p w14:paraId="7F44EFF0" w14:textId="77777777" w:rsidR="00AF060B" w:rsidRPr="00C9343F" w:rsidRDefault="00AF060B" w:rsidP="00F66D98">
            <w:pPr>
              <w:pStyle w:val="TableHeaderArial"/>
            </w:pPr>
            <w:r w:rsidRPr="00C9343F">
              <w:t>Item</w:t>
            </w:r>
          </w:p>
        </w:tc>
        <w:tc>
          <w:tcPr>
            <w:tcW w:w="3402" w:type="dxa"/>
            <w:tcBorders>
              <w:top w:val="single" w:sz="6" w:space="0" w:color="auto"/>
              <w:left w:val="single" w:sz="6" w:space="0" w:color="auto"/>
              <w:bottom w:val="single" w:sz="6" w:space="0" w:color="auto"/>
              <w:right w:val="single" w:sz="6" w:space="0" w:color="auto"/>
            </w:tcBorders>
          </w:tcPr>
          <w:p w14:paraId="12B5B4E3" w14:textId="77777777" w:rsidR="00AF060B" w:rsidRPr="00C9343F" w:rsidRDefault="00AF060B" w:rsidP="00F66D98">
            <w:pPr>
              <w:pStyle w:val="TableHeaderArial"/>
            </w:pPr>
            <w:r w:rsidRPr="00C9343F">
              <w:t>If the member is…</w:t>
            </w:r>
          </w:p>
        </w:tc>
        <w:tc>
          <w:tcPr>
            <w:tcW w:w="4394" w:type="dxa"/>
            <w:tcBorders>
              <w:top w:val="single" w:sz="6" w:space="0" w:color="auto"/>
              <w:left w:val="single" w:sz="6" w:space="0" w:color="auto"/>
              <w:bottom w:val="single" w:sz="6" w:space="0" w:color="auto"/>
              <w:right w:val="single" w:sz="6" w:space="0" w:color="auto"/>
            </w:tcBorders>
          </w:tcPr>
          <w:p w14:paraId="5FE9351D" w14:textId="77777777" w:rsidR="00AF060B" w:rsidRPr="00C9343F" w:rsidRDefault="00AF060B" w:rsidP="00F66D98">
            <w:pPr>
              <w:pStyle w:val="TableHeaderArial"/>
            </w:pPr>
            <w:r w:rsidRPr="00C9343F">
              <w:t xml:space="preserve">then their losing location is </w:t>
            </w:r>
            <w:r w:rsidRPr="00C9343F">
              <w:br/>
              <w:t>the location in Australia…</w:t>
            </w:r>
          </w:p>
        </w:tc>
      </w:tr>
      <w:tr w:rsidR="00AF060B" w:rsidRPr="00C9343F" w14:paraId="0DB59FC3" w14:textId="77777777">
        <w:trPr>
          <w:cantSplit/>
        </w:trPr>
        <w:tc>
          <w:tcPr>
            <w:tcW w:w="567" w:type="dxa"/>
            <w:tcBorders>
              <w:top w:val="single" w:sz="6" w:space="0" w:color="auto"/>
              <w:left w:val="single" w:sz="6" w:space="0" w:color="auto"/>
              <w:bottom w:val="single" w:sz="6" w:space="0" w:color="auto"/>
              <w:right w:val="single" w:sz="6" w:space="0" w:color="auto"/>
            </w:tcBorders>
          </w:tcPr>
          <w:p w14:paraId="07B6655D" w14:textId="77777777" w:rsidR="00AF060B" w:rsidRPr="00C9343F" w:rsidRDefault="00AF060B" w:rsidP="00F66D98">
            <w:pPr>
              <w:pStyle w:val="TableTextArial-left"/>
              <w:jc w:val="center"/>
            </w:pPr>
            <w:r w:rsidRPr="00C9343F">
              <w:t>1.</w:t>
            </w:r>
          </w:p>
        </w:tc>
        <w:tc>
          <w:tcPr>
            <w:tcW w:w="3402" w:type="dxa"/>
            <w:tcBorders>
              <w:top w:val="single" w:sz="6" w:space="0" w:color="auto"/>
              <w:left w:val="single" w:sz="6" w:space="0" w:color="auto"/>
              <w:bottom w:val="single" w:sz="6" w:space="0" w:color="auto"/>
              <w:right w:val="single" w:sz="6" w:space="0" w:color="auto"/>
            </w:tcBorders>
          </w:tcPr>
          <w:p w14:paraId="7B5B536F" w14:textId="77777777" w:rsidR="00AF060B" w:rsidRPr="00C9343F" w:rsidRDefault="00AF060B" w:rsidP="00F66D98">
            <w:pPr>
              <w:pStyle w:val="TableTextArial-left"/>
            </w:pPr>
            <w:r w:rsidRPr="00C9343F">
              <w:t>a member with dependants on their first removal after joining or rejoining the Permanent Forces</w:t>
            </w:r>
          </w:p>
        </w:tc>
        <w:tc>
          <w:tcPr>
            <w:tcW w:w="4394" w:type="dxa"/>
            <w:tcBorders>
              <w:top w:val="single" w:sz="6" w:space="0" w:color="auto"/>
              <w:left w:val="single" w:sz="6" w:space="0" w:color="auto"/>
              <w:bottom w:val="single" w:sz="6" w:space="0" w:color="auto"/>
              <w:right w:val="single" w:sz="6" w:space="0" w:color="auto"/>
            </w:tcBorders>
          </w:tcPr>
          <w:p w14:paraId="799CC16E" w14:textId="77777777" w:rsidR="00AF060B" w:rsidRPr="00C9343F" w:rsidRDefault="00AF060B" w:rsidP="00F66D98">
            <w:pPr>
              <w:pStyle w:val="TableTextArial-left"/>
            </w:pPr>
            <w:r w:rsidRPr="00C9343F">
              <w:t>of the current or last permanent home of their dependants when they joined or rejoined.</w:t>
            </w:r>
          </w:p>
        </w:tc>
      </w:tr>
      <w:tr w:rsidR="00AF060B" w:rsidRPr="00C9343F" w14:paraId="570C98A9" w14:textId="77777777">
        <w:trPr>
          <w:cantSplit/>
          <w:trHeight w:val="675"/>
        </w:trPr>
        <w:tc>
          <w:tcPr>
            <w:tcW w:w="567" w:type="dxa"/>
            <w:tcBorders>
              <w:top w:val="single" w:sz="6" w:space="0" w:color="auto"/>
              <w:left w:val="single" w:sz="6" w:space="0" w:color="auto"/>
              <w:bottom w:val="single" w:sz="4" w:space="0" w:color="auto"/>
              <w:right w:val="single" w:sz="6" w:space="0" w:color="auto"/>
            </w:tcBorders>
          </w:tcPr>
          <w:p w14:paraId="0BBEA6A1" w14:textId="77777777" w:rsidR="00AF060B" w:rsidRPr="00C9343F" w:rsidRDefault="00AF060B" w:rsidP="00F66D98">
            <w:pPr>
              <w:pStyle w:val="TableTextArial-left"/>
              <w:jc w:val="center"/>
            </w:pPr>
            <w:r w:rsidRPr="00C9343F">
              <w:t>2.</w:t>
            </w:r>
          </w:p>
        </w:tc>
        <w:tc>
          <w:tcPr>
            <w:tcW w:w="3402" w:type="dxa"/>
            <w:tcBorders>
              <w:top w:val="single" w:sz="6" w:space="0" w:color="auto"/>
              <w:left w:val="single" w:sz="6" w:space="0" w:color="auto"/>
              <w:bottom w:val="single" w:sz="4" w:space="0" w:color="auto"/>
              <w:right w:val="single" w:sz="6" w:space="0" w:color="auto"/>
            </w:tcBorders>
          </w:tcPr>
          <w:p w14:paraId="2C0B171A" w14:textId="77777777" w:rsidR="00AF060B" w:rsidRPr="00C9343F" w:rsidRDefault="00AF060B" w:rsidP="00F66D98">
            <w:pPr>
              <w:pStyle w:val="TableTextArial-left"/>
            </w:pPr>
            <w:r w:rsidRPr="00C9343F">
              <w:t>any other member with dependants</w:t>
            </w:r>
          </w:p>
        </w:tc>
        <w:tc>
          <w:tcPr>
            <w:tcW w:w="4394" w:type="dxa"/>
            <w:vMerge w:val="restart"/>
            <w:tcBorders>
              <w:top w:val="single" w:sz="6" w:space="0" w:color="auto"/>
              <w:left w:val="single" w:sz="6" w:space="0" w:color="auto"/>
              <w:bottom w:val="nil"/>
              <w:right w:val="single" w:sz="6" w:space="0" w:color="auto"/>
            </w:tcBorders>
          </w:tcPr>
          <w:p w14:paraId="40820528" w14:textId="77777777" w:rsidR="00AF060B" w:rsidRPr="00C9343F" w:rsidRDefault="00AF060B" w:rsidP="00F66D98">
            <w:pPr>
              <w:pStyle w:val="TableTextArial-left"/>
            </w:pPr>
            <w:r w:rsidRPr="00C9343F">
              <w:t>to which they were last granted a removal for their dependants.</w:t>
            </w:r>
          </w:p>
        </w:tc>
      </w:tr>
      <w:tr w:rsidR="00AF060B" w:rsidRPr="00C9343F" w14:paraId="471432F8" w14:textId="77777777">
        <w:trPr>
          <w:cantSplit/>
          <w:trHeight w:val="675"/>
        </w:trPr>
        <w:tc>
          <w:tcPr>
            <w:tcW w:w="567" w:type="dxa"/>
            <w:tcBorders>
              <w:top w:val="single" w:sz="4" w:space="0" w:color="auto"/>
              <w:left w:val="single" w:sz="6" w:space="0" w:color="auto"/>
              <w:bottom w:val="single" w:sz="6" w:space="0" w:color="auto"/>
              <w:right w:val="single" w:sz="6" w:space="0" w:color="auto"/>
            </w:tcBorders>
          </w:tcPr>
          <w:p w14:paraId="19497007" w14:textId="77777777" w:rsidR="00AF060B" w:rsidRPr="00C9343F" w:rsidRDefault="00AF060B" w:rsidP="00F66D98">
            <w:pPr>
              <w:pStyle w:val="TableTextArial-left"/>
              <w:jc w:val="center"/>
            </w:pPr>
            <w:r w:rsidRPr="00C9343F">
              <w:t>3.</w:t>
            </w:r>
          </w:p>
        </w:tc>
        <w:tc>
          <w:tcPr>
            <w:tcW w:w="3402" w:type="dxa"/>
            <w:tcBorders>
              <w:top w:val="single" w:sz="4" w:space="0" w:color="auto"/>
              <w:left w:val="single" w:sz="6" w:space="0" w:color="auto"/>
              <w:bottom w:val="single" w:sz="6" w:space="0" w:color="auto"/>
              <w:right w:val="single" w:sz="6" w:space="0" w:color="auto"/>
            </w:tcBorders>
          </w:tcPr>
          <w:p w14:paraId="315B6DD9" w14:textId="77777777" w:rsidR="00AF060B" w:rsidRPr="00C9343F" w:rsidRDefault="00AF060B" w:rsidP="00F66D98">
            <w:pPr>
              <w:pStyle w:val="TableTextArial-left"/>
            </w:pPr>
            <w:r w:rsidRPr="00C9343F">
              <w:t xml:space="preserve">a </w:t>
            </w:r>
            <w:r w:rsidR="00FD646E" w:rsidRPr="00C9343F">
              <w:t>member with dependants (unaccompanied)</w:t>
            </w:r>
          </w:p>
        </w:tc>
        <w:tc>
          <w:tcPr>
            <w:tcW w:w="4394" w:type="dxa"/>
            <w:vMerge/>
            <w:tcBorders>
              <w:top w:val="nil"/>
              <w:left w:val="single" w:sz="6" w:space="0" w:color="auto"/>
              <w:bottom w:val="single" w:sz="6" w:space="0" w:color="auto"/>
              <w:right w:val="single" w:sz="6" w:space="0" w:color="auto"/>
            </w:tcBorders>
          </w:tcPr>
          <w:p w14:paraId="1B91E53E" w14:textId="77777777" w:rsidR="00AF060B" w:rsidRPr="00C9343F" w:rsidRDefault="00AF060B" w:rsidP="00F66D98">
            <w:pPr>
              <w:pStyle w:val="TableTextArial-left"/>
            </w:pPr>
          </w:p>
        </w:tc>
      </w:tr>
      <w:tr w:rsidR="00AF060B" w:rsidRPr="00C9343F" w14:paraId="060A0413" w14:textId="77777777">
        <w:trPr>
          <w:cantSplit/>
        </w:trPr>
        <w:tc>
          <w:tcPr>
            <w:tcW w:w="567" w:type="dxa"/>
            <w:tcBorders>
              <w:top w:val="single" w:sz="6" w:space="0" w:color="auto"/>
              <w:left w:val="single" w:sz="6" w:space="0" w:color="auto"/>
              <w:bottom w:val="single" w:sz="6" w:space="0" w:color="auto"/>
              <w:right w:val="single" w:sz="6" w:space="0" w:color="auto"/>
            </w:tcBorders>
          </w:tcPr>
          <w:p w14:paraId="6CF43DD1" w14:textId="77777777" w:rsidR="00AF060B" w:rsidRPr="00C9343F" w:rsidRDefault="00AF060B" w:rsidP="00F66D98">
            <w:pPr>
              <w:pStyle w:val="TableTextArial-left"/>
              <w:jc w:val="center"/>
            </w:pPr>
            <w:r w:rsidRPr="00C9343F">
              <w:t>4.</w:t>
            </w:r>
          </w:p>
        </w:tc>
        <w:tc>
          <w:tcPr>
            <w:tcW w:w="3402" w:type="dxa"/>
            <w:tcBorders>
              <w:top w:val="single" w:sz="6" w:space="0" w:color="auto"/>
              <w:left w:val="single" w:sz="6" w:space="0" w:color="auto"/>
              <w:bottom w:val="single" w:sz="6" w:space="0" w:color="auto"/>
              <w:right w:val="single" w:sz="6" w:space="0" w:color="auto"/>
            </w:tcBorders>
          </w:tcPr>
          <w:p w14:paraId="70F46014" w14:textId="77777777" w:rsidR="00AF060B" w:rsidRPr="00C9343F" w:rsidRDefault="00AF060B" w:rsidP="00F66D98">
            <w:pPr>
              <w:pStyle w:val="TableTextArial-left"/>
            </w:pPr>
            <w:r w:rsidRPr="00C9343F">
              <w:t>a member without dependants</w:t>
            </w:r>
          </w:p>
        </w:tc>
        <w:tc>
          <w:tcPr>
            <w:tcW w:w="4394" w:type="dxa"/>
            <w:tcBorders>
              <w:top w:val="single" w:sz="6" w:space="0" w:color="auto"/>
              <w:left w:val="single" w:sz="6" w:space="0" w:color="auto"/>
              <w:bottom w:val="single" w:sz="6" w:space="0" w:color="auto"/>
              <w:right w:val="single" w:sz="6" w:space="0" w:color="auto"/>
            </w:tcBorders>
          </w:tcPr>
          <w:p w14:paraId="6A16C17F" w14:textId="77777777" w:rsidR="00AF060B" w:rsidRPr="00C9343F" w:rsidRDefault="00AF060B" w:rsidP="00F66D98">
            <w:pPr>
              <w:pStyle w:val="TableTextArial-left"/>
            </w:pPr>
            <w:r w:rsidRPr="00C9343F">
              <w:t>to which they were last granted a removal.</w:t>
            </w:r>
          </w:p>
        </w:tc>
      </w:tr>
    </w:tbl>
    <w:p w14:paraId="494B05B3" w14:textId="1BF7B8A9" w:rsidR="00AF060B" w:rsidRPr="00C9343F" w:rsidRDefault="00AF060B" w:rsidP="00F66D98">
      <w:pPr>
        <w:pStyle w:val="Heading5"/>
      </w:pPr>
      <w:bookmarkStart w:id="103" w:name="M"/>
      <w:bookmarkStart w:id="104" w:name="_Toc105053514"/>
      <w:bookmarkEnd w:id="103"/>
      <w:r w:rsidRPr="00C9343F">
        <w:t>1.3.3</w:t>
      </w:r>
      <w:r w:rsidR="00156A98" w:rsidRPr="00C9343F">
        <w:t>8</w:t>
      </w:r>
      <w:r w:rsidR="00D94006" w:rsidRPr="00C9343F">
        <w:t>    </w:t>
      </w:r>
      <w:r w:rsidRPr="00C9343F">
        <w:t>Meal costs</w:t>
      </w:r>
      <w:bookmarkEnd w:id="104"/>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230D43E5" w14:textId="77777777">
        <w:tc>
          <w:tcPr>
            <w:tcW w:w="992" w:type="dxa"/>
          </w:tcPr>
          <w:p w14:paraId="5E2671BA" w14:textId="77777777" w:rsidR="00AF060B" w:rsidRPr="00C9343F" w:rsidRDefault="00AF060B" w:rsidP="00F66D98">
            <w:pPr>
              <w:pStyle w:val="BlockText-PlainNoSpacing"/>
              <w:jc w:val="center"/>
            </w:pPr>
            <w:r w:rsidRPr="00C9343F">
              <w:t>1.</w:t>
            </w:r>
          </w:p>
        </w:tc>
        <w:tc>
          <w:tcPr>
            <w:tcW w:w="8363" w:type="dxa"/>
            <w:gridSpan w:val="2"/>
          </w:tcPr>
          <w:p w14:paraId="03E5D446" w14:textId="24E38750" w:rsidR="00AF060B" w:rsidRPr="00C9343F" w:rsidRDefault="00AF060B" w:rsidP="00F66D98">
            <w:pPr>
              <w:pStyle w:val="BlockText-Plain"/>
            </w:pPr>
            <w:r w:rsidRPr="00C9343F">
              <w:t>Meal costs include compulsory service charges and taxes, such</w:t>
            </w:r>
            <w:r w:rsidR="000E7E44" w:rsidRPr="00C9343F">
              <w:t xml:space="preserve"> as GST</w:t>
            </w:r>
            <w:r w:rsidRPr="00C9343F">
              <w:t>.</w:t>
            </w:r>
          </w:p>
        </w:tc>
      </w:tr>
      <w:tr w:rsidR="00AF060B" w:rsidRPr="00C9343F" w14:paraId="659B2CAF" w14:textId="77777777">
        <w:tc>
          <w:tcPr>
            <w:tcW w:w="992" w:type="dxa"/>
          </w:tcPr>
          <w:p w14:paraId="4EF26016" w14:textId="77777777" w:rsidR="00AF060B" w:rsidRPr="00C9343F" w:rsidRDefault="00AF060B" w:rsidP="00F66D98">
            <w:pPr>
              <w:pStyle w:val="BlockText-PlainNoSpacing"/>
              <w:jc w:val="center"/>
            </w:pPr>
            <w:r w:rsidRPr="00C9343F">
              <w:t>2.</w:t>
            </w:r>
          </w:p>
        </w:tc>
        <w:tc>
          <w:tcPr>
            <w:tcW w:w="8363" w:type="dxa"/>
            <w:gridSpan w:val="2"/>
          </w:tcPr>
          <w:p w14:paraId="435D192A" w14:textId="77777777" w:rsidR="00AF060B" w:rsidRPr="00C9343F" w:rsidRDefault="00AF060B" w:rsidP="00F66D98">
            <w:pPr>
              <w:pStyle w:val="BlockText-Plain"/>
            </w:pPr>
            <w:r w:rsidRPr="00C9343F">
              <w:t xml:space="preserve">Meal costs exclude these items. </w:t>
            </w:r>
          </w:p>
        </w:tc>
      </w:tr>
      <w:tr w:rsidR="00AF060B" w:rsidRPr="00C9343F" w14:paraId="0D983523" w14:textId="77777777">
        <w:trPr>
          <w:cantSplit/>
        </w:trPr>
        <w:tc>
          <w:tcPr>
            <w:tcW w:w="992" w:type="dxa"/>
          </w:tcPr>
          <w:p w14:paraId="0D0E19E8" w14:textId="77777777" w:rsidR="00AF060B" w:rsidRPr="00C9343F" w:rsidRDefault="00AF060B" w:rsidP="00F66D98">
            <w:pPr>
              <w:pStyle w:val="BlockText-Plain"/>
            </w:pPr>
          </w:p>
        </w:tc>
        <w:tc>
          <w:tcPr>
            <w:tcW w:w="567" w:type="dxa"/>
          </w:tcPr>
          <w:p w14:paraId="71049512" w14:textId="77777777" w:rsidR="00AF060B" w:rsidRPr="00C9343F" w:rsidRDefault="00AF060B" w:rsidP="007114B1">
            <w:pPr>
              <w:pStyle w:val="BlockText-Plain"/>
              <w:jc w:val="center"/>
            </w:pPr>
            <w:r w:rsidRPr="00C9343F">
              <w:t>a.</w:t>
            </w:r>
          </w:p>
        </w:tc>
        <w:tc>
          <w:tcPr>
            <w:tcW w:w="7796" w:type="dxa"/>
          </w:tcPr>
          <w:p w14:paraId="57D7D1CB" w14:textId="77777777" w:rsidR="00AF060B" w:rsidRPr="00C9343F" w:rsidRDefault="00AF060B" w:rsidP="00F66D98">
            <w:pPr>
              <w:pStyle w:val="BlockText-Plain"/>
            </w:pPr>
            <w:r w:rsidRPr="00C9343F">
              <w:t>Voluntary tips.</w:t>
            </w:r>
          </w:p>
        </w:tc>
      </w:tr>
      <w:tr w:rsidR="00AF060B" w:rsidRPr="00C9343F" w14:paraId="050C8FB5" w14:textId="77777777">
        <w:trPr>
          <w:cantSplit/>
        </w:trPr>
        <w:tc>
          <w:tcPr>
            <w:tcW w:w="992" w:type="dxa"/>
          </w:tcPr>
          <w:p w14:paraId="233B31C5" w14:textId="77777777" w:rsidR="00AF060B" w:rsidRPr="00C9343F" w:rsidRDefault="00AF060B" w:rsidP="00F66D98">
            <w:pPr>
              <w:pStyle w:val="BlockText-Plain"/>
            </w:pPr>
          </w:p>
        </w:tc>
        <w:tc>
          <w:tcPr>
            <w:tcW w:w="567" w:type="dxa"/>
          </w:tcPr>
          <w:p w14:paraId="30F112EE" w14:textId="77777777" w:rsidR="00AF060B" w:rsidRPr="00C9343F" w:rsidRDefault="00AF060B" w:rsidP="007114B1">
            <w:pPr>
              <w:pStyle w:val="BlockText-Plain"/>
              <w:jc w:val="center"/>
            </w:pPr>
            <w:r w:rsidRPr="00C9343F">
              <w:t>b.</w:t>
            </w:r>
          </w:p>
        </w:tc>
        <w:tc>
          <w:tcPr>
            <w:tcW w:w="7796" w:type="dxa"/>
          </w:tcPr>
          <w:p w14:paraId="2B700F6D" w14:textId="77777777" w:rsidR="00AF060B" w:rsidRPr="00C9343F" w:rsidRDefault="00AF060B" w:rsidP="00F66D98">
            <w:pPr>
              <w:pStyle w:val="BlockText-Plain"/>
            </w:pPr>
            <w:r w:rsidRPr="00C9343F">
              <w:t>The cost of alcoholic drinks.</w:t>
            </w:r>
          </w:p>
        </w:tc>
      </w:tr>
    </w:tbl>
    <w:p w14:paraId="4DF1D4B1" w14:textId="63EF3302" w:rsidR="00AF060B" w:rsidRPr="00C9343F" w:rsidRDefault="00AF060B" w:rsidP="00F66D98">
      <w:pPr>
        <w:pStyle w:val="Heading5"/>
      </w:pPr>
      <w:bookmarkStart w:id="105" w:name="_Toc105053515"/>
      <w:r w:rsidRPr="00C9343F">
        <w:t>1.3.3</w:t>
      </w:r>
      <w:r w:rsidR="00156A98" w:rsidRPr="00C9343F">
        <w:t>9</w:t>
      </w:r>
      <w:r w:rsidR="00D94006" w:rsidRPr="00C9343F">
        <w:t>    </w:t>
      </w:r>
      <w:r w:rsidRPr="00C9343F">
        <w:t>Meal period</w:t>
      </w:r>
      <w:bookmarkEnd w:id="105"/>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61EDA9E2" w14:textId="77777777">
        <w:tc>
          <w:tcPr>
            <w:tcW w:w="992" w:type="dxa"/>
          </w:tcPr>
          <w:p w14:paraId="51795E25" w14:textId="77777777" w:rsidR="00AF060B" w:rsidRPr="00C9343F" w:rsidRDefault="00AF060B" w:rsidP="00F66D98">
            <w:pPr>
              <w:pStyle w:val="BlockText-PlainNoSpacing"/>
            </w:pPr>
          </w:p>
        </w:tc>
        <w:tc>
          <w:tcPr>
            <w:tcW w:w="8363" w:type="dxa"/>
            <w:gridSpan w:val="2"/>
          </w:tcPr>
          <w:p w14:paraId="381D9519" w14:textId="77777777" w:rsidR="00AF060B" w:rsidRPr="00C9343F" w:rsidRDefault="00AF060B" w:rsidP="00F66D98">
            <w:pPr>
              <w:pStyle w:val="BlockText-Plain"/>
            </w:pPr>
            <w:r w:rsidRPr="00C9343F">
              <w:t>Meal period means one hour beginning at these times.</w:t>
            </w:r>
          </w:p>
        </w:tc>
      </w:tr>
      <w:tr w:rsidR="00AF060B" w:rsidRPr="00C9343F" w14:paraId="0245E348" w14:textId="77777777">
        <w:trPr>
          <w:cantSplit/>
        </w:trPr>
        <w:tc>
          <w:tcPr>
            <w:tcW w:w="992" w:type="dxa"/>
          </w:tcPr>
          <w:p w14:paraId="759B4014" w14:textId="77777777" w:rsidR="00AF060B" w:rsidRPr="00C9343F" w:rsidRDefault="00AF060B" w:rsidP="00F66D98">
            <w:pPr>
              <w:pStyle w:val="BlockText-Plain"/>
            </w:pPr>
          </w:p>
        </w:tc>
        <w:tc>
          <w:tcPr>
            <w:tcW w:w="567" w:type="dxa"/>
          </w:tcPr>
          <w:p w14:paraId="5FF63E91" w14:textId="77777777" w:rsidR="00AF060B" w:rsidRPr="00C9343F" w:rsidRDefault="00AF060B" w:rsidP="007114B1">
            <w:pPr>
              <w:pStyle w:val="BlockText-Plain"/>
              <w:jc w:val="center"/>
            </w:pPr>
            <w:r w:rsidRPr="00C9343F">
              <w:t>a.</w:t>
            </w:r>
          </w:p>
        </w:tc>
        <w:tc>
          <w:tcPr>
            <w:tcW w:w="7796" w:type="dxa"/>
          </w:tcPr>
          <w:p w14:paraId="04CB31E5" w14:textId="77777777" w:rsidR="00AF060B" w:rsidRPr="00C9343F" w:rsidRDefault="00AF060B" w:rsidP="00F66D98">
            <w:pPr>
              <w:pStyle w:val="BlockText-Plain"/>
            </w:pPr>
            <w:r w:rsidRPr="00C9343F">
              <w:t>0700 hours for breakfast.</w:t>
            </w:r>
          </w:p>
        </w:tc>
      </w:tr>
      <w:tr w:rsidR="00AF060B" w:rsidRPr="00C9343F" w14:paraId="3EA87451" w14:textId="77777777">
        <w:trPr>
          <w:cantSplit/>
        </w:trPr>
        <w:tc>
          <w:tcPr>
            <w:tcW w:w="992" w:type="dxa"/>
          </w:tcPr>
          <w:p w14:paraId="4E2CE067" w14:textId="77777777" w:rsidR="00AF060B" w:rsidRPr="00C9343F" w:rsidRDefault="00AF060B" w:rsidP="00F66D98">
            <w:pPr>
              <w:pStyle w:val="BlockText-Plain"/>
            </w:pPr>
          </w:p>
        </w:tc>
        <w:tc>
          <w:tcPr>
            <w:tcW w:w="567" w:type="dxa"/>
          </w:tcPr>
          <w:p w14:paraId="2AA99F72" w14:textId="77777777" w:rsidR="00AF060B" w:rsidRPr="00C9343F" w:rsidRDefault="00AF060B" w:rsidP="007114B1">
            <w:pPr>
              <w:pStyle w:val="BlockText-Plain"/>
              <w:jc w:val="center"/>
            </w:pPr>
            <w:r w:rsidRPr="00C9343F">
              <w:t>b.</w:t>
            </w:r>
          </w:p>
        </w:tc>
        <w:tc>
          <w:tcPr>
            <w:tcW w:w="7796" w:type="dxa"/>
          </w:tcPr>
          <w:p w14:paraId="4856A298" w14:textId="77777777" w:rsidR="00AF060B" w:rsidRPr="00C9343F" w:rsidRDefault="00AF060B" w:rsidP="00F66D98">
            <w:pPr>
              <w:pStyle w:val="BlockText-Plain"/>
            </w:pPr>
            <w:r w:rsidRPr="00C9343F">
              <w:t>1300 hours for lunch.</w:t>
            </w:r>
          </w:p>
        </w:tc>
      </w:tr>
      <w:tr w:rsidR="00AF060B" w:rsidRPr="00C9343F" w14:paraId="0E3817BD" w14:textId="77777777">
        <w:trPr>
          <w:cantSplit/>
        </w:trPr>
        <w:tc>
          <w:tcPr>
            <w:tcW w:w="992" w:type="dxa"/>
          </w:tcPr>
          <w:p w14:paraId="5F830BC2" w14:textId="77777777" w:rsidR="00AF060B" w:rsidRPr="00C9343F" w:rsidRDefault="00AF060B" w:rsidP="00F66D98">
            <w:pPr>
              <w:pStyle w:val="BlockText-Plain"/>
            </w:pPr>
          </w:p>
        </w:tc>
        <w:tc>
          <w:tcPr>
            <w:tcW w:w="567" w:type="dxa"/>
          </w:tcPr>
          <w:p w14:paraId="4167047E" w14:textId="77777777" w:rsidR="00AF060B" w:rsidRPr="00C9343F" w:rsidRDefault="00AF060B" w:rsidP="007114B1">
            <w:pPr>
              <w:pStyle w:val="BlockText-Plain"/>
              <w:jc w:val="center"/>
            </w:pPr>
            <w:r w:rsidRPr="00C9343F">
              <w:t>c.</w:t>
            </w:r>
          </w:p>
        </w:tc>
        <w:tc>
          <w:tcPr>
            <w:tcW w:w="7796" w:type="dxa"/>
          </w:tcPr>
          <w:p w14:paraId="282428A5" w14:textId="77777777" w:rsidR="00AF060B" w:rsidRPr="00C9343F" w:rsidRDefault="00AF060B" w:rsidP="00F66D98">
            <w:pPr>
              <w:pStyle w:val="BlockText-Plain"/>
            </w:pPr>
            <w:r w:rsidRPr="00C9343F">
              <w:t>1900 hours for dinner.</w:t>
            </w:r>
          </w:p>
        </w:tc>
      </w:tr>
    </w:tbl>
    <w:p w14:paraId="18F36050" w14:textId="43DE6C9A" w:rsidR="000B4EFE" w:rsidRPr="00C9343F" w:rsidRDefault="000B4EFE" w:rsidP="00F66D98">
      <w:pPr>
        <w:pStyle w:val="Heading5"/>
      </w:pPr>
      <w:bookmarkStart w:id="106" w:name="_Toc105053516"/>
      <w:r w:rsidRPr="00C9343F">
        <w:t>1.3.</w:t>
      </w:r>
      <w:r w:rsidR="00156A98" w:rsidRPr="00C9343F">
        <w:t>40</w:t>
      </w:r>
      <w:r w:rsidR="00D94006" w:rsidRPr="00C9343F">
        <w:t>    </w:t>
      </w:r>
      <w:r w:rsidRPr="00C9343F">
        <w:t>Medical absence</w:t>
      </w:r>
      <w:bookmarkEnd w:id="106"/>
    </w:p>
    <w:tbl>
      <w:tblPr>
        <w:tblW w:w="0" w:type="auto"/>
        <w:tblInd w:w="113" w:type="dxa"/>
        <w:tblLayout w:type="fixed"/>
        <w:tblLook w:val="0000" w:firstRow="0" w:lastRow="0" w:firstColumn="0" w:lastColumn="0" w:noHBand="0" w:noVBand="0"/>
      </w:tblPr>
      <w:tblGrid>
        <w:gridCol w:w="992"/>
        <w:gridCol w:w="8367"/>
      </w:tblGrid>
      <w:tr w:rsidR="000B4EFE" w:rsidRPr="00C9343F" w14:paraId="20127037" w14:textId="77777777" w:rsidTr="0007019D">
        <w:tc>
          <w:tcPr>
            <w:tcW w:w="992" w:type="dxa"/>
          </w:tcPr>
          <w:p w14:paraId="4BC2AECF" w14:textId="77777777" w:rsidR="000B4EFE" w:rsidRPr="00C9343F" w:rsidRDefault="000B4EFE" w:rsidP="00F66D98">
            <w:pPr>
              <w:pStyle w:val="BlockText-Plain"/>
              <w:jc w:val="center"/>
            </w:pPr>
          </w:p>
        </w:tc>
        <w:tc>
          <w:tcPr>
            <w:tcW w:w="8367" w:type="dxa"/>
          </w:tcPr>
          <w:p w14:paraId="06B91B90" w14:textId="77777777" w:rsidR="000B4EFE" w:rsidRPr="00C9343F" w:rsidRDefault="000B4EFE" w:rsidP="00F66D98">
            <w:pPr>
              <w:pStyle w:val="BlockText-Plain"/>
            </w:pPr>
            <w:r w:rsidRPr="00C9343F">
              <w:t xml:space="preserve">Medical absence is the term used to describe the period for which a member is granted leave to be absent from duty for health reasons. </w:t>
            </w:r>
          </w:p>
          <w:p w14:paraId="0663070F" w14:textId="77777777" w:rsidR="000B4EFE" w:rsidRPr="00C9343F" w:rsidRDefault="000B4EFE" w:rsidP="00F66D98">
            <w:pPr>
              <w:pStyle w:val="BlockText-Plain"/>
            </w:pPr>
            <w:r w:rsidRPr="00C9343F">
              <w:t xml:space="preserve">Related Information: Chapter 5 Part </w:t>
            </w:r>
            <w:r w:rsidR="00DC49DD" w:rsidRPr="00C9343F">
              <w:t>3</w:t>
            </w:r>
            <w:r w:rsidRPr="00C9343F">
              <w:t>, Medical absence from duty</w:t>
            </w:r>
          </w:p>
        </w:tc>
      </w:tr>
    </w:tbl>
    <w:p w14:paraId="7E67B66F" w14:textId="27CECEE9" w:rsidR="00AF060B" w:rsidRPr="00C9343F" w:rsidRDefault="00AF060B" w:rsidP="00F66D98">
      <w:pPr>
        <w:pStyle w:val="Heading5"/>
        <w:keepNext w:val="0"/>
        <w:keepLines w:val="0"/>
      </w:pPr>
      <w:bookmarkStart w:id="107" w:name="_Toc105053517"/>
      <w:r w:rsidRPr="00C9343F">
        <w:t>1.3.</w:t>
      </w:r>
      <w:r w:rsidR="00156A98" w:rsidRPr="00C9343F">
        <w:t>41</w:t>
      </w:r>
      <w:r w:rsidR="00D94006" w:rsidRPr="00C9343F">
        <w:t>    </w:t>
      </w:r>
      <w:r w:rsidRPr="00C9343F">
        <w:t>Member</w:t>
      </w:r>
      <w:bookmarkEnd w:id="107"/>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151F725F" w14:textId="77777777">
        <w:tc>
          <w:tcPr>
            <w:tcW w:w="992" w:type="dxa"/>
          </w:tcPr>
          <w:p w14:paraId="6BCEB2F6" w14:textId="77777777" w:rsidR="00AF060B" w:rsidRPr="00C9343F" w:rsidRDefault="00AF060B" w:rsidP="00F66D98">
            <w:pPr>
              <w:pStyle w:val="BlockText-PlainNoSpacing"/>
              <w:keepNext w:val="0"/>
              <w:keepLines w:val="0"/>
              <w:jc w:val="center"/>
            </w:pPr>
          </w:p>
        </w:tc>
        <w:tc>
          <w:tcPr>
            <w:tcW w:w="8363" w:type="dxa"/>
            <w:gridSpan w:val="2"/>
          </w:tcPr>
          <w:p w14:paraId="73B48445" w14:textId="77777777" w:rsidR="00AF060B" w:rsidRPr="00C9343F" w:rsidRDefault="00AF060B" w:rsidP="00F66D98">
            <w:pPr>
              <w:pStyle w:val="TableTextArial-left"/>
            </w:pPr>
            <w:r w:rsidRPr="00C9343F">
              <w:t xml:space="preserve">Member has the same meaning as in sections 4 and 58A of the </w:t>
            </w:r>
            <w:bookmarkStart w:id="108" w:name="_Hlt102541519"/>
            <w:r w:rsidRPr="00C9343F">
              <w:rPr>
                <w:i/>
              </w:rPr>
              <w:t>Defence Act 1903</w:t>
            </w:r>
            <w:bookmarkEnd w:id="108"/>
            <w:r w:rsidRPr="00C9343F">
              <w:rPr>
                <w:i/>
              </w:rPr>
              <w:t>.</w:t>
            </w:r>
          </w:p>
          <w:p w14:paraId="6F434379" w14:textId="77777777" w:rsidR="00AF060B" w:rsidRPr="00C9343F" w:rsidRDefault="00AF060B" w:rsidP="00F66D98">
            <w:pPr>
              <w:pStyle w:val="TableTextArial-left"/>
              <w:spacing w:before="200"/>
            </w:pPr>
            <w:r w:rsidRPr="00C9343F">
              <w:rPr>
                <w:b/>
              </w:rPr>
              <w:t>Section 4 of the Act:</w:t>
            </w:r>
            <w:r w:rsidRPr="00C9343F">
              <w:t xml:space="preserve"> ' Member includes any officer, sailor, soldier and airman.'</w:t>
            </w:r>
          </w:p>
          <w:p w14:paraId="02807544" w14:textId="77777777" w:rsidR="00AF060B" w:rsidRPr="00C9343F" w:rsidRDefault="00AF060B" w:rsidP="00F66D98">
            <w:pPr>
              <w:pStyle w:val="TableTextArial-left"/>
              <w:spacing w:before="200" w:after="200"/>
            </w:pPr>
            <w:r w:rsidRPr="00C9343F">
              <w:rPr>
                <w:b/>
              </w:rPr>
              <w:t>Section 58A of the Act:</w:t>
            </w:r>
            <w:r w:rsidRPr="00C9343F">
              <w:t xml:space="preserve"> 'Member includes a person who has ceased to be a member, whether by reason of death or otherwise.'</w:t>
            </w:r>
          </w:p>
        </w:tc>
      </w:tr>
      <w:tr w:rsidR="00156A98" w:rsidRPr="00C9343F" w14:paraId="1BA9C17C" w14:textId="77777777">
        <w:tc>
          <w:tcPr>
            <w:tcW w:w="992" w:type="dxa"/>
          </w:tcPr>
          <w:p w14:paraId="7273509F" w14:textId="77777777" w:rsidR="00156A98" w:rsidRPr="00C9343F" w:rsidRDefault="00156A98" w:rsidP="00F66D98">
            <w:pPr>
              <w:pStyle w:val="BlockText-PlainNoSpacing"/>
              <w:keepNext w:val="0"/>
              <w:keepLines w:val="0"/>
              <w:jc w:val="center"/>
            </w:pPr>
          </w:p>
        </w:tc>
        <w:tc>
          <w:tcPr>
            <w:tcW w:w="8363" w:type="dxa"/>
            <w:gridSpan w:val="2"/>
          </w:tcPr>
          <w:p w14:paraId="4CE8D7C0" w14:textId="77777777" w:rsidR="00156A98" w:rsidRPr="00C9343F" w:rsidRDefault="00156A98" w:rsidP="00F66D98">
            <w:pPr>
              <w:pStyle w:val="TableTextArial-left"/>
            </w:pPr>
            <w:r w:rsidRPr="00C9343F">
              <w:rPr>
                <w:b/>
              </w:rPr>
              <w:t>See also:</w:t>
            </w:r>
          </w:p>
        </w:tc>
      </w:tr>
      <w:tr w:rsidR="00AF060B" w:rsidRPr="00C9343F" w14:paraId="2825CAED" w14:textId="77777777">
        <w:trPr>
          <w:cantSplit/>
        </w:trPr>
        <w:tc>
          <w:tcPr>
            <w:tcW w:w="992" w:type="dxa"/>
          </w:tcPr>
          <w:p w14:paraId="5A7078A1" w14:textId="77777777" w:rsidR="00AF060B" w:rsidRPr="00C9343F" w:rsidRDefault="00AF060B" w:rsidP="00F66D98">
            <w:pPr>
              <w:pStyle w:val="BlockText-Plain"/>
            </w:pPr>
          </w:p>
        </w:tc>
        <w:tc>
          <w:tcPr>
            <w:tcW w:w="567" w:type="dxa"/>
          </w:tcPr>
          <w:p w14:paraId="27D09660" w14:textId="77777777" w:rsidR="00AF060B" w:rsidRPr="00C9343F" w:rsidRDefault="00AF060B" w:rsidP="007114B1">
            <w:pPr>
              <w:pStyle w:val="BlockText-Plain"/>
              <w:jc w:val="center"/>
            </w:pPr>
            <w:r w:rsidRPr="00C9343F">
              <w:t>a.</w:t>
            </w:r>
          </w:p>
        </w:tc>
        <w:tc>
          <w:tcPr>
            <w:tcW w:w="7796" w:type="dxa"/>
          </w:tcPr>
          <w:p w14:paraId="0825AB35" w14:textId="77777777" w:rsidR="00AF060B" w:rsidRPr="00C9343F" w:rsidRDefault="00AF060B" w:rsidP="00F66D98">
            <w:pPr>
              <w:pStyle w:val="BlockText-Plain"/>
            </w:pPr>
            <w:r w:rsidRPr="00C9343F">
              <w:t xml:space="preserve">Part 2 </w:t>
            </w:r>
            <w:r w:rsidR="00580C86" w:rsidRPr="00C9343F">
              <w:t>section</w:t>
            </w:r>
            <w:r w:rsidRPr="00C9343F">
              <w:t xml:space="preserve"> 1.2.</w:t>
            </w:r>
            <w:r w:rsidR="002D6C9C" w:rsidRPr="00C9343F">
              <w:t>2</w:t>
            </w:r>
            <w:r w:rsidRPr="00C9343F">
              <w:t xml:space="preserve">. This </w:t>
            </w:r>
            <w:r w:rsidR="00580C86" w:rsidRPr="00C9343F">
              <w:t>section</w:t>
            </w:r>
            <w:r w:rsidRPr="00C9343F">
              <w:t xml:space="preserve"> restricts the application of Chapters 1 to 17 to existing ADF members on continuous full-time service. This is unless a provision makes it clear that the provision applies to members on Reserve service, or former members.</w:t>
            </w:r>
          </w:p>
        </w:tc>
      </w:tr>
      <w:tr w:rsidR="00AF060B" w:rsidRPr="00C9343F" w14:paraId="721A1AC9" w14:textId="77777777">
        <w:trPr>
          <w:cantSplit/>
        </w:trPr>
        <w:tc>
          <w:tcPr>
            <w:tcW w:w="992" w:type="dxa"/>
          </w:tcPr>
          <w:p w14:paraId="4CE6A231" w14:textId="77777777" w:rsidR="00AF060B" w:rsidRPr="00C9343F" w:rsidRDefault="00AF060B" w:rsidP="00F66D98">
            <w:pPr>
              <w:pStyle w:val="BlockText-Plain"/>
            </w:pPr>
          </w:p>
        </w:tc>
        <w:tc>
          <w:tcPr>
            <w:tcW w:w="567" w:type="dxa"/>
          </w:tcPr>
          <w:p w14:paraId="46E8FF34" w14:textId="77777777" w:rsidR="00AF060B" w:rsidRPr="00C9343F" w:rsidRDefault="00AF060B" w:rsidP="007114B1">
            <w:pPr>
              <w:pStyle w:val="BlockText-Plain"/>
              <w:jc w:val="center"/>
            </w:pPr>
            <w:r w:rsidRPr="00C9343F">
              <w:t>b.</w:t>
            </w:r>
          </w:p>
        </w:tc>
        <w:tc>
          <w:tcPr>
            <w:tcW w:w="7796" w:type="dxa"/>
          </w:tcPr>
          <w:p w14:paraId="739339B7" w14:textId="77777777" w:rsidR="00AF060B" w:rsidRPr="00C9343F" w:rsidRDefault="00AF060B" w:rsidP="00F66D98">
            <w:pPr>
              <w:pStyle w:val="BlockText-Plain"/>
            </w:pPr>
            <w:r w:rsidRPr="00C9343F">
              <w:t>The definitions of continuous full-time service and Reserve service in this Part.</w:t>
            </w:r>
          </w:p>
        </w:tc>
      </w:tr>
    </w:tbl>
    <w:p w14:paraId="6E829437" w14:textId="7C6480D3" w:rsidR="008867BE" w:rsidRPr="00C9343F" w:rsidRDefault="008867BE" w:rsidP="00F66D98">
      <w:pPr>
        <w:pStyle w:val="Heading5"/>
      </w:pPr>
      <w:bookmarkStart w:id="109" w:name="membertraining"/>
      <w:bookmarkStart w:id="110" w:name="_Toc105053518"/>
      <w:bookmarkEnd w:id="109"/>
      <w:r w:rsidRPr="00C9343F">
        <w:t>1.3.4</w:t>
      </w:r>
      <w:r w:rsidR="00156A98" w:rsidRPr="00C9343F">
        <w:t>3</w:t>
      </w:r>
      <w:r w:rsidR="00D94006" w:rsidRPr="00C9343F">
        <w:t>    </w:t>
      </w:r>
      <w:r w:rsidRPr="00C9343F">
        <w:t>Member undergoing recategorisation training</w:t>
      </w:r>
      <w:bookmarkEnd w:id="110"/>
    </w:p>
    <w:tbl>
      <w:tblPr>
        <w:tblW w:w="0" w:type="auto"/>
        <w:tblInd w:w="113" w:type="dxa"/>
        <w:tblLayout w:type="fixed"/>
        <w:tblLook w:val="0000" w:firstRow="0" w:lastRow="0" w:firstColumn="0" w:lastColumn="0" w:noHBand="0" w:noVBand="0"/>
      </w:tblPr>
      <w:tblGrid>
        <w:gridCol w:w="992"/>
        <w:gridCol w:w="567"/>
        <w:gridCol w:w="567"/>
        <w:gridCol w:w="7233"/>
      </w:tblGrid>
      <w:tr w:rsidR="008867BE" w:rsidRPr="00C9343F" w14:paraId="505F6B96" w14:textId="77777777" w:rsidTr="00141C4E">
        <w:tc>
          <w:tcPr>
            <w:tcW w:w="992" w:type="dxa"/>
          </w:tcPr>
          <w:p w14:paraId="227D0448" w14:textId="77777777" w:rsidR="008867BE" w:rsidRPr="00C9343F" w:rsidRDefault="008867BE" w:rsidP="00F66D98">
            <w:pPr>
              <w:pStyle w:val="BlockText-PlainNoSpacing"/>
              <w:jc w:val="center"/>
            </w:pPr>
          </w:p>
        </w:tc>
        <w:tc>
          <w:tcPr>
            <w:tcW w:w="8367" w:type="dxa"/>
            <w:gridSpan w:val="3"/>
          </w:tcPr>
          <w:p w14:paraId="311A1333" w14:textId="77777777" w:rsidR="008867BE" w:rsidRPr="00C9343F" w:rsidRDefault="008867BE" w:rsidP="00F66D98">
            <w:pPr>
              <w:pStyle w:val="BlockText-Plain"/>
            </w:pPr>
            <w:r w:rsidRPr="00C9343F">
              <w:t xml:space="preserve">Member undergoing recategorisation training means a member who is in the following circumstances. </w:t>
            </w:r>
          </w:p>
        </w:tc>
      </w:tr>
      <w:tr w:rsidR="008867BE" w:rsidRPr="00C9343F" w14:paraId="70E4B610" w14:textId="77777777" w:rsidTr="00141C4E">
        <w:trPr>
          <w:cantSplit/>
        </w:trPr>
        <w:tc>
          <w:tcPr>
            <w:tcW w:w="992" w:type="dxa"/>
          </w:tcPr>
          <w:p w14:paraId="77AF2E15" w14:textId="77777777" w:rsidR="008867BE" w:rsidRPr="00C9343F" w:rsidRDefault="008867BE" w:rsidP="00F66D98">
            <w:pPr>
              <w:pStyle w:val="BlockText-Plain"/>
            </w:pPr>
          </w:p>
        </w:tc>
        <w:tc>
          <w:tcPr>
            <w:tcW w:w="567" w:type="dxa"/>
          </w:tcPr>
          <w:p w14:paraId="1687DE9B" w14:textId="77777777" w:rsidR="008867BE" w:rsidRPr="00C9343F" w:rsidRDefault="008867BE" w:rsidP="007114B1">
            <w:pPr>
              <w:pStyle w:val="BlockText-Plain"/>
              <w:jc w:val="center"/>
            </w:pPr>
            <w:r w:rsidRPr="00C9343F">
              <w:t>a.</w:t>
            </w:r>
          </w:p>
        </w:tc>
        <w:tc>
          <w:tcPr>
            <w:tcW w:w="7800" w:type="dxa"/>
            <w:gridSpan w:val="2"/>
          </w:tcPr>
          <w:p w14:paraId="7573A743" w14:textId="77777777" w:rsidR="008867BE" w:rsidRPr="00C9343F" w:rsidRDefault="008867BE" w:rsidP="00F66D98">
            <w:pPr>
              <w:pStyle w:val="BlockText-Plain"/>
            </w:pPr>
            <w:r w:rsidRPr="00C9343F">
              <w:t xml:space="preserve">The member commences training in a capacity listed in Schedule B.13 to </w:t>
            </w:r>
            <w:r w:rsidRPr="00C9343F">
              <w:rPr>
                <w:i/>
              </w:rPr>
              <w:t>DFRT Determination No. </w:t>
            </w:r>
            <w:r w:rsidR="002A2A83" w:rsidRPr="00C9343F">
              <w:rPr>
                <w:i/>
              </w:rPr>
              <w:t>2 of 2017</w:t>
            </w:r>
            <w:r w:rsidRPr="00C9343F">
              <w:rPr>
                <w:i/>
              </w:rPr>
              <w:t>, Salaries</w:t>
            </w:r>
            <w:r w:rsidRPr="00C9343F">
              <w:t>.</w:t>
            </w:r>
          </w:p>
        </w:tc>
      </w:tr>
      <w:tr w:rsidR="008867BE" w:rsidRPr="00C9343F" w14:paraId="723C600E" w14:textId="77777777" w:rsidTr="00141C4E">
        <w:trPr>
          <w:cantSplit/>
        </w:trPr>
        <w:tc>
          <w:tcPr>
            <w:tcW w:w="1559" w:type="dxa"/>
            <w:gridSpan w:val="2"/>
          </w:tcPr>
          <w:p w14:paraId="1129866A" w14:textId="77777777" w:rsidR="008867BE" w:rsidRPr="00C9343F" w:rsidRDefault="008867BE" w:rsidP="00F66D98">
            <w:pPr>
              <w:pStyle w:val="BlockText-Plain"/>
            </w:pPr>
          </w:p>
        </w:tc>
        <w:tc>
          <w:tcPr>
            <w:tcW w:w="567" w:type="dxa"/>
          </w:tcPr>
          <w:p w14:paraId="01165B11" w14:textId="77777777" w:rsidR="008867BE" w:rsidRPr="00C9343F" w:rsidRDefault="008867BE" w:rsidP="007114B1">
            <w:pPr>
              <w:pStyle w:val="BlockText-Plain"/>
            </w:pPr>
            <w:r w:rsidRPr="00C9343F">
              <w:t>i.</w:t>
            </w:r>
          </w:p>
        </w:tc>
        <w:tc>
          <w:tcPr>
            <w:tcW w:w="7233" w:type="dxa"/>
          </w:tcPr>
          <w:p w14:paraId="51B04463" w14:textId="77777777" w:rsidR="008867BE" w:rsidRPr="00C9343F" w:rsidRDefault="008867BE" w:rsidP="00F66D98">
            <w:pPr>
              <w:pStyle w:val="BlockText-Plain"/>
            </w:pPr>
            <w:r w:rsidRPr="00C9343F">
              <w:t xml:space="preserve">For </w:t>
            </w:r>
            <w:r w:rsidR="005060F8" w:rsidRPr="00C9343F">
              <w:t>members of the Permanent Forces and members of the Reserves</w:t>
            </w:r>
            <w:r w:rsidRPr="00C9343F">
              <w:t xml:space="preserve"> on continuous full-time service — Part 1 of Schedule B.13.</w:t>
            </w:r>
          </w:p>
        </w:tc>
      </w:tr>
      <w:tr w:rsidR="008867BE" w:rsidRPr="00C9343F" w14:paraId="7C01F457" w14:textId="77777777" w:rsidTr="00141C4E">
        <w:trPr>
          <w:cantSplit/>
        </w:trPr>
        <w:tc>
          <w:tcPr>
            <w:tcW w:w="1559" w:type="dxa"/>
            <w:gridSpan w:val="2"/>
          </w:tcPr>
          <w:p w14:paraId="113DF971" w14:textId="77777777" w:rsidR="008867BE" w:rsidRPr="00C9343F" w:rsidRDefault="008867BE" w:rsidP="00F66D98">
            <w:pPr>
              <w:pStyle w:val="BlockText-Plain"/>
            </w:pPr>
          </w:p>
        </w:tc>
        <w:tc>
          <w:tcPr>
            <w:tcW w:w="567" w:type="dxa"/>
          </w:tcPr>
          <w:p w14:paraId="11971D60" w14:textId="77777777" w:rsidR="008867BE" w:rsidRPr="00C9343F" w:rsidRDefault="008867BE" w:rsidP="007114B1">
            <w:pPr>
              <w:pStyle w:val="BlockText-Plain"/>
            </w:pPr>
            <w:r w:rsidRPr="00C9343F">
              <w:t>ii.</w:t>
            </w:r>
          </w:p>
        </w:tc>
        <w:tc>
          <w:tcPr>
            <w:tcW w:w="7233" w:type="dxa"/>
          </w:tcPr>
          <w:p w14:paraId="6D4E9DA0" w14:textId="77777777" w:rsidR="008867BE" w:rsidRPr="00C9343F" w:rsidRDefault="008867BE" w:rsidP="00F66D98">
            <w:pPr>
              <w:pStyle w:val="BlockText-Plain"/>
            </w:pPr>
            <w:bookmarkStart w:id="111" w:name="OLE_LINK1"/>
            <w:bookmarkStart w:id="112" w:name="OLE_LINK2"/>
            <w:r w:rsidRPr="00C9343F">
              <w:t xml:space="preserve">For </w:t>
            </w:r>
            <w:r w:rsidR="005060F8" w:rsidRPr="00C9343F">
              <w:t xml:space="preserve">members on Reserve service </w:t>
            </w:r>
            <w:r w:rsidRPr="00C9343F">
              <w:t xml:space="preserve">— </w:t>
            </w:r>
            <w:bookmarkEnd w:id="111"/>
            <w:bookmarkEnd w:id="112"/>
            <w:r w:rsidRPr="00C9343F">
              <w:t>Part 2 of Schedule B.13.</w:t>
            </w:r>
          </w:p>
        </w:tc>
      </w:tr>
      <w:tr w:rsidR="008867BE" w:rsidRPr="00C9343F" w14:paraId="65BD2A70" w14:textId="77777777" w:rsidTr="00141C4E">
        <w:trPr>
          <w:cantSplit/>
        </w:trPr>
        <w:tc>
          <w:tcPr>
            <w:tcW w:w="992" w:type="dxa"/>
          </w:tcPr>
          <w:p w14:paraId="72079920" w14:textId="77777777" w:rsidR="008867BE" w:rsidRPr="00C9343F" w:rsidRDefault="008867BE" w:rsidP="00F66D98">
            <w:pPr>
              <w:pStyle w:val="BlockText-Plain"/>
            </w:pPr>
          </w:p>
        </w:tc>
        <w:tc>
          <w:tcPr>
            <w:tcW w:w="567" w:type="dxa"/>
          </w:tcPr>
          <w:p w14:paraId="288A53A4" w14:textId="77777777" w:rsidR="008867BE" w:rsidRPr="00C9343F" w:rsidRDefault="008867BE" w:rsidP="007114B1">
            <w:pPr>
              <w:pStyle w:val="BlockText-Plain"/>
              <w:jc w:val="center"/>
            </w:pPr>
            <w:r w:rsidRPr="00C9343F">
              <w:t>b.</w:t>
            </w:r>
          </w:p>
        </w:tc>
        <w:tc>
          <w:tcPr>
            <w:tcW w:w="7800" w:type="dxa"/>
            <w:gridSpan w:val="2"/>
          </w:tcPr>
          <w:p w14:paraId="5DB78D86" w14:textId="77777777" w:rsidR="008867BE" w:rsidRPr="00C9343F" w:rsidRDefault="008867BE" w:rsidP="00F66D98">
            <w:pPr>
              <w:pStyle w:val="BlockText-Plain"/>
            </w:pPr>
            <w:r w:rsidRPr="00C9343F">
              <w:t xml:space="preserve">Immediately before the start of the training, salary was payable to the member under a schedule to </w:t>
            </w:r>
            <w:r w:rsidRPr="00C9343F">
              <w:rPr>
                <w:i/>
              </w:rPr>
              <w:t>DFRT Determination No. </w:t>
            </w:r>
            <w:r w:rsidR="002A2A83" w:rsidRPr="00C9343F">
              <w:rPr>
                <w:i/>
              </w:rPr>
              <w:t>2 of 2017</w:t>
            </w:r>
            <w:r w:rsidRPr="00C9343F">
              <w:rPr>
                <w:i/>
              </w:rPr>
              <w:t>, Salaries</w:t>
            </w:r>
            <w:r w:rsidRPr="00C9343F">
              <w:t>, other than Schedule B.13.</w:t>
            </w:r>
          </w:p>
        </w:tc>
      </w:tr>
      <w:tr w:rsidR="008867BE" w:rsidRPr="00C9343F" w14:paraId="68FE211A" w14:textId="77777777" w:rsidTr="00141C4E">
        <w:tc>
          <w:tcPr>
            <w:tcW w:w="992" w:type="dxa"/>
          </w:tcPr>
          <w:p w14:paraId="251205F2" w14:textId="77777777" w:rsidR="008867BE" w:rsidRPr="00C9343F" w:rsidRDefault="008867BE" w:rsidP="00F66D98">
            <w:pPr>
              <w:pStyle w:val="BlockText-Plain"/>
              <w:jc w:val="center"/>
            </w:pPr>
          </w:p>
        </w:tc>
        <w:tc>
          <w:tcPr>
            <w:tcW w:w="8367" w:type="dxa"/>
            <w:gridSpan w:val="3"/>
          </w:tcPr>
          <w:p w14:paraId="3F7AE709" w14:textId="77777777" w:rsidR="008867BE" w:rsidRPr="00C9343F" w:rsidRDefault="008867BE" w:rsidP="00F66D98">
            <w:pPr>
              <w:pStyle w:val="BlockText-Plain"/>
            </w:pPr>
            <w:r w:rsidRPr="00C9343F">
              <w:rPr>
                <w:b/>
              </w:rPr>
              <w:t xml:space="preserve">Note 1: </w:t>
            </w:r>
            <w:r w:rsidRPr="00C9343F">
              <w:t>These members are entitled to salary non-reduction under Chapter 3 Part 2 Division 2</w:t>
            </w:r>
            <w:r w:rsidRPr="00C9343F">
              <w:rPr>
                <w:color w:val="008000"/>
              </w:rPr>
              <w:t xml:space="preserve"> </w:t>
            </w:r>
            <w:r w:rsidR="00580C86" w:rsidRPr="00C9343F">
              <w:t>section</w:t>
            </w:r>
            <w:r w:rsidRPr="00C9343F">
              <w:t> 3.2.2</w:t>
            </w:r>
            <w:r w:rsidR="00DC49DD" w:rsidRPr="00C9343F">
              <w:t>5</w:t>
            </w:r>
            <w:r w:rsidRPr="00C9343F">
              <w:t>.</w:t>
            </w:r>
          </w:p>
        </w:tc>
      </w:tr>
      <w:tr w:rsidR="008867BE" w:rsidRPr="00C9343F" w14:paraId="108CAE31" w14:textId="77777777" w:rsidTr="00141C4E">
        <w:tc>
          <w:tcPr>
            <w:tcW w:w="992" w:type="dxa"/>
          </w:tcPr>
          <w:p w14:paraId="7848E4AB" w14:textId="77777777" w:rsidR="008867BE" w:rsidRPr="00C9343F" w:rsidRDefault="008867BE" w:rsidP="00F66D98">
            <w:pPr>
              <w:pStyle w:val="BlockText-Plain"/>
              <w:jc w:val="center"/>
            </w:pPr>
          </w:p>
        </w:tc>
        <w:tc>
          <w:tcPr>
            <w:tcW w:w="8367" w:type="dxa"/>
            <w:gridSpan w:val="3"/>
          </w:tcPr>
          <w:p w14:paraId="1F79687D" w14:textId="77777777" w:rsidR="008867BE" w:rsidRPr="00C9343F" w:rsidRDefault="008867BE" w:rsidP="00F66D98">
            <w:pPr>
              <w:pStyle w:val="BlockText-Plain"/>
            </w:pPr>
            <w:r w:rsidRPr="00C9343F">
              <w:rPr>
                <w:b/>
              </w:rPr>
              <w:t>Note 2:</w:t>
            </w:r>
            <w:r w:rsidRPr="00C9343F">
              <w:t xml:space="preserve"> This definition does not apply to new entrants to the ADF who have only ever been on a trainee rate of salary under Schedule B.13.</w:t>
            </w:r>
          </w:p>
          <w:p w14:paraId="0FAA3A56" w14:textId="77777777" w:rsidR="008867BE" w:rsidRPr="00C9343F" w:rsidRDefault="008867BE" w:rsidP="00F66D98">
            <w:pPr>
              <w:pStyle w:val="BlockText-Plain"/>
            </w:pPr>
            <w:r w:rsidRPr="00C9343F">
              <w:rPr>
                <w:b/>
              </w:rPr>
              <w:t xml:space="preserve">See: </w:t>
            </w:r>
            <w:r w:rsidRPr="00C9343F">
              <w:rPr>
                <w:b/>
              </w:rPr>
              <w:br/>
            </w:r>
            <w:r w:rsidR="00580C86" w:rsidRPr="00C9343F">
              <w:t>Section</w:t>
            </w:r>
            <w:r w:rsidRPr="00C9343F">
              <w:t xml:space="preserve"> 1.3.7</w:t>
            </w:r>
            <w:r w:rsidR="00BC7E45" w:rsidRPr="00C9343F">
              <w:t>5</w:t>
            </w:r>
            <w:r w:rsidRPr="00C9343F">
              <w:t>, Trainee</w:t>
            </w:r>
            <w:r w:rsidRPr="00C9343F">
              <w:br/>
              <w:t>Chapter 3 Part 1 Schedule B.13, Trainee salary rates</w:t>
            </w:r>
            <w:r w:rsidRPr="00C9343F">
              <w:br/>
              <w:t xml:space="preserve">Chapter 3 Part 2 Division 2 </w:t>
            </w:r>
            <w:r w:rsidR="00580C86" w:rsidRPr="00C9343F">
              <w:t>section</w:t>
            </w:r>
            <w:r w:rsidRPr="00C9343F">
              <w:t xml:space="preserve"> 3.2.2</w:t>
            </w:r>
            <w:r w:rsidR="008F2000" w:rsidRPr="00C9343F">
              <w:t>5</w:t>
            </w:r>
            <w:r w:rsidRPr="00C9343F">
              <w:t>, Salary – member undergoing recategorisation training</w:t>
            </w:r>
          </w:p>
        </w:tc>
      </w:tr>
    </w:tbl>
    <w:p w14:paraId="00034314" w14:textId="24C30BE4" w:rsidR="00AF060B" w:rsidRPr="00C9343F" w:rsidRDefault="00AF060B" w:rsidP="00F66D98">
      <w:pPr>
        <w:pStyle w:val="Heading5"/>
        <w:keepNext w:val="0"/>
        <w:keepLines w:val="0"/>
      </w:pPr>
      <w:bookmarkStart w:id="113" w:name="_Toc105053519"/>
      <w:r w:rsidRPr="00C9343F">
        <w:lastRenderedPageBreak/>
        <w:t>1.3.4</w:t>
      </w:r>
      <w:r w:rsidR="00156A98" w:rsidRPr="00C9343F">
        <w:t>4</w:t>
      </w:r>
      <w:r w:rsidR="00D94006" w:rsidRPr="00C9343F">
        <w:t>    </w:t>
      </w:r>
      <w:r w:rsidRPr="00C9343F">
        <w:t>Month</w:t>
      </w:r>
      <w:bookmarkEnd w:id="113"/>
      <w:r w:rsidRPr="00C9343F">
        <w:t xml:space="preserve"> </w:t>
      </w:r>
    </w:p>
    <w:tbl>
      <w:tblPr>
        <w:tblW w:w="0" w:type="auto"/>
        <w:tblInd w:w="113" w:type="dxa"/>
        <w:tblLayout w:type="fixed"/>
        <w:tblLook w:val="0000" w:firstRow="0" w:lastRow="0" w:firstColumn="0" w:lastColumn="0" w:noHBand="0" w:noVBand="0"/>
      </w:tblPr>
      <w:tblGrid>
        <w:gridCol w:w="992"/>
        <w:gridCol w:w="8363"/>
      </w:tblGrid>
      <w:tr w:rsidR="00AF060B" w:rsidRPr="00C9343F" w14:paraId="51E98CAD" w14:textId="77777777">
        <w:tc>
          <w:tcPr>
            <w:tcW w:w="992" w:type="dxa"/>
          </w:tcPr>
          <w:p w14:paraId="18310F5D" w14:textId="77777777" w:rsidR="00AF060B" w:rsidRPr="00C9343F" w:rsidRDefault="00AF060B" w:rsidP="00F66D98">
            <w:pPr>
              <w:pStyle w:val="BlockText-PlainNoSpacing"/>
              <w:keepNext w:val="0"/>
              <w:keepLines w:val="0"/>
            </w:pPr>
          </w:p>
        </w:tc>
        <w:tc>
          <w:tcPr>
            <w:tcW w:w="8363" w:type="dxa"/>
          </w:tcPr>
          <w:p w14:paraId="2D272600" w14:textId="77777777" w:rsidR="00AF060B" w:rsidRPr="00C9343F" w:rsidRDefault="00AF060B" w:rsidP="00F66D98">
            <w:pPr>
              <w:pStyle w:val="BlockText-Plain"/>
            </w:pPr>
            <w:r w:rsidRPr="00C9343F">
              <w:rPr>
                <w:b/>
              </w:rPr>
              <w:t>See:</w:t>
            </w:r>
            <w:r w:rsidRPr="00C9343F">
              <w:t xml:space="preserve"> </w:t>
            </w:r>
            <w:r w:rsidR="00580C86" w:rsidRPr="00C9343F">
              <w:t>Section</w:t>
            </w:r>
            <w:r w:rsidR="00156A98" w:rsidRPr="00C9343F">
              <w:t xml:space="preserve"> 1.3.8, </w:t>
            </w:r>
            <w:r w:rsidRPr="00C9343F">
              <w:t>Calendar month</w:t>
            </w:r>
          </w:p>
        </w:tc>
      </w:tr>
    </w:tbl>
    <w:p w14:paraId="07C6B3A9" w14:textId="3EFD6929" w:rsidR="00AF060B" w:rsidRPr="00C9343F" w:rsidRDefault="00AF060B" w:rsidP="00F66D98">
      <w:pPr>
        <w:pStyle w:val="Heading5"/>
        <w:keepNext w:val="0"/>
        <w:keepLines w:val="0"/>
      </w:pPr>
      <w:bookmarkStart w:id="114" w:name="N"/>
      <w:bookmarkStart w:id="115" w:name="_Toc105053520"/>
      <w:bookmarkEnd w:id="114"/>
      <w:r w:rsidRPr="00C9343F">
        <w:t>1.3.4</w:t>
      </w:r>
      <w:r w:rsidR="00156A98" w:rsidRPr="00C9343F">
        <w:t>5</w:t>
      </w:r>
      <w:r w:rsidR="00D94006" w:rsidRPr="00C9343F">
        <w:t>    </w:t>
      </w:r>
      <w:r w:rsidRPr="00C9343F">
        <w:t>Non-warlike service</w:t>
      </w:r>
      <w:bookmarkEnd w:id="115"/>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7719AA17" w14:textId="77777777">
        <w:tc>
          <w:tcPr>
            <w:tcW w:w="992" w:type="dxa"/>
          </w:tcPr>
          <w:p w14:paraId="6CE71E47" w14:textId="77777777" w:rsidR="00AF060B" w:rsidRPr="00C9343F" w:rsidRDefault="00AF060B" w:rsidP="00F66D98">
            <w:pPr>
              <w:pStyle w:val="BlockText-Plain"/>
              <w:jc w:val="center"/>
            </w:pPr>
          </w:p>
        </w:tc>
        <w:tc>
          <w:tcPr>
            <w:tcW w:w="8363" w:type="dxa"/>
            <w:gridSpan w:val="2"/>
          </w:tcPr>
          <w:p w14:paraId="7981795C" w14:textId="77777777" w:rsidR="00AF060B" w:rsidRPr="00C9343F" w:rsidRDefault="00AF060B" w:rsidP="00F66D98">
            <w:pPr>
              <w:pStyle w:val="BlockText-Plain"/>
            </w:pPr>
            <w:r w:rsidRPr="00C9343F">
              <w:t xml:space="preserve">Non-warlike service means both these kinds of service for the purposes of the </w:t>
            </w:r>
            <w:r w:rsidRPr="00C9343F">
              <w:rPr>
                <w:i/>
              </w:rPr>
              <w:t>Veterans’ Entitlements Act 1986</w:t>
            </w:r>
            <w:r w:rsidRPr="00C9343F">
              <w:t>.</w:t>
            </w:r>
          </w:p>
        </w:tc>
      </w:tr>
      <w:tr w:rsidR="00AF060B" w:rsidRPr="00C9343F" w14:paraId="35778650" w14:textId="77777777">
        <w:trPr>
          <w:cantSplit/>
        </w:trPr>
        <w:tc>
          <w:tcPr>
            <w:tcW w:w="992" w:type="dxa"/>
          </w:tcPr>
          <w:p w14:paraId="2E9F354F" w14:textId="77777777" w:rsidR="00AF060B" w:rsidRPr="00C9343F" w:rsidRDefault="00AF060B" w:rsidP="00F66D98">
            <w:pPr>
              <w:pStyle w:val="BlockText-Plain"/>
            </w:pPr>
          </w:p>
        </w:tc>
        <w:tc>
          <w:tcPr>
            <w:tcW w:w="567" w:type="dxa"/>
          </w:tcPr>
          <w:p w14:paraId="2CCCE267" w14:textId="77777777" w:rsidR="00AF060B" w:rsidRPr="00C9343F" w:rsidRDefault="00AF060B" w:rsidP="007114B1">
            <w:pPr>
              <w:pStyle w:val="BlockText-Plain"/>
              <w:jc w:val="center"/>
            </w:pPr>
            <w:r w:rsidRPr="00C9343F">
              <w:t>a.</w:t>
            </w:r>
          </w:p>
        </w:tc>
        <w:tc>
          <w:tcPr>
            <w:tcW w:w="7796" w:type="dxa"/>
          </w:tcPr>
          <w:p w14:paraId="4B1666EE" w14:textId="77777777" w:rsidR="00AF060B" w:rsidRPr="00C9343F" w:rsidRDefault="00AF060B" w:rsidP="00F66D98">
            <w:pPr>
              <w:pStyle w:val="BlockText-Plain"/>
            </w:pPr>
            <w:r w:rsidRPr="00C9343F">
              <w:t xml:space="preserve">Service with a peacekeeping force for the purposes of Part IV. </w:t>
            </w:r>
          </w:p>
        </w:tc>
      </w:tr>
      <w:tr w:rsidR="00AF060B" w:rsidRPr="00C9343F" w14:paraId="66691F85" w14:textId="77777777">
        <w:trPr>
          <w:cantSplit/>
        </w:trPr>
        <w:tc>
          <w:tcPr>
            <w:tcW w:w="992" w:type="dxa"/>
          </w:tcPr>
          <w:p w14:paraId="45687A56" w14:textId="77777777" w:rsidR="00AF060B" w:rsidRPr="00C9343F" w:rsidRDefault="00AF060B" w:rsidP="00F66D98">
            <w:pPr>
              <w:pStyle w:val="BlockText-Plain"/>
            </w:pPr>
          </w:p>
        </w:tc>
        <w:tc>
          <w:tcPr>
            <w:tcW w:w="567" w:type="dxa"/>
          </w:tcPr>
          <w:p w14:paraId="542A15D3" w14:textId="77777777" w:rsidR="00AF060B" w:rsidRPr="00C9343F" w:rsidRDefault="00AF060B" w:rsidP="007114B1">
            <w:pPr>
              <w:pStyle w:val="BlockText-Plain"/>
              <w:jc w:val="center"/>
            </w:pPr>
            <w:r w:rsidRPr="00C9343F">
              <w:t>b.</w:t>
            </w:r>
          </w:p>
        </w:tc>
        <w:tc>
          <w:tcPr>
            <w:tcW w:w="7796" w:type="dxa"/>
          </w:tcPr>
          <w:p w14:paraId="6D941EA9" w14:textId="77777777" w:rsidR="00AF060B" w:rsidRPr="00C9343F" w:rsidRDefault="00AF060B" w:rsidP="00F66D98">
            <w:pPr>
              <w:pStyle w:val="BlockText-Plain"/>
            </w:pPr>
            <w:r w:rsidRPr="00C9343F">
              <w:t>Hazardous service for the purposes of section 120.</w:t>
            </w:r>
          </w:p>
        </w:tc>
      </w:tr>
    </w:tbl>
    <w:p w14:paraId="69EB2155" w14:textId="77777777" w:rsidR="00432C88" w:rsidRPr="00C9343F" w:rsidRDefault="00432C88" w:rsidP="00F66D98">
      <w:pPr>
        <w:pStyle w:val="Heading5"/>
      </w:pPr>
      <w:bookmarkStart w:id="116" w:name="_Toc105053521"/>
      <w:r w:rsidRPr="00C9343F">
        <w:t>1.3.45A  Nonworking period</w:t>
      </w:r>
      <w:bookmarkEnd w:id="116"/>
    </w:p>
    <w:tbl>
      <w:tblPr>
        <w:tblW w:w="0" w:type="auto"/>
        <w:tblInd w:w="113" w:type="dxa"/>
        <w:tblLayout w:type="fixed"/>
        <w:tblLook w:val="0000" w:firstRow="0" w:lastRow="0" w:firstColumn="0" w:lastColumn="0" w:noHBand="0" w:noVBand="0"/>
      </w:tblPr>
      <w:tblGrid>
        <w:gridCol w:w="992"/>
        <w:gridCol w:w="8363"/>
      </w:tblGrid>
      <w:tr w:rsidR="00432C88" w:rsidRPr="00C9343F" w14:paraId="6AB06F79" w14:textId="77777777" w:rsidTr="00AB05C3">
        <w:tc>
          <w:tcPr>
            <w:tcW w:w="992" w:type="dxa"/>
          </w:tcPr>
          <w:p w14:paraId="7C6AA8EB" w14:textId="77777777" w:rsidR="00432C88" w:rsidRPr="00C9343F" w:rsidRDefault="00432C88" w:rsidP="00F66D98">
            <w:pPr>
              <w:pStyle w:val="BlockText-Plain"/>
              <w:jc w:val="center"/>
            </w:pPr>
          </w:p>
        </w:tc>
        <w:tc>
          <w:tcPr>
            <w:tcW w:w="8363" w:type="dxa"/>
          </w:tcPr>
          <w:p w14:paraId="22DF46EB" w14:textId="77777777" w:rsidR="00432C88" w:rsidRPr="00C9343F" w:rsidRDefault="004E4497" w:rsidP="00F66D98">
            <w:pPr>
              <w:pStyle w:val="BlockText-Plain"/>
            </w:pPr>
            <w:r w:rsidRPr="00C9343F">
              <w:rPr>
                <w:lang w:eastAsia="en-US"/>
              </w:rPr>
              <w:t>A nonworking period under a flexible service determination is the period that is not the member's pattern of service.</w:t>
            </w:r>
          </w:p>
        </w:tc>
      </w:tr>
    </w:tbl>
    <w:p w14:paraId="0DB16773" w14:textId="4586258D" w:rsidR="00AF060B" w:rsidRPr="00C9343F" w:rsidRDefault="00AF060B" w:rsidP="00F66D98">
      <w:pPr>
        <w:pStyle w:val="Heading5"/>
      </w:pPr>
      <w:bookmarkStart w:id="117" w:name="_Toc105053522"/>
      <w:r w:rsidRPr="00C9343F">
        <w:t>1.3.4</w:t>
      </w:r>
      <w:r w:rsidR="00156A98" w:rsidRPr="00C9343F">
        <w:t>6</w:t>
      </w:r>
      <w:r w:rsidR="00D94006" w:rsidRPr="00C9343F">
        <w:t>    </w:t>
      </w:r>
      <w:r w:rsidRPr="00C9343F">
        <w:t>Normal departmental liability</w:t>
      </w:r>
      <w:bookmarkEnd w:id="117"/>
      <w:r w:rsidRPr="00C9343F">
        <w:t xml:space="preserve"> </w:t>
      </w:r>
    </w:p>
    <w:tbl>
      <w:tblPr>
        <w:tblW w:w="0" w:type="auto"/>
        <w:tblInd w:w="113" w:type="dxa"/>
        <w:tblLayout w:type="fixed"/>
        <w:tblLook w:val="0000" w:firstRow="0" w:lastRow="0" w:firstColumn="0" w:lastColumn="0" w:noHBand="0" w:noVBand="0"/>
      </w:tblPr>
      <w:tblGrid>
        <w:gridCol w:w="992"/>
        <w:gridCol w:w="8363"/>
      </w:tblGrid>
      <w:tr w:rsidR="00AF060B" w:rsidRPr="00C9343F" w14:paraId="5F6A384B" w14:textId="77777777">
        <w:tc>
          <w:tcPr>
            <w:tcW w:w="992" w:type="dxa"/>
          </w:tcPr>
          <w:p w14:paraId="69DA6F3B" w14:textId="77777777" w:rsidR="00AF060B" w:rsidRPr="00C9343F" w:rsidRDefault="00AF060B" w:rsidP="00F66D98">
            <w:pPr>
              <w:pStyle w:val="BlockText-Plain"/>
              <w:jc w:val="center"/>
            </w:pPr>
          </w:p>
        </w:tc>
        <w:tc>
          <w:tcPr>
            <w:tcW w:w="8363" w:type="dxa"/>
          </w:tcPr>
          <w:p w14:paraId="7BEA1D12" w14:textId="77777777" w:rsidR="00AF060B" w:rsidRPr="00C9343F" w:rsidRDefault="00AF060B" w:rsidP="00F66D98">
            <w:pPr>
              <w:pStyle w:val="BlockText-Plain"/>
            </w:pPr>
            <w:r w:rsidRPr="00C9343F">
              <w:rPr>
                <w:b/>
              </w:rPr>
              <w:t>See:</w:t>
            </w:r>
            <w:r w:rsidRPr="00C9343F">
              <w:t xml:space="preserve"> Chapter 9 Part 1 </w:t>
            </w:r>
            <w:r w:rsidR="00580C86" w:rsidRPr="00C9343F">
              <w:t>section</w:t>
            </w:r>
            <w:r w:rsidRPr="00C9343F">
              <w:t xml:space="preserve"> 9.1.</w:t>
            </w:r>
            <w:r w:rsidR="00B95409" w:rsidRPr="00C9343F">
              <w:t>7</w:t>
            </w:r>
            <w:r w:rsidRPr="00C9343F">
              <w:t xml:space="preserve">. </w:t>
            </w:r>
          </w:p>
        </w:tc>
      </w:tr>
    </w:tbl>
    <w:p w14:paraId="08FE7FB9" w14:textId="5930D0B6" w:rsidR="00AF060B" w:rsidRPr="00C9343F" w:rsidRDefault="00AF060B" w:rsidP="00F66D98">
      <w:pPr>
        <w:pStyle w:val="Heading5"/>
      </w:pPr>
      <w:bookmarkStart w:id="118" w:name="_Toc105053523"/>
      <w:r w:rsidRPr="00C9343F">
        <w:t>1.3.4</w:t>
      </w:r>
      <w:r w:rsidR="001B149A" w:rsidRPr="00C9343F">
        <w:t>7</w:t>
      </w:r>
      <w:r w:rsidR="00D94006" w:rsidRPr="00C9343F">
        <w:t>    </w:t>
      </w:r>
      <w:r w:rsidRPr="00C9343F">
        <w:t>Normal working hours</w:t>
      </w:r>
      <w:bookmarkEnd w:id="118"/>
    </w:p>
    <w:tbl>
      <w:tblPr>
        <w:tblW w:w="0" w:type="auto"/>
        <w:tblInd w:w="113" w:type="dxa"/>
        <w:tblLayout w:type="fixed"/>
        <w:tblLook w:val="0000" w:firstRow="0" w:lastRow="0" w:firstColumn="0" w:lastColumn="0" w:noHBand="0" w:noVBand="0"/>
      </w:tblPr>
      <w:tblGrid>
        <w:gridCol w:w="992"/>
        <w:gridCol w:w="8363"/>
      </w:tblGrid>
      <w:tr w:rsidR="00AF060B" w:rsidRPr="00C9343F" w14:paraId="3D3E240B" w14:textId="77777777">
        <w:tc>
          <w:tcPr>
            <w:tcW w:w="992" w:type="dxa"/>
          </w:tcPr>
          <w:p w14:paraId="267693F5" w14:textId="77777777" w:rsidR="00AF060B" w:rsidRPr="00C9343F" w:rsidRDefault="00AF060B" w:rsidP="00F66D98">
            <w:pPr>
              <w:pStyle w:val="BlockText-PlainNoSpacing"/>
              <w:jc w:val="center"/>
            </w:pPr>
            <w:r w:rsidRPr="00C9343F">
              <w:t>1.</w:t>
            </w:r>
          </w:p>
        </w:tc>
        <w:tc>
          <w:tcPr>
            <w:tcW w:w="8363" w:type="dxa"/>
          </w:tcPr>
          <w:p w14:paraId="2E16D6E0" w14:textId="77777777" w:rsidR="00AF060B" w:rsidRPr="00C9343F" w:rsidRDefault="00AF060B" w:rsidP="00F66D98">
            <w:pPr>
              <w:pStyle w:val="BlockText-Plain"/>
            </w:pPr>
            <w:r w:rsidRPr="00C9343F">
              <w:t xml:space="preserve">There are no minimum prescribed working hours for the ADF. Members on continuous </w:t>
            </w:r>
            <w:r w:rsidRPr="00C9343F">
              <w:br/>
              <w:t xml:space="preserve">full-time service are paid on a 24-hour day, seven-day week basis. </w:t>
            </w:r>
          </w:p>
        </w:tc>
      </w:tr>
      <w:tr w:rsidR="00AF060B" w:rsidRPr="00C9343F" w14:paraId="415A63AF" w14:textId="77777777">
        <w:tc>
          <w:tcPr>
            <w:tcW w:w="992" w:type="dxa"/>
          </w:tcPr>
          <w:p w14:paraId="13F99D94" w14:textId="77777777" w:rsidR="00AF060B" w:rsidRPr="00C9343F" w:rsidRDefault="00AF060B" w:rsidP="00F66D98">
            <w:pPr>
              <w:pStyle w:val="BlockText-Plain"/>
              <w:jc w:val="center"/>
            </w:pPr>
            <w:r w:rsidRPr="00C9343F">
              <w:t>2.</w:t>
            </w:r>
          </w:p>
        </w:tc>
        <w:tc>
          <w:tcPr>
            <w:tcW w:w="8363" w:type="dxa"/>
          </w:tcPr>
          <w:p w14:paraId="6A1EF999" w14:textId="77777777" w:rsidR="00AF060B" w:rsidRPr="00C9343F" w:rsidRDefault="00AF060B" w:rsidP="00F66D98">
            <w:pPr>
              <w:pStyle w:val="BlockText-Plain"/>
            </w:pPr>
            <w:r w:rsidRPr="00C9343F">
              <w:t>There is no such thing as payment for overtime. However, commanders set a normal working day taking account of normal community standards, operational requirements and occupational health and safety factors.</w:t>
            </w:r>
          </w:p>
        </w:tc>
      </w:tr>
    </w:tbl>
    <w:p w14:paraId="43AF0924" w14:textId="108247CB" w:rsidR="00AF060B" w:rsidRPr="00C9343F" w:rsidRDefault="00AF060B" w:rsidP="00F66D98">
      <w:pPr>
        <w:pStyle w:val="Heading5"/>
        <w:keepNext w:val="0"/>
        <w:keepLines w:val="0"/>
      </w:pPr>
      <w:bookmarkStart w:id="119" w:name="O"/>
      <w:bookmarkStart w:id="120" w:name="_Toc105053524"/>
      <w:bookmarkEnd w:id="119"/>
      <w:r w:rsidRPr="00C9343F">
        <w:t>1.3.4</w:t>
      </w:r>
      <w:r w:rsidR="001B149A" w:rsidRPr="00C9343F">
        <w:t>8</w:t>
      </w:r>
      <w:r w:rsidR="00D94006" w:rsidRPr="00C9343F">
        <w:t>    </w:t>
      </w:r>
      <w:r w:rsidRPr="00C9343F">
        <w:t>Operational area</w:t>
      </w:r>
      <w:bookmarkEnd w:id="120"/>
    </w:p>
    <w:tbl>
      <w:tblPr>
        <w:tblW w:w="0" w:type="auto"/>
        <w:tblInd w:w="113" w:type="dxa"/>
        <w:tblLayout w:type="fixed"/>
        <w:tblLook w:val="0000" w:firstRow="0" w:lastRow="0" w:firstColumn="0" w:lastColumn="0" w:noHBand="0" w:noVBand="0"/>
      </w:tblPr>
      <w:tblGrid>
        <w:gridCol w:w="992"/>
        <w:gridCol w:w="8363"/>
      </w:tblGrid>
      <w:tr w:rsidR="00AF060B" w:rsidRPr="00C9343F" w14:paraId="50FE27F7" w14:textId="77777777">
        <w:tc>
          <w:tcPr>
            <w:tcW w:w="992" w:type="dxa"/>
          </w:tcPr>
          <w:p w14:paraId="2CFE7861" w14:textId="77777777" w:rsidR="00AF060B" w:rsidRPr="00C9343F" w:rsidRDefault="00AF060B" w:rsidP="00F66D98">
            <w:pPr>
              <w:pStyle w:val="BlockText-PlainNoSpacing"/>
              <w:keepNext w:val="0"/>
              <w:keepLines w:val="0"/>
            </w:pPr>
          </w:p>
        </w:tc>
        <w:tc>
          <w:tcPr>
            <w:tcW w:w="8363" w:type="dxa"/>
          </w:tcPr>
          <w:p w14:paraId="395CF3F6" w14:textId="77777777" w:rsidR="00AF060B" w:rsidRPr="00C9343F" w:rsidRDefault="00AF060B" w:rsidP="00F66D98">
            <w:pPr>
              <w:pStyle w:val="BlockText-Plain"/>
            </w:pPr>
            <w:r w:rsidRPr="00C9343F">
              <w:t xml:space="preserve">For a deployment, operational area means the </w:t>
            </w:r>
            <w:r w:rsidR="00EE28A3" w:rsidRPr="00C9343F">
              <w:t>specified</w:t>
            </w:r>
            <w:r w:rsidRPr="00C9343F">
              <w:t xml:space="preserve"> area for </w:t>
            </w:r>
            <w:r w:rsidR="00EE28A3" w:rsidRPr="00C9343F">
              <w:t>a</w:t>
            </w:r>
            <w:r w:rsidRPr="00C9343F">
              <w:t xml:space="preserve"> deployment in </w:t>
            </w:r>
            <w:r w:rsidR="00580C86" w:rsidRPr="00C9343F">
              <w:t>section</w:t>
            </w:r>
            <w:r w:rsidR="00EE28A3" w:rsidRPr="00C9343F">
              <w:t> </w:t>
            </w:r>
            <w:r w:rsidR="001B149A" w:rsidRPr="00C9343F">
              <w:t>17.</w:t>
            </w:r>
            <w:r w:rsidR="00BC7E45" w:rsidRPr="00C9343F">
              <w:t>7</w:t>
            </w:r>
            <w:r w:rsidR="001B149A" w:rsidRPr="00C9343F">
              <w:t>.6</w:t>
            </w:r>
            <w:r w:rsidRPr="00C9343F">
              <w:t>.</w:t>
            </w:r>
          </w:p>
          <w:p w14:paraId="3E07EC39" w14:textId="77777777" w:rsidR="001B149A" w:rsidRPr="00C9343F" w:rsidRDefault="001B149A" w:rsidP="00F66D98">
            <w:pPr>
              <w:pStyle w:val="BlockText-Plain"/>
            </w:pPr>
            <w:r w:rsidRPr="00C9343F">
              <w:rPr>
                <w:b/>
              </w:rPr>
              <w:t xml:space="preserve">See: </w:t>
            </w:r>
            <w:r w:rsidRPr="00C9343F">
              <w:t xml:space="preserve">Chapter 17 Part </w:t>
            </w:r>
            <w:r w:rsidR="00BC7E45" w:rsidRPr="00C9343F">
              <w:t>7</w:t>
            </w:r>
            <w:r w:rsidRPr="00C9343F">
              <w:t xml:space="preserve"> Division 1 </w:t>
            </w:r>
            <w:r w:rsidR="00580C86" w:rsidRPr="00C9343F">
              <w:t>section</w:t>
            </w:r>
            <w:r w:rsidRPr="00C9343F">
              <w:t xml:space="preserve"> 17.</w:t>
            </w:r>
            <w:r w:rsidR="00BC7E45" w:rsidRPr="00C9343F">
              <w:t>7</w:t>
            </w:r>
            <w:r w:rsidRPr="00C9343F">
              <w:t>.6, Rate of allowance</w:t>
            </w:r>
          </w:p>
        </w:tc>
      </w:tr>
    </w:tbl>
    <w:p w14:paraId="414FFFBA" w14:textId="4E0C0A2D" w:rsidR="00AF060B" w:rsidRPr="00C9343F" w:rsidRDefault="00AF060B" w:rsidP="00F66D98">
      <w:pPr>
        <w:pStyle w:val="Heading5"/>
        <w:keepNext w:val="0"/>
        <w:keepLines w:val="0"/>
      </w:pPr>
      <w:bookmarkStart w:id="121" w:name="_Toc105053525"/>
      <w:r w:rsidRPr="00C9343F">
        <w:t>1.3.4</w:t>
      </w:r>
      <w:r w:rsidR="001B149A" w:rsidRPr="00C9343F">
        <w:t>9</w:t>
      </w:r>
      <w:r w:rsidR="00D94006" w:rsidRPr="00C9343F">
        <w:t>    </w:t>
      </w:r>
      <w:r w:rsidRPr="00C9343F">
        <w:t>Own home</w:t>
      </w:r>
      <w:bookmarkEnd w:id="121"/>
    </w:p>
    <w:tbl>
      <w:tblPr>
        <w:tblW w:w="0" w:type="auto"/>
        <w:tblInd w:w="113" w:type="dxa"/>
        <w:tblLayout w:type="fixed"/>
        <w:tblLook w:val="0000" w:firstRow="0" w:lastRow="0" w:firstColumn="0" w:lastColumn="0" w:noHBand="0" w:noVBand="0"/>
      </w:tblPr>
      <w:tblGrid>
        <w:gridCol w:w="992"/>
        <w:gridCol w:w="8363"/>
      </w:tblGrid>
      <w:tr w:rsidR="00AF060B" w:rsidRPr="00C9343F" w14:paraId="20D84536" w14:textId="77777777">
        <w:tc>
          <w:tcPr>
            <w:tcW w:w="992" w:type="dxa"/>
          </w:tcPr>
          <w:p w14:paraId="351269F9" w14:textId="77777777" w:rsidR="00AF060B" w:rsidRPr="00C9343F" w:rsidRDefault="00AF060B" w:rsidP="00F66D98">
            <w:pPr>
              <w:pStyle w:val="BlockText-PlainNoSpacing"/>
              <w:keepNext w:val="0"/>
              <w:keepLines w:val="0"/>
              <w:jc w:val="center"/>
            </w:pPr>
          </w:p>
        </w:tc>
        <w:tc>
          <w:tcPr>
            <w:tcW w:w="8363" w:type="dxa"/>
          </w:tcPr>
          <w:p w14:paraId="1E784269" w14:textId="77777777" w:rsidR="00AF060B" w:rsidRPr="00C9343F" w:rsidRDefault="00AF060B" w:rsidP="00F66D98">
            <w:pPr>
              <w:pStyle w:val="BlockText-Plain"/>
            </w:pPr>
            <w:r w:rsidRPr="00C9343F">
              <w:t>Own home is defined in Chapter 7.</w:t>
            </w:r>
          </w:p>
          <w:p w14:paraId="06987E87" w14:textId="77777777" w:rsidR="00AF060B" w:rsidRPr="00C9343F" w:rsidRDefault="00AF060B" w:rsidP="00F66D98">
            <w:pPr>
              <w:pStyle w:val="BlockText-Plain"/>
              <w:spacing w:after="0"/>
              <w:rPr>
                <w:b/>
              </w:rPr>
            </w:pPr>
            <w:r w:rsidRPr="00C9343F">
              <w:rPr>
                <w:b/>
              </w:rPr>
              <w:t>See:</w:t>
            </w:r>
            <w:r w:rsidR="004B64C6" w:rsidRPr="00C9343F">
              <w:t xml:space="preserve"> Chapter 7</w:t>
            </w:r>
          </w:p>
          <w:p w14:paraId="233AC65B" w14:textId="77777777" w:rsidR="00AF060B" w:rsidRPr="00C9343F" w:rsidRDefault="00AF060B" w:rsidP="00F66D98">
            <w:pPr>
              <w:pStyle w:val="BlockText-Plain"/>
            </w:pPr>
            <w:r w:rsidRPr="00C9343F">
              <w:t>Part 2</w:t>
            </w:r>
            <w:r w:rsidR="001B149A" w:rsidRPr="00C9343F">
              <w:t>,</w:t>
            </w:r>
            <w:r w:rsidRPr="00C9343F">
              <w:t xml:space="preserve"> </w:t>
            </w:r>
            <w:r w:rsidR="002D6C9C" w:rsidRPr="00C9343F">
              <w:t>Suitable own home</w:t>
            </w:r>
            <w:r w:rsidRPr="00C9343F">
              <w:rPr>
                <w:b/>
              </w:rPr>
              <w:br/>
            </w:r>
            <w:r w:rsidRPr="00C9343F">
              <w:t>Part 1 Division 3, Definitions and key concepts.</w:t>
            </w:r>
          </w:p>
        </w:tc>
      </w:tr>
    </w:tbl>
    <w:p w14:paraId="23E3EC48" w14:textId="4CF72252" w:rsidR="00AF060B" w:rsidRPr="00C9343F" w:rsidRDefault="00AF060B" w:rsidP="00F66D98">
      <w:pPr>
        <w:pStyle w:val="Heading5"/>
        <w:keepNext w:val="0"/>
        <w:keepLines w:val="0"/>
      </w:pPr>
      <w:bookmarkStart w:id="122" w:name="P"/>
      <w:bookmarkStart w:id="123" w:name="_Toc105053526"/>
      <w:bookmarkEnd w:id="122"/>
      <w:r w:rsidRPr="00C9343F">
        <w:t>1.3.</w:t>
      </w:r>
      <w:r w:rsidR="001B149A" w:rsidRPr="00C9343F">
        <w:t>50</w:t>
      </w:r>
      <w:r w:rsidR="00D94006" w:rsidRPr="00C9343F">
        <w:t>    </w:t>
      </w:r>
      <w:r w:rsidRPr="00C9343F">
        <w:t>Paid leave</w:t>
      </w:r>
      <w:bookmarkEnd w:id="123"/>
    </w:p>
    <w:tbl>
      <w:tblPr>
        <w:tblW w:w="0" w:type="auto"/>
        <w:tblInd w:w="113" w:type="dxa"/>
        <w:tblLayout w:type="fixed"/>
        <w:tblLook w:val="0000" w:firstRow="0" w:lastRow="0" w:firstColumn="0" w:lastColumn="0" w:noHBand="0" w:noVBand="0"/>
      </w:tblPr>
      <w:tblGrid>
        <w:gridCol w:w="992"/>
        <w:gridCol w:w="8363"/>
      </w:tblGrid>
      <w:tr w:rsidR="00AF060B" w:rsidRPr="00C9343F" w14:paraId="5DBEF3F1" w14:textId="77777777">
        <w:tc>
          <w:tcPr>
            <w:tcW w:w="992" w:type="dxa"/>
          </w:tcPr>
          <w:p w14:paraId="79EC3A74" w14:textId="77777777" w:rsidR="00AF060B" w:rsidRPr="00C9343F" w:rsidRDefault="00AF060B" w:rsidP="00F66D98">
            <w:pPr>
              <w:pStyle w:val="BlockText-PlainNoSpacing"/>
              <w:keepNext w:val="0"/>
              <w:keepLines w:val="0"/>
              <w:jc w:val="center"/>
            </w:pPr>
          </w:p>
        </w:tc>
        <w:tc>
          <w:tcPr>
            <w:tcW w:w="8363" w:type="dxa"/>
          </w:tcPr>
          <w:p w14:paraId="768B6C19" w14:textId="77777777" w:rsidR="00AF060B" w:rsidRPr="00C9343F" w:rsidRDefault="00AF060B" w:rsidP="00F66D98">
            <w:pPr>
              <w:pStyle w:val="BlockText-Plain"/>
            </w:pPr>
            <w:r w:rsidRPr="00C9343F">
              <w:t>Paid leave means a period of leave when a member is entitled to salary.</w:t>
            </w:r>
          </w:p>
        </w:tc>
      </w:tr>
    </w:tbl>
    <w:p w14:paraId="01A13DF2" w14:textId="77777777" w:rsidR="00EB3CE5" w:rsidRPr="00C9343F" w:rsidRDefault="00EB3CE5" w:rsidP="00F66D98">
      <w:pPr>
        <w:pStyle w:val="Heading5"/>
      </w:pPr>
      <w:bookmarkStart w:id="124" w:name="_Toc105053527"/>
      <w:r w:rsidRPr="00C9343F">
        <w:lastRenderedPageBreak/>
        <w:t>1.3.50AA  Pattern of Reserve service</w:t>
      </w:r>
      <w:bookmarkEnd w:id="124"/>
    </w:p>
    <w:tbl>
      <w:tblPr>
        <w:tblW w:w="9359" w:type="dxa"/>
        <w:tblInd w:w="113" w:type="dxa"/>
        <w:tblLayout w:type="fixed"/>
        <w:tblLook w:val="0000" w:firstRow="0" w:lastRow="0" w:firstColumn="0" w:lastColumn="0" w:noHBand="0" w:noVBand="0"/>
      </w:tblPr>
      <w:tblGrid>
        <w:gridCol w:w="992"/>
        <w:gridCol w:w="8367"/>
      </w:tblGrid>
      <w:tr w:rsidR="00EB3CE5" w:rsidRPr="00C9343F" w14:paraId="5FB3BDD6" w14:textId="77777777" w:rsidTr="00B15186">
        <w:tc>
          <w:tcPr>
            <w:tcW w:w="992" w:type="dxa"/>
          </w:tcPr>
          <w:p w14:paraId="21D214C7" w14:textId="77777777" w:rsidR="00EB3CE5" w:rsidRPr="00C9343F" w:rsidRDefault="00EB3CE5" w:rsidP="00F66D98">
            <w:pPr>
              <w:pStyle w:val="Sectiontext0"/>
              <w:jc w:val="center"/>
              <w:rPr>
                <w:lang w:eastAsia="en-US"/>
              </w:rPr>
            </w:pPr>
          </w:p>
        </w:tc>
        <w:tc>
          <w:tcPr>
            <w:tcW w:w="8367" w:type="dxa"/>
          </w:tcPr>
          <w:p w14:paraId="1373E20D" w14:textId="77777777" w:rsidR="00EB3CE5" w:rsidRPr="00C9343F" w:rsidRDefault="00EB3CE5" w:rsidP="00F66D98">
            <w:pPr>
              <w:pStyle w:val="Sectiontext0"/>
              <w:rPr>
                <w:lang w:eastAsia="en-US"/>
              </w:rPr>
            </w:pPr>
            <w:r w:rsidRPr="00C9343F">
              <w:rPr>
                <w:iCs/>
              </w:rPr>
              <w:t>Pattern of Reserve service means the periods that a member of the Reserves has agreed with their supervisor that they would attend for duty.</w:t>
            </w:r>
            <w:r w:rsidRPr="00C9343F">
              <w:rPr>
                <w:rFonts w:cs="Arial"/>
              </w:rPr>
              <w:t xml:space="preserve"> </w:t>
            </w:r>
          </w:p>
        </w:tc>
      </w:tr>
    </w:tbl>
    <w:p w14:paraId="0D86AA47" w14:textId="77777777" w:rsidR="00432C88" w:rsidRPr="00C9343F" w:rsidRDefault="00432C88" w:rsidP="00F66D98">
      <w:pPr>
        <w:pStyle w:val="Heading5"/>
        <w:rPr>
          <w:i/>
        </w:rPr>
      </w:pPr>
      <w:bookmarkStart w:id="125" w:name="_Toc105053528"/>
      <w:r w:rsidRPr="00C9343F">
        <w:t>1.3.50A</w:t>
      </w:r>
      <w:r w:rsidR="00A12292" w:rsidRPr="00C9343F">
        <w:t>  </w:t>
      </w:r>
      <w:r w:rsidRPr="00C9343F">
        <w:t>Pattern of service</w:t>
      </w:r>
      <w:bookmarkEnd w:id="125"/>
    </w:p>
    <w:tbl>
      <w:tblPr>
        <w:tblW w:w="0" w:type="auto"/>
        <w:tblInd w:w="113" w:type="dxa"/>
        <w:tblLayout w:type="fixed"/>
        <w:tblLook w:val="0000" w:firstRow="0" w:lastRow="0" w:firstColumn="0" w:lastColumn="0" w:noHBand="0" w:noVBand="0"/>
      </w:tblPr>
      <w:tblGrid>
        <w:gridCol w:w="992"/>
        <w:gridCol w:w="8363"/>
      </w:tblGrid>
      <w:tr w:rsidR="004E4497" w:rsidRPr="00C9343F" w14:paraId="62A17228" w14:textId="77777777" w:rsidTr="00AB05C3">
        <w:tc>
          <w:tcPr>
            <w:tcW w:w="992" w:type="dxa"/>
          </w:tcPr>
          <w:p w14:paraId="023F1467" w14:textId="77777777" w:rsidR="004E4497" w:rsidRPr="00C9343F" w:rsidRDefault="004E4497" w:rsidP="00F66D98">
            <w:pPr>
              <w:pStyle w:val="BlockText-Plain"/>
              <w:jc w:val="center"/>
            </w:pPr>
          </w:p>
        </w:tc>
        <w:tc>
          <w:tcPr>
            <w:tcW w:w="8363" w:type="dxa"/>
          </w:tcPr>
          <w:p w14:paraId="48FE6625" w14:textId="77777777" w:rsidR="004E4497" w:rsidRPr="00C9343F" w:rsidRDefault="004E4497" w:rsidP="00F66D98">
            <w:pPr>
              <w:pStyle w:val="BlockText-Plain"/>
              <w:spacing w:line="276" w:lineRule="auto"/>
              <w:rPr>
                <w:lang w:eastAsia="en-US"/>
              </w:rPr>
            </w:pPr>
            <w:r w:rsidRPr="00C9343F">
              <w:rPr>
                <w:iCs/>
                <w:lang w:eastAsia="en-US"/>
              </w:rPr>
              <w:t>Means the hours of duty or periods of duty prescribed under a flexible service determination.</w:t>
            </w:r>
          </w:p>
        </w:tc>
      </w:tr>
    </w:tbl>
    <w:p w14:paraId="66A55BC5" w14:textId="4172EC52" w:rsidR="00AF060B" w:rsidRPr="00C9343F" w:rsidRDefault="00AF060B" w:rsidP="00F66D98">
      <w:pPr>
        <w:pStyle w:val="Heading5"/>
        <w:keepNext w:val="0"/>
        <w:keepLines w:val="0"/>
      </w:pPr>
      <w:bookmarkStart w:id="126" w:name="_Toc105053529"/>
      <w:r w:rsidRPr="00C9343F">
        <w:t>1.3.</w:t>
      </w:r>
      <w:r w:rsidR="001B149A" w:rsidRPr="00C9343F">
        <w:t>51</w:t>
      </w:r>
      <w:r w:rsidR="00D94006" w:rsidRPr="00C9343F">
        <w:t>    </w:t>
      </w:r>
      <w:r w:rsidR="006F071A" w:rsidRPr="00C9343F">
        <w:t xml:space="preserve">Pay </w:t>
      </w:r>
      <w:r w:rsidR="00157960" w:rsidRPr="00C9343F">
        <w:t>g</w:t>
      </w:r>
      <w:r w:rsidR="006F071A" w:rsidRPr="00C9343F">
        <w:t>rade</w:t>
      </w:r>
      <w:bookmarkEnd w:id="126"/>
    </w:p>
    <w:tbl>
      <w:tblPr>
        <w:tblW w:w="0" w:type="auto"/>
        <w:tblInd w:w="113" w:type="dxa"/>
        <w:tblLayout w:type="fixed"/>
        <w:tblLook w:val="0000" w:firstRow="0" w:lastRow="0" w:firstColumn="0" w:lastColumn="0" w:noHBand="0" w:noVBand="0"/>
      </w:tblPr>
      <w:tblGrid>
        <w:gridCol w:w="992"/>
        <w:gridCol w:w="8363"/>
      </w:tblGrid>
      <w:tr w:rsidR="00AF060B" w:rsidRPr="00C9343F" w14:paraId="799CF431" w14:textId="77777777">
        <w:tc>
          <w:tcPr>
            <w:tcW w:w="992" w:type="dxa"/>
          </w:tcPr>
          <w:p w14:paraId="70BE7C57" w14:textId="77777777" w:rsidR="00AF060B" w:rsidRPr="00C9343F" w:rsidRDefault="00AF060B" w:rsidP="00F66D98">
            <w:pPr>
              <w:pStyle w:val="BlockText-PlainNoSpacing"/>
              <w:keepNext w:val="0"/>
              <w:keepLines w:val="0"/>
              <w:jc w:val="center"/>
            </w:pPr>
          </w:p>
        </w:tc>
        <w:tc>
          <w:tcPr>
            <w:tcW w:w="8363" w:type="dxa"/>
          </w:tcPr>
          <w:p w14:paraId="56B50566" w14:textId="77777777" w:rsidR="00AF060B" w:rsidRPr="00C9343F" w:rsidRDefault="00BF1E5D" w:rsidP="00F66D98">
            <w:pPr>
              <w:pStyle w:val="BlockText-Plain"/>
            </w:pPr>
            <w:r w:rsidRPr="00C9343F">
              <w:rPr>
                <w:rFonts w:cs="Arial"/>
              </w:rPr>
              <w:t xml:space="preserve">Pay grade means the pay grade for a member under </w:t>
            </w:r>
            <w:r w:rsidRPr="00C9343F">
              <w:rPr>
                <w:rFonts w:cs="Arial"/>
                <w:color w:val="000000"/>
              </w:rPr>
              <w:t xml:space="preserve">DFRT Determination No. </w:t>
            </w:r>
            <w:r w:rsidR="002A2A83" w:rsidRPr="00C9343F">
              <w:t>2 of 2017</w:t>
            </w:r>
            <w:r w:rsidRPr="00C9343F">
              <w:rPr>
                <w:rFonts w:cs="Arial"/>
              </w:rPr>
              <w:t>, Salaries.</w:t>
            </w:r>
          </w:p>
        </w:tc>
      </w:tr>
    </w:tbl>
    <w:p w14:paraId="1550E959" w14:textId="4116E91C" w:rsidR="00AF060B" w:rsidRPr="00C9343F" w:rsidRDefault="00AF060B" w:rsidP="00F66D98">
      <w:pPr>
        <w:pStyle w:val="Heading5"/>
        <w:keepNext w:val="0"/>
        <w:keepLines w:val="0"/>
      </w:pPr>
      <w:bookmarkStart w:id="127" w:name="_Toc105053530"/>
      <w:r w:rsidRPr="00C9343F">
        <w:t>1.3.5</w:t>
      </w:r>
      <w:r w:rsidR="001B149A" w:rsidRPr="00C9343F">
        <w:t>2</w:t>
      </w:r>
      <w:r w:rsidR="00D94006" w:rsidRPr="00C9343F">
        <w:t>    </w:t>
      </w:r>
      <w:r w:rsidRPr="00C9343F">
        <w:t>Pay to the Commonwealth</w:t>
      </w:r>
      <w:bookmarkEnd w:id="127"/>
    </w:p>
    <w:tbl>
      <w:tblPr>
        <w:tblW w:w="0" w:type="auto"/>
        <w:tblInd w:w="113" w:type="dxa"/>
        <w:tblLayout w:type="fixed"/>
        <w:tblLook w:val="0000" w:firstRow="0" w:lastRow="0" w:firstColumn="0" w:lastColumn="0" w:noHBand="0" w:noVBand="0"/>
      </w:tblPr>
      <w:tblGrid>
        <w:gridCol w:w="992"/>
        <w:gridCol w:w="8363"/>
      </w:tblGrid>
      <w:tr w:rsidR="00AF060B" w:rsidRPr="00C9343F" w14:paraId="3DDE98F7" w14:textId="77777777">
        <w:tc>
          <w:tcPr>
            <w:tcW w:w="992" w:type="dxa"/>
          </w:tcPr>
          <w:p w14:paraId="5C14C463" w14:textId="77777777" w:rsidR="00AF060B" w:rsidRPr="00C9343F" w:rsidRDefault="00AF060B" w:rsidP="00F66D98">
            <w:pPr>
              <w:pStyle w:val="BlockText-PlainNoSpacing"/>
              <w:keepNext w:val="0"/>
              <w:keepLines w:val="0"/>
              <w:jc w:val="center"/>
            </w:pPr>
          </w:p>
        </w:tc>
        <w:tc>
          <w:tcPr>
            <w:tcW w:w="8363" w:type="dxa"/>
          </w:tcPr>
          <w:p w14:paraId="23BEE7A1" w14:textId="77777777" w:rsidR="00AF060B" w:rsidRPr="00C9343F" w:rsidRDefault="00AF060B" w:rsidP="00F66D98">
            <w:pPr>
              <w:pStyle w:val="BlockText-Plain"/>
            </w:pPr>
            <w:r w:rsidRPr="00C9343F">
              <w:t>Pay to the Commonwealth means a member's obligation to pay (or repay) money to the Commonwealth. This is if the member incurs a debt or liability to the Commonwealth.</w:t>
            </w:r>
          </w:p>
          <w:p w14:paraId="6DC8C0E9" w14:textId="77777777" w:rsidR="00AF060B" w:rsidRPr="00C9343F" w:rsidRDefault="00AF060B" w:rsidP="00F66D98">
            <w:pPr>
              <w:pStyle w:val="BlockText-Plain"/>
            </w:pPr>
            <w:r w:rsidRPr="00C9343F">
              <w:rPr>
                <w:b/>
              </w:rPr>
              <w:t>Example 1:</w:t>
            </w:r>
            <w:r w:rsidRPr="00C9343F">
              <w:t xml:space="preserve"> The member has been overpaid a </w:t>
            </w:r>
            <w:r w:rsidR="0019090D" w:rsidRPr="00C9343F">
              <w:t>benefit</w:t>
            </w:r>
            <w:r w:rsidRPr="00C9343F">
              <w:t>.</w:t>
            </w:r>
          </w:p>
          <w:p w14:paraId="499D980A" w14:textId="77777777" w:rsidR="00AF060B" w:rsidRPr="00C9343F" w:rsidRDefault="00AF060B" w:rsidP="00F66D98">
            <w:pPr>
              <w:pStyle w:val="BlockText-Plain"/>
            </w:pPr>
            <w:r w:rsidRPr="00C9343F">
              <w:rPr>
                <w:b/>
              </w:rPr>
              <w:t>Example 2:</w:t>
            </w:r>
            <w:r w:rsidRPr="00C9343F">
              <w:t xml:space="preserve"> The member is liable to contribute money towards the cost of a particular conditions of service benefit that the Commonwealth provides to them.</w:t>
            </w:r>
          </w:p>
        </w:tc>
      </w:tr>
    </w:tbl>
    <w:p w14:paraId="1F9F13B3" w14:textId="24DD5DDC" w:rsidR="00AF060B" w:rsidRPr="00C9343F" w:rsidRDefault="00AF060B" w:rsidP="00F66D98">
      <w:pPr>
        <w:pStyle w:val="Heading5"/>
      </w:pPr>
      <w:bookmarkStart w:id="128" w:name="_Toc105053531"/>
      <w:r w:rsidRPr="00C9343F">
        <w:t>1.3.5</w:t>
      </w:r>
      <w:r w:rsidR="001B149A" w:rsidRPr="00C9343F">
        <w:t>3</w:t>
      </w:r>
      <w:r w:rsidR="00D94006" w:rsidRPr="00C9343F">
        <w:t>    </w:t>
      </w:r>
      <w:r w:rsidRPr="00C9343F">
        <w:t>Period of prospective service</w:t>
      </w:r>
      <w:bookmarkEnd w:id="128"/>
    </w:p>
    <w:tbl>
      <w:tblPr>
        <w:tblW w:w="0" w:type="auto"/>
        <w:tblInd w:w="113" w:type="dxa"/>
        <w:tblLayout w:type="fixed"/>
        <w:tblLook w:val="0000" w:firstRow="0" w:lastRow="0" w:firstColumn="0" w:lastColumn="0" w:noHBand="0" w:noVBand="0"/>
      </w:tblPr>
      <w:tblGrid>
        <w:gridCol w:w="992"/>
        <w:gridCol w:w="8367"/>
      </w:tblGrid>
      <w:tr w:rsidR="00AF060B" w:rsidRPr="00C9343F" w14:paraId="0A04E263" w14:textId="77777777" w:rsidTr="004B64C6">
        <w:tc>
          <w:tcPr>
            <w:tcW w:w="992" w:type="dxa"/>
          </w:tcPr>
          <w:p w14:paraId="34C376F2" w14:textId="77777777" w:rsidR="00AF060B" w:rsidRPr="00C9343F" w:rsidRDefault="00AF060B" w:rsidP="00F66D98">
            <w:pPr>
              <w:pStyle w:val="BlockText-Plain"/>
              <w:jc w:val="center"/>
            </w:pPr>
          </w:p>
        </w:tc>
        <w:tc>
          <w:tcPr>
            <w:tcW w:w="8367" w:type="dxa"/>
          </w:tcPr>
          <w:p w14:paraId="49B6EF3D" w14:textId="77777777" w:rsidR="00AF060B" w:rsidRPr="00C9343F" w:rsidRDefault="00AF060B" w:rsidP="00F66D98">
            <w:pPr>
              <w:pStyle w:val="BlockText-Plain"/>
            </w:pPr>
            <w:r w:rsidRPr="00C9343F">
              <w:t xml:space="preserve">Period of prospective service has the same meaning as in Part 8 of the </w:t>
            </w:r>
            <w:r w:rsidRPr="00C9343F">
              <w:rPr>
                <w:i/>
              </w:rPr>
              <w:t xml:space="preserve">Military </w:t>
            </w:r>
            <w:bookmarkStart w:id="129" w:name="_Hlt94160424"/>
            <w:r w:rsidRPr="00C9343F">
              <w:rPr>
                <w:i/>
              </w:rPr>
              <w:t>S</w:t>
            </w:r>
            <w:bookmarkEnd w:id="129"/>
            <w:r w:rsidRPr="00C9343F">
              <w:rPr>
                <w:i/>
              </w:rPr>
              <w:t>uperannuation and Benefits Act 1991</w:t>
            </w:r>
            <w:r w:rsidR="00157960" w:rsidRPr="00C9343F">
              <w:t xml:space="preserve">, as preserved by </w:t>
            </w:r>
            <w:r w:rsidR="003A3CC3" w:rsidRPr="00C9343F">
              <w:t xml:space="preserve">Schedule 4 of the </w:t>
            </w:r>
            <w:r w:rsidR="003A3CC3" w:rsidRPr="00C9343F">
              <w:rPr>
                <w:i/>
              </w:rPr>
              <w:t>Defence Legislation Amendment Act (No. 1) 2005</w:t>
            </w:r>
            <w:r w:rsidR="003A3CC3" w:rsidRPr="00C9343F">
              <w:t>.</w:t>
            </w:r>
          </w:p>
        </w:tc>
      </w:tr>
    </w:tbl>
    <w:p w14:paraId="786DA0AA" w14:textId="5F320C54" w:rsidR="00AC4953" w:rsidRPr="00C9343F" w:rsidRDefault="00AC4953" w:rsidP="00F66D98">
      <w:pPr>
        <w:pStyle w:val="Heading5"/>
      </w:pPr>
      <w:bookmarkStart w:id="130" w:name="location"/>
      <w:bookmarkStart w:id="131" w:name="_Toc105053532"/>
      <w:bookmarkEnd w:id="130"/>
      <w:r w:rsidRPr="00C9343F">
        <w:t>1.3.5</w:t>
      </w:r>
      <w:r w:rsidR="001B149A" w:rsidRPr="00C9343F">
        <w:t>4</w:t>
      </w:r>
      <w:r w:rsidR="00D94006" w:rsidRPr="00C9343F">
        <w:t>    </w:t>
      </w:r>
      <w:r w:rsidRPr="00C9343F">
        <w:t>Personal location</w:t>
      </w:r>
      <w:bookmarkEnd w:id="131"/>
    </w:p>
    <w:tbl>
      <w:tblPr>
        <w:tblW w:w="9451" w:type="dxa"/>
        <w:tblInd w:w="113" w:type="dxa"/>
        <w:tblLayout w:type="fixed"/>
        <w:tblLook w:val="0000" w:firstRow="0" w:lastRow="0" w:firstColumn="0" w:lastColumn="0" w:noHBand="0" w:noVBand="0"/>
      </w:tblPr>
      <w:tblGrid>
        <w:gridCol w:w="992"/>
        <w:gridCol w:w="567"/>
        <w:gridCol w:w="7885"/>
        <w:gridCol w:w="7"/>
      </w:tblGrid>
      <w:tr w:rsidR="00AC4953" w:rsidRPr="00C9343F" w14:paraId="46407E31" w14:textId="77777777" w:rsidTr="00AE7EA5">
        <w:tc>
          <w:tcPr>
            <w:tcW w:w="992" w:type="dxa"/>
          </w:tcPr>
          <w:p w14:paraId="20B99C83" w14:textId="77777777" w:rsidR="00AC4953" w:rsidRPr="00C9343F" w:rsidRDefault="00AC4953" w:rsidP="00F66D98">
            <w:pPr>
              <w:pStyle w:val="BlockText-Plain"/>
              <w:jc w:val="center"/>
            </w:pPr>
            <w:r w:rsidRPr="00C9343F">
              <w:t>1.</w:t>
            </w:r>
          </w:p>
        </w:tc>
        <w:tc>
          <w:tcPr>
            <w:tcW w:w="8459" w:type="dxa"/>
            <w:gridSpan w:val="3"/>
          </w:tcPr>
          <w:p w14:paraId="0BB5FFB8" w14:textId="77777777" w:rsidR="00AC4953" w:rsidRPr="00C9343F" w:rsidRDefault="00AC4953" w:rsidP="00F66D98">
            <w:pPr>
              <w:pStyle w:val="BlockText-Plain"/>
              <w:rPr>
                <w:rFonts w:cs="Arial"/>
              </w:rPr>
            </w:pPr>
            <w:r w:rsidRPr="00C9343F">
              <w:t xml:space="preserve">A personal location is a location in which the member's dependants choose to live. </w:t>
            </w:r>
          </w:p>
          <w:p w14:paraId="601FFD2D" w14:textId="77777777" w:rsidR="00AC4953" w:rsidRPr="00C9343F" w:rsidRDefault="00AC4953" w:rsidP="00F66D98">
            <w:pPr>
              <w:pStyle w:val="BlockText-Plain"/>
            </w:pPr>
            <w:r w:rsidRPr="00C9343F">
              <w:rPr>
                <w:rFonts w:cs="Arial"/>
                <w:b/>
              </w:rPr>
              <w:t>Exception:</w:t>
            </w:r>
            <w:r w:rsidRPr="00C9343F">
              <w:rPr>
                <w:rFonts w:cs="Arial"/>
              </w:rPr>
              <w:t xml:space="preserve"> The location where the member lives cannot be a personal location.</w:t>
            </w:r>
          </w:p>
        </w:tc>
      </w:tr>
      <w:tr w:rsidR="00AC4953" w:rsidRPr="00C9343F" w14:paraId="5100B96D" w14:textId="77777777" w:rsidTr="00AE7EA5">
        <w:trPr>
          <w:gridAfter w:val="1"/>
          <w:wAfter w:w="7" w:type="dxa"/>
        </w:trPr>
        <w:tc>
          <w:tcPr>
            <w:tcW w:w="992" w:type="dxa"/>
          </w:tcPr>
          <w:p w14:paraId="3335E549" w14:textId="77777777" w:rsidR="00AC4953" w:rsidRPr="00C9343F" w:rsidRDefault="00AC4953" w:rsidP="00F66D98">
            <w:pPr>
              <w:pStyle w:val="BlockText-Plain"/>
              <w:jc w:val="center"/>
            </w:pPr>
            <w:r w:rsidRPr="00C9343F">
              <w:t>2.</w:t>
            </w:r>
          </w:p>
        </w:tc>
        <w:tc>
          <w:tcPr>
            <w:tcW w:w="8452" w:type="dxa"/>
            <w:gridSpan w:val="2"/>
          </w:tcPr>
          <w:p w14:paraId="35A9DFF0" w14:textId="77777777" w:rsidR="00AC4953" w:rsidRPr="00C9343F" w:rsidRDefault="00AC4953" w:rsidP="00F66D98">
            <w:pPr>
              <w:pStyle w:val="BlockText-Plain"/>
            </w:pPr>
            <w:r w:rsidRPr="00C9343F">
              <w:t>Not all situations where dependants live in a personal location attract the same benefits.</w:t>
            </w:r>
          </w:p>
        </w:tc>
      </w:tr>
      <w:tr w:rsidR="00AC4953" w:rsidRPr="00C9343F" w14:paraId="12A5917F" w14:textId="77777777" w:rsidTr="00AE7EA5">
        <w:trPr>
          <w:gridAfter w:val="1"/>
          <w:wAfter w:w="7" w:type="dxa"/>
          <w:cantSplit/>
        </w:trPr>
        <w:tc>
          <w:tcPr>
            <w:tcW w:w="992" w:type="dxa"/>
          </w:tcPr>
          <w:p w14:paraId="23D67021" w14:textId="77777777" w:rsidR="00AC4953" w:rsidRPr="00C9343F" w:rsidRDefault="00AC4953" w:rsidP="00F66D98">
            <w:pPr>
              <w:pStyle w:val="BlockText-Plain"/>
            </w:pPr>
          </w:p>
        </w:tc>
        <w:tc>
          <w:tcPr>
            <w:tcW w:w="567" w:type="dxa"/>
          </w:tcPr>
          <w:p w14:paraId="74985A2E" w14:textId="77777777" w:rsidR="00AC4953" w:rsidRPr="00C9343F" w:rsidRDefault="00AC4953" w:rsidP="007114B1">
            <w:pPr>
              <w:pStyle w:val="BlockText-Plain"/>
              <w:jc w:val="center"/>
            </w:pPr>
            <w:r w:rsidRPr="00C9343F">
              <w:t>a.</w:t>
            </w:r>
          </w:p>
        </w:tc>
        <w:tc>
          <w:tcPr>
            <w:tcW w:w="7885" w:type="dxa"/>
          </w:tcPr>
          <w:p w14:paraId="13C89FC2" w14:textId="77777777" w:rsidR="00AC4953" w:rsidRPr="00C9343F" w:rsidRDefault="00AC4953" w:rsidP="00F66D98">
            <w:pPr>
              <w:pStyle w:val="BlockText-Plain"/>
            </w:pPr>
            <w:r w:rsidRPr="00C9343F">
              <w:t xml:space="preserve">A benefit may be made available to a member on compassionate grounds. If the member satisfies any eligibility requirements for that benefit and the member's dependants live in a personal location, that personal location is known as a personal location where benefits are provided.  </w:t>
            </w:r>
          </w:p>
        </w:tc>
      </w:tr>
      <w:tr w:rsidR="00AC4953" w:rsidRPr="00C9343F" w14:paraId="5FB611D6" w14:textId="77777777" w:rsidTr="00AE7EA5">
        <w:trPr>
          <w:gridAfter w:val="1"/>
          <w:wAfter w:w="7" w:type="dxa"/>
          <w:cantSplit/>
        </w:trPr>
        <w:tc>
          <w:tcPr>
            <w:tcW w:w="992" w:type="dxa"/>
          </w:tcPr>
          <w:p w14:paraId="74CB7B91" w14:textId="77777777" w:rsidR="00AC4953" w:rsidRPr="00C9343F" w:rsidRDefault="00AC4953" w:rsidP="00F66D98">
            <w:pPr>
              <w:pStyle w:val="BlockText-Plain"/>
            </w:pPr>
          </w:p>
        </w:tc>
        <w:tc>
          <w:tcPr>
            <w:tcW w:w="567" w:type="dxa"/>
          </w:tcPr>
          <w:p w14:paraId="3D505FFD" w14:textId="77777777" w:rsidR="00AC4953" w:rsidRPr="00C9343F" w:rsidRDefault="00AC4953" w:rsidP="00F66D98">
            <w:pPr>
              <w:pStyle w:val="BlockText-Plain"/>
            </w:pPr>
          </w:p>
        </w:tc>
        <w:tc>
          <w:tcPr>
            <w:tcW w:w="7885" w:type="dxa"/>
          </w:tcPr>
          <w:p w14:paraId="4F7F3F8E" w14:textId="77777777" w:rsidR="00AC4953" w:rsidRPr="00C9343F" w:rsidRDefault="00AC4953" w:rsidP="00F66D98">
            <w:pPr>
              <w:pStyle w:val="BlockText-Plain"/>
            </w:pPr>
            <w:r w:rsidRPr="00C9343F">
              <w:rPr>
                <w:b/>
              </w:rPr>
              <w:t>Example:</w:t>
            </w:r>
            <w:r w:rsidRPr="00C9343F">
              <w:t xml:space="preserve"> A member's dependants need to live near a children's hospital while the member's child undergoes chemotherapy. The member meets the compassionate test for every benefit that can apply and lives in a personal location where benefits are provided.</w:t>
            </w:r>
          </w:p>
        </w:tc>
      </w:tr>
      <w:tr w:rsidR="00AC4953" w:rsidRPr="00C9343F" w14:paraId="1E4C5DBD" w14:textId="77777777" w:rsidTr="00AE7EA5">
        <w:trPr>
          <w:gridAfter w:val="1"/>
          <w:wAfter w:w="7" w:type="dxa"/>
          <w:cantSplit/>
        </w:trPr>
        <w:tc>
          <w:tcPr>
            <w:tcW w:w="992" w:type="dxa"/>
          </w:tcPr>
          <w:p w14:paraId="66D7241E" w14:textId="77777777" w:rsidR="00AC4953" w:rsidRPr="00C9343F" w:rsidRDefault="00AC4953" w:rsidP="00F66D98">
            <w:pPr>
              <w:pStyle w:val="BlockText-Plain"/>
            </w:pPr>
          </w:p>
        </w:tc>
        <w:tc>
          <w:tcPr>
            <w:tcW w:w="567" w:type="dxa"/>
          </w:tcPr>
          <w:p w14:paraId="669189E2" w14:textId="77777777" w:rsidR="00AC4953" w:rsidRPr="00C9343F" w:rsidRDefault="00AC4953" w:rsidP="007114B1">
            <w:pPr>
              <w:pStyle w:val="BlockText-Plain"/>
              <w:jc w:val="center"/>
            </w:pPr>
            <w:r w:rsidRPr="00C9343F">
              <w:t>b.</w:t>
            </w:r>
          </w:p>
        </w:tc>
        <w:tc>
          <w:tcPr>
            <w:tcW w:w="7885" w:type="dxa"/>
          </w:tcPr>
          <w:p w14:paraId="78638E05" w14:textId="77777777" w:rsidR="00AC4953" w:rsidRPr="00C9343F" w:rsidRDefault="00AC4953" w:rsidP="00F66D98">
            <w:pPr>
              <w:pStyle w:val="BlockText-Plain"/>
            </w:pPr>
            <w:r w:rsidRPr="00C9343F">
              <w:t>A benefit may be expressed as not applying in relation to a member with dependants in a personal location. The member and dependants are not eligible for that benefit.</w:t>
            </w:r>
          </w:p>
        </w:tc>
      </w:tr>
      <w:tr w:rsidR="00AC4953" w:rsidRPr="00C9343F" w14:paraId="633EEA83" w14:textId="77777777" w:rsidTr="00AE7EA5">
        <w:trPr>
          <w:gridAfter w:val="1"/>
          <w:wAfter w:w="7" w:type="dxa"/>
        </w:trPr>
        <w:tc>
          <w:tcPr>
            <w:tcW w:w="992" w:type="dxa"/>
          </w:tcPr>
          <w:p w14:paraId="72B4E251" w14:textId="77777777" w:rsidR="00AC4953" w:rsidRPr="00C9343F" w:rsidRDefault="00AC4953" w:rsidP="00F66D98">
            <w:pPr>
              <w:pStyle w:val="BlockText-Plain"/>
              <w:jc w:val="center"/>
            </w:pPr>
            <w:r w:rsidRPr="00C9343F">
              <w:t>3.</w:t>
            </w:r>
          </w:p>
        </w:tc>
        <w:tc>
          <w:tcPr>
            <w:tcW w:w="8452" w:type="dxa"/>
            <w:gridSpan w:val="2"/>
          </w:tcPr>
          <w:p w14:paraId="205B2248" w14:textId="77777777" w:rsidR="00AC4953" w:rsidRPr="00C9343F" w:rsidRDefault="00AC4953" w:rsidP="00F66D98">
            <w:pPr>
              <w:pStyle w:val="BlockText-Plain"/>
            </w:pPr>
            <w:r w:rsidRPr="00C9343F">
              <w:t>A personal location may be inside or outside of Australia. A personal location outside of Australia attracts a more limited level of benefits.</w:t>
            </w:r>
          </w:p>
        </w:tc>
      </w:tr>
      <w:tr w:rsidR="00AC4953" w:rsidRPr="00C9343F" w14:paraId="7082F4EF" w14:textId="77777777" w:rsidTr="00AE7EA5">
        <w:trPr>
          <w:gridAfter w:val="1"/>
          <w:wAfter w:w="7" w:type="dxa"/>
        </w:trPr>
        <w:tc>
          <w:tcPr>
            <w:tcW w:w="992" w:type="dxa"/>
          </w:tcPr>
          <w:p w14:paraId="7FB792EE" w14:textId="77777777" w:rsidR="00AC4953" w:rsidRPr="00C9343F" w:rsidRDefault="00AC4953" w:rsidP="00F66D98">
            <w:pPr>
              <w:pStyle w:val="BlockText-Plain"/>
              <w:jc w:val="center"/>
            </w:pPr>
          </w:p>
        </w:tc>
        <w:tc>
          <w:tcPr>
            <w:tcW w:w="8452" w:type="dxa"/>
            <w:gridSpan w:val="2"/>
          </w:tcPr>
          <w:p w14:paraId="408CB184" w14:textId="77777777" w:rsidR="00AC4953" w:rsidRPr="00C9343F" w:rsidRDefault="00AC4953" w:rsidP="00F66D98">
            <w:pPr>
              <w:pStyle w:val="BlockTextArial"/>
              <w:spacing w:before="0"/>
              <w:rPr>
                <w:i/>
                <w:sz w:val="20"/>
              </w:rPr>
            </w:pPr>
            <w:r w:rsidRPr="00C9343F">
              <w:rPr>
                <w:b/>
                <w:sz w:val="20"/>
              </w:rPr>
              <w:t>Related Information:</w:t>
            </w:r>
            <w:r w:rsidRPr="00C9343F">
              <w:rPr>
                <w:sz w:val="20"/>
              </w:rPr>
              <w:t xml:space="preserve"> Chapter 8 Part 3, Member with dependants (unaccompanied) summary has more information about removal and housing for members in different situations.</w:t>
            </w:r>
          </w:p>
        </w:tc>
      </w:tr>
    </w:tbl>
    <w:p w14:paraId="6AFB68D0" w14:textId="61B45348" w:rsidR="00AF060B" w:rsidRPr="00C9343F" w:rsidRDefault="00AF060B" w:rsidP="00F66D98">
      <w:pPr>
        <w:pStyle w:val="Heading5"/>
      </w:pPr>
      <w:bookmarkStart w:id="132" w:name="_Toc105053533"/>
      <w:r w:rsidRPr="00C9343F">
        <w:t>1.3.5</w:t>
      </w:r>
      <w:r w:rsidR="001B149A" w:rsidRPr="00C9343F">
        <w:t>5</w:t>
      </w:r>
      <w:r w:rsidR="00D94006" w:rsidRPr="00C9343F">
        <w:t>    </w:t>
      </w:r>
      <w:r w:rsidRPr="00C9343F">
        <w:t>Posting location – within Australia</w:t>
      </w:r>
      <w:bookmarkEnd w:id="132"/>
    </w:p>
    <w:tbl>
      <w:tblPr>
        <w:tblW w:w="9359" w:type="dxa"/>
        <w:tblInd w:w="113" w:type="dxa"/>
        <w:tblLayout w:type="fixed"/>
        <w:tblLook w:val="0000" w:firstRow="0" w:lastRow="0" w:firstColumn="0" w:lastColumn="0" w:noHBand="0" w:noVBand="0"/>
      </w:tblPr>
      <w:tblGrid>
        <w:gridCol w:w="992"/>
        <w:gridCol w:w="567"/>
        <w:gridCol w:w="567"/>
        <w:gridCol w:w="7233"/>
      </w:tblGrid>
      <w:tr w:rsidR="00AF060B" w:rsidRPr="00C9343F" w14:paraId="0FB4CB8F" w14:textId="77777777" w:rsidTr="00212194">
        <w:tc>
          <w:tcPr>
            <w:tcW w:w="992" w:type="dxa"/>
          </w:tcPr>
          <w:p w14:paraId="49F0D44B" w14:textId="77777777" w:rsidR="00AF060B" w:rsidRPr="00C9343F" w:rsidRDefault="00AF060B" w:rsidP="00F66D98">
            <w:pPr>
              <w:pStyle w:val="BlockText-Plain"/>
              <w:jc w:val="center"/>
            </w:pPr>
            <w:r w:rsidRPr="00C9343F">
              <w:t>1.</w:t>
            </w:r>
          </w:p>
        </w:tc>
        <w:tc>
          <w:tcPr>
            <w:tcW w:w="8367" w:type="dxa"/>
            <w:gridSpan w:val="3"/>
          </w:tcPr>
          <w:p w14:paraId="370D2E45" w14:textId="77777777" w:rsidR="00AF060B" w:rsidRPr="00C9343F" w:rsidRDefault="00AF060B" w:rsidP="00F66D98">
            <w:pPr>
              <w:pStyle w:val="BlockText-Plain"/>
            </w:pPr>
            <w:r w:rsidRPr="00C9343F">
              <w:t>For service within Australia, posting location means an area surrounding a member's normal place of duty. It must be one of these areas.</w:t>
            </w:r>
          </w:p>
        </w:tc>
      </w:tr>
      <w:tr w:rsidR="00AF060B" w:rsidRPr="00C9343F" w14:paraId="5999186B" w14:textId="77777777" w:rsidTr="00212194">
        <w:trPr>
          <w:cantSplit/>
        </w:trPr>
        <w:tc>
          <w:tcPr>
            <w:tcW w:w="992" w:type="dxa"/>
          </w:tcPr>
          <w:p w14:paraId="25F1F329" w14:textId="77777777" w:rsidR="00AF060B" w:rsidRPr="00C9343F" w:rsidRDefault="00AF060B" w:rsidP="00F66D98">
            <w:pPr>
              <w:pStyle w:val="BlockText-Plain"/>
            </w:pPr>
          </w:p>
        </w:tc>
        <w:tc>
          <w:tcPr>
            <w:tcW w:w="567" w:type="dxa"/>
          </w:tcPr>
          <w:p w14:paraId="4E0A26F0" w14:textId="77777777" w:rsidR="00AF060B" w:rsidRPr="00C9343F" w:rsidRDefault="00AF060B" w:rsidP="007114B1">
            <w:pPr>
              <w:pStyle w:val="BlockText-Plain"/>
              <w:jc w:val="center"/>
            </w:pPr>
            <w:r w:rsidRPr="00C9343F">
              <w:t>a.</w:t>
            </w:r>
          </w:p>
        </w:tc>
        <w:tc>
          <w:tcPr>
            <w:tcW w:w="7800" w:type="dxa"/>
            <w:gridSpan w:val="2"/>
          </w:tcPr>
          <w:p w14:paraId="7684A41E" w14:textId="77777777" w:rsidR="00AF060B" w:rsidRPr="00C9343F" w:rsidRDefault="00AF060B" w:rsidP="00F66D98">
            <w:pPr>
              <w:pStyle w:val="BlockText-Plain"/>
            </w:pPr>
            <w:r w:rsidRPr="00C9343F">
              <w:t>An area defined by the distance the member can travel from their usual residence to their normal place of duty and back, door to door. The distance is the greater of these two distances.</w:t>
            </w:r>
          </w:p>
        </w:tc>
      </w:tr>
      <w:tr w:rsidR="00AF060B" w:rsidRPr="00C9343F" w14:paraId="1A70B888" w14:textId="77777777" w:rsidTr="00212194">
        <w:trPr>
          <w:cantSplit/>
        </w:trPr>
        <w:tc>
          <w:tcPr>
            <w:tcW w:w="1559" w:type="dxa"/>
            <w:gridSpan w:val="2"/>
          </w:tcPr>
          <w:p w14:paraId="614AB515" w14:textId="77777777" w:rsidR="00AF060B" w:rsidRPr="00C9343F" w:rsidRDefault="00AF060B" w:rsidP="00F66D98">
            <w:pPr>
              <w:pStyle w:val="BlockText-Plain"/>
            </w:pPr>
          </w:p>
        </w:tc>
        <w:tc>
          <w:tcPr>
            <w:tcW w:w="567" w:type="dxa"/>
          </w:tcPr>
          <w:p w14:paraId="0A11DC45" w14:textId="77777777" w:rsidR="00AF060B" w:rsidRPr="00C9343F" w:rsidRDefault="00AF060B" w:rsidP="007114B1">
            <w:pPr>
              <w:pStyle w:val="BlockText-Plain"/>
              <w:jc w:val="both"/>
            </w:pPr>
            <w:r w:rsidRPr="00C9343F">
              <w:t>i.</w:t>
            </w:r>
          </w:p>
        </w:tc>
        <w:tc>
          <w:tcPr>
            <w:tcW w:w="7233" w:type="dxa"/>
          </w:tcPr>
          <w:p w14:paraId="6A3BFD49" w14:textId="77777777" w:rsidR="00AF060B" w:rsidRPr="00C9343F" w:rsidRDefault="00AF060B" w:rsidP="00F66D98">
            <w:pPr>
              <w:pStyle w:val="BlockText-Plain"/>
            </w:pPr>
            <w:r w:rsidRPr="00C9343F">
              <w:t>How far the member can travel in 150 minutes by the most appropriate and efficient means of public transport available during their normal hours of duty.</w:t>
            </w:r>
          </w:p>
        </w:tc>
      </w:tr>
      <w:tr w:rsidR="00AF060B" w:rsidRPr="00C9343F" w14:paraId="11608D03" w14:textId="77777777" w:rsidTr="00212194">
        <w:trPr>
          <w:cantSplit/>
        </w:trPr>
        <w:tc>
          <w:tcPr>
            <w:tcW w:w="1559" w:type="dxa"/>
            <w:gridSpan w:val="2"/>
          </w:tcPr>
          <w:p w14:paraId="7163F92B" w14:textId="77777777" w:rsidR="00AF060B" w:rsidRPr="00C9343F" w:rsidRDefault="00AF060B" w:rsidP="00F66D98">
            <w:pPr>
              <w:pStyle w:val="BlockText-Plain"/>
            </w:pPr>
          </w:p>
        </w:tc>
        <w:tc>
          <w:tcPr>
            <w:tcW w:w="567" w:type="dxa"/>
          </w:tcPr>
          <w:p w14:paraId="235AD691" w14:textId="77777777" w:rsidR="00AF060B" w:rsidRPr="00C9343F" w:rsidRDefault="00AF060B" w:rsidP="007114B1">
            <w:pPr>
              <w:pStyle w:val="BlockText-Plain"/>
              <w:jc w:val="both"/>
            </w:pPr>
            <w:r w:rsidRPr="00C9343F">
              <w:t>ii.</w:t>
            </w:r>
          </w:p>
        </w:tc>
        <w:tc>
          <w:tcPr>
            <w:tcW w:w="7233" w:type="dxa"/>
          </w:tcPr>
          <w:p w14:paraId="6EE63A89" w14:textId="77777777" w:rsidR="00AF060B" w:rsidRPr="00C9343F" w:rsidRDefault="00334328" w:rsidP="00F66D98">
            <w:pPr>
              <w:pStyle w:val="BlockText-Plain"/>
            </w:pPr>
            <w:r w:rsidRPr="00C9343F">
              <w:t>30 km each way on the most direct route by public road.</w:t>
            </w:r>
          </w:p>
        </w:tc>
      </w:tr>
      <w:tr w:rsidR="00334328" w:rsidRPr="00C9343F" w14:paraId="4DAC478D" w14:textId="77777777" w:rsidTr="00212194">
        <w:trPr>
          <w:cantSplit/>
        </w:trPr>
        <w:tc>
          <w:tcPr>
            <w:tcW w:w="1559" w:type="dxa"/>
            <w:gridSpan w:val="2"/>
          </w:tcPr>
          <w:p w14:paraId="400E6DA7" w14:textId="77777777" w:rsidR="00334328" w:rsidRPr="00C9343F" w:rsidRDefault="00334328" w:rsidP="00F66D98">
            <w:pPr>
              <w:pStyle w:val="BlockText-Plain"/>
            </w:pPr>
          </w:p>
        </w:tc>
        <w:tc>
          <w:tcPr>
            <w:tcW w:w="567" w:type="dxa"/>
          </w:tcPr>
          <w:p w14:paraId="0491770A" w14:textId="77777777" w:rsidR="00334328" w:rsidRPr="00C9343F" w:rsidRDefault="00334328" w:rsidP="00F66D98">
            <w:pPr>
              <w:pStyle w:val="BlockText-Plain"/>
              <w:jc w:val="center"/>
            </w:pPr>
          </w:p>
        </w:tc>
        <w:tc>
          <w:tcPr>
            <w:tcW w:w="7233" w:type="dxa"/>
          </w:tcPr>
          <w:p w14:paraId="5B90662A" w14:textId="77777777" w:rsidR="00334328" w:rsidRPr="00C9343F" w:rsidRDefault="00334328" w:rsidP="00F66D98">
            <w:pPr>
              <w:pStyle w:val="BlockText-Plain"/>
            </w:pPr>
            <w:r w:rsidRPr="00C9343F">
              <w:rPr>
                <w:b/>
              </w:rPr>
              <w:t xml:space="preserve">Notes: </w:t>
            </w:r>
            <w:r w:rsidRPr="00C9343F">
              <w:rPr>
                <w:b/>
              </w:rPr>
              <w:br/>
            </w:r>
            <w:r w:rsidRPr="00C9343F">
              <w:t>1. This may not necessarily be the quickest route to travel.</w:t>
            </w:r>
            <w:r w:rsidRPr="00C9343F">
              <w:br/>
              <w:t xml:space="preserve">2. This subparagraph displaces the general principle in section 35 of the </w:t>
            </w:r>
            <w:r w:rsidRPr="00C9343F">
              <w:rPr>
                <w:i/>
              </w:rPr>
              <w:t>Acts Interpretation Act 1901</w:t>
            </w:r>
            <w:r w:rsidRPr="00C9343F">
              <w:t>.</w:t>
            </w:r>
          </w:p>
        </w:tc>
      </w:tr>
      <w:tr w:rsidR="00AF060B" w:rsidRPr="00C9343F" w14:paraId="2B9EC0D8" w14:textId="77777777" w:rsidTr="00212194">
        <w:trPr>
          <w:cantSplit/>
        </w:trPr>
        <w:tc>
          <w:tcPr>
            <w:tcW w:w="992" w:type="dxa"/>
          </w:tcPr>
          <w:p w14:paraId="6541D472" w14:textId="77777777" w:rsidR="00AF060B" w:rsidRPr="00C9343F" w:rsidRDefault="00AF060B" w:rsidP="00F66D98">
            <w:pPr>
              <w:pStyle w:val="BlockText-Plain"/>
            </w:pPr>
          </w:p>
        </w:tc>
        <w:tc>
          <w:tcPr>
            <w:tcW w:w="567" w:type="dxa"/>
          </w:tcPr>
          <w:p w14:paraId="29800CA8" w14:textId="77777777" w:rsidR="00AF060B" w:rsidRPr="00C9343F" w:rsidRDefault="00AF060B" w:rsidP="007114B1">
            <w:pPr>
              <w:pStyle w:val="BlockText-Plain"/>
              <w:jc w:val="center"/>
            </w:pPr>
            <w:r w:rsidRPr="00C9343F">
              <w:t>b.</w:t>
            </w:r>
          </w:p>
        </w:tc>
        <w:tc>
          <w:tcPr>
            <w:tcW w:w="7800" w:type="dxa"/>
            <w:gridSpan w:val="2"/>
          </w:tcPr>
          <w:p w14:paraId="30724A72" w14:textId="77777777" w:rsidR="00AF060B" w:rsidRPr="00C9343F" w:rsidRDefault="00AF060B" w:rsidP="00F66D98">
            <w:pPr>
              <w:pStyle w:val="BlockText-Plain"/>
            </w:pPr>
            <w:r w:rsidRPr="00C9343F">
              <w:t>An area greater than the area described in paragraph a. that the member proposes and the CDF approves. Approval may only be given if the CDF is satisfied that both these criteria are met.</w:t>
            </w:r>
          </w:p>
        </w:tc>
      </w:tr>
      <w:tr w:rsidR="00AF060B" w:rsidRPr="00C9343F" w14:paraId="58360DF4" w14:textId="77777777" w:rsidTr="00212194">
        <w:trPr>
          <w:cantSplit/>
        </w:trPr>
        <w:tc>
          <w:tcPr>
            <w:tcW w:w="1559" w:type="dxa"/>
            <w:gridSpan w:val="2"/>
          </w:tcPr>
          <w:p w14:paraId="0458F89D" w14:textId="77777777" w:rsidR="00AF060B" w:rsidRPr="00C9343F" w:rsidRDefault="00AF060B" w:rsidP="00F66D98">
            <w:pPr>
              <w:pStyle w:val="BlockText-Plain"/>
            </w:pPr>
          </w:p>
        </w:tc>
        <w:tc>
          <w:tcPr>
            <w:tcW w:w="567" w:type="dxa"/>
          </w:tcPr>
          <w:p w14:paraId="64463FDA" w14:textId="77777777" w:rsidR="00AF060B" w:rsidRPr="00C9343F" w:rsidRDefault="00AF060B" w:rsidP="007114B1">
            <w:pPr>
              <w:pStyle w:val="BlockText-Plain"/>
              <w:jc w:val="both"/>
            </w:pPr>
            <w:r w:rsidRPr="00C9343F">
              <w:t>i.</w:t>
            </w:r>
          </w:p>
        </w:tc>
        <w:tc>
          <w:tcPr>
            <w:tcW w:w="7233" w:type="dxa"/>
          </w:tcPr>
          <w:p w14:paraId="760C7D76" w14:textId="77777777" w:rsidR="00AF060B" w:rsidRPr="00C9343F" w:rsidRDefault="00AF060B" w:rsidP="00F66D98">
            <w:pPr>
              <w:pStyle w:val="BlockText-Plain"/>
            </w:pPr>
            <w:r w:rsidRPr="00C9343F">
              <w:t>The member’s daily attendance for duty would not be affected by any additional travelling time.</w:t>
            </w:r>
          </w:p>
        </w:tc>
      </w:tr>
      <w:tr w:rsidR="00AF060B" w:rsidRPr="00C9343F" w14:paraId="249BA095" w14:textId="77777777" w:rsidTr="00212194">
        <w:trPr>
          <w:cantSplit/>
        </w:trPr>
        <w:tc>
          <w:tcPr>
            <w:tcW w:w="1559" w:type="dxa"/>
            <w:gridSpan w:val="2"/>
          </w:tcPr>
          <w:p w14:paraId="2CC22DAC" w14:textId="77777777" w:rsidR="00AF060B" w:rsidRPr="00C9343F" w:rsidRDefault="00AF060B" w:rsidP="00F66D98">
            <w:pPr>
              <w:pStyle w:val="BlockText-Plain"/>
            </w:pPr>
          </w:p>
        </w:tc>
        <w:tc>
          <w:tcPr>
            <w:tcW w:w="567" w:type="dxa"/>
          </w:tcPr>
          <w:p w14:paraId="305EE5C5" w14:textId="77777777" w:rsidR="00AF060B" w:rsidRPr="00C9343F" w:rsidRDefault="00AF060B" w:rsidP="007114B1">
            <w:pPr>
              <w:pStyle w:val="BlockText-Plain"/>
              <w:jc w:val="both"/>
            </w:pPr>
            <w:r w:rsidRPr="00C9343F">
              <w:t>ii.</w:t>
            </w:r>
          </w:p>
        </w:tc>
        <w:tc>
          <w:tcPr>
            <w:tcW w:w="7233" w:type="dxa"/>
          </w:tcPr>
          <w:p w14:paraId="43A17894" w14:textId="77777777" w:rsidR="00AF060B" w:rsidRPr="00C9343F" w:rsidRDefault="00AF060B" w:rsidP="00F66D98">
            <w:pPr>
              <w:pStyle w:val="BlockText-Plain"/>
            </w:pPr>
            <w:r w:rsidRPr="00C9343F">
              <w:t>The member commutes daily to their normal place of duty.</w:t>
            </w:r>
          </w:p>
        </w:tc>
      </w:tr>
      <w:tr w:rsidR="00AF060B" w:rsidRPr="00C9343F" w14:paraId="3FA3F48A" w14:textId="77777777" w:rsidTr="00212194">
        <w:trPr>
          <w:cantSplit/>
        </w:trPr>
        <w:tc>
          <w:tcPr>
            <w:tcW w:w="992" w:type="dxa"/>
          </w:tcPr>
          <w:p w14:paraId="016C2D4E" w14:textId="77777777" w:rsidR="00AF060B" w:rsidRPr="00C9343F" w:rsidRDefault="00AF060B" w:rsidP="00F66D98">
            <w:pPr>
              <w:pStyle w:val="BlockText-Plain"/>
            </w:pPr>
          </w:p>
        </w:tc>
        <w:tc>
          <w:tcPr>
            <w:tcW w:w="567" w:type="dxa"/>
          </w:tcPr>
          <w:p w14:paraId="2E12AD27" w14:textId="77777777" w:rsidR="00AF060B" w:rsidRPr="00C9343F" w:rsidRDefault="00AF060B" w:rsidP="007114B1">
            <w:pPr>
              <w:pStyle w:val="BlockText-Plain"/>
              <w:jc w:val="center"/>
            </w:pPr>
            <w:r w:rsidRPr="00C9343F">
              <w:t>c.</w:t>
            </w:r>
          </w:p>
        </w:tc>
        <w:tc>
          <w:tcPr>
            <w:tcW w:w="7800" w:type="dxa"/>
            <w:gridSpan w:val="2"/>
          </w:tcPr>
          <w:p w14:paraId="1D898444" w14:textId="77777777" w:rsidR="00AF060B" w:rsidRPr="00C9343F" w:rsidRDefault="008C2EFC" w:rsidP="00F66D98">
            <w:pPr>
              <w:pStyle w:val="BlockText-Plain"/>
              <w:rPr>
                <w:b/>
              </w:rPr>
            </w:pPr>
            <w:r w:rsidRPr="00C9343F">
              <w:t xml:space="preserve">Any greater area in which a Service residence is located, if the Service residence is made available for members serving at the member's normal place of duty.  </w:t>
            </w:r>
          </w:p>
        </w:tc>
      </w:tr>
      <w:tr w:rsidR="00212194" w:rsidRPr="00C9343F" w14:paraId="04EBD3A8" w14:textId="77777777" w:rsidTr="00212194">
        <w:trPr>
          <w:cantSplit/>
        </w:trPr>
        <w:tc>
          <w:tcPr>
            <w:tcW w:w="992" w:type="dxa"/>
          </w:tcPr>
          <w:p w14:paraId="0FE92D70" w14:textId="77777777" w:rsidR="00212194" w:rsidRPr="00C9343F" w:rsidRDefault="00212194" w:rsidP="00212194">
            <w:pPr>
              <w:pStyle w:val="BlockText-Plain"/>
            </w:pPr>
          </w:p>
        </w:tc>
        <w:tc>
          <w:tcPr>
            <w:tcW w:w="567" w:type="dxa"/>
          </w:tcPr>
          <w:p w14:paraId="7F80CEA4" w14:textId="34FF45AB" w:rsidR="00212194" w:rsidRPr="00C9343F" w:rsidRDefault="00212194" w:rsidP="007114B1">
            <w:pPr>
              <w:pStyle w:val="BlockText-Plain"/>
              <w:jc w:val="center"/>
            </w:pPr>
            <w:r w:rsidRPr="00C9343F">
              <w:rPr>
                <w:rFonts w:cs="Arial"/>
                <w:lang w:eastAsia="en-US"/>
              </w:rPr>
              <w:t>d.</w:t>
            </w:r>
          </w:p>
        </w:tc>
        <w:tc>
          <w:tcPr>
            <w:tcW w:w="7800" w:type="dxa"/>
            <w:gridSpan w:val="2"/>
          </w:tcPr>
          <w:p w14:paraId="71C3F06F" w14:textId="3BC1EE11" w:rsidR="00212194" w:rsidRPr="00C9343F" w:rsidRDefault="00212194" w:rsidP="00212194">
            <w:pPr>
              <w:pStyle w:val="BlockText-Plain"/>
            </w:pPr>
            <w:r w:rsidRPr="00C9343F">
              <w:t>An area under paragraph a. that has been extended for the purposes of any of the following.</w:t>
            </w:r>
          </w:p>
        </w:tc>
      </w:tr>
      <w:tr w:rsidR="00212194" w:rsidRPr="00C9343F" w14:paraId="0420A937" w14:textId="77777777" w:rsidTr="00212194">
        <w:trPr>
          <w:cantSplit/>
        </w:trPr>
        <w:tc>
          <w:tcPr>
            <w:tcW w:w="992" w:type="dxa"/>
          </w:tcPr>
          <w:p w14:paraId="70C7F0E1" w14:textId="77777777" w:rsidR="00212194" w:rsidRPr="00C9343F" w:rsidRDefault="00212194" w:rsidP="00212194">
            <w:pPr>
              <w:pStyle w:val="BlockText-Plain"/>
            </w:pPr>
          </w:p>
        </w:tc>
        <w:tc>
          <w:tcPr>
            <w:tcW w:w="567" w:type="dxa"/>
          </w:tcPr>
          <w:p w14:paraId="4170DAC1" w14:textId="77777777" w:rsidR="00212194" w:rsidRPr="00C9343F" w:rsidRDefault="00212194" w:rsidP="00212194">
            <w:pPr>
              <w:pStyle w:val="BlockText-Plain"/>
            </w:pPr>
          </w:p>
        </w:tc>
        <w:tc>
          <w:tcPr>
            <w:tcW w:w="567" w:type="dxa"/>
          </w:tcPr>
          <w:p w14:paraId="3F6C8FFF" w14:textId="277EB79F" w:rsidR="00212194" w:rsidRPr="00C9343F" w:rsidRDefault="00212194" w:rsidP="007114B1">
            <w:pPr>
              <w:pStyle w:val="BlockText-Plain"/>
              <w:jc w:val="both"/>
              <w:rPr>
                <w:iCs/>
              </w:rPr>
            </w:pPr>
            <w:r w:rsidRPr="00C9343F">
              <w:rPr>
                <w:rFonts w:cs="Arial"/>
                <w:iCs/>
                <w:lang w:eastAsia="en-US"/>
              </w:rPr>
              <w:t>i.</w:t>
            </w:r>
          </w:p>
        </w:tc>
        <w:tc>
          <w:tcPr>
            <w:tcW w:w="7233" w:type="dxa"/>
          </w:tcPr>
          <w:p w14:paraId="435715DE" w14:textId="77777777" w:rsidR="00212194" w:rsidRPr="00C9343F" w:rsidRDefault="00212194" w:rsidP="00212194">
            <w:pPr>
              <w:pStyle w:val="Sectiontext0"/>
            </w:pPr>
            <w:r w:rsidRPr="00C9343F">
              <w:t>The Puckapunyal housing trial under section 7.1.16A.</w:t>
            </w:r>
          </w:p>
          <w:p w14:paraId="2184F110" w14:textId="7EEECDF2" w:rsidR="00212194" w:rsidRPr="00C9343F" w:rsidRDefault="00212194" w:rsidP="00212194">
            <w:pPr>
              <w:pStyle w:val="BlockText-Plain"/>
              <w:rPr>
                <w:iCs/>
              </w:rPr>
            </w:pPr>
            <w:r w:rsidRPr="00C9343F">
              <w:rPr>
                <w:b/>
              </w:rPr>
              <w:t>Note:</w:t>
            </w:r>
            <w:r w:rsidRPr="00C9343F">
              <w:t xml:space="preserve"> The basis for extending the posting location for a member in the Puckapunyal housing trial is provided in section 7.1.16A.</w:t>
            </w:r>
          </w:p>
        </w:tc>
      </w:tr>
      <w:tr w:rsidR="00212194" w:rsidRPr="00C9343F" w14:paraId="2FD35ED4" w14:textId="77777777" w:rsidTr="00212194">
        <w:trPr>
          <w:cantSplit/>
        </w:trPr>
        <w:tc>
          <w:tcPr>
            <w:tcW w:w="992" w:type="dxa"/>
          </w:tcPr>
          <w:p w14:paraId="22DFE352" w14:textId="77777777" w:rsidR="00212194" w:rsidRPr="00C9343F" w:rsidRDefault="00212194" w:rsidP="00212194">
            <w:pPr>
              <w:pStyle w:val="BlockText-Plain"/>
            </w:pPr>
          </w:p>
        </w:tc>
        <w:tc>
          <w:tcPr>
            <w:tcW w:w="567" w:type="dxa"/>
          </w:tcPr>
          <w:p w14:paraId="022076D1" w14:textId="77777777" w:rsidR="00212194" w:rsidRPr="00C9343F" w:rsidRDefault="00212194" w:rsidP="00212194">
            <w:pPr>
              <w:pStyle w:val="BlockText-Plain"/>
            </w:pPr>
          </w:p>
        </w:tc>
        <w:tc>
          <w:tcPr>
            <w:tcW w:w="567" w:type="dxa"/>
          </w:tcPr>
          <w:p w14:paraId="327AE1FB" w14:textId="2A5FB720" w:rsidR="00212194" w:rsidRPr="00C9343F" w:rsidRDefault="00212194" w:rsidP="007114B1">
            <w:pPr>
              <w:pStyle w:val="BlockText-Plain"/>
              <w:jc w:val="both"/>
              <w:rPr>
                <w:iCs/>
              </w:rPr>
            </w:pPr>
            <w:r w:rsidRPr="00C9343F">
              <w:rPr>
                <w:rFonts w:cs="Arial"/>
                <w:iCs/>
                <w:lang w:eastAsia="en-US"/>
              </w:rPr>
              <w:t>ii.</w:t>
            </w:r>
          </w:p>
        </w:tc>
        <w:tc>
          <w:tcPr>
            <w:tcW w:w="7233" w:type="dxa"/>
          </w:tcPr>
          <w:p w14:paraId="350103FE" w14:textId="77777777" w:rsidR="00212194" w:rsidRPr="00C9343F" w:rsidRDefault="00212194" w:rsidP="00212194">
            <w:pPr>
              <w:pStyle w:val="Sectiontext0"/>
              <w:rPr>
                <w:b/>
              </w:rPr>
            </w:pPr>
            <w:r w:rsidRPr="00C9343F">
              <w:t>The flexible housing trial under section 7.1.16B.</w:t>
            </w:r>
            <w:r w:rsidRPr="00C9343F">
              <w:rPr>
                <w:b/>
              </w:rPr>
              <w:t xml:space="preserve"> </w:t>
            </w:r>
          </w:p>
          <w:p w14:paraId="2F3C1A8D" w14:textId="0302F80D" w:rsidR="00212194" w:rsidRPr="00C9343F" w:rsidRDefault="00212194" w:rsidP="00212194">
            <w:pPr>
              <w:pStyle w:val="BlockText-Plain"/>
              <w:rPr>
                <w:iCs/>
              </w:rPr>
            </w:pPr>
            <w:r w:rsidRPr="00C9343F">
              <w:rPr>
                <w:b/>
              </w:rPr>
              <w:t>Note:</w:t>
            </w:r>
            <w:r w:rsidRPr="00C9343F">
              <w:t xml:space="preserve"> The basis for extending the posting location for a member in the flexible housing trial is provided in section 7.1.16B.</w:t>
            </w:r>
          </w:p>
        </w:tc>
      </w:tr>
      <w:tr w:rsidR="00F45CB5" w:rsidRPr="00C9343F" w14:paraId="4968550B" w14:textId="77777777" w:rsidTr="00EA43BE">
        <w:trPr>
          <w:cantSplit/>
        </w:trPr>
        <w:tc>
          <w:tcPr>
            <w:tcW w:w="992" w:type="dxa"/>
          </w:tcPr>
          <w:p w14:paraId="15B0BD7F" w14:textId="77777777" w:rsidR="00F45CB5" w:rsidRPr="00C9343F" w:rsidRDefault="00F45CB5" w:rsidP="00212194">
            <w:pPr>
              <w:pStyle w:val="BlockText-Plain"/>
            </w:pPr>
          </w:p>
        </w:tc>
        <w:tc>
          <w:tcPr>
            <w:tcW w:w="8367" w:type="dxa"/>
            <w:gridSpan w:val="3"/>
          </w:tcPr>
          <w:p w14:paraId="68FCE84A" w14:textId="23BDA684" w:rsidR="00F45CB5" w:rsidRPr="00C9343F" w:rsidRDefault="00F45CB5" w:rsidP="00212194">
            <w:pPr>
              <w:pStyle w:val="Sectiontext0"/>
            </w:pPr>
            <w:r w:rsidRPr="00C9343F">
              <w:rPr>
                <w:b/>
                <w:iCs/>
              </w:rPr>
              <w:t>Note:</w:t>
            </w:r>
            <w:r w:rsidRPr="00C9343F">
              <w:rPr>
                <w:iCs/>
              </w:rPr>
              <w:t xml:space="preserve"> Posting location </w:t>
            </w:r>
            <w:r w:rsidRPr="00C9343F">
              <w:t>for a member on a long-term posting overseas</w:t>
            </w:r>
            <w:r w:rsidRPr="00C9343F">
              <w:rPr>
                <w:iCs/>
              </w:rPr>
              <w:t xml:space="preserve"> is defined at section 12.3.1.</w:t>
            </w:r>
          </w:p>
        </w:tc>
      </w:tr>
      <w:tr w:rsidR="00AF060B" w:rsidRPr="00C9343F" w14:paraId="128C5710" w14:textId="77777777" w:rsidTr="00212194">
        <w:tc>
          <w:tcPr>
            <w:tcW w:w="992" w:type="dxa"/>
          </w:tcPr>
          <w:p w14:paraId="662374EC" w14:textId="77777777" w:rsidR="00AF060B" w:rsidRPr="00C9343F" w:rsidRDefault="00AF060B" w:rsidP="00F66D98">
            <w:pPr>
              <w:pStyle w:val="BlockText-Plain"/>
              <w:jc w:val="center"/>
            </w:pPr>
            <w:r w:rsidRPr="00C9343F">
              <w:t>2.</w:t>
            </w:r>
          </w:p>
        </w:tc>
        <w:tc>
          <w:tcPr>
            <w:tcW w:w="8367" w:type="dxa"/>
            <w:gridSpan w:val="3"/>
          </w:tcPr>
          <w:p w14:paraId="794977F8" w14:textId="77777777" w:rsidR="00AF060B" w:rsidRPr="00C9343F" w:rsidRDefault="00AF060B" w:rsidP="00F66D98">
            <w:pPr>
              <w:pStyle w:val="BlockText-Plain"/>
            </w:pPr>
            <w:r w:rsidRPr="00C9343F">
              <w:t>This sub</w:t>
            </w:r>
            <w:r w:rsidR="00580C86" w:rsidRPr="00C9343F">
              <w:t>section</w:t>
            </w:r>
            <w:r w:rsidRPr="00C9343F">
              <w:t xml:space="preserve"> applies to a </w:t>
            </w:r>
            <w:r w:rsidR="00FD646E" w:rsidRPr="00C9343F">
              <w:t>member with dependants (unaccompanied)</w:t>
            </w:r>
            <w:r w:rsidRPr="00C9343F">
              <w:t xml:space="preserve"> or a member who is posted to a seagoing ship. Their posting location includes a location that their dependants live in.</w:t>
            </w:r>
          </w:p>
        </w:tc>
      </w:tr>
      <w:tr w:rsidR="00AF060B" w:rsidRPr="00C9343F" w14:paraId="6B557972" w14:textId="77777777" w:rsidTr="00212194">
        <w:tc>
          <w:tcPr>
            <w:tcW w:w="992" w:type="dxa"/>
          </w:tcPr>
          <w:p w14:paraId="2CF4BEEE" w14:textId="77777777" w:rsidR="00AF060B" w:rsidRPr="00C9343F" w:rsidRDefault="00AF060B" w:rsidP="00F66D98">
            <w:pPr>
              <w:pStyle w:val="BlockText-Plain"/>
              <w:jc w:val="center"/>
            </w:pPr>
          </w:p>
        </w:tc>
        <w:tc>
          <w:tcPr>
            <w:tcW w:w="8367" w:type="dxa"/>
            <w:gridSpan w:val="3"/>
          </w:tcPr>
          <w:p w14:paraId="444D7A31" w14:textId="77777777" w:rsidR="00AF060B" w:rsidRPr="00C9343F" w:rsidRDefault="00AF060B" w:rsidP="00F66D98">
            <w:pPr>
              <w:pStyle w:val="BlockText-Plain"/>
            </w:pPr>
            <w:r w:rsidRPr="00C9343F">
              <w:rPr>
                <w:b/>
              </w:rPr>
              <w:t>See also:</w:t>
            </w:r>
            <w:r w:rsidRPr="00C9343F">
              <w:t xml:space="preserve"> </w:t>
            </w:r>
            <w:r w:rsidR="00580C86" w:rsidRPr="00C9343F">
              <w:t>Section</w:t>
            </w:r>
            <w:r w:rsidRPr="00C9343F">
              <w:t xml:space="preserve"> 1.3.3</w:t>
            </w:r>
            <w:r w:rsidR="00B95409" w:rsidRPr="00C9343F">
              <w:t>5</w:t>
            </w:r>
            <w:r w:rsidRPr="00C9343F">
              <w:t>, Location of residence – within Australia</w:t>
            </w:r>
          </w:p>
        </w:tc>
      </w:tr>
      <w:tr w:rsidR="001B149A" w:rsidRPr="00C9343F" w14:paraId="35F058F7" w14:textId="77777777" w:rsidTr="00212194">
        <w:tc>
          <w:tcPr>
            <w:tcW w:w="992" w:type="dxa"/>
          </w:tcPr>
          <w:p w14:paraId="49210DD7" w14:textId="77777777" w:rsidR="001B149A" w:rsidRPr="00C9343F" w:rsidRDefault="001B149A" w:rsidP="00F66D98">
            <w:pPr>
              <w:pStyle w:val="BlockText-Plain"/>
              <w:jc w:val="center"/>
            </w:pPr>
          </w:p>
        </w:tc>
        <w:tc>
          <w:tcPr>
            <w:tcW w:w="8367" w:type="dxa"/>
            <w:gridSpan w:val="3"/>
          </w:tcPr>
          <w:p w14:paraId="141CBBAA" w14:textId="77777777" w:rsidR="001B149A" w:rsidRPr="00C9343F" w:rsidRDefault="001B149A" w:rsidP="00F66D98">
            <w:pPr>
              <w:pStyle w:val="BlockText-Plain"/>
              <w:spacing w:after="0"/>
              <w:rPr>
                <w:b/>
              </w:rPr>
            </w:pPr>
            <w:r w:rsidRPr="00C9343F">
              <w:rPr>
                <w:b/>
              </w:rPr>
              <w:t xml:space="preserve">Related Information: </w:t>
            </w:r>
          </w:p>
          <w:p w14:paraId="2D5811F8" w14:textId="77777777" w:rsidR="001B149A" w:rsidRPr="00C9343F" w:rsidRDefault="001B149A" w:rsidP="00F66D98">
            <w:pPr>
              <w:pStyle w:val="BlockText-Plain"/>
            </w:pPr>
            <w:r w:rsidRPr="00C9343F">
              <w:t xml:space="preserve">While this definition sets the posting location for most benefits, some members may get benefits based on other locations. </w:t>
            </w:r>
          </w:p>
          <w:p w14:paraId="26B62D30" w14:textId="77777777" w:rsidR="001B149A" w:rsidRPr="00C9343F" w:rsidRDefault="001B149A" w:rsidP="00F66D98">
            <w:pPr>
              <w:pStyle w:val="BlockText-Plain"/>
              <w:rPr>
                <w:b/>
              </w:rPr>
            </w:pPr>
            <w:r w:rsidRPr="00C9343F">
              <w:rPr>
                <w:b/>
              </w:rPr>
              <w:t xml:space="preserve">See: </w:t>
            </w:r>
            <w:r w:rsidRPr="00C9343F">
              <w:t xml:space="preserve">Chapter 7 Part 1 Division 3 </w:t>
            </w:r>
            <w:r w:rsidR="00580C86" w:rsidRPr="00C9343F">
              <w:t>section</w:t>
            </w:r>
            <w:r w:rsidRPr="00C9343F">
              <w:t xml:space="preserve"> 7.1.15, Posting location</w:t>
            </w:r>
          </w:p>
        </w:tc>
      </w:tr>
    </w:tbl>
    <w:p w14:paraId="517D77DD" w14:textId="35269152" w:rsidR="00AF060B" w:rsidRPr="00C9343F" w:rsidRDefault="00AF060B" w:rsidP="00F66D98">
      <w:pPr>
        <w:pStyle w:val="Heading5"/>
      </w:pPr>
      <w:bookmarkStart w:id="133" w:name="Posting"/>
      <w:bookmarkStart w:id="134" w:name="_Toc105053534"/>
      <w:bookmarkEnd w:id="133"/>
      <w:r w:rsidRPr="00C9343F">
        <w:lastRenderedPageBreak/>
        <w:t>1.3.5</w:t>
      </w:r>
      <w:r w:rsidR="001B149A" w:rsidRPr="00C9343F">
        <w:t>7</w:t>
      </w:r>
      <w:r w:rsidR="00D94006" w:rsidRPr="00C9343F">
        <w:t>    </w:t>
      </w:r>
      <w:r w:rsidRPr="00C9343F">
        <w:t>Posting period – within Australia</w:t>
      </w:r>
      <w:bookmarkEnd w:id="134"/>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45B9319B" w14:textId="77777777">
        <w:tc>
          <w:tcPr>
            <w:tcW w:w="992" w:type="dxa"/>
          </w:tcPr>
          <w:p w14:paraId="556C2BDB" w14:textId="77777777" w:rsidR="00AF060B" w:rsidRPr="00C9343F" w:rsidRDefault="00AF060B" w:rsidP="00F66D98">
            <w:pPr>
              <w:pStyle w:val="BlockText-Plain"/>
              <w:jc w:val="center"/>
            </w:pPr>
            <w:r w:rsidRPr="00C9343F">
              <w:t>1.</w:t>
            </w:r>
          </w:p>
        </w:tc>
        <w:tc>
          <w:tcPr>
            <w:tcW w:w="8363" w:type="dxa"/>
            <w:gridSpan w:val="2"/>
          </w:tcPr>
          <w:p w14:paraId="31DB50D8" w14:textId="77777777" w:rsidR="00AF060B" w:rsidRPr="00C9343F" w:rsidRDefault="00AF060B" w:rsidP="00F66D98">
            <w:pPr>
              <w:pStyle w:val="BlockText-Plain"/>
            </w:pPr>
            <w:r w:rsidRPr="00C9343F">
              <w:t>For service within Australia, a member's posting period starts on the day they begin duty at a posting location and ends on the day they finish duty there. This is subject to sub</w:t>
            </w:r>
            <w:r w:rsidR="00580C86" w:rsidRPr="00C9343F">
              <w:t>section</w:t>
            </w:r>
            <w:r w:rsidRPr="00C9343F">
              <w:t>s 2 to 6.</w:t>
            </w:r>
          </w:p>
        </w:tc>
      </w:tr>
      <w:tr w:rsidR="00F45CB5" w:rsidRPr="00C9343F" w14:paraId="587A2D26" w14:textId="77777777">
        <w:tc>
          <w:tcPr>
            <w:tcW w:w="992" w:type="dxa"/>
          </w:tcPr>
          <w:p w14:paraId="3D875753" w14:textId="77777777" w:rsidR="00F45CB5" w:rsidRPr="00C9343F" w:rsidRDefault="00F45CB5" w:rsidP="00F66D98">
            <w:pPr>
              <w:pStyle w:val="BlockText-Plain"/>
              <w:jc w:val="center"/>
            </w:pPr>
          </w:p>
        </w:tc>
        <w:tc>
          <w:tcPr>
            <w:tcW w:w="8363" w:type="dxa"/>
            <w:gridSpan w:val="2"/>
          </w:tcPr>
          <w:p w14:paraId="0C2DEA17" w14:textId="47B9DC5F" w:rsidR="00F45CB5" w:rsidRPr="00C9343F" w:rsidRDefault="00F45CB5" w:rsidP="00F66D98">
            <w:pPr>
              <w:pStyle w:val="BlockText-Plain"/>
            </w:pPr>
            <w:r w:rsidRPr="00C9343F">
              <w:rPr>
                <w:b/>
                <w:iCs/>
              </w:rPr>
              <w:t>Note:</w:t>
            </w:r>
            <w:r w:rsidRPr="00C9343F">
              <w:rPr>
                <w:iCs/>
              </w:rPr>
              <w:t xml:space="preserve"> Posting period for a member on a long-term posting overseas is defined at section 12.3.16.</w:t>
            </w:r>
          </w:p>
        </w:tc>
      </w:tr>
      <w:tr w:rsidR="00AF060B" w:rsidRPr="00C9343F" w14:paraId="59136FDB" w14:textId="77777777">
        <w:tc>
          <w:tcPr>
            <w:tcW w:w="992" w:type="dxa"/>
          </w:tcPr>
          <w:p w14:paraId="6CB0D78E" w14:textId="77777777" w:rsidR="00AF060B" w:rsidRPr="00C9343F" w:rsidRDefault="00AF060B" w:rsidP="00F66D98">
            <w:pPr>
              <w:pStyle w:val="BlockText-Plain"/>
              <w:jc w:val="center"/>
            </w:pPr>
            <w:r w:rsidRPr="00C9343F">
              <w:t>2.</w:t>
            </w:r>
          </w:p>
        </w:tc>
        <w:tc>
          <w:tcPr>
            <w:tcW w:w="8363" w:type="dxa"/>
            <w:gridSpan w:val="2"/>
          </w:tcPr>
          <w:p w14:paraId="574A5107" w14:textId="77777777" w:rsidR="00AF060B" w:rsidRPr="00C9343F" w:rsidRDefault="00AF060B" w:rsidP="00F66D98">
            <w:pPr>
              <w:pStyle w:val="BlockText-Plain"/>
            </w:pPr>
            <w:r w:rsidRPr="00C9343F">
              <w:t>The posting period starts on the day the member arrives at the location if they arrive on any of these days.</w:t>
            </w:r>
          </w:p>
        </w:tc>
      </w:tr>
      <w:tr w:rsidR="00AF060B" w:rsidRPr="00C9343F" w14:paraId="43A77FED" w14:textId="77777777">
        <w:trPr>
          <w:cantSplit/>
        </w:trPr>
        <w:tc>
          <w:tcPr>
            <w:tcW w:w="992" w:type="dxa"/>
          </w:tcPr>
          <w:p w14:paraId="59B6F721" w14:textId="77777777" w:rsidR="00AF060B" w:rsidRPr="00C9343F" w:rsidRDefault="00AF060B" w:rsidP="00F66D98">
            <w:pPr>
              <w:pStyle w:val="BlockText-Plain"/>
            </w:pPr>
          </w:p>
        </w:tc>
        <w:tc>
          <w:tcPr>
            <w:tcW w:w="567" w:type="dxa"/>
          </w:tcPr>
          <w:p w14:paraId="5B338D45" w14:textId="77777777" w:rsidR="00AF060B" w:rsidRPr="00C9343F" w:rsidRDefault="00AF060B" w:rsidP="007114B1">
            <w:pPr>
              <w:pStyle w:val="BlockText-Plain"/>
              <w:jc w:val="center"/>
            </w:pPr>
            <w:r w:rsidRPr="00C9343F">
              <w:t>a.</w:t>
            </w:r>
          </w:p>
        </w:tc>
        <w:tc>
          <w:tcPr>
            <w:tcW w:w="7796" w:type="dxa"/>
          </w:tcPr>
          <w:p w14:paraId="63BF7990" w14:textId="77777777" w:rsidR="00AF060B" w:rsidRPr="00C9343F" w:rsidRDefault="00AF060B" w:rsidP="00F66D98">
            <w:pPr>
              <w:pStyle w:val="BlockText-Plain"/>
            </w:pPr>
            <w:r w:rsidRPr="00C9343F">
              <w:t>A Saturday, Sunday or public holiday immediately before the day they begin duty.</w:t>
            </w:r>
          </w:p>
        </w:tc>
      </w:tr>
      <w:tr w:rsidR="00AF060B" w:rsidRPr="00C9343F" w14:paraId="4684003B" w14:textId="77777777">
        <w:trPr>
          <w:cantSplit/>
        </w:trPr>
        <w:tc>
          <w:tcPr>
            <w:tcW w:w="992" w:type="dxa"/>
          </w:tcPr>
          <w:p w14:paraId="0BE36F2F" w14:textId="77777777" w:rsidR="00AF060B" w:rsidRPr="00C9343F" w:rsidRDefault="00AF060B" w:rsidP="00F66D98">
            <w:pPr>
              <w:pStyle w:val="BlockText-Plain"/>
            </w:pPr>
          </w:p>
        </w:tc>
        <w:tc>
          <w:tcPr>
            <w:tcW w:w="567" w:type="dxa"/>
          </w:tcPr>
          <w:p w14:paraId="2F2D0783" w14:textId="77777777" w:rsidR="00AF060B" w:rsidRPr="00C9343F" w:rsidRDefault="00AF060B" w:rsidP="007114B1">
            <w:pPr>
              <w:pStyle w:val="BlockText-Plain"/>
              <w:jc w:val="center"/>
            </w:pPr>
            <w:r w:rsidRPr="00C9343F">
              <w:t>b.</w:t>
            </w:r>
          </w:p>
        </w:tc>
        <w:tc>
          <w:tcPr>
            <w:tcW w:w="7796" w:type="dxa"/>
          </w:tcPr>
          <w:p w14:paraId="6D85F139" w14:textId="77777777" w:rsidR="00AF060B" w:rsidRPr="00C9343F" w:rsidRDefault="00AF060B" w:rsidP="00F66D98">
            <w:pPr>
              <w:pStyle w:val="BlockText-Plain"/>
            </w:pPr>
            <w:r w:rsidRPr="00C9343F">
              <w:t>A day during a period of paid leave immediately before the day they begin duty.</w:t>
            </w:r>
          </w:p>
        </w:tc>
      </w:tr>
      <w:tr w:rsidR="00AF060B" w:rsidRPr="00C9343F" w14:paraId="762D0A98" w14:textId="77777777">
        <w:trPr>
          <w:cantSplit/>
        </w:trPr>
        <w:tc>
          <w:tcPr>
            <w:tcW w:w="992" w:type="dxa"/>
          </w:tcPr>
          <w:p w14:paraId="5109C042" w14:textId="77777777" w:rsidR="00AF060B" w:rsidRPr="00C9343F" w:rsidRDefault="00AF060B" w:rsidP="00F66D98">
            <w:pPr>
              <w:pStyle w:val="BlockText-Plain"/>
            </w:pPr>
          </w:p>
        </w:tc>
        <w:tc>
          <w:tcPr>
            <w:tcW w:w="567" w:type="dxa"/>
          </w:tcPr>
          <w:p w14:paraId="7E21823C" w14:textId="77777777" w:rsidR="00AF060B" w:rsidRPr="00C9343F" w:rsidRDefault="00AF060B" w:rsidP="007114B1">
            <w:pPr>
              <w:pStyle w:val="BlockText-Plain"/>
              <w:jc w:val="center"/>
            </w:pPr>
            <w:r w:rsidRPr="00C9343F">
              <w:t>c.</w:t>
            </w:r>
          </w:p>
        </w:tc>
        <w:tc>
          <w:tcPr>
            <w:tcW w:w="7796" w:type="dxa"/>
          </w:tcPr>
          <w:p w14:paraId="668E24F7" w14:textId="77777777" w:rsidR="00AF060B" w:rsidRPr="00C9343F" w:rsidRDefault="00AF060B" w:rsidP="00F66D98">
            <w:pPr>
              <w:pStyle w:val="BlockText-Plain"/>
            </w:pPr>
            <w:r w:rsidRPr="00C9343F">
              <w:t>The day they are granted a removal to the location, or any later day.</w:t>
            </w:r>
          </w:p>
        </w:tc>
      </w:tr>
      <w:tr w:rsidR="00AF060B" w:rsidRPr="00C9343F" w14:paraId="02AEA72E" w14:textId="77777777">
        <w:tc>
          <w:tcPr>
            <w:tcW w:w="992" w:type="dxa"/>
          </w:tcPr>
          <w:p w14:paraId="38FC5484" w14:textId="77777777" w:rsidR="00AF060B" w:rsidRPr="00C9343F" w:rsidRDefault="00AF060B" w:rsidP="00F66D98">
            <w:pPr>
              <w:pStyle w:val="BlockText-Plain"/>
              <w:jc w:val="center"/>
            </w:pPr>
            <w:r w:rsidRPr="00C9343F">
              <w:t>3.</w:t>
            </w:r>
          </w:p>
        </w:tc>
        <w:tc>
          <w:tcPr>
            <w:tcW w:w="8363" w:type="dxa"/>
            <w:gridSpan w:val="2"/>
          </w:tcPr>
          <w:p w14:paraId="434329FD" w14:textId="77777777" w:rsidR="00AF060B" w:rsidRPr="00C9343F" w:rsidRDefault="00AF060B" w:rsidP="00F66D98">
            <w:pPr>
              <w:pStyle w:val="BlockText-Plain"/>
            </w:pPr>
            <w:r w:rsidRPr="00C9343F">
              <w:t>The member’s dependants may be granted a removal to the posting location and arrive there before the member. In this case, the posting period starts on the day the dependants arrive.</w:t>
            </w:r>
          </w:p>
        </w:tc>
      </w:tr>
      <w:tr w:rsidR="00AF060B" w:rsidRPr="00C9343F" w14:paraId="286A0A17" w14:textId="77777777">
        <w:tc>
          <w:tcPr>
            <w:tcW w:w="992" w:type="dxa"/>
          </w:tcPr>
          <w:p w14:paraId="01504224" w14:textId="77777777" w:rsidR="00AF060B" w:rsidRPr="00C9343F" w:rsidRDefault="00AF060B" w:rsidP="00F66D98">
            <w:pPr>
              <w:pStyle w:val="BlockText-Plain"/>
              <w:jc w:val="center"/>
            </w:pPr>
            <w:r w:rsidRPr="00C9343F">
              <w:t>4.</w:t>
            </w:r>
          </w:p>
        </w:tc>
        <w:tc>
          <w:tcPr>
            <w:tcW w:w="8363" w:type="dxa"/>
            <w:gridSpan w:val="2"/>
          </w:tcPr>
          <w:p w14:paraId="7F061BEB" w14:textId="77777777" w:rsidR="00AF060B" w:rsidRPr="00C9343F" w:rsidRDefault="00AF060B" w:rsidP="00F66D98">
            <w:pPr>
              <w:pStyle w:val="BlockText-Plain"/>
            </w:pPr>
            <w:r w:rsidRPr="00C9343F">
              <w:t>The posting period ends on the day the member leaves the location, if they leave on any of these days.</w:t>
            </w:r>
          </w:p>
        </w:tc>
      </w:tr>
      <w:tr w:rsidR="00AF060B" w:rsidRPr="00C9343F" w14:paraId="049860BD" w14:textId="77777777">
        <w:trPr>
          <w:cantSplit/>
        </w:trPr>
        <w:tc>
          <w:tcPr>
            <w:tcW w:w="992" w:type="dxa"/>
          </w:tcPr>
          <w:p w14:paraId="0711E79B" w14:textId="77777777" w:rsidR="00AF060B" w:rsidRPr="00C9343F" w:rsidRDefault="00AF060B" w:rsidP="00F66D98">
            <w:pPr>
              <w:pStyle w:val="BlockText-Plain"/>
            </w:pPr>
          </w:p>
        </w:tc>
        <w:tc>
          <w:tcPr>
            <w:tcW w:w="567" w:type="dxa"/>
          </w:tcPr>
          <w:p w14:paraId="54EED137" w14:textId="77777777" w:rsidR="00AF060B" w:rsidRPr="00C9343F" w:rsidRDefault="00AF060B" w:rsidP="007114B1">
            <w:pPr>
              <w:pStyle w:val="BlockText-Plain"/>
              <w:jc w:val="center"/>
            </w:pPr>
            <w:r w:rsidRPr="00C9343F">
              <w:t>a.</w:t>
            </w:r>
          </w:p>
        </w:tc>
        <w:tc>
          <w:tcPr>
            <w:tcW w:w="7796" w:type="dxa"/>
          </w:tcPr>
          <w:p w14:paraId="68DD15C0" w14:textId="77777777" w:rsidR="00AF060B" w:rsidRPr="00C9343F" w:rsidRDefault="00AF060B" w:rsidP="00F66D98">
            <w:pPr>
              <w:pStyle w:val="BlockText-Plain"/>
            </w:pPr>
            <w:r w:rsidRPr="00C9343F">
              <w:t>A Saturday, Sunday or public holiday immediately before the day they finish duty.</w:t>
            </w:r>
          </w:p>
        </w:tc>
      </w:tr>
      <w:tr w:rsidR="00AF060B" w:rsidRPr="00C9343F" w14:paraId="4486B446" w14:textId="77777777">
        <w:trPr>
          <w:cantSplit/>
        </w:trPr>
        <w:tc>
          <w:tcPr>
            <w:tcW w:w="992" w:type="dxa"/>
          </w:tcPr>
          <w:p w14:paraId="64C3DB0B" w14:textId="77777777" w:rsidR="00AF060B" w:rsidRPr="00C9343F" w:rsidRDefault="00AF060B" w:rsidP="00F66D98">
            <w:pPr>
              <w:pStyle w:val="BlockText-Plain"/>
            </w:pPr>
          </w:p>
        </w:tc>
        <w:tc>
          <w:tcPr>
            <w:tcW w:w="567" w:type="dxa"/>
          </w:tcPr>
          <w:p w14:paraId="48B73187" w14:textId="77777777" w:rsidR="00AF060B" w:rsidRPr="00C9343F" w:rsidRDefault="00AF060B" w:rsidP="007114B1">
            <w:pPr>
              <w:pStyle w:val="BlockText-Plain"/>
              <w:jc w:val="center"/>
            </w:pPr>
            <w:r w:rsidRPr="00C9343F">
              <w:t>b.</w:t>
            </w:r>
          </w:p>
        </w:tc>
        <w:tc>
          <w:tcPr>
            <w:tcW w:w="7796" w:type="dxa"/>
          </w:tcPr>
          <w:p w14:paraId="36F3DD89" w14:textId="77777777" w:rsidR="00AF060B" w:rsidRPr="00C9343F" w:rsidRDefault="00AF060B" w:rsidP="00F66D98">
            <w:pPr>
              <w:pStyle w:val="BlockText-Plain"/>
            </w:pPr>
            <w:r w:rsidRPr="00C9343F">
              <w:t>A day during a period of paid leave immediately before the day they finish duty.</w:t>
            </w:r>
          </w:p>
        </w:tc>
      </w:tr>
      <w:tr w:rsidR="00AF060B" w:rsidRPr="00C9343F" w14:paraId="597CA279" w14:textId="77777777">
        <w:trPr>
          <w:cantSplit/>
        </w:trPr>
        <w:tc>
          <w:tcPr>
            <w:tcW w:w="992" w:type="dxa"/>
          </w:tcPr>
          <w:p w14:paraId="7EBEC3A8" w14:textId="77777777" w:rsidR="00AF060B" w:rsidRPr="00C9343F" w:rsidRDefault="00AF060B" w:rsidP="00F66D98">
            <w:pPr>
              <w:pStyle w:val="BlockText-Plain"/>
            </w:pPr>
          </w:p>
        </w:tc>
        <w:tc>
          <w:tcPr>
            <w:tcW w:w="567" w:type="dxa"/>
          </w:tcPr>
          <w:p w14:paraId="77650940" w14:textId="77777777" w:rsidR="00AF060B" w:rsidRPr="00C9343F" w:rsidRDefault="00AF060B" w:rsidP="007114B1">
            <w:pPr>
              <w:pStyle w:val="BlockText-Plain"/>
              <w:jc w:val="center"/>
            </w:pPr>
            <w:r w:rsidRPr="00C9343F">
              <w:t>c.</w:t>
            </w:r>
          </w:p>
        </w:tc>
        <w:tc>
          <w:tcPr>
            <w:tcW w:w="7796" w:type="dxa"/>
          </w:tcPr>
          <w:p w14:paraId="7A20DAF3" w14:textId="77777777" w:rsidR="00AF060B" w:rsidRPr="00C9343F" w:rsidRDefault="00AF060B" w:rsidP="00F66D98">
            <w:pPr>
              <w:pStyle w:val="BlockText-Plain"/>
            </w:pPr>
            <w:r w:rsidRPr="00C9343F">
              <w:t>The day they are granted a removal</w:t>
            </w:r>
            <w:r w:rsidRPr="00C9343F">
              <w:rPr>
                <w:b/>
                <w:i/>
              </w:rPr>
              <w:t xml:space="preserve"> </w:t>
            </w:r>
            <w:r w:rsidRPr="00C9343F">
              <w:t>from the location, or any later day.</w:t>
            </w:r>
          </w:p>
        </w:tc>
      </w:tr>
      <w:tr w:rsidR="00AF060B" w:rsidRPr="00C9343F" w14:paraId="235CDC1E" w14:textId="77777777">
        <w:tc>
          <w:tcPr>
            <w:tcW w:w="992" w:type="dxa"/>
          </w:tcPr>
          <w:p w14:paraId="1D71E216" w14:textId="77777777" w:rsidR="00AF060B" w:rsidRPr="00C9343F" w:rsidRDefault="00AF060B" w:rsidP="00F66D98">
            <w:pPr>
              <w:pStyle w:val="BlockText-Plain"/>
              <w:jc w:val="center"/>
            </w:pPr>
            <w:r w:rsidRPr="00C9343F">
              <w:t>5.</w:t>
            </w:r>
          </w:p>
        </w:tc>
        <w:tc>
          <w:tcPr>
            <w:tcW w:w="8363" w:type="dxa"/>
            <w:gridSpan w:val="2"/>
          </w:tcPr>
          <w:p w14:paraId="34FB2F93" w14:textId="77777777" w:rsidR="00AF060B" w:rsidRPr="00C9343F" w:rsidRDefault="00AF060B" w:rsidP="00F66D98">
            <w:pPr>
              <w:pStyle w:val="BlockText-Plain"/>
            </w:pPr>
            <w:r w:rsidRPr="00C9343F">
              <w:t>The member’s dependants may be granted a removal</w:t>
            </w:r>
            <w:r w:rsidRPr="00C9343F">
              <w:rPr>
                <w:b/>
                <w:i/>
              </w:rPr>
              <w:t xml:space="preserve"> </w:t>
            </w:r>
            <w:r w:rsidRPr="00C9343F">
              <w:t>from the posting location and depart after the member. In this case, the posting period ends on the day the dependants depart.</w:t>
            </w:r>
          </w:p>
        </w:tc>
      </w:tr>
      <w:tr w:rsidR="00AF060B" w:rsidRPr="00C9343F" w14:paraId="36EB8F85" w14:textId="77777777">
        <w:tc>
          <w:tcPr>
            <w:tcW w:w="992" w:type="dxa"/>
          </w:tcPr>
          <w:p w14:paraId="3C7529D7" w14:textId="77777777" w:rsidR="00AF060B" w:rsidRPr="00C9343F" w:rsidRDefault="00AF060B" w:rsidP="00F66D98">
            <w:pPr>
              <w:pStyle w:val="BlockText-Plain"/>
              <w:jc w:val="center"/>
            </w:pPr>
            <w:r w:rsidRPr="00C9343F">
              <w:t>6.</w:t>
            </w:r>
          </w:p>
        </w:tc>
        <w:tc>
          <w:tcPr>
            <w:tcW w:w="8363" w:type="dxa"/>
            <w:gridSpan w:val="2"/>
          </w:tcPr>
          <w:p w14:paraId="75D2E6C2" w14:textId="77777777" w:rsidR="00AF060B" w:rsidRPr="00C9343F" w:rsidRDefault="00AF060B" w:rsidP="00F66D98">
            <w:pPr>
              <w:pStyle w:val="BlockText-Plain"/>
            </w:pPr>
            <w:r w:rsidRPr="00C9343F">
              <w:t>The CDF may decide it is reasonable for a member's posting period to start on an earlier day or end on a later day. The CDF must consider all these criteria.</w:t>
            </w:r>
          </w:p>
        </w:tc>
      </w:tr>
      <w:tr w:rsidR="00AF060B" w:rsidRPr="00C9343F" w14:paraId="19D077A9" w14:textId="77777777">
        <w:trPr>
          <w:cantSplit/>
        </w:trPr>
        <w:tc>
          <w:tcPr>
            <w:tcW w:w="992" w:type="dxa"/>
          </w:tcPr>
          <w:p w14:paraId="05EDC2A7" w14:textId="77777777" w:rsidR="00AF060B" w:rsidRPr="00C9343F" w:rsidRDefault="00AF060B" w:rsidP="00F66D98">
            <w:pPr>
              <w:pStyle w:val="BlockText-Plain"/>
            </w:pPr>
          </w:p>
        </w:tc>
        <w:tc>
          <w:tcPr>
            <w:tcW w:w="567" w:type="dxa"/>
          </w:tcPr>
          <w:p w14:paraId="0D513246" w14:textId="77777777" w:rsidR="00AF060B" w:rsidRPr="00C9343F" w:rsidRDefault="00AF060B" w:rsidP="007114B1">
            <w:pPr>
              <w:pStyle w:val="BlockText-Plain"/>
              <w:jc w:val="center"/>
            </w:pPr>
            <w:r w:rsidRPr="00C9343F">
              <w:t>a.</w:t>
            </w:r>
          </w:p>
        </w:tc>
        <w:tc>
          <w:tcPr>
            <w:tcW w:w="7796" w:type="dxa"/>
          </w:tcPr>
          <w:p w14:paraId="7F026458" w14:textId="77777777" w:rsidR="00AF060B" w:rsidRPr="00C9343F" w:rsidRDefault="00AF060B" w:rsidP="00F66D98">
            <w:pPr>
              <w:pStyle w:val="BlockText-Plain"/>
            </w:pPr>
            <w:r w:rsidRPr="00C9343F">
              <w:t>The circumstances of the member’s removal to or from the location.</w:t>
            </w:r>
          </w:p>
        </w:tc>
      </w:tr>
      <w:tr w:rsidR="00AF060B" w:rsidRPr="00C9343F" w14:paraId="01572BBE" w14:textId="77777777">
        <w:trPr>
          <w:cantSplit/>
        </w:trPr>
        <w:tc>
          <w:tcPr>
            <w:tcW w:w="992" w:type="dxa"/>
          </w:tcPr>
          <w:p w14:paraId="6D8B5340" w14:textId="77777777" w:rsidR="00AF060B" w:rsidRPr="00C9343F" w:rsidRDefault="00AF060B" w:rsidP="00F66D98">
            <w:pPr>
              <w:pStyle w:val="BlockText-Plain"/>
            </w:pPr>
          </w:p>
        </w:tc>
        <w:tc>
          <w:tcPr>
            <w:tcW w:w="567" w:type="dxa"/>
          </w:tcPr>
          <w:p w14:paraId="1505BBAF" w14:textId="77777777" w:rsidR="00AF060B" w:rsidRPr="00C9343F" w:rsidRDefault="00AF060B" w:rsidP="007114B1">
            <w:pPr>
              <w:pStyle w:val="BlockText-Plain"/>
              <w:jc w:val="center"/>
            </w:pPr>
            <w:r w:rsidRPr="00C9343F">
              <w:t>b.</w:t>
            </w:r>
          </w:p>
        </w:tc>
        <w:tc>
          <w:tcPr>
            <w:tcW w:w="7796" w:type="dxa"/>
          </w:tcPr>
          <w:p w14:paraId="17FDDEC0" w14:textId="77777777" w:rsidR="00AF060B" w:rsidRPr="00C9343F" w:rsidRDefault="00AF060B" w:rsidP="00F66D98">
            <w:pPr>
              <w:pStyle w:val="BlockText-Plain"/>
            </w:pPr>
            <w:r w:rsidRPr="00C9343F">
              <w:t>The number, age, gender and circumstances of the member’s dependants.</w:t>
            </w:r>
          </w:p>
        </w:tc>
      </w:tr>
      <w:tr w:rsidR="00AF060B" w:rsidRPr="00C9343F" w14:paraId="0EEADDD3" w14:textId="77777777">
        <w:trPr>
          <w:cantSplit/>
        </w:trPr>
        <w:tc>
          <w:tcPr>
            <w:tcW w:w="992" w:type="dxa"/>
          </w:tcPr>
          <w:p w14:paraId="0835D026" w14:textId="77777777" w:rsidR="00AF060B" w:rsidRPr="00C9343F" w:rsidRDefault="00AF060B" w:rsidP="00F66D98">
            <w:pPr>
              <w:pStyle w:val="BlockText-Plain"/>
            </w:pPr>
          </w:p>
        </w:tc>
        <w:tc>
          <w:tcPr>
            <w:tcW w:w="567" w:type="dxa"/>
          </w:tcPr>
          <w:p w14:paraId="137EF728" w14:textId="77777777" w:rsidR="00AF060B" w:rsidRPr="00C9343F" w:rsidRDefault="00AF060B" w:rsidP="007114B1">
            <w:pPr>
              <w:pStyle w:val="BlockText-Plain"/>
              <w:jc w:val="center"/>
            </w:pPr>
            <w:r w:rsidRPr="00C9343F">
              <w:t>c.</w:t>
            </w:r>
          </w:p>
        </w:tc>
        <w:tc>
          <w:tcPr>
            <w:tcW w:w="7796" w:type="dxa"/>
          </w:tcPr>
          <w:p w14:paraId="08DC851A" w14:textId="77777777" w:rsidR="00AF060B" w:rsidRPr="00C9343F" w:rsidRDefault="00AF060B" w:rsidP="00F66D98">
            <w:pPr>
              <w:pStyle w:val="BlockText-Plain"/>
            </w:pPr>
            <w:r w:rsidRPr="00C9343F">
              <w:t>The availability of rental accommodation at the location.</w:t>
            </w:r>
          </w:p>
        </w:tc>
      </w:tr>
      <w:tr w:rsidR="00AF060B" w:rsidRPr="00C9343F" w14:paraId="7741EE57" w14:textId="77777777">
        <w:trPr>
          <w:cantSplit/>
        </w:trPr>
        <w:tc>
          <w:tcPr>
            <w:tcW w:w="992" w:type="dxa"/>
          </w:tcPr>
          <w:p w14:paraId="634C994A" w14:textId="77777777" w:rsidR="00AF060B" w:rsidRPr="00C9343F" w:rsidRDefault="00AF060B" w:rsidP="00F66D98">
            <w:pPr>
              <w:pStyle w:val="BlockText-Plain"/>
            </w:pPr>
          </w:p>
        </w:tc>
        <w:tc>
          <w:tcPr>
            <w:tcW w:w="567" w:type="dxa"/>
          </w:tcPr>
          <w:p w14:paraId="0CA1A5D5" w14:textId="77777777" w:rsidR="00AF060B" w:rsidRPr="00C9343F" w:rsidRDefault="00AF060B" w:rsidP="007114B1">
            <w:pPr>
              <w:pStyle w:val="BlockText-Plain"/>
              <w:jc w:val="center"/>
            </w:pPr>
            <w:r w:rsidRPr="00C9343F">
              <w:t>d.</w:t>
            </w:r>
          </w:p>
        </w:tc>
        <w:tc>
          <w:tcPr>
            <w:tcW w:w="7796" w:type="dxa"/>
          </w:tcPr>
          <w:p w14:paraId="3063946D" w14:textId="77777777" w:rsidR="00AF060B" w:rsidRPr="00C9343F" w:rsidRDefault="00AF060B" w:rsidP="00F66D98">
            <w:pPr>
              <w:pStyle w:val="BlockText-Plain"/>
            </w:pPr>
            <w:r w:rsidRPr="00C9343F">
              <w:t>Any other factor relevant to the posting.</w:t>
            </w:r>
          </w:p>
        </w:tc>
      </w:tr>
      <w:tr w:rsidR="00AF060B" w:rsidRPr="00C9343F" w14:paraId="45F1BBD3" w14:textId="77777777">
        <w:tc>
          <w:tcPr>
            <w:tcW w:w="992" w:type="dxa"/>
          </w:tcPr>
          <w:p w14:paraId="37616A28" w14:textId="77777777" w:rsidR="00AF060B" w:rsidRPr="00C9343F" w:rsidRDefault="00AF060B" w:rsidP="00F66D98">
            <w:pPr>
              <w:pStyle w:val="BlockText-Plain"/>
              <w:jc w:val="center"/>
            </w:pPr>
          </w:p>
        </w:tc>
        <w:tc>
          <w:tcPr>
            <w:tcW w:w="8363" w:type="dxa"/>
            <w:gridSpan w:val="2"/>
          </w:tcPr>
          <w:p w14:paraId="2F323F66" w14:textId="77777777" w:rsidR="00AF060B" w:rsidRPr="00C9343F" w:rsidRDefault="00AF060B" w:rsidP="00F66D98">
            <w:pPr>
              <w:pStyle w:val="BlockText-Plain"/>
            </w:pPr>
            <w:r w:rsidRPr="00C9343F">
              <w:rPr>
                <w:b/>
              </w:rPr>
              <w:t>Note:</w:t>
            </w:r>
            <w:r w:rsidRPr="00C9343F">
              <w:t xml:space="preserve"> Other Chapters have specific provisions about when particular </w:t>
            </w:r>
            <w:r w:rsidR="0019090D" w:rsidRPr="00C9343F">
              <w:t>benefits</w:t>
            </w:r>
            <w:r w:rsidRPr="00C9343F">
              <w:t xml:space="preserve"> start and stop. These provisions override this definition for those </w:t>
            </w:r>
            <w:r w:rsidR="0019090D" w:rsidRPr="00C9343F">
              <w:t>benefits</w:t>
            </w:r>
            <w:r w:rsidRPr="00C9343F">
              <w:t>.</w:t>
            </w:r>
          </w:p>
          <w:p w14:paraId="35B6EEBE" w14:textId="77777777" w:rsidR="00AF060B" w:rsidRPr="00C9343F" w:rsidRDefault="00AF060B" w:rsidP="00F66D98">
            <w:pPr>
              <w:pStyle w:val="BlockText-Plain"/>
            </w:pPr>
            <w:r w:rsidRPr="00C9343F">
              <w:rPr>
                <w:b/>
              </w:rPr>
              <w:t>Examples:</w:t>
            </w:r>
            <w:r w:rsidR="00345591" w:rsidRPr="00C9343F">
              <w:t xml:space="preserve"> Maritime disability allowance</w:t>
            </w:r>
            <w:r w:rsidRPr="00C9343F">
              <w:t>, ADF district allowance and housing assistance.</w:t>
            </w:r>
          </w:p>
        </w:tc>
      </w:tr>
    </w:tbl>
    <w:p w14:paraId="1B6F7BA0" w14:textId="7ACFE10E" w:rsidR="005E6487" w:rsidRPr="00C9343F" w:rsidRDefault="005E6487" w:rsidP="00F66D98">
      <w:pPr>
        <w:pStyle w:val="Heading5"/>
      </w:pPr>
      <w:bookmarkStart w:id="135" w:name="_Toc105053535"/>
      <w:r w:rsidRPr="00C9343F">
        <w:t>1.3.59</w:t>
      </w:r>
      <w:r w:rsidR="00D94006" w:rsidRPr="00C9343F">
        <w:t>    </w:t>
      </w:r>
      <w:r w:rsidRPr="00C9343F">
        <w:t>Private Proficient</w:t>
      </w:r>
      <w:bookmarkEnd w:id="135"/>
    </w:p>
    <w:tbl>
      <w:tblPr>
        <w:tblW w:w="0" w:type="auto"/>
        <w:tblInd w:w="113" w:type="dxa"/>
        <w:tblLayout w:type="fixed"/>
        <w:tblLook w:val="0000" w:firstRow="0" w:lastRow="0" w:firstColumn="0" w:lastColumn="0" w:noHBand="0" w:noVBand="0"/>
      </w:tblPr>
      <w:tblGrid>
        <w:gridCol w:w="992"/>
        <w:gridCol w:w="8363"/>
      </w:tblGrid>
      <w:tr w:rsidR="005E6487" w:rsidRPr="00C9343F" w14:paraId="12172BAE" w14:textId="77777777" w:rsidTr="005B4041">
        <w:tc>
          <w:tcPr>
            <w:tcW w:w="992" w:type="dxa"/>
          </w:tcPr>
          <w:p w14:paraId="1EE66EBC" w14:textId="77777777" w:rsidR="005E6487" w:rsidRPr="00C9343F" w:rsidRDefault="005E6487" w:rsidP="00F66D98">
            <w:pPr>
              <w:pStyle w:val="BlockText-Plain"/>
              <w:jc w:val="center"/>
            </w:pPr>
          </w:p>
        </w:tc>
        <w:tc>
          <w:tcPr>
            <w:tcW w:w="8363" w:type="dxa"/>
          </w:tcPr>
          <w:p w14:paraId="0932F253" w14:textId="77777777" w:rsidR="005E6487" w:rsidRPr="00C9343F" w:rsidRDefault="005E6487" w:rsidP="00F66D98">
            <w:pPr>
              <w:pStyle w:val="BlockText-Plain"/>
            </w:pPr>
            <w:r w:rsidRPr="00C9343F">
              <w:t>Private Proficient is not a formal ADF rank. It is a salary proficiency point.</w:t>
            </w:r>
          </w:p>
          <w:p w14:paraId="02870D55" w14:textId="77777777" w:rsidR="005E6487" w:rsidRPr="00C9343F" w:rsidRDefault="005E6487" w:rsidP="00F66D98">
            <w:pPr>
              <w:pStyle w:val="BlockText-Plain"/>
            </w:pPr>
            <w:r w:rsidRPr="00C9343F">
              <w:rPr>
                <w:b/>
              </w:rPr>
              <w:t xml:space="preserve">See: </w:t>
            </w:r>
            <w:r w:rsidRPr="00C9343F">
              <w:t>Chapter 3 Part 2 Division 3 section 3.2.3</w:t>
            </w:r>
            <w:r w:rsidR="002D6C9C" w:rsidRPr="00C9343F">
              <w:t>7</w:t>
            </w:r>
            <w:r w:rsidRPr="00C9343F">
              <w:t>, Salary – Private Proficient</w:t>
            </w:r>
          </w:p>
        </w:tc>
      </w:tr>
    </w:tbl>
    <w:p w14:paraId="1DF375BA" w14:textId="198D72E4" w:rsidR="00AF060B" w:rsidRPr="00C9343F" w:rsidRDefault="00AF060B" w:rsidP="00F66D98">
      <w:pPr>
        <w:pStyle w:val="Heading5"/>
      </w:pPr>
      <w:bookmarkStart w:id="136" w:name="_Toc105053536"/>
      <w:r w:rsidRPr="00C9343F">
        <w:lastRenderedPageBreak/>
        <w:t>1.3.</w:t>
      </w:r>
      <w:r w:rsidR="005E6487" w:rsidRPr="00C9343F">
        <w:t>60</w:t>
      </w:r>
      <w:r w:rsidR="00D94006" w:rsidRPr="00C9343F">
        <w:t>    </w:t>
      </w:r>
      <w:r w:rsidRPr="00C9343F">
        <w:t>Private vehicle</w:t>
      </w:r>
      <w:bookmarkEnd w:id="136"/>
    </w:p>
    <w:tbl>
      <w:tblPr>
        <w:tblW w:w="0" w:type="auto"/>
        <w:tblInd w:w="113" w:type="dxa"/>
        <w:tblLayout w:type="fixed"/>
        <w:tblLook w:val="0000" w:firstRow="0" w:lastRow="0" w:firstColumn="0" w:lastColumn="0" w:noHBand="0" w:noVBand="0"/>
      </w:tblPr>
      <w:tblGrid>
        <w:gridCol w:w="992"/>
        <w:gridCol w:w="8363"/>
      </w:tblGrid>
      <w:tr w:rsidR="00AF060B" w:rsidRPr="00C9343F" w14:paraId="1C5C8D34" w14:textId="77777777">
        <w:tc>
          <w:tcPr>
            <w:tcW w:w="992" w:type="dxa"/>
          </w:tcPr>
          <w:p w14:paraId="1FF81DF0" w14:textId="77777777" w:rsidR="00AF060B" w:rsidRPr="00C9343F" w:rsidRDefault="00AF060B" w:rsidP="00F66D98">
            <w:pPr>
              <w:pStyle w:val="BlockText-Plain"/>
              <w:jc w:val="center"/>
            </w:pPr>
          </w:p>
        </w:tc>
        <w:tc>
          <w:tcPr>
            <w:tcW w:w="8363" w:type="dxa"/>
          </w:tcPr>
          <w:p w14:paraId="0CA150F7" w14:textId="77777777" w:rsidR="00AF060B" w:rsidRPr="00C9343F" w:rsidRDefault="00AF060B" w:rsidP="00F66D98">
            <w:pPr>
              <w:pStyle w:val="BlockText-Plain"/>
            </w:pPr>
            <w:r w:rsidRPr="00C9343F">
              <w:t>Private vehicle means a motor vehicle that is registered in the name of the member or their dependant.</w:t>
            </w:r>
          </w:p>
          <w:p w14:paraId="23ABBFDE" w14:textId="77777777" w:rsidR="00AF060B" w:rsidRPr="00C9343F" w:rsidRDefault="00AF060B" w:rsidP="00F66D98">
            <w:pPr>
              <w:pStyle w:val="BlockText-Plain"/>
            </w:pPr>
            <w:r w:rsidRPr="00C9343F">
              <w:rPr>
                <w:b/>
              </w:rPr>
              <w:t>Examples:</w:t>
            </w:r>
            <w:r w:rsidRPr="00C9343F">
              <w:t xml:space="preserve"> Cars, trucks, motor cycles (and sidecar), motor scooters.</w:t>
            </w:r>
          </w:p>
          <w:p w14:paraId="0EEC5A9A" w14:textId="77777777" w:rsidR="00AF060B" w:rsidRPr="00C9343F" w:rsidRDefault="00AF060B" w:rsidP="00F66D98">
            <w:pPr>
              <w:pStyle w:val="BlockText-Plain"/>
            </w:pPr>
            <w:r w:rsidRPr="00C9343F">
              <w:rPr>
                <w:b/>
              </w:rPr>
              <w:t>Non-examples:</w:t>
            </w:r>
            <w:r w:rsidRPr="00C9343F">
              <w:t xml:space="preserve"> Recreational or hobby vehicles that cannot be registered.</w:t>
            </w:r>
          </w:p>
        </w:tc>
      </w:tr>
    </w:tbl>
    <w:p w14:paraId="25A1D3C4" w14:textId="6E08C31F" w:rsidR="00AF060B" w:rsidRPr="00C9343F" w:rsidRDefault="00AF060B" w:rsidP="00F66D98">
      <w:pPr>
        <w:pStyle w:val="Heading5"/>
      </w:pPr>
      <w:bookmarkStart w:id="137" w:name="_Toc105053537"/>
      <w:r w:rsidRPr="00C9343F">
        <w:t>1.3.</w:t>
      </w:r>
      <w:r w:rsidR="001B149A" w:rsidRPr="00C9343F">
        <w:t>61</w:t>
      </w:r>
      <w:r w:rsidR="00D94006" w:rsidRPr="00C9343F">
        <w:t>    </w:t>
      </w:r>
      <w:r w:rsidRPr="00C9343F">
        <w:t>Public holiday</w:t>
      </w:r>
      <w:bookmarkEnd w:id="137"/>
    </w:p>
    <w:tbl>
      <w:tblPr>
        <w:tblW w:w="0" w:type="auto"/>
        <w:tblInd w:w="113" w:type="dxa"/>
        <w:tblLayout w:type="fixed"/>
        <w:tblLook w:val="0000" w:firstRow="0" w:lastRow="0" w:firstColumn="0" w:lastColumn="0" w:noHBand="0" w:noVBand="0"/>
      </w:tblPr>
      <w:tblGrid>
        <w:gridCol w:w="992"/>
        <w:gridCol w:w="8363"/>
      </w:tblGrid>
      <w:tr w:rsidR="00AF060B" w:rsidRPr="00C9343F" w14:paraId="2500AD4B" w14:textId="77777777">
        <w:tc>
          <w:tcPr>
            <w:tcW w:w="992" w:type="dxa"/>
          </w:tcPr>
          <w:p w14:paraId="4C45D1CE" w14:textId="77777777" w:rsidR="00AF060B" w:rsidRPr="00C9343F" w:rsidRDefault="00AF060B" w:rsidP="00F66D98">
            <w:pPr>
              <w:pStyle w:val="BlockText-Plain"/>
              <w:jc w:val="center"/>
            </w:pPr>
          </w:p>
        </w:tc>
        <w:tc>
          <w:tcPr>
            <w:tcW w:w="8363" w:type="dxa"/>
          </w:tcPr>
          <w:p w14:paraId="2D8EB03E" w14:textId="77777777" w:rsidR="004B64C6" w:rsidRPr="00C9343F" w:rsidRDefault="00AF060B" w:rsidP="00F66D98">
            <w:pPr>
              <w:pStyle w:val="BlockText-Plain"/>
            </w:pPr>
            <w:r w:rsidRPr="00C9343F">
              <w:t xml:space="preserve">Public holiday means a day, or part of a day, that a member is </w:t>
            </w:r>
            <w:r w:rsidR="0019090D" w:rsidRPr="00C9343F">
              <w:t>eligible</w:t>
            </w:r>
            <w:r w:rsidRPr="00C9343F">
              <w:t xml:space="preserve"> to take as a public holiday</w:t>
            </w:r>
            <w:r w:rsidR="004B64C6" w:rsidRPr="00C9343F">
              <w:t>.</w:t>
            </w:r>
          </w:p>
          <w:p w14:paraId="560BFD49" w14:textId="77777777" w:rsidR="00AF060B" w:rsidRPr="00C9343F" w:rsidRDefault="004B64C6" w:rsidP="00F66D98">
            <w:pPr>
              <w:pStyle w:val="BlockText-Plain"/>
            </w:pPr>
            <w:r w:rsidRPr="00C9343F">
              <w:rPr>
                <w:b/>
              </w:rPr>
              <w:t>See:</w:t>
            </w:r>
            <w:r w:rsidRPr="00C9343F">
              <w:rPr>
                <w:b/>
              </w:rPr>
              <w:br/>
            </w:r>
            <w:r w:rsidR="00AF060B" w:rsidRPr="00C9343F">
              <w:t>Chapter 5 Part 1</w:t>
            </w:r>
            <w:r w:rsidR="00B95409" w:rsidRPr="00C9343F">
              <w:t>2</w:t>
            </w:r>
            <w:r w:rsidR="00AF060B" w:rsidRPr="00C9343F">
              <w:t>, Public holidays – Australia</w:t>
            </w:r>
            <w:r w:rsidRPr="00C9343F">
              <w:br/>
              <w:t>Chapter 15 Part 1 section 15.1.4, Public holidays overseas</w:t>
            </w:r>
          </w:p>
        </w:tc>
      </w:tr>
    </w:tbl>
    <w:p w14:paraId="2604CC92" w14:textId="4C9277D5" w:rsidR="00AF060B" w:rsidRPr="00C9343F" w:rsidRDefault="00AF060B" w:rsidP="00F66D98">
      <w:pPr>
        <w:pStyle w:val="Heading5"/>
      </w:pPr>
      <w:bookmarkStart w:id="138" w:name="_Toc105053538"/>
      <w:r w:rsidRPr="00C9343F">
        <w:t>1.3.</w:t>
      </w:r>
      <w:r w:rsidR="001B149A" w:rsidRPr="00C9343F">
        <w:t>62</w:t>
      </w:r>
      <w:r w:rsidR="00D94006" w:rsidRPr="00C9343F">
        <w:t>    </w:t>
      </w:r>
      <w:r w:rsidRPr="00C9343F">
        <w:t>Public transport</w:t>
      </w:r>
      <w:bookmarkEnd w:id="138"/>
    </w:p>
    <w:tbl>
      <w:tblPr>
        <w:tblW w:w="9355" w:type="dxa"/>
        <w:tblInd w:w="113" w:type="dxa"/>
        <w:tblLayout w:type="fixed"/>
        <w:tblLook w:val="0000" w:firstRow="0" w:lastRow="0" w:firstColumn="0" w:lastColumn="0" w:noHBand="0" w:noVBand="0"/>
      </w:tblPr>
      <w:tblGrid>
        <w:gridCol w:w="992"/>
        <w:gridCol w:w="8363"/>
      </w:tblGrid>
      <w:tr w:rsidR="00AF060B" w:rsidRPr="00C9343F" w14:paraId="3EAC9BEB" w14:textId="77777777" w:rsidTr="00F9044B">
        <w:tc>
          <w:tcPr>
            <w:tcW w:w="992" w:type="dxa"/>
          </w:tcPr>
          <w:p w14:paraId="2128CAF7" w14:textId="77777777" w:rsidR="00AF060B" w:rsidRPr="00C9343F" w:rsidRDefault="00AF060B" w:rsidP="00F66D98">
            <w:pPr>
              <w:pStyle w:val="BlockText-Plain"/>
              <w:jc w:val="center"/>
            </w:pPr>
          </w:p>
        </w:tc>
        <w:tc>
          <w:tcPr>
            <w:tcW w:w="8363" w:type="dxa"/>
          </w:tcPr>
          <w:p w14:paraId="34FF3BF9" w14:textId="77777777" w:rsidR="00AF060B" w:rsidRPr="00C9343F" w:rsidRDefault="00AF060B" w:rsidP="00F66D98">
            <w:pPr>
              <w:pStyle w:val="BlockText-Plain"/>
            </w:pPr>
            <w:r w:rsidRPr="00C9343F">
              <w:t>Public transport means transport available to the public by regular services over fixed routes.</w:t>
            </w:r>
          </w:p>
        </w:tc>
      </w:tr>
    </w:tbl>
    <w:p w14:paraId="796C6D9A" w14:textId="77777777" w:rsidR="00F9044B" w:rsidRPr="00C9343F" w:rsidRDefault="00F9044B" w:rsidP="00F9044B">
      <w:pPr>
        <w:pStyle w:val="Heading5"/>
      </w:pPr>
      <w:bookmarkStart w:id="139" w:name="R"/>
      <w:bookmarkStart w:id="140" w:name="_Toc105053539"/>
      <w:bookmarkStart w:id="141" w:name="_Hlk45134868"/>
      <w:bookmarkEnd w:id="139"/>
      <w:r w:rsidRPr="00C9343F">
        <w:t>1.3.62A    Quarantine residence</w:t>
      </w:r>
      <w:bookmarkEnd w:id="140"/>
    </w:p>
    <w:tbl>
      <w:tblPr>
        <w:tblW w:w="9360" w:type="dxa"/>
        <w:tblInd w:w="113" w:type="dxa"/>
        <w:tblLayout w:type="fixed"/>
        <w:tblLook w:val="0000" w:firstRow="0" w:lastRow="0" w:firstColumn="0" w:lastColumn="0" w:noHBand="0" w:noVBand="0"/>
      </w:tblPr>
      <w:tblGrid>
        <w:gridCol w:w="992"/>
        <w:gridCol w:w="8368"/>
      </w:tblGrid>
      <w:tr w:rsidR="00F9044B" w:rsidRPr="00C9343F" w14:paraId="0FCE5D5B" w14:textId="77777777" w:rsidTr="005E243D">
        <w:tc>
          <w:tcPr>
            <w:tcW w:w="992" w:type="dxa"/>
          </w:tcPr>
          <w:p w14:paraId="4FB59A1D" w14:textId="77777777" w:rsidR="00F9044B" w:rsidRPr="00C9343F" w:rsidRDefault="00F9044B" w:rsidP="005E243D">
            <w:pPr>
              <w:pStyle w:val="Sectiontext0"/>
              <w:jc w:val="center"/>
            </w:pPr>
          </w:p>
        </w:tc>
        <w:tc>
          <w:tcPr>
            <w:tcW w:w="8368" w:type="dxa"/>
          </w:tcPr>
          <w:p w14:paraId="04E63D67" w14:textId="77777777" w:rsidR="00F9044B" w:rsidRPr="00C9343F" w:rsidRDefault="00F9044B" w:rsidP="005E243D">
            <w:pPr>
              <w:pStyle w:val="Sectiontext0"/>
            </w:pPr>
            <w:r w:rsidRPr="00C9343F">
              <w:rPr>
                <w:rFonts w:cs="Arial"/>
                <w:b/>
                <w:iCs/>
                <w:lang w:eastAsia="en-US"/>
              </w:rPr>
              <w:t>Quarantine residence</w:t>
            </w:r>
            <w:r w:rsidRPr="00C9343F">
              <w:rPr>
                <w:rFonts w:cs="Arial"/>
                <w:iCs/>
                <w:lang w:eastAsia="en-US"/>
              </w:rPr>
              <w:t xml:space="preserve"> means a residence or other form of accommodation provided for the purpose of undertaking an isolation period.</w:t>
            </w:r>
          </w:p>
        </w:tc>
      </w:tr>
    </w:tbl>
    <w:p w14:paraId="7EE665C0" w14:textId="4557B5E0" w:rsidR="00BD5E5A" w:rsidRPr="00C9343F" w:rsidRDefault="00BD5E5A" w:rsidP="00F66D98">
      <w:pPr>
        <w:pStyle w:val="Heading5"/>
      </w:pPr>
      <w:bookmarkStart w:id="142" w:name="_Toc105053540"/>
      <w:r w:rsidRPr="00C9343F">
        <w:t>1.3.63</w:t>
      </w:r>
      <w:r w:rsidR="00D94006" w:rsidRPr="00C9343F">
        <w:t>    </w:t>
      </w:r>
      <w:r w:rsidRPr="00C9343F">
        <w:t>Rank</w:t>
      </w:r>
      <w:bookmarkEnd w:id="142"/>
    </w:p>
    <w:tbl>
      <w:tblPr>
        <w:tblW w:w="9364" w:type="dxa"/>
        <w:tblInd w:w="108" w:type="dxa"/>
        <w:tblLayout w:type="fixed"/>
        <w:tblLook w:val="0000" w:firstRow="0" w:lastRow="0" w:firstColumn="0" w:lastColumn="0" w:noHBand="0" w:noVBand="0"/>
      </w:tblPr>
      <w:tblGrid>
        <w:gridCol w:w="997"/>
        <w:gridCol w:w="567"/>
        <w:gridCol w:w="7800"/>
      </w:tblGrid>
      <w:tr w:rsidR="00BD5E5A" w:rsidRPr="00C9343F" w14:paraId="14687BAA" w14:textId="77777777" w:rsidTr="00B15186">
        <w:tc>
          <w:tcPr>
            <w:tcW w:w="997" w:type="dxa"/>
          </w:tcPr>
          <w:p w14:paraId="67DA7FB8" w14:textId="77777777" w:rsidR="00BD5E5A" w:rsidRPr="00C9343F" w:rsidRDefault="00BD5E5A" w:rsidP="00F66D98">
            <w:pPr>
              <w:pStyle w:val="BlockText-Plain"/>
              <w:jc w:val="center"/>
            </w:pPr>
          </w:p>
        </w:tc>
        <w:tc>
          <w:tcPr>
            <w:tcW w:w="8367" w:type="dxa"/>
            <w:gridSpan w:val="2"/>
          </w:tcPr>
          <w:p w14:paraId="4462912E" w14:textId="77777777" w:rsidR="00BD5E5A" w:rsidRPr="00C9343F" w:rsidRDefault="00BD5E5A" w:rsidP="00F66D98">
            <w:pPr>
              <w:pStyle w:val="BlockText-Plain"/>
            </w:pPr>
            <w:r w:rsidRPr="00C9343F">
              <w:t>Rank includes the following, unless otherwise specified, but does not include a rank that is to be held as an honorary rank.</w:t>
            </w:r>
          </w:p>
        </w:tc>
      </w:tr>
      <w:tr w:rsidR="00BD5E5A" w:rsidRPr="00C9343F" w14:paraId="4E0EB825" w14:textId="77777777" w:rsidTr="00B15186">
        <w:tblPrEx>
          <w:tblLook w:val="04A0" w:firstRow="1" w:lastRow="0" w:firstColumn="1" w:lastColumn="0" w:noHBand="0" w:noVBand="1"/>
        </w:tblPrEx>
        <w:tc>
          <w:tcPr>
            <w:tcW w:w="997" w:type="dxa"/>
          </w:tcPr>
          <w:p w14:paraId="075CD618" w14:textId="77777777" w:rsidR="00BD5E5A" w:rsidRPr="00C9343F" w:rsidRDefault="00BD5E5A" w:rsidP="00F66D98">
            <w:pPr>
              <w:pStyle w:val="Sectiontext0"/>
              <w:jc w:val="center"/>
              <w:rPr>
                <w:lang w:eastAsia="en-US"/>
              </w:rPr>
            </w:pPr>
          </w:p>
        </w:tc>
        <w:tc>
          <w:tcPr>
            <w:tcW w:w="567" w:type="dxa"/>
          </w:tcPr>
          <w:p w14:paraId="0F8E0614" w14:textId="77777777" w:rsidR="00BD5E5A" w:rsidRPr="00C9343F" w:rsidRDefault="00BD5E5A" w:rsidP="00F66D98">
            <w:pPr>
              <w:pStyle w:val="Sectiontext0"/>
              <w:jc w:val="center"/>
              <w:rPr>
                <w:rFonts w:cs="Arial"/>
                <w:lang w:eastAsia="en-US"/>
              </w:rPr>
            </w:pPr>
            <w:r w:rsidRPr="00C9343F">
              <w:rPr>
                <w:rFonts w:cs="Arial"/>
                <w:lang w:eastAsia="en-US"/>
              </w:rPr>
              <w:t>a.</w:t>
            </w:r>
          </w:p>
        </w:tc>
        <w:tc>
          <w:tcPr>
            <w:tcW w:w="7800" w:type="dxa"/>
          </w:tcPr>
          <w:p w14:paraId="568BD8F3" w14:textId="77777777" w:rsidR="00BD5E5A" w:rsidRPr="00C9343F" w:rsidRDefault="00BD5E5A" w:rsidP="00F66D98">
            <w:pPr>
              <w:pStyle w:val="Sectiontext0"/>
              <w:rPr>
                <w:rFonts w:cs="Arial"/>
                <w:lang w:eastAsia="en-US"/>
              </w:rPr>
            </w:pPr>
            <w:r w:rsidRPr="00C9343F">
              <w:t>For a Chaplain — division.</w:t>
            </w:r>
          </w:p>
        </w:tc>
      </w:tr>
      <w:tr w:rsidR="00BD5E5A" w:rsidRPr="00C9343F" w14:paraId="4B7F5EA2" w14:textId="77777777" w:rsidTr="00B15186">
        <w:tblPrEx>
          <w:tblLook w:val="04A0" w:firstRow="1" w:lastRow="0" w:firstColumn="1" w:lastColumn="0" w:noHBand="0" w:noVBand="1"/>
        </w:tblPrEx>
        <w:tc>
          <w:tcPr>
            <w:tcW w:w="997" w:type="dxa"/>
          </w:tcPr>
          <w:p w14:paraId="25BB436D" w14:textId="77777777" w:rsidR="00BD5E5A" w:rsidRPr="00C9343F" w:rsidRDefault="00BD5E5A" w:rsidP="00F66D98">
            <w:pPr>
              <w:pStyle w:val="Sectiontext0"/>
              <w:jc w:val="center"/>
              <w:rPr>
                <w:lang w:eastAsia="en-US"/>
              </w:rPr>
            </w:pPr>
          </w:p>
        </w:tc>
        <w:tc>
          <w:tcPr>
            <w:tcW w:w="567" w:type="dxa"/>
          </w:tcPr>
          <w:p w14:paraId="1C167A3A" w14:textId="77777777" w:rsidR="00BD5E5A" w:rsidRPr="00C9343F" w:rsidRDefault="00BD5E5A" w:rsidP="00F66D98">
            <w:pPr>
              <w:pStyle w:val="Sectiontext0"/>
              <w:jc w:val="center"/>
              <w:rPr>
                <w:rFonts w:cs="Arial"/>
                <w:lang w:eastAsia="en-US"/>
              </w:rPr>
            </w:pPr>
            <w:r w:rsidRPr="00C9343F">
              <w:rPr>
                <w:rFonts w:cs="Arial"/>
                <w:lang w:eastAsia="en-US"/>
              </w:rPr>
              <w:t>b.</w:t>
            </w:r>
          </w:p>
        </w:tc>
        <w:tc>
          <w:tcPr>
            <w:tcW w:w="7800" w:type="dxa"/>
          </w:tcPr>
          <w:p w14:paraId="255BBD71" w14:textId="77777777" w:rsidR="00BD5E5A" w:rsidRPr="00C9343F" w:rsidRDefault="00BD5E5A" w:rsidP="00F66D98">
            <w:pPr>
              <w:pStyle w:val="Sectiontext0"/>
            </w:pPr>
            <w:r w:rsidRPr="00C9343F">
              <w:t>For a Maritime Spiritual Wellbeing Officer — class.</w:t>
            </w:r>
          </w:p>
        </w:tc>
      </w:tr>
    </w:tbl>
    <w:p w14:paraId="705E4ABC" w14:textId="1997968C" w:rsidR="00AF060B" w:rsidRPr="00C9343F" w:rsidRDefault="00AF060B" w:rsidP="00F66D98">
      <w:pPr>
        <w:pStyle w:val="Heading5"/>
      </w:pPr>
      <w:bookmarkStart w:id="143" w:name="_Toc105053541"/>
      <w:bookmarkEnd w:id="141"/>
      <w:r w:rsidRPr="00C9343F">
        <w:t>1.3.6</w:t>
      </w:r>
      <w:r w:rsidR="001B149A" w:rsidRPr="00C9343F">
        <w:t>4</w:t>
      </w:r>
      <w:r w:rsidR="00D94006" w:rsidRPr="00C9343F">
        <w:t>    </w:t>
      </w:r>
      <w:r w:rsidRPr="00C9343F">
        <w:t>Refitting port</w:t>
      </w:r>
      <w:bookmarkEnd w:id="143"/>
    </w:p>
    <w:tbl>
      <w:tblPr>
        <w:tblW w:w="0" w:type="auto"/>
        <w:tblInd w:w="113" w:type="dxa"/>
        <w:tblLayout w:type="fixed"/>
        <w:tblLook w:val="0000" w:firstRow="0" w:lastRow="0" w:firstColumn="0" w:lastColumn="0" w:noHBand="0" w:noVBand="0"/>
      </w:tblPr>
      <w:tblGrid>
        <w:gridCol w:w="992"/>
        <w:gridCol w:w="8363"/>
      </w:tblGrid>
      <w:tr w:rsidR="00AF060B" w:rsidRPr="00C9343F" w14:paraId="713AD014" w14:textId="77777777">
        <w:tc>
          <w:tcPr>
            <w:tcW w:w="992" w:type="dxa"/>
          </w:tcPr>
          <w:p w14:paraId="6C65FEFD" w14:textId="77777777" w:rsidR="00AF060B" w:rsidRPr="00C9343F" w:rsidRDefault="00AF060B" w:rsidP="00F66D98">
            <w:pPr>
              <w:pStyle w:val="BlockText-Plain"/>
              <w:jc w:val="center"/>
            </w:pPr>
          </w:p>
        </w:tc>
        <w:tc>
          <w:tcPr>
            <w:tcW w:w="8363" w:type="dxa"/>
          </w:tcPr>
          <w:p w14:paraId="1FF410F2" w14:textId="77777777" w:rsidR="00AF060B" w:rsidRPr="00C9343F" w:rsidRDefault="00AB68D4" w:rsidP="00F66D98">
            <w:pPr>
              <w:pStyle w:val="BlockText-Plain"/>
            </w:pPr>
            <w:r w:rsidRPr="00C9343F">
              <w:rPr>
                <w:rFonts w:cs="Arial"/>
                <w:color w:val="000000"/>
                <w:shd w:val="clear" w:color="auto" w:fill="FFFFFF"/>
              </w:rPr>
              <w:t>Refitting port means the port where a seagoing ship or seagoing submarine refits if the port is different to the ship's home port.</w:t>
            </w:r>
          </w:p>
        </w:tc>
      </w:tr>
    </w:tbl>
    <w:p w14:paraId="784D89FF" w14:textId="524D3360" w:rsidR="00AF060B" w:rsidRPr="00C9343F" w:rsidRDefault="00AF060B" w:rsidP="00F66D98">
      <w:pPr>
        <w:pStyle w:val="Heading5"/>
      </w:pPr>
      <w:bookmarkStart w:id="144" w:name="_Toc105053542"/>
      <w:r w:rsidRPr="00C9343F">
        <w:t>1.3.6</w:t>
      </w:r>
      <w:r w:rsidR="001B149A" w:rsidRPr="00C9343F">
        <w:t>5</w:t>
      </w:r>
      <w:r w:rsidR="00D94006" w:rsidRPr="00C9343F">
        <w:t>    </w:t>
      </w:r>
      <w:r w:rsidRPr="00C9343F">
        <w:t>Remote location</w:t>
      </w:r>
      <w:bookmarkEnd w:id="144"/>
    </w:p>
    <w:tbl>
      <w:tblPr>
        <w:tblW w:w="0" w:type="auto"/>
        <w:tblInd w:w="113" w:type="dxa"/>
        <w:tblLayout w:type="fixed"/>
        <w:tblLook w:val="0000" w:firstRow="0" w:lastRow="0" w:firstColumn="0" w:lastColumn="0" w:noHBand="0" w:noVBand="0"/>
      </w:tblPr>
      <w:tblGrid>
        <w:gridCol w:w="992"/>
        <w:gridCol w:w="8363"/>
      </w:tblGrid>
      <w:tr w:rsidR="00AF060B" w:rsidRPr="00C9343F" w14:paraId="0861582E" w14:textId="77777777">
        <w:tc>
          <w:tcPr>
            <w:tcW w:w="992" w:type="dxa"/>
          </w:tcPr>
          <w:p w14:paraId="51B3E9DB" w14:textId="77777777" w:rsidR="00AF060B" w:rsidRPr="00C9343F" w:rsidRDefault="00AF060B" w:rsidP="00F66D98">
            <w:pPr>
              <w:pStyle w:val="BlockText-Plain"/>
              <w:jc w:val="center"/>
            </w:pPr>
          </w:p>
        </w:tc>
        <w:tc>
          <w:tcPr>
            <w:tcW w:w="8363" w:type="dxa"/>
          </w:tcPr>
          <w:p w14:paraId="7E1F57E3" w14:textId="77777777" w:rsidR="00AF060B" w:rsidRPr="00C9343F" w:rsidRDefault="00AF060B" w:rsidP="00F66D98">
            <w:pPr>
              <w:pStyle w:val="BlockText-Plain"/>
            </w:pPr>
            <w:r w:rsidRPr="00C9343F">
              <w:t>Remote location means a location listed in Annex 4.4.A.</w:t>
            </w:r>
          </w:p>
          <w:p w14:paraId="137B9DCC" w14:textId="77777777" w:rsidR="001B149A" w:rsidRPr="00C9343F" w:rsidRDefault="001B149A" w:rsidP="00F66D98">
            <w:pPr>
              <w:pStyle w:val="BlockText-Plain"/>
            </w:pPr>
            <w:r w:rsidRPr="00C9343F">
              <w:rPr>
                <w:b/>
              </w:rPr>
              <w:t xml:space="preserve">See: </w:t>
            </w:r>
            <w:r w:rsidRPr="00C9343F">
              <w:t>Chapter 4 Part 4 Annex 4.4.A, Remote locations for ADF district allowance</w:t>
            </w:r>
          </w:p>
        </w:tc>
      </w:tr>
    </w:tbl>
    <w:p w14:paraId="1980919D" w14:textId="7B348C25" w:rsidR="00AF060B" w:rsidRPr="00C9343F" w:rsidRDefault="00AF060B" w:rsidP="00F66D98">
      <w:pPr>
        <w:pStyle w:val="Heading5"/>
      </w:pPr>
      <w:bookmarkStart w:id="145" w:name="_Toc105053543"/>
      <w:r w:rsidRPr="00C9343F">
        <w:t>1.3.6</w:t>
      </w:r>
      <w:r w:rsidR="001B149A" w:rsidRPr="00C9343F">
        <w:t>6</w:t>
      </w:r>
      <w:r w:rsidR="00D94006" w:rsidRPr="00C9343F">
        <w:t>    </w:t>
      </w:r>
      <w:r w:rsidRPr="00C9343F">
        <w:t>Removal</w:t>
      </w:r>
      <w:bookmarkEnd w:id="145"/>
    </w:p>
    <w:tbl>
      <w:tblPr>
        <w:tblW w:w="9355" w:type="dxa"/>
        <w:tblInd w:w="113" w:type="dxa"/>
        <w:tblLayout w:type="fixed"/>
        <w:tblLook w:val="0000" w:firstRow="0" w:lastRow="0" w:firstColumn="0" w:lastColumn="0" w:noHBand="0" w:noVBand="0"/>
      </w:tblPr>
      <w:tblGrid>
        <w:gridCol w:w="992"/>
        <w:gridCol w:w="8363"/>
      </w:tblGrid>
      <w:tr w:rsidR="00AF060B" w:rsidRPr="00C9343F" w14:paraId="483D51F9" w14:textId="77777777" w:rsidTr="00C317D9">
        <w:tc>
          <w:tcPr>
            <w:tcW w:w="992" w:type="dxa"/>
          </w:tcPr>
          <w:p w14:paraId="745EF0A6" w14:textId="77777777" w:rsidR="00AF060B" w:rsidRPr="00C9343F" w:rsidRDefault="00AF060B" w:rsidP="00F66D98">
            <w:pPr>
              <w:pStyle w:val="BlockText-Plain"/>
              <w:jc w:val="center"/>
            </w:pPr>
          </w:p>
        </w:tc>
        <w:tc>
          <w:tcPr>
            <w:tcW w:w="8363" w:type="dxa"/>
          </w:tcPr>
          <w:p w14:paraId="79430E7B" w14:textId="77777777" w:rsidR="00AF060B" w:rsidRPr="00C9343F" w:rsidRDefault="00AF060B" w:rsidP="00F66D98">
            <w:pPr>
              <w:pStyle w:val="BlockText-Plain"/>
            </w:pPr>
            <w:r w:rsidRPr="00C9343F">
              <w:t>Removal means a removal by a Commonwealth removalist.</w:t>
            </w:r>
          </w:p>
          <w:p w14:paraId="1C8F8065" w14:textId="77777777" w:rsidR="00AF060B" w:rsidRPr="00C9343F" w:rsidRDefault="00AF060B" w:rsidP="00F66D98">
            <w:pPr>
              <w:pStyle w:val="BlockText-Plain"/>
            </w:pPr>
            <w:r w:rsidRPr="00C9343F">
              <w:rPr>
                <w:b/>
              </w:rPr>
              <w:lastRenderedPageBreak/>
              <w:t>See:</w:t>
            </w:r>
            <w:r w:rsidRPr="00C9343F">
              <w:t xml:space="preserve"> </w:t>
            </w:r>
            <w:r w:rsidR="00580C86" w:rsidRPr="00C9343F">
              <w:t>Section</w:t>
            </w:r>
            <w:r w:rsidRPr="00C9343F">
              <w:t xml:space="preserve"> 1.3.12, Commonwealth removalist</w:t>
            </w:r>
          </w:p>
        </w:tc>
      </w:tr>
    </w:tbl>
    <w:p w14:paraId="60F61BB7" w14:textId="29F6B909" w:rsidR="00C317D9" w:rsidRPr="00C9343F" w:rsidRDefault="00C317D9" w:rsidP="00F66D98">
      <w:pPr>
        <w:pStyle w:val="Heading5"/>
        <w:rPr>
          <w:bCs/>
        </w:rPr>
      </w:pPr>
      <w:bookmarkStart w:id="146" w:name="Reserve"/>
      <w:bookmarkStart w:id="147" w:name="_Toc105053544"/>
      <w:bookmarkEnd w:id="146"/>
      <w:r w:rsidRPr="00C9343F">
        <w:rPr>
          <w:bCs/>
        </w:rPr>
        <w:lastRenderedPageBreak/>
        <w:t>1.3.66A</w:t>
      </w:r>
      <w:r w:rsidR="00D94006" w:rsidRPr="00C9343F">
        <w:rPr>
          <w:bCs/>
        </w:rPr>
        <w:t>    </w:t>
      </w:r>
      <w:r w:rsidRPr="00C9343F">
        <w:rPr>
          <w:bCs/>
        </w:rPr>
        <w:t>Required to isolate</w:t>
      </w:r>
      <w:bookmarkEnd w:id="147"/>
    </w:p>
    <w:tbl>
      <w:tblPr>
        <w:tblW w:w="9360" w:type="dxa"/>
        <w:tblInd w:w="113" w:type="dxa"/>
        <w:tblLayout w:type="fixed"/>
        <w:tblLook w:val="04A0" w:firstRow="1" w:lastRow="0" w:firstColumn="1" w:lastColumn="0" w:noHBand="0" w:noVBand="1"/>
      </w:tblPr>
      <w:tblGrid>
        <w:gridCol w:w="992"/>
        <w:gridCol w:w="563"/>
        <w:gridCol w:w="7805"/>
      </w:tblGrid>
      <w:tr w:rsidR="00C317D9" w:rsidRPr="00C9343F" w14:paraId="64217F47" w14:textId="77777777" w:rsidTr="00C317D9">
        <w:tc>
          <w:tcPr>
            <w:tcW w:w="992" w:type="dxa"/>
          </w:tcPr>
          <w:p w14:paraId="5C921F95" w14:textId="77777777" w:rsidR="00C317D9" w:rsidRPr="00C9343F" w:rsidRDefault="00C317D9" w:rsidP="00F66D98">
            <w:pPr>
              <w:pStyle w:val="Sectiontext0"/>
              <w:jc w:val="center"/>
              <w:rPr>
                <w:lang w:eastAsia="en-US"/>
              </w:rPr>
            </w:pPr>
          </w:p>
        </w:tc>
        <w:tc>
          <w:tcPr>
            <w:tcW w:w="8367" w:type="dxa"/>
            <w:gridSpan w:val="2"/>
            <w:hideMark/>
          </w:tcPr>
          <w:p w14:paraId="6CD28ABE" w14:textId="77777777" w:rsidR="00C317D9" w:rsidRPr="00C9343F" w:rsidRDefault="00C317D9" w:rsidP="00F66D98">
            <w:pPr>
              <w:pStyle w:val="Sectiontext0"/>
              <w:rPr>
                <w:lang w:eastAsia="en-US"/>
              </w:rPr>
            </w:pPr>
            <w:r w:rsidRPr="00C9343F">
              <w:rPr>
                <w:lang w:eastAsia="en-US"/>
              </w:rPr>
              <w:t>A person is required to isolate themself if the following apply.</w:t>
            </w:r>
          </w:p>
        </w:tc>
      </w:tr>
      <w:tr w:rsidR="00C317D9" w:rsidRPr="00C9343F" w14:paraId="37BCF290" w14:textId="77777777" w:rsidTr="00C317D9">
        <w:tc>
          <w:tcPr>
            <w:tcW w:w="992" w:type="dxa"/>
          </w:tcPr>
          <w:p w14:paraId="741CA221" w14:textId="77777777" w:rsidR="00C317D9" w:rsidRPr="00C9343F" w:rsidRDefault="00C317D9" w:rsidP="00F66D98">
            <w:pPr>
              <w:pStyle w:val="Sectiontext0"/>
              <w:jc w:val="center"/>
              <w:rPr>
                <w:lang w:eastAsia="en-US"/>
              </w:rPr>
            </w:pPr>
          </w:p>
        </w:tc>
        <w:tc>
          <w:tcPr>
            <w:tcW w:w="563" w:type="dxa"/>
            <w:hideMark/>
          </w:tcPr>
          <w:p w14:paraId="0984B5F1" w14:textId="77777777" w:rsidR="00C317D9" w:rsidRPr="00C9343F" w:rsidRDefault="00C317D9" w:rsidP="00F66D98">
            <w:pPr>
              <w:pStyle w:val="Sectiontext0"/>
              <w:jc w:val="center"/>
              <w:rPr>
                <w:rFonts w:cs="Arial"/>
                <w:lang w:eastAsia="en-US"/>
              </w:rPr>
            </w:pPr>
            <w:r w:rsidRPr="00C9343F">
              <w:rPr>
                <w:rFonts w:cs="Arial"/>
                <w:lang w:eastAsia="en-US"/>
              </w:rPr>
              <w:t>a.</w:t>
            </w:r>
          </w:p>
        </w:tc>
        <w:tc>
          <w:tcPr>
            <w:tcW w:w="7804" w:type="dxa"/>
            <w:hideMark/>
          </w:tcPr>
          <w:p w14:paraId="43448C08" w14:textId="77777777" w:rsidR="00C317D9" w:rsidRPr="00C9343F" w:rsidRDefault="00C317D9" w:rsidP="00F66D98">
            <w:pPr>
              <w:pStyle w:val="Sectiontext0"/>
              <w:rPr>
                <w:rFonts w:cs="Arial"/>
                <w:lang w:eastAsia="en-US"/>
              </w:rPr>
            </w:pPr>
            <w:r w:rsidRPr="00C9343F">
              <w:rPr>
                <w:rFonts w:cs="Arial"/>
                <w:lang w:eastAsia="en-US"/>
              </w:rPr>
              <w:t>If the person is in Australia</w:t>
            </w:r>
            <w:r w:rsidRPr="00C9343F">
              <w:rPr>
                <w:iCs/>
              </w:rPr>
              <w:t>, they are required under a law of a State or Territory to isolate themself.  </w:t>
            </w:r>
          </w:p>
        </w:tc>
      </w:tr>
      <w:tr w:rsidR="00C317D9" w:rsidRPr="00C9343F" w14:paraId="66E160F8" w14:textId="77777777" w:rsidTr="00C317D9">
        <w:tc>
          <w:tcPr>
            <w:tcW w:w="992" w:type="dxa"/>
          </w:tcPr>
          <w:p w14:paraId="66B2481D" w14:textId="77777777" w:rsidR="00C317D9" w:rsidRPr="00C9343F" w:rsidRDefault="00C317D9" w:rsidP="00F66D98">
            <w:pPr>
              <w:pStyle w:val="Sectiontext0"/>
              <w:jc w:val="center"/>
              <w:rPr>
                <w:lang w:eastAsia="en-US"/>
              </w:rPr>
            </w:pPr>
          </w:p>
        </w:tc>
        <w:tc>
          <w:tcPr>
            <w:tcW w:w="563" w:type="dxa"/>
            <w:hideMark/>
          </w:tcPr>
          <w:p w14:paraId="60857D84" w14:textId="77777777" w:rsidR="00C317D9" w:rsidRPr="00C9343F" w:rsidRDefault="00C317D9" w:rsidP="00F66D98">
            <w:pPr>
              <w:pStyle w:val="Sectiontext0"/>
              <w:jc w:val="center"/>
              <w:rPr>
                <w:rFonts w:cs="Arial"/>
                <w:lang w:eastAsia="en-US"/>
              </w:rPr>
            </w:pPr>
            <w:r w:rsidRPr="00C9343F">
              <w:rPr>
                <w:rFonts w:cs="Arial"/>
                <w:lang w:eastAsia="en-US"/>
              </w:rPr>
              <w:t>b.</w:t>
            </w:r>
          </w:p>
        </w:tc>
        <w:tc>
          <w:tcPr>
            <w:tcW w:w="7804" w:type="dxa"/>
            <w:hideMark/>
          </w:tcPr>
          <w:p w14:paraId="7C2D09E4" w14:textId="77777777" w:rsidR="00C317D9" w:rsidRPr="00C9343F" w:rsidRDefault="00C317D9" w:rsidP="00F66D98">
            <w:pPr>
              <w:pStyle w:val="Sectiontext0"/>
              <w:rPr>
                <w:rFonts w:cs="Arial"/>
                <w:lang w:eastAsia="en-US"/>
              </w:rPr>
            </w:pPr>
            <w:r w:rsidRPr="00C9343F">
              <w:rPr>
                <w:rFonts w:cs="Arial"/>
                <w:lang w:eastAsia="en-US"/>
              </w:rPr>
              <w:t>If the person is on a long-term posting overseas or short-term duty overseas, or accompanying a member on a long-term posting overseas or short-term duty overseas, and they are required under a law of a State or Territory, or a law of a foreign government, to isolate themself.</w:t>
            </w:r>
          </w:p>
        </w:tc>
      </w:tr>
      <w:tr w:rsidR="00C317D9" w:rsidRPr="00C9343F" w14:paraId="745486EE" w14:textId="77777777" w:rsidTr="00C317D9">
        <w:tc>
          <w:tcPr>
            <w:tcW w:w="992" w:type="dxa"/>
          </w:tcPr>
          <w:p w14:paraId="6F51EEB8" w14:textId="77777777" w:rsidR="00C317D9" w:rsidRPr="00C9343F" w:rsidRDefault="00C317D9" w:rsidP="00F66D98">
            <w:pPr>
              <w:pStyle w:val="Sectiontext0"/>
              <w:jc w:val="center"/>
              <w:rPr>
                <w:lang w:eastAsia="en-US"/>
              </w:rPr>
            </w:pPr>
          </w:p>
        </w:tc>
        <w:tc>
          <w:tcPr>
            <w:tcW w:w="8367" w:type="dxa"/>
            <w:gridSpan w:val="2"/>
            <w:hideMark/>
          </w:tcPr>
          <w:p w14:paraId="354006E0" w14:textId="77777777" w:rsidR="00C317D9" w:rsidRPr="00C9343F" w:rsidRDefault="00C317D9" w:rsidP="00F66D98">
            <w:pPr>
              <w:pStyle w:val="Sectiontext0"/>
              <w:rPr>
                <w:rFonts w:cs="Arial"/>
                <w:lang w:eastAsia="en-US"/>
              </w:rPr>
            </w:pPr>
            <w:r w:rsidRPr="00C9343F">
              <w:rPr>
                <w:b/>
                <w:iCs/>
              </w:rPr>
              <w:t>Note:</w:t>
            </w:r>
            <w:r w:rsidRPr="00C9343F">
              <w:rPr>
                <w:iCs/>
              </w:rPr>
              <w:t> Isolation may also be known as quarantine. </w:t>
            </w:r>
          </w:p>
        </w:tc>
      </w:tr>
    </w:tbl>
    <w:p w14:paraId="2EECAA00" w14:textId="776540C6" w:rsidR="00AF060B" w:rsidRPr="00C9343F" w:rsidRDefault="00AF060B" w:rsidP="00F66D98">
      <w:pPr>
        <w:pStyle w:val="Heading5"/>
      </w:pPr>
      <w:bookmarkStart w:id="148" w:name="_Toc105053545"/>
      <w:r w:rsidRPr="00C9343F">
        <w:t>1.3.6</w:t>
      </w:r>
      <w:r w:rsidR="001B149A" w:rsidRPr="00C9343F">
        <w:t>7</w:t>
      </w:r>
      <w:r w:rsidR="00D94006" w:rsidRPr="00C9343F">
        <w:t>    </w:t>
      </w:r>
      <w:r w:rsidRPr="00C9343F">
        <w:t>Reserve service</w:t>
      </w:r>
      <w:bookmarkEnd w:id="148"/>
    </w:p>
    <w:tbl>
      <w:tblPr>
        <w:tblW w:w="0" w:type="auto"/>
        <w:tblInd w:w="113" w:type="dxa"/>
        <w:tblLayout w:type="fixed"/>
        <w:tblLook w:val="0000" w:firstRow="0" w:lastRow="0" w:firstColumn="0" w:lastColumn="0" w:noHBand="0" w:noVBand="0"/>
      </w:tblPr>
      <w:tblGrid>
        <w:gridCol w:w="992"/>
        <w:gridCol w:w="8363"/>
      </w:tblGrid>
      <w:tr w:rsidR="00AF060B" w:rsidRPr="00C9343F" w14:paraId="6953F534" w14:textId="77777777">
        <w:tc>
          <w:tcPr>
            <w:tcW w:w="992" w:type="dxa"/>
          </w:tcPr>
          <w:p w14:paraId="4842879C" w14:textId="77777777" w:rsidR="00AF060B" w:rsidRPr="00C9343F" w:rsidRDefault="00AF060B" w:rsidP="00F66D98">
            <w:pPr>
              <w:pStyle w:val="BlockText-Plain"/>
              <w:jc w:val="center"/>
            </w:pPr>
          </w:p>
        </w:tc>
        <w:tc>
          <w:tcPr>
            <w:tcW w:w="8363" w:type="dxa"/>
          </w:tcPr>
          <w:p w14:paraId="3B593BB2" w14:textId="77777777" w:rsidR="00AF060B" w:rsidRPr="00C9343F" w:rsidRDefault="00315084" w:rsidP="00F66D98">
            <w:pPr>
              <w:pStyle w:val="BlockText-Plain"/>
            </w:pPr>
            <w:r w:rsidRPr="00C9343F">
              <w:t>Reserve service means a period of service performed by a member of the Reserves that is not continuous full-time service.</w:t>
            </w:r>
          </w:p>
        </w:tc>
      </w:tr>
      <w:tr w:rsidR="00315084" w:rsidRPr="00C9343F" w14:paraId="54BF8E4F" w14:textId="77777777">
        <w:tc>
          <w:tcPr>
            <w:tcW w:w="992" w:type="dxa"/>
          </w:tcPr>
          <w:p w14:paraId="54F2A80D" w14:textId="77777777" w:rsidR="00315084" w:rsidRPr="00C9343F" w:rsidRDefault="00315084" w:rsidP="00F66D98">
            <w:pPr>
              <w:pStyle w:val="BlockText-Plain"/>
              <w:jc w:val="center"/>
            </w:pPr>
          </w:p>
        </w:tc>
        <w:tc>
          <w:tcPr>
            <w:tcW w:w="8363" w:type="dxa"/>
          </w:tcPr>
          <w:p w14:paraId="7C25E498" w14:textId="77777777" w:rsidR="00315084" w:rsidRPr="00C9343F" w:rsidRDefault="00315084" w:rsidP="00F66D98">
            <w:pPr>
              <w:pStyle w:val="BlockText-Plain"/>
            </w:pPr>
            <w:r w:rsidRPr="00C9343F">
              <w:rPr>
                <w:b/>
              </w:rPr>
              <w:t>See:</w:t>
            </w:r>
            <w:r w:rsidRPr="00C9343F">
              <w:t xml:space="preserve"> Section 1.3.15, Continuous full-time service</w:t>
            </w:r>
          </w:p>
        </w:tc>
      </w:tr>
    </w:tbl>
    <w:p w14:paraId="53C3468A" w14:textId="1DA09B8B" w:rsidR="00835A83" w:rsidRPr="00C9343F" w:rsidRDefault="00835A83" w:rsidP="00F66D98">
      <w:pPr>
        <w:pStyle w:val="Heading5"/>
      </w:pPr>
      <w:bookmarkStart w:id="149" w:name="_Toc105053546"/>
      <w:r w:rsidRPr="00C9343F">
        <w:t>1.3.68</w:t>
      </w:r>
      <w:r w:rsidR="00D94006" w:rsidRPr="00C9343F">
        <w:t>    </w:t>
      </w:r>
      <w:r w:rsidRPr="00C9343F">
        <w:t>Restricted destination</w:t>
      </w:r>
      <w:bookmarkEnd w:id="149"/>
    </w:p>
    <w:tbl>
      <w:tblPr>
        <w:tblW w:w="9359" w:type="dxa"/>
        <w:tblInd w:w="113" w:type="dxa"/>
        <w:tblLayout w:type="fixed"/>
        <w:tblLook w:val="0000" w:firstRow="0" w:lastRow="0" w:firstColumn="0" w:lastColumn="0" w:noHBand="0" w:noVBand="0"/>
      </w:tblPr>
      <w:tblGrid>
        <w:gridCol w:w="992"/>
        <w:gridCol w:w="563"/>
        <w:gridCol w:w="7804"/>
      </w:tblGrid>
      <w:tr w:rsidR="00835A83" w:rsidRPr="00C9343F" w14:paraId="23D76C4C" w14:textId="77777777" w:rsidTr="00AA28FC">
        <w:tc>
          <w:tcPr>
            <w:tcW w:w="992" w:type="dxa"/>
          </w:tcPr>
          <w:p w14:paraId="0575EDCF" w14:textId="77777777" w:rsidR="00835A83" w:rsidRPr="00C9343F" w:rsidRDefault="00835A83" w:rsidP="00F66D98">
            <w:pPr>
              <w:pStyle w:val="Sectiontext0"/>
              <w:jc w:val="center"/>
            </w:pPr>
          </w:p>
        </w:tc>
        <w:tc>
          <w:tcPr>
            <w:tcW w:w="8367" w:type="dxa"/>
            <w:gridSpan w:val="2"/>
          </w:tcPr>
          <w:p w14:paraId="1830D13A" w14:textId="77777777" w:rsidR="00835A83" w:rsidRPr="00C9343F" w:rsidRDefault="00835A83" w:rsidP="00F66D98">
            <w:pPr>
              <w:pStyle w:val="Sectiontext0"/>
            </w:pPr>
            <w:r w:rsidRPr="00C9343F">
              <w:t>Restricted destination means any of the following.</w:t>
            </w:r>
          </w:p>
        </w:tc>
      </w:tr>
      <w:tr w:rsidR="00835A83" w:rsidRPr="00C9343F" w14:paraId="5AB98CBA" w14:textId="77777777" w:rsidTr="00AA28FC">
        <w:tblPrEx>
          <w:tblLook w:val="04A0" w:firstRow="1" w:lastRow="0" w:firstColumn="1" w:lastColumn="0" w:noHBand="0" w:noVBand="1"/>
        </w:tblPrEx>
        <w:tc>
          <w:tcPr>
            <w:tcW w:w="992" w:type="dxa"/>
          </w:tcPr>
          <w:p w14:paraId="1A626B5D" w14:textId="77777777" w:rsidR="00835A83" w:rsidRPr="00C9343F" w:rsidRDefault="00835A83" w:rsidP="00F66D98">
            <w:pPr>
              <w:pStyle w:val="Sectiontext0"/>
              <w:jc w:val="center"/>
              <w:rPr>
                <w:lang w:eastAsia="en-US"/>
              </w:rPr>
            </w:pPr>
          </w:p>
        </w:tc>
        <w:tc>
          <w:tcPr>
            <w:tcW w:w="563" w:type="dxa"/>
            <w:hideMark/>
          </w:tcPr>
          <w:p w14:paraId="4CBD9AC3" w14:textId="77777777" w:rsidR="00835A83" w:rsidRPr="00C9343F" w:rsidRDefault="00835A83" w:rsidP="007114B1">
            <w:pPr>
              <w:pStyle w:val="Sectiontext0"/>
              <w:jc w:val="center"/>
              <w:rPr>
                <w:rFonts w:cs="Arial"/>
                <w:lang w:eastAsia="en-US"/>
              </w:rPr>
            </w:pPr>
            <w:r w:rsidRPr="00C9343F">
              <w:rPr>
                <w:rFonts w:cs="Arial"/>
                <w:lang w:eastAsia="en-US"/>
              </w:rPr>
              <w:t>a.</w:t>
            </w:r>
          </w:p>
        </w:tc>
        <w:tc>
          <w:tcPr>
            <w:tcW w:w="7804" w:type="dxa"/>
          </w:tcPr>
          <w:p w14:paraId="20E70BB9" w14:textId="77777777" w:rsidR="00835A83" w:rsidRPr="00C9343F" w:rsidRDefault="00835A83" w:rsidP="00F66D98">
            <w:pPr>
              <w:pStyle w:val="Sectiontext0"/>
              <w:rPr>
                <w:rFonts w:cs="Arial"/>
                <w:lang w:eastAsia="en-US"/>
              </w:rPr>
            </w:pPr>
            <w:r w:rsidRPr="00C9343F">
              <w:rPr>
                <w:rFonts w:cs="Arial"/>
                <w:lang w:eastAsia="en-US"/>
              </w:rPr>
              <w:t>Afghanistan.</w:t>
            </w:r>
          </w:p>
        </w:tc>
      </w:tr>
      <w:tr w:rsidR="00835A83" w:rsidRPr="00C9343F" w14:paraId="6C7BA34B" w14:textId="77777777" w:rsidTr="00AA28FC">
        <w:tblPrEx>
          <w:tblLook w:val="04A0" w:firstRow="1" w:lastRow="0" w:firstColumn="1" w:lastColumn="0" w:noHBand="0" w:noVBand="1"/>
        </w:tblPrEx>
        <w:tc>
          <w:tcPr>
            <w:tcW w:w="992" w:type="dxa"/>
          </w:tcPr>
          <w:p w14:paraId="1B589137" w14:textId="77777777" w:rsidR="00835A83" w:rsidRPr="00C9343F" w:rsidRDefault="00835A83" w:rsidP="00F66D98">
            <w:pPr>
              <w:pStyle w:val="Sectiontext0"/>
              <w:jc w:val="center"/>
              <w:rPr>
                <w:lang w:eastAsia="en-US"/>
              </w:rPr>
            </w:pPr>
          </w:p>
        </w:tc>
        <w:tc>
          <w:tcPr>
            <w:tcW w:w="563" w:type="dxa"/>
          </w:tcPr>
          <w:p w14:paraId="2FC7B60F" w14:textId="77777777" w:rsidR="00835A83" w:rsidRPr="00C9343F" w:rsidRDefault="00835A83" w:rsidP="007114B1">
            <w:pPr>
              <w:pStyle w:val="Sectiontext0"/>
              <w:jc w:val="center"/>
              <w:rPr>
                <w:rFonts w:cs="Arial"/>
                <w:lang w:eastAsia="en-US"/>
              </w:rPr>
            </w:pPr>
            <w:r w:rsidRPr="00C9343F">
              <w:rPr>
                <w:rFonts w:cs="Arial"/>
                <w:lang w:eastAsia="en-US"/>
              </w:rPr>
              <w:t>b.</w:t>
            </w:r>
          </w:p>
        </w:tc>
        <w:tc>
          <w:tcPr>
            <w:tcW w:w="7804" w:type="dxa"/>
          </w:tcPr>
          <w:p w14:paraId="1BA03771" w14:textId="77777777" w:rsidR="00835A83" w:rsidRPr="00C9343F" w:rsidRDefault="00835A83" w:rsidP="00F66D98">
            <w:pPr>
              <w:pStyle w:val="Sectiontext0"/>
            </w:pPr>
            <w:r w:rsidRPr="00C9343F">
              <w:rPr>
                <w:rFonts w:cs="Arial"/>
                <w:lang w:eastAsia="en-US"/>
              </w:rPr>
              <w:t>Democratic People’s Republic of Korea.</w:t>
            </w:r>
          </w:p>
        </w:tc>
      </w:tr>
      <w:tr w:rsidR="00835A83" w:rsidRPr="00C9343F" w14:paraId="76A86C37" w14:textId="77777777" w:rsidTr="00AA28FC">
        <w:tblPrEx>
          <w:tblLook w:val="04A0" w:firstRow="1" w:lastRow="0" w:firstColumn="1" w:lastColumn="0" w:noHBand="0" w:noVBand="1"/>
        </w:tblPrEx>
        <w:tc>
          <w:tcPr>
            <w:tcW w:w="992" w:type="dxa"/>
          </w:tcPr>
          <w:p w14:paraId="5E346BC1" w14:textId="77777777" w:rsidR="00835A83" w:rsidRPr="00C9343F" w:rsidRDefault="00835A83" w:rsidP="00F66D98">
            <w:pPr>
              <w:pStyle w:val="Sectiontext0"/>
              <w:jc w:val="center"/>
              <w:rPr>
                <w:lang w:eastAsia="en-US"/>
              </w:rPr>
            </w:pPr>
          </w:p>
        </w:tc>
        <w:tc>
          <w:tcPr>
            <w:tcW w:w="563" w:type="dxa"/>
          </w:tcPr>
          <w:p w14:paraId="1C16C087" w14:textId="77777777" w:rsidR="00835A83" w:rsidRPr="00C9343F" w:rsidRDefault="00835A83" w:rsidP="007114B1">
            <w:pPr>
              <w:pStyle w:val="Sectiontext0"/>
              <w:jc w:val="center"/>
              <w:rPr>
                <w:rFonts w:cs="Arial"/>
                <w:lang w:eastAsia="en-US"/>
              </w:rPr>
            </w:pPr>
            <w:r w:rsidRPr="00C9343F">
              <w:rPr>
                <w:rFonts w:cs="Arial"/>
                <w:lang w:eastAsia="en-US"/>
              </w:rPr>
              <w:t>c.</w:t>
            </w:r>
          </w:p>
        </w:tc>
        <w:tc>
          <w:tcPr>
            <w:tcW w:w="7804" w:type="dxa"/>
          </w:tcPr>
          <w:p w14:paraId="2FE4C6B9" w14:textId="77777777" w:rsidR="00835A83" w:rsidRPr="00C9343F" w:rsidRDefault="00835A83" w:rsidP="00F66D98">
            <w:pPr>
              <w:pStyle w:val="Sectiontext0"/>
            </w:pPr>
            <w:r w:rsidRPr="00C9343F">
              <w:t>Iraq.</w:t>
            </w:r>
          </w:p>
        </w:tc>
      </w:tr>
      <w:tr w:rsidR="00835A83" w:rsidRPr="00C9343F" w14:paraId="60A79CEA" w14:textId="77777777" w:rsidTr="00AA28FC">
        <w:tblPrEx>
          <w:tblLook w:val="04A0" w:firstRow="1" w:lastRow="0" w:firstColumn="1" w:lastColumn="0" w:noHBand="0" w:noVBand="1"/>
        </w:tblPrEx>
        <w:tc>
          <w:tcPr>
            <w:tcW w:w="992" w:type="dxa"/>
          </w:tcPr>
          <w:p w14:paraId="364C5EFC" w14:textId="77777777" w:rsidR="00835A83" w:rsidRPr="00C9343F" w:rsidRDefault="00835A83" w:rsidP="00F66D98">
            <w:pPr>
              <w:pStyle w:val="Sectiontext0"/>
              <w:jc w:val="center"/>
              <w:rPr>
                <w:lang w:eastAsia="en-US"/>
              </w:rPr>
            </w:pPr>
          </w:p>
        </w:tc>
        <w:tc>
          <w:tcPr>
            <w:tcW w:w="563" w:type="dxa"/>
          </w:tcPr>
          <w:p w14:paraId="2AE4BDB1" w14:textId="77777777" w:rsidR="00835A83" w:rsidRPr="00C9343F" w:rsidRDefault="00835A83" w:rsidP="007114B1">
            <w:pPr>
              <w:pStyle w:val="Sectiontext0"/>
              <w:jc w:val="center"/>
              <w:rPr>
                <w:rFonts w:cs="Arial"/>
                <w:lang w:eastAsia="en-US"/>
              </w:rPr>
            </w:pPr>
            <w:r w:rsidRPr="00C9343F">
              <w:rPr>
                <w:rFonts w:cs="Arial"/>
                <w:lang w:eastAsia="en-US"/>
              </w:rPr>
              <w:t>d.</w:t>
            </w:r>
          </w:p>
        </w:tc>
        <w:tc>
          <w:tcPr>
            <w:tcW w:w="7804" w:type="dxa"/>
          </w:tcPr>
          <w:p w14:paraId="244E0878" w14:textId="77777777" w:rsidR="00835A83" w:rsidRPr="00C9343F" w:rsidRDefault="00835A83" w:rsidP="00F66D98">
            <w:pPr>
              <w:pStyle w:val="Sectiontext0"/>
            </w:pPr>
            <w:r w:rsidRPr="00C9343F">
              <w:t>South Sudan.</w:t>
            </w:r>
          </w:p>
        </w:tc>
      </w:tr>
      <w:tr w:rsidR="00835A83" w:rsidRPr="00C9343F" w14:paraId="1730812D" w14:textId="77777777" w:rsidTr="00AA28FC">
        <w:tblPrEx>
          <w:tblLook w:val="04A0" w:firstRow="1" w:lastRow="0" w:firstColumn="1" w:lastColumn="0" w:noHBand="0" w:noVBand="1"/>
        </w:tblPrEx>
        <w:tc>
          <w:tcPr>
            <w:tcW w:w="992" w:type="dxa"/>
          </w:tcPr>
          <w:p w14:paraId="193B9520" w14:textId="77777777" w:rsidR="00835A83" w:rsidRPr="00C9343F" w:rsidRDefault="00835A83" w:rsidP="00F66D98">
            <w:pPr>
              <w:pStyle w:val="Sectiontext0"/>
              <w:jc w:val="center"/>
              <w:rPr>
                <w:lang w:eastAsia="en-US"/>
              </w:rPr>
            </w:pPr>
          </w:p>
        </w:tc>
        <w:tc>
          <w:tcPr>
            <w:tcW w:w="563" w:type="dxa"/>
          </w:tcPr>
          <w:p w14:paraId="1DD4B77B" w14:textId="77777777" w:rsidR="00835A83" w:rsidRPr="00C9343F" w:rsidRDefault="00835A83" w:rsidP="007114B1">
            <w:pPr>
              <w:pStyle w:val="Sectiontext0"/>
              <w:jc w:val="center"/>
              <w:rPr>
                <w:rFonts w:cs="Arial"/>
                <w:lang w:eastAsia="en-US"/>
              </w:rPr>
            </w:pPr>
            <w:r w:rsidRPr="00C9343F">
              <w:rPr>
                <w:rFonts w:cs="Arial"/>
                <w:lang w:eastAsia="en-US"/>
              </w:rPr>
              <w:t>e.</w:t>
            </w:r>
          </w:p>
        </w:tc>
        <w:tc>
          <w:tcPr>
            <w:tcW w:w="7804" w:type="dxa"/>
          </w:tcPr>
          <w:p w14:paraId="048FAEC5" w14:textId="77777777" w:rsidR="00835A83" w:rsidRPr="00C9343F" w:rsidRDefault="00835A83" w:rsidP="00F66D98">
            <w:pPr>
              <w:pStyle w:val="Sectiontext0"/>
            </w:pPr>
            <w:r w:rsidRPr="00C9343F">
              <w:t>Syria.</w:t>
            </w:r>
          </w:p>
        </w:tc>
      </w:tr>
      <w:tr w:rsidR="00835A83" w:rsidRPr="00C9343F" w14:paraId="3E77FAFA" w14:textId="77777777" w:rsidTr="00AA28FC">
        <w:tblPrEx>
          <w:tblLook w:val="04A0" w:firstRow="1" w:lastRow="0" w:firstColumn="1" w:lastColumn="0" w:noHBand="0" w:noVBand="1"/>
        </w:tblPrEx>
        <w:tc>
          <w:tcPr>
            <w:tcW w:w="992" w:type="dxa"/>
          </w:tcPr>
          <w:p w14:paraId="3AD86B5F" w14:textId="77777777" w:rsidR="00835A83" w:rsidRPr="00C9343F" w:rsidRDefault="00835A83" w:rsidP="00F66D98">
            <w:pPr>
              <w:pStyle w:val="Sectiontext0"/>
              <w:jc w:val="center"/>
              <w:rPr>
                <w:lang w:eastAsia="en-US"/>
              </w:rPr>
            </w:pPr>
          </w:p>
        </w:tc>
        <w:tc>
          <w:tcPr>
            <w:tcW w:w="563" w:type="dxa"/>
          </w:tcPr>
          <w:p w14:paraId="1B9BF50E" w14:textId="77777777" w:rsidR="00835A83" w:rsidRPr="00C9343F" w:rsidRDefault="00835A83" w:rsidP="007114B1">
            <w:pPr>
              <w:pStyle w:val="Sectiontext0"/>
              <w:jc w:val="center"/>
              <w:rPr>
                <w:rFonts w:cs="Arial"/>
                <w:lang w:eastAsia="en-US"/>
              </w:rPr>
            </w:pPr>
            <w:r w:rsidRPr="00C9343F">
              <w:rPr>
                <w:rFonts w:cs="Arial"/>
                <w:lang w:eastAsia="en-US"/>
              </w:rPr>
              <w:t>f.</w:t>
            </w:r>
          </w:p>
        </w:tc>
        <w:tc>
          <w:tcPr>
            <w:tcW w:w="7804" w:type="dxa"/>
          </w:tcPr>
          <w:p w14:paraId="4914CFE2" w14:textId="77777777" w:rsidR="00835A83" w:rsidRPr="00C9343F" w:rsidRDefault="00835A83" w:rsidP="00F66D98">
            <w:pPr>
              <w:pStyle w:val="Sectiontext0"/>
            </w:pPr>
            <w:r w:rsidRPr="00C9343F">
              <w:t>Yemen.</w:t>
            </w:r>
          </w:p>
        </w:tc>
      </w:tr>
      <w:tr w:rsidR="00835A83" w:rsidRPr="00C9343F" w14:paraId="58D61D6A" w14:textId="77777777" w:rsidTr="00AA28FC">
        <w:tblPrEx>
          <w:tblLook w:val="04A0" w:firstRow="1" w:lastRow="0" w:firstColumn="1" w:lastColumn="0" w:noHBand="0" w:noVBand="1"/>
        </w:tblPrEx>
        <w:tc>
          <w:tcPr>
            <w:tcW w:w="992" w:type="dxa"/>
          </w:tcPr>
          <w:p w14:paraId="1BE4158D" w14:textId="77777777" w:rsidR="00835A83" w:rsidRPr="00C9343F" w:rsidRDefault="00835A83" w:rsidP="00F66D98">
            <w:pPr>
              <w:pStyle w:val="Sectiontext0"/>
              <w:jc w:val="center"/>
              <w:rPr>
                <w:lang w:eastAsia="en-US"/>
              </w:rPr>
            </w:pPr>
          </w:p>
        </w:tc>
        <w:tc>
          <w:tcPr>
            <w:tcW w:w="563" w:type="dxa"/>
          </w:tcPr>
          <w:p w14:paraId="181B75B3" w14:textId="77777777" w:rsidR="00835A83" w:rsidRPr="00C9343F" w:rsidRDefault="00835A83" w:rsidP="007114B1">
            <w:pPr>
              <w:pStyle w:val="Sectiontext0"/>
              <w:jc w:val="center"/>
              <w:rPr>
                <w:rFonts w:cs="Arial"/>
                <w:lang w:eastAsia="en-US"/>
              </w:rPr>
            </w:pPr>
            <w:r w:rsidRPr="00C9343F">
              <w:rPr>
                <w:rFonts w:cs="Arial"/>
                <w:lang w:eastAsia="en-US"/>
              </w:rPr>
              <w:t>g.</w:t>
            </w:r>
          </w:p>
        </w:tc>
        <w:tc>
          <w:tcPr>
            <w:tcW w:w="7804" w:type="dxa"/>
          </w:tcPr>
          <w:p w14:paraId="707F25B2" w14:textId="77777777" w:rsidR="00835A83" w:rsidRPr="00C9343F" w:rsidRDefault="00835A83" w:rsidP="00F66D98">
            <w:pPr>
              <w:pStyle w:val="Sectiontext0"/>
            </w:pPr>
            <w:r w:rsidRPr="00C9343F">
              <w:rPr>
                <w:rFonts w:cs="Arial"/>
                <w:lang w:eastAsia="en-US"/>
              </w:rPr>
              <w:t>A country, or a part of a country, listed by the Department of Foreign Affairs and Trade with an advice level of ‘Do not travel’.</w:t>
            </w:r>
          </w:p>
        </w:tc>
      </w:tr>
    </w:tbl>
    <w:p w14:paraId="2933602C" w14:textId="5BAA8E0B" w:rsidR="00E65C97" w:rsidRPr="00C9343F" w:rsidRDefault="00E65C97" w:rsidP="00F66D98">
      <w:pPr>
        <w:pStyle w:val="Heading5"/>
      </w:pPr>
      <w:bookmarkStart w:id="150" w:name="_Toc105053547"/>
      <w:r w:rsidRPr="00C9343F">
        <w:t>1.3.68A</w:t>
      </w:r>
      <w:r w:rsidR="00D94006" w:rsidRPr="00C9343F">
        <w:t>    </w:t>
      </w:r>
      <w:r w:rsidRPr="00C9343F">
        <w:t>Retirement age</w:t>
      </w:r>
      <w:bookmarkEnd w:id="150"/>
    </w:p>
    <w:tbl>
      <w:tblPr>
        <w:tblW w:w="0" w:type="auto"/>
        <w:tblInd w:w="108" w:type="dxa"/>
        <w:tblLayout w:type="fixed"/>
        <w:tblLook w:val="0000" w:firstRow="0" w:lastRow="0" w:firstColumn="0" w:lastColumn="0" w:noHBand="0" w:noVBand="0"/>
      </w:tblPr>
      <w:tblGrid>
        <w:gridCol w:w="997"/>
        <w:gridCol w:w="8367"/>
      </w:tblGrid>
      <w:tr w:rsidR="00E65C97" w:rsidRPr="00C9343F" w14:paraId="236E46EE" w14:textId="77777777" w:rsidTr="0005003D">
        <w:tc>
          <w:tcPr>
            <w:tcW w:w="997" w:type="dxa"/>
          </w:tcPr>
          <w:p w14:paraId="32FD4AB5" w14:textId="77777777" w:rsidR="00E65C97" w:rsidRPr="00C9343F" w:rsidRDefault="00E65C97" w:rsidP="00F66D98">
            <w:pPr>
              <w:pStyle w:val="BlockText-Plain"/>
              <w:jc w:val="center"/>
            </w:pPr>
          </w:p>
        </w:tc>
        <w:tc>
          <w:tcPr>
            <w:tcW w:w="8367" w:type="dxa"/>
          </w:tcPr>
          <w:p w14:paraId="3A27C99C" w14:textId="77777777" w:rsidR="00E65C97" w:rsidRPr="00C9343F" w:rsidRDefault="00E65C97" w:rsidP="00F66D98">
            <w:pPr>
              <w:pStyle w:val="BlockText-Plain"/>
            </w:pPr>
            <w:r w:rsidRPr="00C9343F">
              <w:t xml:space="preserve">Retirement age has the same meaning as under section 23(4) of the </w:t>
            </w:r>
            <w:r w:rsidR="004974D5" w:rsidRPr="00C9343F">
              <w:t>Defence Regulation</w:t>
            </w:r>
            <w:r w:rsidRPr="00C9343F">
              <w:t>.</w:t>
            </w:r>
          </w:p>
        </w:tc>
      </w:tr>
    </w:tbl>
    <w:p w14:paraId="58A3E975" w14:textId="1EE2635E" w:rsidR="00AF060B" w:rsidRPr="00C9343F" w:rsidRDefault="00AF060B" w:rsidP="00F66D98">
      <w:pPr>
        <w:pStyle w:val="Heading5"/>
      </w:pPr>
      <w:bookmarkStart w:id="151" w:name="_Toc105053548"/>
      <w:r w:rsidRPr="00C9343F">
        <w:t>1.3.6</w:t>
      </w:r>
      <w:r w:rsidR="00CE63E4" w:rsidRPr="00C9343F">
        <w:t>9</w:t>
      </w:r>
      <w:r w:rsidR="00D94006" w:rsidRPr="00C9343F">
        <w:t>    </w:t>
      </w:r>
      <w:r w:rsidRPr="00C9343F">
        <w:t>Return of service obligation</w:t>
      </w:r>
      <w:bookmarkEnd w:id="151"/>
    </w:p>
    <w:tbl>
      <w:tblPr>
        <w:tblW w:w="0" w:type="auto"/>
        <w:tblInd w:w="113" w:type="dxa"/>
        <w:tblLayout w:type="fixed"/>
        <w:tblLook w:val="0000" w:firstRow="0" w:lastRow="0" w:firstColumn="0" w:lastColumn="0" w:noHBand="0" w:noVBand="0"/>
      </w:tblPr>
      <w:tblGrid>
        <w:gridCol w:w="992"/>
        <w:gridCol w:w="8363"/>
      </w:tblGrid>
      <w:tr w:rsidR="00AF060B" w:rsidRPr="00C9343F" w14:paraId="72F7272D" w14:textId="77777777">
        <w:tc>
          <w:tcPr>
            <w:tcW w:w="992" w:type="dxa"/>
          </w:tcPr>
          <w:p w14:paraId="234014E8" w14:textId="77777777" w:rsidR="00AF060B" w:rsidRPr="00C9343F" w:rsidRDefault="00AF060B" w:rsidP="00F66D98">
            <w:pPr>
              <w:pStyle w:val="BlockText-Plain"/>
              <w:jc w:val="center"/>
            </w:pPr>
          </w:p>
        </w:tc>
        <w:tc>
          <w:tcPr>
            <w:tcW w:w="8363" w:type="dxa"/>
          </w:tcPr>
          <w:p w14:paraId="6C6ED53B" w14:textId="77777777" w:rsidR="00AF060B" w:rsidRPr="00C9343F" w:rsidRDefault="0084087E" w:rsidP="00F66D98">
            <w:pPr>
              <w:pStyle w:val="BlockText-Plain"/>
              <w:spacing w:after="0"/>
              <w:rPr>
                <w:b/>
              </w:rPr>
            </w:pPr>
            <w:r w:rsidRPr="00C9343F">
              <w:t xml:space="preserve">Return of service obligation means the period of service that a member is required to complete in respect of specified training, education, experience or special duties, which if not completed may result in a service obligation debt under </w:t>
            </w:r>
            <w:r w:rsidR="004974D5" w:rsidRPr="00C9343F">
              <w:t>Defence Regulation</w:t>
            </w:r>
            <w:r w:rsidRPr="00C9343F">
              <w:t>.</w:t>
            </w:r>
          </w:p>
        </w:tc>
      </w:tr>
      <w:tr w:rsidR="0084087E" w:rsidRPr="00C9343F" w14:paraId="67B46330" w14:textId="77777777">
        <w:tc>
          <w:tcPr>
            <w:tcW w:w="992" w:type="dxa"/>
          </w:tcPr>
          <w:p w14:paraId="0EA6D52C" w14:textId="77777777" w:rsidR="0084087E" w:rsidRPr="00C9343F" w:rsidRDefault="0084087E" w:rsidP="00F66D98">
            <w:pPr>
              <w:pStyle w:val="BlockText-Plain"/>
              <w:jc w:val="center"/>
            </w:pPr>
          </w:p>
        </w:tc>
        <w:tc>
          <w:tcPr>
            <w:tcW w:w="8363" w:type="dxa"/>
          </w:tcPr>
          <w:p w14:paraId="314CBB26" w14:textId="77777777" w:rsidR="0084087E" w:rsidRPr="00C9343F" w:rsidRDefault="0084087E" w:rsidP="00F66D98">
            <w:pPr>
              <w:pStyle w:val="BlockText-Plain"/>
              <w:spacing w:after="0"/>
              <w:rPr>
                <w:b/>
              </w:rPr>
            </w:pPr>
            <w:r w:rsidRPr="00C9343F">
              <w:rPr>
                <w:b/>
              </w:rPr>
              <w:t>See:</w:t>
            </w:r>
            <w:r w:rsidRPr="00C9343F">
              <w:t xml:space="preserve"> Section 25 of the </w:t>
            </w:r>
            <w:r w:rsidR="004974D5" w:rsidRPr="00C9343F">
              <w:t>Defence Regulation</w:t>
            </w:r>
          </w:p>
        </w:tc>
      </w:tr>
    </w:tbl>
    <w:p w14:paraId="0E4E2618" w14:textId="020F7140" w:rsidR="005D226F" w:rsidRPr="00C9343F" w:rsidRDefault="008C3365" w:rsidP="00F66D98">
      <w:pPr>
        <w:pStyle w:val="Heading5"/>
      </w:pPr>
      <w:bookmarkStart w:id="152" w:name="_Toc105053549"/>
      <w:r w:rsidRPr="00C9343F">
        <w:lastRenderedPageBreak/>
        <w:t>1.3.69A</w:t>
      </w:r>
      <w:r w:rsidR="00D94006" w:rsidRPr="00C9343F">
        <w:t>    </w:t>
      </w:r>
      <w:r w:rsidR="005D226F" w:rsidRPr="00C9343F">
        <w:t>Salary</w:t>
      </w:r>
      <w:bookmarkEnd w:id="152"/>
    </w:p>
    <w:tbl>
      <w:tblPr>
        <w:tblW w:w="9359" w:type="dxa"/>
        <w:tblInd w:w="113" w:type="dxa"/>
        <w:tblLayout w:type="fixed"/>
        <w:tblLook w:val="04A0" w:firstRow="1" w:lastRow="0" w:firstColumn="1" w:lastColumn="0" w:noHBand="0" w:noVBand="1"/>
      </w:tblPr>
      <w:tblGrid>
        <w:gridCol w:w="992"/>
        <w:gridCol w:w="8367"/>
      </w:tblGrid>
      <w:tr w:rsidR="005D226F" w:rsidRPr="00C9343F" w14:paraId="6C7D7FE8" w14:textId="77777777" w:rsidTr="00F036DF">
        <w:tc>
          <w:tcPr>
            <w:tcW w:w="992" w:type="dxa"/>
          </w:tcPr>
          <w:p w14:paraId="671831A5" w14:textId="77777777" w:rsidR="005D226F" w:rsidRPr="00C9343F" w:rsidRDefault="005D226F" w:rsidP="00F66D98">
            <w:pPr>
              <w:pStyle w:val="BlockText-Plain"/>
              <w:jc w:val="center"/>
              <w:rPr>
                <w:lang w:eastAsia="en-US"/>
              </w:rPr>
            </w:pPr>
          </w:p>
        </w:tc>
        <w:tc>
          <w:tcPr>
            <w:tcW w:w="8367" w:type="dxa"/>
            <w:hideMark/>
          </w:tcPr>
          <w:p w14:paraId="2635795C" w14:textId="17E87F7F" w:rsidR="005D226F" w:rsidRPr="00C9343F" w:rsidRDefault="005D226F" w:rsidP="00F66D98">
            <w:pPr>
              <w:pStyle w:val="BlockText-Plain"/>
              <w:rPr>
                <w:rFonts w:cs="Arial"/>
                <w:lang w:eastAsia="en-US"/>
              </w:rPr>
            </w:pPr>
            <w:r w:rsidRPr="00C9343F">
              <w:rPr>
                <w:rFonts w:cs="Arial"/>
                <w:lang w:eastAsia="en-US"/>
              </w:rPr>
              <w:t xml:space="preserve">Salary means salary paid or payable under DFRT Determination No. 2 of 2017, </w:t>
            </w:r>
            <w:r w:rsidR="00721283" w:rsidRPr="00C9343F">
              <w:rPr>
                <w:i/>
              </w:rPr>
              <w:t>Salaries</w:t>
            </w:r>
            <w:r w:rsidR="00721283" w:rsidRPr="00C9343F">
              <w:rPr>
                <w:iCs/>
              </w:rPr>
              <w:t>, as amended from time to time</w:t>
            </w:r>
            <w:r w:rsidRPr="00C9343F">
              <w:rPr>
                <w:rFonts w:cs="Arial"/>
                <w:lang w:eastAsia="en-US"/>
              </w:rPr>
              <w:t>.</w:t>
            </w:r>
          </w:p>
        </w:tc>
      </w:tr>
    </w:tbl>
    <w:p w14:paraId="25A0DE0B" w14:textId="6F915848" w:rsidR="00AF060B" w:rsidRPr="00C9343F" w:rsidRDefault="00AF060B" w:rsidP="00F66D98">
      <w:pPr>
        <w:pStyle w:val="Heading5"/>
      </w:pPr>
      <w:bookmarkStart w:id="153" w:name="_Toc105053550"/>
      <w:r w:rsidRPr="00C9343F">
        <w:t>1</w:t>
      </w:r>
      <w:bookmarkStart w:id="154" w:name="S"/>
      <w:bookmarkEnd w:id="154"/>
      <w:r w:rsidRPr="00C9343F">
        <w:t>.3.</w:t>
      </w:r>
      <w:r w:rsidR="009B03ED" w:rsidRPr="00C9343F">
        <w:t>70</w:t>
      </w:r>
      <w:r w:rsidR="00D94006" w:rsidRPr="00C9343F">
        <w:t>    </w:t>
      </w:r>
      <w:r w:rsidRPr="00C9343F">
        <w:t>Seagoing ship</w:t>
      </w:r>
      <w:bookmarkEnd w:id="153"/>
    </w:p>
    <w:tbl>
      <w:tblPr>
        <w:tblW w:w="0" w:type="auto"/>
        <w:tblInd w:w="108" w:type="dxa"/>
        <w:tblLayout w:type="fixed"/>
        <w:tblLook w:val="0000" w:firstRow="0" w:lastRow="0" w:firstColumn="0" w:lastColumn="0" w:noHBand="0" w:noVBand="0"/>
      </w:tblPr>
      <w:tblGrid>
        <w:gridCol w:w="993"/>
        <w:gridCol w:w="8371"/>
      </w:tblGrid>
      <w:tr w:rsidR="00345591" w:rsidRPr="00C9343F" w14:paraId="23767EA5" w14:textId="77777777" w:rsidTr="00D47464">
        <w:tc>
          <w:tcPr>
            <w:tcW w:w="993" w:type="dxa"/>
          </w:tcPr>
          <w:p w14:paraId="27732217" w14:textId="77777777" w:rsidR="00345591" w:rsidRPr="00C9343F" w:rsidRDefault="00345591" w:rsidP="00F66D98">
            <w:pPr>
              <w:pStyle w:val="BlockText-Plain"/>
              <w:jc w:val="center"/>
            </w:pPr>
          </w:p>
        </w:tc>
        <w:tc>
          <w:tcPr>
            <w:tcW w:w="8371" w:type="dxa"/>
          </w:tcPr>
          <w:p w14:paraId="06EF9AE2" w14:textId="77777777" w:rsidR="00345591" w:rsidRPr="00C9343F" w:rsidRDefault="00345591" w:rsidP="00F66D98">
            <w:pPr>
              <w:pStyle w:val="blocktext-plain0"/>
            </w:pPr>
            <w:r w:rsidRPr="00C9343F">
              <w:t xml:space="preserve">Seagoing ship has the same meaning as in DFRT Determination No. 11 of 2013, </w:t>
            </w:r>
            <w:r w:rsidRPr="00C9343F">
              <w:rPr>
                <w:i/>
              </w:rPr>
              <w:t>ADF allowances</w:t>
            </w:r>
            <w:r w:rsidRPr="00C9343F">
              <w:t xml:space="preserve">, as amended. </w:t>
            </w:r>
          </w:p>
          <w:p w14:paraId="3115915E" w14:textId="77777777" w:rsidR="00345591" w:rsidRPr="00C9343F" w:rsidRDefault="00345591" w:rsidP="00F66D98">
            <w:pPr>
              <w:pStyle w:val="BlockText-Plain"/>
              <w:rPr>
                <w:i/>
                <w:iCs/>
              </w:rPr>
            </w:pPr>
            <w:r w:rsidRPr="00C9343F">
              <w:rPr>
                <w:b/>
                <w:bCs/>
              </w:rPr>
              <w:t xml:space="preserve">See: </w:t>
            </w:r>
            <w:r w:rsidRPr="00C9343F">
              <w:rPr>
                <w:bCs/>
              </w:rPr>
              <w:t xml:space="preserve">DFRT Determination No. 11 of 2013, </w:t>
            </w:r>
            <w:r w:rsidRPr="00C9343F">
              <w:rPr>
                <w:bCs/>
                <w:i/>
              </w:rPr>
              <w:t>ADF allowances</w:t>
            </w:r>
            <w:r w:rsidRPr="00C9343F">
              <w:t xml:space="preserve">, Division B.9, published at Chapter 4 Part 2 Part B Division B.9 </w:t>
            </w:r>
            <w:r w:rsidR="00580C86" w:rsidRPr="00C9343F">
              <w:t>section</w:t>
            </w:r>
            <w:r w:rsidRPr="00C9343F">
              <w:t xml:space="preserve"> B.9.2, Definitions</w:t>
            </w:r>
            <w:r w:rsidRPr="00C9343F">
              <w:rPr>
                <w:bCs/>
              </w:rPr>
              <w:t>.</w:t>
            </w:r>
          </w:p>
        </w:tc>
      </w:tr>
    </w:tbl>
    <w:p w14:paraId="13E53BF6" w14:textId="25E85294" w:rsidR="00AF060B" w:rsidRPr="00C9343F" w:rsidRDefault="00AF060B" w:rsidP="00F66D98">
      <w:pPr>
        <w:pStyle w:val="Heading5"/>
      </w:pPr>
      <w:bookmarkStart w:id="155" w:name="_Toc105053551"/>
      <w:r w:rsidRPr="00C9343F">
        <w:t>1.3.</w:t>
      </w:r>
      <w:r w:rsidR="009B03ED" w:rsidRPr="00C9343F">
        <w:t>71</w:t>
      </w:r>
      <w:r w:rsidR="00D94006" w:rsidRPr="00C9343F">
        <w:t>    </w:t>
      </w:r>
      <w:r w:rsidRPr="00C9343F">
        <w:t>Seagoing submarine</w:t>
      </w:r>
      <w:bookmarkEnd w:id="155"/>
    </w:p>
    <w:tbl>
      <w:tblPr>
        <w:tblW w:w="0" w:type="auto"/>
        <w:tblInd w:w="108" w:type="dxa"/>
        <w:tblLayout w:type="fixed"/>
        <w:tblLook w:val="0000" w:firstRow="0" w:lastRow="0" w:firstColumn="0" w:lastColumn="0" w:noHBand="0" w:noVBand="0"/>
      </w:tblPr>
      <w:tblGrid>
        <w:gridCol w:w="993"/>
        <w:gridCol w:w="8385"/>
      </w:tblGrid>
      <w:tr w:rsidR="00345591" w:rsidRPr="00C9343F" w14:paraId="34A33E1F" w14:textId="77777777" w:rsidTr="00D47464">
        <w:tc>
          <w:tcPr>
            <w:tcW w:w="993" w:type="dxa"/>
          </w:tcPr>
          <w:p w14:paraId="5C3A12CC" w14:textId="77777777" w:rsidR="00345591" w:rsidRPr="00C9343F" w:rsidRDefault="00345591" w:rsidP="00F66D98">
            <w:pPr>
              <w:pStyle w:val="BlockText-Plain"/>
              <w:jc w:val="center"/>
            </w:pPr>
          </w:p>
        </w:tc>
        <w:tc>
          <w:tcPr>
            <w:tcW w:w="8385" w:type="dxa"/>
          </w:tcPr>
          <w:p w14:paraId="3AF0126C" w14:textId="77777777" w:rsidR="00345591" w:rsidRPr="00C9343F" w:rsidRDefault="00345591" w:rsidP="00F66D98">
            <w:pPr>
              <w:pStyle w:val="blocktext-plain0"/>
            </w:pPr>
            <w:r w:rsidRPr="00C9343F">
              <w:t xml:space="preserve">Seagoing submarine has the same meaning as in DFRT Determination No. 11 of 2013, </w:t>
            </w:r>
            <w:r w:rsidRPr="00C9343F">
              <w:rPr>
                <w:i/>
              </w:rPr>
              <w:t>ADF allowances</w:t>
            </w:r>
            <w:r w:rsidRPr="00C9343F">
              <w:t>, as amended.</w:t>
            </w:r>
          </w:p>
          <w:p w14:paraId="26FF8BCF" w14:textId="77777777" w:rsidR="00345591" w:rsidRPr="00C9343F" w:rsidRDefault="00345591" w:rsidP="00F66D98">
            <w:pPr>
              <w:pStyle w:val="BlockText-Plain"/>
              <w:rPr>
                <w:i/>
                <w:iCs/>
              </w:rPr>
            </w:pPr>
            <w:r w:rsidRPr="00C9343F">
              <w:rPr>
                <w:b/>
                <w:bCs/>
              </w:rPr>
              <w:t xml:space="preserve">See: </w:t>
            </w:r>
            <w:r w:rsidRPr="00C9343F">
              <w:rPr>
                <w:bCs/>
              </w:rPr>
              <w:t xml:space="preserve">DFRT Determination No. 11 of 2013, </w:t>
            </w:r>
            <w:r w:rsidRPr="00C9343F">
              <w:rPr>
                <w:bCs/>
                <w:i/>
              </w:rPr>
              <w:t>ADF allowances</w:t>
            </w:r>
            <w:r w:rsidRPr="00C9343F">
              <w:t xml:space="preserve">, Division B.9, published at Chapter 4 Part 2 Part B Division B.9 </w:t>
            </w:r>
            <w:r w:rsidR="00580C86" w:rsidRPr="00C9343F">
              <w:t>section</w:t>
            </w:r>
            <w:r w:rsidRPr="00C9343F">
              <w:t xml:space="preserve"> B.9.2, Definitions</w:t>
            </w:r>
            <w:r w:rsidRPr="00C9343F">
              <w:rPr>
                <w:bCs/>
              </w:rPr>
              <w:t>.</w:t>
            </w:r>
          </w:p>
        </w:tc>
      </w:tr>
    </w:tbl>
    <w:p w14:paraId="7592EE65" w14:textId="024B4485" w:rsidR="009A0336" w:rsidRPr="00C9343F" w:rsidRDefault="009A0336" w:rsidP="00F66D98">
      <w:pPr>
        <w:pStyle w:val="Heading5"/>
      </w:pPr>
      <w:bookmarkStart w:id="156" w:name="_Toc105053552"/>
      <w:r w:rsidRPr="00C9343F">
        <w:t>1.3.</w:t>
      </w:r>
      <w:r w:rsidR="009B03ED" w:rsidRPr="00C9343F">
        <w:t>72</w:t>
      </w:r>
      <w:r w:rsidR="00D94006" w:rsidRPr="00C9343F">
        <w:t>    </w:t>
      </w:r>
      <w:r w:rsidRPr="00C9343F">
        <w:t>Serious illness</w:t>
      </w:r>
      <w:bookmarkEnd w:id="156"/>
    </w:p>
    <w:tbl>
      <w:tblPr>
        <w:tblW w:w="0" w:type="auto"/>
        <w:tblInd w:w="113" w:type="dxa"/>
        <w:tblLayout w:type="fixed"/>
        <w:tblLook w:val="0000" w:firstRow="0" w:lastRow="0" w:firstColumn="0" w:lastColumn="0" w:noHBand="0" w:noVBand="0"/>
      </w:tblPr>
      <w:tblGrid>
        <w:gridCol w:w="992"/>
        <w:gridCol w:w="8367"/>
      </w:tblGrid>
      <w:tr w:rsidR="009A0336" w:rsidRPr="00C9343F" w14:paraId="0326978B" w14:textId="77777777" w:rsidTr="00003CDC">
        <w:tc>
          <w:tcPr>
            <w:tcW w:w="992" w:type="dxa"/>
          </w:tcPr>
          <w:p w14:paraId="20D08F4E" w14:textId="77777777" w:rsidR="009A0336" w:rsidRPr="00C9343F" w:rsidRDefault="009A0336" w:rsidP="00F66D98">
            <w:pPr>
              <w:pStyle w:val="BlockText-Plain"/>
              <w:jc w:val="center"/>
            </w:pPr>
          </w:p>
        </w:tc>
        <w:tc>
          <w:tcPr>
            <w:tcW w:w="8367" w:type="dxa"/>
          </w:tcPr>
          <w:p w14:paraId="7C166B7D" w14:textId="77777777" w:rsidR="009A0336" w:rsidRPr="00C9343F" w:rsidRDefault="009A0336" w:rsidP="00F66D98">
            <w:pPr>
              <w:pStyle w:val="BlockText-Plain"/>
            </w:pPr>
            <w:r w:rsidRPr="00C9343F">
              <w:rPr>
                <w:rStyle w:val="SC31408"/>
              </w:rPr>
              <w:t xml:space="preserve">Serious illness has the following meanings. </w:t>
            </w:r>
          </w:p>
        </w:tc>
      </w:tr>
    </w:tbl>
    <w:p w14:paraId="7A907028" w14:textId="77777777" w:rsidR="009A0336" w:rsidRPr="00C9343F" w:rsidRDefault="009A0336"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3543"/>
        <w:gridCol w:w="4253"/>
      </w:tblGrid>
      <w:tr w:rsidR="009A0336" w:rsidRPr="00C9343F" w14:paraId="36F2C240" w14:textId="77777777" w:rsidTr="00003CDC">
        <w:trPr>
          <w:cantSplit/>
        </w:trPr>
        <w:tc>
          <w:tcPr>
            <w:tcW w:w="567" w:type="dxa"/>
            <w:tcBorders>
              <w:top w:val="single" w:sz="6" w:space="0" w:color="auto"/>
              <w:left w:val="single" w:sz="6" w:space="0" w:color="auto"/>
              <w:bottom w:val="single" w:sz="6" w:space="0" w:color="auto"/>
              <w:right w:val="single" w:sz="6" w:space="0" w:color="auto"/>
            </w:tcBorders>
          </w:tcPr>
          <w:p w14:paraId="122BA55F" w14:textId="77777777" w:rsidR="009A0336" w:rsidRPr="00C9343F" w:rsidRDefault="009A0336" w:rsidP="00F66D98">
            <w:pPr>
              <w:pStyle w:val="TableHeaderArial"/>
            </w:pPr>
            <w:r w:rsidRPr="00C9343F">
              <w:t>Item</w:t>
            </w:r>
          </w:p>
        </w:tc>
        <w:tc>
          <w:tcPr>
            <w:tcW w:w="3543" w:type="dxa"/>
            <w:tcBorders>
              <w:top w:val="single" w:sz="6" w:space="0" w:color="auto"/>
              <w:left w:val="single" w:sz="6" w:space="0" w:color="auto"/>
              <w:bottom w:val="single" w:sz="6" w:space="0" w:color="auto"/>
              <w:right w:val="single" w:sz="6" w:space="0" w:color="auto"/>
            </w:tcBorders>
          </w:tcPr>
          <w:p w14:paraId="2F73FB37" w14:textId="2E0C61E4" w:rsidR="009A0336" w:rsidRPr="00C9343F" w:rsidRDefault="009A0336" w:rsidP="00F66D98">
            <w:pPr>
              <w:pStyle w:val="TableHeaderArial"/>
            </w:pPr>
            <w:r w:rsidRPr="00C9343F">
              <w:t>For</w:t>
            </w:r>
            <w:r w:rsidR="00D94006" w:rsidRPr="00C9343F">
              <w:t>    </w:t>
            </w:r>
          </w:p>
        </w:tc>
        <w:tc>
          <w:tcPr>
            <w:tcW w:w="4253" w:type="dxa"/>
            <w:tcBorders>
              <w:top w:val="single" w:sz="6" w:space="0" w:color="auto"/>
              <w:left w:val="single" w:sz="6" w:space="0" w:color="auto"/>
              <w:bottom w:val="single" w:sz="6" w:space="0" w:color="auto"/>
              <w:right w:val="single" w:sz="6" w:space="0" w:color="auto"/>
            </w:tcBorders>
          </w:tcPr>
          <w:p w14:paraId="0F792E52" w14:textId="1BB00244" w:rsidR="009A0336" w:rsidRPr="00C9343F" w:rsidRDefault="009A0336" w:rsidP="00F66D98">
            <w:pPr>
              <w:pStyle w:val="TableHeaderArial"/>
            </w:pPr>
            <w:r w:rsidRPr="00C9343F">
              <w:t>serious illness means an illness or injury that could</w:t>
            </w:r>
            <w:r w:rsidR="00D94006" w:rsidRPr="00C9343F">
              <w:t>    </w:t>
            </w:r>
          </w:p>
        </w:tc>
      </w:tr>
      <w:tr w:rsidR="00D90640" w:rsidRPr="00C9343F" w14:paraId="23CE203F" w14:textId="77777777" w:rsidTr="00003CDC">
        <w:trPr>
          <w:cantSplit/>
        </w:trPr>
        <w:tc>
          <w:tcPr>
            <w:tcW w:w="567" w:type="dxa"/>
            <w:tcBorders>
              <w:top w:val="single" w:sz="6" w:space="0" w:color="auto"/>
              <w:left w:val="single" w:sz="6" w:space="0" w:color="auto"/>
              <w:bottom w:val="single" w:sz="6" w:space="0" w:color="auto"/>
              <w:right w:val="single" w:sz="6" w:space="0" w:color="auto"/>
            </w:tcBorders>
          </w:tcPr>
          <w:p w14:paraId="1A12EF83" w14:textId="77777777" w:rsidR="00D90640" w:rsidRPr="00C9343F" w:rsidRDefault="00D90640" w:rsidP="00F66D98">
            <w:pPr>
              <w:pStyle w:val="TableTextArial-left"/>
              <w:jc w:val="center"/>
            </w:pPr>
            <w:r w:rsidRPr="00C9343F">
              <w:t>1.</w:t>
            </w:r>
          </w:p>
        </w:tc>
        <w:tc>
          <w:tcPr>
            <w:tcW w:w="3543" w:type="dxa"/>
            <w:tcBorders>
              <w:top w:val="single" w:sz="6" w:space="0" w:color="auto"/>
              <w:left w:val="single" w:sz="6" w:space="0" w:color="auto"/>
              <w:bottom w:val="single" w:sz="6" w:space="0" w:color="auto"/>
              <w:right w:val="single" w:sz="6" w:space="0" w:color="auto"/>
            </w:tcBorders>
          </w:tcPr>
          <w:p w14:paraId="637B3B65" w14:textId="77777777" w:rsidR="00D90640" w:rsidRPr="00C9343F" w:rsidRDefault="00D90640" w:rsidP="00F66D98">
            <w:pPr>
              <w:pStyle w:val="TableTextArial-left"/>
              <w:spacing w:line="276" w:lineRule="auto"/>
              <w:ind w:left="224" w:hanging="224"/>
              <w:rPr>
                <w:rFonts w:cs="Arial"/>
                <w:lang w:eastAsia="en-US"/>
              </w:rPr>
            </w:pPr>
            <w:r w:rsidRPr="00C9343F">
              <w:rPr>
                <w:rFonts w:cs="Arial"/>
                <w:lang w:eastAsia="en-US"/>
              </w:rPr>
              <w:t xml:space="preserve">a. compassionate leave under Chapter 5 Part 9 Division 2 </w:t>
            </w:r>
          </w:p>
          <w:p w14:paraId="09A2847C" w14:textId="77777777" w:rsidR="00D90640" w:rsidRPr="00C9343F" w:rsidRDefault="00D90640" w:rsidP="00F66D98">
            <w:pPr>
              <w:pStyle w:val="Default"/>
              <w:spacing w:line="276" w:lineRule="auto"/>
              <w:ind w:left="224" w:hanging="224"/>
              <w:rPr>
                <w:rFonts w:ascii="Arial" w:hAnsi="Arial" w:cs="Arial"/>
              </w:rPr>
            </w:pPr>
            <w:r w:rsidRPr="00C9343F">
              <w:rPr>
                <w:rFonts w:ascii="Arial" w:hAnsi="Arial" w:cs="Arial"/>
              </w:rPr>
              <w:t>b. travel for compassionate leave under Chapter 15 Part 3 Division 6</w:t>
            </w:r>
          </w:p>
        </w:tc>
        <w:tc>
          <w:tcPr>
            <w:tcW w:w="4253" w:type="dxa"/>
            <w:tcBorders>
              <w:top w:val="single" w:sz="6" w:space="0" w:color="auto"/>
              <w:left w:val="single" w:sz="6" w:space="0" w:color="auto"/>
              <w:bottom w:val="single" w:sz="6" w:space="0" w:color="auto"/>
              <w:right w:val="single" w:sz="6" w:space="0" w:color="auto"/>
            </w:tcBorders>
          </w:tcPr>
          <w:p w14:paraId="3AC14703" w14:textId="77777777" w:rsidR="00D90640" w:rsidRPr="00C9343F" w:rsidRDefault="00D90640" w:rsidP="00F66D98">
            <w:pPr>
              <w:pStyle w:val="TableTextArial-left"/>
              <w:spacing w:line="276" w:lineRule="auto"/>
              <w:rPr>
                <w:rFonts w:cs="Arial"/>
                <w:lang w:eastAsia="en-US"/>
              </w:rPr>
            </w:pPr>
            <w:r w:rsidRPr="00C9343F">
              <w:rPr>
                <w:rFonts w:cs="Arial"/>
                <w:lang w:eastAsia="en-US"/>
              </w:rPr>
              <w:t>endanger the person's life.</w:t>
            </w:r>
          </w:p>
        </w:tc>
      </w:tr>
      <w:tr w:rsidR="009A0336" w:rsidRPr="00C9343F" w14:paraId="4942555C" w14:textId="77777777" w:rsidTr="00003CDC">
        <w:trPr>
          <w:cantSplit/>
          <w:trHeight w:val="1087"/>
        </w:trPr>
        <w:tc>
          <w:tcPr>
            <w:tcW w:w="567" w:type="dxa"/>
            <w:tcBorders>
              <w:top w:val="single" w:sz="6" w:space="0" w:color="auto"/>
              <w:left w:val="single" w:sz="6" w:space="0" w:color="auto"/>
              <w:bottom w:val="single" w:sz="6" w:space="0" w:color="auto"/>
              <w:right w:val="single" w:sz="6" w:space="0" w:color="auto"/>
            </w:tcBorders>
          </w:tcPr>
          <w:p w14:paraId="35B7E8C7" w14:textId="77777777" w:rsidR="009A0336" w:rsidRPr="00C9343F" w:rsidRDefault="009A0336" w:rsidP="00F66D98">
            <w:pPr>
              <w:pStyle w:val="TableTextArial-left"/>
              <w:jc w:val="center"/>
            </w:pPr>
            <w:r w:rsidRPr="00C9343F">
              <w:t>2.</w:t>
            </w:r>
          </w:p>
        </w:tc>
        <w:tc>
          <w:tcPr>
            <w:tcW w:w="3543" w:type="dxa"/>
            <w:tcBorders>
              <w:top w:val="single" w:sz="6" w:space="0" w:color="auto"/>
              <w:left w:val="single" w:sz="6" w:space="0" w:color="auto"/>
              <w:bottom w:val="single" w:sz="6" w:space="0" w:color="auto"/>
              <w:right w:val="single" w:sz="6" w:space="0" w:color="auto"/>
            </w:tcBorders>
          </w:tcPr>
          <w:p w14:paraId="6B69F69A" w14:textId="77777777" w:rsidR="009A0336" w:rsidRPr="00C9343F" w:rsidRDefault="009A0336" w:rsidP="00F66D98">
            <w:pPr>
              <w:pStyle w:val="TableTextArial-left"/>
            </w:pPr>
            <w:r w:rsidRPr="00C9343F">
              <w:t>Australians dangerously ill scheme</w:t>
            </w:r>
          </w:p>
          <w:p w14:paraId="5B2669C1" w14:textId="77777777" w:rsidR="009A0336" w:rsidRPr="00C9343F" w:rsidRDefault="009A0336" w:rsidP="00F66D98">
            <w:pPr>
              <w:pStyle w:val="TableTextArial-left"/>
            </w:pPr>
            <w:r w:rsidRPr="00C9343F">
              <w:rPr>
                <w:b/>
              </w:rPr>
              <w:t xml:space="preserve">See: </w:t>
            </w:r>
            <w:r w:rsidRPr="00C9343F">
              <w:rPr>
                <w:b/>
              </w:rPr>
              <w:br/>
            </w:r>
            <w:r w:rsidRPr="00C9343F">
              <w:t xml:space="preserve">Chapter 9 Part 3 Division </w:t>
            </w:r>
            <w:r w:rsidR="00B95409" w:rsidRPr="00C9343F">
              <w:t>9</w:t>
            </w:r>
            <w:r w:rsidRPr="00C9343F">
              <w:br/>
              <w:t xml:space="preserve">Chapter 17 Part </w:t>
            </w:r>
            <w:r w:rsidR="00B95409" w:rsidRPr="00C9343F">
              <w:t>4</w:t>
            </w:r>
          </w:p>
        </w:tc>
        <w:tc>
          <w:tcPr>
            <w:tcW w:w="4253" w:type="dxa"/>
            <w:tcBorders>
              <w:top w:val="single" w:sz="6" w:space="0" w:color="auto"/>
              <w:left w:val="single" w:sz="6" w:space="0" w:color="auto"/>
              <w:bottom w:val="single" w:sz="6" w:space="0" w:color="auto"/>
              <w:right w:val="single" w:sz="6" w:space="0" w:color="auto"/>
            </w:tcBorders>
          </w:tcPr>
          <w:p w14:paraId="6BB3FC09" w14:textId="77777777" w:rsidR="009A0336" w:rsidRPr="00C9343F" w:rsidRDefault="009A0336" w:rsidP="00F66D98">
            <w:pPr>
              <w:pStyle w:val="TableTextArial-left"/>
            </w:pPr>
            <w:r w:rsidRPr="00C9343F">
              <w:t>do any or all of the following.</w:t>
            </w:r>
          </w:p>
          <w:p w14:paraId="72D8C6D3" w14:textId="77777777" w:rsidR="009A0336" w:rsidRPr="00C9343F" w:rsidRDefault="009A0336" w:rsidP="00F66D98">
            <w:pPr>
              <w:pStyle w:val="TableTextArial-left"/>
            </w:pPr>
            <w:r w:rsidRPr="00C9343F">
              <w:t>a. Endanger the person's life.</w:t>
            </w:r>
          </w:p>
          <w:p w14:paraId="015079AD" w14:textId="77777777" w:rsidR="009A0336" w:rsidRPr="00C9343F" w:rsidRDefault="009A0336" w:rsidP="00F66D98">
            <w:pPr>
              <w:pStyle w:val="TableTextArial-left"/>
            </w:pPr>
            <w:r w:rsidRPr="00C9343F">
              <w:t>b. Significantly disable the person.</w:t>
            </w:r>
          </w:p>
          <w:p w14:paraId="0758A06B" w14:textId="77777777" w:rsidR="009A0336" w:rsidRPr="00C9343F" w:rsidRDefault="009A0336" w:rsidP="00F66D98">
            <w:pPr>
              <w:pStyle w:val="TableTextArial-left"/>
            </w:pPr>
            <w:r w:rsidRPr="00C9343F">
              <w:t>c. Materially affect the person'</w:t>
            </w:r>
            <w:r w:rsidR="00C13F1E" w:rsidRPr="00C9343F">
              <w:t>s</w:t>
            </w:r>
            <w:r w:rsidRPr="00C9343F">
              <w:t xml:space="preserve"> future life.</w:t>
            </w:r>
          </w:p>
          <w:p w14:paraId="6E0ECFAF" w14:textId="77777777" w:rsidR="009A0336" w:rsidRPr="00C9343F" w:rsidRDefault="009A0336" w:rsidP="00F66D98">
            <w:pPr>
              <w:pStyle w:val="TableTextArial-left"/>
            </w:pPr>
            <w:r w:rsidRPr="00C9343F">
              <w:rPr>
                <w:b/>
              </w:rPr>
              <w:t xml:space="preserve">Note: </w:t>
            </w:r>
            <w:r w:rsidRPr="00C9343F">
              <w:t>A serious illness can include a mental health condition.</w:t>
            </w:r>
          </w:p>
        </w:tc>
      </w:tr>
    </w:tbl>
    <w:p w14:paraId="10D1987F" w14:textId="3245FEB5" w:rsidR="00AF060B" w:rsidRPr="00C9343F" w:rsidRDefault="00AF060B" w:rsidP="00F66D98">
      <w:pPr>
        <w:pStyle w:val="Heading5"/>
      </w:pPr>
      <w:bookmarkStart w:id="157" w:name="_Toc105053553"/>
      <w:r w:rsidRPr="00C9343F">
        <w:t>1.3.</w:t>
      </w:r>
      <w:r w:rsidR="009B03ED" w:rsidRPr="00C9343F">
        <w:t>73</w:t>
      </w:r>
      <w:r w:rsidR="00D94006" w:rsidRPr="00C9343F">
        <w:t>    </w:t>
      </w:r>
      <w:r w:rsidRPr="00C9343F">
        <w:t>Service residence</w:t>
      </w:r>
      <w:bookmarkEnd w:id="157"/>
    </w:p>
    <w:tbl>
      <w:tblPr>
        <w:tblW w:w="0" w:type="auto"/>
        <w:tblInd w:w="113" w:type="dxa"/>
        <w:tblLayout w:type="fixed"/>
        <w:tblLook w:val="0000" w:firstRow="0" w:lastRow="0" w:firstColumn="0" w:lastColumn="0" w:noHBand="0" w:noVBand="0"/>
      </w:tblPr>
      <w:tblGrid>
        <w:gridCol w:w="992"/>
        <w:gridCol w:w="8363"/>
      </w:tblGrid>
      <w:tr w:rsidR="00AF060B" w:rsidRPr="00C9343F" w14:paraId="171B6407" w14:textId="77777777">
        <w:tc>
          <w:tcPr>
            <w:tcW w:w="992" w:type="dxa"/>
          </w:tcPr>
          <w:p w14:paraId="53D3ED18" w14:textId="77777777" w:rsidR="00AF060B" w:rsidRPr="00C9343F" w:rsidRDefault="00AF060B" w:rsidP="00F66D98">
            <w:pPr>
              <w:pStyle w:val="BlockText-Plain"/>
              <w:jc w:val="center"/>
            </w:pPr>
          </w:p>
        </w:tc>
        <w:tc>
          <w:tcPr>
            <w:tcW w:w="8363" w:type="dxa"/>
          </w:tcPr>
          <w:p w14:paraId="043B8AF6" w14:textId="77777777" w:rsidR="00AF060B" w:rsidRPr="00C9343F" w:rsidRDefault="00AF060B" w:rsidP="00F66D98">
            <w:pPr>
              <w:pStyle w:val="BlockText-Plain"/>
            </w:pPr>
            <w:r w:rsidRPr="00C9343F">
              <w:t>Service residence</w:t>
            </w:r>
            <w:r w:rsidRPr="00C9343F">
              <w:rPr>
                <w:b/>
                <w:i/>
              </w:rPr>
              <w:t xml:space="preserve"> </w:t>
            </w:r>
            <w:r w:rsidRPr="00C9343F">
              <w:t>means residential accommodation provided by the Commonwealth. It does not include living-in accommodation.</w:t>
            </w:r>
          </w:p>
          <w:p w14:paraId="7B4EBFA7" w14:textId="77777777" w:rsidR="00AF060B" w:rsidRPr="00C9343F" w:rsidRDefault="00AF060B" w:rsidP="00F66D98">
            <w:pPr>
              <w:pStyle w:val="BlockText-Plain"/>
            </w:pPr>
            <w:r w:rsidRPr="00C9343F">
              <w:rPr>
                <w:b/>
              </w:rPr>
              <w:t>See:</w:t>
            </w:r>
            <w:r w:rsidRPr="00C9343F">
              <w:t xml:space="preserve"> Chapter 7 </w:t>
            </w:r>
            <w:r w:rsidR="009B03ED" w:rsidRPr="00C9343F">
              <w:t xml:space="preserve">Part </w:t>
            </w:r>
            <w:r w:rsidR="00B95409" w:rsidRPr="00C9343F">
              <w:t>6</w:t>
            </w:r>
            <w:r w:rsidR="009B03ED" w:rsidRPr="00C9343F">
              <w:t>, Service residences</w:t>
            </w:r>
          </w:p>
        </w:tc>
      </w:tr>
    </w:tbl>
    <w:p w14:paraId="10D92BD9" w14:textId="092C6B3E" w:rsidR="00AE7EA5" w:rsidRPr="00C9343F" w:rsidRDefault="00AE7EA5" w:rsidP="00F66D98">
      <w:pPr>
        <w:pStyle w:val="Heading5"/>
      </w:pPr>
      <w:bookmarkStart w:id="158" w:name="_Toc105053554"/>
      <w:r w:rsidRPr="00C9343F">
        <w:t>1.3.73A</w:t>
      </w:r>
      <w:r w:rsidR="00D94006" w:rsidRPr="00C9343F">
        <w:t>    </w:t>
      </w:r>
      <w:r w:rsidRPr="00C9343F">
        <w:t>Ship’s home port</w:t>
      </w:r>
      <w:bookmarkEnd w:id="158"/>
    </w:p>
    <w:tbl>
      <w:tblPr>
        <w:tblW w:w="9359" w:type="dxa"/>
        <w:tblInd w:w="113" w:type="dxa"/>
        <w:shd w:val="clear" w:color="auto" w:fill="FFFFFF"/>
        <w:tblCellMar>
          <w:left w:w="0" w:type="dxa"/>
          <w:right w:w="0" w:type="dxa"/>
        </w:tblCellMar>
        <w:tblLook w:val="04A0" w:firstRow="1" w:lastRow="0" w:firstColumn="1" w:lastColumn="0" w:noHBand="0" w:noVBand="1"/>
      </w:tblPr>
      <w:tblGrid>
        <w:gridCol w:w="992"/>
        <w:gridCol w:w="8367"/>
      </w:tblGrid>
      <w:tr w:rsidR="00AE7EA5" w:rsidRPr="00C9343F" w14:paraId="16F92841" w14:textId="77777777" w:rsidTr="00FC4621">
        <w:tc>
          <w:tcPr>
            <w:tcW w:w="992" w:type="dxa"/>
            <w:shd w:val="clear" w:color="auto" w:fill="FFFFFF"/>
            <w:tcMar>
              <w:top w:w="0" w:type="dxa"/>
              <w:left w:w="108" w:type="dxa"/>
              <w:bottom w:w="0" w:type="dxa"/>
              <w:right w:w="108" w:type="dxa"/>
            </w:tcMar>
            <w:hideMark/>
          </w:tcPr>
          <w:p w14:paraId="7673EC5C" w14:textId="77777777" w:rsidR="00AE7EA5" w:rsidRPr="00C9343F" w:rsidRDefault="00AE7EA5" w:rsidP="00F66D98">
            <w:pPr>
              <w:pStyle w:val="blocktext-plain0"/>
              <w:jc w:val="center"/>
            </w:pPr>
            <w:r w:rsidRPr="00C9343F">
              <w:t> </w:t>
            </w:r>
          </w:p>
        </w:tc>
        <w:tc>
          <w:tcPr>
            <w:tcW w:w="8367" w:type="dxa"/>
            <w:shd w:val="clear" w:color="auto" w:fill="FFFFFF"/>
            <w:tcMar>
              <w:top w:w="0" w:type="dxa"/>
              <w:left w:w="108" w:type="dxa"/>
              <w:bottom w:w="0" w:type="dxa"/>
              <w:right w:w="108" w:type="dxa"/>
            </w:tcMar>
            <w:hideMark/>
          </w:tcPr>
          <w:p w14:paraId="583F7F08" w14:textId="77777777" w:rsidR="00AE7EA5" w:rsidRPr="00C9343F" w:rsidRDefault="00AB68D4" w:rsidP="00F66D98">
            <w:pPr>
              <w:pStyle w:val="blocktext-plain0"/>
            </w:pPr>
            <w:r w:rsidRPr="00C9343F">
              <w:rPr>
                <w:color w:val="000000"/>
                <w:shd w:val="clear" w:color="auto" w:fill="FFFFFF"/>
              </w:rPr>
              <w:t>Ship's home port means the port from which the seagoing ship or seagoing submarine regularly operates for a period of more than one year.</w:t>
            </w:r>
          </w:p>
        </w:tc>
      </w:tr>
    </w:tbl>
    <w:p w14:paraId="6F8A10FD" w14:textId="62E5C1A1" w:rsidR="00AF060B" w:rsidRPr="00C9343F" w:rsidRDefault="00AF060B" w:rsidP="00F66D98">
      <w:pPr>
        <w:pStyle w:val="Heading5"/>
      </w:pPr>
      <w:bookmarkStart w:id="159" w:name="_Toc105053555"/>
      <w:r w:rsidRPr="00C9343F">
        <w:lastRenderedPageBreak/>
        <w:t>1.3.</w:t>
      </w:r>
      <w:r w:rsidR="009B03ED" w:rsidRPr="00C9343F">
        <w:t>74</w:t>
      </w:r>
      <w:r w:rsidR="00D94006" w:rsidRPr="00C9343F">
        <w:t>    </w:t>
      </w:r>
      <w:r w:rsidRPr="00C9343F">
        <w:t>Short-term duty</w:t>
      </w:r>
      <w:bookmarkEnd w:id="159"/>
    </w:p>
    <w:tbl>
      <w:tblPr>
        <w:tblW w:w="0" w:type="auto"/>
        <w:tblInd w:w="113" w:type="dxa"/>
        <w:tblLayout w:type="fixed"/>
        <w:tblLook w:val="0000" w:firstRow="0" w:lastRow="0" w:firstColumn="0" w:lastColumn="0" w:noHBand="0" w:noVBand="0"/>
      </w:tblPr>
      <w:tblGrid>
        <w:gridCol w:w="992"/>
        <w:gridCol w:w="8363"/>
      </w:tblGrid>
      <w:tr w:rsidR="00AF060B" w:rsidRPr="00C9343F" w14:paraId="4C88E19A" w14:textId="77777777">
        <w:tc>
          <w:tcPr>
            <w:tcW w:w="992" w:type="dxa"/>
          </w:tcPr>
          <w:p w14:paraId="1EBAAFC6" w14:textId="77777777" w:rsidR="00AF060B" w:rsidRPr="00C9343F" w:rsidRDefault="00AF060B" w:rsidP="00F66D98">
            <w:pPr>
              <w:pStyle w:val="BlockText-Plain"/>
              <w:jc w:val="center"/>
            </w:pPr>
            <w:r w:rsidRPr="00C9343F">
              <w:t>1.</w:t>
            </w:r>
          </w:p>
        </w:tc>
        <w:tc>
          <w:tcPr>
            <w:tcW w:w="8363" w:type="dxa"/>
          </w:tcPr>
          <w:p w14:paraId="7AF60E20" w14:textId="77777777" w:rsidR="00AF060B" w:rsidRPr="00C9343F" w:rsidRDefault="00AF060B" w:rsidP="00F66D98">
            <w:pPr>
              <w:pStyle w:val="BlockText-Plain"/>
            </w:pPr>
            <w:r w:rsidRPr="00C9343F">
              <w:t xml:space="preserve">Within Australia </w:t>
            </w:r>
            <w:r w:rsidR="009B03ED" w:rsidRPr="00C9343F">
              <w:t>–</w:t>
            </w:r>
            <w:r w:rsidRPr="00C9343F">
              <w:t xml:space="preserve"> short-term duty means a period of duty that the member's Service has directed to be for six months or less.</w:t>
            </w:r>
          </w:p>
        </w:tc>
      </w:tr>
      <w:tr w:rsidR="00AF060B" w:rsidRPr="00C9343F" w14:paraId="4D1E5422" w14:textId="77777777">
        <w:tc>
          <w:tcPr>
            <w:tcW w:w="992" w:type="dxa"/>
          </w:tcPr>
          <w:p w14:paraId="3A43B413" w14:textId="77777777" w:rsidR="00AF060B" w:rsidRPr="00C9343F" w:rsidRDefault="00AF060B" w:rsidP="00F66D98">
            <w:pPr>
              <w:pStyle w:val="BlockText-Plain"/>
              <w:jc w:val="center"/>
            </w:pPr>
            <w:r w:rsidRPr="00C9343F">
              <w:t>2.</w:t>
            </w:r>
          </w:p>
        </w:tc>
        <w:tc>
          <w:tcPr>
            <w:tcW w:w="8363" w:type="dxa"/>
          </w:tcPr>
          <w:p w14:paraId="526022A7" w14:textId="77777777" w:rsidR="00AF060B" w:rsidRPr="00C9343F" w:rsidRDefault="00AF060B" w:rsidP="00F66D98">
            <w:pPr>
              <w:pStyle w:val="TableTextNumbered"/>
            </w:pPr>
            <w:r w:rsidRPr="00C9343F">
              <w:t xml:space="preserve">For duty overseas – see Chapter 12 Part 3 </w:t>
            </w:r>
            <w:r w:rsidR="00580C86" w:rsidRPr="00C9343F">
              <w:t>section</w:t>
            </w:r>
            <w:r w:rsidRPr="00C9343F">
              <w:t xml:space="preserve"> 12.3.18, Short-term duty overseas.</w:t>
            </w:r>
            <w:r w:rsidRPr="00C9343F">
              <w:rPr>
                <w:b/>
                <w:color w:val="FF0000"/>
              </w:rPr>
              <w:t xml:space="preserve"> </w:t>
            </w:r>
          </w:p>
        </w:tc>
      </w:tr>
    </w:tbl>
    <w:p w14:paraId="1F8E72AC" w14:textId="17CAD727" w:rsidR="00D257AA" w:rsidRPr="00C9343F" w:rsidRDefault="00AF060B" w:rsidP="00F66D98">
      <w:pPr>
        <w:pStyle w:val="Heading5"/>
      </w:pPr>
      <w:bookmarkStart w:id="160" w:name="T"/>
      <w:bookmarkStart w:id="161" w:name="trainee"/>
      <w:bookmarkStart w:id="162" w:name="_Toc105053556"/>
      <w:bookmarkEnd w:id="160"/>
      <w:bookmarkEnd w:id="161"/>
      <w:r w:rsidRPr="00C9343F">
        <w:t>1.3.7</w:t>
      </w:r>
      <w:r w:rsidR="009B03ED" w:rsidRPr="00C9343F">
        <w:t>5</w:t>
      </w:r>
      <w:r w:rsidR="00D94006" w:rsidRPr="00C9343F">
        <w:t>    </w:t>
      </w:r>
      <w:r w:rsidRPr="00C9343F">
        <w:t>Trainee</w:t>
      </w:r>
      <w:bookmarkEnd w:id="162"/>
    </w:p>
    <w:tbl>
      <w:tblPr>
        <w:tblW w:w="0" w:type="auto"/>
        <w:tblInd w:w="113" w:type="dxa"/>
        <w:tblLayout w:type="fixed"/>
        <w:tblLook w:val="0000" w:firstRow="0" w:lastRow="0" w:firstColumn="0" w:lastColumn="0" w:noHBand="0" w:noVBand="0"/>
      </w:tblPr>
      <w:tblGrid>
        <w:gridCol w:w="992"/>
        <w:gridCol w:w="8363"/>
      </w:tblGrid>
      <w:tr w:rsidR="00D257AA" w:rsidRPr="00C9343F" w14:paraId="5BAC1907" w14:textId="77777777">
        <w:tc>
          <w:tcPr>
            <w:tcW w:w="992" w:type="dxa"/>
          </w:tcPr>
          <w:p w14:paraId="36D1ED8D" w14:textId="77777777" w:rsidR="00D257AA" w:rsidRPr="00C9343F" w:rsidRDefault="00D257AA" w:rsidP="00F66D98">
            <w:pPr>
              <w:pStyle w:val="BlockText-Plain"/>
              <w:jc w:val="center"/>
            </w:pPr>
          </w:p>
        </w:tc>
        <w:tc>
          <w:tcPr>
            <w:tcW w:w="8363" w:type="dxa"/>
          </w:tcPr>
          <w:p w14:paraId="2E93157D" w14:textId="77777777" w:rsidR="00D257AA" w:rsidRPr="00C9343F" w:rsidRDefault="00736984" w:rsidP="00F66D98">
            <w:pPr>
              <w:pStyle w:val="BlockText-Plain"/>
            </w:pPr>
            <w:r w:rsidRPr="00C9343F">
              <w:t xml:space="preserve">Trainee means a new entrant to the ADF who is on a trainee salary. This means a rate of salary under Schedule B.13 to DFRT Determination No. </w:t>
            </w:r>
            <w:r w:rsidR="002A2A83" w:rsidRPr="00C9343F">
              <w:t>2 of 2017</w:t>
            </w:r>
            <w:r w:rsidRPr="00C9343F">
              <w:t xml:space="preserve">, </w:t>
            </w:r>
            <w:r w:rsidRPr="00C9343F">
              <w:rPr>
                <w:i/>
              </w:rPr>
              <w:t>Salaries</w:t>
            </w:r>
            <w:r w:rsidRPr="00C9343F">
              <w:t>.</w:t>
            </w:r>
          </w:p>
        </w:tc>
      </w:tr>
      <w:tr w:rsidR="00D257AA" w:rsidRPr="00C9343F" w14:paraId="10BB1EEA" w14:textId="77777777">
        <w:tc>
          <w:tcPr>
            <w:tcW w:w="992" w:type="dxa"/>
          </w:tcPr>
          <w:p w14:paraId="7448F95B" w14:textId="77777777" w:rsidR="00D257AA" w:rsidRPr="00C9343F" w:rsidRDefault="00D257AA" w:rsidP="00F66D98">
            <w:pPr>
              <w:pStyle w:val="BlockText-Plain"/>
              <w:jc w:val="center"/>
            </w:pPr>
          </w:p>
        </w:tc>
        <w:tc>
          <w:tcPr>
            <w:tcW w:w="8363" w:type="dxa"/>
          </w:tcPr>
          <w:p w14:paraId="2E9313C4" w14:textId="77777777" w:rsidR="00736984" w:rsidRPr="00C9343F" w:rsidRDefault="00736984" w:rsidP="00F66D98">
            <w:pPr>
              <w:pStyle w:val="BlockText-Plain"/>
            </w:pPr>
            <w:r w:rsidRPr="00C9343F">
              <w:rPr>
                <w:b/>
              </w:rPr>
              <w:t>Note:</w:t>
            </w:r>
            <w:r w:rsidRPr="00C9343F">
              <w:t xml:space="preserve"> This definition does not apply to existing members of the Permanent Forces who are undergoing a form of in-service training mentioned in Schedule B.13. These members are entitled to salary non-reduction under Chapter 3 Part 2 Division 2 </w:t>
            </w:r>
            <w:r w:rsidR="00580C86" w:rsidRPr="00C9343F">
              <w:t>section</w:t>
            </w:r>
            <w:r w:rsidRPr="00C9343F">
              <w:t xml:space="preserve"> 3.2.2</w:t>
            </w:r>
            <w:r w:rsidR="00B95409" w:rsidRPr="00C9343F">
              <w:t>5</w:t>
            </w:r>
            <w:r w:rsidRPr="00C9343F">
              <w:t>. They are defined as members undergoing</w:t>
            </w:r>
            <w:r w:rsidR="008867BE" w:rsidRPr="00C9343F">
              <w:t xml:space="preserve"> recategorisation</w:t>
            </w:r>
            <w:r w:rsidRPr="00C9343F">
              <w:t xml:space="preserve"> training.</w:t>
            </w:r>
          </w:p>
          <w:p w14:paraId="5B6A1BD8" w14:textId="77777777" w:rsidR="00D257AA" w:rsidRPr="00C9343F" w:rsidRDefault="00736984" w:rsidP="00F66D98">
            <w:pPr>
              <w:pStyle w:val="BlockText-Plain"/>
            </w:pPr>
            <w:r w:rsidRPr="00C9343F">
              <w:rPr>
                <w:b/>
              </w:rPr>
              <w:t>See:</w:t>
            </w:r>
            <w:r w:rsidRPr="00C9343F">
              <w:t xml:space="preserve"> </w:t>
            </w:r>
            <w:r w:rsidR="00580C86" w:rsidRPr="00C9343F">
              <w:t>Section</w:t>
            </w:r>
            <w:r w:rsidRPr="00C9343F">
              <w:t xml:space="preserve"> 1.3.4</w:t>
            </w:r>
            <w:r w:rsidR="00214979" w:rsidRPr="00C9343F">
              <w:t>3</w:t>
            </w:r>
            <w:r w:rsidRPr="00C9343F">
              <w:t xml:space="preserve">, Member undergoing </w:t>
            </w:r>
            <w:r w:rsidR="008867BE" w:rsidRPr="00C9343F">
              <w:t xml:space="preserve">recategorisation </w:t>
            </w:r>
            <w:r w:rsidRPr="00C9343F">
              <w:t>training</w:t>
            </w:r>
          </w:p>
        </w:tc>
      </w:tr>
    </w:tbl>
    <w:p w14:paraId="759DAAA1" w14:textId="23BE74CF" w:rsidR="00AF060B" w:rsidRPr="00C9343F" w:rsidRDefault="00AF060B" w:rsidP="00F66D98">
      <w:pPr>
        <w:pStyle w:val="Heading5"/>
      </w:pPr>
      <w:bookmarkStart w:id="163" w:name="_Toc105053557"/>
      <w:r w:rsidRPr="00C9343F">
        <w:t>1.3.7</w:t>
      </w:r>
      <w:r w:rsidR="009B03ED" w:rsidRPr="00C9343F">
        <w:t>6</w:t>
      </w:r>
      <w:r w:rsidR="00D94006" w:rsidRPr="00C9343F">
        <w:t>    </w:t>
      </w:r>
      <w:r w:rsidRPr="00C9343F">
        <w:t>Training commitment</w:t>
      </w:r>
      <w:bookmarkEnd w:id="163"/>
    </w:p>
    <w:tbl>
      <w:tblPr>
        <w:tblW w:w="0" w:type="auto"/>
        <w:tblInd w:w="113" w:type="dxa"/>
        <w:tblLayout w:type="fixed"/>
        <w:tblLook w:val="0000" w:firstRow="0" w:lastRow="0" w:firstColumn="0" w:lastColumn="0" w:noHBand="0" w:noVBand="0"/>
      </w:tblPr>
      <w:tblGrid>
        <w:gridCol w:w="992"/>
        <w:gridCol w:w="8367"/>
      </w:tblGrid>
      <w:tr w:rsidR="00AF060B" w:rsidRPr="00C9343F" w14:paraId="2A3F106E" w14:textId="77777777" w:rsidTr="006D7DDA">
        <w:tc>
          <w:tcPr>
            <w:tcW w:w="992" w:type="dxa"/>
          </w:tcPr>
          <w:p w14:paraId="3CA7E876" w14:textId="77777777" w:rsidR="00AF060B" w:rsidRPr="00C9343F" w:rsidRDefault="00AF060B" w:rsidP="00F66D98">
            <w:pPr>
              <w:pStyle w:val="BlockText-Plain"/>
              <w:jc w:val="center"/>
            </w:pPr>
          </w:p>
        </w:tc>
        <w:tc>
          <w:tcPr>
            <w:tcW w:w="8367" w:type="dxa"/>
          </w:tcPr>
          <w:p w14:paraId="108DC805" w14:textId="77777777" w:rsidR="00AF060B" w:rsidRPr="00C9343F" w:rsidRDefault="0084087E" w:rsidP="00F66D98">
            <w:pPr>
              <w:pStyle w:val="BlockText-Plain"/>
              <w:rPr>
                <w:b/>
              </w:rPr>
            </w:pPr>
            <w:r w:rsidRPr="00C9343F">
              <w:t>Training commitment means an obligation for a member of the Reserves to render service for the purpose of undertaking training.</w:t>
            </w:r>
          </w:p>
        </w:tc>
      </w:tr>
      <w:tr w:rsidR="0084087E" w:rsidRPr="00C9343F" w14:paraId="1B52EEAB" w14:textId="77777777" w:rsidTr="006D7DDA">
        <w:tc>
          <w:tcPr>
            <w:tcW w:w="992" w:type="dxa"/>
          </w:tcPr>
          <w:p w14:paraId="506610AB" w14:textId="77777777" w:rsidR="0084087E" w:rsidRPr="00C9343F" w:rsidRDefault="0084087E" w:rsidP="00F66D98">
            <w:pPr>
              <w:pStyle w:val="BlockText-Plain"/>
              <w:jc w:val="center"/>
            </w:pPr>
          </w:p>
        </w:tc>
        <w:tc>
          <w:tcPr>
            <w:tcW w:w="8367" w:type="dxa"/>
          </w:tcPr>
          <w:p w14:paraId="769A5F9D" w14:textId="77777777" w:rsidR="0084087E" w:rsidRPr="00C9343F" w:rsidRDefault="0084087E" w:rsidP="00F66D98">
            <w:pPr>
              <w:pStyle w:val="BlockText-Plain"/>
              <w:rPr>
                <w:b/>
                <w:i/>
              </w:rPr>
            </w:pPr>
            <w:r w:rsidRPr="00C9343F">
              <w:rPr>
                <w:b/>
              </w:rPr>
              <w:t>Note:</w:t>
            </w:r>
            <w:r w:rsidRPr="00C9343F">
              <w:t xml:space="preserve"> The obligation is created under section 27 of the </w:t>
            </w:r>
            <w:r w:rsidR="004974D5" w:rsidRPr="00C9343F">
              <w:t>Defence Regulation</w:t>
            </w:r>
            <w:r w:rsidRPr="00C9343F">
              <w:rPr>
                <w:i/>
              </w:rPr>
              <w:t>.</w:t>
            </w:r>
          </w:p>
        </w:tc>
      </w:tr>
    </w:tbl>
    <w:p w14:paraId="579AC77F" w14:textId="7D4986D2" w:rsidR="00AF060B" w:rsidRPr="00C9343F" w:rsidRDefault="00AF060B" w:rsidP="00F66D98">
      <w:pPr>
        <w:pStyle w:val="Heading5"/>
      </w:pPr>
      <w:bookmarkStart w:id="164" w:name="_Toc105053558"/>
      <w:r w:rsidRPr="00C9343F">
        <w:t>1.3.7</w:t>
      </w:r>
      <w:r w:rsidR="009B03ED" w:rsidRPr="00C9343F">
        <w:t>7</w:t>
      </w:r>
      <w:r w:rsidR="00D94006" w:rsidRPr="00C9343F">
        <w:t>    </w:t>
      </w:r>
      <w:r w:rsidRPr="00C9343F">
        <w:t>Travel card</w:t>
      </w:r>
      <w:bookmarkEnd w:id="164"/>
    </w:p>
    <w:tbl>
      <w:tblPr>
        <w:tblW w:w="9355" w:type="dxa"/>
        <w:tblInd w:w="113" w:type="dxa"/>
        <w:tblLayout w:type="fixed"/>
        <w:tblLook w:val="0000" w:firstRow="0" w:lastRow="0" w:firstColumn="0" w:lastColumn="0" w:noHBand="0" w:noVBand="0"/>
      </w:tblPr>
      <w:tblGrid>
        <w:gridCol w:w="992"/>
        <w:gridCol w:w="8363"/>
      </w:tblGrid>
      <w:tr w:rsidR="00AF060B" w:rsidRPr="00C9343F" w14:paraId="7274EDE9" w14:textId="77777777" w:rsidTr="00E115DA">
        <w:tc>
          <w:tcPr>
            <w:tcW w:w="992" w:type="dxa"/>
          </w:tcPr>
          <w:p w14:paraId="67E447DF" w14:textId="77777777" w:rsidR="00AF060B" w:rsidRPr="00C9343F" w:rsidRDefault="00AF060B" w:rsidP="00F66D98">
            <w:pPr>
              <w:pStyle w:val="BlockText-Plain"/>
              <w:jc w:val="center"/>
            </w:pPr>
          </w:p>
        </w:tc>
        <w:tc>
          <w:tcPr>
            <w:tcW w:w="8363" w:type="dxa"/>
          </w:tcPr>
          <w:p w14:paraId="3BA63611" w14:textId="77777777" w:rsidR="00AF060B" w:rsidRPr="00C9343F" w:rsidRDefault="00644576" w:rsidP="00F66D98">
            <w:pPr>
              <w:pStyle w:val="BlockText-Plain"/>
            </w:pPr>
            <w:r w:rsidRPr="00C9343F">
              <w:rPr>
                <w:rFonts w:cs="Arial"/>
                <w:color w:val="000000"/>
                <w:shd w:val="clear" w:color="auto" w:fill="FFFFFF"/>
              </w:rPr>
              <w:t>Travel card means a charge card that the Department of Defence provides to a member to pay accommodation, meal and incidental costs.</w:t>
            </w:r>
          </w:p>
        </w:tc>
      </w:tr>
    </w:tbl>
    <w:p w14:paraId="67283948" w14:textId="5087FE4F" w:rsidR="00E115DA" w:rsidRPr="00C9343F" w:rsidRDefault="00E115DA" w:rsidP="00F66D98">
      <w:pPr>
        <w:pStyle w:val="Heading5"/>
      </w:pPr>
      <w:bookmarkStart w:id="165" w:name="W"/>
      <w:bookmarkStart w:id="166" w:name="_Toc105053559"/>
      <w:bookmarkEnd w:id="165"/>
      <w:r w:rsidRPr="00C9343F">
        <w:t>1.3.77A</w:t>
      </w:r>
      <w:r w:rsidR="00D94006" w:rsidRPr="00C9343F">
        <w:t>    </w:t>
      </w:r>
      <w:r w:rsidRPr="00C9343F">
        <w:t>Unpaid leave</w:t>
      </w:r>
      <w:bookmarkEnd w:id="166"/>
    </w:p>
    <w:tbl>
      <w:tblPr>
        <w:tblW w:w="9364" w:type="dxa"/>
        <w:tblInd w:w="108" w:type="dxa"/>
        <w:tblLayout w:type="fixed"/>
        <w:tblLook w:val="04A0" w:firstRow="1" w:lastRow="0" w:firstColumn="1" w:lastColumn="0" w:noHBand="0" w:noVBand="1"/>
      </w:tblPr>
      <w:tblGrid>
        <w:gridCol w:w="991"/>
        <w:gridCol w:w="570"/>
        <w:gridCol w:w="7803"/>
      </w:tblGrid>
      <w:tr w:rsidR="00E115DA" w:rsidRPr="00C9343F" w14:paraId="7589F49F" w14:textId="77777777" w:rsidTr="003039DD">
        <w:tc>
          <w:tcPr>
            <w:tcW w:w="991" w:type="dxa"/>
          </w:tcPr>
          <w:p w14:paraId="0D2A7DA3" w14:textId="77777777" w:rsidR="00E115DA" w:rsidRPr="00C9343F" w:rsidRDefault="00E115DA" w:rsidP="00F66D98">
            <w:pPr>
              <w:pStyle w:val="Sectiontext0"/>
              <w:jc w:val="center"/>
              <w:rPr>
                <w:lang w:eastAsia="en-US"/>
              </w:rPr>
            </w:pPr>
          </w:p>
        </w:tc>
        <w:tc>
          <w:tcPr>
            <w:tcW w:w="8373" w:type="dxa"/>
            <w:gridSpan w:val="2"/>
          </w:tcPr>
          <w:p w14:paraId="3222A112" w14:textId="77777777" w:rsidR="00E115DA" w:rsidRPr="00C9343F" w:rsidRDefault="00E115DA" w:rsidP="00F66D98">
            <w:pPr>
              <w:pStyle w:val="Sectiontext0"/>
              <w:rPr>
                <w:rFonts w:cs="Arial"/>
                <w:lang w:eastAsia="en-US"/>
              </w:rPr>
            </w:pPr>
            <w:r w:rsidRPr="00C9343F">
              <w:t>Unpaid leave means</w:t>
            </w:r>
            <w:r w:rsidRPr="00C9343F">
              <w:rPr>
                <w:b/>
              </w:rPr>
              <w:t xml:space="preserve"> </w:t>
            </w:r>
            <w:r w:rsidRPr="00C9343F">
              <w:t>the following.</w:t>
            </w:r>
          </w:p>
        </w:tc>
      </w:tr>
      <w:tr w:rsidR="00E115DA" w:rsidRPr="00C9343F" w14:paraId="56A95E91" w14:textId="77777777" w:rsidTr="003039DD">
        <w:tc>
          <w:tcPr>
            <w:tcW w:w="991" w:type="dxa"/>
          </w:tcPr>
          <w:p w14:paraId="487A63BC" w14:textId="77777777" w:rsidR="00E115DA" w:rsidRPr="00C9343F" w:rsidRDefault="00E115DA" w:rsidP="00F66D98">
            <w:pPr>
              <w:pStyle w:val="Sectiontext0"/>
              <w:jc w:val="center"/>
              <w:rPr>
                <w:lang w:eastAsia="en-US"/>
              </w:rPr>
            </w:pPr>
          </w:p>
        </w:tc>
        <w:tc>
          <w:tcPr>
            <w:tcW w:w="570" w:type="dxa"/>
            <w:hideMark/>
          </w:tcPr>
          <w:p w14:paraId="1A50F366" w14:textId="77777777" w:rsidR="00E115DA" w:rsidRPr="00C9343F" w:rsidRDefault="00E115DA" w:rsidP="00F66D98">
            <w:pPr>
              <w:pStyle w:val="Sectiontext0"/>
              <w:jc w:val="center"/>
              <w:rPr>
                <w:rFonts w:cs="Arial"/>
                <w:lang w:eastAsia="en-US"/>
              </w:rPr>
            </w:pPr>
            <w:r w:rsidRPr="00C9343F">
              <w:rPr>
                <w:rFonts w:cs="Arial"/>
                <w:lang w:eastAsia="en-US"/>
              </w:rPr>
              <w:t>a.</w:t>
            </w:r>
          </w:p>
        </w:tc>
        <w:tc>
          <w:tcPr>
            <w:tcW w:w="7803" w:type="dxa"/>
          </w:tcPr>
          <w:p w14:paraId="2E964A33" w14:textId="77777777" w:rsidR="00E115DA" w:rsidRPr="00C9343F" w:rsidRDefault="00E115DA" w:rsidP="00F66D98">
            <w:pPr>
              <w:pStyle w:val="Sectiontext0"/>
              <w:rPr>
                <w:rFonts w:cs="Arial"/>
                <w:lang w:eastAsia="en-US"/>
              </w:rPr>
            </w:pPr>
            <w:r w:rsidRPr="00C9343F">
              <w:rPr>
                <w:rFonts w:cs="Arial"/>
                <w:lang w:eastAsia="en-US"/>
              </w:rPr>
              <w:t>Leave without pay.</w:t>
            </w:r>
          </w:p>
        </w:tc>
      </w:tr>
      <w:tr w:rsidR="00E115DA" w:rsidRPr="00C9343F" w14:paraId="720D9C95" w14:textId="77777777" w:rsidTr="003039DD">
        <w:tc>
          <w:tcPr>
            <w:tcW w:w="991" w:type="dxa"/>
          </w:tcPr>
          <w:p w14:paraId="3A9DCAED" w14:textId="77777777" w:rsidR="00E115DA" w:rsidRPr="00C9343F" w:rsidRDefault="00E115DA" w:rsidP="00F66D98">
            <w:pPr>
              <w:pStyle w:val="Sectiontext0"/>
              <w:jc w:val="center"/>
              <w:rPr>
                <w:lang w:eastAsia="en-US"/>
              </w:rPr>
            </w:pPr>
          </w:p>
        </w:tc>
        <w:tc>
          <w:tcPr>
            <w:tcW w:w="570" w:type="dxa"/>
          </w:tcPr>
          <w:p w14:paraId="527EAF4D" w14:textId="77777777" w:rsidR="00E115DA" w:rsidRPr="00C9343F" w:rsidRDefault="00E115DA" w:rsidP="00F66D98">
            <w:pPr>
              <w:pStyle w:val="Sectiontext0"/>
              <w:jc w:val="center"/>
              <w:rPr>
                <w:rFonts w:cs="Arial"/>
                <w:lang w:eastAsia="en-US"/>
              </w:rPr>
            </w:pPr>
            <w:r w:rsidRPr="00C9343F">
              <w:rPr>
                <w:rFonts w:cs="Arial"/>
                <w:lang w:eastAsia="en-US"/>
              </w:rPr>
              <w:t>b.</w:t>
            </w:r>
          </w:p>
        </w:tc>
        <w:tc>
          <w:tcPr>
            <w:tcW w:w="7803" w:type="dxa"/>
          </w:tcPr>
          <w:p w14:paraId="61180891" w14:textId="77777777" w:rsidR="00E115DA" w:rsidRPr="00C9343F" w:rsidRDefault="00E115DA" w:rsidP="00F66D98">
            <w:pPr>
              <w:pStyle w:val="Sectiontext0"/>
              <w:rPr>
                <w:rFonts w:cs="Arial"/>
                <w:lang w:eastAsia="en-US"/>
              </w:rPr>
            </w:pPr>
            <w:r w:rsidRPr="00C9343F">
              <w:rPr>
                <w:rFonts w:cs="Arial"/>
                <w:lang w:eastAsia="en-US"/>
              </w:rPr>
              <w:t>Unpaid maternity leave.</w:t>
            </w:r>
          </w:p>
        </w:tc>
      </w:tr>
      <w:tr w:rsidR="00E115DA" w:rsidRPr="00C9343F" w14:paraId="4E64F82D" w14:textId="77777777" w:rsidTr="003039DD">
        <w:tc>
          <w:tcPr>
            <w:tcW w:w="991" w:type="dxa"/>
          </w:tcPr>
          <w:p w14:paraId="0F3CEE47" w14:textId="77777777" w:rsidR="00E115DA" w:rsidRPr="00C9343F" w:rsidRDefault="00E115DA" w:rsidP="00F66D98">
            <w:pPr>
              <w:pStyle w:val="Sectiontext0"/>
              <w:jc w:val="center"/>
              <w:rPr>
                <w:lang w:eastAsia="en-US"/>
              </w:rPr>
            </w:pPr>
          </w:p>
        </w:tc>
        <w:tc>
          <w:tcPr>
            <w:tcW w:w="570" w:type="dxa"/>
          </w:tcPr>
          <w:p w14:paraId="2F8DCDDF" w14:textId="77777777" w:rsidR="00E115DA" w:rsidRPr="00C9343F" w:rsidRDefault="00E115DA" w:rsidP="00F66D98">
            <w:pPr>
              <w:pStyle w:val="Sectiontext0"/>
              <w:jc w:val="center"/>
              <w:rPr>
                <w:rFonts w:cs="Arial"/>
                <w:lang w:eastAsia="en-US"/>
              </w:rPr>
            </w:pPr>
            <w:r w:rsidRPr="00C9343F">
              <w:rPr>
                <w:rFonts w:cs="Arial"/>
                <w:lang w:eastAsia="en-US"/>
              </w:rPr>
              <w:t>c.</w:t>
            </w:r>
          </w:p>
        </w:tc>
        <w:tc>
          <w:tcPr>
            <w:tcW w:w="7803" w:type="dxa"/>
          </w:tcPr>
          <w:p w14:paraId="6E1FA0B3" w14:textId="77777777" w:rsidR="00E115DA" w:rsidRPr="00C9343F" w:rsidRDefault="00E115DA" w:rsidP="00F66D98">
            <w:pPr>
              <w:pStyle w:val="Sectiontext0"/>
              <w:rPr>
                <w:rFonts w:cs="Arial"/>
                <w:lang w:eastAsia="en-US"/>
              </w:rPr>
            </w:pPr>
            <w:r w:rsidRPr="00C9343F">
              <w:rPr>
                <w:rFonts w:cs="Arial"/>
                <w:lang w:eastAsia="en-US"/>
              </w:rPr>
              <w:t>Unpaid parental leave.</w:t>
            </w:r>
          </w:p>
        </w:tc>
      </w:tr>
    </w:tbl>
    <w:p w14:paraId="2CF41C02" w14:textId="009B3A55" w:rsidR="0035033E" w:rsidRPr="00C9343F" w:rsidRDefault="0035033E" w:rsidP="00F66D98">
      <w:pPr>
        <w:pStyle w:val="Heading5"/>
      </w:pPr>
      <w:bookmarkStart w:id="167" w:name="_Toc105053560"/>
      <w:r w:rsidRPr="00C9343F">
        <w:t>1.3.7</w:t>
      </w:r>
      <w:r w:rsidR="009B03ED" w:rsidRPr="00C9343F">
        <w:t>8</w:t>
      </w:r>
      <w:r w:rsidR="00D94006" w:rsidRPr="00C9343F">
        <w:t>    </w:t>
      </w:r>
      <w:r w:rsidRPr="00C9343F">
        <w:t>Very serious illness</w:t>
      </w:r>
      <w:bookmarkEnd w:id="167"/>
    </w:p>
    <w:tbl>
      <w:tblPr>
        <w:tblW w:w="0" w:type="auto"/>
        <w:tblInd w:w="113" w:type="dxa"/>
        <w:tblLayout w:type="fixed"/>
        <w:tblLook w:val="0000" w:firstRow="0" w:lastRow="0" w:firstColumn="0" w:lastColumn="0" w:noHBand="0" w:noVBand="0"/>
      </w:tblPr>
      <w:tblGrid>
        <w:gridCol w:w="992"/>
        <w:gridCol w:w="8367"/>
      </w:tblGrid>
      <w:tr w:rsidR="0035033E" w:rsidRPr="00C9343F" w14:paraId="540F73A1" w14:textId="77777777" w:rsidTr="000729FD">
        <w:tc>
          <w:tcPr>
            <w:tcW w:w="992" w:type="dxa"/>
          </w:tcPr>
          <w:p w14:paraId="2BE33738" w14:textId="77777777" w:rsidR="0035033E" w:rsidRPr="00C9343F" w:rsidRDefault="0035033E" w:rsidP="00F66D98">
            <w:pPr>
              <w:pStyle w:val="BlockText-Plain"/>
              <w:jc w:val="center"/>
            </w:pPr>
          </w:p>
        </w:tc>
        <w:tc>
          <w:tcPr>
            <w:tcW w:w="8367" w:type="dxa"/>
          </w:tcPr>
          <w:p w14:paraId="46CA258D" w14:textId="77777777" w:rsidR="0035033E" w:rsidRPr="00C9343F" w:rsidRDefault="0035033E" w:rsidP="00F66D98">
            <w:pPr>
              <w:pStyle w:val="BlockText-Plain"/>
            </w:pPr>
            <w:r w:rsidRPr="00C9343F">
              <w:t>Very serious illness means an illness or injury of such severity that life is imminently endangered.</w:t>
            </w:r>
          </w:p>
        </w:tc>
      </w:tr>
    </w:tbl>
    <w:p w14:paraId="6FD3C66B" w14:textId="175EC3FA" w:rsidR="00AF060B" w:rsidRPr="00C9343F" w:rsidRDefault="00AF060B" w:rsidP="00F66D98">
      <w:pPr>
        <w:pStyle w:val="Heading5"/>
      </w:pPr>
      <w:bookmarkStart w:id="168" w:name="_Toc105053561"/>
      <w:r w:rsidRPr="00C9343F">
        <w:t>1.3.7</w:t>
      </w:r>
      <w:r w:rsidR="009B03ED" w:rsidRPr="00C9343F">
        <w:t>9</w:t>
      </w:r>
      <w:r w:rsidR="00D94006" w:rsidRPr="00C9343F">
        <w:t>    </w:t>
      </w:r>
      <w:r w:rsidRPr="00C9343F">
        <w:t>Warlike service</w:t>
      </w:r>
      <w:bookmarkEnd w:id="168"/>
    </w:p>
    <w:tbl>
      <w:tblPr>
        <w:tblW w:w="0" w:type="auto"/>
        <w:tblInd w:w="113" w:type="dxa"/>
        <w:tblLayout w:type="fixed"/>
        <w:tblLook w:val="0000" w:firstRow="0" w:lastRow="0" w:firstColumn="0" w:lastColumn="0" w:noHBand="0" w:noVBand="0"/>
      </w:tblPr>
      <w:tblGrid>
        <w:gridCol w:w="992"/>
        <w:gridCol w:w="8367"/>
      </w:tblGrid>
      <w:tr w:rsidR="00AF060B" w:rsidRPr="00C9343F" w14:paraId="1CE0AFC6" w14:textId="77777777" w:rsidTr="000F36AA">
        <w:tc>
          <w:tcPr>
            <w:tcW w:w="992" w:type="dxa"/>
          </w:tcPr>
          <w:p w14:paraId="2A6FFC65" w14:textId="77777777" w:rsidR="00AF060B" w:rsidRPr="00C9343F" w:rsidRDefault="00AF060B" w:rsidP="00F66D98">
            <w:pPr>
              <w:pStyle w:val="BlockText-Plain"/>
              <w:jc w:val="center"/>
            </w:pPr>
          </w:p>
        </w:tc>
        <w:tc>
          <w:tcPr>
            <w:tcW w:w="8367" w:type="dxa"/>
          </w:tcPr>
          <w:p w14:paraId="25327C8B" w14:textId="77777777" w:rsidR="00AF060B" w:rsidRPr="00C9343F" w:rsidRDefault="00ED75A5" w:rsidP="00F66D98">
            <w:pPr>
              <w:pStyle w:val="BlockText-Plain"/>
            </w:pPr>
            <w:r w:rsidRPr="00C9343F">
              <w:t xml:space="preserve">Warlike service means service in the Defence Force of a kind determined as warlike service for the purposes of the </w:t>
            </w:r>
            <w:r w:rsidRPr="00C9343F">
              <w:rPr>
                <w:i/>
              </w:rPr>
              <w:t>Veterans’ Entitlements Act 1986</w:t>
            </w:r>
            <w:r w:rsidRPr="00C9343F">
              <w:t>.</w:t>
            </w:r>
          </w:p>
        </w:tc>
      </w:tr>
      <w:tr w:rsidR="000F36AA" w:rsidRPr="00C9343F" w14:paraId="43FDE2B1" w14:textId="77777777" w:rsidTr="000F36AA">
        <w:tc>
          <w:tcPr>
            <w:tcW w:w="992" w:type="dxa"/>
          </w:tcPr>
          <w:p w14:paraId="72C3F925" w14:textId="77777777" w:rsidR="000F36AA" w:rsidRPr="00C9343F" w:rsidRDefault="000F36AA" w:rsidP="00F66D98">
            <w:pPr>
              <w:pStyle w:val="BlockText-Plain"/>
              <w:jc w:val="center"/>
            </w:pPr>
          </w:p>
        </w:tc>
        <w:tc>
          <w:tcPr>
            <w:tcW w:w="8367" w:type="dxa"/>
          </w:tcPr>
          <w:p w14:paraId="633A05D0" w14:textId="77777777" w:rsidR="000F36AA" w:rsidRPr="00C9343F" w:rsidRDefault="00ED75A5" w:rsidP="00F66D98">
            <w:pPr>
              <w:pStyle w:val="BlockText-Plain"/>
            </w:pPr>
            <w:r w:rsidRPr="00C9343F">
              <w:rPr>
                <w:b/>
              </w:rPr>
              <w:t>See:</w:t>
            </w:r>
            <w:r w:rsidRPr="00C9343F">
              <w:t xml:space="preserve"> Section 5C of the </w:t>
            </w:r>
            <w:r w:rsidRPr="00C9343F">
              <w:rPr>
                <w:i/>
              </w:rPr>
              <w:t>Veterans' Entitlements Act 1986</w:t>
            </w:r>
          </w:p>
        </w:tc>
      </w:tr>
    </w:tbl>
    <w:p w14:paraId="7DEE69E0" w14:textId="77777777" w:rsidR="00983004" w:rsidRPr="00C9343F" w:rsidRDefault="00983004" w:rsidP="00F66D98"/>
    <w:p w14:paraId="3E60C4D0" w14:textId="16F418FF" w:rsidR="00AF060B" w:rsidRPr="00C9343F" w:rsidRDefault="00AF060B" w:rsidP="00B91711">
      <w:pPr>
        <w:pStyle w:val="Heading4"/>
        <w:pageBreakBefore/>
      </w:pPr>
      <w:bookmarkStart w:id="169" w:name="_Toc105053562"/>
      <w:r w:rsidRPr="00C9343F">
        <w:lastRenderedPageBreak/>
        <w:t xml:space="preserve">Division 2: </w:t>
      </w:r>
      <w:r w:rsidR="002752E7" w:rsidRPr="00C9343F">
        <w:t>De</w:t>
      </w:r>
      <w:r w:rsidRPr="00C9343F">
        <w:t>pendants</w:t>
      </w:r>
      <w:r w:rsidR="002752E7" w:rsidRPr="00C9343F">
        <w:t xml:space="preserve"> and categorisation</w:t>
      </w:r>
      <w:bookmarkEnd w:id="169"/>
    </w:p>
    <w:p w14:paraId="216B44F1" w14:textId="77777777" w:rsidR="003F779E" w:rsidRPr="00C9343F" w:rsidRDefault="003F779E" w:rsidP="00F66D98">
      <w:pPr>
        <w:pStyle w:val="Heading5"/>
        <w:spacing w:before="120"/>
      </w:pPr>
      <w:bookmarkStart w:id="170" w:name="_Toc105053563"/>
      <w:r w:rsidRPr="00C9343F">
        <w:t>Subdivision 1: Household member definitions</w:t>
      </w:r>
      <w:bookmarkEnd w:id="170"/>
    </w:p>
    <w:p w14:paraId="2B40A22D" w14:textId="0E5B0AA7" w:rsidR="00AF060B" w:rsidRPr="00C9343F" w:rsidRDefault="00AF060B" w:rsidP="00F66D98">
      <w:pPr>
        <w:pStyle w:val="Heading5"/>
      </w:pPr>
      <w:bookmarkStart w:id="171" w:name="_Toc105053564"/>
      <w:r w:rsidRPr="00C9343F">
        <w:t>1.3.</w:t>
      </w:r>
      <w:r w:rsidR="009B03ED" w:rsidRPr="00C9343F">
        <w:t>80</w:t>
      </w:r>
      <w:r w:rsidR="00D94006" w:rsidRPr="00C9343F">
        <w:t>    </w:t>
      </w:r>
      <w:r w:rsidR="002752E7" w:rsidRPr="00C9343F">
        <w:t>Purpose</w:t>
      </w:r>
      <w:bookmarkEnd w:id="171"/>
    </w:p>
    <w:tbl>
      <w:tblPr>
        <w:tblW w:w="0" w:type="auto"/>
        <w:tblInd w:w="113" w:type="dxa"/>
        <w:tblLayout w:type="fixed"/>
        <w:tblLook w:val="0000" w:firstRow="0" w:lastRow="0" w:firstColumn="0" w:lastColumn="0" w:noHBand="0" w:noVBand="0"/>
      </w:tblPr>
      <w:tblGrid>
        <w:gridCol w:w="992"/>
        <w:gridCol w:w="8363"/>
      </w:tblGrid>
      <w:tr w:rsidR="00AF060B" w:rsidRPr="00C9343F" w14:paraId="12182B9E" w14:textId="77777777">
        <w:tc>
          <w:tcPr>
            <w:tcW w:w="992" w:type="dxa"/>
          </w:tcPr>
          <w:p w14:paraId="699A5CE8" w14:textId="77777777" w:rsidR="00AF060B" w:rsidRPr="00C9343F" w:rsidRDefault="002752E7" w:rsidP="00F66D98">
            <w:pPr>
              <w:pStyle w:val="BlockText-PlainNoSpacing"/>
              <w:keepNext w:val="0"/>
              <w:keepLines w:val="0"/>
              <w:jc w:val="center"/>
            </w:pPr>
            <w:r w:rsidRPr="00C9343F">
              <w:t>1.</w:t>
            </w:r>
          </w:p>
        </w:tc>
        <w:tc>
          <w:tcPr>
            <w:tcW w:w="8363" w:type="dxa"/>
          </w:tcPr>
          <w:p w14:paraId="61EB11D6" w14:textId="77777777" w:rsidR="00AF060B" w:rsidRPr="00C9343F" w:rsidRDefault="00A76C3D" w:rsidP="00F66D98">
            <w:pPr>
              <w:pStyle w:val="BlockText-Plain"/>
            </w:pPr>
            <w:r w:rsidRPr="00C9343F">
              <w:t>The Commonwealth provides benefits to assist a member's family with costs arising out of Service needs. Most benefits are provided only for family members who are also dependants living in the same household as the member.</w:t>
            </w:r>
          </w:p>
        </w:tc>
      </w:tr>
      <w:tr w:rsidR="002752E7" w:rsidRPr="00C9343F" w14:paraId="009A0339" w14:textId="77777777">
        <w:tc>
          <w:tcPr>
            <w:tcW w:w="992" w:type="dxa"/>
          </w:tcPr>
          <w:p w14:paraId="444DFCF4" w14:textId="77777777" w:rsidR="002752E7" w:rsidRPr="00C9343F" w:rsidRDefault="002752E7" w:rsidP="00F66D98">
            <w:pPr>
              <w:pStyle w:val="BlockText-PlainNoSpacing"/>
              <w:keepNext w:val="0"/>
              <w:keepLines w:val="0"/>
              <w:jc w:val="center"/>
            </w:pPr>
            <w:r w:rsidRPr="00C9343F">
              <w:t>2.</w:t>
            </w:r>
          </w:p>
        </w:tc>
        <w:tc>
          <w:tcPr>
            <w:tcW w:w="8363" w:type="dxa"/>
          </w:tcPr>
          <w:p w14:paraId="7EEDEB16" w14:textId="77777777" w:rsidR="00A76C3D" w:rsidRPr="00C9343F" w:rsidRDefault="00A76C3D" w:rsidP="00F66D98">
            <w:pPr>
              <w:pStyle w:val="BlockText-Plain"/>
            </w:pPr>
            <w:r w:rsidRPr="00C9343F">
              <w:t xml:space="preserve">The purpose of this Division is to identify the relationships that might give rise to eligibility for Defence benefits. </w:t>
            </w:r>
          </w:p>
          <w:p w14:paraId="0860B204" w14:textId="77777777" w:rsidR="002752E7" w:rsidRPr="00C9343F" w:rsidRDefault="002752E7" w:rsidP="00F66D98">
            <w:pPr>
              <w:pStyle w:val="BlockText-Plain"/>
            </w:pPr>
            <w:r w:rsidRPr="00C9343F">
              <w:rPr>
                <w:b/>
              </w:rPr>
              <w:t>Exception:</w:t>
            </w:r>
            <w:r w:rsidRPr="00C9343F">
              <w:t xml:space="preserve"> Not all of the people in a member's family group are included in dependant definitions. Those people excluded are not usually eligible for Defence benefit purposes.</w:t>
            </w:r>
          </w:p>
        </w:tc>
      </w:tr>
      <w:tr w:rsidR="002752E7" w:rsidRPr="00C9343F" w14:paraId="6D266B00" w14:textId="77777777">
        <w:tc>
          <w:tcPr>
            <w:tcW w:w="992" w:type="dxa"/>
          </w:tcPr>
          <w:p w14:paraId="2F7A44ED" w14:textId="77777777" w:rsidR="002752E7" w:rsidRPr="00C9343F" w:rsidRDefault="002752E7" w:rsidP="00F66D98">
            <w:pPr>
              <w:pStyle w:val="BlockText-PlainNoSpacing"/>
              <w:keepNext w:val="0"/>
              <w:keepLines w:val="0"/>
              <w:jc w:val="center"/>
            </w:pPr>
            <w:r w:rsidRPr="00C9343F">
              <w:t>3.</w:t>
            </w:r>
          </w:p>
        </w:tc>
        <w:tc>
          <w:tcPr>
            <w:tcW w:w="8363" w:type="dxa"/>
          </w:tcPr>
          <w:p w14:paraId="00B2F9D1" w14:textId="77777777" w:rsidR="002752E7" w:rsidRPr="00C9343F" w:rsidRDefault="002752E7" w:rsidP="00F66D98">
            <w:pPr>
              <w:pStyle w:val="BlockText-Plain"/>
            </w:pPr>
            <w:r w:rsidRPr="00C9343F">
              <w:t>The definitions, concepts and categorisations referred to in the following table apply to members and their dependants.</w:t>
            </w:r>
          </w:p>
        </w:tc>
      </w:tr>
    </w:tbl>
    <w:p w14:paraId="75E3DDAA" w14:textId="77777777" w:rsidR="002752E7" w:rsidRPr="00C9343F" w:rsidRDefault="002752E7" w:rsidP="00F66D98">
      <w:pPr>
        <w:keepLines w:val="0"/>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9"/>
        <w:gridCol w:w="425"/>
        <w:gridCol w:w="5670"/>
        <w:gridCol w:w="2410"/>
      </w:tblGrid>
      <w:tr w:rsidR="002752E7" w:rsidRPr="00C9343F" w14:paraId="0F52B61B" w14:textId="77777777" w:rsidTr="00FA3814">
        <w:trPr>
          <w:cantSplit/>
        </w:trPr>
        <w:tc>
          <w:tcPr>
            <w:tcW w:w="709" w:type="dxa"/>
          </w:tcPr>
          <w:p w14:paraId="41BBBDB7" w14:textId="77777777" w:rsidR="002752E7" w:rsidRPr="00C9343F" w:rsidRDefault="002752E7" w:rsidP="00F66D98">
            <w:pPr>
              <w:pStyle w:val="TableHeaderArial"/>
              <w:keepNext w:val="0"/>
              <w:keepLines w:val="0"/>
            </w:pPr>
            <w:r w:rsidRPr="00C9343F">
              <w:t>Item</w:t>
            </w:r>
          </w:p>
        </w:tc>
        <w:tc>
          <w:tcPr>
            <w:tcW w:w="6095" w:type="dxa"/>
            <w:gridSpan w:val="2"/>
            <w:tcBorders>
              <w:bottom w:val="single" w:sz="4" w:space="0" w:color="auto"/>
            </w:tcBorders>
          </w:tcPr>
          <w:p w14:paraId="5A69F22A" w14:textId="77777777" w:rsidR="002752E7" w:rsidRPr="00C9343F" w:rsidRDefault="002752E7" w:rsidP="00F66D98">
            <w:pPr>
              <w:pStyle w:val="TableHeaderArial"/>
              <w:keepNext w:val="0"/>
              <w:keepLines w:val="0"/>
            </w:pPr>
            <w:r w:rsidRPr="00C9343F">
              <w:t>Definition, concept or categorisation</w:t>
            </w:r>
          </w:p>
        </w:tc>
        <w:tc>
          <w:tcPr>
            <w:tcW w:w="2410" w:type="dxa"/>
            <w:tcBorders>
              <w:bottom w:val="single" w:sz="4" w:space="0" w:color="auto"/>
            </w:tcBorders>
          </w:tcPr>
          <w:p w14:paraId="2D7C298C" w14:textId="77777777" w:rsidR="002752E7" w:rsidRPr="00C9343F" w:rsidRDefault="002752E7" w:rsidP="00F66D98">
            <w:pPr>
              <w:pStyle w:val="TableHeaderArial"/>
              <w:keepNext w:val="0"/>
              <w:keepLines w:val="0"/>
            </w:pPr>
            <w:r w:rsidRPr="00C9343F">
              <w:t>Reference</w:t>
            </w:r>
          </w:p>
        </w:tc>
      </w:tr>
      <w:tr w:rsidR="002752E7" w:rsidRPr="00C9343F" w14:paraId="054F6CFF" w14:textId="77777777" w:rsidTr="00FA3814">
        <w:trPr>
          <w:cantSplit/>
          <w:trHeight w:val="328"/>
        </w:trPr>
        <w:tc>
          <w:tcPr>
            <w:tcW w:w="709" w:type="dxa"/>
            <w:vMerge w:val="restart"/>
          </w:tcPr>
          <w:p w14:paraId="7320DFE7" w14:textId="77777777" w:rsidR="002752E7" w:rsidRPr="00C9343F" w:rsidRDefault="002752E7" w:rsidP="00F66D98">
            <w:pPr>
              <w:pStyle w:val="TableTextArial-left"/>
              <w:jc w:val="center"/>
            </w:pPr>
            <w:r w:rsidRPr="00C9343F">
              <w:t>1.</w:t>
            </w:r>
          </w:p>
        </w:tc>
        <w:tc>
          <w:tcPr>
            <w:tcW w:w="6095" w:type="dxa"/>
            <w:gridSpan w:val="2"/>
            <w:tcBorders>
              <w:top w:val="single" w:sz="4" w:space="0" w:color="auto"/>
              <w:bottom w:val="nil"/>
            </w:tcBorders>
          </w:tcPr>
          <w:p w14:paraId="4F3AA6AA" w14:textId="77777777" w:rsidR="002752E7" w:rsidRPr="00C9343F" w:rsidRDefault="002752E7" w:rsidP="00F66D98">
            <w:pPr>
              <w:pStyle w:val="TableTextArial-left"/>
            </w:pPr>
            <w:r w:rsidRPr="00C9343F">
              <w:t>Describe different relationships between a member and other people.</w:t>
            </w:r>
          </w:p>
        </w:tc>
        <w:tc>
          <w:tcPr>
            <w:tcW w:w="2410" w:type="dxa"/>
            <w:tcBorders>
              <w:top w:val="single" w:sz="4" w:space="0" w:color="auto"/>
              <w:bottom w:val="nil"/>
            </w:tcBorders>
            <w:shd w:val="clear" w:color="auto" w:fill="auto"/>
          </w:tcPr>
          <w:p w14:paraId="1818AA71" w14:textId="77777777" w:rsidR="002752E7" w:rsidRPr="00C9343F" w:rsidRDefault="002752E7" w:rsidP="00F66D98">
            <w:pPr>
              <w:pStyle w:val="TableTextArial-left"/>
            </w:pPr>
          </w:p>
        </w:tc>
      </w:tr>
      <w:tr w:rsidR="002752E7" w:rsidRPr="00C9343F" w14:paraId="25979249" w14:textId="77777777" w:rsidTr="00FA3814">
        <w:trPr>
          <w:cantSplit/>
          <w:trHeight w:val="258"/>
        </w:trPr>
        <w:tc>
          <w:tcPr>
            <w:tcW w:w="709" w:type="dxa"/>
            <w:vMerge/>
          </w:tcPr>
          <w:p w14:paraId="5315321A" w14:textId="77777777" w:rsidR="002752E7" w:rsidRPr="00C9343F" w:rsidRDefault="002752E7" w:rsidP="00F66D98">
            <w:pPr>
              <w:pStyle w:val="TableTextArial-left"/>
              <w:jc w:val="center"/>
            </w:pPr>
          </w:p>
        </w:tc>
        <w:tc>
          <w:tcPr>
            <w:tcW w:w="425" w:type="dxa"/>
            <w:tcBorders>
              <w:top w:val="nil"/>
              <w:bottom w:val="nil"/>
              <w:right w:val="nil"/>
            </w:tcBorders>
          </w:tcPr>
          <w:p w14:paraId="6F2FE383" w14:textId="77777777" w:rsidR="002752E7" w:rsidRPr="00C9343F" w:rsidRDefault="002752E7" w:rsidP="00F66D98">
            <w:pPr>
              <w:pStyle w:val="TableTextArial-left"/>
              <w:tabs>
                <w:tab w:val="left" w:pos="369"/>
              </w:tabs>
            </w:pPr>
            <w:r w:rsidRPr="00C9343F">
              <w:t>a.</w:t>
            </w:r>
          </w:p>
        </w:tc>
        <w:tc>
          <w:tcPr>
            <w:tcW w:w="5670" w:type="dxa"/>
            <w:tcBorders>
              <w:top w:val="nil"/>
              <w:left w:val="nil"/>
              <w:bottom w:val="nil"/>
            </w:tcBorders>
          </w:tcPr>
          <w:p w14:paraId="1B381127" w14:textId="77777777" w:rsidR="002752E7" w:rsidRPr="00C9343F" w:rsidRDefault="002752E7" w:rsidP="00F66D98">
            <w:pPr>
              <w:pStyle w:val="TableTextArial-left"/>
              <w:tabs>
                <w:tab w:val="left" w:pos="369"/>
              </w:tabs>
            </w:pPr>
            <w:r w:rsidRPr="00C9343F">
              <w:t>Child.</w:t>
            </w:r>
          </w:p>
        </w:tc>
        <w:tc>
          <w:tcPr>
            <w:tcW w:w="2410" w:type="dxa"/>
            <w:tcBorders>
              <w:top w:val="nil"/>
              <w:bottom w:val="nil"/>
            </w:tcBorders>
            <w:shd w:val="clear" w:color="auto" w:fill="auto"/>
          </w:tcPr>
          <w:p w14:paraId="50F6C2AF" w14:textId="77777777" w:rsidR="002752E7" w:rsidRPr="00C9343F" w:rsidRDefault="002752E7" w:rsidP="00F66D98">
            <w:pPr>
              <w:pStyle w:val="TableTextArial-left"/>
            </w:pPr>
            <w:r w:rsidRPr="00C9343F">
              <w:t>Section 1.3.8</w:t>
            </w:r>
            <w:r w:rsidR="00A76C3D" w:rsidRPr="00C9343F">
              <w:t>1</w:t>
            </w:r>
          </w:p>
        </w:tc>
      </w:tr>
      <w:tr w:rsidR="002752E7" w:rsidRPr="00C9343F" w14:paraId="6086B50E" w14:textId="77777777" w:rsidTr="00FA3814">
        <w:trPr>
          <w:cantSplit/>
          <w:trHeight w:val="249"/>
        </w:trPr>
        <w:tc>
          <w:tcPr>
            <w:tcW w:w="709" w:type="dxa"/>
            <w:vMerge/>
          </w:tcPr>
          <w:p w14:paraId="42D3C4C6" w14:textId="77777777" w:rsidR="002752E7" w:rsidRPr="00C9343F" w:rsidRDefault="002752E7" w:rsidP="00F66D98">
            <w:pPr>
              <w:pStyle w:val="TableTextArial-left"/>
              <w:jc w:val="center"/>
            </w:pPr>
          </w:p>
        </w:tc>
        <w:tc>
          <w:tcPr>
            <w:tcW w:w="425" w:type="dxa"/>
            <w:tcBorders>
              <w:top w:val="nil"/>
              <w:bottom w:val="nil"/>
              <w:right w:val="nil"/>
            </w:tcBorders>
          </w:tcPr>
          <w:p w14:paraId="5130B9FE" w14:textId="77777777" w:rsidR="002752E7" w:rsidRPr="00C9343F" w:rsidRDefault="002752E7" w:rsidP="00F66D98">
            <w:pPr>
              <w:pStyle w:val="TableTextArial-left"/>
              <w:tabs>
                <w:tab w:val="left" w:pos="369"/>
              </w:tabs>
            </w:pPr>
            <w:r w:rsidRPr="00C9343F">
              <w:t>b.</w:t>
            </w:r>
          </w:p>
        </w:tc>
        <w:tc>
          <w:tcPr>
            <w:tcW w:w="5670" w:type="dxa"/>
            <w:tcBorders>
              <w:top w:val="nil"/>
              <w:left w:val="nil"/>
              <w:bottom w:val="nil"/>
            </w:tcBorders>
          </w:tcPr>
          <w:p w14:paraId="555C2BD9" w14:textId="77777777" w:rsidR="002752E7" w:rsidRPr="00C9343F" w:rsidRDefault="002752E7" w:rsidP="00F66D98">
            <w:pPr>
              <w:pStyle w:val="TableTextArial-left"/>
              <w:tabs>
                <w:tab w:val="left" w:pos="369"/>
              </w:tabs>
            </w:pPr>
            <w:r w:rsidRPr="00C9343F">
              <w:t>Spouse.</w:t>
            </w:r>
          </w:p>
        </w:tc>
        <w:tc>
          <w:tcPr>
            <w:tcW w:w="2410" w:type="dxa"/>
            <w:tcBorders>
              <w:top w:val="nil"/>
              <w:bottom w:val="nil"/>
            </w:tcBorders>
            <w:shd w:val="clear" w:color="auto" w:fill="auto"/>
          </w:tcPr>
          <w:p w14:paraId="4C0B1739" w14:textId="77777777" w:rsidR="002752E7" w:rsidRPr="00C9343F" w:rsidRDefault="002752E7" w:rsidP="00F66D98">
            <w:pPr>
              <w:pStyle w:val="TableTextArial-left"/>
            </w:pPr>
            <w:r w:rsidRPr="00C9343F">
              <w:t>Section 1.3.</w:t>
            </w:r>
            <w:r w:rsidR="00A76C3D" w:rsidRPr="00C9343F">
              <w:t>92</w:t>
            </w:r>
          </w:p>
        </w:tc>
      </w:tr>
      <w:tr w:rsidR="002752E7" w:rsidRPr="00C9343F" w14:paraId="540182B6" w14:textId="77777777" w:rsidTr="00FA3814">
        <w:trPr>
          <w:cantSplit/>
          <w:trHeight w:val="249"/>
        </w:trPr>
        <w:tc>
          <w:tcPr>
            <w:tcW w:w="709" w:type="dxa"/>
            <w:vMerge/>
          </w:tcPr>
          <w:p w14:paraId="2ADCC1A3" w14:textId="77777777" w:rsidR="002752E7" w:rsidRPr="00C9343F" w:rsidRDefault="002752E7" w:rsidP="00F66D98">
            <w:pPr>
              <w:pStyle w:val="TableTextArial-left"/>
              <w:jc w:val="center"/>
            </w:pPr>
          </w:p>
        </w:tc>
        <w:tc>
          <w:tcPr>
            <w:tcW w:w="425" w:type="dxa"/>
            <w:tcBorders>
              <w:top w:val="nil"/>
              <w:bottom w:val="nil"/>
              <w:right w:val="nil"/>
            </w:tcBorders>
          </w:tcPr>
          <w:p w14:paraId="71FD651A" w14:textId="77777777" w:rsidR="002752E7" w:rsidRPr="00C9343F" w:rsidRDefault="002752E7" w:rsidP="00F66D98">
            <w:pPr>
              <w:pStyle w:val="TableTextArial-left"/>
              <w:tabs>
                <w:tab w:val="left" w:pos="369"/>
              </w:tabs>
            </w:pPr>
            <w:r w:rsidRPr="00C9343F">
              <w:t>c.</w:t>
            </w:r>
          </w:p>
        </w:tc>
        <w:tc>
          <w:tcPr>
            <w:tcW w:w="5670" w:type="dxa"/>
            <w:tcBorders>
              <w:top w:val="nil"/>
              <w:left w:val="nil"/>
              <w:bottom w:val="nil"/>
            </w:tcBorders>
          </w:tcPr>
          <w:p w14:paraId="211C7CF3" w14:textId="77777777" w:rsidR="002752E7" w:rsidRPr="00C9343F" w:rsidRDefault="002752E7" w:rsidP="00F66D98">
            <w:pPr>
              <w:pStyle w:val="TableTextArial-left"/>
              <w:tabs>
                <w:tab w:val="left" w:pos="369"/>
              </w:tabs>
            </w:pPr>
            <w:r w:rsidRPr="00C9343F">
              <w:t>Partner.</w:t>
            </w:r>
          </w:p>
        </w:tc>
        <w:tc>
          <w:tcPr>
            <w:tcW w:w="2410" w:type="dxa"/>
            <w:tcBorders>
              <w:top w:val="nil"/>
              <w:bottom w:val="nil"/>
            </w:tcBorders>
            <w:shd w:val="clear" w:color="auto" w:fill="auto"/>
          </w:tcPr>
          <w:p w14:paraId="5CF23C55" w14:textId="77777777" w:rsidR="002752E7" w:rsidRPr="00C9343F" w:rsidRDefault="002752E7" w:rsidP="00F66D98">
            <w:pPr>
              <w:pStyle w:val="TableTextArial-left"/>
            </w:pPr>
            <w:r w:rsidRPr="00C9343F">
              <w:t>Section 1.3.8</w:t>
            </w:r>
            <w:r w:rsidR="00A76C3D" w:rsidRPr="00C9343F">
              <w:t>8</w:t>
            </w:r>
          </w:p>
        </w:tc>
      </w:tr>
      <w:tr w:rsidR="002752E7" w:rsidRPr="00C9343F" w14:paraId="3AC7F245" w14:textId="77777777" w:rsidTr="00FA3814">
        <w:trPr>
          <w:cantSplit/>
          <w:trHeight w:val="249"/>
        </w:trPr>
        <w:tc>
          <w:tcPr>
            <w:tcW w:w="709" w:type="dxa"/>
            <w:vMerge/>
          </w:tcPr>
          <w:p w14:paraId="5900674B" w14:textId="77777777" w:rsidR="002752E7" w:rsidRPr="00C9343F" w:rsidRDefault="002752E7" w:rsidP="00F66D98">
            <w:pPr>
              <w:pStyle w:val="TableTextArial-left"/>
              <w:jc w:val="center"/>
            </w:pPr>
          </w:p>
        </w:tc>
        <w:tc>
          <w:tcPr>
            <w:tcW w:w="425" w:type="dxa"/>
            <w:tcBorders>
              <w:top w:val="nil"/>
              <w:bottom w:val="nil"/>
              <w:right w:val="nil"/>
            </w:tcBorders>
          </w:tcPr>
          <w:p w14:paraId="7F8786A7" w14:textId="77777777" w:rsidR="002752E7" w:rsidRPr="00C9343F" w:rsidRDefault="002752E7" w:rsidP="00F66D98">
            <w:pPr>
              <w:pStyle w:val="TableTextArial-left"/>
              <w:tabs>
                <w:tab w:val="left" w:pos="369"/>
              </w:tabs>
            </w:pPr>
            <w:r w:rsidRPr="00C9343F">
              <w:t>d.</w:t>
            </w:r>
          </w:p>
        </w:tc>
        <w:tc>
          <w:tcPr>
            <w:tcW w:w="5670" w:type="dxa"/>
            <w:tcBorders>
              <w:top w:val="nil"/>
              <w:left w:val="nil"/>
              <w:bottom w:val="nil"/>
            </w:tcBorders>
          </w:tcPr>
          <w:p w14:paraId="0D45AFC7" w14:textId="77777777" w:rsidR="002752E7" w:rsidRPr="00C9343F" w:rsidRDefault="002752E7" w:rsidP="00F66D98">
            <w:pPr>
              <w:pStyle w:val="TableTextArial-left"/>
              <w:tabs>
                <w:tab w:val="left" w:pos="369"/>
              </w:tabs>
            </w:pPr>
            <w:r w:rsidRPr="00C9343F">
              <w:t>Couple.</w:t>
            </w:r>
          </w:p>
        </w:tc>
        <w:tc>
          <w:tcPr>
            <w:tcW w:w="2410" w:type="dxa"/>
            <w:tcBorders>
              <w:top w:val="nil"/>
              <w:bottom w:val="nil"/>
            </w:tcBorders>
            <w:shd w:val="clear" w:color="auto" w:fill="auto"/>
          </w:tcPr>
          <w:p w14:paraId="4575298D" w14:textId="77777777" w:rsidR="002752E7" w:rsidRPr="00C9343F" w:rsidRDefault="002752E7" w:rsidP="00F66D98">
            <w:pPr>
              <w:pStyle w:val="TableTextArial-left"/>
            </w:pPr>
            <w:r w:rsidRPr="00C9343F">
              <w:t>Section 1.3.8</w:t>
            </w:r>
            <w:r w:rsidR="00A76C3D" w:rsidRPr="00C9343F">
              <w:t>2</w:t>
            </w:r>
          </w:p>
        </w:tc>
      </w:tr>
      <w:tr w:rsidR="002752E7" w:rsidRPr="00C9343F" w14:paraId="24E3A616" w14:textId="77777777" w:rsidTr="00FA3814">
        <w:trPr>
          <w:cantSplit/>
          <w:trHeight w:val="249"/>
        </w:trPr>
        <w:tc>
          <w:tcPr>
            <w:tcW w:w="709" w:type="dxa"/>
            <w:vMerge/>
          </w:tcPr>
          <w:p w14:paraId="23A6180F" w14:textId="77777777" w:rsidR="002752E7" w:rsidRPr="00C9343F" w:rsidRDefault="002752E7" w:rsidP="00F66D98">
            <w:pPr>
              <w:pStyle w:val="TableTextArial-left"/>
              <w:jc w:val="center"/>
            </w:pPr>
          </w:p>
        </w:tc>
        <w:tc>
          <w:tcPr>
            <w:tcW w:w="425" w:type="dxa"/>
            <w:tcBorders>
              <w:top w:val="nil"/>
              <w:bottom w:val="nil"/>
              <w:right w:val="nil"/>
            </w:tcBorders>
          </w:tcPr>
          <w:p w14:paraId="35F5CCDE" w14:textId="77777777" w:rsidR="002752E7" w:rsidRPr="00C9343F" w:rsidRDefault="002752E7" w:rsidP="00F66D98">
            <w:pPr>
              <w:pStyle w:val="TableTextArial-left"/>
              <w:tabs>
                <w:tab w:val="left" w:pos="369"/>
              </w:tabs>
            </w:pPr>
            <w:r w:rsidRPr="00C9343F">
              <w:t>e.</w:t>
            </w:r>
          </w:p>
        </w:tc>
        <w:tc>
          <w:tcPr>
            <w:tcW w:w="5670" w:type="dxa"/>
            <w:tcBorders>
              <w:top w:val="nil"/>
              <w:left w:val="nil"/>
              <w:bottom w:val="nil"/>
            </w:tcBorders>
          </w:tcPr>
          <w:p w14:paraId="31C13D30" w14:textId="77777777" w:rsidR="002752E7" w:rsidRPr="00C9343F" w:rsidRDefault="002752E7" w:rsidP="00F66D98">
            <w:pPr>
              <w:pStyle w:val="TableTextArial-left"/>
              <w:tabs>
                <w:tab w:val="left" w:pos="369"/>
              </w:tabs>
            </w:pPr>
            <w:r w:rsidRPr="00C9343F">
              <w:t>Non-Service spouse and non-Service partner.</w:t>
            </w:r>
          </w:p>
        </w:tc>
        <w:tc>
          <w:tcPr>
            <w:tcW w:w="2410" w:type="dxa"/>
            <w:tcBorders>
              <w:top w:val="nil"/>
              <w:bottom w:val="nil"/>
            </w:tcBorders>
            <w:shd w:val="clear" w:color="auto" w:fill="auto"/>
          </w:tcPr>
          <w:p w14:paraId="5D551A6D" w14:textId="77777777" w:rsidR="002752E7" w:rsidRPr="00C9343F" w:rsidRDefault="002752E7" w:rsidP="00F66D98">
            <w:pPr>
              <w:pStyle w:val="TableTextArial-left"/>
            </w:pPr>
            <w:r w:rsidRPr="00C9343F">
              <w:t>Section 1.3.8</w:t>
            </w:r>
            <w:r w:rsidR="00A76C3D" w:rsidRPr="00C9343F">
              <w:t>6</w:t>
            </w:r>
          </w:p>
        </w:tc>
      </w:tr>
      <w:tr w:rsidR="002752E7" w:rsidRPr="00C9343F" w14:paraId="55135403" w14:textId="77777777" w:rsidTr="00FA3814">
        <w:trPr>
          <w:cantSplit/>
          <w:trHeight w:val="168"/>
        </w:trPr>
        <w:tc>
          <w:tcPr>
            <w:tcW w:w="709" w:type="dxa"/>
            <w:vMerge w:val="restart"/>
          </w:tcPr>
          <w:p w14:paraId="4C674F57" w14:textId="77777777" w:rsidR="002752E7" w:rsidRPr="00C9343F" w:rsidRDefault="002752E7" w:rsidP="00F66D98">
            <w:pPr>
              <w:pStyle w:val="TableTextArial-left"/>
              <w:jc w:val="center"/>
            </w:pPr>
            <w:r w:rsidRPr="00C9343F">
              <w:t>2.</w:t>
            </w:r>
          </w:p>
        </w:tc>
        <w:tc>
          <w:tcPr>
            <w:tcW w:w="6095" w:type="dxa"/>
            <w:gridSpan w:val="2"/>
            <w:tcBorders>
              <w:top w:val="single" w:sz="6" w:space="0" w:color="auto"/>
              <w:bottom w:val="nil"/>
            </w:tcBorders>
          </w:tcPr>
          <w:p w14:paraId="325BA309" w14:textId="77777777" w:rsidR="002752E7" w:rsidRPr="00C9343F" w:rsidRDefault="002752E7" w:rsidP="00F66D98">
            <w:pPr>
              <w:pStyle w:val="TableTextArial-left"/>
            </w:pPr>
            <w:r w:rsidRPr="00C9343F">
              <w:t>Define the living arrangements that may make a person eligible for benefits from Defence.</w:t>
            </w:r>
          </w:p>
        </w:tc>
        <w:tc>
          <w:tcPr>
            <w:tcW w:w="2410" w:type="dxa"/>
            <w:tcBorders>
              <w:top w:val="single" w:sz="6" w:space="0" w:color="auto"/>
              <w:bottom w:val="nil"/>
            </w:tcBorders>
            <w:shd w:val="clear" w:color="auto" w:fill="auto"/>
          </w:tcPr>
          <w:p w14:paraId="008A4F5D" w14:textId="77777777" w:rsidR="002752E7" w:rsidRPr="00C9343F" w:rsidRDefault="002752E7" w:rsidP="00F66D98">
            <w:pPr>
              <w:pStyle w:val="TableTextArial-left"/>
            </w:pPr>
          </w:p>
        </w:tc>
      </w:tr>
      <w:tr w:rsidR="002752E7" w:rsidRPr="00C9343F" w14:paraId="74C61D02" w14:textId="77777777" w:rsidTr="00FA3814">
        <w:trPr>
          <w:cantSplit/>
          <w:trHeight w:val="249"/>
        </w:trPr>
        <w:tc>
          <w:tcPr>
            <w:tcW w:w="709" w:type="dxa"/>
            <w:vMerge/>
          </w:tcPr>
          <w:p w14:paraId="618ADDE4" w14:textId="77777777" w:rsidR="002752E7" w:rsidRPr="00C9343F" w:rsidRDefault="002752E7" w:rsidP="00F66D98">
            <w:pPr>
              <w:pStyle w:val="TableTextArial-left"/>
              <w:jc w:val="center"/>
            </w:pPr>
          </w:p>
        </w:tc>
        <w:tc>
          <w:tcPr>
            <w:tcW w:w="425" w:type="dxa"/>
            <w:tcBorders>
              <w:top w:val="nil"/>
              <w:bottom w:val="nil"/>
              <w:right w:val="nil"/>
            </w:tcBorders>
          </w:tcPr>
          <w:p w14:paraId="276F613A" w14:textId="77777777" w:rsidR="002752E7" w:rsidRPr="00C9343F" w:rsidRDefault="002752E7" w:rsidP="00F66D98">
            <w:pPr>
              <w:pStyle w:val="TableTextArial-left"/>
              <w:tabs>
                <w:tab w:val="left" w:pos="369"/>
              </w:tabs>
            </w:pPr>
            <w:r w:rsidRPr="00C9343F">
              <w:t>a.</w:t>
            </w:r>
          </w:p>
        </w:tc>
        <w:tc>
          <w:tcPr>
            <w:tcW w:w="5670" w:type="dxa"/>
            <w:tcBorders>
              <w:top w:val="nil"/>
              <w:left w:val="nil"/>
              <w:bottom w:val="nil"/>
            </w:tcBorders>
          </w:tcPr>
          <w:p w14:paraId="76F1A909" w14:textId="77777777" w:rsidR="002752E7" w:rsidRPr="00C9343F" w:rsidRDefault="002752E7" w:rsidP="00F66D98">
            <w:pPr>
              <w:pStyle w:val="TableTextArial-left"/>
              <w:tabs>
                <w:tab w:val="left" w:pos="369"/>
              </w:tabs>
            </w:pPr>
            <w:r w:rsidRPr="00C9343F">
              <w:t>Normally lives with.</w:t>
            </w:r>
          </w:p>
        </w:tc>
        <w:tc>
          <w:tcPr>
            <w:tcW w:w="2410" w:type="dxa"/>
            <w:tcBorders>
              <w:top w:val="nil"/>
              <w:bottom w:val="nil"/>
            </w:tcBorders>
            <w:shd w:val="clear" w:color="auto" w:fill="auto"/>
          </w:tcPr>
          <w:p w14:paraId="2FEEBC9A" w14:textId="77777777" w:rsidR="002752E7" w:rsidRPr="00C9343F" w:rsidRDefault="002752E7" w:rsidP="00F66D98">
            <w:pPr>
              <w:pStyle w:val="TableTextArial-left"/>
            </w:pPr>
            <w:r w:rsidRPr="00C9343F">
              <w:t>Section 1.3.8</w:t>
            </w:r>
            <w:r w:rsidR="00A76C3D" w:rsidRPr="00C9343F">
              <w:t>7</w:t>
            </w:r>
          </w:p>
        </w:tc>
      </w:tr>
      <w:tr w:rsidR="002752E7" w:rsidRPr="00C9343F" w14:paraId="185600D5" w14:textId="77777777" w:rsidTr="00FA3814">
        <w:trPr>
          <w:cantSplit/>
          <w:trHeight w:val="168"/>
        </w:trPr>
        <w:tc>
          <w:tcPr>
            <w:tcW w:w="709" w:type="dxa"/>
            <w:vMerge w:val="restart"/>
          </w:tcPr>
          <w:p w14:paraId="6F53D75A" w14:textId="77777777" w:rsidR="002752E7" w:rsidRPr="00C9343F" w:rsidRDefault="002752E7" w:rsidP="00F66D98">
            <w:pPr>
              <w:pStyle w:val="TableTextArial-left"/>
              <w:jc w:val="center"/>
            </w:pPr>
            <w:r w:rsidRPr="00C9343F">
              <w:t>3.</w:t>
            </w:r>
          </w:p>
        </w:tc>
        <w:tc>
          <w:tcPr>
            <w:tcW w:w="6095" w:type="dxa"/>
            <w:gridSpan w:val="2"/>
            <w:tcBorders>
              <w:top w:val="single" w:sz="6" w:space="0" w:color="auto"/>
              <w:bottom w:val="nil"/>
            </w:tcBorders>
          </w:tcPr>
          <w:p w14:paraId="7E797AD2" w14:textId="77777777" w:rsidR="002752E7" w:rsidRPr="00C9343F" w:rsidRDefault="002752E7" w:rsidP="00F66D98">
            <w:pPr>
              <w:pStyle w:val="TableTextArial-left"/>
            </w:pPr>
            <w:r w:rsidRPr="00C9343F">
              <w:t>Define which people are a member's dependants for Defence benefit purposes.</w:t>
            </w:r>
          </w:p>
        </w:tc>
        <w:tc>
          <w:tcPr>
            <w:tcW w:w="2410" w:type="dxa"/>
            <w:tcBorders>
              <w:top w:val="single" w:sz="6" w:space="0" w:color="auto"/>
              <w:bottom w:val="nil"/>
            </w:tcBorders>
            <w:shd w:val="clear" w:color="auto" w:fill="auto"/>
          </w:tcPr>
          <w:p w14:paraId="1569D67C" w14:textId="77777777" w:rsidR="002752E7" w:rsidRPr="00C9343F" w:rsidRDefault="002752E7" w:rsidP="00F66D98">
            <w:pPr>
              <w:pStyle w:val="TableTextArial-left"/>
            </w:pPr>
          </w:p>
        </w:tc>
      </w:tr>
      <w:tr w:rsidR="002752E7" w:rsidRPr="00C9343F" w14:paraId="08828A2C" w14:textId="77777777" w:rsidTr="00FA3814">
        <w:trPr>
          <w:cantSplit/>
          <w:trHeight w:val="167"/>
        </w:trPr>
        <w:tc>
          <w:tcPr>
            <w:tcW w:w="709" w:type="dxa"/>
            <w:vMerge/>
          </w:tcPr>
          <w:p w14:paraId="366A9E2E" w14:textId="77777777" w:rsidR="002752E7" w:rsidRPr="00C9343F" w:rsidRDefault="002752E7" w:rsidP="00F66D98">
            <w:pPr>
              <w:pStyle w:val="TableTextArial-left"/>
              <w:jc w:val="center"/>
            </w:pPr>
          </w:p>
        </w:tc>
        <w:tc>
          <w:tcPr>
            <w:tcW w:w="425" w:type="dxa"/>
            <w:tcBorders>
              <w:top w:val="nil"/>
              <w:bottom w:val="nil"/>
              <w:right w:val="nil"/>
            </w:tcBorders>
          </w:tcPr>
          <w:p w14:paraId="33432A65" w14:textId="77777777" w:rsidR="002752E7" w:rsidRPr="00C9343F" w:rsidRDefault="002752E7" w:rsidP="00F66D98">
            <w:pPr>
              <w:pStyle w:val="TableTextArial-left"/>
              <w:tabs>
                <w:tab w:val="left" w:pos="369"/>
              </w:tabs>
            </w:pPr>
            <w:r w:rsidRPr="00C9343F">
              <w:t>a.</w:t>
            </w:r>
          </w:p>
        </w:tc>
        <w:tc>
          <w:tcPr>
            <w:tcW w:w="5670" w:type="dxa"/>
            <w:tcBorders>
              <w:top w:val="nil"/>
              <w:left w:val="nil"/>
              <w:bottom w:val="nil"/>
            </w:tcBorders>
          </w:tcPr>
          <w:p w14:paraId="32BE3CCF" w14:textId="77777777" w:rsidR="002752E7" w:rsidRPr="00C9343F" w:rsidRDefault="002752E7" w:rsidP="00F66D98">
            <w:pPr>
              <w:pStyle w:val="TableTextArial-left"/>
              <w:tabs>
                <w:tab w:val="left" w:pos="369"/>
              </w:tabs>
            </w:pPr>
            <w:r w:rsidRPr="00C9343F">
              <w:t>Dependants.</w:t>
            </w:r>
          </w:p>
        </w:tc>
        <w:tc>
          <w:tcPr>
            <w:tcW w:w="2410" w:type="dxa"/>
            <w:tcBorders>
              <w:top w:val="nil"/>
              <w:bottom w:val="nil"/>
            </w:tcBorders>
            <w:shd w:val="clear" w:color="auto" w:fill="auto"/>
          </w:tcPr>
          <w:p w14:paraId="472F9C0D" w14:textId="77777777" w:rsidR="002752E7" w:rsidRPr="00C9343F" w:rsidRDefault="002752E7" w:rsidP="00F66D98">
            <w:pPr>
              <w:pStyle w:val="TableTextArial-left"/>
            </w:pPr>
            <w:r w:rsidRPr="00C9343F">
              <w:t>Section 1.3.8</w:t>
            </w:r>
            <w:r w:rsidR="00A76C3D" w:rsidRPr="00C9343F">
              <w:t>3</w:t>
            </w:r>
          </w:p>
        </w:tc>
      </w:tr>
      <w:tr w:rsidR="00A76C3D" w:rsidRPr="00C9343F" w14:paraId="066EBD56" w14:textId="77777777" w:rsidTr="00FA3814">
        <w:trPr>
          <w:cantSplit/>
          <w:trHeight w:val="167"/>
        </w:trPr>
        <w:tc>
          <w:tcPr>
            <w:tcW w:w="709" w:type="dxa"/>
            <w:vMerge/>
          </w:tcPr>
          <w:p w14:paraId="12FB7F99" w14:textId="77777777" w:rsidR="00A76C3D" w:rsidRPr="00C9343F" w:rsidRDefault="00A76C3D" w:rsidP="00F66D98">
            <w:pPr>
              <w:pStyle w:val="TableTextArial-left"/>
              <w:jc w:val="center"/>
            </w:pPr>
          </w:p>
        </w:tc>
        <w:tc>
          <w:tcPr>
            <w:tcW w:w="425" w:type="dxa"/>
            <w:tcBorders>
              <w:top w:val="nil"/>
              <w:bottom w:val="nil"/>
              <w:right w:val="nil"/>
            </w:tcBorders>
          </w:tcPr>
          <w:p w14:paraId="555ABA3E" w14:textId="77777777" w:rsidR="00A76C3D" w:rsidRPr="00C9343F" w:rsidRDefault="00A76C3D" w:rsidP="00F66D98">
            <w:pPr>
              <w:pStyle w:val="TableTextArial-left"/>
              <w:tabs>
                <w:tab w:val="left" w:pos="369"/>
              </w:tabs>
            </w:pPr>
            <w:r w:rsidRPr="00C9343F">
              <w:t>b.</w:t>
            </w:r>
          </w:p>
        </w:tc>
        <w:tc>
          <w:tcPr>
            <w:tcW w:w="5670" w:type="dxa"/>
            <w:tcBorders>
              <w:top w:val="nil"/>
              <w:left w:val="nil"/>
              <w:bottom w:val="nil"/>
            </w:tcBorders>
          </w:tcPr>
          <w:p w14:paraId="14A7B611" w14:textId="77777777" w:rsidR="00A76C3D" w:rsidRPr="00C9343F" w:rsidRDefault="00A76C3D" w:rsidP="00F66D98">
            <w:pPr>
              <w:pStyle w:val="TableTextArial-left"/>
              <w:tabs>
                <w:tab w:val="left" w:pos="369"/>
              </w:tabs>
            </w:pPr>
            <w:r w:rsidRPr="00C9343F">
              <w:t>Dependant with special needs.</w:t>
            </w:r>
          </w:p>
        </w:tc>
        <w:tc>
          <w:tcPr>
            <w:tcW w:w="2410" w:type="dxa"/>
            <w:tcBorders>
              <w:top w:val="nil"/>
              <w:bottom w:val="nil"/>
            </w:tcBorders>
            <w:shd w:val="clear" w:color="auto" w:fill="auto"/>
          </w:tcPr>
          <w:p w14:paraId="01005FFA" w14:textId="77777777" w:rsidR="00A76C3D" w:rsidRPr="00C9343F" w:rsidRDefault="00A76C3D" w:rsidP="00F66D98">
            <w:pPr>
              <w:pStyle w:val="TableTextArial-left"/>
            </w:pPr>
            <w:r w:rsidRPr="00C9343F">
              <w:t>Section 1.3.84</w:t>
            </w:r>
          </w:p>
        </w:tc>
      </w:tr>
      <w:tr w:rsidR="002752E7" w:rsidRPr="00C9343F" w14:paraId="28BD758C" w14:textId="77777777" w:rsidTr="00FA3814">
        <w:trPr>
          <w:cantSplit/>
          <w:trHeight w:val="167"/>
        </w:trPr>
        <w:tc>
          <w:tcPr>
            <w:tcW w:w="709" w:type="dxa"/>
            <w:vMerge/>
          </w:tcPr>
          <w:p w14:paraId="6162329B" w14:textId="77777777" w:rsidR="002752E7" w:rsidRPr="00C9343F" w:rsidRDefault="002752E7" w:rsidP="00F66D98">
            <w:pPr>
              <w:pStyle w:val="TableTextArial-left"/>
              <w:jc w:val="center"/>
            </w:pPr>
          </w:p>
        </w:tc>
        <w:tc>
          <w:tcPr>
            <w:tcW w:w="425" w:type="dxa"/>
            <w:tcBorders>
              <w:top w:val="nil"/>
              <w:bottom w:val="single" w:sz="6" w:space="0" w:color="auto"/>
              <w:right w:val="nil"/>
            </w:tcBorders>
          </w:tcPr>
          <w:p w14:paraId="0F3C49A6" w14:textId="77777777" w:rsidR="002752E7" w:rsidRPr="00C9343F" w:rsidRDefault="00A76C3D" w:rsidP="00F66D98">
            <w:pPr>
              <w:pStyle w:val="TableTextArial-left"/>
              <w:tabs>
                <w:tab w:val="left" w:pos="369"/>
              </w:tabs>
            </w:pPr>
            <w:r w:rsidRPr="00C9343F">
              <w:t>c.</w:t>
            </w:r>
          </w:p>
        </w:tc>
        <w:tc>
          <w:tcPr>
            <w:tcW w:w="5670" w:type="dxa"/>
            <w:tcBorders>
              <w:top w:val="nil"/>
              <w:left w:val="nil"/>
              <w:bottom w:val="single" w:sz="6" w:space="0" w:color="auto"/>
            </w:tcBorders>
          </w:tcPr>
          <w:p w14:paraId="16E217A9" w14:textId="77777777" w:rsidR="002752E7" w:rsidRPr="00C9343F" w:rsidRDefault="00DC72EB" w:rsidP="00F66D98">
            <w:pPr>
              <w:pStyle w:val="TableTextArial-left"/>
              <w:tabs>
                <w:tab w:val="left" w:pos="369"/>
              </w:tabs>
            </w:pPr>
            <w:r w:rsidRPr="00C9343F">
              <w:t>D</w:t>
            </w:r>
            <w:r w:rsidR="002752E7" w:rsidRPr="00C9343F">
              <w:t>ependants</w:t>
            </w:r>
            <w:r w:rsidRPr="00C9343F">
              <w:t xml:space="preserve"> recognised by CDF.</w:t>
            </w:r>
          </w:p>
        </w:tc>
        <w:tc>
          <w:tcPr>
            <w:tcW w:w="2410" w:type="dxa"/>
            <w:tcBorders>
              <w:top w:val="nil"/>
              <w:bottom w:val="single" w:sz="6" w:space="0" w:color="auto"/>
            </w:tcBorders>
            <w:shd w:val="clear" w:color="auto" w:fill="auto"/>
          </w:tcPr>
          <w:p w14:paraId="7AB26444" w14:textId="77777777" w:rsidR="002752E7" w:rsidRPr="00C9343F" w:rsidRDefault="002752E7" w:rsidP="00F66D98">
            <w:pPr>
              <w:pStyle w:val="TableTextArial-left"/>
            </w:pPr>
            <w:r w:rsidRPr="00C9343F">
              <w:t xml:space="preserve">Section </w:t>
            </w:r>
            <w:r w:rsidR="00803066" w:rsidRPr="00C9343F">
              <w:t>1.3.</w:t>
            </w:r>
            <w:r w:rsidR="00A76C3D" w:rsidRPr="00C9343F">
              <w:t>85</w:t>
            </w:r>
          </w:p>
        </w:tc>
      </w:tr>
      <w:tr w:rsidR="002752E7" w:rsidRPr="00C9343F" w14:paraId="2C5351DE" w14:textId="77777777" w:rsidTr="00FA3814">
        <w:trPr>
          <w:cantSplit/>
          <w:trHeight w:val="268"/>
        </w:trPr>
        <w:tc>
          <w:tcPr>
            <w:tcW w:w="709" w:type="dxa"/>
            <w:vMerge w:val="restart"/>
          </w:tcPr>
          <w:p w14:paraId="0753449E" w14:textId="77777777" w:rsidR="002752E7" w:rsidRPr="00C9343F" w:rsidRDefault="002752E7" w:rsidP="00F66D98">
            <w:pPr>
              <w:pStyle w:val="TableTextArial-left"/>
              <w:jc w:val="center"/>
            </w:pPr>
            <w:r w:rsidRPr="00C9343F">
              <w:t>4.</w:t>
            </w:r>
          </w:p>
        </w:tc>
        <w:tc>
          <w:tcPr>
            <w:tcW w:w="6095" w:type="dxa"/>
            <w:gridSpan w:val="2"/>
            <w:tcBorders>
              <w:bottom w:val="nil"/>
            </w:tcBorders>
          </w:tcPr>
          <w:p w14:paraId="207C2330" w14:textId="77777777" w:rsidR="002752E7" w:rsidRPr="00C9343F" w:rsidRDefault="002752E7" w:rsidP="00F66D98">
            <w:pPr>
              <w:pStyle w:val="TableTextArial-left"/>
            </w:pPr>
            <w:r w:rsidRPr="00C9343F">
              <w:t>Describe the category a member is in for Defence benefit purposes.</w:t>
            </w:r>
          </w:p>
        </w:tc>
        <w:tc>
          <w:tcPr>
            <w:tcW w:w="2410" w:type="dxa"/>
            <w:tcBorders>
              <w:bottom w:val="nil"/>
            </w:tcBorders>
            <w:shd w:val="clear" w:color="auto" w:fill="auto"/>
          </w:tcPr>
          <w:p w14:paraId="555EAE58" w14:textId="77777777" w:rsidR="002752E7" w:rsidRPr="00C9343F" w:rsidRDefault="002752E7" w:rsidP="00F66D98">
            <w:pPr>
              <w:pStyle w:val="TableTextArial-left"/>
            </w:pPr>
          </w:p>
        </w:tc>
      </w:tr>
      <w:tr w:rsidR="002752E7" w:rsidRPr="00C9343F" w14:paraId="1F410819" w14:textId="77777777" w:rsidTr="00FA3814">
        <w:trPr>
          <w:cantSplit/>
          <w:trHeight w:val="268"/>
        </w:trPr>
        <w:tc>
          <w:tcPr>
            <w:tcW w:w="709" w:type="dxa"/>
            <w:vMerge/>
          </w:tcPr>
          <w:p w14:paraId="13787AB5" w14:textId="77777777" w:rsidR="002752E7" w:rsidRPr="00C9343F" w:rsidRDefault="002752E7" w:rsidP="00F66D98">
            <w:pPr>
              <w:pStyle w:val="TableTextArial-left"/>
              <w:jc w:val="center"/>
            </w:pPr>
          </w:p>
        </w:tc>
        <w:tc>
          <w:tcPr>
            <w:tcW w:w="425" w:type="dxa"/>
            <w:tcBorders>
              <w:top w:val="nil"/>
              <w:bottom w:val="nil"/>
              <w:right w:val="nil"/>
            </w:tcBorders>
          </w:tcPr>
          <w:p w14:paraId="1008290E" w14:textId="77777777" w:rsidR="002752E7" w:rsidRPr="00C9343F" w:rsidRDefault="002752E7" w:rsidP="00F66D98">
            <w:pPr>
              <w:pStyle w:val="TableTextArial-left"/>
              <w:tabs>
                <w:tab w:val="left" w:pos="369"/>
              </w:tabs>
            </w:pPr>
            <w:r w:rsidRPr="00C9343F">
              <w:t>a.</w:t>
            </w:r>
          </w:p>
        </w:tc>
        <w:tc>
          <w:tcPr>
            <w:tcW w:w="5670" w:type="dxa"/>
            <w:tcBorders>
              <w:top w:val="nil"/>
              <w:left w:val="nil"/>
              <w:bottom w:val="nil"/>
            </w:tcBorders>
          </w:tcPr>
          <w:p w14:paraId="241BB383" w14:textId="77777777" w:rsidR="002752E7" w:rsidRPr="00C9343F" w:rsidRDefault="002752E7" w:rsidP="00F66D98">
            <w:pPr>
              <w:pStyle w:val="TableTextArial-left"/>
              <w:tabs>
                <w:tab w:val="left" w:pos="369"/>
              </w:tabs>
            </w:pPr>
            <w:r w:rsidRPr="00C9343F">
              <w:t>Member without dependants.</w:t>
            </w:r>
          </w:p>
        </w:tc>
        <w:tc>
          <w:tcPr>
            <w:tcW w:w="2410" w:type="dxa"/>
            <w:tcBorders>
              <w:top w:val="nil"/>
              <w:bottom w:val="nil"/>
            </w:tcBorders>
            <w:shd w:val="clear" w:color="auto" w:fill="auto"/>
          </w:tcPr>
          <w:p w14:paraId="55C26F9F" w14:textId="77777777" w:rsidR="002752E7" w:rsidRPr="00C9343F" w:rsidRDefault="002752E7" w:rsidP="00F66D98">
            <w:pPr>
              <w:pStyle w:val="TableTextArial-left"/>
            </w:pPr>
            <w:r w:rsidRPr="00C9343F">
              <w:t>Section 1.3.9</w:t>
            </w:r>
            <w:r w:rsidR="00A76C3D" w:rsidRPr="00C9343F">
              <w:t>4</w:t>
            </w:r>
          </w:p>
        </w:tc>
      </w:tr>
      <w:tr w:rsidR="002752E7" w:rsidRPr="00C9343F" w14:paraId="5398BE38" w14:textId="77777777" w:rsidTr="00FA3814">
        <w:trPr>
          <w:cantSplit/>
          <w:trHeight w:val="268"/>
        </w:trPr>
        <w:tc>
          <w:tcPr>
            <w:tcW w:w="709" w:type="dxa"/>
            <w:vMerge/>
          </w:tcPr>
          <w:p w14:paraId="1CE058B0" w14:textId="77777777" w:rsidR="002752E7" w:rsidRPr="00C9343F" w:rsidRDefault="002752E7" w:rsidP="00F66D98">
            <w:pPr>
              <w:pStyle w:val="TableTextArial-left"/>
              <w:jc w:val="center"/>
            </w:pPr>
          </w:p>
        </w:tc>
        <w:tc>
          <w:tcPr>
            <w:tcW w:w="425" w:type="dxa"/>
            <w:tcBorders>
              <w:top w:val="nil"/>
              <w:bottom w:val="nil"/>
              <w:right w:val="nil"/>
            </w:tcBorders>
          </w:tcPr>
          <w:p w14:paraId="65B714DA" w14:textId="77777777" w:rsidR="002752E7" w:rsidRPr="00C9343F" w:rsidRDefault="002752E7" w:rsidP="00F66D98">
            <w:pPr>
              <w:pStyle w:val="TableTextArial-left"/>
              <w:tabs>
                <w:tab w:val="left" w:pos="369"/>
              </w:tabs>
            </w:pPr>
            <w:r w:rsidRPr="00C9343F">
              <w:t>b.</w:t>
            </w:r>
          </w:p>
        </w:tc>
        <w:tc>
          <w:tcPr>
            <w:tcW w:w="5670" w:type="dxa"/>
            <w:tcBorders>
              <w:top w:val="nil"/>
              <w:left w:val="nil"/>
              <w:bottom w:val="nil"/>
            </w:tcBorders>
          </w:tcPr>
          <w:p w14:paraId="3BA7E2E3" w14:textId="77777777" w:rsidR="002752E7" w:rsidRPr="00C9343F" w:rsidRDefault="002752E7" w:rsidP="00F66D98">
            <w:pPr>
              <w:pStyle w:val="TableTextArial-left"/>
              <w:tabs>
                <w:tab w:val="left" w:pos="369"/>
              </w:tabs>
            </w:pPr>
            <w:r w:rsidRPr="00C9343F">
              <w:t>Member with dependants.</w:t>
            </w:r>
          </w:p>
        </w:tc>
        <w:tc>
          <w:tcPr>
            <w:tcW w:w="2410" w:type="dxa"/>
            <w:tcBorders>
              <w:top w:val="nil"/>
              <w:bottom w:val="nil"/>
            </w:tcBorders>
            <w:shd w:val="clear" w:color="auto" w:fill="auto"/>
          </w:tcPr>
          <w:p w14:paraId="32B7E353" w14:textId="77777777" w:rsidR="002752E7" w:rsidRPr="00C9343F" w:rsidRDefault="002752E7" w:rsidP="00F66D98">
            <w:pPr>
              <w:pStyle w:val="TableTextArial-left"/>
            </w:pPr>
            <w:r w:rsidRPr="00C9343F">
              <w:t>Section 1.3.9</w:t>
            </w:r>
            <w:r w:rsidR="00A76C3D" w:rsidRPr="00C9343F">
              <w:t>5</w:t>
            </w:r>
          </w:p>
        </w:tc>
      </w:tr>
      <w:tr w:rsidR="002752E7" w:rsidRPr="00C9343F" w14:paraId="235D7C9E" w14:textId="77777777" w:rsidTr="00FA3814">
        <w:trPr>
          <w:cantSplit/>
          <w:trHeight w:val="268"/>
        </w:trPr>
        <w:tc>
          <w:tcPr>
            <w:tcW w:w="709" w:type="dxa"/>
            <w:vMerge/>
          </w:tcPr>
          <w:p w14:paraId="25C646BB" w14:textId="77777777" w:rsidR="002752E7" w:rsidRPr="00C9343F" w:rsidRDefault="002752E7" w:rsidP="00F66D98">
            <w:pPr>
              <w:pStyle w:val="TableTextArial-left"/>
              <w:jc w:val="center"/>
            </w:pPr>
          </w:p>
        </w:tc>
        <w:tc>
          <w:tcPr>
            <w:tcW w:w="425" w:type="dxa"/>
            <w:tcBorders>
              <w:top w:val="nil"/>
              <w:right w:val="nil"/>
            </w:tcBorders>
          </w:tcPr>
          <w:p w14:paraId="42944C59" w14:textId="77777777" w:rsidR="002752E7" w:rsidRPr="00C9343F" w:rsidRDefault="002752E7" w:rsidP="00F66D98">
            <w:pPr>
              <w:pStyle w:val="TableTextArial-left"/>
              <w:tabs>
                <w:tab w:val="left" w:pos="369"/>
              </w:tabs>
            </w:pPr>
            <w:r w:rsidRPr="00C9343F">
              <w:t>c.</w:t>
            </w:r>
          </w:p>
        </w:tc>
        <w:tc>
          <w:tcPr>
            <w:tcW w:w="5670" w:type="dxa"/>
            <w:tcBorders>
              <w:top w:val="nil"/>
              <w:left w:val="nil"/>
            </w:tcBorders>
          </w:tcPr>
          <w:p w14:paraId="4E41D90F" w14:textId="77777777" w:rsidR="002752E7" w:rsidRPr="00C9343F" w:rsidRDefault="002752E7" w:rsidP="00F66D98">
            <w:pPr>
              <w:pStyle w:val="TableTextArial-left"/>
              <w:tabs>
                <w:tab w:val="left" w:pos="369"/>
              </w:tabs>
            </w:pPr>
            <w:r w:rsidRPr="00C9343F">
              <w:t>Member with dependants (unaccompanied).</w:t>
            </w:r>
          </w:p>
        </w:tc>
        <w:tc>
          <w:tcPr>
            <w:tcW w:w="2410" w:type="dxa"/>
            <w:tcBorders>
              <w:top w:val="nil"/>
            </w:tcBorders>
            <w:shd w:val="clear" w:color="auto" w:fill="auto"/>
          </w:tcPr>
          <w:p w14:paraId="4F30EF69" w14:textId="77777777" w:rsidR="002752E7" w:rsidRPr="00C9343F" w:rsidRDefault="002752E7" w:rsidP="00F66D98">
            <w:pPr>
              <w:pStyle w:val="TableTextArial-left"/>
            </w:pPr>
            <w:r w:rsidRPr="00C9343F">
              <w:t>Section 1.3.9</w:t>
            </w:r>
            <w:r w:rsidR="00A76C3D" w:rsidRPr="00C9343F">
              <w:t>6</w:t>
            </w:r>
          </w:p>
        </w:tc>
      </w:tr>
    </w:tbl>
    <w:p w14:paraId="54827B56" w14:textId="77777777" w:rsidR="002752E7" w:rsidRPr="00C9343F" w:rsidRDefault="002752E7" w:rsidP="00F66D98"/>
    <w:tbl>
      <w:tblPr>
        <w:tblW w:w="9355" w:type="dxa"/>
        <w:tblInd w:w="113" w:type="dxa"/>
        <w:tblLayout w:type="fixed"/>
        <w:tblLook w:val="0000" w:firstRow="0" w:lastRow="0" w:firstColumn="0" w:lastColumn="0" w:noHBand="0" w:noVBand="0"/>
      </w:tblPr>
      <w:tblGrid>
        <w:gridCol w:w="992"/>
        <w:gridCol w:w="567"/>
        <w:gridCol w:w="7796"/>
      </w:tblGrid>
      <w:tr w:rsidR="002752E7" w:rsidRPr="00C9343F" w14:paraId="1AF0D31D" w14:textId="77777777" w:rsidTr="00372A02">
        <w:tc>
          <w:tcPr>
            <w:tcW w:w="992" w:type="dxa"/>
          </w:tcPr>
          <w:p w14:paraId="2CC26617" w14:textId="77777777" w:rsidR="002752E7" w:rsidRPr="00C9343F" w:rsidRDefault="002752E7" w:rsidP="00F66D98">
            <w:pPr>
              <w:pStyle w:val="BlockText-Plain"/>
              <w:jc w:val="center"/>
            </w:pPr>
            <w:r w:rsidRPr="00C9343F">
              <w:t>4.</w:t>
            </w:r>
          </w:p>
        </w:tc>
        <w:tc>
          <w:tcPr>
            <w:tcW w:w="8363" w:type="dxa"/>
            <w:gridSpan w:val="2"/>
          </w:tcPr>
          <w:p w14:paraId="38D33DA6" w14:textId="77777777" w:rsidR="002752E7" w:rsidRPr="00C9343F" w:rsidRDefault="002752E7" w:rsidP="00F66D98">
            <w:pPr>
              <w:pStyle w:val="BlockText-Plain"/>
            </w:pPr>
            <w:r w:rsidRPr="00C9343F">
              <w:t>Despite anything the member tells Defence, CDF may examine whether the member or a person in their family meets any of the definitions in this Part and make an assessment as to whether the member or other persons are eligible for benefits on that basis.</w:t>
            </w:r>
          </w:p>
        </w:tc>
      </w:tr>
      <w:tr w:rsidR="002752E7" w:rsidRPr="00C9343F" w14:paraId="6F0D99F0" w14:textId="77777777" w:rsidTr="00372A02">
        <w:tc>
          <w:tcPr>
            <w:tcW w:w="992" w:type="dxa"/>
          </w:tcPr>
          <w:p w14:paraId="5767B152" w14:textId="77777777" w:rsidR="002752E7" w:rsidRPr="00C9343F" w:rsidRDefault="002752E7" w:rsidP="00F66D98">
            <w:pPr>
              <w:pStyle w:val="BlockText-Plain"/>
              <w:jc w:val="center"/>
            </w:pPr>
            <w:r w:rsidRPr="00C9343F">
              <w:t>5.</w:t>
            </w:r>
          </w:p>
        </w:tc>
        <w:tc>
          <w:tcPr>
            <w:tcW w:w="8363" w:type="dxa"/>
            <w:gridSpan w:val="2"/>
          </w:tcPr>
          <w:p w14:paraId="400A87EE" w14:textId="77777777" w:rsidR="002752E7" w:rsidRPr="00C9343F" w:rsidRDefault="002752E7" w:rsidP="00F66D98">
            <w:pPr>
              <w:pStyle w:val="BlockText-Plain"/>
            </w:pPr>
            <w:r w:rsidRPr="00C9343F">
              <w:t>In addition to any statement and evidence provided by the member, the CDF may ask for further information if they consider it is necessary to do either of the following.</w:t>
            </w:r>
          </w:p>
        </w:tc>
      </w:tr>
      <w:tr w:rsidR="002752E7" w:rsidRPr="00C9343F" w14:paraId="34689DD5" w14:textId="77777777" w:rsidTr="00372A02">
        <w:trPr>
          <w:cantSplit/>
        </w:trPr>
        <w:tc>
          <w:tcPr>
            <w:tcW w:w="992" w:type="dxa"/>
          </w:tcPr>
          <w:p w14:paraId="77D77C47" w14:textId="77777777" w:rsidR="002752E7" w:rsidRPr="00C9343F" w:rsidRDefault="002752E7" w:rsidP="00F66D98">
            <w:pPr>
              <w:pStyle w:val="BlockText-Plain"/>
            </w:pPr>
          </w:p>
        </w:tc>
        <w:tc>
          <w:tcPr>
            <w:tcW w:w="567" w:type="dxa"/>
          </w:tcPr>
          <w:p w14:paraId="20C7A5CF" w14:textId="77777777" w:rsidR="002752E7" w:rsidRPr="00C9343F" w:rsidRDefault="002752E7" w:rsidP="007114B1">
            <w:pPr>
              <w:pStyle w:val="BlockText-Plain"/>
              <w:jc w:val="center"/>
            </w:pPr>
            <w:r w:rsidRPr="00C9343F">
              <w:t>a.</w:t>
            </w:r>
          </w:p>
        </w:tc>
        <w:tc>
          <w:tcPr>
            <w:tcW w:w="7796" w:type="dxa"/>
          </w:tcPr>
          <w:p w14:paraId="2630ACF9" w14:textId="77777777" w:rsidR="002752E7" w:rsidRPr="00C9343F" w:rsidRDefault="002752E7" w:rsidP="00F66D98">
            <w:pPr>
              <w:pStyle w:val="BlockText-Plain"/>
            </w:pPr>
            <w:r w:rsidRPr="00C9343F">
              <w:t>Verify the member's statement of relationship in any form that requires dependant information.</w:t>
            </w:r>
          </w:p>
        </w:tc>
      </w:tr>
      <w:tr w:rsidR="002752E7" w:rsidRPr="00C9343F" w14:paraId="272D960D" w14:textId="77777777" w:rsidTr="00372A02">
        <w:trPr>
          <w:cantSplit/>
        </w:trPr>
        <w:tc>
          <w:tcPr>
            <w:tcW w:w="992" w:type="dxa"/>
          </w:tcPr>
          <w:p w14:paraId="2C7BB1E6" w14:textId="77777777" w:rsidR="002752E7" w:rsidRPr="00C9343F" w:rsidRDefault="002752E7" w:rsidP="00F66D98">
            <w:pPr>
              <w:pStyle w:val="BlockText-Plain"/>
            </w:pPr>
          </w:p>
        </w:tc>
        <w:tc>
          <w:tcPr>
            <w:tcW w:w="567" w:type="dxa"/>
          </w:tcPr>
          <w:p w14:paraId="20647CE7" w14:textId="77777777" w:rsidR="002752E7" w:rsidRPr="00C9343F" w:rsidRDefault="002752E7" w:rsidP="007114B1">
            <w:pPr>
              <w:pStyle w:val="BlockText-Plain"/>
              <w:jc w:val="center"/>
            </w:pPr>
            <w:r w:rsidRPr="00C9343F">
              <w:t>b.</w:t>
            </w:r>
          </w:p>
        </w:tc>
        <w:tc>
          <w:tcPr>
            <w:tcW w:w="7796" w:type="dxa"/>
          </w:tcPr>
          <w:p w14:paraId="4A18742C" w14:textId="77777777" w:rsidR="002752E7" w:rsidRPr="00C9343F" w:rsidRDefault="002752E7" w:rsidP="00F66D98">
            <w:pPr>
              <w:pStyle w:val="BlockText-Plain"/>
            </w:pPr>
            <w:r w:rsidRPr="00C9343F">
              <w:t xml:space="preserve">Recognise dependants </w:t>
            </w:r>
            <w:r w:rsidR="006E2324" w:rsidRPr="00C9343F">
              <w:t>for</w:t>
            </w:r>
            <w:r w:rsidRPr="00C9343F">
              <w:t xml:space="preserve"> whom the member is applying for categorisation</w:t>
            </w:r>
            <w:r w:rsidR="006E2324" w:rsidRPr="00C9343F">
              <w:t>,</w:t>
            </w:r>
            <w:r w:rsidRPr="00C9343F">
              <w:t xml:space="preserve"> or</w:t>
            </w:r>
            <w:r w:rsidR="006E2324" w:rsidRPr="00C9343F">
              <w:t xml:space="preserve"> a</w:t>
            </w:r>
            <w:r w:rsidRPr="00C9343F">
              <w:t xml:space="preserve"> change </w:t>
            </w:r>
            <w:r w:rsidR="006E2324" w:rsidRPr="00C9343F">
              <w:t>in</w:t>
            </w:r>
            <w:r w:rsidRPr="00C9343F">
              <w:t xml:space="preserve"> category.</w:t>
            </w:r>
          </w:p>
        </w:tc>
      </w:tr>
      <w:tr w:rsidR="002752E7" w:rsidRPr="00C9343F" w14:paraId="73960B23" w14:textId="77777777" w:rsidTr="00372A02">
        <w:tc>
          <w:tcPr>
            <w:tcW w:w="992" w:type="dxa"/>
          </w:tcPr>
          <w:p w14:paraId="1AE230F0" w14:textId="77777777" w:rsidR="002752E7" w:rsidRPr="00C9343F" w:rsidRDefault="002752E7" w:rsidP="00F66D98">
            <w:pPr>
              <w:pStyle w:val="BlockText-Plain"/>
              <w:jc w:val="center"/>
            </w:pPr>
            <w:r w:rsidRPr="00C9343F">
              <w:lastRenderedPageBreak/>
              <w:t>6.</w:t>
            </w:r>
          </w:p>
        </w:tc>
        <w:tc>
          <w:tcPr>
            <w:tcW w:w="8363" w:type="dxa"/>
            <w:gridSpan w:val="2"/>
          </w:tcPr>
          <w:p w14:paraId="727C3436" w14:textId="77777777" w:rsidR="002752E7" w:rsidRPr="00C9343F" w:rsidRDefault="002752E7" w:rsidP="00F66D98">
            <w:pPr>
              <w:pStyle w:val="BlockText-Plain"/>
            </w:pPr>
            <w:r w:rsidRPr="00C9343F">
              <w:t>The member must provide accurate information and advise of any changes to family circumstances relevant to their eligibility for a category.</w:t>
            </w:r>
          </w:p>
          <w:p w14:paraId="21EBF155" w14:textId="77777777" w:rsidR="002752E7" w:rsidRPr="00C9343F" w:rsidRDefault="002752E7" w:rsidP="00F66D98">
            <w:pPr>
              <w:pStyle w:val="BlockText-Plain"/>
            </w:pPr>
            <w:r w:rsidRPr="00C9343F">
              <w:rPr>
                <w:b/>
              </w:rPr>
              <w:t>See:</w:t>
            </w:r>
            <w:r w:rsidRPr="00C9343F">
              <w:t xml:space="preserve"> </w:t>
            </w:r>
            <w:r w:rsidR="00A76C3D" w:rsidRPr="00C9343F">
              <w:t>Part 5 section 1.5.2</w:t>
            </w:r>
            <w:r w:rsidRPr="00C9343F">
              <w:t>, Obligation to provide accurate information</w:t>
            </w:r>
          </w:p>
        </w:tc>
      </w:tr>
      <w:tr w:rsidR="002752E7" w:rsidRPr="00C9343F" w14:paraId="3AEAAB6E" w14:textId="77777777" w:rsidTr="00372A02">
        <w:tc>
          <w:tcPr>
            <w:tcW w:w="992" w:type="dxa"/>
          </w:tcPr>
          <w:p w14:paraId="5E3645EF" w14:textId="77777777" w:rsidR="002752E7" w:rsidRPr="00C9343F" w:rsidRDefault="002752E7" w:rsidP="00F66D98">
            <w:pPr>
              <w:pStyle w:val="BlockText-Plain"/>
              <w:jc w:val="center"/>
            </w:pPr>
            <w:r w:rsidRPr="00C9343F">
              <w:t>7.</w:t>
            </w:r>
          </w:p>
        </w:tc>
        <w:tc>
          <w:tcPr>
            <w:tcW w:w="8363" w:type="dxa"/>
            <w:gridSpan w:val="2"/>
          </w:tcPr>
          <w:p w14:paraId="6325C45A" w14:textId="77777777" w:rsidR="002752E7" w:rsidRPr="00C9343F" w:rsidRDefault="002752E7" w:rsidP="00F66D98">
            <w:pPr>
              <w:pStyle w:val="BlockText-Plain"/>
            </w:pPr>
            <w:r w:rsidRPr="00C9343F">
              <w:t>A member's dependant may provide information in relation to a benefit Defence has provided. Defence may use this information to ensure that correct benefits are provided in relation to the member's service.</w:t>
            </w:r>
          </w:p>
        </w:tc>
      </w:tr>
      <w:tr w:rsidR="002752E7" w:rsidRPr="00C9343F" w14:paraId="7BC58149" w14:textId="77777777" w:rsidTr="00372A02">
        <w:tc>
          <w:tcPr>
            <w:tcW w:w="992" w:type="dxa"/>
          </w:tcPr>
          <w:p w14:paraId="57BF62AB" w14:textId="77777777" w:rsidR="002752E7" w:rsidRPr="00C9343F" w:rsidRDefault="002752E7" w:rsidP="00F66D98">
            <w:pPr>
              <w:pStyle w:val="BlockText-Plain"/>
              <w:jc w:val="center"/>
            </w:pPr>
            <w:r w:rsidRPr="00C9343F">
              <w:t>8.</w:t>
            </w:r>
          </w:p>
        </w:tc>
        <w:tc>
          <w:tcPr>
            <w:tcW w:w="8363" w:type="dxa"/>
            <w:gridSpan w:val="2"/>
          </w:tcPr>
          <w:p w14:paraId="64390D71" w14:textId="77777777" w:rsidR="002752E7" w:rsidRPr="00C9343F" w:rsidRDefault="002752E7" w:rsidP="00F66D98">
            <w:pPr>
              <w:pStyle w:val="BlockText-Plain"/>
            </w:pPr>
            <w:r w:rsidRPr="00C9343F">
              <w:t>Recruiting staff and Commanding Officers are to ensure the applicant has access to forms that can be used to notify Defence about their family and dependants, including their primary emergency contact and their next of kin information.</w:t>
            </w:r>
          </w:p>
        </w:tc>
      </w:tr>
      <w:tr w:rsidR="00A76C3D" w:rsidRPr="00C9343F" w14:paraId="59DC2EAB" w14:textId="77777777" w:rsidTr="00372A02">
        <w:trPr>
          <w:cantSplit/>
        </w:trPr>
        <w:tc>
          <w:tcPr>
            <w:tcW w:w="992" w:type="dxa"/>
          </w:tcPr>
          <w:p w14:paraId="62FDDA88" w14:textId="77777777" w:rsidR="00A76C3D" w:rsidRPr="00C9343F" w:rsidRDefault="00A76C3D" w:rsidP="00F66D98">
            <w:pPr>
              <w:pStyle w:val="BlockText-Plain"/>
            </w:pPr>
          </w:p>
        </w:tc>
        <w:tc>
          <w:tcPr>
            <w:tcW w:w="567" w:type="dxa"/>
          </w:tcPr>
          <w:p w14:paraId="3FB58DEA" w14:textId="77777777" w:rsidR="00A76C3D" w:rsidRPr="00C9343F" w:rsidRDefault="00A76C3D" w:rsidP="007114B1">
            <w:pPr>
              <w:pStyle w:val="BlockText-Plain"/>
              <w:jc w:val="center"/>
            </w:pPr>
            <w:r w:rsidRPr="00C9343F">
              <w:t>a.</w:t>
            </w:r>
          </w:p>
        </w:tc>
        <w:tc>
          <w:tcPr>
            <w:tcW w:w="7796" w:type="dxa"/>
          </w:tcPr>
          <w:p w14:paraId="3312232C" w14:textId="77777777" w:rsidR="00A76C3D" w:rsidRPr="00C9343F" w:rsidRDefault="00A76C3D" w:rsidP="00F66D98">
            <w:pPr>
              <w:pStyle w:val="BlockText-Plain"/>
            </w:pPr>
            <w:r w:rsidRPr="00C9343F">
              <w:t>The 'normally lives with' requirement set out in section 1.3.87 and 1.3.83.</w:t>
            </w:r>
          </w:p>
        </w:tc>
      </w:tr>
      <w:tr w:rsidR="00A76C3D" w:rsidRPr="00C9343F" w14:paraId="6263069C" w14:textId="77777777" w:rsidTr="00372A02">
        <w:trPr>
          <w:cantSplit/>
        </w:trPr>
        <w:tc>
          <w:tcPr>
            <w:tcW w:w="992" w:type="dxa"/>
          </w:tcPr>
          <w:p w14:paraId="6EF72E3C" w14:textId="77777777" w:rsidR="00A76C3D" w:rsidRPr="00C9343F" w:rsidRDefault="00A76C3D" w:rsidP="00F66D98">
            <w:pPr>
              <w:pStyle w:val="BlockText-Plain"/>
            </w:pPr>
          </w:p>
        </w:tc>
        <w:tc>
          <w:tcPr>
            <w:tcW w:w="567" w:type="dxa"/>
          </w:tcPr>
          <w:p w14:paraId="1BB5A504" w14:textId="77777777" w:rsidR="00A76C3D" w:rsidRPr="00C9343F" w:rsidRDefault="00A76C3D" w:rsidP="007114B1">
            <w:pPr>
              <w:pStyle w:val="BlockText-Plain"/>
              <w:jc w:val="center"/>
            </w:pPr>
            <w:r w:rsidRPr="00C9343F">
              <w:t>b.</w:t>
            </w:r>
          </w:p>
        </w:tc>
        <w:tc>
          <w:tcPr>
            <w:tcW w:w="7796" w:type="dxa"/>
          </w:tcPr>
          <w:p w14:paraId="22884F9D" w14:textId="77777777" w:rsidR="00A76C3D" w:rsidRPr="00C9343F" w:rsidRDefault="00A76C3D" w:rsidP="00F66D98">
            <w:pPr>
              <w:pStyle w:val="BlockText-Plain"/>
            </w:pPr>
            <w:r w:rsidRPr="00C9343F">
              <w:t>The tests to be a CDF recognised dependant under section 1.3.85.</w:t>
            </w:r>
          </w:p>
        </w:tc>
      </w:tr>
      <w:tr w:rsidR="00A76C3D" w:rsidRPr="00C9343F" w14:paraId="093998F1" w14:textId="77777777" w:rsidTr="00372A02">
        <w:tc>
          <w:tcPr>
            <w:tcW w:w="992" w:type="dxa"/>
          </w:tcPr>
          <w:p w14:paraId="0C0180F1" w14:textId="77777777" w:rsidR="00A76C3D" w:rsidRPr="00C9343F" w:rsidRDefault="00A76C3D" w:rsidP="00F66D98">
            <w:pPr>
              <w:pStyle w:val="BlockText-Plain"/>
              <w:jc w:val="center"/>
            </w:pPr>
          </w:p>
        </w:tc>
        <w:tc>
          <w:tcPr>
            <w:tcW w:w="8363" w:type="dxa"/>
            <w:gridSpan w:val="2"/>
          </w:tcPr>
          <w:p w14:paraId="30BC511A" w14:textId="77777777" w:rsidR="00A76C3D" w:rsidRPr="00C9343F" w:rsidRDefault="00A76C3D" w:rsidP="00F66D98">
            <w:pPr>
              <w:pStyle w:val="BlockText-Plain"/>
              <w:spacing w:after="0"/>
              <w:rPr>
                <w:b/>
              </w:rPr>
            </w:pPr>
            <w:r w:rsidRPr="00C9343F">
              <w:rPr>
                <w:b/>
              </w:rPr>
              <w:t xml:space="preserve">See: </w:t>
            </w:r>
          </w:p>
          <w:p w14:paraId="43802B16" w14:textId="77777777" w:rsidR="00A76C3D" w:rsidRPr="00C9343F" w:rsidRDefault="00A76C3D" w:rsidP="00F66D98">
            <w:pPr>
              <w:pStyle w:val="BlockText-Plain"/>
              <w:spacing w:after="0"/>
            </w:pPr>
            <w:r w:rsidRPr="00C9343F">
              <w:t>Section 1.3.83, Dependants</w:t>
            </w:r>
          </w:p>
          <w:p w14:paraId="2701C043" w14:textId="77777777" w:rsidR="00A76C3D" w:rsidRPr="00C9343F" w:rsidRDefault="00A76C3D" w:rsidP="00F66D98">
            <w:pPr>
              <w:pStyle w:val="BlockText-Plain"/>
            </w:pPr>
            <w:r w:rsidRPr="00C9343F">
              <w:t>Section 1.3.85, Dependants recognised by CDF</w:t>
            </w:r>
          </w:p>
        </w:tc>
      </w:tr>
    </w:tbl>
    <w:p w14:paraId="01AD1DC9" w14:textId="512FCB2E" w:rsidR="00AF060B" w:rsidRPr="00C9343F" w:rsidRDefault="00AF060B" w:rsidP="00F66D98">
      <w:pPr>
        <w:pStyle w:val="Heading5"/>
        <w:keepNext w:val="0"/>
        <w:keepLines w:val="0"/>
      </w:pPr>
      <w:bookmarkStart w:id="172" w:name="_Toc105053565"/>
      <w:r w:rsidRPr="00C9343F">
        <w:t>1.3.</w:t>
      </w:r>
      <w:r w:rsidR="009B03ED" w:rsidRPr="00C9343F">
        <w:t>81</w:t>
      </w:r>
      <w:r w:rsidR="00D94006" w:rsidRPr="00C9343F">
        <w:t>    </w:t>
      </w:r>
      <w:r w:rsidR="00A76C3D" w:rsidRPr="00C9343F">
        <w:t>Child</w:t>
      </w:r>
      <w:bookmarkEnd w:id="172"/>
    </w:p>
    <w:tbl>
      <w:tblPr>
        <w:tblW w:w="9359" w:type="dxa"/>
        <w:tblInd w:w="113" w:type="dxa"/>
        <w:tblLayout w:type="fixed"/>
        <w:tblLook w:val="0000" w:firstRow="0" w:lastRow="0" w:firstColumn="0" w:lastColumn="0" w:noHBand="0" w:noVBand="0"/>
      </w:tblPr>
      <w:tblGrid>
        <w:gridCol w:w="992"/>
        <w:gridCol w:w="567"/>
        <w:gridCol w:w="567"/>
        <w:gridCol w:w="11"/>
        <w:gridCol w:w="7222"/>
      </w:tblGrid>
      <w:tr w:rsidR="00AF060B" w:rsidRPr="00C9343F" w14:paraId="63F3BFE7" w14:textId="77777777" w:rsidTr="00840F4F">
        <w:tc>
          <w:tcPr>
            <w:tcW w:w="992" w:type="dxa"/>
          </w:tcPr>
          <w:p w14:paraId="695C5F64" w14:textId="77777777" w:rsidR="00AF060B" w:rsidRPr="00C9343F" w:rsidRDefault="00A76C3D" w:rsidP="00F66D98">
            <w:pPr>
              <w:pStyle w:val="BlockText-Plain"/>
              <w:jc w:val="center"/>
            </w:pPr>
            <w:r w:rsidRPr="00C9343F">
              <w:t>1.</w:t>
            </w:r>
          </w:p>
        </w:tc>
        <w:tc>
          <w:tcPr>
            <w:tcW w:w="8367" w:type="dxa"/>
            <w:gridSpan w:val="4"/>
          </w:tcPr>
          <w:p w14:paraId="17C46217" w14:textId="77777777" w:rsidR="00AF060B" w:rsidRPr="00C9343F" w:rsidRDefault="00A76C3D" w:rsidP="00F66D98">
            <w:pPr>
              <w:pStyle w:val="BlockText-Plain"/>
            </w:pPr>
            <w:r w:rsidRPr="00C9343F">
              <w:t>Child includes the following persons under 21 years of age.</w:t>
            </w:r>
          </w:p>
        </w:tc>
      </w:tr>
      <w:tr w:rsidR="00A76C3D" w:rsidRPr="00C9343F" w14:paraId="27141BFA" w14:textId="77777777" w:rsidTr="00840F4F">
        <w:trPr>
          <w:cantSplit/>
        </w:trPr>
        <w:tc>
          <w:tcPr>
            <w:tcW w:w="992" w:type="dxa"/>
          </w:tcPr>
          <w:p w14:paraId="1915FFED" w14:textId="77777777" w:rsidR="00A76C3D" w:rsidRPr="00C9343F" w:rsidRDefault="00A76C3D" w:rsidP="00F66D98">
            <w:pPr>
              <w:pStyle w:val="BlockText-Plain"/>
            </w:pPr>
          </w:p>
        </w:tc>
        <w:tc>
          <w:tcPr>
            <w:tcW w:w="567" w:type="dxa"/>
          </w:tcPr>
          <w:p w14:paraId="7C07D600" w14:textId="77777777" w:rsidR="00A76C3D" w:rsidRPr="00C9343F" w:rsidRDefault="00A76C3D" w:rsidP="007114B1">
            <w:pPr>
              <w:pStyle w:val="BlockText-Plain"/>
              <w:jc w:val="center"/>
            </w:pPr>
            <w:r w:rsidRPr="00C9343F">
              <w:t>a.</w:t>
            </w:r>
          </w:p>
        </w:tc>
        <w:tc>
          <w:tcPr>
            <w:tcW w:w="7800" w:type="dxa"/>
            <w:gridSpan w:val="3"/>
          </w:tcPr>
          <w:p w14:paraId="53A9B2F6" w14:textId="77777777" w:rsidR="00A76C3D" w:rsidRPr="00C9343F" w:rsidRDefault="00A76C3D" w:rsidP="00F66D98">
            <w:pPr>
              <w:pStyle w:val="BlockText-Plain"/>
            </w:pPr>
            <w:r w:rsidRPr="00C9343F">
              <w:t xml:space="preserve">A child recognised for the purposes of Part 7 Division 1 Subdivision D of the </w:t>
            </w:r>
            <w:r w:rsidRPr="00C9343F">
              <w:rPr>
                <w:i/>
              </w:rPr>
              <w:t>Family Law Act 1975</w:t>
            </w:r>
            <w:r w:rsidRPr="00C9343F">
              <w:t>.</w:t>
            </w:r>
          </w:p>
          <w:p w14:paraId="3043760A" w14:textId="77777777" w:rsidR="00A76C3D" w:rsidRPr="00C9343F" w:rsidRDefault="00A76C3D" w:rsidP="00F66D98">
            <w:pPr>
              <w:pStyle w:val="BlockText-Plain"/>
            </w:pPr>
            <w:r w:rsidRPr="00C9343F">
              <w:rPr>
                <w:b/>
              </w:rPr>
              <w:t>See:</w:t>
            </w:r>
            <w:r w:rsidRPr="00C9343F">
              <w:t xml:space="preserve"> </w:t>
            </w:r>
            <w:r w:rsidRPr="00C9343F">
              <w:rPr>
                <w:i/>
              </w:rPr>
              <w:t>Family Law Act 1975</w:t>
            </w:r>
            <w:r w:rsidRPr="00C9343F">
              <w:t xml:space="preserve">  </w:t>
            </w:r>
          </w:p>
        </w:tc>
      </w:tr>
      <w:tr w:rsidR="00A76C3D" w:rsidRPr="00C9343F" w14:paraId="2D328710" w14:textId="77777777" w:rsidTr="00840F4F">
        <w:trPr>
          <w:cantSplit/>
        </w:trPr>
        <w:tc>
          <w:tcPr>
            <w:tcW w:w="992" w:type="dxa"/>
          </w:tcPr>
          <w:p w14:paraId="4981FE17" w14:textId="77777777" w:rsidR="00A76C3D" w:rsidRPr="00C9343F" w:rsidRDefault="00A76C3D" w:rsidP="00F66D98">
            <w:pPr>
              <w:pStyle w:val="BlockText-Plain"/>
              <w:spacing w:after="0"/>
            </w:pPr>
          </w:p>
        </w:tc>
        <w:tc>
          <w:tcPr>
            <w:tcW w:w="567" w:type="dxa"/>
          </w:tcPr>
          <w:p w14:paraId="1AFDA202" w14:textId="77777777" w:rsidR="00A76C3D" w:rsidRPr="00C9343F" w:rsidRDefault="00A76C3D" w:rsidP="00F66D98">
            <w:pPr>
              <w:pStyle w:val="BlockText-Plain"/>
              <w:spacing w:after="0"/>
            </w:pPr>
          </w:p>
        </w:tc>
        <w:tc>
          <w:tcPr>
            <w:tcW w:w="7800" w:type="dxa"/>
            <w:gridSpan w:val="3"/>
          </w:tcPr>
          <w:p w14:paraId="0F3CDE8D" w14:textId="77777777" w:rsidR="00A76C3D" w:rsidRPr="00C9343F" w:rsidRDefault="00A76C3D" w:rsidP="00F66D98">
            <w:pPr>
              <w:pStyle w:val="BlockText-Plain"/>
              <w:spacing w:after="0"/>
              <w:rPr>
                <w:b/>
              </w:rPr>
            </w:pPr>
            <w:r w:rsidRPr="00C9343F">
              <w:rPr>
                <w:b/>
              </w:rPr>
              <w:t>Examples:</w:t>
            </w:r>
          </w:p>
        </w:tc>
      </w:tr>
      <w:tr w:rsidR="00A76C3D" w:rsidRPr="00C9343F" w14:paraId="13734FB9" w14:textId="77777777" w:rsidTr="00840F4F">
        <w:trPr>
          <w:cantSplit/>
        </w:trPr>
        <w:tc>
          <w:tcPr>
            <w:tcW w:w="1559" w:type="dxa"/>
            <w:gridSpan w:val="2"/>
          </w:tcPr>
          <w:p w14:paraId="0674415D" w14:textId="77777777" w:rsidR="00A76C3D" w:rsidRPr="00C9343F" w:rsidRDefault="00A76C3D" w:rsidP="00F66D98">
            <w:pPr>
              <w:pStyle w:val="BlockText-Plain"/>
            </w:pPr>
          </w:p>
        </w:tc>
        <w:tc>
          <w:tcPr>
            <w:tcW w:w="567" w:type="dxa"/>
          </w:tcPr>
          <w:p w14:paraId="34FC4A61" w14:textId="77777777" w:rsidR="00A76C3D" w:rsidRPr="00C9343F" w:rsidRDefault="00A76C3D" w:rsidP="007114B1">
            <w:pPr>
              <w:pStyle w:val="BlockText-Plain"/>
            </w:pPr>
            <w:r w:rsidRPr="00C9343F">
              <w:t>i.</w:t>
            </w:r>
          </w:p>
        </w:tc>
        <w:tc>
          <w:tcPr>
            <w:tcW w:w="7233" w:type="dxa"/>
            <w:gridSpan w:val="2"/>
          </w:tcPr>
          <w:p w14:paraId="4DBE2A8D" w14:textId="77777777" w:rsidR="00A76C3D" w:rsidRPr="00C9343F" w:rsidRDefault="00A76C3D" w:rsidP="00F66D98">
            <w:pPr>
              <w:pStyle w:val="BlockText-Plain"/>
            </w:pPr>
            <w:r w:rsidRPr="00C9343F">
              <w:t>A child of the member.</w:t>
            </w:r>
          </w:p>
        </w:tc>
      </w:tr>
      <w:tr w:rsidR="00A76C3D" w:rsidRPr="00C9343F" w14:paraId="7B6C13A3" w14:textId="77777777" w:rsidTr="00840F4F">
        <w:trPr>
          <w:cantSplit/>
        </w:trPr>
        <w:tc>
          <w:tcPr>
            <w:tcW w:w="1559" w:type="dxa"/>
            <w:gridSpan w:val="2"/>
          </w:tcPr>
          <w:p w14:paraId="49C62048" w14:textId="77777777" w:rsidR="00A76C3D" w:rsidRPr="00C9343F" w:rsidRDefault="00A76C3D" w:rsidP="00F66D98">
            <w:pPr>
              <w:pStyle w:val="BlockText-Plain"/>
            </w:pPr>
          </w:p>
        </w:tc>
        <w:tc>
          <w:tcPr>
            <w:tcW w:w="567" w:type="dxa"/>
          </w:tcPr>
          <w:p w14:paraId="50D14D36" w14:textId="77777777" w:rsidR="00A76C3D" w:rsidRPr="00C9343F" w:rsidRDefault="00A76C3D" w:rsidP="007114B1">
            <w:pPr>
              <w:pStyle w:val="BlockText-Plain"/>
            </w:pPr>
            <w:r w:rsidRPr="00C9343F">
              <w:t>ii.</w:t>
            </w:r>
          </w:p>
        </w:tc>
        <w:tc>
          <w:tcPr>
            <w:tcW w:w="7233" w:type="dxa"/>
            <w:gridSpan w:val="2"/>
          </w:tcPr>
          <w:p w14:paraId="088BEF68" w14:textId="77777777" w:rsidR="00A76C3D" w:rsidRPr="00C9343F" w:rsidRDefault="00A76C3D" w:rsidP="00F66D98">
            <w:pPr>
              <w:pStyle w:val="BlockText-Plain"/>
            </w:pPr>
            <w:r w:rsidRPr="00C9343F">
              <w:t>A child of the member's spouse or partner.</w:t>
            </w:r>
          </w:p>
        </w:tc>
      </w:tr>
      <w:tr w:rsidR="00A76C3D" w:rsidRPr="00C9343F" w14:paraId="303E78E9" w14:textId="77777777" w:rsidTr="00840F4F">
        <w:trPr>
          <w:cantSplit/>
        </w:trPr>
        <w:tc>
          <w:tcPr>
            <w:tcW w:w="1559" w:type="dxa"/>
            <w:gridSpan w:val="2"/>
          </w:tcPr>
          <w:p w14:paraId="7C3A5084" w14:textId="77777777" w:rsidR="00A76C3D" w:rsidRPr="00C9343F" w:rsidRDefault="00A76C3D" w:rsidP="00F66D98">
            <w:pPr>
              <w:pStyle w:val="BlockText-Plain"/>
            </w:pPr>
          </w:p>
        </w:tc>
        <w:tc>
          <w:tcPr>
            <w:tcW w:w="567" w:type="dxa"/>
          </w:tcPr>
          <w:p w14:paraId="642FE557" w14:textId="77777777" w:rsidR="00A76C3D" w:rsidRPr="00C9343F" w:rsidRDefault="00A76C3D" w:rsidP="007114B1">
            <w:pPr>
              <w:pStyle w:val="BlockText-Plain"/>
            </w:pPr>
            <w:r w:rsidRPr="00C9343F">
              <w:t>iii.</w:t>
            </w:r>
          </w:p>
        </w:tc>
        <w:tc>
          <w:tcPr>
            <w:tcW w:w="7233" w:type="dxa"/>
            <w:gridSpan w:val="2"/>
          </w:tcPr>
          <w:p w14:paraId="1C7E3185" w14:textId="77777777" w:rsidR="00A76C3D" w:rsidRPr="00C9343F" w:rsidRDefault="00A76C3D" w:rsidP="00F66D98">
            <w:pPr>
              <w:pStyle w:val="BlockText-Plain"/>
            </w:pPr>
            <w:r w:rsidRPr="00C9343F">
              <w:t>An adopted child.</w:t>
            </w:r>
          </w:p>
        </w:tc>
      </w:tr>
      <w:tr w:rsidR="00A76C3D" w:rsidRPr="00C9343F" w14:paraId="676CE34E" w14:textId="77777777" w:rsidTr="00840F4F">
        <w:trPr>
          <w:cantSplit/>
        </w:trPr>
        <w:tc>
          <w:tcPr>
            <w:tcW w:w="992" w:type="dxa"/>
          </w:tcPr>
          <w:p w14:paraId="67B141F5" w14:textId="77777777" w:rsidR="00A76C3D" w:rsidRPr="00C9343F" w:rsidRDefault="00A76C3D" w:rsidP="00F66D98">
            <w:pPr>
              <w:pStyle w:val="BlockText-Plain"/>
            </w:pPr>
          </w:p>
        </w:tc>
        <w:tc>
          <w:tcPr>
            <w:tcW w:w="567" w:type="dxa"/>
          </w:tcPr>
          <w:p w14:paraId="163C4081" w14:textId="77777777" w:rsidR="00A76C3D" w:rsidRPr="00C9343F" w:rsidRDefault="00A76C3D" w:rsidP="007114B1">
            <w:pPr>
              <w:pStyle w:val="BlockText-Plain"/>
              <w:jc w:val="center"/>
            </w:pPr>
            <w:r w:rsidRPr="00C9343F">
              <w:t>b.</w:t>
            </w:r>
          </w:p>
        </w:tc>
        <w:tc>
          <w:tcPr>
            <w:tcW w:w="7800" w:type="dxa"/>
            <w:gridSpan w:val="3"/>
          </w:tcPr>
          <w:p w14:paraId="33604FA8" w14:textId="77777777" w:rsidR="00840F4F" w:rsidRPr="00C9343F" w:rsidRDefault="00840F4F" w:rsidP="00F66D98">
            <w:pPr>
              <w:pStyle w:val="Sectiontext0"/>
            </w:pPr>
            <w:r w:rsidRPr="00C9343F">
              <w:t xml:space="preserve">A child who is the </w:t>
            </w:r>
            <w:r w:rsidRPr="00C9343F">
              <w:rPr>
                <w:color w:val="000000"/>
              </w:rPr>
              <w:t xml:space="preserve">subject of a </w:t>
            </w:r>
            <w:r w:rsidRPr="00C9343F">
              <w:t>permanent care order issued by a court or statutory authority and placed in the member’s or their partner’s care.</w:t>
            </w:r>
          </w:p>
          <w:p w14:paraId="6792023E" w14:textId="10DCA9EA" w:rsidR="00A76C3D" w:rsidRPr="00C9343F" w:rsidRDefault="00840F4F" w:rsidP="00F66D98">
            <w:pPr>
              <w:pStyle w:val="BlockText-Plain"/>
            </w:pPr>
            <w:r w:rsidRPr="00C9343F">
              <w:rPr>
                <w:b/>
              </w:rPr>
              <w:t>Note:</w:t>
            </w:r>
            <w:r w:rsidRPr="00C9343F">
              <w:t xml:space="preserve"> A permanent care order is not a short-term foster care arrangement.</w:t>
            </w:r>
          </w:p>
        </w:tc>
      </w:tr>
      <w:tr w:rsidR="00840F4F" w:rsidRPr="00C9343F" w14:paraId="59740893" w14:textId="77777777" w:rsidTr="00840F4F">
        <w:trPr>
          <w:cantSplit/>
        </w:trPr>
        <w:tc>
          <w:tcPr>
            <w:tcW w:w="992" w:type="dxa"/>
          </w:tcPr>
          <w:p w14:paraId="71A82230" w14:textId="77777777" w:rsidR="00840F4F" w:rsidRPr="00C9343F" w:rsidRDefault="00840F4F" w:rsidP="00F66D98">
            <w:pPr>
              <w:pStyle w:val="BlockText-Plain"/>
            </w:pPr>
          </w:p>
        </w:tc>
        <w:tc>
          <w:tcPr>
            <w:tcW w:w="567" w:type="dxa"/>
          </w:tcPr>
          <w:p w14:paraId="5A348E56" w14:textId="20E93435" w:rsidR="00840F4F" w:rsidRPr="00C9343F" w:rsidRDefault="00840F4F" w:rsidP="007114B1">
            <w:pPr>
              <w:pStyle w:val="BlockText-Plain"/>
              <w:jc w:val="center"/>
            </w:pPr>
            <w:r w:rsidRPr="00C9343F">
              <w:t>c.</w:t>
            </w:r>
          </w:p>
        </w:tc>
        <w:tc>
          <w:tcPr>
            <w:tcW w:w="7800" w:type="dxa"/>
            <w:gridSpan w:val="3"/>
          </w:tcPr>
          <w:p w14:paraId="2D455FAC" w14:textId="19AC4A67" w:rsidR="00840F4F" w:rsidRPr="00C9343F" w:rsidRDefault="00840F4F" w:rsidP="00F66D98">
            <w:pPr>
              <w:pStyle w:val="BlockText-Plain"/>
            </w:pPr>
            <w:r w:rsidRPr="00C9343F">
              <w:t>A person who meets all of the following.</w:t>
            </w:r>
          </w:p>
        </w:tc>
      </w:tr>
      <w:tr w:rsidR="00840F4F" w:rsidRPr="00C9343F" w14:paraId="0D72871B" w14:textId="77777777" w:rsidTr="00840F4F">
        <w:trPr>
          <w:cantSplit/>
        </w:trPr>
        <w:tc>
          <w:tcPr>
            <w:tcW w:w="992" w:type="dxa"/>
          </w:tcPr>
          <w:p w14:paraId="7FEF33BA" w14:textId="77777777" w:rsidR="00840F4F" w:rsidRPr="00C9343F" w:rsidRDefault="00840F4F" w:rsidP="00F66D98">
            <w:pPr>
              <w:pStyle w:val="BlockText-Plain"/>
            </w:pPr>
          </w:p>
        </w:tc>
        <w:tc>
          <w:tcPr>
            <w:tcW w:w="567" w:type="dxa"/>
          </w:tcPr>
          <w:p w14:paraId="16A06640" w14:textId="77777777" w:rsidR="00840F4F" w:rsidRPr="00C9343F" w:rsidRDefault="00840F4F" w:rsidP="00F66D98">
            <w:pPr>
              <w:pStyle w:val="BlockText-Plain"/>
            </w:pPr>
          </w:p>
        </w:tc>
        <w:tc>
          <w:tcPr>
            <w:tcW w:w="578" w:type="dxa"/>
            <w:gridSpan w:val="2"/>
          </w:tcPr>
          <w:p w14:paraId="09EE2E5E" w14:textId="39DCCA46" w:rsidR="00840F4F" w:rsidRPr="00C9343F" w:rsidRDefault="00840F4F" w:rsidP="007114B1">
            <w:pPr>
              <w:pStyle w:val="BlockText-Plain"/>
              <w:jc w:val="both"/>
            </w:pPr>
            <w:r w:rsidRPr="00C9343F">
              <w:rPr>
                <w:rFonts w:cs="Arial"/>
                <w:iCs/>
                <w:lang w:eastAsia="en-US"/>
              </w:rPr>
              <w:t>i.</w:t>
            </w:r>
          </w:p>
        </w:tc>
        <w:tc>
          <w:tcPr>
            <w:tcW w:w="7222" w:type="dxa"/>
          </w:tcPr>
          <w:p w14:paraId="227F6C82" w14:textId="6648C165" w:rsidR="00840F4F" w:rsidRPr="00C9343F" w:rsidRDefault="00840F4F" w:rsidP="00F66D98">
            <w:pPr>
              <w:pStyle w:val="BlockText-Plain"/>
            </w:pPr>
            <w:r w:rsidRPr="00C9343F">
              <w:rPr>
                <w:rFonts w:cs="Arial"/>
                <w:iCs/>
                <w:lang w:eastAsia="en-US"/>
              </w:rPr>
              <w:t>Immediately before turning 18 years old, they were a child to whom paragraph b applied.</w:t>
            </w:r>
          </w:p>
        </w:tc>
      </w:tr>
      <w:tr w:rsidR="00840F4F" w:rsidRPr="00C9343F" w14:paraId="0B6A8575" w14:textId="77777777" w:rsidTr="00840F4F">
        <w:trPr>
          <w:cantSplit/>
        </w:trPr>
        <w:tc>
          <w:tcPr>
            <w:tcW w:w="992" w:type="dxa"/>
          </w:tcPr>
          <w:p w14:paraId="24501A00" w14:textId="77777777" w:rsidR="00840F4F" w:rsidRPr="00C9343F" w:rsidRDefault="00840F4F" w:rsidP="00F66D98">
            <w:pPr>
              <w:pStyle w:val="BlockText-Plain"/>
            </w:pPr>
          </w:p>
        </w:tc>
        <w:tc>
          <w:tcPr>
            <w:tcW w:w="567" w:type="dxa"/>
          </w:tcPr>
          <w:p w14:paraId="30024279" w14:textId="77777777" w:rsidR="00840F4F" w:rsidRPr="00C9343F" w:rsidRDefault="00840F4F" w:rsidP="00F66D98">
            <w:pPr>
              <w:pStyle w:val="BlockText-Plain"/>
            </w:pPr>
          </w:p>
        </w:tc>
        <w:tc>
          <w:tcPr>
            <w:tcW w:w="578" w:type="dxa"/>
            <w:gridSpan w:val="2"/>
          </w:tcPr>
          <w:p w14:paraId="61BCF8F1" w14:textId="10303FAC" w:rsidR="00840F4F" w:rsidRPr="00C9343F" w:rsidRDefault="00840F4F" w:rsidP="007114B1">
            <w:pPr>
              <w:pStyle w:val="BlockText-Plain"/>
              <w:jc w:val="both"/>
            </w:pPr>
            <w:r w:rsidRPr="00C9343F">
              <w:rPr>
                <w:rFonts w:cs="Arial"/>
                <w:iCs/>
                <w:lang w:eastAsia="en-US"/>
              </w:rPr>
              <w:t>ii.</w:t>
            </w:r>
          </w:p>
        </w:tc>
        <w:tc>
          <w:tcPr>
            <w:tcW w:w="7222" w:type="dxa"/>
          </w:tcPr>
          <w:p w14:paraId="29A71F5A" w14:textId="26076641" w:rsidR="00840F4F" w:rsidRPr="00C9343F" w:rsidRDefault="00840F4F" w:rsidP="00F66D98">
            <w:pPr>
              <w:pStyle w:val="BlockText-Plain"/>
            </w:pPr>
            <w:r w:rsidRPr="00C9343F">
              <w:rPr>
                <w:color w:val="000000"/>
              </w:rPr>
              <w:t>They continue to live with the member.</w:t>
            </w:r>
          </w:p>
        </w:tc>
      </w:tr>
      <w:tr w:rsidR="00840F4F" w:rsidRPr="00C9343F" w14:paraId="425D3A90" w14:textId="77777777" w:rsidTr="00840F4F">
        <w:trPr>
          <w:cantSplit/>
        </w:trPr>
        <w:tc>
          <w:tcPr>
            <w:tcW w:w="992" w:type="dxa"/>
          </w:tcPr>
          <w:p w14:paraId="05ACCF60" w14:textId="77777777" w:rsidR="00840F4F" w:rsidRPr="00C9343F" w:rsidRDefault="00840F4F" w:rsidP="00F66D98">
            <w:pPr>
              <w:pStyle w:val="BlockText-Plain"/>
            </w:pPr>
          </w:p>
        </w:tc>
        <w:tc>
          <w:tcPr>
            <w:tcW w:w="567" w:type="dxa"/>
          </w:tcPr>
          <w:p w14:paraId="519C5B1C" w14:textId="77777777" w:rsidR="00840F4F" w:rsidRPr="00C9343F" w:rsidRDefault="00840F4F" w:rsidP="00F66D98">
            <w:pPr>
              <w:pStyle w:val="BlockText-Plain"/>
            </w:pPr>
          </w:p>
        </w:tc>
        <w:tc>
          <w:tcPr>
            <w:tcW w:w="578" w:type="dxa"/>
            <w:gridSpan w:val="2"/>
          </w:tcPr>
          <w:p w14:paraId="766014B7" w14:textId="04EA8B02" w:rsidR="00840F4F" w:rsidRPr="00C9343F" w:rsidRDefault="00840F4F" w:rsidP="007114B1">
            <w:pPr>
              <w:pStyle w:val="BlockText-Plain"/>
              <w:jc w:val="both"/>
            </w:pPr>
            <w:r w:rsidRPr="00C9343F">
              <w:rPr>
                <w:rFonts w:cs="Arial"/>
                <w:iCs/>
                <w:lang w:eastAsia="en-US"/>
              </w:rPr>
              <w:t>iii.</w:t>
            </w:r>
          </w:p>
        </w:tc>
        <w:tc>
          <w:tcPr>
            <w:tcW w:w="7222" w:type="dxa"/>
          </w:tcPr>
          <w:p w14:paraId="5F079EA0" w14:textId="34E37277" w:rsidR="00840F4F" w:rsidRPr="00C9343F" w:rsidRDefault="00840F4F" w:rsidP="00F66D98">
            <w:pPr>
              <w:pStyle w:val="BlockText-Plain"/>
            </w:pPr>
            <w:r w:rsidRPr="00C9343F">
              <w:rPr>
                <w:color w:val="000000"/>
              </w:rPr>
              <w:t>They are less than 21 years old.</w:t>
            </w:r>
          </w:p>
        </w:tc>
      </w:tr>
      <w:tr w:rsidR="00A76C3D" w:rsidRPr="00C9343F" w14:paraId="6559E8CC" w14:textId="77777777" w:rsidTr="00840F4F">
        <w:tc>
          <w:tcPr>
            <w:tcW w:w="992" w:type="dxa"/>
          </w:tcPr>
          <w:p w14:paraId="57591EEC" w14:textId="77777777" w:rsidR="00A76C3D" w:rsidRPr="00C9343F" w:rsidRDefault="00A76C3D" w:rsidP="00F66D98">
            <w:pPr>
              <w:pStyle w:val="BlockText-Plain"/>
              <w:jc w:val="center"/>
            </w:pPr>
          </w:p>
        </w:tc>
        <w:tc>
          <w:tcPr>
            <w:tcW w:w="8367" w:type="dxa"/>
            <w:gridSpan w:val="4"/>
          </w:tcPr>
          <w:p w14:paraId="110419AE" w14:textId="77777777" w:rsidR="00A76C3D" w:rsidRPr="00C9343F" w:rsidRDefault="00A76C3D" w:rsidP="00F66D98">
            <w:pPr>
              <w:pStyle w:val="BlockText-Plain"/>
            </w:pPr>
            <w:r w:rsidRPr="00C9343F">
              <w:rPr>
                <w:b/>
              </w:rPr>
              <w:t>Note:</w:t>
            </w:r>
            <w:r w:rsidRPr="00C9343F">
              <w:t xml:space="preserve"> To be considered a dependant of the member for Defence benefit purposes, a child must also meet either or both of the following.</w:t>
            </w:r>
          </w:p>
        </w:tc>
      </w:tr>
      <w:tr w:rsidR="00A76C3D" w:rsidRPr="00C9343F" w14:paraId="5C07B308" w14:textId="77777777" w:rsidTr="00840F4F">
        <w:trPr>
          <w:cantSplit/>
        </w:trPr>
        <w:tc>
          <w:tcPr>
            <w:tcW w:w="992" w:type="dxa"/>
          </w:tcPr>
          <w:p w14:paraId="4544C9FA" w14:textId="77777777" w:rsidR="00A76C3D" w:rsidRPr="00C9343F" w:rsidRDefault="00A76C3D" w:rsidP="00F66D98">
            <w:pPr>
              <w:pStyle w:val="BlockText-Plain"/>
            </w:pPr>
          </w:p>
        </w:tc>
        <w:tc>
          <w:tcPr>
            <w:tcW w:w="567" w:type="dxa"/>
          </w:tcPr>
          <w:p w14:paraId="7B055CED" w14:textId="77777777" w:rsidR="00A76C3D" w:rsidRPr="00C9343F" w:rsidRDefault="007807EB" w:rsidP="007114B1">
            <w:pPr>
              <w:pStyle w:val="BlockText-Plain"/>
              <w:jc w:val="center"/>
            </w:pPr>
            <w:r w:rsidRPr="00C9343F">
              <w:t>a.</w:t>
            </w:r>
          </w:p>
        </w:tc>
        <w:tc>
          <w:tcPr>
            <w:tcW w:w="7800" w:type="dxa"/>
            <w:gridSpan w:val="3"/>
          </w:tcPr>
          <w:p w14:paraId="17CAD986" w14:textId="77777777" w:rsidR="00A76C3D" w:rsidRPr="00C9343F" w:rsidRDefault="007807EB" w:rsidP="00F66D98">
            <w:pPr>
              <w:pStyle w:val="BlockText-Plain"/>
            </w:pPr>
            <w:r w:rsidRPr="00C9343F">
              <w:t>The 'normally lives with' requirement set out in section 1.3.87 and 1.3.83.</w:t>
            </w:r>
          </w:p>
        </w:tc>
      </w:tr>
      <w:tr w:rsidR="00A76C3D" w:rsidRPr="00C9343F" w14:paraId="5B3C5C19" w14:textId="77777777" w:rsidTr="00840F4F">
        <w:trPr>
          <w:cantSplit/>
        </w:trPr>
        <w:tc>
          <w:tcPr>
            <w:tcW w:w="992" w:type="dxa"/>
          </w:tcPr>
          <w:p w14:paraId="2E6C3371" w14:textId="77777777" w:rsidR="00A76C3D" w:rsidRPr="00C9343F" w:rsidRDefault="00A76C3D" w:rsidP="00F66D98">
            <w:pPr>
              <w:pStyle w:val="BlockText-Plain"/>
            </w:pPr>
          </w:p>
        </w:tc>
        <w:tc>
          <w:tcPr>
            <w:tcW w:w="567" w:type="dxa"/>
          </w:tcPr>
          <w:p w14:paraId="07FE415C" w14:textId="77777777" w:rsidR="00A76C3D" w:rsidRPr="00C9343F" w:rsidRDefault="007807EB" w:rsidP="007114B1">
            <w:pPr>
              <w:pStyle w:val="BlockText-Plain"/>
              <w:jc w:val="center"/>
            </w:pPr>
            <w:r w:rsidRPr="00C9343F">
              <w:t>b.</w:t>
            </w:r>
          </w:p>
        </w:tc>
        <w:tc>
          <w:tcPr>
            <w:tcW w:w="7800" w:type="dxa"/>
            <w:gridSpan w:val="3"/>
          </w:tcPr>
          <w:p w14:paraId="401E0897" w14:textId="77777777" w:rsidR="00A76C3D" w:rsidRPr="00C9343F" w:rsidRDefault="007807EB" w:rsidP="00F66D98">
            <w:pPr>
              <w:pStyle w:val="BlockText-Plain"/>
            </w:pPr>
            <w:r w:rsidRPr="00C9343F">
              <w:rPr>
                <w:color w:val="000000"/>
              </w:rPr>
              <w:t>The tests to be a CDF recognised dependant under section 1.3.85.</w:t>
            </w:r>
          </w:p>
        </w:tc>
      </w:tr>
      <w:tr w:rsidR="007807EB" w:rsidRPr="00C9343F" w14:paraId="10930C08" w14:textId="77777777" w:rsidTr="00840F4F">
        <w:tc>
          <w:tcPr>
            <w:tcW w:w="992" w:type="dxa"/>
          </w:tcPr>
          <w:p w14:paraId="35A623B8" w14:textId="77777777" w:rsidR="007807EB" w:rsidRPr="00C9343F" w:rsidRDefault="007807EB" w:rsidP="00F66D98">
            <w:pPr>
              <w:pStyle w:val="BlockText-Plain"/>
              <w:jc w:val="center"/>
            </w:pPr>
          </w:p>
        </w:tc>
        <w:tc>
          <w:tcPr>
            <w:tcW w:w="8367" w:type="dxa"/>
            <w:gridSpan w:val="4"/>
          </w:tcPr>
          <w:p w14:paraId="41B50E41" w14:textId="77777777" w:rsidR="007807EB" w:rsidRPr="00C9343F" w:rsidRDefault="007807EB" w:rsidP="00F66D98">
            <w:pPr>
              <w:pStyle w:val="BlockText-Plain"/>
              <w:spacing w:after="0"/>
              <w:rPr>
                <w:b/>
              </w:rPr>
            </w:pPr>
            <w:r w:rsidRPr="00C9343F">
              <w:rPr>
                <w:b/>
              </w:rPr>
              <w:t xml:space="preserve">See: </w:t>
            </w:r>
          </w:p>
          <w:p w14:paraId="59F0A73B" w14:textId="77777777" w:rsidR="007807EB" w:rsidRPr="00C9343F" w:rsidRDefault="007807EB" w:rsidP="00F66D98">
            <w:pPr>
              <w:pStyle w:val="BlockText-Plain"/>
              <w:spacing w:after="0"/>
            </w:pPr>
            <w:r w:rsidRPr="00C9343F">
              <w:t xml:space="preserve">Section 1.3.83, </w:t>
            </w:r>
            <w:r w:rsidRPr="00C9343F">
              <w:rPr>
                <w:b/>
                <w:i/>
              </w:rPr>
              <w:t>Dependants</w:t>
            </w:r>
          </w:p>
          <w:p w14:paraId="004C778D" w14:textId="77777777" w:rsidR="007807EB" w:rsidRPr="00C9343F" w:rsidRDefault="007807EB" w:rsidP="00F66D98">
            <w:pPr>
              <w:pStyle w:val="BlockText-Plain"/>
            </w:pPr>
            <w:r w:rsidRPr="00C9343F">
              <w:lastRenderedPageBreak/>
              <w:t xml:space="preserve">Section 1.3.85, </w:t>
            </w:r>
            <w:r w:rsidRPr="00C9343F">
              <w:rPr>
                <w:b/>
                <w:i/>
              </w:rPr>
              <w:t>Dependants recognised by CDF</w:t>
            </w:r>
          </w:p>
        </w:tc>
      </w:tr>
      <w:tr w:rsidR="007807EB" w:rsidRPr="00C9343F" w14:paraId="42653775" w14:textId="77777777" w:rsidTr="00840F4F">
        <w:tc>
          <w:tcPr>
            <w:tcW w:w="992" w:type="dxa"/>
          </w:tcPr>
          <w:p w14:paraId="74413E09" w14:textId="77777777" w:rsidR="007807EB" w:rsidRPr="00C9343F" w:rsidRDefault="007807EB" w:rsidP="00F66D98">
            <w:pPr>
              <w:pStyle w:val="BlockText-Plain"/>
              <w:jc w:val="center"/>
            </w:pPr>
            <w:r w:rsidRPr="00C9343F">
              <w:lastRenderedPageBreak/>
              <w:t>2.</w:t>
            </w:r>
          </w:p>
        </w:tc>
        <w:tc>
          <w:tcPr>
            <w:tcW w:w="8367" w:type="dxa"/>
            <w:gridSpan w:val="4"/>
          </w:tcPr>
          <w:p w14:paraId="05F5D125" w14:textId="77777777" w:rsidR="007807EB" w:rsidRPr="00C9343F" w:rsidRDefault="007807EB" w:rsidP="00F66D98">
            <w:pPr>
              <w:pStyle w:val="BlockText-Plain"/>
              <w:spacing w:after="0"/>
            </w:pPr>
            <w:r w:rsidRPr="00C9343F">
              <w:t>The age limit in subsection 1 does not apply for a child who is an invalid or has a disability.</w:t>
            </w:r>
          </w:p>
        </w:tc>
      </w:tr>
      <w:tr w:rsidR="007807EB" w:rsidRPr="00C9343F" w14:paraId="5F0FEE6A" w14:textId="77777777" w:rsidTr="00840F4F">
        <w:tc>
          <w:tcPr>
            <w:tcW w:w="992" w:type="dxa"/>
          </w:tcPr>
          <w:p w14:paraId="400D5421" w14:textId="77777777" w:rsidR="007807EB" w:rsidRPr="00C9343F" w:rsidRDefault="007807EB" w:rsidP="00F66D98">
            <w:pPr>
              <w:pStyle w:val="BlockText-Plain"/>
              <w:jc w:val="center"/>
            </w:pPr>
          </w:p>
        </w:tc>
        <w:tc>
          <w:tcPr>
            <w:tcW w:w="8367" w:type="dxa"/>
            <w:gridSpan w:val="4"/>
          </w:tcPr>
          <w:p w14:paraId="5A613A8C" w14:textId="77777777" w:rsidR="007807EB" w:rsidRPr="00C9343F" w:rsidRDefault="007807EB" w:rsidP="00F66D98">
            <w:pPr>
              <w:pStyle w:val="BlockText-Plain"/>
            </w:pPr>
            <w:r w:rsidRPr="00C9343F">
              <w:rPr>
                <w:b/>
              </w:rPr>
              <w:t>Note:</w:t>
            </w:r>
            <w:r w:rsidRPr="00C9343F">
              <w:t xml:space="preserve"> Chapter 8 provides some benefits for tertiary students who do not meet this definition because they are too old for this special measure for children.</w:t>
            </w:r>
          </w:p>
        </w:tc>
      </w:tr>
    </w:tbl>
    <w:p w14:paraId="013A4562" w14:textId="0A83D282" w:rsidR="00B51D49" w:rsidRPr="00C9343F" w:rsidRDefault="00B51D49" w:rsidP="00F66D98">
      <w:pPr>
        <w:pStyle w:val="Heading5"/>
        <w:rPr>
          <w:rFonts w:cs="Arial"/>
          <w:color w:val="000000"/>
          <w:szCs w:val="22"/>
        </w:rPr>
      </w:pPr>
      <w:bookmarkStart w:id="173" w:name="_Toc105053566"/>
      <w:r w:rsidRPr="00C9343F">
        <w:rPr>
          <w:rFonts w:cs="Arial"/>
          <w:color w:val="000000"/>
          <w:szCs w:val="22"/>
        </w:rPr>
        <w:t>1.3.81A</w:t>
      </w:r>
      <w:r w:rsidR="00D94006" w:rsidRPr="00C9343F">
        <w:rPr>
          <w:rFonts w:cs="Arial"/>
          <w:color w:val="000000"/>
          <w:szCs w:val="22"/>
        </w:rPr>
        <w:t>    </w:t>
      </w:r>
      <w:r w:rsidRPr="00C9343F">
        <w:rPr>
          <w:rFonts w:cs="Arial"/>
          <w:color w:val="000000"/>
          <w:szCs w:val="22"/>
        </w:rPr>
        <w:t>Close relative</w:t>
      </w:r>
      <w:bookmarkEnd w:id="173"/>
    </w:p>
    <w:tbl>
      <w:tblPr>
        <w:tblW w:w="9360" w:type="dxa"/>
        <w:tblInd w:w="108" w:type="dxa"/>
        <w:shd w:val="clear" w:color="auto" w:fill="FFFFFF"/>
        <w:tblCellMar>
          <w:left w:w="0" w:type="dxa"/>
          <w:right w:w="0" w:type="dxa"/>
        </w:tblCellMar>
        <w:tblLook w:val="04A0" w:firstRow="1" w:lastRow="0" w:firstColumn="1" w:lastColumn="0" w:noHBand="0" w:noVBand="1"/>
      </w:tblPr>
      <w:tblGrid>
        <w:gridCol w:w="995"/>
        <w:gridCol w:w="567"/>
        <w:gridCol w:w="567"/>
        <w:gridCol w:w="7231"/>
      </w:tblGrid>
      <w:tr w:rsidR="00B51D49" w:rsidRPr="00C9343F" w14:paraId="44B85E58" w14:textId="77777777" w:rsidTr="00B51D49">
        <w:tc>
          <w:tcPr>
            <w:tcW w:w="996" w:type="dxa"/>
            <w:shd w:val="clear" w:color="auto" w:fill="FFFFFF"/>
            <w:tcMar>
              <w:top w:w="0" w:type="dxa"/>
              <w:left w:w="108" w:type="dxa"/>
              <w:bottom w:w="0" w:type="dxa"/>
              <w:right w:w="108" w:type="dxa"/>
            </w:tcMar>
            <w:hideMark/>
          </w:tcPr>
          <w:p w14:paraId="33847128" w14:textId="77777777" w:rsidR="00B51D49" w:rsidRPr="00C9343F" w:rsidRDefault="00B51D49" w:rsidP="00F66D98">
            <w:pPr>
              <w:pStyle w:val="blocktext-plain0"/>
              <w:jc w:val="center"/>
              <w:rPr>
                <w:color w:val="000000"/>
              </w:rPr>
            </w:pPr>
            <w:r w:rsidRPr="00C9343F">
              <w:rPr>
                <w:color w:val="000000"/>
              </w:rPr>
              <w:t>1.</w:t>
            </w:r>
          </w:p>
        </w:tc>
        <w:tc>
          <w:tcPr>
            <w:tcW w:w="8368" w:type="dxa"/>
            <w:gridSpan w:val="3"/>
            <w:shd w:val="clear" w:color="auto" w:fill="FFFFFF"/>
            <w:tcMar>
              <w:top w:w="0" w:type="dxa"/>
              <w:left w:w="108" w:type="dxa"/>
              <w:bottom w:w="0" w:type="dxa"/>
              <w:right w:w="108" w:type="dxa"/>
            </w:tcMar>
            <w:hideMark/>
          </w:tcPr>
          <w:p w14:paraId="7AF5D9FB" w14:textId="77777777" w:rsidR="00B51D49" w:rsidRPr="00C9343F" w:rsidRDefault="00B51D49" w:rsidP="00F66D98">
            <w:pPr>
              <w:pStyle w:val="blocktext-plain0"/>
              <w:rPr>
                <w:color w:val="000000"/>
              </w:rPr>
            </w:pPr>
            <w:r w:rsidRPr="00C9343F">
              <w:rPr>
                <w:color w:val="000000"/>
              </w:rPr>
              <w:t>Means any of the following people.</w:t>
            </w:r>
          </w:p>
        </w:tc>
      </w:tr>
      <w:tr w:rsidR="00B51D49" w:rsidRPr="00C9343F" w14:paraId="0B64A36C" w14:textId="77777777" w:rsidTr="00B51D49">
        <w:tc>
          <w:tcPr>
            <w:tcW w:w="996" w:type="dxa"/>
            <w:shd w:val="clear" w:color="auto" w:fill="FFFFFF"/>
            <w:tcMar>
              <w:top w:w="0" w:type="dxa"/>
              <w:left w:w="108" w:type="dxa"/>
              <w:bottom w:w="0" w:type="dxa"/>
              <w:right w:w="108" w:type="dxa"/>
            </w:tcMar>
            <w:hideMark/>
          </w:tcPr>
          <w:p w14:paraId="70082444" w14:textId="77777777" w:rsidR="00B51D49" w:rsidRPr="00C9343F" w:rsidRDefault="00B51D49" w:rsidP="00F66D98">
            <w:pPr>
              <w:pStyle w:val="blocktext-plain0"/>
              <w:rPr>
                <w:color w:val="000000"/>
              </w:rPr>
            </w:pPr>
            <w:r w:rsidRPr="00C9343F">
              <w:rPr>
                <w:color w:val="000000"/>
              </w:rPr>
              <w:t> </w:t>
            </w:r>
          </w:p>
        </w:tc>
        <w:tc>
          <w:tcPr>
            <w:tcW w:w="567" w:type="dxa"/>
            <w:shd w:val="clear" w:color="auto" w:fill="FFFFFF"/>
            <w:tcMar>
              <w:top w:w="0" w:type="dxa"/>
              <w:left w:w="108" w:type="dxa"/>
              <w:bottom w:w="0" w:type="dxa"/>
              <w:right w:w="108" w:type="dxa"/>
            </w:tcMar>
            <w:hideMark/>
          </w:tcPr>
          <w:p w14:paraId="03643DCB" w14:textId="77777777" w:rsidR="00B51D49" w:rsidRPr="00C9343F" w:rsidRDefault="00B51D49" w:rsidP="007114B1">
            <w:pPr>
              <w:pStyle w:val="blocktext-plain0"/>
              <w:jc w:val="center"/>
              <w:rPr>
                <w:color w:val="000000"/>
              </w:rPr>
            </w:pPr>
            <w:r w:rsidRPr="00C9343F">
              <w:rPr>
                <w:color w:val="000000"/>
              </w:rPr>
              <w:t>a.</w:t>
            </w:r>
          </w:p>
        </w:tc>
        <w:tc>
          <w:tcPr>
            <w:tcW w:w="7801" w:type="dxa"/>
            <w:gridSpan w:val="2"/>
            <w:shd w:val="clear" w:color="auto" w:fill="FFFFFF"/>
            <w:tcMar>
              <w:top w:w="0" w:type="dxa"/>
              <w:left w:w="108" w:type="dxa"/>
              <w:bottom w:w="0" w:type="dxa"/>
              <w:right w:w="108" w:type="dxa"/>
            </w:tcMar>
            <w:hideMark/>
          </w:tcPr>
          <w:p w14:paraId="37A3363D" w14:textId="77777777" w:rsidR="00B51D49" w:rsidRPr="00C9343F" w:rsidRDefault="00B51D49" w:rsidP="00F66D98">
            <w:pPr>
              <w:pStyle w:val="blocktext-plain0"/>
              <w:rPr>
                <w:color w:val="000000"/>
              </w:rPr>
            </w:pPr>
            <w:r w:rsidRPr="00C9343F">
              <w:rPr>
                <w:color w:val="000000"/>
              </w:rPr>
              <w:t>The member’s parent, brother, sister, child, dependant, spouse or partner.</w:t>
            </w:r>
          </w:p>
        </w:tc>
      </w:tr>
      <w:tr w:rsidR="00B51D49" w:rsidRPr="00C9343F" w14:paraId="786EF43A" w14:textId="77777777" w:rsidTr="00B51D49">
        <w:tc>
          <w:tcPr>
            <w:tcW w:w="996" w:type="dxa"/>
            <w:shd w:val="clear" w:color="auto" w:fill="FFFFFF"/>
            <w:tcMar>
              <w:top w:w="0" w:type="dxa"/>
              <w:left w:w="108" w:type="dxa"/>
              <w:bottom w:w="0" w:type="dxa"/>
              <w:right w:w="108" w:type="dxa"/>
            </w:tcMar>
            <w:hideMark/>
          </w:tcPr>
          <w:p w14:paraId="2EDE10DF" w14:textId="77777777" w:rsidR="00B51D49" w:rsidRPr="00C9343F" w:rsidRDefault="00B51D49" w:rsidP="00F66D98">
            <w:pPr>
              <w:pStyle w:val="blocktext-plain0"/>
              <w:rPr>
                <w:color w:val="000000"/>
              </w:rPr>
            </w:pPr>
            <w:r w:rsidRPr="00C9343F">
              <w:rPr>
                <w:color w:val="000000"/>
              </w:rPr>
              <w:t> </w:t>
            </w:r>
          </w:p>
        </w:tc>
        <w:tc>
          <w:tcPr>
            <w:tcW w:w="567" w:type="dxa"/>
            <w:shd w:val="clear" w:color="auto" w:fill="FFFFFF"/>
            <w:tcMar>
              <w:top w:w="0" w:type="dxa"/>
              <w:left w:w="108" w:type="dxa"/>
              <w:bottom w:w="0" w:type="dxa"/>
              <w:right w:w="108" w:type="dxa"/>
            </w:tcMar>
            <w:hideMark/>
          </w:tcPr>
          <w:p w14:paraId="1839FC0D" w14:textId="77777777" w:rsidR="00B51D49" w:rsidRPr="00C9343F" w:rsidRDefault="00B51D49" w:rsidP="007114B1">
            <w:pPr>
              <w:pStyle w:val="blocktext-plain0"/>
              <w:jc w:val="center"/>
              <w:rPr>
                <w:color w:val="000000"/>
              </w:rPr>
            </w:pPr>
            <w:r w:rsidRPr="00C9343F">
              <w:rPr>
                <w:color w:val="000000"/>
              </w:rPr>
              <w:t>b.</w:t>
            </w:r>
          </w:p>
        </w:tc>
        <w:tc>
          <w:tcPr>
            <w:tcW w:w="7801" w:type="dxa"/>
            <w:gridSpan w:val="2"/>
            <w:shd w:val="clear" w:color="auto" w:fill="FFFFFF"/>
            <w:tcMar>
              <w:top w:w="0" w:type="dxa"/>
              <w:left w:w="108" w:type="dxa"/>
              <w:bottom w:w="0" w:type="dxa"/>
              <w:right w:w="108" w:type="dxa"/>
            </w:tcMar>
            <w:hideMark/>
          </w:tcPr>
          <w:p w14:paraId="03874BAE" w14:textId="77777777" w:rsidR="00B51D49" w:rsidRPr="00C9343F" w:rsidRDefault="00B51D49" w:rsidP="00F66D98">
            <w:pPr>
              <w:pStyle w:val="blocktext-plain0"/>
              <w:rPr>
                <w:color w:val="000000"/>
              </w:rPr>
            </w:pPr>
            <w:r w:rsidRPr="00C9343F">
              <w:rPr>
                <w:color w:val="000000"/>
              </w:rPr>
              <w:t>The parent or child</w:t>
            </w:r>
            <w:r w:rsidRPr="00C9343F">
              <w:rPr>
                <w:b/>
                <w:bCs/>
                <w:i/>
                <w:iCs/>
                <w:color w:val="000000"/>
              </w:rPr>
              <w:t> </w:t>
            </w:r>
            <w:r w:rsidRPr="00C9343F">
              <w:rPr>
                <w:color w:val="000000"/>
              </w:rPr>
              <w:t>of the member's spouse or partner.</w:t>
            </w:r>
          </w:p>
        </w:tc>
      </w:tr>
      <w:tr w:rsidR="00B51D49" w:rsidRPr="00C9343F" w14:paraId="1224284E" w14:textId="77777777" w:rsidTr="00B51D49">
        <w:tc>
          <w:tcPr>
            <w:tcW w:w="996" w:type="dxa"/>
            <w:shd w:val="clear" w:color="auto" w:fill="FFFFFF"/>
            <w:tcMar>
              <w:top w:w="0" w:type="dxa"/>
              <w:left w:w="108" w:type="dxa"/>
              <w:bottom w:w="0" w:type="dxa"/>
              <w:right w:w="108" w:type="dxa"/>
            </w:tcMar>
            <w:hideMark/>
          </w:tcPr>
          <w:p w14:paraId="539C40BE" w14:textId="77777777" w:rsidR="00B51D49" w:rsidRPr="00C9343F" w:rsidRDefault="00B51D49" w:rsidP="00F66D98">
            <w:pPr>
              <w:pStyle w:val="blocktext-plain0"/>
              <w:rPr>
                <w:color w:val="000000"/>
              </w:rPr>
            </w:pPr>
            <w:r w:rsidRPr="00C9343F">
              <w:rPr>
                <w:color w:val="000000"/>
              </w:rPr>
              <w:t> </w:t>
            </w:r>
          </w:p>
        </w:tc>
        <w:tc>
          <w:tcPr>
            <w:tcW w:w="567" w:type="dxa"/>
            <w:shd w:val="clear" w:color="auto" w:fill="FFFFFF"/>
            <w:tcMar>
              <w:top w:w="0" w:type="dxa"/>
              <w:left w:w="108" w:type="dxa"/>
              <w:bottom w:w="0" w:type="dxa"/>
              <w:right w:w="108" w:type="dxa"/>
            </w:tcMar>
            <w:hideMark/>
          </w:tcPr>
          <w:p w14:paraId="2C6C939D" w14:textId="77777777" w:rsidR="00B51D49" w:rsidRPr="00C9343F" w:rsidRDefault="00B51D49" w:rsidP="007114B1">
            <w:pPr>
              <w:pStyle w:val="blocktext-plain0"/>
              <w:jc w:val="center"/>
              <w:rPr>
                <w:color w:val="000000"/>
              </w:rPr>
            </w:pPr>
            <w:r w:rsidRPr="00C9343F">
              <w:rPr>
                <w:color w:val="000000"/>
              </w:rPr>
              <w:t>c.</w:t>
            </w:r>
          </w:p>
        </w:tc>
        <w:tc>
          <w:tcPr>
            <w:tcW w:w="7801" w:type="dxa"/>
            <w:gridSpan w:val="2"/>
            <w:shd w:val="clear" w:color="auto" w:fill="FFFFFF"/>
            <w:tcMar>
              <w:top w:w="0" w:type="dxa"/>
              <w:left w:w="108" w:type="dxa"/>
              <w:bottom w:w="0" w:type="dxa"/>
              <w:right w:w="108" w:type="dxa"/>
            </w:tcMar>
            <w:hideMark/>
          </w:tcPr>
          <w:p w14:paraId="5C67B8AA" w14:textId="77777777" w:rsidR="00B51D49" w:rsidRPr="00C9343F" w:rsidRDefault="00B51D49" w:rsidP="00F66D98">
            <w:pPr>
              <w:pStyle w:val="blocktext-plain0"/>
              <w:rPr>
                <w:color w:val="000000"/>
              </w:rPr>
            </w:pPr>
            <w:r w:rsidRPr="00C9343F">
              <w:rPr>
                <w:color w:val="000000"/>
              </w:rPr>
              <w:t>If the member's partner is also a member, a dependant of the member's partner.</w:t>
            </w:r>
          </w:p>
        </w:tc>
      </w:tr>
      <w:tr w:rsidR="00B51D49" w:rsidRPr="00C9343F" w14:paraId="7161715F" w14:textId="77777777" w:rsidTr="00B51D49">
        <w:tc>
          <w:tcPr>
            <w:tcW w:w="996" w:type="dxa"/>
            <w:shd w:val="clear" w:color="auto" w:fill="FFFFFF"/>
            <w:tcMar>
              <w:top w:w="0" w:type="dxa"/>
              <w:left w:w="108" w:type="dxa"/>
              <w:bottom w:w="0" w:type="dxa"/>
              <w:right w:w="108" w:type="dxa"/>
            </w:tcMar>
            <w:hideMark/>
          </w:tcPr>
          <w:p w14:paraId="102AE3F3" w14:textId="77777777" w:rsidR="00B51D49" w:rsidRPr="00C9343F" w:rsidRDefault="00B51D49" w:rsidP="00F66D98">
            <w:pPr>
              <w:pStyle w:val="blocktext-plain0"/>
              <w:rPr>
                <w:color w:val="000000"/>
              </w:rPr>
            </w:pPr>
            <w:r w:rsidRPr="00C9343F">
              <w:rPr>
                <w:color w:val="000000"/>
              </w:rPr>
              <w:t> </w:t>
            </w:r>
          </w:p>
        </w:tc>
        <w:tc>
          <w:tcPr>
            <w:tcW w:w="567" w:type="dxa"/>
            <w:shd w:val="clear" w:color="auto" w:fill="FFFFFF"/>
            <w:tcMar>
              <w:top w:w="0" w:type="dxa"/>
              <w:left w:w="108" w:type="dxa"/>
              <w:bottom w:w="0" w:type="dxa"/>
              <w:right w:w="108" w:type="dxa"/>
            </w:tcMar>
            <w:hideMark/>
          </w:tcPr>
          <w:p w14:paraId="587789D0" w14:textId="77777777" w:rsidR="00B51D49" w:rsidRPr="00C9343F" w:rsidRDefault="00B51D49" w:rsidP="007114B1">
            <w:pPr>
              <w:pStyle w:val="blocktext-plain0"/>
              <w:jc w:val="center"/>
              <w:rPr>
                <w:color w:val="000000"/>
              </w:rPr>
            </w:pPr>
            <w:r w:rsidRPr="00C9343F">
              <w:rPr>
                <w:color w:val="000000"/>
              </w:rPr>
              <w:t>d.</w:t>
            </w:r>
          </w:p>
        </w:tc>
        <w:tc>
          <w:tcPr>
            <w:tcW w:w="7801" w:type="dxa"/>
            <w:gridSpan w:val="2"/>
            <w:shd w:val="clear" w:color="auto" w:fill="FFFFFF"/>
            <w:tcMar>
              <w:top w:w="0" w:type="dxa"/>
              <w:left w:w="108" w:type="dxa"/>
              <w:bottom w:w="0" w:type="dxa"/>
              <w:right w:w="108" w:type="dxa"/>
            </w:tcMar>
            <w:hideMark/>
          </w:tcPr>
          <w:p w14:paraId="7CEED4AA" w14:textId="77777777" w:rsidR="00B51D49" w:rsidRPr="00C9343F" w:rsidRDefault="00B51D49" w:rsidP="00F66D98">
            <w:pPr>
              <w:pStyle w:val="blocktext-plain0"/>
              <w:rPr>
                <w:color w:val="000000"/>
              </w:rPr>
            </w:pPr>
            <w:r w:rsidRPr="00C9343F">
              <w:rPr>
                <w:color w:val="000000"/>
              </w:rPr>
              <w:t>Any other person approved by the CDF as a close relative of any of the following people.</w:t>
            </w:r>
          </w:p>
        </w:tc>
      </w:tr>
      <w:tr w:rsidR="00B51D49" w:rsidRPr="00C9343F" w14:paraId="4C5F82A3" w14:textId="77777777" w:rsidTr="00B51D49">
        <w:tc>
          <w:tcPr>
            <w:tcW w:w="1563" w:type="dxa"/>
            <w:gridSpan w:val="2"/>
            <w:shd w:val="clear" w:color="auto" w:fill="FFFFFF"/>
            <w:tcMar>
              <w:top w:w="0" w:type="dxa"/>
              <w:left w:w="108" w:type="dxa"/>
              <w:bottom w:w="0" w:type="dxa"/>
              <w:right w:w="108" w:type="dxa"/>
            </w:tcMar>
            <w:hideMark/>
          </w:tcPr>
          <w:p w14:paraId="42472DD7" w14:textId="77777777" w:rsidR="00B51D49" w:rsidRPr="00C9343F" w:rsidRDefault="00B51D49" w:rsidP="00F66D98">
            <w:pPr>
              <w:pStyle w:val="blocktext-plain0"/>
              <w:rPr>
                <w:color w:val="000000"/>
              </w:rPr>
            </w:pPr>
            <w:r w:rsidRPr="00C9343F">
              <w:rPr>
                <w:color w:val="000000"/>
              </w:rPr>
              <w:t> </w:t>
            </w:r>
          </w:p>
        </w:tc>
        <w:tc>
          <w:tcPr>
            <w:tcW w:w="567" w:type="dxa"/>
            <w:shd w:val="clear" w:color="auto" w:fill="FFFFFF"/>
            <w:tcMar>
              <w:top w:w="0" w:type="dxa"/>
              <w:left w:w="108" w:type="dxa"/>
              <w:bottom w:w="0" w:type="dxa"/>
              <w:right w:w="108" w:type="dxa"/>
            </w:tcMar>
            <w:hideMark/>
          </w:tcPr>
          <w:p w14:paraId="3FB67356" w14:textId="77777777" w:rsidR="00B51D49" w:rsidRPr="00C9343F" w:rsidRDefault="00B51D49" w:rsidP="007114B1">
            <w:pPr>
              <w:pStyle w:val="blocktext-plain0"/>
              <w:jc w:val="both"/>
              <w:rPr>
                <w:color w:val="000000"/>
              </w:rPr>
            </w:pPr>
            <w:r w:rsidRPr="00C9343F">
              <w:rPr>
                <w:color w:val="000000"/>
              </w:rPr>
              <w:t>i.</w:t>
            </w:r>
          </w:p>
        </w:tc>
        <w:tc>
          <w:tcPr>
            <w:tcW w:w="7234" w:type="dxa"/>
            <w:shd w:val="clear" w:color="auto" w:fill="FFFFFF"/>
            <w:tcMar>
              <w:top w:w="0" w:type="dxa"/>
              <w:left w:w="108" w:type="dxa"/>
              <w:bottom w:w="0" w:type="dxa"/>
              <w:right w:w="108" w:type="dxa"/>
            </w:tcMar>
            <w:hideMark/>
          </w:tcPr>
          <w:p w14:paraId="5573891A" w14:textId="77777777" w:rsidR="00B51D49" w:rsidRPr="00C9343F" w:rsidRDefault="00B51D49" w:rsidP="00F66D98">
            <w:pPr>
              <w:pStyle w:val="blocktext-plain0"/>
              <w:rPr>
                <w:color w:val="000000"/>
              </w:rPr>
            </w:pPr>
            <w:r w:rsidRPr="00C9343F">
              <w:rPr>
                <w:color w:val="000000"/>
              </w:rPr>
              <w:t>The member.</w:t>
            </w:r>
          </w:p>
        </w:tc>
      </w:tr>
      <w:tr w:rsidR="00B51D49" w:rsidRPr="00C9343F" w14:paraId="5C562B53" w14:textId="77777777" w:rsidTr="00B51D49">
        <w:tc>
          <w:tcPr>
            <w:tcW w:w="1563" w:type="dxa"/>
            <w:gridSpan w:val="2"/>
            <w:shd w:val="clear" w:color="auto" w:fill="FFFFFF"/>
            <w:tcMar>
              <w:top w:w="0" w:type="dxa"/>
              <w:left w:w="108" w:type="dxa"/>
              <w:bottom w:w="0" w:type="dxa"/>
              <w:right w:w="108" w:type="dxa"/>
            </w:tcMar>
            <w:hideMark/>
          </w:tcPr>
          <w:p w14:paraId="0723790A" w14:textId="77777777" w:rsidR="00B51D49" w:rsidRPr="00C9343F" w:rsidRDefault="00B51D49" w:rsidP="00F66D98">
            <w:pPr>
              <w:pStyle w:val="blocktext-plain0"/>
              <w:rPr>
                <w:color w:val="000000"/>
              </w:rPr>
            </w:pPr>
            <w:r w:rsidRPr="00C9343F">
              <w:rPr>
                <w:color w:val="000000"/>
              </w:rPr>
              <w:t> </w:t>
            </w:r>
          </w:p>
        </w:tc>
        <w:tc>
          <w:tcPr>
            <w:tcW w:w="567" w:type="dxa"/>
            <w:shd w:val="clear" w:color="auto" w:fill="FFFFFF"/>
            <w:tcMar>
              <w:top w:w="0" w:type="dxa"/>
              <w:left w:w="108" w:type="dxa"/>
              <w:bottom w:w="0" w:type="dxa"/>
              <w:right w:w="108" w:type="dxa"/>
            </w:tcMar>
            <w:hideMark/>
          </w:tcPr>
          <w:p w14:paraId="76E73598" w14:textId="77777777" w:rsidR="00B51D49" w:rsidRPr="00C9343F" w:rsidRDefault="00B51D49" w:rsidP="007114B1">
            <w:pPr>
              <w:pStyle w:val="blocktext-plain0"/>
              <w:jc w:val="both"/>
              <w:rPr>
                <w:color w:val="000000"/>
              </w:rPr>
            </w:pPr>
            <w:r w:rsidRPr="00C9343F">
              <w:rPr>
                <w:color w:val="000000"/>
              </w:rPr>
              <w:t>ii.</w:t>
            </w:r>
          </w:p>
        </w:tc>
        <w:tc>
          <w:tcPr>
            <w:tcW w:w="7234" w:type="dxa"/>
            <w:shd w:val="clear" w:color="auto" w:fill="FFFFFF"/>
            <w:tcMar>
              <w:top w:w="0" w:type="dxa"/>
              <w:left w:w="108" w:type="dxa"/>
              <w:bottom w:w="0" w:type="dxa"/>
              <w:right w:w="108" w:type="dxa"/>
            </w:tcMar>
            <w:hideMark/>
          </w:tcPr>
          <w:p w14:paraId="1EFFF491" w14:textId="77777777" w:rsidR="00B51D49" w:rsidRPr="00C9343F" w:rsidRDefault="00B51D49" w:rsidP="00F66D98">
            <w:pPr>
              <w:pStyle w:val="blocktext-plain0"/>
              <w:rPr>
                <w:color w:val="000000"/>
              </w:rPr>
            </w:pPr>
            <w:r w:rsidRPr="00C9343F">
              <w:rPr>
                <w:color w:val="000000"/>
              </w:rPr>
              <w:t>The member's spouse.</w:t>
            </w:r>
          </w:p>
        </w:tc>
      </w:tr>
      <w:tr w:rsidR="00B51D49" w:rsidRPr="00C9343F" w14:paraId="57645D77" w14:textId="77777777" w:rsidTr="00B51D49">
        <w:tc>
          <w:tcPr>
            <w:tcW w:w="1563" w:type="dxa"/>
            <w:gridSpan w:val="2"/>
            <w:shd w:val="clear" w:color="auto" w:fill="FFFFFF"/>
            <w:tcMar>
              <w:top w:w="0" w:type="dxa"/>
              <w:left w:w="108" w:type="dxa"/>
              <w:bottom w:w="0" w:type="dxa"/>
              <w:right w:w="108" w:type="dxa"/>
            </w:tcMar>
            <w:hideMark/>
          </w:tcPr>
          <w:p w14:paraId="70C90862" w14:textId="77777777" w:rsidR="00B51D49" w:rsidRPr="00C9343F" w:rsidRDefault="00B51D49" w:rsidP="00F66D98">
            <w:pPr>
              <w:pStyle w:val="blocktext-plain0"/>
              <w:rPr>
                <w:color w:val="000000"/>
              </w:rPr>
            </w:pPr>
            <w:r w:rsidRPr="00C9343F">
              <w:rPr>
                <w:color w:val="000000"/>
              </w:rPr>
              <w:t> </w:t>
            </w:r>
          </w:p>
        </w:tc>
        <w:tc>
          <w:tcPr>
            <w:tcW w:w="567" w:type="dxa"/>
            <w:shd w:val="clear" w:color="auto" w:fill="FFFFFF"/>
            <w:tcMar>
              <w:top w:w="0" w:type="dxa"/>
              <w:left w:w="108" w:type="dxa"/>
              <w:bottom w:w="0" w:type="dxa"/>
              <w:right w:w="108" w:type="dxa"/>
            </w:tcMar>
            <w:hideMark/>
          </w:tcPr>
          <w:p w14:paraId="6B5393C1" w14:textId="77777777" w:rsidR="00B51D49" w:rsidRPr="00C9343F" w:rsidRDefault="00B51D49" w:rsidP="007114B1">
            <w:pPr>
              <w:pStyle w:val="blocktext-plain0"/>
              <w:jc w:val="both"/>
              <w:rPr>
                <w:color w:val="000000"/>
              </w:rPr>
            </w:pPr>
            <w:r w:rsidRPr="00C9343F">
              <w:rPr>
                <w:color w:val="000000"/>
              </w:rPr>
              <w:t>iii.</w:t>
            </w:r>
          </w:p>
        </w:tc>
        <w:tc>
          <w:tcPr>
            <w:tcW w:w="7234" w:type="dxa"/>
            <w:shd w:val="clear" w:color="auto" w:fill="FFFFFF"/>
            <w:tcMar>
              <w:top w:w="0" w:type="dxa"/>
              <w:left w:w="108" w:type="dxa"/>
              <w:bottom w:w="0" w:type="dxa"/>
              <w:right w:w="108" w:type="dxa"/>
            </w:tcMar>
            <w:hideMark/>
          </w:tcPr>
          <w:p w14:paraId="00585292" w14:textId="77777777" w:rsidR="00B51D49" w:rsidRPr="00C9343F" w:rsidRDefault="00B51D49" w:rsidP="00F66D98">
            <w:pPr>
              <w:pStyle w:val="blocktext-plain0"/>
              <w:rPr>
                <w:color w:val="000000"/>
              </w:rPr>
            </w:pPr>
            <w:r w:rsidRPr="00C9343F">
              <w:rPr>
                <w:color w:val="000000"/>
              </w:rPr>
              <w:t>The member's partner.</w:t>
            </w:r>
          </w:p>
        </w:tc>
      </w:tr>
      <w:tr w:rsidR="00B51D49" w:rsidRPr="00C9343F" w14:paraId="5FC1B882" w14:textId="77777777" w:rsidTr="00B51D49">
        <w:tc>
          <w:tcPr>
            <w:tcW w:w="996" w:type="dxa"/>
            <w:shd w:val="clear" w:color="auto" w:fill="FFFFFF"/>
            <w:tcMar>
              <w:top w:w="0" w:type="dxa"/>
              <w:left w:w="108" w:type="dxa"/>
              <w:bottom w:w="0" w:type="dxa"/>
              <w:right w:w="108" w:type="dxa"/>
            </w:tcMar>
            <w:hideMark/>
          </w:tcPr>
          <w:p w14:paraId="40628170" w14:textId="77777777" w:rsidR="00B51D49" w:rsidRPr="00C9343F" w:rsidRDefault="00B51D49" w:rsidP="00F66D98">
            <w:pPr>
              <w:pStyle w:val="blocktext-plain0"/>
              <w:jc w:val="center"/>
              <w:rPr>
                <w:color w:val="000000"/>
              </w:rPr>
            </w:pPr>
            <w:r w:rsidRPr="00C9343F">
              <w:rPr>
                <w:color w:val="000000"/>
              </w:rPr>
              <w:t>2.</w:t>
            </w:r>
          </w:p>
        </w:tc>
        <w:tc>
          <w:tcPr>
            <w:tcW w:w="8368" w:type="dxa"/>
            <w:gridSpan w:val="3"/>
            <w:shd w:val="clear" w:color="auto" w:fill="FFFFFF"/>
            <w:tcMar>
              <w:top w:w="0" w:type="dxa"/>
              <w:left w:w="108" w:type="dxa"/>
              <w:bottom w:w="0" w:type="dxa"/>
              <w:right w:w="108" w:type="dxa"/>
            </w:tcMar>
            <w:hideMark/>
          </w:tcPr>
          <w:p w14:paraId="1E0C7A6F" w14:textId="77777777" w:rsidR="00B51D49" w:rsidRPr="00C9343F" w:rsidRDefault="00B51D49" w:rsidP="00F66D98">
            <w:pPr>
              <w:pStyle w:val="blocktext-plain0"/>
              <w:rPr>
                <w:color w:val="000000"/>
              </w:rPr>
            </w:pPr>
            <w:r w:rsidRPr="00C9343F">
              <w:rPr>
                <w:color w:val="000000"/>
              </w:rPr>
              <w:t>In making a decision under paragraph 1.d the CDF must consider all the following.</w:t>
            </w:r>
          </w:p>
        </w:tc>
      </w:tr>
      <w:tr w:rsidR="00B51D49" w:rsidRPr="00C9343F" w14:paraId="162D635A" w14:textId="77777777" w:rsidTr="00B51D49">
        <w:tc>
          <w:tcPr>
            <w:tcW w:w="996" w:type="dxa"/>
            <w:shd w:val="clear" w:color="auto" w:fill="FFFFFF"/>
            <w:tcMar>
              <w:top w:w="0" w:type="dxa"/>
              <w:left w:w="108" w:type="dxa"/>
              <w:bottom w:w="0" w:type="dxa"/>
              <w:right w:w="108" w:type="dxa"/>
            </w:tcMar>
            <w:hideMark/>
          </w:tcPr>
          <w:p w14:paraId="25D0384F" w14:textId="77777777" w:rsidR="00B51D49" w:rsidRPr="00C9343F" w:rsidRDefault="00B51D49" w:rsidP="00F66D98">
            <w:pPr>
              <w:pStyle w:val="blocktext-plain0"/>
              <w:rPr>
                <w:color w:val="000000"/>
              </w:rPr>
            </w:pPr>
            <w:r w:rsidRPr="00C9343F">
              <w:rPr>
                <w:color w:val="000000"/>
              </w:rPr>
              <w:t> </w:t>
            </w:r>
          </w:p>
        </w:tc>
        <w:tc>
          <w:tcPr>
            <w:tcW w:w="567" w:type="dxa"/>
            <w:shd w:val="clear" w:color="auto" w:fill="FFFFFF"/>
            <w:tcMar>
              <w:top w:w="0" w:type="dxa"/>
              <w:left w:w="108" w:type="dxa"/>
              <w:bottom w:w="0" w:type="dxa"/>
              <w:right w:w="108" w:type="dxa"/>
            </w:tcMar>
            <w:hideMark/>
          </w:tcPr>
          <w:p w14:paraId="400CE373" w14:textId="77777777" w:rsidR="00B51D49" w:rsidRPr="00C9343F" w:rsidRDefault="00B51D49" w:rsidP="007114B1">
            <w:pPr>
              <w:pStyle w:val="blocktext-plain0"/>
              <w:jc w:val="center"/>
              <w:rPr>
                <w:color w:val="000000"/>
              </w:rPr>
            </w:pPr>
            <w:r w:rsidRPr="00C9343F">
              <w:rPr>
                <w:color w:val="000000"/>
              </w:rPr>
              <w:t>a.</w:t>
            </w:r>
          </w:p>
        </w:tc>
        <w:tc>
          <w:tcPr>
            <w:tcW w:w="7801" w:type="dxa"/>
            <w:gridSpan w:val="2"/>
            <w:shd w:val="clear" w:color="auto" w:fill="FFFFFF"/>
            <w:tcMar>
              <w:top w:w="0" w:type="dxa"/>
              <w:left w:w="108" w:type="dxa"/>
              <w:bottom w:w="0" w:type="dxa"/>
              <w:right w:w="108" w:type="dxa"/>
            </w:tcMar>
            <w:hideMark/>
          </w:tcPr>
          <w:p w14:paraId="497E87D2" w14:textId="77777777" w:rsidR="00B51D49" w:rsidRPr="00C9343F" w:rsidRDefault="00B51D49" w:rsidP="00F66D98">
            <w:pPr>
              <w:pStyle w:val="blocktext-plain0"/>
              <w:rPr>
                <w:color w:val="000000"/>
              </w:rPr>
            </w:pPr>
            <w:r w:rsidRPr="00C9343F">
              <w:rPr>
                <w:color w:val="000000"/>
              </w:rPr>
              <w:t>Any kinship obligations or child-rearing practices of the member’s traditional culture.</w:t>
            </w:r>
          </w:p>
        </w:tc>
      </w:tr>
      <w:tr w:rsidR="00B51D49" w:rsidRPr="00C9343F" w14:paraId="6E9B7143" w14:textId="77777777" w:rsidTr="00B51D49">
        <w:tc>
          <w:tcPr>
            <w:tcW w:w="996" w:type="dxa"/>
            <w:shd w:val="clear" w:color="auto" w:fill="FFFFFF"/>
            <w:tcMar>
              <w:top w:w="0" w:type="dxa"/>
              <w:left w:w="108" w:type="dxa"/>
              <w:bottom w:w="0" w:type="dxa"/>
              <w:right w:w="108" w:type="dxa"/>
            </w:tcMar>
            <w:hideMark/>
          </w:tcPr>
          <w:p w14:paraId="664921ED" w14:textId="77777777" w:rsidR="00B51D49" w:rsidRPr="00C9343F" w:rsidRDefault="00B51D49" w:rsidP="00F66D98">
            <w:pPr>
              <w:pStyle w:val="blocktext-plain0"/>
              <w:rPr>
                <w:color w:val="000000"/>
              </w:rPr>
            </w:pPr>
            <w:r w:rsidRPr="00C9343F">
              <w:rPr>
                <w:color w:val="000000"/>
              </w:rPr>
              <w:t> </w:t>
            </w:r>
          </w:p>
        </w:tc>
        <w:tc>
          <w:tcPr>
            <w:tcW w:w="567" w:type="dxa"/>
            <w:shd w:val="clear" w:color="auto" w:fill="FFFFFF"/>
            <w:tcMar>
              <w:top w:w="0" w:type="dxa"/>
              <w:left w:w="108" w:type="dxa"/>
              <w:bottom w:w="0" w:type="dxa"/>
              <w:right w:w="108" w:type="dxa"/>
            </w:tcMar>
            <w:hideMark/>
          </w:tcPr>
          <w:p w14:paraId="1EA75DB6" w14:textId="77777777" w:rsidR="00B51D49" w:rsidRPr="00C9343F" w:rsidRDefault="00B51D49" w:rsidP="007114B1">
            <w:pPr>
              <w:pStyle w:val="blocktext-plain0"/>
              <w:jc w:val="center"/>
              <w:rPr>
                <w:color w:val="000000"/>
              </w:rPr>
            </w:pPr>
            <w:r w:rsidRPr="00C9343F">
              <w:rPr>
                <w:color w:val="000000"/>
              </w:rPr>
              <w:t>b.</w:t>
            </w:r>
          </w:p>
        </w:tc>
        <w:tc>
          <w:tcPr>
            <w:tcW w:w="7801" w:type="dxa"/>
            <w:gridSpan w:val="2"/>
            <w:shd w:val="clear" w:color="auto" w:fill="FFFFFF"/>
            <w:tcMar>
              <w:top w:w="0" w:type="dxa"/>
              <w:left w:w="108" w:type="dxa"/>
              <w:bottom w:w="0" w:type="dxa"/>
              <w:right w:w="108" w:type="dxa"/>
            </w:tcMar>
            <w:hideMark/>
          </w:tcPr>
          <w:p w14:paraId="15C2D614" w14:textId="77777777" w:rsidR="00B51D49" w:rsidRPr="00C9343F" w:rsidRDefault="00B51D49" w:rsidP="00F66D98">
            <w:pPr>
              <w:pStyle w:val="blocktext-plain0"/>
              <w:rPr>
                <w:color w:val="000000"/>
              </w:rPr>
            </w:pPr>
            <w:r w:rsidRPr="00C9343F">
              <w:rPr>
                <w:color w:val="000000"/>
              </w:rPr>
              <w:t>Any other relevant factor.</w:t>
            </w:r>
          </w:p>
        </w:tc>
      </w:tr>
    </w:tbl>
    <w:p w14:paraId="5C5519CA" w14:textId="764BFFBA" w:rsidR="00AF060B" w:rsidRPr="00C9343F" w:rsidRDefault="00AF060B" w:rsidP="00F66D98">
      <w:pPr>
        <w:pStyle w:val="Heading5"/>
      </w:pPr>
      <w:bookmarkStart w:id="174" w:name="_Toc105053567"/>
      <w:r w:rsidRPr="00C9343F">
        <w:t>1.3.</w:t>
      </w:r>
      <w:r w:rsidR="009B03ED" w:rsidRPr="00C9343F">
        <w:t>82</w:t>
      </w:r>
      <w:r w:rsidR="00D94006" w:rsidRPr="00C9343F">
        <w:t>    </w:t>
      </w:r>
      <w:r w:rsidR="007807EB" w:rsidRPr="00C9343F">
        <w:t>Couple</w:t>
      </w:r>
      <w:bookmarkEnd w:id="174"/>
    </w:p>
    <w:tbl>
      <w:tblPr>
        <w:tblW w:w="0" w:type="auto"/>
        <w:tblInd w:w="113" w:type="dxa"/>
        <w:tblLayout w:type="fixed"/>
        <w:tblLook w:val="0000" w:firstRow="0" w:lastRow="0" w:firstColumn="0" w:lastColumn="0" w:noHBand="0" w:noVBand="0"/>
      </w:tblPr>
      <w:tblGrid>
        <w:gridCol w:w="992"/>
        <w:gridCol w:w="8367"/>
      </w:tblGrid>
      <w:tr w:rsidR="00AF060B" w:rsidRPr="00C9343F" w14:paraId="5B04194A" w14:textId="77777777">
        <w:tc>
          <w:tcPr>
            <w:tcW w:w="992" w:type="dxa"/>
          </w:tcPr>
          <w:p w14:paraId="47CB3D5D" w14:textId="77777777" w:rsidR="00AF060B" w:rsidRPr="00C9343F" w:rsidRDefault="00AF060B" w:rsidP="00F66D98">
            <w:pPr>
              <w:pStyle w:val="BlockText-Plain"/>
              <w:jc w:val="center"/>
            </w:pPr>
          </w:p>
        </w:tc>
        <w:tc>
          <w:tcPr>
            <w:tcW w:w="8367" w:type="dxa"/>
          </w:tcPr>
          <w:p w14:paraId="5AFDF09A" w14:textId="77777777" w:rsidR="00AF060B" w:rsidRPr="00C9343F" w:rsidRDefault="007807EB" w:rsidP="00F66D98">
            <w:pPr>
              <w:pStyle w:val="BlockText-Plain"/>
            </w:pPr>
            <w:r w:rsidRPr="00C9343F">
              <w:t xml:space="preserve">A </w:t>
            </w:r>
            <w:r w:rsidRPr="00C9343F">
              <w:rPr>
                <w:b/>
                <w:i/>
              </w:rPr>
              <w:t>couple</w:t>
            </w:r>
            <w:r w:rsidRPr="00C9343F">
              <w:t xml:space="preserve"> means a member and their spouse or partner.</w:t>
            </w:r>
          </w:p>
        </w:tc>
      </w:tr>
    </w:tbl>
    <w:p w14:paraId="474B0173" w14:textId="4681C227" w:rsidR="00AF060B" w:rsidRPr="00C9343F" w:rsidRDefault="00AF060B" w:rsidP="00F66D98">
      <w:pPr>
        <w:pStyle w:val="Heading5"/>
      </w:pPr>
      <w:bookmarkStart w:id="175" w:name="_Toc105053568"/>
      <w:r w:rsidRPr="00C9343F">
        <w:t>1.3.</w:t>
      </w:r>
      <w:r w:rsidR="009B03ED" w:rsidRPr="00C9343F">
        <w:t>83</w:t>
      </w:r>
      <w:r w:rsidR="00D94006" w:rsidRPr="00C9343F">
        <w:t>    </w:t>
      </w:r>
      <w:r w:rsidR="007807EB" w:rsidRPr="00C9343F">
        <w:t>Dependants</w:t>
      </w:r>
      <w:bookmarkEnd w:id="175"/>
    </w:p>
    <w:tbl>
      <w:tblPr>
        <w:tblW w:w="9369" w:type="dxa"/>
        <w:tblInd w:w="108" w:type="dxa"/>
        <w:tblLayout w:type="fixed"/>
        <w:tblLook w:val="0000" w:firstRow="0" w:lastRow="0" w:firstColumn="0" w:lastColumn="0" w:noHBand="0" w:noVBand="0"/>
      </w:tblPr>
      <w:tblGrid>
        <w:gridCol w:w="993"/>
        <w:gridCol w:w="537"/>
        <w:gridCol w:w="30"/>
        <w:gridCol w:w="567"/>
        <w:gridCol w:w="7242"/>
      </w:tblGrid>
      <w:tr w:rsidR="00AF060B" w:rsidRPr="00C9343F" w14:paraId="75B175B3" w14:textId="77777777" w:rsidTr="008B30D3">
        <w:tc>
          <w:tcPr>
            <w:tcW w:w="992" w:type="dxa"/>
          </w:tcPr>
          <w:p w14:paraId="23838341" w14:textId="77777777" w:rsidR="00AF060B" w:rsidRPr="00C9343F" w:rsidRDefault="00CC3A59" w:rsidP="00F66D98">
            <w:pPr>
              <w:pStyle w:val="BlockText-Plain"/>
              <w:jc w:val="center"/>
            </w:pPr>
            <w:r w:rsidRPr="00C9343F">
              <w:t>1.</w:t>
            </w:r>
          </w:p>
        </w:tc>
        <w:tc>
          <w:tcPr>
            <w:tcW w:w="8367" w:type="dxa"/>
            <w:gridSpan w:val="4"/>
          </w:tcPr>
          <w:p w14:paraId="074F0C5D" w14:textId="77777777" w:rsidR="007807EB" w:rsidRPr="00C9343F" w:rsidRDefault="007807EB" w:rsidP="00F66D98">
            <w:pPr>
              <w:pStyle w:val="BlockText-Plain"/>
            </w:pPr>
            <w:r w:rsidRPr="00C9343F">
              <w:t>Any of the following persons who normally lives with a member is taken to be the member's dependant for Defence benefit purposes.</w:t>
            </w:r>
          </w:p>
          <w:p w14:paraId="7E9A04A7" w14:textId="77777777" w:rsidR="00AF060B" w:rsidRPr="00C9343F" w:rsidRDefault="008B30D3" w:rsidP="00F66D98">
            <w:pPr>
              <w:pStyle w:val="BlockText-Plain"/>
            </w:pPr>
            <w:r w:rsidRPr="00C9343F">
              <w:rPr>
                <w:b/>
              </w:rPr>
              <w:t>Note:</w:t>
            </w:r>
            <w:r w:rsidRPr="00C9343F">
              <w:t xml:space="preserve"> Section 1.3.87 defines ‘Normally lives with'.</w:t>
            </w:r>
          </w:p>
        </w:tc>
      </w:tr>
      <w:tr w:rsidR="007807EB" w:rsidRPr="00C9343F" w14:paraId="58766FED" w14:textId="77777777" w:rsidTr="008B30D3">
        <w:trPr>
          <w:cantSplit/>
        </w:trPr>
        <w:tc>
          <w:tcPr>
            <w:tcW w:w="992" w:type="dxa"/>
          </w:tcPr>
          <w:p w14:paraId="33FD37C2" w14:textId="77777777" w:rsidR="007807EB" w:rsidRPr="00C9343F" w:rsidRDefault="007807EB" w:rsidP="00F66D98">
            <w:pPr>
              <w:pStyle w:val="BlockText-Plain"/>
            </w:pPr>
          </w:p>
        </w:tc>
        <w:tc>
          <w:tcPr>
            <w:tcW w:w="567" w:type="dxa"/>
            <w:gridSpan w:val="2"/>
          </w:tcPr>
          <w:p w14:paraId="1450DE54" w14:textId="77777777" w:rsidR="007807EB" w:rsidRPr="00C9343F" w:rsidRDefault="007807EB" w:rsidP="007114B1">
            <w:pPr>
              <w:pStyle w:val="BlockText-Plain"/>
              <w:jc w:val="center"/>
            </w:pPr>
            <w:r w:rsidRPr="00C9343F">
              <w:t>a.</w:t>
            </w:r>
          </w:p>
        </w:tc>
        <w:tc>
          <w:tcPr>
            <w:tcW w:w="7800" w:type="dxa"/>
            <w:gridSpan w:val="2"/>
          </w:tcPr>
          <w:p w14:paraId="7D6DEF9D" w14:textId="77777777" w:rsidR="007807EB" w:rsidRPr="00C9343F" w:rsidRDefault="007807EB" w:rsidP="00F66D98">
            <w:pPr>
              <w:pStyle w:val="BlockText-Plain"/>
            </w:pPr>
            <w:r w:rsidRPr="00C9343F">
              <w:t>The member's spouse.</w:t>
            </w:r>
          </w:p>
          <w:p w14:paraId="7D8E5597" w14:textId="77777777" w:rsidR="007807EB" w:rsidRPr="00C9343F" w:rsidRDefault="007807EB" w:rsidP="00F66D98">
            <w:pPr>
              <w:pStyle w:val="BlockText-Plain"/>
            </w:pPr>
            <w:r w:rsidRPr="00C9343F">
              <w:rPr>
                <w:b/>
              </w:rPr>
              <w:t>See:</w:t>
            </w:r>
            <w:r w:rsidRPr="00C9343F">
              <w:t xml:space="preserve"> Section 1.3.92, Spouse</w:t>
            </w:r>
          </w:p>
        </w:tc>
      </w:tr>
      <w:tr w:rsidR="007807EB" w:rsidRPr="00C9343F" w14:paraId="15BCF8E8" w14:textId="77777777" w:rsidTr="008B30D3">
        <w:trPr>
          <w:cantSplit/>
        </w:trPr>
        <w:tc>
          <w:tcPr>
            <w:tcW w:w="992" w:type="dxa"/>
          </w:tcPr>
          <w:p w14:paraId="52B0AA7E" w14:textId="77777777" w:rsidR="007807EB" w:rsidRPr="00C9343F" w:rsidRDefault="007807EB" w:rsidP="00F66D98">
            <w:pPr>
              <w:pStyle w:val="BlockText-Plain"/>
            </w:pPr>
          </w:p>
        </w:tc>
        <w:tc>
          <w:tcPr>
            <w:tcW w:w="567" w:type="dxa"/>
            <w:gridSpan w:val="2"/>
          </w:tcPr>
          <w:p w14:paraId="5E8983FB" w14:textId="77777777" w:rsidR="007807EB" w:rsidRPr="00C9343F" w:rsidRDefault="007807EB" w:rsidP="007114B1">
            <w:pPr>
              <w:pStyle w:val="BlockText-Plain"/>
              <w:jc w:val="center"/>
            </w:pPr>
            <w:r w:rsidRPr="00C9343F">
              <w:t>b.</w:t>
            </w:r>
          </w:p>
        </w:tc>
        <w:tc>
          <w:tcPr>
            <w:tcW w:w="7800" w:type="dxa"/>
            <w:gridSpan w:val="2"/>
          </w:tcPr>
          <w:p w14:paraId="5C9916B6" w14:textId="77777777" w:rsidR="007807EB" w:rsidRPr="00C9343F" w:rsidRDefault="007807EB" w:rsidP="00F66D98">
            <w:pPr>
              <w:pStyle w:val="BlockText-Plain"/>
            </w:pPr>
            <w:r w:rsidRPr="00C9343F">
              <w:t>The member's partner.</w:t>
            </w:r>
          </w:p>
          <w:p w14:paraId="78093ED9" w14:textId="77777777" w:rsidR="007807EB" w:rsidRPr="00C9343F" w:rsidRDefault="007807EB" w:rsidP="00F66D98">
            <w:pPr>
              <w:pStyle w:val="BlockText-Plain"/>
            </w:pPr>
            <w:r w:rsidRPr="00C9343F">
              <w:rPr>
                <w:b/>
              </w:rPr>
              <w:t>See:</w:t>
            </w:r>
            <w:r w:rsidRPr="00C9343F">
              <w:t xml:space="preserve"> Section 1.3.88, Partner</w:t>
            </w:r>
          </w:p>
        </w:tc>
      </w:tr>
      <w:tr w:rsidR="007807EB" w:rsidRPr="00C9343F" w14:paraId="39E428D3" w14:textId="77777777" w:rsidTr="008B30D3">
        <w:trPr>
          <w:cantSplit/>
        </w:trPr>
        <w:tc>
          <w:tcPr>
            <w:tcW w:w="992" w:type="dxa"/>
          </w:tcPr>
          <w:p w14:paraId="0DA58951" w14:textId="77777777" w:rsidR="007807EB" w:rsidRPr="00C9343F" w:rsidRDefault="007807EB" w:rsidP="00F66D98">
            <w:pPr>
              <w:pStyle w:val="BlockText-Plain"/>
            </w:pPr>
          </w:p>
        </w:tc>
        <w:tc>
          <w:tcPr>
            <w:tcW w:w="567" w:type="dxa"/>
            <w:gridSpan w:val="2"/>
          </w:tcPr>
          <w:p w14:paraId="2291A246" w14:textId="77777777" w:rsidR="007807EB" w:rsidRPr="00C9343F" w:rsidRDefault="007807EB" w:rsidP="007114B1">
            <w:pPr>
              <w:pStyle w:val="BlockText-Plain"/>
              <w:jc w:val="center"/>
            </w:pPr>
            <w:r w:rsidRPr="00C9343F">
              <w:t>c.</w:t>
            </w:r>
          </w:p>
        </w:tc>
        <w:tc>
          <w:tcPr>
            <w:tcW w:w="7800" w:type="dxa"/>
            <w:gridSpan w:val="2"/>
          </w:tcPr>
          <w:p w14:paraId="480B1399" w14:textId="77777777" w:rsidR="007807EB" w:rsidRPr="00C9343F" w:rsidRDefault="007807EB" w:rsidP="00F66D98">
            <w:pPr>
              <w:pStyle w:val="BlockText-Plain"/>
            </w:pPr>
            <w:r w:rsidRPr="00C9343F">
              <w:t xml:space="preserve">The </w:t>
            </w:r>
            <w:r w:rsidR="00300EE1" w:rsidRPr="00C9343F">
              <w:t xml:space="preserve">child of a member, defined in </w:t>
            </w:r>
            <w:r w:rsidRPr="00C9343F">
              <w:t>section 1.3.81.</w:t>
            </w:r>
          </w:p>
          <w:p w14:paraId="6BFBA8F3" w14:textId="77777777" w:rsidR="007807EB" w:rsidRPr="00C9343F" w:rsidRDefault="007807EB" w:rsidP="00F66D98">
            <w:pPr>
              <w:pStyle w:val="BlockText-Plain"/>
            </w:pPr>
            <w:r w:rsidRPr="00C9343F">
              <w:rPr>
                <w:b/>
              </w:rPr>
              <w:t>Note 1:</w:t>
            </w:r>
            <w:r w:rsidRPr="00C9343F">
              <w:t xml:space="preserve"> The definition in section 1.3.81 is broad and inclusive.</w:t>
            </w:r>
          </w:p>
          <w:p w14:paraId="308D6059" w14:textId="77777777" w:rsidR="007807EB" w:rsidRPr="00C9343F" w:rsidRDefault="007807EB" w:rsidP="00F66D98">
            <w:pPr>
              <w:pStyle w:val="BlockText-Plain"/>
            </w:pPr>
            <w:r w:rsidRPr="00C9343F">
              <w:rPr>
                <w:b/>
              </w:rPr>
              <w:t>Note 2:</w:t>
            </w:r>
            <w:r w:rsidRPr="00C9343F">
              <w:t xml:space="preserve"> A </w:t>
            </w:r>
            <w:r w:rsidRPr="00C9343F">
              <w:rPr>
                <w:b/>
                <w:i/>
              </w:rPr>
              <w:t>child</w:t>
            </w:r>
            <w:r w:rsidRPr="00C9343F">
              <w:t xml:space="preserve"> who does not normally live with the member may be a </w:t>
            </w:r>
            <w:r w:rsidR="00300EE1" w:rsidRPr="00C9343F">
              <w:t xml:space="preserve">dependant </w:t>
            </w:r>
            <w:r w:rsidRPr="00C9343F">
              <w:t xml:space="preserve">recognised </w:t>
            </w:r>
            <w:r w:rsidR="00300EE1" w:rsidRPr="00C9343F">
              <w:t xml:space="preserve">by CDF </w:t>
            </w:r>
            <w:r w:rsidRPr="00C9343F">
              <w:t>under section 1.3.85.</w:t>
            </w:r>
          </w:p>
          <w:p w14:paraId="3AB609BA" w14:textId="77777777" w:rsidR="007807EB" w:rsidRPr="00C9343F" w:rsidRDefault="007807EB" w:rsidP="00F66D98">
            <w:pPr>
              <w:pStyle w:val="BlockText-Plain"/>
            </w:pPr>
            <w:r w:rsidRPr="00C9343F">
              <w:rPr>
                <w:b/>
              </w:rPr>
              <w:lastRenderedPageBreak/>
              <w:t>Exception:</w:t>
            </w:r>
            <w:r w:rsidRPr="00C9343F">
              <w:t xml:space="preserve"> A child who remains in a losing location without other adult dependants of the member is taken not to be a dependant because the child has ceased to be part of the member's household.</w:t>
            </w:r>
          </w:p>
          <w:p w14:paraId="74A004C6" w14:textId="77777777" w:rsidR="007807EB" w:rsidRPr="00C9343F" w:rsidRDefault="007807EB" w:rsidP="00F66D98">
            <w:pPr>
              <w:pStyle w:val="BlockText-Plain"/>
            </w:pPr>
            <w:r w:rsidRPr="00C9343F">
              <w:rPr>
                <w:b/>
              </w:rPr>
              <w:t>Example:</w:t>
            </w:r>
            <w:r w:rsidRPr="00C9343F">
              <w:t xml:space="preserve"> The member is posted and moves away from the losing location. The child moves in with their grandparents to continue with employment. The child has ceased to be part of the member's household.  </w:t>
            </w:r>
          </w:p>
        </w:tc>
      </w:tr>
      <w:tr w:rsidR="007807EB" w:rsidRPr="00C9343F" w14:paraId="75EE2AEC" w14:textId="77777777" w:rsidTr="008B30D3">
        <w:trPr>
          <w:cantSplit/>
        </w:trPr>
        <w:tc>
          <w:tcPr>
            <w:tcW w:w="992" w:type="dxa"/>
          </w:tcPr>
          <w:p w14:paraId="00FEFB1A" w14:textId="77777777" w:rsidR="007807EB" w:rsidRPr="00C9343F" w:rsidRDefault="007807EB" w:rsidP="00F66D98">
            <w:pPr>
              <w:pStyle w:val="BlockText-Plain"/>
            </w:pPr>
          </w:p>
        </w:tc>
        <w:tc>
          <w:tcPr>
            <w:tcW w:w="567" w:type="dxa"/>
            <w:gridSpan w:val="2"/>
          </w:tcPr>
          <w:p w14:paraId="50F3BCC2" w14:textId="77777777" w:rsidR="007807EB" w:rsidRPr="00C9343F" w:rsidRDefault="007807EB" w:rsidP="007114B1">
            <w:pPr>
              <w:pStyle w:val="BlockText-Plain"/>
              <w:jc w:val="center"/>
            </w:pPr>
            <w:r w:rsidRPr="00C9343F">
              <w:t>d.</w:t>
            </w:r>
          </w:p>
        </w:tc>
        <w:tc>
          <w:tcPr>
            <w:tcW w:w="7800" w:type="dxa"/>
            <w:gridSpan w:val="2"/>
          </w:tcPr>
          <w:p w14:paraId="319D2DAE" w14:textId="77777777" w:rsidR="007807EB" w:rsidRPr="00C9343F" w:rsidRDefault="007807EB" w:rsidP="00F66D98">
            <w:pPr>
              <w:pStyle w:val="BlockText-Plain"/>
            </w:pPr>
            <w:r w:rsidRPr="00C9343F">
              <w:t>A child of a member, spouse or partner who meets both the following circumstances.</w:t>
            </w:r>
          </w:p>
        </w:tc>
      </w:tr>
      <w:tr w:rsidR="007807EB" w:rsidRPr="00C9343F" w14:paraId="66BA2EE2" w14:textId="77777777" w:rsidTr="008B30D3">
        <w:trPr>
          <w:cantSplit/>
        </w:trPr>
        <w:tc>
          <w:tcPr>
            <w:tcW w:w="1559" w:type="dxa"/>
            <w:gridSpan w:val="3"/>
          </w:tcPr>
          <w:p w14:paraId="4CF1A136" w14:textId="77777777" w:rsidR="007807EB" w:rsidRPr="00C9343F" w:rsidRDefault="007807EB" w:rsidP="00F66D98">
            <w:pPr>
              <w:pStyle w:val="BlockText-Plain"/>
            </w:pPr>
          </w:p>
        </w:tc>
        <w:tc>
          <w:tcPr>
            <w:tcW w:w="567" w:type="dxa"/>
          </w:tcPr>
          <w:p w14:paraId="6CC269A9" w14:textId="77777777" w:rsidR="007807EB" w:rsidRPr="00C9343F" w:rsidRDefault="007807EB" w:rsidP="007114B1">
            <w:pPr>
              <w:pStyle w:val="BlockText-Plain"/>
            </w:pPr>
            <w:r w:rsidRPr="00C9343F">
              <w:t>i.</w:t>
            </w:r>
          </w:p>
        </w:tc>
        <w:tc>
          <w:tcPr>
            <w:tcW w:w="7233" w:type="dxa"/>
          </w:tcPr>
          <w:p w14:paraId="795C5873" w14:textId="77777777" w:rsidR="007807EB" w:rsidRPr="00C9343F" w:rsidRDefault="007807EB" w:rsidP="00F66D98">
            <w:pPr>
              <w:pStyle w:val="BlockText-Plain"/>
            </w:pPr>
            <w:r w:rsidRPr="00C9343F">
              <w:t>The child is absent from the member's home only because the child is in full-time education. This can be primary, secondary or undergraduate tertiary education.</w:t>
            </w:r>
          </w:p>
        </w:tc>
      </w:tr>
      <w:tr w:rsidR="007807EB" w:rsidRPr="00C9343F" w14:paraId="2EB5D6BA" w14:textId="77777777" w:rsidTr="008B30D3">
        <w:trPr>
          <w:cantSplit/>
        </w:trPr>
        <w:tc>
          <w:tcPr>
            <w:tcW w:w="1559" w:type="dxa"/>
            <w:gridSpan w:val="3"/>
          </w:tcPr>
          <w:p w14:paraId="0FA57EBA" w14:textId="77777777" w:rsidR="007807EB" w:rsidRPr="00C9343F" w:rsidRDefault="007807EB" w:rsidP="00F66D98">
            <w:pPr>
              <w:pStyle w:val="BlockText-Plain"/>
            </w:pPr>
          </w:p>
        </w:tc>
        <w:tc>
          <w:tcPr>
            <w:tcW w:w="567" w:type="dxa"/>
          </w:tcPr>
          <w:p w14:paraId="5AFB6B41" w14:textId="77777777" w:rsidR="007807EB" w:rsidRPr="00C9343F" w:rsidRDefault="007807EB" w:rsidP="007114B1">
            <w:pPr>
              <w:pStyle w:val="BlockText-Plain"/>
            </w:pPr>
            <w:r w:rsidRPr="00C9343F">
              <w:t>ii.</w:t>
            </w:r>
          </w:p>
        </w:tc>
        <w:tc>
          <w:tcPr>
            <w:tcW w:w="7233" w:type="dxa"/>
          </w:tcPr>
          <w:p w14:paraId="7A4E739A" w14:textId="77777777" w:rsidR="007807EB" w:rsidRPr="00C9343F" w:rsidRDefault="007807EB" w:rsidP="00F66D98">
            <w:pPr>
              <w:pStyle w:val="BlockText-Plain"/>
            </w:pPr>
            <w:r w:rsidRPr="00C9343F">
              <w:t>The child is under 21 years of age.</w:t>
            </w:r>
          </w:p>
        </w:tc>
      </w:tr>
      <w:tr w:rsidR="007807EB" w:rsidRPr="00C9343F" w14:paraId="6EA6DFF3" w14:textId="77777777" w:rsidTr="008B30D3">
        <w:trPr>
          <w:cantSplit/>
        </w:trPr>
        <w:tc>
          <w:tcPr>
            <w:tcW w:w="992" w:type="dxa"/>
          </w:tcPr>
          <w:p w14:paraId="10FB7A1C" w14:textId="77777777" w:rsidR="007807EB" w:rsidRPr="00C9343F" w:rsidRDefault="007807EB" w:rsidP="00F66D98">
            <w:pPr>
              <w:pStyle w:val="BlockText-Plain"/>
            </w:pPr>
          </w:p>
        </w:tc>
        <w:tc>
          <w:tcPr>
            <w:tcW w:w="567" w:type="dxa"/>
            <w:gridSpan w:val="2"/>
          </w:tcPr>
          <w:p w14:paraId="1A88442A" w14:textId="77777777" w:rsidR="007807EB" w:rsidRPr="00C9343F" w:rsidRDefault="007807EB" w:rsidP="007114B1">
            <w:pPr>
              <w:pStyle w:val="BlockText-Plain"/>
              <w:jc w:val="center"/>
            </w:pPr>
            <w:r w:rsidRPr="00C9343F">
              <w:t>e.</w:t>
            </w:r>
          </w:p>
        </w:tc>
        <w:tc>
          <w:tcPr>
            <w:tcW w:w="7800" w:type="dxa"/>
            <w:gridSpan w:val="2"/>
          </w:tcPr>
          <w:p w14:paraId="78ABB760" w14:textId="77777777" w:rsidR="007807EB" w:rsidRPr="00C9343F" w:rsidRDefault="007807EB" w:rsidP="00F66D98">
            <w:pPr>
              <w:pStyle w:val="BlockText-Plain"/>
            </w:pPr>
            <w:r w:rsidRPr="00C9343F">
              <w:t>An adult acting as a guardian or housekeeper, if the member has a dependent child and any of these other conditions are met.</w:t>
            </w:r>
          </w:p>
        </w:tc>
      </w:tr>
      <w:tr w:rsidR="007807EB" w:rsidRPr="00C9343F" w14:paraId="5A651B24" w14:textId="77777777" w:rsidTr="008B30D3">
        <w:trPr>
          <w:cantSplit/>
        </w:trPr>
        <w:tc>
          <w:tcPr>
            <w:tcW w:w="1559" w:type="dxa"/>
            <w:gridSpan w:val="3"/>
          </w:tcPr>
          <w:p w14:paraId="12EA53B5" w14:textId="77777777" w:rsidR="007807EB" w:rsidRPr="00C9343F" w:rsidRDefault="007807EB" w:rsidP="00F66D98">
            <w:pPr>
              <w:pStyle w:val="BlockText-Plain"/>
            </w:pPr>
          </w:p>
        </w:tc>
        <w:tc>
          <w:tcPr>
            <w:tcW w:w="567" w:type="dxa"/>
          </w:tcPr>
          <w:p w14:paraId="429A05EB" w14:textId="77777777" w:rsidR="007807EB" w:rsidRPr="00C9343F" w:rsidRDefault="007807EB" w:rsidP="007114B1">
            <w:pPr>
              <w:pStyle w:val="BlockText-Plain"/>
            </w:pPr>
            <w:r w:rsidRPr="00C9343F">
              <w:t>i.</w:t>
            </w:r>
          </w:p>
        </w:tc>
        <w:tc>
          <w:tcPr>
            <w:tcW w:w="7233" w:type="dxa"/>
          </w:tcPr>
          <w:p w14:paraId="29E1E6EF" w14:textId="77777777" w:rsidR="007807EB" w:rsidRPr="00C9343F" w:rsidRDefault="007807EB" w:rsidP="00F66D98">
            <w:pPr>
              <w:pStyle w:val="BlockText-Plain"/>
            </w:pPr>
            <w:r w:rsidRPr="00C9343F">
              <w:t>The member has no spouse or partner.</w:t>
            </w:r>
          </w:p>
        </w:tc>
      </w:tr>
      <w:tr w:rsidR="007807EB" w:rsidRPr="00C9343F" w14:paraId="4D7B5FF9" w14:textId="77777777" w:rsidTr="008B30D3">
        <w:trPr>
          <w:cantSplit/>
        </w:trPr>
        <w:tc>
          <w:tcPr>
            <w:tcW w:w="1559" w:type="dxa"/>
            <w:gridSpan w:val="3"/>
          </w:tcPr>
          <w:p w14:paraId="73CF1662" w14:textId="77777777" w:rsidR="007807EB" w:rsidRPr="00C9343F" w:rsidRDefault="007807EB" w:rsidP="00F66D98">
            <w:pPr>
              <w:pStyle w:val="BlockText-Plain"/>
            </w:pPr>
          </w:p>
        </w:tc>
        <w:tc>
          <w:tcPr>
            <w:tcW w:w="567" w:type="dxa"/>
          </w:tcPr>
          <w:p w14:paraId="6A9A936D" w14:textId="77777777" w:rsidR="007807EB" w:rsidRPr="00C9343F" w:rsidRDefault="007807EB" w:rsidP="007114B1">
            <w:pPr>
              <w:pStyle w:val="BlockText-Plain"/>
            </w:pPr>
            <w:r w:rsidRPr="00C9343F">
              <w:t>ii.</w:t>
            </w:r>
          </w:p>
        </w:tc>
        <w:tc>
          <w:tcPr>
            <w:tcW w:w="7233" w:type="dxa"/>
          </w:tcPr>
          <w:p w14:paraId="4716B71B" w14:textId="77777777" w:rsidR="007807EB" w:rsidRPr="00C9343F" w:rsidRDefault="007807EB" w:rsidP="00F66D98">
            <w:pPr>
              <w:pStyle w:val="BlockText-Plain"/>
            </w:pPr>
            <w:r w:rsidRPr="00C9343F">
              <w:t>The member's spouse or partner is an invalid or has a disability.</w:t>
            </w:r>
          </w:p>
        </w:tc>
      </w:tr>
      <w:tr w:rsidR="007807EB" w:rsidRPr="00C9343F" w14:paraId="42096DE7" w14:textId="77777777" w:rsidTr="008B30D3">
        <w:trPr>
          <w:cantSplit/>
        </w:trPr>
        <w:tc>
          <w:tcPr>
            <w:tcW w:w="1559" w:type="dxa"/>
            <w:gridSpan w:val="3"/>
          </w:tcPr>
          <w:p w14:paraId="111DB325" w14:textId="77777777" w:rsidR="007807EB" w:rsidRPr="00C9343F" w:rsidRDefault="007807EB" w:rsidP="00F66D98">
            <w:pPr>
              <w:pStyle w:val="BlockText-Plain"/>
            </w:pPr>
          </w:p>
        </w:tc>
        <w:tc>
          <w:tcPr>
            <w:tcW w:w="567" w:type="dxa"/>
          </w:tcPr>
          <w:p w14:paraId="3B6E4432" w14:textId="77777777" w:rsidR="007807EB" w:rsidRPr="00C9343F" w:rsidRDefault="007807EB" w:rsidP="007114B1">
            <w:pPr>
              <w:pStyle w:val="BlockText-Plain"/>
            </w:pPr>
            <w:r w:rsidRPr="00C9343F">
              <w:t>iii.</w:t>
            </w:r>
          </w:p>
        </w:tc>
        <w:tc>
          <w:tcPr>
            <w:tcW w:w="7233" w:type="dxa"/>
          </w:tcPr>
          <w:p w14:paraId="103AFD05" w14:textId="77777777" w:rsidR="007807EB" w:rsidRPr="00C9343F" w:rsidRDefault="007807EB" w:rsidP="00F66D98">
            <w:pPr>
              <w:pStyle w:val="BlockText-Plain"/>
            </w:pPr>
            <w:r w:rsidRPr="00C9343F">
              <w:t>The member's spouse or partner is either a member serving at another posting location or a non-Service spouse or partner living away from the family home.</w:t>
            </w:r>
          </w:p>
        </w:tc>
      </w:tr>
      <w:tr w:rsidR="008B30D3" w:rsidRPr="00C9343F" w14:paraId="1AA088A5" w14:textId="77777777" w:rsidTr="008B30D3">
        <w:trPr>
          <w:cantSplit/>
        </w:trPr>
        <w:tc>
          <w:tcPr>
            <w:tcW w:w="992" w:type="dxa"/>
          </w:tcPr>
          <w:p w14:paraId="7EC9FC86" w14:textId="77777777" w:rsidR="008B30D3" w:rsidRPr="00C9343F" w:rsidRDefault="008B30D3" w:rsidP="00F66D98">
            <w:pPr>
              <w:pStyle w:val="BlockText-Plain"/>
            </w:pPr>
          </w:p>
        </w:tc>
        <w:tc>
          <w:tcPr>
            <w:tcW w:w="567" w:type="dxa"/>
            <w:gridSpan w:val="2"/>
          </w:tcPr>
          <w:p w14:paraId="25E99711" w14:textId="77777777" w:rsidR="008B30D3" w:rsidRPr="00C9343F" w:rsidRDefault="008B30D3" w:rsidP="007114B1">
            <w:pPr>
              <w:pStyle w:val="BlockText-Plain"/>
              <w:jc w:val="center"/>
            </w:pPr>
            <w:r w:rsidRPr="00C9343F">
              <w:t>f.</w:t>
            </w:r>
          </w:p>
        </w:tc>
        <w:tc>
          <w:tcPr>
            <w:tcW w:w="7800" w:type="dxa"/>
            <w:gridSpan w:val="2"/>
          </w:tcPr>
          <w:p w14:paraId="0D5540B8" w14:textId="77777777" w:rsidR="008B30D3" w:rsidRPr="00C9343F" w:rsidRDefault="008B30D3" w:rsidP="00F66D98">
            <w:pPr>
              <w:pStyle w:val="BlockText-Plain"/>
            </w:pPr>
            <w:r w:rsidRPr="00C9343F">
              <w:t>A person recognised as a dependant under section 1.3.84 or 1.3.85.</w:t>
            </w:r>
          </w:p>
        </w:tc>
      </w:tr>
      <w:tr w:rsidR="007807EB" w:rsidRPr="00C9343F" w14:paraId="48BD80E4" w14:textId="77777777" w:rsidTr="008B30D3">
        <w:tc>
          <w:tcPr>
            <w:tcW w:w="992" w:type="dxa"/>
          </w:tcPr>
          <w:p w14:paraId="1BA6E574" w14:textId="77777777" w:rsidR="007807EB" w:rsidRPr="00C9343F" w:rsidRDefault="007807EB" w:rsidP="00F66D98">
            <w:pPr>
              <w:pStyle w:val="BlockText-Plain"/>
              <w:jc w:val="center"/>
            </w:pPr>
            <w:r w:rsidRPr="00C9343F">
              <w:t>3.</w:t>
            </w:r>
          </w:p>
        </w:tc>
        <w:tc>
          <w:tcPr>
            <w:tcW w:w="8367" w:type="dxa"/>
            <w:gridSpan w:val="4"/>
          </w:tcPr>
          <w:p w14:paraId="6CBD5FDD" w14:textId="77777777" w:rsidR="007807EB" w:rsidRPr="00C9343F" w:rsidRDefault="007807EB" w:rsidP="00F66D98">
            <w:pPr>
              <w:pStyle w:val="BlockText-Plain"/>
            </w:pPr>
            <w:r w:rsidRPr="00C9343F">
              <w:t xml:space="preserve">A different definition of dependant is used for members on short-term duty overseas and members on overseas long-term postings. </w:t>
            </w:r>
          </w:p>
          <w:p w14:paraId="3813A17D" w14:textId="77777777" w:rsidR="007807EB" w:rsidRPr="00C9343F" w:rsidRDefault="007807EB" w:rsidP="00F66D98">
            <w:pPr>
              <w:pStyle w:val="BlockText-Plain"/>
            </w:pPr>
            <w:r w:rsidRPr="00C9343F">
              <w:rPr>
                <w:b/>
              </w:rPr>
              <w:t>Exception:</w:t>
            </w:r>
            <w:r w:rsidRPr="00C9343F">
              <w:t xml:space="preserve"> Members on deployment rely on the same dependant definitions as members in Australia. The deployment is not considered an overseas posting.</w:t>
            </w:r>
          </w:p>
          <w:p w14:paraId="64270A28" w14:textId="77777777" w:rsidR="007807EB" w:rsidRPr="00C9343F" w:rsidRDefault="007807EB" w:rsidP="00F66D98">
            <w:pPr>
              <w:pStyle w:val="BlockText-Plain"/>
            </w:pPr>
            <w:r w:rsidRPr="00C9343F">
              <w:rPr>
                <w:b/>
              </w:rPr>
              <w:t>See:</w:t>
            </w:r>
            <w:r w:rsidRPr="00C9343F">
              <w:t xml:space="preserve"> Chapter 12 Part 3 section 12.3.5, Dependant</w:t>
            </w:r>
          </w:p>
        </w:tc>
      </w:tr>
      <w:tr w:rsidR="008B30D3" w:rsidRPr="00C9343F" w14:paraId="38B71919" w14:textId="77777777" w:rsidTr="008B30D3">
        <w:trPr>
          <w:trHeight w:val="373"/>
        </w:trPr>
        <w:tc>
          <w:tcPr>
            <w:tcW w:w="992" w:type="dxa"/>
          </w:tcPr>
          <w:p w14:paraId="290674EF" w14:textId="77777777" w:rsidR="008B30D3" w:rsidRPr="00C9343F" w:rsidRDefault="008B30D3" w:rsidP="00F66D98">
            <w:pPr>
              <w:pStyle w:val="BlockText-Plain"/>
              <w:jc w:val="center"/>
            </w:pPr>
            <w:r w:rsidRPr="00C9343F">
              <w:t>4.</w:t>
            </w:r>
          </w:p>
        </w:tc>
        <w:tc>
          <w:tcPr>
            <w:tcW w:w="8367" w:type="dxa"/>
            <w:gridSpan w:val="4"/>
          </w:tcPr>
          <w:p w14:paraId="77C0C0F3" w14:textId="77777777" w:rsidR="008B30D3" w:rsidRPr="00C9343F" w:rsidRDefault="008B30D3" w:rsidP="00F66D98">
            <w:pPr>
              <w:pStyle w:val="BlockText-Plain"/>
            </w:pPr>
            <w:r w:rsidRPr="00C9343F">
              <w:t>A person who is one of the following is taken to normally live with the member even if the ground on which they are recognised means they are unable to live with the member for a period.</w:t>
            </w:r>
          </w:p>
        </w:tc>
      </w:tr>
      <w:tr w:rsidR="008B30D3" w:rsidRPr="00C9343F" w14:paraId="365E9CB6" w14:textId="77777777" w:rsidTr="008B30D3">
        <w:tc>
          <w:tcPr>
            <w:tcW w:w="993" w:type="dxa"/>
          </w:tcPr>
          <w:p w14:paraId="634AA06F" w14:textId="77777777" w:rsidR="008B30D3" w:rsidRPr="00C9343F" w:rsidRDefault="008B30D3" w:rsidP="00F66D98">
            <w:pPr>
              <w:pStyle w:val="Sectiontext0"/>
            </w:pPr>
          </w:p>
        </w:tc>
        <w:tc>
          <w:tcPr>
            <w:tcW w:w="537" w:type="dxa"/>
          </w:tcPr>
          <w:p w14:paraId="40F99FAF" w14:textId="77777777" w:rsidR="008B30D3" w:rsidRPr="00C9343F" w:rsidRDefault="008B30D3" w:rsidP="007114B1">
            <w:pPr>
              <w:pStyle w:val="Sectiontext0"/>
              <w:jc w:val="center"/>
              <w:rPr>
                <w:rFonts w:cs="Arial"/>
              </w:rPr>
            </w:pPr>
            <w:r w:rsidRPr="00C9343F">
              <w:rPr>
                <w:rFonts w:cs="Arial"/>
              </w:rPr>
              <w:t>a.</w:t>
            </w:r>
          </w:p>
        </w:tc>
        <w:tc>
          <w:tcPr>
            <w:tcW w:w="7839" w:type="dxa"/>
            <w:gridSpan w:val="3"/>
          </w:tcPr>
          <w:p w14:paraId="436FE2DA" w14:textId="77777777" w:rsidR="008B30D3" w:rsidRPr="00C9343F" w:rsidRDefault="008B30D3" w:rsidP="00F66D98">
            <w:pPr>
              <w:pStyle w:val="Sectiontext0"/>
              <w:rPr>
                <w:rFonts w:cs="Arial"/>
              </w:rPr>
            </w:pPr>
            <w:r w:rsidRPr="00C9343F">
              <w:rPr>
                <w:rFonts w:cs="Arial"/>
              </w:rPr>
              <w:t>A dependant with special needs under section 1.3.84.</w:t>
            </w:r>
          </w:p>
        </w:tc>
      </w:tr>
      <w:tr w:rsidR="008B30D3" w:rsidRPr="00C9343F" w14:paraId="05B6AF9C" w14:textId="77777777" w:rsidTr="008B30D3">
        <w:tc>
          <w:tcPr>
            <w:tcW w:w="993" w:type="dxa"/>
          </w:tcPr>
          <w:p w14:paraId="66AED1F3" w14:textId="77777777" w:rsidR="008B30D3" w:rsidRPr="00C9343F" w:rsidRDefault="008B30D3" w:rsidP="00F66D98">
            <w:pPr>
              <w:pStyle w:val="Sectiontext0"/>
            </w:pPr>
          </w:p>
        </w:tc>
        <w:tc>
          <w:tcPr>
            <w:tcW w:w="537" w:type="dxa"/>
          </w:tcPr>
          <w:p w14:paraId="5BB93D54" w14:textId="77777777" w:rsidR="008B30D3" w:rsidRPr="00C9343F" w:rsidRDefault="008B30D3" w:rsidP="007114B1">
            <w:pPr>
              <w:pStyle w:val="Sectiontext0"/>
              <w:jc w:val="center"/>
              <w:rPr>
                <w:rFonts w:cs="Arial"/>
              </w:rPr>
            </w:pPr>
            <w:r w:rsidRPr="00C9343F">
              <w:rPr>
                <w:rFonts w:cs="Arial"/>
              </w:rPr>
              <w:t>b.</w:t>
            </w:r>
          </w:p>
        </w:tc>
        <w:tc>
          <w:tcPr>
            <w:tcW w:w="7839" w:type="dxa"/>
            <w:gridSpan w:val="3"/>
          </w:tcPr>
          <w:p w14:paraId="6C72A87D" w14:textId="77777777" w:rsidR="008B30D3" w:rsidRPr="00C9343F" w:rsidRDefault="008B30D3" w:rsidP="00F66D98">
            <w:pPr>
              <w:pStyle w:val="Sectiontext0"/>
              <w:rPr>
                <w:rFonts w:cs="Arial"/>
              </w:rPr>
            </w:pPr>
            <w:r w:rsidRPr="00C9343F">
              <w:rPr>
                <w:rFonts w:cs="Arial"/>
              </w:rPr>
              <w:t>A dependant recognised by CDF under section 1.3.85.</w:t>
            </w:r>
          </w:p>
        </w:tc>
      </w:tr>
    </w:tbl>
    <w:p w14:paraId="4C7BB23D" w14:textId="4975553E" w:rsidR="00085BD1" w:rsidRPr="00C9343F" w:rsidRDefault="00085BD1" w:rsidP="00F66D98">
      <w:pPr>
        <w:pStyle w:val="Heading5"/>
      </w:pPr>
      <w:bookmarkStart w:id="176" w:name="_Toc105053569"/>
      <w:r w:rsidRPr="00C9343F">
        <w:t>1.3.</w:t>
      </w:r>
      <w:r w:rsidR="009B03ED" w:rsidRPr="00C9343F">
        <w:t>84</w:t>
      </w:r>
      <w:r w:rsidR="00D94006" w:rsidRPr="00C9343F">
        <w:t>    </w:t>
      </w:r>
      <w:r w:rsidR="007807EB" w:rsidRPr="00C9343F">
        <w:t>Dependant with special needs</w:t>
      </w:r>
      <w:bookmarkEnd w:id="176"/>
    </w:p>
    <w:tbl>
      <w:tblPr>
        <w:tblW w:w="9359" w:type="dxa"/>
        <w:tblInd w:w="113" w:type="dxa"/>
        <w:tblLayout w:type="fixed"/>
        <w:tblLook w:val="0000" w:firstRow="0" w:lastRow="0" w:firstColumn="0" w:lastColumn="0" w:noHBand="0" w:noVBand="0"/>
      </w:tblPr>
      <w:tblGrid>
        <w:gridCol w:w="992"/>
        <w:gridCol w:w="567"/>
        <w:gridCol w:w="7800"/>
      </w:tblGrid>
      <w:tr w:rsidR="00085BD1" w:rsidRPr="00C9343F" w14:paraId="639D8D5A" w14:textId="77777777" w:rsidTr="00005033">
        <w:tc>
          <w:tcPr>
            <w:tcW w:w="992" w:type="dxa"/>
          </w:tcPr>
          <w:p w14:paraId="40719B56" w14:textId="77777777" w:rsidR="00085BD1" w:rsidRPr="00C9343F" w:rsidRDefault="00845F15" w:rsidP="00F66D98">
            <w:pPr>
              <w:pStyle w:val="BlockText-Plain"/>
              <w:jc w:val="center"/>
            </w:pPr>
            <w:r w:rsidRPr="00C9343F">
              <w:t>1.</w:t>
            </w:r>
          </w:p>
        </w:tc>
        <w:tc>
          <w:tcPr>
            <w:tcW w:w="8367" w:type="dxa"/>
            <w:gridSpan w:val="2"/>
          </w:tcPr>
          <w:p w14:paraId="61610F87" w14:textId="77777777" w:rsidR="00085BD1" w:rsidRPr="00C9343F" w:rsidRDefault="007807EB" w:rsidP="00F66D98">
            <w:pPr>
              <w:pStyle w:val="BlockText-Plain"/>
            </w:pPr>
            <w:r w:rsidRPr="00C9343F">
              <w:t xml:space="preserve">In this </w:t>
            </w:r>
            <w:r w:rsidR="00803066" w:rsidRPr="00C9343F">
              <w:t>section</w:t>
            </w:r>
            <w:r w:rsidRPr="00C9343F">
              <w:t xml:space="preserve"> a decision maker means one of the following.</w:t>
            </w:r>
          </w:p>
        </w:tc>
      </w:tr>
      <w:tr w:rsidR="00996300" w:rsidRPr="00C9343F" w14:paraId="56B99624" w14:textId="77777777" w:rsidTr="00005033">
        <w:trPr>
          <w:cantSplit/>
        </w:trPr>
        <w:tc>
          <w:tcPr>
            <w:tcW w:w="992" w:type="dxa"/>
          </w:tcPr>
          <w:p w14:paraId="2E449156" w14:textId="77777777" w:rsidR="00996300" w:rsidRPr="00C9343F" w:rsidRDefault="00996300" w:rsidP="00F66D98">
            <w:pPr>
              <w:pStyle w:val="BlockText-Plain"/>
            </w:pPr>
          </w:p>
        </w:tc>
        <w:tc>
          <w:tcPr>
            <w:tcW w:w="567" w:type="dxa"/>
          </w:tcPr>
          <w:p w14:paraId="17884957" w14:textId="77777777" w:rsidR="00996300" w:rsidRPr="00C9343F" w:rsidRDefault="00996300" w:rsidP="00005033">
            <w:pPr>
              <w:pStyle w:val="BlockText-Plain"/>
              <w:jc w:val="center"/>
            </w:pPr>
            <w:r w:rsidRPr="00C9343F">
              <w:t>a.</w:t>
            </w:r>
          </w:p>
        </w:tc>
        <w:tc>
          <w:tcPr>
            <w:tcW w:w="7800" w:type="dxa"/>
          </w:tcPr>
          <w:p w14:paraId="627251D0" w14:textId="560BDB7A" w:rsidR="00335B80" w:rsidRPr="00C9343F" w:rsidRDefault="007807EB" w:rsidP="00F66D98">
            <w:pPr>
              <w:pStyle w:val="BlockText-Plain"/>
            </w:pPr>
            <w:r w:rsidRPr="00C9343F">
              <w:t xml:space="preserve">Director General </w:t>
            </w:r>
            <w:r w:rsidR="00F26D1E" w:rsidRPr="00C9343F">
              <w:t>Defence Member and Family Support</w:t>
            </w:r>
            <w:r w:rsidRPr="00C9343F">
              <w:t>.</w:t>
            </w:r>
          </w:p>
        </w:tc>
      </w:tr>
      <w:tr w:rsidR="00F90B0B" w:rsidRPr="00C9343F" w14:paraId="0CD370CD" w14:textId="77777777" w:rsidTr="00005033">
        <w:trPr>
          <w:cantSplit/>
        </w:trPr>
        <w:tc>
          <w:tcPr>
            <w:tcW w:w="992" w:type="dxa"/>
          </w:tcPr>
          <w:p w14:paraId="28C1CD67" w14:textId="77777777" w:rsidR="00F90B0B" w:rsidRPr="00C9343F" w:rsidRDefault="00F90B0B" w:rsidP="00F66D98">
            <w:pPr>
              <w:pStyle w:val="BlockText-Plain"/>
            </w:pPr>
          </w:p>
        </w:tc>
        <w:tc>
          <w:tcPr>
            <w:tcW w:w="567" w:type="dxa"/>
          </w:tcPr>
          <w:p w14:paraId="2DF1B898" w14:textId="77777777" w:rsidR="00F90B0B" w:rsidRPr="00C9343F" w:rsidRDefault="00F90B0B" w:rsidP="00005033">
            <w:pPr>
              <w:pStyle w:val="BlockText-Plain"/>
              <w:jc w:val="center"/>
            </w:pPr>
            <w:r w:rsidRPr="00C9343F">
              <w:t>b.</w:t>
            </w:r>
          </w:p>
        </w:tc>
        <w:tc>
          <w:tcPr>
            <w:tcW w:w="7800" w:type="dxa"/>
          </w:tcPr>
          <w:p w14:paraId="2D436055" w14:textId="77777777" w:rsidR="00F90B0B" w:rsidRPr="00C9343F" w:rsidRDefault="00F90B0B" w:rsidP="00F66D98">
            <w:pPr>
              <w:pStyle w:val="Sectiontext0"/>
              <w:spacing w:line="256" w:lineRule="auto"/>
              <w:rPr>
                <w:rFonts w:cs="Arial"/>
                <w:lang w:eastAsia="en-US"/>
              </w:rPr>
            </w:pPr>
            <w:r w:rsidRPr="00C9343F">
              <w:rPr>
                <w:rFonts w:cs="Arial"/>
                <w:lang w:eastAsia="en-US"/>
              </w:rPr>
              <w:t>Director Community Engagement.</w:t>
            </w:r>
          </w:p>
        </w:tc>
      </w:tr>
      <w:tr w:rsidR="00F90B0B" w:rsidRPr="00C9343F" w14:paraId="1519CCC5" w14:textId="77777777" w:rsidTr="00005033">
        <w:trPr>
          <w:cantSplit/>
        </w:trPr>
        <w:tc>
          <w:tcPr>
            <w:tcW w:w="992" w:type="dxa"/>
          </w:tcPr>
          <w:p w14:paraId="269B2CBC" w14:textId="77777777" w:rsidR="00F90B0B" w:rsidRPr="00C9343F" w:rsidRDefault="00F90B0B" w:rsidP="00F66D98">
            <w:pPr>
              <w:pStyle w:val="BlockText-Plain"/>
            </w:pPr>
          </w:p>
        </w:tc>
        <w:tc>
          <w:tcPr>
            <w:tcW w:w="567" w:type="dxa"/>
          </w:tcPr>
          <w:p w14:paraId="2A0FEDFB" w14:textId="77777777" w:rsidR="00F90B0B" w:rsidRPr="00C9343F" w:rsidRDefault="00F90B0B" w:rsidP="00005033">
            <w:pPr>
              <w:pStyle w:val="BlockText-Plain"/>
              <w:jc w:val="center"/>
            </w:pPr>
            <w:r w:rsidRPr="00C9343F">
              <w:t>c.</w:t>
            </w:r>
          </w:p>
        </w:tc>
        <w:tc>
          <w:tcPr>
            <w:tcW w:w="7800" w:type="dxa"/>
          </w:tcPr>
          <w:p w14:paraId="40298D2D" w14:textId="77777777" w:rsidR="00F90B0B" w:rsidRPr="00C9343F" w:rsidRDefault="00F90B0B" w:rsidP="00F66D98">
            <w:pPr>
              <w:pStyle w:val="Sectiontext0"/>
              <w:spacing w:line="256" w:lineRule="auto"/>
              <w:rPr>
                <w:lang w:eastAsia="en-US"/>
              </w:rPr>
            </w:pPr>
            <w:r w:rsidRPr="00C9343F">
              <w:rPr>
                <w:rFonts w:cs="Arial"/>
                <w:lang w:eastAsia="en-US"/>
              </w:rPr>
              <w:t>Manager Community Support Programs.</w:t>
            </w:r>
          </w:p>
        </w:tc>
      </w:tr>
      <w:tr w:rsidR="00005033" w:rsidRPr="00C9343F" w14:paraId="3A0C34BC" w14:textId="77777777" w:rsidTr="00005033">
        <w:trPr>
          <w:cantSplit/>
        </w:trPr>
        <w:tc>
          <w:tcPr>
            <w:tcW w:w="992" w:type="dxa"/>
          </w:tcPr>
          <w:p w14:paraId="5AC26CE7" w14:textId="77777777" w:rsidR="00005033" w:rsidRPr="00C9343F" w:rsidRDefault="00005033" w:rsidP="00005033">
            <w:pPr>
              <w:pStyle w:val="BlockText-Plain"/>
            </w:pPr>
          </w:p>
        </w:tc>
        <w:tc>
          <w:tcPr>
            <w:tcW w:w="567" w:type="dxa"/>
          </w:tcPr>
          <w:p w14:paraId="6FD8CD88" w14:textId="42959407" w:rsidR="00005033" w:rsidRPr="00C9343F" w:rsidRDefault="00005033" w:rsidP="00005033">
            <w:pPr>
              <w:pStyle w:val="BlockText-Plain"/>
              <w:jc w:val="center"/>
            </w:pPr>
            <w:r w:rsidRPr="00C9343F">
              <w:t>d.</w:t>
            </w:r>
          </w:p>
        </w:tc>
        <w:tc>
          <w:tcPr>
            <w:tcW w:w="7800" w:type="dxa"/>
          </w:tcPr>
          <w:p w14:paraId="6B51BEA8" w14:textId="7F5CB94A" w:rsidR="00005033" w:rsidRPr="00C9343F" w:rsidRDefault="00005033" w:rsidP="00005033">
            <w:pPr>
              <w:pStyle w:val="Sectiontext0"/>
              <w:spacing w:line="256" w:lineRule="auto"/>
              <w:rPr>
                <w:rFonts w:cs="Arial"/>
                <w:lang w:eastAsia="en-US"/>
              </w:rPr>
            </w:pPr>
            <w:r w:rsidRPr="00C9343F">
              <w:rPr>
                <w:lang w:val="en"/>
              </w:rPr>
              <w:t>Executive Officer Community Support Programs.</w:t>
            </w:r>
          </w:p>
        </w:tc>
      </w:tr>
      <w:tr w:rsidR="00005033" w:rsidRPr="00C9343F" w14:paraId="53155593" w14:textId="77777777" w:rsidTr="00005033">
        <w:tc>
          <w:tcPr>
            <w:tcW w:w="992" w:type="dxa"/>
          </w:tcPr>
          <w:p w14:paraId="19D157BE" w14:textId="77777777" w:rsidR="00005033" w:rsidRPr="00C9343F" w:rsidRDefault="00005033" w:rsidP="00005033">
            <w:pPr>
              <w:pStyle w:val="BlockText-Plain"/>
              <w:jc w:val="center"/>
            </w:pPr>
            <w:r w:rsidRPr="00C9343F">
              <w:t>2.</w:t>
            </w:r>
          </w:p>
        </w:tc>
        <w:tc>
          <w:tcPr>
            <w:tcW w:w="8367" w:type="dxa"/>
            <w:gridSpan w:val="2"/>
          </w:tcPr>
          <w:p w14:paraId="0F1FD404" w14:textId="77777777" w:rsidR="00005033" w:rsidRPr="00C9343F" w:rsidRDefault="00005033" w:rsidP="00005033">
            <w:pPr>
              <w:pStyle w:val="BlockText-Plain"/>
            </w:pPr>
            <w:r w:rsidRPr="00C9343F">
              <w:t>A dependant with special needs is a person who meets both of the following conditions.</w:t>
            </w:r>
          </w:p>
        </w:tc>
      </w:tr>
      <w:tr w:rsidR="00005033" w:rsidRPr="00C9343F" w14:paraId="08022BC1" w14:textId="77777777" w:rsidTr="00005033">
        <w:trPr>
          <w:cantSplit/>
        </w:trPr>
        <w:tc>
          <w:tcPr>
            <w:tcW w:w="992" w:type="dxa"/>
          </w:tcPr>
          <w:p w14:paraId="7480C41D" w14:textId="77777777" w:rsidR="00005033" w:rsidRPr="00C9343F" w:rsidRDefault="00005033" w:rsidP="00005033">
            <w:pPr>
              <w:pStyle w:val="BlockText-Plain"/>
            </w:pPr>
          </w:p>
        </w:tc>
        <w:tc>
          <w:tcPr>
            <w:tcW w:w="567" w:type="dxa"/>
          </w:tcPr>
          <w:p w14:paraId="0AF072F7" w14:textId="77777777" w:rsidR="00005033" w:rsidRPr="00C9343F" w:rsidRDefault="00005033" w:rsidP="00005033">
            <w:pPr>
              <w:pStyle w:val="BlockText-Plain"/>
              <w:jc w:val="center"/>
            </w:pPr>
            <w:r w:rsidRPr="00C9343F">
              <w:t>a.</w:t>
            </w:r>
          </w:p>
        </w:tc>
        <w:tc>
          <w:tcPr>
            <w:tcW w:w="7800" w:type="dxa"/>
          </w:tcPr>
          <w:p w14:paraId="45772CE5" w14:textId="77777777" w:rsidR="00005033" w:rsidRPr="00C9343F" w:rsidRDefault="00005033" w:rsidP="00005033">
            <w:pPr>
              <w:pStyle w:val="BlockText-Plain"/>
            </w:pPr>
            <w:r w:rsidRPr="00C9343F">
              <w:t>The decision maker has recognised the person for Defence benefit purposes under subsection 4.</w:t>
            </w:r>
          </w:p>
        </w:tc>
      </w:tr>
      <w:tr w:rsidR="00005033" w:rsidRPr="00C9343F" w14:paraId="4E5F647A" w14:textId="77777777" w:rsidTr="00005033">
        <w:trPr>
          <w:cantSplit/>
        </w:trPr>
        <w:tc>
          <w:tcPr>
            <w:tcW w:w="992" w:type="dxa"/>
          </w:tcPr>
          <w:p w14:paraId="5655476E" w14:textId="77777777" w:rsidR="00005033" w:rsidRPr="00C9343F" w:rsidRDefault="00005033" w:rsidP="00005033">
            <w:pPr>
              <w:pStyle w:val="BlockText-Plain"/>
            </w:pPr>
          </w:p>
        </w:tc>
        <w:tc>
          <w:tcPr>
            <w:tcW w:w="567" w:type="dxa"/>
          </w:tcPr>
          <w:p w14:paraId="20A22945" w14:textId="77777777" w:rsidR="00005033" w:rsidRPr="00C9343F" w:rsidRDefault="00005033" w:rsidP="00005033">
            <w:pPr>
              <w:pStyle w:val="BlockText-Plain"/>
              <w:jc w:val="center"/>
            </w:pPr>
            <w:r w:rsidRPr="00C9343F">
              <w:t>b.</w:t>
            </w:r>
          </w:p>
        </w:tc>
        <w:tc>
          <w:tcPr>
            <w:tcW w:w="7800" w:type="dxa"/>
          </w:tcPr>
          <w:p w14:paraId="0815FB89" w14:textId="77777777" w:rsidR="00005033" w:rsidRPr="00C9343F" w:rsidRDefault="00005033" w:rsidP="00005033">
            <w:pPr>
              <w:pStyle w:val="BlockText-Plain"/>
            </w:pPr>
            <w:r w:rsidRPr="00C9343F">
              <w:t>The dependant has been assessed or recognised for the purpose of a condition, in accordance with the following table.</w:t>
            </w:r>
          </w:p>
        </w:tc>
      </w:tr>
    </w:tbl>
    <w:p w14:paraId="3C9E6E84" w14:textId="77777777" w:rsidR="00CA709C" w:rsidRPr="00C9343F" w:rsidRDefault="00CA709C" w:rsidP="00F66D98"/>
    <w:tbl>
      <w:tblPr>
        <w:tblW w:w="0" w:type="auto"/>
        <w:jc w:val="center"/>
        <w:tblLayout w:type="fixed"/>
        <w:tblCellMar>
          <w:left w:w="56" w:type="dxa"/>
          <w:right w:w="56" w:type="dxa"/>
        </w:tblCellMar>
        <w:tblLook w:val="0000" w:firstRow="0" w:lastRow="0" w:firstColumn="0" w:lastColumn="0" w:noHBand="0" w:noVBand="0"/>
      </w:tblPr>
      <w:tblGrid>
        <w:gridCol w:w="567"/>
        <w:gridCol w:w="2552"/>
        <w:gridCol w:w="355"/>
        <w:gridCol w:w="2480"/>
        <w:gridCol w:w="355"/>
        <w:gridCol w:w="2905"/>
      </w:tblGrid>
      <w:tr w:rsidR="00CA709C" w:rsidRPr="00C9343F" w14:paraId="3AFA8C3F" w14:textId="77777777" w:rsidTr="00610581">
        <w:trPr>
          <w:cantSplit/>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502A1C2" w14:textId="77777777" w:rsidR="00CA709C" w:rsidRPr="00C9343F" w:rsidRDefault="00CA709C" w:rsidP="00F66D98">
            <w:pPr>
              <w:pStyle w:val="TableHeaderArial"/>
              <w:jc w:val="left"/>
            </w:pPr>
            <w:r w:rsidRPr="00C9343F">
              <w:rPr>
                <w:b w:val="0"/>
                <w:sz w:val="22"/>
              </w:rPr>
              <w:br w:type="page"/>
            </w:r>
            <w:r w:rsidRPr="00C9343F">
              <w:br w:type="page"/>
              <w:t>Item</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71046737" w14:textId="77777777" w:rsidR="00CA709C" w:rsidRPr="00C9343F" w:rsidRDefault="00CA709C" w:rsidP="00F66D98">
            <w:pPr>
              <w:pStyle w:val="TableHeaderArial"/>
            </w:pPr>
            <w:r w:rsidRPr="00C9343F">
              <w:t>Special needs condition</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14:paraId="50F89DB8" w14:textId="77777777" w:rsidR="00CA709C" w:rsidRPr="00C9343F" w:rsidRDefault="00CA709C" w:rsidP="00F66D98">
            <w:pPr>
              <w:pStyle w:val="TableHeaderArial"/>
            </w:pPr>
            <w:r w:rsidRPr="00C9343F">
              <w:t>Person who must assess or recognise the condition</w:t>
            </w: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tcPr>
          <w:p w14:paraId="6CC775AE" w14:textId="77777777" w:rsidR="00CA709C" w:rsidRPr="00C9343F" w:rsidRDefault="00CA709C" w:rsidP="00F66D98">
            <w:pPr>
              <w:pStyle w:val="TableHeaderArial"/>
            </w:pPr>
            <w:r w:rsidRPr="00C9343F">
              <w:t>The dependant must meet these qualifying criteria</w:t>
            </w:r>
          </w:p>
        </w:tc>
      </w:tr>
      <w:tr w:rsidR="00CA709C" w:rsidRPr="00C9343F" w14:paraId="3130D101" w14:textId="77777777" w:rsidTr="00610581">
        <w:trPr>
          <w:cantSplit/>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8E3266D" w14:textId="77777777" w:rsidR="00CA709C" w:rsidRPr="00C9343F" w:rsidRDefault="00CA709C" w:rsidP="00F66D98">
            <w:pPr>
              <w:pStyle w:val="TableBullet1"/>
              <w:numPr>
                <w:ilvl w:val="0"/>
                <w:numId w:val="0"/>
              </w:numPr>
              <w:spacing w:before="20" w:after="20"/>
              <w:jc w:val="center"/>
            </w:pPr>
            <w:r w:rsidRPr="00C9343F">
              <w:t>1.</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7D45FFC2" w14:textId="77777777" w:rsidR="00CA709C" w:rsidRPr="00C9343F" w:rsidRDefault="00CA709C" w:rsidP="00F66D98">
            <w:pPr>
              <w:pStyle w:val="TableBullet1"/>
              <w:numPr>
                <w:ilvl w:val="0"/>
                <w:numId w:val="0"/>
              </w:numPr>
              <w:spacing w:before="20" w:after="20"/>
            </w:pPr>
            <w:r w:rsidRPr="00C9343F">
              <w:t>Physical.</w:t>
            </w:r>
          </w:p>
        </w:tc>
        <w:tc>
          <w:tcPr>
            <w:tcW w:w="2835" w:type="dxa"/>
            <w:gridSpan w:val="2"/>
            <w:vMerge w:val="restart"/>
            <w:tcBorders>
              <w:top w:val="single" w:sz="6" w:space="0" w:color="auto"/>
              <w:left w:val="single" w:sz="6" w:space="0" w:color="auto"/>
              <w:right w:val="single" w:sz="6" w:space="0" w:color="auto"/>
            </w:tcBorders>
            <w:shd w:val="clear" w:color="auto" w:fill="auto"/>
          </w:tcPr>
          <w:p w14:paraId="01719F5B" w14:textId="77777777" w:rsidR="00CA709C" w:rsidRPr="00C9343F" w:rsidRDefault="00CA709C" w:rsidP="00F66D98">
            <w:pPr>
              <w:pStyle w:val="TableBullet1"/>
              <w:numPr>
                <w:ilvl w:val="0"/>
                <w:numId w:val="0"/>
              </w:numPr>
              <w:tabs>
                <w:tab w:val="left" w:pos="0"/>
              </w:tabs>
              <w:spacing w:before="20" w:after="20"/>
              <w:ind w:left="-6" w:firstLine="6"/>
            </w:pPr>
            <w:r w:rsidRPr="00C9343F">
              <w:t>A specialist medical practitioner.</w:t>
            </w:r>
          </w:p>
        </w:tc>
        <w:tc>
          <w:tcPr>
            <w:tcW w:w="3260" w:type="dxa"/>
            <w:gridSpan w:val="2"/>
            <w:vMerge w:val="restart"/>
            <w:tcBorders>
              <w:top w:val="single" w:sz="6" w:space="0" w:color="auto"/>
              <w:left w:val="single" w:sz="6" w:space="0" w:color="auto"/>
              <w:right w:val="single" w:sz="6" w:space="0" w:color="auto"/>
            </w:tcBorders>
            <w:shd w:val="clear" w:color="auto" w:fill="auto"/>
          </w:tcPr>
          <w:p w14:paraId="7EFB0C7E" w14:textId="77777777" w:rsidR="00CA709C" w:rsidRPr="00C9343F" w:rsidRDefault="00CA709C" w:rsidP="00F66D98">
            <w:pPr>
              <w:pStyle w:val="TableTextArial-left"/>
            </w:pPr>
            <w:r w:rsidRPr="00C9343F">
              <w:t xml:space="preserve">Not applicable. </w:t>
            </w:r>
          </w:p>
          <w:p w14:paraId="001B44F3" w14:textId="77777777" w:rsidR="00CA709C" w:rsidRPr="00C9343F" w:rsidRDefault="00CA709C" w:rsidP="00F66D98">
            <w:pPr>
              <w:pStyle w:val="TableTextArial-left"/>
            </w:pPr>
          </w:p>
        </w:tc>
      </w:tr>
      <w:tr w:rsidR="00CA709C" w:rsidRPr="00C9343F" w14:paraId="79092A49" w14:textId="77777777" w:rsidTr="00610581">
        <w:trPr>
          <w:cantSplit/>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8CEEC15" w14:textId="77777777" w:rsidR="00CA709C" w:rsidRPr="00C9343F" w:rsidRDefault="00CA709C" w:rsidP="00F66D98">
            <w:pPr>
              <w:pStyle w:val="TableBullet1"/>
              <w:numPr>
                <w:ilvl w:val="0"/>
                <w:numId w:val="0"/>
              </w:numPr>
              <w:spacing w:before="20" w:after="20"/>
              <w:jc w:val="center"/>
            </w:pPr>
            <w:r w:rsidRPr="00C9343F">
              <w:t>2.</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7543A5E3" w14:textId="77777777" w:rsidR="00CA709C" w:rsidRPr="00C9343F" w:rsidRDefault="00CA709C" w:rsidP="00F66D98">
            <w:pPr>
              <w:pStyle w:val="TableBullet1"/>
              <w:numPr>
                <w:ilvl w:val="0"/>
                <w:numId w:val="0"/>
              </w:numPr>
              <w:spacing w:before="20" w:after="20"/>
            </w:pPr>
            <w:r w:rsidRPr="00C9343F">
              <w:t>Intellectual.</w:t>
            </w:r>
          </w:p>
        </w:tc>
        <w:tc>
          <w:tcPr>
            <w:tcW w:w="2835" w:type="dxa"/>
            <w:gridSpan w:val="2"/>
            <w:vMerge/>
            <w:tcBorders>
              <w:left w:val="single" w:sz="6" w:space="0" w:color="auto"/>
              <w:right w:val="single" w:sz="6" w:space="0" w:color="auto"/>
            </w:tcBorders>
            <w:shd w:val="clear" w:color="auto" w:fill="auto"/>
          </w:tcPr>
          <w:p w14:paraId="3F3FE183" w14:textId="77777777" w:rsidR="00CA709C" w:rsidRPr="00C9343F" w:rsidRDefault="00CA709C" w:rsidP="00F66D98">
            <w:pPr>
              <w:pStyle w:val="TableBullet1"/>
              <w:numPr>
                <w:ilvl w:val="0"/>
                <w:numId w:val="0"/>
              </w:numPr>
              <w:spacing w:before="20" w:after="20"/>
            </w:pPr>
          </w:p>
        </w:tc>
        <w:tc>
          <w:tcPr>
            <w:tcW w:w="3260" w:type="dxa"/>
            <w:gridSpan w:val="2"/>
            <w:vMerge/>
            <w:tcBorders>
              <w:left w:val="single" w:sz="6" w:space="0" w:color="auto"/>
              <w:right w:val="single" w:sz="6" w:space="0" w:color="auto"/>
            </w:tcBorders>
            <w:shd w:val="clear" w:color="auto" w:fill="auto"/>
          </w:tcPr>
          <w:p w14:paraId="10BB35BC" w14:textId="77777777" w:rsidR="00CA709C" w:rsidRPr="00C9343F" w:rsidRDefault="00CA709C" w:rsidP="00F66D98">
            <w:pPr>
              <w:pStyle w:val="TableTextArial-left"/>
            </w:pPr>
          </w:p>
        </w:tc>
      </w:tr>
      <w:tr w:rsidR="00CA709C" w:rsidRPr="00C9343F" w14:paraId="07C29F86" w14:textId="77777777" w:rsidTr="00610581">
        <w:trPr>
          <w:cantSplit/>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14:paraId="6FA82D2D" w14:textId="77777777" w:rsidR="00CA709C" w:rsidRPr="00C9343F" w:rsidRDefault="00CA709C" w:rsidP="00F66D98">
            <w:pPr>
              <w:pStyle w:val="TableBullet1"/>
              <w:numPr>
                <w:ilvl w:val="0"/>
                <w:numId w:val="0"/>
              </w:numPr>
              <w:spacing w:before="20" w:after="20"/>
              <w:jc w:val="center"/>
            </w:pPr>
            <w:r w:rsidRPr="00C9343F">
              <w:t>3.</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1D9FE87" w14:textId="77777777" w:rsidR="00CA709C" w:rsidRPr="00C9343F" w:rsidRDefault="00CA709C" w:rsidP="00F66D98">
            <w:pPr>
              <w:pStyle w:val="TableBullet1"/>
              <w:numPr>
                <w:ilvl w:val="0"/>
                <w:numId w:val="0"/>
              </w:numPr>
              <w:spacing w:before="20" w:after="20"/>
            </w:pPr>
            <w:r w:rsidRPr="00C9343F">
              <w:t>Sensory.</w:t>
            </w:r>
          </w:p>
        </w:tc>
        <w:tc>
          <w:tcPr>
            <w:tcW w:w="2835" w:type="dxa"/>
            <w:gridSpan w:val="2"/>
            <w:vMerge/>
            <w:tcBorders>
              <w:left w:val="single" w:sz="6" w:space="0" w:color="auto"/>
              <w:right w:val="single" w:sz="6" w:space="0" w:color="auto"/>
            </w:tcBorders>
            <w:shd w:val="clear" w:color="auto" w:fill="auto"/>
          </w:tcPr>
          <w:p w14:paraId="4306392A" w14:textId="77777777" w:rsidR="00CA709C" w:rsidRPr="00C9343F" w:rsidRDefault="00CA709C" w:rsidP="00F66D98">
            <w:pPr>
              <w:pStyle w:val="TableBullet1"/>
              <w:numPr>
                <w:ilvl w:val="0"/>
                <w:numId w:val="0"/>
              </w:numPr>
              <w:spacing w:before="20" w:after="20"/>
            </w:pPr>
          </w:p>
        </w:tc>
        <w:tc>
          <w:tcPr>
            <w:tcW w:w="3260" w:type="dxa"/>
            <w:gridSpan w:val="2"/>
            <w:vMerge/>
            <w:tcBorders>
              <w:left w:val="single" w:sz="6" w:space="0" w:color="auto"/>
              <w:right w:val="single" w:sz="6" w:space="0" w:color="auto"/>
            </w:tcBorders>
            <w:shd w:val="clear" w:color="auto" w:fill="auto"/>
          </w:tcPr>
          <w:p w14:paraId="60CBDBF8" w14:textId="77777777" w:rsidR="00CA709C" w:rsidRPr="00C9343F" w:rsidRDefault="00CA709C" w:rsidP="00F66D98">
            <w:pPr>
              <w:pStyle w:val="TableTextArial-left"/>
            </w:pPr>
          </w:p>
        </w:tc>
      </w:tr>
      <w:tr w:rsidR="00CA709C" w:rsidRPr="00C9343F" w14:paraId="00F368A1" w14:textId="77777777" w:rsidTr="00610581">
        <w:trPr>
          <w:cantSplit/>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14:paraId="506E96C5" w14:textId="77777777" w:rsidR="00CA709C" w:rsidRPr="00C9343F" w:rsidRDefault="00CA709C" w:rsidP="00F66D98">
            <w:pPr>
              <w:pStyle w:val="TableBullet1"/>
              <w:numPr>
                <w:ilvl w:val="0"/>
                <w:numId w:val="0"/>
              </w:numPr>
              <w:spacing w:before="20" w:after="20"/>
              <w:jc w:val="center"/>
            </w:pPr>
            <w:r w:rsidRPr="00C9343F">
              <w:t>4.</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D9ADB28" w14:textId="77777777" w:rsidR="00CA709C" w:rsidRPr="00C9343F" w:rsidRDefault="00CA709C" w:rsidP="00F66D98">
            <w:pPr>
              <w:pStyle w:val="TableBullet1"/>
              <w:numPr>
                <w:ilvl w:val="0"/>
                <w:numId w:val="0"/>
              </w:numPr>
              <w:spacing w:before="20" w:after="20"/>
            </w:pPr>
            <w:r w:rsidRPr="00C9343F">
              <w:t>Multiple impairments.</w:t>
            </w:r>
          </w:p>
        </w:tc>
        <w:tc>
          <w:tcPr>
            <w:tcW w:w="2835" w:type="dxa"/>
            <w:gridSpan w:val="2"/>
            <w:vMerge/>
            <w:tcBorders>
              <w:left w:val="single" w:sz="6" w:space="0" w:color="auto"/>
              <w:right w:val="single" w:sz="6" w:space="0" w:color="auto"/>
            </w:tcBorders>
            <w:shd w:val="clear" w:color="auto" w:fill="auto"/>
          </w:tcPr>
          <w:p w14:paraId="78D67454" w14:textId="77777777" w:rsidR="00CA709C" w:rsidRPr="00C9343F" w:rsidRDefault="00CA709C" w:rsidP="00F66D98">
            <w:pPr>
              <w:pStyle w:val="TableBullet1"/>
              <w:numPr>
                <w:ilvl w:val="0"/>
                <w:numId w:val="0"/>
              </w:numPr>
              <w:spacing w:before="20" w:after="20"/>
            </w:pPr>
          </w:p>
        </w:tc>
        <w:tc>
          <w:tcPr>
            <w:tcW w:w="3260" w:type="dxa"/>
            <w:gridSpan w:val="2"/>
            <w:vMerge/>
            <w:tcBorders>
              <w:left w:val="single" w:sz="6" w:space="0" w:color="auto"/>
              <w:right w:val="single" w:sz="6" w:space="0" w:color="auto"/>
            </w:tcBorders>
            <w:shd w:val="clear" w:color="auto" w:fill="auto"/>
          </w:tcPr>
          <w:p w14:paraId="5639C2CF" w14:textId="77777777" w:rsidR="00CA709C" w:rsidRPr="00C9343F" w:rsidRDefault="00CA709C" w:rsidP="00F66D98">
            <w:pPr>
              <w:pStyle w:val="TableTextArial-left"/>
            </w:pPr>
          </w:p>
        </w:tc>
      </w:tr>
      <w:tr w:rsidR="00CA709C" w:rsidRPr="00C9343F" w14:paraId="752505F4" w14:textId="77777777" w:rsidTr="00610581">
        <w:trPr>
          <w:cantSplit/>
          <w:jc w:val="center"/>
        </w:trPr>
        <w:tc>
          <w:tcPr>
            <w:tcW w:w="567" w:type="dxa"/>
            <w:tcBorders>
              <w:top w:val="nil"/>
              <w:left w:val="single" w:sz="6" w:space="0" w:color="auto"/>
              <w:bottom w:val="single" w:sz="6" w:space="0" w:color="auto"/>
              <w:right w:val="single" w:sz="6" w:space="0" w:color="auto"/>
            </w:tcBorders>
            <w:shd w:val="clear" w:color="auto" w:fill="auto"/>
          </w:tcPr>
          <w:p w14:paraId="15018B68" w14:textId="77777777" w:rsidR="00CA709C" w:rsidRPr="00C9343F" w:rsidRDefault="00CA709C" w:rsidP="00F66D98">
            <w:pPr>
              <w:pStyle w:val="TableBullet1"/>
              <w:numPr>
                <w:ilvl w:val="0"/>
                <w:numId w:val="0"/>
              </w:numPr>
              <w:spacing w:before="20" w:after="20"/>
              <w:jc w:val="center"/>
            </w:pPr>
            <w:r w:rsidRPr="00C9343F">
              <w:t>5.</w:t>
            </w:r>
          </w:p>
        </w:tc>
        <w:tc>
          <w:tcPr>
            <w:tcW w:w="2552" w:type="dxa"/>
            <w:tcBorders>
              <w:top w:val="nil"/>
              <w:left w:val="single" w:sz="6" w:space="0" w:color="auto"/>
              <w:bottom w:val="single" w:sz="6" w:space="0" w:color="auto"/>
              <w:right w:val="single" w:sz="6" w:space="0" w:color="auto"/>
            </w:tcBorders>
            <w:shd w:val="clear" w:color="auto" w:fill="auto"/>
          </w:tcPr>
          <w:p w14:paraId="774DE0FB" w14:textId="77777777" w:rsidR="00CA709C" w:rsidRPr="00C9343F" w:rsidRDefault="00CA709C" w:rsidP="00F66D98">
            <w:pPr>
              <w:pStyle w:val="TableTextArial-left"/>
            </w:pPr>
            <w:r w:rsidRPr="00C9343F">
              <w:t>Medical condition, illness or disability.</w:t>
            </w:r>
          </w:p>
        </w:tc>
        <w:tc>
          <w:tcPr>
            <w:tcW w:w="2835" w:type="dxa"/>
            <w:gridSpan w:val="2"/>
            <w:vMerge/>
            <w:tcBorders>
              <w:left w:val="single" w:sz="6" w:space="0" w:color="auto"/>
              <w:bottom w:val="single" w:sz="6" w:space="0" w:color="auto"/>
              <w:right w:val="single" w:sz="6" w:space="0" w:color="auto"/>
            </w:tcBorders>
            <w:shd w:val="clear" w:color="auto" w:fill="auto"/>
          </w:tcPr>
          <w:p w14:paraId="01BCFE7A" w14:textId="77777777" w:rsidR="00CA709C" w:rsidRPr="00C9343F" w:rsidRDefault="00CA709C" w:rsidP="00F66D98">
            <w:pPr>
              <w:pStyle w:val="TableTextArial-left"/>
            </w:pPr>
          </w:p>
        </w:tc>
        <w:tc>
          <w:tcPr>
            <w:tcW w:w="3260" w:type="dxa"/>
            <w:gridSpan w:val="2"/>
            <w:vMerge/>
            <w:tcBorders>
              <w:left w:val="single" w:sz="6" w:space="0" w:color="auto"/>
              <w:right w:val="single" w:sz="6" w:space="0" w:color="auto"/>
            </w:tcBorders>
            <w:shd w:val="clear" w:color="auto" w:fill="auto"/>
          </w:tcPr>
          <w:p w14:paraId="4A7B3ECC" w14:textId="77777777" w:rsidR="00CA709C" w:rsidRPr="00C9343F" w:rsidRDefault="00CA709C" w:rsidP="00F66D98">
            <w:pPr>
              <w:pStyle w:val="TableTextArial-left"/>
              <w:jc w:val="center"/>
            </w:pPr>
          </w:p>
        </w:tc>
      </w:tr>
      <w:tr w:rsidR="00CA709C" w:rsidRPr="00C9343F" w14:paraId="0DF27559" w14:textId="77777777" w:rsidTr="00610581">
        <w:trPr>
          <w:cantSplit/>
          <w:trHeight w:val="201"/>
          <w:jc w:val="center"/>
        </w:trPr>
        <w:tc>
          <w:tcPr>
            <w:tcW w:w="567" w:type="dxa"/>
            <w:vMerge w:val="restart"/>
            <w:tcBorders>
              <w:top w:val="single" w:sz="6" w:space="0" w:color="auto"/>
              <w:left w:val="single" w:sz="6" w:space="0" w:color="auto"/>
              <w:right w:val="single" w:sz="6" w:space="0" w:color="auto"/>
            </w:tcBorders>
            <w:shd w:val="clear" w:color="auto" w:fill="auto"/>
          </w:tcPr>
          <w:p w14:paraId="28625D6D" w14:textId="77777777" w:rsidR="00CA709C" w:rsidRPr="00C9343F" w:rsidRDefault="00CA709C" w:rsidP="00F66D98">
            <w:pPr>
              <w:pStyle w:val="TableBullet1"/>
              <w:numPr>
                <w:ilvl w:val="0"/>
                <w:numId w:val="0"/>
              </w:numPr>
              <w:spacing w:before="20" w:after="20"/>
              <w:jc w:val="center"/>
            </w:pPr>
            <w:r w:rsidRPr="00C9343F">
              <w:t>6.</w:t>
            </w:r>
          </w:p>
        </w:tc>
        <w:tc>
          <w:tcPr>
            <w:tcW w:w="2552" w:type="dxa"/>
            <w:vMerge w:val="restart"/>
            <w:tcBorders>
              <w:top w:val="single" w:sz="6" w:space="0" w:color="auto"/>
              <w:left w:val="single" w:sz="6" w:space="0" w:color="auto"/>
              <w:right w:val="single" w:sz="6" w:space="0" w:color="auto"/>
            </w:tcBorders>
            <w:shd w:val="clear" w:color="auto" w:fill="auto"/>
          </w:tcPr>
          <w:p w14:paraId="60A6D4C5" w14:textId="77777777" w:rsidR="00CA709C" w:rsidRPr="00C9343F" w:rsidRDefault="00CA709C" w:rsidP="00F66D98">
            <w:pPr>
              <w:pStyle w:val="TableBullet1"/>
              <w:numPr>
                <w:ilvl w:val="0"/>
                <w:numId w:val="0"/>
              </w:numPr>
              <w:spacing w:before="20" w:after="20"/>
            </w:pPr>
            <w:r w:rsidRPr="00C9343F">
              <w:t>Speech or language disorders.</w:t>
            </w:r>
          </w:p>
        </w:tc>
        <w:tc>
          <w:tcPr>
            <w:tcW w:w="2835" w:type="dxa"/>
            <w:gridSpan w:val="2"/>
            <w:tcBorders>
              <w:top w:val="single" w:sz="6" w:space="0" w:color="auto"/>
              <w:left w:val="single" w:sz="6" w:space="0" w:color="auto"/>
              <w:right w:val="single" w:sz="6" w:space="0" w:color="auto"/>
            </w:tcBorders>
            <w:shd w:val="clear" w:color="auto" w:fill="auto"/>
          </w:tcPr>
          <w:p w14:paraId="7B3D6FEA" w14:textId="77777777" w:rsidR="00CA709C" w:rsidRPr="00C9343F" w:rsidRDefault="00CA709C" w:rsidP="00F66D98">
            <w:pPr>
              <w:pStyle w:val="TableTextArial-left"/>
            </w:pPr>
            <w:r w:rsidRPr="00C9343F">
              <w:t>Either of the following.</w:t>
            </w:r>
          </w:p>
        </w:tc>
        <w:tc>
          <w:tcPr>
            <w:tcW w:w="3260" w:type="dxa"/>
            <w:gridSpan w:val="2"/>
            <w:vMerge/>
            <w:tcBorders>
              <w:left w:val="single" w:sz="6" w:space="0" w:color="auto"/>
              <w:right w:val="single" w:sz="6" w:space="0" w:color="auto"/>
            </w:tcBorders>
            <w:shd w:val="clear" w:color="auto" w:fill="auto"/>
          </w:tcPr>
          <w:p w14:paraId="7EFB68DA" w14:textId="77777777" w:rsidR="00CA709C" w:rsidRPr="00C9343F" w:rsidRDefault="00CA709C" w:rsidP="00F66D98">
            <w:pPr>
              <w:pStyle w:val="TableTextArial-left"/>
            </w:pPr>
          </w:p>
        </w:tc>
      </w:tr>
      <w:tr w:rsidR="00CA709C" w:rsidRPr="00C9343F" w14:paraId="0AC2F435" w14:textId="77777777" w:rsidTr="00610581">
        <w:trPr>
          <w:cantSplit/>
          <w:trHeight w:val="201"/>
          <w:jc w:val="center"/>
        </w:trPr>
        <w:tc>
          <w:tcPr>
            <w:tcW w:w="567" w:type="dxa"/>
            <w:vMerge/>
            <w:tcBorders>
              <w:left w:val="single" w:sz="6" w:space="0" w:color="auto"/>
              <w:right w:val="single" w:sz="6" w:space="0" w:color="auto"/>
            </w:tcBorders>
            <w:shd w:val="clear" w:color="auto" w:fill="auto"/>
          </w:tcPr>
          <w:p w14:paraId="298C9E71" w14:textId="77777777" w:rsidR="00CA709C" w:rsidRPr="00C9343F" w:rsidRDefault="00CA709C" w:rsidP="00F66D98">
            <w:pPr>
              <w:pStyle w:val="TableBullet1"/>
              <w:numPr>
                <w:ilvl w:val="0"/>
                <w:numId w:val="0"/>
              </w:numPr>
              <w:spacing w:before="20" w:after="20"/>
              <w:jc w:val="center"/>
            </w:pPr>
          </w:p>
        </w:tc>
        <w:tc>
          <w:tcPr>
            <w:tcW w:w="2552" w:type="dxa"/>
            <w:vMerge/>
            <w:tcBorders>
              <w:left w:val="single" w:sz="6" w:space="0" w:color="auto"/>
              <w:right w:val="single" w:sz="6" w:space="0" w:color="auto"/>
            </w:tcBorders>
            <w:shd w:val="clear" w:color="auto" w:fill="auto"/>
          </w:tcPr>
          <w:p w14:paraId="12A716FE" w14:textId="77777777" w:rsidR="00CA709C" w:rsidRPr="00C9343F" w:rsidRDefault="00CA709C" w:rsidP="00F66D98">
            <w:pPr>
              <w:pStyle w:val="TableBullet1"/>
              <w:numPr>
                <w:ilvl w:val="0"/>
                <w:numId w:val="0"/>
              </w:numPr>
              <w:spacing w:before="20" w:after="20"/>
            </w:pPr>
          </w:p>
        </w:tc>
        <w:tc>
          <w:tcPr>
            <w:tcW w:w="355" w:type="dxa"/>
            <w:tcBorders>
              <w:left w:val="single" w:sz="6" w:space="0" w:color="auto"/>
            </w:tcBorders>
            <w:shd w:val="clear" w:color="auto" w:fill="auto"/>
          </w:tcPr>
          <w:p w14:paraId="2F29BBC2" w14:textId="77777777" w:rsidR="00CA709C" w:rsidRPr="00C9343F" w:rsidRDefault="00CA709C" w:rsidP="00F66D98">
            <w:pPr>
              <w:pStyle w:val="TableTextArial-left"/>
            </w:pPr>
            <w:r w:rsidRPr="00C9343F">
              <w:t>a.</w:t>
            </w:r>
          </w:p>
        </w:tc>
        <w:tc>
          <w:tcPr>
            <w:tcW w:w="2480" w:type="dxa"/>
            <w:tcBorders>
              <w:right w:val="single" w:sz="6" w:space="0" w:color="auto"/>
            </w:tcBorders>
            <w:shd w:val="clear" w:color="auto" w:fill="auto"/>
          </w:tcPr>
          <w:p w14:paraId="6F14BEC4" w14:textId="77777777" w:rsidR="00CA709C" w:rsidRPr="00C9343F" w:rsidRDefault="00CA709C" w:rsidP="00F66D98">
            <w:pPr>
              <w:pStyle w:val="TableTextArial-left"/>
            </w:pPr>
            <w:r w:rsidRPr="00C9343F">
              <w:t>A specialist medical practitioner.</w:t>
            </w:r>
          </w:p>
        </w:tc>
        <w:tc>
          <w:tcPr>
            <w:tcW w:w="3260" w:type="dxa"/>
            <w:gridSpan w:val="2"/>
            <w:vMerge/>
            <w:tcBorders>
              <w:left w:val="single" w:sz="6" w:space="0" w:color="auto"/>
              <w:right w:val="single" w:sz="6" w:space="0" w:color="auto"/>
            </w:tcBorders>
            <w:shd w:val="clear" w:color="auto" w:fill="auto"/>
          </w:tcPr>
          <w:p w14:paraId="09E75560" w14:textId="77777777" w:rsidR="00CA709C" w:rsidRPr="00C9343F" w:rsidRDefault="00CA709C" w:rsidP="00F66D98">
            <w:pPr>
              <w:pStyle w:val="TableTextArial-left"/>
            </w:pPr>
          </w:p>
        </w:tc>
      </w:tr>
      <w:tr w:rsidR="00CA709C" w:rsidRPr="00C9343F" w14:paraId="369E0697" w14:textId="77777777" w:rsidTr="00610581">
        <w:trPr>
          <w:cantSplit/>
          <w:trHeight w:val="201"/>
          <w:jc w:val="center"/>
        </w:trPr>
        <w:tc>
          <w:tcPr>
            <w:tcW w:w="567" w:type="dxa"/>
            <w:vMerge/>
            <w:tcBorders>
              <w:left w:val="single" w:sz="6" w:space="0" w:color="auto"/>
              <w:bottom w:val="single" w:sz="6" w:space="0" w:color="auto"/>
              <w:right w:val="single" w:sz="6" w:space="0" w:color="auto"/>
            </w:tcBorders>
            <w:shd w:val="clear" w:color="auto" w:fill="auto"/>
          </w:tcPr>
          <w:p w14:paraId="741F4ECC" w14:textId="77777777" w:rsidR="00CA709C" w:rsidRPr="00C9343F" w:rsidRDefault="00CA709C" w:rsidP="00F66D98">
            <w:pPr>
              <w:pStyle w:val="TableBullet1"/>
              <w:numPr>
                <w:ilvl w:val="0"/>
                <w:numId w:val="0"/>
              </w:numPr>
              <w:spacing w:before="20" w:after="20"/>
              <w:jc w:val="center"/>
            </w:pPr>
          </w:p>
        </w:tc>
        <w:tc>
          <w:tcPr>
            <w:tcW w:w="2552" w:type="dxa"/>
            <w:vMerge/>
            <w:tcBorders>
              <w:left w:val="single" w:sz="6" w:space="0" w:color="auto"/>
              <w:bottom w:val="single" w:sz="6" w:space="0" w:color="auto"/>
              <w:right w:val="single" w:sz="6" w:space="0" w:color="auto"/>
            </w:tcBorders>
            <w:shd w:val="clear" w:color="auto" w:fill="auto"/>
          </w:tcPr>
          <w:p w14:paraId="701ED521" w14:textId="77777777" w:rsidR="00CA709C" w:rsidRPr="00C9343F" w:rsidRDefault="00CA709C" w:rsidP="00F66D98">
            <w:pPr>
              <w:pStyle w:val="TableBullet1"/>
              <w:numPr>
                <w:ilvl w:val="0"/>
                <w:numId w:val="0"/>
              </w:numPr>
              <w:spacing w:before="20" w:after="20"/>
            </w:pPr>
          </w:p>
        </w:tc>
        <w:tc>
          <w:tcPr>
            <w:tcW w:w="355" w:type="dxa"/>
            <w:tcBorders>
              <w:left w:val="single" w:sz="6" w:space="0" w:color="auto"/>
              <w:bottom w:val="single" w:sz="6" w:space="0" w:color="auto"/>
            </w:tcBorders>
            <w:shd w:val="clear" w:color="auto" w:fill="auto"/>
          </w:tcPr>
          <w:p w14:paraId="69E337EA" w14:textId="77777777" w:rsidR="00CA709C" w:rsidRPr="00C9343F" w:rsidRDefault="00CA709C" w:rsidP="00F66D98">
            <w:pPr>
              <w:pStyle w:val="TableTextArial-left"/>
            </w:pPr>
            <w:r w:rsidRPr="00C9343F">
              <w:t>b.</w:t>
            </w:r>
          </w:p>
        </w:tc>
        <w:tc>
          <w:tcPr>
            <w:tcW w:w="2480" w:type="dxa"/>
            <w:tcBorders>
              <w:bottom w:val="single" w:sz="6" w:space="0" w:color="auto"/>
              <w:right w:val="single" w:sz="6" w:space="0" w:color="auto"/>
            </w:tcBorders>
            <w:shd w:val="clear" w:color="auto" w:fill="auto"/>
          </w:tcPr>
          <w:p w14:paraId="4CE4FF9F" w14:textId="77777777" w:rsidR="00CA709C" w:rsidRPr="00C9343F" w:rsidRDefault="00CA709C" w:rsidP="00F66D98">
            <w:pPr>
              <w:pStyle w:val="TableTextArial-left"/>
            </w:pPr>
            <w:r w:rsidRPr="00C9343F">
              <w:t xml:space="preserve">A paramedical practitioner. </w:t>
            </w:r>
          </w:p>
          <w:p w14:paraId="082F5B05" w14:textId="77777777" w:rsidR="00CA709C" w:rsidRPr="00C9343F" w:rsidRDefault="00CA709C" w:rsidP="00F66D98">
            <w:pPr>
              <w:pStyle w:val="TableTextArial-left"/>
            </w:pPr>
            <w:r w:rsidRPr="00C9343F">
              <w:rPr>
                <w:b/>
              </w:rPr>
              <w:t xml:space="preserve">Example: </w:t>
            </w:r>
            <w:r w:rsidRPr="00C9343F">
              <w:t>A speech therapist.</w:t>
            </w:r>
          </w:p>
        </w:tc>
        <w:tc>
          <w:tcPr>
            <w:tcW w:w="3260" w:type="dxa"/>
            <w:gridSpan w:val="2"/>
            <w:vMerge/>
            <w:tcBorders>
              <w:left w:val="single" w:sz="6" w:space="0" w:color="auto"/>
              <w:right w:val="single" w:sz="6" w:space="0" w:color="auto"/>
            </w:tcBorders>
            <w:shd w:val="clear" w:color="auto" w:fill="auto"/>
          </w:tcPr>
          <w:p w14:paraId="1BC383A5" w14:textId="77777777" w:rsidR="00CA709C" w:rsidRPr="00C9343F" w:rsidRDefault="00CA709C" w:rsidP="00F66D98">
            <w:pPr>
              <w:pStyle w:val="TableTextArial-left"/>
            </w:pPr>
          </w:p>
        </w:tc>
      </w:tr>
      <w:tr w:rsidR="00CA709C" w:rsidRPr="00C9343F" w14:paraId="58343459" w14:textId="77777777" w:rsidTr="00610581">
        <w:trPr>
          <w:cantSplit/>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14:paraId="676FAACA" w14:textId="77777777" w:rsidR="00CA709C" w:rsidRPr="00C9343F" w:rsidRDefault="00CA709C" w:rsidP="00F66D98">
            <w:pPr>
              <w:pStyle w:val="TableBullet1"/>
              <w:numPr>
                <w:ilvl w:val="0"/>
                <w:numId w:val="0"/>
              </w:numPr>
              <w:spacing w:before="20" w:after="20"/>
              <w:jc w:val="center"/>
            </w:pPr>
            <w:r w:rsidRPr="00C9343F">
              <w:t>7.</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41F802B7" w14:textId="77777777" w:rsidR="00CA709C" w:rsidRPr="00C9343F" w:rsidRDefault="00CA709C" w:rsidP="00F66D98">
            <w:pPr>
              <w:pStyle w:val="TableBullet1"/>
              <w:numPr>
                <w:ilvl w:val="0"/>
                <w:numId w:val="0"/>
              </w:numPr>
              <w:spacing w:before="20" w:after="20"/>
            </w:pPr>
            <w:r w:rsidRPr="00C9343F">
              <w:t>Social, emotional or behavioural.</w:t>
            </w:r>
          </w:p>
        </w:tc>
        <w:tc>
          <w:tcPr>
            <w:tcW w:w="2835" w:type="dxa"/>
            <w:gridSpan w:val="2"/>
            <w:tcBorders>
              <w:top w:val="single" w:sz="6" w:space="0" w:color="auto"/>
              <w:left w:val="single" w:sz="6" w:space="0" w:color="auto"/>
              <w:right w:val="single" w:sz="6" w:space="0" w:color="auto"/>
            </w:tcBorders>
            <w:shd w:val="clear" w:color="auto" w:fill="auto"/>
          </w:tcPr>
          <w:p w14:paraId="628CFF92" w14:textId="77777777" w:rsidR="00CA709C" w:rsidRPr="00C9343F" w:rsidRDefault="00CA709C" w:rsidP="00F66D98">
            <w:pPr>
              <w:pStyle w:val="TableTextArial-left"/>
            </w:pPr>
            <w:r w:rsidRPr="00C9343F">
              <w:t>Either of the following.</w:t>
            </w:r>
          </w:p>
        </w:tc>
        <w:tc>
          <w:tcPr>
            <w:tcW w:w="3260" w:type="dxa"/>
            <w:gridSpan w:val="2"/>
            <w:vMerge/>
            <w:tcBorders>
              <w:left w:val="single" w:sz="6" w:space="0" w:color="auto"/>
              <w:right w:val="single" w:sz="6" w:space="0" w:color="auto"/>
            </w:tcBorders>
            <w:shd w:val="clear" w:color="auto" w:fill="auto"/>
          </w:tcPr>
          <w:p w14:paraId="56355CC1" w14:textId="77777777" w:rsidR="00CA709C" w:rsidRPr="00C9343F" w:rsidRDefault="00CA709C" w:rsidP="00F66D98">
            <w:pPr>
              <w:pStyle w:val="TableTextArial-left"/>
            </w:pPr>
          </w:p>
        </w:tc>
      </w:tr>
      <w:tr w:rsidR="00CA709C" w:rsidRPr="00C9343F" w14:paraId="77DE2E03" w14:textId="77777777" w:rsidTr="00610581">
        <w:trPr>
          <w:cantSplit/>
          <w:jc w:val="center"/>
        </w:trPr>
        <w:tc>
          <w:tcPr>
            <w:tcW w:w="567" w:type="dxa"/>
            <w:vMerge w:val="restart"/>
            <w:tcBorders>
              <w:top w:val="single" w:sz="6" w:space="0" w:color="auto"/>
              <w:left w:val="single" w:sz="6" w:space="0" w:color="auto"/>
              <w:right w:val="single" w:sz="6" w:space="0" w:color="auto"/>
            </w:tcBorders>
            <w:shd w:val="clear" w:color="auto" w:fill="auto"/>
          </w:tcPr>
          <w:p w14:paraId="65C92B2C" w14:textId="77777777" w:rsidR="00CA709C" w:rsidRPr="00C9343F" w:rsidRDefault="00CA709C" w:rsidP="00F66D98">
            <w:pPr>
              <w:pStyle w:val="TableBullet1"/>
              <w:numPr>
                <w:ilvl w:val="0"/>
                <w:numId w:val="0"/>
              </w:numPr>
              <w:spacing w:before="20" w:after="20"/>
              <w:jc w:val="center"/>
            </w:pPr>
            <w:r w:rsidRPr="00C9343F">
              <w:t>8.</w:t>
            </w:r>
          </w:p>
        </w:tc>
        <w:tc>
          <w:tcPr>
            <w:tcW w:w="2552" w:type="dxa"/>
            <w:vMerge w:val="restart"/>
            <w:tcBorders>
              <w:top w:val="single" w:sz="6" w:space="0" w:color="auto"/>
              <w:left w:val="single" w:sz="6" w:space="0" w:color="auto"/>
              <w:right w:val="single" w:sz="6" w:space="0" w:color="auto"/>
            </w:tcBorders>
            <w:shd w:val="clear" w:color="auto" w:fill="auto"/>
          </w:tcPr>
          <w:p w14:paraId="718A25F3" w14:textId="77777777" w:rsidR="00CA709C" w:rsidRPr="00C9343F" w:rsidRDefault="00CA709C" w:rsidP="00F66D98">
            <w:pPr>
              <w:pStyle w:val="TableBullet1"/>
              <w:numPr>
                <w:ilvl w:val="0"/>
                <w:numId w:val="0"/>
              </w:numPr>
              <w:spacing w:before="20" w:after="20"/>
            </w:pPr>
            <w:r w:rsidRPr="00C9343F">
              <w:t>Specific learning difficulties.</w:t>
            </w:r>
          </w:p>
        </w:tc>
        <w:tc>
          <w:tcPr>
            <w:tcW w:w="355" w:type="dxa"/>
            <w:tcBorders>
              <w:left w:val="single" w:sz="6" w:space="0" w:color="auto"/>
            </w:tcBorders>
            <w:shd w:val="clear" w:color="auto" w:fill="auto"/>
          </w:tcPr>
          <w:p w14:paraId="5BDEDBDA" w14:textId="77777777" w:rsidR="00CA709C" w:rsidRPr="00C9343F" w:rsidRDefault="00CA709C" w:rsidP="00F66D98">
            <w:pPr>
              <w:pStyle w:val="TableBullet1"/>
              <w:numPr>
                <w:ilvl w:val="0"/>
                <w:numId w:val="0"/>
              </w:numPr>
              <w:spacing w:before="20" w:after="20"/>
            </w:pPr>
            <w:r w:rsidRPr="00C9343F">
              <w:t>a.</w:t>
            </w:r>
          </w:p>
        </w:tc>
        <w:tc>
          <w:tcPr>
            <w:tcW w:w="2480" w:type="dxa"/>
            <w:tcBorders>
              <w:right w:val="single" w:sz="6" w:space="0" w:color="auto"/>
            </w:tcBorders>
            <w:shd w:val="clear" w:color="auto" w:fill="auto"/>
          </w:tcPr>
          <w:p w14:paraId="0FA52EB6" w14:textId="77777777" w:rsidR="00CA709C" w:rsidRPr="00C9343F" w:rsidRDefault="00CA709C" w:rsidP="00F66D98">
            <w:pPr>
              <w:pStyle w:val="TableBullet1"/>
              <w:numPr>
                <w:ilvl w:val="0"/>
                <w:numId w:val="0"/>
              </w:numPr>
              <w:spacing w:before="20" w:after="20"/>
            </w:pPr>
            <w:r w:rsidRPr="00C9343F">
              <w:t xml:space="preserve">A specialist medical practitioner. </w:t>
            </w:r>
          </w:p>
        </w:tc>
        <w:tc>
          <w:tcPr>
            <w:tcW w:w="3260" w:type="dxa"/>
            <w:gridSpan w:val="2"/>
            <w:vMerge/>
            <w:tcBorders>
              <w:left w:val="single" w:sz="6" w:space="0" w:color="auto"/>
              <w:right w:val="single" w:sz="6" w:space="0" w:color="auto"/>
            </w:tcBorders>
            <w:shd w:val="clear" w:color="auto" w:fill="auto"/>
          </w:tcPr>
          <w:p w14:paraId="4EFDC0E7" w14:textId="77777777" w:rsidR="00CA709C" w:rsidRPr="00C9343F" w:rsidRDefault="00CA709C" w:rsidP="00F66D98">
            <w:pPr>
              <w:pStyle w:val="TableBullet1"/>
              <w:spacing w:before="20" w:after="20"/>
            </w:pPr>
          </w:p>
        </w:tc>
      </w:tr>
      <w:tr w:rsidR="00CA709C" w:rsidRPr="00C9343F" w14:paraId="7D14861C" w14:textId="77777777" w:rsidTr="00610581">
        <w:trPr>
          <w:cantSplit/>
          <w:jc w:val="center"/>
        </w:trPr>
        <w:tc>
          <w:tcPr>
            <w:tcW w:w="567" w:type="dxa"/>
            <w:vMerge/>
            <w:tcBorders>
              <w:left w:val="single" w:sz="6" w:space="0" w:color="auto"/>
              <w:bottom w:val="single" w:sz="6" w:space="0" w:color="auto"/>
              <w:right w:val="single" w:sz="6" w:space="0" w:color="auto"/>
            </w:tcBorders>
            <w:shd w:val="clear" w:color="auto" w:fill="auto"/>
          </w:tcPr>
          <w:p w14:paraId="21982FF7" w14:textId="77777777" w:rsidR="00CA709C" w:rsidRPr="00C9343F" w:rsidRDefault="00CA709C" w:rsidP="00F66D98">
            <w:pPr>
              <w:pStyle w:val="TableBullet1"/>
              <w:numPr>
                <w:ilvl w:val="0"/>
                <w:numId w:val="0"/>
              </w:numPr>
              <w:spacing w:before="20" w:after="20"/>
              <w:jc w:val="center"/>
            </w:pPr>
          </w:p>
        </w:tc>
        <w:tc>
          <w:tcPr>
            <w:tcW w:w="2552" w:type="dxa"/>
            <w:vMerge/>
            <w:tcBorders>
              <w:left w:val="single" w:sz="6" w:space="0" w:color="auto"/>
              <w:bottom w:val="single" w:sz="6" w:space="0" w:color="auto"/>
              <w:right w:val="single" w:sz="6" w:space="0" w:color="auto"/>
            </w:tcBorders>
            <w:shd w:val="clear" w:color="auto" w:fill="auto"/>
          </w:tcPr>
          <w:p w14:paraId="6674C868" w14:textId="77777777" w:rsidR="00CA709C" w:rsidRPr="00C9343F" w:rsidRDefault="00CA709C" w:rsidP="00F66D98">
            <w:pPr>
              <w:pStyle w:val="TableBullet1"/>
              <w:numPr>
                <w:ilvl w:val="0"/>
                <w:numId w:val="0"/>
              </w:numPr>
              <w:spacing w:before="20" w:after="20"/>
            </w:pPr>
          </w:p>
        </w:tc>
        <w:tc>
          <w:tcPr>
            <w:tcW w:w="355" w:type="dxa"/>
            <w:tcBorders>
              <w:left w:val="single" w:sz="6" w:space="0" w:color="auto"/>
              <w:bottom w:val="single" w:sz="6" w:space="0" w:color="auto"/>
            </w:tcBorders>
            <w:shd w:val="clear" w:color="auto" w:fill="auto"/>
          </w:tcPr>
          <w:p w14:paraId="29392808" w14:textId="77777777" w:rsidR="00CA709C" w:rsidRPr="00C9343F" w:rsidRDefault="00CA709C" w:rsidP="00F66D98">
            <w:pPr>
              <w:pStyle w:val="TableBullet1"/>
              <w:numPr>
                <w:ilvl w:val="0"/>
                <w:numId w:val="0"/>
              </w:numPr>
              <w:spacing w:before="20" w:after="20"/>
            </w:pPr>
            <w:r w:rsidRPr="00C9343F">
              <w:t>b.</w:t>
            </w:r>
          </w:p>
        </w:tc>
        <w:tc>
          <w:tcPr>
            <w:tcW w:w="2480" w:type="dxa"/>
            <w:tcBorders>
              <w:bottom w:val="single" w:sz="6" w:space="0" w:color="auto"/>
              <w:right w:val="single" w:sz="6" w:space="0" w:color="auto"/>
            </w:tcBorders>
            <w:shd w:val="clear" w:color="auto" w:fill="auto"/>
          </w:tcPr>
          <w:p w14:paraId="10C1841D" w14:textId="77777777" w:rsidR="00CA709C" w:rsidRPr="00C9343F" w:rsidRDefault="00CA709C" w:rsidP="00F66D98">
            <w:pPr>
              <w:pStyle w:val="TableBullet1"/>
              <w:numPr>
                <w:ilvl w:val="0"/>
                <w:numId w:val="0"/>
              </w:numPr>
              <w:spacing w:before="20" w:after="20"/>
            </w:pPr>
            <w:r w:rsidRPr="00C9343F">
              <w:t>A psychologist.</w:t>
            </w:r>
          </w:p>
        </w:tc>
        <w:tc>
          <w:tcPr>
            <w:tcW w:w="3260" w:type="dxa"/>
            <w:gridSpan w:val="2"/>
            <w:vMerge/>
            <w:tcBorders>
              <w:left w:val="single" w:sz="6" w:space="0" w:color="auto"/>
              <w:bottom w:val="single" w:sz="6" w:space="0" w:color="auto"/>
              <w:right w:val="single" w:sz="6" w:space="0" w:color="auto"/>
            </w:tcBorders>
            <w:shd w:val="clear" w:color="auto" w:fill="auto"/>
          </w:tcPr>
          <w:p w14:paraId="6AF611C4" w14:textId="77777777" w:rsidR="00CA709C" w:rsidRPr="00C9343F" w:rsidRDefault="00CA709C" w:rsidP="00F66D98">
            <w:pPr>
              <w:pStyle w:val="TableBullet1"/>
              <w:numPr>
                <w:ilvl w:val="0"/>
                <w:numId w:val="0"/>
              </w:numPr>
              <w:spacing w:before="20" w:after="20"/>
            </w:pPr>
          </w:p>
        </w:tc>
      </w:tr>
      <w:tr w:rsidR="00CA709C" w:rsidRPr="00C9343F" w14:paraId="5F8D84B7" w14:textId="77777777" w:rsidTr="00610581">
        <w:trPr>
          <w:cantSplit/>
          <w:trHeight w:val="575"/>
          <w:jc w:val="center"/>
        </w:trPr>
        <w:tc>
          <w:tcPr>
            <w:tcW w:w="567" w:type="dxa"/>
            <w:vMerge w:val="restart"/>
            <w:tcBorders>
              <w:top w:val="single" w:sz="6" w:space="0" w:color="auto"/>
              <w:left w:val="single" w:sz="6" w:space="0" w:color="auto"/>
              <w:right w:val="single" w:sz="6" w:space="0" w:color="auto"/>
            </w:tcBorders>
            <w:shd w:val="clear" w:color="auto" w:fill="auto"/>
          </w:tcPr>
          <w:p w14:paraId="1769CE65" w14:textId="77777777" w:rsidR="00CA709C" w:rsidRPr="00C9343F" w:rsidRDefault="00CA709C" w:rsidP="00F66D98">
            <w:pPr>
              <w:pStyle w:val="BulletText1"/>
              <w:keepLines w:val="0"/>
              <w:numPr>
                <w:ilvl w:val="0"/>
                <w:numId w:val="0"/>
              </w:numPr>
              <w:spacing w:before="20" w:after="20"/>
              <w:jc w:val="center"/>
              <w:rPr>
                <w:sz w:val="20"/>
              </w:rPr>
            </w:pPr>
            <w:r w:rsidRPr="00C9343F">
              <w:rPr>
                <w:sz w:val="20"/>
              </w:rPr>
              <w:t>9.</w:t>
            </w:r>
          </w:p>
        </w:tc>
        <w:tc>
          <w:tcPr>
            <w:tcW w:w="2552" w:type="dxa"/>
            <w:vMerge w:val="restart"/>
            <w:tcBorders>
              <w:top w:val="single" w:sz="6" w:space="0" w:color="auto"/>
              <w:left w:val="single" w:sz="6" w:space="0" w:color="auto"/>
              <w:right w:val="single" w:sz="6" w:space="0" w:color="auto"/>
            </w:tcBorders>
            <w:shd w:val="clear" w:color="auto" w:fill="auto"/>
          </w:tcPr>
          <w:p w14:paraId="511FB3A9" w14:textId="77777777" w:rsidR="00CA709C" w:rsidRPr="00C9343F" w:rsidRDefault="00CA709C" w:rsidP="00F66D98">
            <w:pPr>
              <w:pStyle w:val="BulletText1"/>
              <w:keepLines w:val="0"/>
              <w:numPr>
                <w:ilvl w:val="0"/>
                <w:numId w:val="0"/>
              </w:numPr>
              <w:spacing w:before="20" w:after="20"/>
            </w:pPr>
            <w:r w:rsidRPr="00C9343F">
              <w:rPr>
                <w:sz w:val="20"/>
              </w:rPr>
              <w:t>Academically gifted or talented.</w:t>
            </w:r>
          </w:p>
        </w:tc>
        <w:tc>
          <w:tcPr>
            <w:tcW w:w="2835" w:type="dxa"/>
            <w:gridSpan w:val="2"/>
            <w:vMerge w:val="restart"/>
            <w:tcBorders>
              <w:top w:val="single" w:sz="6" w:space="0" w:color="auto"/>
              <w:left w:val="single" w:sz="6" w:space="0" w:color="auto"/>
              <w:right w:val="single" w:sz="6" w:space="0" w:color="auto"/>
            </w:tcBorders>
            <w:shd w:val="clear" w:color="auto" w:fill="auto"/>
          </w:tcPr>
          <w:p w14:paraId="483C325C" w14:textId="77777777" w:rsidR="00CA709C" w:rsidRPr="00C9343F" w:rsidRDefault="00CA709C" w:rsidP="00F66D98">
            <w:pPr>
              <w:pStyle w:val="TableTextArial-left"/>
            </w:pPr>
            <w:r w:rsidRPr="00C9343F">
              <w:t>A psychologist with qualifications and experience in assessing children.</w:t>
            </w:r>
          </w:p>
        </w:tc>
        <w:tc>
          <w:tcPr>
            <w:tcW w:w="3260" w:type="dxa"/>
            <w:gridSpan w:val="2"/>
            <w:tcBorders>
              <w:top w:val="single" w:sz="6" w:space="0" w:color="auto"/>
              <w:left w:val="single" w:sz="6" w:space="0" w:color="auto"/>
              <w:right w:val="single" w:sz="6" w:space="0" w:color="auto"/>
            </w:tcBorders>
            <w:shd w:val="clear" w:color="auto" w:fill="auto"/>
          </w:tcPr>
          <w:p w14:paraId="4864D6B4" w14:textId="77777777" w:rsidR="00CA709C" w:rsidRPr="00C9343F" w:rsidRDefault="00CA709C" w:rsidP="00F66D98">
            <w:pPr>
              <w:pStyle w:val="TableBullet1"/>
              <w:keepLines w:val="0"/>
              <w:numPr>
                <w:ilvl w:val="0"/>
                <w:numId w:val="0"/>
              </w:numPr>
              <w:spacing w:before="20" w:after="20"/>
            </w:pPr>
            <w:r w:rsidRPr="00C9343F">
              <w:t>The child must achieve a score at or above the 95</w:t>
            </w:r>
            <w:r w:rsidRPr="00C9343F">
              <w:rPr>
                <w:vertAlign w:val="superscript"/>
              </w:rPr>
              <w:t>th</w:t>
            </w:r>
            <w:r w:rsidRPr="00C9343F">
              <w:t xml:space="preserve"> percentile on either</w:t>
            </w:r>
            <w:r w:rsidRPr="00C9343F">
              <w:rPr>
                <w:i/>
              </w:rPr>
              <w:t xml:space="preserve"> </w:t>
            </w:r>
            <w:r w:rsidRPr="00C9343F">
              <w:t xml:space="preserve">of the following. </w:t>
            </w:r>
          </w:p>
        </w:tc>
      </w:tr>
      <w:tr w:rsidR="00CA709C" w:rsidRPr="00C9343F" w14:paraId="220A371B" w14:textId="77777777" w:rsidTr="00610581">
        <w:trPr>
          <w:cantSplit/>
          <w:trHeight w:val="266"/>
          <w:jc w:val="center"/>
        </w:trPr>
        <w:tc>
          <w:tcPr>
            <w:tcW w:w="567" w:type="dxa"/>
            <w:vMerge/>
            <w:tcBorders>
              <w:left w:val="single" w:sz="6" w:space="0" w:color="auto"/>
              <w:right w:val="single" w:sz="6" w:space="0" w:color="auto"/>
            </w:tcBorders>
            <w:shd w:val="clear" w:color="auto" w:fill="auto"/>
          </w:tcPr>
          <w:p w14:paraId="53294BB4" w14:textId="77777777" w:rsidR="00CA709C" w:rsidRPr="00C9343F" w:rsidRDefault="00CA709C" w:rsidP="00F66D98">
            <w:pPr>
              <w:pStyle w:val="BulletText1"/>
              <w:keepLines w:val="0"/>
              <w:numPr>
                <w:ilvl w:val="0"/>
                <w:numId w:val="0"/>
              </w:numPr>
              <w:spacing w:before="20" w:after="20"/>
              <w:jc w:val="center"/>
              <w:rPr>
                <w:sz w:val="20"/>
              </w:rPr>
            </w:pPr>
          </w:p>
        </w:tc>
        <w:tc>
          <w:tcPr>
            <w:tcW w:w="2552" w:type="dxa"/>
            <w:vMerge/>
            <w:tcBorders>
              <w:left w:val="single" w:sz="6" w:space="0" w:color="auto"/>
              <w:right w:val="single" w:sz="6" w:space="0" w:color="auto"/>
            </w:tcBorders>
            <w:shd w:val="clear" w:color="auto" w:fill="auto"/>
          </w:tcPr>
          <w:p w14:paraId="724A0F74" w14:textId="77777777" w:rsidR="00CA709C" w:rsidRPr="00C9343F" w:rsidRDefault="00CA709C" w:rsidP="00F66D98">
            <w:pPr>
              <w:pStyle w:val="BulletText1"/>
              <w:keepLines w:val="0"/>
              <w:numPr>
                <w:ilvl w:val="0"/>
                <w:numId w:val="0"/>
              </w:numPr>
              <w:spacing w:before="20" w:after="20"/>
              <w:rPr>
                <w:sz w:val="20"/>
              </w:rPr>
            </w:pPr>
          </w:p>
        </w:tc>
        <w:tc>
          <w:tcPr>
            <w:tcW w:w="2835" w:type="dxa"/>
            <w:gridSpan w:val="2"/>
            <w:vMerge/>
            <w:tcBorders>
              <w:left w:val="single" w:sz="6" w:space="0" w:color="auto"/>
              <w:right w:val="single" w:sz="6" w:space="0" w:color="auto"/>
            </w:tcBorders>
            <w:shd w:val="clear" w:color="auto" w:fill="auto"/>
          </w:tcPr>
          <w:p w14:paraId="1E3FD7E5" w14:textId="77777777" w:rsidR="00CA709C" w:rsidRPr="00C9343F" w:rsidRDefault="00CA709C" w:rsidP="00F66D98">
            <w:pPr>
              <w:pStyle w:val="TableTextArial-left"/>
            </w:pPr>
          </w:p>
        </w:tc>
        <w:tc>
          <w:tcPr>
            <w:tcW w:w="355" w:type="dxa"/>
            <w:tcBorders>
              <w:left w:val="single" w:sz="6" w:space="0" w:color="auto"/>
            </w:tcBorders>
            <w:shd w:val="clear" w:color="auto" w:fill="auto"/>
          </w:tcPr>
          <w:p w14:paraId="124A1E52" w14:textId="77777777" w:rsidR="00CA709C" w:rsidRPr="00C9343F" w:rsidRDefault="00CA709C" w:rsidP="00F66D98">
            <w:pPr>
              <w:pStyle w:val="TableBullet1"/>
              <w:keepLines w:val="0"/>
              <w:numPr>
                <w:ilvl w:val="0"/>
                <w:numId w:val="0"/>
              </w:numPr>
              <w:tabs>
                <w:tab w:val="left" w:pos="359"/>
              </w:tabs>
              <w:spacing w:before="20" w:after="20"/>
              <w:ind w:left="359" w:hanging="359"/>
            </w:pPr>
            <w:r w:rsidRPr="00C9343F">
              <w:t>a.</w:t>
            </w:r>
          </w:p>
        </w:tc>
        <w:tc>
          <w:tcPr>
            <w:tcW w:w="2905" w:type="dxa"/>
            <w:tcBorders>
              <w:right w:val="single" w:sz="6" w:space="0" w:color="auto"/>
            </w:tcBorders>
            <w:shd w:val="clear" w:color="auto" w:fill="auto"/>
          </w:tcPr>
          <w:p w14:paraId="4079F71F" w14:textId="77777777" w:rsidR="00CA709C" w:rsidRPr="00C9343F" w:rsidRDefault="00CA709C" w:rsidP="00F66D98">
            <w:pPr>
              <w:pStyle w:val="TableBullet1"/>
              <w:keepLines w:val="0"/>
              <w:numPr>
                <w:ilvl w:val="0"/>
                <w:numId w:val="0"/>
              </w:numPr>
              <w:spacing w:before="20" w:after="20"/>
            </w:pPr>
            <w:r w:rsidRPr="00C9343F">
              <w:t>Any individual or group IQ test.</w:t>
            </w:r>
          </w:p>
        </w:tc>
      </w:tr>
      <w:tr w:rsidR="00CA709C" w:rsidRPr="00C9343F" w14:paraId="7D981ECE" w14:textId="77777777" w:rsidTr="00610581">
        <w:trPr>
          <w:cantSplit/>
          <w:trHeight w:val="575"/>
          <w:jc w:val="center"/>
        </w:trPr>
        <w:tc>
          <w:tcPr>
            <w:tcW w:w="567" w:type="dxa"/>
            <w:vMerge/>
            <w:tcBorders>
              <w:left w:val="single" w:sz="6" w:space="0" w:color="auto"/>
              <w:bottom w:val="single" w:sz="6" w:space="0" w:color="auto"/>
              <w:right w:val="single" w:sz="6" w:space="0" w:color="auto"/>
            </w:tcBorders>
            <w:shd w:val="clear" w:color="auto" w:fill="auto"/>
          </w:tcPr>
          <w:p w14:paraId="7CF0CE49" w14:textId="77777777" w:rsidR="00CA709C" w:rsidRPr="00C9343F" w:rsidRDefault="00CA709C" w:rsidP="00F66D98">
            <w:pPr>
              <w:pStyle w:val="BulletText1"/>
              <w:keepLines w:val="0"/>
              <w:numPr>
                <w:ilvl w:val="0"/>
                <w:numId w:val="0"/>
              </w:numPr>
              <w:spacing w:before="20" w:after="20"/>
              <w:jc w:val="center"/>
              <w:rPr>
                <w:sz w:val="20"/>
              </w:rPr>
            </w:pPr>
          </w:p>
        </w:tc>
        <w:tc>
          <w:tcPr>
            <w:tcW w:w="2552" w:type="dxa"/>
            <w:vMerge/>
            <w:tcBorders>
              <w:left w:val="single" w:sz="6" w:space="0" w:color="auto"/>
              <w:bottom w:val="single" w:sz="6" w:space="0" w:color="auto"/>
              <w:right w:val="single" w:sz="6" w:space="0" w:color="auto"/>
            </w:tcBorders>
            <w:shd w:val="clear" w:color="auto" w:fill="auto"/>
          </w:tcPr>
          <w:p w14:paraId="3D26D1A9" w14:textId="77777777" w:rsidR="00CA709C" w:rsidRPr="00C9343F" w:rsidRDefault="00CA709C" w:rsidP="00F66D98">
            <w:pPr>
              <w:pStyle w:val="BulletText1"/>
              <w:keepLines w:val="0"/>
              <w:numPr>
                <w:ilvl w:val="0"/>
                <w:numId w:val="0"/>
              </w:numPr>
              <w:spacing w:before="20" w:after="20"/>
              <w:rPr>
                <w:sz w:val="20"/>
              </w:rPr>
            </w:pPr>
          </w:p>
        </w:tc>
        <w:tc>
          <w:tcPr>
            <w:tcW w:w="2835" w:type="dxa"/>
            <w:gridSpan w:val="2"/>
            <w:vMerge/>
            <w:tcBorders>
              <w:left w:val="single" w:sz="6" w:space="0" w:color="auto"/>
              <w:bottom w:val="single" w:sz="6" w:space="0" w:color="auto"/>
              <w:right w:val="single" w:sz="6" w:space="0" w:color="auto"/>
            </w:tcBorders>
            <w:shd w:val="clear" w:color="auto" w:fill="auto"/>
          </w:tcPr>
          <w:p w14:paraId="15462613" w14:textId="77777777" w:rsidR="00CA709C" w:rsidRPr="00C9343F" w:rsidRDefault="00CA709C" w:rsidP="00F66D98">
            <w:pPr>
              <w:pStyle w:val="TableTextArial-left"/>
            </w:pPr>
          </w:p>
        </w:tc>
        <w:tc>
          <w:tcPr>
            <w:tcW w:w="355" w:type="dxa"/>
            <w:tcBorders>
              <w:left w:val="single" w:sz="6" w:space="0" w:color="auto"/>
              <w:bottom w:val="single" w:sz="6" w:space="0" w:color="auto"/>
            </w:tcBorders>
            <w:shd w:val="clear" w:color="auto" w:fill="auto"/>
          </w:tcPr>
          <w:p w14:paraId="3F2F6D09" w14:textId="77777777" w:rsidR="00CA709C" w:rsidRPr="00C9343F" w:rsidRDefault="00CA709C" w:rsidP="00F66D98">
            <w:pPr>
              <w:pStyle w:val="TableBullet1"/>
              <w:keepLines w:val="0"/>
              <w:numPr>
                <w:ilvl w:val="0"/>
                <w:numId w:val="0"/>
              </w:numPr>
              <w:tabs>
                <w:tab w:val="left" w:pos="359"/>
              </w:tabs>
              <w:spacing w:before="20" w:after="20"/>
              <w:ind w:left="359" w:hanging="359"/>
            </w:pPr>
            <w:r w:rsidRPr="00C9343F">
              <w:t>b.</w:t>
            </w:r>
          </w:p>
        </w:tc>
        <w:tc>
          <w:tcPr>
            <w:tcW w:w="2905" w:type="dxa"/>
            <w:tcBorders>
              <w:bottom w:val="single" w:sz="6" w:space="0" w:color="auto"/>
              <w:right w:val="single" w:sz="6" w:space="0" w:color="auto"/>
            </w:tcBorders>
            <w:shd w:val="clear" w:color="auto" w:fill="auto"/>
          </w:tcPr>
          <w:p w14:paraId="1976CCB6" w14:textId="77777777" w:rsidR="00CA709C" w:rsidRPr="00C9343F" w:rsidRDefault="00CA709C" w:rsidP="00F66D98">
            <w:pPr>
              <w:pStyle w:val="TableBullet1"/>
              <w:keepLines w:val="0"/>
              <w:numPr>
                <w:ilvl w:val="0"/>
                <w:numId w:val="0"/>
              </w:numPr>
              <w:spacing w:before="20" w:after="20"/>
            </w:pPr>
            <w:r w:rsidRPr="00C9343F">
              <w:t>A subscale of an individual IQ test.</w:t>
            </w:r>
          </w:p>
        </w:tc>
      </w:tr>
    </w:tbl>
    <w:p w14:paraId="4FE2C9FC" w14:textId="77777777" w:rsidR="00610581" w:rsidRPr="00C9343F" w:rsidRDefault="00610581" w:rsidP="00F66D98"/>
    <w:tbl>
      <w:tblPr>
        <w:tblW w:w="0" w:type="auto"/>
        <w:tblInd w:w="113" w:type="dxa"/>
        <w:tblLayout w:type="fixed"/>
        <w:tblLook w:val="0000" w:firstRow="0" w:lastRow="0" w:firstColumn="0" w:lastColumn="0" w:noHBand="0" w:noVBand="0"/>
      </w:tblPr>
      <w:tblGrid>
        <w:gridCol w:w="992"/>
        <w:gridCol w:w="567"/>
        <w:gridCol w:w="7796"/>
      </w:tblGrid>
      <w:tr w:rsidR="00CA709C" w:rsidRPr="00C9343F" w14:paraId="36BBFC12" w14:textId="77777777" w:rsidTr="00610581">
        <w:tc>
          <w:tcPr>
            <w:tcW w:w="992" w:type="dxa"/>
          </w:tcPr>
          <w:p w14:paraId="4A6B99D8" w14:textId="77777777" w:rsidR="00CA709C" w:rsidRPr="00C9343F" w:rsidRDefault="00CA709C" w:rsidP="00F66D98">
            <w:pPr>
              <w:pStyle w:val="BlockText-Plain"/>
              <w:jc w:val="center"/>
            </w:pPr>
            <w:r w:rsidRPr="00C9343F">
              <w:t>3.</w:t>
            </w:r>
          </w:p>
        </w:tc>
        <w:tc>
          <w:tcPr>
            <w:tcW w:w="8363" w:type="dxa"/>
            <w:gridSpan w:val="2"/>
          </w:tcPr>
          <w:p w14:paraId="1CF9D062" w14:textId="77777777" w:rsidR="00CA709C" w:rsidRPr="00C9343F" w:rsidRDefault="00A72E80" w:rsidP="00F66D98">
            <w:pPr>
              <w:pStyle w:val="BlockText-Plain"/>
            </w:pPr>
            <w:r w:rsidRPr="00C9343F">
              <w:t>A member must apply for recognition of a dependant with special needs using the approved form.</w:t>
            </w:r>
          </w:p>
        </w:tc>
      </w:tr>
      <w:tr w:rsidR="00CA709C" w:rsidRPr="00C9343F" w14:paraId="13023353" w14:textId="77777777">
        <w:tc>
          <w:tcPr>
            <w:tcW w:w="992" w:type="dxa"/>
          </w:tcPr>
          <w:p w14:paraId="64C2086B" w14:textId="77777777" w:rsidR="00CA709C" w:rsidRPr="00C9343F" w:rsidRDefault="00CA709C" w:rsidP="00F66D98">
            <w:pPr>
              <w:pStyle w:val="BlockText-Plain"/>
              <w:jc w:val="center"/>
            </w:pPr>
            <w:r w:rsidRPr="00C9343F">
              <w:t>4.</w:t>
            </w:r>
          </w:p>
        </w:tc>
        <w:tc>
          <w:tcPr>
            <w:tcW w:w="8363" w:type="dxa"/>
            <w:gridSpan w:val="2"/>
          </w:tcPr>
          <w:p w14:paraId="02C9CE76" w14:textId="77777777" w:rsidR="00CA709C" w:rsidRPr="00C9343F" w:rsidRDefault="00CA709C" w:rsidP="00F66D98">
            <w:pPr>
              <w:pStyle w:val="BlockText-Plain"/>
            </w:pPr>
            <w:r w:rsidRPr="00C9343F">
              <w:t>The decision maker will decide if the member's application for the recognition of a dependant with special needs is approved or not approved. A letter stating the decision will be forwarded to the following people.</w:t>
            </w:r>
          </w:p>
        </w:tc>
      </w:tr>
      <w:tr w:rsidR="00CA709C" w:rsidRPr="00C9343F" w14:paraId="03285542" w14:textId="77777777">
        <w:trPr>
          <w:cantSplit/>
        </w:trPr>
        <w:tc>
          <w:tcPr>
            <w:tcW w:w="992" w:type="dxa"/>
          </w:tcPr>
          <w:p w14:paraId="5677C24F" w14:textId="77777777" w:rsidR="00CA709C" w:rsidRPr="00C9343F" w:rsidRDefault="00CA709C" w:rsidP="00F66D98">
            <w:pPr>
              <w:pStyle w:val="BlockText-Plain"/>
            </w:pPr>
          </w:p>
        </w:tc>
        <w:tc>
          <w:tcPr>
            <w:tcW w:w="567" w:type="dxa"/>
          </w:tcPr>
          <w:p w14:paraId="4B66224C" w14:textId="77777777" w:rsidR="00CA709C" w:rsidRPr="00C9343F" w:rsidRDefault="00CA709C" w:rsidP="007114B1">
            <w:pPr>
              <w:pStyle w:val="BlockText-Plain"/>
              <w:jc w:val="center"/>
            </w:pPr>
            <w:r w:rsidRPr="00C9343F">
              <w:t>a.</w:t>
            </w:r>
          </w:p>
        </w:tc>
        <w:tc>
          <w:tcPr>
            <w:tcW w:w="7796" w:type="dxa"/>
          </w:tcPr>
          <w:p w14:paraId="283E9008" w14:textId="77777777" w:rsidR="00CA709C" w:rsidRPr="00C9343F" w:rsidRDefault="00CA709C" w:rsidP="00F66D98">
            <w:pPr>
              <w:pStyle w:val="BlockText-Plain"/>
            </w:pPr>
            <w:r w:rsidRPr="00C9343F">
              <w:t>The member.</w:t>
            </w:r>
          </w:p>
        </w:tc>
      </w:tr>
      <w:tr w:rsidR="00CA709C" w:rsidRPr="00C9343F" w14:paraId="3D97371B" w14:textId="77777777">
        <w:trPr>
          <w:cantSplit/>
        </w:trPr>
        <w:tc>
          <w:tcPr>
            <w:tcW w:w="992" w:type="dxa"/>
          </w:tcPr>
          <w:p w14:paraId="3D5B69FE" w14:textId="77777777" w:rsidR="00CA709C" w:rsidRPr="00C9343F" w:rsidRDefault="00CA709C" w:rsidP="00F66D98">
            <w:pPr>
              <w:pStyle w:val="BlockText-Plain"/>
            </w:pPr>
          </w:p>
        </w:tc>
        <w:tc>
          <w:tcPr>
            <w:tcW w:w="567" w:type="dxa"/>
          </w:tcPr>
          <w:p w14:paraId="76FE04C6" w14:textId="77777777" w:rsidR="00CA709C" w:rsidRPr="00C9343F" w:rsidRDefault="00CA709C" w:rsidP="007114B1">
            <w:pPr>
              <w:pStyle w:val="BlockText-Plain"/>
              <w:jc w:val="center"/>
            </w:pPr>
            <w:r w:rsidRPr="00C9343F">
              <w:t>b.</w:t>
            </w:r>
          </w:p>
        </w:tc>
        <w:tc>
          <w:tcPr>
            <w:tcW w:w="7796" w:type="dxa"/>
          </w:tcPr>
          <w:p w14:paraId="0A0A0610" w14:textId="77777777" w:rsidR="00CA709C" w:rsidRPr="00C9343F" w:rsidRDefault="00CA709C" w:rsidP="00F66D98">
            <w:pPr>
              <w:pStyle w:val="BlockText-Plain"/>
            </w:pPr>
            <w:r w:rsidRPr="00C9343F">
              <w:t>The member's unit.</w:t>
            </w:r>
          </w:p>
        </w:tc>
      </w:tr>
      <w:tr w:rsidR="00CA709C" w:rsidRPr="00C9343F" w14:paraId="2D11705B" w14:textId="77777777">
        <w:trPr>
          <w:cantSplit/>
        </w:trPr>
        <w:tc>
          <w:tcPr>
            <w:tcW w:w="992" w:type="dxa"/>
          </w:tcPr>
          <w:p w14:paraId="6D29CF7D" w14:textId="77777777" w:rsidR="00CA709C" w:rsidRPr="00C9343F" w:rsidRDefault="00CA709C" w:rsidP="00F66D98">
            <w:pPr>
              <w:pStyle w:val="BlockText-Plain"/>
            </w:pPr>
          </w:p>
        </w:tc>
        <w:tc>
          <w:tcPr>
            <w:tcW w:w="567" w:type="dxa"/>
          </w:tcPr>
          <w:p w14:paraId="7809CF97" w14:textId="77777777" w:rsidR="00CA709C" w:rsidRPr="00C9343F" w:rsidRDefault="00CA709C" w:rsidP="007114B1">
            <w:pPr>
              <w:pStyle w:val="BlockText-Plain"/>
              <w:jc w:val="center"/>
            </w:pPr>
            <w:r w:rsidRPr="00C9343F">
              <w:t>c.</w:t>
            </w:r>
          </w:p>
        </w:tc>
        <w:tc>
          <w:tcPr>
            <w:tcW w:w="7796" w:type="dxa"/>
          </w:tcPr>
          <w:p w14:paraId="2B6DC453" w14:textId="77777777" w:rsidR="00CA709C" w:rsidRPr="00C9343F" w:rsidRDefault="00CA709C" w:rsidP="00F66D98">
            <w:pPr>
              <w:pStyle w:val="BlockText-Plain"/>
            </w:pPr>
            <w:r w:rsidRPr="00C9343F">
              <w:t>Defence Housing Australia.</w:t>
            </w:r>
          </w:p>
        </w:tc>
      </w:tr>
      <w:tr w:rsidR="00CA709C" w:rsidRPr="00C9343F" w14:paraId="4DB43FE8" w14:textId="77777777">
        <w:trPr>
          <w:cantSplit/>
        </w:trPr>
        <w:tc>
          <w:tcPr>
            <w:tcW w:w="992" w:type="dxa"/>
          </w:tcPr>
          <w:p w14:paraId="1110227C" w14:textId="77777777" w:rsidR="00CA709C" w:rsidRPr="00C9343F" w:rsidRDefault="00CA709C" w:rsidP="00F66D98">
            <w:pPr>
              <w:pStyle w:val="BlockText-Plain"/>
            </w:pPr>
          </w:p>
        </w:tc>
        <w:tc>
          <w:tcPr>
            <w:tcW w:w="567" w:type="dxa"/>
          </w:tcPr>
          <w:p w14:paraId="3307B734" w14:textId="77777777" w:rsidR="00CA709C" w:rsidRPr="00C9343F" w:rsidRDefault="00CA709C" w:rsidP="007114B1">
            <w:pPr>
              <w:pStyle w:val="BlockText-Plain"/>
              <w:jc w:val="center"/>
            </w:pPr>
            <w:r w:rsidRPr="00C9343F">
              <w:t>d.</w:t>
            </w:r>
          </w:p>
        </w:tc>
        <w:tc>
          <w:tcPr>
            <w:tcW w:w="7796" w:type="dxa"/>
          </w:tcPr>
          <w:p w14:paraId="4A0C1CA8" w14:textId="77777777" w:rsidR="00CA709C" w:rsidRPr="00C9343F" w:rsidRDefault="00CA709C" w:rsidP="00F66D98">
            <w:pPr>
              <w:pStyle w:val="BlockText-Plain"/>
            </w:pPr>
            <w:r w:rsidRPr="00C9343F">
              <w:t>The career managers of the member's Service.</w:t>
            </w:r>
          </w:p>
        </w:tc>
      </w:tr>
      <w:tr w:rsidR="00CA709C" w:rsidRPr="00C9343F" w14:paraId="421BF53D" w14:textId="77777777">
        <w:tc>
          <w:tcPr>
            <w:tcW w:w="992" w:type="dxa"/>
          </w:tcPr>
          <w:p w14:paraId="1704902F" w14:textId="77777777" w:rsidR="00CA709C" w:rsidRPr="00C9343F" w:rsidRDefault="00CA709C" w:rsidP="00F66D98">
            <w:pPr>
              <w:pStyle w:val="BlockText-Plain"/>
              <w:jc w:val="center"/>
            </w:pPr>
            <w:r w:rsidRPr="00C9343F">
              <w:t>5.</w:t>
            </w:r>
          </w:p>
        </w:tc>
        <w:tc>
          <w:tcPr>
            <w:tcW w:w="8363" w:type="dxa"/>
            <w:gridSpan w:val="2"/>
          </w:tcPr>
          <w:p w14:paraId="251C19F1" w14:textId="01B77C68" w:rsidR="00CA709C" w:rsidRPr="00C9343F" w:rsidRDefault="00CA709C" w:rsidP="00F66D98">
            <w:pPr>
              <w:pStyle w:val="BlockText-Plain"/>
            </w:pPr>
            <w:r w:rsidRPr="00C9343F">
              <w:t xml:space="preserve">Recognition under this section is valid until the circumstances on which the application was granted change. The member must advise the </w:t>
            </w:r>
            <w:r w:rsidR="00F26D1E" w:rsidRPr="00C9343F">
              <w:t xml:space="preserve">Defence Member and Family Support </w:t>
            </w:r>
            <w:r w:rsidRPr="00C9343F">
              <w:t>in writing of any change that may affect eligibility.</w:t>
            </w:r>
          </w:p>
        </w:tc>
      </w:tr>
    </w:tbl>
    <w:p w14:paraId="459BF1F6" w14:textId="361D486D" w:rsidR="00845F15" w:rsidRPr="00C9343F" w:rsidRDefault="00845F15" w:rsidP="00F66D98">
      <w:pPr>
        <w:pStyle w:val="Heading5"/>
      </w:pPr>
      <w:bookmarkStart w:id="177" w:name="_Toc105053570"/>
      <w:r w:rsidRPr="00C9343F">
        <w:lastRenderedPageBreak/>
        <w:t>1.3.</w:t>
      </w:r>
      <w:r w:rsidR="009B03ED" w:rsidRPr="00C9343F">
        <w:t>85</w:t>
      </w:r>
      <w:r w:rsidR="00D94006" w:rsidRPr="00C9343F">
        <w:t>    </w:t>
      </w:r>
      <w:r w:rsidR="00CA709C" w:rsidRPr="00C9343F">
        <w:t>Dependants recognised by CDF</w:t>
      </w:r>
      <w:bookmarkEnd w:id="177"/>
    </w:p>
    <w:tbl>
      <w:tblPr>
        <w:tblW w:w="9360" w:type="dxa"/>
        <w:tblInd w:w="113" w:type="dxa"/>
        <w:tblLayout w:type="fixed"/>
        <w:tblLook w:val="0000" w:firstRow="0" w:lastRow="0" w:firstColumn="0" w:lastColumn="0" w:noHBand="0" w:noVBand="0"/>
      </w:tblPr>
      <w:tblGrid>
        <w:gridCol w:w="992"/>
        <w:gridCol w:w="567"/>
        <w:gridCol w:w="567"/>
        <w:gridCol w:w="7234"/>
      </w:tblGrid>
      <w:tr w:rsidR="00845F15" w:rsidRPr="00C9343F" w14:paraId="0092B353" w14:textId="77777777" w:rsidTr="00C31E7C">
        <w:tc>
          <w:tcPr>
            <w:tcW w:w="992" w:type="dxa"/>
          </w:tcPr>
          <w:p w14:paraId="0A9E4B2E" w14:textId="77777777" w:rsidR="00845F15" w:rsidRPr="00C9343F" w:rsidRDefault="00CA709C" w:rsidP="00F66D98">
            <w:pPr>
              <w:pStyle w:val="BlockText-Plain"/>
              <w:jc w:val="center"/>
            </w:pPr>
            <w:r w:rsidRPr="00C9343F">
              <w:t>1.</w:t>
            </w:r>
          </w:p>
        </w:tc>
        <w:tc>
          <w:tcPr>
            <w:tcW w:w="8368" w:type="dxa"/>
            <w:gridSpan w:val="3"/>
          </w:tcPr>
          <w:p w14:paraId="75B6CAE5" w14:textId="691112BF" w:rsidR="00845F15" w:rsidRPr="00C9343F" w:rsidRDefault="00C31E7C" w:rsidP="00F66D98">
            <w:pPr>
              <w:pStyle w:val="BlockText-Plain"/>
            </w:pPr>
            <w:r w:rsidRPr="00C9343F">
              <w:rPr>
                <w:iCs/>
              </w:rPr>
              <w:t>Subject to subsection 1A, the CDF</w:t>
            </w:r>
            <w:r w:rsidR="00CA709C" w:rsidRPr="00C9343F">
              <w:t xml:space="preserve"> may recognise a person as a dependant on the basis that the person has an interdependent relationship with a member. The CDF must have regard to the following factors.</w:t>
            </w:r>
          </w:p>
        </w:tc>
      </w:tr>
      <w:tr w:rsidR="00CA709C" w:rsidRPr="00C9343F" w14:paraId="37176C74" w14:textId="77777777" w:rsidTr="00C31E7C">
        <w:trPr>
          <w:cantSplit/>
        </w:trPr>
        <w:tc>
          <w:tcPr>
            <w:tcW w:w="992" w:type="dxa"/>
          </w:tcPr>
          <w:p w14:paraId="16F61BA5" w14:textId="77777777" w:rsidR="00CA709C" w:rsidRPr="00C9343F" w:rsidRDefault="00CA709C" w:rsidP="00F66D98">
            <w:pPr>
              <w:pStyle w:val="BlockText-Plain"/>
            </w:pPr>
          </w:p>
        </w:tc>
        <w:tc>
          <w:tcPr>
            <w:tcW w:w="567" w:type="dxa"/>
          </w:tcPr>
          <w:p w14:paraId="7A8F4E06" w14:textId="77777777" w:rsidR="00CA709C" w:rsidRPr="00C9343F" w:rsidRDefault="00CA709C" w:rsidP="007114B1">
            <w:pPr>
              <w:pStyle w:val="BlockText-Plain"/>
              <w:jc w:val="center"/>
            </w:pPr>
            <w:r w:rsidRPr="00C9343F">
              <w:t>a.</w:t>
            </w:r>
          </w:p>
        </w:tc>
        <w:tc>
          <w:tcPr>
            <w:tcW w:w="7801" w:type="dxa"/>
            <w:gridSpan w:val="2"/>
          </w:tcPr>
          <w:p w14:paraId="66B133A7" w14:textId="77777777" w:rsidR="00CA709C" w:rsidRPr="00C9343F" w:rsidRDefault="00CA709C" w:rsidP="00F66D98">
            <w:pPr>
              <w:pStyle w:val="BlockText-Plain"/>
            </w:pPr>
            <w:r w:rsidRPr="00C9343F">
              <w:t>Whether the person has a close personal relationship to the member. The CDF may consider any of the following circumstances, or any other relevant facts.</w:t>
            </w:r>
          </w:p>
        </w:tc>
      </w:tr>
      <w:tr w:rsidR="00CA709C" w:rsidRPr="00C9343F" w14:paraId="1BCCA430" w14:textId="77777777" w:rsidTr="00C31E7C">
        <w:trPr>
          <w:cantSplit/>
        </w:trPr>
        <w:tc>
          <w:tcPr>
            <w:tcW w:w="1559" w:type="dxa"/>
            <w:gridSpan w:val="2"/>
          </w:tcPr>
          <w:p w14:paraId="18A86F5E" w14:textId="77777777" w:rsidR="00CA709C" w:rsidRPr="00C9343F" w:rsidRDefault="00CA709C" w:rsidP="00F66D98">
            <w:pPr>
              <w:pStyle w:val="BlockText-Plain"/>
            </w:pPr>
          </w:p>
        </w:tc>
        <w:tc>
          <w:tcPr>
            <w:tcW w:w="567" w:type="dxa"/>
          </w:tcPr>
          <w:p w14:paraId="10C518BB" w14:textId="77777777" w:rsidR="00CA709C" w:rsidRPr="00C9343F" w:rsidRDefault="00CA709C" w:rsidP="007114B1">
            <w:pPr>
              <w:pStyle w:val="BlockText-Plain"/>
            </w:pPr>
            <w:r w:rsidRPr="00C9343F">
              <w:t>i.</w:t>
            </w:r>
          </w:p>
        </w:tc>
        <w:tc>
          <w:tcPr>
            <w:tcW w:w="7234" w:type="dxa"/>
          </w:tcPr>
          <w:p w14:paraId="74527E85" w14:textId="77777777" w:rsidR="00CA709C" w:rsidRPr="00C9343F" w:rsidRDefault="00CA709C" w:rsidP="00F66D98">
            <w:pPr>
              <w:pStyle w:val="BlockText-Plain"/>
            </w:pPr>
            <w:r w:rsidRPr="00C9343F">
              <w:t>Whether the relationship is permanent. This can include any evidence to show that the parties intend the relationship to be permanent.</w:t>
            </w:r>
          </w:p>
        </w:tc>
      </w:tr>
      <w:tr w:rsidR="00CA709C" w:rsidRPr="00C9343F" w14:paraId="588A1C0A" w14:textId="77777777" w:rsidTr="00C31E7C">
        <w:trPr>
          <w:cantSplit/>
        </w:trPr>
        <w:tc>
          <w:tcPr>
            <w:tcW w:w="1559" w:type="dxa"/>
            <w:gridSpan w:val="2"/>
          </w:tcPr>
          <w:p w14:paraId="14C38042" w14:textId="77777777" w:rsidR="00CA709C" w:rsidRPr="00C9343F" w:rsidRDefault="00CA709C" w:rsidP="00F66D98">
            <w:pPr>
              <w:pStyle w:val="BlockText-Plain"/>
            </w:pPr>
          </w:p>
        </w:tc>
        <w:tc>
          <w:tcPr>
            <w:tcW w:w="567" w:type="dxa"/>
          </w:tcPr>
          <w:p w14:paraId="2B1C2E02" w14:textId="77777777" w:rsidR="00CA709C" w:rsidRPr="00C9343F" w:rsidRDefault="00CA709C" w:rsidP="00F66D98">
            <w:pPr>
              <w:pStyle w:val="BlockText-Plain"/>
              <w:jc w:val="center"/>
            </w:pPr>
          </w:p>
        </w:tc>
        <w:tc>
          <w:tcPr>
            <w:tcW w:w="7234" w:type="dxa"/>
          </w:tcPr>
          <w:p w14:paraId="731DC7E2" w14:textId="77777777" w:rsidR="00CA709C" w:rsidRPr="00C9343F" w:rsidRDefault="00CA709C" w:rsidP="00F66D98">
            <w:pPr>
              <w:pStyle w:val="BlockText-Plain"/>
            </w:pPr>
            <w:r w:rsidRPr="00C9343F">
              <w:rPr>
                <w:b/>
              </w:rPr>
              <w:t>Example:</w:t>
            </w:r>
            <w:r w:rsidRPr="00C9343F">
              <w:t xml:space="preserve"> A non-dependent child who is orphaned may be recognised as a dependant under this </w:t>
            </w:r>
            <w:r w:rsidR="00803066" w:rsidRPr="00C9343F">
              <w:t>section</w:t>
            </w:r>
            <w:r w:rsidRPr="00C9343F">
              <w:t xml:space="preserve"> while the member applies to adopt the child. Once the adoption is finalised, the child will fall under the ordinary definitions of 'child' and 'dependant' in this Division.</w:t>
            </w:r>
          </w:p>
        </w:tc>
      </w:tr>
      <w:tr w:rsidR="00CA709C" w:rsidRPr="00C9343F" w14:paraId="11E2218D" w14:textId="77777777" w:rsidTr="00C31E7C">
        <w:trPr>
          <w:cantSplit/>
        </w:trPr>
        <w:tc>
          <w:tcPr>
            <w:tcW w:w="1559" w:type="dxa"/>
            <w:gridSpan w:val="2"/>
          </w:tcPr>
          <w:p w14:paraId="45629E0C" w14:textId="77777777" w:rsidR="00CA709C" w:rsidRPr="00C9343F" w:rsidRDefault="00CA709C" w:rsidP="00F66D98">
            <w:pPr>
              <w:pStyle w:val="BlockText-Plain"/>
            </w:pPr>
          </w:p>
        </w:tc>
        <w:tc>
          <w:tcPr>
            <w:tcW w:w="567" w:type="dxa"/>
          </w:tcPr>
          <w:p w14:paraId="73561A35" w14:textId="77777777" w:rsidR="00CA709C" w:rsidRPr="00C9343F" w:rsidRDefault="00CA709C" w:rsidP="007114B1">
            <w:pPr>
              <w:pStyle w:val="BlockText-Plain"/>
            </w:pPr>
            <w:r w:rsidRPr="00C9343F">
              <w:t>ii.</w:t>
            </w:r>
          </w:p>
        </w:tc>
        <w:tc>
          <w:tcPr>
            <w:tcW w:w="7234" w:type="dxa"/>
          </w:tcPr>
          <w:p w14:paraId="49385A04" w14:textId="77777777" w:rsidR="00CA709C" w:rsidRPr="00C9343F" w:rsidRDefault="00CA709C" w:rsidP="00F66D98">
            <w:pPr>
              <w:pStyle w:val="BlockText-Plain"/>
            </w:pPr>
            <w:r w:rsidRPr="00C9343F">
              <w:t>Ownership, acquisition and use of property.</w:t>
            </w:r>
          </w:p>
        </w:tc>
      </w:tr>
      <w:tr w:rsidR="00CA709C" w:rsidRPr="00C9343F" w14:paraId="426BDD7B" w14:textId="77777777" w:rsidTr="00C31E7C">
        <w:trPr>
          <w:cantSplit/>
        </w:trPr>
        <w:tc>
          <w:tcPr>
            <w:tcW w:w="1559" w:type="dxa"/>
            <w:gridSpan w:val="2"/>
          </w:tcPr>
          <w:p w14:paraId="2B2DC663" w14:textId="77777777" w:rsidR="00CA709C" w:rsidRPr="00C9343F" w:rsidRDefault="00CA709C" w:rsidP="00F66D98">
            <w:pPr>
              <w:pStyle w:val="BlockText-Plain"/>
            </w:pPr>
          </w:p>
        </w:tc>
        <w:tc>
          <w:tcPr>
            <w:tcW w:w="567" w:type="dxa"/>
          </w:tcPr>
          <w:p w14:paraId="1620853B" w14:textId="77777777" w:rsidR="00CA709C" w:rsidRPr="00C9343F" w:rsidRDefault="00CA709C" w:rsidP="007114B1">
            <w:pPr>
              <w:pStyle w:val="BlockText-Plain"/>
            </w:pPr>
            <w:r w:rsidRPr="00C9343F">
              <w:t>iii.</w:t>
            </w:r>
          </w:p>
        </w:tc>
        <w:tc>
          <w:tcPr>
            <w:tcW w:w="7234" w:type="dxa"/>
          </w:tcPr>
          <w:p w14:paraId="78A3E3EC" w14:textId="77777777" w:rsidR="00CA709C" w:rsidRPr="00C9343F" w:rsidRDefault="00CA709C" w:rsidP="00F66D98">
            <w:pPr>
              <w:pStyle w:val="BlockText-Plain"/>
            </w:pPr>
            <w:r w:rsidRPr="00C9343F">
              <w:t>The degree of mutual commitment to a shared life.</w:t>
            </w:r>
          </w:p>
        </w:tc>
      </w:tr>
      <w:tr w:rsidR="00CA709C" w:rsidRPr="00C9343F" w14:paraId="49F5EEE7" w14:textId="77777777" w:rsidTr="00C31E7C">
        <w:trPr>
          <w:cantSplit/>
        </w:trPr>
        <w:tc>
          <w:tcPr>
            <w:tcW w:w="1559" w:type="dxa"/>
            <w:gridSpan w:val="2"/>
          </w:tcPr>
          <w:p w14:paraId="3F1C7E31" w14:textId="77777777" w:rsidR="00CA709C" w:rsidRPr="00C9343F" w:rsidRDefault="00CA709C" w:rsidP="00F66D98">
            <w:pPr>
              <w:pStyle w:val="BlockText-Plain"/>
            </w:pPr>
          </w:p>
        </w:tc>
        <w:tc>
          <w:tcPr>
            <w:tcW w:w="567" w:type="dxa"/>
          </w:tcPr>
          <w:p w14:paraId="4321F4B8" w14:textId="77777777" w:rsidR="00CA709C" w:rsidRPr="00C9343F" w:rsidRDefault="00CA709C" w:rsidP="007114B1">
            <w:pPr>
              <w:pStyle w:val="BlockText-Plain"/>
            </w:pPr>
            <w:r w:rsidRPr="00C9343F">
              <w:t>iv.</w:t>
            </w:r>
          </w:p>
        </w:tc>
        <w:tc>
          <w:tcPr>
            <w:tcW w:w="7234" w:type="dxa"/>
          </w:tcPr>
          <w:p w14:paraId="08B6054C" w14:textId="77777777" w:rsidR="00CA709C" w:rsidRPr="00C9343F" w:rsidRDefault="00CA709C" w:rsidP="00F66D98">
            <w:pPr>
              <w:pStyle w:val="BlockText-Plain"/>
            </w:pPr>
            <w:r w:rsidRPr="00C9343F">
              <w:t>The care and support of children.</w:t>
            </w:r>
          </w:p>
        </w:tc>
      </w:tr>
      <w:tr w:rsidR="00CA709C" w:rsidRPr="00C9343F" w14:paraId="7DC1C1DB" w14:textId="77777777" w:rsidTr="00C31E7C">
        <w:trPr>
          <w:cantSplit/>
        </w:trPr>
        <w:tc>
          <w:tcPr>
            <w:tcW w:w="1559" w:type="dxa"/>
            <w:gridSpan w:val="2"/>
          </w:tcPr>
          <w:p w14:paraId="7ADAF9E4" w14:textId="77777777" w:rsidR="00CA709C" w:rsidRPr="00C9343F" w:rsidRDefault="00CA709C" w:rsidP="00F66D98">
            <w:pPr>
              <w:pStyle w:val="BlockText-Plain"/>
            </w:pPr>
          </w:p>
        </w:tc>
        <w:tc>
          <w:tcPr>
            <w:tcW w:w="567" w:type="dxa"/>
          </w:tcPr>
          <w:p w14:paraId="3DB1A833" w14:textId="77777777" w:rsidR="00CA709C" w:rsidRPr="00C9343F" w:rsidRDefault="00CA709C" w:rsidP="007114B1">
            <w:pPr>
              <w:pStyle w:val="BlockText-Plain"/>
            </w:pPr>
            <w:r w:rsidRPr="00C9343F">
              <w:t>v.</w:t>
            </w:r>
          </w:p>
        </w:tc>
        <w:tc>
          <w:tcPr>
            <w:tcW w:w="7234" w:type="dxa"/>
          </w:tcPr>
          <w:p w14:paraId="638E767B" w14:textId="77777777" w:rsidR="00CA709C" w:rsidRPr="00C9343F" w:rsidRDefault="00CA709C" w:rsidP="00F66D98">
            <w:pPr>
              <w:pStyle w:val="BlockText-Plain"/>
            </w:pPr>
            <w:r w:rsidRPr="00C9343F">
              <w:t>The reputation and public aspects of the relationship.</w:t>
            </w:r>
          </w:p>
          <w:p w14:paraId="6B64313C" w14:textId="77777777" w:rsidR="00CA709C" w:rsidRPr="00C9343F" w:rsidRDefault="00CA709C" w:rsidP="00F66D98">
            <w:pPr>
              <w:pStyle w:val="BlockText-Plain"/>
            </w:pPr>
            <w:r w:rsidRPr="00C9343F">
              <w:rPr>
                <w:b/>
              </w:rPr>
              <w:t>Example:</w:t>
            </w:r>
            <w:r w:rsidRPr="00C9343F">
              <w:t xml:space="preserve"> A statutory declaration that the relationship is one of interdependency.</w:t>
            </w:r>
          </w:p>
        </w:tc>
      </w:tr>
      <w:tr w:rsidR="00CA709C" w:rsidRPr="00C9343F" w14:paraId="6D2420C5" w14:textId="77777777" w:rsidTr="00C31E7C">
        <w:trPr>
          <w:cantSplit/>
        </w:trPr>
        <w:tc>
          <w:tcPr>
            <w:tcW w:w="1559" w:type="dxa"/>
            <w:gridSpan w:val="2"/>
          </w:tcPr>
          <w:p w14:paraId="0D36E087" w14:textId="77777777" w:rsidR="00CA709C" w:rsidRPr="00C9343F" w:rsidRDefault="00CA709C" w:rsidP="00F66D98">
            <w:pPr>
              <w:pStyle w:val="BlockText-Plain"/>
            </w:pPr>
          </w:p>
        </w:tc>
        <w:tc>
          <w:tcPr>
            <w:tcW w:w="567" w:type="dxa"/>
          </w:tcPr>
          <w:p w14:paraId="0D505929" w14:textId="77777777" w:rsidR="00CA709C" w:rsidRPr="00C9343F" w:rsidRDefault="00CA709C" w:rsidP="007114B1">
            <w:pPr>
              <w:pStyle w:val="BlockText-Plain"/>
            </w:pPr>
            <w:r w:rsidRPr="00C9343F">
              <w:t>vi.</w:t>
            </w:r>
          </w:p>
        </w:tc>
        <w:tc>
          <w:tcPr>
            <w:tcW w:w="7234" w:type="dxa"/>
          </w:tcPr>
          <w:p w14:paraId="5E79439F" w14:textId="77777777" w:rsidR="00CA709C" w:rsidRPr="00C9343F" w:rsidRDefault="00CA709C" w:rsidP="00F66D98">
            <w:pPr>
              <w:pStyle w:val="BlockText-Plain"/>
            </w:pPr>
            <w:r w:rsidRPr="00C9343F">
              <w:t>The degree of emotional support.</w:t>
            </w:r>
          </w:p>
        </w:tc>
      </w:tr>
      <w:tr w:rsidR="00CA709C" w:rsidRPr="00C9343F" w14:paraId="219F2CF3" w14:textId="77777777" w:rsidTr="00C31E7C">
        <w:trPr>
          <w:cantSplit/>
        </w:trPr>
        <w:tc>
          <w:tcPr>
            <w:tcW w:w="992" w:type="dxa"/>
          </w:tcPr>
          <w:p w14:paraId="1E0A28FE" w14:textId="77777777" w:rsidR="00CA709C" w:rsidRPr="00C9343F" w:rsidRDefault="00CA709C" w:rsidP="00F66D98">
            <w:pPr>
              <w:pStyle w:val="BlockText-Plain"/>
            </w:pPr>
          </w:p>
        </w:tc>
        <w:tc>
          <w:tcPr>
            <w:tcW w:w="567" w:type="dxa"/>
          </w:tcPr>
          <w:p w14:paraId="06D362D5" w14:textId="77777777" w:rsidR="00CA709C" w:rsidRPr="00C9343F" w:rsidRDefault="00CA709C" w:rsidP="007114B1">
            <w:pPr>
              <w:pStyle w:val="BlockText-Plain"/>
              <w:jc w:val="center"/>
            </w:pPr>
            <w:r w:rsidRPr="00C9343F">
              <w:t>b.</w:t>
            </w:r>
          </w:p>
        </w:tc>
        <w:tc>
          <w:tcPr>
            <w:tcW w:w="7801" w:type="dxa"/>
            <w:gridSpan w:val="2"/>
          </w:tcPr>
          <w:p w14:paraId="76832E96" w14:textId="77777777" w:rsidR="00CA709C" w:rsidRPr="00C9343F" w:rsidRDefault="00CA709C" w:rsidP="00F66D98">
            <w:pPr>
              <w:pStyle w:val="BlockText-Plain"/>
            </w:pPr>
            <w:r w:rsidRPr="00C9343F">
              <w:t>Whether the person lives with the member.</w:t>
            </w:r>
          </w:p>
        </w:tc>
      </w:tr>
      <w:tr w:rsidR="00CA709C" w:rsidRPr="00C9343F" w14:paraId="7704EDC5" w14:textId="77777777" w:rsidTr="00C31E7C">
        <w:trPr>
          <w:cantSplit/>
        </w:trPr>
        <w:tc>
          <w:tcPr>
            <w:tcW w:w="992" w:type="dxa"/>
          </w:tcPr>
          <w:p w14:paraId="728C34E0" w14:textId="77777777" w:rsidR="00CA709C" w:rsidRPr="00C9343F" w:rsidRDefault="00CA709C" w:rsidP="00F66D98">
            <w:pPr>
              <w:pStyle w:val="BlockText-Plain"/>
            </w:pPr>
          </w:p>
        </w:tc>
        <w:tc>
          <w:tcPr>
            <w:tcW w:w="567" w:type="dxa"/>
          </w:tcPr>
          <w:p w14:paraId="07D563F9" w14:textId="77777777" w:rsidR="00CA709C" w:rsidRPr="00C9343F" w:rsidRDefault="00CA709C" w:rsidP="007114B1">
            <w:pPr>
              <w:pStyle w:val="BlockText-Plain"/>
              <w:jc w:val="center"/>
            </w:pPr>
            <w:r w:rsidRPr="00C9343F">
              <w:t>c.</w:t>
            </w:r>
          </w:p>
        </w:tc>
        <w:tc>
          <w:tcPr>
            <w:tcW w:w="7801" w:type="dxa"/>
            <w:gridSpan w:val="2"/>
          </w:tcPr>
          <w:p w14:paraId="2068FED5" w14:textId="77777777" w:rsidR="00CA709C" w:rsidRPr="00C9343F" w:rsidRDefault="00CA709C" w:rsidP="00F66D98">
            <w:pPr>
              <w:pStyle w:val="BlockText-Plain"/>
            </w:pPr>
            <w:r w:rsidRPr="00C9343F">
              <w:t>Whether the person is unable to live with the member because of an intellectual, physical or psychiatric disability.</w:t>
            </w:r>
          </w:p>
        </w:tc>
      </w:tr>
      <w:tr w:rsidR="00CA709C" w:rsidRPr="00C9343F" w14:paraId="5751C94A" w14:textId="77777777" w:rsidTr="00C31E7C">
        <w:trPr>
          <w:cantSplit/>
        </w:trPr>
        <w:tc>
          <w:tcPr>
            <w:tcW w:w="992" w:type="dxa"/>
          </w:tcPr>
          <w:p w14:paraId="132287D8" w14:textId="77777777" w:rsidR="00CA709C" w:rsidRPr="00C9343F" w:rsidRDefault="00CA709C" w:rsidP="00F66D98">
            <w:pPr>
              <w:pStyle w:val="BlockText-Plain"/>
            </w:pPr>
          </w:p>
        </w:tc>
        <w:tc>
          <w:tcPr>
            <w:tcW w:w="567" w:type="dxa"/>
          </w:tcPr>
          <w:p w14:paraId="2EC224E3" w14:textId="77777777" w:rsidR="00CA709C" w:rsidRPr="00C9343F" w:rsidRDefault="00CA709C" w:rsidP="00F66D98">
            <w:pPr>
              <w:pStyle w:val="BlockText-Plain"/>
            </w:pPr>
          </w:p>
        </w:tc>
        <w:tc>
          <w:tcPr>
            <w:tcW w:w="7801" w:type="dxa"/>
            <w:gridSpan w:val="2"/>
          </w:tcPr>
          <w:p w14:paraId="690DF3E0" w14:textId="77777777" w:rsidR="00CA709C" w:rsidRPr="00C9343F" w:rsidRDefault="00CA709C" w:rsidP="00F66D98">
            <w:pPr>
              <w:pStyle w:val="BlockText-Plain"/>
            </w:pPr>
            <w:r w:rsidRPr="00C9343F">
              <w:rPr>
                <w:b/>
              </w:rPr>
              <w:t>Non-example:</w:t>
            </w:r>
            <w:r w:rsidRPr="00C9343F">
              <w:t xml:space="preserve"> A member's parent has lived independently, not living with the member as a dependant and then moves into an aged care facility. The parent is not eligible to be recognised as the member's dependant, although the member may have power of attorney for the parent.</w:t>
            </w:r>
          </w:p>
        </w:tc>
      </w:tr>
      <w:tr w:rsidR="00CA709C" w:rsidRPr="00C9343F" w14:paraId="54921EDE" w14:textId="77777777" w:rsidTr="00C31E7C">
        <w:trPr>
          <w:cantSplit/>
        </w:trPr>
        <w:tc>
          <w:tcPr>
            <w:tcW w:w="992" w:type="dxa"/>
          </w:tcPr>
          <w:p w14:paraId="77A411D1" w14:textId="77777777" w:rsidR="00CA709C" w:rsidRPr="00C9343F" w:rsidRDefault="00CA709C" w:rsidP="00F66D98">
            <w:pPr>
              <w:pStyle w:val="BlockText-Plain"/>
            </w:pPr>
          </w:p>
        </w:tc>
        <w:tc>
          <w:tcPr>
            <w:tcW w:w="567" w:type="dxa"/>
          </w:tcPr>
          <w:p w14:paraId="6C4C7B61" w14:textId="77777777" w:rsidR="00CA709C" w:rsidRPr="00C9343F" w:rsidRDefault="00CA709C" w:rsidP="00F66D98">
            <w:pPr>
              <w:pStyle w:val="BlockText-Plain"/>
            </w:pPr>
          </w:p>
        </w:tc>
        <w:tc>
          <w:tcPr>
            <w:tcW w:w="7801" w:type="dxa"/>
            <w:gridSpan w:val="2"/>
          </w:tcPr>
          <w:p w14:paraId="4D262D33" w14:textId="77777777" w:rsidR="00CA709C" w:rsidRPr="00C9343F" w:rsidRDefault="00CA709C" w:rsidP="00F66D98">
            <w:pPr>
              <w:pStyle w:val="BlockText-Plain"/>
            </w:pPr>
            <w:r w:rsidRPr="00C9343F">
              <w:rPr>
                <w:b/>
              </w:rPr>
              <w:t>Example:</w:t>
            </w:r>
            <w:r w:rsidRPr="00C9343F">
              <w:t xml:space="preserve"> A member's aged mother is recognised as a dependant. The member looks after his mother in the member's home. The mother moves permanently to an aged care facility. The mother remains the member's dependant.  </w:t>
            </w:r>
          </w:p>
          <w:p w14:paraId="4CA0EC32" w14:textId="77777777" w:rsidR="00CA709C" w:rsidRPr="00C9343F" w:rsidRDefault="00CA709C" w:rsidP="00F66D98">
            <w:pPr>
              <w:pStyle w:val="BlockText-Plain"/>
            </w:pPr>
            <w:r w:rsidRPr="00C9343F">
              <w:rPr>
                <w:b/>
              </w:rPr>
              <w:t>See also:</w:t>
            </w:r>
            <w:r w:rsidRPr="00C9343F">
              <w:t xml:space="preserve"> Section 1.3.84, Dependant with special needs</w:t>
            </w:r>
          </w:p>
        </w:tc>
      </w:tr>
      <w:tr w:rsidR="00CA709C" w:rsidRPr="00C9343F" w14:paraId="4AE5FB3C" w14:textId="77777777" w:rsidTr="00C31E7C">
        <w:trPr>
          <w:cantSplit/>
        </w:trPr>
        <w:tc>
          <w:tcPr>
            <w:tcW w:w="992" w:type="dxa"/>
          </w:tcPr>
          <w:p w14:paraId="04B70949" w14:textId="77777777" w:rsidR="00CA709C" w:rsidRPr="00C9343F" w:rsidRDefault="00CA709C" w:rsidP="00F66D98">
            <w:pPr>
              <w:pStyle w:val="BlockText-Plain"/>
            </w:pPr>
          </w:p>
        </w:tc>
        <w:tc>
          <w:tcPr>
            <w:tcW w:w="567" w:type="dxa"/>
          </w:tcPr>
          <w:p w14:paraId="7CEBF8CD" w14:textId="77777777" w:rsidR="00CA709C" w:rsidRPr="00C9343F" w:rsidRDefault="00CA709C" w:rsidP="007114B1">
            <w:pPr>
              <w:pStyle w:val="BlockText-Plain"/>
              <w:jc w:val="center"/>
            </w:pPr>
            <w:r w:rsidRPr="00C9343F">
              <w:t>d.</w:t>
            </w:r>
          </w:p>
        </w:tc>
        <w:tc>
          <w:tcPr>
            <w:tcW w:w="7801" w:type="dxa"/>
            <w:gridSpan w:val="2"/>
          </w:tcPr>
          <w:p w14:paraId="03B4D506" w14:textId="77777777" w:rsidR="00CA709C" w:rsidRPr="00C9343F" w:rsidRDefault="00CA709C" w:rsidP="00F66D98">
            <w:pPr>
              <w:pStyle w:val="BlockText-Plain"/>
            </w:pPr>
            <w:r w:rsidRPr="00C9343F">
              <w:t>Whether the member provides the person with substantial financial support.</w:t>
            </w:r>
          </w:p>
          <w:p w14:paraId="4B5D0718" w14:textId="77777777" w:rsidR="00CA709C" w:rsidRPr="00C9343F" w:rsidRDefault="00CA709C" w:rsidP="00F66D98">
            <w:pPr>
              <w:pStyle w:val="BlockText-Plain"/>
            </w:pPr>
            <w:r w:rsidRPr="00C9343F">
              <w:rPr>
                <w:b/>
              </w:rPr>
              <w:t>Non-example:</w:t>
            </w:r>
            <w:r w:rsidRPr="00C9343F">
              <w:t xml:space="preserve"> A member's parent who receives the aged pension, is in average health and is renting their own home is not a dependant.</w:t>
            </w:r>
          </w:p>
        </w:tc>
      </w:tr>
      <w:tr w:rsidR="00CA709C" w:rsidRPr="00C9343F" w14:paraId="1CE8D943" w14:textId="77777777" w:rsidTr="00C31E7C">
        <w:trPr>
          <w:cantSplit/>
        </w:trPr>
        <w:tc>
          <w:tcPr>
            <w:tcW w:w="992" w:type="dxa"/>
          </w:tcPr>
          <w:p w14:paraId="73E40CA1" w14:textId="77777777" w:rsidR="00CA709C" w:rsidRPr="00C9343F" w:rsidRDefault="00CA709C" w:rsidP="00F66D98">
            <w:pPr>
              <w:pStyle w:val="BlockText-Plain"/>
            </w:pPr>
          </w:p>
        </w:tc>
        <w:tc>
          <w:tcPr>
            <w:tcW w:w="567" w:type="dxa"/>
          </w:tcPr>
          <w:p w14:paraId="0EC5628B" w14:textId="77777777" w:rsidR="00CA709C" w:rsidRPr="00C9343F" w:rsidRDefault="00CA709C" w:rsidP="007114B1">
            <w:pPr>
              <w:pStyle w:val="BlockText-Plain"/>
              <w:jc w:val="center"/>
            </w:pPr>
            <w:r w:rsidRPr="00C9343F">
              <w:t>e.</w:t>
            </w:r>
          </w:p>
        </w:tc>
        <w:tc>
          <w:tcPr>
            <w:tcW w:w="7801" w:type="dxa"/>
            <w:gridSpan w:val="2"/>
          </w:tcPr>
          <w:p w14:paraId="45623142" w14:textId="77777777" w:rsidR="00CA709C" w:rsidRPr="00C9343F" w:rsidRDefault="00CA709C" w:rsidP="00F66D98">
            <w:pPr>
              <w:pStyle w:val="BlockText-Plain"/>
            </w:pPr>
            <w:r w:rsidRPr="00C9343F">
              <w:t xml:space="preserve">Whether one or each of them provides the other with interdependent support and personal care. </w:t>
            </w:r>
          </w:p>
          <w:p w14:paraId="630884BF" w14:textId="77777777" w:rsidR="00CA709C" w:rsidRPr="00C9343F" w:rsidRDefault="00CA709C" w:rsidP="00F66D98">
            <w:pPr>
              <w:pStyle w:val="BlockText-Plain"/>
              <w:spacing w:after="0"/>
              <w:rPr>
                <w:b/>
              </w:rPr>
            </w:pPr>
            <w:r w:rsidRPr="00C9343F">
              <w:rPr>
                <w:b/>
              </w:rPr>
              <w:t>Examples:</w:t>
            </w:r>
          </w:p>
          <w:p w14:paraId="58D97012" w14:textId="77777777" w:rsidR="00CA709C" w:rsidRPr="00C9343F" w:rsidRDefault="00CA709C" w:rsidP="00F66D98">
            <w:pPr>
              <w:pStyle w:val="BlockText-Plain"/>
              <w:spacing w:after="0"/>
            </w:pPr>
            <w:r w:rsidRPr="00C9343F">
              <w:t>1.  A member's parent is of pensionable age and suffering from a disabling illness. They are dependant on the member to provide a home and care.</w:t>
            </w:r>
          </w:p>
          <w:p w14:paraId="28AD56D4" w14:textId="77777777" w:rsidR="00CA709C" w:rsidRPr="00C9343F" w:rsidRDefault="00CA709C" w:rsidP="00F66D98">
            <w:pPr>
              <w:pStyle w:val="BlockText-Plain"/>
            </w:pPr>
            <w:r w:rsidRPr="00C9343F">
              <w:t>2.  A person has medical conditions for which the member provides care. The person is able to show evidence from their doctor to support this.</w:t>
            </w:r>
          </w:p>
        </w:tc>
      </w:tr>
      <w:tr w:rsidR="00C31E7C" w:rsidRPr="00C9343F" w14:paraId="785F3203" w14:textId="77777777" w:rsidTr="00C31E7C">
        <w:tc>
          <w:tcPr>
            <w:tcW w:w="992" w:type="dxa"/>
          </w:tcPr>
          <w:p w14:paraId="47260E90" w14:textId="77777777" w:rsidR="00C31E7C" w:rsidRPr="00C9343F" w:rsidRDefault="00C31E7C" w:rsidP="00F66D98">
            <w:pPr>
              <w:pStyle w:val="Sectiontext0"/>
              <w:jc w:val="center"/>
            </w:pPr>
            <w:r w:rsidRPr="00C9343F">
              <w:t>1A.</w:t>
            </w:r>
          </w:p>
        </w:tc>
        <w:tc>
          <w:tcPr>
            <w:tcW w:w="8368" w:type="dxa"/>
            <w:gridSpan w:val="3"/>
          </w:tcPr>
          <w:p w14:paraId="1A097877" w14:textId="77777777" w:rsidR="00C31E7C" w:rsidRPr="00C9343F" w:rsidRDefault="00C31E7C" w:rsidP="00F66D98">
            <w:pPr>
              <w:pStyle w:val="Sectiontext0"/>
              <w:rPr>
                <w:iCs/>
              </w:rPr>
            </w:pPr>
            <w:r w:rsidRPr="00C9343F">
              <w:rPr>
                <w:iCs/>
              </w:rPr>
              <w:t>Subsection 1 does not apply to a person who is, or who has ceased to be, one of the following in relation to the member referred to in subsection 1.</w:t>
            </w:r>
          </w:p>
        </w:tc>
      </w:tr>
      <w:tr w:rsidR="00C31E7C" w:rsidRPr="00C9343F" w14:paraId="7EB27577" w14:textId="77777777" w:rsidTr="00C31E7C">
        <w:tc>
          <w:tcPr>
            <w:tcW w:w="992" w:type="dxa"/>
          </w:tcPr>
          <w:p w14:paraId="770E938C" w14:textId="77777777" w:rsidR="00C31E7C" w:rsidRPr="00C9343F" w:rsidRDefault="00C31E7C" w:rsidP="00F66D98">
            <w:pPr>
              <w:pStyle w:val="Sectiontext0"/>
              <w:jc w:val="center"/>
            </w:pPr>
          </w:p>
        </w:tc>
        <w:tc>
          <w:tcPr>
            <w:tcW w:w="567" w:type="dxa"/>
          </w:tcPr>
          <w:p w14:paraId="053F68CF" w14:textId="77777777" w:rsidR="00C31E7C" w:rsidRPr="00C9343F" w:rsidRDefault="00C31E7C" w:rsidP="007114B1">
            <w:pPr>
              <w:pStyle w:val="Sectiontext0"/>
              <w:jc w:val="center"/>
              <w:rPr>
                <w:iCs/>
              </w:rPr>
            </w:pPr>
            <w:r w:rsidRPr="00C9343F">
              <w:rPr>
                <w:iCs/>
              </w:rPr>
              <w:t>a.</w:t>
            </w:r>
          </w:p>
        </w:tc>
        <w:tc>
          <w:tcPr>
            <w:tcW w:w="7801" w:type="dxa"/>
            <w:gridSpan w:val="2"/>
          </w:tcPr>
          <w:p w14:paraId="6CA485EB" w14:textId="77777777" w:rsidR="00C31E7C" w:rsidRPr="00C9343F" w:rsidRDefault="00C31E7C" w:rsidP="00F66D98">
            <w:pPr>
              <w:pStyle w:val="Sectiontext0"/>
              <w:rPr>
                <w:iCs/>
              </w:rPr>
            </w:pPr>
            <w:r w:rsidRPr="00C9343F">
              <w:rPr>
                <w:iCs/>
              </w:rPr>
              <w:t>A child under section 1.3.81.</w:t>
            </w:r>
          </w:p>
        </w:tc>
      </w:tr>
      <w:tr w:rsidR="00C31E7C" w:rsidRPr="00C9343F" w14:paraId="5CF8D681" w14:textId="77777777" w:rsidTr="00C31E7C">
        <w:tc>
          <w:tcPr>
            <w:tcW w:w="992" w:type="dxa"/>
          </w:tcPr>
          <w:p w14:paraId="1F51420E" w14:textId="77777777" w:rsidR="00C31E7C" w:rsidRPr="00C9343F" w:rsidRDefault="00C31E7C" w:rsidP="00F66D98">
            <w:pPr>
              <w:pStyle w:val="Sectiontext0"/>
              <w:jc w:val="center"/>
            </w:pPr>
          </w:p>
        </w:tc>
        <w:tc>
          <w:tcPr>
            <w:tcW w:w="567" w:type="dxa"/>
          </w:tcPr>
          <w:p w14:paraId="0B5FD540" w14:textId="77777777" w:rsidR="00C31E7C" w:rsidRPr="00C9343F" w:rsidRDefault="00C31E7C" w:rsidP="007114B1">
            <w:pPr>
              <w:pStyle w:val="Sectiontext0"/>
              <w:jc w:val="center"/>
              <w:rPr>
                <w:iCs/>
              </w:rPr>
            </w:pPr>
            <w:r w:rsidRPr="00C9343F">
              <w:rPr>
                <w:iCs/>
              </w:rPr>
              <w:t>b.</w:t>
            </w:r>
          </w:p>
        </w:tc>
        <w:tc>
          <w:tcPr>
            <w:tcW w:w="7801" w:type="dxa"/>
            <w:gridSpan w:val="2"/>
          </w:tcPr>
          <w:p w14:paraId="7684BAA2" w14:textId="77777777" w:rsidR="00C31E7C" w:rsidRPr="00C9343F" w:rsidRDefault="00C31E7C" w:rsidP="00F66D98">
            <w:pPr>
              <w:pStyle w:val="Sectiontext0"/>
              <w:rPr>
                <w:iCs/>
              </w:rPr>
            </w:pPr>
            <w:r w:rsidRPr="00C9343F">
              <w:rPr>
                <w:iCs/>
              </w:rPr>
              <w:t>A partner under section 1.3.88.</w:t>
            </w:r>
          </w:p>
        </w:tc>
      </w:tr>
      <w:tr w:rsidR="00CA709C" w:rsidRPr="00C9343F" w14:paraId="3E0458C8" w14:textId="77777777" w:rsidTr="00C31E7C">
        <w:tc>
          <w:tcPr>
            <w:tcW w:w="992" w:type="dxa"/>
          </w:tcPr>
          <w:p w14:paraId="54E8C912" w14:textId="77777777" w:rsidR="00CA709C" w:rsidRPr="00C9343F" w:rsidRDefault="00CA709C" w:rsidP="00F66D98">
            <w:pPr>
              <w:pStyle w:val="BlockText-Plain"/>
              <w:jc w:val="center"/>
            </w:pPr>
            <w:r w:rsidRPr="00C9343F">
              <w:t>2.</w:t>
            </w:r>
          </w:p>
        </w:tc>
        <w:tc>
          <w:tcPr>
            <w:tcW w:w="8368" w:type="dxa"/>
            <w:gridSpan w:val="3"/>
          </w:tcPr>
          <w:p w14:paraId="01769A26" w14:textId="77777777" w:rsidR="00CA709C" w:rsidRPr="00C9343F" w:rsidRDefault="00CA709C" w:rsidP="00F66D98">
            <w:pPr>
              <w:pStyle w:val="BlockText-Plain"/>
            </w:pPr>
            <w:r w:rsidRPr="00C9343F">
              <w:t>The CDF may recognise a child as a dependant if the child is expected to live with the member at their posting location for less than 90 nights a year. The CDF must consider all the following criteria.</w:t>
            </w:r>
          </w:p>
        </w:tc>
      </w:tr>
      <w:tr w:rsidR="00CA709C" w:rsidRPr="00C9343F" w14:paraId="3AA3A522" w14:textId="77777777" w:rsidTr="00C31E7C">
        <w:trPr>
          <w:cantSplit/>
        </w:trPr>
        <w:tc>
          <w:tcPr>
            <w:tcW w:w="992" w:type="dxa"/>
          </w:tcPr>
          <w:p w14:paraId="47CEB43E" w14:textId="77777777" w:rsidR="00CA709C" w:rsidRPr="00C9343F" w:rsidRDefault="00CA709C" w:rsidP="00F66D98">
            <w:pPr>
              <w:pStyle w:val="BlockText-Plain"/>
            </w:pPr>
          </w:p>
        </w:tc>
        <w:tc>
          <w:tcPr>
            <w:tcW w:w="567" w:type="dxa"/>
          </w:tcPr>
          <w:p w14:paraId="5FE58DAE" w14:textId="77777777" w:rsidR="00CA709C" w:rsidRPr="00C9343F" w:rsidRDefault="00CA709C" w:rsidP="007114B1">
            <w:pPr>
              <w:pStyle w:val="BlockText-Plain"/>
              <w:jc w:val="center"/>
            </w:pPr>
            <w:r w:rsidRPr="00C9343F">
              <w:t>a.</w:t>
            </w:r>
          </w:p>
        </w:tc>
        <w:tc>
          <w:tcPr>
            <w:tcW w:w="7801" w:type="dxa"/>
            <w:gridSpan w:val="2"/>
          </w:tcPr>
          <w:p w14:paraId="04794047" w14:textId="77777777" w:rsidR="00CA709C" w:rsidRPr="00C9343F" w:rsidRDefault="00CA709C" w:rsidP="00F66D98">
            <w:pPr>
              <w:pStyle w:val="BlockText-Plain"/>
            </w:pPr>
            <w:r w:rsidRPr="00C9343F">
              <w:t>The arrangements for the child's contact or residence with the member.</w:t>
            </w:r>
          </w:p>
        </w:tc>
      </w:tr>
      <w:tr w:rsidR="00CA709C" w:rsidRPr="00C9343F" w14:paraId="1F1B344C" w14:textId="77777777" w:rsidTr="00C31E7C">
        <w:trPr>
          <w:cantSplit/>
        </w:trPr>
        <w:tc>
          <w:tcPr>
            <w:tcW w:w="992" w:type="dxa"/>
          </w:tcPr>
          <w:p w14:paraId="3302CBD0" w14:textId="77777777" w:rsidR="00CA709C" w:rsidRPr="00C9343F" w:rsidRDefault="00CA709C" w:rsidP="00F66D98">
            <w:pPr>
              <w:pStyle w:val="BlockText-Plain"/>
            </w:pPr>
          </w:p>
        </w:tc>
        <w:tc>
          <w:tcPr>
            <w:tcW w:w="567" w:type="dxa"/>
          </w:tcPr>
          <w:p w14:paraId="0D51C8D3" w14:textId="77777777" w:rsidR="00CA709C" w:rsidRPr="00C9343F" w:rsidRDefault="00CA709C" w:rsidP="007114B1">
            <w:pPr>
              <w:pStyle w:val="BlockText-Plain"/>
              <w:jc w:val="center"/>
            </w:pPr>
            <w:r w:rsidRPr="00C9343F">
              <w:t>b.</w:t>
            </w:r>
          </w:p>
        </w:tc>
        <w:tc>
          <w:tcPr>
            <w:tcW w:w="7801" w:type="dxa"/>
            <w:gridSpan w:val="2"/>
          </w:tcPr>
          <w:p w14:paraId="15920D76" w14:textId="77777777" w:rsidR="00CA709C" w:rsidRPr="00C9343F" w:rsidRDefault="00CA709C" w:rsidP="00F66D98">
            <w:pPr>
              <w:pStyle w:val="BlockText-Plain"/>
            </w:pPr>
            <w:r w:rsidRPr="00C9343F">
              <w:t>The member's access to the child.</w:t>
            </w:r>
          </w:p>
        </w:tc>
      </w:tr>
      <w:tr w:rsidR="00CA709C" w:rsidRPr="00C9343F" w14:paraId="63B3EF28" w14:textId="77777777" w:rsidTr="00C31E7C">
        <w:trPr>
          <w:cantSplit/>
        </w:trPr>
        <w:tc>
          <w:tcPr>
            <w:tcW w:w="992" w:type="dxa"/>
          </w:tcPr>
          <w:p w14:paraId="71B20593" w14:textId="77777777" w:rsidR="00CA709C" w:rsidRPr="00C9343F" w:rsidRDefault="00CA709C" w:rsidP="00F66D98">
            <w:pPr>
              <w:pStyle w:val="BlockText-Plain"/>
            </w:pPr>
          </w:p>
        </w:tc>
        <w:tc>
          <w:tcPr>
            <w:tcW w:w="567" w:type="dxa"/>
          </w:tcPr>
          <w:p w14:paraId="558CBA8F" w14:textId="77777777" w:rsidR="00CA709C" w:rsidRPr="00C9343F" w:rsidRDefault="00CA709C" w:rsidP="007114B1">
            <w:pPr>
              <w:pStyle w:val="BlockText-Plain"/>
              <w:jc w:val="center"/>
            </w:pPr>
            <w:r w:rsidRPr="00C9343F">
              <w:t>c.</w:t>
            </w:r>
          </w:p>
        </w:tc>
        <w:tc>
          <w:tcPr>
            <w:tcW w:w="7801" w:type="dxa"/>
            <w:gridSpan w:val="2"/>
          </w:tcPr>
          <w:p w14:paraId="12DDD7FE" w14:textId="77777777" w:rsidR="00CA709C" w:rsidRPr="00C9343F" w:rsidRDefault="00CA709C" w:rsidP="00F66D98">
            <w:pPr>
              <w:pStyle w:val="BlockText-Plain"/>
            </w:pPr>
            <w:r w:rsidRPr="00C9343F">
              <w:t>The distance and transport between the child's location and the member's location.</w:t>
            </w:r>
          </w:p>
        </w:tc>
      </w:tr>
      <w:tr w:rsidR="00CA709C" w:rsidRPr="00C9343F" w14:paraId="4864A742" w14:textId="77777777" w:rsidTr="00C31E7C">
        <w:trPr>
          <w:cantSplit/>
        </w:trPr>
        <w:tc>
          <w:tcPr>
            <w:tcW w:w="992" w:type="dxa"/>
          </w:tcPr>
          <w:p w14:paraId="08EAC11A" w14:textId="77777777" w:rsidR="00CA709C" w:rsidRPr="00C9343F" w:rsidRDefault="00CA709C" w:rsidP="00F66D98">
            <w:pPr>
              <w:pStyle w:val="BlockText-Plain"/>
            </w:pPr>
          </w:p>
        </w:tc>
        <w:tc>
          <w:tcPr>
            <w:tcW w:w="567" w:type="dxa"/>
          </w:tcPr>
          <w:p w14:paraId="30FEC7AE" w14:textId="77777777" w:rsidR="00CA709C" w:rsidRPr="00C9343F" w:rsidRDefault="00CA709C" w:rsidP="007114B1">
            <w:pPr>
              <w:pStyle w:val="BlockText-Plain"/>
              <w:jc w:val="center"/>
            </w:pPr>
            <w:r w:rsidRPr="00C9343F">
              <w:t>d.</w:t>
            </w:r>
          </w:p>
        </w:tc>
        <w:tc>
          <w:tcPr>
            <w:tcW w:w="7801" w:type="dxa"/>
            <w:gridSpan w:val="2"/>
          </w:tcPr>
          <w:p w14:paraId="393F31C2" w14:textId="77777777" w:rsidR="00CA709C" w:rsidRPr="00C9343F" w:rsidRDefault="00CA709C" w:rsidP="00F66D98">
            <w:pPr>
              <w:pStyle w:val="BlockText-Plain"/>
            </w:pPr>
            <w:r w:rsidRPr="00C9343F">
              <w:t>The nature and extent of the member's Service commitments.</w:t>
            </w:r>
          </w:p>
        </w:tc>
      </w:tr>
      <w:tr w:rsidR="00CA709C" w:rsidRPr="00C9343F" w14:paraId="6E5470E5" w14:textId="77777777" w:rsidTr="00C31E7C">
        <w:trPr>
          <w:cantSplit/>
        </w:trPr>
        <w:tc>
          <w:tcPr>
            <w:tcW w:w="992" w:type="dxa"/>
          </w:tcPr>
          <w:p w14:paraId="58716944" w14:textId="77777777" w:rsidR="00CA709C" w:rsidRPr="00C9343F" w:rsidRDefault="00CA709C" w:rsidP="00F66D98">
            <w:pPr>
              <w:pStyle w:val="BlockText-Plain"/>
            </w:pPr>
          </w:p>
        </w:tc>
        <w:tc>
          <w:tcPr>
            <w:tcW w:w="567" w:type="dxa"/>
          </w:tcPr>
          <w:p w14:paraId="11E02AD3" w14:textId="77777777" w:rsidR="00CA709C" w:rsidRPr="00C9343F" w:rsidRDefault="00CA709C" w:rsidP="007114B1">
            <w:pPr>
              <w:pStyle w:val="BlockText-Plain"/>
              <w:jc w:val="center"/>
            </w:pPr>
            <w:r w:rsidRPr="00C9343F">
              <w:t>e.</w:t>
            </w:r>
          </w:p>
        </w:tc>
        <w:tc>
          <w:tcPr>
            <w:tcW w:w="7801" w:type="dxa"/>
            <w:gridSpan w:val="2"/>
          </w:tcPr>
          <w:p w14:paraId="5FD7A150" w14:textId="77777777" w:rsidR="00CA709C" w:rsidRPr="00C9343F" w:rsidRDefault="00CA709C" w:rsidP="00F66D98">
            <w:pPr>
              <w:pStyle w:val="BlockText-Plain"/>
            </w:pPr>
            <w:r w:rsidRPr="00C9343F">
              <w:t>Other factors that may be relevant to the relationship of the child and the member.</w:t>
            </w:r>
          </w:p>
        </w:tc>
      </w:tr>
      <w:tr w:rsidR="00CA709C" w:rsidRPr="00C9343F" w14:paraId="57247574" w14:textId="77777777" w:rsidTr="00C31E7C">
        <w:tc>
          <w:tcPr>
            <w:tcW w:w="992" w:type="dxa"/>
          </w:tcPr>
          <w:p w14:paraId="387C048B" w14:textId="77777777" w:rsidR="00CA709C" w:rsidRPr="00C9343F" w:rsidRDefault="00CA709C" w:rsidP="00F66D98">
            <w:pPr>
              <w:pStyle w:val="BlockText-Plain"/>
              <w:jc w:val="center"/>
            </w:pPr>
            <w:r w:rsidRPr="00C9343F">
              <w:t>3.</w:t>
            </w:r>
          </w:p>
        </w:tc>
        <w:tc>
          <w:tcPr>
            <w:tcW w:w="8368" w:type="dxa"/>
            <w:gridSpan w:val="3"/>
          </w:tcPr>
          <w:p w14:paraId="08C70C03" w14:textId="77777777" w:rsidR="00CA709C" w:rsidRPr="00C9343F" w:rsidRDefault="00CA709C" w:rsidP="00F66D98">
            <w:pPr>
              <w:pStyle w:val="BlockText-Plain"/>
            </w:pPr>
            <w:r w:rsidRPr="00C9343F">
              <w:t>The CDF may recognise a member's live-in carer as a dependant for one or more of the benefits listed in the following table. The CDF must be satisfied that both the following circumstances apply.</w:t>
            </w:r>
          </w:p>
        </w:tc>
      </w:tr>
      <w:tr w:rsidR="00CA709C" w:rsidRPr="00C9343F" w14:paraId="20580481" w14:textId="77777777" w:rsidTr="00C31E7C">
        <w:trPr>
          <w:cantSplit/>
        </w:trPr>
        <w:tc>
          <w:tcPr>
            <w:tcW w:w="992" w:type="dxa"/>
          </w:tcPr>
          <w:p w14:paraId="2CBABCFB" w14:textId="77777777" w:rsidR="00CA709C" w:rsidRPr="00C9343F" w:rsidRDefault="00CA709C" w:rsidP="00F66D98">
            <w:pPr>
              <w:pStyle w:val="BlockText-Plain"/>
            </w:pPr>
          </w:p>
        </w:tc>
        <w:tc>
          <w:tcPr>
            <w:tcW w:w="567" w:type="dxa"/>
          </w:tcPr>
          <w:p w14:paraId="12F0BADC" w14:textId="77777777" w:rsidR="00CA709C" w:rsidRPr="00C9343F" w:rsidRDefault="00CA709C" w:rsidP="007114B1">
            <w:pPr>
              <w:pStyle w:val="BlockText-Plain"/>
              <w:jc w:val="center"/>
            </w:pPr>
            <w:r w:rsidRPr="00C9343F">
              <w:t>a.</w:t>
            </w:r>
          </w:p>
        </w:tc>
        <w:tc>
          <w:tcPr>
            <w:tcW w:w="7801" w:type="dxa"/>
            <w:gridSpan w:val="2"/>
          </w:tcPr>
          <w:p w14:paraId="383D3CF3" w14:textId="77777777" w:rsidR="00CA709C" w:rsidRPr="00C9343F" w:rsidRDefault="00CA709C" w:rsidP="00F66D98">
            <w:pPr>
              <w:pStyle w:val="BlockText-Plain"/>
            </w:pPr>
            <w:r w:rsidRPr="00C9343F">
              <w:t>The live-in carer is for the member.</w:t>
            </w:r>
          </w:p>
        </w:tc>
      </w:tr>
      <w:tr w:rsidR="00CA709C" w:rsidRPr="00C9343F" w14:paraId="5618E2BC" w14:textId="77777777" w:rsidTr="00C31E7C">
        <w:trPr>
          <w:cantSplit/>
        </w:trPr>
        <w:tc>
          <w:tcPr>
            <w:tcW w:w="992" w:type="dxa"/>
          </w:tcPr>
          <w:p w14:paraId="6BB1949D" w14:textId="77777777" w:rsidR="00CA709C" w:rsidRPr="00C9343F" w:rsidRDefault="00CA709C" w:rsidP="00F66D98">
            <w:pPr>
              <w:pStyle w:val="BlockText-Plain"/>
            </w:pPr>
          </w:p>
        </w:tc>
        <w:tc>
          <w:tcPr>
            <w:tcW w:w="567" w:type="dxa"/>
          </w:tcPr>
          <w:p w14:paraId="169F3D61" w14:textId="77777777" w:rsidR="00CA709C" w:rsidRPr="00C9343F" w:rsidRDefault="00CA709C" w:rsidP="007114B1">
            <w:pPr>
              <w:pStyle w:val="BlockText-Plain"/>
              <w:jc w:val="center"/>
            </w:pPr>
            <w:r w:rsidRPr="00C9343F">
              <w:t>b.</w:t>
            </w:r>
          </w:p>
        </w:tc>
        <w:tc>
          <w:tcPr>
            <w:tcW w:w="7801" w:type="dxa"/>
            <w:gridSpan w:val="2"/>
          </w:tcPr>
          <w:p w14:paraId="76026CE7" w14:textId="77777777" w:rsidR="00CA709C" w:rsidRPr="00C9343F" w:rsidRDefault="00CA709C" w:rsidP="00F66D98">
            <w:pPr>
              <w:pStyle w:val="BlockText-Plain"/>
            </w:pPr>
            <w:r w:rsidRPr="00C9343F">
              <w:t>The live-in carer is included on the member's rehabilitation plan.</w:t>
            </w:r>
          </w:p>
        </w:tc>
      </w:tr>
    </w:tbl>
    <w:p w14:paraId="13BF3A37" w14:textId="77777777" w:rsidR="00CA709C" w:rsidRPr="00C9343F" w:rsidRDefault="00CA709C" w:rsidP="00F66D98"/>
    <w:tbl>
      <w:tblPr>
        <w:tblW w:w="0" w:type="auto"/>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98"/>
        <w:gridCol w:w="3898"/>
      </w:tblGrid>
      <w:tr w:rsidR="00CA709C" w:rsidRPr="00C9343F" w14:paraId="05D064B0" w14:textId="77777777" w:rsidTr="00C94205">
        <w:trPr>
          <w:cantSplit/>
        </w:trPr>
        <w:tc>
          <w:tcPr>
            <w:tcW w:w="567" w:type="dxa"/>
          </w:tcPr>
          <w:p w14:paraId="2A290362" w14:textId="77777777" w:rsidR="00CA709C" w:rsidRPr="00C9343F" w:rsidRDefault="00CA709C" w:rsidP="00F66D98">
            <w:pPr>
              <w:pStyle w:val="TableHeaderArial"/>
            </w:pPr>
            <w:r w:rsidRPr="00C9343F">
              <w:t>Item</w:t>
            </w:r>
          </w:p>
        </w:tc>
        <w:tc>
          <w:tcPr>
            <w:tcW w:w="3898" w:type="dxa"/>
          </w:tcPr>
          <w:p w14:paraId="0273914F" w14:textId="77777777" w:rsidR="00CA709C" w:rsidRPr="00C9343F" w:rsidRDefault="00CA709C" w:rsidP="00F66D98">
            <w:pPr>
              <w:pStyle w:val="TableHeaderArial"/>
            </w:pPr>
            <w:r w:rsidRPr="00C9343F">
              <w:t>Benefit</w:t>
            </w:r>
          </w:p>
        </w:tc>
        <w:tc>
          <w:tcPr>
            <w:tcW w:w="3898" w:type="dxa"/>
          </w:tcPr>
          <w:p w14:paraId="269A3AD9" w14:textId="77777777" w:rsidR="00CA709C" w:rsidRPr="00C9343F" w:rsidRDefault="00CA709C" w:rsidP="00F66D98">
            <w:pPr>
              <w:pStyle w:val="TableHeaderArial"/>
            </w:pPr>
            <w:r w:rsidRPr="00C9343F">
              <w:t>Reference</w:t>
            </w:r>
          </w:p>
        </w:tc>
      </w:tr>
      <w:tr w:rsidR="00CA709C" w:rsidRPr="00C9343F" w14:paraId="18531255" w14:textId="77777777" w:rsidTr="00C94205">
        <w:trPr>
          <w:cantSplit/>
        </w:trPr>
        <w:tc>
          <w:tcPr>
            <w:tcW w:w="567" w:type="dxa"/>
          </w:tcPr>
          <w:p w14:paraId="26B373DA" w14:textId="77777777" w:rsidR="00CA709C" w:rsidRPr="00C9343F" w:rsidRDefault="00CA709C" w:rsidP="00F66D98">
            <w:pPr>
              <w:pStyle w:val="TableTextArial-left"/>
              <w:jc w:val="center"/>
            </w:pPr>
            <w:r w:rsidRPr="00C9343F">
              <w:t>1.</w:t>
            </w:r>
          </w:p>
        </w:tc>
        <w:tc>
          <w:tcPr>
            <w:tcW w:w="3898" w:type="dxa"/>
          </w:tcPr>
          <w:p w14:paraId="4D7049B6" w14:textId="77777777" w:rsidR="00CA709C" w:rsidRPr="00C9343F" w:rsidRDefault="00CA709C" w:rsidP="00F66D98">
            <w:pPr>
              <w:pStyle w:val="TableTextArial-left"/>
              <w:rPr>
                <w:bCs/>
                <w:iCs/>
              </w:rPr>
            </w:pPr>
            <w:r w:rsidRPr="00C9343F">
              <w:rPr>
                <w:bCs/>
                <w:iCs/>
              </w:rPr>
              <w:t>Removal</w:t>
            </w:r>
          </w:p>
        </w:tc>
        <w:tc>
          <w:tcPr>
            <w:tcW w:w="3898" w:type="dxa"/>
          </w:tcPr>
          <w:p w14:paraId="67C8AAF3" w14:textId="77777777" w:rsidR="00CA709C" w:rsidRPr="00C9343F" w:rsidRDefault="00CA709C" w:rsidP="00F66D98">
            <w:pPr>
              <w:pStyle w:val="TableTextArial-left"/>
            </w:pPr>
            <w:r w:rsidRPr="00C9343F">
              <w:t>Chapter 6 Part 5</w:t>
            </w:r>
          </w:p>
        </w:tc>
      </w:tr>
      <w:tr w:rsidR="00CA709C" w:rsidRPr="00C9343F" w14:paraId="3EBB8056" w14:textId="77777777" w:rsidTr="00C94205">
        <w:trPr>
          <w:cantSplit/>
        </w:trPr>
        <w:tc>
          <w:tcPr>
            <w:tcW w:w="567" w:type="dxa"/>
          </w:tcPr>
          <w:p w14:paraId="45F3097D" w14:textId="77777777" w:rsidR="00CA709C" w:rsidRPr="00C9343F" w:rsidRDefault="00CA709C" w:rsidP="00F66D98">
            <w:pPr>
              <w:pStyle w:val="TableTextArial-left"/>
              <w:jc w:val="center"/>
            </w:pPr>
            <w:r w:rsidRPr="00C9343F">
              <w:t>2.</w:t>
            </w:r>
          </w:p>
        </w:tc>
        <w:tc>
          <w:tcPr>
            <w:tcW w:w="3898" w:type="dxa"/>
          </w:tcPr>
          <w:p w14:paraId="17BFEC9C" w14:textId="77777777" w:rsidR="00CA709C" w:rsidRPr="00C9343F" w:rsidRDefault="00CA709C" w:rsidP="00F66D98">
            <w:pPr>
              <w:pStyle w:val="TableTextArial-left"/>
              <w:rPr>
                <w:bCs/>
                <w:iCs/>
              </w:rPr>
            </w:pPr>
            <w:r w:rsidRPr="00C9343F">
              <w:rPr>
                <w:bCs/>
                <w:iCs/>
              </w:rPr>
              <w:t>Service residence</w:t>
            </w:r>
          </w:p>
        </w:tc>
        <w:tc>
          <w:tcPr>
            <w:tcW w:w="3898" w:type="dxa"/>
          </w:tcPr>
          <w:p w14:paraId="38E4DB3D" w14:textId="77777777" w:rsidR="00CA709C" w:rsidRPr="00C9343F" w:rsidRDefault="00CA709C" w:rsidP="00F66D98">
            <w:pPr>
              <w:pStyle w:val="TableTextArial-left"/>
            </w:pPr>
            <w:r w:rsidRPr="00C9343F">
              <w:t>Chapter 7 Part 6</w:t>
            </w:r>
          </w:p>
        </w:tc>
      </w:tr>
      <w:tr w:rsidR="00CA709C" w:rsidRPr="00C9343F" w14:paraId="0CFF3E6A" w14:textId="77777777" w:rsidTr="00C94205">
        <w:trPr>
          <w:cantSplit/>
        </w:trPr>
        <w:tc>
          <w:tcPr>
            <w:tcW w:w="567" w:type="dxa"/>
          </w:tcPr>
          <w:p w14:paraId="3A374087" w14:textId="77777777" w:rsidR="00CA709C" w:rsidRPr="00C9343F" w:rsidRDefault="00CA709C" w:rsidP="00F66D98">
            <w:pPr>
              <w:pStyle w:val="TableTextArial-left"/>
              <w:jc w:val="center"/>
            </w:pPr>
            <w:r w:rsidRPr="00C9343F">
              <w:t>3.</w:t>
            </w:r>
          </w:p>
        </w:tc>
        <w:tc>
          <w:tcPr>
            <w:tcW w:w="3898" w:type="dxa"/>
          </w:tcPr>
          <w:p w14:paraId="74B35A59" w14:textId="77777777" w:rsidR="00CA709C" w:rsidRPr="00C9343F" w:rsidRDefault="00CA709C" w:rsidP="00F66D98">
            <w:pPr>
              <w:pStyle w:val="TableTextArial-left"/>
            </w:pPr>
            <w:r w:rsidRPr="00C9343F">
              <w:t>Rent allowance</w:t>
            </w:r>
          </w:p>
        </w:tc>
        <w:tc>
          <w:tcPr>
            <w:tcW w:w="3898" w:type="dxa"/>
          </w:tcPr>
          <w:p w14:paraId="1F9E0A56" w14:textId="77777777" w:rsidR="00CA709C" w:rsidRPr="00C9343F" w:rsidRDefault="00CA709C" w:rsidP="00F66D98">
            <w:pPr>
              <w:pStyle w:val="TableTextArial-left"/>
            </w:pPr>
            <w:r w:rsidRPr="00C9343F">
              <w:t>Chapter 7 Part 8</w:t>
            </w:r>
          </w:p>
        </w:tc>
      </w:tr>
    </w:tbl>
    <w:p w14:paraId="370A32B0" w14:textId="77777777" w:rsidR="00CA709C" w:rsidRPr="00C9343F" w:rsidRDefault="00CA709C" w:rsidP="00F66D98"/>
    <w:tbl>
      <w:tblPr>
        <w:tblW w:w="9355" w:type="dxa"/>
        <w:tblInd w:w="113" w:type="dxa"/>
        <w:tblLayout w:type="fixed"/>
        <w:tblLook w:val="0000" w:firstRow="0" w:lastRow="0" w:firstColumn="0" w:lastColumn="0" w:noHBand="0" w:noVBand="0"/>
      </w:tblPr>
      <w:tblGrid>
        <w:gridCol w:w="992"/>
        <w:gridCol w:w="567"/>
        <w:gridCol w:w="578"/>
        <w:gridCol w:w="7218"/>
      </w:tblGrid>
      <w:tr w:rsidR="00CA709C" w:rsidRPr="00C9343F" w14:paraId="174394F7" w14:textId="77777777" w:rsidTr="00B613BA">
        <w:tc>
          <w:tcPr>
            <w:tcW w:w="992" w:type="dxa"/>
          </w:tcPr>
          <w:p w14:paraId="1D475D09" w14:textId="77777777" w:rsidR="00CA709C" w:rsidRPr="00C9343F" w:rsidRDefault="00CA709C" w:rsidP="00F66D98">
            <w:pPr>
              <w:pStyle w:val="BlockText-Plain"/>
              <w:jc w:val="center"/>
            </w:pPr>
            <w:r w:rsidRPr="00C9343F">
              <w:t>4.</w:t>
            </w:r>
          </w:p>
        </w:tc>
        <w:tc>
          <w:tcPr>
            <w:tcW w:w="8363" w:type="dxa"/>
            <w:gridSpan w:val="3"/>
          </w:tcPr>
          <w:p w14:paraId="55C8E69A" w14:textId="77777777" w:rsidR="00CA709C" w:rsidRPr="00C9343F" w:rsidRDefault="00CA709C" w:rsidP="00F66D98">
            <w:pPr>
              <w:pStyle w:val="BlockText-Plain"/>
            </w:pPr>
            <w:r w:rsidRPr="00C9343F">
              <w:t>The recognition of a live-in carer as a dependant under subsection 3 stops when the member no longer needs the carer.</w:t>
            </w:r>
          </w:p>
        </w:tc>
      </w:tr>
      <w:tr w:rsidR="00B613BA" w:rsidRPr="00C9343F" w14:paraId="03A8B535" w14:textId="77777777" w:rsidTr="00B613BA">
        <w:trPr>
          <w:cantSplit/>
        </w:trPr>
        <w:tc>
          <w:tcPr>
            <w:tcW w:w="992" w:type="dxa"/>
          </w:tcPr>
          <w:p w14:paraId="7C2EF804" w14:textId="7EC03ED9" w:rsidR="00B613BA" w:rsidRPr="00C9343F" w:rsidRDefault="00B613BA" w:rsidP="00F66D98">
            <w:pPr>
              <w:pStyle w:val="BlockText-Plain"/>
              <w:jc w:val="center"/>
            </w:pPr>
            <w:r w:rsidRPr="00C9343F">
              <w:t>5.</w:t>
            </w:r>
          </w:p>
        </w:tc>
        <w:tc>
          <w:tcPr>
            <w:tcW w:w="8363" w:type="dxa"/>
            <w:gridSpan w:val="3"/>
          </w:tcPr>
          <w:p w14:paraId="26F0EC5F" w14:textId="3037FBAD" w:rsidR="00B613BA" w:rsidRPr="00C9343F" w:rsidRDefault="00B613BA" w:rsidP="00F66D98">
            <w:pPr>
              <w:pStyle w:val="BlockText-Plain"/>
            </w:pPr>
            <w:r w:rsidRPr="00C9343F">
              <w:rPr>
                <w:iCs/>
              </w:rPr>
              <w:t>A person may be recognised as a dependant of a member if the CDF is satisfied that all of the following apply.</w:t>
            </w:r>
          </w:p>
        </w:tc>
      </w:tr>
      <w:tr w:rsidR="00B613BA" w:rsidRPr="00C9343F" w14:paraId="4DA454E1" w14:textId="77777777" w:rsidTr="00B613BA">
        <w:trPr>
          <w:cantSplit/>
        </w:trPr>
        <w:tc>
          <w:tcPr>
            <w:tcW w:w="992" w:type="dxa"/>
          </w:tcPr>
          <w:p w14:paraId="4E4E24DD" w14:textId="77777777" w:rsidR="00B613BA" w:rsidRPr="00C9343F" w:rsidRDefault="00B613BA" w:rsidP="00F66D98">
            <w:pPr>
              <w:pStyle w:val="BlockText-Plain"/>
            </w:pPr>
          </w:p>
        </w:tc>
        <w:tc>
          <w:tcPr>
            <w:tcW w:w="567" w:type="dxa"/>
          </w:tcPr>
          <w:p w14:paraId="26E9151E" w14:textId="6EBEE49A" w:rsidR="00B613BA" w:rsidRPr="00C9343F" w:rsidRDefault="00B613BA" w:rsidP="007114B1">
            <w:pPr>
              <w:pStyle w:val="BlockText-Plain"/>
              <w:jc w:val="center"/>
            </w:pPr>
            <w:r w:rsidRPr="00C9343F">
              <w:rPr>
                <w:rFonts w:cs="Arial"/>
                <w:lang w:eastAsia="en-US"/>
              </w:rPr>
              <w:t>a.</w:t>
            </w:r>
          </w:p>
        </w:tc>
        <w:tc>
          <w:tcPr>
            <w:tcW w:w="7796" w:type="dxa"/>
            <w:gridSpan w:val="2"/>
          </w:tcPr>
          <w:p w14:paraId="56DBE9C7" w14:textId="2C54D019" w:rsidR="00B613BA" w:rsidRPr="00C9343F" w:rsidRDefault="00B613BA" w:rsidP="00F66D98">
            <w:pPr>
              <w:pStyle w:val="BlockText-Plain"/>
            </w:pPr>
            <w:r w:rsidRPr="00C9343F">
              <w:t>The person would be a dependant of the member if they normally lived with the member.</w:t>
            </w:r>
          </w:p>
        </w:tc>
      </w:tr>
      <w:tr w:rsidR="00B613BA" w:rsidRPr="00C9343F" w14:paraId="4B2DC1E7" w14:textId="77777777" w:rsidTr="00B613BA">
        <w:trPr>
          <w:cantSplit/>
        </w:trPr>
        <w:tc>
          <w:tcPr>
            <w:tcW w:w="992" w:type="dxa"/>
          </w:tcPr>
          <w:p w14:paraId="5FA2FDB5" w14:textId="77777777" w:rsidR="00B613BA" w:rsidRPr="00C9343F" w:rsidRDefault="00B613BA" w:rsidP="00F66D98">
            <w:pPr>
              <w:pStyle w:val="BlockText-Plain"/>
            </w:pPr>
          </w:p>
        </w:tc>
        <w:tc>
          <w:tcPr>
            <w:tcW w:w="567" w:type="dxa"/>
          </w:tcPr>
          <w:p w14:paraId="0AEBFF98" w14:textId="4CC01524" w:rsidR="00B613BA" w:rsidRPr="00C9343F" w:rsidRDefault="00B613BA" w:rsidP="007114B1">
            <w:pPr>
              <w:pStyle w:val="BlockText-Plain"/>
              <w:jc w:val="center"/>
            </w:pPr>
            <w:r w:rsidRPr="00C9343F">
              <w:rPr>
                <w:rFonts w:cs="Arial"/>
                <w:lang w:eastAsia="en-US"/>
              </w:rPr>
              <w:t>b.</w:t>
            </w:r>
          </w:p>
        </w:tc>
        <w:tc>
          <w:tcPr>
            <w:tcW w:w="7796" w:type="dxa"/>
            <w:gridSpan w:val="2"/>
          </w:tcPr>
          <w:p w14:paraId="1AB920D8" w14:textId="7FF7D98B" w:rsidR="00B613BA" w:rsidRPr="00C9343F" w:rsidRDefault="00B613BA" w:rsidP="00F66D98">
            <w:pPr>
              <w:pStyle w:val="BlockText-Plain"/>
            </w:pPr>
            <w:r w:rsidRPr="00C9343F">
              <w:rPr>
                <w:rFonts w:cs="Arial"/>
                <w:lang w:eastAsia="en-US"/>
              </w:rPr>
              <w:t>The member and the person are not able to normally live together due to service requirements only.</w:t>
            </w:r>
          </w:p>
        </w:tc>
      </w:tr>
      <w:tr w:rsidR="00B613BA" w:rsidRPr="00C9343F" w14:paraId="5AC8FC6F" w14:textId="77777777" w:rsidTr="00EB5AE6">
        <w:trPr>
          <w:cantSplit/>
        </w:trPr>
        <w:tc>
          <w:tcPr>
            <w:tcW w:w="992" w:type="dxa"/>
          </w:tcPr>
          <w:p w14:paraId="43982D59" w14:textId="6261B709" w:rsidR="00B613BA" w:rsidRPr="00C9343F" w:rsidRDefault="00B613BA" w:rsidP="00F66D98">
            <w:pPr>
              <w:pStyle w:val="BlockText-Plain"/>
              <w:jc w:val="center"/>
            </w:pPr>
            <w:r w:rsidRPr="00C9343F">
              <w:t>5A.</w:t>
            </w:r>
          </w:p>
        </w:tc>
        <w:tc>
          <w:tcPr>
            <w:tcW w:w="8363" w:type="dxa"/>
            <w:gridSpan w:val="3"/>
          </w:tcPr>
          <w:p w14:paraId="54CD15C5" w14:textId="59B7B2C1" w:rsidR="00B613BA" w:rsidRPr="00C9343F" w:rsidRDefault="00B613BA" w:rsidP="00F66D98">
            <w:pPr>
              <w:pStyle w:val="BlockText-Plain"/>
            </w:pPr>
            <w:r w:rsidRPr="00C9343F">
              <w:rPr>
                <w:iCs/>
              </w:rPr>
              <w:t>A person may be recognised as a dependant of a member if all of the following are met.</w:t>
            </w:r>
          </w:p>
        </w:tc>
      </w:tr>
      <w:tr w:rsidR="00B613BA" w:rsidRPr="00C9343F" w14:paraId="16B5DA82" w14:textId="77777777" w:rsidTr="00B613BA">
        <w:trPr>
          <w:cantSplit/>
        </w:trPr>
        <w:tc>
          <w:tcPr>
            <w:tcW w:w="992" w:type="dxa"/>
          </w:tcPr>
          <w:p w14:paraId="54BBF36B" w14:textId="77777777" w:rsidR="00B613BA" w:rsidRPr="00C9343F" w:rsidRDefault="00B613BA" w:rsidP="00F66D98">
            <w:pPr>
              <w:pStyle w:val="BlockText-Plain"/>
            </w:pPr>
          </w:p>
        </w:tc>
        <w:tc>
          <w:tcPr>
            <w:tcW w:w="567" w:type="dxa"/>
          </w:tcPr>
          <w:p w14:paraId="4976230B" w14:textId="278A8E37" w:rsidR="00B613BA" w:rsidRPr="00C9343F" w:rsidRDefault="00B613BA" w:rsidP="007114B1">
            <w:pPr>
              <w:pStyle w:val="BlockText-Plain"/>
              <w:jc w:val="center"/>
            </w:pPr>
            <w:r w:rsidRPr="00C9343F">
              <w:rPr>
                <w:rFonts w:cs="Arial"/>
                <w:lang w:eastAsia="en-US"/>
              </w:rPr>
              <w:t>a.</w:t>
            </w:r>
          </w:p>
        </w:tc>
        <w:tc>
          <w:tcPr>
            <w:tcW w:w="7796" w:type="dxa"/>
            <w:gridSpan w:val="2"/>
          </w:tcPr>
          <w:p w14:paraId="542B284C" w14:textId="097EA0DC" w:rsidR="00B613BA" w:rsidRPr="00C9343F" w:rsidRDefault="00B613BA" w:rsidP="00F66D98">
            <w:pPr>
              <w:pStyle w:val="BlockText-Plain"/>
            </w:pPr>
            <w:r w:rsidRPr="00C9343F">
              <w:t>The person would be a dependant of the member if they normally lived with the member.</w:t>
            </w:r>
          </w:p>
        </w:tc>
      </w:tr>
      <w:tr w:rsidR="00B613BA" w:rsidRPr="00C9343F" w14:paraId="2B5F3D8F" w14:textId="77777777" w:rsidTr="00B613BA">
        <w:trPr>
          <w:cantSplit/>
        </w:trPr>
        <w:tc>
          <w:tcPr>
            <w:tcW w:w="992" w:type="dxa"/>
          </w:tcPr>
          <w:p w14:paraId="4BD84AA9" w14:textId="77777777" w:rsidR="00B613BA" w:rsidRPr="00C9343F" w:rsidRDefault="00B613BA" w:rsidP="00F66D98">
            <w:pPr>
              <w:pStyle w:val="BlockText-Plain"/>
            </w:pPr>
          </w:p>
        </w:tc>
        <w:tc>
          <w:tcPr>
            <w:tcW w:w="567" w:type="dxa"/>
          </w:tcPr>
          <w:p w14:paraId="43B5069E" w14:textId="59EDD955" w:rsidR="00B613BA" w:rsidRPr="00C9343F" w:rsidRDefault="00B613BA" w:rsidP="007114B1">
            <w:pPr>
              <w:pStyle w:val="BlockText-Plain"/>
              <w:jc w:val="center"/>
            </w:pPr>
            <w:r w:rsidRPr="00C9343F">
              <w:rPr>
                <w:rFonts w:cs="Arial"/>
                <w:lang w:eastAsia="en-US"/>
              </w:rPr>
              <w:t>b.</w:t>
            </w:r>
          </w:p>
        </w:tc>
        <w:tc>
          <w:tcPr>
            <w:tcW w:w="7796" w:type="dxa"/>
            <w:gridSpan w:val="2"/>
          </w:tcPr>
          <w:p w14:paraId="12CBB158" w14:textId="14B781AD" w:rsidR="00B613BA" w:rsidRPr="00C9343F" w:rsidRDefault="00B613BA" w:rsidP="00F66D98">
            <w:pPr>
              <w:pStyle w:val="BlockText-Plain"/>
            </w:pPr>
            <w:r w:rsidRPr="00C9343F">
              <w:rPr>
                <w:rFonts w:cs="Arial"/>
                <w:lang w:eastAsia="en-US"/>
              </w:rPr>
              <w:t>The member and the person are not able to normally live together due to one of the following.</w:t>
            </w:r>
          </w:p>
        </w:tc>
      </w:tr>
      <w:tr w:rsidR="00B613BA" w:rsidRPr="00C9343F" w14:paraId="2C018430" w14:textId="77777777" w:rsidTr="00B613BA">
        <w:trPr>
          <w:cantSplit/>
        </w:trPr>
        <w:tc>
          <w:tcPr>
            <w:tcW w:w="992" w:type="dxa"/>
          </w:tcPr>
          <w:p w14:paraId="33E355CA" w14:textId="77777777" w:rsidR="00B613BA" w:rsidRPr="00C9343F" w:rsidRDefault="00B613BA" w:rsidP="00F66D98">
            <w:pPr>
              <w:pStyle w:val="BlockText-Plain"/>
            </w:pPr>
          </w:p>
        </w:tc>
        <w:tc>
          <w:tcPr>
            <w:tcW w:w="567" w:type="dxa"/>
          </w:tcPr>
          <w:p w14:paraId="335EF6EF" w14:textId="77777777" w:rsidR="00B613BA" w:rsidRPr="00C9343F" w:rsidRDefault="00B613BA" w:rsidP="00F66D98">
            <w:pPr>
              <w:pStyle w:val="BlockText-Plain"/>
            </w:pPr>
          </w:p>
        </w:tc>
        <w:tc>
          <w:tcPr>
            <w:tcW w:w="578" w:type="dxa"/>
          </w:tcPr>
          <w:p w14:paraId="054CBD2D" w14:textId="502CE6BD" w:rsidR="00B613BA" w:rsidRPr="00C9343F" w:rsidRDefault="00B613BA" w:rsidP="00F66D98">
            <w:pPr>
              <w:pStyle w:val="BlockText-Plain"/>
            </w:pPr>
            <w:r w:rsidRPr="00C9343F">
              <w:t>i.</w:t>
            </w:r>
          </w:p>
        </w:tc>
        <w:tc>
          <w:tcPr>
            <w:tcW w:w="7218" w:type="dxa"/>
          </w:tcPr>
          <w:p w14:paraId="5D33EC6A" w14:textId="659CB254" w:rsidR="00B613BA" w:rsidRPr="00C9343F" w:rsidRDefault="00B613BA" w:rsidP="00F66D98">
            <w:pPr>
              <w:pStyle w:val="BlockText-Plain"/>
            </w:pPr>
            <w:r w:rsidRPr="00C9343F">
              <w:t>Court orders relating to children.</w:t>
            </w:r>
          </w:p>
        </w:tc>
      </w:tr>
      <w:tr w:rsidR="00B613BA" w:rsidRPr="00C9343F" w14:paraId="6C8FE20A" w14:textId="77777777" w:rsidTr="00B613BA">
        <w:trPr>
          <w:cantSplit/>
        </w:trPr>
        <w:tc>
          <w:tcPr>
            <w:tcW w:w="992" w:type="dxa"/>
          </w:tcPr>
          <w:p w14:paraId="674CA3D6" w14:textId="77777777" w:rsidR="00B613BA" w:rsidRPr="00C9343F" w:rsidRDefault="00B613BA" w:rsidP="00F66D98">
            <w:pPr>
              <w:pStyle w:val="BlockText-Plain"/>
            </w:pPr>
          </w:p>
        </w:tc>
        <w:tc>
          <w:tcPr>
            <w:tcW w:w="567" w:type="dxa"/>
          </w:tcPr>
          <w:p w14:paraId="023649EC" w14:textId="77777777" w:rsidR="00B613BA" w:rsidRPr="00C9343F" w:rsidRDefault="00B613BA" w:rsidP="00F66D98">
            <w:pPr>
              <w:pStyle w:val="BlockText-Plain"/>
            </w:pPr>
          </w:p>
        </w:tc>
        <w:tc>
          <w:tcPr>
            <w:tcW w:w="578" w:type="dxa"/>
          </w:tcPr>
          <w:p w14:paraId="77BE9BE7" w14:textId="47724045" w:rsidR="00B613BA" w:rsidRPr="00C9343F" w:rsidRDefault="00B613BA" w:rsidP="00F66D98">
            <w:pPr>
              <w:pStyle w:val="BlockText-Plain"/>
            </w:pPr>
            <w:r w:rsidRPr="00C9343F">
              <w:t>ii.</w:t>
            </w:r>
          </w:p>
        </w:tc>
        <w:tc>
          <w:tcPr>
            <w:tcW w:w="7218" w:type="dxa"/>
          </w:tcPr>
          <w:p w14:paraId="666FDD76" w14:textId="0518654C" w:rsidR="00B613BA" w:rsidRPr="00C9343F" w:rsidRDefault="00B613BA" w:rsidP="00F66D98">
            <w:pPr>
              <w:pStyle w:val="BlockText-Plain"/>
            </w:pPr>
            <w:r w:rsidRPr="00C9343F">
              <w:t>Court orders relating to the safety and welfare of a person.</w:t>
            </w:r>
          </w:p>
        </w:tc>
      </w:tr>
      <w:tr w:rsidR="00B613BA" w:rsidRPr="00C9343F" w14:paraId="3C2F2910" w14:textId="77777777" w:rsidTr="00B613BA">
        <w:trPr>
          <w:cantSplit/>
        </w:trPr>
        <w:tc>
          <w:tcPr>
            <w:tcW w:w="992" w:type="dxa"/>
          </w:tcPr>
          <w:p w14:paraId="219CFF41" w14:textId="77777777" w:rsidR="00B613BA" w:rsidRPr="00C9343F" w:rsidRDefault="00B613BA" w:rsidP="00F66D98">
            <w:pPr>
              <w:pStyle w:val="BlockText-Plain"/>
            </w:pPr>
          </w:p>
        </w:tc>
        <w:tc>
          <w:tcPr>
            <w:tcW w:w="567" w:type="dxa"/>
          </w:tcPr>
          <w:p w14:paraId="1EF91477" w14:textId="77777777" w:rsidR="00B613BA" w:rsidRPr="00C9343F" w:rsidRDefault="00B613BA" w:rsidP="00F66D98">
            <w:pPr>
              <w:pStyle w:val="BlockText-Plain"/>
            </w:pPr>
          </w:p>
        </w:tc>
        <w:tc>
          <w:tcPr>
            <w:tcW w:w="578" w:type="dxa"/>
          </w:tcPr>
          <w:p w14:paraId="5492E761" w14:textId="13F2BA00" w:rsidR="00B613BA" w:rsidRPr="00C9343F" w:rsidRDefault="00B613BA" w:rsidP="00F66D98">
            <w:pPr>
              <w:pStyle w:val="BlockText-Plain"/>
            </w:pPr>
            <w:r w:rsidRPr="00C9343F">
              <w:t>iii.</w:t>
            </w:r>
          </w:p>
        </w:tc>
        <w:tc>
          <w:tcPr>
            <w:tcW w:w="7218" w:type="dxa"/>
          </w:tcPr>
          <w:p w14:paraId="22C35F63" w14:textId="61D65DFA" w:rsidR="00B613BA" w:rsidRPr="00C9343F" w:rsidRDefault="00B613BA" w:rsidP="00F66D98">
            <w:pPr>
              <w:pStyle w:val="BlockText-Plain"/>
            </w:pPr>
            <w:r w:rsidRPr="00C9343F">
              <w:t>Compelling reasons.</w:t>
            </w:r>
            <w:r w:rsidRPr="00C9343F">
              <w:rPr>
                <w:color w:val="70AD47" w:themeColor="accent6"/>
              </w:rPr>
              <w:t xml:space="preserve"> </w:t>
            </w:r>
          </w:p>
        </w:tc>
      </w:tr>
      <w:tr w:rsidR="00B613BA" w:rsidRPr="00C9343F" w14:paraId="43A1CE77" w14:textId="77777777" w:rsidTr="00B613BA">
        <w:trPr>
          <w:cantSplit/>
        </w:trPr>
        <w:tc>
          <w:tcPr>
            <w:tcW w:w="992" w:type="dxa"/>
          </w:tcPr>
          <w:p w14:paraId="0EBEBE56" w14:textId="77777777" w:rsidR="00B613BA" w:rsidRPr="00C9343F" w:rsidRDefault="00B613BA" w:rsidP="00F66D98">
            <w:pPr>
              <w:pStyle w:val="BlockText-Plain"/>
            </w:pPr>
          </w:p>
        </w:tc>
        <w:tc>
          <w:tcPr>
            <w:tcW w:w="567" w:type="dxa"/>
          </w:tcPr>
          <w:p w14:paraId="469893BA" w14:textId="45391DC8" w:rsidR="00B613BA" w:rsidRPr="00C9343F" w:rsidRDefault="00B613BA" w:rsidP="007114B1">
            <w:pPr>
              <w:pStyle w:val="BlockText-Plain"/>
              <w:jc w:val="center"/>
            </w:pPr>
            <w:r w:rsidRPr="00C9343F">
              <w:rPr>
                <w:rFonts w:cs="Arial"/>
                <w:lang w:eastAsia="en-US"/>
              </w:rPr>
              <w:t>c.</w:t>
            </w:r>
          </w:p>
        </w:tc>
        <w:tc>
          <w:tcPr>
            <w:tcW w:w="7796" w:type="dxa"/>
            <w:gridSpan w:val="2"/>
          </w:tcPr>
          <w:p w14:paraId="66682008" w14:textId="3B3850EE" w:rsidR="00B613BA" w:rsidRPr="00C9343F" w:rsidRDefault="00B613BA" w:rsidP="00F66D98">
            <w:pPr>
              <w:pStyle w:val="BlockText-Plain"/>
            </w:pPr>
            <w:r w:rsidRPr="00C9343F">
              <w:rPr>
                <w:iCs/>
              </w:rPr>
              <w:t>The CDF is satisfied that it is reasonable in the circumstances to recognise the person as a dependant of the member.</w:t>
            </w:r>
          </w:p>
        </w:tc>
      </w:tr>
      <w:tr w:rsidR="00B613BA" w:rsidRPr="00C9343F" w14:paraId="3C813460" w14:textId="77777777" w:rsidTr="00B613BA">
        <w:tc>
          <w:tcPr>
            <w:tcW w:w="992" w:type="dxa"/>
          </w:tcPr>
          <w:p w14:paraId="7AF71D64" w14:textId="77777777" w:rsidR="00B613BA" w:rsidRPr="00C9343F" w:rsidRDefault="00B613BA" w:rsidP="00F66D98">
            <w:pPr>
              <w:pStyle w:val="BlockText-Plain"/>
              <w:jc w:val="center"/>
            </w:pPr>
            <w:r w:rsidRPr="00C9343F">
              <w:t>6.</w:t>
            </w:r>
          </w:p>
        </w:tc>
        <w:tc>
          <w:tcPr>
            <w:tcW w:w="8363" w:type="dxa"/>
            <w:gridSpan w:val="3"/>
          </w:tcPr>
          <w:p w14:paraId="752F8EAB" w14:textId="77777777" w:rsidR="00B613BA" w:rsidRPr="00C9343F" w:rsidRDefault="00B613BA" w:rsidP="00F66D98">
            <w:pPr>
              <w:pStyle w:val="BlockText-Plain"/>
            </w:pPr>
            <w:r w:rsidRPr="00C9343F">
              <w:t>The CDF must not recognise a person as a dependant under this section if satisfied that any of the following circumstances apply.</w:t>
            </w:r>
          </w:p>
        </w:tc>
      </w:tr>
      <w:tr w:rsidR="00B613BA" w:rsidRPr="00C9343F" w14:paraId="429F4CCE" w14:textId="77777777" w:rsidTr="00B613BA">
        <w:trPr>
          <w:cantSplit/>
        </w:trPr>
        <w:tc>
          <w:tcPr>
            <w:tcW w:w="992" w:type="dxa"/>
          </w:tcPr>
          <w:p w14:paraId="43C32343" w14:textId="77777777" w:rsidR="00B613BA" w:rsidRPr="00C9343F" w:rsidRDefault="00B613BA" w:rsidP="00F66D98">
            <w:pPr>
              <w:pStyle w:val="BlockText-Plain"/>
            </w:pPr>
          </w:p>
        </w:tc>
        <w:tc>
          <w:tcPr>
            <w:tcW w:w="567" w:type="dxa"/>
          </w:tcPr>
          <w:p w14:paraId="302C99C2" w14:textId="77777777" w:rsidR="00B613BA" w:rsidRPr="00C9343F" w:rsidRDefault="00B613BA" w:rsidP="007114B1">
            <w:pPr>
              <w:pStyle w:val="BlockText-Plain"/>
              <w:jc w:val="center"/>
            </w:pPr>
            <w:r w:rsidRPr="00C9343F">
              <w:t>a.</w:t>
            </w:r>
          </w:p>
        </w:tc>
        <w:tc>
          <w:tcPr>
            <w:tcW w:w="7796" w:type="dxa"/>
            <w:gridSpan w:val="2"/>
          </w:tcPr>
          <w:p w14:paraId="3A1367D7" w14:textId="77777777" w:rsidR="00B613BA" w:rsidRPr="00C9343F" w:rsidRDefault="00B613BA" w:rsidP="00F66D98">
            <w:pPr>
              <w:pStyle w:val="BlockText-Plain"/>
            </w:pPr>
            <w:r w:rsidRPr="00C9343F">
              <w:t>The person's relationship with the member is one of mere convenience.</w:t>
            </w:r>
          </w:p>
          <w:p w14:paraId="15837E12" w14:textId="77777777" w:rsidR="00B613BA" w:rsidRPr="00C9343F" w:rsidRDefault="00B613BA" w:rsidP="00F66D98">
            <w:pPr>
              <w:pStyle w:val="BlockText-Plain"/>
              <w:spacing w:after="0"/>
              <w:rPr>
                <w:b/>
              </w:rPr>
            </w:pPr>
            <w:r w:rsidRPr="00C9343F">
              <w:rPr>
                <w:b/>
              </w:rPr>
              <w:t>Examples:</w:t>
            </w:r>
          </w:p>
          <w:p w14:paraId="70883FA5" w14:textId="77777777" w:rsidR="00B613BA" w:rsidRPr="00C9343F" w:rsidRDefault="00B613BA" w:rsidP="00F66D98">
            <w:pPr>
              <w:pStyle w:val="BlockText-Plain"/>
              <w:spacing w:after="0"/>
            </w:pPr>
            <w:r w:rsidRPr="00C9343F">
              <w:lastRenderedPageBreak/>
              <w:t>1. A member's 22-year-old child who is unemployed lives with the member for reasons of convenience, not interdependency.</w:t>
            </w:r>
          </w:p>
          <w:p w14:paraId="35FE853E" w14:textId="77777777" w:rsidR="00B613BA" w:rsidRPr="00C9343F" w:rsidRDefault="00B613BA" w:rsidP="00F66D98">
            <w:pPr>
              <w:pStyle w:val="BlockText-Plain"/>
              <w:spacing w:after="0"/>
            </w:pPr>
            <w:r w:rsidRPr="00C9343F">
              <w:t>2. A person who acts as a housekeeper or guardian to a dependent child, when the member and spouse live together and are both working.</w:t>
            </w:r>
          </w:p>
          <w:p w14:paraId="004A6F5F" w14:textId="77777777" w:rsidR="00B613BA" w:rsidRPr="00C9343F" w:rsidRDefault="00B613BA" w:rsidP="00F66D98">
            <w:pPr>
              <w:pStyle w:val="BlockText-Plain"/>
            </w:pPr>
            <w:r w:rsidRPr="00C9343F">
              <w:t>3. A member's parent is of pensionable age and looks after the member's children at the member's home but is otherwise able to live independently.</w:t>
            </w:r>
          </w:p>
        </w:tc>
      </w:tr>
      <w:tr w:rsidR="00B613BA" w:rsidRPr="00C9343F" w14:paraId="4A8528E7" w14:textId="77777777" w:rsidTr="00B613BA">
        <w:trPr>
          <w:cantSplit/>
        </w:trPr>
        <w:tc>
          <w:tcPr>
            <w:tcW w:w="992" w:type="dxa"/>
          </w:tcPr>
          <w:p w14:paraId="745244A4" w14:textId="77777777" w:rsidR="00B613BA" w:rsidRPr="00C9343F" w:rsidRDefault="00B613BA" w:rsidP="00F66D98">
            <w:pPr>
              <w:pStyle w:val="BlockText-Plain"/>
            </w:pPr>
          </w:p>
        </w:tc>
        <w:tc>
          <w:tcPr>
            <w:tcW w:w="567" w:type="dxa"/>
          </w:tcPr>
          <w:p w14:paraId="13202C96" w14:textId="77777777" w:rsidR="00B613BA" w:rsidRPr="00C9343F" w:rsidRDefault="00B613BA" w:rsidP="007114B1">
            <w:pPr>
              <w:pStyle w:val="BlockText-Plain"/>
              <w:jc w:val="center"/>
            </w:pPr>
            <w:r w:rsidRPr="00C9343F">
              <w:t>b.</w:t>
            </w:r>
          </w:p>
        </w:tc>
        <w:tc>
          <w:tcPr>
            <w:tcW w:w="7796" w:type="dxa"/>
            <w:gridSpan w:val="2"/>
          </w:tcPr>
          <w:p w14:paraId="545B2446" w14:textId="77777777" w:rsidR="00B613BA" w:rsidRPr="00C9343F" w:rsidRDefault="00B613BA" w:rsidP="00F66D98">
            <w:pPr>
              <w:pStyle w:val="BlockText-Plain"/>
            </w:pPr>
            <w:r w:rsidRPr="00C9343F">
              <w:t>There is alternative support, care or accommodation available to the person.</w:t>
            </w:r>
          </w:p>
          <w:p w14:paraId="478B6A98" w14:textId="77777777" w:rsidR="00B613BA" w:rsidRPr="00C9343F" w:rsidRDefault="00B613BA" w:rsidP="00F66D98">
            <w:pPr>
              <w:pStyle w:val="BlockText-Plain"/>
            </w:pPr>
            <w:r w:rsidRPr="00C9343F">
              <w:rPr>
                <w:b/>
              </w:rPr>
              <w:t>Example:</w:t>
            </w:r>
            <w:r w:rsidRPr="00C9343F">
              <w:t xml:space="preserve"> A member looks after their grandchild while the child's mother is on holiday overseas. The child's father is working but does not want to pay for child care. The CDF determines that the child is not a dependant of the member since the child's parents remain responsible for the child's care and support.</w:t>
            </w:r>
          </w:p>
        </w:tc>
      </w:tr>
      <w:tr w:rsidR="00B613BA" w:rsidRPr="00C9343F" w14:paraId="4DB980F6" w14:textId="77777777" w:rsidTr="00B613BA">
        <w:trPr>
          <w:cantSplit/>
        </w:trPr>
        <w:tc>
          <w:tcPr>
            <w:tcW w:w="992" w:type="dxa"/>
          </w:tcPr>
          <w:p w14:paraId="717EFE08" w14:textId="77777777" w:rsidR="00B613BA" w:rsidRPr="00C9343F" w:rsidRDefault="00B613BA" w:rsidP="00F66D98">
            <w:pPr>
              <w:pStyle w:val="BlockText-Plain"/>
            </w:pPr>
          </w:p>
        </w:tc>
        <w:tc>
          <w:tcPr>
            <w:tcW w:w="567" w:type="dxa"/>
          </w:tcPr>
          <w:p w14:paraId="2FE46A20" w14:textId="77777777" w:rsidR="00B613BA" w:rsidRPr="00C9343F" w:rsidRDefault="00B613BA" w:rsidP="00F66D98">
            <w:pPr>
              <w:pStyle w:val="BlockText-Plain"/>
            </w:pPr>
          </w:p>
        </w:tc>
        <w:tc>
          <w:tcPr>
            <w:tcW w:w="7796" w:type="dxa"/>
            <w:gridSpan w:val="2"/>
          </w:tcPr>
          <w:p w14:paraId="68C812C8" w14:textId="77777777" w:rsidR="00B613BA" w:rsidRPr="00C9343F" w:rsidRDefault="00B613BA" w:rsidP="00F66D98">
            <w:pPr>
              <w:pStyle w:val="BlockText-Plain"/>
              <w:spacing w:after="0"/>
              <w:rPr>
                <w:b/>
              </w:rPr>
            </w:pPr>
            <w:r w:rsidRPr="00C9343F">
              <w:rPr>
                <w:b/>
              </w:rPr>
              <w:t xml:space="preserve">Non-examples: </w:t>
            </w:r>
          </w:p>
          <w:p w14:paraId="5E857598" w14:textId="77777777" w:rsidR="00B613BA" w:rsidRPr="00C9343F" w:rsidRDefault="00B613BA" w:rsidP="00F66D98">
            <w:pPr>
              <w:pStyle w:val="BlockText-Plain"/>
              <w:spacing w:after="0"/>
            </w:pPr>
            <w:r w:rsidRPr="00C9343F">
              <w:t>1. A member's grandchild has been orphaned. The member has assumed primary care of the child. The child has no other source of care or support. The CDF determines that the grandchild is a dependant of the member.</w:t>
            </w:r>
          </w:p>
          <w:p w14:paraId="40FD3A7C" w14:textId="77777777" w:rsidR="00B613BA" w:rsidRPr="00C9343F" w:rsidRDefault="00B613BA" w:rsidP="00F66D98">
            <w:pPr>
              <w:pStyle w:val="BlockText-Plain"/>
            </w:pPr>
            <w:r w:rsidRPr="00C9343F">
              <w:t>2. A member's son has become permanently incapacitated after a car accident. The member's son was the primary carer of his child. The member has assumed care of their grandchild because they are the child's closest relative and have applied for legal guardianship. The CDF determines that the child has no other source of care or support, and is a dependant of the member.</w:t>
            </w:r>
          </w:p>
        </w:tc>
      </w:tr>
      <w:tr w:rsidR="00B613BA" w:rsidRPr="00C9343F" w14:paraId="126F3E11" w14:textId="77777777" w:rsidTr="00B613BA">
        <w:trPr>
          <w:cantSplit/>
        </w:trPr>
        <w:tc>
          <w:tcPr>
            <w:tcW w:w="992" w:type="dxa"/>
          </w:tcPr>
          <w:p w14:paraId="60953601" w14:textId="77777777" w:rsidR="00B613BA" w:rsidRPr="00C9343F" w:rsidRDefault="00B613BA" w:rsidP="00F66D98">
            <w:pPr>
              <w:pStyle w:val="BlockText-Plain"/>
            </w:pPr>
          </w:p>
        </w:tc>
        <w:tc>
          <w:tcPr>
            <w:tcW w:w="567" w:type="dxa"/>
          </w:tcPr>
          <w:p w14:paraId="5745BFFE" w14:textId="77777777" w:rsidR="00B613BA" w:rsidRPr="00C9343F" w:rsidRDefault="00B613BA" w:rsidP="007114B1">
            <w:pPr>
              <w:pStyle w:val="BlockText-Plain"/>
              <w:jc w:val="center"/>
            </w:pPr>
            <w:r w:rsidRPr="00C9343F">
              <w:t>c.</w:t>
            </w:r>
          </w:p>
        </w:tc>
        <w:tc>
          <w:tcPr>
            <w:tcW w:w="7796" w:type="dxa"/>
            <w:gridSpan w:val="2"/>
          </w:tcPr>
          <w:p w14:paraId="29E3683D" w14:textId="77777777" w:rsidR="00B613BA" w:rsidRPr="00C9343F" w:rsidRDefault="00B613BA" w:rsidP="00F66D98">
            <w:pPr>
              <w:pStyle w:val="BlockText-Plain"/>
            </w:pPr>
            <w:r w:rsidRPr="00C9343F">
              <w:t>The person is a resident child carer living with the member's family but is not otherwise a dependant of the member.</w:t>
            </w:r>
          </w:p>
          <w:p w14:paraId="1422B465" w14:textId="77777777" w:rsidR="00B613BA" w:rsidRPr="00C9343F" w:rsidRDefault="00B613BA" w:rsidP="00F66D98">
            <w:pPr>
              <w:pStyle w:val="BlockText-Plain"/>
            </w:pPr>
            <w:r w:rsidRPr="00C9343F">
              <w:rPr>
                <w:b/>
              </w:rPr>
              <w:t>See:</w:t>
            </w:r>
            <w:r w:rsidRPr="00C9343F">
              <w:t xml:space="preserve"> Chapter 7 Part 1 Division 3 section 7.1.14, for the definition of resident </w:t>
            </w:r>
            <w:r w:rsidRPr="00C9343F">
              <w:rPr>
                <w:b/>
                <w:i/>
              </w:rPr>
              <w:t>child</w:t>
            </w:r>
            <w:r w:rsidRPr="00C9343F">
              <w:t xml:space="preserve"> carer</w:t>
            </w:r>
          </w:p>
        </w:tc>
      </w:tr>
    </w:tbl>
    <w:p w14:paraId="51E0E63E" w14:textId="3014737F" w:rsidR="00AF060B" w:rsidRPr="00C9343F" w:rsidRDefault="0043306D" w:rsidP="00F66D98">
      <w:pPr>
        <w:pStyle w:val="Heading5"/>
      </w:pPr>
      <w:bookmarkStart w:id="178" w:name="_Toc105053571"/>
      <w:r w:rsidRPr="00C9343F">
        <w:t>1</w:t>
      </w:r>
      <w:r w:rsidR="00AF060B" w:rsidRPr="00C9343F">
        <w:t>.3.</w:t>
      </w:r>
      <w:r w:rsidR="009B03ED" w:rsidRPr="00C9343F">
        <w:t>86</w:t>
      </w:r>
      <w:r w:rsidR="00D94006" w:rsidRPr="00C9343F">
        <w:t>    </w:t>
      </w:r>
      <w:r w:rsidR="00AD1282" w:rsidRPr="00C9343F">
        <w:t>Non-Service spouse and non-Service p</w:t>
      </w:r>
      <w:r w:rsidRPr="00C9343F">
        <w:t>artner</w:t>
      </w:r>
      <w:bookmarkEnd w:id="178"/>
    </w:p>
    <w:tbl>
      <w:tblPr>
        <w:tblW w:w="0" w:type="auto"/>
        <w:tblInd w:w="113" w:type="dxa"/>
        <w:tblLayout w:type="fixed"/>
        <w:tblLook w:val="0000" w:firstRow="0" w:lastRow="0" w:firstColumn="0" w:lastColumn="0" w:noHBand="0" w:noVBand="0"/>
      </w:tblPr>
      <w:tblGrid>
        <w:gridCol w:w="992"/>
        <w:gridCol w:w="8367"/>
      </w:tblGrid>
      <w:tr w:rsidR="00AF060B" w:rsidRPr="00C9343F" w14:paraId="73C11CD0" w14:textId="77777777">
        <w:tc>
          <w:tcPr>
            <w:tcW w:w="992" w:type="dxa"/>
          </w:tcPr>
          <w:p w14:paraId="3BEDB3C9" w14:textId="77777777" w:rsidR="00AF060B" w:rsidRPr="00C9343F" w:rsidRDefault="00AF060B" w:rsidP="00F66D98">
            <w:pPr>
              <w:pStyle w:val="BlockText-Plain"/>
              <w:jc w:val="center"/>
            </w:pPr>
          </w:p>
        </w:tc>
        <w:tc>
          <w:tcPr>
            <w:tcW w:w="8367" w:type="dxa"/>
          </w:tcPr>
          <w:p w14:paraId="29170900" w14:textId="77777777" w:rsidR="00AF060B" w:rsidRPr="00C9343F" w:rsidRDefault="00AD1282" w:rsidP="00F66D98">
            <w:pPr>
              <w:pStyle w:val="BlockText-Plain"/>
            </w:pPr>
            <w:r w:rsidRPr="00C9343F">
              <w:t>A non-Service spouse or non-Service partner is a member's spouse or partner who is not a member.</w:t>
            </w:r>
          </w:p>
        </w:tc>
      </w:tr>
    </w:tbl>
    <w:p w14:paraId="603653B5" w14:textId="4EE601B1" w:rsidR="00AF060B" w:rsidRPr="00C9343F" w:rsidRDefault="00AF060B" w:rsidP="00F66D98">
      <w:pPr>
        <w:pStyle w:val="Heading5"/>
      </w:pPr>
      <w:bookmarkStart w:id="179" w:name="CDF"/>
      <w:bookmarkStart w:id="180" w:name="_Toc105053572"/>
      <w:bookmarkEnd w:id="179"/>
      <w:r w:rsidRPr="00C9343F">
        <w:t>1.3.</w:t>
      </w:r>
      <w:r w:rsidR="000608BD" w:rsidRPr="00C9343F">
        <w:t>87</w:t>
      </w:r>
      <w:r w:rsidR="00D94006" w:rsidRPr="00C9343F">
        <w:t>    </w:t>
      </w:r>
      <w:r w:rsidR="00AD1282" w:rsidRPr="00C9343F">
        <w:t>Normally lives with</w:t>
      </w:r>
      <w:bookmarkEnd w:id="180"/>
      <w:r w:rsidRPr="00C9343F">
        <w:t xml:space="preserve"> </w:t>
      </w:r>
    </w:p>
    <w:tbl>
      <w:tblPr>
        <w:tblW w:w="0" w:type="auto"/>
        <w:tblInd w:w="113" w:type="dxa"/>
        <w:tblLayout w:type="fixed"/>
        <w:tblLook w:val="0000" w:firstRow="0" w:lastRow="0" w:firstColumn="0" w:lastColumn="0" w:noHBand="0" w:noVBand="0"/>
      </w:tblPr>
      <w:tblGrid>
        <w:gridCol w:w="992"/>
        <w:gridCol w:w="567"/>
        <w:gridCol w:w="7800"/>
      </w:tblGrid>
      <w:tr w:rsidR="0009314D" w:rsidRPr="00C9343F" w14:paraId="4770A7C7" w14:textId="77777777">
        <w:tc>
          <w:tcPr>
            <w:tcW w:w="992" w:type="dxa"/>
          </w:tcPr>
          <w:p w14:paraId="1F363833" w14:textId="77777777" w:rsidR="0009314D" w:rsidRPr="00C9343F" w:rsidRDefault="000608BD" w:rsidP="00F66D98">
            <w:pPr>
              <w:pStyle w:val="BlockText-Plain"/>
              <w:jc w:val="center"/>
            </w:pPr>
            <w:r w:rsidRPr="00C9343F">
              <w:t>1</w:t>
            </w:r>
            <w:r w:rsidR="0009314D" w:rsidRPr="00C9343F">
              <w:t>.</w:t>
            </w:r>
          </w:p>
        </w:tc>
        <w:tc>
          <w:tcPr>
            <w:tcW w:w="8367" w:type="dxa"/>
            <w:gridSpan w:val="2"/>
          </w:tcPr>
          <w:p w14:paraId="7E16B026" w14:textId="77777777" w:rsidR="0009314D" w:rsidRPr="00C9343F" w:rsidRDefault="00AD1282" w:rsidP="00F66D98">
            <w:pPr>
              <w:pStyle w:val="BlockText-Plain"/>
            </w:pPr>
            <w:r w:rsidRPr="00C9343F">
              <w:t>To assess whether a person normally lives with a member as a dependant either of the following can be considered.</w:t>
            </w:r>
          </w:p>
        </w:tc>
      </w:tr>
      <w:tr w:rsidR="00AF060B" w:rsidRPr="00C9343F" w14:paraId="341827BF" w14:textId="77777777">
        <w:trPr>
          <w:cantSplit/>
        </w:trPr>
        <w:tc>
          <w:tcPr>
            <w:tcW w:w="992" w:type="dxa"/>
          </w:tcPr>
          <w:p w14:paraId="47E14E71" w14:textId="77777777" w:rsidR="00AF060B" w:rsidRPr="00C9343F" w:rsidRDefault="00AF060B" w:rsidP="00F66D98">
            <w:pPr>
              <w:pStyle w:val="BlockText-Plain"/>
            </w:pPr>
          </w:p>
        </w:tc>
        <w:tc>
          <w:tcPr>
            <w:tcW w:w="567" w:type="dxa"/>
          </w:tcPr>
          <w:p w14:paraId="298B1407" w14:textId="77777777" w:rsidR="00AF060B" w:rsidRPr="00C9343F" w:rsidRDefault="0009314D" w:rsidP="007114B1">
            <w:pPr>
              <w:pStyle w:val="BlockText-Plain"/>
              <w:jc w:val="center"/>
            </w:pPr>
            <w:r w:rsidRPr="00C9343F">
              <w:t>a.</w:t>
            </w:r>
          </w:p>
        </w:tc>
        <w:tc>
          <w:tcPr>
            <w:tcW w:w="7800" w:type="dxa"/>
          </w:tcPr>
          <w:p w14:paraId="578C1540" w14:textId="77777777" w:rsidR="00AF060B" w:rsidRPr="00C9343F" w:rsidRDefault="00AD1282" w:rsidP="00F66D98">
            <w:pPr>
              <w:pStyle w:val="BlockText-Plain"/>
            </w:pPr>
            <w:r w:rsidRPr="00C9343F">
              <w:t>Nights the person has lived in a home with the member.</w:t>
            </w:r>
          </w:p>
        </w:tc>
      </w:tr>
      <w:tr w:rsidR="0009314D" w:rsidRPr="00C9343F" w14:paraId="49357631" w14:textId="77777777">
        <w:trPr>
          <w:cantSplit/>
        </w:trPr>
        <w:tc>
          <w:tcPr>
            <w:tcW w:w="992" w:type="dxa"/>
          </w:tcPr>
          <w:p w14:paraId="1DB988A8" w14:textId="77777777" w:rsidR="0009314D" w:rsidRPr="00C9343F" w:rsidRDefault="0009314D" w:rsidP="00F66D98">
            <w:pPr>
              <w:keepLines w:val="0"/>
            </w:pPr>
          </w:p>
        </w:tc>
        <w:tc>
          <w:tcPr>
            <w:tcW w:w="567" w:type="dxa"/>
          </w:tcPr>
          <w:p w14:paraId="71BC4655" w14:textId="77777777" w:rsidR="0009314D" w:rsidRPr="00C9343F" w:rsidRDefault="00BF30ED" w:rsidP="007114B1">
            <w:pPr>
              <w:pStyle w:val="BlockText-Plain"/>
              <w:jc w:val="center"/>
            </w:pPr>
            <w:r w:rsidRPr="00C9343F">
              <w:t>b.</w:t>
            </w:r>
          </w:p>
        </w:tc>
        <w:tc>
          <w:tcPr>
            <w:tcW w:w="7800" w:type="dxa"/>
          </w:tcPr>
          <w:p w14:paraId="5EE318A6" w14:textId="77777777" w:rsidR="0009314D" w:rsidRPr="00C9343F" w:rsidRDefault="00AD1282" w:rsidP="00F66D98">
            <w:pPr>
              <w:pStyle w:val="BlockText-Plain"/>
            </w:pPr>
            <w:r w:rsidRPr="00C9343F">
              <w:t>Nights the person is reasonably expected to live in a home with the member.</w:t>
            </w:r>
          </w:p>
        </w:tc>
      </w:tr>
      <w:tr w:rsidR="0092650C" w:rsidRPr="00C9343F" w14:paraId="07FD4947" w14:textId="77777777" w:rsidTr="0092650C">
        <w:tc>
          <w:tcPr>
            <w:tcW w:w="992" w:type="dxa"/>
          </w:tcPr>
          <w:p w14:paraId="23040022" w14:textId="77777777" w:rsidR="0092650C" w:rsidRPr="00C9343F" w:rsidRDefault="0092650C" w:rsidP="00F66D98">
            <w:pPr>
              <w:pStyle w:val="BlockText-Plain"/>
              <w:jc w:val="center"/>
            </w:pPr>
            <w:r w:rsidRPr="00C9343F">
              <w:t>2.</w:t>
            </w:r>
          </w:p>
        </w:tc>
        <w:tc>
          <w:tcPr>
            <w:tcW w:w="8367" w:type="dxa"/>
            <w:gridSpan w:val="2"/>
          </w:tcPr>
          <w:p w14:paraId="6B85D305" w14:textId="77777777" w:rsidR="0092650C" w:rsidRPr="00C9343F" w:rsidRDefault="00AD1282" w:rsidP="00F66D98">
            <w:pPr>
              <w:pStyle w:val="BlockText-Plain"/>
            </w:pPr>
            <w:r w:rsidRPr="00C9343F">
              <w:t>For a child, the total of paragraphs 1.a and 1.b must be at least 90 nights a year at the posting location.</w:t>
            </w:r>
          </w:p>
        </w:tc>
      </w:tr>
      <w:tr w:rsidR="00BC51CC" w:rsidRPr="00C9343F" w14:paraId="34F30FB2" w14:textId="77777777" w:rsidTr="00CE2B21">
        <w:tc>
          <w:tcPr>
            <w:tcW w:w="992" w:type="dxa"/>
          </w:tcPr>
          <w:p w14:paraId="1AF0CFFC" w14:textId="77777777" w:rsidR="00BC51CC" w:rsidRPr="00C9343F" w:rsidRDefault="00BC51CC" w:rsidP="00F66D98">
            <w:pPr>
              <w:pStyle w:val="BlockText-Plain"/>
              <w:jc w:val="center"/>
            </w:pPr>
          </w:p>
        </w:tc>
        <w:tc>
          <w:tcPr>
            <w:tcW w:w="8367" w:type="dxa"/>
            <w:gridSpan w:val="2"/>
          </w:tcPr>
          <w:p w14:paraId="2367A9F3" w14:textId="77777777" w:rsidR="00AD1282" w:rsidRPr="00C9343F" w:rsidRDefault="00AD1282" w:rsidP="00F66D98">
            <w:pPr>
              <w:pStyle w:val="BlockText-Plain"/>
            </w:pPr>
            <w:r w:rsidRPr="00C9343F">
              <w:rPr>
                <w:b/>
              </w:rPr>
              <w:t>Exception:</w:t>
            </w:r>
            <w:r w:rsidRPr="00C9343F">
              <w:t xml:space="preserve"> The child is recognised as a dependant under subsection 1.3.85.2.</w:t>
            </w:r>
          </w:p>
          <w:p w14:paraId="5AEF99FB" w14:textId="77777777" w:rsidR="000F744F" w:rsidRPr="00C9343F" w:rsidRDefault="00AD1282" w:rsidP="00F66D98">
            <w:pPr>
              <w:pStyle w:val="BlockText-Plain"/>
            </w:pPr>
            <w:r w:rsidRPr="00C9343F">
              <w:rPr>
                <w:b/>
              </w:rPr>
              <w:t>See:</w:t>
            </w:r>
            <w:r w:rsidRPr="00C9343F">
              <w:t xml:space="preserve"> Section 1.3.85, Dependants recognised by CDF</w:t>
            </w:r>
          </w:p>
        </w:tc>
      </w:tr>
      <w:tr w:rsidR="009D4885" w:rsidRPr="00C9343F" w14:paraId="12DE81CE" w14:textId="77777777" w:rsidTr="00685271">
        <w:tc>
          <w:tcPr>
            <w:tcW w:w="992" w:type="dxa"/>
          </w:tcPr>
          <w:p w14:paraId="6BADED83" w14:textId="77777777" w:rsidR="009D4885" w:rsidRPr="00C9343F" w:rsidRDefault="009D4885" w:rsidP="00F66D98">
            <w:pPr>
              <w:pStyle w:val="BlockText-Plain"/>
              <w:jc w:val="center"/>
            </w:pPr>
          </w:p>
        </w:tc>
        <w:tc>
          <w:tcPr>
            <w:tcW w:w="8367" w:type="dxa"/>
            <w:gridSpan w:val="2"/>
          </w:tcPr>
          <w:p w14:paraId="0A7DB03B" w14:textId="77777777" w:rsidR="009D4885" w:rsidRPr="00C9343F" w:rsidRDefault="009D4885" w:rsidP="00F66D98">
            <w:pPr>
              <w:pStyle w:val="BlockText-Plain"/>
            </w:pPr>
            <w:r w:rsidRPr="00C9343F">
              <w:rPr>
                <w:b/>
                <w:iCs/>
                <w:lang w:eastAsia="en-US"/>
              </w:rPr>
              <w:t xml:space="preserve">Note: </w:t>
            </w:r>
            <w:r w:rsidRPr="00C9343F">
              <w:rPr>
                <w:iCs/>
                <w:lang w:eastAsia="en-US"/>
              </w:rPr>
              <w:t>If a member is on a flexible service determination, the member’s</w:t>
            </w:r>
            <w:r w:rsidRPr="00C9343F">
              <w:rPr>
                <w:b/>
                <w:i/>
                <w:iCs/>
                <w:lang w:eastAsia="en-US"/>
              </w:rPr>
              <w:t xml:space="preserve"> </w:t>
            </w:r>
            <w:r w:rsidRPr="00C9343F">
              <w:rPr>
                <w:iCs/>
                <w:lang w:eastAsia="en-US"/>
              </w:rPr>
              <w:t>nonworking period does not affect the 90 night period when the child stays with the member in the posting location.</w:t>
            </w:r>
          </w:p>
        </w:tc>
      </w:tr>
      <w:tr w:rsidR="00BC51CC" w:rsidRPr="00C9343F" w14:paraId="6E037CE1" w14:textId="77777777" w:rsidTr="0092650C">
        <w:tc>
          <w:tcPr>
            <w:tcW w:w="992" w:type="dxa"/>
          </w:tcPr>
          <w:p w14:paraId="7D26826A" w14:textId="77777777" w:rsidR="00BC51CC" w:rsidRPr="00C9343F" w:rsidRDefault="00AD1282" w:rsidP="00F66D98">
            <w:pPr>
              <w:pStyle w:val="BlockText-Plain"/>
              <w:jc w:val="center"/>
            </w:pPr>
            <w:r w:rsidRPr="00C9343F">
              <w:t>3.</w:t>
            </w:r>
          </w:p>
        </w:tc>
        <w:tc>
          <w:tcPr>
            <w:tcW w:w="8367" w:type="dxa"/>
            <w:gridSpan w:val="2"/>
          </w:tcPr>
          <w:p w14:paraId="496620C2" w14:textId="77777777" w:rsidR="00BC51CC" w:rsidRPr="00C9343F" w:rsidRDefault="00AD1282" w:rsidP="00F66D98">
            <w:pPr>
              <w:pStyle w:val="BlockText-Plain"/>
            </w:pPr>
            <w:r w:rsidRPr="00C9343F">
              <w:t>If a person ceases to normally live with a member and the person is no longer expected to live with the member for the purpose of sub</w:t>
            </w:r>
            <w:r w:rsidR="00803066" w:rsidRPr="00C9343F">
              <w:t>section</w:t>
            </w:r>
            <w:r w:rsidRPr="00C9343F">
              <w:t xml:space="preserve"> 1, the person ceases to be a dependant of the member under this Determination.</w:t>
            </w:r>
          </w:p>
        </w:tc>
      </w:tr>
      <w:tr w:rsidR="000F744F" w:rsidRPr="00C9343F" w14:paraId="0D38B76A" w14:textId="77777777" w:rsidTr="0092650C">
        <w:tc>
          <w:tcPr>
            <w:tcW w:w="992" w:type="dxa"/>
          </w:tcPr>
          <w:p w14:paraId="16DAABBE" w14:textId="77777777" w:rsidR="000F744F" w:rsidRPr="00C9343F" w:rsidRDefault="000F744F" w:rsidP="00F66D98">
            <w:pPr>
              <w:pStyle w:val="BlockText-Plain"/>
              <w:jc w:val="center"/>
            </w:pPr>
          </w:p>
        </w:tc>
        <w:tc>
          <w:tcPr>
            <w:tcW w:w="8367" w:type="dxa"/>
            <w:gridSpan w:val="2"/>
          </w:tcPr>
          <w:p w14:paraId="5DFB4FFE" w14:textId="77777777" w:rsidR="000F744F" w:rsidRPr="00C9343F" w:rsidRDefault="00AD1282" w:rsidP="00F66D98">
            <w:pPr>
              <w:pStyle w:val="BlockText-Plain"/>
            </w:pPr>
            <w:r w:rsidRPr="00C9343F">
              <w:rPr>
                <w:b/>
              </w:rPr>
              <w:t>Exception:</w:t>
            </w:r>
            <w:r w:rsidRPr="00C9343F">
              <w:t xml:space="preserve"> A spouse, de facto partner or a dependant recognised by CDF under section 1.3.85 or the decision maker under </w:t>
            </w:r>
            <w:r w:rsidR="00803066" w:rsidRPr="00C9343F">
              <w:t>section</w:t>
            </w:r>
            <w:r w:rsidRPr="00C9343F">
              <w:t xml:space="preserve"> 1.3.84, might be recognised as a dependant, despite a temporary separation. The rule in subsection 3 would not stop the person being recognised as dependant even during the period of the temporary separation.</w:t>
            </w:r>
          </w:p>
        </w:tc>
      </w:tr>
      <w:tr w:rsidR="00AF060B" w:rsidRPr="00C9343F" w14:paraId="338FEC57" w14:textId="77777777">
        <w:tc>
          <w:tcPr>
            <w:tcW w:w="992" w:type="dxa"/>
          </w:tcPr>
          <w:p w14:paraId="53E125D0" w14:textId="77777777" w:rsidR="00AF060B" w:rsidRPr="00C9343F" w:rsidRDefault="00AF060B" w:rsidP="00F66D98">
            <w:pPr>
              <w:pStyle w:val="BlockText-Plain"/>
              <w:jc w:val="center"/>
            </w:pPr>
          </w:p>
        </w:tc>
        <w:tc>
          <w:tcPr>
            <w:tcW w:w="8367" w:type="dxa"/>
            <w:gridSpan w:val="2"/>
          </w:tcPr>
          <w:p w14:paraId="7F748143" w14:textId="77777777" w:rsidR="00AF060B" w:rsidRPr="00C9343F" w:rsidRDefault="00AD1282" w:rsidP="00F66D98">
            <w:pPr>
              <w:pStyle w:val="BlockText-Plain"/>
            </w:pPr>
            <w:r w:rsidRPr="00C9343F">
              <w:rPr>
                <w:b/>
              </w:rPr>
              <w:t>Exception examples:</w:t>
            </w:r>
            <w:r w:rsidRPr="00C9343F">
              <w:t xml:space="preserve"> Service partners who can't live together for Service reasons or a person who is unable to live with the member because they require institutional care.</w:t>
            </w:r>
          </w:p>
        </w:tc>
      </w:tr>
    </w:tbl>
    <w:p w14:paraId="336A88F8" w14:textId="1F60E04E" w:rsidR="00AF060B" w:rsidRPr="00C9343F" w:rsidRDefault="00AF060B" w:rsidP="00F66D98">
      <w:pPr>
        <w:pStyle w:val="Heading5"/>
      </w:pPr>
      <w:bookmarkStart w:id="181" w:name="_Toc105053573"/>
      <w:r w:rsidRPr="00C9343F">
        <w:t>1.3.8</w:t>
      </w:r>
      <w:r w:rsidR="000608BD" w:rsidRPr="00C9343F">
        <w:t>8</w:t>
      </w:r>
      <w:r w:rsidR="00D94006" w:rsidRPr="00C9343F">
        <w:t>    </w:t>
      </w:r>
      <w:r w:rsidR="00AD1282" w:rsidRPr="00C9343F">
        <w:t>P</w:t>
      </w:r>
      <w:r w:rsidR="00D6183E" w:rsidRPr="00C9343F">
        <w:t>artner</w:t>
      </w:r>
      <w:bookmarkEnd w:id="181"/>
    </w:p>
    <w:tbl>
      <w:tblPr>
        <w:tblW w:w="0" w:type="auto"/>
        <w:tblInd w:w="113" w:type="dxa"/>
        <w:tblLayout w:type="fixed"/>
        <w:tblLook w:val="0000" w:firstRow="0" w:lastRow="0" w:firstColumn="0" w:lastColumn="0" w:noHBand="0" w:noVBand="0"/>
      </w:tblPr>
      <w:tblGrid>
        <w:gridCol w:w="992"/>
        <w:gridCol w:w="567"/>
        <w:gridCol w:w="7796"/>
      </w:tblGrid>
      <w:tr w:rsidR="00176600" w:rsidRPr="00C9343F" w14:paraId="095B6C00" w14:textId="77777777">
        <w:tc>
          <w:tcPr>
            <w:tcW w:w="992" w:type="dxa"/>
          </w:tcPr>
          <w:p w14:paraId="191550E3" w14:textId="77777777" w:rsidR="00176600" w:rsidRPr="00C9343F" w:rsidRDefault="00176600" w:rsidP="00F66D98">
            <w:pPr>
              <w:pStyle w:val="BlockText-Plain"/>
              <w:jc w:val="center"/>
            </w:pPr>
          </w:p>
        </w:tc>
        <w:tc>
          <w:tcPr>
            <w:tcW w:w="8363" w:type="dxa"/>
            <w:gridSpan w:val="2"/>
          </w:tcPr>
          <w:p w14:paraId="61CCD02E" w14:textId="4710D5F3" w:rsidR="00176600" w:rsidRPr="00C9343F" w:rsidRDefault="00AD1282" w:rsidP="009F4458">
            <w:pPr>
              <w:pStyle w:val="BlockText-Plain"/>
            </w:pPr>
            <w:r w:rsidRPr="00C9343F">
              <w:rPr>
                <w:b/>
                <w:i/>
              </w:rPr>
              <w:t>Partner</w:t>
            </w:r>
            <w:r w:rsidRPr="00C9343F">
              <w:t xml:space="preserve"> means a person who is in </w:t>
            </w:r>
            <w:r w:rsidR="009F4458" w:rsidRPr="00C9343F">
              <w:t>any</w:t>
            </w:r>
            <w:r w:rsidRPr="00C9343F">
              <w:t xml:space="preserve"> of the following circumstances.</w:t>
            </w:r>
          </w:p>
        </w:tc>
      </w:tr>
      <w:tr w:rsidR="00AD1282" w:rsidRPr="00C9343F" w14:paraId="6A65EFC5" w14:textId="77777777">
        <w:trPr>
          <w:cantSplit/>
        </w:trPr>
        <w:tc>
          <w:tcPr>
            <w:tcW w:w="992" w:type="dxa"/>
          </w:tcPr>
          <w:p w14:paraId="134AF613" w14:textId="77777777" w:rsidR="00AD1282" w:rsidRPr="00C9343F" w:rsidRDefault="00AD1282" w:rsidP="00F66D98">
            <w:pPr>
              <w:pStyle w:val="BlockText-Plain"/>
            </w:pPr>
          </w:p>
        </w:tc>
        <w:tc>
          <w:tcPr>
            <w:tcW w:w="567" w:type="dxa"/>
          </w:tcPr>
          <w:p w14:paraId="3DCEE19D" w14:textId="77777777" w:rsidR="00AD1282" w:rsidRPr="00C9343F" w:rsidRDefault="00AD1282" w:rsidP="007114B1">
            <w:pPr>
              <w:pStyle w:val="BlockText-Plain"/>
              <w:jc w:val="center"/>
            </w:pPr>
            <w:r w:rsidRPr="00C9343F">
              <w:t>a.</w:t>
            </w:r>
          </w:p>
        </w:tc>
        <w:tc>
          <w:tcPr>
            <w:tcW w:w="7796" w:type="dxa"/>
          </w:tcPr>
          <w:p w14:paraId="44B20C0B" w14:textId="77777777" w:rsidR="00AD1282" w:rsidRPr="00C9343F" w:rsidRDefault="00AD1282" w:rsidP="00F66D98">
            <w:pPr>
              <w:pStyle w:val="BlockText-Plain"/>
            </w:pPr>
            <w:r w:rsidRPr="00C9343F">
              <w:t>A registered relationship prescribed by the law of a State or Territory.</w:t>
            </w:r>
          </w:p>
          <w:p w14:paraId="7D84CAD3" w14:textId="77777777" w:rsidR="00AD1282" w:rsidRPr="00C9343F" w:rsidRDefault="00AD1282" w:rsidP="00F66D98">
            <w:pPr>
              <w:pStyle w:val="BlockText-Plain"/>
            </w:pPr>
            <w:r w:rsidRPr="00C9343F">
              <w:rPr>
                <w:b/>
              </w:rPr>
              <w:t>Example:</w:t>
            </w:r>
            <w:r w:rsidRPr="00C9343F">
              <w:t xml:space="preserve"> A civil partnership.</w:t>
            </w:r>
          </w:p>
        </w:tc>
      </w:tr>
      <w:tr w:rsidR="00AD1282" w:rsidRPr="00C9343F" w14:paraId="34DF9E90" w14:textId="77777777">
        <w:trPr>
          <w:cantSplit/>
        </w:trPr>
        <w:tc>
          <w:tcPr>
            <w:tcW w:w="992" w:type="dxa"/>
          </w:tcPr>
          <w:p w14:paraId="63AC40CA" w14:textId="77777777" w:rsidR="00AD1282" w:rsidRPr="00C9343F" w:rsidRDefault="00AD1282" w:rsidP="00F66D98">
            <w:pPr>
              <w:pStyle w:val="BlockText-Plain"/>
            </w:pPr>
          </w:p>
        </w:tc>
        <w:tc>
          <w:tcPr>
            <w:tcW w:w="567" w:type="dxa"/>
          </w:tcPr>
          <w:p w14:paraId="623E789F" w14:textId="77777777" w:rsidR="00AD1282" w:rsidRPr="00C9343F" w:rsidRDefault="00AD1282" w:rsidP="007114B1">
            <w:pPr>
              <w:pStyle w:val="BlockText-Plain"/>
              <w:jc w:val="center"/>
            </w:pPr>
            <w:r w:rsidRPr="00C9343F">
              <w:t>b.</w:t>
            </w:r>
          </w:p>
        </w:tc>
        <w:tc>
          <w:tcPr>
            <w:tcW w:w="7796" w:type="dxa"/>
          </w:tcPr>
          <w:p w14:paraId="11A6538A" w14:textId="77777777" w:rsidR="00AD1282" w:rsidRPr="00C9343F" w:rsidRDefault="00AD1282" w:rsidP="00F66D98">
            <w:pPr>
              <w:pStyle w:val="BlockText-Plain"/>
            </w:pPr>
            <w:r w:rsidRPr="00C9343F">
              <w:t>A de facto relationship, in which the member and their partner live together on a genuine domestic basis.</w:t>
            </w:r>
          </w:p>
        </w:tc>
      </w:tr>
      <w:tr w:rsidR="00F96399" w:rsidRPr="00C9343F" w14:paraId="67A294B6" w14:textId="77777777">
        <w:trPr>
          <w:cantSplit/>
        </w:trPr>
        <w:tc>
          <w:tcPr>
            <w:tcW w:w="992" w:type="dxa"/>
          </w:tcPr>
          <w:p w14:paraId="57F02618" w14:textId="77777777" w:rsidR="00F96399" w:rsidRPr="00C9343F" w:rsidRDefault="00F96399" w:rsidP="00F66D98">
            <w:pPr>
              <w:pStyle w:val="BlockText-Plain"/>
            </w:pPr>
          </w:p>
        </w:tc>
        <w:tc>
          <w:tcPr>
            <w:tcW w:w="567" w:type="dxa"/>
          </w:tcPr>
          <w:p w14:paraId="32F25CF5" w14:textId="4193654B" w:rsidR="00F96399" w:rsidRPr="00C9343F" w:rsidRDefault="00F96399" w:rsidP="007114B1">
            <w:pPr>
              <w:pStyle w:val="BlockText-Plain"/>
              <w:jc w:val="center"/>
            </w:pPr>
            <w:r w:rsidRPr="00C9343F">
              <w:t>c.</w:t>
            </w:r>
          </w:p>
        </w:tc>
        <w:tc>
          <w:tcPr>
            <w:tcW w:w="7796" w:type="dxa"/>
          </w:tcPr>
          <w:p w14:paraId="16E4EE9C" w14:textId="3A0C4694" w:rsidR="00F96399" w:rsidRPr="00C9343F" w:rsidRDefault="00F96399" w:rsidP="00F66D98">
            <w:pPr>
              <w:pStyle w:val="BlockText-Plain"/>
            </w:pPr>
            <w:r w:rsidRPr="00C9343F">
              <w:t>A spouse.</w:t>
            </w:r>
          </w:p>
        </w:tc>
      </w:tr>
    </w:tbl>
    <w:p w14:paraId="01D2D475" w14:textId="3F622B44" w:rsidR="00B12F67" w:rsidRPr="00C9343F" w:rsidRDefault="00AF060B" w:rsidP="00F66D98">
      <w:pPr>
        <w:pStyle w:val="Heading5"/>
      </w:pPr>
      <w:bookmarkStart w:id="182" w:name="_Toc105053574"/>
      <w:r w:rsidRPr="00C9343F">
        <w:t>1.3.8</w:t>
      </w:r>
      <w:r w:rsidR="000608BD" w:rsidRPr="00C9343F">
        <w:t>9</w:t>
      </w:r>
      <w:r w:rsidR="00D94006" w:rsidRPr="00C9343F">
        <w:t>    </w:t>
      </w:r>
      <w:r w:rsidR="00AD1282" w:rsidRPr="00C9343F">
        <w:t>Partner – de facto</w:t>
      </w:r>
      <w:bookmarkEnd w:id="182"/>
    </w:p>
    <w:tbl>
      <w:tblPr>
        <w:tblW w:w="9359" w:type="dxa"/>
        <w:tblInd w:w="113" w:type="dxa"/>
        <w:tblLayout w:type="fixed"/>
        <w:tblLook w:val="0000" w:firstRow="0" w:lastRow="0" w:firstColumn="0" w:lastColumn="0" w:noHBand="0" w:noVBand="0"/>
      </w:tblPr>
      <w:tblGrid>
        <w:gridCol w:w="992"/>
        <w:gridCol w:w="567"/>
        <w:gridCol w:w="567"/>
        <w:gridCol w:w="7233"/>
      </w:tblGrid>
      <w:tr w:rsidR="00B12F67" w:rsidRPr="00C9343F" w14:paraId="5260302D" w14:textId="77777777" w:rsidTr="00690473">
        <w:tc>
          <w:tcPr>
            <w:tcW w:w="992" w:type="dxa"/>
          </w:tcPr>
          <w:p w14:paraId="102D2D53" w14:textId="77777777" w:rsidR="00B12F67" w:rsidRPr="00C9343F" w:rsidRDefault="00B12F67" w:rsidP="00F66D98">
            <w:pPr>
              <w:pStyle w:val="BlockText-Plain"/>
              <w:jc w:val="center"/>
            </w:pPr>
            <w:r w:rsidRPr="00C9343F">
              <w:t>1.</w:t>
            </w:r>
          </w:p>
        </w:tc>
        <w:tc>
          <w:tcPr>
            <w:tcW w:w="8367" w:type="dxa"/>
            <w:gridSpan w:val="3"/>
          </w:tcPr>
          <w:p w14:paraId="30309210" w14:textId="77777777" w:rsidR="00B12F67" w:rsidRPr="00C9343F" w:rsidRDefault="00AD1282" w:rsidP="00F66D98">
            <w:pPr>
              <w:pStyle w:val="BlockText-Plain"/>
            </w:pPr>
            <w:r w:rsidRPr="00C9343F">
              <w:t xml:space="preserve">A de facto partner is a member of a couple who live together on a genuine domestic basis, in accordance with section 2F of the </w:t>
            </w:r>
            <w:r w:rsidRPr="00C9343F">
              <w:rPr>
                <w:i/>
              </w:rPr>
              <w:t>Acts Interpretation Act 1901</w:t>
            </w:r>
            <w:r w:rsidRPr="00C9343F">
              <w:t>.</w:t>
            </w:r>
          </w:p>
        </w:tc>
      </w:tr>
      <w:tr w:rsidR="00AD1282" w:rsidRPr="00C9343F" w14:paraId="52E39EEC" w14:textId="77777777" w:rsidTr="00690473">
        <w:tc>
          <w:tcPr>
            <w:tcW w:w="992" w:type="dxa"/>
          </w:tcPr>
          <w:p w14:paraId="4F25094F" w14:textId="77777777" w:rsidR="00AD1282" w:rsidRPr="00C9343F" w:rsidRDefault="00AD1282" w:rsidP="00F66D98">
            <w:pPr>
              <w:pStyle w:val="BlockText-Plain"/>
              <w:jc w:val="center"/>
            </w:pPr>
          </w:p>
        </w:tc>
        <w:tc>
          <w:tcPr>
            <w:tcW w:w="8367" w:type="dxa"/>
            <w:gridSpan w:val="3"/>
          </w:tcPr>
          <w:p w14:paraId="5AE3092B" w14:textId="77777777" w:rsidR="00AD1282" w:rsidRPr="00C9343F" w:rsidRDefault="00AD1282" w:rsidP="00F66D98">
            <w:pPr>
              <w:pStyle w:val="BlockText-Plain"/>
            </w:pPr>
            <w:r w:rsidRPr="00C9343F">
              <w:rPr>
                <w:b/>
              </w:rPr>
              <w:t>Note 1:</w:t>
            </w:r>
            <w:r w:rsidRPr="00C9343F">
              <w:t xml:space="preserve"> A list of circumstances offering guidance as to whether a couple are living together on a genuine domestic basis can be found in sections 2D, 2E and 2F of the </w:t>
            </w:r>
            <w:r w:rsidRPr="00C9343F">
              <w:rPr>
                <w:i/>
              </w:rPr>
              <w:t>Acts Interpretation Act 1901</w:t>
            </w:r>
            <w:r w:rsidRPr="00C9343F">
              <w:t>. They may include any of the following circumstances, or other relevant facts.</w:t>
            </w:r>
          </w:p>
        </w:tc>
      </w:tr>
      <w:tr w:rsidR="00D6183E" w:rsidRPr="00C9343F" w14:paraId="343F22C1" w14:textId="77777777" w:rsidTr="00690473">
        <w:trPr>
          <w:cantSplit/>
        </w:trPr>
        <w:tc>
          <w:tcPr>
            <w:tcW w:w="992" w:type="dxa"/>
          </w:tcPr>
          <w:p w14:paraId="01549795" w14:textId="77777777" w:rsidR="00D6183E" w:rsidRPr="00C9343F" w:rsidRDefault="00D6183E" w:rsidP="00F66D98">
            <w:pPr>
              <w:pStyle w:val="BlockText-Plain"/>
            </w:pPr>
          </w:p>
        </w:tc>
        <w:tc>
          <w:tcPr>
            <w:tcW w:w="567" w:type="dxa"/>
          </w:tcPr>
          <w:p w14:paraId="2547EC6C" w14:textId="77777777" w:rsidR="00D6183E" w:rsidRPr="00C9343F" w:rsidRDefault="00D6183E" w:rsidP="007114B1">
            <w:pPr>
              <w:pStyle w:val="BlockText-Plain"/>
              <w:jc w:val="center"/>
            </w:pPr>
            <w:r w:rsidRPr="00C9343F">
              <w:t>a.</w:t>
            </w:r>
          </w:p>
        </w:tc>
        <w:tc>
          <w:tcPr>
            <w:tcW w:w="7800" w:type="dxa"/>
            <w:gridSpan w:val="2"/>
          </w:tcPr>
          <w:p w14:paraId="5345B50A" w14:textId="77777777" w:rsidR="00D6183E" w:rsidRPr="00C9343F" w:rsidRDefault="00AD1282" w:rsidP="00F66D98">
            <w:pPr>
              <w:pStyle w:val="BlockText-Plain"/>
            </w:pPr>
            <w:r w:rsidRPr="00C9343F">
              <w:t>The duration of the relationship.</w:t>
            </w:r>
          </w:p>
        </w:tc>
      </w:tr>
      <w:tr w:rsidR="00D6183E" w:rsidRPr="00C9343F" w14:paraId="29E94887" w14:textId="77777777" w:rsidTr="00690473">
        <w:trPr>
          <w:cantSplit/>
        </w:trPr>
        <w:tc>
          <w:tcPr>
            <w:tcW w:w="992" w:type="dxa"/>
          </w:tcPr>
          <w:p w14:paraId="7525074C" w14:textId="77777777" w:rsidR="00D6183E" w:rsidRPr="00C9343F" w:rsidRDefault="00D6183E" w:rsidP="00F66D98">
            <w:pPr>
              <w:pStyle w:val="BlockText-Plain"/>
            </w:pPr>
          </w:p>
        </w:tc>
        <w:tc>
          <w:tcPr>
            <w:tcW w:w="567" w:type="dxa"/>
          </w:tcPr>
          <w:p w14:paraId="2895EFDD" w14:textId="77777777" w:rsidR="00D6183E" w:rsidRPr="00C9343F" w:rsidRDefault="00D6183E" w:rsidP="007114B1">
            <w:pPr>
              <w:pStyle w:val="BlockText-Plain"/>
              <w:jc w:val="center"/>
            </w:pPr>
            <w:r w:rsidRPr="00C9343F">
              <w:t>b.</w:t>
            </w:r>
          </w:p>
        </w:tc>
        <w:tc>
          <w:tcPr>
            <w:tcW w:w="7800" w:type="dxa"/>
            <w:gridSpan w:val="2"/>
          </w:tcPr>
          <w:p w14:paraId="1B1FB180" w14:textId="77777777" w:rsidR="00D6183E" w:rsidRPr="00C9343F" w:rsidRDefault="00AD1282" w:rsidP="00F66D98">
            <w:pPr>
              <w:pStyle w:val="BlockText-Plain"/>
            </w:pPr>
            <w:r w:rsidRPr="00C9343F">
              <w:t>The nature and extent of their common residence.</w:t>
            </w:r>
          </w:p>
        </w:tc>
      </w:tr>
      <w:tr w:rsidR="00D6183E" w:rsidRPr="00C9343F" w14:paraId="4A1EDF5E" w14:textId="77777777" w:rsidTr="00690473">
        <w:trPr>
          <w:cantSplit/>
        </w:trPr>
        <w:tc>
          <w:tcPr>
            <w:tcW w:w="992" w:type="dxa"/>
          </w:tcPr>
          <w:p w14:paraId="75903264" w14:textId="77777777" w:rsidR="00D6183E" w:rsidRPr="00C9343F" w:rsidRDefault="00D6183E" w:rsidP="00F66D98">
            <w:pPr>
              <w:pStyle w:val="BlockText-Plain"/>
            </w:pPr>
          </w:p>
        </w:tc>
        <w:tc>
          <w:tcPr>
            <w:tcW w:w="567" w:type="dxa"/>
          </w:tcPr>
          <w:p w14:paraId="37EA0DE1" w14:textId="77777777" w:rsidR="00D6183E" w:rsidRPr="00C9343F" w:rsidRDefault="00D6183E" w:rsidP="007114B1">
            <w:pPr>
              <w:pStyle w:val="BlockText-Plain"/>
              <w:jc w:val="center"/>
            </w:pPr>
            <w:r w:rsidRPr="00C9343F">
              <w:t>c.</w:t>
            </w:r>
          </w:p>
        </w:tc>
        <w:tc>
          <w:tcPr>
            <w:tcW w:w="7800" w:type="dxa"/>
            <w:gridSpan w:val="2"/>
          </w:tcPr>
          <w:p w14:paraId="29234BC7" w14:textId="77777777" w:rsidR="00D6183E" w:rsidRPr="00C9343F" w:rsidRDefault="00AD1282" w:rsidP="00F66D98">
            <w:pPr>
              <w:pStyle w:val="BlockText-Plain"/>
            </w:pPr>
            <w:r w:rsidRPr="00C9343F">
              <w:t>Whether a sexual relationship exists.</w:t>
            </w:r>
          </w:p>
        </w:tc>
      </w:tr>
      <w:tr w:rsidR="00D6183E" w:rsidRPr="00C9343F" w14:paraId="28C8DE86" w14:textId="77777777" w:rsidTr="00690473">
        <w:trPr>
          <w:cantSplit/>
        </w:trPr>
        <w:tc>
          <w:tcPr>
            <w:tcW w:w="992" w:type="dxa"/>
          </w:tcPr>
          <w:p w14:paraId="1D6BFD54" w14:textId="77777777" w:rsidR="00D6183E" w:rsidRPr="00C9343F" w:rsidRDefault="00D6183E" w:rsidP="00F66D98">
            <w:pPr>
              <w:pStyle w:val="BlockText-Plain"/>
            </w:pPr>
          </w:p>
        </w:tc>
        <w:tc>
          <w:tcPr>
            <w:tcW w:w="567" w:type="dxa"/>
          </w:tcPr>
          <w:p w14:paraId="52E253BC" w14:textId="77777777" w:rsidR="00D6183E" w:rsidRPr="00C9343F" w:rsidRDefault="00D6183E" w:rsidP="007114B1">
            <w:pPr>
              <w:pStyle w:val="BlockText-Plain"/>
              <w:jc w:val="center"/>
            </w:pPr>
            <w:r w:rsidRPr="00C9343F">
              <w:t>d.</w:t>
            </w:r>
          </w:p>
        </w:tc>
        <w:tc>
          <w:tcPr>
            <w:tcW w:w="7800" w:type="dxa"/>
            <w:gridSpan w:val="2"/>
          </w:tcPr>
          <w:p w14:paraId="4FB3336E" w14:textId="77777777" w:rsidR="00D6183E" w:rsidRPr="00C9343F" w:rsidRDefault="00AD1282" w:rsidP="00F66D98">
            <w:pPr>
              <w:pStyle w:val="BlockText-Plain"/>
            </w:pPr>
            <w:r w:rsidRPr="00C9343F">
              <w:t>The degree of financial dependence or interdependence, and any arrangements for financial support, between them.</w:t>
            </w:r>
          </w:p>
        </w:tc>
      </w:tr>
      <w:tr w:rsidR="00D6183E" w:rsidRPr="00C9343F" w14:paraId="0DBA668D" w14:textId="77777777" w:rsidTr="00690473">
        <w:trPr>
          <w:cantSplit/>
        </w:trPr>
        <w:tc>
          <w:tcPr>
            <w:tcW w:w="992" w:type="dxa"/>
          </w:tcPr>
          <w:p w14:paraId="3D0D932C" w14:textId="77777777" w:rsidR="00D6183E" w:rsidRPr="00C9343F" w:rsidRDefault="00D6183E" w:rsidP="00F66D98">
            <w:pPr>
              <w:pStyle w:val="BlockText-Plain"/>
            </w:pPr>
          </w:p>
        </w:tc>
        <w:tc>
          <w:tcPr>
            <w:tcW w:w="567" w:type="dxa"/>
          </w:tcPr>
          <w:p w14:paraId="4CD3C651" w14:textId="77777777" w:rsidR="00D6183E" w:rsidRPr="00C9343F" w:rsidRDefault="00D6183E" w:rsidP="007114B1">
            <w:pPr>
              <w:pStyle w:val="BlockText-Plain"/>
              <w:jc w:val="center"/>
            </w:pPr>
            <w:r w:rsidRPr="00C9343F">
              <w:t>e.</w:t>
            </w:r>
          </w:p>
        </w:tc>
        <w:tc>
          <w:tcPr>
            <w:tcW w:w="7800" w:type="dxa"/>
            <w:gridSpan w:val="2"/>
          </w:tcPr>
          <w:p w14:paraId="736BE844" w14:textId="77777777" w:rsidR="00D6183E" w:rsidRPr="00C9343F" w:rsidRDefault="00AD1282" w:rsidP="00F66D98">
            <w:pPr>
              <w:pStyle w:val="BlockText-Plain"/>
            </w:pPr>
            <w:r w:rsidRPr="00C9343F">
              <w:t>The ownership, use and acquisition of their property.</w:t>
            </w:r>
          </w:p>
        </w:tc>
      </w:tr>
      <w:tr w:rsidR="00AF6A27" w:rsidRPr="00C9343F" w14:paraId="5BE0DF2E" w14:textId="77777777" w:rsidTr="00690473">
        <w:trPr>
          <w:cantSplit/>
        </w:trPr>
        <w:tc>
          <w:tcPr>
            <w:tcW w:w="992" w:type="dxa"/>
          </w:tcPr>
          <w:p w14:paraId="42FCEDCA" w14:textId="77777777" w:rsidR="00AF6A27" w:rsidRPr="00C9343F" w:rsidRDefault="00AF6A27" w:rsidP="00F66D98">
            <w:pPr>
              <w:pStyle w:val="BlockText-Plain"/>
            </w:pPr>
          </w:p>
        </w:tc>
        <w:tc>
          <w:tcPr>
            <w:tcW w:w="567" w:type="dxa"/>
          </w:tcPr>
          <w:p w14:paraId="7C3B2B8E" w14:textId="77777777" w:rsidR="00AF6A27" w:rsidRPr="00C9343F" w:rsidRDefault="00AF6A27" w:rsidP="007114B1">
            <w:pPr>
              <w:pStyle w:val="BlockText-Plain"/>
              <w:jc w:val="center"/>
            </w:pPr>
            <w:r w:rsidRPr="00C9343F">
              <w:t>f.</w:t>
            </w:r>
          </w:p>
        </w:tc>
        <w:tc>
          <w:tcPr>
            <w:tcW w:w="7800" w:type="dxa"/>
            <w:gridSpan w:val="2"/>
          </w:tcPr>
          <w:p w14:paraId="0502EA3D" w14:textId="77777777" w:rsidR="00AF6A27" w:rsidRPr="00C9343F" w:rsidRDefault="00AF6A27" w:rsidP="00F66D98">
            <w:pPr>
              <w:pStyle w:val="BlockText-Plain"/>
            </w:pPr>
            <w:r w:rsidRPr="00C9343F">
              <w:t>The degree of mutual commitment to a shared life.</w:t>
            </w:r>
          </w:p>
        </w:tc>
      </w:tr>
      <w:tr w:rsidR="00AF6A27" w:rsidRPr="00C9343F" w14:paraId="52D4D314" w14:textId="77777777" w:rsidTr="00690473">
        <w:trPr>
          <w:cantSplit/>
        </w:trPr>
        <w:tc>
          <w:tcPr>
            <w:tcW w:w="992" w:type="dxa"/>
          </w:tcPr>
          <w:p w14:paraId="5CDECA51" w14:textId="77777777" w:rsidR="00AF6A27" w:rsidRPr="00C9343F" w:rsidRDefault="00AF6A27" w:rsidP="00F66D98">
            <w:pPr>
              <w:pStyle w:val="BlockText-Plain"/>
            </w:pPr>
          </w:p>
        </w:tc>
        <w:tc>
          <w:tcPr>
            <w:tcW w:w="567" w:type="dxa"/>
          </w:tcPr>
          <w:p w14:paraId="6A0460C3" w14:textId="77777777" w:rsidR="00AF6A27" w:rsidRPr="00C9343F" w:rsidRDefault="00AF6A27" w:rsidP="007114B1">
            <w:pPr>
              <w:pStyle w:val="BlockText-Plain"/>
              <w:jc w:val="center"/>
            </w:pPr>
            <w:r w:rsidRPr="00C9343F">
              <w:t>g.</w:t>
            </w:r>
          </w:p>
        </w:tc>
        <w:tc>
          <w:tcPr>
            <w:tcW w:w="7800" w:type="dxa"/>
            <w:gridSpan w:val="2"/>
          </w:tcPr>
          <w:p w14:paraId="450102CA" w14:textId="77777777" w:rsidR="00AF6A27" w:rsidRPr="00C9343F" w:rsidRDefault="00AF6A27" w:rsidP="00F66D98">
            <w:pPr>
              <w:pStyle w:val="BlockText-Plain"/>
            </w:pPr>
            <w:r w:rsidRPr="00C9343F">
              <w:t>The care and support of children.</w:t>
            </w:r>
          </w:p>
        </w:tc>
      </w:tr>
      <w:tr w:rsidR="00AF6A27" w:rsidRPr="00C9343F" w14:paraId="5F9A98F9" w14:textId="77777777" w:rsidTr="00690473">
        <w:trPr>
          <w:cantSplit/>
        </w:trPr>
        <w:tc>
          <w:tcPr>
            <w:tcW w:w="992" w:type="dxa"/>
          </w:tcPr>
          <w:p w14:paraId="49B27BFC" w14:textId="77777777" w:rsidR="00AF6A27" w:rsidRPr="00C9343F" w:rsidRDefault="00AF6A27" w:rsidP="00F66D98">
            <w:pPr>
              <w:pStyle w:val="BlockText-Plain"/>
            </w:pPr>
          </w:p>
        </w:tc>
        <w:tc>
          <w:tcPr>
            <w:tcW w:w="567" w:type="dxa"/>
          </w:tcPr>
          <w:p w14:paraId="5F4B4497" w14:textId="77777777" w:rsidR="00AF6A27" w:rsidRPr="00C9343F" w:rsidRDefault="00AF6A27" w:rsidP="007114B1">
            <w:pPr>
              <w:pStyle w:val="BlockText-Plain"/>
              <w:jc w:val="center"/>
            </w:pPr>
            <w:r w:rsidRPr="00C9343F">
              <w:t>h.</w:t>
            </w:r>
          </w:p>
        </w:tc>
        <w:tc>
          <w:tcPr>
            <w:tcW w:w="7800" w:type="dxa"/>
            <w:gridSpan w:val="2"/>
          </w:tcPr>
          <w:p w14:paraId="65935116" w14:textId="77777777" w:rsidR="00AF6A27" w:rsidRPr="00C9343F" w:rsidRDefault="00AF6A27" w:rsidP="00F66D98">
            <w:pPr>
              <w:pStyle w:val="BlockText-Plain"/>
            </w:pPr>
            <w:r w:rsidRPr="00C9343F">
              <w:t>The reputation and public aspects of the relationship.</w:t>
            </w:r>
          </w:p>
        </w:tc>
      </w:tr>
      <w:tr w:rsidR="00D6183E" w:rsidRPr="00C9343F" w14:paraId="06E93264" w14:textId="77777777" w:rsidTr="00690473">
        <w:tc>
          <w:tcPr>
            <w:tcW w:w="992" w:type="dxa"/>
          </w:tcPr>
          <w:p w14:paraId="48EB7C72" w14:textId="77777777" w:rsidR="00D6183E" w:rsidRPr="00C9343F" w:rsidRDefault="00D6183E" w:rsidP="00F66D98">
            <w:pPr>
              <w:pStyle w:val="BlockText-Plain"/>
              <w:jc w:val="center"/>
            </w:pPr>
          </w:p>
        </w:tc>
        <w:tc>
          <w:tcPr>
            <w:tcW w:w="8367" w:type="dxa"/>
            <w:gridSpan w:val="3"/>
          </w:tcPr>
          <w:p w14:paraId="0D120226" w14:textId="77777777" w:rsidR="00D6183E" w:rsidRPr="00C9343F" w:rsidRDefault="00AF6A27" w:rsidP="00F66D98">
            <w:pPr>
              <w:pStyle w:val="BlockText-Plain"/>
            </w:pPr>
            <w:r w:rsidRPr="00C9343F">
              <w:rPr>
                <w:b/>
              </w:rPr>
              <w:t>Note 2:</w:t>
            </w:r>
            <w:r w:rsidRPr="00C9343F">
              <w:t xml:space="preserve"> It is not necessary for a couple to show they meet every circumstance in order to be regarded as living together on a genuine domestic basis. No particular finding in relation to any circumstance is necessary in determining whether two persons have a relationship as a couple.</w:t>
            </w:r>
          </w:p>
        </w:tc>
      </w:tr>
      <w:tr w:rsidR="006D35E1" w:rsidRPr="00C9343F" w14:paraId="0A86FBB7" w14:textId="77777777" w:rsidTr="00690473">
        <w:tc>
          <w:tcPr>
            <w:tcW w:w="992" w:type="dxa"/>
          </w:tcPr>
          <w:p w14:paraId="3B3EDDDA" w14:textId="77777777" w:rsidR="006D35E1" w:rsidRPr="00C9343F" w:rsidRDefault="006D35E1" w:rsidP="00F66D98">
            <w:pPr>
              <w:pStyle w:val="BlockText-Plain"/>
              <w:jc w:val="center"/>
            </w:pPr>
          </w:p>
        </w:tc>
        <w:tc>
          <w:tcPr>
            <w:tcW w:w="8367" w:type="dxa"/>
            <w:gridSpan w:val="3"/>
          </w:tcPr>
          <w:p w14:paraId="75D1BE85" w14:textId="77777777" w:rsidR="006D35E1" w:rsidRPr="00C9343F" w:rsidRDefault="006D35E1" w:rsidP="00F66D98">
            <w:pPr>
              <w:pStyle w:val="BlockText-Plain"/>
              <w:rPr>
                <w:b/>
              </w:rPr>
            </w:pPr>
            <w:r w:rsidRPr="00C9343F">
              <w:rPr>
                <w:b/>
              </w:rPr>
              <w:t xml:space="preserve">Note 3: </w:t>
            </w:r>
            <w:r w:rsidRPr="00C9343F">
              <w:t>Both the member and the partner are not related by family and both are over the age of consent applicable in the State or Territory in which they live.</w:t>
            </w:r>
            <w:r w:rsidRPr="00C9343F">
              <w:rPr>
                <w:b/>
              </w:rPr>
              <w:t xml:space="preserve">  </w:t>
            </w:r>
          </w:p>
        </w:tc>
      </w:tr>
      <w:tr w:rsidR="00AF6A27" w:rsidRPr="00C9343F" w14:paraId="6A5B67B4" w14:textId="77777777" w:rsidTr="00690473">
        <w:tc>
          <w:tcPr>
            <w:tcW w:w="992" w:type="dxa"/>
          </w:tcPr>
          <w:p w14:paraId="777357A5" w14:textId="77777777" w:rsidR="00AF6A27" w:rsidRPr="00C9343F" w:rsidRDefault="00AF6A27" w:rsidP="00F66D98">
            <w:pPr>
              <w:pStyle w:val="BlockText-Plain"/>
              <w:jc w:val="center"/>
            </w:pPr>
            <w:r w:rsidRPr="00C9343F">
              <w:t>2.</w:t>
            </w:r>
          </w:p>
        </w:tc>
        <w:tc>
          <w:tcPr>
            <w:tcW w:w="8367" w:type="dxa"/>
            <w:gridSpan w:val="3"/>
          </w:tcPr>
          <w:p w14:paraId="1EF64FAD" w14:textId="77777777" w:rsidR="00AF6A27" w:rsidRPr="00C9343F" w:rsidRDefault="00A72E80" w:rsidP="00F66D98">
            <w:pPr>
              <w:pStyle w:val="BlockText-Plain"/>
            </w:pPr>
            <w:r w:rsidRPr="00C9343F">
              <w:t>A member must use the approved form to apply for recognition of a de facto partner.</w:t>
            </w:r>
          </w:p>
        </w:tc>
      </w:tr>
      <w:tr w:rsidR="00D6183E" w:rsidRPr="00C9343F" w14:paraId="1A2E8ED4" w14:textId="77777777" w:rsidTr="00690473">
        <w:tc>
          <w:tcPr>
            <w:tcW w:w="992" w:type="dxa"/>
          </w:tcPr>
          <w:p w14:paraId="4FA645A6" w14:textId="77777777" w:rsidR="00D6183E" w:rsidRPr="00C9343F" w:rsidRDefault="00D6183E" w:rsidP="00F66D98">
            <w:pPr>
              <w:pStyle w:val="BlockText-Plain"/>
              <w:jc w:val="center"/>
            </w:pPr>
            <w:r w:rsidRPr="00C9343F">
              <w:t>3.</w:t>
            </w:r>
          </w:p>
        </w:tc>
        <w:tc>
          <w:tcPr>
            <w:tcW w:w="8367" w:type="dxa"/>
            <w:gridSpan w:val="3"/>
          </w:tcPr>
          <w:p w14:paraId="38CAC24E" w14:textId="77777777" w:rsidR="00AF6A27" w:rsidRPr="00C9343F" w:rsidRDefault="00AF6A27" w:rsidP="00F66D98">
            <w:pPr>
              <w:pStyle w:val="BlockText-Plain"/>
            </w:pPr>
            <w:r w:rsidRPr="00C9343F">
              <w:t>To avoid doubt, an application may be approved in relation to a period immediately preceding the application date.</w:t>
            </w:r>
          </w:p>
          <w:p w14:paraId="558CEB5F" w14:textId="77777777" w:rsidR="00D6183E" w:rsidRPr="00C9343F" w:rsidRDefault="00AF6A27" w:rsidP="00F66D98">
            <w:pPr>
              <w:pStyle w:val="BlockText-Plain"/>
            </w:pPr>
            <w:r w:rsidRPr="00C9343F">
              <w:rPr>
                <w:b/>
              </w:rPr>
              <w:lastRenderedPageBreak/>
              <w:t>Note:</w:t>
            </w:r>
            <w:r w:rsidRPr="00C9343F">
              <w:t xml:space="preserve"> Approval of a past period may require adjustment of allowances and benefits and this may result in recovery action, with the member or their partner having to repay benefits to Defence or other Commonwealth agencies.</w:t>
            </w:r>
          </w:p>
        </w:tc>
      </w:tr>
      <w:tr w:rsidR="00AF6A27" w:rsidRPr="00C9343F" w14:paraId="774C5B4C" w14:textId="77777777" w:rsidTr="00690473">
        <w:tc>
          <w:tcPr>
            <w:tcW w:w="992" w:type="dxa"/>
          </w:tcPr>
          <w:p w14:paraId="072A2366" w14:textId="77777777" w:rsidR="00AF6A27" w:rsidRPr="00C9343F" w:rsidRDefault="00AF6A27" w:rsidP="00F66D98">
            <w:pPr>
              <w:pStyle w:val="BlockText-Plain"/>
              <w:jc w:val="center"/>
            </w:pPr>
            <w:r w:rsidRPr="00C9343F">
              <w:lastRenderedPageBreak/>
              <w:t>4.</w:t>
            </w:r>
          </w:p>
        </w:tc>
        <w:tc>
          <w:tcPr>
            <w:tcW w:w="8367" w:type="dxa"/>
            <w:gridSpan w:val="3"/>
          </w:tcPr>
          <w:p w14:paraId="769CC55C" w14:textId="77777777" w:rsidR="00AF6A27" w:rsidRPr="00C9343F" w:rsidRDefault="00AF6A27" w:rsidP="00F66D98">
            <w:pPr>
              <w:pStyle w:val="BlockText-Plain"/>
            </w:pPr>
            <w:r w:rsidRPr="00C9343F">
              <w:t>The CDF must accept the member's statement unless it is reasonable to believe there is a need for more information.</w:t>
            </w:r>
          </w:p>
        </w:tc>
      </w:tr>
      <w:tr w:rsidR="00AF6A27" w:rsidRPr="00C9343F" w14:paraId="2109B26C" w14:textId="77777777" w:rsidTr="00690473">
        <w:tc>
          <w:tcPr>
            <w:tcW w:w="992" w:type="dxa"/>
          </w:tcPr>
          <w:p w14:paraId="47575CA2" w14:textId="77777777" w:rsidR="00AF6A27" w:rsidRPr="00C9343F" w:rsidRDefault="00AF6A27" w:rsidP="00F66D98">
            <w:pPr>
              <w:pStyle w:val="BlockText-Plain"/>
              <w:jc w:val="center"/>
            </w:pPr>
            <w:r w:rsidRPr="00C9343F">
              <w:t>5.</w:t>
            </w:r>
          </w:p>
        </w:tc>
        <w:tc>
          <w:tcPr>
            <w:tcW w:w="8367" w:type="dxa"/>
            <w:gridSpan w:val="3"/>
          </w:tcPr>
          <w:p w14:paraId="7D898D96" w14:textId="77777777" w:rsidR="00AF6A27" w:rsidRPr="00C9343F" w:rsidRDefault="00AF6A27" w:rsidP="00F66D98">
            <w:pPr>
              <w:pStyle w:val="BlockText-Plain"/>
            </w:pPr>
            <w:r w:rsidRPr="00C9343F">
              <w:t>The CDF may make any of the following decisions about the application.</w:t>
            </w:r>
          </w:p>
        </w:tc>
      </w:tr>
      <w:tr w:rsidR="00AF6A27" w:rsidRPr="00C9343F" w14:paraId="15B6F427" w14:textId="77777777" w:rsidTr="00690473">
        <w:trPr>
          <w:cantSplit/>
        </w:trPr>
        <w:tc>
          <w:tcPr>
            <w:tcW w:w="992" w:type="dxa"/>
          </w:tcPr>
          <w:p w14:paraId="0C0EA7B0" w14:textId="77777777" w:rsidR="00AF6A27" w:rsidRPr="00C9343F" w:rsidRDefault="00AF6A27" w:rsidP="00F66D98">
            <w:pPr>
              <w:pStyle w:val="BlockText-Plain"/>
            </w:pPr>
          </w:p>
        </w:tc>
        <w:tc>
          <w:tcPr>
            <w:tcW w:w="567" w:type="dxa"/>
          </w:tcPr>
          <w:p w14:paraId="2943C53C" w14:textId="77777777" w:rsidR="00AF6A27" w:rsidRPr="00C9343F" w:rsidRDefault="00AF6A27" w:rsidP="007114B1">
            <w:pPr>
              <w:pStyle w:val="BlockText-Plain"/>
              <w:jc w:val="center"/>
            </w:pPr>
            <w:r w:rsidRPr="00C9343F">
              <w:t>a.</w:t>
            </w:r>
          </w:p>
        </w:tc>
        <w:tc>
          <w:tcPr>
            <w:tcW w:w="7800" w:type="dxa"/>
            <w:gridSpan w:val="2"/>
          </w:tcPr>
          <w:p w14:paraId="27F24E6A" w14:textId="77777777" w:rsidR="00AF6A27" w:rsidRPr="00C9343F" w:rsidRDefault="00AF6A27" w:rsidP="00F66D98">
            <w:pPr>
              <w:pStyle w:val="BlockText-Plain"/>
            </w:pPr>
            <w:r w:rsidRPr="00C9343F">
              <w:t>The CDF may recognise the couple relationship for Defence benefit purposes.</w:t>
            </w:r>
          </w:p>
        </w:tc>
      </w:tr>
      <w:tr w:rsidR="00AF6A27" w:rsidRPr="00C9343F" w14:paraId="63990EA7" w14:textId="77777777" w:rsidTr="00690473">
        <w:trPr>
          <w:cantSplit/>
        </w:trPr>
        <w:tc>
          <w:tcPr>
            <w:tcW w:w="992" w:type="dxa"/>
          </w:tcPr>
          <w:p w14:paraId="26C14620" w14:textId="77777777" w:rsidR="00AF6A27" w:rsidRPr="00C9343F" w:rsidRDefault="00AF6A27" w:rsidP="00F66D98">
            <w:pPr>
              <w:pStyle w:val="BlockText-Plain"/>
            </w:pPr>
          </w:p>
        </w:tc>
        <w:tc>
          <w:tcPr>
            <w:tcW w:w="567" w:type="dxa"/>
          </w:tcPr>
          <w:p w14:paraId="5FABF7D0" w14:textId="77777777" w:rsidR="00AF6A27" w:rsidRPr="00C9343F" w:rsidRDefault="00AF6A27" w:rsidP="007114B1">
            <w:pPr>
              <w:pStyle w:val="BlockText-Plain"/>
              <w:jc w:val="center"/>
            </w:pPr>
            <w:r w:rsidRPr="00C9343F">
              <w:t>b.</w:t>
            </w:r>
          </w:p>
        </w:tc>
        <w:tc>
          <w:tcPr>
            <w:tcW w:w="7800" w:type="dxa"/>
            <w:gridSpan w:val="2"/>
          </w:tcPr>
          <w:p w14:paraId="634EDD9F" w14:textId="77777777" w:rsidR="00AF6A27" w:rsidRPr="00C9343F" w:rsidRDefault="00AF6A27" w:rsidP="00F66D98">
            <w:pPr>
              <w:pStyle w:val="BlockText-Plain"/>
            </w:pPr>
            <w:r w:rsidRPr="00C9343F">
              <w:t>The CDF may request further information if they consider it is necessary to do either of the following.</w:t>
            </w:r>
          </w:p>
        </w:tc>
      </w:tr>
      <w:tr w:rsidR="00AF6A27" w:rsidRPr="00C9343F" w14:paraId="5B5BBCE0" w14:textId="77777777" w:rsidTr="00690473">
        <w:trPr>
          <w:cantSplit/>
        </w:trPr>
        <w:tc>
          <w:tcPr>
            <w:tcW w:w="1559" w:type="dxa"/>
            <w:gridSpan w:val="2"/>
          </w:tcPr>
          <w:p w14:paraId="01D3FA1C" w14:textId="77777777" w:rsidR="00AF6A27" w:rsidRPr="00C9343F" w:rsidRDefault="00AF6A27" w:rsidP="00F66D98">
            <w:pPr>
              <w:pStyle w:val="BlockText-Plain"/>
            </w:pPr>
          </w:p>
        </w:tc>
        <w:tc>
          <w:tcPr>
            <w:tcW w:w="567" w:type="dxa"/>
          </w:tcPr>
          <w:p w14:paraId="3C2EA4B1" w14:textId="77777777" w:rsidR="00AF6A27" w:rsidRPr="00C9343F" w:rsidRDefault="00AF6A27" w:rsidP="007114B1">
            <w:pPr>
              <w:pStyle w:val="BlockText-Plain"/>
            </w:pPr>
            <w:r w:rsidRPr="00C9343F">
              <w:t>i.</w:t>
            </w:r>
          </w:p>
        </w:tc>
        <w:tc>
          <w:tcPr>
            <w:tcW w:w="7233" w:type="dxa"/>
          </w:tcPr>
          <w:p w14:paraId="6470EDB2" w14:textId="77777777" w:rsidR="00AF6A27" w:rsidRPr="00C9343F" w:rsidRDefault="00AF6A27" w:rsidP="00F66D98">
            <w:pPr>
              <w:pStyle w:val="BlockText-Plain"/>
            </w:pPr>
            <w:r w:rsidRPr="00C9343F">
              <w:t>Verify the member's statement of relationship on any form that requires information about dependants.</w:t>
            </w:r>
          </w:p>
        </w:tc>
      </w:tr>
      <w:tr w:rsidR="00AF6A27" w:rsidRPr="00C9343F" w14:paraId="023836AA" w14:textId="77777777" w:rsidTr="00690473">
        <w:trPr>
          <w:cantSplit/>
        </w:trPr>
        <w:tc>
          <w:tcPr>
            <w:tcW w:w="1559" w:type="dxa"/>
            <w:gridSpan w:val="2"/>
          </w:tcPr>
          <w:p w14:paraId="6969B6D6" w14:textId="77777777" w:rsidR="00AF6A27" w:rsidRPr="00C9343F" w:rsidRDefault="00AF6A27" w:rsidP="00F66D98">
            <w:pPr>
              <w:pStyle w:val="BlockText-Plain"/>
            </w:pPr>
          </w:p>
        </w:tc>
        <w:tc>
          <w:tcPr>
            <w:tcW w:w="567" w:type="dxa"/>
          </w:tcPr>
          <w:p w14:paraId="17982B4D" w14:textId="77777777" w:rsidR="00AF6A27" w:rsidRPr="00C9343F" w:rsidRDefault="00AF6A27" w:rsidP="007114B1">
            <w:pPr>
              <w:pStyle w:val="BlockText-Plain"/>
            </w:pPr>
            <w:r w:rsidRPr="00C9343F">
              <w:t>ii.</w:t>
            </w:r>
          </w:p>
        </w:tc>
        <w:tc>
          <w:tcPr>
            <w:tcW w:w="7233" w:type="dxa"/>
          </w:tcPr>
          <w:p w14:paraId="43C1F09B" w14:textId="77777777" w:rsidR="00AF6A27" w:rsidRPr="00C9343F" w:rsidRDefault="00AF6A27" w:rsidP="00F66D98">
            <w:pPr>
              <w:pStyle w:val="BlockText-Plain"/>
            </w:pPr>
            <w:r w:rsidRPr="00C9343F">
              <w:t>Recognise dependants in relation to whom the member is applying for categorisation or to change a category.</w:t>
            </w:r>
          </w:p>
        </w:tc>
      </w:tr>
      <w:tr w:rsidR="00AF6A27" w:rsidRPr="00C9343F" w14:paraId="15CA459A" w14:textId="77777777" w:rsidTr="00690473">
        <w:trPr>
          <w:cantSplit/>
        </w:trPr>
        <w:tc>
          <w:tcPr>
            <w:tcW w:w="992" w:type="dxa"/>
          </w:tcPr>
          <w:p w14:paraId="4195CEC1" w14:textId="77777777" w:rsidR="00AF6A27" w:rsidRPr="00C9343F" w:rsidRDefault="00AF6A27" w:rsidP="00F66D98">
            <w:pPr>
              <w:pStyle w:val="BlockText-Plain"/>
            </w:pPr>
          </w:p>
        </w:tc>
        <w:tc>
          <w:tcPr>
            <w:tcW w:w="567" w:type="dxa"/>
          </w:tcPr>
          <w:p w14:paraId="2B29A865" w14:textId="77777777" w:rsidR="00AF6A27" w:rsidRPr="00C9343F" w:rsidRDefault="00AF6A27" w:rsidP="007114B1">
            <w:pPr>
              <w:pStyle w:val="BlockText-Plain"/>
              <w:jc w:val="center"/>
            </w:pPr>
            <w:r w:rsidRPr="00C9343F">
              <w:t>c.</w:t>
            </w:r>
          </w:p>
        </w:tc>
        <w:tc>
          <w:tcPr>
            <w:tcW w:w="7800" w:type="dxa"/>
            <w:gridSpan w:val="2"/>
          </w:tcPr>
          <w:p w14:paraId="782DF2D8" w14:textId="77777777" w:rsidR="00AF6A27" w:rsidRPr="00C9343F" w:rsidRDefault="00AF6A27" w:rsidP="00F66D98">
            <w:pPr>
              <w:pStyle w:val="BlockText-Plain"/>
            </w:pPr>
            <w:r w:rsidRPr="00C9343F">
              <w:t>The CDF may refuse to recognise the couple relationship for Defence benefit purposes. The CDF must provide reasons to the member.</w:t>
            </w:r>
          </w:p>
        </w:tc>
      </w:tr>
      <w:tr w:rsidR="00AF6A27" w:rsidRPr="00C9343F" w14:paraId="5375A086" w14:textId="77777777" w:rsidTr="00690473">
        <w:tc>
          <w:tcPr>
            <w:tcW w:w="992" w:type="dxa"/>
          </w:tcPr>
          <w:p w14:paraId="0BDCE59D" w14:textId="77777777" w:rsidR="00AF6A27" w:rsidRPr="00C9343F" w:rsidRDefault="00AF6A27" w:rsidP="00F66D98">
            <w:pPr>
              <w:pStyle w:val="BlockText-Plain"/>
              <w:jc w:val="center"/>
            </w:pPr>
            <w:r w:rsidRPr="00C9343F">
              <w:t>6.</w:t>
            </w:r>
          </w:p>
        </w:tc>
        <w:tc>
          <w:tcPr>
            <w:tcW w:w="8367" w:type="dxa"/>
            <w:gridSpan w:val="3"/>
          </w:tcPr>
          <w:p w14:paraId="34616225" w14:textId="43F20063" w:rsidR="00AF6A27" w:rsidRPr="00C9343F" w:rsidRDefault="00AF6A27" w:rsidP="00F66D98">
            <w:pPr>
              <w:pStyle w:val="BlockText-Plain"/>
            </w:pPr>
            <w:r w:rsidRPr="00C9343F">
              <w:t xml:space="preserve">To avoid doubt, </w:t>
            </w:r>
            <w:r w:rsidR="00F26D1E" w:rsidRPr="00C9343F">
              <w:t>if</w:t>
            </w:r>
            <w:r w:rsidRPr="00C9343F">
              <w:t xml:space="preserve"> the CDF refuses to recognise the relationship for Defence benefit purposes, the member may not be categorised as a member with dependants on the basis of that relationship. This means they may not receive Defence benefits provided to people defined as dependants (under section 1.3.83) on the basis of that relationship.</w:t>
            </w:r>
          </w:p>
          <w:p w14:paraId="16FF026E" w14:textId="77777777" w:rsidR="00AF6A27" w:rsidRPr="00C9343F" w:rsidRDefault="00AF6A27" w:rsidP="00F66D98">
            <w:pPr>
              <w:pStyle w:val="BlockText-Plain"/>
            </w:pPr>
            <w:r w:rsidRPr="00C9343F">
              <w:rPr>
                <w:b/>
              </w:rPr>
              <w:t>Note 1:</w:t>
            </w:r>
            <w:r w:rsidRPr="00C9343F">
              <w:t xml:space="preserve"> Even without a de facto partner, a member may still be categorised as a member</w:t>
            </w:r>
            <w:r w:rsidRPr="00C9343F">
              <w:rPr>
                <w:b/>
                <w:i/>
              </w:rPr>
              <w:t xml:space="preserve"> </w:t>
            </w:r>
            <w:r w:rsidRPr="00C9343F">
              <w:t>with dependants on the basis that other dependants live with them, for example, the member's dependant parent, recognised under section 1.3.85.</w:t>
            </w:r>
          </w:p>
          <w:p w14:paraId="500CF965" w14:textId="77777777" w:rsidR="00AF6A27" w:rsidRPr="00C9343F" w:rsidRDefault="00AF6A27" w:rsidP="00F66D98">
            <w:pPr>
              <w:pStyle w:val="BlockText-Plain"/>
            </w:pPr>
            <w:r w:rsidRPr="00C9343F">
              <w:rPr>
                <w:b/>
              </w:rPr>
              <w:t>Note 2:</w:t>
            </w:r>
            <w:r w:rsidRPr="00C9343F">
              <w:t xml:space="preserve"> Although a person may not meet the requirements to establish a couple relationship, they may still seek recognition as a CDF-recognised dependant under section 1.3.85.</w:t>
            </w:r>
          </w:p>
          <w:p w14:paraId="1CC883D1" w14:textId="77777777" w:rsidR="00AF6A27" w:rsidRPr="00C9343F" w:rsidRDefault="00AF6A27" w:rsidP="00F66D98">
            <w:pPr>
              <w:pStyle w:val="BlockText-Plain"/>
            </w:pPr>
            <w:r w:rsidRPr="00C9343F">
              <w:rPr>
                <w:b/>
              </w:rPr>
              <w:t>See:</w:t>
            </w:r>
            <w:r w:rsidRPr="00C9343F">
              <w:t xml:space="preserve"> Section 1.3.85, Dependants recognised by CDF</w:t>
            </w:r>
          </w:p>
        </w:tc>
      </w:tr>
      <w:tr w:rsidR="00AF6A27" w:rsidRPr="00C9343F" w14:paraId="6A34B515" w14:textId="77777777" w:rsidTr="00983004">
        <w:tc>
          <w:tcPr>
            <w:tcW w:w="992" w:type="dxa"/>
          </w:tcPr>
          <w:p w14:paraId="629C05FA" w14:textId="77777777" w:rsidR="00AF6A27" w:rsidRPr="00C9343F" w:rsidRDefault="00AF6A27" w:rsidP="00F66D98">
            <w:pPr>
              <w:pStyle w:val="BlockText-Plain"/>
              <w:jc w:val="center"/>
            </w:pPr>
            <w:r w:rsidRPr="00C9343F">
              <w:t>7.</w:t>
            </w:r>
          </w:p>
        </w:tc>
        <w:tc>
          <w:tcPr>
            <w:tcW w:w="8367" w:type="dxa"/>
            <w:gridSpan w:val="3"/>
          </w:tcPr>
          <w:p w14:paraId="169E24BC" w14:textId="77777777" w:rsidR="00AF6A27" w:rsidRPr="00C9343F" w:rsidRDefault="00AF6A27" w:rsidP="00F66D98">
            <w:pPr>
              <w:pStyle w:val="BlockText-Plain"/>
            </w:pPr>
            <w:r w:rsidRPr="00C9343F">
              <w:t>In refusing to recognise a couple relationship for Defence benefit purposes, the CDF must not take into account any factors that are irrelevant to that decision.</w:t>
            </w:r>
          </w:p>
          <w:p w14:paraId="4BF3FCC3" w14:textId="77777777" w:rsidR="00AF6A27" w:rsidRPr="00C9343F" w:rsidRDefault="00AF6A27" w:rsidP="00F66D98">
            <w:pPr>
              <w:pStyle w:val="BlockText-Plain"/>
            </w:pPr>
            <w:r w:rsidRPr="00C9343F">
              <w:rPr>
                <w:b/>
              </w:rPr>
              <w:t>Example:</w:t>
            </w:r>
            <w:r w:rsidRPr="00C9343F">
              <w:t xml:space="preserve"> The member's rank or employment category, personal choices, religion.</w:t>
            </w:r>
          </w:p>
        </w:tc>
      </w:tr>
      <w:tr w:rsidR="00AF6A27" w:rsidRPr="00C9343F" w14:paraId="50B7F1A1" w14:textId="77777777" w:rsidTr="00983004">
        <w:tc>
          <w:tcPr>
            <w:tcW w:w="992" w:type="dxa"/>
          </w:tcPr>
          <w:p w14:paraId="0313C438" w14:textId="77777777" w:rsidR="00AF6A27" w:rsidRPr="00C9343F" w:rsidRDefault="00AF6A27" w:rsidP="00F66D98">
            <w:pPr>
              <w:pStyle w:val="BlockText-Plain"/>
              <w:jc w:val="center"/>
            </w:pPr>
            <w:r w:rsidRPr="00C9343F">
              <w:t>8.</w:t>
            </w:r>
          </w:p>
        </w:tc>
        <w:tc>
          <w:tcPr>
            <w:tcW w:w="8367" w:type="dxa"/>
            <w:gridSpan w:val="3"/>
          </w:tcPr>
          <w:p w14:paraId="285B46CD" w14:textId="77777777" w:rsidR="00AF6A27" w:rsidRPr="00C9343F" w:rsidRDefault="00AF6A27" w:rsidP="00F66D98">
            <w:pPr>
              <w:pStyle w:val="BlockText-Plain"/>
            </w:pPr>
            <w:r w:rsidRPr="00C9343F">
              <w:t xml:space="preserve">Approval or refusal of an application based on whether or not the member meets the definition in this </w:t>
            </w:r>
            <w:r w:rsidR="00803066" w:rsidRPr="00C9343F">
              <w:t>section</w:t>
            </w:r>
            <w:r w:rsidRPr="00C9343F">
              <w:t xml:space="preserve"> is taken to be both of the following.</w:t>
            </w:r>
          </w:p>
        </w:tc>
      </w:tr>
      <w:tr w:rsidR="00AF6A27" w:rsidRPr="00C9343F" w14:paraId="220C0A03" w14:textId="77777777" w:rsidTr="00983004">
        <w:trPr>
          <w:cantSplit/>
        </w:trPr>
        <w:tc>
          <w:tcPr>
            <w:tcW w:w="992" w:type="dxa"/>
          </w:tcPr>
          <w:p w14:paraId="3BBD7F16" w14:textId="77777777" w:rsidR="00AF6A27" w:rsidRPr="00C9343F" w:rsidRDefault="00AF6A27" w:rsidP="00F66D98">
            <w:pPr>
              <w:pStyle w:val="BlockText-Plain"/>
            </w:pPr>
          </w:p>
        </w:tc>
        <w:tc>
          <w:tcPr>
            <w:tcW w:w="567" w:type="dxa"/>
          </w:tcPr>
          <w:p w14:paraId="6FC14169" w14:textId="77777777" w:rsidR="00AF6A27" w:rsidRPr="00C9343F" w:rsidRDefault="00AF6A27" w:rsidP="007114B1">
            <w:pPr>
              <w:pStyle w:val="BlockText-Plain"/>
              <w:jc w:val="center"/>
            </w:pPr>
            <w:r w:rsidRPr="00C9343F">
              <w:t>a.</w:t>
            </w:r>
          </w:p>
        </w:tc>
        <w:tc>
          <w:tcPr>
            <w:tcW w:w="7800" w:type="dxa"/>
            <w:gridSpan w:val="2"/>
          </w:tcPr>
          <w:p w14:paraId="63F751DA" w14:textId="77777777" w:rsidR="00AF6A27" w:rsidRPr="00C9343F" w:rsidRDefault="00AF6A27" w:rsidP="00F66D98">
            <w:pPr>
              <w:pStyle w:val="BlockText-Plain"/>
            </w:pPr>
            <w:r w:rsidRPr="00C9343F">
              <w:t>A decision point which may be the subject of a complaint for redress.</w:t>
            </w:r>
          </w:p>
        </w:tc>
      </w:tr>
      <w:tr w:rsidR="00AF6A27" w:rsidRPr="00C9343F" w14:paraId="2123BD20" w14:textId="77777777" w:rsidTr="00983004">
        <w:trPr>
          <w:cantSplit/>
        </w:trPr>
        <w:tc>
          <w:tcPr>
            <w:tcW w:w="992" w:type="dxa"/>
          </w:tcPr>
          <w:p w14:paraId="42E8EB8F" w14:textId="77777777" w:rsidR="00AF6A27" w:rsidRPr="00C9343F" w:rsidRDefault="00AF6A27" w:rsidP="00F66D98">
            <w:pPr>
              <w:pStyle w:val="BlockText-Plain"/>
            </w:pPr>
          </w:p>
        </w:tc>
        <w:tc>
          <w:tcPr>
            <w:tcW w:w="567" w:type="dxa"/>
          </w:tcPr>
          <w:p w14:paraId="7CA197F3" w14:textId="77777777" w:rsidR="00AF6A27" w:rsidRPr="00C9343F" w:rsidRDefault="00AF6A27" w:rsidP="007114B1">
            <w:pPr>
              <w:pStyle w:val="BlockText-Plain"/>
              <w:jc w:val="center"/>
            </w:pPr>
            <w:r w:rsidRPr="00C9343F">
              <w:t>b.</w:t>
            </w:r>
          </w:p>
        </w:tc>
        <w:tc>
          <w:tcPr>
            <w:tcW w:w="7800" w:type="dxa"/>
            <w:gridSpan w:val="2"/>
          </w:tcPr>
          <w:p w14:paraId="5E4F3EA9" w14:textId="77777777" w:rsidR="00AF6A27" w:rsidRPr="00C9343F" w:rsidRDefault="00AF6A27" w:rsidP="00F66D98">
            <w:pPr>
              <w:pStyle w:val="BlockText-Plain"/>
            </w:pPr>
            <w:r w:rsidRPr="00C9343F">
              <w:t>An exercise of discretion.</w:t>
            </w:r>
          </w:p>
        </w:tc>
      </w:tr>
      <w:tr w:rsidR="00AF6A27" w:rsidRPr="00C9343F" w14:paraId="1DB3F69D" w14:textId="77777777" w:rsidTr="00983004">
        <w:tc>
          <w:tcPr>
            <w:tcW w:w="992" w:type="dxa"/>
          </w:tcPr>
          <w:p w14:paraId="731B4565" w14:textId="77777777" w:rsidR="00AF6A27" w:rsidRPr="00C9343F" w:rsidRDefault="00AF6A27" w:rsidP="00F66D98">
            <w:pPr>
              <w:pStyle w:val="BlockText-Plain"/>
              <w:jc w:val="center"/>
            </w:pPr>
            <w:r w:rsidRPr="00C9343F">
              <w:t>9.</w:t>
            </w:r>
          </w:p>
        </w:tc>
        <w:tc>
          <w:tcPr>
            <w:tcW w:w="8367" w:type="dxa"/>
            <w:gridSpan w:val="3"/>
          </w:tcPr>
          <w:p w14:paraId="78422C8C" w14:textId="77777777" w:rsidR="00AF6A27" w:rsidRPr="00C9343F" w:rsidRDefault="00AF6A27" w:rsidP="00F66D98">
            <w:pPr>
              <w:pStyle w:val="BlockText-Plain"/>
            </w:pPr>
            <w:r w:rsidRPr="00C9343F">
              <w:t>To avoid doubt, the CDF may decide that a member falls in or out of the definition of a couple relationship even if the member has not provided a statement in an application to show that they meet the definition of a de facto partner.</w:t>
            </w:r>
          </w:p>
        </w:tc>
      </w:tr>
      <w:tr w:rsidR="00AF6A27" w:rsidRPr="00C9343F" w14:paraId="40621796" w14:textId="77777777" w:rsidTr="00983004">
        <w:tc>
          <w:tcPr>
            <w:tcW w:w="992" w:type="dxa"/>
          </w:tcPr>
          <w:p w14:paraId="1C08B356" w14:textId="77777777" w:rsidR="00AF6A27" w:rsidRPr="00C9343F" w:rsidRDefault="00AF6A27" w:rsidP="00F66D98">
            <w:pPr>
              <w:pStyle w:val="BlockText-Plain"/>
              <w:jc w:val="center"/>
            </w:pPr>
          </w:p>
        </w:tc>
        <w:tc>
          <w:tcPr>
            <w:tcW w:w="8367" w:type="dxa"/>
            <w:gridSpan w:val="3"/>
          </w:tcPr>
          <w:p w14:paraId="14D4BCF7" w14:textId="77777777" w:rsidR="00AF6A27" w:rsidRPr="00C9343F" w:rsidRDefault="00AF6A27" w:rsidP="00F66D98">
            <w:pPr>
              <w:pStyle w:val="BlockText-Plain"/>
            </w:pPr>
            <w:r w:rsidRPr="00C9343F">
              <w:rPr>
                <w:b/>
              </w:rPr>
              <w:t>Example 1:</w:t>
            </w:r>
            <w:r w:rsidRPr="00C9343F">
              <w:t xml:space="preserve"> A newly recruited member completes their initial paperwork incorrectly, so they are categorised as a member without dependants. Although not living with their partner during the initial training period, prior to joining the Service the member had been living with their partner on a genuine domestic basis for a number of years, having children together and shared bank accounts. The new recruit may not be able to provide recent evidence of the necessary factors to have dependency recognised. However, in keeping with administrative law principles and having regard to all the relevant factors, the CDF can use their discretion to recognise the couple as de facto partners for Defence benefit purposes.</w:t>
            </w:r>
          </w:p>
        </w:tc>
      </w:tr>
      <w:tr w:rsidR="00AF6A27" w:rsidRPr="00C9343F" w14:paraId="4C5CEACA" w14:textId="77777777" w:rsidTr="00983004">
        <w:tc>
          <w:tcPr>
            <w:tcW w:w="992" w:type="dxa"/>
          </w:tcPr>
          <w:p w14:paraId="0E2FB6C1" w14:textId="77777777" w:rsidR="00AF6A27" w:rsidRPr="00C9343F" w:rsidRDefault="00AF6A27" w:rsidP="00F66D98">
            <w:pPr>
              <w:pStyle w:val="BlockText-Plain"/>
              <w:jc w:val="center"/>
            </w:pPr>
          </w:p>
        </w:tc>
        <w:tc>
          <w:tcPr>
            <w:tcW w:w="8367" w:type="dxa"/>
            <w:gridSpan w:val="3"/>
          </w:tcPr>
          <w:p w14:paraId="5782B4BF" w14:textId="77777777" w:rsidR="00AF6A27" w:rsidRPr="00C9343F" w:rsidRDefault="00AF6A27" w:rsidP="00F66D98">
            <w:pPr>
              <w:pStyle w:val="BlockText-Plain"/>
            </w:pPr>
            <w:r w:rsidRPr="00C9343F">
              <w:rPr>
                <w:b/>
              </w:rPr>
              <w:t>Example 2:</w:t>
            </w:r>
            <w:r w:rsidRPr="00C9343F">
              <w:t xml:space="preserve"> A member is unconscious. The member has made no application for recognition of a dependant. However, the member's partner approaches Defence for assistance. The partner is able to show that they have lived with the member for some years and family and friends recognise the member and their partner as a de facto couple.</w:t>
            </w:r>
          </w:p>
        </w:tc>
      </w:tr>
      <w:tr w:rsidR="00AF6A27" w:rsidRPr="00C9343F" w14:paraId="4495926F" w14:textId="77777777" w:rsidTr="00983004">
        <w:tc>
          <w:tcPr>
            <w:tcW w:w="992" w:type="dxa"/>
          </w:tcPr>
          <w:p w14:paraId="23A81456" w14:textId="77777777" w:rsidR="00AF6A27" w:rsidRPr="00C9343F" w:rsidRDefault="00AF6A27" w:rsidP="00F66D98">
            <w:pPr>
              <w:pStyle w:val="BlockText-Plain"/>
              <w:jc w:val="center"/>
            </w:pPr>
            <w:r w:rsidRPr="00C9343F">
              <w:t>10.</w:t>
            </w:r>
          </w:p>
        </w:tc>
        <w:tc>
          <w:tcPr>
            <w:tcW w:w="8367" w:type="dxa"/>
            <w:gridSpan w:val="3"/>
          </w:tcPr>
          <w:p w14:paraId="0220EFA1" w14:textId="77777777" w:rsidR="00AF6A27" w:rsidRPr="00C9343F" w:rsidRDefault="00AF6A27" w:rsidP="00F66D98">
            <w:pPr>
              <w:pStyle w:val="BlockText-Plain"/>
            </w:pPr>
            <w:r w:rsidRPr="00C9343F">
              <w:t>The CDF may recognise a de facto relationship if the partners are temporarily separated due to one of the following reasons.</w:t>
            </w:r>
          </w:p>
        </w:tc>
      </w:tr>
      <w:tr w:rsidR="00AF6A27" w:rsidRPr="00C9343F" w14:paraId="7D5978AD" w14:textId="77777777" w:rsidTr="00983004">
        <w:trPr>
          <w:cantSplit/>
        </w:trPr>
        <w:tc>
          <w:tcPr>
            <w:tcW w:w="992" w:type="dxa"/>
          </w:tcPr>
          <w:p w14:paraId="391F86D7" w14:textId="77777777" w:rsidR="00AF6A27" w:rsidRPr="00C9343F" w:rsidRDefault="00AF6A27" w:rsidP="00F66D98">
            <w:pPr>
              <w:pStyle w:val="BlockText-Plain"/>
            </w:pPr>
          </w:p>
        </w:tc>
        <w:tc>
          <w:tcPr>
            <w:tcW w:w="567" w:type="dxa"/>
          </w:tcPr>
          <w:p w14:paraId="0984C0C6" w14:textId="77777777" w:rsidR="00AF6A27" w:rsidRPr="00C9343F" w:rsidRDefault="00AF6A27" w:rsidP="007114B1">
            <w:pPr>
              <w:pStyle w:val="BlockText-Plain"/>
              <w:jc w:val="center"/>
            </w:pPr>
            <w:r w:rsidRPr="00C9343F">
              <w:t>a.</w:t>
            </w:r>
          </w:p>
        </w:tc>
        <w:tc>
          <w:tcPr>
            <w:tcW w:w="7800" w:type="dxa"/>
            <w:gridSpan w:val="2"/>
          </w:tcPr>
          <w:p w14:paraId="44E4172A" w14:textId="77777777" w:rsidR="00AF6A27" w:rsidRPr="00C9343F" w:rsidRDefault="00AF6A27" w:rsidP="00F66D98">
            <w:pPr>
              <w:pStyle w:val="BlockText-Plain"/>
            </w:pPr>
            <w:r w:rsidRPr="00C9343F">
              <w:t>Service reasons.</w:t>
            </w:r>
          </w:p>
        </w:tc>
      </w:tr>
      <w:tr w:rsidR="00AF6A27" w:rsidRPr="00C9343F" w14:paraId="3EA5F257" w14:textId="77777777" w:rsidTr="00983004">
        <w:trPr>
          <w:cantSplit/>
        </w:trPr>
        <w:tc>
          <w:tcPr>
            <w:tcW w:w="992" w:type="dxa"/>
          </w:tcPr>
          <w:p w14:paraId="6C777D8E" w14:textId="77777777" w:rsidR="00AF6A27" w:rsidRPr="00C9343F" w:rsidRDefault="00AF6A27" w:rsidP="00F66D98">
            <w:pPr>
              <w:pStyle w:val="BlockText-Plain"/>
            </w:pPr>
          </w:p>
        </w:tc>
        <w:tc>
          <w:tcPr>
            <w:tcW w:w="567" w:type="dxa"/>
          </w:tcPr>
          <w:p w14:paraId="3F18A267" w14:textId="77777777" w:rsidR="00AF6A27" w:rsidRPr="00C9343F" w:rsidRDefault="00AF6A27" w:rsidP="007114B1">
            <w:pPr>
              <w:pStyle w:val="BlockText-Plain"/>
              <w:jc w:val="center"/>
            </w:pPr>
            <w:r w:rsidRPr="00C9343F">
              <w:t>b.</w:t>
            </w:r>
          </w:p>
        </w:tc>
        <w:tc>
          <w:tcPr>
            <w:tcW w:w="7800" w:type="dxa"/>
            <w:gridSpan w:val="2"/>
          </w:tcPr>
          <w:p w14:paraId="2F1B1FF6" w14:textId="77777777" w:rsidR="00AF6A27" w:rsidRPr="00C9343F" w:rsidRDefault="00AF6A27" w:rsidP="00F66D98">
            <w:pPr>
              <w:pStyle w:val="BlockText-Plain"/>
            </w:pPr>
            <w:r w:rsidRPr="00C9343F">
              <w:t>The member or their partner has an illness or infirmity which prevents them from living together.</w:t>
            </w:r>
          </w:p>
        </w:tc>
      </w:tr>
      <w:tr w:rsidR="00AF6A27" w:rsidRPr="00C9343F" w14:paraId="13D812E6" w14:textId="77777777" w:rsidTr="00983004">
        <w:trPr>
          <w:cantSplit/>
        </w:trPr>
        <w:tc>
          <w:tcPr>
            <w:tcW w:w="992" w:type="dxa"/>
          </w:tcPr>
          <w:p w14:paraId="7F4EC280" w14:textId="77777777" w:rsidR="00AF6A27" w:rsidRPr="00C9343F" w:rsidRDefault="00AF6A27" w:rsidP="00F66D98">
            <w:pPr>
              <w:pStyle w:val="BlockText-Plain"/>
            </w:pPr>
          </w:p>
        </w:tc>
        <w:tc>
          <w:tcPr>
            <w:tcW w:w="567" w:type="dxa"/>
          </w:tcPr>
          <w:p w14:paraId="0B88B2F9" w14:textId="77777777" w:rsidR="00AF6A27" w:rsidRPr="00C9343F" w:rsidRDefault="00AF6A27" w:rsidP="007114B1">
            <w:pPr>
              <w:pStyle w:val="BlockText-Plain"/>
              <w:jc w:val="center"/>
            </w:pPr>
            <w:r w:rsidRPr="00C9343F">
              <w:t>c.</w:t>
            </w:r>
          </w:p>
        </w:tc>
        <w:tc>
          <w:tcPr>
            <w:tcW w:w="7800" w:type="dxa"/>
            <w:gridSpan w:val="2"/>
          </w:tcPr>
          <w:p w14:paraId="1646A159" w14:textId="77777777" w:rsidR="00AF6A27" w:rsidRPr="00C9343F" w:rsidRDefault="00AF6A27" w:rsidP="00F66D98">
            <w:pPr>
              <w:pStyle w:val="BlockText-Plain"/>
            </w:pPr>
            <w:r w:rsidRPr="00C9343F">
              <w:t>Unfor</w:t>
            </w:r>
            <w:r w:rsidR="009D27F0" w:rsidRPr="00C9343F">
              <w:t>e</w:t>
            </w:r>
            <w:r w:rsidRPr="00C9343F">
              <w:t>seen circumstances.</w:t>
            </w:r>
          </w:p>
          <w:p w14:paraId="2EA89139" w14:textId="77777777" w:rsidR="00AF6A27" w:rsidRPr="00C9343F" w:rsidRDefault="00AF6A27" w:rsidP="00F66D98">
            <w:pPr>
              <w:pStyle w:val="BlockText-Plain"/>
            </w:pPr>
            <w:r w:rsidRPr="00C9343F">
              <w:rPr>
                <w:b/>
              </w:rPr>
              <w:t>Example:</w:t>
            </w:r>
            <w:r w:rsidRPr="00C9343F">
              <w:t xml:space="preserve"> The partner is caring for their parent in the parent's home for a few weeks while the parent recovers from surgery.</w:t>
            </w:r>
          </w:p>
        </w:tc>
      </w:tr>
    </w:tbl>
    <w:p w14:paraId="6359B734" w14:textId="5056928F" w:rsidR="00D6183E" w:rsidRPr="00C9343F" w:rsidRDefault="00D6183E" w:rsidP="00F66D98">
      <w:pPr>
        <w:pStyle w:val="Heading5"/>
      </w:pPr>
      <w:bookmarkStart w:id="183" w:name="_Toc105053575"/>
      <w:r w:rsidRPr="00C9343F">
        <w:t>1.3.</w:t>
      </w:r>
      <w:r w:rsidR="00AF6A27" w:rsidRPr="00C9343F">
        <w:t>90</w:t>
      </w:r>
      <w:r w:rsidR="00D94006" w:rsidRPr="00C9343F">
        <w:t>    </w:t>
      </w:r>
      <w:r w:rsidR="00AF6A27" w:rsidRPr="00C9343F">
        <w:t>Partner – registered de facto</w:t>
      </w:r>
      <w:bookmarkEnd w:id="183"/>
    </w:p>
    <w:tbl>
      <w:tblPr>
        <w:tblW w:w="0" w:type="auto"/>
        <w:tblInd w:w="113" w:type="dxa"/>
        <w:tblLayout w:type="fixed"/>
        <w:tblLook w:val="0000" w:firstRow="0" w:lastRow="0" w:firstColumn="0" w:lastColumn="0" w:noHBand="0" w:noVBand="0"/>
      </w:tblPr>
      <w:tblGrid>
        <w:gridCol w:w="992"/>
        <w:gridCol w:w="8367"/>
      </w:tblGrid>
      <w:tr w:rsidR="00D6183E" w:rsidRPr="00C9343F" w14:paraId="51991AA3" w14:textId="77777777" w:rsidTr="00D6183E">
        <w:tc>
          <w:tcPr>
            <w:tcW w:w="992" w:type="dxa"/>
          </w:tcPr>
          <w:p w14:paraId="03D621D5" w14:textId="77777777" w:rsidR="00D6183E" w:rsidRPr="00C9343F" w:rsidRDefault="00D6183E" w:rsidP="00F66D98">
            <w:pPr>
              <w:pStyle w:val="BlockText-Plain"/>
              <w:jc w:val="center"/>
            </w:pPr>
          </w:p>
        </w:tc>
        <w:tc>
          <w:tcPr>
            <w:tcW w:w="8367" w:type="dxa"/>
          </w:tcPr>
          <w:p w14:paraId="48DC96FC" w14:textId="77777777" w:rsidR="00D6183E" w:rsidRPr="00C9343F" w:rsidRDefault="00AF6A27" w:rsidP="00F66D98">
            <w:pPr>
              <w:pStyle w:val="BlockText-Plain"/>
            </w:pPr>
            <w:r w:rsidRPr="00C9343F">
              <w:t>To avoid doubt, if a de facto relationship is recognised on a State or Territory register, then the member does not need to reapply for recognition if the couple move and continue to normally live together as a couple in a State or Territory other than the one in which they were registered.</w:t>
            </w:r>
          </w:p>
        </w:tc>
      </w:tr>
    </w:tbl>
    <w:p w14:paraId="7F6001B2" w14:textId="7B4E83AD" w:rsidR="00342683" w:rsidRPr="00C9343F" w:rsidRDefault="00342683" w:rsidP="00F66D98">
      <w:pPr>
        <w:pStyle w:val="Heading5"/>
      </w:pPr>
      <w:bookmarkStart w:id="184" w:name="_Toc105053576"/>
      <w:r w:rsidRPr="00C9343F">
        <w:t>1.3.</w:t>
      </w:r>
      <w:r w:rsidR="00AF6A27" w:rsidRPr="00C9343F">
        <w:t>91</w:t>
      </w:r>
      <w:r w:rsidR="00D94006" w:rsidRPr="00C9343F">
        <w:t>    </w:t>
      </w:r>
      <w:r w:rsidR="00AF6A27" w:rsidRPr="00C9343F">
        <w:t>Primary emergency contact</w:t>
      </w:r>
      <w:bookmarkEnd w:id="184"/>
    </w:p>
    <w:tbl>
      <w:tblPr>
        <w:tblW w:w="0" w:type="auto"/>
        <w:tblInd w:w="108" w:type="dxa"/>
        <w:tblLayout w:type="fixed"/>
        <w:tblLook w:val="0000" w:firstRow="0" w:lastRow="0" w:firstColumn="0" w:lastColumn="0" w:noHBand="0" w:noVBand="0"/>
      </w:tblPr>
      <w:tblGrid>
        <w:gridCol w:w="997"/>
        <w:gridCol w:w="8363"/>
      </w:tblGrid>
      <w:tr w:rsidR="00342683" w:rsidRPr="00C9343F" w14:paraId="72C91F9B" w14:textId="77777777" w:rsidTr="00AF6A27">
        <w:tc>
          <w:tcPr>
            <w:tcW w:w="997" w:type="dxa"/>
          </w:tcPr>
          <w:p w14:paraId="212DFA95" w14:textId="77777777" w:rsidR="00342683" w:rsidRPr="00C9343F" w:rsidRDefault="00342683" w:rsidP="00F66D98">
            <w:pPr>
              <w:pStyle w:val="BlockText-Plain"/>
              <w:jc w:val="center"/>
            </w:pPr>
          </w:p>
        </w:tc>
        <w:tc>
          <w:tcPr>
            <w:tcW w:w="8363" w:type="dxa"/>
          </w:tcPr>
          <w:p w14:paraId="4B395D9D" w14:textId="0F61DDA1" w:rsidR="00342683" w:rsidRPr="00C9343F" w:rsidRDefault="00AF6A27" w:rsidP="00F66D98">
            <w:pPr>
              <w:pStyle w:val="BlockText-Plain"/>
            </w:pPr>
            <w:r w:rsidRPr="00C9343F">
              <w:t>A member's primary emergency contact is an adult, usually in the member's family, who is nominated as the first contact if the member is assigned a casualty status that needs to be notified to the family.</w:t>
            </w:r>
          </w:p>
        </w:tc>
      </w:tr>
    </w:tbl>
    <w:p w14:paraId="28CE79C4" w14:textId="0D1F85E6" w:rsidR="00342683" w:rsidRPr="00C9343F" w:rsidRDefault="00342683" w:rsidP="00F66D98">
      <w:pPr>
        <w:pStyle w:val="Heading5"/>
      </w:pPr>
      <w:bookmarkStart w:id="185" w:name="_Toc105053577"/>
      <w:r w:rsidRPr="00C9343F">
        <w:t>1.3.92</w:t>
      </w:r>
      <w:r w:rsidR="00D94006" w:rsidRPr="00C9343F">
        <w:t>    </w:t>
      </w:r>
      <w:r w:rsidR="00AF6A27" w:rsidRPr="00C9343F">
        <w:t>Spouse</w:t>
      </w:r>
      <w:bookmarkEnd w:id="185"/>
    </w:p>
    <w:tbl>
      <w:tblPr>
        <w:tblW w:w="0" w:type="auto"/>
        <w:tblInd w:w="113" w:type="dxa"/>
        <w:tblLayout w:type="fixed"/>
        <w:tblLook w:val="0000" w:firstRow="0" w:lastRow="0" w:firstColumn="0" w:lastColumn="0" w:noHBand="0" w:noVBand="0"/>
      </w:tblPr>
      <w:tblGrid>
        <w:gridCol w:w="992"/>
        <w:gridCol w:w="8363"/>
      </w:tblGrid>
      <w:tr w:rsidR="00342683" w:rsidRPr="00C9343F" w14:paraId="549BC6E9" w14:textId="77777777">
        <w:tc>
          <w:tcPr>
            <w:tcW w:w="992" w:type="dxa"/>
          </w:tcPr>
          <w:p w14:paraId="142222CE" w14:textId="77777777" w:rsidR="00342683" w:rsidRPr="00C9343F" w:rsidRDefault="00342683" w:rsidP="00F66D98">
            <w:pPr>
              <w:pStyle w:val="BlockText-Plain"/>
              <w:jc w:val="center"/>
            </w:pPr>
          </w:p>
        </w:tc>
        <w:tc>
          <w:tcPr>
            <w:tcW w:w="8363" w:type="dxa"/>
          </w:tcPr>
          <w:p w14:paraId="7C9E0110" w14:textId="77777777" w:rsidR="00342683" w:rsidRPr="00C9343F" w:rsidRDefault="00AF6A27" w:rsidP="00F66D98">
            <w:pPr>
              <w:pStyle w:val="BlockText-Plain"/>
            </w:pPr>
            <w:r w:rsidRPr="00C9343F">
              <w:t xml:space="preserve">Spouse, for a member, means a person who is married to the member in accordance with the </w:t>
            </w:r>
            <w:r w:rsidRPr="00C9343F">
              <w:rPr>
                <w:i/>
              </w:rPr>
              <w:t>Marriage Act 1961</w:t>
            </w:r>
            <w:r w:rsidRPr="00C9343F">
              <w:t>.</w:t>
            </w:r>
          </w:p>
        </w:tc>
      </w:tr>
      <w:tr w:rsidR="006A0489" w:rsidRPr="00C9343F" w14:paraId="33A5DF44" w14:textId="77777777">
        <w:tc>
          <w:tcPr>
            <w:tcW w:w="992" w:type="dxa"/>
          </w:tcPr>
          <w:p w14:paraId="772ABB79" w14:textId="77777777" w:rsidR="006A0489" w:rsidRPr="00C9343F" w:rsidRDefault="006A0489" w:rsidP="00F66D98">
            <w:pPr>
              <w:pStyle w:val="BlockText-Plain"/>
              <w:jc w:val="center"/>
            </w:pPr>
          </w:p>
        </w:tc>
        <w:tc>
          <w:tcPr>
            <w:tcW w:w="8363" w:type="dxa"/>
          </w:tcPr>
          <w:p w14:paraId="3D670133" w14:textId="77777777" w:rsidR="006A0489" w:rsidRPr="00C9343F" w:rsidRDefault="006A0489" w:rsidP="00F66D98">
            <w:pPr>
              <w:pStyle w:val="BlockText-Plain"/>
            </w:pPr>
            <w:r w:rsidRPr="00C9343F">
              <w:rPr>
                <w:b/>
              </w:rPr>
              <w:t>Note:</w:t>
            </w:r>
            <w:r w:rsidRPr="00C9343F">
              <w:t xml:space="preserve"> To be considered a dependant of the member for Defence benefit purposes, a spouse must also meet the tests in </w:t>
            </w:r>
            <w:r w:rsidR="00803066" w:rsidRPr="00C9343F">
              <w:t>section</w:t>
            </w:r>
            <w:r w:rsidRPr="00C9343F">
              <w:t>s 1.3.83 or 1.3.85.They might need to provide evidence that they live in a home together for the 'normally lives with' test.</w:t>
            </w:r>
          </w:p>
        </w:tc>
      </w:tr>
      <w:tr w:rsidR="006A0489" w:rsidRPr="00C9343F" w14:paraId="15F1140E" w14:textId="77777777">
        <w:tc>
          <w:tcPr>
            <w:tcW w:w="992" w:type="dxa"/>
          </w:tcPr>
          <w:p w14:paraId="7D72F018" w14:textId="77777777" w:rsidR="006A0489" w:rsidRPr="00C9343F" w:rsidRDefault="006A0489" w:rsidP="00F66D98">
            <w:pPr>
              <w:pStyle w:val="BlockText-Plain"/>
              <w:jc w:val="center"/>
            </w:pPr>
          </w:p>
        </w:tc>
        <w:tc>
          <w:tcPr>
            <w:tcW w:w="8363" w:type="dxa"/>
          </w:tcPr>
          <w:p w14:paraId="3D71B1FE" w14:textId="77777777" w:rsidR="006A0489" w:rsidRPr="00C9343F" w:rsidRDefault="006A0489" w:rsidP="00F66D98">
            <w:pPr>
              <w:pStyle w:val="BlockText-Plain"/>
              <w:spacing w:after="0"/>
              <w:rPr>
                <w:b/>
              </w:rPr>
            </w:pPr>
            <w:r w:rsidRPr="00C9343F">
              <w:rPr>
                <w:b/>
              </w:rPr>
              <w:t xml:space="preserve">See: </w:t>
            </w:r>
          </w:p>
          <w:p w14:paraId="4DC63F0E" w14:textId="77777777" w:rsidR="006A0489" w:rsidRPr="00C9343F" w:rsidRDefault="006A0489" w:rsidP="00F66D98">
            <w:pPr>
              <w:pStyle w:val="BlockText-Plain"/>
              <w:spacing w:after="0"/>
            </w:pPr>
            <w:r w:rsidRPr="00C9343F">
              <w:t>Section 1.3.83, Dependants</w:t>
            </w:r>
          </w:p>
          <w:p w14:paraId="496DD780" w14:textId="77777777" w:rsidR="006A0489" w:rsidRPr="00C9343F" w:rsidRDefault="006A0489" w:rsidP="00F66D98">
            <w:pPr>
              <w:pStyle w:val="BlockText-Plain"/>
            </w:pPr>
            <w:r w:rsidRPr="00C9343F">
              <w:t>Section 1.3.85, Dependants recognised by CDF</w:t>
            </w:r>
          </w:p>
        </w:tc>
      </w:tr>
    </w:tbl>
    <w:p w14:paraId="5C9B2CA9" w14:textId="77777777" w:rsidR="006A0489" w:rsidRPr="00C9343F" w:rsidRDefault="006A0489" w:rsidP="00F66D98">
      <w:pPr>
        <w:pStyle w:val="Heading5"/>
        <w:spacing w:before="120"/>
      </w:pPr>
      <w:bookmarkStart w:id="186" w:name="_Toc105053578"/>
      <w:r w:rsidRPr="00C9343F">
        <w:t>Subdivision 2: Categorisation of a member for benefit purposes</w:t>
      </w:r>
      <w:bookmarkEnd w:id="186"/>
    </w:p>
    <w:p w14:paraId="480D257D" w14:textId="6BDC33E3" w:rsidR="00342683" w:rsidRPr="00C9343F" w:rsidRDefault="00342683" w:rsidP="00F66D98">
      <w:pPr>
        <w:pStyle w:val="Heading5"/>
      </w:pPr>
      <w:bookmarkStart w:id="187" w:name="_Toc105053579"/>
      <w:r w:rsidRPr="00C9343F">
        <w:t>1.3.93</w:t>
      </w:r>
      <w:r w:rsidR="00D94006" w:rsidRPr="00C9343F">
        <w:t>    </w:t>
      </w:r>
      <w:r w:rsidR="006A0489" w:rsidRPr="00C9343F">
        <w:t>Applying for Defence-provided benefits</w:t>
      </w:r>
      <w:bookmarkEnd w:id="187"/>
    </w:p>
    <w:tbl>
      <w:tblPr>
        <w:tblW w:w="0" w:type="auto"/>
        <w:tblInd w:w="113" w:type="dxa"/>
        <w:tblLayout w:type="fixed"/>
        <w:tblLook w:val="0000" w:firstRow="0" w:lastRow="0" w:firstColumn="0" w:lastColumn="0" w:noHBand="0" w:noVBand="0"/>
      </w:tblPr>
      <w:tblGrid>
        <w:gridCol w:w="992"/>
        <w:gridCol w:w="567"/>
        <w:gridCol w:w="7796"/>
      </w:tblGrid>
      <w:tr w:rsidR="00342683" w:rsidRPr="00C9343F" w14:paraId="2E323FA3" w14:textId="77777777">
        <w:tc>
          <w:tcPr>
            <w:tcW w:w="992" w:type="dxa"/>
          </w:tcPr>
          <w:p w14:paraId="3B63FAF0" w14:textId="77777777" w:rsidR="00342683" w:rsidRPr="00C9343F" w:rsidRDefault="00342683" w:rsidP="00F66D98">
            <w:pPr>
              <w:pStyle w:val="BlockText-Plain"/>
              <w:jc w:val="center"/>
            </w:pPr>
            <w:r w:rsidRPr="00C9343F">
              <w:t>1.</w:t>
            </w:r>
          </w:p>
        </w:tc>
        <w:tc>
          <w:tcPr>
            <w:tcW w:w="8363" w:type="dxa"/>
            <w:gridSpan w:val="2"/>
          </w:tcPr>
          <w:p w14:paraId="059E8A74" w14:textId="77777777" w:rsidR="00342683" w:rsidRPr="00C9343F" w:rsidRDefault="006A0489" w:rsidP="00F66D98">
            <w:pPr>
              <w:pStyle w:val="BlockText-Plain"/>
            </w:pPr>
            <w:r w:rsidRPr="00C9343F">
              <w:t>A member's category is a precondition of their eligibility for Defence-provided benefits. The member must be assessed as meeting the conditions for one of the following categories.</w:t>
            </w:r>
          </w:p>
        </w:tc>
      </w:tr>
      <w:tr w:rsidR="006A0489" w:rsidRPr="00C9343F" w14:paraId="63AE4D2C" w14:textId="77777777">
        <w:trPr>
          <w:cantSplit/>
        </w:trPr>
        <w:tc>
          <w:tcPr>
            <w:tcW w:w="992" w:type="dxa"/>
          </w:tcPr>
          <w:p w14:paraId="58C00C3B" w14:textId="77777777" w:rsidR="006A0489" w:rsidRPr="00C9343F" w:rsidRDefault="006A0489" w:rsidP="00F66D98">
            <w:pPr>
              <w:pStyle w:val="BlockText-Plain"/>
            </w:pPr>
          </w:p>
        </w:tc>
        <w:tc>
          <w:tcPr>
            <w:tcW w:w="567" w:type="dxa"/>
          </w:tcPr>
          <w:p w14:paraId="5AA2203A" w14:textId="77777777" w:rsidR="006A0489" w:rsidRPr="00C9343F" w:rsidRDefault="006A0489" w:rsidP="007114B1">
            <w:pPr>
              <w:pStyle w:val="BlockText-Plain"/>
              <w:jc w:val="center"/>
            </w:pPr>
            <w:r w:rsidRPr="00C9343F">
              <w:t>a.</w:t>
            </w:r>
          </w:p>
        </w:tc>
        <w:tc>
          <w:tcPr>
            <w:tcW w:w="7796" w:type="dxa"/>
          </w:tcPr>
          <w:p w14:paraId="18BB4763" w14:textId="77777777" w:rsidR="006A0489" w:rsidRPr="00C9343F" w:rsidRDefault="006A0489" w:rsidP="00F66D98">
            <w:pPr>
              <w:pStyle w:val="BlockText-Plain"/>
            </w:pPr>
            <w:r w:rsidRPr="00C9343F">
              <w:t>Member without dependants under section 1.3.94.</w:t>
            </w:r>
          </w:p>
        </w:tc>
      </w:tr>
      <w:tr w:rsidR="006A0489" w:rsidRPr="00C9343F" w14:paraId="014F1B2A" w14:textId="77777777">
        <w:trPr>
          <w:cantSplit/>
        </w:trPr>
        <w:tc>
          <w:tcPr>
            <w:tcW w:w="992" w:type="dxa"/>
          </w:tcPr>
          <w:p w14:paraId="30D37145" w14:textId="77777777" w:rsidR="006A0489" w:rsidRPr="00C9343F" w:rsidRDefault="006A0489" w:rsidP="00F66D98">
            <w:pPr>
              <w:pStyle w:val="BlockText-Plain"/>
            </w:pPr>
          </w:p>
        </w:tc>
        <w:tc>
          <w:tcPr>
            <w:tcW w:w="567" w:type="dxa"/>
          </w:tcPr>
          <w:p w14:paraId="3AAD2734" w14:textId="77777777" w:rsidR="006A0489" w:rsidRPr="00C9343F" w:rsidRDefault="006A0489" w:rsidP="007114B1">
            <w:pPr>
              <w:pStyle w:val="BlockText-Plain"/>
              <w:jc w:val="center"/>
            </w:pPr>
            <w:r w:rsidRPr="00C9343F">
              <w:t>b.</w:t>
            </w:r>
          </w:p>
        </w:tc>
        <w:tc>
          <w:tcPr>
            <w:tcW w:w="7796" w:type="dxa"/>
          </w:tcPr>
          <w:p w14:paraId="1FC5C624" w14:textId="77777777" w:rsidR="006A0489" w:rsidRPr="00C9343F" w:rsidRDefault="006A0489" w:rsidP="00F66D98">
            <w:pPr>
              <w:pStyle w:val="BlockText-Plain"/>
            </w:pPr>
            <w:r w:rsidRPr="00C9343F">
              <w:t>A member with dependants under section 1.3.95.</w:t>
            </w:r>
          </w:p>
        </w:tc>
      </w:tr>
      <w:tr w:rsidR="006A0489" w:rsidRPr="00C9343F" w14:paraId="06BAF151" w14:textId="77777777">
        <w:trPr>
          <w:cantSplit/>
        </w:trPr>
        <w:tc>
          <w:tcPr>
            <w:tcW w:w="992" w:type="dxa"/>
          </w:tcPr>
          <w:p w14:paraId="52D1C3B1" w14:textId="77777777" w:rsidR="006A0489" w:rsidRPr="00C9343F" w:rsidRDefault="006A0489" w:rsidP="00F66D98">
            <w:pPr>
              <w:pStyle w:val="BlockText-Plain"/>
            </w:pPr>
          </w:p>
        </w:tc>
        <w:tc>
          <w:tcPr>
            <w:tcW w:w="567" w:type="dxa"/>
          </w:tcPr>
          <w:p w14:paraId="544D484C" w14:textId="77777777" w:rsidR="006A0489" w:rsidRPr="00C9343F" w:rsidRDefault="006A0489" w:rsidP="007114B1">
            <w:pPr>
              <w:pStyle w:val="BlockText-Plain"/>
              <w:jc w:val="center"/>
            </w:pPr>
            <w:r w:rsidRPr="00C9343F">
              <w:t>c.</w:t>
            </w:r>
          </w:p>
        </w:tc>
        <w:tc>
          <w:tcPr>
            <w:tcW w:w="7796" w:type="dxa"/>
          </w:tcPr>
          <w:p w14:paraId="33DB7F99" w14:textId="77777777" w:rsidR="006A0489" w:rsidRPr="00C9343F" w:rsidRDefault="006A0489" w:rsidP="00F66D98">
            <w:pPr>
              <w:pStyle w:val="BlockText-Plain"/>
            </w:pPr>
            <w:r w:rsidRPr="00C9343F">
              <w:t>A member with dependants (unaccompanied) under section 1.3.96.</w:t>
            </w:r>
          </w:p>
        </w:tc>
      </w:tr>
      <w:tr w:rsidR="006A0489" w:rsidRPr="00C9343F" w14:paraId="7569025C" w14:textId="77777777">
        <w:tc>
          <w:tcPr>
            <w:tcW w:w="992" w:type="dxa"/>
          </w:tcPr>
          <w:p w14:paraId="4CC87702" w14:textId="77777777" w:rsidR="006A0489" w:rsidRPr="00C9343F" w:rsidRDefault="006A0489" w:rsidP="00F66D98">
            <w:pPr>
              <w:pStyle w:val="BlockText-Plain"/>
              <w:jc w:val="center"/>
            </w:pPr>
          </w:p>
        </w:tc>
        <w:tc>
          <w:tcPr>
            <w:tcW w:w="8363" w:type="dxa"/>
            <w:gridSpan w:val="2"/>
          </w:tcPr>
          <w:p w14:paraId="418A659D" w14:textId="77777777" w:rsidR="006A0489" w:rsidRPr="00C9343F" w:rsidRDefault="006A0489" w:rsidP="00F66D98">
            <w:pPr>
              <w:pStyle w:val="BlockText-Plain"/>
            </w:pPr>
            <w:r w:rsidRPr="00C9343F">
              <w:rPr>
                <w:b/>
              </w:rPr>
              <w:t>Note:</w:t>
            </w:r>
            <w:r w:rsidRPr="00C9343F">
              <w:t xml:space="preserve"> This assessment is a decision point even though it may also be used to verify the facts. It helps make sure that the member and any dependants get the special benefits that are available to assist them.</w:t>
            </w:r>
          </w:p>
        </w:tc>
      </w:tr>
      <w:tr w:rsidR="006A0489" w:rsidRPr="00C9343F" w14:paraId="481F9ADF" w14:textId="77777777">
        <w:tc>
          <w:tcPr>
            <w:tcW w:w="992" w:type="dxa"/>
          </w:tcPr>
          <w:p w14:paraId="588C8AD1" w14:textId="77777777" w:rsidR="006A0489" w:rsidRPr="00C9343F" w:rsidRDefault="006A0489" w:rsidP="00F66D98">
            <w:pPr>
              <w:pStyle w:val="BlockText-Plain"/>
              <w:jc w:val="center"/>
            </w:pPr>
            <w:r w:rsidRPr="00C9343F">
              <w:t>2.</w:t>
            </w:r>
          </w:p>
        </w:tc>
        <w:tc>
          <w:tcPr>
            <w:tcW w:w="8363" w:type="dxa"/>
            <w:gridSpan w:val="2"/>
          </w:tcPr>
          <w:p w14:paraId="22B65675" w14:textId="77777777" w:rsidR="006A0489" w:rsidRPr="00C9343F" w:rsidRDefault="006A0489" w:rsidP="00F66D98">
            <w:pPr>
              <w:pStyle w:val="BlockText-Plain"/>
            </w:pPr>
            <w:r w:rsidRPr="00C9343F">
              <w:t>The member may state in an application for categorisation or for benefits that they meet the conditions for one of the categories described in subsection 1.</w:t>
            </w:r>
          </w:p>
        </w:tc>
      </w:tr>
      <w:tr w:rsidR="006A0489" w:rsidRPr="00C9343F" w14:paraId="4ECC349B" w14:textId="77777777">
        <w:tc>
          <w:tcPr>
            <w:tcW w:w="992" w:type="dxa"/>
          </w:tcPr>
          <w:p w14:paraId="7F854B14" w14:textId="77777777" w:rsidR="006A0489" w:rsidRPr="00C9343F" w:rsidRDefault="006A0489" w:rsidP="00F66D98">
            <w:pPr>
              <w:pStyle w:val="BlockText-Plain"/>
              <w:jc w:val="center"/>
            </w:pPr>
            <w:r w:rsidRPr="00C9343F">
              <w:t>3.</w:t>
            </w:r>
          </w:p>
        </w:tc>
        <w:tc>
          <w:tcPr>
            <w:tcW w:w="8363" w:type="dxa"/>
            <w:gridSpan w:val="2"/>
          </w:tcPr>
          <w:p w14:paraId="379E37F3" w14:textId="77777777" w:rsidR="006A0489" w:rsidRPr="00C9343F" w:rsidRDefault="006A0489" w:rsidP="00F66D98">
            <w:pPr>
              <w:pStyle w:val="BlockText-Plain"/>
            </w:pPr>
            <w:r w:rsidRPr="00C9343F">
              <w:t>The member must provide evidence to support an application for categorisation or a change of category.</w:t>
            </w:r>
          </w:p>
          <w:p w14:paraId="4BD53E84" w14:textId="77777777" w:rsidR="006A0489" w:rsidRPr="00C9343F" w:rsidRDefault="006A0489" w:rsidP="00F66D98">
            <w:pPr>
              <w:pStyle w:val="BlockText-Plain"/>
            </w:pPr>
            <w:r w:rsidRPr="00C9343F">
              <w:rPr>
                <w:b/>
              </w:rPr>
              <w:t>Note:</w:t>
            </w:r>
            <w:r w:rsidRPr="00C9343F">
              <w:t xml:space="preserve"> A member must advise about changes to family circumstances relevant to their eligibility for a category under this Division in accordance with section 1.5.</w:t>
            </w:r>
            <w:r w:rsidR="00803066" w:rsidRPr="00C9343F">
              <w:t>3</w:t>
            </w:r>
            <w:r w:rsidRPr="00C9343F">
              <w:t>. This advice must be in writing.</w:t>
            </w:r>
          </w:p>
        </w:tc>
      </w:tr>
      <w:tr w:rsidR="00ED3E3D" w:rsidRPr="00C9343F" w14:paraId="30DE90F1" w14:textId="77777777">
        <w:tc>
          <w:tcPr>
            <w:tcW w:w="992" w:type="dxa"/>
          </w:tcPr>
          <w:p w14:paraId="0B0AF24F" w14:textId="77777777" w:rsidR="00ED3E3D" w:rsidRPr="00C9343F" w:rsidRDefault="00ED3E3D" w:rsidP="00F66D98">
            <w:pPr>
              <w:pStyle w:val="BlockText-Plain"/>
              <w:jc w:val="center"/>
            </w:pPr>
          </w:p>
        </w:tc>
        <w:tc>
          <w:tcPr>
            <w:tcW w:w="8363" w:type="dxa"/>
            <w:gridSpan w:val="2"/>
          </w:tcPr>
          <w:p w14:paraId="3DFE6590" w14:textId="77777777" w:rsidR="00ED3E3D" w:rsidRPr="00C9343F" w:rsidRDefault="00ED3E3D" w:rsidP="00F66D98">
            <w:pPr>
              <w:pStyle w:val="BlockText-Plain"/>
              <w:spacing w:after="0"/>
            </w:pPr>
            <w:r w:rsidRPr="00C9343F">
              <w:rPr>
                <w:b/>
              </w:rPr>
              <w:t>See:</w:t>
            </w:r>
            <w:r w:rsidRPr="00C9343F">
              <w:t xml:space="preserve"> Part 5</w:t>
            </w:r>
          </w:p>
          <w:p w14:paraId="638B2D3C" w14:textId="77777777" w:rsidR="00ED3E3D" w:rsidRPr="00C9343F" w:rsidRDefault="00ED3E3D" w:rsidP="00F66D98">
            <w:pPr>
              <w:pStyle w:val="BlockText-Plain"/>
              <w:spacing w:after="0"/>
            </w:pPr>
            <w:r w:rsidRPr="00C9343F">
              <w:t>Section 1.5.3, Change in member's circumstances</w:t>
            </w:r>
          </w:p>
          <w:p w14:paraId="6D535486" w14:textId="77777777" w:rsidR="00ED3E3D" w:rsidRPr="00C9343F" w:rsidRDefault="00ED3E3D" w:rsidP="00F66D98">
            <w:pPr>
              <w:pStyle w:val="BlockText-Plain"/>
            </w:pPr>
            <w:r w:rsidRPr="00C9343F">
              <w:t>Section 1.5.4, Overpayment</w:t>
            </w:r>
          </w:p>
        </w:tc>
      </w:tr>
      <w:tr w:rsidR="006A0489" w:rsidRPr="00C9343F" w14:paraId="5CE9FC69" w14:textId="77777777">
        <w:tc>
          <w:tcPr>
            <w:tcW w:w="992" w:type="dxa"/>
          </w:tcPr>
          <w:p w14:paraId="656B358E" w14:textId="77777777" w:rsidR="006A0489" w:rsidRPr="00C9343F" w:rsidRDefault="006A0489" w:rsidP="00F66D98">
            <w:pPr>
              <w:pStyle w:val="BlockText-Plain"/>
              <w:jc w:val="center"/>
            </w:pPr>
            <w:r w:rsidRPr="00C9343F">
              <w:t>4.</w:t>
            </w:r>
          </w:p>
        </w:tc>
        <w:tc>
          <w:tcPr>
            <w:tcW w:w="8363" w:type="dxa"/>
            <w:gridSpan w:val="2"/>
          </w:tcPr>
          <w:p w14:paraId="5CF277C7" w14:textId="77777777" w:rsidR="006A0489" w:rsidRPr="00C9343F" w:rsidRDefault="006A0489" w:rsidP="00F66D98">
            <w:pPr>
              <w:pStyle w:val="BlockText-Plain"/>
            </w:pPr>
            <w:r w:rsidRPr="00C9343F">
              <w:t>If no application has been made by the member or if the CDF is satisfied that there has been a change in the member's circumstances, CDF may take any of the following decisions. The CDF must notify the member of the decision.</w:t>
            </w:r>
          </w:p>
        </w:tc>
      </w:tr>
      <w:tr w:rsidR="006A0489" w:rsidRPr="00C9343F" w14:paraId="16F79C41" w14:textId="77777777">
        <w:trPr>
          <w:cantSplit/>
        </w:trPr>
        <w:tc>
          <w:tcPr>
            <w:tcW w:w="992" w:type="dxa"/>
          </w:tcPr>
          <w:p w14:paraId="1785304C" w14:textId="77777777" w:rsidR="006A0489" w:rsidRPr="00C9343F" w:rsidRDefault="006A0489" w:rsidP="00F66D98">
            <w:pPr>
              <w:pStyle w:val="BlockText-Plain"/>
            </w:pPr>
          </w:p>
        </w:tc>
        <w:tc>
          <w:tcPr>
            <w:tcW w:w="567" w:type="dxa"/>
          </w:tcPr>
          <w:p w14:paraId="6B9A9984" w14:textId="77777777" w:rsidR="006A0489" w:rsidRPr="00C9343F" w:rsidRDefault="006A0489" w:rsidP="007114B1">
            <w:pPr>
              <w:pStyle w:val="BlockText-Plain"/>
              <w:jc w:val="center"/>
            </w:pPr>
            <w:r w:rsidRPr="00C9343F">
              <w:t>a.</w:t>
            </w:r>
          </w:p>
        </w:tc>
        <w:tc>
          <w:tcPr>
            <w:tcW w:w="7796" w:type="dxa"/>
          </w:tcPr>
          <w:p w14:paraId="250048DA" w14:textId="77777777" w:rsidR="006A0489" w:rsidRPr="00C9343F" w:rsidRDefault="006A0489" w:rsidP="00F66D98">
            <w:pPr>
              <w:pStyle w:val="BlockText-Plain"/>
            </w:pPr>
            <w:r w:rsidRPr="00C9343F">
              <w:t>A decision that the member is described by one of the categories listed in subsection 1.</w:t>
            </w:r>
          </w:p>
        </w:tc>
      </w:tr>
      <w:tr w:rsidR="006A0489" w:rsidRPr="00C9343F" w14:paraId="380ABF65" w14:textId="77777777">
        <w:trPr>
          <w:cantSplit/>
        </w:trPr>
        <w:tc>
          <w:tcPr>
            <w:tcW w:w="992" w:type="dxa"/>
          </w:tcPr>
          <w:p w14:paraId="343220E9" w14:textId="77777777" w:rsidR="006A0489" w:rsidRPr="00C9343F" w:rsidRDefault="006A0489" w:rsidP="00F66D98">
            <w:pPr>
              <w:pStyle w:val="BlockText-Plain"/>
            </w:pPr>
          </w:p>
        </w:tc>
        <w:tc>
          <w:tcPr>
            <w:tcW w:w="567" w:type="dxa"/>
          </w:tcPr>
          <w:p w14:paraId="02256670" w14:textId="77777777" w:rsidR="006A0489" w:rsidRPr="00C9343F" w:rsidRDefault="006A0489" w:rsidP="007114B1">
            <w:pPr>
              <w:pStyle w:val="BlockText-Plain"/>
              <w:jc w:val="center"/>
            </w:pPr>
            <w:r w:rsidRPr="00C9343F">
              <w:t>b.</w:t>
            </w:r>
          </w:p>
        </w:tc>
        <w:tc>
          <w:tcPr>
            <w:tcW w:w="7796" w:type="dxa"/>
          </w:tcPr>
          <w:p w14:paraId="6FD7775B" w14:textId="77777777" w:rsidR="006A0489" w:rsidRPr="00C9343F" w:rsidRDefault="006A0489" w:rsidP="00F66D98">
            <w:pPr>
              <w:pStyle w:val="BlockText-Plain"/>
            </w:pPr>
            <w:r w:rsidRPr="00C9343F">
              <w:t>A decision about whether the conditions for recognition of a dependant are satisfied.</w:t>
            </w:r>
          </w:p>
        </w:tc>
      </w:tr>
      <w:tr w:rsidR="006A0489" w:rsidRPr="00C9343F" w14:paraId="3C2A4A9F" w14:textId="77777777">
        <w:trPr>
          <w:cantSplit/>
        </w:trPr>
        <w:tc>
          <w:tcPr>
            <w:tcW w:w="992" w:type="dxa"/>
          </w:tcPr>
          <w:p w14:paraId="0F5D4E4D" w14:textId="77777777" w:rsidR="006A0489" w:rsidRPr="00C9343F" w:rsidRDefault="006A0489" w:rsidP="00F66D98">
            <w:pPr>
              <w:pStyle w:val="BlockText-Plain"/>
            </w:pPr>
          </w:p>
        </w:tc>
        <w:tc>
          <w:tcPr>
            <w:tcW w:w="567" w:type="dxa"/>
          </w:tcPr>
          <w:p w14:paraId="099193D4" w14:textId="77777777" w:rsidR="006A0489" w:rsidRPr="00C9343F" w:rsidRDefault="006A0489" w:rsidP="007114B1">
            <w:pPr>
              <w:pStyle w:val="BlockText-Plain"/>
              <w:jc w:val="center"/>
            </w:pPr>
            <w:r w:rsidRPr="00C9343F">
              <w:t>c.</w:t>
            </w:r>
          </w:p>
        </w:tc>
        <w:tc>
          <w:tcPr>
            <w:tcW w:w="7796" w:type="dxa"/>
          </w:tcPr>
          <w:p w14:paraId="30E0D3CE" w14:textId="77777777" w:rsidR="006A0489" w:rsidRPr="00C9343F" w:rsidRDefault="006A0489" w:rsidP="00F66D98">
            <w:pPr>
              <w:pStyle w:val="BlockText-Plain"/>
            </w:pPr>
            <w:r w:rsidRPr="00C9343F">
              <w:t>Any relevant decision about eligibility for benefits for the member or dependant.</w:t>
            </w:r>
          </w:p>
        </w:tc>
      </w:tr>
      <w:tr w:rsidR="006A0489" w:rsidRPr="00C9343F" w14:paraId="70D2C47A" w14:textId="77777777">
        <w:tc>
          <w:tcPr>
            <w:tcW w:w="992" w:type="dxa"/>
          </w:tcPr>
          <w:p w14:paraId="3D7D85DC" w14:textId="77777777" w:rsidR="006A0489" w:rsidRPr="00C9343F" w:rsidRDefault="006A0489" w:rsidP="00F66D98">
            <w:pPr>
              <w:pStyle w:val="BlockText-Plain"/>
              <w:jc w:val="center"/>
            </w:pPr>
          </w:p>
        </w:tc>
        <w:tc>
          <w:tcPr>
            <w:tcW w:w="8363" w:type="dxa"/>
            <w:gridSpan w:val="2"/>
          </w:tcPr>
          <w:p w14:paraId="1385296F" w14:textId="77777777" w:rsidR="006A0489" w:rsidRPr="00C9343F" w:rsidRDefault="006A0489" w:rsidP="00F66D98">
            <w:pPr>
              <w:pStyle w:val="BlockText-Plain"/>
              <w:spacing w:after="0"/>
              <w:rPr>
                <w:b/>
              </w:rPr>
            </w:pPr>
            <w:r w:rsidRPr="00C9343F">
              <w:rPr>
                <w:b/>
              </w:rPr>
              <w:t xml:space="preserve">Notes: </w:t>
            </w:r>
          </w:p>
          <w:p w14:paraId="76933900" w14:textId="77777777" w:rsidR="006A0489" w:rsidRPr="00C9343F" w:rsidRDefault="006A0489" w:rsidP="00F66D98">
            <w:pPr>
              <w:pStyle w:val="BlockText-Plain"/>
              <w:spacing w:after="0"/>
            </w:pPr>
            <w:r w:rsidRPr="00C9343F">
              <w:t xml:space="preserve">1. Sections 137.1 and 137.2 of the </w:t>
            </w:r>
            <w:r w:rsidRPr="00C9343F">
              <w:rPr>
                <w:i/>
              </w:rPr>
              <w:t>Criminal Code</w:t>
            </w:r>
            <w:r w:rsidRPr="00C9343F">
              <w:t xml:space="preserve"> create offences for providing false or misleading information or documents. </w:t>
            </w:r>
          </w:p>
          <w:p w14:paraId="08FE9F41" w14:textId="77777777" w:rsidR="006A0489" w:rsidRPr="00C9343F" w:rsidRDefault="006A0489" w:rsidP="00F66D98">
            <w:pPr>
              <w:pStyle w:val="BlockText-Plain"/>
            </w:pPr>
            <w:r w:rsidRPr="00C9343F">
              <w:t xml:space="preserve">2. Section 56 of the </w:t>
            </w:r>
            <w:r w:rsidRPr="00C9343F">
              <w:rPr>
                <w:i/>
              </w:rPr>
              <w:t>Defence Force Discipline Act 1982</w:t>
            </w:r>
            <w:r w:rsidRPr="00C9343F">
              <w:t xml:space="preserve"> creates a military disciplinary offence for a false statement made in an application for a benefit.</w:t>
            </w:r>
          </w:p>
          <w:p w14:paraId="2B30239B" w14:textId="77777777" w:rsidR="006A0489" w:rsidRPr="00C9343F" w:rsidRDefault="006A0489" w:rsidP="00F66D98">
            <w:pPr>
              <w:pStyle w:val="BlockText-Plain"/>
            </w:pPr>
            <w:r w:rsidRPr="00C9343F">
              <w:rPr>
                <w:b/>
              </w:rPr>
              <w:t>Example:</w:t>
            </w:r>
            <w:r w:rsidRPr="00C9343F">
              <w:t xml:space="preserve"> The member moves in with a new partner and forms a de facto relationship, but does not apply for recognition. The CDF recognises that the member's previous relationship has ceased and a new de facto relationship has begun. The member's eligibility for housing benefits is reassessed based on the member's new living arrangements.</w:t>
            </w:r>
          </w:p>
        </w:tc>
      </w:tr>
      <w:tr w:rsidR="006A0489" w:rsidRPr="00C9343F" w14:paraId="3443FCC6" w14:textId="77777777">
        <w:tc>
          <w:tcPr>
            <w:tcW w:w="992" w:type="dxa"/>
          </w:tcPr>
          <w:p w14:paraId="60C86DFC" w14:textId="77777777" w:rsidR="006A0489" w:rsidRPr="00C9343F" w:rsidRDefault="006A0489" w:rsidP="00F66D98">
            <w:pPr>
              <w:pStyle w:val="BlockText-Plain"/>
              <w:jc w:val="center"/>
            </w:pPr>
            <w:r w:rsidRPr="00C9343F">
              <w:t>5.</w:t>
            </w:r>
          </w:p>
        </w:tc>
        <w:tc>
          <w:tcPr>
            <w:tcW w:w="8363" w:type="dxa"/>
            <w:gridSpan w:val="2"/>
          </w:tcPr>
          <w:p w14:paraId="04304B85" w14:textId="77777777" w:rsidR="006A0489" w:rsidRPr="00C9343F" w:rsidRDefault="006A0489" w:rsidP="00F66D98">
            <w:pPr>
              <w:pStyle w:val="BlockText-Plain"/>
            </w:pPr>
            <w:r w:rsidRPr="00C9343F">
              <w:t>Until 30 June 2016 a member may choose to make an application to have a de facto partner recognised as a dependant for the purposes of section 1.3.89 of this Determination, or using the process set out in the Defence Instruction (General) Personnel 53-1, Recognition of interdependent partnerships</w:t>
            </w:r>
            <w:r w:rsidR="00ED3E3D" w:rsidRPr="00C9343F">
              <w:t>, as in force on 6 April 2017</w:t>
            </w:r>
            <w:r w:rsidRPr="00C9343F">
              <w:t xml:space="preserve">. </w:t>
            </w:r>
          </w:p>
          <w:p w14:paraId="4BCDE12B" w14:textId="77777777" w:rsidR="006A0489" w:rsidRPr="00C9343F" w:rsidRDefault="006A0489" w:rsidP="00F66D98">
            <w:pPr>
              <w:pStyle w:val="BlockText-Plain"/>
            </w:pPr>
            <w:r w:rsidRPr="00C9343F">
              <w:rPr>
                <w:b/>
              </w:rPr>
              <w:t>Related Information:</w:t>
            </w:r>
            <w:r w:rsidRPr="00C9343F">
              <w:t xml:space="preserve"> Defence Instruction (General) Personnel 53-1, </w:t>
            </w:r>
            <w:r w:rsidRPr="00C9343F">
              <w:rPr>
                <w:i/>
              </w:rPr>
              <w:t>Recognition of interdependent partnerships</w:t>
            </w:r>
          </w:p>
        </w:tc>
      </w:tr>
      <w:tr w:rsidR="006A0489" w:rsidRPr="00C9343F" w14:paraId="00DEB647" w14:textId="77777777">
        <w:tc>
          <w:tcPr>
            <w:tcW w:w="992" w:type="dxa"/>
          </w:tcPr>
          <w:p w14:paraId="2F44FCB7" w14:textId="77777777" w:rsidR="006A0489" w:rsidRPr="00C9343F" w:rsidRDefault="006A0489" w:rsidP="00F66D98">
            <w:pPr>
              <w:pStyle w:val="BlockText-Plain"/>
              <w:jc w:val="center"/>
            </w:pPr>
          </w:p>
        </w:tc>
        <w:tc>
          <w:tcPr>
            <w:tcW w:w="8363" w:type="dxa"/>
            <w:gridSpan w:val="2"/>
          </w:tcPr>
          <w:p w14:paraId="049FC895" w14:textId="77777777" w:rsidR="006A0489" w:rsidRPr="00C9343F" w:rsidRDefault="006A0489" w:rsidP="00F66D98">
            <w:pPr>
              <w:pStyle w:val="BlockText-Plain"/>
            </w:pPr>
            <w:r w:rsidRPr="00C9343F">
              <w:rPr>
                <w:b/>
              </w:rPr>
              <w:t>Note:</w:t>
            </w:r>
            <w:r w:rsidRPr="00C9343F">
              <w:t xml:space="preserve"> This means that for the period commencing on 30 March 2016 and ending 30 June 2016 a member can choose to have a de facto relationship recognised through either the Defence Instruction (General) Personnel 53-1, Recognition of interdependent partnerships or in accordance with </w:t>
            </w:r>
            <w:r w:rsidR="006554E3" w:rsidRPr="00C9343F">
              <w:t>section</w:t>
            </w:r>
            <w:r w:rsidRPr="00C9343F">
              <w:t xml:space="preserve"> 1.3.8</w:t>
            </w:r>
            <w:r w:rsidR="006554E3" w:rsidRPr="00C9343F">
              <w:t>8</w:t>
            </w:r>
            <w:r w:rsidRPr="00C9343F">
              <w:t xml:space="preserve"> or 8</w:t>
            </w:r>
            <w:r w:rsidR="006554E3" w:rsidRPr="00C9343F">
              <w:t>9</w:t>
            </w:r>
            <w:r w:rsidRPr="00C9343F">
              <w:t>, as relevant.</w:t>
            </w:r>
          </w:p>
        </w:tc>
      </w:tr>
    </w:tbl>
    <w:p w14:paraId="7B037378" w14:textId="4196319D" w:rsidR="00342683" w:rsidRPr="00C9343F" w:rsidRDefault="00342683" w:rsidP="00F66D98">
      <w:pPr>
        <w:pStyle w:val="Heading5"/>
      </w:pPr>
      <w:bookmarkStart w:id="188" w:name="_Toc105053580"/>
      <w:r w:rsidRPr="00C9343F">
        <w:t>1.3.94</w:t>
      </w:r>
      <w:r w:rsidR="00D94006" w:rsidRPr="00C9343F">
        <w:t>    </w:t>
      </w:r>
      <w:r w:rsidRPr="00C9343F">
        <w:t>Member with</w:t>
      </w:r>
      <w:r w:rsidR="00803066" w:rsidRPr="00C9343F">
        <w:t>out</w:t>
      </w:r>
      <w:r w:rsidRPr="00C9343F">
        <w:t xml:space="preserve"> dependants</w:t>
      </w:r>
      <w:bookmarkEnd w:id="188"/>
    </w:p>
    <w:tbl>
      <w:tblPr>
        <w:tblW w:w="0" w:type="auto"/>
        <w:tblInd w:w="113" w:type="dxa"/>
        <w:tblLayout w:type="fixed"/>
        <w:tblLook w:val="0000" w:firstRow="0" w:lastRow="0" w:firstColumn="0" w:lastColumn="0" w:noHBand="0" w:noVBand="0"/>
      </w:tblPr>
      <w:tblGrid>
        <w:gridCol w:w="992"/>
        <w:gridCol w:w="567"/>
        <w:gridCol w:w="7796"/>
      </w:tblGrid>
      <w:tr w:rsidR="00342683" w:rsidRPr="00C9343F" w14:paraId="074E952B" w14:textId="77777777">
        <w:tc>
          <w:tcPr>
            <w:tcW w:w="992" w:type="dxa"/>
          </w:tcPr>
          <w:p w14:paraId="4E71ACD8" w14:textId="77777777" w:rsidR="00342683" w:rsidRPr="00C9343F" w:rsidRDefault="00342683" w:rsidP="00F66D98">
            <w:pPr>
              <w:pStyle w:val="BlockText-Plain"/>
              <w:jc w:val="center"/>
            </w:pPr>
          </w:p>
        </w:tc>
        <w:tc>
          <w:tcPr>
            <w:tcW w:w="8363" w:type="dxa"/>
            <w:gridSpan w:val="2"/>
          </w:tcPr>
          <w:p w14:paraId="7A00AF36" w14:textId="77777777" w:rsidR="00342683" w:rsidRPr="00C9343F" w:rsidRDefault="006A0489" w:rsidP="00F66D98">
            <w:pPr>
              <w:pStyle w:val="BlockText-Plain"/>
            </w:pPr>
            <w:r w:rsidRPr="00C9343F">
              <w:t>A member without dependants is a member who does not meet conditions for either of the following categories.</w:t>
            </w:r>
          </w:p>
        </w:tc>
      </w:tr>
      <w:tr w:rsidR="006A0489" w:rsidRPr="00C9343F" w14:paraId="3C9380A7" w14:textId="77777777">
        <w:trPr>
          <w:cantSplit/>
        </w:trPr>
        <w:tc>
          <w:tcPr>
            <w:tcW w:w="992" w:type="dxa"/>
          </w:tcPr>
          <w:p w14:paraId="6CBD517C" w14:textId="77777777" w:rsidR="006A0489" w:rsidRPr="00C9343F" w:rsidRDefault="006A0489" w:rsidP="00F66D98">
            <w:pPr>
              <w:pStyle w:val="BlockText-Plain"/>
            </w:pPr>
          </w:p>
        </w:tc>
        <w:tc>
          <w:tcPr>
            <w:tcW w:w="567" w:type="dxa"/>
          </w:tcPr>
          <w:p w14:paraId="35EBEB19" w14:textId="77777777" w:rsidR="006A0489" w:rsidRPr="00C9343F" w:rsidRDefault="006A0489" w:rsidP="007114B1">
            <w:pPr>
              <w:pStyle w:val="BlockText-Plain"/>
              <w:jc w:val="center"/>
            </w:pPr>
            <w:r w:rsidRPr="00C9343F">
              <w:t>a.</w:t>
            </w:r>
          </w:p>
        </w:tc>
        <w:tc>
          <w:tcPr>
            <w:tcW w:w="7796" w:type="dxa"/>
          </w:tcPr>
          <w:p w14:paraId="36A6EB09" w14:textId="77777777" w:rsidR="006A0489" w:rsidRPr="00C9343F" w:rsidRDefault="006A0489" w:rsidP="00F66D98">
            <w:pPr>
              <w:pStyle w:val="BlockText-Plain"/>
            </w:pPr>
            <w:r w:rsidRPr="00C9343F">
              <w:t xml:space="preserve">A member with dependants under </w:t>
            </w:r>
            <w:r w:rsidR="006554E3" w:rsidRPr="00C9343F">
              <w:t>section</w:t>
            </w:r>
            <w:r w:rsidRPr="00C9343F">
              <w:t xml:space="preserve"> 1.3.</w:t>
            </w:r>
            <w:r w:rsidR="006554E3" w:rsidRPr="00C9343F">
              <w:t>95</w:t>
            </w:r>
            <w:r w:rsidRPr="00C9343F">
              <w:t>.</w:t>
            </w:r>
          </w:p>
        </w:tc>
      </w:tr>
      <w:tr w:rsidR="006A0489" w:rsidRPr="00C9343F" w14:paraId="5DB3ED93" w14:textId="77777777">
        <w:trPr>
          <w:cantSplit/>
        </w:trPr>
        <w:tc>
          <w:tcPr>
            <w:tcW w:w="992" w:type="dxa"/>
          </w:tcPr>
          <w:p w14:paraId="01BB4BFB" w14:textId="77777777" w:rsidR="006A0489" w:rsidRPr="00C9343F" w:rsidRDefault="006A0489" w:rsidP="00F66D98">
            <w:pPr>
              <w:pStyle w:val="BlockText-Plain"/>
            </w:pPr>
          </w:p>
        </w:tc>
        <w:tc>
          <w:tcPr>
            <w:tcW w:w="567" w:type="dxa"/>
          </w:tcPr>
          <w:p w14:paraId="095E9056" w14:textId="77777777" w:rsidR="006A0489" w:rsidRPr="00C9343F" w:rsidRDefault="00B75C11" w:rsidP="007114B1">
            <w:pPr>
              <w:pStyle w:val="BlockText-Plain"/>
              <w:jc w:val="center"/>
            </w:pPr>
            <w:r w:rsidRPr="00C9343F">
              <w:t>b.</w:t>
            </w:r>
          </w:p>
        </w:tc>
        <w:tc>
          <w:tcPr>
            <w:tcW w:w="7796" w:type="dxa"/>
          </w:tcPr>
          <w:p w14:paraId="0BD3F6E9" w14:textId="77777777" w:rsidR="006A0489" w:rsidRPr="00C9343F" w:rsidRDefault="006554E3" w:rsidP="00F66D98">
            <w:pPr>
              <w:pStyle w:val="BlockText-Plain"/>
            </w:pPr>
            <w:r w:rsidRPr="00C9343F">
              <w:t>A member with dependants (unaccompanied) under section 1.3.96.</w:t>
            </w:r>
          </w:p>
        </w:tc>
      </w:tr>
      <w:tr w:rsidR="00342683" w:rsidRPr="00C9343F" w14:paraId="50132F84" w14:textId="77777777">
        <w:tc>
          <w:tcPr>
            <w:tcW w:w="992" w:type="dxa"/>
          </w:tcPr>
          <w:p w14:paraId="5AAE000A" w14:textId="77777777" w:rsidR="00342683" w:rsidRPr="00C9343F" w:rsidRDefault="00342683" w:rsidP="00F66D98">
            <w:pPr>
              <w:pStyle w:val="BlockText-Plain"/>
              <w:jc w:val="center"/>
            </w:pPr>
          </w:p>
        </w:tc>
        <w:tc>
          <w:tcPr>
            <w:tcW w:w="8363" w:type="dxa"/>
            <w:gridSpan w:val="2"/>
          </w:tcPr>
          <w:p w14:paraId="60445832" w14:textId="77777777" w:rsidR="006554E3" w:rsidRPr="00C9343F" w:rsidRDefault="006554E3" w:rsidP="00F66D98">
            <w:pPr>
              <w:pStyle w:val="BlockText-Plain"/>
              <w:spacing w:after="0"/>
              <w:rPr>
                <w:b/>
              </w:rPr>
            </w:pPr>
            <w:r w:rsidRPr="00C9343F">
              <w:rPr>
                <w:b/>
              </w:rPr>
              <w:t xml:space="preserve">Examples: </w:t>
            </w:r>
          </w:p>
          <w:p w14:paraId="38F86AD4" w14:textId="77777777" w:rsidR="006554E3" w:rsidRPr="00C9343F" w:rsidRDefault="006554E3" w:rsidP="00F66D98">
            <w:pPr>
              <w:pStyle w:val="BlockText-Plain"/>
              <w:spacing w:after="0"/>
            </w:pPr>
            <w:r w:rsidRPr="00C9343F">
              <w:t>1. The member has no ADF-recognised dependants.</w:t>
            </w:r>
          </w:p>
          <w:p w14:paraId="2D2719BD" w14:textId="77777777" w:rsidR="00342683" w:rsidRPr="00C9343F" w:rsidRDefault="006554E3" w:rsidP="00F66D98">
            <w:pPr>
              <w:pStyle w:val="BlockText-Plain"/>
            </w:pPr>
            <w:r w:rsidRPr="00C9343F">
              <w:t>2. The member does not intend to ever live in the same house as their family and so the family is not recognised as dependants for Defence benefit purposes.</w:t>
            </w:r>
          </w:p>
        </w:tc>
      </w:tr>
    </w:tbl>
    <w:p w14:paraId="68CB349D" w14:textId="3F77A0C7" w:rsidR="00B76B11" w:rsidRPr="00C9343F" w:rsidRDefault="000608BD" w:rsidP="00F66D98">
      <w:pPr>
        <w:pStyle w:val="Heading5"/>
      </w:pPr>
      <w:bookmarkStart w:id="189" w:name="_Toc105053581"/>
      <w:r w:rsidRPr="00C9343F">
        <w:t>1.3.9</w:t>
      </w:r>
      <w:r w:rsidR="005C2783" w:rsidRPr="00C9343F">
        <w:t>5</w:t>
      </w:r>
      <w:r w:rsidR="00D94006" w:rsidRPr="00C9343F">
        <w:t>    </w:t>
      </w:r>
      <w:r w:rsidR="006554E3" w:rsidRPr="00C9343F">
        <w:t>Member with dependants</w:t>
      </w:r>
      <w:bookmarkEnd w:id="189"/>
    </w:p>
    <w:tbl>
      <w:tblPr>
        <w:tblW w:w="9360" w:type="dxa"/>
        <w:tblInd w:w="113" w:type="dxa"/>
        <w:tblLayout w:type="fixed"/>
        <w:tblLook w:val="0000" w:firstRow="0" w:lastRow="0" w:firstColumn="0" w:lastColumn="0" w:noHBand="0" w:noVBand="0"/>
      </w:tblPr>
      <w:tblGrid>
        <w:gridCol w:w="992"/>
        <w:gridCol w:w="8368"/>
      </w:tblGrid>
      <w:tr w:rsidR="00827DBB" w:rsidRPr="00C9343F" w14:paraId="486ADEF5" w14:textId="77777777" w:rsidTr="006554E3">
        <w:tc>
          <w:tcPr>
            <w:tcW w:w="992" w:type="dxa"/>
          </w:tcPr>
          <w:p w14:paraId="56AE526F" w14:textId="77777777" w:rsidR="00827DBB" w:rsidRPr="00C9343F" w:rsidRDefault="00827DBB" w:rsidP="00F66D98">
            <w:pPr>
              <w:pStyle w:val="BlockText-Plain"/>
              <w:jc w:val="center"/>
            </w:pPr>
            <w:r w:rsidRPr="00C9343F">
              <w:t>1.</w:t>
            </w:r>
          </w:p>
        </w:tc>
        <w:tc>
          <w:tcPr>
            <w:tcW w:w="8368" w:type="dxa"/>
          </w:tcPr>
          <w:p w14:paraId="789D5FA3" w14:textId="77777777" w:rsidR="00827DBB" w:rsidRPr="00C9343F" w:rsidRDefault="006554E3" w:rsidP="00F66D98">
            <w:pPr>
              <w:pStyle w:val="BlockText-Plain"/>
            </w:pPr>
            <w:r w:rsidRPr="00C9343F">
              <w:t xml:space="preserve">A member with dependants means a member who normally lives with at least one dependant. This is usually in a home at the posting location.  </w:t>
            </w:r>
          </w:p>
        </w:tc>
      </w:tr>
      <w:tr w:rsidR="00827DBB" w:rsidRPr="00C9343F" w14:paraId="54605A3A" w14:textId="77777777" w:rsidTr="006554E3">
        <w:tc>
          <w:tcPr>
            <w:tcW w:w="992" w:type="dxa"/>
          </w:tcPr>
          <w:p w14:paraId="46F848D3" w14:textId="77777777" w:rsidR="00827DBB" w:rsidRPr="00C9343F" w:rsidRDefault="00827DBB" w:rsidP="00F66D98">
            <w:pPr>
              <w:pStyle w:val="BlockText-Plain"/>
              <w:jc w:val="center"/>
            </w:pPr>
            <w:r w:rsidRPr="00C9343F">
              <w:t>2.</w:t>
            </w:r>
          </w:p>
        </w:tc>
        <w:tc>
          <w:tcPr>
            <w:tcW w:w="8368" w:type="dxa"/>
          </w:tcPr>
          <w:p w14:paraId="3E0EAF1A" w14:textId="77777777" w:rsidR="00827DBB" w:rsidRPr="00C9343F" w:rsidRDefault="006554E3" w:rsidP="00F66D98">
            <w:pPr>
              <w:pStyle w:val="BlockText-Plain"/>
            </w:pPr>
            <w:r w:rsidRPr="00C9343F">
              <w:t>To avoid doubt, a member of a dual-serving couple remains a member with dependants if their partner is categorised member with dependants (unaccompanied) and so is only temporarily not living with the member.</w:t>
            </w:r>
          </w:p>
        </w:tc>
      </w:tr>
      <w:tr w:rsidR="006554E3" w:rsidRPr="00C9343F" w14:paraId="581C1485" w14:textId="77777777" w:rsidTr="006554E3">
        <w:tc>
          <w:tcPr>
            <w:tcW w:w="992" w:type="dxa"/>
          </w:tcPr>
          <w:p w14:paraId="0F723E7C" w14:textId="77777777" w:rsidR="006554E3" w:rsidRPr="00C9343F" w:rsidRDefault="006554E3" w:rsidP="00F66D98">
            <w:pPr>
              <w:pStyle w:val="BlockText-Plain"/>
              <w:jc w:val="center"/>
            </w:pPr>
          </w:p>
        </w:tc>
        <w:tc>
          <w:tcPr>
            <w:tcW w:w="8368" w:type="dxa"/>
          </w:tcPr>
          <w:p w14:paraId="2CD3E59A" w14:textId="77777777" w:rsidR="006554E3" w:rsidRPr="00C9343F" w:rsidRDefault="006554E3" w:rsidP="00F66D98">
            <w:pPr>
              <w:pStyle w:val="BlockText-Plain"/>
            </w:pPr>
            <w:r w:rsidRPr="00C9343F">
              <w:rPr>
                <w:b/>
              </w:rPr>
              <w:t>Example:</w:t>
            </w:r>
            <w:r w:rsidRPr="00C9343F">
              <w:t xml:space="preserve"> A member couple live together in Darwin. One of the members is posted to Melbourne. That member becomes a member with dependants (unaccompanied). The member in Darwin lives alone until the other member returns from the post, but is still eligible to be a member with dependants.</w:t>
            </w:r>
          </w:p>
        </w:tc>
      </w:tr>
      <w:tr w:rsidR="00827DBB" w:rsidRPr="00C9343F" w14:paraId="1B887E54" w14:textId="77777777" w:rsidTr="006554E3">
        <w:tc>
          <w:tcPr>
            <w:tcW w:w="992" w:type="dxa"/>
          </w:tcPr>
          <w:p w14:paraId="12DDBE9C" w14:textId="77777777" w:rsidR="00827DBB" w:rsidRPr="00C9343F" w:rsidRDefault="00827DBB" w:rsidP="00F66D98">
            <w:pPr>
              <w:pStyle w:val="BlockText-Plain"/>
              <w:jc w:val="center"/>
            </w:pPr>
            <w:r w:rsidRPr="00C9343F">
              <w:t>4.</w:t>
            </w:r>
          </w:p>
        </w:tc>
        <w:tc>
          <w:tcPr>
            <w:tcW w:w="8368" w:type="dxa"/>
          </w:tcPr>
          <w:p w14:paraId="5FE6278F" w14:textId="77777777" w:rsidR="00827DBB" w:rsidRPr="00C9343F" w:rsidRDefault="006554E3" w:rsidP="00F66D98">
            <w:pPr>
              <w:pStyle w:val="BlockText-Plain"/>
            </w:pPr>
            <w:r w:rsidRPr="00C9343F">
              <w:t>A member with dependants (unaccompanied) is a subset of the category member with dependants.</w:t>
            </w:r>
          </w:p>
        </w:tc>
      </w:tr>
      <w:tr w:rsidR="00827DBB" w:rsidRPr="00C9343F" w14:paraId="2BEADA70" w14:textId="77777777" w:rsidTr="006554E3">
        <w:tc>
          <w:tcPr>
            <w:tcW w:w="992" w:type="dxa"/>
          </w:tcPr>
          <w:p w14:paraId="5E632D23" w14:textId="77777777" w:rsidR="00827DBB" w:rsidRPr="00C9343F" w:rsidRDefault="00827DBB" w:rsidP="00F66D98">
            <w:pPr>
              <w:pStyle w:val="BlockText-Plain"/>
              <w:jc w:val="center"/>
            </w:pPr>
            <w:r w:rsidRPr="00C9343F">
              <w:t>5.</w:t>
            </w:r>
          </w:p>
        </w:tc>
        <w:tc>
          <w:tcPr>
            <w:tcW w:w="8368" w:type="dxa"/>
          </w:tcPr>
          <w:p w14:paraId="1DC782A4" w14:textId="77777777" w:rsidR="006554E3" w:rsidRPr="00C9343F" w:rsidRDefault="006554E3" w:rsidP="00F66D98">
            <w:pPr>
              <w:pStyle w:val="BlockText-Plain"/>
            </w:pPr>
            <w:r w:rsidRPr="00C9343F">
              <w:t>A member must not apply for member with dependants or member with dependants (unaccompanied) categorisation for a spouse or partner if they already receive Defence benefits or entitlements for another spouse or partner.</w:t>
            </w:r>
          </w:p>
          <w:p w14:paraId="09EB88C6" w14:textId="77777777" w:rsidR="00827DBB" w:rsidRPr="00C9343F" w:rsidRDefault="006554E3" w:rsidP="00F66D98">
            <w:pPr>
              <w:pStyle w:val="BlockText-Plain"/>
            </w:pPr>
            <w:r w:rsidRPr="00C9343F">
              <w:rPr>
                <w:b/>
              </w:rPr>
              <w:t xml:space="preserve">Example: </w:t>
            </w:r>
            <w:r w:rsidRPr="00C9343F">
              <w:t>A member is married but separated from their spouse. The member's spouse ceases to be a recognised dependant for Defence benefit purposes when the member no longer normally lives with them. The member currently lives with another person. The member must take steps to amend their details to cease benefits for their former spouse and have their new partner recognised for benefit purposes.</w:t>
            </w:r>
          </w:p>
        </w:tc>
      </w:tr>
    </w:tbl>
    <w:p w14:paraId="6BCAD19A" w14:textId="42631A15" w:rsidR="006554E3" w:rsidRPr="00C9343F" w:rsidRDefault="006554E3" w:rsidP="00F66D98">
      <w:pPr>
        <w:pStyle w:val="Heading5"/>
      </w:pPr>
      <w:bookmarkStart w:id="190" w:name="_Toc105053582"/>
      <w:r w:rsidRPr="00C9343F">
        <w:t>1.3.96</w:t>
      </w:r>
      <w:r w:rsidR="00D94006" w:rsidRPr="00C9343F">
        <w:t>    </w:t>
      </w:r>
      <w:r w:rsidRPr="00C9343F">
        <w:t>Member with dependants (unaccompanied)</w:t>
      </w:r>
      <w:bookmarkEnd w:id="190"/>
    </w:p>
    <w:tbl>
      <w:tblPr>
        <w:tblW w:w="9355" w:type="dxa"/>
        <w:tblInd w:w="113" w:type="dxa"/>
        <w:tblLayout w:type="fixed"/>
        <w:tblLook w:val="0000" w:firstRow="0" w:lastRow="0" w:firstColumn="0" w:lastColumn="0" w:noHBand="0" w:noVBand="0"/>
      </w:tblPr>
      <w:tblGrid>
        <w:gridCol w:w="992"/>
        <w:gridCol w:w="567"/>
        <w:gridCol w:w="7796"/>
      </w:tblGrid>
      <w:tr w:rsidR="006554E3" w:rsidRPr="00C9343F" w14:paraId="2493BC6A" w14:textId="77777777" w:rsidTr="00F96399">
        <w:tc>
          <w:tcPr>
            <w:tcW w:w="992" w:type="dxa"/>
          </w:tcPr>
          <w:p w14:paraId="5ED7F5C2" w14:textId="77777777" w:rsidR="006554E3" w:rsidRPr="00C9343F" w:rsidRDefault="006554E3" w:rsidP="00F66D98">
            <w:pPr>
              <w:pStyle w:val="BlockText-Plain"/>
              <w:keepNext/>
              <w:keepLines/>
              <w:jc w:val="center"/>
            </w:pPr>
            <w:r w:rsidRPr="00C9343F">
              <w:t>1.</w:t>
            </w:r>
          </w:p>
        </w:tc>
        <w:tc>
          <w:tcPr>
            <w:tcW w:w="8363" w:type="dxa"/>
            <w:gridSpan w:val="2"/>
          </w:tcPr>
          <w:p w14:paraId="65D48233" w14:textId="74325831" w:rsidR="006554E3" w:rsidRPr="00C9343F" w:rsidRDefault="006554E3" w:rsidP="00F66D98">
            <w:pPr>
              <w:pStyle w:val="BlockText-Plain"/>
              <w:keepNext/>
              <w:keepLines/>
            </w:pPr>
            <w:r w:rsidRPr="00C9343F">
              <w:t>A member with dependants (unaccompanied)</w:t>
            </w:r>
            <w:r w:rsidRPr="00C9343F">
              <w:rPr>
                <w:b/>
                <w:i/>
              </w:rPr>
              <w:t xml:space="preserve"> </w:t>
            </w:r>
            <w:r w:rsidRPr="00C9343F">
              <w:t>is a member who meets the conditions set out for that category in Chapter 8 Part 3</w:t>
            </w:r>
            <w:r w:rsidR="00F96399" w:rsidRPr="00C9343F">
              <w:t>,</w:t>
            </w:r>
            <w:r w:rsidRPr="00C9343F">
              <w:t xml:space="preserve"> </w:t>
            </w:r>
            <w:r w:rsidR="00F96399" w:rsidRPr="00C9343F">
              <w:t>Member with dependants (unaccompanied)</w:t>
            </w:r>
            <w:r w:rsidRPr="00C9343F">
              <w:t>.</w:t>
            </w:r>
          </w:p>
        </w:tc>
      </w:tr>
      <w:tr w:rsidR="006554E3" w:rsidRPr="00C9343F" w14:paraId="5CC9135D" w14:textId="77777777" w:rsidTr="00F96399">
        <w:tc>
          <w:tcPr>
            <w:tcW w:w="992" w:type="dxa"/>
          </w:tcPr>
          <w:p w14:paraId="52AFF8D6" w14:textId="77777777" w:rsidR="006554E3" w:rsidRPr="00C9343F" w:rsidRDefault="006554E3" w:rsidP="00F66D98">
            <w:pPr>
              <w:pStyle w:val="BlockText-Plain"/>
              <w:keepNext/>
              <w:keepLines/>
              <w:jc w:val="center"/>
            </w:pPr>
            <w:r w:rsidRPr="00C9343F">
              <w:t>2.</w:t>
            </w:r>
          </w:p>
        </w:tc>
        <w:tc>
          <w:tcPr>
            <w:tcW w:w="8363" w:type="dxa"/>
            <w:gridSpan w:val="2"/>
          </w:tcPr>
          <w:p w14:paraId="04AC3064" w14:textId="037BF980" w:rsidR="006554E3" w:rsidRPr="00C9343F" w:rsidRDefault="006554E3" w:rsidP="00F66D98">
            <w:pPr>
              <w:pStyle w:val="BlockText-Plain"/>
              <w:keepNext/>
              <w:keepLines/>
            </w:pPr>
            <w:r w:rsidRPr="00C9343F">
              <w:t>The purpose of the member with dependants (unaccompanied)</w:t>
            </w:r>
            <w:r w:rsidRPr="00C9343F">
              <w:rPr>
                <w:b/>
                <w:i/>
              </w:rPr>
              <w:t xml:space="preserve"> </w:t>
            </w:r>
            <w:r w:rsidRPr="00C9343F">
              <w:t>category is described in section 8.3.4.</w:t>
            </w:r>
          </w:p>
        </w:tc>
      </w:tr>
      <w:tr w:rsidR="006554E3" w:rsidRPr="00C9343F" w14:paraId="30C780C6" w14:textId="77777777" w:rsidTr="00F96399">
        <w:tc>
          <w:tcPr>
            <w:tcW w:w="992" w:type="dxa"/>
          </w:tcPr>
          <w:p w14:paraId="6B42F1C3" w14:textId="77777777" w:rsidR="006554E3" w:rsidRPr="00C9343F" w:rsidRDefault="006554E3" w:rsidP="00F66D98">
            <w:pPr>
              <w:pStyle w:val="BlockText-Plain"/>
              <w:jc w:val="center"/>
            </w:pPr>
            <w:r w:rsidRPr="00C9343F">
              <w:t>3.</w:t>
            </w:r>
          </w:p>
        </w:tc>
        <w:tc>
          <w:tcPr>
            <w:tcW w:w="8363" w:type="dxa"/>
            <w:gridSpan w:val="2"/>
          </w:tcPr>
          <w:p w14:paraId="0241C8F8" w14:textId="77777777" w:rsidR="006554E3" w:rsidRPr="00C9343F" w:rsidRDefault="006554E3" w:rsidP="00F66D98">
            <w:pPr>
              <w:pStyle w:val="BlockText-Plain"/>
            </w:pPr>
            <w:r w:rsidRPr="00C9343F">
              <w:t xml:space="preserve">The package provided to a member with dependants (unaccompanied) and their dependants may recognise the additional costs of maintaining dependants in two locations. It may include benefits such as the following.  </w:t>
            </w:r>
          </w:p>
        </w:tc>
      </w:tr>
      <w:tr w:rsidR="006554E3" w:rsidRPr="00C9343F" w14:paraId="7B713DB5" w14:textId="77777777" w:rsidTr="00F96399">
        <w:trPr>
          <w:cantSplit/>
        </w:trPr>
        <w:tc>
          <w:tcPr>
            <w:tcW w:w="992" w:type="dxa"/>
          </w:tcPr>
          <w:p w14:paraId="70A40BFD" w14:textId="77777777" w:rsidR="006554E3" w:rsidRPr="00C9343F" w:rsidRDefault="006554E3" w:rsidP="00F66D98">
            <w:pPr>
              <w:pStyle w:val="BlockText-Plain"/>
            </w:pPr>
          </w:p>
        </w:tc>
        <w:tc>
          <w:tcPr>
            <w:tcW w:w="567" w:type="dxa"/>
          </w:tcPr>
          <w:p w14:paraId="606CD481" w14:textId="77777777" w:rsidR="006554E3" w:rsidRPr="00C9343F" w:rsidRDefault="006554E3" w:rsidP="007114B1">
            <w:pPr>
              <w:pStyle w:val="BlockText-Plain"/>
              <w:jc w:val="center"/>
            </w:pPr>
            <w:r w:rsidRPr="00C9343F">
              <w:t>a.</w:t>
            </w:r>
          </w:p>
        </w:tc>
        <w:tc>
          <w:tcPr>
            <w:tcW w:w="7796" w:type="dxa"/>
          </w:tcPr>
          <w:p w14:paraId="4A2152C5" w14:textId="77777777" w:rsidR="006554E3" w:rsidRPr="00C9343F" w:rsidRDefault="006554E3" w:rsidP="00F66D98">
            <w:pPr>
              <w:pStyle w:val="BlockText-Plain"/>
            </w:pPr>
            <w:r w:rsidRPr="00C9343F">
              <w:t>Fully-subsidised accommodation for the member at the member's duty location.</w:t>
            </w:r>
          </w:p>
        </w:tc>
      </w:tr>
      <w:tr w:rsidR="006554E3" w:rsidRPr="00C9343F" w14:paraId="02EA5B7F" w14:textId="77777777" w:rsidTr="00F96399">
        <w:trPr>
          <w:cantSplit/>
        </w:trPr>
        <w:tc>
          <w:tcPr>
            <w:tcW w:w="992" w:type="dxa"/>
          </w:tcPr>
          <w:p w14:paraId="42594968" w14:textId="77777777" w:rsidR="006554E3" w:rsidRPr="00C9343F" w:rsidRDefault="006554E3" w:rsidP="00F66D98">
            <w:pPr>
              <w:pStyle w:val="BlockText-Plain"/>
            </w:pPr>
          </w:p>
        </w:tc>
        <w:tc>
          <w:tcPr>
            <w:tcW w:w="567" w:type="dxa"/>
          </w:tcPr>
          <w:p w14:paraId="7661EFF9" w14:textId="77777777" w:rsidR="006554E3" w:rsidRPr="00C9343F" w:rsidRDefault="006554E3" w:rsidP="007114B1">
            <w:pPr>
              <w:pStyle w:val="BlockText-Plain"/>
              <w:jc w:val="center"/>
            </w:pPr>
            <w:r w:rsidRPr="00C9343F">
              <w:t>b.</w:t>
            </w:r>
          </w:p>
        </w:tc>
        <w:tc>
          <w:tcPr>
            <w:tcW w:w="7796" w:type="dxa"/>
          </w:tcPr>
          <w:p w14:paraId="26401174" w14:textId="77777777" w:rsidR="006554E3" w:rsidRPr="00C9343F" w:rsidRDefault="006554E3" w:rsidP="00F66D98">
            <w:pPr>
              <w:pStyle w:val="BlockText-Plain"/>
            </w:pPr>
            <w:r w:rsidRPr="00C9343F">
              <w:t>Reunion travel, food, utilities, and separation allowances.</w:t>
            </w:r>
          </w:p>
        </w:tc>
      </w:tr>
      <w:tr w:rsidR="006554E3" w:rsidRPr="00C9343F" w14:paraId="512C0A7E" w14:textId="77777777" w:rsidTr="00F96399">
        <w:trPr>
          <w:cantSplit/>
        </w:trPr>
        <w:tc>
          <w:tcPr>
            <w:tcW w:w="992" w:type="dxa"/>
          </w:tcPr>
          <w:p w14:paraId="73C4CE22" w14:textId="77777777" w:rsidR="006554E3" w:rsidRPr="00C9343F" w:rsidRDefault="006554E3" w:rsidP="00F66D98">
            <w:pPr>
              <w:pStyle w:val="BlockText-Plain"/>
            </w:pPr>
          </w:p>
        </w:tc>
        <w:tc>
          <w:tcPr>
            <w:tcW w:w="567" w:type="dxa"/>
          </w:tcPr>
          <w:p w14:paraId="6024D4A1" w14:textId="77777777" w:rsidR="006554E3" w:rsidRPr="00C9343F" w:rsidRDefault="006554E3" w:rsidP="007114B1">
            <w:pPr>
              <w:pStyle w:val="BlockText-Plain"/>
              <w:jc w:val="center"/>
            </w:pPr>
            <w:r w:rsidRPr="00C9343F">
              <w:t>c.</w:t>
            </w:r>
          </w:p>
        </w:tc>
        <w:tc>
          <w:tcPr>
            <w:tcW w:w="7796" w:type="dxa"/>
          </w:tcPr>
          <w:p w14:paraId="7FFE1301" w14:textId="77777777" w:rsidR="006554E3" w:rsidRPr="00C9343F" w:rsidRDefault="006554E3" w:rsidP="00F66D98">
            <w:pPr>
              <w:pStyle w:val="BlockText-Plain"/>
            </w:pPr>
            <w:r w:rsidRPr="00C9343F">
              <w:t>Partly-subsidised accommodation for the dependants.</w:t>
            </w:r>
          </w:p>
        </w:tc>
      </w:tr>
      <w:tr w:rsidR="006554E3" w:rsidRPr="00C9343F" w14:paraId="2836DB5B" w14:textId="77777777" w:rsidTr="00F96399">
        <w:trPr>
          <w:cantSplit/>
        </w:trPr>
        <w:tc>
          <w:tcPr>
            <w:tcW w:w="992" w:type="dxa"/>
          </w:tcPr>
          <w:p w14:paraId="219B6ACD" w14:textId="77777777" w:rsidR="006554E3" w:rsidRPr="00C9343F" w:rsidRDefault="006554E3" w:rsidP="00F66D98">
            <w:pPr>
              <w:pStyle w:val="BlockText-Plain"/>
            </w:pPr>
          </w:p>
        </w:tc>
        <w:tc>
          <w:tcPr>
            <w:tcW w:w="567" w:type="dxa"/>
          </w:tcPr>
          <w:p w14:paraId="625D0AF2" w14:textId="77777777" w:rsidR="006554E3" w:rsidRPr="00C9343F" w:rsidRDefault="006554E3" w:rsidP="007114B1">
            <w:pPr>
              <w:pStyle w:val="BlockText-Plain"/>
              <w:jc w:val="center"/>
            </w:pPr>
            <w:r w:rsidRPr="00C9343F">
              <w:t>d.</w:t>
            </w:r>
          </w:p>
        </w:tc>
        <w:tc>
          <w:tcPr>
            <w:tcW w:w="7796" w:type="dxa"/>
          </w:tcPr>
          <w:p w14:paraId="2679C2E7" w14:textId="4D1B4B22" w:rsidR="006554E3" w:rsidRPr="00C9343F" w:rsidRDefault="006554E3" w:rsidP="007E6444">
            <w:pPr>
              <w:pStyle w:val="BlockText-Plain"/>
            </w:pPr>
            <w:r w:rsidRPr="00C9343F">
              <w:t xml:space="preserve">Removal </w:t>
            </w:r>
            <w:r w:rsidR="007E6444" w:rsidRPr="00C9343F">
              <w:t>under Chapter 6</w:t>
            </w:r>
            <w:r w:rsidRPr="00C9343F">
              <w:t>.</w:t>
            </w:r>
          </w:p>
        </w:tc>
      </w:tr>
      <w:tr w:rsidR="006554E3" w:rsidRPr="00C9343F" w14:paraId="0CE3D7C4" w14:textId="77777777" w:rsidTr="00F96399">
        <w:tc>
          <w:tcPr>
            <w:tcW w:w="992" w:type="dxa"/>
          </w:tcPr>
          <w:p w14:paraId="5B89F7D1" w14:textId="77777777" w:rsidR="006554E3" w:rsidRPr="00C9343F" w:rsidRDefault="006554E3" w:rsidP="00F66D98">
            <w:pPr>
              <w:pStyle w:val="BlockText-Plain"/>
              <w:jc w:val="center"/>
            </w:pPr>
          </w:p>
        </w:tc>
        <w:tc>
          <w:tcPr>
            <w:tcW w:w="8363" w:type="dxa"/>
            <w:gridSpan w:val="2"/>
          </w:tcPr>
          <w:p w14:paraId="56F4EAE3" w14:textId="77777777" w:rsidR="006554E3" w:rsidRPr="00C9343F" w:rsidRDefault="006554E3" w:rsidP="00F66D98">
            <w:pPr>
              <w:pStyle w:val="BlockText-Plain"/>
            </w:pPr>
            <w:r w:rsidRPr="00C9343F">
              <w:rPr>
                <w:b/>
              </w:rPr>
              <w:t>See:</w:t>
            </w:r>
            <w:r w:rsidRPr="00C9343F">
              <w:t xml:space="preserve"> Chapter 8 Part 3 Division 1 </w:t>
            </w:r>
            <w:r w:rsidR="00803066" w:rsidRPr="00C9343F">
              <w:t>section</w:t>
            </w:r>
            <w:r w:rsidRPr="00C9343F">
              <w:t xml:space="preserve"> 8.3.6, Member who may be classified as a member with dependants (unaccompanied)</w:t>
            </w:r>
          </w:p>
        </w:tc>
      </w:tr>
    </w:tbl>
    <w:p w14:paraId="76301894" w14:textId="1EEE239D" w:rsidR="00AF060B" w:rsidRPr="00C9343F" w:rsidRDefault="00AF060B" w:rsidP="00B91711">
      <w:pPr>
        <w:pStyle w:val="Heading3"/>
        <w:pageBreakBefore/>
      </w:pPr>
      <w:bookmarkStart w:id="191" w:name="_Toc105053583"/>
      <w:r w:rsidRPr="00C9343F">
        <w:lastRenderedPageBreak/>
        <w:t>Part 4: Equivalent rank and classifications</w:t>
      </w:r>
      <w:bookmarkEnd w:id="191"/>
    </w:p>
    <w:p w14:paraId="2E2BD602" w14:textId="3DD3E08C" w:rsidR="00AF060B" w:rsidRPr="00C9343F" w:rsidRDefault="00AF060B" w:rsidP="00F66D98">
      <w:pPr>
        <w:pStyle w:val="Heading5"/>
      </w:pPr>
      <w:bookmarkStart w:id="192" w:name="_Toc105053584"/>
      <w:bookmarkStart w:id="193" w:name="bk34027PM151Purpose"/>
      <w:bookmarkStart w:id="194" w:name="bk42105PM151Purpose"/>
      <w:bookmarkStart w:id="195" w:name="bk42133PM151Purpose"/>
      <w:bookmarkStart w:id="196" w:name="bk32956PM131Overview"/>
      <w:bookmarkStart w:id="197" w:name="bk94021141Overview"/>
      <w:r w:rsidRPr="00C9343F">
        <w:t>1.4.1</w:t>
      </w:r>
      <w:r w:rsidR="00D94006" w:rsidRPr="00C9343F">
        <w:t>    </w:t>
      </w:r>
      <w:r w:rsidRPr="00C9343F">
        <w:t>Overview</w:t>
      </w:r>
      <w:bookmarkEnd w:id="192"/>
    </w:p>
    <w:tbl>
      <w:tblPr>
        <w:tblW w:w="0" w:type="auto"/>
        <w:tblInd w:w="113" w:type="dxa"/>
        <w:tblLayout w:type="fixed"/>
        <w:tblLook w:val="0000" w:firstRow="0" w:lastRow="0" w:firstColumn="0" w:lastColumn="0" w:noHBand="0" w:noVBand="0"/>
      </w:tblPr>
      <w:tblGrid>
        <w:gridCol w:w="992"/>
        <w:gridCol w:w="8363"/>
      </w:tblGrid>
      <w:tr w:rsidR="00AF060B" w:rsidRPr="00C9343F" w14:paraId="797744F9" w14:textId="77777777">
        <w:tc>
          <w:tcPr>
            <w:tcW w:w="992" w:type="dxa"/>
          </w:tcPr>
          <w:bookmarkEnd w:id="193"/>
          <w:bookmarkEnd w:id="194"/>
          <w:bookmarkEnd w:id="195"/>
          <w:bookmarkEnd w:id="196"/>
          <w:bookmarkEnd w:id="197"/>
          <w:p w14:paraId="62BDE876" w14:textId="77777777" w:rsidR="00AF060B" w:rsidRPr="00C9343F" w:rsidRDefault="00AF060B" w:rsidP="00F66D98">
            <w:pPr>
              <w:pStyle w:val="BlockText-Plain"/>
              <w:jc w:val="center"/>
            </w:pPr>
            <w:r w:rsidRPr="00C9343F">
              <w:t>1.</w:t>
            </w:r>
          </w:p>
        </w:tc>
        <w:tc>
          <w:tcPr>
            <w:tcW w:w="8363" w:type="dxa"/>
          </w:tcPr>
          <w:p w14:paraId="2A8BD9A0" w14:textId="77777777" w:rsidR="00AF060B" w:rsidRPr="00C9343F" w:rsidRDefault="00AF060B" w:rsidP="00F66D98">
            <w:pPr>
              <w:pStyle w:val="BlockText-Plain"/>
            </w:pPr>
            <w:r w:rsidRPr="00C9343F">
              <w:t>In Chapters 1 to 17, a reference to a rank is a reference to an Army rank. It includes a reference to the equivalent rank in the Navy and Air Force. This is unless it is made clear otherwise.</w:t>
            </w:r>
          </w:p>
          <w:p w14:paraId="52289209" w14:textId="77777777" w:rsidR="00AF060B" w:rsidRPr="00C9343F" w:rsidRDefault="00AF060B" w:rsidP="00F66D98">
            <w:pPr>
              <w:pStyle w:val="BlockText-Plain"/>
            </w:pPr>
            <w:r w:rsidRPr="00C9343F">
              <w:rPr>
                <w:b/>
              </w:rPr>
              <w:t>Note:</w:t>
            </w:r>
            <w:r w:rsidRPr="00C9343F">
              <w:t xml:space="preserve"> This is consistent with long-standing Defence practice whereby Army ranks are used, often followed by the letter </w:t>
            </w:r>
            <w:r w:rsidR="00E937B0" w:rsidRPr="00C9343F">
              <w:t>(E)</w:t>
            </w:r>
            <w:r w:rsidRPr="00C9343F">
              <w:t xml:space="preserve"> for Equivalent rank. To simplify and save space, the text does not include the </w:t>
            </w:r>
            <w:r w:rsidR="00E937B0" w:rsidRPr="00C9343F">
              <w:t>(E)</w:t>
            </w:r>
            <w:r w:rsidRPr="00C9343F">
              <w:t xml:space="preserve"> symbol. Where there is a reference to the three Services, the normal order is followed – Navy, Army, Air Force.</w:t>
            </w:r>
          </w:p>
        </w:tc>
      </w:tr>
      <w:tr w:rsidR="00AF060B" w:rsidRPr="00C9343F" w14:paraId="65A31262" w14:textId="77777777">
        <w:tc>
          <w:tcPr>
            <w:tcW w:w="992" w:type="dxa"/>
          </w:tcPr>
          <w:p w14:paraId="6F9DFF43" w14:textId="77777777" w:rsidR="00AF060B" w:rsidRPr="00C9343F" w:rsidRDefault="00AF060B" w:rsidP="00F66D98">
            <w:pPr>
              <w:pStyle w:val="BlockText-PlainNoSpacing"/>
              <w:jc w:val="center"/>
            </w:pPr>
            <w:r w:rsidRPr="00C9343F">
              <w:t>2.</w:t>
            </w:r>
          </w:p>
        </w:tc>
        <w:tc>
          <w:tcPr>
            <w:tcW w:w="8363" w:type="dxa"/>
          </w:tcPr>
          <w:p w14:paraId="1B56A275" w14:textId="77777777" w:rsidR="00AF060B" w:rsidRPr="00C9343F" w:rsidRDefault="00AF060B" w:rsidP="00F66D98">
            <w:pPr>
              <w:pStyle w:val="BlockText-Plain"/>
            </w:pPr>
            <w:r w:rsidRPr="00C9343F">
              <w:t xml:space="preserve">Equivalent rank means the corresponding rank set out under </w:t>
            </w:r>
            <w:r w:rsidR="0016777D" w:rsidRPr="00C9343F">
              <w:t>Schedule 1 of the</w:t>
            </w:r>
            <w:r w:rsidR="0016777D" w:rsidRPr="00C9343F">
              <w:rPr>
                <w:i/>
              </w:rPr>
              <w:t xml:space="preserve"> Defence Act 1903</w:t>
            </w:r>
            <w:r w:rsidRPr="00C9343F">
              <w:t xml:space="preserve">. </w:t>
            </w:r>
          </w:p>
        </w:tc>
      </w:tr>
    </w:tbl>
    <w:p w14:paraId="3C051610" w14:textId="7857624E" w:rsidR="00FA56DC" w:rsidRPr="00C9343F" w:rsidRDefault="00FA56DC" w:rsidP="00F66D98">
      <w:pPr>
        <w:pStyle w:val="Heading5"/>
      </w:pPr>
      <w:bookmarkStart w:id="198" w:name="_Toc105053585"/>
      <w:bookmarkStart w:id="199" w:name="bk42105PM154ADFranksandAPSclassificatio"/>
      <w:bookmarkStart w:id="200" w:name="bk42133PM154ADFranksandAPSclassificatio"/>
      <w:bookmarkStart w:id="201" w:name="bk32956PM144ADFranksandAPSclassificatio"/>
      <w:bookmarkStart w:id="202" w:name="bk94021143ADFranksandAPSclassifications"/>
      <w:bookmarkStart w:id="203" w:name="bk34027PM153Chaplaintakentoholdrank"/>
      <w:bookmarkStart w:id="204" w:name="bk42105PM153Chaplaintakentoholdrank"/>
      <w:bookmarkStart w:id="205" w:name="bk42133PM153Chaplaintakentoholdrank"/>
      <w:bookmarkStart w:id="206" w:name="bk32956PM143Chaplaintakentoholdrank"/>
      <w:bookmarkStart w:id="207" w:name="bk94021144Chaplaintakentoholdrank"/>
      <w:r w:rsidRPr="00C9343F">
        <w:t>1.4.2</w:t>
      </w:r>
      <w:r w:rsidR="00D94006" w:rsidRPr="00C9343F">
        <w:t>    </w:t>
      </w:r>
      <w:r w:rsidRPr="00C9343F">
        <w:t>Chaplain and Maritime Spiritual Wellbeing Officer classification for benefit purposes</w:t>
      </w:r>
      <w:bookmarkEnd w:id="198"/>
    </w:p>
    <w:tbl>
      <w:tblPr>
        <w:tblW w:w="0" w:type="auto"/>
        <w:tblInd w:w="113" w:type="dxa"/>
        <w:tblLayout w:type="fixed"/>
        <w:tblLook w:val="0000" w:firstRow="0" w:lastRow="0" w:firstColumn="0" w:lastColumn="0" w:noHBand="0" w:noVBand="0"/>
      </w:tblPr>
      <w:tblGrid>
        <w:gridCol w:w="992"/>
        <w:gridCol w:w="8363"/>
      </w:tblGrid>
      <w:tr w:rsidR="00FA56DC" w:rsidRPr="00C9343F" w14:paraId="3F08DBE8" w14:textId="77777777" w:rsidTr="00B15186">
        <w:tc>
          <w:tcPr>
            <w:tcW w:w="992" w:type="dxa"/>
          </w:tcPr>
          <w:p w14:paraId="2A2C4333" w14:textId="77777777" w:rsidR="00FA56DC" w:rsidRPr="00C9343F" w:rsidRDefault="00FA56DC" w:rsidP="00F66D98">
            <w:pPr>
              <w:pStyle w:val="BlockText-Plain"/>
              <w:jc w:val="center"/>
            </w:pPr>
          </w:p>
        </w:tc>
        <w:tc>
          <w:tcPr>
            <w:tcW w:w="8363" w:type="dxa"/>
          </w:tcPr>
          <w:p w14:paraId="7F1AB7C4" w14:textId="77777777" w:rsidR="00FA56DC" w:rsidRPr="00C9343F" w:rsidRDefault="00FA56DC" w:rsidP="00F66D98">
            <w:pPr>
              <w:pStyle w:val="BlockText-Plain"/>
            </w:pPr>
            <w:r w:rsidRPr="00C9343F">
              <w:t>For conditions of service purposes, a Chaplain classification in column A or a Maritime Spiritual Wellbeing Officer classification in column B means the rank specified in column C of the same item of the following table.</w:t>
            </w:r>
          </w:p>
        </w:tc>
      </w:tr>
    </w:tbl>
    <w:p w14:paraId="51E916F1" w14:textId="77777777" w:rsidR="00FA56DC" w:rsidRPr="00C9343F" w:rsidRDefault="00FA56DC" w:rsidP="00F66D98">
      <w:pPr>
        <w:pStyle w:val="BlockText-PlainNoSpacing"/>
      </w:pPr>
    </w:p>
    <w:tbl>
      <w:tblPr>
        <w:tblW w:w="8445" w:type="dxa"/>
        <w:tblInd w:w="1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2626"/>
        <w:gridCol w:w="2626"/>
        <w:gridCol w:w="2626"/>
      </w:tblGrid>
      <w:tr w:rsidR="00FA56DC" w:rsidRPr="00C9343F" w14:paraId="3D85DBBF" w14:textId="77777777" w:rsidTr="00B15186">
        <w:trPr>
          <w:cantSplit/>
        </w:trPr>
        <w:tc>
          <w:tcPr>
            <w:tcW w:w="567" w:type="dxa"/>
          </w:tcPr>
          <w:p w14:paraId="7621F636" w14:textId="77777777" w:rsidR="00FA56DC" w:rsidRPr="00C9343F" w:rsidRDefault="00FA56DC" w:rsidP="00F66D98">
            <w:pPr>
              <w:pStyle w:val="TableHeaderArial"/>
            </w:pPr>
            <w:r w:rsidRPr="00C9343F">
              <w:t>Item</w:t>
            </w:r>
          </w:p>
        </w:tc>
        <w:tc>
          <w:tcPr>
            <w:tcW w:w="2626" w:type="dxa"/>
          </w:tcPr>
          <w:p w14:paraId="0FEF6D95" w14:textId="77777777" w:rsidR="00FA56DC" w:rsidRPr="00C9343F" w:rsidRDefault="00FA56DC" w:rsidP="00F66D98">
            <w:pPr>
              <w:pStyle w:val="TableHeaderArial"/>
            </w:pPr>
            <w:r w:rsidRPr="00C9343F">
              <w:t>Column A</w:t>
            </w:r>
          </w:p>
          <w:p w14:paraId="6F4B9942" w14:textId="77777777" w:rsidR="00FA56DC" w:rsidRPr="00C9343F" w:rsidRDefault="00FA56DC" w:rsidP="00F66D98">
            <w:pPr>
              <w:pStyle w:val="TableHeaderArial"/>
            </w:pPr>
            <w:r w:rsidRPr="00C9343F">
              <w:t xml:space="preserve">Chaplain classification </w:t>
            </w:r>
          </w:p>
        </w:tc>
        <w:tc>
          <w:tcPr>
            <w:tcW w:w="2626" w:type="dxa"/>
          </w:tcPr>
          <w:p w14:paraId="424378A8" w14:textId="77777777" w:rsidR="00FA56DC" w:rsidRPr="00C9343F" w:rsidRDefault="00FA56DC" w:rsidP="00F66D98">
            <w:pPr>
              <w:pStyle w:val="TableHeaderArial"/>
            </w:pPr>
            <w:r w:rsidRPr="00C9343F">
              <w:t>Column B</w:t>
            </w:r>
          </w:p>
          <w:p w14:paraId="31788C4A" w14:textId="77777777" w:rsidR="00FA56DC" w:rsidRPr="00C9343F" w:rsidRDefault="00FA56DC" w:rsidP="00F66D98">
            <w:pPr>
              <w:pStyle w:val="TableHeaderArial"/>
            </w:pPr>
            <w:r w:rsidRPr="00C9343F">
              <w:t>Maritime Spiritual Wellbeing Officer classification</w:t>
            </w:r>
          </w:p>
        </w:tc>
        <w:tc>
          <w:tcPr>
            <w:tcW w:w="2626" w:type="dxa"/>
          </w:tcPr>
          <w:p w14:paraId="78AAC2C1" w14:textId="77777777" w:rsidR="00FA56DC" w:rsidRPr="00C9343F" w:rsidRDefault="00FA56DC" w:rsidP="00F66D98">
            <w:pPr>
              <w:pStyle w:val="TableHeaderArial"/>
            </w:pPr>
            <w:r w:rsidRPr="00C9343F">
              <w:t>Column C</w:t>
            </w:r>
          </w:p>
          <w:p w14:paraId="49FE5814" w14:textId="77777777" w:rsidR="00FA56DC" w:rsidRPr="00C9343F" w:rsidRDefault="00FA56DC" w:rsidP="00F66D98">
            <w:pPr>
              <w:pStyle w:val="TableHeaderArial"/>
            </w:pPr>
            <w:r w:rsidRPr="00C9343F">
              <w:t>Rank</w:t>
            </w:r>
          </w:p>
        </w:tc>
      </w:tr>
      <w:tr w:rsidR="00FA56DC" w:rsidRPr="00C9343F" w14:paraId="3BE17BB7" w14:textId="77777777" w:rsidTr="00B15186">
        <w:trPr>
          <w:cantSplit/>
        </w:trPr>
        <w:tc>
          <w:tcPr>
            <w:tcW w:w="567" w:type="dxa"/>
          </w:tcPr>
          <w:p w14:paraId="534BF81E" w14:textId="77777777" w:rsidR="00FA56DC" w:rsidRPr="00C9343F" w:rsidRDefault="00FA56DC" w:rsidP="00F66D98">
            <w:pPr>
              <w:pStyle w:val="TableTextArial-left"/>
              <w:jc w:val="center"/>
            </w:pPr>
            <w:r w:rsidRPr="00C9343F">
              <w:t>1.</w:t>
            </w:r>
          </w:p>
        </w:tc>
        <w:tc>
          <w:tcPr>
            <w:tcW w:w="2626" w:type="dxa"/>
          </w:tcPr>
          <w:p w14:paraId="247A668D" w14:textId="77777777" w:rsidR="00FA56DC" w:rsidRPr="00C9343F" w:rsidRDefault="00FA56DC" w:rsidP="00F66D98">
            <w:pPr>
              <w:pStyle w:val="TableTextArial-left"/>
            </w:pPr>
            <w:r w:rsidRPr="00C9343F">
              <w:t>Division 1</w:t>
            </w:r>
          </w:p>
        </w:tc>
        <w:tc>
          <w:tcPr>
            <w:tcW w:w="2626" w:type="dxa"/>
          </w:tcPr>
          <w:p w14:paraId="06BCE5ED" w14:textId="77777777" w:rsidR="00FA56DC" w:rsidRPr="00C9343F" w:rsidRDefault="00FA56DC" w:rsidP="00F66D98">
            <w:pPr>
              <w:pStyle w:val="TableTextArial-left"/>
            </w:pPr>
            <w:r w:rsidRPr="00C9343F">
              <w:t>Class 1</w:t>
            </w:r>
          </w:p>
        </w:tc>
        <w:tc>
          <w:tcPr>
            <w:tcW w:w="2626" w:type="dxa"/>
          </w:tcPr>
          <w:p w14:paraId="17CD5924" w14:textId="77777777" w:rsidR="00FA56DC" w:rsidRPr="00C9343F" w:rsidRDefault="00FA56DC" w:rsidP="00F66D98">
            <w:pPr>
              <w:pStyle w:val="TableTextArial-left"/>
            </w:pPr>
            <w:r w:rsidRPr="00C9343F">
              <w:t>Captain</w:t>
            </w:r>
          </w:p>
        </w:tc>
      </w:tr>
      <w:tr w:rsidR="00FA56DC" w:rsidRPr="00C9343F" w14:paraId="51860EC9" w14:textId="77777777" w:rsidTr="00B15186">
        <w:trPr>
          <w:cantSplit/>
        </w:trPr>
        <w:tc>
          <w:tcPr>
            <w:tcW w:w="567" w:type="dxa"/>
          </w:tcPr>
          <w:p w14:paraId="5453F9D0" w14:textId="77777777" w:rsidR="00FA56DC" w:rsidRPr="00C9343F" w:rsidRDefault="00FA56DC" w:rsidP="00F66D98">
            <w:pPr>
              <w:pStyle w:val="TableTextArial-left"/>
              <w:jc w:val="center"/>
            </w:pPr>
            <w:r w:rsidRPr="00C9343F">
              <w:t>2.</w:t>
            </w:r>
          </w:p>
        </w:tc>
        <w:tc>
          <w:tcPr>
            <w:tcW w:w="2626" w:type="dxa"/>
          </w:tcPr>
          <w:p w14:paraId="34A394B4" w14:textId="77777777" w:rsidR="00FA56DC" w:rsidRPr="00C9343F" w:rsidRDefault="00FA56DC" w:rsidP="00F66D98">
            <w:pPr>
              <w:pStyle w:val="TableTextArial-left"/>
            </w:pPr>
            <w:r w:rsidRPr="00C9343F">
              <w:t>Division 2</w:t>
            </w:r>
          </w:p>
        </w:tc>
        <w:tc>
          <w:tcPr>
            <w:tcW w:w="2626" w:type="dxa"/>
          </w:tcPr>
          <w:p w14:paraId="028C85B3" w14:textId="77777777" w:rsidR="00FA56DC" w:rsidRPr="00C9343F" w:rsidRDefault="00FA56DC" w:rsidP="00F66D98">
            <w:pPr>
              <w:pStyle w:val="TableTextArial-left"/>
            </w:pPr>
            <w:r w:rsidRPr="00C9343F">
              <w:t>Class 2</w:t>
            </w:r>
          </w:p>
        </w:tc>
        <w:tc>
          <w:tcPr>
            <w:tcW w:w="2626" w:type="dxa"/>
          </w:tcPr>
          <w:p w14:paraId="63F1E25E" w14:textId="77777777" w:rsidR="00FA56DC" w:rsidRPr="00C9343F" w:rsidRDefault="00FA56DC" w:rsidP="00F66D98">
            <w:pPr>
              <w:pStyle w:val="TableTextArial-left"/>
            </w:pPr>
            <w:r w:rsidRPr="00C9343F">
              <w:t>Major</w:t>
            </w:r>
          </w:p>
        </w:tc>
      </w:tr>
      <w:tr w:rsidR="00FA56DC" w:rsidRPr="00C9343F" w14:paraId="59320085" w14:textId="77777777" w:rsidTr="00B15186">
        <w:trPr>
          <w:cantSplit/>
        </w:trPr>
        <w:tc>
          <w:tcPr>
            <w:tcW w:w="567" w:type="dxa"/>
          </w:tcPr>
          <w:p w14:paraId="1EF20F4F" w14:textId="77777777" w:rsidR="00FA56DC" w:rsidRPr="00C9343F" w:rsidRDefault="00FA56DC" w:rsidP="00F66D98">
            <w:pPr>
              <w:pStyle w:val="TableTextArial-left"/>
              <w:jc w:val="center"/>
            </w:pPr>
            <w:r w:rsidRPr="00C9343F">
              <w:t>3.</w:t>
            </w:r>
          </w:p>
        </w:tc>
        <w:tc>
          <w:tcPr>
            <w:tcW w:w="2626" w:type="dxa"/>
          </w:tcPr>
          <w:p w14:paraId="47421ED1" w14:textId="77777777" w:rsidR="00FA56DC" w:rsidRPr="00C9343F" w:rsidRDefault="00FA56DC" w:rsidP="00F66D98">
            <w:pPr>
              <w:pStyle w:val="TableTextArial-left"/>
            </w:pPr>
            <w:r w:rsidRPr="00C9343F">
              <w:t>Division 3</w:t>
            </w:r>
          </w:p>
        </w:tc>
        <w:tc>
          <w:tcPr>
            <w:tcW w:w="2626" w:type="dxa"/>
          </w:tcPr>
          <w:p w14:paraId="4EA51EF4" w14:textId="77777777" w:rsidR="00FA56DC" w:rsidRPr="00C9343F" w:rsidRDefault="00FA56DC" w:rsidP="00F66D98">
            <w:pPr>
              <w:pStyle w:val="TableTextArial-left"/>
            </w:pPr>
            <w:r w:rsidRPr="00C9343F">
              <w:t>Class 3</w:t>
            </w:r>
          </w:p>
        </w:tc>
        <w:tc>
          <w:tcPr>
            <w:tcW w:w="2626" w:type="dxa"/>
          </w:tcPr>
          <w:p w14:paraId="2FA1471D" w14:textId="77777777" w:rsidR="00FA56DC" w:rsidRPr="00C9343F" w:rsidRDefault="00FA56DC" w:rsidP="00F66D98">
            <w:pPr>
              <w:pStyle w:val="TableTextArial-left"/>
            </w:pPr>
            <w:r w:rsidRPr="00C9343F">
              <w:t>Lieutenant Colonel</w:t>
            </w:r>
          </w:p>
        </w:tc>
      </w:tr>
      <w:tr w:rsidR="00FA56DC" w:rsidRPr="00C9343F" w14:paraId="0D036AD9" w14:textId="77777777" w:rsidTr="00B15186">
        <w:trPr>
          <w:cantSplit/>
        </w:trPr>
        <w:tc>
          <w:tcPr>
            <w:tcW w:w="567" w:type="dxa"/>
            <w:tcBorders>
              <w:bottom w:val="single" w:sz="6" w:space="0" w:color="auto"/>
            </w:tcBorders>
          </w:tcPr>
          <w:p w14:paraId="6E4AD81D" w14:textId="77777777" w:rsidR="00FA56DC" w:rsidRPr="00C9343F" w:rsidRDefault="00FA56DC" w:rsidP="00F66D98">
            <w:pPr>
              <w:pStyle w:val="TableTextArial-left"/>
              <w:jc w:val="center"/>
            </w:pPr>
            <w:r w:rsidRPr="00C9343F">
              <w:t>4.</w:t>
            </w:r>
          </w:p>
        </w:tc>
        <w:tc>
          <w:tcPr>
            <w:tcW w:w="2626" w:type="dxa"/>
            <w:tcBorders>
              <w:bottom w:val="single" w:sz="6" w:space="0" w:color="auto"/>
            </w:tcBorders>
          </w:tcPr>
          <w:p w14:paraId="4851BCA8" w14:textId="77777777" w:rsidR="00FA56DC" w:rsidRPr="00C9343F" w:rsidRDefault="00FA56DC" w:rsidP="00F66D98">
            <w:pPr>
              <w:pStyle w:val="TableTextArial-left"/>
            </w:pPr>
            <w:r w:rsidRPr="00C9343F">
              <w:t>Division 4</w:t>
            </w:r>
          </w:p>
        </w:tc>
        <w:tc>
          <w:tcPr>
            <w:tcW w:w="2626" w:type="dxa"/>
            <w:tcBorders>
              <w:bottom w:val="single" w:sz="6" w:space="0" w:color="auto"/>
            </w:tcBorders>
          </w:tcPr>
          <w:p w14:paraId="02BF5712" w14:textId="77777777" w:rsidR="00FA56DC" w:rsidRPr="00C9343F" w:rsidRDefault="00FA56DC" w:rsidP="00F66D98">
            <w:pPr>
              <w:pStyle w:val="TableTextArial-left"/>
            </w:pPr>
            <w:r w:rsidRPr="00C9343F">
              <w:t>Class 4</w:t>
            </w:r>
          </w:p>
        </w:tc>
        <w:tc>
          <w:tcPr>
            <w:tcW w:w="2626" w:type="dxa"/>
            <w:tcBorders>
              <w:bottom w:val="single" w:sz="6" w:space="0" w:color="auto"/>
            </w:tcBorders>
          </w:tcPr>
          <w:p w14:paraId="017BFF72" w14:textId="77777777" w:rsidR="00FA56DC" w:rsidRPr="00C9343F" w:rsidRDefault="00FA56DC" w:rsidP="00F66D98">
            <w:pPr>
              <w:pStyle w:val="TableTextArial-left"/>
            </w:pPr>
            <w:r w:rsidRPr="00C9343F">
              <w:t>Colonel</w:t>
            </w:r>
          </w:p>
        </w:tc>
      </w:tr>
      <w:tr w:rsidR="00FA56DC" w:rsidRPr="00C9343F" w14:paraId="3C1F3694" w14:textId="77777777" w:rsidTr="00B15186">
        <w:trPr>
          <w:cantSplit/>
        </w:trPr>
        <w:tc>
          <w:tcPr>
            <w:tcW w:w="567" w:type="dxa"/>
            <w:tcBorders>
              <w:bottom w:val="single" w:sz="6" w:space="0" w:color="auto"/>
            </w:tcBorders>
          </w:tcPr>
          <w:p w14:paraId="5726B44E" w14:textId="77777777" w:rsidR="00FA56DC" w:rsidRPr="00C9343F" w:rsidRDefault="00FA56DC" w:rsidP="00F66D98">
            <w:pPr>
              <w:pStyle w:val="TableTextArial-left"/>
              <w:jc w:val="center"/>
            </w:pPr>
            <w:r w:rsidRPr="00C9343F">
              <w:t>5.</w:t>
            </w:r>
          </w:p>
        </w:tc>
        <w:tc>
          <w:tcPr>
            <w:tcW w:w="2626" w:type="dxa"/>
            <w:tcBorders>
              <w:bottom w:val="single" w:sz="6" w:space="0" w:color="auto"/>
            </w:tcBorders>
          </w:tcPr>
          <w:p w14:paraId="02E00B3C" w14:textId="77777777" w:rsidR="00FA56DC" w:rsidRPr="00C9343F" w:rsidRDefault="00FA56DC" w:rsidP="00F66D98">
            <w:pPr>
              <w:pStyle w:val="TableTextArial-left"/>
            </w:pPr>
            <w:r w:rsidRPr="00C9343F">
              <w:t>Division 5</w:t>
            </w:r>
          </w:p>
        </w:tc>
        <w:tc>
          <w:tcPr>
            <w:tcW w:w="2626" w:type="dxa"/>
            <w:tcBorders>
              <w:bottom w:val="single" w:sz="6" w:space="0" w:color="auto"/>
            </w:tcBorders>
          </w:tcPr>
          <w:p w14:paraId="681B9BE4" w14:textId="77777777" w:rsidR="00FA56DC" w:rsidRPr="00C9343F" w:rsidRDefault="00FA56DC" w:rsidP="00F66D98">
            <w:pPr>
              <w:pStyle w:val="TableTextArial-left"/>
            </w:pPr>
            <w:r w:rsidRPr="00C9343F">
              <w:t>Class 5</w:t>
            </w:r>
          </w:p>
        </w:tc>
        <w:tc>
          <w:tcPr>
            <w:tcW w:w="2626" w:type="dxa"/>
            <w:tcBorders>
              <w:bottom w:val="single" w:sz="6" w:space="0" w:color="auto"/>
            </w:tcBorders>
          </w:tcPr>
          <w:p w14:paraId="06386249" w14:textId="77777777" w:rsidR="00FA56DC" w:rsidRPr="00C9343F" w:rsidRDefault="00FA56DC" w:rsidP="00F66D98">
            <w:pPr>
              <w:pStyle w:val="TableTextArial-left"/>
            </w:pPr>
            <w:r w:rsidRPr="00C9343F">
              <w:t>Brigadier</w:t>
            </w:r>
          </w:p>
        </w:tc>
      </w:tr>
      <w:bookmarkEnd w:id="199"/>
      <w:bookmarkEnd w:id="200"/>
      <w:bookmarkEnd w:id="201"/>
      <w:bookmarkEnd w:id="202"/>
      <w:bookmarkEnd w:id="203"/>
      <w:bookmarkEnd w:id="204"/>
      <w:bookmarkEnd w:id="205"/>
      <w:bookmarkEnd w:id="206"/>
      <w:bookmarkEnd w:id="207"/>
    </w:tbl>
    <w:p w14:paraId="743075AC" w14:textId="77777777" w:rsidR="00074D8A" w:rsidRPr="00C9343F" w:rsidRDefault="00074D8A" w:rsidP="00074D8A">
      <w:pPr>
        <w:pStyle w:val="BlockText-PlainNoSpacing"/>
      </w:pPr>
    </w:p>
    <w:p w14:paraId="147D9E1D" w14:textId="22D3C6F2" w:rsidR="00AF060B" w:rsidRPr="00C9343F" w:rsidRDefault="00AF060B" w:rsidP="00074D8A">
      <w:pPr>
        <w:pStyle w:val="Heading3"/>
        <w:pageBreakBefore/>
      </w:pPr>
      <w:bookmarkStart w:id="208" w:name="_Toc105053586"/>
      <w:r w:rsidRPr="00C9343F">
        <w:lastRenderedPageBreak/>
        <w:t>Part 5: Member's rights and obligations</w:t>
      </w:r>
      <w:bookmarkEnd w:id="208"/>
    </w:p>
    <w:p w14:paraId="322789EA" w14:textId="5C8C4252" w:rsidR="00AF060B" w:rsidRPr="00C9343F" w:rsidRDefault="00AF060B" w:rsidP="00F66D98">
      <w:pPr>
        <w:pStyle w:val="Heading5"/>
      </w:pPr>
      <w:bookmarkStart w:id="209" w:name="_Toc105053587"/>
      <w:r w:rsidRPr="00C9343F">
        <w:t>1.5.1</w:t>
      </w:r>
      <w:r w:rsidR="00D94006" w:rsidRPr="00C9343F">
        <w:t>    </w:t>
      </w:r>
      <w:r w:rsidRPr="00C9343F">
        <w:t>Purpose</w:t>
      </w:r>
      <w:bookmarkEnd w:id="209"/>
    </w:p>
    <w:tbl>
      <w:tblPr>
        <w:tblW w:w="0" w:type="auto"/>
        <w:tblInd w:w="113" w:type="dxa"/>
        <w:tblLayout w:type="fixed"/>
        <w:tblLook w:val="0000" w:firstRow="0" w:lastRow="0" w:firstColumn="0" w:lastColumn="0" w:noHBand="0" w:noVBand="0"/>
      </w:tblPr>
      <w:tblGrid>
        <w:gridCol w:w="992"/>
        <w:gridCol w:w="8363"/>
      </w:tblGrid>
      <w:tr w:rsidR="00AF060B" w:rsidRPr="00C9343F" w14:paraId="5A95BE57" w14:textId="77777777">
        <w:tc>
          <w:tcPr>
            <w:tcW w:w="992" w:type="dxa"/>
          </w:tcPr>
          <w:p w14:paraId="31E2A582" w14:textId="77777777" w:rsidR="00AF060B" w:rsidRPr="00C9343F" w:rsidRDefault="00AF060B" w:rsidP="00F66D98">
            <w:pPr>
              <w:pStyle w:val="BlockText-Plain"/>
              <w:jc w:val="center"/>
            </w:pPr>
          </w:p>
        </w:tc>
        <w:tc>
          <w:tcPr>
            <w:tcW w:w="8363" w:type="dxa"/>
          </w:tcPr>
          <w:p w14:paraId="5EF43B59" w14:textId="77777777" w:rsidR="00AF060B" w:rsidRPr="00C9343F" w:rsidRDefault="00AF060B" w:rsidP="00F66D98">
            <w:pPr>
              <w:pStyle w:val="BlockText-Plain"/>
            </w:pPr>
            <w:r w:rsidRPr="00C9343F">
              <w:t>A member must meet certain obligations when they have an entitlement</w:t>
            </w:r>
            <w:r w:rsidR="0019090D" w:rsidRPr="00C9343F">
              <w:t xml:space="preserve"> or benefit</w:t>
            </w:r>
            <w:r w:rsidRPr="00C9343F">
              <w:t>. This Part sets out those obligations.</w:t>
            </w:r>
          </w:p>
        </w:tc>
      </w:tr>
    </w:tbl>
    <w:p w14:paraId="3DB3F6DB" w14:textId="0DDDEED2" w:rsidR="003A4A89" w:rsidRPr="00C9343F" w:rsidRDefault="003A4A89" w:rsidP="00F66D98">
      <w:pPr>
        <w:pStyle w:val="Heading5"/>
      </w:pPr>
      <w:bookmarkStart w:id="210" w:name="_Toc105053588"/>
      <w:r w:rsidRPr="00C9343F">
        <w:t>1.5.2</w:t>
      </w:r>
      <w:r w:rsidR="00D94006" w:rsidRPr="00C9343F">
        <w:t>    </w:t>
      </w:r>
      <w:r w:rsidRPr="00C9343F">
        <w:t>Obligation to provide accurate information</w:t>
      </w:r>
      <w:bookmarkEnd w:id="210"/>
    </w:p>
    <w:tbl>
      <w:tblPr>
        <w:tblW w:w="0" w:type="auto"/>
        <w:tblInd w:w="113" w:type="dxa"/>
        <w:tblLayout w:type="fixed"/>
        <w:tblLook w:val="0000" w:firstRow="0" w:lastRow="0" w:firstColumn="0" w:lastColumn="0" w:noHBand="0" w:noVBand="0"/>
      </w:tblPr>
      <w:tblGrid>
        <w:gridCol w:w="992"/>
        <w:gridCol w:w="567"/>
        <w:gridCol w:w="7796"/>
      </w:tblGrid>
      <w:tr w:rsidR="003A4A89" w:rsidRPr="00C9343F" w14:paraId="2863EF20" w14:textId="77777777">
        <w:tc>
          <w:tcPr>
            <w:tcW w:w="992" w:type="dxa"/>
          </w:tcPr>
          <w:p w14:paraId="3C1214F0" w14:textId="77777777" w:rsidR="003A4A89" w:rsidRPr="00C9343F" w:rsidRDefault="003A4A89" w:rsidP="00F66D98">
            <w:pPr>
              <w:pStyle w:val="BlockText-Plain"/>
              <w:jc w:val="center"/>
            </w:pPr>
            <w:r w:rsidRPr="00C9343F">
              <w:t>1.</w:t>
            </w:r>
          </w:p>
        </w:tc>
        <w:tc>
          <w:tcPr>
            <w:tcW w:w="8363" w:type="dxa"/>
            <w:gridSpan w:val="2"/>
          </w:tcPr>
          <w:p w14:paraId="1CBA0BD0" w14:textId="77777777" w:rsidR="003A4A89" w:rsidRPr="00C9343F" w:rsidRDefault="003A4A89" w:rsidP="00F66D98">
            <w:pPr>
              <w:pStyle w:val="BlockText-Plain"/>
            </w:pPr>
            <w:r w:rsidRPr="00C9343F">
              <w:t>A member must provide accurate information in their application.</w:t>
            </w:r>
          </w:p>
        </w:tc>
      </w:tr>
      <w:tr w:rsidR="003A4A89" w:rsidRPr="00C9343F" w14:paraId="65B26AFE" w14:textId="77777777">
        <w:tc>
          <w:tcPr>
            <w:tcW w:w="992" w:type="dxa"/>
          </w:tcPr>
          <w:p w14:paraId="1CD959D2" w14:textId="77777777" w:rsidR="003A4A89" w:rsidRPr="00C9343F" w:rsidRDefault="003A4A89" w:rsidP="00F66D98">
            <w:pPr>
              <w:pStyle w:val="BlockText-Plain"/>
              <w:jc w:val="center"/>
            </w:pPr>
            <w:r w:rsidRPr="00C9343F">
              <w:t>2.</w:t>
            </w:r>
          </w:p>
        </w:tc>
        <w:tc>
          <w:tcPr>
            <w:tcW w:w="8363" w:type="dxa"/>
            <w:gridSpan w:val="2"/>
          </w:tcPr>
          <w:p w14:paraId="595793CC" w14:textId="77777777" w:rsidR="003A4A89" w:rsidRPr="00C9343F" w:rsidRDefault="003A4A89" w:rsidP="00F66D98">
            <w:pPr>
              <w:pStyle w:val="BlockText-Plain"/>
            </w:pPr>
            <w:r w:rsidRPr="00C9343F">
              <w:t>Defence may take into account information that a member's dependant provides, to ensure that correct benefits are provided in relation to the member's service.</w:t>
            </w:r>
          </w:p>
          <w:p w14:paraId="0FCDD008" w14:textId="77777777" w:rsidR="003A4A89" w:rsidRPr="00C9343F" w:rsidRDefault="003A4A89" w:rsidP="00F66D98">
            <w:pPr>
              <w:pStyle w:val="BlockText-Plain"/>
            </w:pPr>
            <w:r w:rsidRPr="00C9343F">
              <w:rPr>
                <w:b/>
              </w:rPr>
              <w:t>Related Information:</w:t>
            </w:r>
            <w:r w:rsidRPr="00C9343F">
              <w:t xml:space="preserve"> Part 3 Division 2 section 1.3.</w:t>
            </w:r>
            <w:r w:rsidR="00803066" w:rsidRPr="00C9343F">
              <w:t>80</w:t>
            </w:r>
            <w:r w:rsidRPr="00C9343F">
              <w:t>, Purpose</w:t>
            </w:r>
          </w:p>
        </w:tc>
      </w:tr>
      <w:tr w:rsidR="003A4A89" w:rsidRPr="00C9343F" w14:paraId="749C7CB1" w14:textId="77777777">
        <w:tc>
          <w:tcPr>
            <w:tcW w:w="992" w:type="dxa"/>
          </w:tcPr>
          <w:p w14:paraId="08BF72EF" w14:textId="77777777" w:rsidR="003A4A89" w:rsidRPr="00C9343F" w:rsidRDefault="003A4A89" w:rsidP="00F66D98">
            <w:pPr>
              <w:pStyle w:val="BlockText-Plain"/>
              <w:jc w:val="center"/>
            </w:pPr>
            <w:r w:rsidRPr="00C9343F">
              <w:t>3.</w:t>
            </w:r>
          </w:p>
        </w:tc>
        <w:tc>
          <w:tcPr>
            <w:tcW w:w="8363" w:type="dxa"/>
            <w:gridSpan w:val="2"/>
          </w:tcPr>
          <w:p w14:paraId="33A8FA70" w14:textId="77777777" w:rsidR="003A4A89" w:rsidRPr="00C9343F" w:rsidRDefault="00827C45" w:rsidP="00F66D98">
            <w:pPr>
              <w:pStyle w:val="BlockText-Plain"/>
            </w:pPr>
            <w:r w:rsidRPr="00C9343F">
              <w:t>If a member has claimed a benefit, the CDF may from time to time ask the member to provide information about their relationships and living arrangements.</w:t>
            </w:r>
          </w:p>
        </w:tc>
      </w:tr>
      <w:tr w:rsidR="00827C45" w:rsidRPr="00C9343F" w14:paraId="0413DF2D" w14:textId="77777777">
        <w:trPr>
          <w:cantSplit/>
        </w:trPr>
        <w:tc>
          <w:tcPr>
            <w:tcW w:w="992" w:type="dxa"/>
          </w:tcPr>
          <w:p w14:paraId="3268829F" w14:textId="77777777" w:rsidR="00827C45" w:rsidRPr="00C9343F" w:rsidRDefault="00827C45" w:rsidP="00F66D98">
            <w:pPr>
              <w:pStyle w:val="BlockText-Plain"/>
            </w:pPr>
          </w:p>
        </w:tc>
        <w:tc>
          <w:tcPr>
            <w:tcW w:w="567" w:type="dxa"/>
          </w:tcPr>
          <w:p w14:paraId="6E67CC06" w14:textId="77777777" w:rsidR="00827C45" w:rsidRPr="00C9343F" w:rsidRDefault="00827C45" w:rsidP="007114B1">
            <w:pPr>
              <w:pStyle w:val="BlockText-Plain"/>
              <w:jc w:val="center"/>
            </w:pPr>
            <w:r w:rsidRPr="00C9343F">
              <w:t>a.</w:t>
            </w:r>
          </w:p>
        </w:tc>
        <w:tc>
          <w:tcPr>
            <w:tcW w:w="7796" w:type="dxa"/>
          </w:tcPr>
          <w:p w14:paraId="1F0B0036" w14:textId="77777777" w:rsidR="00827C45" w:rsidRPr="00C9343F" w:rsidRDefault="00827C45" w:rsidP="00F66D98">
            <w:pPr>
              <w:pStyle w:val="BlockText-Plain"/>
            </w:pPr>
            <w:r w:rsidRPr="00C9343F">
              <w:t>This information is used to verify the relationships or living arrangements that affect eligibility.</w:t>
            </w:r>
          </w:p>
        </w:tc>
      </w:tr>
      <w:tr w:rsidR="00827C45" w:rsidRPr="00C9343F" w14:paraId="0A953C30" w14:textId="77777777">
        <w:trPr>
          <w:cantSplit/>
        </w:trPr>
        <w:tc>
          <w:tcPr>
            <w:tcW w:w="992" w:type="dxa"/>
          </w:tcPr>
          <w:p w14:paraId="096586BC" w14:textId="77777777" w:rsidR="00827C45" w:rsidRPr="00C9343F" w:rsidRDefault="00827C45" w:rsidP="00F66D98">
            <w:pPr>
              <w:pStyle w:val="BlockText-Plain"/>
            </w:pPr>
          </w:p>
        </w:tc>
        <w:tc>
          <w:tcPr>
            <w:tcW w:w="567" w:type="dxa"/>
          </w:tcPr>
          <w:p w14:paraId="16EE956B" w14:textId="77777777" w:rsidR="00827C45" w:rsidRPr="00C9343F" w:rsidRDefault="00827C45" w:rsidP="007114B1">
            <w:pPr>
              <w:pStyle w:val="BlockText-Plain"/>
              <w:jc w:val="center"/>
            </w:pPr>
            <w:r w:rsidRPr="00C9343F">
              <w:t>b.</w:t>
            </w:r>
          </w:p>
        </w:tc>
        <w:tc>
          <w:tcPr>
            <w:tcW w:w="7796" w:type="dxa"/>
          </w:tcPr>
          <w:p w14:paraId="59E6E969" w14:textId="77777777" w:rsidR="00827C45" w:rsidRPr="00C9343F" w:rsidRDefault="00827C45" w:rsidP="00F66D98">
            <w:pPr>
              <w:pStyle w:val="BlockText-Plain"/>
            </w:pPr>
            <w:r w:rsidRPr="00C9343F">
              <w:t>It may also be used to decide which category a member is in and what benefits they and any dependants are eligible for.</w:t>
            </w:r>
          </w:p>
        </w:tc>
      </w:tr>
      <w:tr w:rsidR="00827C45" w:rsidRPr="00C9343F" w14:paraId="43A545C4" w14:textId="77777777">
        <w:tc>
          <w:tcPr>
            <w:tcW w:w="992" w:type="dxa"/>
          </w:tcPr>
          <w:p w14:paraId="1A32A527" w14:textId="77777777" w:rsidR="00827C45" w:rsidRPr="00C9343F" w:rsidRDefault="00827C45" w:rsidP="00F66D98">
            <w:pPr>
              <w:pStyle w:val="BlockText-Plain"/>
              <w:jc w:val="center"/>
            </w:pPr>
          </w:p>
        </w:tc>
        <w:tc>
          <w:tcPr>
            <w:tcW w:w="8363" w:type="dxa"/>
            <w:gridSpan w:val="2"/>
          </w:tcPr>
          <w:p w14:paraId="23F686FC" w14:textId="77777777" w:rsidR="00827C45" w:rsidRPr="00C9343F" w:rsidRDefault="00827C45" w:rsidP="00F66D98">
            <w:pPr>
              <w:pStyle w:val="BlockText-Plain"/>
            </w:pPr>
            <w:r w:rsidRPr="00C9343F">
              <w:rPr>
                <w:b/>
              </w:rPr>
              <w:t xml:space="preserve">Examples: </w:t>
            </w:r>
            <w:r w:rsidRPr="00C9343F">
              <w:t>Marriage or registration certificate, birth certificates, life insurance policy that names dependants, household bills, statutory declarations.</w:t>
            </w:r>
          </w:p>
        </w:tc>
      </w:tr>
      <w:tr w:rsidR="00827C45" w:rsidRPr="00C9343F" w14:paraId="1A8A8D54" w14:textId="77777777">
        <w:tc>
          <w:tcPr>
            <w:tcW w:w="992" w:type="dxa"/>
          </w:tcPr>
          <w:p w14:paraId="36725056" w14:textId="77777777" w:rsidR="00827C45" w:rsidRPr="00C9343F" w:rsidRDefault="00827C45" w:rsidP="00F66D98">
            <w:pPr>
              <w:pStyle w:val="BlockText-Plain"/>
              <w:jc w:val="center"/>
            </w:pPr>
            <w:r w:rsidRPr="00C9343F">
              <w:t>4.</w:t>
            </w:r>
          </w:p>
        </w:tc>
        <w:tc>
          <w:tcPr>
            <w:tcW w:w="8363" w:type="dxa"/>
            <w:gridSpan w:val="2"/>
          </w:tcPr>
          <w:p w14:paraId="5A80CECE" w14:textId="77777777" w:rsidR="00827C45" w:rsidRPr="00C9343F" w:rsidRDefault="00827C45" w:rsidP="00F66D98">
            <w:pPr>
              <w:pStyle w:val="BlockText-Plain"/>
            </w:pPr>
            <w:r w:rsidRPr="00C9343F">
              <w:t>Giving false or misleading information is a serious offence.</w:t>
            </w:r>
          </w:p>
        </w:tc>
      </w:tr>
      <w:tr w:rsidR="00827C45" w:rsidRPr="00C9343F" w14:paraId="7FCE62D8" w14:textId="77777777">
        <w:tc>
          <w:tcPr>
            <w:tcW w:w="992" w:type="dxa"/>
          </w:tcPr>
          <w:p w14:paraId="505C96D9" w14:textId="77777777" w:rsidR="00827C45" w:rsidRPr="00C9343F" w:rsidRDefault="00827C45" w:rsidP="00F66D98">
            <w:pPr>
              <w:pStyle w:val="BlockText-Plain"/>
              <w:jc w:val="center"/>
            </w:pPr>
          </w:p>
        </w:tc>
        <w:tc>
          <w:tcPr>
            <w:tcW w:w="8363" w:type="dxa"/>
            <w:gridSpan w:val="2"/>
          </w:tcPr>
          <w:p w14:paraId="0B13D9AD" w14:textId="77777777" w:rsidR="00827C45" w:rsidRPr="00C9343F" w:rsidRDefault="00827C45" w:rsidP="00F66D98">
            <w:pPr>
              <w:pStyle w:val="BlockText-Plain"/>
              <w:spacing w:after="0"/>
              <w:rPr>
                <w:b/>
              </w:rPr>
            </w:pPr>
            <w:r w:rsidRPr="00C9343F">
              <w:rPr>
                <w:b/>
              </w:rPr>
              <w:t xml:space="preserve">Notes: </w:t>
            </w:r>
          </w:p>
          <w:p w14:paraId="13928955" w14:textId="77777777" w:rsidR="00827C45" w:rsidRPr="00C9343F" w:rsidRDefault="00827C45" w:rsidP="00F66D98">
            <w:pPr>
              <w:pStyle w:val="BlockText-Plain"/>
              <w:spacing w:after="0"/>
            </w:pPr>
            <w:r w:rsidRPr="00C9343F">
              <w:t xml:space="preserve">1. Sections 137.1 and 137.2 of the </w:t>
            </w:r>
            <w:r w:rsidRPr="00C9343F">
              <w:rPr>
                <w:i/>
              </w:rPr>
              <w:t>Criminal Code</w:t>
            </w:r>
            <w:r w:rsidRPr="00C9343F">
              <w:t xml:space="preserve"> create offences for providing false or misleading information or documents. The </w:t>
            </w:r>
            <w:r w:rsidRPr="00C9343F">
              <w:rPr>
                <w:i/>
              </w:rPr>
              <w:t>Criminal Code</w:t>
            </w:r>
            <w:r w:rsidRPr="00C9343F">
              <w:t xml:space="preserve"> is a Schedule to the </w:t>
            </w:r>
            <w:r w:rsidRPr="00C9343F">
              <w:rPr>
                <w:i/>
              </w:rPr>
              <w:t>Criminal Code Act 1995</w:t>
            </w:r>
            <w:r w:rsidRPr="00C9343F">
              <w:t>.</w:t>
            </w:r>
          </w:p>
          <w:p w14:paraId="77AB404B" w14:textId="77777777" w:rsidR="00827C45" w:rsidRPr="00C9343F" w:rsidRDefault="00827C45" w:rsidP="00F66D98">
            <w:pPr>
              <w:pStyle w:val="BlockText-Plain"/>
            </w:pPr>
            <w:r w:rsidRPr="00C9343F">
              <w:t xml:space="preserve">2. Section 56 of the </w:t>
            </w:r>
            <w:r w:rsidRPr="00C9343F">
              <w:rPr>
                <w:i/>
              </w:rPr>
              <w:t>Defence Force Discipline Act 1982</w:t>
            </w:r>
            <w:r w:rsidRPr="00C9343F">
              <w:t xml:space="preserve"> creates a military disciplinary offence for a false statement made in an application for a benefit.</w:t>
            </w:r>
          </w:p>
        </w:tc>
      </w:tr>
    </w:tbl>
    <w:p w14:paraId="2BB3045D" w14:textId="2EF123F9" w:rsidR="00AF060B" w:rsidRPr="00C9343F" w:rsidRDefault="00AF060B" w:rsidP="00F66D98">
      <w:pPr>
        <w:pStyle w:val="Heading5"/>
      </w:pPr>
      <w:bookmarkStart w:id="211" w:name="_Toc105053589"/>
      <w:r w:rsidRPr="00C9343F">
        <w:t>1.5.</w:t>
      </w:r>
      <w:r w:rsidR="00827C45" w:rsidRPr="00C9343F">
        <w:t>3</w:t>
      </w:r>
      <w:r w:rsidR="00D94006" w:rsidRPr="00C9343F">
        <w:t>    </w:t>
      </w:r>
      <w:r w:rsidRPr="00C9343F">
        <w:t>Change in member's circumstances</w:t>
      </w:r>
      <w:bookmarkEnd w:id="211"/>
    </w:p>
    <w:tbl>
      <w:tblPr>
        <w:tblW w:w="0" w:type="auto"/>
        <w:tblInd w:w="113" w:type="dxa"/>
        <w:tblLayout w:type="fixed"/>
        <w:tblLook w:val="0000" w:firstRow="0" w:lastRow="0" w:firstColumn="0" w:lastColumn="0" w:noHBand="0" w:noVBand="0"/>
      </w:tblPr>
      <w:tblGrid>
        <w:gridCol w:w="992"/>
        <w:gridCol w:w="567"/>
        <w:gridCol w:w="567"/>
        <w:gridCol w:w="7225"/>
        <w:gridCol w:w="8"/>
      </w:tblGrid>
      <w:tr w:rsidR="00AF060B" w:rsidRPr="00C9343F" w14:paraId="797DC07B" w14:textId="77777777" w:rsidTr="00B12F67">
        <w:tc>
          <w:tcPr>
            <w:tcW w:w="992" w:type="dxa"/>
          </w:tcPr>
          <w:p w14:paraId="0DBB1C0F" w14:textId="77777777" w:rsidR="00AF060B" w:rsidRPr="00C9343F" w:rsidRDefault="005D292C" w:rsidP="00F66D98">
            <w:pPr>
              <w:pStyle w:val="BlockText-Plain"/>
              <w:jc w:val="center"/>
            </w:pPr>
            <w:r w:rsidRPr="00C9343F">
              <w:t>1.</w:t>
            </w:r>
          </w:p>
        </w:tc>
        <w:tc>
          <w:tcPr>
            <w:tcW w:w="8367" w:type="dxa"/>
            <w:gridSpan w:val="4"/>
          </w:tcPr>
          <w:p w14:paraId="5E302EBC" w14:textId="77777777" w:rsidR="00AF060B" w:rsidRPr="00C9343F" w:rsidRDefault="00827C45" w:rsidP="00F66D98">
            <w:pPr>
              <w:pStyle w:val="BlockText-Plain"/>
            </w:pPr>
            <w:r w:rsidRPr="00C9343F">
              <w:t>This section applies if a member or their dependants meet both these conditions.</w:t>
            </w:r>
          </w:p>
        </w:tc>
      </w:tr>
      <w:tr w:rsidR="00827C45" w:rsidRPr="00C9343F" w14:paraId="44FDC7AC" w14:textId="77777777" w:rsidTr="00827C45">
        <w:trPr>
          <w:cantSplit/>
        </w:trPr>
        <w:tc>
          <w:tcPr>
            <w:tcW w:w="992" w:type="dxa"/>
          </w:tcPr>
          <w:p w14:paraId="684E14E2" w14:textId="77777777" w:rsidR="00827C45" w:rsidRPr="00C9343F" w:rsidRDefault="00827C45" w:rsidP="00F66D98">
            <w:pPr>
              <w:pStyle w:val="BlockText-Plain"/>
            </w:pPr>
          </w:p>
        </w:tc>
        <w:tc>
          <w:tcPr>
            <w:tcW w:w="567" w:type="dxa"/>
          </w:tcPr>
          <w:p w14:paraId="16841904" w14:textId="77777777" w:rsidR="00827C45" w:rsidRPr="00C9343F" w:rsidRDefault="00827C45" w:rsidP="007114B1">
            <w:pPr>
              <w:pStyle w:val="BlockText-Plain"/>
              <w:jc w:val="center"/>
            </w:pPr>
            <w:r w:rsidRPr="00C9343F">
              <w:t>a.</w:t>
            </w:r>
          </w:p>
        </w:tc>
        <w:tc>
          <w:tcPr>
            <w:tcW w:w="7800" w:type="dxa"/>
            <w:gridSpan w:val="3"/>
          </w:tcPr>
          <w:p w14:paraId="64C06C0B" w14:textId="77777777" w:rsidR="00827C45" w:rsidRPr="00C9343F" w:rsidRDefault="00827C45" w:rsidP="00F66D98">
            <w:pPr>
              <w:pStyle w:val="BlockText-Plain"/>
            </w:pPr>
            <w:r w:rsidRPr="00C9343F">
              <w:t>They have qualified for a benefit.</w:t>
            </w:r>
          </w:p>
        </w:tc>
      </w:tr>
      <w:tr w:rsidR="00827C45" w:rsidRPr="00C9343F" w14:paraId="1712AEB7" w14:textId="77777777" w:rsidTr="00827C45">
        <w:trPr>
          <w:cantSplit/>
        </w:trPr>
        <w:tc>
          <w:tcPr>
            <w:tcW w:w="992" w:type="dxa"/>
          </w:tcPr>
          <w:p w14:paraId="56E1FDFB" w14:textId="77777777" w:rsidR="00827C45" w:rsidRPr="00C9343F" w:rsidRDefault="00827C45" w:rsidP="00F66D98">
            <w:pPr>
              <w:pStyle w:val="BlockText-Plain"/>
            </w:pPr>
          </w:p>
        </w:tc>
        <w:tc>
          <w:tcPr>
            <w:tcW w:w="567" w:type="dxa"/>
          </w:tcPr>
          <w:p w14:paraId="36D9609F" w14:textId="77777777" w:rsidR="00827C45" w:rsidRPr="00C9343F" w:rsidRDefault="00827C45" w:rsidP="007114B1">
            <w:pPr>
              <w:pStyle w:val="BlockText-Plain"/>
              <w:jc w:val="center"/>
            </w:pPr>
            <w:r w:rsidRPr="00C9343F">
              <w:t>b.</w:t>
            </w:r>
          </w:p>
        </w:tc>
        <w:tc>
          <w:tcPr>
            <w:tcW w:w="7800" w:type="dxa"/>
            <w:gridSpan w:val="3"/>
          </w:tcPr>
          <w:p w14:paraId="4C5C96D1" w14:textId="77777777" w:rsidR="00827C45" w:rsidRPr="00C9343F" w:rsidRDefault="00827C45" w:rsidP="00F66D98">
            <w:pPr>
              <w:pStyle w:val="BlockText-Plain"/>
            </w:pPr>
            <w:r w:rsidRPr="00C9343F">
              <w:t>The circumstances on which they qualified for the benefit change.</w:t>
            </w:r>
          </w:p>
        </w:tc>
      </w:tr>
      <w:tr w:rsidR="00827C45" w:rsidRPr="00C9343F" w14:paraId="546459CF" w14:textId="77777777" w:rsidTr="00827C45">
        <w:tc>
          <w:tcPr>
            <w:tcW w:w="992" w:type="dxa"/>
          </w:tcPr>
          <w:p w14:paraId="42C54D57" w14:textId="77777777" w:rsidR="00827C45" w:rsidRPr="00C9343F" w:rsidRDefault="00827C45" w:rsidP="00F66D98">
            <w:pPr>
              <w:pStyle w:val="BlockText-Plain"/>
              <w:jc w:val="center"/>
            </w:pPr>
          </w:p>
        </w:tc>
        <w:tc>
          <w:tcPr>
            <w:tcW w:w="8367" w:type="dxa"/>
            <w:gridSpan w:val="4"/>
          </w:tcPr>
          <w:p w14:paraId="2634D88D" w14:textId="77777777" w:rsidR="00827C45" w:rsidRPr="00C9343F" w:rsidRDefault="00827C45" w:rsidP="00F66D98">
            <w:pPr>
              <w:pStyle w:val="BlockText-Plain"/>
            </w:pPr>
            <w:r w:rsidRPr="00C9343F">
              <w:rPr>
                <w:b/>
              </w:rPr>
              <w:t>Examples:</w:t>
            </w:r>
            <w:r w:rsidRPr="00C9343F">
              <w:t xml:space="preserve"> A child leaves home, a new baby is born, a couple relationship ends.</w:t>
            </w:r>
          </w:p>
        </w:tc>
      </w:tr>
      <w:tr w:rsidR="005D292C" w:rsidRPr="00C9343F" w14:paraId="34C26695" w14:textId="77777777" w:rsidTr="00B12F67">
        <w:tc>
          <w:tcPr>
            <w:tcW w:w="992" w:type="dxa"/>
          </w:tcPr>
          <w:p w14:paraId="28D64A12" w14:textId="77777777" w:rsidR="005D292C" w:rsidRPr="00C9343F" w:rsidRDefault="005D292C" w:rsidP="00F66D98">
            <w:pPr>
              <w:pStyle w:val="BlockText-Plain"/>
              <w:jc w:val="center"/>
            </w:pPr>
            <w:r w:rsidRPr="00C9343F">
              <w:t>2.</w:t>
            </w:r>
          </w:p>
        </w:tc>
        <w:tc>
          <w:tcPr>
            <w:tcW w:w="8367" w:type="dxa"/>
            <w:gridSpan w:val="4"/>
          </w:tcPr>
          <w:p w14:paraId="3FE44F48" w14:textId="506A34D7" w:rsidR="005D292C" w:rsidRPr="00C9343F" w:rsidRDefault="00827C45" w:rsidP="00F66D98">
            <w:pPr>
              <w:pStyle w:val="BlockText-Plain"/>
            </w:pPr>
            <w:r w:rsidRPr="00C9343F">
              <w:t xml:space="preserve">A person who applies for a benefit under this Determination is responsible for informing themselves about the </w:t>
            </w:r>
            <w:r w:rsidR="00F26D1E" w:rsidRPr="00C9343F">
              <w:t>benefit</w:t>
            </w:r>
            <w:r w:rsidRPr="00C9343F">
              <w:t xml:space="preserve"> they are claiming.</w:t>
            </w:r>
          </w:p>
        </w:tc>
      </w:tr>
      <w:tr w:rsidR="005D292C" w:rsidRPr="00C9343F" w14:paraId="20921F9F" w14:textId="77777777" w:rsidTr="00B12F67">
        <w:tc>
          <w:tcPr>
            <w:tcW w:w="992" w:type="dxa"/>
          </w:tcPr>
          <w:p w14:paraId="20E62B69" w14:textId="77777777" w:rsidR="005D292C" w:rsidRPr="00C9343F" w:rsidRDefault="005D292C" w:rsidP="00F66D98">
            <w:pPr>
              <w:pStyle w:val="BlockText-Plain"/>
              <w:jc w:val="center"/>
            </w:pPr>
            <w:r w:rsidRPr="00C9343F">
              <w:t>3.</w:t>
            </w:r>
          </w:p>
        </w:tc>
        <w:tc>
          <w:tcPr>
            <w:tcW w:w="8367" w:type="dxa"/>
            <w:gridSpan w:val="4"/>
          </w:tcPr>
          <w:p w14:paraId="391C2759" w14:textId="77777777" w:rsidR="00827C45" w:rsidRPr="00C9343F" w:rsidRDefault="00827C45" w:rsidP="00F66D98">
            <w:pPr>
              <w:pStyle w:val="BlockText-Plain"/>
            </w:pPr>
            <w:r w:rsidRPr="00C9343F">
              <w:t>The member must notify their Commanding Officer in writing about the change within 14 days after it happens.</w:t>
            </w:r>
          </w:p>
          <w:p w14:paraId="081E50C2" w14:textId="77777777" w:rsidR="00827C45" w:rsidRPr="00C9343F" w:rsidRDefault="00827C45" w:rsidP="00F66D98">
            <w:pPr>
              <w:pStyle w:val="BlockText-Plain"/>
            </w:pPr>
            <w:r w:rsidRPr="00C9343F">
              <w:rPr>
                <w:b/>
              </w:rPr>
              <w:t>Exception:</w:t>
            </w:r>
            <w:r w:rsidRPr="00C9343F">
              <w:t xml:space="preserve"> The CDF may accept a notice provided by the member on a later date if satisfied that the delay is reasonable.</w:t>
            </w:r>
          </w:p>
          <w:p w14:paraId="0E0CEAA3" w14:textId="77777777" w:rsidR="005D292C" w:rsidRPr="00C9343F" w:rsidRDefault="00827C45" w:rsidP="00F66D98">
            <w:pPr>
              <w:pStyle w:val="BlockText-Plain"/>
            </w:pPr>
            <w:r w:rsidRPr="00C9343F">
              <w:rPr>
                <w:b/>
              </w:rPr>
              <w:lastRenderedPageBreak/>
              <w:t>Note:</w:t>
            </w:r>
            <w:r w:rsidRPr="00C9343F">
              <w:t xml:space="preserve"> This requirement helps the </w:t>
            </w:r>
            <w:r w:rsidRPr="00C9343F">
              <w:rPr>
                <w:b/>
                <w:i/>
              </w:rPr>
              <w:t>Commonwealth</w:t>
            </w:r>
            <w:r w:rsidRPr="00C9343F">
              <w:t xml:space="preserve"> prevent overpayments being made. If a member does not advise about changes, they may receive payments they are not entitled to, which would need to be repaid.</w:t>
            </w:r>
          </w:p>
        </w:tc>
      </w:tr>
      <w:tr w:rsidR="005D292C" w:rsidRPr="00C9343F" w14:paraId="00CC58BF" w14:textId="77777777" w:rsidTr="00B12F67">
        <w:tc>
          <w:tcPr>
            <w:tcW w:w="992" w:type="dxa"/>
          </w:tcPr>
          <w:p w14:paraId="20D3D747" w14:textId="77777777" w:rsidR="005D292C" w:rsidRPr="00C9343F" w:rsidRDefault="005D292C" w:rsidP="00F66D98">
            <w:pPr>
              <w:pStyle w:val="BlockText-Plain"/>
              <w:jc w:val="center"/>
            </w:pPr>
            <w:r w:rsidRPr="00C9343F">
              <w:lastRenderedPageBreak/>
              <w:t>4.</w:t>
            </w:r>
          </w:p>
        </w:tc>
        <w:tc>
          <w:tcPr>
            <w:tcW w:w="8367" w:type="dxa"/>
            <w:gridSpan w:val="4"/>
          </w:tcPr>
          <w:p w14:paraId="79F68153" w14:textId="77777777" w:rsidR="005D292C" w:rsidRPr="00C9343F" w:rsidRDefault="00827C45" w:rsidP="00F66D98">
            <w:pPr>
              <w:pStyle w:val="BlockText-Plain"/>
            </w:pPr>
            <w:r w:rsidRPr="00C9343F">
              <w:t>The member must also provide a written notice of the change to the administrator of their type of housing assistance, within 14 days after it happens, as relevant.</w:t>
            </w:r>
          </w:p>
        </w:tc>
      </w:tr>
      <w:tr w:rsidR="00827C45" w:rsidRPr="00C9343F" w14:paraId="4FA30F7E" w14:textId="77777777" w:rsidTr="00827C45">
        <w:trPr>
          <w:cantSplit/>
        </w:trPr>
        <w:tc>
          <w:tcPr>
            <w:tcW w:w="992" w:type="dxa"/>
          </w:tcPr>
          <w:p w14:paraId="3A755A26" w14:textId="77777777" w:rsidR="00827C45" w:rsidRPr="00C9343F" w:rsidRDefault="00827C45" w:rsidP="00F66D98">
            <w:pPr>
              <w:pStyle w:val="BlockText-Plain"/>
            </w:pPr>
          </w:p>
        </w:tc>
        <w:tc>
          <w:tcPr>
            <w:tcW w:w="567" w:type="dxa"/>
          </w:tcPr>
          <w:p w14:paraId="43103793" w14:textId="77777777" w:rsidR="00827C45" w:rsidRPr="00C9343F" w:rsidRDefault="00827C45" w:rsidP="007114B1">
            <w:pPr>
              <w:pStyle w:val="BlockText-Plain"/>
              <w:jc w:val="center"/>
            </w:pPr>
            <w:r w:rsidRPr="00C9343F">
              <w:t>a.</w:t>
            </w:r>
          </w:p>
        </w:tc>
        <w:tc>
          <w:tcPr>
            <w:tcW w:w="7800" w:type="dxa"/>
            <w:gridSpan w:val="3"/>
          </w:tcPr>
          <w:p w14:paraId="6030EA8D" w14:textId="77777777" w:rsidR="00827C45" w:rsidRPr="00C9343F" w:rsidRDefault="00827C45" w:rsidP="00F66D98">
            <w:pPr>
              <w:pStyle w:val="BlockText-Plain"/>
            </w:pPr>
            <w:r w:rsidRPr="00C9343F">
              <w:t>For living-in accommodation – Commanding Officer, Officer Commanding or Executive Officer not below MAJ</w:t>
            </w:r>
            <w:r w:rsidR="00E937B0" w:rsidRPr="00C9343F">
              <w:t>(E)</w:t>
            </w:r>
            <w:r w:rsidRPr="00C9343F">
              <w:t xml:space="preserve"> at the base where the member is required to live in.</w:t>
            </w:r>
          </w:p>
        </w:tc>
      </w:tr>
      <w:tr w:rsidR="00827C45" w:rsidRPr="00C9343F" w14:paraId="40C54D89" w14:textId="77777777" w:rsidTr="00827C45">
        <w:trPr>
          <w:cantSplit/>
        </w:trPr>
        <w:tc>
          <w:tcPr>
            <w:tcW w:w="992" w:type="dxa"/>
          </w:tcPr>
          <w:p w14:paraId="3D9640AC" w14:textId="77777777" w:rsidR="00827C45" w:rsidRPr="00C9343F" w:rsidRDefault="00827C45" w:rsidP="00F66D98">
            <w:pPr>
              <w:pStyle w:val="BlockText-Plain"/>
            </w:pPr>
          </w:p>
        </w:tc>
        <w:tc>
          <w:tcPr>
            <w:tcW w:w="567" w:type="dxa"/>
          </w:tcPr>
          <w:p w14:paraId="483BCF8A" w14:textId="77777777" w:rsidR="00827C45" w:rsidRPr="00C9343F" w:rsidRDefault="00827C45" w:rsidP="007114B1">
            <w:pPr>
              <w:pStyle w:val="BlockText-Plain"/>
              <w:jc w:val="center"/>
            </w:pPr>
            <w:r w:rsidRPr="00C9343F">
              <w:t>b.</w:t>
            </w:r>
          </w:p>
        </w:tc>
        <w:tc>
          <w:tcPr>
            <w:tcW w:w="7800" w:type="dxa"/>
            <w:gridSpan w:val="3"/>
          </w:tcPr>
          <w:p w14:paraId="3995BECB" w14:textId="77777777" w:rsidR="00827C45" w:rsidRPr="00C9343F" w:rsidRDefault="00827C45" w:rsidP="00F66D98">
            <w:pPr>
              <w:pStyle w:val="BlockText-Plain"/>
            </w:pPr>
            <w:r w:rsidRPr="00C9343F">
              <w:t>For a Service Residence – Defence Housing Australia.</w:t>
            </w:r>
          </w:p>
        </w:tc>
      </w:tr>
      <w:tr w:rsidR="00827C45" w:rsidRPr="00C9343F" w14:paraId="5CE91D9F" w14:textId="77777777" w:rsidTr="00827C45">
        <w:trPr>
          <w:cantSplit/>
        </w:trPr>
        <w:tc>
          <w:tcPr>
            <w:tcW w:w="992" w:type="dxa"/>
          </w:tcPr>
          <w:p w14:paraId="6C3C47CD" w14:textId="77777777" w:rsidR="00827C45" w:rsidRPr="00C9343F" w:rsidRDefault="00827C45" w:rsidP="00F66D98">
            <w:pPr>
              <w:pStyle w:val="BlockText-Plain"/>
            </w:pPr>
          </w:p>
        </w:tc>
        <w:tc>
          <w:tcPr>
            <w:tcW w:w="567" w:type="dxa"/>
          </w:tcPr>
          <w:p w14:paraId="5F9B64CE" w14:textId="77777777" w:rsidR="00827C45" w:rsidRPr="00C9343F" w:rsidRDefault="00827C45" w:rsidP="007114B1">
            <w:pPr>
              <w:pStyle w:val="BlockText-Plain"/>
              <w:jc w:val="center"/>
            </w:pPr>
            <w:r w:rsidRPr="00C9343F">
              <w:t>c.</w:t>
            </w:r>
          </w:p>
        </w:tc>
        <w:tc>
          <w:tcPr>
            <w:tcW w:w="7800" w:type="dxa"/>
            <w:gridSpan w:val="3"/>
          </w:tcPr>
          <w:p w14:paraId="67770AE0" w14:textId="77777777" w:rsidR="00827C45" w:rsidRPr="00C9343F" w:rsidRDefault="00827C45" w:rsidP="00F66D98">
            <w:pPr>
              <w:pStyle w:val="BlockText-Plain"/>
            </w:pPr>
            <w:r w:rsidRPr="00C9343F">
              <w:t>For rent allowance – Defence Housing Australia.</w:t>
            </w:r>
          </w:p>
        </w:tc>
      </w:tr>
      <w:tr w:rsidR="00B12F67" w:rsidRPr="00C9343F" w14:paraId="03AB1216" w14:textId="77777777" w:rsidTr="00B12F67">
        <w:tc>
          <w:tcPr>
            <w:tcW w:w="992" w:type="dxa"/>
          </w:tcPr>
          <w:p w14:paraId="76224C54" w14:textId="77777777" w:rsidR="00B12F67" w:rsidRPr="00C9343F" w:rsidRDefault="00B12F67" w:rsidP="00F66D98">
            <w:pPr>
              <w:pStyle w:val="BlockText-Plain"/>
              <w:jc w:val="center"/>
            </w:pPr>
            <w:r w:rsidRPr="00C9343F">
              <w:t>5.</w:t>
            </w:r>
          </w:p>
        </w:tc>
        <w:tc>
          <w:tcPr>
            <w:tcW w:w="8367" w:type="dxa"/>
            <w:gridSpan w:val="4"/>
          </w:tcPr>
          <w:p w14:paraId="1CD71E1D" w14:textId="77777777" w:rsidR="00B12F67" w:rsidRPr="00C9343F" w:rsidRDefault="00827C45" w:rsidP="00F66D98">
            <w:pPr>
              <w:pStyle w:val="BlockText-Plain"/>
            </w:pPr>
            <w:r w:rsidRPr="00C9343F">
              <w:t>A member must fill in and provide the relevant form to their Commanding Officer as soon as practicable after any of these events</w:t>
            </w:r>
          </w:p>
        </w:tc>
      </w:tr>
      <w:tr w:rsidR="00B12F67" w:rsidRPr="00C9343F" w14:paraId="185A11BE" w14:textId="77777777" w:rsidTr="00BC2BED">
        <w:trPr>
          <w:gridAfter w:val="1"/>
          <w:wAfter w:w="8" w:type="dxa"/>
          <w:cantSplit/>
        </w:trPr>
        <w:tc>
          <w:tcPr>
            <w:tcW w:w="992" w:type="dxa"/>
          </w:tcPr>
          <w:p w14:paraId="54E17769" w14:textId="77777777" w:rsidR="00B12F67" w:rsidRPr="00C9343F" w:rsidRDefault="00B12F67" w:rsidP="00F66D98">
            <w:pPr>
              <w:pStyle w:val="BlockText-Plain"/>
            </w:pPr>
          </w:p>
        </w:tc>
        <w:tc>
          <w:tcPr>
            <w:tcW w:w="567" w:type="dxa"/>
          </w:tcPr>
          <w:p w14:paraId="68AED16E" w14:textId="77777777" w:rsidR="00B12F67" w:rsidRPr="00C9343F" w:rsidRDefault="00B12F67" w:rsidP="007114B1">
            <w:pPr>
              <w:pStyle w:val="BlockText-Plain"/>
              <w:jc w:val="center"/>
            </w:pPr>
            <w:r w:rsidRPr="00C9343F">
              <w:t>a.</w:t>
            </w:r>
          </w:p>
        </w:tc>
        <w:tc>
          <w:tcPr>
            <w:tcW w:w="7792" w:type="dxa"/>
            <w:gridSpan w:val="2"/>
          </w:tcPr>
          <w:p w14:paraId="15A56472" w14:textId="77777777" w:rsidR="00827C45" w:rsidRPr="00C9343F" w:rsidRDefault="00827C45" w:rsidP="00F66D98">
            <w:pPr>
              <w:spacing w:after="200"/>
              <w:rPr>
                <w:sz w:val="20"/>
              </w:rPr>
            </w:pPr>
            <w:r w:rsidRPr="00C9343F">
              <w:rPr>
                <w:sz w:val="20"/>
              </w:rPr>
              <w:t>The number of dependants the member has changes.</w:t>
            </w:r>
          </w:p>
          <w:p w14:paraId="050B2A15" w14:textId="77777777" w:rsidR="00B12F67" w:rsidRPr="00C9343F" w:rsidRDefault="00827C45" w:rsidP="00F66D98">
            <w:pPr>
              <w:spacing w:after="200"/>
              <w:rPr>
                <w:sz w:val="20"/>
              </w:rPr>
            </w:pPr>
            <w:r w:rsidRPr="00C9343F">
              <w:rPr>
                <w:b/>
                <w:sz w:val="20"/>
              </w:rPr>
              <w:t>Example:</w:t>
            </w:r>
            <w:r w:rsidRPr="00C9343F">
              <w:rPr>
                <w:sz w:val="20"/>
              </w:rPr>
              <w:t xml:space="preserve"> The member's de facto relationship is recognised under section 1.3.8</w:t>
            </w:r>
            <w:r w:rsidR="00803066" w:rsidRPr="00C9343F">
              <w:rPr>
                <w:sz w:val="20"/>
              </w:rPr>
              <w:t>9</w:t>
            </w:r>
            <w:r w:rsidRPr="00C9343F">
              <w:rPr>
                <w:sz w:val="20"/>
              </w:rPr>
              <w:t>, Partner – de facto.</w:t>
            </w:r>
          </w:p>
        </w:tc>
      </w:tr>
      <w:tr w:rsidR="00B12F67" w:rsidRPr="00C9343F" w14:paraId="7F23239D" w14:textId="77777777" w:rsidTr="00BC2BED">
        <w:trPr>
          <w:gridAfter w:val="1"/>
          <w:wAfter w:w="8" w:type="dxa"/>
          <w:cantSplit/>
        </w:trPr>
        <w:tc>
          <w:tcPr>
            <w:tcW w:w="992" w:type="dxa"/>
          </w:tcPr>
          <w:p w14:paraId="52675CA5" w14:textId="77777777" w:rsidR="00B12F67" w:rsidRPr="00C9343F" w:rsidRDefault="00B12F67" w:rsidP="00F66D98">
            <w:pPr>
              <w:pStyle w:val="BlockText-Plain"/>
            </w:pPr>
          </w:p>
        </w:tc>
        <w:tc>
          <w:tcPr>
            <w:tcW w:w="567" w:type="dxa"/>
          </w:tcPr>
          <w:p w14:paraId="625A0FBD" w14:textId="77777777" w:rsidR="00B12F67" w:rsidRPr="00C9343F" w:rsidRDefault="00B12F67" w:rsidP="007114B1">
            <w:pPr>
              <w:pStyle w:val="BlockText-Plain"/>
              <w:jc w:val="center"/>
            </w:pPr>
            <w:r w:rsidRPr="00C9343F">
              <w:t>b.</w:t>
            </w:r>
          </w:p>
        </w:tc>
        <w:tc>
          <w:tcPr>
            <w:tcW w:w="7792" w:type="dxa"/>
            <w:gridSpan w:val="2"/>
          </w:tcPr>
          <w:p w14:paraId="341AB1C8" w14:textId="77777777" w:rsidR="00B12F67" w:rsidRPr="00C9343F" w:rsidRDefault="00827C45" w:rsidP="00F66D98">
            <w:pPr>
              <w:pStyle w:val="BlockText-Plain"/>
            </w:pPr>
            <w:r w:rsidRPr="00C9343F">
              <w:t>The member is notified of a change of posting location and it is reasonable to expect that the new posting location may result in the member's eligibility for one of the following categories also changing.</w:t>
            </w:r>
          </w:p>
        </w:tc>
      </w:tr>
      <w:tr w:rsidR="00B12F67" w:rsidRPr="00C9343F" w14:paraId="180A89F0" w14:textId="77777777" w:rsidTr="00BC2BED">
        <w:trPr>
          <w:gridAfter w:val="1"/>
          <w:wAfter w:w="8" w:type="dxa"/>
          <w:cantSplit/>
        </w:trPr>
        <w:tc>
          <w:tcPr>
            <w:tcW w:w="1559" w:type="dxa"/>
            <w:gridSpan w:val="2"/>
          </w:tcPr>
          <w:p w14:paraId="021A35B3" w14:textId="77777777" w:rsidR="00B12F67" w:rsidRPr="00C9343F" w:rsidRDefault="00B12F67" w:rsidP="00F66D98">
            <w:pPr>
              <w:pStyle w:val="BlockText-Plain"/>
            </w:pPr>
          </w:p>
        </w:tc>
        <w:tc>
          <w:tcPr>
            <w:tcW w:w="567" w:type="dxa"/>
          </w:tcPr>
          <w:p w14:paraId="428ACAA6" w14:textId="77777777" w:rsidR="00B12F67" w:rsidRPr="00C9343F" w:rsidRDefault="00B12F67" w:rsidP="007114B1">
            <w:pPr>
              <w:pStyle w:val="BlockText-Plain"/>
            </w:pPr>
            <w:r w:rsidRPr="00C9343F">
              <w:t>i.</w:t>
            </w:r>
          </w:p>
        </w:tc>
        <w:tc>
          <w:tcPr>
            <w:tcW w:w="7225" w:type="dxa"/>
          </w:tcPr>
          <w:p w14:paraId="618D2C1B" w14:textId="77777777" w:rsidR="00B12F67" w:rsidRPr="00C9343F" w:rsidRDefault="00B12F67" w:rsidP="00F66D98">
            <w:pPr>
              <w:pStyle w:val="BlockText-Plain"/>
            </w:pPr>
            <w:r w:rsidRPr="00C9343F">
              <w:t>Member with dependants.</w:t>
            </w:r>
          </w:p>
          <w:p w14:paraId="7FE1E491" w14:textId="77777777" w:rsidR="00B12F67" w:rsidRPr="00C9343F" w:rsidRDefault="00B12F67" w:rsidP="00F66D98">
            <w:pPr>
              <w:pStyle w:val="BlockText-Plain"/>
            </w:pPr>
            <w:r w:rsidRPr="00C9343F">
              <w:rPr>
                <w:b/>
              </w:rPr>
              <w:t>See:</w:t>
            </w:r>
            <w:r w:rsidRPr="00C9343F">
              <w:t xml:space="preserve"> </w:t>
            </w:r>
            <w:r w:rsidR="000608BD" w:rsidRPr="00C9343F">
              <w:t xml:space="preserve">Part 3 Division 2 </w:t>
            </w:r>
            <w:r w:rsidR="00580C86" w:rsidRPr="00C9343F">
              <w:t>section</w:t>
            </w:r>
            <w:r w:rsidRPr="00C9343F">
              <w:t xml:space="preserve"> 1.3.</w:t>
            </w:r>
            <w:r w:rsidR="006E3617" w:rsidRPr="00C9343F">
              <w:t>9</w:t>
            </w:r>
            <w:r w:rsidR="00803066" w:rsidRPr="00C9343F">
              <w:t>5</w:t>
            </w:r>
            <w:r w:rsidRPr="00C9343F">
              <w:t>, Member with dependants</w:t>
            </w:r>
          </w:p>
        </w:tc>
      </w:tr>
      <w:tr w:rsidR="00B12F67" w:rsidRPr="00C9343F" w14:paraId="6A304657" w14:textId="77777777" w:rsidTr="00BC2BED">
        <w:trPr>
          <w:gridAfter w:val="1"/>
          <w:wAfter w:w="8" w:type="dxa"/>
          <w:cantSplit/>
        </w:trPr>
        <w:tc>
          <w:tcPr>
            <w:tcW w:w="1559" w:type="dxa"/>
            <w:gridSpan w:val="2"/>
          </w:tcPr>
          <w:p w14:paraId="675A6805" w14:textId="77777777" w:rsidR="00B12F67" w:rsidRPr="00C9343F" w:rsidRDefault="00B12F67" w:rsidP="00F66D98">
            <w:pPr>
              <w:pStyle w:val="BlockText-Plain"/>
            </w:pPr>
          </w:p>
        </w:tc>
        <w:tc>
          <w:tcPr>
            <w:tcW w:w="567" w:type="dxa"/>
          </w:tcPr>
          <w:p w14:paraId="12556BA0" w14:textId="77777777" w:rsidR="00B12F67" w:rsidRPr="00C9343F" w:rsidRDefault="00B12F67" w:rsidP="007114B1">
            <w:pPr>
              <w:pStyle w:val="BlockText-Plain"/>
            </w:pPr>
            <w:r w:rsidRPr="00C9343F">
              <w:t>ii.</w:t>
            </w:r>
          </w:p>
        </w:tc>
        <w:tc>
          <w:tcPr>
            <w:tcW w:w="7225" w:type="dxa"/>
          </w:tcPr>
          <w:p w14:paraId="720E8A80" w14:textId="77777777" w:rsidR="00B12F67" w:rsidRPr="00C9343F" w:rsidRDefault="00B12F67" w:rsidP="00F66D98">
            <w:pPr>
              <w:spacing w:after="200"/>
              <w:rPr>
                <w:sz w:val="20"/>
              </w:rPr>
            </w:pPr>
            <w:r w:rsidRPr="00C9343F">
              <w:rPr>
                <w:sz w:val="20"/>
              </w:rPr>
              <w:t>Member with dependants (unaccompanied).</w:t>
            </w:r>
          </w:p>
          <w:p w14:paraId="7A410EFF" w14:textId="77777777" w:rsidR="00B12F67" w:rsidRPr="00C9343F" w:rsidRDefault="00B12F67" w:rsidP="00F66D98">
            <w:pPr>
              <w:pStyle w:val="BlockText-Plain"/>
              <w:spacing w:after="0"/>
            </w:pPr>
            <w:r w:rsidRPr="00C9343F">
              <w:rPr>
                <w:b/>
              </w:rPr>
              <w:t>See:</w:t>
            </w:r>
            <w:r w:rsidRPr="00C9343F">
              <w:t xml:space="preserve"> </w:t>
            </w:r>
          </w:p>
          <w:p w14:paraId="2CE944AC" w14:textId="77777777" w:rsidR="00B12F67" w:rsidRPr="00C9343F" w:rsidRDefault="000608BD" w:rsidP="00F66D98">
            <w:pPr>
              <w:pStyle w:val="BlockText-Plain"/>
              <w:spacing w:after="0"/>
            </w:pPr>
            <w:r w:rsidRPr="00C9343F">
              <w:t xml:space="preserve">Part 3 Division 2 </w:t>
            </w:r>
            <w:r w:rsidR="00580C86" w:rsidRPr="00C9343F">
              <w:t>section</w:t>
            </w:r>
            <w:r w:rsidR="00B12F67" w:rsidRPr="00C9343F">
              <w:t xml:space="preserve"> 1.3.</w:t>
            </w:r>
            <w:r w:rsidR="006E3617" w:rsidRPr="00C9343F">
              <w:t>9</w:t>
            </w:r>
            <w:r w:rsidR="00803066" w:rsidRPr="00C9343F">
              <w:t>6</w:t>
            </w:r>
            <w:r w:rsidR="00B12F67" w:rsidRPr="00C9343F">
              <w:t>, Member with dependants (unaccompanied)</w:t>
            </w:r>
          </w:p>
          <w:p w14:paraId="0BFC5407" w14:textId="01170867" w:rsidR="00B12F67" w:rsidRPr="00C9343F" w:rsidRDefault="00B12F67" w:rsidP="00F66D98">
            <w:pPr>
              <w:pStyle w:val="BlockText-Plain"/>
            </w:pPr>
            <w:r w:rsidRPr="00C9343F">
              <w:t>Chapter 8</w:t>
            </w:r>
            <w:r w:rsidR="00214979" w:rsidRPr="00C9343F">
              <w:t xml:space="preserve"> Part 3</w:t>
            </w:r>
            <w:r w:rsidR="006D1410" w:rsidRPr="00C9343F">
              <w:t>, Member with dependants (unaccompanied)</w:t>
            </w:r>
          </w:p>
        </w:tc>
      </w:tr>
      <w:tr w:rsidR="00B12F67" w:rsidRPr="00C9343F" w14:paraId="62C6B3BB" w14:textId="77777777" w:rsidTr="00BC2BED">
        <w:trPr>
          <w:gridAfter w:val="1"/>
          <w:wAfter w:w="8" w:type="dxa"/>
          <w:cantSplit/>
        </w:trPr>
        <w:tc>
          <w:tcPr>
            <w:tcW w:w="1559" w:type="dxa"/>
            <w:gridSpan w:val="2"/>
          </w:tcPr>
          <w:p w14:paraId="5907617A" w14:textId="77777777" w:rsidR="00B12F67" w:rsidRPr="00C9343F" w:rsidRDefault="00B12F67" w:rsidP="00F66D98">
            <w:pPr>
              <w:pStyle w:val="BlockText-Plain"/>
            </w:pPr>
          </w:p>
        </w:tc>
        <w:tc>
          <w:tcPr>
            <w:tcW w:w="567" w:type="dxa"/>
          </w:tcPr>
          <w:p w14:paraId="0B33786A" w14:textId="77777777" w:rsidR="00B12F67" w:rsidRPr="00C9343F" w:rsidRDefault="00B12F67" w:rsidP="007114B1">
            <w:pPr>
              <w:pStyle w:val="BlockText-Plain"/>
            </w:pPr>
            <w:r w:rsidRPr="00C9343F">
              <w:t>iii.</w:t>
            </w:r>
          </w:p>
        </w:tc>
        <w:tc>
          <w:tcPr>
            <w:tcW w:w="7225" w:type="dxa"/>
          </w:tcPr>
          <w:p w14:paraId="509F2DFC" w14:textId="77777777" w:rsidR="00B12F67" w:rsidRPr="00C9343F" w:rsidRDefault="00B12F67" w:rsidP="00F66D98">
            <w:pPr>
              <w:pStyle w:val="blocktext-plain0"/>
              <w:rPr>
                <w:bCs/>
                <w:iCs/>
              </w:rPr>
            </w:pPr>
            <w:r w:rsidRPr="00C9343F">
              <w:rPr>
                <w:bCs/>
                <w:iCs/>
              </w:rPr>
              <w:t>Member without dependants.</w:t>
            </w:r>
          </w:p>
          <w:p w14:paraId="05B3EE39" w14:textId="77777777" w:rsidR="00B12F67" w:rsidRPr="00C9343F" w:rsidRDefault="00B12F67" w:rsidP="00F66D98">
            <w:pPr>
              <w:pStyle w:val="blocktext-plain0"/>
            </w:pPr>
            <w:r w:rsidRPr="00C9343F">
              <w:rPr>
                <w:b/>
              </w:rPr>
              <w:t>See:</w:t>
            </w:r>
            <w:r w:rsidRPr="00C9343F">
              <w:t xml:space="preserve"> </w:t>
            </w:r>
            <w:r w:rsidR="000608BD" w:rsidRPr="00C9343F">
              <w:t xml:space="preserve">Part 3 Division 2 </w:t>
            </w:r>
            <w:r w:rsidR="00580C86" w:rsidRPr="00C9343F">
              <w:t>section</w:t>
            </w:r>
            <w:r w:rsidRPr="00C9343F">
              <w:t xml:space="preserve"> 1.3.</w:t>
            </w:r>
            <w:r w:rsidR="00D05EA0" w:rsidRPr="00C9343F">
              <w:t>9</w:t>
            </w:r>
            <w:r w:rsidR="00803066" w:rsidRPr="00C9343F">
              <w:t>4</w:t>
            </w:r>
            <w:r w:rsidRPr="00C9343F">
              <w:t>, Member without dependants</w:t>
            </w:r>
          </w:p>
        </w:tc>
      </w:tr>
    </w:tbl>
    <w:p w14:paraId="6035CFE4" w14:textId="31C564DF" w:rsidR="00A03344" w:rsidRPr="00C9343F" w:rsidRDefault="00A03344" w:rsidP="00F66D98">
      <w:pPr>
        <w:pStyle w:val="Heading5"/>
      </w:pPr>
      <w:bookmarkStart w:id="212" w:name="_Toc105053590"/>
      <w:r w:rsidRPr="00C9343F">
        <w:t>1.5.4A</w:t>
      </w:r>
      <w:r w:rsidR="00D94006" w:rsidRPr="00C9343F">
        <w:t>    </w:t>
      </w:r>
      <w:r w:rsidRPr="00C9343F">
        <w:t>Contributions and payments payable by a member not receiving salary</w:t>
      </w:r>
      <w:bookmarkEnd w:id="212"/>
    </w:p>
    <w:tbl>
      <w:tblPr>
        <w:tblW w:w="0" w:type="auto"/>
        <w:tblInd w:w="113" w:type="dxa"/>
        <w:tblLayout w:type="fixed"/>
        <w:tblLook w:val="04A0" w:firstRow="1" w:lastRow="0" w:firstColumn="1" w:lastColumn="0" w:noHBand="0" w:noVBand="1"/>
      </w:tblPr>
      <w:tblGrid>
        <w:gridCol w:w="992"/>
        <w:gridCol w:w="567"/>
        <w:gridCol w:w="7800"/>
      </w:tblGrid>
      <w:tr w:rsidR="00A03344" w:rsidRPr="00C9343F" w14:paraId="4A5230D7" w14:textId="77777777" w:rsidTr="00AD54B6">
        <w:tc>
          <w:tcPr>
            <w:tcW w:w="992" w:type="dxa"/>
            <w:hideMark/>
          </w:tcPr>
          <w:p w14:paraId="0B75393F" w14:textId="77777777" w:rsidR="00A03344" w:rsidRPr="00C9343F" w:rsidRDefault="00A03344" w:rsidP="00F66D98">
            <w:pPr>
              <w:pStyle w:val="BlockText-Plain"/>
              <w:spacing w:line="276" w:lineRule="auto"/>
              <w:jc w:val="center"/>
              <w:rPr>
                <w:lang w:eastAsia="en-US"/>
              </w:rPr>
            </w:pPr>
            <w:r w:rsidRPr="00C9343F">
              <w:rPr>
                <w:lang w:eastAsia="en-US"/>
              </w:rPr>
              <w:t>1.</w:t>
            </w:r>
          </w:p>
        </w:tc>
        <w:tc>
          <w:tcPr>
            <w:tcW w:w="8367" w:type="dxa"/>
            <w:gridSpan w:val="2"/>
            <w:hideMark/>
          </w:tcPr>
          <w:p w14:paraId="2B21CA14" w14:textId="77777777" w:rsidR="00A03344" w:rsidRPr="00C9343F" w:rsidRDefault="00A03344" w:rsidP="00F66D98">
            <w:pPr>
              <w:pStyle w:val="BlockText-Plain"/>
              <w:spacing w:line="276" w:lineRule="auto"/>
              <w:rPr>
                <w:iCs/>
                <w:lang w:eastAsia="en-US"/>
              </w:rPr>
            </w:pPr>
            <w:r w:rsidRPr="00C9343F">
              <w:rPr>
                <w:iCs/>
                <w:lang w:eastAsia="en-US"/>
              </w:rPr>
              <w:t>This section applies to a member not receiving salary for either of the following reasons.</w:t>
            </w:r>
          </w:p>
        </w:tc>
      </w:tr>
      <w:tr w:rsidR="00A03344" w:rsidRPr="00C9343F" w14:paraId="500B2B31" w14:textId="77777777" w:rsidTr="00AD54B6">
        <w:trPr>
          <w:cantSplit/>
        </w:trPr>
        <w:tc>
          <w:tcPr>
            <w:tcW w:w="992" w:type="dxa"/>
          </w:tcPr>
          <w:p w14:paraId="4E287E33" w14:textId="77777777" w:rsidR="00A03344" w:rsidRPr="00C9343F" w:rsidRDefault="00A03344" w:rsidP="00F66D98">
            <w:pPr>
              <w:pStyle w:val="BlockText-Plain"/>
              <w:spacing w:line="276" w:lineRule="auto"/>
              <w:rPr>
                <w:lang w:eastAsia="en-US"/>
              </w:rPr>
            </w:pPr>
          </w:p>
        </w:tc>
        <w:tc>
          <w:tcPr>
            <w:tcW w:w="567" w:type="dxa"/>
            <w:hideMark/>
          </w:tcPr>
          <w:p w14:paraId="027E390E" w14:textId="77777777" w:rsidR="00A03344" w:rsidRPr="00C9343F" w:rsidRDefault="00A03344" w:rsidP="007114B1">
            <w:pPr>
              <w:pStyle w:val="BlockText-Plain"/>
              <w:spacing w:line="276" w:lineRule="auto"/>
              <w:jc w:val="center"/>
              <w:rPr>
                <w:lang w:eastAsia="en-US"/>
              </w:rPr>
            </w:pPr>
            <w:r w:rsidRPr="00C9343F">
              <w:rPr>
                <w:lang w:eastAsia="en-US"/>
              </w:rPr>
              <w:t>a.</w:t>
            </w:r>
          </w:p>
        </w:tc>
        <w:tc>
          <w:tcPr>
            <w:tcW w:w="7800" w:type="dxa"/>
            <w:hideMark/>
          </w:tcPr>
          <w:p w14:paraId="3F5F8F59" w14:textId="77777777" w:rsidR="00A03344" w:rsidRPr="00C9343F" w:rsidRDefault="00A03344" w:rsidP="00F66D98">
            <w:pPr>
              <w:pStyle w:val="BlockText-Plain"/>
              <w:spacing w:line="276" w:lineRule="auto"/>
              <w:rPr>
                <w:lang w:eastAsia="en-US"/>
              </w:rPr>
            </w:pPr>
            <w:r w:rsidRPr="00C9343F">
              <w:rPr>
                <w:lang w:eastAsia="en-US"/>
              </w:rPr>
              <w:t xml:space="preserve">The member meets a condition under section A.1.4 of DFRT Determination No. 2 of 2017, </w:t>
            </w:r>
            <w:r w:rsidRPr="00C9343F">
              <w:rPr>
                <w:i/>
                <w:lang w:eastAsia="en-US"/>
              </w:rPr>
              <w:t>Salaries</w:t>
            </w:r>
            <w:r w:rsidRPr="00C9343F">
              <w:rPr>
                <w:lang w:eastAsia="en-US"/>
              </w:rPr>
              <w:t xml:space="preserve">. </w:t>
            </w:r>
          </w:p>
        </w:tc>
      </w:tr>
      <w:tr w:rsidR="00A03344" w:rsidRPr="00C9343F" w14:paraId="49D0EC5A" w14:textId="77777777" w:rsidTr="00AD54B6">
        <w:trPr>
          <w:cantSplit/>
        </w:trPr>
        <w:tc>
          <w:tcPr>
            <w:tcW w:w="992" w:type="dxa"/>
          </w:tcPr>
          <w:p w14:paraId="5784C9D2" w14:textId="77777777" w:rsidR="00A03344" w:rsidRPr="00C9343F" w:rsidRDefault="00A03344" w:rsidP="00F66D98">
            <w:pPr>
              <w:pStyle w:val="BlockText-Plain"/>
              <w:spacing w:line="276" w:lineRule="auto"/>
              <w:rPr>
                <w:lang w:eastAsia="en-US"/>
              </w:rPr>
            </w:pPr>
          </w:p>
        </w:tc>
        <w:tc>
          <w:tcPr>
            <w:tcW w:w="567" w:type="dxa"/>
            <w:hideMark/>
          </w:tcPr>
          <w:p w14:paraId="1C3F6105" w14:textId="77777777" w:rsidR="00A03344" w:rsidRPr="00C9343F" w:rsidRDefault="00A03344" w:rsidP="007114B1">
            <w:pPr>
              <w:pStyle w:val="BlockText-Plain"/>
              <w:spacing w:line="276" w:lineRule="auto"/>
              <w:jc w:val="center"/>
              <w:rPr>
                <w:lang w:eastAsia="en-US"/>
              </w:rPr>
            </w:pPr>
            <w:r w:rsidRPr="00C9343F">
              <w:rPr>
                <w:lang w:eastAsia="en-US"/>
              </w:rPr>
              <w:t>b.</w:t>
            </w:r>
          </w:p>
        </w:tc>
        <w:tc>
          <w:tcPr>
            <w:tcW w:w="7800" w:type="dxa"/>
            <w:hideMark/>
          </w:tcPr>
          <w:p w14:paraId="4679CD97" w14:textId="77777777" w:rsidR="00A03344" w:rsidRPr="00C9343F" w:rsidRDefault="00A03344" w:rsidP="00F66D98">
            <w:pPr>
              <w:pStyle w:val="BlockText-Plain"/>
              <w:spacing w:line="276" w:lineRule="auto"/>
              <w:rPr>
                <w:lang w:eastAsia="en-US"/>
              </w:rPr>
            </w:pPr>
            <w:r w:rsidRPr="00C9343F">
              <w:rPr>
                <w:lang w:eastAsia="en-US"/>
              </w:rPr>
              <w:t>The member is on a nonworking period under the member's flexible service determination.</w:t>
            </w:r>
          </w:p>
        </w:tc>
      </w:tr>
      <w:tr w:rsidR="00A03344" w:rsidRPr="00C9343F" w14:paraId="6BA84EBA" w14:textId="77777777" w:rsidTr="00AD54B6">
        <w:tc>
          <w:tcPr>
            <w:tcW w:w="992" w:type="dxa"/>
            <w:hideMark/>
          </w:tcPr>
          <w:p w14:paraId="6F081202" w14:textId="77777777" w:rsidR="00A03344" w:rsidRPr="00C9343F" w:rsidRDefault="00A03344" w:rsidP="00F66D98">
            <w:pPr>
              <w:pStyle w:val="BlockText-Plain"/>
              <w:spacing w:line="276" w:lineRule="auto"/>
              <w:jc w:val="center"/>
              <w:rPr>
                <w:lang w:eastAsia="en-US"/>
              </w:rPr>
            </w:pPr>
            <w:r w:rsidRPr="00C9343F">
              <w:rPr>
                <w:lang w:eastAsia="en-US"/>
              </w:rPr>
              <w:t>2.</w:t>
            </w:r>
          </w:p>
        </w:tc>
        <w:tc>
          <w:tcPr>
            <w:tcW w:w="8367" w:type="dxa"/>
            <w:gridSpan w:val="2"/>
            <w:hideMark/>
          </w:tcPr>
          <w:p w14:paraId="23A7C459" w14:textId="77777777" w:rsidR="00A03344" w:rsidRPr="00C9343F" w:rsidRDefault="00A03344" w:rsidP="00F66D98">
            <w:pPr>
              <w:pStyle w:val="BlockText-Plain"/>
              <w:spacing w:line="276" w:lineRule="auto"/>
              <w:rPr>
                <w:iCs/>
                <w:lang w:eastAsia="en-US"/>
              </w:rPr>
            </w:pPr>
            <w:r w:rsidRPr="00C9343F">
              <w:rPr>
                <w:iCs/>
                <w:lang w:eastAsia="en-US"/>
              </w:rPr>
              <w:t xml:space="preserve">Any unpaid contributions or payments are a debt to the Commonwealth. The Commonwealth may recover any unpaid contributions or payments. </w:t>
            </w:r>
          </w:p>
          <w:p w14:paraId="76245A47" w14:textId="77777777" w:rsidR="00A03344" w:rsidRPr="00C9343F" w:rsidRDefault="00A03344" w:rsidP="00F66D98">
            <w:pPr>
              <w:pStyle w:val="BlockText-Plain"/>
              <w:spacing w:line="276" w:lineRule="auto"/>
              <w:rPr>
                <w:iCs/>
                <w:lang w:eastAsia="en-US"/>
              </w:rPr>
            </w:pPr>
            <w:r w:rsidRPr="00C9343F">
              <w:rPr>
                <w:rStyle w:val="Strong"/>
                <w:lang w:eastAsia="en-US"/>
              </w:rPr>
              <w:t>Note:</w:t>
            </w:r>
            <w:r w:rsidRPr="00C9343F">
              <w:rPr>
                <w:lang w:eastAsia="en-US"/>
              </w:rPr>
              <w:t xml:space="preserve"> </w:t>
            </w:r>
            <w:r w:rsidRPr="00C9343F">
              <w:rPr>
                <w:rFonts w:eastAsia="Calibri" w:cs="Arial"/>
                <w:szCs w:val="22"/>
                <w:lang w:eastAsia="en-US"/>
              </w:rPr>
              <w:t xml:space="preserve">The Accountable Authority Instructions issued under Section 20A of the </w:t>
            </w:r>
            <w:r w:rsidRPr="00C9343F">
              <w:rPr>
                <w:rFonts w:eastAsia="Calibri" w:cs="Arial"/>
                <w:i/>
                <w:szCs w:val="22"/>
                <w:lang w:eastAsia="en-US"/>
              </w:rPr>
              <w:t>Public Governance, Performance and Accountability Act 2013</w:t>
            </w:r>
            <w:r w:rsidRPr="00C9343F">
              <w:rPr>
                <w:rFonts w:eastAsia="Calibri" w:cs="Arial"/>
                <w:szCs w:val="22"/>
                <w:lang w:eastAsia="en-US"/>
              </w:rPr>
              <w:t xml:space="preserve"> (PGPA Act) provide guidance and relevant procedures relating to debt management to ensure officials can meet their obligations under the PGPA Act.</w:t>
            </w:r>
          </w:p>
        </w:tc>
      </w:tr>
    </w:tbl>
    <w:p w14:paraId="32E11601" w14:textId="2A62A703" w:rsidR="00AF060B" w:rsidRPr="00C9343F" w:rsidRDefault="00AF060B" w:rsidP="00F66D98">
      <w:pPr>
        <w:pStyle w:val="Heading5"/>
      </w:pPr>
      <w:bookmarkStart w:id="213" w:name="_Toc105053591"/>
      <w:r w:rsidRPr="00C9343F">
        <w:lastRenderedPageBreak/>
        <w:t>1.5.</w:t>
      </w:r>
      <w:r w:rsidR="00803066" w:rsidRPr="00C9343F">
        <w:t>5</w:t>
      </w:r>
      <w:r w:rsidR="00D94006" w:rsidRPr="00C9343F">
        <w:t>    </w:t>
      </w:r>
      <w:r w:rsidRPr="00C9343F">
        <w:t>Recovery by the Commonwealth</w:t>
      </w:r>
      <w:bookmarkEnd w:id="213"/>
    </w:p>
    <w:tbl>
      <w:tblPr>
        <w:tblW w:w="0" w:type="auto"/>
        <w:tblInd w:w="113" w:type="dxa"/>
        <w:tblLayout w:type="fixed"/>
        <w:tblLook w:val="0000" w:firstRow="0" w:lastRow="0" w:firstColumn="0" w:lastColumn="0" w:noHBand="0" w:noVBand="0"/>
      </w:tblPr>
      <w:tblGrid>
        <w:gridCol w:w="992"/>
        <w:gridCol w:w="8363"/>
      </w:tblGrid>
      <w:tr w:rsidR="00AF060B" w:rsidRPr="00C9343F" w14:paraId="58A98C63" w14:textId="77777777">
        <w:tc>
          <w:tcPr>
            <w:tcW w:w="992" w:type="dxa"/>
          </w:tcPr>
          <w:p w14:paraId="0015F584" w14:textId="77777777" w:rsidR="00AF060B" w:rsidRPr="00C9343F" w:rsidRDefault="00AF060B" w:rsidP="00F66D98">
            <w:pPr>
              <w:pStyle w:val="BlockText-Plain"/>
              <w:jc w:val="center"/>
            </w:pPr>
            <w:r w:rsidRPr="00C9343F">
              <w:t>1.</w:t>
            </w:r>
          </w:p>
        </w:tc>
        <w:tc>
          <w:tcPr>
            <w:tcW w:w="8363" w:type="dxa"/>
          </w:tcPr>
          <w:p w14:paraId="65787190" w14:textId="77777777" w:rsidR="00AF060B" w:rsidRPr="00C9343F" w:rsidRDefault="00AF060B" w:rsidP="00F66D98">
            <w:pPr>
              <w:pStyle w:val="BlockText-Plain"/>
            </w:pPr>
            <w:r w:rsidRPr="00C9343F">
              <w:t xml:space="preserve">This </w:t>
            </w:r>
            <w:r w:rsidR="00580C86" w:rsidRPr="00C9343F">
              <w:t>section</w:t>
            </w:r>
            <w:r w:rsidRPr="00C9343F">
              <w:t xml:space="preserve"> applies if a member must repay an overpayment of salary or allowances to the Commonwealth.</w:t>
            </w:r>
          </w:p>
        </w:tc>
      </w:tr>
      <w:tr w:rsidR="00AF060B" w:rsidRPr="00C9343F" w14:paraId="2B77722D" w14:textId="77777777">
        <w:tc>
          <w:tcPr>
            <w:tcW w:w="992" w:type="dxa"/>
          </w:tcPr>
          <w:p w14:paraId="7B7B88BA" w14:textId="77777777" w:rsidR="00AF060B" w:rsidRPr="00C9343F" w:rsidRDefault="00AF060B" w:rsidP="00F66D98">
            <w:pPr>
              <w:pStyle w:val="BlockText-Plain"/>
              <w:jc w:val="center"/>
            </w:pPr>
            <w:r w:rsidRPr="00C9343F">
              <w:t>2.</w:t>
            </w:r>
          </w:p>
        </w:tc>
        <w:tc>
          <w:tcPr>
            <w:tcW w:w="8363" w:type="dxa"/>
          </w:tcPr>
          <w:p w14:paraId="4D3954CF" w14:textId="77777777" w:rsidR="00AF060B" w:rsidRPr="00C9343F" w:rsidRDefault="00AF060B" w:rsidP="00F66D98">
            <w:pPr>
              <w:pStyle w:val="BlockText-Plain"/>
            </w:pPr>
            <w:r w:rsidRPr="00C9343F">
              <w:t>The Commonwealth may recover the overpaid amount from the salary and allowances that the member has been – or may be – paid. The Commonwealth still has the right to recover the overpaid amount by other means.</w:t>
            </w:r>
          </w:p>
        </w:tc>
      </w:tr>
      <w:tr w:rsidR="003A3CC3" w:rsidRPr="00C9343F" w14:paraId="285743C2" w14:textId="77777777">
        <w:tc>
          <w:tcPr>
            <w:tcW w:w="992" w:type="dxa"/>
          </w:tcPr>
          <w:p w14:paraId="2063EE2F" w14:textId="77777777" w:rsidR="003A3CC3" w:rsidRPr="00C9343F" w:rsidRDefault="003A3CC3" w:rsidP="00F66D98">
            <w:pPr>
              <w:pStyle w:val="BlockText-Plain"/>
              <w:jc w:val="center"/>
            </w:pPr>
          </w:p>
        </w:tc>
        <w:tc>
          <w:tcPr>
            <w:tcW w:w="8363" w:type="dxa"/>
          </w:tcPr>
          <w:p w14:paraId="34B53FA4" w14:textId="77777777" w:rsidR="003A3CC3" w:rsidRPr="00C9343F" w:rsidRDefault="003A3CC3" w:rsidP="00F66D98">
            <w:pPr>
              <w:pStyle w:val="BlockText-Plain"/>
            </w:pPr>
            <w:r w:rsidRPr="00C9343F">
              <w:rPr>
                <w:b/>
              </w:rPr>
              <w:t xml:space="preserve">Note: </w:t>
            </w:r>
            <w:r w:rsidRPr="00C9343F">
              <w:t xml:space="preserve">The </w:t>
            </w:r>
            <w:r w:rsidRPr="00C9343F">
              <w:rPr>
                <w:i/>
              </w:rPr>
              <w:t>Public Governance, Performance and Accountability Act 2013</w:t>
            </w:r>
            <w:r w:rsidRPr="00C9343F">
              <w:t xml:space="preserve"> recovery processes are usually used to do this.</w:t>
            </w:r>
          </w:p>
        </w:tc>
      </w:tr>
    </w:tbl>
    <w:p w14:paraId="36CF2066" w14:textId="5FCC54C1" w:rsidR="00AF060B" w:rsidRPr="00C9343F" w:rsidRDefault="00AF060B" w:rsidP="00F66D98">
      <w:pPr>
        <w:pStyle w:val="Heading5"/>
      </w:pPr>
      <w:bookmarkStart w:id="214" w:name="_Toc105053592"/>
      <w:r w:rsidRPr="00C9343F">
        <w:t>1.5.</w:t>
      </w:r>
      <w:r w:rsidR="00803066" w:rsidRPr="00C9343F">
        <w:t>6</w:t>
      </w:r>
      <w:r w:rsidR="00D94006" w:rsidRPr="00C9343F">
        <w:t>    </w:t>
      </w:r>
      <w:r w:rsidRPr="00C9343F">
        <w:t>Decision-makers to avoid conflict of interest</w:t>
      </w:r>
      <w:bookmarkEnd w:id="214"/>
    </w:p>
    <w:tbl>
      <w:tblPr>
        <w:tblW w:w="0" w:type="auto"/>
        <w:tblInd w:w="113" w:type="dxa"/>
        <w:tblLayout w:type="fixed"/>
        <w:tblLook w:val="0000" w:firstRow="0" w:lastRow="0" w:firstColumn="0" w:lastColumn="0" w:noHBand="0" w:noVBand="0"/>
      </w:tblPr>
      <w:tblGrid>
        <w:gridCol w:w="992"/>
        <w:gridCol w:w="8363"/>
      </w:tblGrid>
      <w:tr w:rsidR="00AF060B" w:rsidRPr="00C9343F" w14:paraId="1BA9D5B2" w14:textId="77777777">
        <w:tc>
          <w:tcPr>
            <w:tcW w:w="992" w:type="dxa"/>
          </w:tcPr>
          <w:p w14:paraId="431AC85D" w14:textId="77777777" w:rsidR="00AF060B" w:rsidRPr="00C9343F" w:rsidRDefault="00AF060B" w:rsidP="00F66D98">
            <w:pPr>
              <w:pStyle w:val="BlockText-Plain"/>
              <w:jc w:val="center"/>
            </w:pPr>
            <w:r w:rsidRPr="00C9343F">
              <w:t>1.</w:t>
            </w:r>
          </w:p>
        </w:tc>
        <w:tc>
          <w:tcPr>
            <w:tcW w:w="8363" w:type="dxa"/>
          </w:tcPr>
          <w:p w14:paraId="7585736B" w14:textId="77777777" w:rsidR="00AF060B" w:rsidRPr="00C9343F" w:rsidRDefault="00AF060B" w:rsidP="00F66D98">
            <w:pPr>
              <w:pStyle w:val="GuidanceText"/>
              <w:spacing w:before="0" w:after="200"/>
              <w:rPr>
                <w:color w:val="auto"/>
              </w:rPr>
            </w:pPr>
            <w:r w:rsidRPr="00C9343F">
              <w:rPr>
                <w:color w:val="auto"/>
              </w:rPr>
              <w:t xml:space="preserve">This </w:t>
            </w:r>
            <w:r w:rsidR="00580C86" w:rsidRPr="00C9343F">
              <w:rPr>
                <w:color w:val="auto"/>
              </w:rPr>
              <w:t>section</w:t>
            </w:r>
            <w:r w:rsidRPr="00C9343F">
              <w:rPr>
                <w:color w:val="auto"/>
              </w:rPr>
              <w:t xml:space="preserve"> applies if a member would get a personal benefit from a decision they are authorised to make.</w:t>
            </w:r>
          </w:p>
        </w:tc>
      </w:tr>
      <w:tr w:rsidR="00AF060B" w:rsidRPr="00C9343F" w14:paraId="429E76F6" w14:textId="77777777">
        <w:tc>
          <w:tcPr>
            <w:tcW w:w="992" w:type="dxa"/>
          </w:tcPr>
          <w:p w14:paraId="5D77D106" w14:textId="77777777" w:rsidR="00AF060B" w:rsidRPr="00C9343F" w:rsidRDefault="00AF060B" w:rsidP="00F66D98">
            <w:pPr>
              <w:pStyle w:val="BlockText-Plain"/>
              <w:jc w:val="center"/>
            </w:pPr>
            <w:r w:rsidRPr="00C9343F">
              <w:t>2.</w:t>
            </w:r>
          </w:p>
        </w:tc>
        <w:tc>
          <w:tcPr>
            <w:tcW w:w="8363" w:type="dxa"/>
          </w:tcPr>
          <w:p w14:paraId="589AB855" w14:textId="77777777" w:rsidR="00AF060B" w:rsidRPr="00C9343F" w:rsidRDefault="00AF060B" w:rsidP="00F66D98">
            <w:pPr>
              <w:pStyle w:val="GuidanceText"/>
              <w:spacing w:before="0" w:after="200"/>
              <w:rPr>
                <w:color w:val="auto"/>
              </w:rPr>
            </w:pPr>
            <w:r w:rsidRPr="00C9343F">
              <w:rPr>
                <w:color w:val="auto"/>
              </w:rPr>
              <w:t>The member must refer the decision to another decision-maker at or above their rank or classification.</w:t>
            </w:r>
          </w:p>
        </w:tc>
      </w:tr>
    </w:tbl>
    <w:p w14:paraId="54468C4A" w14:textId="52BF8EC0" w:rsidR="00AF060B" w:rsidRPr="00C9343F" w:rsidRDefault="00AF060B" w:rsidP="00F66D98">
      <w:pPr>
        <w:pStyle w:val="Heading5"/>
      </w:pPr>
      <w:bookmarkStart w:id="215" w:name="_Toc105053593"/>
      <w:r w:rsidRPr="00C9343F">
        <w:t>1.5.</w:t>
      </w:r>
      <w:r w:rsidR="00803066" w:rsidRPr="00C9343F">
        <w:t>7</w:t>
      </w:r>
      <w:r w:rsidR="00D94006" w:rsidRPr="00C9343F">
        <w:t>    </w:t>
      </w:r>
      <w:r w:rsidRPr="00C9343F">
        <w:t>Member to provide evidence of payment</w:t>
      </w:r>
      <w:bookmarkEnd w:id="215"/>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0E554582" w14:textId="77777777">
        <w:tc>
          <w:tcPr>
            <w:tcW w:w="992" w:type="dxa"/>
          </w:tcPr>
          <w:p w14:paraId="3180D351" w14:textId="77777777" w:rsidR="00AF060B" w:rsidRPr="00C9343F" w:rsidRDefault="00AF060B" w:rsidP="00F66D98">
            <w:pPr>
              <w:pStyle w:val="BlockText-Plain"/>
              <w:jc w:val="center"/>
            </w:pPr>
            <w:r w:rsidRPr="00C9343F">
              <w:t>1.</w:t>
            </w:r>
          </w:p>
        </w:tc>
        <w:tc>
          <w:tcPr>
            <w:tcW w:w="8363" w:type="dxa"/>
            <w:gridSpan w:val="2"/>
          </w:tcPr>
          <w:p w14:paraId="36379B80" w14:textId="77777777" w:rsidR="00AF060B" w:rsidRPr="00C9343F" w:rsidRDefault="00AF060B" w:rsidP="00F66D98">
            <w:pPr>
              <w:pStyle w:val="BlockText-Plain"/>
            </w:pPr>
            <w:r w:rsidRPr="00C9343F">
              <w:t xml:space="preserve">This </w:t>
            </w:r>
            <w:r w:rsidR="00580C86" w:rsidRPr="00C9343F">
              <w:t>section</w:t>
            </w:r>
            <w:r w:rsidRPr="00C9343F">
              <w:t xml:space="preserve"> applies to a member who is </w:t>
            </w:r>
            <w:r w:rsidR="0019090D" w:rsidRPr="00C9343F">
              <w:t xml:space="preserve">eligible for the </w:t>
            </w:r>
            <w:r w:rsidRPr="00C9343F">
              <w:t>reimburse</w:t>
            </w:r>
            <w:r w:rsidR="0019090D" w:rsidRPr="00C9343F">
              <w:t>ment of</w:t>
            </w:r>
            <w:r w:rsidRPr="00C9343F">
              <w:t xml:space="preserve"> a payment they made.</w:t>
            </w:r>
          </w:p>
        </w:tc>
      </w:tr>
      <w:tr w:rsidR="00AF060B" w:rsidRPr="00C9343F" w14:paraId="49D6581E" w14:textId="77777777">
        <w:tc>
          <w:tcPr>
            <w:tcW w:w="992" w:type="dxa"/>
          </w:tcPr>
          <w:p w14:paraId="7858550E" w14:textId="77777777" w:rsidR="00AF060B" w:rsidRPr="00C9343F" w:rsidRDefault="00AF060B" w:rsidP="00F66D98">
            <w:pPr>
              <w:pStyle w:val="BlockText-Plain"/>
              <w:jc w:val="center"/>
            </w:pPr>
            <w:r w:rsidRPr="00C9343F">
              <w:t>2.</w:t>
            </w:r>
          </w:p>
        </w:tc>
        <w:tc>
          <w:tcPr>
            <w:tcW w:w="8363" w:type="dxa"/>
            <w:gridSpan w:val="2"/>
          </w:tcPr>
          <w:p w14:paraId="6FC3E934" w14:textId="77777777" w:rsidR="00AF060B" w:rsidRPr="00C9343F" w:rsidRDefault="00AF060B" w:rsidP="00F66D98">
            <w:pPr>
              <w:pStyle w:val="BlockText-Plain"/>
            </w:pPr>
            <w:r w:rsidRPr="00C9343F">
              <w:t>The member must provide either of the following as evidence that they made the payment.</w:t>
            </w:r>
          </w:p>
        </w:tc>
      </w:tr>
      <w:tr w:rsidR="00AF060B" w:rsidRPr="00C9343F" w14:paraId="38BE946B" w14:textId="77777777">
        <w:trPr>
          <w:cantSplit/>
        </w:trPr>
        <w:tc>
          <w:tcPr>
            <w:tcW w:w="992" w:type="dxa"/>
          </w:tcPr>
          <w:p w14:paraId="3EFF43DA" w14:textId="77777777" w:rsidR="00AF060B" w:rsidRPr="00C9343F" w:rsidRDefault="00AF060B" w:rsidP="00F66D98">
            <w:pPr>
              <w:pStyle w:val="BlockText-Plain"/>
            </w:pPr>
          </w:p>
        </w:tc>
        <w:tc>
          <w:tcPr>
            <w:tcW w:w="567" w:type="dxa"/>
          </w:tcPr>
          <w:p w14:paraId="61DACA93" w14:textId="77777777" w:rsidR="00AF060B" w:rsidRPr="00C9343F" w:rsidRDefault="00AF060B" w:rsidP="007114B1">
            <w:pPr>
              <w:pStyle w:val="BlockText-Plain"/>
              <w:jc w:val="center"/>
            </w:pPr>
            <w:r w:rsidRPr="00C9343F">
              <w:t>a.</w:t>
            </w:r>
          </w:p>
        </w:tc>
        <w:tc>
          <w:tcPr>
            <w:tcW w:w="7796" w:type="dxa"/>
          </w:tcPr>
          <w:p w14:paraId="219A5514" w14:textId="77777777" w:rsidR="00AF060B" w:rsidRPr="00C9343F" w:rsidRDefault="00AF060B" w:rsidP="00F66D98">
            <w:pPr>
              <w:pStyle w:val="BlockText-Plain"/>
            </w:pPr>
            <w:r w:rsidRPr="00C9343F">
              <w:t>Written evidence, including any original receipts.</w:t>
            </w:r>
          </w:p>
        </w:tc>
      </w:tr>
      <w:tr w:rsidR="00AF060B" w:rsidRPr="00C9343F" w14:paraId="03C40825" w14:textId="77777777">
        <w:trPr>
          <w:cantSplit/>
        </w:trPr>
        <w:tc>
          <w:tcPr>
            <w:tcW w:w="992" w:type="dxa"/>
          </w:tcPr>
          <w:p w14:paraId="02509089" w14:textId="77777777" w:rsidR="00AF060B" w:rsidRPr="00C9343F" w:rsidRDefault="00AF060B" w:rsidP="00F66D98">
            <w:pPr>
              <w:pStyle w:val="BlockText-Plain"/>
            </w:pPr>
          </w:p>
        </w:tc>
        <w:tc>
          <w:tcPr>
            <w:tcW w:w="567" w:type="dxa"/>
          </w:tcPr>
          <w:p w14:paraId="67C58C11" w14:textId="77777777" w:rsidR="00AF060B" w:rsidRPr="00C9343F" w:rsidRDefault="00AF060B" w:rsidP="007114B1">
            <w:pPr>
              <w:pStyle w:val="BlockText-Plain"/>
              <w:jc w:val="center"/>
            </w:pPr>
            <w:r w:rsidRPr="00C9343F">
              <w:t>b.</w:t>
            </w:r>
          </w:p>
        </w:tc>
        <w:tc>
          <w:tcPr>
            <w:tcW w:w="7796" w:type="dxa"/>
          </w:tcPr>
          <w:p w14:paraId="209B6024" w14:textId="77777777" w:rsidR="00AF060B" w:rsidRPr="00C9343F" w:rsidRDefault="00AF060B" w:rsidP="00F66D98">
            <w:pPr>
              <w:pStyle w:val="BlockText-Plain"/>
            </w:pPr>
            <w:r w:rsidRPr="00C9343F">
              <w:t>A statutory declaration if written evidence is not available.</w:t>
            </w:r>
          </w:p>
        </w:tc>
      </w:tr>
      <w:tr w:rsidR="00AF060B" w:rsidRPr="00C9343F" w14:paraId="17C25962" w14:textId="77777777">
        <w:tc>
          <w:tcPr>
            <w:tcW w:w="992" w:type="dxa"/>
          </w:tcPr>
          <w:p w14:paraId="1279165C" w14:textId="77777777" w:rsidR="00AF060B" w:rsidRPr="00C9343F" w:rsidRDefault="00AF060B" w:rsidP="00F66D98">
            <w:pPr>
              <w:pStyle w:val="BlockText-Plain"/>
              <w:jc w:val="center"/>
            </w:pPr>
            <w:r w:rsidRPr="00C9343F">
              <w:t>3.</w:t>
            </w:r>
          </w:p>
        </w:tc>
        <w:tc>
          <w:tcPr>
            <w:tcW w:w="8363" w:type="dxa"/>
            <w:gridSpan w:val="2"/>
          </w:tcPr>
          <w:p w14:paraId="4A5B93A0" w14:textId="77777777" w:rsidR="00AF060B" w:rsidRPr="00C9343F" w:rsidRDefault="00AF060B" w:rsidP="00F66D98">
            <w:pPr>
              <w:pStyle w:val="BlockText-Plain"/>
            </w:pPr>
            <w:r w:rsidRPr="00C9343F">
              <w:t>The member must provide the items when they lodge their claim for reimbursement or as soon as practical after that time.</w:t>
            </w:r>
          </w:p>
          <w:p w14:paraId="363B308D" w14:textId="77777777" w:rsidR="00AF060B" w:rsidRPr="00C9343F" w:rsidRDefault="00AF060B" w:rsidP="00F66D98">
            <w:pPr>
              <w:pStyle w:val="BlockText-Plain"/>
            </w:pPr>
            <w:r w:rsidRPr="00C9343F">
              <w:rPr>
                <w:b/>
              </w:rPr>
              <w:t>Note:</w:t>
            </w:r>
            <w:r w:rsidRPr="00C9343F">
              <w:t xml:space="preserve"> A person who knowingly makes a false statement in a statutory declaration under the </w:t>
            </w:r>
            <w:r w:rsidRPr="00C9343F">
              <w:rPr>
                <w:i/>
              </w:rPr>
              <w:t>Statutory Declarations Act 1959,</w:t>
            </w:r>
            <w:r w:rsidRPr="00C9343F">
              <w:t xml:space="preserve"> as amended, is guilty of an offence under section 11 of that Act. They could go to prison for four years.</w:t>
            </w:r>
          </w:p>
        </w:tc>
      </w:tr>
    </w:tbl>
    <w:p w14:paraId="15EBB502" w14:textId="77777777" w:rsidR="00AF060B" w:rsidRPr="00C9343F" w:rsidRDefault="00AF060B" w:rsidP="00F66D98"/>
    <w:p w14:paraId="0E8BCE3E" w14:textId="2F98CCE0" w:rsidR="00AF060B" w:rsidRPr="00C9343F" w:rsidRDefault="00AF060B" w:rsidP="00773DC4">
      <w:pPr>
        <w:pStyle w:val="Heading3"/>
        <w:pageBreakBefore/>
      </w:pPr>
      <w:bookmarkStart w:id="216" w:name="TCStart"/>
      <w:bookmarkStart w:id="217" w:name="_Toc105053594"/>
      <w:bookmarkEnd w:id="216"/>
      <w:r w:rsidRPr="00C9343F">
        <w:lastRenderedPageBreak/>
        <w:t xml:space="preserve">Part 6: Payment of </w:t>
      </w:r>
      <w:r w:rsidR="0019090D" w:rsidRPr="00C9343F">
        <w:t>benefits</w:t>
      </w:r>
      <w:r w:rsidRPr="00C9343F">
        <w:t xml:space="preserve"> in special circumstances</w:t>
      </w:r>
      <w:bookmarkEnd w:id="217"/>
    </w:p>
    <w:p w14:paraId="2473E310" w14:textId="68421609" w:rsidR="00AF060B" w:rsidRPr="00C9343F" w:rsidRDefault="00AF060B" w:rsidP="00F66D98">
      <w:pPr>
        <w:pStyle w:val="Heading5"/>
      </w:pPr>
      <w:bookmarkStart w:id="218" w:name="_Toc105053595"/>
      <w:bookmarkStart w:id="219" w:name="bk120547PM13xMembersspouseisalsoamember"/>
      <w:bookmarkStart w:id="220" w:name="bk120613PM13xMembersspouseisalsoamember"/>
      <w:bookmarkStart w:id="221" w:name="bk120650PM13xMembersspouseisalsoamember"/>
      <w:bookmarkStart w:id="222" w:name="bk112431AM15xDualentitlementwhenmembers"/>
      <w:bookmarkStart w:id="223" w:name="bk33043PM191Dualentitlementwhenmemberss"/>
      <w:bookmarkStart w:id="224" w:name="bk94127171Dualentitlementwhenmembersspo"/>
      <w:bookmarkStart w:id="225" w:name="bk150407161Dualentitlementwhenmemberssp"/>
      <w:r w:rsidRPr="00C9343F">
        <w:t>1.6.1</w:t>
      </w:r>
      <w:r w:rsidR="00D94006" w:rsidRPr="00C9343F">
        <w:t>    </w:t>
      </w:r>
      <w:r w:rsidR="005D292C" w:rsidRPr="00C9343F">
        <w:t>Dual entitlement – member's adult dependant is also a member</w:t>
      </w:r>
      <w:bookmarkEnd w:id="218"/>
    </w:p>
    <w:tbl>
      <w:tblPr>
        <w:tblW w:w="9359" w:type="dxa"/>
        <w:tblInd w:w="113" w:type="dxa"/>
        <w:tblLayout w:type="fixed"/>
        <w:tblLook w:val="0000" w:firstRow="0" w:lastRow="0" w:firstColumn="0" w:lastColumn="0" w:noHBand="0" w:noVBand="0"/>
      </w:tblPr>
      <w:tblGrid>
        <w:gridCol w:w="992"/>
        <w:gridCol w:w="567"/>
        <w:gridCol w:w="567"/>
        <w:gridCol w:w="7233"/>
      </w:tblGrid>
      <w:tr w:rsidR="00CB63F0" w:rsidRPr="00C9343F" w14:paraId="59CA0D69" w14:textId="77777777" w:rsidTr="00CB63F0">
        <w:tc>
          <w:tcPr>
            <w:tcW w:w="992" w:type="dxa"/>
          </w:tcPr>
          <w:bookmarkEnd w:id="219"/>
          <w:bookmarkEnd w:id="220"/>
          <w:bookmarkEnd w:id="221"/>
          <w:bookmarkEnd w:id="222"/>
          <w:bookmarkEnd w:id="223"/>
          <w:bookmarkEnd w:id="224"/>
          <w:bookmarkEnd w:id="225"/>
          <w:p w14:paraId="57FFD51B" w14:textId="77777777" w:rsidR="00CB63F0" w:rsidRPr="00C9343F" w:rsidRDefault="00CB63F0" w:rsidP="00EA43BE">
            <w:pPr>
              <w:pStyle w:val="BlockText-Plain"/>
              <w:jc w:val="center"/>
            </w:pPr>
            <w:r w:rsidRPr="00C9343F">
              <w:t>1.</w:t>
            </w:r>
          </w:p>
        </w:tc>
        <w:tc>
          <w:tcPr>
            <w:tcW w:w="8363" w:type="dxa"/>
            <w:gridSpan w:val="3"/>
          </w:tcPr>
          <w:p w14:paraId="0C9F63F3" w14:textId="77777777" w:rsidR="00CB63F0" w:rsidRPr="00C9343F" w:rsidRDefault="00CB63F0" w:rsidP="00EA43BE">
            <w:pPr>
              <w:pStyle w:val="BlockText-Plain"/>
            </w:pPr>
            <w:r w:rsidRPr="00C9343F">
              <w:t>This section applies if all the following are met.</w:t>
            </w:r>
          </w:p>
        </w:tc>
      </w:tr>
      <w:tr w:rsidR="00CB63F0" w:rsidRPr="00C9343F" w14:paraId="43B6751A" w14:textId="77777777" w:rsidTr="00CB63F0">
        <w:trPr>
          <w:cantSplit/>
        </w:trPr>
        <w:tc>
          <w:tcPr>
            <w:tcW w:w="992" w:type="dxa"/>
          </w:tcPr>
          <w:p w14:paraId="37714E76" w14:textId="77777777" w:rsidR="00CB63F0" w:rsidRPr="00C9343F" w:rsidRDefault="00CB63F0" w:rsidP="00EA43BE">
            <w:pPr>
              <w:pStyle w:val="BlockText-Plain"/>
            </w:pPr>
          </w:p>
        </w:tc>
        <w:tc>
          <w:tcPr>
            <w:tcW w:w="567" w:type="dxa"/>
          </w:tcPr>
          <w:p w14:paraId="10DBCC21" w14:textId="77777777" w:rsidR="00CB63F0" w:rsidRPr="00C9343F" w:rsidRDefault="00CB63F0" w:rsidP="00EA43BE">
            <w:pPr>
              <w:pStyle w:val="BlockText-Plain"/>
              <w:jc w:val="center"/>
            </w:pPr>
            <w:r w:rsidRPr="00C9343F">
              <w:t>a.</w:t>
            </w:r>
          </w:p>
        </w:tc>
        <w:tc>
          <w:tcPr>
            <w:tcW w:w="7800" w:type="dxa"/>
            <w:gridSpan w:val="2"/>
          </w:tcPr>
          <w:p w14:paraId="5B32B77F" w14:textId="77777777" w:rsidR="00CB63F0" w:rsidRPr="00C9343F" w:rsidRDefault="00CB63F0" w:rsidP="00EA43BE">
            <w:pPr>
              <w:pStyle w:val="BlockText-Plain"/>
            </w:pPr>
            <w:r w:rsidRPr="00C9343F">
              <w:t>A member's adult dependant is also a member.</w:t>
            </w:r>
          </w:p>
        </w:tc>
      </w:tr>
      <w:tr w:rsidR="00CB63F0" w:rsidRPr="00C9343F" w14:paraId="2A2DB19E" w14:textId="77777777" w:rsidTr="00CB63F0">
        <w:trPr>
          <w:cantSplit/>
        </w:trPr>
        <w:tc>
          <w:tcPr>
            <w:tcW w:w="992" w:type="dxa"/>
          </w:tcPr>
          <w:p w14:paraId="49B74AD9" w14:textId="77777777" w:rsidR="00CB63F0" w:rsidRPr="00C9343F" w:rsidRDefault="00CB63F0" w:rsidP="00EA43BE">
            <w:pPr>
              <w:pStyle w:val="BlockText-Plain"/>
            </w:pPr>
          </w:p>
        </w:tc>
        <w:tc>
          <w:tcPr>
            <w:tcW w:w="567" w:type="dxa"/>
          </w:tcPr>
          <w:p w14:paraId="17BF4FF6" w14:textId="77777777" w:rsidR="00CB63F0" w:rsidRPr="00C9343F" w:rsidRDefault="00CB63F0" w:rsidP="00EA43BE">
            <w:pPr>
              <w:pStyle w:val="BlockText-Plain"/>
              <w:jc w:val="center"/>
            </w:pPr>
            <w:r w:rsidRPr="00C9343F">
              <w:t>b.</w:t>
            </w:r>
          </w:p>
        </w:tc>
        <w:tc>
          <w:tcPr>
            <w:tcW w:w="7800" w:type="dxa"/>
            <w:gridSpan w:val="2"/>
          </w:tcPr>
          <w:p w14:paraId="216B3DC7" w14:textId="77777777" w:rsidR="00CB63F0" w:rsidRPr="00C9343F" w:rsidRDefault="00CB63F0" w:rsidP="00EA43BE">
            <w:pPr>
              <w:pStyle w:val="BlockText-Plain"/>
            </w:pPr>
            <w:r w:rsidRPr="00C9343F">
              <w:t>Both members are eligible for any of the following benefits at the same time or for the same event.</w:t>
            </w:r>
          </w:p>
        </w:tc>
      </w:tr>
      <w:tr w:rsidR="00CB63F0" w:rsidRPr="00C9343F" w14:paraId="04135BD5" w14:textId="77777777" w:rsidTr="00CB63F0">
        <w:trPr>
          <w:cantSplit/>
        </w:trPr>
        <w:tc>
          <w:tcPr>
            <w:tcW w:w="992" w:type="dxa"/>
          </w:tcPr>
          <w:p w14:paraId="3603C853" w14:textId="77777777" w:rsidR="00CB63F0" w:rsidRPr="00C9343F" w:rsidRDefault="00CB63F0" w:rsidP="00EA43BE">
            <w:pPr>
              <w:pStyle w:val="BlockText-Plain"/>
            </w:pPr>
          </w:p>
        </w:tc>
        <w:tc>
          <w:tcPr>
            <w:tcW w:w="567" w:type="dxa"/>
          </w:tcPr>
          <w:p w14:paraId="4A28EE65" w14:textId="77777777" w:rsidR="00CB63F0" w:rsidRPr="00C9343F" w:rsidRDefault="00CB63F0" w:rsidP="00EA43BE">
            <w:pPr>
              <w:pStyle w:val="BlockText-Plain"/>
              <w:jc w:val="center"/>
            </w:pPr>
          </w:p>
        </w:tc>
        <w:tc>
          <w:tcPr>
            <w:tcW w:w="567" w:type="dxa"/>
          </w:tcPr>
          <w:p w14:paraId="1F4E7528" w14:textId="77777777" w:rsidR="00CB63F0" w:rsidRPr="00C9343F" w:rsidRDefault="00CB63F0" w:rsidP="00EA43BE">
            <w:pPr>
              <w:pStyle w:val="BlockText-Plain"/>
            </w:pPr>
            <w:r w:rsidRPr="00C9343F">
              <w:t>i.</w:t>
            </w:r>
          </w:p>
        </w:tc>
        <w:tc>
          <w:tcPr>
            <w:tcW w:w="7233" w:type="dxa"/>
          </w:tcPr>
          <w:p w14:paraId="1FF1388E" w14:textId="77777777" w:rsidR="00CB63F0" w:rsidRPr="00C9343F" w:rsidRDefault="00CB63F0" w:rsidP="00EA43BE">
            <w:pPr>
              <w:pStyle w:val="BlockText-Plain"/>
            </w:pPr>
            <w:r w:rsidRPr="00C9343F">
              <w:t>Disturbance allowance.</w:t>
            </w:r>
          </w:p>
        </w:tc>
      </w:tr>
      <w:tr w:rsidR="00CB63F0" w:rsidRPr="00C9343F" w14:paraId="4C6BE286" w14:textId="77777777" w:rsidTr="00CB63F0">
        <w:trPr>
          <w:cantSplit/>
        </w:trPr>
        <w:tc>
          <w:tcPr>
            <w:tcW w:w="992" w:type="dxa"/>
          </w:tcPr>
          <w:p w14:paraId="75B6AF5A" w14:textId="77777777" w:rsidR="00CB63F0" w:rsidRPr="00C9343F" w:rsidRDefault="00CB63F0" w:rsidP="00EA43BE">
            <w:pPr>
              <w:pStyle w:val="BlockText-Plain"/>
            </w:pPr>
          </w:p>
        </w:tc>
        <w:tc>
          <w:tcPr>
            <w:tcW w:w="567" w:type="dxa"/>
          </w:tcPr>
          <w:p w14:paraId="7C71F9A4" w14:textId="77777777" w:rsidR="00CB63F0" w:rsidRPr="00C9343F" w:rsidRDefault="00CB63F0" w:rsidP="00EA43BE">
            <w:pPr>
              <w:pStyle w:val="BlockText-Plain"/>
              <w:jc w:val="center"/>
            </w:pPr>
          </w:p>
        </w:tc>
        <w:tc>
          <w:tcPr>
            <w:tcW w:w="567" w:type="dxa"/>
          </w:tcPr>
          <w:p w14:paraId="3B8302C9" w14:textId="77777777" w:rsidR="00CB63F0" w:rsidRPr="00C9343F" w:rsidRDefault="00CB63F0" w:rsidP="00EA43BE">
            <w:pPr>
              <w:pStyle w:val="BlockText-Plain"/>
            </w:pPr>
            <w:r w:rsidRPr="00C9343F">
              <w:t>ii.</w:t>
            </w:r>
          </w:p>
        </w:tc>
        <w:tc>
          <w:tcPr>
            <w:tcW w:w="7233" w:type="dxa"/>
          </w:tcPr>
          <w:p w14:paraId="2C0EBCC0" w14:textId="77777777" w:rsidR="00CB63F0" w:rsidRPr="00C9343F" w:rsidRDefault="00CB63F0" w:rsidP="00EA43BE">
            <w:pPr>
              <w:pStyle w:val="BlockText-Plain"/>
            </w:pPr>
            <w:r w:rsidRPr="00C9343F">
              <w:t>Reimbursement for childcare on removal.</w:t>
            </w:r>
          </w:p>
        </w:tc>
      </w:tr>
      <w:tr w:rsidR="00CB63F0" w:rsidRPr="00C9343F" w14:paraId="1D94541F" w14:textId="77777777" w:rsidTr="00CB63F0">
        <w:trPr>
          <w:cantSplit/>
        </w:trPr>
        <w:tc>
          <w:tcPr>
            <w:tcW w:w="992" w:type="dxa"/>
          </w:tcPr>
          <w:p w14:paraId="61DE012D" w14:textId="77777777" w:rsidR="00CB63F0" w:rsidRPr="00C9343F" w:rsidRDefault="00CB63F0" w:rsidP="00EA43BE">
            <w:pPr>
              <w:pStyle w:val="BlockText-Plain"/>
            </w:pPr>
          </w:p>
        </w:tc>
        <w:tc>
          <w:tcPr>
            <w:tcW w:w="567" w:type="dxa"/>
          </w:tcPr>
          <w:p w14:paraId="1CDFF4AA" w14:textId="77777777" w:rsidR="00CB63F0" w:rsidRPr="00C9343F" w:rsidRDefault="00CB63F0" w:rsidP="00EA43BE">
            <w:pPr>
              <w:pStyle w:val="BlockText-Plain"/>
              <w:jc w:val="center"/>
            </w:pPr>
          </w:p>
        </w:tc>
        <w:tc>
          <w:tcPr>
            <w:tcW w:w="567" w:type="dxa"/>
          </w:tcPr>
          <w:p w14:paraId="56B9E503" w14:textId="77777777" w:rsidR="00CB63F0" w:rsidRPr="00C9343F" w:rsidRDefault="00CB63F0" w:rsidP="00EA43BE">
            <w:pPr>
              <w:pStyle w:val="BlockText-Plain"/>
            </w:pPr>
            <w:r w:rsidRPr="00C9343F">
              <w:t>iii.</w:t>
            </w:r>
          </w:p>
        </w:tc>
        <w:tc>
          <w:tcPr>
            <w:tcW w:w="7233" w:type="dxa"/>
          </w:tcPr>
          <w:p w14:paraId="34939A54" w14:textId="77777777" w:rsidR="00CB63F0" w:rsidRPr="00C9343F" w:rsidRDefault="00CB63F0" w:rsidP="00EA43BE">
            <w:pPr>
              <w:pStyle w:val="BlockText-Plain"/>
            </w:pPr>
            <w:r w:rsidRPr="00C9343F">
              <w:t>Assistance or reimbursement for home sale or purchase.</w:t>
            </w:r>
          </w:p>
        </w:tc>
      </w:tr>
      <w:tr w:rsidR="00CB63F0" w:rsidRPr="00C9343F" w14:paraId="70EFEEC4" w14:textId="77777777" w:rsidTr="00CB63F0">
        <w:trPr>
          <w:cantSplit/>
        </w:trPr>
        <w:tc>
          <w:tcPr>
            <w:tcW w:w="992" w:type="dxa"/>
          </w:tcPr>
          <w:p w14:paraId="5E6BE74D" w14:textId="77777777" w:rsidR="00CB63F0" w:rsidRPr="00C9343F" w:rsidRDefault="00CB63F0" w:rsidP="00EA43BE">
            <w:pPr>
              <w:pStyle w:val="BlockText-Plain"/>
            </w:pPr>
          </w:p>
        </w:tc>
        <w:tc>
          <w:tcPr>
            <w:tcW w:w="567" w:type="dxa"/>
          </w:tcPr>
          <w:p w14:paraId="6C955E18" w14:textId="77777777" w:rsidR="00CB63F0" w:rsidRPr="00C9343F" w:rsidRDefault="00CB63F0" w:rsidP="00EA43BE">
            <w:pPr>
              <w:pStyle w:val="BlockText-Plain"/>
              <w:jc w:val="center"/>
            </w:pPr>
          </w:p>
        </w:tc>
        <w:tc>
          <w:tcPr>
            <w:tcW w:w="567" w:type="dxa"/>
          </w:tcPr>
          <w:p w14:paraId="3947B8DA" w14:textId="77777777" w:rsidR="00CB63F0" w:rsidRPr="00C9343F" w:rsidRDefault="00CB63F0" w:rsidP="00EA43BE">
            <w:pPr>
              <w:pStyle w:val="BlockText-Plain"/>
            </w:pPr>
            <w:r w:rsidRPr="00C9343F">
              <w:t>iv.</w:t>
            </w:r>
          </w:p>
        </w:tc>
        <w:tc>
          <w:tcPr>
            <w:tcW w:w="7233" w:type="dxa"/>
          </w:tcPr>
          <w:p w14:paraId="0F8B6009" w14:textId="77777777" w:rsidR="00CB63F0" w:rsidRPr="00C9343F" w:rsidRDefault="00CB63F0" w:rsidP="00EA43BE">
            <w:pPr>
              <w:pStyle w:val="BlockText-Plain"/>
            </w:pPr>
            <w:r w:rsidRPr="00C9343F">
              <w:t>Reimbursement for loss on sale of furniture and effects.</w:t>
            </w:r>
          </w:p>
        </w:tc>
      </w:tr>
      <w:tr w:rsidR="00CB63F0" w:rsidRPr="00C9343F" w14:paraId="2C3DC482" w14:textId="77777777" w:rsidTr="00CB63F0">
        <w:trPr>
          <w:cantSplit/>
        </w:trPr>
        <w:tc>
          <w:tcPr>
            <w:tcW w:w="992" w:type="dxa"/>
          </w:tcPr>
          <w:p w14:paraId="3FA7C991" w14:textId="77777777" w:rsidR="00CB63F0" w:rsidRPr="00C9343F" w:rsidRDefault="00CB63F0" w:rsidP="00EA43BE">
            <w:pPr>
              <w:pStyle w:val="BlockText-Plain"/>
            </w:pPr>
          </w:p>
        </w:tc>
        <w:tc>
          <w:tcPr>
            <w:tcW w:w="567" w:type="dxa"/>
          </w:tcPr>
          <w:p w14:paraId="22EC9CF7" w14:textId="77777777" w:rsidR="00CB63F0" w:rsidRPr="00C9343F" w:rsidRDefault="00CB63F0" w:rsidP="00EA43BE">
            <w:pPr>
              <w:pStyle w:val="BlockText-Plain"/>
              <w:jc w:val="center"/>
            </w:pPr>
          </w:p>
        </w:tc>
        <w:tc>
          <w:tcPr>
            <w:tcW w:w="567" w:type="dxa"/>
          </w:tcPr>
          <w:p w14:paraId="6A4E68AC" w14:textId="77777777" w:rsidR="00CB63F0" w:rsidRPr="00C9343F" w:rsidRDefault="00CB63F0" w:rsidP="00EA43BE">
            <w:pPr>
              <w:pStyle w:val="BlockText-Plain"/>
            </w:pPr>
            <w:r w:rsidRPr="00C9343F">
              <w:t>v.</w:t>
            </w:r>
          </w:p>
        </w:tc>
        <w:tc>
          <w:tcPr>
            <w:tcW w:w="7233" w:type="dxa"/>
          </w:tcPr>
          <w:p w14:paraId="5D12907C" w14:textId="77777777" w:rsidR="00CB63F0" w:rsidRPr="00C9343F" w:rsidRDefault="00CB63F0" w:rsidP="00EA43BE">
            <w:pPr>
              <w:pStyle w:val="BlockText-Plain"/>
            </w:pPr>
            <w:r w:rsidRPr="00C9343F">
              <w:t>Reimbursement for loss on sale of a vehicle.</w:t>
            </w:r>
          </w:p>
        </w:tc>
      </w:tr>
      <w:tr w:rsidR="00CB63F0" w:rsidRPr="00C9343F" w14:paraId="41F3FB24" w14:textId="77777777" w:rsidTr="00CB63F0">
        <w:trPr>
          <w:cantSplit/>
        </w:trPr>
        <w:tc>
          <w:tcPr>
            <w:tcW w:w="992" w:type="dxa"/>
          </w:tcPr>
          <w:p w14:paraId="58A87270" w14:textId="77777777" w:rsidR="00CB63F0" w:rsidRPr="00C9343F" w:rsidRDefault="00CB63F0" w:rsidP="00EA43BE">
            <w:pPr>
              <w:pStyle w:val="BlockText-Plain"/>
            </w:pPr>
          </w:p>
        </w:tc>
        <w:tc>
          <w:tcPr>
            <w:tcW w:w="567" w:type="dxa"/>
          </w:tcPr>
          <w:p w14:paraId="513B09E7" w14:textId="77777777" w:rsidR="00CB63F0" w:rsidRPr="00C9343F" w:rsidRDefault="00CB63F0" w:rsidP="00EA43BE">
            <w:pPr>
              <w:pStyle w:val="BlockText-Plain"/>
              <w:jc w:val="center"/>
            </w:pPr>
          </w:p>
        </w:tc>
        <w:tc>
          <w:tcPr>
            <w:tcW w:w="567" w:type="dxa"/>
          </w:tcPr>
          <w:p w14:paraId="60F7CD3D" w14:textId="77777777" w:rsidR="00CB63F0" w:rsidRPr="00C9343F" w:rsidRDefault="00CB63F0" w:rsidP="00EA43BE">
            <w:pPr>
              <w:pStyle w:val="BlockText-Plain"/>
            </w:pPr>
            <w:r w:rsidRPr="00C9343F">
              <w:t>vi.</w:t>
            </w:r>
          </w:p>
        </w:tc>
        <w:tc>
          <w:tcPr>
            <w:tcW w:w="7233" w:type="dxa"/>
          </w:tcPr>
          <w:p w14:paraId="1D8993B3" w14:textId="77777777" w:rsidR="00CB63F0" w:rsidRPr="00C9343F" w:rsidRDefault="00CB63F0" w:rsidP="00EA43BE">
            <w:pPr>
              <w:pStyle w:val="BlockText-Plain"/>
            </w:pPr>
            <w:r w:rsidRPr="00C9343F">
              <w:t>Reimbursement for cost of insurance on removal of urgently needed household items.</w:t>
            </w:r>
          </w:p>
        </w:tc>
      </w:tr>
      <w:tr w:rsidR="00CB63F0" w:rsidRPr="00C9343F" w14:paraId="35FB2267" w14:textId="77777777" w:rsidTr="00CB63F0">
        <w:trPr>
          <w:cantSplit/>
        </w:trPr>
        <w:tc>
          <w:tcPr>
            <w:tcW w:w="992" w:type="dxa"/>
          </w:tcPr>
          <w:p w14:paraId="47F667FF" w14:textId="77777777" w:rsidR="00CB63F0" w:rsidRPr="00C9343F" w:rsidRDefault="00CB63F0" w:rsidP="00EA43BE">
            <w:pPr>
              <w:pStyle w:val="BlockText-Plain"/>
            </w:pPr>
          </w:p>
        </w:tc>
        <w:tc>
          <w:tcPr>
            <w:tcW w:w="567" w:type="dxa"/>
          </w:tcPr>
          <w:p w14:paraId="53008C42" w14:textId="77777777" w:rsidR="00CB63F0" w:rsidRPr="00C9343F" w:rsidRDefault="00CB63F0" w:rsidP="00EA43BE">
            <w:pPr>
              <w:pStyle w:val="BlockText-Plain"/>
              <w:jc w:val="center"/>
            </w:pPr>
          </w:p>
        </w:tc>
        <w:tc>
          <w:tcPr>
            <w:tcW w:w="567" w:type="dxa"/>
          </w:tcPr>
          <w:p w14:paraId="5711AC06" w14:textId="77777777" w:rsidR="00CB63F0" w:rsidRPr="00C9343F" w:rsidRDefault="00CB63F0" w:rsidP="00EA43BE">
            <w:pPr>
              <w:pStyle w:val="BlockText-Plain"/>
            </w:pPr>
            <w:r w:rsidRPr="00C9343F">
              <w:t>vii.</w:t>
            </w:r>
          </w:p>
        </w:tc>
        <w:tc>
          <w:tcPr>
            <w:tcW w:w="7233" w:type="dxa"/>
          </w:tcPr>
          <w:p w14:paraId="5C01392C" w14:textId="77777777" w:rsidR="00CB63F0" w:rsidRPr="00C9343F" w:rsidRDefault="00CB63F0" w:rsidP="00EA43BE">
            <w:pPr>
              <w:pStyle w:val="BlockText-Plain"/>
            </w:pPr>
            <w:r w:rsidRPr="00C9343F">
              <w:t>Reimbursement for education costs for a child under Chapter 8 Part 4.</w:t>
            </w:r>
          </w:p>
        </w:tc>
      </w:tr>
      <w:tr w:rsidR="00CB63F0" w:rsidRPr="00C9343F" w14:paraId="6AC742A5" w14:textId="77777777" w:rsidTr="00CB63F0">
        <w:trPr>
          <w:cantSplit/>
        </w:trPr>
        <w:tc>
          <w:tcPr>
            <w:tcW w:w="992" w:type="dxa"/>
          </w:tcPr>
          <w:p w14:paraId="7E63A5F3" w14:textId="77777777" w:rsidR="00CB63F0" w:rsidRPr="00C9343F" w:rsidRDefault="00CB63F0" w:rsidP="00EA43BE">
            <w:pPr>
              <w:pStyle w:val="BlockText-Plain"/>
            </w:pPr>
          </w:p>
        </w:tc>
        <w:tc>
          <w:tcPr>
            <w:tcW w:w="567" w:type="dxa"/>
          </w:tcPr>
          <w:p w14:paraId="4FE267FE" w14:textId="77777777" w:rsidR="00CB63F0" w:rsidRPr="00C9343F" w:rsidRDefault="00CB63F0" w:rsidP="00EA43BE">
            <w:pPr>
              <w:pStyle w:val="BlockText-Plain"/>
              <w:jc w:val="center"/>
            </w:pPr>
          </w:p>
        </w:tc>
        <w:tc>
          <w:tcPr>
            <w:tcW w:w="567" w:type="dxa"/>
          </w:tcPr>
          <w:p w14:paraId="3BBC59E9" w14:textId="77777777" w:rsidR="00CB63F0" w:rsidRPr="00C9343F" w:rsidRDefault="00CB63F0" w:rsidP="00EA43BE">
            <w:pPr>
              <w:pStyle w:val="BlockText-Plain"/>
            </w:pPr>
            <w:r w:rsidRPr="00C9343F">
              <w:t>viii.</w:t>
            </w:r>
          </w:p>
        </w:tc>
        <w:tc>
          <w:tcPr>
            <w:tcW w:w="7233" w:type="dxa"/>
          </w:tcPr>
          <w:p w14:paraId="43D202EE" w14:textId="77777777" w:rsidR="00CB63F0" w:rsidRPr="00C9343F" w:rsidRDefault="00CB63F0" w:rsidP="00EA43BE">
            <w:pPr>
              <w:pStyle w:val="BlockText-Plain"/>
            </w:pPr>
            <w:r w:rsidRPr="00C9343F">
              <w:t>Reimbursement in place of a child’s scholarship.</w:t>
            </w:r>
          </w:p>
        </w:tc>
      </w:tr>
      <w:tr w:rsidR="00AF060B" w:rsidRPr="00C9343F" w14:paraId="67D92BB4" w14:textId="77777777" w:rsidTr="00AE2F48">
        <w:tc>
          <w:tcPr>
            <w:tcW w:w="992" w:type="dxa"/>
          </w:tcPr>
          <w:p w14:paraId="025BC717" w14:textId="77777777" w:rsidR="00AF060B" w:rsidRPr="00C9343F" w:rsidRDefault="00AF060B" w:rsidP="00F66D98">
            <w:pPr>
              <w:pStyle w:val="BlockText-Plain"/>
              <w:jc w:val="center"/>
            </w:pPr>
            <w:r w:rsidRPr="00C9343F">
              <w:t>2.</w:t>
            </w:r>
          </w:p>
        </w:tc>
        <w:tc>
          <w:tcPr>
            <w:tcW w:w="8363" w:type="dxa"/>
            <w:gridSpan w:val="3"/>
          </w:tcPr>
          <w:p w14:paraId="15F15F13" w14:textId="77777777" w:rsidR="00AF060B" w:rsidRPr="00C9343F" w:rsidRDefault="00AF060B" w:rsidP="00F66D98">
            <w:pPr>
              <w:pStyle w:val="BlockText-Plain"/>
            </w:pPr>
            <w:r w:rsidRPr="00C9343F">
              <w:t xml:space="preserve">This table sets out how the </w:t>
            </w:r>
            <w:r w:rsidR="0019090D" w:rsidRPr="00C9343F">
              <w:t>benefit</w:t>
            </w:r>
            <w:r w:rsidRPr="00C9343F">
              <w:t xml:space="preserve"> is provided.</w:t>
            </w:r>
          </w:p>
        </w:tc>
      </w:tr>
    </w:tbl>
    <w:p w14:paraId="116E7408" w14:textId="77777777" w:rsidR="00AF060B" w:rsidRPr="00C9343F" w:rsidRDefault="00AF060B"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3969"/>
        <w:gridCol w:w="3827"/>
      </w:tblGrid>
      <w:tr w:rsidR="00AF060B" w:rsidRPr="00C9343F" w14:paraId="57697EB8" w14:textId="77777777">
        <w:trPr>
          <w:cantSplit/>
        </w:trPr>
        <w:tc>
          <w:tcPr>
            <w:tcW w:w="567" w:type="dxa"/>
            <w:tcBorders>
              <w:top w:val="single" w:sz="6" w:space="0" w:color="auto"/>
              <w:left w:val="single" w:sz="6" w:space="0" w:color="auto"/>
              <w:bottom w:val="single" w:sz="6" w:space="0" w:color="auto"/>
              <w:right w:val="single" w:sz="6" w:space="0" w:color="auto"/>
            </w:tcBorders>
          </w:tcPr>
          <w:p w14:paraId="55661000" w14:textId="77777777" w:rsidR="00AF060B" w:rsidRPr="00C9343F" w:rsidRDefault="00AF060B" w:rsidP="00F66D98">
            <w:pPr>
              <w:pStyle w:val="TableHeaderArial"/>
            </w:pPr>
            <w:r w:rsidRPr="00C9343F">
              <w:t>Item</w:t>
            </w:r>
          </w:p>
        </w:tc>
        <w:tc>
          <w:tcPr>
            <w:tcW w:w="3969" w:type="dxa"/>
            <w:tcBorders>
              <w:top w:val="single" w:sz="6" w:space="0" w:color="auto"/>
              <w:left w:val="single" w:sz="6" w:space="0" w:color="auto"/>
              <w:bottom w:val="single" w:sz="6" w:space="0" w:color="auto"/>
              <w:right w:val="single" w:sz="6" w:space="0" w:color="auto"/>
            </w:tcBorders>
          </w:tcPr>
          <w:p w14:paraId="4780B993" w14:textId="77777777" w:rsidR="00AF060B" w:rsidRPr="00C9343F" w:rsidRDefault="00AF060B" w:rsidP="00F66D98">
            <w:pPr>
              <w:pStyle w:val="TableHeaderArial"/>
            </w:pPr>
            <w:r w:rsidRPr="00C9343F">
              <w:t>If the members…</w:t>
            </w:r>
          </w:p>
        </w:tc>
        <w:tc>
          <w:tcPr>
            <w:tcW w:w="3827" w:type="dxa"/>
            <w:tcBorders>
              <w:top w:val="single" w:sz="6" w:space="0" w:color="auto"/>
              <w:left w:val="single" w:sz="6" w:space="0" w:color="auto"/>
              <w:bottom w:val="single" w:sz="6" w:space="0" w:color="auto"/>
              <w:right w:val="single" w:sz="6" w:space="0" w:color="auto"/>
            </w:tcBorders>
          </w:tcPr>
          <w:p w14:paraId="305C139F" w14:textId="77777777" w:rsidR="00AF060B" w:rsidRPr="00C9343F" w:rsidRDefault="00AF060B" w:rsidP="00F66D98">
            <w:pPr>
              <w:pStyle w:val="TableHeaderArial"/>
            </w:pPr>
            <w:r w:rsidRPr="00C9343F">
              <w:t xml:space="preserve">then the </w:t>
            </w:r>
            <w:r w:rsidR="0019090D" w:rsidRPr="00C9343F">
              <w:t>benefit</w:t>
            </w:r>
            <w:r w:rsidRPr="00C9343F">
              <w:t xml:space="preserve"> is provided to </w:t>
            </w:r>
            <w:r w:rsidRPr="00C9343F">
              <w:br/>
              <w:t>the member who…</w:t>
            </w:r>
          </w:p>
        </w:tc>
      </w:tr>
      <w:tr w:rsidR="00AF060B" w:rsidRPr="00C9343F" w14:paraId="391AEEAE" w14:textId="77777777">
        <w:trPr>
          <w:cantSplit/>
        </w:trPr>
        <w:tc>
          <w:tcPr>
            <w:tcW w:w="567" w:type="dxa"/>
            <w:tcBorders>
              <w:top w:val="single" w:sz="6" w:space="0" w:color="auto"/>
              <w:left w:val="single" w:sz="6" w:space="0" w:color="auto"/>
              <w:bottom w:val="single" w:sz="6" w:space="0" w:color="auto"/>
              <w:right w:val="single" w:sz="6" w:space="0" w:color="auto"/>
            </w:tcBorders>
          </w:tcPr>
          <w:p w14:paraId="052F4F62" w14:textId="77777777" w:rsidR="00AF060B" w:rsidRPr="00C9343F" w:rsidRDefault="00AF060B" w:rsidP="00F66D98">
            <w:pPr>
              <w:pStyle w:val="TableTextArial-left"/>
              <w:jc w:val="center"/>
            </w:pPr>
            <w:r w:rsidRPr="00C9343F">
              <w:t>1.</w:t>
            </w:r>
          </w:p>
        </w:tc>
        <w:tc>
          <w:tcPr>
            <w:tcW w:w="3969" w:type="dxa"/>
            <w:tcBorders>
              <w:top w:val="single" w:sz="6" w:space="0" w:color="auto"/>
              <w:left w:val="single" w:sz="6" w:space="0" w:color="auto"/>
              <w:bottom w:val="single" w:sz="6" w:space="0" w:color="auto"/>
              <w:right w:val="single" w:sz="6" w:space="0" w:color="auto"/>
            </w:tcBorders>
          </w:tcPr>
          <w:p w14:paraId="030523B8" w14:textId="77777777" w:rsidR="00AF060B" w:rsidRPr="00C9343F" w:rsidRDefault="00AF060B" w:rsidP="00F66D98">
            <w:pPr>
              <w:pStyle w:val="TableTextArial-left"/>
            </w:pPr>
            <w:r w:rsidRPr="00C9343F">
              <w:t xml:space="preserve">jointly nominate one of them to receive the </w:t>
            </w:r>
            <w:r w:rsidR="0097435B" w:rsidRPr="00C9343F">
              <w:t>benefit</w:t>
            </w:r>
          </w:p>
        </w:tc>
        <w:tc>
          <w:tcPr>
            <w:tcW w:w="3827" w:type="dxa"/>
            <w:tcBorders>
              <w:top w:val="single" w:sz="6" w:space="0" w:color="auto"/>
              <w:left w:val="single" w:sz="6" w:space="0" w:color="auto"/>
              <w:bottom w:val="single" w:sz="6" w:space="0" w:color="auto"/>
              <w:right w:val="single" w:sz="6" w:space="0" w:color="auto"/>
            </w:tcBorders>
          </w:tcPr>
          <w:p w14:paraId="7737F766" w14:textId="77777777" w:rsidR="00AF060B" w:rsidRPr="00C9343F" w:rsidRDefault="00AF060B" w:rsidP="00F66D98">
            <w:pPr>
              <w:pStyle w:val="TableTextArial-left"/>
            </w:pPr>
            <w:r w:rsidRPr="00C9343F">
              <w:t>is nominated.</w:t>
            </w:r>
          </w:p>
        </w:tc>
      </w:tr>
      <w:tr w:rsidR="00AF060B" w:rsidRPr="00C9343F" w14:paraId="76EB3A8E" w14:textId="77777777">
        <w:trPr>
          <w:cantSplit/>
        </w:trPr>
        <w:tc>
          <w:tcPr>
            <w:tcW w:w="567" w:type="dxa"/>
            <w:vMerge w:val="restart"/>
            <w:tcBorders>
              <w:top w:val="single" w:sz="6" w:space="0" w:color="auto"/>
              <w:left w:val="single" w:sz="6" w:space="0" w:color="auto"/>
              <w:right w:val="single" w:sz="6" w:space="0" w:color="auto"/>
            </w:tcBorders>
          </w:tcPr>
          <w:p w14:paraId="594365E5" w14:textId="77777777" w:rsidR="00AF060B" w:rsidRPr="00C9343F" w:rsidRDefault="00AF060B" w:rsidP="00F66D98">
            <w:pPr>
              <w:pStyle w:val="TableTextArial-left"/>
              <w:jc w:val="center"/>
            </w:pPr>
            <w:r w:rsidRPr="00C9343F">
              <w:t>2.</w:t>
            </w:r>
          </w:p>
        </w:tc>
        <w:tc>
          <w:tcPr>
            <w:tcW w:w="3969" w:type="dxa"/>
            <w:tcBorders>
              <w:top w:val="single" w:sz="6" w:space="0" w:color="auto"/>
              <w:left w:val="single" w:sz="6" w:space="0" w:color="auto"/>
              <w:bottom w:val="single" w:sz="6" w:space="0" w:color="auto"/>
              <w:right w:val="single" w:sz="6" w:space="0" w:color="auto"/>
            </w:tcBorders>
          </w:tcPr>
          <w:p w14:paraId="09A8F67C" w14:textId="77777777" w:rsidR="00AF060B" w:rsidRPr="00C9343F" w:rsidRDefault="00AF060B" w:rsidP="00F66D98">
            <w:pPr>
              <w:pStyle w:val="TableTextArial-left"/>
            </w:pPr>
            <w:r w:rsidRPr="00C9343F">
              <w:t xml:space="preserve">do not jointly nominate one of them to receive the </w:t>
            </w:r>
            <w:r w:rsidR="0097435B" w:rsidRPr="00C9343F">
              <w:t>benefit</w:t>
            </w:r>
            <w:r w:rsidRPr="00C9343F">
              <w:t>, and they:</w:t>
            </w:r>
          </w:p>
        </w:tc>
        <w:tc>
          <w:tcPr>
            <w:tcW w:w="3827" w:type="dxa"/>
            <w:tcBorders>
              <w:top w:val="single" w:sz="6" w:space="0" w:color="auto"/>
              <w:left w:val="single" w:sz="6" w:space="0" w:color="auto"/>
              <w:bottom w:val="single" w:sz="6" w:space="0" w:color="auto"/>
              <w:right w:val="single" w:sz="6" w:space="0" w:color="auto"/>
            </w:tcBorders>
          </w:tcPr>
          <w:p w14:paraId="3204A2ED" w14:textId="77777777" w:rsidR="00AF060B" w:rsidRPr="00C9343F" w:rsidRDefault="00AF060B" w:rsidP="00F66D98">
            <w:pPr>
              <w:pStyle w:val="TableTextArial-left"/>
              <w:jc w:val="center"/>
            </w:pPr>
            <w:r w:rsidRPr="00C9343F">
              <w:t>_</w:t>
            </w:r>
          </w:p>
        </w:tc>
      </w:tr>
      <w:tr w:rsidR="00AF060B" w:rsidRPr="00C9343F" w14:paraId="26226571" w14:textId="77777777">
        <w:trPr>
          <w:cantSplit/>
        </w:trPr>
        <w:tc>
          <w:tcPr>
            <w:tcW w:w="567" w:type="dxa"/>
            <w:vMerge/>
            <w:tcBorders>
              <w:left w:val="single" w:sz="6" w:space="0" w:color="auto"/>
              <w:right w:val="single" w:sz="6" w:space="0" w:color="auto"/>
            </w:tcBorders>
          </w:tcPr>
          <w:p w14:paraId="39325F55" w14:textId="77777777" w:rsidR="00AF060B" w:rsidRPr="00C9343F" w:rsidRDefault="00AF060B" w:rsidP="00F66D98">
            <w:pPr>
              <w:pStyle w:val="TableTextArial-left"/>
              <w:jc w:val="center"/>
            </w:pPr>
          </w:p>
        </w:tc>
        <w:tc>
          <w:tcPr>
            <w:tcW w:w="3969" w:type="dxa"/>
            <w:tcBorders>
              <w:top w:val="single" w:sz="6" w:space="0" w:color="auto"/>
              <w:left w:val="single" w:sz="6" w:space="0" w:color="auto"/>
              <w:bottom w:val="single" w:sz="6" w:space="0" w:color="auto"/>
              <w:right w:val="single" w:sz="6" w:space="0" w:color="auto"/>
            </w:tcBorders>
          </w:tcPr>
          <w:p w14:paraId="5C80228F" w14:textId="77777777" w:rsidR="00AF060B" w:rsidRPr="00C9343F" w:rsidRDefault="00AF060B" w:rsidP="00F66D98">
            <w:pPr>
              <w:pStyle w:val="TableTextNumbered"/>
            </w:pPr>
            <w:r w:rsidRPr="00C9343F">
              <w:t>a.</w:t>
            </w:r>
            <w:r w:rsidRPr="00C9343F">
              <w:tab/>
              <w:t>hold different ranks</w:t>
            </w:r>
          </w:p>
        </w:tc>
        <w:tc>
          <w:tcPr>
            <w:tcW w:w="3827" w:type="dxa"/>
            <w:tcBorders>
              <w:top w:val="single" w:sz="6" w:space="0" w:color="auto"/>
              <w:left w:val="single" w:sz="6" w:space="0" w:color="auto"/>
              <w:bottom w:val="single" w:sz="6" w:space="0" w:color="auto"/>
              <w:right w:val="single" w:sz="6" w:space="0" w:color="auto"/>
            </w:tcBorders>
          </w:tcPr>
          <w:p w14:paraId="3ABAAA41" w14:textId="77777777" w:rsidR="00AF060B" w:rsidRPr="00C9343F" w:rsidRDefault="00AF060B" w:rsidP="00F66D98">
            <w:pPr>
              <w:pStyle w:val="TableTextArial-left"/>
            </w:pPr>
            <w:r w:rsidRPr="00C9343F">
              <w:t>has the higher rank</w:t>
            </w:r>
          </w:p>
        </w:tc>
      </w:tr>
      <w:tr w:rsidR="00AF060B" w:rsidRPr="00C9343F" w14:paraId="01639D72" w14:textId="77777777">
        <w:trPr>
          <w:cantSplit/>
        </w:trPr>
        <w:tc>
          <w:tcPr>
            <w:tcW w:w="567" w:type="dxa"/>
            <w:vMerge/>
            <w:tcBorders>
              <w:left w:val="single" w:sz="6" w:space="0" w:color="auto"/>
              <w:bottom w:val="single" w:sz="6" w:space="0" w:color="auto"/>
              <w:right w:val="single" w:sz="6" w:space="0" w:color="auto"/>
            </w:tcBorders>
          </w:tcPr>
          <w:p w14:paraId="109A7420" w14:textId="77777777" w:rsidR="00AF060B" w:rsidRPr="00C9343F" w:rsidRDefault="00AF060B" w:rsidP="00F66D98">
            <w:pPr>
              <w:pStyle w:val="TableTextArial-left"/>
              <w:jc w:val="center"/>
            </w:pPr>
          </w:p>
        </w:tc>
        <w:tc>
          <w:tcPr>
            <w:tcW w:w="3969" w:type="dxa"/>
            <w:tcBorders>
              <w:top w:val="single" w:sz="6" w:space="0" w:color="auto"/>
              <w:left w:val="single" w:sz="6" w:space="0" w:color="auto"/>
              <w:bottom w:val="single" w:sz="6" w:space="0" w:color="auto"/>
              <w:right w:val="single" w:sz="6" w:space="0" w:color="auto"/>
            </w:tcBorders>
          </w:tcPr>
          <w:p w14:paraId="10659B76" w14:textId="77777777" w:rsidR="00AF060B" w:rsidRPr="00C9343F" w:rsidRDefault="00AF060B" w:rsidP="00F66D98">
            <w:pPr>
              <w:pStyle w:val="TableTextNumbered"/>
            </w:pPr>
            <w:r w:rsidRPr="00C9343F">
              <w:t>b.</w:t>
            </w:r>
            <w:r w:rsidRPr="00C9343F">
              <w:tab/>
              <w:t>hold the same rank</w:t>
            </w:r>
          </w:p>
        </w:tc>
        <w:tc>
          <w:tcPr>
            <w:tcW w:w="3827" w:type="dxa"/>
            <w:tcBorders>
              <w:top w:val="single" w:sz="6" w:space="0" w:color="auto"/>
              <w:left w:val="single" w:sz="6" w:space="0" w:color="auto"/>
              <w:bottom w:val="single" w:sz="6" w:space="0" w:color="auto"/>
              <w:right w:val="single" w:sz="6" w:space="0" w:color="auto"/>
            </w:tcBorders>
          </w:tcPr>
          <w:p w14:paraId="2509BB4F" w14:textId="77777777" w:rsidR="00AF060B" w:rsidRPr="00C9343F" w:rsidRDefault="00AF060B" w:rsidP="00F66D98">
            <w:pPr>
              <w:pStyle w:val="TableTextArial-left"/>
            </w:pPr>
            <w:r w:rsidRPr="00C9343F">
              <w:t>has the greater seniority in the rank.</w:t>
            </w:r>
          </w:p>
        </w:tc>
      </w:tr>
    </w:tbl>
    <w:p w14:paraId="659BC66C" w14:textId="77777777" w:rsidR="00AF060B" w:rsidRPr="00C9343F" w:rsidRDefault="00AF060B" w:rsidP="00F66D98"/>
    <w:tbl>
      <w:tblPr>
        <w:tblW w:w="9355" w:type="dxa"/>
        <w:tblInd w:w="113" w:type="dxa"/>
        <w:tblLayout w:type="fixed"/>
        <w:tblLook w:val="0000" w:firstRow="0" w:lastRow="0" w:firstColumn="0" w:lastColumn="0" w:noHBand="0" w:noVBand="0"/>
      </w:tblPr>
      <w:tblGrid>
        <w:gridCol w:w="992"/>
        <w:gridCol w:w="8363"/>
      </w:tblGrid>
      <w:tr w:rsidR="00CB63F0" w:rsidRPr="00C9343F" w14:paraId="463A523E" w14:textId="77777777" w:rsidTr="006163F0">
        <w:tc>
          <w:tcPr>
            <w:tcW w:w="992" w:type="dxa"/>
          </w:tcPr>
          <w:p w14:paraId="24181D4A" w14:textId="32A0640B" w:rsidR="00CB63F0" w:rsidRPr="00C9343F" w:rsidRDefault="00CB63F0" w:rsidP="00CB63F0">
            <w:pPr>
              <w:pStyle w:val="BlockText-Plain"/>
              <w:jc w:val="center"/>
            </w:pPr>
            <w:r w:rsidRPr="00C9343F">
              <w:t>3.</w:t>
            </w:r>
          </w:p>
        </w:tc>
        <w:tc>
          <w:tcPr>
            <w:tcW w:w="8363" w:type="dxa"/>
          </w:tcPr>
          <w:p w14:paraId="4C286F15" w14:textId="5B7DD0E1" w:rsidR="00CB63F0" w:rsidRPr="00C9343F" w:rsidRDefault="00CB63F0" w:rsidP="00CB63F0">
            <w:pPr>
              <w:pStyle w:val="BlockText-Plain"/>
            </w:pPr>
            <w:r w:rsidRPr="00C9343F">
              <w:rPr>
                <w:iCs/>
              </w:rPr>
              <w:t>If a member is eligible to receive a benefit listed in subsection 1 and the member’s adult dependant is also eligible for a similar benefit not provided in Chapter 1 to 11 of this determination, the benefit payable to the member is reduced by the amount of the similar benefit.</w:t>
            </w:r>
          </w:p>
        </w:tc>
      </w:tr>
    </w:tbl>
    <w:p w14:paraId="015267C5" w14:textId="43CBBAEF" w:rsidR="00F15CCE" w:rsidRPr="00C9343F" w:rsidRDefault="00A03344" w:rsidP="00F66D98">
      <w:pPr>
        <w:pStyle w:val="Heading5"/>
      </w:pPr>
      <w:bookmarkStart w:id="226" w:name="_Toc105053596"/>
      <w:bookmarkStart w:id="227" w:name="bk111455AM127Paymentofentitlementtoanot"/>
      <w:bookmarkStart w:id="228" w:name="bk111516AM127Paymentofentitlementtoanot"/>
      <w:bookmarkStart w:id="229" w:name="bk120547PM13xPaymentofentitlementtoanot"/>
      <w:bookmarkStart w:id="230" w:name="bk120613PM13xPaymentofentitlementtoanot"/>
      <w:bookmarkStart w:id="231" w:name="bk120650PM13xPaymentofentitlementtoanot"/>
      <w:bookmarkStart w:id="232" w:name="bk112431AM15xPaymentofentitlementtoanot"/>
      <w:bookmarkStart w:id="233" w:name="bk33043PM192Paymentofentitlementtoanoth"/>
      <w:bookmarkStart w:id="234" w:name="bk94127172Paymentofentitlementtoanother"/>
      <w:bookmarkStart w:id="235" w:name="bk150407162Paymentofentitlementtoanothe"/>
      <w:r w:rsidRPr="00C9343F">
        <w:t>1.6.1A</w:t>
      </w:r>
      <w:r w:rsidR="00D94006" w:rsidRPr="00C9343F">
        <w:t>    </w:t>
      </w:r>
      <w:r w:rsidRPr="00C9343F">
        <w:t>Payment of contributions by another person</w:t>
      </w:r>
      <w:bookmarkEnd w:id="226"/>
    </w:p>
    <w:tbl>
      <w:tblPr>
        <w:tblW w:w="9363" w:type="dxa"/>
        <w:tblInd w:w="113" w:type="dxa"/>
        <w:tblLayout w:type="fixed"/>
        <w:tblLook w:val="04A0" w:firstRow="1" w:lastRow="0" w:firstColumn="1" w:lastColumn="0" w:noHBand="0" w:noVBand="1"/>
      </w:tblPr>
      <w:tblGrid>
        <w:gridCol w:w="992"/>
        <w:gridCol w:w="567"/>
        <w:gridCol w:w="7804"/>
      </w:tblGrid>
      <w:tr w:rsidR="00A03344" w:rsidRPr="00C9343F" w14:paraId="29956F2C" w14:textId="77777777" w:rsidTr="00C30AE5">
        <w:tc>
          <w:tcPr>
            <w:tcW w:w="992" w:type="dxa"/>
            <w:hideMark/>
          </w:tcPr>
          <w:p w14:paraId="5163A2B2" w14:textId="77777777" w:rsidR="00A03344" w:rsidRPr="00C9343F" w:rsidRDefault="00A03344" w:rsidP="00F66D98">
            <w:pPr>
              <w:pStyle w:val="BlockText-Plain"/>
              <w:spacing w:line="276" w:lineRule="auto"/>
              <w:jc w:val="center"/>
              <w:rPr>
                <w:lang w:eastAsia="en-US"/>
              </w:rPr>
            </w:pPr>
            <w:r w:rsidRPr="00C9343F">
              <w:rPr>
                <w:lang w:eastAsia="en-US"/>
              </w:rPr>
              <w:t>1.</w:t>
            </w:r>
          </w:p>
        </w:tc>
        <w:tc>
          <w:tcPr>
            <w:tcW w:w="8371" w:type="dxa"/>
            <w:gridSpan w:val="2"/>
            <w:hideMark/>
          </w:tcPr>
          <w:p w14:paraId="76655C5E" w14:textId="77777777" w:rsidR="00A03344" w:rsidRPr="00C9343F" w:rsidRDefault="00A03344" w:rsidP="00F66D98">
            <w:pPr>
              <w:pStyle w:val="BlockText-Plain"/>
              <w:spacing w:line="276" w:lineRule="auto"/>
              <w:rPr>
                <w:iCs/>
                <w:lang w:eastAsia="en-US"/>
              </w:rPr>
            </w:pPr>
            <w:r w:rsidRPr="00C9343F">
              <w:rPr>
                <w:iCs/>
                <w:lang w:eastAsia="en-US"/>
              </w:rPr>
              <w:t>This section applies to a member not receiving salary for either of the following reasons.</w:t>
            </w:r>
          </w:p>
        </w:tc>
      </w:tr>
      <w:tr w:rsidR="00A03344" w:rsidRPr="00C9343F" w14:paraId="058AE1EB" w14:textId="77777777" w:rsidTr="00C30AE5">
        <w:trPr>
          <w:cantSplit/>
        </w:trPr>
        <w:tc>
          <w:tcPr>
            <w:tcW w:w="992" w:type="dxa"/>
          </w:tcPr>
          <w:p w14:paraId="64D6A98C" w14:textId="77777777" w:rsidR="00A03344" w:rsidRPr="00C9343F" w:rsidRDefault="00A03344" w:rsidP="00F66D98">
            <w:pPr>
              <w:pStyle w:val="BlockText-Plain"/>
              <w:spacing w:line="276" w:lineRule="auto"/>
              <w:rPr>
                <w:lang w:eastAsia="en-US"/>
              </w:rPr>
            </w:pPr>
          </w:p>
        </w:tc>
        <w:tc>
          <w:tcPr>
            <w:tcW w:w="567" w:type="dxa"/>
            <w:hideMark/>
          </w:tcPr>
          <w:p w14:paraId="1A335367" w14:textId="77777777" w:rsidR="00A03344" w:rsidRPr="00C9343F" w:rsidRDefault="00A03344" w:rsidP="007114B1">
            <w:pPr>
              <w:pStyle w:val="BlockText-Plain"/>
              <w:spacing w:line="276" w:lineRule="auto"/>
              <w:jc w:val="center"/>
              <w:rPr>
                <w:lang w:eastAsia="en-US"/>
              </w:rPr>
            </w:pPr>
            <w:r w:rsidRPr="00C9343F">
              <w:rPr>
                <w:lang w:eastAsia="en-US"/>
              </w:rPr>
              <w:t>a.</w:t>
            </w:r>
          </w:p>
        </w:tc>
        <w:tc>
          <w:tcPr>
            <w:tcW w:w="7804" w:type="dxa"/>
            <w:hideMark/>
          </w:tcPr>
          <w:p w14:paraId="3E134D57" w14:textId="77777777" w:rsidR="00A03344" w:rsidRPr="00C9343F" w:rsidRDefault="00A03344" w:rsidP="00F66D98">
            <w:pPr>
              <w:pStyle w:val="BlockText-Plain"/>
              <w:spacing w:line="276" w:lineRule="auto"/>
              <w:rPr>
                <w:lang w:eastAsia="en-US"/>
              </w:rPr>
            </w:pPr>
            <w:r w:rsidRPr="00C9343F">
              <w:rPr>
                <w:lang w:eastAsia="en-US"/>
              </w:rPr>
              <w:t xml:space="preserve">The member meets a condition under section A.1.4 of DFRT Determination No. 2 of 2017, </w:t>
            </w:r>
            <w:r w:rsidRPr="00C9343F">
              <w:rPr>
                <w:i/>
                <w:lang w:eastAsia="en-US"/>
              </w:rPr>
              <w:t>Salaries</w:t>
            </w:r>
            <w:r w:rsidRPr="00C9343F">
              <w:rPr>
                <w:lang w:eastAsia="en-US"/>
              </w:rPr>
              <w:t xml:space="preserve">. </w:t>
            </w:r>
          </w:p>
        </w:tc>
      </w:tr>
      <w:tr w:rsidR="00A03344" w:rsidRPr="00C9343F" w14:paraId="60818FB4" w14:textId="77777777" w:rsidTr="00C30AE5">
        <w:trPr>
          <w:cantSplit/>
        </w:trPr>
        <w:tc>
          <w:tcPr>
            <w:tcW w:w="992" w:type="dxa"/>
          </w:tcPr>
          <w:p w14:paraId="3C09A9A5" w14:textId="77777777" w:rsidR="00A03344" w:rsidRPr="00C9343F" w:rsidRDefault="00A03344" w:rsidP="00F66D98">
            <w:pPr>
              <w:pStyle w:val="BlockText-Plain"/>
              <w:spacing w:line="276" w:lineRule="auto"/>
              <w:rPr>
                <w:lang w:eastAsia="en-US"/>
              </w:rPr>
            </w:pPr>
          </w:p>
        </w:tc>
        <w:tc>
          <w:tcPr>
            <w:tcW w:w="567" w:type="dxa"/>
            <w:hideMark/>
          </w:tcPr>
          <w:p w14:paraId="59BDFE66" w14:textId="77777777" w:rsidR="00A03344" w:rsidRPr="00C9343F" w:rsidRDefault="00A03344" w:rsidP="007114B1">
            <w:pPr>
              <w:pStyle w:val="BlockText-Plain"/>
              <w:spacing w:line="276" w:lineRule="auto"/>
              <w:jc w:val="center"/>
              <w:rPr>
                <w:lang w:eastAsia="en-US"/>
              </w:rPr>
            </w:pPr>
            <w:r w:rsidRPr="00C9343F">
              <w:rPr>
                <w:lang w:eastAsia="en-US"/>
              </w:rPr>
              <w:t>b.</w:t>
            </w:r>
          </w:p>
        </w:tc>
        <w:tc>
          <w:tcPr>
            <w:tcW w:w="7804" w:type="dxa"/>
            <w:hideMark/>
          </w:tcPr>
          <w:p w14:paraId="68D578A0" w14:textId="77777777" w:rsidR="00A03344" w:rsidRPr="00C9343F" w:rsidRDefault="00A03344" w:rsidP="00F66D98">
            <w:pPr>
              <w:pStyle w:val="BlockText-Plain"/>
              <w:spacing w:line="276" w:lineRule="auto"/>
              <w:rPr>
                <w:lang w:eastAsia="en-US"/>
              </w:rPr>
            </w:pPr>
            <w:r w:rsidRPr="00C9343F">
              <w:rPr>
                <w:lang w:eastAsia="en-US"/>
              </w:rPr>
              <w:t>The member is on a flexible service determination — during their nonworking period.</w:t>
            </w:r>
          </w:p>
        </w:tc>
      </w:tr>
      <w:tr w:rsidR="00A03344" w:rsidRPr="00C9343F" w14:paraId="0AD3C026" w14:textId="77777777" w:rsidTr="00C30AE5">
        <w:tc>
          <w:tcPr>
            <w:tcW w:w="992" w:type="dxa"/>
            <w:hideMark/>
          </w:tcPr>
          <w:p w14:paraId="6572D6B6" w14:textId="77777777" w:rsidR="00A03344" w:rsidRPr="00C9343F" w:rsidRDefault="00A03344" w:rsidP="00F66D98">
            <w:pPr>
              <w:pStyle w:val="BlockText-Plain"/>
              <w:spacing w:line="276" w:lineRule="auto"/>
              <w:jc w:val="center"/>
              <w:rPr>
                <w:lang w:eastAsia="en-US"/>
              </w:rPr>
            </w:pPr>
            <w:r w:rsidRPr="00C9343F">
              <w:rPr>
                <w:lang w:eastAsia="en-US"/>
              </w:rPr>
              <w:t>2.</w:t>
            </w:r>
          </w:p>
        </w:tc>
        <w:tc>
          <w:tcPr>
            <w:tcW w:w="8371" w:type="dxa"/>
            <w:gridSpan w:val="2"/>
            <w:hideMark/>
          </w:tcPr>
          <w:p w14:paraId="01A3FAA8" w14:textId="77777777" w:rsidR="00A03344" w:rsidRPr="00C9343F" w:rsidRDefault="00A03344" w:rsidP="00F66D98">
            <w:pPr>
              <w:pStyle w:val="BlockText-Plain"/>
              <w:spacing w:line="276" w:lineRule="auto"/>
              <w:rPr>
                <w:iCs/>
                <w:color w:val="000000"/>
                <w:lang w:eastAsia="en-US"/>
              </w:rPr>
            </w:pPr>
            <w:r w:rsidRPr="00C9343F">
              <w:rPr>
                <w:iCs/>
                <w:color w:val="000000"/>
                <w:lang w:eastAsia="en-US"/>
              </w:rPr>
              <w:t>The member may nominate, in writing, an adult dependant to pay contributions owed by the member if all of the following conditions are met.</w:t>
            </w:r>
          </w:p>
        </w:tc>
      </w:tr>
      <w:tr w:rsidR="00A03344" w:rsidRPr="00C9343F" w14:paraId="3AD14403" w14:textId="77777777" w:rsidTr="00C30AE5">
        <w:trPr>
          <w:cantSplit/>
        </w:trPr>
        <w:tc>
          <w:tcPr>
            <w:tcW w:w="992" w:type="dxa"/>
          </w:tcPr>
          <w:p w14:paraId="787F1F5C" w14:textId="77777777" w:rsidR="00A03344" w:rsidRPr="00C9343F" w:rsidRDefault="00A03344" w:rsidP="00F66D98">
            <w:pPr>
              <w:pStyle w:val="BlockText-Plain"/>
              <w:spacing w:line="276" w:lineRule="auto"/>
              <w:rPr>
                <w:lang w:eastAsia="en-US"/>
              </w:rPr>
            </w:pPr>
          </w:p>
        </w:tc>
        <w:tc>
          <w:tcPr>
            <w:tcW w:w="567" w:type="dxa"/>
            <w:hideMark/>
          </w:tcPr>
          <w:p w14:paraId="3FE3028C" w14:textId="77777777" w:rsidR="00A03344" w:rsidRPr="00C9343F" w:rsidRDefault="00A03344" w:rsidP="007114B1">
            <w:pPr>
              <w:pStyle w:val="BlockText-Plain"/>
              <w:spacing w:line="276" w:lineRule="auto"/>
              <w:jc w:val="center"/>
              <w:rPr>
                <w:lang w:eastAsia="en-US"/>
              </w:rPr>
            </w:pPr>
            <w:r w:rsidRPr="00C9343F">
              <w:rPr>
                <w:lang w:eastAsia="en-US"/>
              </w:rPr>
              <w:t>a.</w:t>
            </w:r>
          </w:p>
        </w:tc>
        <w:tc>
          <w:tcPr>
            <w:tcW w:w="7804" w:type="dxa"/>
            <w:hideMark/>
          </w:tcPr>
          <w:p w14:paraId="02E5894F" w14:textId="77777777" w:rsidR="00A03344" w:rsidRPr="00C9343F" w:rsidRDefault="00A03344" w:rsidP="00F66D98">
            <w:pPr>
              <w:pStyle w:val="BlockText-Plain"/>
              <w:spacing w:line="276" w:lineRule="auto"/>
              <w:rPr>
                <w:lang w:eastAsia="en-US"/>
              </w:rPr>
            </w:pPr>
            <w:r w:rsidRPr="00C9343F">
              <w:rPr>
                <w:lang w:eastAsia="en-US"/>
              </w:rPr>
              <w:t>The dependant is also a member.</w:t>
            </w:r>
          </w:p>
        </w:tc>
      </w:tr>
      <w:tr w:rsidR="00A03344" w:rsidRPr="00C9343F" w14:paraId="7304AFE3" w14:textId="77777777" w:rsidTr="00C30AE5">
        <w:trPr>
          <w:cantSplit/>
        </w:trPr>
        <w:tc>
          <w:tcPr>
            <w:tcW w:w="992" w:type="dxa"/>
          </w:tcPr>
          <w:p w14:paraId="092AF64C" w14:textId="77777777" w:rsidR="00A03344" w:rsidRPr="00C9343F" w:rsidRDefault="00A03344" w:rsidP="00F66D98">
            <w:pPr>
              <w:pStyle w:val="BlockText-Plain"/>
              <w:spacing w:line="276" w:lineRule="auto"/>
              <w:rPr>
                <w:lang w:eastAsia="en-US"/>
              </w:rPr>
            </w:pPr>
          </w:p>
        </w:tc>
        <w:tc>
          <w:tcPr>
            <w:tcW w:w="567" w:type="dxa"/>
            <w:hideMark/>
          </w:tcPr>
          <w:p w14:paraId="50376580" w14:textId="77777777" w:rsidR="00A03344" w:rsidRPr="00C9343F" w:rsidRDefault="00A03344" w:rsidP="007114B1">
            <w:pPr>
              <w:pStyle w:val="BlockText-Plain"/>
              <w:spacing w:line="276" w:lineRule="auto"/>
              <w:jc w:val="center"/>
              <w:rPr>
                <w:lang w:eastAsia="en-US"/>
              </w:rPr>
            </w:pPr>
            <w:r w:rsidRPr="00C9343F">
              <w:rPr>
                <w:lang w:eastAsia="en-US"/>
              </w:rPr>
              <w:t>b.</w:t>
            </w:r>
          </w:p>
        </w:tc>
        <w:tc>
          <w:tcPr>
            <w:tcW w:w="7804" w:type="dxa"/>
            <w:hideMark/>
          </w:tcPr>
          <w:p w14:paraId="783DB990" w14:textId="77777777" w:rsidR="00A03344" w:rsidRPr="00C9343F" w:rsidRDefault="00A03344" w:rsidP="00F66D98">
            <w:pPr>
              <w:pStyle w:val="BlockText-Plain"/>
              <w:spacing w:line="276" w:lineRule="auto"/>
              <w:rPr>
                <w:lang w:eastAsia="en-US"/>
              </w:rPr>
            </w:pPr>
            <w:r w:rsidRPr="00C9343F">
              <w:rPr>
                <w:lang w:eastAsia="en-US"/>
              </w:rPr>
              <w:t>The dependant has consented in writing to make the contributions on the member’s behalf.</w:t>
            </w:r>
          </w:p>
        </w:tc>
      </w:tr>
      <w:tr w:rsidR="00A03344" w:rsidRPr="00C9343F" w14:paraId="5D83F15C" w14:textId="77777777" w:rsidTr="00C30AE5">
        <w:trPr>
          <w:cantSplit/>
        </w:trPr>
        <w:tc>
          <w:tcPr>
            <w:tcW w:w="992" w:type="dxa"/>
          </w:tcPr>
          <w:p w14:paraId="48CAA2DA" w14:textId="77777777" w:rsidR="00A03344" w:rsidRPr="00C9343F" w:rsidRDefault="00A03344" w:rsidP="00F66D98">
            <w:pPr>
              <w:pStyle w:val="BlockText-Plain"/>
              <w:spacing w:after="0" w:line="276" w:lineRule="auto"/>
              <w:rPr>
                <w:lang w:eastAsia="en-US"/>
              </w:rPr>
            </w:pPr>
          </w:p>
        </w:tc>
        <w:tc>
          <w:tcPr>
            <w:tcW w:w="8371" w:type="dxa"/>
            <w:gridSpan w:val="2"/>
            <w:hideMark/>
          </w:tcPr>
          <w:p w14:paraId="20D66F99" w14:textId="77777777" w:rsidR="00A03344" w:rsidRPr="00C9343F" w:rsidRDefault="00A03344" w:rsidP="00F66D98">
            <w:pPr>
              <w:pStyle w:val="BlockText-Plain"/>
              <w:spacing w:after="0" w:line="276" w:lineRule="auto"/>
              <w:rPr>
                <w:lang w:eastAsia="en-US"/>
              </w:rPr>
            </w:pPr>
            <w:r w:rsidRPr="00C9343F">
              <w:rPr>
                <w:b/>
                <w:lang w:eastAsia="en-US"/>
              </w:rPr>
              <w:t>Notes:</w:t>
            </w:r>
            <w:r w:rsidRPr="00C9343F">
              <w:rPr>
                <w:lang w:eastAsia="en-US"/>
              </w:rPr>
              <w:t xml:space="preserve"> </w:t>
            </w:r>
          </w:p>
        </w:tc>
      </w:tr>
      <w:tr w:rsidR="00A03344" w:rsidRPr="00C9343F" w14:paraId="13024EAA" w14:textId="77777777" w:rsidTr="00C30AE5">
        <w:trPr>
          <w:cantSplit/>
        </w:trPr>
        <w:tc>
          <w:tcPr>
            <w:tcW w:w="992" w:type="dxa"/>
          </w:tcPr>
          <w:p w14:paraId="29CF39C7" w14:textId="77777777" w:rsidR="00A03344" w:rsidRPr="00C9343F" w:rsidRDefault="00A03344" w:rsidP="00F66D98">
            <w:pPr>
              <w:pStyle w:val="BlockText-Plain"/>
              <w:spacing w:line="276" w:lineRule="auto"/>
              <w:rPr>
                <w:lang w:eastAsia="en-US"/>
              </w:rPr>
            </w:pPr>
          </w:p>
        </w:tc>
        <w:tc>
          <w:tcPr>
            <w:tcW w:w="567" w:type="dxa"/>
          </w:tcPr>
          <w:p w14:paraId="0DE85B97" w14:textId="77777777" w:rsidR="00A03344" w:rsidRPr="00C9343F" w:rsidRDefault="00A03344" w:rsidP="00F66D98">
            <w:pPr>
              <w:pStyle w:val="BlockText-Plain"/>
              <w:spacing w:line="276" w:lineRule="auto"/>
              <w:rPr>
                <w:lang w:eastAsia="en-US"/>
              </w:rPr>
            </w:pPr>
            <w:r w:rsidRPr="00C9343F">
              <w:rPr>
                <w:lang w:eastAsia="en-US"/>
              </w:rPr>
              <w:t>1.</w:t>
            </w:r>
          </w:p>
        </w:tc>
        <w:tc>
          <w:tcPr>
            <w:tcW w:w="7804" w:type="dxa"/>
          </w:tcPr>
          <w:p w14:paraId="260E7098" w14:textId="77777777" w:rsidR="00A03344" w:rsidRPr="00C9343F" w:rsidRDefault="00A03344" w:rsidP="00F66D98">
            <w:pPr>
              <w:pStyle w:val="BlockText-Plain"/>
              <w:spacing w:line="276" w:lineRule="auto"/>
              <w:rPr>
                <w:b/>
                <w:lang w:eastAsia="en-US"/>
              </w:rPr>
            </w:pPr>
            <w:r w:rsidRPr="00C9343F">
              <w:rPr>
                <w:lang w:eastAsia="en-US"/>
              </w:rPr>
              <w:t xml:space="preserve">The dependant may revoke consent at any time. </w:t>
            </w:r>
          </w:p>
        </w:tc>
      </w:tr>
      <w:tr w:rsidR="00A03344" w:rsidRPr="00C9343F" w14:paraId="511A9923" w14:textId="77777777" w:rsidTr="00C30AE5">
        <w:trPr>
          <w:cantSplit/>
        </w:trPr>
        <w:tc>
          <w:tcPr>
            <w:tcW w:w="992" w:type="dxa"/>
          </w:tcPr>
          <w:p w14:paraId="5A908242" w14:textId="77777777" w:rsidR="00A03344" w:rsidRPr="00C9343F" w:rsidRDefault="00A03344" w:rsidP="00F66D98">
            <w:pPr>
              <w:pStyle w:val="BlockText-Plain"/>
              <w:spacing w:line="276" w:lineRule="auto"/>
              <w:rPr>
                <w:lang w:eastAsia="en-US"/>
              </w:rPr>
            </w:pPr>
          </w:p>
        </w:tc>
        <w:tc>
          <w:tcPr>
            <w:tcW w:w="567" w:type="dxa"/>
          </w:tcPr>
          <w:p w14:paraId="74E20826" w14:textId="77777777" w:rsidR="00A03344" w:rsidRPr="00C9343F" w:rsidRDefault="00A03344" w:rsidP="00F66D98">
            <w:pPr>
              <w:pStyle w:val="BlockText-Plain"/>
              <w:spacing w:line="276" w:lineRule="auto"/>
              <w:rPr>
                <w:lang w:eastAsia="en-US"/>
              </w:rPr>
            </w:pPr>
            <w:r w:rsidRPr="00C9343F">
              <w:rPr>
                <w:lang w:eastAsia="en-US"/>
              </w:rPr>
              <w:t>2.</w:t>
            </w:r>
          </w:p>
        </w:tc>
        <w:tc>
          <w:tcPr>
            <w:tcW w:w="7804" w:type="dxa"/>
          </w:tcPr>
          <w:p w14:paraId="1E5F8268" w14:textId="77777777" w:rsidR="00A03344" w:rsidRPr="00C9343F" w:rsidRDefault="00A03344" w:rsidP="00F66D98">
            <w:pPr>
              <w:pStyle w:val="BlockText-Plain"/>
              <w:spacing w:line="276" w:lineRule="auto"/>
              <w:rPr>
                <w:b/>
                <w:lang w:eastAsia="en-US"/>
              </w:rPr>
            </w:pPr>
            <w:r w:rsidRPr="00C9343F">
              <w:rPr>
                <w:lang w:eastAsia="en-US"/>
              </w:rPr>
              <w:t>Contributions are to be paid through the Department of Defence pay system.</w:t>
            </w:r>
          </w:p>
        </w:tc>
      </w:tr>
      <w:tr w:rsidR="00A03344" w:rsidRPr="00C9343F" w14:paraId="4A7EAD54" w14:textId="77777777" w:rsidTr="00C30AE5">
        <w:trPr>
          <w:cantSplit/>
        </w:trPr>
        <w:tc>
          <w:tcPr>
            <w:tcW w:w="992" w:type="dxa"/>
          </w:tcPr>
          <w:p w14:paraId="0471A6E4" w14:textId="77777777" w:rsidR="00A03344" w:rsidRPr="00C9343F" w:rsidRDefault="00A03344" w:rsidP="00F66D98">
            <w:pPr>
              <w:pStyle w:val="BlockText-Plain"/>
              <w:spacing w:line="276" w:lineRule="auto"/>
              <w:rPr>
                <w:lang w:eastAsia="en-US"/>
              </w:rPr>
            </w:pPr>
          </w:p>
        </w:tc>
        <w:tc>
          <w:tcPr>
            <w:tcW w:w="567" w:type="dxa"/>
          </w:tcPr>
          <w:p w14:paraId="171C1DC5" w14:textId="77777777" w:rsidR="00A03344" w:rsidRPr="00C9343F" w:rsidRDefault="00A03344" w:rsidP="00F66D98">
            <w:pPr>
              <w:pStyle w:val="BlockText-Plain"/>
              <w:spacing w:line="276" w:lineRule="auto"/>
              <w:rPr>
                <w:lang w:eastAsia="en-US"/>
              </w:rPr>
            </w:pPr>
            <w:r w:rsidRPr="00C9343F">
              <w:rPr>
                <w:lang w:eastAsia="en-US"/>
              </w:rPr>
              <w:t>3.</w:t>
            </w:r>
          </w:p>
        </w:tc>
        <w:tc>
          <w:tcPr>
            <w:tcW w:w="7804" w:type="dxa"/>
          </w:tcPr>
          <w:p w14:paraId="2CAED719" w14:textId="77777777" w:rsidR="00A03344" w:rsidRPr="00C9343F" w:rsidRDefault="00A03344" w:rsidP="00F66D98">
            <w:pPr>
              <w:pStyle w:val="BlockText-Plain"/>
              <w:spacing w:line="276" w:lineRule="auto"/>
              <w:rPr>
                <w:b/>
                <w:lang w:eastAsia="en-US"/>
              </w:rPr>
            </w:pPr>
            <w:r w:rsidRPr="00C9343F">
              <w:rPr>
                <w:lang w:eastAsia="en-US"/>
              </w:rPr>
              <w:t>If the contribution is not paid by the dependant, the contribution may be recovered from the member as a debt owed to the Commonwealth.</w:t>
            </w:r>
          </w:p>
        </w:tc>
      </w:tr>
    </w:tbl>
    <w:p w14:paraId="78CC41C9" w14:textId="20E679F2" w:rsidR="00AF060B" w:rsidRPr="00C9343F" w:rsidRDefault="00AF060B" w:rsidP="00F66D98">
      <w:pPr>
        <w:pStyle w:val="Heading5"/>
      </w:pPr>
      <w:bookmarkStart w:id="236" w:name="_Toc105053597"/>
      <w:r w:rsidRPr="00C9343F">
        <w:t>1.6.2</w:t>
      </w:r>
      <w:r w:rsidR="00D94006" w:rsidRPr="00C9343F">
        <w:t>    </w:t>
      </w:r>
      <w:r w:rsidRPr="00C9343F">
        <w:t xml:space="preserve">Payment of </w:t>
      </w:r>
      <w:r w:rsidR="0019090D" w:rsidRPr="00C9343F">
        <w:t>benefit</w:t>
      </w:r>
      <w:r w:rsidRPr="00C9343F">
        <w:t xml:space="preserve"> to another person</w:t>
      </w:r>
      <w:bookmarkEnd w:id="236"/>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3861FDC5" w14:textId="77777777">
        <w:tc>
          <w:tcPr>
            <w:tcW w:w="992" w:type="dxa"/>
          </w:tcPr>
          <w:bookmarkEnd w:id="227"/>
          <w:bookmarkEnd w:id="228"/>
          <w:bookmarkEnd w:id="229"/>
          <w:bookmarkEnd w:id="230"/>
          <w:bookmarkEnd w:id="231"/>
          <w:bookmarkEnd w:id="232"/>
          <w:bookmarkEnd w:id="233"/>
          <w:bookmarkEnd w:id="234"/>
          <w:bookmarkEnd w:id="235"/>
          <w:p w14:paraId="4F04A6CB" w14:textId="77777777" w:rsidR="00AF060B" w:rsidRPr="00C9343F" w:rsidRDefault="00AF060B" w:rsidP="00F66D98">
            <w:pPr>
              <w:pStyle w:val="BlockText-Plain"/>
              <w:jc w:val="center"/>
            </w:pPr>
            <w:r w:rsidRPr="00C9343F">
              <w:t>1.</w:t>
            </w:r>
          </w:p>
        </w:tc>
        <w:tc>
          <w:tcPr>
            <w:tcW w:w="8363" w:type="dxa"/>
            <w:gridSpan w:val="2"/>
          </w:tcPr>
          <w:p w14:paraId="007F8D72" w14:textId="77777777" w:rsidR="00AF060B" w:rsidRPr="00C9343F" w:rsidRDefault="00AF060B" w:rsidP="00F66D98">
            <w:pPr>
              <w:pStyle w:val="BlockText-Plain"/>
            </w:pPr>
            <w:r w:rsidRPr="00C9343F">
              <w:t xml:space="preserve">A member may seek to have their </w:t>
            </w:r>
            <w:r w:rsidR="0019090D" w:rsidRPr="00C9343F">
              <w:t>benefit</w:t>
            </w:r>
            <w:r w:rsidRPr="00C9343F">
              <w:t xml:space="preserve"> paid to their </w:t>
            </w:r>
            <w:r w:rsidR="00DC679B" w:rsidRPr="00C9343F">
              <w:t xml:space="preserve">adult dependant </w:t>
            </w:r>
            <w:r w:rsidRPr="00C9343F">
              <w:t>or another person. These conditions apply.</w:t>
            </w:r>
          </w:p>
        </w:tc>
      </w:tr>
      <w:tr w:rsidR="00AF060B" w:rsidRPr="00C9343F" w14:paraId="212199D1" w14:textId="77777777">
        <w:trPr>
          <w:cantSplit/>
        </w:trPr>
        <w:tc>
          <w:tcPr>
            <w:tcW w:w="992" w:type="dxa"/>
          </w:tcPr>
          <w:p w14:paraId="2251409E" w14:textId="77777777" w:rsidR="00AF060B" w:rsidRPr="00C9343F" w:rsidRDefault="00AF060B" w:rsidP="00F66D98">
            <w:pPr>
              <w:pStyle w:val="BlockText-Plain"/>
            </w:pPr>
          </w:p>
        </w:tc>
        <w:tc>
          <w:tcPr>
            <w:tcW w:w="567" w:type="dxa"/>
          </w:tcPr>
          <w:p w14:paraId="2228A85F" w14:textId="77777777" w:rsidR="00AF060B" w:rsidRPr="00C9343F" w:rsidRDefault="00AF060B" w:rsidP="007114B1">
            <w:pPr>
              <w:pStyle w:val="BlockText-Plain"/>
              <w:jc w:val="center"/>
            </w:pPr>
            <w:r w:rsidRPr="00C9343F">
              <w:t>a.</w:t>
            </w:r>
          </w:p>
        </w:tc>
        <w:tc>
          <w:tcPr>
            <w:tcW w:w="7796" w:type="dxa"/>
          </w:tcPr>
          <w:p w14:paraId="0CCFF61E" w14:textId="77777777" w:rsidR="00AF060B" w:rsidRPr="00C9343F" w:rsidRDefault="00AF060B" w:rsidP="00F66D98">
            <w:pPr>
              <w:pStyle w:val="BlockText-Plain"/>
            </w:pPr>
            <w:r w:rsidRPr="00C9343F">
              <w:t>The member must nominate in writing the person to receive the payment on their behalf.</w:t>
            </w:r>
          </w:p>
        </w:tc>
      </w:tr>
      <w:tr w:rsidR="00AF060B" w:rsidRPr="00C9343F" w14:paraId="2CFBCDB8" w14:textId="77777777">
        <w:trPr>
          <w:cantSplit/>
        </w:trPr>
        <w:tc>
          <w:tcPr>
            <w:tcW w:w="992" w:type="dxa"/>
          </w:tcPr>
          <w:p w14:paraId="2116B441" w14:textId="77777777" w:rsidR="00AF060B" w:rsidRPr="00C9343F" w:rsidRDefault="00AF060B" w:rsidP="00F66D98">
            <w:pPr>
              <w:pStyle w:val="BlockText-Plain"/>
            </w:pPr>
          </w:p>
        </w:tc>
        <w:tc>
          <w:tcPr>
            <w:tcW w:w="567" w:type="dxa"/>
          </w:tcPr>
          <w:p w14:paraId="7F0DE678" w14:textId="77777777" w:rsidR="00AF060B" w:rsidRPr="00C9343F" w:rsidRDefault="00AF060B" w:rsidP="007114B1">
            <w:pPr>
              <w:pStyle w:val="BlockText-Plain"/>
              <w:jc w:val="center"/>
            </w:pPr>
            <w:r w:rsidRPr="00C9343F">
              <w:t>b.</w:t>
            </w:r>
          </w:p>
        </w:tc>
        <w:tc>
          <w:tcPr>
            <w:tcW w:w="7796" w:type="dxa"/>
          </w:tcPr>
          <w:p w14:paraId="534F8706" w14:textId="77777777" w:rsidR="00AF060B" w:rsidRPr="00C9343F" w:rsidRDefault="00AF060B" w:rsidP="00F66D98">
            <w:pPr>
              <w:pStyle w:val="BlockText-Plain"/>
            </w:pPr>
            <w:r w:rsidRPr="00C9343F">
              <w:t>The other person must consent to the disclosure of their personal or financial information, and to receiving the payment.</w:t>
            </w:r>
          </w:p>
        </w:tc>
      </w:tr>
      <w:tr w:rsidR="00AF060B" w:rsidRPr="00C9343F" w14:paraId="72525A10" w14:textId="77777777">
        <w:trPr>
          <w:cantSplit/>
        </w:trPr>
        <w:tc>
          <w:tcPr>
            <w:tcW w:w="992" w:type="dxa"/>
          </w:tcPr>
          <w:p w14:paraId="530FCBD5" w14:textId="77777777" w:rsidR="00AF060B" w:rsidRPr="00C9343F" w:rsidRDefault="00AF060B" w:rsidP="00F66D98">
            <w:pPr>
              <w:pStyle w:val="BlockText-Plain"/>
            </w:pPr>
          </w:p>
        </w:tc>
        <w:tc>
          <w:tcPr>
            <w:tcW w:w="567" w:type="dxa"/>
          </w:tcPr>
          <w:p w14:paraId="200B88DE" w14:textId="77777777" w:rsidR="00AF060B" w:rsidRPr="00C9343F" w:rsidRDefault="00AF060B" w:rsidP="007114B1">
            <w:pPr>
              <w:pStyle w:val="BlockText-Plain"/>
              <w:jc w:val="center"/>
            </w:pPr>
            <w:r w:rsidRPr="00C9343F">
              <w:t>c.</w:t>
            </w:r>
          </w:p>
        </w:tc>
        <w:tc>
          <w:tcPr>
            <w:tcW w:w="7796" w:type="dxa"/>
          </w:tcPr>
          <w:p w14:paraId="758E61FF" w14:textId="77777777" w:rsidR="00AF060B" w:rsidRPr="00C9343F" w:rsidRDefault="00AF060B" w:rsidP="00F66D98">
            <w:pPr>
              <w:pStyle w:val="BlockText-Plain"/>
            </w:pPr>
            <w:r w:rsidRPr="00C9343F">
              <w:t>The member must provide the alternative payment details.</w:t>
            </w:r>
          </w:p>
        </w:tc>
      </w:tr>
      <w:tr w:rsidR="00AF060B" w:rsidRPr="00C9343F" w14:paraId="0A3BFAD0" w14:textId="77777777">
        <w:tc>
          <w:tcPr>
            <w:tcW w:w="992" w:type="dxa"/>
          </w:tcPr>
          <w:p w14:paraId="5C55FD57" w14:textId="77777777" w:rsidR="00AF060B" w:rsidRPr="00C9343F" w:rsidRDefault="00AF060B" w:rsidP="00F66D98">
            <w:pPr>
              <w:pStyle w:val="BlockText-Plain"/>
              <w:jc w:val="center"/>
            </w:pPr>
          </w:p>
        </w:tc>
        <w:tc>
          <w:tcPr>
            <w:tcW w:w="8363" w:type="dxa"/>
            <w:gridSpan w:val="2"/>
          </w:tcPr>
          <w:p w14:paraId="69E4D13D" w14:textId="77777777" w:rsidR="00AF060B" w:rsidRPr="00C9343F" w:rsidRDefault="00AF060B" w:rsidP="00F66D98">
            <w:pPr>
              <w:pStyle w:val="BlockText-Plain"/>
            </w:pPr>
            <w:r w:rsidRPr="00C9343F">
              <w:rPr>
                <w:b/>
              </w:rPr>
              <w:t>Example:</w:t>
            </w:r>
            <w:r w:rsidRPr="00C9343F">
              <w:t xml:space="preserve"> A member who is deployed has to pay rent at home. They may choose to have their rent allowance paid to their</w:t>
            </w:r>
            <w:r w:rsidR="00DC679B" w:rsidRPr="00C9343F">
              <w:t xml:space="preserve"> adult dependant</w:t>
            </w:r>
            <w:r w:rsidRPr="00C9343F">
              <w:t>, who will arrange the rent payments on their behalf.</w:t>
            </w:r>
          </w:p>
        </w:tc>
      </w:tr>
      <w:tr w:rsidR="00AF060B" w:rsidRPr="00C9343F" w14:paraId="41D6ED62" w14:textId="77777777">
        <w:tc>
          <w:tcPr>
            <w:tcW w:w="992" w:type="dxa"/>
          </w:tcPr>
          <w:p w14:paraId="3A11B563" w14:textId="77777777" w:rsidR="00AF060B" w:rsidRPr="00C9343F" w:rsidRDefault="00AF060B" w:rsidP="00F66D98">
            <w:pPr>
              <w:pStyle w:val="BlockText-Plain"/>
              <w:jc w:val="center"/>
            </w:pPr>
            <w:r w:rsidRPr="00C9343F">
              <w:t>2.</w:t>
            </w:r>
          </w:p>
        </w:tc>
        <w:tc>
          <w:tcPr>
            <w:tcW w:w="8363" w:type="dxa"/>
            <w:gridSpan w:val="2"/>
          </w:tcPr>
          <w:p w14:paraId="546856CE" w14:textId="77777777" w:rsidR="00AF060B" w:rsidRPr="00C9343F" w:rsidRDefault="00AF060B" w:rsidP="00F66D98">
            <w:pPr>
              <w:pStyle w:val="BlockText-Plain"/>
            </w:pPr>
            <w:r w:rsidRPr="00C9343F">
              <w:t xml:space="preserve">Alternatively, the </w:t>
            </w:r>
            <w:r w:rsidR="0019090D" w:rsidRPr="00C9343F">
              <w:t>benefit</w:t>
            </w:r>
            <w:r w:rsidRPr="00C9343F">
              <w:t xml:space="preserve"> will be paid as specifically provided for under another Chapter.</w:t>
            </w:r>
          </w:p>
        </w:tc>
      </w:tr>
    </w:tbl>
    <w:p w14:paraId="6D5DAC8E" w14:textId="456B25A2" w:rsidR="00AF060B" w:rsidRPr="00C9343F" w:rsidRDefault="00AF060B" w:rsidP="00F66D98">
      <w:pPr>
        <w:pStyle w:val="Heading5"/>
      </w:pPr>
      <w:bookmarkStart w:id="237" w:name="_Toc105053598"/>
      <w:bookmarkStart w:id="238" w:name="bk120547PM13xPaymentofamounttoapersonun"/>
      <w:bookmarkStart w:id="239" w:name="bk120613PM13xPaymentofamounttoapersonun"/>
      <w:bookmarkStart w:id="240" w:name="bk120650PM13xPaymentofamounttoapersonun"/>
      <w:bookmarkStart w:id="241" w:name="bk112431AM15xPaymentofamounttoapersonun"/>
      <w:bookmarkStart w:id="242" w:name="bk33043PM193Paymentofamounttoapersonund"/>
      <w:bookmarkStart w:id="243" w:name="bk94128173Paymentofamounttoapersonunder"/>
      <w:bookmarkStart w:id="244" w:name="bk150407163Paymentofamounttoapersonunde"/>
      <w:r w:rsidRPr="00C9343F">
        <w:t>1.6.3</w:t>
      </w:r>
      <w:r w:rsidR="00D94006" w:rsidRPr="00C9343F">
        <w:t>    </w:t>
      </w:r>
      <w:r w:rsidRPr="00C9343F">
        <w:t>Payment of amount to a person under legal disability</w:t>
      </w:r>
      <w:bookmarkEnd w:id="237"/>
    </w:p>
    <w:tbl>
      <w:tblPr>
        <w:tblW w:w="0" w:type="auto"/>
        <w:tblInd w:w="113" w:type="dxa"/>
        <w:tblLayout w:type="fixed"/>
        <w:tblLook w:val="0000" w:firstRow="0" w:lastRow="0" w:firstColumn="0" w:lastColumn="0" w:noHBand="0" w:noVBand="0"/>
      </w:tblPr>
      <w:tblGrid>
        <w:gridCol w:w="992"/>
        <w:gridCol w:w="567"/>
        <w:gridCol w:w="7796"/>
      </w:tblGrid>
      <w:tr w:rsidR="00AF060B" w:rsidRPr="00C9343F" w14:paraId="21D960A9" w14:textId="77777777">
        <w:tc>
          <w:tcPr>
            <w:tcW w:w="992" w:type="dxa"/>
          </w:tcPr>
          <w:bookmarkEnd w:id="238"/>
          <w:bookmarkEnd w:id="239"/>
          <w:bookmarkEnd w:id="240"/>
          <w:bookmarkEnd w:id="241"/>
          <w:bookmarkEnd w:id="242"/>
          <w:bookmarkEnd w:id="243"/>
          <w:bookmarkEnd w:id="244"/>
          <w:p w14:paraId="3DB1A944" w14:textId="77777777" w:rsidR="00AF060B" w:rsidRPr="00C9343F" w:rsidRDefault="00AF060B" w:rsidP="00F66D98">
            <w:pPr>
              <w:pStyle w:val="BlockText-Plain"/>
              <w:jc w:val="center"/>
            </w:pPr>
            <w:r w:rsidRPr="00C9343F">
              <w:t>1.</w:t>
            </w:r>
          </w:p>
        </w:tc>
        <w:tc>
          <w:tcPr>
            <w:tcW w:w="8363" w:type="dxa"/>
            <w:gridSpan w:val="2"/>
          </w:tcPr>
          <w:p w14:paraId="63B75BE9" w14:textId="77777777" w:rsidR="00AF060B" w:rsidRPr="00C9343F" w:rsidRDefault="00AF060B" w:rsidP="00F66D98">
            <w:pPr>
              <w:pStyle w:val="BlockText-Plain"/>
            </w:pPr>
            <w:r w:rsidRPr="00C9343F">
              <w:t xml:space="preserve">This </w:t>
            </w:r>
            <w:r w:rsidR="00580C86" w:rsidRPr="00C9343F">
              <w:t>section</w:t>
            </w:r>
            <w:r w:rsidRPr="00C9343F">
              <w:t xml:space="preserve"> applies if an amount is payable to a person who has a legal disability.</w:t>
            </w:r>
          </w:p>
          <w:p w14:paraId="0C4DDB0E" w14:textId="77777777" w:rsidR="00AF060B" w:rsidRPr="00C9343F" w:rsidRDefault="00AF060B" w:rsidP="00F66D98">
            <w:pPr>
              <w:pStyle w:val="BlockText-Plain"/>
            </w:pPr>
            <w:r w:rsidRPr="00C9343F">
              <w:rPr>
                <w:b/>
              </w:rPr>
              <w:t>Examples:</w:t>
            </w:r>
            <w:r w:rsidRPr="00C9343F">
              <w:t xml:space="preserve"> A child under 18 years old. A member who is seriously injured and unable to act on their own behalf.</w:t>
            </w:r>
          </w:p>
        </w:tc>
      </w:tr>
      <w:tr w:rsidR="00AF060B" w:rsidRPr="00C9343F" w14:paraId="66E9D333" w14:textId="77777777">
        <w:tc>
          <w:tcPr>
            <w:tcW w:w="992" w:type="dxa"/>
          </w:tcPr>
          <w:p w14:paraId="2B5DEC31" w14:textId="77777777" w:rsidR="00AF060B" w:rsidRPr="00C9343F" w:rsidRDefault="00AF060B" w:rsidP="00F66D98">
            <w:pPr>
              <w:pStyle w:val="BlockText-Plain"/>
              <w:jc w:val="center"/>
            </w:pPr>
            <w:r w:rsidRPr="00C9343F">
              <w:t>2.</w:t>
            </w:r>
          </w:p>
        </w:tc>
        <w:tc>
          <w:tcPr>
            <w:tcW w:w="8363" w:type="dxa"/>
            <w:gridSpan w:val="2"/>
          </w:tcPr>
          <w:p w14:paraId="4D3AE180" w14:textId="77777777" w:rsidR="00AF060B" w:rsidRPr="00C9343F" w:rsidRDefault="00AF060B" w:rsidP="00F66D98">
            <w:pPr>
              <w:pStyle w:val="BlockText-Plain"/>
            </w:pPr>
            <w:r w:rsidRPr="00C9343F">
              <w:t>The amount may be paid to a trustee appointed by the CDF to act on behalf of the person. The CDF must consider any instructions the member gave before the legal disability began.</w:t>
            </w:r>
          </w:p>
        </w:tc>
      </w:tr>
      <w:tr w:rsidR="00AF060B" w:rsidRPr="00C9343F" w14:paraId="17C503D0" w14:textId="77777777">
        <w:tc>
          <w:tcPr>
            <w:tcW w:w="992" w:type="dxa"/>
          </w:tcPr>
          <w:p w14:paraId="3358345A" w14:textId="77777777" w:rsidR="00AF060B" w:rsidRPr="00C9343F" w:rsidRDefault="00AF060B" w:rsidP="00F66D98">
            <w:pPr>
              <w:pStyle w:val="BlockText-Plain"/>
              <w:jc w:val="center"/>
            </w:pPr>
            <w:r w:rsidRPr="00C9343F">
              <w:t>3.</w:t>
            </w:r>
          </w:p>
        </w:tc>
        <w:tc>
          <w:tcPr>
            <w:tcW w:w="8363" w:type="dxa"/>
            <w:gridSpan w:val="2"/>
          </w:tcPr>
          <w:p w14:paraId="59DD3EF4" w14:textId="77777777" w:rsidR="00AF060B" w:rsidRPr="00C9343F" w:rsidRDefault="00AF060B" w:rsidP="00F66D98">
            <w:pPr>
              <w:pStyle w:val="BlockText-Plain"/>
            </w:pPr>
            <w:r w:rsidRPr="00C9343F">
              <w:t>Both these conditions apply to an amount paid to a trustee under sub</w:t>
            </w:r>
            <w:r w:rsidR="00580C86" w:rsidRPr="00C9343F">
              <w:t>section</w:t>
            </w:r>
            <w:r w:rsidRPr="00C9343F">
              <w:t xml:space="preserve"> 2.</w:t>
            </w:r>
          </w:p>
        </w:tc>
      </w:tr>
      <w:tr w:rsidR="00AF060B" w:rsidRPr="00C9343F" w14:paraId="47DA0D30" w14:textId="77777777">
        <w:trPr>
          <w:cantSplit/>
        </w:trPr>
        <w:tc>
          <w:tcPr>
            <w:tcW w:w="992" w:type="dxa"/>
          </w:tcPr>
          <w:p w14:paraId="7C300EFC" w14:textId="77777777" w:rsidR="00AF060B" w:rsidRPr="00C9343F" w:rsidRDefault="00AF060B" w:rsidP="00F66D98">
            <w:pPr>
              <w:pStyle w:val="BlockText-Plain"/>
            </w:pPr>
          </w:p>
        </w:tc>
        <w:tc>
          <w:tcPr>
            <w:tcW w:w="567" w:type="dxa"/>
          </w:tcPr>
          <w:p w14:paraId="5ABBE43D" w14:textId="77777777" w:rsidR="00AF060B" w:rsidRPr="00C9343F" w:rsidRDefault="00AF060B" w:rsidP="007114B1">
            <w:pPr>
              <w:pStyle w:val="BlockText-Plain"/>
              <w:jc w:val="center"/>
            </w:pPr>
            <w:r w:rsidRPr="00C9343F">
              <w:t>a.</w:t>
            </w:r>
          </w:p>
        </w:tc>
        <w:tc>
          <w:tcPr>
            <w:tcW w:w="7796" w:type="dxa"/>
          </w:tcPr>
          <w:p w14:paraId="752FDA63" w14:textId="77777777" w:rsidR="00AF060B" w:rsidRPr="00C9343F" w:rsidRDefault="00AF060B" w:rsidP="00F66D98">
            <w:pPr>
              <w:pStyle w:val="BlockText-Plain"/>
            </w:pPr>
            <w:r w:rsidRPr="00C9343F">
              <w:t>The trustee will hold it on trust for the benefit of the person in accordance with any directions of the CDF.</w:t>
            </w:r>
          </w:p>
        </w:tc>
      </w:tr>
      <w:tr w:rsidR="00AF060B" w:rsidRPr="00C9343F" w14:paraId="682F44EE" w14:textId="77777777">
        <w:trPr>
          <w:cantSplit/>
        </w:trPr>
        <w:tc>
          <w:tcPr>
            <w:tcW w:w="992" w:type="dxa"/>
          </w:tcPr>
          <w:p w14:paraId="1338C2C8" w14:textId="77777777" w:rsidR="00AF060B" w:rsidRPr="00C9343F" w:rsidRDefault="00AF060B" w:rsidP="00F66D98">
            <w:pPr>
              <w:pStyle w:val="BlockText-Plain"/>
            </w:pPr>
          </w:p>
        </w:tc>
        <w:tc>
          <w:tcPr>
            <w:tcW w:w="567" w:type="dxa"/>
          </w:tcPr>
          <w:p w14:paraId="03952C0E" w14:textId="77777777" w:rsidR="00AF060B" w:rsidRPr="00C9343F" w:rsidRDefault="00AF060B" w:rsidP="007114B1">
            <w:pPr>
              <w:pStyle w:val="BlockText-Plain"/>
              <w:jc w:val="center"/>
            </w:pPr>
            <w:r w:rsidRPr="00C9343F">
              <w:t>b.</w:t>
            </w:r>
          </w:p>
        </w:tc>
        <w:tc>
          <w:tcPr>
            <w:tcW w:w="7796" w:type="dxa"/>
          </w:tcPr>
          <w:p w14:paraId="0CC7CDCF" w14:textId="77777777" w:rsidR="00AF060B" w:rsidRPr="00C9343F" w:rsidRDefault="00AF060B" w:rsidP="00F66D98">
            <w:pPr>
              <w:pStyle w:val="BlockText-Plain"/>
            </w:pPr>
            <w:r w:rsidRPr="00C9343F">
              <w:t>It is taken to have been paid to the person.</w:t>
            </w:r>
          </w:p>
        </w:tc>
      </w:tr>
    </w:tbl>
    <w:p w14:paraId="78744A48" w14:textId="29DB7B1A" w:rsidR="00AF060B" w:rsidRPr="00C9343F" w:rsidRDefault="00AF060B" w:rsidP="00F66D98">
      <w:pPr>
        <w:pStyle w:val="Heading5"/>
      </w:pPr>
      <w:bookmarkStart w:id="245" w:name="_Toc105053599"/>
      <w:bookmarkStart w:id="246" w:name="bk120547PM13xPaymentofamountsondeathofa"/>
      <w:bookmarkStart w:id="247" w:name="bk120613PM13xPaymentofamountsondeathofa"/>
      <w:bookmarkStart w:id="248" w:name="bk120651PM13xPaymentofamountsondeathofa"/>
      <w:bookmarkStart w:id="249" w:name="bk112431AM15xPaymentofamountsondeathofa"/>
      <w:bookmarkStart w:id="250" w:name="bk33043PM194Paymentofamountsondeathofam"/>
      <w:bookmarkStart w:id="251" w:name="bk94128174Paymentofamountsondeathofamem"/>
      <w:bookmarkStart w:id="252" w:name="bk150407164Paymentofamountsondeathofame"/>
      <w:r w:rsidRPr="00C9343F">
        <w:t>1.6.4</w:t>
      </w:r>
      <w:r w:rsidR="00D94006" w:rsidRPr="00C9343F">
        <w:t>    </w:t>
      </w:r>
      <w:r w:rsidRPr="00C9343F">
        <w:t>Payment of amounts on death of a member</w:t>
      </w:r>
      <w:bookmarkEnd w:id="245"/>
    </w:p>
    <w:tbl>
      <w:tblPr>
        <w:tblW w:w="9359" w:type="dxa"/>
        <w:tblInd w:w="113" w:type="dxa"/>
        <w:tblLayout w:type="fixed"/>
        <w:tblLook w:val="0000" w:firstRow="0" w:lastRow="0" w:firstColumn="0" w:lastColumn="0" w:noHBand="0" w:noVBand="0"/>
      </w:tblPr>
      <w:tblGrid>
        <w:gridCol w:w="992"/>
        <w:gridCol w:w="567"/>
        <w:gridCol w:w="567"/>
        <w:gridCol w:w="7233"/>
      </w:tblGrid>
      <w:tr w:rsidR="00AF060B" w:rsidRPr="00C9343F" w14:paraId="17766D83" w14:textId="77777777" w:rsidTr="00C30AE5">
        <w:tc>
          <w:tcPr>
            <w:tcW w:w="992" w:type="dxa"/>
          </w:tcPr>
          <w:bookmarkEnd w:id="246"/>
          <w:bookmarkEnd w:id="247"/>
          <w:bookmarkEnd w:id="248"/>
          <w:bookmarkEnd w:id="249"/>
          <w:bookmarkEnd w:id="250"/>
          <w:bookmarkEnd w:id="251"/>
          <w:bookmarkEnd w:id="252"/>
          <w:p w14:paraId="2052949C" w14:textId="77777777" w:rsidR="00AF060B" w:rsidRPr="00C9343F" w:rsidRDefault="00AF060B" w:rsidP="00F66D98">
            <w:pPr>
              <w:pStyle w:val="BlockText-Plain"/>
              <w:jc w:val="center"/>
            </w:pPr>
            <w:r w:rsidRPr="00C9343F">
              <w:t>1.</w:t>
            </w:r>
          </w:p>
        </w:tc>
        <w:tc>
          <w:tcPr>
            <w:tcW w:w="8367" w:type="dxa"/>
            <w:gridSpan w:val="3"/>
          </w:tcPr>
          <w:p w14:paraId="1B1BE03E" w14:textId="77777777" w:rsidR="00AF060B" w:rsidRPr="00C9343F" w:rsidRDefault="00AF060B" w:rsidP="00F66D98">
            <w:pPr>
              <w:pStyle w:val="BlockText-Plain"/>
            </w:pPr>
            <w:r w:rsidRPr="00C9343F">
              <w:t>An amount payable to a member on their death may be paid to either of these parties.</w:t>
            </w:r>
          </w:p>
        </w:tc>
      </w:tr>
      <w:tr w:rsidR="00AF060B" w:rsidRPr="00C9343F" w14:paraId="03D73229" w14:textId="77777777" w:rsidTr="00C30AE5">
        <w:trPr>
          <w:cantSplit/>
        </w:trPr>
        <w:tc>
          <w:tcPr>
            <w:tcW w:w="992" w:type="dxa"/>
          </w:tcPr>
          <w:p w14:paraId="3553FCE7" w14:textId="77777777" w:rsidR="00AF060B" w:rsidRPr="00C9343F" w:rsidRDefault="00AF060B" w:rsidP="00F66D98">
            <w:pPr>
              <w:pStyle w:val="BlockText-Plain"/>
            </w:pPr>
          </w:p>
        </w:tc>
        <w:tc>
          <w:tcPr>
            <w:tcW w:w="567" w:type="dxa"/>
          </w:tcPr>
          <w:p w14:paraId="7219FA3D" w14:textId="77777777" w:rsidR="00AF060B" w:rsidRPr="00C9343F" w:rsidRDefault="00AF060B" w:rsidP="007114B1">
            <w:pPr>
              <w:pStyle w:val="BlockText-Plain"/>
              <w:jc w:val="center"/>
            </w:pPr>
            <w:r w:rsidRPr="00C9343F">
              <w:t>a.</w:t>
            </w:r>
          </w:p>
        </w:tc>
        <w:tc>
          <w:tcPr>
            <w:tcW w:w="7800" w:type="dxa"/>
            <w:gridSpan w:val="2"/>
          </w:tcPr>
          <w:p w14:paraId="69A1EB92" w14:textId="77777777" w:rsidR="00AF060B" w:rsidRPr="00C9343F" w:rsidRDefault="00AF060B" w:rsidP="00F66D98">
            <w:pPr>
              <w:pStyle w:val="BlockText-Plain"/>
            </w:pPr>
            <w:r w:rsidRPr="00C9343F">
              <w:t>The member’s dependants.</w:t>
            </w:r>
          </w:p>
        </w:tc>
      </w:tr>
      <w:tr w:rsidR="00AF060B" w:rsidRPr="00C9343F" w14:paraId="768D69E3" w14:textId="77777777" w:rsidTr="00C30AE5">
        <w:trPr>
          <w:cantSplit/>
        </w:trPr>
        <w:tc>
          <w:tcPr>
            <w:tcW w:w="992" w:type="dxa"/>
          </w:tcPr>
          <w:p w14:paraId="71ABF481" w14:textId="77777777" w:rsidR="00AF060B" w:rsidRPr="00C9343F" w:rsidRDefault="00AF060B" w:rsidP="00F66D98">
            <w:pPr>
              <w:pStyle w:val="BlockText-Plain"/>
            </w:pPr>
          </w:p>
        </w:tc>
        <w:tc>
          <w:tcPr>
            <w:tcW w:w="567" w:type="dxa"/>
          </w:tcPr>
          <w:p w14:paraId="6CD0001B" w14:textId="77777777" w:rsidR="00AF060B" w:rsidRPr="00C9343F" w:rsidRDefault="00AF060B" w:rsidP="007114B1">
            <w:pPr>
              <w:pStyle w:val="BlockText-Plain"/>
              <w:jc w:val="center"/>
            </w:pPr>
            <w:r w:rsidRPr="00C9343F">
              <w:t>b.</w:t>
            </w:r>
          </w:p>
        </w:tc>
        <w:tc>
          <w:tcPr>
            <w:tcW w:w="7800" w:type="dxa"/>
            <w:gridSpan w:val="2"/>
          </w:tcPr>
          <w:p w14:paraId="02A106C5" w14:textId="77777777" w:rsidR="00AF060B" w:rsidRPr="00C9343F" w:rsidRDefault="00AF060B" w:rsidP="00F66D98">
            <w:pPr>
              <w:pStyle w:val="BlockText-Plain"/>
            </w:pPr>
            <w:r w:rsidRPr="00C9343F">
              <w:t>The member’s legal personal representative, if both these conditions are met.</w:t>
            </w:r>
          </w:p>
        </w:tc>
      </w:tr>
      <w:tr w:rsidR="00AF060B" w:rsidRPr="00C9343F" w14:paraId="65B23A06" w14:textId="77777777" w:rsidTr="00C30AE5">
        <w:trPr>
          <w:cantSplit/>
        </w:trPr>
        <w:tc>
          <w:tcPr>
            <w:tcW w:w="1559" w:type="dxa"/>
            <w:gridSpan w:val="2"/>
          </w:tcPr>
          <w:p w14:paraId="2A241DC2" w14:textId="77777777" w:rsidR="00AF060B" w:rsidRPr="00C9343F" w:rsidRDefault="00AF060B" w:rsidP="00F66D98">
            <w:pPr>
              <w:pStyle w:val="BlockText-Plain"/>
            </w:pPr>
          </w:p>
        </w:tc>
        <w:tc>
          <w:tcPr>
            <w:tcW w:w="567" w:type="dxa"/>
          </w:tcPr>
          <w:p w14:paraId="4696626F" w14:textId="77777777" w:rsidR="00AF060B" w:rsidRPr="00C9343F" w:rsidRDefault="00AF060B" w:rsidP="007114B1">
            <w:pPr>
              <w:pStyle w:val="BlockText-Plain"/>
            </w:pPr>
            <w:r w:rsidRPr="00C9343F">
              <w:t>i.</w:t>
            </w:r>
          </w:p>
        </w:tc>
        <w:tc>
          <w:tcPr>
            <w:tcW w:w="7233" w:type="dxa"/>
          </w:tcPr>
          <w:p w14:paraId="124B16B1" w14:textId="77777777" w:rsidR="00AF060B" w:rsidRPr="00C9343F" w:rsidRDefault="00AF060B" w:rsidP="00F66D98">
            <w:pPr>
              <w:pStyle w:val="BlockText-Plain"/>
            </w:pPr>
            <w:r w:rsidRPr="00C9343F">
              <w:t>The member has no dependant.</w:t>
            </w:r>
          </w:p>
        </w:tc>
      </w:tr>
      <w:tr w:rsidR="00AF060B" w:rsidRPr="00C9343F" w14:paraId="267E31BC" w14:textId="77777777" w:rsidTr="00C30AE5">
        <w:trPr>
          <w:cantSplit/>
        </w:trPr>
        <w:tc>
          <w:tcPr>
            <w:tcW w:w="1559" w:type="dxa"/>
            <w:gridSpan w:val="2"/>
          </w:tcPr>
          <w:p w14:paraId="0168DB17" w14:textId="77777777" w:rsidR="00AF060B" w:rsidRPr="00C9343F" w:rsidRDefault="00AF060B" w:rsidP="00F66D98">
            <w:pPr>
              <w:pStyle w:val="BlockText-Plain"/>
            </w:pPr>
          </w:p>
        </w:tc>
        <w:tc>
          <w:tcPr>
            <w:tcW w:w="567" w:type="dxa"/>
          </w:tcPr>
          <w:p w14:paraId="2EA9ABD7" w14:textId="77777777" w:rsidR="00AF060B" w:rsidRPr="00C9343F" w:rsidRDefault="00AF060B" w:rsidP="007114B1">
            <w:pPr>
              <w:pStyle w:val="BlockText-Plain"/>
            </w:pPr>
            <w:r w:rsidRPr="00C9343F">
              <w:t>ii.</w:t>
            </w:r>
          </w:p>
        </w:tc>
        <w:tc>
          <w:tcPr>
            <w:tcW w:w="7233" w:type="dxa"/>
          </w:tcPr>
          <w:p w14:paraId="3E323092" w14:textId="77777777" w:rsidR="00AF060B" w:rsidRPr="00C9343F" w:rsidRDefault="00AF060B" w:rsidP="00F66D98">
            <w:pPr>
              <w:pStyle w:val="BlockText-Plain"/>
            </w:pPr>
            <w:r w:rsidRPr="00C9343F">
              <w:t>The CDF considers it appropriate.</w:t>
            </w:r>
          </w:p>
        </w:tc>
      </w:tr>
      <w:tr w:rsidR="00AF060B" w:rsidRPr="00C9343F" w14:paraId="5558F9C1" w14:textId="77777777" w:rsidTr="00C30AE5">
        <w:tc>
          <w:tcPr>
            <w:tcW w:w="992" w:type="dxa"/>
          </w:tcPr>
          <w:p w14:paraId="01979D78" w14:textId="77777777" w:rsidR="00AF060B" w:rsidRPr="00C9343F" w:rsidRDefault="00AF060B" w:rsidP="00F66D98">
            <w:pPr>
              <w:pStyle w:val="BlockText-Plain"/>
              <w:jc w:val="center"/>
            </w:pPr>
            <w:r w:rsidRPr="00C9343F">
              <w:t>2.</w:t>
            </w:r>
          </w:p>
        </w:tc>
        <w:tc>
          <w:tcPr>
            <w:tcW w:w="8367" w:type="dxa"/>
            <w:gridSpan w:val="3"/>
          </w:tcPr>
          <w:p w14:paraId="3080B97F" w14:textId="77777777" w:rsidR="00AF060B" w:rsidRPr="00C9343F" w:rsidRDefault="00AF060B" w:rsidP="00F66D98">
            <w:pPr>
              <w:pStyle w:val="BlockText-Plain"/>
            </w:pPr>
            <w:r w:rsidRPr="00C9343F">
              <w:t>The amount may be payable to more than one dependant. In this case, the CDF must consider the losses each dependant suffers through the loss of the member's earnings.</w:t>
            </w:r>
          </w:p>
        </w:tc>
      </w:tr>
      <w:tr w:rsidR="00AF060B" w:rsidRPr="00C9343F" w14:paraId="5BE0DDAF" w14:textId="77777777" w:rsidTr="00C30AE5">
        <w:tc>
          <w:tcPr>
            <w:tcW w:w="992" w:type="dxa"/>
          </w:tcPr>
          <w:p w14:paraId="5172446E" w14:textId="77777777" w:rsidR="00AF060B" w:rsidRPr="00C9343F" w:rsidRDefault="00AF060B" w:rsidP="00F66D98">
            <w:pPr>
              <w:pStyle w:val="BlockText-Plain"/>
              <w:jc w:val="center"/>
            </w:pPr>
            <w:r w:rsidRPr="00C9343F">
              <w:t>3.</w:t>
            </w:r>
          </w:p>
        </w:tc>
        <w:tc>
          <w:tcPr>
            <w:tcW w:w="8367" w:type="dxa"/>
            <w:gridSpan w:val="3"/>
          </w:tcPr>
          <w:p w14:paraId="27B813EB" w14:textId="77777777" w:rsidR="00AF060B" w:rsidRPr="00C9343F" w:rsidRDefault="00AF060B" w:rsidP="00F66D98">
            <w:pPr>
              <w:pStyle w:val="BlockText-Plain"/>
            </w:pPr>
            <w:r w:rsidRPr="00C9343F">
              <w:t>A payment should be made under sub</w:t>
            </w:r>
            <w:r w:rsidR="00580C86" w:rsidRPr="00C9343F">
              <w:t>section</w:t>
            </w:r>
            <w:r w:rsidRPr="00C9343F">
              <w:t xml:space="preserve"> 1 within 12 months after the member’s death. If it is not, the amount must be paid to the member’s legal personal representative.</w:t>
            </w:r>
          </w:p>
        </w:tc>
      </w:tr>
      <w:tr w:rsidR="00AF060B" w:rsidRPr="00C9343F" w14:paraId="70775CDF" w14:textId="77777777" w:rsidTr="00C30AE5">
        <w:tc>
          <w:tcPr>
            <w:tcW w:w="992" w:type="dxa"/>
          </w:tcPr>
          <w:p w14:paraId="5CA56F12" w14:textId="77777777" w:rsidR="00AF060B" w:rsidRPr="00C9343F" w:rsidRDefault="00AF060B" w:rsidP="00F66D98">
            <w:pPr>
              <w:pStyle w:val="BlockText-Plain"/>
              <w:jc w:val="center"/>
            </w:pPr>
            <w:r w:rsidRPr="00C9343F">
              <w:t>4.</w:t>
            </w:r>
          </w:p>
        </w:tc>
        <w:tc>
          <w:tcPr>
            <w:tcW w:w="8367" w:type="dxa"/>
            <w:gridSpan w:val="3"/>
          </w:tcPr>
          <w:p w14:paraId="51A2DFFA" w14:textId="77777777" w:rsidR="00AF060B" w:rsidRPr="00C9343F" w:rsidRDefault="00AF060B" w:rsidP="00F66D98">
            <w:pPr>
              <w:pStyle w:val="BlockText-Plain"/>
            </w:pPr>
            <w:r w:rsidRPr="00C9343F">
              <w:t xml:space="preserve">If no-one is </w:t>
            </w:r>
            <w:r w:rsidR="0019090D" w:rsidRPr="00C9343F">
              <w:t>eligible for</w:t>
            </w:r>
            <w:r w:rsidRPr="00C9343F">
              <w:t xml:space="preserve"> a payable amount, no payment will be authorised.</w:t>
            </w:r>
          </w:p>
        </w:tc>
      </w:tr>
    </w:tbl>
    <w:p w14:paraId="2E32DC29" w14:textId="2EE0BFB1" w:rsidR="005756BB" w:rsidRPr="00C9343F" w:rsidRDefault="005756BB" w:rsidP="00F66D98">
      <w:pPr>
        <w:pStyle w:val="Heading5"/>
      </w:pPr>
      <w:bookmarkStart w:id="253" w:name="_Toc105053600"/>
      <w:r w:rsidRPr="00C9343F">
        <w:t>1.6.5</w:t>
      </w:r>
      <w:r w:rsidR="00D94006" w:rsidRPr="00C9343F">
        <w:t>    </w:t>
      </w:r>
      <w:r w:rsidRPr="00C9343F">
        <w:t>Effect of death on eligibility for salary and allowances</w:t>
      </w:r>
      <w:bookmarkEnd w:id="253"/>
    </w:p>
    <w:tbl>
      <w:tblPr>
        <w:tblW w:w="9359" w:type="dxa"/>
        <w:tblInd w:w="113" w:type="dxa"/>
        <w:tblLayout w:type="fixed"/>
        <w:tblLook w:val="0000" w:firstRow="0" w:lastRow="0" w:firstColumn="0" w:lastColumn="0" w:noHBand="0" w:noVBand="0"/>
      </w:tblPr>
      <w:tblGrid>
        <w:gridCol w:w="992"/>
        <w:gridCol w:w="567"/>
        <w:gridCol w:w="7800"/>
      </w:tblGrid>
      <w:tr w:rsidR="005756BB" w:rsidRPr="00C9343F" w14:paraId="33967EF3" w14:textId="77777777" w:rsidTr="005C1173">
        <w:tc>
          <w:tcPr>
            <w:tcW w:w="992" w:type="dxa"/>
          </w:tcPr>
          <w:p w14:paraId="7034E230" w14:textId="77777777" w:rsidR="005756BB" w:rsidRPr="00C9343F" w:rsidRDefault="005756BB" w:rsidP="00F66D98">
            <w:pPr>
              <w:pStyle w:val="BlockText-Plain"/>
              <w:jc w:val="center"/>
            </w:pPr>
            <w:r w:rsidRPr="00C9343F">
              <w:t>1.</w:t>
            </w:r>
          </w:p>
        </w:tc>
        <w:tc>
          <w:tcPr>
            <w:tcW w:w="8367" w:type="dxa"/>
            <w:gridSpan w:val="2"/>
          </w:tcPr>
          <w:p w14:paraId="37D64EB6" w14:textId="77777777" w:rsidR="005756BB" w:rsidRPr="00C9343F" w:rsidRDefault="005756BB" w:rsidP="00F66D98">
            <w:pPr>
              <w:pStyle w:val="BlockText-Plain"/>
            </w:pPr>
            <w:r w:rsidRPr="00C9343F">
              <w:t>For the purpose of payment of salary or allowances, a member is taken to have ceased continuous full-time service when the member is in either of the following situations.</w:t>
            </w:r>
          </w:p>
        </w:tc>
      </w:tr>
      <w:tr w:rsidR="005756BB" w:rsidRPr="00C9343F" w14:paraId="14252300" w14:textId="77777777" w:rsidTr="005C1173">
        <w:trPr>
          <w:cantSplit/>
        </w:trPr>
        <w:tc>
          <w:tcPr>
            <w:tcW w:w="992" w:type="dxa"/>
          </w:tcPr>
          <w:p w14:paraId="2F90FA28" w14:textId="77777777" w:rsidR="005756BB" w:rsidRPr="00C9343F" w:rsidRDefault="005756BB" w:rsidP="00F66D98">
            <w:pPr>
              <w:pStyle w:val="BlockText-Plain"/>
            </w:pPr>
          </w:p>
        </w:tc>
        <w:tc>
          <w:tcPr>
            <w:tcW w:w="567" w:type="dxa"/>
          </w:tcPr>
          <w:p w14:paraId="67D9AE1D" w14:textId="77777777" w:rsidR="005756BB" w:rsidRPr="00C9343F" w:rsidRDefault="005756BB" w:rsidP="007114B1">
            <w:pPr>
              <w:pStyle w:val="BlockText-Plain"/>
              <w:jc w:val="center"/>
            </w:pPr>
            <w:r w:rsidRPr="00C9343F">
              <w:t>a.</w:t>
            </w:r>
          </w:p>
        </w:tc>
        <w:tc>
          <w:tcPr>
            <w:tcW w:w="7800" w:type="dxa"/>
          </w:tcPr>
          <w:p w14:paraId="24F989B8" w14:textId="77777777" w:rsidR="005756BB" w:rsidRPr="00C9343F" w:rsidRDefault="005756BB" w:rsidP="00F66D98">
            <w:pPr>
              <w:pStyle w:val="BlockText-Plain"/>
            </w:pPr>
            <w:r w:rsidRPr="00C9343F">
              <w:t>The member has died.</w:t>
            </w:r>
          </w:p>
        </w:tc>
      </w:tr>
      <w:tr w:rsidR="005756BB" w:rsidRPr="00C9343F" w14:paraId="0834A840" w14:textId="77777777" w:rsidTr="005C1173">
        <w:trPr>
          <w:cantSplit/>
        </w:trPr>
        <w:tc>
          <w:tcPr>
            <w:tcW w:w="992" w:type="dxa"/>
          </w:tcPr>
          <w:p w14:paraId="6FBC7197" w14:textId="77777777" w:rsidR="005756BB" w:rsidRPr="00C9343F" w:rsidRDefault="005756BB" w:rsidP="00F66D98">
            <w:pPr>
              <w:pStyle w:val="BlockText-Plain"/>
            </w:pPr>
          </w:p>
        </w:tc>
        <w:tc>
          <w:tcPr>
            <w:tcW w:w="567" w:type="dxa"/>
          </w:tcPr>
          <w:p w14:paraId="2B5EAFB5" w14:textId="77777777" w:rsidR="005756BB" w:rsidRPr="00C9343F" w:rsidRDefault="005756BB" w:rsidP="007114B1">
            <w:pPr>
              <w:pStyle w:val="BlockText-Plain"/>
              <w:jc w:val="center"/>
            </w:pPr>
            <w:r w:rsidRPr="00C9343F">
              <w:t>b.</w:t>
            </w:r>
          </w:p>
        </w:tc>
        <w:tc>
          <w:tcPr>
            <w:tcW w:w="7800" w:type="dxa"/>
          </w:tcPr>
          <w:p w14:paraId="6A878459" w14:textId="77777777" w:rsidR="005756BB" w:rsidRPr="00C9343F" w:rsidRDefault="005756BB" w:rsidP="00F66D98">
            <w:pPr>
              <w:pStyle w:val="BlockText-Plain"/>
            </w:pPr>
            <w:r w:rsidRPr="00C9343F">
              <w:t>The member is missing and presumed dead.</w:t>
            </w:r>
          </w:p>
          <w:p w14:paraId="6BED431D" w14:textId="77777777" w:rsidR="005756BB" w:rsidRPr="00C9343F" w:rsidRDefault="005756BB" w:rsidP="00F66D98">
            <w:pPr>
              <w:pStyle w:val="BlockText-Plain"/>
            </w:pPr>
            <w:r w:rsidRPr="00C9343F">
              <w:rPr>
                <w:b/>
              </w:rPr>
              <w:t>Exception:</w:t>
            </w:r>
            <w:r w:rsidRPr="00C9343F">
              <w:t xml:space="preserve"> If the member is later found alive, the period for which the member was missing is taken not to break their service.</w:t>
            </w:r>
          </w:p>
        </w:tc>
      </w:tr>
      <w:tr w:rsidR="005756BB" w:rsidRPr="00C9343F" w14:paraId="653E0C29" w14:textId="77777777" w:rsidTr="005C1173">
        <w:trPr>
          <w:cantSplit/>
        </w:trPr>
        <w:tc>
          <w:tcPr>
            <w:tcW w:w="992" w:type="dxa"/>
          </w:tcPr>
          <w:p w14:paraId="67274456" w14:textId="77777777" w:rsidR="005756BB" w:rsidRPr="00C9343F" w:rsidRDefault="005756BB" w:rsidP="00F66D98">
            <w:pPr>
              <w:pStyle w:val="BlockText-Plain"/>
            </w:pPr>
          </w:p>
        </w:tc>
        <w:tc>
          <w:tcPr>
            <w:tcW w:w="567" w:type="dxa"/>
          </w:tcPr>
          <w:p w14:paraId="68759412" w14:textId="77777777" w:rsidR="005756BB" w:rsidRPr="00C9343F" w:rsidRDefault="005756BB" w:rsidP="00F66D98">
            <w:pPr>
              <w:pStyle w:val="BlockText-Plain"/>
            </w:pPr>
          </w:p>
        </w:tc>
        <w:tc>
          <w:tcPr>
            <w:tcW w:w="7800" w:type="dxa"/>
          </w:tcPr>
          <w:p w14:paraId="01BE67E9" w14:textId="77777777" w:rsidR="005756BB" w:rsidRPr="00C9343F" w:rsidRDefault="005756BB" w:rsidP="00F66D98">
            <w:pPr>
              <w:pStyle w:val="BlockText-Plain"/>
            </w:pPr>
            <w:r w:rsidRPr="00C9343F">
              <w:rPr>
                <w:b/>
              </w:rPr>
              <w:t>Example:</w:t>
            </w:r>
            <w:r w:rsidRPr="00C9343F">
              <w:t xml:space="preserve"> A member was deployed on overseas service on 31 August 2010. </w:t>
            </w:r>
          </w:p>
          <w:p w14:paraId="00A5024E" w14:textId="77777777" w:rsidR="005756BB" w:rsidRPr="00C9343F" w:rsidRDefault="005756BB" w:rsidP="00F66D98">
            <w:pPr>
              <w:pStyle w:val="BlockText-Plain"/>
            </w:pPr>
            <w:r w:rsidRPr="00C9343F">
              <w:t>The member was reported missing, presumed dead, on 30 June 2011 but was later found alive on 30 April 2012.</w:t>
            </w:r>
          </w:p>
          <w:p w14:paraId="555627B4" w14:textId="77777777" w:rsidR="005756BB" w:rsidRPr="00C9343F" w:rsidRDefault="005756BB" w:rsidP="00F66D98">
            <w:pPr>
              <w:pStyle w:val="BlockText-Plain"/>
            </w:pPr>
            <w:r w:rsidRPr="00C9343F">
              <w:t>For the 10 months when the member was missing, presumed dead (30 June 2011 – 30 April 2012), they would not normally be entitled to payment of salary as their continuous full-time service was taken to have ceased. But because the member was later found, they were considered to be on continuous full-time</w:t>
            </w:r>
            <w:r w:rsidRPr="00C9343F">
              <w:rPr>
                <w:b/>
                <w:i/>
              </w:rPr>
              <w:t xml:space="preserve"> </w:t>
            </w:r>
            <w:r w:rsidRPr="00C9343F">
              <w:t>service for that period and therefore entitled to salary.</w:t>
            </w:r>
          </w:p>
        </w:tc>
      </w:tr>
      <w:tr w:rsidR="005756BB" w:rsidRPr="00C9343F" w14:paraId="1552C8FB" w14:textId="77777777" w:rsidTr="005C1173">
        <w:tc>
          <w:tcPr>
            <w:tcW w:w="992" w:type="dxa"/>
          </w:tcPr>
          <w:p w14:paraId="18655D95" w14:textId="77777777" w:rsidR="005756BB" w:rsidRPr="00C9343F" w:rsidRDefault="005756BB" w:rsidP="00F66D98">
            <w:pPr>
              <w:pStyle w:val="BlockText-Plain"/>
              <w:jc w:val="center"/>
            </w:pPr>
            <w:r w:rsidRPr="00C9343F">
              <w:t>2.</w:t>
            </w:r>
          </w:p>
        </w:tc>
        <w:tc>
          <w:tcPr>
            <w:tcW w:w="8367" w:type="dxa"/>
            <w:gridSpan w:val="2"/>
          </w:tcPr>
          <w:p w14:paraId="03C3EB0F" w14:textId="7090172B" w:rsidR="005756BB" w:rsidRPr="00C9343F" w:rsidRDefault="005756BB" w:rsidP="00F66D98">
            <w:pPr>
              <w:pStyle w:val="BlockText-Plain"/>
            </w:pPr>
            <w:r w:rsidRPr="00C9343F">
              <w:t xml:space="preserve">If a certificate of death has not been provided to state a date of death or presumed death for a member under a relevant Commonwealth, State or Territory law, then for the purpose of the benefits provided under this Determination, the CDF, a Service Chief or the </w:t>
            </w:r>
            <w:r w:rsidR="00F26D1E" w:rsidRPr="00C9343F">
              <w:t>Director General Defence Member and Family Support</w:t>
            </w:r>
            <w:r w:rsidRPr="00C9343F">
              <w:t xml:space="preserve"> may determine that a member died on a particular date.</w:t>
            </w:r>
          </w:p>
          <w:p w14:paraId="0E1D4E55" w14:textId="77777777" w:rsidR="005756BB" w:rsidRPr="00C9343F" w:rsidRDefault="005756BB" w:rsidP="00F66D98">
            <w:pPr>
              <w:pStyle w:val="BlockText-Plain"/>
            </w:pPr>
            <w:r w:rsidRPr="00C9343F">
              <w:rPr>
                <w:b/>
              </w:rPr>
              <w:t>See:</w:t>
            </w:r>
            <w:r w:rsidRPr="00C9343F">
              <w:t xml:space="preserve"> Chapter 11 Part 3, Payment of financial </w:t>
            </w:r>
            <w:r w:rsidR="0019090D" w:rsidRPr="00C9343F">
              <w:t>benefits</w:t>
            </w:r>
            <w:r w:rsidRPr="00C9343F">
              <w:t xml:space="preserve"> on death</w:t>
            </w:r>
          </w:p>
        </w:tc>
      </w:tr>
    </w:tbl>
    <w:p w14:paraId="69ABC196" w14:textId="63788BCD" w:rsidR="005C1173" w:rsidRPr="00C9343F" w:rsidRDefault="005C1173" w:rsidP="00773DC4">
      <w:pPr>
        <w:pStyle w:val="Heading3"/>
        <w:pageBreakBefore/>
      </w:pPr>
      <w:bookmarkStart w:id="254" w:name="_Toc32570633"/>
      <w:bookmarkStart w:id="255" w:name="_Toc105053601"/>
      <w:r w:rsidRPr="00C9343F">
        <w:lastRenderedPageBreak/>
        <w:t>Part 7: Imprisonment, detention and custody within Australia</w:t>
      </w:r>
      <w:bookmarkEnd w:id="254"/>
      <w:bookmarkEnd w:id="255"/>
    </w:p>
    <w:p w14:paraId="7D2E7F90" w14:textId="5FBA4BAF" w:rsidR="005C1173" w:rsidRPr="00C9343F" w:rsidRDefault="005C1173" w:rsidP="00F66D98">
      <w:pPr>
        <w:pStyle w:val="Heading5"/>
      </w:pPr>
      <w:bookmarkStart w:id="256" w:name="_Toc32570634"/>
      <w:bookmarkStart w:id="257" w:name="_Toc105053602"/>
      <w:r w:rsidRPr="00C9343F">
        <w:t>1.7.1</w:t>
      </w:r>
      <w:r w:rsidR="00D94006" w:rsidRPr="00C9343F">
        <w:t>    </w:t>
      </w:r>
      <w:r w:rsidRPr="00C9343F">
        <w:t>Purpose</w:t>
      </w:r>
      <w:bookmarkEnd w:id="256"/>
      <w:bookmarkEnd w:id="257"/>
    </w:p>
    <w:tbl>
      <w:tblPr>
        <w:tblW w:w="9359" w:type="dxa"/>
        <w:tblInd w:w="113" w:type="dxa"/>
        <w:tblLayout w:type="fixed"/>
        <w:tblLook w:val="0000" w:firstRow="0" w:lastRow="0" w:firstColumn="0" w:lastColumn="0" w:noHBand="0" w:noVBand="0"/>
      </w:tblPr>
      <w:tblGrid>
        <w:gridCol w:w="992"/>
        <w:gridCol w:w="8367"/>
      </w:tblGrid>
      <w:tr w:rsidR="005C1173" w:rsidRPr="00C9343F" w14:paraId="685260DC" w14:textId="77777777" w:rsidTr="00B02E82">
        <w:tc>
          <w:tcPr>
            <w:tcW w:w="992" w:type="dxa"/>
          </w:tcPr>
          <w:p w14:paraId="7BE0C2FA" w14:textId="77777777" w:rsidR="005C1173" w:rsidRPr="00C9343F" w:rsidRDefault="005C1173" w:rsidP="00F66D98">
            <w:pPr>
              <w:pStyle w:val="BlockText-Plain"/>
              <w:jc w:val="center"/>
            </w:pPr>
          </w:p>
        </w:tc>
        <w:tc>
          <w:tcPr>
            <w:tcW w:w="8367" w:type="dxa"/>
          </w:tcPr>
          <w:p w14:paraId="78A4E0D6" w14:textId="77777777" w:rsidR="005C1173" w:rsidRPr="00C9343F" w:rsidRDefault="005C1173" w:rsidP="00F66D98">
            <w:pPr>
              <w:pStyle w:val="BlockText-Plain"/>
              <w:rPr>
                <w:iCs/>
              </w:rPr>
            </w:pPr>
            <w:r w:rsidRPr="00C9343F">
              <w:rPr>
                <w:iCs/>
              </w:rPr>
              <w:t>This Part sets out what happens to a member’s salary and benefits during a period of imprisonment, detention or custody.</w:t>
            </w:r>
          </w:p>
        </w:tc>
      </w:tr>
    </w:tbl>
    <w:p w14:paraId="3B5AC026" w14:textId="41966E57" w:rsidR="005C1173" w:rsidRPr="00C9343F" w:rsidRDefault="005C1173" w:rsidP="00F66D98">
      <w:pPr>
        <w:pStyle w:val="Heading5"/>
      </w:pPr>
      <w:bookmarkStart w:id="258" w:name="_Toc32570635"/>
      <w:bookmarkStart w:id="259" w:name="_Toc105053603"/>
      <w:r w:rsidRPr="00C9343F">
        <w:t>1.7.2</w:t>
      </w:r>
      <w:r w:rsidR="00D94006" w:rsidRPr="00C9343F">
        <w:t>    </w:t>
      </w:r>
      <w:r w:rsidRPr="00C9343F">
        <w:t>Member this Part applies to</w:t>
      </w:r>
      <w:bookmarkEnd w:id="258"/>
      <w:bookmarkEnd w:id="259"/>
    </w:p>
    <w:tbl>
      <w:tblPr>
        <w:tblW w:w="9359" w:type="dxa"/>
        <w:tblInd w:w="113" w:type="dxa"/>
        <w:tblLayout w:type="fixed"/>
        <w:tblLook w:val="0000" w:firstRow="0" w:lastRow="0" w:firstColumn="0" w:lastColumn="0" w:noHBand="0" w:noVBand="0"/>
      </w:tblPr>
      <w:tblGrid>
        <w:gridCol w:w="992"/>
        <w:gridCol w:w="8367"/>
      </w:tblGrid>
      <w:tr w:rsidR="005C1173" w:rsidRPr="00C9343F" w14:paraId="7AC83356" w14:textId="77777777" w:rsidTr="00B02E82">
        <w:tc>
          <w:tcPr>
            <w:tcW w:w="992" w:type="dxa"/>
          </w:tcPr>
          <w:p w14:paraId="238A3EAF" w14:textId="77777777" w:rsidR="005C1173" w:rsidRPr="00C9343F" w:rsidRDefault="005C1173" w:rsidP="00F66D98">
            <w:pPr>
              <w:pStyle w:val="BlockText-Plain"/>
              <w:jc w:val="center"/>
            </w:pPr>
          </w:p>
        </w:tc>
        <w:tc>
          <w:tcPr>
            <w:tcW w:w="8367" w:type="dxa"/>
          </w:tcPr>
          <w:p w14:paraId="099380FE" w14:textId="77777777" w:rsidR="005C1173" w:rsidRPr="00C9343F" w:rsidRDefault="005C1173" w:rsidP="00F66D98">
            <w:pPr>
              <w:pStyle w:val="BlockText-Plain"/>
            </w:pPr>
            <w:r w:rsidRPr="00C9343F">
              <w:t>This Part applies to a member, including a member of the Reserves on Reserve service, who is imprisoned, in detention or in custody within Australia.</w:t>
            </w:r>
          </w:p>
        </w:tc>
      </w:tr>
    </w:tbl>
    <w:p w14:paraId="6D666ABE" w14:textId="06E8996A" w:rsidR="005C1173" w:rsidRPr="00C9343F" w:rsidRDefault="005C1173" w:rsidP="00F66D98">
      <w:pPr>
        <w:pStyle w:val="Heading5"/>
      </w:pPr>
      <w:bookmarkStart w:id="260" w:name="_Toc32570636"/>
      <w:bookmarkStart w:id="261" w:name="_Toc105053604"/>
      <w:r w:rsidRPr="00C9343F">
        <w:t>1.7.3</w:t>
      </w:r>
      <w:r w:rsidR="00D94006" w:rsidRPr="00C9343F">
        <w:t>    </w:t>
      </w:r>
      <w:r w:rsidRPr="00C9343F">
        <w:t>Member this Part does not apply to</w:t>
      </w:r>
      <w:bookmarkEnd w:id="260"/>
      <w:bookmarkEnd w:id="261"/>
    </w:p>
    <w:tbl>
      <w:tblPr>
        <w:tblW w:w="9359" w:type="dxa"/>
        <w:tblInd w:w="113" w:type="dxa"/>
        <w:tblLayout w:type="fixed"/>
        <w:tblLook w:val="0000" w:firstRow="0" w:lastRow="0" w:firstColumn="0" w:lastColumn="0" w:noHBand="0" w:noVBand="0"/>
      </w:tblPr>
      <w:tblGrid>
        <w:gridCol w:w="992"/>
        <w:gridCol w:w="8367"/>
      </w:tblGrid>
      <w:tr w:rsidR="005C1173" w:rsidRPr="00C9343F" w14:paraId="0BC6EA67" w14:textId="77777777" w:rsidTr="00B02E82">
        <w:tc>
          <w:tcPr>
            <w:tcW w:w="992" w:type="dxa"/>
          </w:tcPr>
          <w:p w14:paraId="0D19E8A6" w14:textId="77777777" w:rsidR="005C1173" w:rsidRPr="00C9343F" w:rsidRDefault="005C1173" w:rsidP="00F66D98">
            <w:pPr>
              <w:pStyle w:val="BlockText-Plain"/>
              <w:jc w:val="center"/>
            </w:pPr>
            <w:r w:rsidRPr="00C9343F">
              <w:t>1.</w:t>
            </w:r>
          </w:p>
        </w:tc>
        <w:tc>
          <w:tcPr>
            <w:tcW w:w="8367" w:type="dxa"/>
          </w:tcPr>
          <w:p w14:paraId="35FED1E4" w14:textId="77777777" w:rsidR="005C1173" w:rsidRPr="00C9343F" w:rsidRDefault="005C1173" w:rsidP="00F66D98">
            <w:pPr>
              <w:pStyle w:val="BlockText-Plain"/>
            </w:pPr>
            <w:r w:rsidRPr="00C9343F">
              <w:t>The CDF or the Chief of Defence Intelligence may specify a member to whom this Part does not apply for a particular period or activity.</w:t>
            </w:r>
          </w:p>
        </w:tc>
      </w:tr>
      <w:tr w:rsidR="005C1173" w:rsidRPr="00C9343F" w14:paraId="71E42845" w14:textId="77777777" w:rsidTr="00B02E82">
        <w:tc>
          <w:tcPr>
            <w:tcW w:w="992" w:type="dxa"/>
          </w:tcPr>
          <w:p w14:paraId="691B2B56" w14:textId="77777777" w:rsidR="005C1173" w:rsidRPr="00C9343F" w:rsidRDefault="005C1173" w:rsidP="00F66D98">
            <w:pPr>
              <w:pStyle w:val="BlockText-Plain"/>
              <w:jc w:val="center"/>
            </w:pPr>
            <w:r w:rsidRPr="00C9343F">
              <w:t>2.</w:t>
            </w:r>
          </w:p>
        </w:tc>
        <w:tc>
          <w:tcPr>
            <w:tcW w:w="8367" w:type="dxa"/>
          </w:tcPr>
          <w:p w14:paraId="525A6BBE" w14:textId="77777777" w:rsidR="005C1173" w:rsidRPr="00C9343F" w:rsidRDefault="005C1173" w:rsidP="00F66D98">
            <w:pPr>
              <w:pStyle w:val="BlockText-Plain"/>
            </w:pPr>
            <w:r w:rsidRPr="00C9343F">
              <w:t>When making a decision under subsection 1, the CDF or the Chief of Defence Intelligence must have regard to the nature of the member’s duty.</w:t>
            </w:r>
          </w:p>
        </w:tc>
      </w:tr>
    </w:tbl>
    <w:p w14:paraId="58E9CD82" w14:textId="72C79AD0" w:rsidR="005C1173" w:rsidRPr="00C9343F" w:rsidRDefault="005C1173" w:rsidP="00F66D98">
      <w:pPr>
        <w:pStyle w:val="Heading5"/>
      </w:pPr>
      <w:bookmarkStart w:id="262" w:name="_Toc32570637"/>
      <w:bookmarkStart w:id="263" w:name="_Toc105053605"/>
      <w:r w:rsidRPr="00C9343F">
        <w:t>1.7.4</w:t>
      </w:r>
      <w:r w:rsidR="00D94006" w:rsidRPr="00C9343F">
        <w:t>    </w:t>
      </w:r>
      <w:r w:rsidRPr="00C9343F">
        <w:t>General rule</w:t>
      </w:r>
      <w:bookmarkEnd w:id="262"/>
      <w:r w:rsidRPr="00C9343F">
        <w:t xml:space="preserve"> – benefits and contributions</w:t>
      </w:r>
      <w:bookmarkEnd w:id="263"/>
    </w:p>
    <w:tbl>
      <w:tblPr>
        <w:tblW w:w="9359" w:type="dxa"/>
        <w:tblInd w:w="113" w:type="dxa"/>
        <w:tblLayout w:type="fixed"/>
        <w:tblLook w:val="0000" w:firstRow="0" w:lastRow="0" w:firstColumn="0" w:lastColumn="0" w:noHBand="0" w:noVBand="0"/>
      </w:tblPr>
      <w:tblGrid>
        <w:gridCol w:w="992"/>
        <w:gridCol w:w="567"/>
        <w:gridCol w:w="7800"/>
      </w:tblGrid>
      <w:tr w:rsidR="005C1173" w:rsidRPr="00C9343F" w14:paraId="59F213AC" w14:textId="77777777" w:rsidTr="00B02E82">
        <w:tc>
          <w:tcPr>
            <w:tcW w:w="992" w:type="dxa"/>
          </w:tcPr>
          <w:p w14:paraId="1C7DEA8A" w14:textId="77777777" w:rsidR="005C1173" w:rsidRPr="00C9343F" w:rsidRDefault="005C1173" w:rsidP="00F66D98">
            <w:pPr>
              <w:pStyle w:val="BlockText-Plain"/>
              <w:jc w:val="center"/>
            </w:pPr>
            <w:r w:rsidRPr="00C9343F">
              <w:t>1.</w:t>
            </w:r>
          </w:p>
        </w:tc>
        <w:tc>
          <w:tcPr>
            <w:tcW w:w="8367" w:type="dxa"/>
            <w:gridSpan w:val="2"/>
          </w:tcPr>
          <w:p w14:paraId="259B82B5" w14:textId="77777777" w:rsidR="005C1173" w:rsidRPr="00C9343F" w:rsidRDefault="005C1173" w:rsidP="00F66D98">
            <w:pPr>
              <w:pStyle w:val="BlockText-Plain"/>
              <w:rPr>
                <w:iCs/>
              </w:rPr>
            </w:pPr>
            <w:r w:rsidRPr="00C9343F">
              <w:rPr>
                <w:iCs/>
              </w:rPr>
              <w:t>This section does not apply to a member in the following circumstances.</w:t>
            </w:r>
          </w:p>
        </w:tc>
      </w:tr>
      <w:tr w:rsidR="005C1173" w:rsidRPr="00C9343F" w14:paraId="792C3299" w14:textId="77777777" w:rsidTr="00B02E82">
        <w:trPr>
          <w:cantSplit/>
        </w:trPr>
        <w:tc>
          <w:tcPr>
            <w:tcW w:w="992" w:type="dxa"/>
          </w:tcPr>
          <w:p w14:paraId="36E996FC" w14:textId="77777777" w:rsidR="005C1173" w:rsidRPr="00C9343F" w:rsidRDefault="005C1173" w:rsidP="00F66D98">
            <w:pPr>
              <w:pStyle w:val="BlockText-Plain"/>
            </w:pPr>
          </w:p>
        </w:tc>
        <w:tc>
          <w:tcPr>
            <w:tcW w:w="567" w:type="dxa"/>
          </w:tcPr>
          <w:p w14:paraId="3A5211CC" w14:textId="77777777" w:rsidR="005C1173" w:rsidRPr="00C9343F" w:rsidRDefault="005C1173" w:rsidP="007114B1">
            <w:pPr>
              <w:pStyle w:val="BlockText-Plain"/>
              <w:jc w:val="center"/>
            </w:pPr>
            <w:r w:rsidRPr="00C9343F">
              <w:t>a.</w:t>
            </w:r>
          </w:p>
        </w:tc>
        <w:tc>
          <w:tcPr>
            <w:tcW w:w="7800" w:type="dxa"/>
          </w:tcPr>
          <w:p w14:paraId="79818730" w14:textId="77777777" w:rsidR="005C1173" w:rsidRPr="00C9343F" w:rsidRDefault="005C1173" w:rsidP="00F66D98">
            <w:pPr>
              <w:pStyle w:val="BlockText-Plain"/>
            </w:pPr>
            <w:r w:rsidRPr="00C9343F">
              <w:rPr>
                <w:iCs/>
              </w:rPr>
              <w:t>If individual periodic imprisonment periods of imprisonment are less than 7 consecutive days.</w:t>
            </w:r>
          </w:p>
        </w:tc>
      </w:tr>
      <w:tr w:rsidR="005C1173" w:rsidRPr="00C9343F" w14:paraId="19B9CB3D" w14:textId="77777777" w:rsidTr="00B02E82">
        <w:trPr>
          <w:cantSplit/>
        </w:trPr>
        <w:tc>
          <w:tcPr>
            <w:tcW w:w="992" w:type="dxa"/>
          </w:tcPr>
          <w:p w14:paraId="2F9E02A8" w14:textId="77777777" w:rsidR="005C1173" w:rsidRPr="00C9343F" w:rsidRDefault="005C1173" w:rsidP="00F66D98">
            <w:pPr>
              <w:pStyle w:val="BlockText-Plain"/>
            </w:pPr>
          </w:p>
        </w:tc>
        <w:tc>
          <w:tcPr>
            <w:tcW w:w="567" w:type="dxa"/>
          </w:tcPr>
          <w:p w14:paraId="5BD8B03C" w14:textId="77777777" w:rsidR="005C1173" w:rsidRPr="00C9343F" w:rsidRDefault="005C1173" w:rsidP="007114B1">
            <w:pPr>
              <w:pStyle w:val="BlockText-Plain"/>
              <w:jc w:val="center"/>
            </w:pPr>
            <w:r w:rsidRPr="00C9343F">
              <w:t>b.</w:t>
            </w:r>
          </w:p>
        </w:tc>
        <w:tc>
          <w:tcPr>
            <w:tcW w:w="7800" w:type="dxa"/>
          </w:tcPr>
          <w:p w14:paraId="22EDD965" w14:textId="77777777" w:rsidR="005C1173" w:rsidRPr="00C9343F" w:rsidRDefault="005C1173" w:rsidP="00F66D98">
            <w:pPr>
              <w:pStyle w:val="BlockText-Plain"/>
              <w:rPr>
                <w:iCs/>
              </w:rPr>
            </w:pPr>
            <w:r w:rsidRPr="00C9343F">
              <w:rPr>
                <w:iCs/>
              </w:rPr>
              <w:t>If the full length of imprisonment is less than 7 days.</w:t>
            </w:r>
          </w:p>
        </w:tc>
      </w:tr>
      <w:tr w:rsidR="005C1173" w:rsidRPr="00C9343F" w14:paraId="008E423A" w14:textId="77777777" w:rsidTr="00B02E82">
        <w:tc>
          <w:tcPr>
            <w:tcW w:w="992" w:type="dxa"/>
          </w:tcPr>
          <w:p w14:paraId="07B6AAF2" w14:textId="77777777" w:rsidR="005C1173" w:rsidRPr="00C9343F" w:rsidRDefault="005C1173" w:rsidP="00F66D98">
            <w:pPr>
              <w:pStyle w:val="BlockText-Plain"/>
              <w:jc w:val="center"/>
            </w:pPr>
            <w:r w:rsidRPr="00C9343F">
              <w:t>2.</w:t>
            </w:r>
          </w:p>
        </w:tc>
        <w:tc>
          <w:tcPr>
            <w:tcW w:w="8367" w:type="dxa"/>
            <w:gridSpan w:val="2"/>
          </w:tcPr>
          <w:p w14:paraId="05C8B9D8" w14:textId="77777777" w:rsidR="005C1173" w:rsidRPr="00C9343F" w:rsidRDefault="005C1173" w:rsidP="00F66D98">
            <w:pPr>
              <w:pStyle w:val="BlockText-Plain"/>
              <w:rPr>
                <w:iCs/>
              </w:rPr>
            </w:pPr>
            <w:r w:rsidRPr="00C9343F">
              <w:rPr>
                <w:iCs/>
              </w:rPr>
              <w:t>A decision under subsection 3 does not apply to any of the following.</w:t>
            </w:r>
          </w:p>
        </w:tc>
      </w:tr>
      <w:tr w:rsidR="005C1173" w:rsidRPr="00C9343F" w14:paraId="0CDA971B" w14:textId="77777777" w:rsidTr="00B02E82">
        <w:trPr>
          <w:cantSplit/>
        </w:trPr>
        <w:tc>
          <w:tcPr>
            <w:tcW w:w="992" w:type="dxa"/>
          </w:tcPr>
          <w:p w14:paraId="6C8F6BBB" w14:textId="77777777" w:rsidR="005C1173" w:rsidRPr="00C9343F" w:rsidRDefault="005C1173" w:rsidP="00F66D98">
            <w:pPr>
              <w:pStyle w:val="BlockText-Plain"/>
            </w:pPr>
          </w:p>
        </w:tc>
        <w:tc>
          <w:tcPr>
            <w:tcW w:w="567" w:type="dxa"/>
          </w:tcPr>
          <w:p w14:paraId="5524DBC5" w14:textId="77777777" w:rsidR="005C1173" w:rsidRPr="00C9343F" w:rsidRDefault="005C1173" w:rsidP="007114B1">
            <w:pPr>
              <w:pStyle w:val="BlockText-Plain"/>
              <w:jc w:val="center"/>
            </w:pPr>
            <w:r w:rsidRPr="00C9343F">
              <w:t>a.</w:t>
            </w:r>
          </w:p>
        </w:tc>
        <w:tc>
          <w:tcPr>
            <w:tcW w:w="7800" w:type="dxa"/>
          </w:tcPr>
          <w:p w14:paraId="020FFD18" w14:textId="1146A5CE" w:rsidR="005C1173" w:rsidRPr="00C9343F" w:rsidRDefault="005C1173" w:rsidP="00F66D98">
            <w:pPr>
              <w:pStyle w:val="BlockText-Plain"/>
            </w:pPr>
            <w:r w:rsidRPr="00C9343F">
              <w:t xml:space="preserve">The member's salary or </w:t>
            </w:r>
            <w:r w:rsidR="00721283" w:rsidRPr="00C9343F">
              <w:rPr>
                <w:iCs/>
              </w:rPr>
              <w:t>DFRT allowances</w:t>
            </w:r>
            <w:r w:rsidRPr="00C9343F">
              <w:t>.</w:t>
            </w:r>
          </w:p>
          <w:p w14:paraId="3A6D441B" w14:textId="1D8A0119" w:rsidR="005C1173" w:rsidRPr="00C9343F" w:rsidRDefault="005C1173" w:rsidP="00F66D98">
            <w:pPr>
              <w:pStyle w:val="BlockText-Plain"/>
            </w:pPr>
            <w:r w:rsidRPr="00C9343F">
              <w:rPr>
                <w:b/>
              </w:rPr>
              <w:t xml:space="preserve">Note: </w:t>
            </w:r>
            <w:r w:rsidRPr="00C9343F">
              <w:t xml:space="preserve">Sections 1.7.5 and 1.7.6 specify the effect of imprisonment, detention or custody on salary and </w:t>
            </w:r>
            <w:r w:rsidR="00721283" w:rsidRPr="00C9343F">
              <w:rPr>
                <w:iCs/>
              </w:rPr>
              <w:t>DFRT allowances</w:t>
            </w:r>
            <w:r w:rsidRPr="00C9343F">
              <w:t>.</w:t>
            </w:r>
          </w:p>
        </w:tc>
      </w:tr>
      <w:tr w:rsidR="005C1173" w:rsidRPr="00C9343F" w14:paraId="36B37F26" w14:textId="77777777" w:rsidTr="00B02E82">
        <w:trPr>
          <w:cantSplit/>
        </w:trPr>
        <w:tc>
          <w:tcPr>
            <w:tcW w:w="992" w:type="dxa"/>
          </w:tcPr>
          <w:p w14:paraId="38E3A261" w14:textId="77777777" w:rsidR="005C1173" w:rsidRPr="00C9343F" w:rsidRDefault="005C1173" w:rsidP="00F66D98">
            <w:pPr>
              <w:pStyle w:val="BlockText-Plain"/>
            </w:pPr>
          </w:p>
        </w:tc>
        <w:tc>
          <w:tcPr>
            <w:tcW w:w="567" w:type="dxa"/>
          </w:tcPr>
          <w:p w14:paraId="0FD9263A" w14:textId="77777777" w:rsidR="005C1173" w:rsidRPr="00C9343F" w:rsidRDefault="005C1173" w:rsidP="007114B1">
            <w:pPr>
              <w:pStyle w:val="BlockText-Plain"/>
              <w:jc w:val="center"/>
            </w:pPr>
            <w:r w:rsidRPr="00C9343F">
              <w:t>b.</w:t>
            </w:r>
          </w:p>
        </w:tc>
        <w:tc>
          <w:tcPr>
            <w:tcW w:w="7800" w:type="dxa"/>
          </w:tcPr>
          <w:p w14:paraId="189C4162" w14:textId="77777777" w:rsidR="005C1173" w:rsidRPr="00C9343F" w:rsidRDefault="005C1173" w:rsidP="00F66D98">
            <w:pPr>
              <w:pStyle w:val="BlockText-Plain"/>
            </w:pPr>
            <w:r w:rsidRPr="00C9343F">
              <w:t>The member's leave credits.</w:t>
            </w:r>
          </w:p>
          <w:p w14:paraId="3D851CED" w14:textId="77777777" w:rsidR="005C1173" w:rsidRPr="00C9343F" w:rsidRDefault="005C1173" w:rsidP="00F66D98">
            <w:pPr>
              <w:pStyle w:val="BlockText-Plain"/>
              <w:rPr>
                <w:iCs/>
              </w:rPr>
            </w:pPr>
            <w:r w:rsidRPr="00C9343F">
              <w:rPr>
                <w:b/>
              </w:rPr>
              <w:t>Note:</w:t>
            </w:r>
            <w:r w:rsidRPr="00C9343F">
              <w:t xml:space="preserve"> Division 1 specifies the effect of imprisonment, detention or custody on leave credits.</w:t>
            </w:r>
          </w:p>
        </w:tc>
      </w:tr>
      <w:tr w:rsidR="005C1173" w:rsidRPr="00C9343F" w14:paraId="527945AA" w14:textId="77777777" w:rsidTr="00B02E82">
        <w:trPr>
          <w:cantSplit/>
        </w:trPr>
        <w:tc>
          <w:tcPr>
            <w:tcW w:w="992" w:type="dxa"/>
          </w:tcPr>
          <w:p w14:paraId="1F21A07C" w14:textId="77777777" w:rsidR="005C1173" w:rsidRPr="00C9343F" w:rsidRDefault="005C1173" w:rsidP="00F66D98">
            <w:pPr>
              <w:pStyle w:val="BlockText-Plain"/>
            </w:pPr>
          </w:p>
        </w:tc>
        <w:tc>
          <w:tcPr>
            <w:tcW w:w="567" w:type="dxa"/>
          </w:tcPr>
          <w:p w14:paraId="68167A0E" w14:textId="77777777" w:rsidR="005C1173" w:rsidRPr="00C9343F" w:rsidRDefault="005C1173" w:rsidP="007114B1">
            <w:pPr>
              <w:pStyle w:val="BlockText-Plain"/>
              <w:jc w:val="center"/>
            </w:pPr>
            <w:r w:rsidRPr="00C9343F">
              <w:t>c.</w:t>
            </w:r>
          </w:p>
        </w:tc>
        <w:tc>
          <w:tcPr>
            <w:tcW w:w="7800" w:type="dxa"/>
          </w:tcPr>
          <w:p w14:paraId="41555017" w14:textId="77777777" w:rsidR="005C1173" w:rsidRPr="00C9343F" w:rsidRDefault="005C1173" w:rsidP="00F66D98">
            <w:pPr>
              <w:pStyle w:val="BlockText-Plain"/>
              <w:rPr>
                <w:iCs/>
              </w:rPr>
            </w:pPr>
            <w:r w:rsidRPr="00C9343F">
              <w:rPr>
                <w:iCs/>
              </w:rPr>
              <w:t>The member's contributions towards a Service residence, rent allowance or living-in accommodation.</w:t>
            </w:r>
          </w:p>
          <w:p w14:paraId="00EE5681" w14:textId="77777777" w:rsidR="005C1173" w:rsidRPr="00C9343F" w:rsidRDefault="005C1173" w:rsidP="00F66D98">
            <w:pPr>
              <w:pStyle w:val="BlockText-Plain"/>
              <w:rPr>
                <w:iCs/>
              </w:rPr>
            </w:pPr>
            <w:r w:rsidRPr="00C9343F">
              <w:rPr>
                <w:b/>
                <w:bCs/>
                <w:iCs/>
              </w:rPr>
              <w:t>No</w:t>
            </w:r>
            <w:r w:rsidRPr="00C9343F">
              <w:rPr>
                <w:b/>
                <w:bCs/>
              </w:rPr>
              <w:t>t</w:t>
            </w:r>
            <w:r w:rsidRPr="00C9343F">
              <w:rPr>
                <w:b/>
              </w:rPr>
              <w:t>es:</w:t>
            </w:r>
            <w:r w:rsidRPr="00C9343F">
              <w:t xml:space="preserve"> </w:t>
            </w:r>
            <w:r w:rsidRPr="00C9343F">
              <w:br/>
              <w:t>1. Division 2 specifies the effect of imprisonment, detention or custody on housing assistance.</w:t>
            </w:r>
            <w:r w:rsidRPr="00C9343F">
              <w:br/>
              <w:t>2. This subsection does not prevent the CDF from ceasing a member’s eligibility for housing assistance.</w:t>
            </w:r>
          </w:p>
        </w:tc>
      </w:tr>
      <w:tr w:rsidR="005C1173" w:rsidRPr="00C9343F" w14:paraId="233D8DB1" w14:textId="77777777" w:rsidTr="00B02E82">
        <w:tc>
          <w:tcPr>
            <w:tcW w:w="992" w:type="dxa"/>
          </w:tcPr>
          <w:p w14:paraId="11726A72" w14:textId="77777777" w:rsidR="005C1173" w:rsidRPr="00C9343F" w:rsidRDefault="005C1173" w:rsidP="00F66D98">
            <w:pPr>
              <w:pStyle w:val="BlockText-Plain"/>
              <w:jc w:val="center"/>
            </w:pPr>
            <w:r w:rsidRPr="00C9343F">
              <w:t>3.</w:t>
            </w:r>
          </w:p>
        </w:tc>
        <w:tc>
          <w:tcPr>
            <w:tcW w:w="8367" w:type="dxa"/>
            <w:gridSpan w:val="2"/>
          </w:tcPr>
          <w:p w14:paraId="6D6A54A1" w14:textId="77777777" w:rsidR="005C1173" w:rsidRPr="00C9343F" w:rsidRDefault="005C1173" w:rsidP="00F66D98">
            <w:pPr>
              <w:pStyle w:val="BlockText-Plain"/>
              <w:rPr>
                <w:iCs/>
              </w:rPr>
            </w:pPr>
            <w:r w:rsidRPr="00C9343F">
              <w:rPr>
                <w:iCs/>
              </w:rPr>
              <w:t xml:space="preserve">If a member has been imprisoned, detained or held in custody for a period of 7 or more continuous days the CDF may decide to do the following. </w:t>
            </w:r>
          </w:p>
        </w:tc>
      </w:tr>
      <w:tr w:rsidR="005C1173" w:rsidRPr="00C9343F" w14:paraId="510B2C97" w14:textId="77777777" w:rsidTr="00B02E82">
        <w:trPr>
          <w:cantSplit/>
        </w:trPr>
        <w:tc>
          <w:tcPr>
            <w:tcW w:w="992" w:type="dxa"/>
          </w:tcPr>
          <w:p w14:paraId="0B7173AE" w14:textId="77777777" w:rsidR="005C1173" w:rsidRPr="00C9343F" w:rsidRDefault="005C1173" w:rsidP="00F66D98">
            <w:pPr>
              <w:pStyle w:val="BlockText-Plain"/>
            </w:pPr>
          </w:p>
        </w:tc>
        <w:tc>
          <w:tcPr>
            <w:tcW w:w="567" w:type="dxa"/>
          </w:tcPr>
          <w:p w14:paraId="1A6F8C6A" w14:textId="77777777" w:rsidR="005C1173" w:rsidRPr="00C9343F" w:rsidRDefault="005C1173" w:rsidP="007114B1">
            <w:pPr>
              <w:pStyle w:val="BlockText-Plain"/>
              <w:jc w:val="center"/>
            </w:pPr>
            <w:r w:rsidRPr="00C9343F">
              <w:t>a.</w:t>
            </w:r>
          </w:p>
        </w:tc>
        <w:tc>
          <w:tcPr>
            <w:tcW w:w="7800" w:type="dxa"/>
          </w:tcPr>
          <w:p w14:paraId="446A8CCF" w14:textId="77777777" w:rsidR="005C1173" w:rsidRPr="00C9343F" w:rsidRDefault="005C1173" w:rsidP="00F66D98">
            <w:pPr>
              <w:pStyle w:val="BlockText-Plain"/>
              <w:rPr>
                <w:iCs/>
              </w:rPr>
            </w:pPr>
            <w:r w:rsidRPr="00C9343F">
              <w:rPr>
                <w:iCs/>
              </w:rPr>
              <w:t xml:space="preserve">Reduce or cease a benefit that the member was receiving before the member's imprisonment, detention or custody. </w:t>
            </w:r>
          </w:p>
          <w:p w14:paraId="46A8B3EC" w14:textId="77777777" w:rsidR="005C1173" w:rsidRPr="00C9343F" w:rsidRDefault="005C1173" w:rsidP="00F66D98">
            <w:pPr>
              <w:pStyle w:val="BlockText-Plain"/>
              <w:rPr>
                <w:i/>
              </w:rPr>
            </w:pPr>
            <w:r w:rsidRPr="00C9343F">
              <w:rPr>
                <w:b/>
                <w:iCs/>
              </w:rPr>
              <w:t xml:space="preserve">Note: </w:t>
            </w:r>
            <w:r w:rsidRPr="00C9343F">
              <w:t xml:space="preserve">The CDF may set a </w:t>
            </w:r>
            <w:r w:rsidRPr="00C9343F">
              <w:rPr>
                <w:iCs/>
              </w:rPr>
              <w:t>future date when the benefit will be reduced or ceased.</w:t>
            </w:r>
          </w:p>
        </w:tc>
      </w:tr>
      <w:tr w:rsidR="005C1173" w:rsidRPr="00C9343F" w14:paraId="7DC5A126" w14:textId="77777777" w:rsidTr="00B02E82">
        <w:trPr>
          <w:cantSplit/>
        </w:trPr>
        <w:tc>
          <w:tcPr>
            <w:tcW w:w="992" w:type="dxa"/>
          </w:tcPr>
          <w:p w14:paraId="34BA7E1D" w14:textId="77777777" w:rsidR="005C1173" w:rsidRPr="00C9343F" w:rsidRDefault="005C1173" w:rsidP="00F66D98">
            <w:pPr>
              <w:pStyle w:val="BlockText-Plain"/>
            </w:pPr>
          </w:p>
        </w:tc>
        <w:tc>
          <w:tcPr>
            <w:tcW w:w="567" w:type="dxa"/>
          </w:tcPr>
          <w:p w14:paraId="7184EF88" w14:textId="77777777" w:rsidR="005C1173" w:rsidRPr="00C9343F" w:rsidRDefault="005C1173" w:rsidP="007114B1">
            <w:pPr>
              <w:pStyle w:val="BlockText-Plain"/>
              <w:jc w:val="center"/>
            </w:pPr>
            <w:r w:rsidRPr="00C9343F">
              <w:t>b.</w:t>
            </w:r>
          </w:p>
        </w:tc>
        <w:tc>
          <w:tcPr>
            <w:tcW w:w="7800" w:type="dxa"/>
          </w:tcPr>
          <w:p w14:paraId="13E61BCF" w14:textId="09CB7B2A" w:rsidR="005C1173" w:rsidRPr="00C9343F" w:rsidRDefault="005C1173" w:rsidP="002D7C9E">
            <w:pPr>
              <w:pStyle w:val="BlockText-Plain"/>
              <w:rPr>
                <w:iCs/>
              </w:rPr>
            </w:pPr>
            <w:r w:rsidRPr="00C9343F">
              <w:rPr>
                <w:iCs/>
              </w:rPr>
              <w:t xml:space="preserve">Increase a contribution payable by the member, but not above the actual cost of the benefit. </w:t>
            </w:r>
          </w:p>
        </w:tc>
      </w:tr>
      <w:tr w:rsidR="005C1173" w:rsidRPr="00C9343F" w14:paraId="6DFF4EA9" w14:textId="77777777" w:rsidTr="00B02E82">
        <w:tc>
          <w:tcPr>
            <w:tcW w:w="992" w:type="dxa"/>
          </w:tcPr>
          <w:p w14:paraId="21C41D8D" w14:textId="77777777" w:rsidR="005C1173" w:rsidRPr="00C9343F" w:rsidRDefault="005C1173" w:rsidP="00F66D98">
            <w:pPr>
              <w:pStyle w:val="BlockText-Plain"/>
              <w:jc w:val="center"/>
            </w:pPr>
          </w:p>
        </w:tc>
        <w:tc>
          <w:tcPr>
            <w:tcW w:w="8367" w:type="dxa"/>
            <w:gridSpan w:val="2"/>
          </w:tcPr>
          <w:p w14:paraId="7BAE6FAE" w14:textId="77777777" w:rsidR="005C1173" w:rsidRPr="00C9343F" w:rsidRDefault="005C1173" w:rsidP="00F66D98">
            <w:pPr>
              <w:pStyle w:val="BlockText-Plain"/>
            </w:pPr>
            <w:r w:rsidRPr="00C9343F">
              <w:rPr>
                <w:b/>
                <w:iCs/>
              </w:rPr>
              <w:t xml:space="preserve">Note: </w:t>
            </w:r>
            <w:r w:rsidRPr="00C9343F">
              <w:rPr>
                <w:iCs/>
              </w:rPr>
              <w:t>To avoid doubt, a member will continue to receive benefits for the first 7 consecutive days of imprisonment, detention or custody. The 7 days starts on the day the member is imprisoned, detained or taken into custody.</w:t>
            </w:r>
          </w:p>
        </w:tc>
      </w:tr>
      <w:tr w:rsidR="005C1173" w:rsidRPr="00C9343F" w14:paraId="2C9B6F1F" w14:textId="77777777" w:rsidTr="00B02E82">
        <w:tc>
          <w:tcPr>
            <w:tcW w:w="992" w:type="dxa"/>
          </w:tcPr>
          <w:p w14:paraId="76798B53" w14:textId="77777777" w:rsidR="005C1173" w:rsidRPr="00C9343F" w:rsidRDefault="005C1173" w:rsidP="00F66D98">
            <w:pPr>
              <w:pStyle w:val="BlockText-Plain"/>
              <w:jc w:val="center"/>
            </w:pPr>
            <w:r w:rsidRPr="00C9343F">
              <w:t>4.</w:t>
            </w:r>
          </w:p>
        </w:tc>
        <w:tc>
          <w:tcPr>
            <w:tcW w:w="8367" w:type="dxa"/>
            <w:gridSpan w:val="2"/>
          </w:tcPr>
          <w:p w14:paraId="2FE2D894" w14:textId="77777777" w:rsidR="005C1173" w:rsidRPr="00C9343F" w:rsidRDefault="005C1173" w:rsidP="00F66D98">
            <w:pPr>
              <w:pStyle w:val="BlockText-Plain"/>
              <w:rPr>
                <w:iCs/>
              </w:rPr>
            </w:pPr>
            <w:r w:rsidRPr="00C9343F">
              <w:rPr>
                <w:iCs/>
              </w:rPr>
              <w:t>If a member's benefit or contribution is changed by the CDF under subsection 3, the CDF may review the decision after 7 days.</w:t>
            </w:r>
          </w:p>
        </w:tc>
      </w:tr>
      <w:tr w:rsidR="005C1173" w:rsidRPr="00C9343F" w14:paraId="4C13E505" w14:textId="77777777" w:rsidTr="00B02E82">
        <w:tc>
          <w:tcPr>
            <w:tcW w:w="992" w:type="dxa"/>
          </w:tcPr>
          <w:p w14:paraId="6202CB6E" w14:textId="77777777" w:rsidR="005C1173" w:rsidRPr="00C9343F" w:rsidRDefault="005C1173" w:rsidP="00F66D98">
            <w:pPr>
              <w:pStyle w:val="BlockText-Plain"/>
              <w:jc w:val="center"/>
            </w:pPr>
            <w:r w:rsidRPr="00C9343F">
              <w:t>5.</w:t>
            </w:r>
          </w:p>
        </w:tc>
        <w:tc>
          <w:tcPr>
            <w:tcW w:w="8367" w:type="dxa"/>
            <w:gridSpan w:val="2"/>
          </w:tcPr>
          <w:p w14:paraId="20432CA1" w14:textId="77777777" w:rsidR="005C1173" w:rsidRPr="00C9343F" w:rsidRDefault="005C1173" w:rsidP="00F66D98">
            <w:pPr>
              <w:pStyle w:val="BlockText-Plain"/>
              <w:rPr>
                <w:iCs/>
              </w:rPr>
            </w:pPr>
            <w:r w:rsidRPr="00C9343F">
              <w:rPr>
                <w:iCs/>
              </w:rPr>
              <w:t>When reviewing a decision under subsection 4, the CDF may decide to do any of the following.</w:t>
            </w:r>
          </w:p>
        </w:tc>
      </w:tr>
      <w:tr w:rsidR="005C1173" w:rsidRPr="00C9343F" w14:paraId="1E19DF0A" w14:textId="77777777" w:rsidTr="00B02E82">
        <w:trPr>
          <w:cantSplit/>
        </w:trPr>
        <w:tc>
          <w:tcPr>
            <w:tcW w:w="992" w:type="dxa"/>
          </w:tcPr>
          <w:p w14:paraId="3245C410" w14:textId="77777777" w:rsidR="005C1173" w:rsidRPr="00C9343F" w:rsidRDefault="005C1173" w:rsidP="00F66D98">
            <w:pPr>
              <w:pStyle w:val="BlockText-Plain"/>
            </w:pPr>
          </w:p>
        </w:tc>
        <w:tc>
          <w:tcPr>
            <w:tcW w:w="567" w:type="dxa"/>
          </w:tcPr>
          <w:p w14:paraId="397F6C16" w14:textId="77777777" w:rsidR="005C1173" w:rsidRPr="00C9343F" w:rsidRDefault="005C1173" w:rsidP="007114B1">
            <w:pPr>
              <w:pStyle w:val="BlockText-Plain"/>
              <w:jc w:val="center"/>
            </w:pPr>
            <w:r w:rsidRPr="00C9343F">
              <w:t>a.</w:t>
            </w:r>
          </w:p>
        </w:tc>
        <w:tc>
          <w:tcPr>
            <w:tcW w:w="7800" w:type="dxa"/>
          </w:tcPr>
          <w:p w14:paraId="68624C66" w14:textId="77777777" w:rsidR="005C1173" w:rsidRPr="00C9343F" w:rsidRDefault="005C1173" w:rsidP="00F66D98">
            <w:pPr>
              <w:pStyle w:val="BlockText-Plain"/>
              <w:rPr>
                <w:i/>
              </w:rPr>
            </w:pPr>
            <w:r w:rsidRPr="00C9343F">
              <w:t>Reinstate a benefit that had been ceased or reduced.</w:t>
            </w:r>
          </w:p>
        </w:tc>
      </w:tr>
      <w:tr w:rsidR="005C1173" w:rsidRPr="00C9343F" w14:paraId="71D033F4" w14:textId="77777777" w:rsidTr="00B02E82">
        <w:trPr>
          <w:cantSplit/>
        </w:trPr>
        <w:tc>
          <w:tcPr>
            <w:tcW w:w="992" w:type="dxa"/>
          </w:tcPr>
          <w:p w14:paraId="618E5161" w14:textId="77777777" w:rsidR="005C1173" w:rsidRPr="00C9343F" w:rsidRDefault="005C1173" w:rsidP="00F66D98">
            <w:pPr>
              <w:pStyle w:val="BlockText-Plain"/>
            </w:pPr>
          </w:p>
        </w:tc>
        <w:tc>
          <w:tcPr>
            <w:tcW w:w="567" w:type="dxa"/>
          </w:tcPr>
          <w:p w14:paraId="2BD4F2C5" w14:textId="77777777" w:rsidR="005C1173" w:rsidRPr="00C9343F" w:rsidRDefault="005C1173" w:rsidP="007114B1">
            <w:pPr>
              <w:pStyle w:val="BlockText-Plain"/>
              <w:jc w:val="center"/>
            </w:pPr>
            <w:r w:rsidRPr="00C9343F">
              <w:t>b.</w:t>
            </w:r>
          </w:p>
        </w:tc>
        <w:tc>
          <w:tcPr>
            <w:tcW w:w="7800" w:type="dxa"/>
          </w:tcPr>
          <w:p w14:paraId="23724510" w14:textId="77777777" w:rsidR="005C1173" w:rsidRPr="00C9343F" w:rsidRDefault="005C1173" w:rsidP="00F66D98">
            <w:pPr>
              <w:pStyle w:val="BlockText-Plain"/>
            </w:pPr>
            <w:r w:rsidRPr="00C9343F">
              <w:t xml:space="preserve">Reduce, including a further reduction of benefits previously reduced, or cease other benefits. </w:t>
            </w:r>
          </w:p>
        </w:tc>
      </w:tr>
      <w:tr w:rsidR="005C1173" w:rsidRPr="00C9343F" w14:paraId="6FDD8BC0" w14:textId="77777777" w:rsidTr="00B02E82">
        <w:trPr>
          <w:cantSplit/>
        </w:trPr>
        <w:tc>
          <w:tcPr>
            <w:tcW w:w="992" w:type="dxa"/>
          </w:tcPr>
          <w:p w14:paraId="5B65F9DF" w14:textId="77777777" w:rsidR="005C1173" w:rsidRPr="00C9343F" w:rsidRDefault="005C1173" w:rsidP="00F66D98">
            <w:pPr>
              <w:pStyle w:val="BlockText-Plain"/>
            </w:pPr>
          </w:p>
        </w:tc>
        <w:tc>
          <w:tcPr>
            <w:tcW w:w="567" w:type="dxa"/>
          </w:tcPr>
          <w:p w14:paraId="722FBEF1" w14:textId="77777777" w:rsidR="005C1173" w:rsidRPr="00C9343F" w:rsidRDefault="005C1173" w:rsidP="007114B1">
            <w:pPr>
              <w:pStyle w:val="BlockText-Plain"/>
              <w:jc w:val="center"/>
            </w:pPr>
            <w:r w:rsidRPr="00C9343F">
              <w:t>c.</w:t>
            </w:r>
          </w:p>
        </w:tc>
        <w:tc>
          <w:tcPr>
            <w:tcW w:w="7800" w:type="dxa"/>
          </w:tcPr>
          <w:p w14:paraId="2CBD2913" w14:textId="77777777" w:rsidR="005C1173" w:rsidRPr="00C9343F" w:rsidRDefault="005C1173" w:rsidP="00F66D98">
            <w:pPr>
              <w:pStyle w:val="BlockText-Plain"/>
            </w:pPr>
            <w:r w:rsidRPr="00C9343F">
              <w:t>Reduce a contribution that had been increased.</w:t>
            </w:r>
          </w:p>
        </w:tc>
      </w:tr>
      <w:tr w:rsidR="005C1173" w:rsidRPr="00C9343F" w14:paraId="7B10DB8E" w14:textId="77777777" w:rsidTr="00B02E82">
        <w:trPr>
          <w:cantSplit/>
        </w:trPr>
        <w:tc>
          <w:tcPr>
            <w:tcW w:w="992" w:type="dxa"/>
          </w:tcPr>
          <w:p w14:paraId="21473A64" w14:textId="77777777" w:rsidR="005C1173" w:rsidRPr="00C9343F" w:rsidRDefault="005C1173" w:rsidP="00F66D98">
            <w:pPr>
              <w:pStyle w:val="BlockText-Plain"/>
            </w:pPr>
          </w:p>
        </w:tc>
        <w:tc>
          <w:tcPr>
            <w:tcW w:w="567" w:type="dxa"/>
          </w:tcPr>
          <w:p w14:paraId="4497C8B3" w14:textId="77777777" w:rsidR="005C1173" w:rsidRPr="00C9343F" w:rsidRDefault="005C1173" w:rsidP="007114B1">
            <w:pPr>
              <w:pStyle w:val="BlockText-Plain"/>
              <w:jc w:val="center"/>
            </w:pPr>
            <w:r w:rsidRPr="00C9343F">
              <w:t>d.</w:t>
            </w:r>
          </w:p>
        </w:tc>
        <w:tc>
          <w:tcPr>
            <w:tcW w:w="7800" w:type="dxa"/>
          </w:tcPr>
          <w:p w14:paraId="0DFB419D" w14:textId="0F7F6D18" w:rsidR="005C1173" w:rsidRPr="00C9343F" w:rsidRDefault="005C1173" w:rsidP="00CC656F">
            <w:pPr>
              <w:pStyle w:val="BlockText-Plain"/>
            </w:pPr>
            <w:r w:rsidRPr="00C9343F">
              <w:t xml:space="preserve">Increase a contribution, including a further increase of a contribution previously increased, but not above the actual cost of the benefit. </w:t>
            </w:r>
          </w:p>
        </w:tc>
      </w:tr>
      <w:tr w:rsidR="005C1173" w:rsidRPr="00C9343F" w14:paraId="3F976393" w14:textId="77777777" w:rsidTr="00B02E82">
        <w:trPr>
          <w:cantSplit/>
        </w:trPr>
        <w:tc>
          <w:tcPr>
            <w:tcW w:w="992" w:type="dxa"/>
          </w:tcPr>
          <w:p w14:paraId="50C3C747" w14:textId="77777777" w:rsidR="005C1173" w:rsidRPr="00C9343F" w:rsidRDefault="005C1173" w:rsidP="00F66D98">
            <w:pPr>
              <w:pStyle w:val="BlockText-Plain"/>
            </w:pPr>
          </w:p>
        </w:tc>
        <w:tc>
          <w:tcPr>
            <w:tcW w:w="567" w:type="dxa"/>
          </w:tcPr>
          <w:p w14:paraId="01C0CFD4" w14:textId="77777777" w:rsidR="005C1173" w:rsidRPr="00C9343F" w:rsidRDefault="005C1173" w:rsidP="007114B1">
            <w:pPr>
              <w:pStyle w:val="BlockText-Plain"/>
              <w:jc w:val="center"/>
            </w:pPr>
            <w:r w:rsidRPr="00C9343F">
              <w:t>e.</w:t>
            </w:r>
          </w:p>
        </w:tc>
        <w:tc>
          <w:tcPr>
            <w:tcW w:w="7800" w:type="dxa"/>
          </w:tcPr>
          <w:p w14:paraId="5CF1B41B" w14:textId="77777777" w:rsidR="005C1173" w:rsidRPr="00C9343F" w:rsidRDefault="005C1173" w:rsidP="00F66D98">
            <w:pPr>
              <w:pStyle w:val="BlockText-Plain"/>
            </w:pPr>
            <w:r w:rsidRPr="00C9343F">
              <w:t>Make no further change to the benefit or contribution.</w:t>
            </w:r>
          </w:p>
        </w:tc>
      </w:tr>
      <w:tr w:rsidR="005C1173" w:rsidRPr="00C9343F" w14:paraId="7512BE6E" w14:textId="77777777" w:rsidTr="00B02E82">
        <w:tc>
          <w:tcPr>
            <w:tcW w:w="992" w:type="dxa"/>
          </w:tcPr>
          <w:p w14:paraId="2DD3E13C" w14:textId="77777777" w:rsidR="005C1173" w:rsidRPr="00C9343F" w:rsidRDefault="005C1173" w:rsidP="00F66D98">
            <w:pPr>
              <w:pStyle w:val="BlockText-Plain"/>
              <w:jc w:val="center"/>
            </w:pPr>
            <w:r w:rsidRPr="00C9343F">
              <w:t>6.</w:t>
            </w:r>
          </w:p>
        </w:tc>
        <w:tc>
          <w:tcPr>
            <w:tcW w:w="8367" w:type="dxa"/>
            <w:gridSpan w:val="2"/>
          </w:tcPr>
          <w:p w14:paraId="347484AD" w14:textId="77777777" w:rsidR="005C1173" w:rsidRPr="00C9343F" w:rsidRDefault="005C1173" w:rsidP="00F66D98">
            <w:pPr>
              <w:pStyle w:val="BlockText-Plain"/>
              <w:rPr>
                <w:iCs/>
              </w:rPr>
            </w:pPr>
            <w:r w:rsidRPr="00C9343F">
              <w:rPr>
                <w:iCs/>
              </w:rPr>
              <w:t>When making a decision under subsection 3 or subsection 4 t</w:t>
            </w:r>
            <w:r w:rsidRPr="00C9343F">
              <w:t>he CDF must consider the following.</w:t>
            </w:r>
          </w:p>
        </w:tc>
      </w:tr>
      <w:tr w:rsidR="005C1173" w:rsidRPr="00C9343F" w14:paraId="372878B5" w14:textId="77777777" w:rsidTr="00B02E82">
        <w:trPr>
          <w:cantSplit/>
        </w:trPr>
        <w:tc>
          <w:tcPr>
            <w:tcW w:w="992" w:type="dxa"/>
          </w:tcPr>
          <w:p w14:paraId="6B207D24" w14:textId="77777777" w:rsidR="005C1173" w:rsidRPr="00C9343F" w:rsidRDefault="005C1173" w:rsidP="00F66D98">
            <w:pPr>
              <w:pStyle w:val="BlockText-Plain"/>
            </w:pPr>
          </w:p>
        </w:tc>
        <w:tc>
          <w:tcPr>
            <w:tcW w:w="567" w:type="dxa"/>
          </w:tcPr>
          <w:p w14:paraId="586DBF98" w14:textId="77777777" w:rsidR="005C1173" w:rsidRPr="00C9343F" w:rsidRDefault="005C1173" w:rsidP="007114B1">
            <w:pPr>
              <w:pStyle w:val="BlockText-Plain"/>
              <w:jc w:val="center"/>
            </w:pPr>
            <w:r w:rsidRPr="00C9343F">
              <w:t>a.</w:t>
            </w:r>
          </w:p>
        </w:tc>
        <w:tc>
          <w:tcPr>
            <w:tcW w:w="7800" w:type="dxa"/>
          </w:tcPr>
          <w:p w14:paraId="055C0B41" w14:textId="77777777" w:rsidR="005C1173" w:rsidRPr="00C9343F" w:rsidRDefault="005C1173" w:rsidP="00F66D98">
            <w:pPr>
              <w:pStyle w:val="BlockText-Plain"/>
            </w:pPr>
            <w:r w:rsidRPr="00C9343F">
              <w:t>The remaining period of imprisonment, detention or custody.</w:t>
            </w:r>
          </w:p>
        </w:tc>
      </w:tr>
      <w:tr w:rsidR="005C1173" w:rsidRPr="00C9343F" w14:paraId="1E11D1E9" w14:textId="77777777" w:rsidTr="00B02E82">
        <w:trPr>
          <w:cantSplit/>
        </w:trPr>
        <w:tc>
          <w:tcPr>
            <w:tcW w:w="992" w:type="dxa"/>
          </w:tcPr>
          <w:p w14:paraId="26AB8528" w14:textId="77777777" w:rsidR="005C1173" w:rsidRPr="00C9343F" w:rsidRDefault="005C1173" w:rsidP="00F66D98">
            <w:pPr>
              <w:pStyle w:val="BlockText-Plain"/>
            </w:pPr>
          </w:p>
        </w:tc>
        <w:tc>
          <w:tcPr>
            <w:tcW w:w="567" w:type="dxa"/>
          </w:tcPr>
          <w:p w14:paraId="1D201B5C" w14:textId="77777777" w:rsidR="005C1173" w:rsidRPr="00C9343F" w:rsidRDefault="005C1173" w:rsidP="007114B1">
            <w:pPr>
              <w:pStyle w:val="BlockText-Plain"/>
              <w:jc w:val="center"/>
            </w:pPr>
            <w:r w:rsidRPr="00C9343F">
              <w:t>b.</w:t>
            </w:r>
          </w:p>
        </w:tc>
        <w:tc>
          <w:tcPr>
            <w:tcW w:w="7800" w:type="dxa"/>
          </w:tcPr>
          <w:p w14:paraId="73C66B5D" w14:textId="77777777" w:rsidR="005C1173" w:rsidRPr="00C9343F" w:rsidRDefault="005C1173" w:rsidP="00F66D98">
            <w:pPr>
              <w:pStyle w:val="BlockText-Plain"/>
            </w:pPr>
            <w:r w:rsidRPr="00C9343F">
              <w:t>The impact that reducing or ceasing a benefit or increasing a contribution would have on the member's dependants.</w:t>
            </w:r>
          </w:p>
        </w:tc>
      </w:tr>
      <w:tr w:rsidR="005C1173" w:rsidRPr="00C9343F" w14:paraId="765F860B" w14:textId="77777777" w:rsidTr="00B02E82">
        <w:trPr>
          <w:cantSplit/>
        </w:trPr>
        <w:tc>
          <w:tcPr>
            <w:tcW w:w="992" w:type="dxa"/>
          </w:tcPr>
          <w:p w14:paraId="2CAEACB1" w14:textId="77777777" w:rsidR="005C1173" w:rsidRPr="00C9343F" w:rsidRDefault="005C1173" w:rsidP="00F66D98">
            <w:pPr>
              <w:pStyle w:val="BlockText-Plain"/>
            </w:pPr>
          </w:p>
        </w:tc>
        <w:tc>
          <w:tcPr>
            <w:tcW w:w="567" w:type="dxa"/>
          </w:tcPr>
          <w:p w14:paraId="4423BBFF" w14:textId="77777777" w:rsidR="005C1173" w:rsidRPr="00C9343F" w:rsidRDefault="005C1173" w:rsidP="007114B1">
            <w:pPr>
              <w:pStyle w:val="BlockText-Plain"/>
              <w:jc w:val="center"/>
            </w:pPr>
            <w:r w:rsidRPr="00C9343F">
              <w:t>c.</w:t>
            </w:r>
          </w:p>
        </w:tc>
        <w:tc>
          <w:tcPr>
            <w:tcW w:w="7800" w:type="dxa"/>
          </w:tcPr>
          <w:p w14:paraId="29EFFA3C" w14:textId="77777777" w:rsidR="005C1173" w:rsidRPr="00C9343F" w:rsidRDefault="005C1173" w:rsidP="00F66D98">
            <w:pPr>
              <w:pStyle w:val="BlockText-Plain"/>
            </w:pPr>
            <w:r w:rsidRPr="00C9343F">
              <w:t>Any other relevant circumstance.</w:t>
            </w:r>
          </w:p>
        </w:tc>
      </w:tr>
      <w:tr w:rsidR="005C1173" w:rsidRPr="00C9343F" w14:paraId="3955F357" w14:textId="77777777" w:rsidTr="00B02E82">
        <w:tc>
          <w:tcPr>
            <w:tcW w:w="992" w:type="dxa"/>
          </w:tcPr>
          <w:p w14:paraId="49A64151" w14:textId="77777777" w:rsidR="005C1173" w:rsidRPr="00C9343F" w:rsidRDefault="005C1173" w:rsidP="00F66D98">
            <w:pPr>
              <w:pStyle w:val="BlockText-Plain"/>
              <w:jc w:val="center"/>
            </w:pPr>
            <w:r w:rsidRPr="00C9343F">
              <w:t>7.</w:t>
            </w:r>
          </w:p>
        </w:tc>
        <w:tc>
          <w:tcPr>
            <w:tcW w:w="8367" w:type="dxa"/>
            <w:gridSpan w:val="2"/>
          </w:tcPr>
          <w:p w14:paraId="0A249ADE" w14:textId="77777777" w:rsidR="005C1173" w:rsidRPr="00C9343F" w:rsidRDefault="005C1173" w:rsidP="00F66D98">
            <w:pPr>
              <w:pStyle w:val="BlockText-Plain"/>
              <w:rPr>
                <w:iCs/>
              </w:rPr>
            </w:pPr>
            <w:r w:rsidRPr="00C9343F">
              <w:rPr>
                <w:iCs/>
              </w:rPr>
              <w:t xml:space="preserve">A member is not eligible for a benefit that they were not eligible for </w:t>
            </w:r>
            <w:r w:rsidRPr="00C9343F">
              <w:t>immediately before their imprisonment, detention or custody.</w:t>
            </w:r>
            <w:r w:rsidRPr="00C9343F">
              <w:rPr>
                <w:iCs/>
              </w:rPr>
              <w:t xml:space="preserve"> </w:t>
            </w:r>
          </w:p>
        </w:tc>
      </w:tr>
    </w:tbl>
    <w:p w14:paraId="31652F64" w14:textId="6A1B92BF" w:rsidR="005C1173" w:rsidRPr="00C9343F" w:rsidRDefault="005C1173" w:rsidP="00F66D98">
      <w:pPr>
        <w:pStyle w:val="Heading5"/>
      </w:pPr>
      <w:bookmarkStart w:id="264" w:name="_Toc105053606"/>
      <w:bookmarkStart w:id="265" w:name="_Toc32570638"/>
      <w:r w:rsidRPr="00C9343F">
        <w:t>1.7.5</w:t>
      </w:r>
      <w:r w:rsidR="00D94006" w:rsidRPr="00C9343F">
        <w:t>    </w:t>
      </w:r>
      <w:r w:rsidRPr="00C9343F">
        <w:t xml:space="preserve">Salary and </w:t>
      </w:r>
      <w:r w:rsidR="00721283" w:rsidRPr="00C9343F">
        <w:t xml:space="preserve">DFRT allowances </w:t>
      </w:r>
      <w:r w:rsidRPr="00C9343F">
        <w:t>– member in detention</w:t>
      </w:r>
      <w:bookmarkEnd w:id="264"/>
      <w:r w:rsidRPr="00C9343F">
        <w:t xml:space="preserve"> </w:t>
      </w:r>
      <w:bookmarkEnd w:id="265"/>
    </w:p>
    <w:tbl>
      <w:tblPr>
        <w:tblW w:w="9359" w:type="dxa"/>
        <w:tblInd w:w="113" w:type="dxa"/>
        <w:tblLayout w:type="fixed"/>
        <w:tblLook w:val="0000" w:firstRow="0" w:lastRow="0" w:firstColumn="0" w:lastColumn="0" w:noHBand="0" w:noVBand="0"/>
      </w:tblPr>
      <w:tblGrid>
        <w:gridCol w:w="992"/>
        <w:gridCol w:w="567"/>
        <w:gridCol w:w="563"/>
        <w:gridCol w:w="7237"/>
      </w:tblGrid>
      <w:tr w:rsidR="005C1173" w:rsidRPr="00C9343F" w14:paraId="03F2CD37" w14:textId="77777777" w:rsidTr="00B02E82">
        <w:tc>
          <w:tcPr>
            <w:tcW w:w="992" w:type="dxa"/>
          </w:tcPr>
          <w:p w14:paraId="11D7E08E" w14:textId="77777777" w:rsidR="005C1173" w:rsidRPr="00C9343F" w:rsidRDefault="005C1173" w:rsidP="00F66D98">
            <w:pPr>
              <w:pStyle w:val="BlockText-Plain"/>
              <w:keepNext/>
              <w:keepLines/>
              <w:jc w:val="center"/>
            </w:pPr>
            <w:r w:rsidRPr="00C9343F">
              <w:t>1.</w:t>
            </w:r>
          </w:p>
        </w:tc>
        <w:tc>
          <w:tcPr>
            <w:tcW w:w="8367" w:type="dxa"/>
            <w:gridSpan w:val="3"/>
          </w:tcPr>
          <w:p w14:paraId="21CE572B" w14:textId="77777777" w:rsidR="005C1173" w:rsidRPr="00C9343F" w:rsidRDefault="005C1173" w:rsidP="00F66D98">
            <w:pPr>
              <w:pStyle w:val="BlockText-Plain"/>
              <w:keepNext/>
              <w:keepLines/>
            </w:pPr>
            <w:r w:rsidRPr="00C9343F">
              <w:t>If a member is in detention both of the following occur for each full day of the member’s period of detention.</w:t>
            </w:r>
          </w:p>
        </w:tc>
      </w:tr>
      <w:tr w:rsidR="005C1173" w:rsidRPr="00C9343F" w14:paraId="74606BAE" w14:textId="77777777" w:rsidTr="00B02E82">
        <w:trPr>
          <w:cantSplit/>
        </w:trPr>
        <w:tc>
          <w:tcPr>
            <w:tcW w:w="992" w:type="dxa"/>
          </w:tcPr>
          <w:p w14:paraId="14B75A20" w14:textId="77777777" w:rsidR="005C1173" w:rsidRPr="00C9343F" w:rsidRDefault="005C1173" w:rsidP="00F66D98">
            <w:pPr>
              <w:pStyle w:val="BlockText-Plain"/>
              <w:keepNext/>
              <w:keepLines/>
            </w:pPr>
          </w:p>
        </w:tc>
        <w:tc>
          <w:tcPr>
            <w:tcW w:w="567" w:type="dxa"/>
          </w:tcPr>
          <w:p w14:paraId="5909385E" w14:textId="77777777" w:rsidR="005C1173" w:rsidRPr="00C9343F" w:rsidRDefault="005C1173" w:rsidP="007114B1">
            <w:pPr>
              <w:pStyle w:val="BlockText-Plain"/>
              <w:keepNext/>
              <w:keepLines/>
              <w:jc w:val="center"/>
            </w:pPr>
            <w:r w:rsidRPr="00C9343F">
              <w:t>a.</w:t>
            </w:r>
          </w:p>
        </w:tc>
        <w:tc>
          <w:tcPr>
            <w:tcW w:w="7800" w:type="dxa"/>
            <w:gridSpan w:val="2"/>
          </w:tcPr>
          <w:p w14:paraId="51C45792" w14:textId="77777777" w:rsidR="005C1173" w:rsidRPr="00C9343F" w:rsidRDefault="005C1173" w:rsidP="00F66D98">
            <w:pPr>
              <w:pStyle w:val="BlockText-Plain"/>
              <w:keepNext/>
              <w:keepLines/>
            </w:pPr>
            <w:r w:rsidRPr="00C9343F">
              <w:t>The part of the member's salary calculated using the following formula</w:t>
            </w:r>
            <w:r w:rsidRPr="00C9343F">
              <w:rPr>
                <w:i/>
              </w:rPr>
              <w:t>,</w:t>
            </w:r>
            <w:r w:rsidRPr="00C9343F">
              <w:t xml:space="preserve"> is forfeited to the Commonwealth</w:t>
            </w:r>
            <w:r w:rsidRPr="00C9343F">
              <w:rPr>
                <w:i/>
              </w:rPr>
              <w:t>.</w:t>
            </w:r>
          </w:p>
        </w:tc>
      </w:tr>
      <w:tr w:rsidR="005C1173" w:rsidRPr="00C9343F" w14:paraId="735BBBDE" w14:textId="77777777" w:rsidTr="00B02E82">
        <w:trPr>
          <w:cantSplit/>
        </w:trPr>
        <w:tc>
          <w:tcPr>
            <w:tcW w:w="992" w:type="dxa"/>
          </w:tcPr>
          <w:p w14:paraId="320FE4C7" w14:textId="77777777" w:rsidR="005C1173" w:rsidRPr="00C9343F" w:rsidRDefault="005C1173" w:rsidP="00F66D98">
            <w:pPr>
              <w:pStyle w:val="BlockText-Plain"/>
            </w:pPr>
          </w:p>
        </w:tc>
        <w:tc>
          <w:tcPr>
            <w:tcW w:w="8367" w:type="dxa"/>
            <w:gridSpan w:val="3"/>
          </w:tcPr>
          <w:p w14:paraId="26C875CB" w14:textId="77777777" w:rsidR="005C1173" w:rsidRPr="00C9343F" w:rsidRDefault="005C1173" w:rsidP="00F66D98">
            <w:pPr>
              <w:pStyle w:val="BlockText-Plain"/>
              <w:jc w:val="center"/>
              <w:rPr>
                <w:b/>
                <w:i/>
              </w:rPr>
            </w:pPr>
            <w:r w:rsidRPr="00C9343F">
              <w:rPr>
                <w:b/>
                <w:i/>
              </w:rPr>
              <w:t>Forfeited salary = A – B</w:t>
            </w:r>
          </w:p>
        </w:tc>
      </w:tr>
      <w:tr w:rsidR="005C1173" w:rsidRPr="00C9343F" w14:paraId="2355E549" w14:textId="77777777" w:rsidTr="00B02E82">
        <w:trPr>
          <w:cantSplit/>
        </w:trPr>
        <w:tc>
          <w:tcPr>
            <w:tcW w:w="992" w:type="dxa"/>
          </w:tcPr>
          <w:p w14:paraId="21432CA9" w14:textId="77777777" w:rsidR="005C1173" w:rsidRPr="00C9343F" w:rsidRDefault="005C1173" w:rsidP="00F66D98">
            <w:pPr>
              <w:pStyle w:val="BlockText-Plain"/>
            </w:pPr>
          </w:p>
        </w:tc>
        <w:tc>
          <w:tcPr>
            <w:tcW w:w="567" w:type="dxa"/>
          </w:tcPr>
          <w:p w14:paraId="2915105C" w14:textId="77777777" w:rsidR="005C1173" w:rsidRPr="00C9343F" w:rsidRDefault="005C1173" w:rsidP="00F66D98">
            <w:pPr>
              <w:pStyle w:val="BlockText-Plain"/>
            </w:pPr>
          </w:p>
        </w:tc>
        <w:tc>
          <w:tcPr>
            <w:tcW w:w="7800" w:type="dxa"/>
            <w:gridSpan w:val="2"/>
          </w:tcPr>
          <w:p w14:paraId="28215F68" w14:textId="77777777" w:rsidR="005C1173" w:rsidRPr="00C9343F" w:rsidRDefault="005C1173" w:rsidP="00F66D98">
            <w:pPr>
              <w:pStyle w:val="BlockText-Plain"/>
            </w:pPr>
            <w:r w:rsidRPr="00C9343F">
              <w:t>Where:</w:t>
            </w:r>
          </w:p>
        </w:tc>
      </w:tr>
      <w:tr w:rsidR="005C1173" w:rsidRPr="00C9343F" w14:paraId="2217909A" w14:textId="77777777" w:rsidTr="00B02E82">
        <w:trPr>
          <w:cantSplit/>
        </w:trPr>
        <w:tc>
          <w:tcPr>
            <w:tcW w:w="992" w:type="dxa"/>
          </w:tcPr>
          <w:p w14:paraId="3149E674" w14:textId="77777777" w:rsidR="005C1173" w:rsidRPr="00C9343F" w:rsidRDefault="005C1173" w:rsidP="00F66D98">
            <w:pPr>
              <w:pStyle w:val="BlockText-Plain"/>
            </w:pPr>
          </w:p>
        </w:tc>
        <w:tc>
          <w:tcPr>
            <w:tcW w:w="567" w:type="dxa"/>
          </w:tcPr>
          <w:p w14:paraId="7B1ACE2C" w14:textId="77777777" w:rsidR="005C1173" w:rsidRPr="00C9343F" w:rsidRDefault="005C1173" w:rsidP="00F66D98">
            <w:pPr>
              <w:pStyle w:val="BlockText-Plain"/>
              <w:rPr>
                <w:b/>
              </w:rPr>
            </w:pPr>
          </w:p>
        </w:tc>
        <w:tc>
          <w:tcPr>
            <w:tcW w:w="563" w:type="dxa"/>
          </w:tcPr>
          <w:p w14:paraId="4E646C9D" w14:textId="77777777" w:rsidR="005C1173" w:rsidRPr="00C9343F" w:rsidRDefault="005C1173" w:rsidP="00F66D98">
            <w:pPr>
              <w:pStyle w:val="BlockText-Plain"/>
            </w:pPr>
            <w:r w:rsidRPr="00C9343F">
              <w:rPr>
                <w:b/>
              </w:rPr>
              <w:t>A</w:t>
            </w:r>
          </w:p>
        </w:tc>
        <w:tc>
          <w:tcPr>
            <w:tcW w:w="7237" w:type="dxa"/>
          </w:tcPr>
          <w:p w14:paraId="7DA79BF9" w14:textId="77777777" w:rsidR="005C1173" w:rsidRPr="00C9343F" w:rsidRDefault="005C1173" w:rsidP="00F66D98">
            <w:pPr>
              <w:pStyle w:val="BlockText-Plain"/>
            </w:pPr>
            <w:r w:rsidRPr="00C9343F">
              <w:t>is the member's rate of salary.</w:t>
            </w:r>
          </w:p>
        </w:tc>
      </w:tr>
      <w:tr w:rsidR="005C1173" w:rsidRPr="00C9343F" w14:paraId="45DCDAC9" w14:textId="77777777" w:rsidTr="00B02E82">
        <w:trPr>
          <w:cantSplit/>
        </w:trPr>
        <w:tc>
          <w:tcPr>
            <w:tcW w:w="992" w:type="dxa"/>
          </w:tcPr>
          <w:p w14:paraId="7D132235" w14:textId="77777777" w:rsidR="005C1173" w:rsidRPr="00C9343F" w:rsidRDefault="005C1173" w:rsidP="00F66D98">
            <w:pPr>
              <w:pStyle w:val="BlockText-Plain"/>
            </w:pPr>
          </w:p>
        </w:tc>
        <w:tc>
          <w:tcPr>
            <w:tcW w:w="567" w:type="dxa"/>
          </w:tcPr>
          <w:p w14:paraId="62144948" w14:textId="77777777" w:rsidR="005C1173" w:rsidRPr="00C9343F" w:rsidRDefault="005C1173" w:rsidP="00F66D98">
            <w:pPr>
              <w:pStyle w:val="BlockText-Plain"/>
              <w:rPr>
                <w:b/>
              </w:rPr>
            </w:pPr>
          </w:p>
        </w:tc>
        <w:tc>
          <w:tcPr>
            <w:tcW w:w="563" w:type="dxa"/>
          </w:tcPr>
          <w:p w14:paraId="3F4C3D14" w14:textId="77777777" w:rsidR="005C1173" w:rsidRPr="00C9343F" w:rsidRDefault="005C1173" w:rsidP="00F66D98">
            <w:pPr>
              <w:pStyle w:val="BlockText-Plain"/>
            </w:pPr>
            <w:r w:rsidRPr="00C9343F">
              <w:rPr>
                <w:b/>
              </w:rPr>
              <w:t>B</w:t>
            </w:r>
          </w:p>
        </w:tc>
        <w:tc>
          <w:tcPr>
            <w:tcW w:w="7237" w:type="dxa"/>
          </w:tcPr>
          <w:p w14:paraId="6ACFEDA6" w14:textId="77777777" w:rsidR="005C1173" w:rsidRPr="00C9343F" w:rsidRDefault="005C1173" w:rsidP="00F66D98">
            <w:pPr>
              <w:pStyle w:val="BlockText-Plain"/>
            </w:pPr>
            <w:r w:rsidRPr="00C9343F">
              <w:t xml:space="preserve">is the salary payable to a normal entry recruit during basic training under Schedule B.13 Part 1 item 1 column 3 of DFRT Determination No. 2 of 2017, </w:t>
            </w:r>
            <w:r w:rsidRPr="00C9343F">
              <w:rPr>
                <w:i/>
              </w:rPr>
              <w:t>Salaries.</w:t>
            </w:r>
          </w:p>
        </w:tc>
      </w:tr>
      <w:tr w:rsidR="005C1173" w:rsidRPr="00C9343F" w14:paraId="1912B2BF" w14:textId="77777777" w:rsidTr="00B02E82">
        <w:trPr>
          <w:cantSplit/>
        </w:trPr>
        <w:tc>
          <w:tcPr>
            <w:tcW w:w="992" w:type="dxa"/>
          </w:tcPr>
          <w:p w14:paraId="44C236FF" w14:textId="77777777" w:rsidR="005C1173" w:rsidRPr="00C9343F" w:rsidRDefault="005C1173" w:rsidP="00F66D98">
            <w:pPr>
              <w:pStyle w:val="BlockText-Plain"/>
            </w:pPr>
          </w:p>
        </w:tc>
        <w:tc>
          <w:tcPr>
            <w:tcW w:w="567" w:type="dxa"/>
          </w:tcPr>
          <w:p w14:paraId="69C4B6A4" w14:textId="77777777" w:rsidR="005C1173" w:rsidRPr="00C9343F" w:rsidRDefault="005C1173" w:rsidP="007114B1">
            <w:pPr>
              <w:pStyle w:val="BlockText-Plain"/>
              <w:jc w:val="center"/>
            </w:pPr>
            <w:r w:rsidRPr="00C9343F">
              <w:t>b.</w:t>
            </w:r>
          </w:p>
        </w:tc>
        <w:tc>
          <w:tcPr>
            <w:tcW w:w="7800" w:type="dxa"/>
            <w:gridSpan w:val="2"/>
          </w:tcPr>
          <w:p w14:paraId="3A9FA1E5" w14:textId="7D808152" w:rsidR="005C1173" w:rsidRPr="00C9343F" w:rsidRDefault="00721283" w:rsidP="00F66D98">
            <w:pPr>
              <w:pStyle w:val="BlockText-Plain"/>
            </w:pPr>
            <w:r w:rsidRPr="00C9343F">
              <w:rPr>
                <w:rFonts w:cs="Arial"/>
                <w:lang w:eastAsia="en-US"/>
              </w:rPr>
              <w:t>The member’s DFRT allowances and Language allowance are forfeited to the Commonwealth.</w:t>
            </w:r>
          </w:p>
        </w:tc>
      </w:tr>
      <w:tr w:rsidR="005C1173" w:rsidRPr="00C9343F" w14:paraId="3A28B55F" w14:textId="77777777" w:rsidTr="00B02E82">
        <w:trPr>
          <w:cantSplit/>
        </w:trPr>
        <w:tc>
          <w:tcPr>
            <w:tcW w:w="992" w:type="dxa"/>
          </w:tcPr>
          <w:p w14:paraId="0E2CC50B" w14:textId="77777777" w:rsidR="005C1173" w:rsidRPr="00C9343F" w:rsidRDefault="005C1173" w:rsidP="00F66D98">
            <w:pPr>
              <w:pStyle w:val="BlockText-Plain"/>
            </w:pPr>
          </w:p>
        </w:tc>
        <w:tc>
          <w:tcPr>
            <w:tcW w:w="8367" w:type="dxa"/>
            <w:gridSpan w:val="3"/>
          </w:tcPr>
          <w:p w14:paraId="668FEA9F" w14:textId="47071F71" w:rsidR="005C1173" w:rsidRPr="00C9343F" w:rsidRDefault="00721283" w:rsidP="00F66D98">
            <w:pPr>
              <w:pStyle w:val="BlockText-Plain"/>
              <w:rPr>
                <w:color w:val="538135" w:themeColor="accent6" w:themeShade="BF"/>
              </w:rPr>
            </w:pPr>
            <w:r w:rsidRPr="00C9343F">
              <w:rPr>
                <w:rFonts w:cs="Arial"/>
                <w:b/>
                <w:lang w:eastAsia="en-US"/>
              </w:rPr>
              <w:t>Note:</w:t>
            </w:r>
            <w:r w:rsidRPr="00C9343F">
              <w:rPr>
                <w:rFonts w:cs="Arial"/>
                <w:lang w:eastAsia="en-US"/>
              </w:rPr>
              <w:t xml:space="preserve"> Language allowance is payable under DFRT Determination No. 10 of 1992, </w:t>
            </w:r>
            <w:r w:rsidRPr="00C9343F">
              <w:rPr>
                <w:rFonts w:cs="Arial"/>
                <w:i/>
                <w:lang w:eastAsia="en-US"/>
              </w:rPr>
              <w:t>Language allowance.</w:t>
            </w:r>
          </w:p>
        </w:tc>
      </w:tr>
      <w:tr w:rsidR="005C1173" w:rsidRPr="00C9343F" w14:paraId="340B1939" w14:textId="77777777" w:rsidTr="00B02E82">
        <w:tc>
          <w:tcPr>
            <w:tcW w:w="992" w:type="dxa"/>
          </w:tcPr>
          <w:p w14:paraId="46C2CEA9" w14:textId="77777777" w:rsidR="005C1173" w:rsidRPr="00C9343F" w:rsidRDefault="005C1173" w:rsidP="00F66D98">
            <w:pPr>
              <w:pStyle w:val="BlockText-Plain"/>
              <w:jc w:val="center"/>
            </w:pPr>
            <w:r w:rsidRPr="00C9343F">
              <w:t>2.</w:t>
            </w:r>
          </w:p>
        </w:tc>
        <w:tc>
          <w:tcPr>
            <w:tcW w:w="8367" w:type="dxa"/>
            <w:gridSpan w:val="3"/>
          </w:tcPr>
          <w:p w14:paraId="3A7EF85F" w14:textId="77777777" w:rsidR="005C1173" w:rsidRPr="00C9343F" w:rsidRDefault="005C1173" w:rsidP="00F66D98">
            <w:pPr>
              <w:pStyle w:val="BlockText-Plain"/>
            </w:pPr>
            <w:r w:rsidRPr="00C9343F">
              <w:t xml:space="preserve">If a Reserve member who is not on continuous full-time service is in detention the member receives the daily rate of salary for a normal entry recruit during basic training under Schedule B.13 Part 1 </w:t>
            </w:r>
            <w:r w:rsidRPr="00C9343F">
              <w:lastRenderedPageBreak/>
              <w:t xml:space="preserve">item 1 column 3 of DFRT Determination No. 2 of 2017, </w:t>
            </w:r>
            <w:r w:rsidRPr="00C9343F">
              <w:rPr>
                <w:i/>
                <w:iCs/>
              </w:rPr>
              <w:t xml:space="preserve">Salaries, </w:t>
            </w:r>
            <w:r w:rsidRPr="00C9343F">
              <w:t>for each full day of the member’s period of detention.</w:t>
            </w:r>
          </w:p>
        </w:tc>
      </w:tr>
      <w:tr w:rsidR="005C1173" w:rsidRPr="00C9343F" w14:paraId="60B91A2D" w14:textId="77777777" w:rsidTr="00B02E82">
        <w:tc>
          <w:tcPr>
            <w:tcW w:w="992" w:type="dxa"/>
          </w:tcPr>
          <w:p w14:paraId="28D368D7" w14:textId="77777777" w:rsidR="005C1173" w:rsidRPr="00C9343F" w:rsidRDefault="005C1173" w:rsidP="00F66D98">
            <w:pPr>
              <w:pStyle w:val="BlockText-Plain"/>
              <w:jc w:val="center"/>
            </w:pPr>
            <w:r w:rsidRPr="00C9343F">
              <w:lastRenderedPageBreak/>
              <w:t>3.</w:t>
            </w:r>
          </w:p>
        </w:tc>
        <w:tc>
          <w:tcPr>
            <w:tcW w:w="8367" w:type="dxa"/>
            <w:gridSpan w:val="3"/>
          </w:tcPr>
          <w:p w14:paraId="5169BE5F" w14:textId="5F84F4D3" w:rsidR="005C1173" w:rsidRPr="00C9343F" w:rsidRDefault="005C1173" w:rsidP="00F66D98">
            <w:pPr>
              <w:pStyle w:val="BlockText-Plain"/>
            </w:pPr>
            <w:r w:rsidRPr="00C9343F">
              <w:t xml:space="preserve">A period of detention does not count as qualifying service for the purpose of eligibility for </w:t>
            </w:r>
            <w:r w:rsidR="00721283" w:rsidRPr="00C9343F">
              <w:rPr>
                <w:iCs/>
              </w:rPr>
              <w:t>DFRT allowances</w:t>
            </w:r>
            <w:r w:rsidRPr="00C9343F">
              <w:t>.</w:t>
            </w:r>
          </w:p>
        </w:tc>
      </w:tr>
    </w:tbl>
    <w:p w14:paraId="382E1E1E" w14:textId="439FE275" w:rsidR="005C1173" w:rsidRPr="00C9343F" w:rsidRDefault="005C1173" w:rsidP="00F66D98">
      <w:pPr>
        <w:pStyle w:val="Heading5"/>
      </w:pPr>
      <w:bookmarkStart w:id="266" w:name="_Toc32570639"/>
      <w:bookmarkStart w:id="267" w:name="_Toc105053607"/>
      <w:r w:rsidRPr="00C9343F">
        <w:t>1.7.6</w:t>
      </w:r>
      <w:r w:rsidR="00D94006" w:rsidRPr="00C9343F">
        <w:t>    </w:t>
      </w:r>
      <w:r w:rsidRPr="00C9343F">
        <w:t xml:space="preserve">Salary and </w:t>
      </w:r>
      <w:r w:rsidR="00721283" w:rsidRPr="00C9343F">
        <w:rPr>
          <w:iCs/>
        </w:rPr>
        <w:t>DFRT allowances</w:t>
      </w:r>
      <w:r w:rsidR="00721283" w:rsidRPr="00C9343F">
        <w:t xml:space="preserve"> </w:t>
      </w:r>
      <w:r w:rsidRPr="00C9343F">
        <w:t>– member imprisoned or in custody</w:t>
      </w:r>
      <w:bookmarkEnd w:id="266"/>
      <w:bookmarkEnd w:id="267"/>
      <w:r w:rsidRPr="00C9343F">
        <w:t xml:space="preserve"> </w:t>
      </w:r>
    </w:p>
    <w:tbl>
      <w:tblPr>
        <w:tblW w:w="9359" w:type="dxa"/>
        <w:tblInd w:w="113" w:type="dxa"/>
        <w:tblLayout w:type="fixed"/>
        <w:tblLook w:val="0000" w:firstRow="0" w:lastRow="0" w:firstColumn="0" w:lastColumn="0" w:noHBand="0" w:noVBand="0"/>
      </w:tblPr>
      <w:tblGrid>
        <w:gridCol w:w="992"/>
        <w:gridCol w:w="567"/>
        <w:gridCol w:w="563"/>
        <w:gridCol w:w="7237"/>
      </w:tblGrid>
      <w:tr w:rsidR="005C1173" w:rsidRPr="00C9343F" w14:paraId="79E44478" w14:textId="77777777" w:rsidTr="00B02E82">
        <w:tc>
          <w:tcPr>
            <w:tcW w:w="992" w:type="dxa"/>
          </w:tcPr>
          <w:p w14:paraId="5C4642B5" w14:textId="77777777" w:rsidR="005C1173" w:rsidRPr="00C9343F" w:rsidRDefault="005C1173" w:rsidP="00F66D98">
            <w:pPr>
              <w:pStyle w:val="BlockText-Plain"/>
              <w:jc w:val="center"/>
            </w:pPr>
            <w:r w:rsidRPr="00C9343F">
              <w:t>1.</w:t>
            </w:r>
          </w:p>
        </w:tc>
        <w:tc>
          <w:tcPr>
            <w:tcW w:w="8367" w:type="dxa"/>
            <w:gridSpan w:val="3"/>
          </w:tcPr>
          <w:p w14:paraId="0E7A037B" w14:textId="0D1F6E0E" w:rsidR="005C1173" w:rsidRPr="00C9343F" w:rsidRDefault="00721283" w:rsidP="00F66D98">
            <w:pPr>
              <w:pStyle w:val="BlockText-Plain"/>
            </w:pPr>
            <w:r w:rsidRPr="00C9343F">
              <w:rPr>
                <w:iCs/>
              </w:rPr>
              <w:t>A member’s salary, DFRT allowances and Language allowance are forfeited to the Commonwealth during a period of imprisonment or custody.</w:t>
            </w:r>
          </w:p>
        </w:tc>
      </w:tr>
      <w:tr w:rsidR="00721283" w:rsidRPr="00C9343F" w14:paraId="4CA41AAE" w14:textId="77777777" w:rsidTr="00B02E82">
        <w:tc>
          <w:tcPr>
            <w:tcW w:w="992" w:type="dxa"/>
          </w:tcPr>
          <w:p w14:paraId="19C009BE" w14:textId="77777777" w:rsidR="00721283" w:rsidRPr="00C9343F" w:rsidRDefault="00721283" w:rsidP="00F66D98">
            <w:pPr>
              <w:pStyle w:val="BlockText-Plain"/>
              <w:jc w:val="center"/>
            </w:pPr>
          </w:p>
        </w:tc>
        <w:tc>
          <w:tcPr>
            <w:tcW w:w="8367" w:type="dxa"/>
            <w:gridSpan w:val="3"/>
          </w:tcPr>
          <w:p w14:paraId="77427C36" w14:textId="12B611CB" w:rsidR="00721283" w:rsidRPr="00C9343F" w:rsidRDefault="00721283" w:rsidP="00F66D98">
            <w:pPr>
              <w:pStyle w:val="BlockText-Plain"/>
              <w:rPr>
                <w:iCs/>
              </w:rPr>
            </w:pPr>
            <w:r w:rsidRPr="00C9343F">
              <w:rPr>
                <w:rFonts w:cs="Arial"/>
                <w:b/>
                <w:lang w:eastAsia="en-US"/>
              </w:rPr>
              <w:t>Note:</w:t>
            </w:r>
            <w:r w:rsidRPr="00C9343F">
              <w:rPr>
                <w:rFonts w:cs="Arial"/>
                <w:lang w:eastAsia="en-US"/>
              </w:rPr>
              <w:t xml:space="preserve"> Language allowance is payable under DFRT Determination No. 10 of 1992, </w:t>
            </w:r>
            <w:r w:rsidRPr="00C9343F">
              <w:rPr>
                <w:rFonts w:cs="Arial"/>
                <w:i/>
                <w:lang w:eastAsia="en-US"/>
              </w:rPr>
              <w:t>Language allowance.</w:t>
            </w:r>
          </w:p>
        </w:tc>
      </w:tr>
      <w:tr w:rsidR="005C1173" w:rsidRPr="00C9343F" w14:paraId="47922504" w14:textId="77777777" w:rsidTr="00B02E82">
        <w:tc>
          <w:tcPr>
            <w:tcW w:w="992" w:type="dxa"/>
          </w:tcPr>
          <w:p w14:paraId="215A95A6" w14:textId="77777777" w:rsidR="005C1173" w:rsidRPr="00C9343F" w:rsidRDefault="005C1173" w:rsidP="00F66D98">
            <w:pPr>
              <w:pStyle w:val="BlockText-Plain"/>
              <w:jc w:val="center"/>
            </w:pPr>
            <w:r w:rsidRPr="00C9343F">
              <w:t>2.</w:t>
            </w:r>
          </w:p>
        </w:tc>
        <w:tc>
          <w:tcPr>
            <w:tcW w:w="8367" w:type="dxa"/>
            <w:gridSpan w:val="3"/>
          </w:tcPr>
          <w:p w14:paraId="2B2BBA2D" w14:textId="77777777" w:rsidR="005C1173" w:rsidRPr="00C9343F" w:rsidRDefault="005C1173" w:rsidP="00F66D98">
            <w:pPr>
              <w:pStyle w:val="BlockText-Plain"/>
            </w:pPr>
            <w:r w:rsidRPr="00C9343F">
              <w:t>For the purpose of subsection 1 the forfeit period is either of the following.</w:t>
            </w:r>
          </w:p>
        </w:tc>
      </w:tr>
      <w:tr w:rsidR="005C1173" w:rsidRPr="00C9343F" w14:paraId="7248036C" w14:textId="77777777" w:rsidTr="00B02E82">
        <w:trPr>
          <w:cantSplit/>
        </w:trPr>
        <w:tc>
          <w:tcPr>
            <w:tcW w:w="992" w:type="dxa"/>
          </w:tcPr>
          <w:p w14:paraId="4CA2EE08" w14:textId="77777777" w:rsidR="005C1173" w:rsidRPr="00C9343F" w:rsidRDefault="005C1173" w:rsidP="00F66D98">
            <w:pPr>
              <w:pStyle w:val="BlockText-Plain"/>
            </w:pPr>
          </w:p>
        </w:tc>
        <w:tc>
          <w:tcPr>
            <w:tcW w:w="567" w:type="dxa"/>
          </w:tcPr>
          <w:p w14:paraId="2192921C" w14:textId="77777777" w:rsidR="005C1173" w:rsidRPr="00C9343F" w:rsidRDefault="005C1173" w:rsidP="007114B1">
            <w:pPr>
              <w:pStyle w:val="BlockText-Plain"/>
              <w:jc w:val="center"/>
            </w:pPr>
            <w:r w:rsidRPr="00C9343F">
              <w:t>a.</w:t>
            </w:r>
          </w:p>
        </w:tc>
        <w:tc>
          <w:tcPr>
            <w:tcW w:w="7800" w:type="dxa"/>
            <w:gridSpan w:val="2"/>
          </w:tcPr>
          <w:p w14:paraId="0EFBF08D" w14:textId="77777777" w:rsidR="005C1173" w:rsidRPr="00C9343F" w:rsidRDefault="005C1173" w:rsidP="00F66D98">
            <w:pPr>
              <w:pStyle w:val="BlockText-Plain"/>
            </w:pPr>
            <w:r w:rsidRPr="00C9343F">
              <w:t>For a single period of imprisonment or custody.</w:t>
            </w:r>
          </w:p>
        </w:tc>
      </w:tr>
      <w:tr w:rsidR="005C1173" w:rsidRPr="00C9343F" w14:paraId="66A7A183" w14:textId="77777777" w:rsidTr="00B02E82">
        <w:trPr>
          <w:cantSplit/>
        </w:trPr>
        <w:tc>
          <w:tcPr>
            <w:tcW w:w="992" w:type="dxa"/>
          </w:tcPr>
          <w:p w14:paraId="4FB83AE6" w14:textId="77777777" w:rsidR="005C1173" w:rsidRPr="00C9343F" w:rsidRDefault="005C1173" w:rsidP="00F66D98">
            <w:pPr>
              <w:pStyle w:val="BlockText-Plain"/>
            </w:pPr>
          </w:p>
        </w:tc>
        <w:tc>
          <w:tcPr>
            <w:tcW w:w="567" w:type="dxa"/>
          </w:tcPr>
          <w:p w14:paraId="69B85C59" w14:textId="77777777" w:rsidR="005C1173" w:rsidRPr="00C9343F" w:rsidRDefault="005C1173" w:rsidP="00F66D98">
            <w:pPr>
              <w:pStyle w:val="BlockText-Plain"/>
            </w:pPr>
          </w:p>
        </w:tc>
        <w:tc>
          <w:tcPr>
            <w:tcW w:w="563" w:type="dxa"/>
          </w:tcPr>
          <w:p w14:paraId="60BBB785" w14:textId="77777777" w:rsidR="005C1173" w:rsidRPr="00C9343F" w:rsidRDefault="005C1173" w:rsidP="007114B1">
            <w:pPr>
              <w:pStyle w:val="BlockText-Plain"/>
              <w:jc w:val="both"/>
            </w:pPr>
            <w:r w:rsidRPr="00C9343F">
              <w:t>i.</w:t>
            </w:r>
          </w:p>
        </w:tc>
        <w:tc>
          <w:tcPr>
            <w:tcW w:w="7237" w:type="dxa"/>
          </w:tcPr>
          <w:p w14:paraId="1C7C4674" w14:textId="77777777" w:rsidR="005C1173" w:rsidRPr="00C9343F" w:rsidRDefault="005C1173" w:rsidP="00F66D98">
            <w:pPr>
              <w:pStyle w:val="BlockText-Plain"/>
            </w:pPr>
            <w:r w:rsidRPr="00C9343F">
              <w:t>Commencing at the start of the first full day that the member is imprisoned or held in custody.</w:t>
            </w:r>
          </w:p>
        </w:tc>
      </w:tr>
      <w:tr w:rsidR="005C1173" w:rsidRPr="00C9343F" w14:paraId="55DF1DF2" w14:textId="77777777" w:rsidTr="00B02E82">
        <w:trPr>
          <w:cantSplit/>
        </w:trPr>
        <w:tc>
          <w:tcPr>
            <w:tcW w:w="992" w:type="dxa"/>
          </w:tcPr>
          <w:p w14:paraId="47EC0278" w14:textId="77777777" w:rsidR="005C1173" w:rsidRPr="00C9343F" w:rsidRDefault="005C1173" w:rsidP="00F66D98">
            <w:pPr>
              <w:pStyle w:val="BlockText-Plain"/>
            </w:pPr>
          </w:p>
        </w:tc>
        <w:tc>
          <w:tcPr>
            <w:tcW w:w="567" w:type="dxa"/>
          </w:tcPr>
          <w:p w14:paraId="4427944E" w14:textId="77777777" w:rsidR="005C1173" w:rsidRPr="00C9343F" w:rsidRDefault="005C1173" w:rsidP="00F66D98">
            <w:pPr>
              <w:pStyle w:val="BlockText-Plain"/>
            </w:pPr>
          </w:p>
        </w:tc>
        <w:tc>
          <w:tcPr>
            <w:tcW w:w="563" w:type="dxa"/>
          </w:tcPr>
          <w:p w14:paraId="3D713E97" w14:textId="77777777" w:rsidR="005C1173" w:rsidRPr="00C9343F" w:rsidRDefault="005C1173" w:rsidP="007114B1">
            <w:pPr>
              <w:pStyle w:val="BlockText-Plain"/>
              <w:jc w:val="both"/>
            </w:pPr>
            <w:r w:rsidRPr="00C9343F">
              <w:t>ii.</w:t>
            </w:r>
          </w:p>
        </w:tc>
        <w:tc>
          <w:tcPr>
            <w:tcW w:w="7237" w:type="dxa"/>
          </w:tcPr>
          <w:p w14:paraId="3C7B00EB" w14:textId="77777777" w:rsidR="005C1173" w:rsidRPr="00C9343F" w:rsidRDefault="005C1173" w:rsidP="00F66D98">
            <w:pPr>
              <w:pStyle w:val="BlockText-Plain"/>
            </w:pPr>
            <w:r w:rsidRPr="00C9343F">
              <w:t>Ending at the end of the last full day the member is imprisoned or held in custody.</w:t>
            </w:r>
          </w:p>
        </w:tc>
      </w:tr>
      <w:tr w:rsidR="005C1173" w:rsidRPr="00C9343F" w14:paraId="33EFFA62" w14:textId="77777777" w:rsidTr="00B02E82">
        <w:trPr>
          <w:cantSplit/>
        </w:trPr>
        <w:tc>
          <w:tcPr>
            <w:tcW w:w="992" w:type="dxa"/>
          </w:tcPr>
          <w:p w14:paraId="6B8CC04D" w14:textId="77777777" w:rsidR="005C1173" w:rsidRPr="00C9343F" w:rsidRDefault="005C1173" w:rsidP="00F66D98">
            <w:pPr>
              <w:pStyle w:val="BlockText-Plain"/>
            </w:pPr>
          </w:p>
        </w:tc>
        <w:tc>
          <w:tcPr>
            <w:tcW w:w="567" w:type="dxa"/>
          </w:tcPr>
          <w:p w14:paraId="11BA3FB0" w14:textId="77777777" w:rsidR="005C1173" w:rsidRPr="00C9343F" w:rsidRDefault="005C1173" w:rsidP="007114B1">
            <w:pPr>
              <w:pStyle w:val="BlockText-Plain"/>
              <w:jc w:val="center"/>
            </w:pPr>
            <w:r w:rsidRPr="00C9343F">
              <w:t>b.</w:t>
            </w:r>
          </w:p>
        </w:tc>
        <w:tc>
          <w:tcPr>
            <w:tcW w:w="7800" w:type="dxa"/>
            <w:gridSpan w:val="2"/>
          </w:tcPr>
          <w:p w14:paraId="312A0434" w14:textId="77777777" w:rsidR="005C1173" w:rsidRPr="00C9343F" w:rsidRDefault="005C1173" w:rsidP="00F66D98">
            <w:pPr>
              <w:pStyle w:val="BlockText-Plain"/>
            </w:pPr>
            <w:r w:rsidRPr="00C9343F">
              <w:t>For periodic imprisonment or custody.</w:t>
            </w:r>
          </w:p>
        </w:tc>
      </w:tr>
      <w:tr w:rsidR="005C1173" w:rsidRPr="00C9343F" w14:paraId="051E5505" w14:textId="77777777" w:rsidTr="00B02E82">
        <w:trPr>
          <w:cantSplit/>
        </w:trPr>
        <w:tc>
          <w:tcPr>
            <w:tcW w:w="992" w:type="dxa"/>
          </w:tcPr>
          <w:p w14:paraId="186563FC" w14:textId="77777777" w:rsidR="005C1173" w:rsidRPr="00C9343F" w:rsidRDefault="005C1173" w:rsidP="00F66D98">
            <w:pPr>
              <w:pStyle w:val="BlockText-Plain"/>
            </w:pPr>
          </w:p>
        </w:tc>
        <w:tc>
          <w:tcPr>
            <w:tcW w:w="567" w:type="dxa"/>
          </w:tcPr>
          <w:p w14:paraId="04B980FC" w14:textId="77777777" w:rsidR="005C1173" w:rsidRPr="00C9343F" w:rsidRDefault="005C1173" w:rsidP="00F66D98">
            <w:pPr>
              <w:pStyle w:val="BlockText-Plain"/>
            </w:pPr>
          </w:p>
        </w:tc>
        <w:tc>
          <w:tcPr>
            <w:tcW w:w="563" w:type="dxa"/>
          </w:tcPr>
          <w:p w14:paraId="5B95ED21" w14:textId="77777777" w:rsidR="005C1173" w:rsidRPr="00C9343F" w:rsidRDefault="005C1173" w:rsidP="007114B1">
            <w:pPr>
              <w:pStyle w:val="BlockText-Plain"/>
              <w:jc w:val="both"/>
            </w:pPr>
            <w:r w:rsidRPr="00C9343F">
              <w:t>i.</w:t>
            </w:r>
          </w:p>
        </w:tc>
        <w:tc>
          <w:tcPr>
            <w:tcW w:w="7237" w:type="dxa"/>
          </w:tcPr>
          <w:p w14:paraId="21B703ED" w14:textId="77777777" w:rsidR="005C1173" w:rsidRPr="00C9343F" w:rsidRDefault="005C1173" w:rsidP="00F66D98">
            <w:pPr>
              <w:pStyle w:val="BlockText-Plain"/>
            </w:pPr>
            <w:r w:rsidRPr="00C9343F">
              <w:t>Commencing at the start of the first day for each period that the member is imprisoned or held in custody.</w:t>
            </w:r>
          </w:p>
        </w:tc>
      </w:tr>
      <w:tr w:rsidR="005C1173" w:rsidRPr="00C9343F" w14:paraId="57A98AF0" w14:textId="77777777" w:rsidTr="00B02E82">
        <w:trPr>
          <w:cantSplit/>
        </w:trPr>
        <w:tc>
          <w:tcPr>
            <w:tcW w:w="992" w:type="dxa"/>
          </w:tcPr>
          <w:p w14:paraId="77B063F3" w14:textId="77777777" w:rsidR="005C1173" w:rsidRPr="00C9343F" w:rsidRDefault="005C1173" w:rsidP="00F66D98">
            <w:pPr>
              <w:pStyle w:val="BlockText-Plain"/>
            </w:pPr>
          </w:p>
        </w:tc>
        <w:tc>
          <w:tcPr>
            <w:tcW w:w="567" w:type="dxa"/>
          </w:tcPr>
          <w:p w14:paraId="44F757E4" w14:textId="77777777" w:rsidR="005C1173" w:rsidRPr="00C9343F" w:rsidRDefault="005C1173" w:rsidP="00F66D98">
            <w:pPr>
              <w:pStyle w:val="BlockText-Plain"/>
            </w:pPr>
          </w:p>
        </w:tc>
        <w:tc>
          <w:tcPr>
            <w:tcW w:w="563" w:type="dxa"/>
          </w:tcPr>
          <w:p w14:paraId="5FF38DFC" w14:textId="77777777" w:rsidR="005C1173" w:rsidRPr="00C9343F" w:rsidRDefault="005C1173" w:rsidP="007114B1">
            <w:pPr>
              <w:pStyle w:val="BlockText-Plain"/>
              <w:jc w:val="both"/>
            </w:pPr>
            <w:r w:rsidRPr="00C9343F">
              <w:t>ii.</w:t>
            </w:r>
          </w:p>
        </w:tc>
        <w:tc>
          <w:tcPr>
            <w:tcW w:w="7237" w:type="dxa"/>
          </w:tcPr>
          <w:p w14:paraId="1D9AD351" w14:textId="77777777" w:rsidR="005C1173" w:rsidRPr="00C9343F" w:rsidRDefault="005C1173" w:rsidP="00F66D98">
            <w:pPr>
              <w:pStyle w:val="BlockText-Plain"/>
            </w:pPr>
            <w:r w:rsidRPr="00C9343F">
              <w:t>Ending at the end of the last day of each period that the member is imprisoned or held in custody.</w:t>
            </w:r>
          </w:p>
        </w:tc>
      </w:tr>
      <w:tr w:rsidR="005C1173" w:rsidRPr="00C9343F" w14:paraId="4FD9530D" w14:textId="77777777" w:rsidTr="00B02E82">
        <w:tc>
          <w:tcPr>
            <w:tcW w:w="992" w:type="dxa"/>
          </w:tcPr>
          <w:p w14:paraId="3D0E6B7E" w14:textId="77777777" w:rsidR="005C1173" w:rsidRPr="00C9343F" w:rsidRDefault="005C1173" w:rsidP="00F66D98">
            <w:pPr>
              <w:pStyle w:val="BlockText-Plain"/>
              <w:jc w:val="center"/>
            </w:pPr>
            <w:r w:rsidRPr="00C9343F">
              <w:t>3.</w:t>
            </w:r>
          </w:p>
        </w:tc>
        <w:tc>
          <w:tcPr>
            <w:tcW w:w="8367" w:type="dxa"/>
            <w:gridSpan w:val="3"/>
          </w:tcPr>
          <w:p w14:paraId="6D3EA194" w14:textId="138EF794" w:rsidR="005C1173" w:rsidRPr="00C9343F" w:rsidRDefault="005C1173" w:rsidP="00F66D98">
            <w:pPr>
              <w:pStyle w:val="BlockText-Plain"/>
            </w:pPr>
            <w:r w:rsidRPr="00C9343F">
              <w:t xml:space="preserve">If a member is held in custody for less than a full day, or two consecutive part days, the member does not forfeit any </w:t>
            </w:r>
            <w:r w:rsidR="00721283" w:rsidRPr="00C9343F">
              <w:rPr>
                <w:iCs/>
              </w:rPr>
              <w:t>salary, DFRT allowances or Language allowance</w:t>
            </w:r>
            <w:r w:rsidRPr="00C9343F">
              <w:t>.</w:t>
            </w:r>
          </w:p>
          <w:p w14:paraId="16C99EAF" w14:textId="77777777" w:rsidR="005C1173" w:rsidRPr="00C9343F" w:rsidRDefault="005C1173" w:rsidP="00F66D98">
            <w:pPr>
              <w:pStyle w:val="BlockText-Plain"/>
            </w:pPr>
            <w:r w:rsidRPr="00C9343F">
              <w:rPr>
                <w:b/>
              </w:rPr>
              <w:t xml:space="preserve">Note: </w:t>
            </w:r>
            <w:r w:rsidRPr="00C9343F">
              <w:t>If the member is absent from duty without leave while being held in civil custody, action under section 29 of the Defence Regulation</w:t>
            </w:r>
            <w:r w:rsidRPr="00C9343F">
              <w:rPr>
                <w:i/>
              </w:rPr>
              <w:t xml:space="preserve"> </w:t>
            </w:r>
            <w:r w:rsidRPr="00C9343F">
              <w:t>may apply.</w:t>
            </w:r>
          </w:p>
        </w:tc>
      </w:tr>
      <w:tr w:rsidR="005C1173" w:rsidRPr="00C9343F" w14:paraId="3E0502DB" w14:textId="77777777" w:rsidTr="00B02E82">
        <w:tc>
          <w:tcPr>
            <w:tcW w:w="992" w:type="dxa"/>
          </w:tcPr>
          <w:p w14:paraId="5F53EB65" w14:textId="77777777" w:rsidR="005C1173" w:rsidRPr="00C9343F" w:rsidRDefault="005C1173" w:rsidP="00F66D98">
            <w:pPr>
              <w:pStyle w:val="BlockText-Plain"/>
              <w:jc w:val="center"/>
            </w:pPr>
            <w:r w:rsidRPr="00C9343F">
              <w:t>4.</w:t>
            </w:r>
          </w:p>
        </w:tc>
        <w:tc>
          <w:tcPr>
            <w:tcW w:w="8367" w:type="dxa"/>
            <w:gridSpan w:val="3"/>
          </w:tcPr>
          <w:p w14:paraId="317A5B15" w14:textId="095C25B9" w:rsidR="005C1173" w:rsidRPr="00C9343F" w:rsidRDefault="005C1173" w:rsidP="00F66D98">
            <w:pPr>
              <w:pStyle w:val="BlockText-Plain"/>
            </w:pPr>
            <w:r w:rsidRPr="00C9343F">
              <w:t xml:space="preserve">A period of imprisonment or custody does not count as qualifying service for the purpose of eligibility for </w:t>
            </w:r>
            <w:r w:rsidR="005F5594" w:rsidRPr="00C9343F">
              <w:rPr>
                <w:iCs/>
              </w:rPr>
              <w:t>DFRT allowances</w:t>
            </w:r>
            <w:r w:rsidRPr="00C9343F">
              <w:t>.</w:t>
            </w:r>
          </w:p>
        </w:tc>
      </w:tr>
    </w:tbl>
    <w:p w14:paraId="614B574F" w14:textId="3AA54C0A" w:rsidR="005C1173" w:rsidRPr="00C9343F" w:rsidRDefault="005C1173" w:rsidP="00F66D98">
      <w:pPr>
        <w:pStyle w:val="Heading5"/>
      </w:pPr>
      <w:bookmarkStart w:id="268" w:name="_Toc32570640"/>
      <w:bookmarkStart w:id="269" w:name="_Toc105053608"/>
      <w:r w:rsidRPr="00C9343F">
        <w:t>1.7.7</w:t>
      </w:r>
      <w:r w:rsidR="00D94006" w:rsidRPr="00C9343F">
        <w:t>    </w:t>
      </w:r>
      <w:r w:rsidRPr="00C9343F">
        <w:t>Conviction quashed or set aside</w:t>
      </w:r>
      <w:bookmarkEnd w:id="268"/>
      <w:bookmarkEnd w:id="269"/>
    </w:p>
    <w:tbl>
      <w:tblPr>
        <w:tblW w:w="9360" w:type="dxa"/>
        <w:tblInd w:w="113" w:type="dxa"/>
        <w:tblLayout w:type="fixed"/>
        <w:tblLook w:val="0000" w:firstRow="0" w:lastRow="0" w:firstColumn="0" w:lastColumn="0" w:noHBand="0" w:noVBand="0"/>
      </w:tblPr>
      <w:tblGrid>
        <w:gridCol w:w="992"/>
        <w:gridCol w:w="567"/>
        <w:gridCol w:w="563"/>
        <w:gridCol w:w="7238"/>
      </w:tblGrid>
      <w:tr w:rsidR="005C1173" w:rsidRPr="00C9343F" w14:paraId="12E5007A" w14:textId="77777777" w:rsidTr="00B02E82">
        <w:tc>
          <w:tcPr>
            <w:tcW w:w="992" w:type="dxa"/>
          </w:tcPr>
          <w:p w14:paraId="2261640B" w14:textId="77777777" w:rsidR="005C1173" w:rsidRPr="00C9343F" w:rsidRDefault="005C1173" w:rsidP="00F66D98">
            <w:pPr>
              <w:pStyle w:val="BlockText-Plain"/>
              <w:jc w:val="center"/>
            </w:pPr>
            <w:r w:rsidRPr="00C9343F">
              <w:t>1.</w:t>
            </w:r>
          </w:p>
        </w:tc>
        <w:tc>
          <w:tcPr>
            <w:tcW w:w="8368" w:type="dxa"/>
            <w:gridSpan w:val="3"/>
          </w:tcPr>
          <w:p w14:paraId="0D47B485" w14:textId="77777777" w:rsidR="005C1173" w:rsidRPr="00C9343F" w:rsidRDefault="005C1173" w:rsidP="00F66D98">
            <w:pPr>
              <w:pStyle w:val="BlockText-Plain"/>
              <w:rPr>
                <w:iCs/>
              </w:rPr>
            </w:pPr>
            <w:r w:rsidRPr="00C9343F">
              <w:rPr>
                <w:iCs/>
              </w:rPr>
              <w:t>This section applies to a member if either of the following occurs.</w:t>
            </w:r>
          </w:p>
        </w:tc>
      </w:tr>
      <w:tr w:rsidR="005C1173" w:rsidRPr="00C9343F" w14:paraId="02ECBB0D" w14:textId="77777777" w:rsidTr="00B02E82">
        <w:trPr>
          <w:cantSplit/>
        </w:trPr>
        <w:tc>
          <w:tcPr>
            <w:tcW w:w="992" w:type="dxa"/>
          </w:tcPr>
          <w:p w14:paraId="764FF799" w14:textId="77777777" w:rsidR="005C1173" w:rsidRPr="00C9343F" w:rsidRDefault="005C1173" w:rsidP="00F66D98">
            <w:pPr>
              <w:pStyle w:val="BlockText-Plain"/>
            </w:pPr>
          </w:p>
        </w:tc>
        <w:tc>
          <w:tcPr>
            <w:tcW w:w="567" w:type="dxa"/>
          </w:tcPr>
          <w:p w14:paraId="74DA9A05" w14:textId="77777777" w:rsidR="005C1173" w:rsidRPr="00C9343F" w:rsidRDefault="005C1173" w:rsidP="007114B1">
            <w:pPr>
              <w:pStyle w:val="BlockText-Plain"/>
              <w:jc w:val="center"/>
            </w:pPr>
            <w:r w:rsidRPr="00C9343F">
              <w:t>a.</w:t>
            </w:r>
          </w:p>
        </w:tc>
        <w:tc>
          <w:tcPr>
            <w:tcW w:w="7801" w:type="dxa"/>
            <w:gridSpan w:val="2"/>
          </w:tcPr>
          <w:p w14:paraId="0153B253" w14:textId="77777777" w:rsidR="005C1173" w:rsidRPr="00C9343F" w:rsidRDefault="005C1173" w:rsidP="00F66D98">
            <w:pPr>
              <w:pStyle w:val="BlockText-Plain"/>
            </w:pPr>
            <w:r w:rsidRPr="00C9343F">
              <w:t>The decision that led to a member's imprisonment or detention has been quashed or set aside.</w:t>
            </w:r>
          </w:p>
        </w:tc>
      </w:tr>
      <w:tr w:rsidR="005C1173" w:rsidRPr="00C9343F" w14:paraId="16FAC87C" w14:textId="77777777" w:rsidTr="00B02E82">
        <w:trPr>
          <w:cantSplit/>
        </w:trPr>
        <w:tc>
          <w:tcPr>
            <w:tcW w:w="992" w:type="dxa"/>
          </w:tcPr>
          <w:p w14:paraId="4ED08B3C" w14:textId="77777777" w:rsidR="005C1173" w:rsidRPr="00C9343F" w:rsidRDefault="005C1173" w:rsidP="00F66D98">
            <w:pPr>
              <w:pStyle w:val="BlockText-Plain"/>
            </w:pPr>
          </w:p>
        </w:tc>
        <w:tc>
          <w:tcPr>
            <w:tcW w:w="567" w:type="dxa"/>
          </w:tcPr>
          <w:p w14:paraId="317A53E6" w14:textId="77777777" w:rsidR="005C1173" w:rsidRPr="00C9343F" w:rsidRDefault="005C1173" w:rsidP="007114B1">
            <w:pPr>
              <w:pStyle w:val="BlockText-Plain"/>
              <w:jc w:val="center"/>
            </w:pPr>
            <w:r w:rsidRPr="00C9343F">
              <w:t>b.</w:t>
            </w:r>
          </w:p>
        </w:tc>
        <w:tc>
          <w:tcPr>
            <w:tcW w:w="7801" w:type="dxa"/>
            <w:gridSpan w:val="2"/>
          </w:tcPr>
          <w:p w14:paraId="3CF17AA4" w14:textId="77777777" w:rsidR="005C1173" w:rsidRPr="00C9343F" w:rsidRDefault="005C1173" w:rsidP="00F66D98">
            <w:pPr>
              <w:pStyle w:val="BlockText-Plain"/>
            </w:pPr>
            <w:r w:rsidRPr="00C9343F">
              <w:t>The period in which the member was held in custody was determined to be unlawful.</w:t>
            </w:r>
          </w:p>
        </w:tc>
      </w:tr>
      <w:tr w:rsidR="005C1173" w:rsidRPr="00C9343F" w14:paraId="06E1793B" w14:textId="77777777" w:rsidTr="00B02E82">
        <w:tc>
          <w:tcPr>
            <w:tcW w:w="992" w:type="dxa"/>
          </w:tcPr>
          <w:p w14:paraId="2DEA0DE5" w14:textId="77777777" w:rsidR="005C1173" w:rsidRPr="00C9343F" w:rsidRDefault="005C1173" w:rsidP="00F66D98">
            <w:pPr>
              <w:pStyle w:val="BlockText-Plain"/>
              <w:jc w:val="center"/>
            </w:pPr>
            <w:r w:rsidRPr="00C9343F">
              <w:t>2.</w:t>
            </w:r>
          </w:p>
        </w:tc>
        <w:tc>
          <w:tcPr>
            <w:tcW w:w="8368" w:type="dxa"/>
            <w:gridSpan w:val="3"/>
          </w:tcPr>
          <w:p w14:paraId="0723E3A9" w14:textId="77777777" w:rsidR="005C1173" w:rsidRPr="00C9343F" w:rsidRDefault="005C1173" w:rsidP="00F66D98">
            <w:pPr>
              <w:pStyle w:val="BlockText-Plain"/>
            </w:pPr>
            <w:r w:rsidRPr="00C9343F">
              <w:t xml:space="preserve">If the member had part of their salary forfeited under section 1.7.5, the member is to be paid both of the following amounts. </w:t>
            </w:r>
          </w:p>
        </w:tc>
      </w:tr>
      <w:tr w:rsidR="005C1173" w:rsidRPr="00C9343F" w14:paraId="707CA1E0" w14:textId="77777777" w:rsidTr="00B02E82">
        <w:trPr>
          <w:cantSplit/>
        </w:trPr>
        <w:tc>
          <w:tcPr>
            <w:tcW w:w="992" w:type="dxa"/>
          </w:tcPr>
          <w:p w14:paraId="12F46DB4" w14:textId="77777777" w:rsidR="005C1173" w:rsidRPr="00C9343F" w:rsidRDefault="005C1173" w:rsidP="00F66D98">
            <w:pPr>
              <w:pStyle w:val="BlockText-Plain"/>
            </w:pPr>
          </w:p>
        </w:tc>
        <w:tc>
          <w:tcPr>
            <w:tcW w:w="567" w:type="dxa"/>
          </w:tcPr>
          <w:p w14:paraId="46215EBE" w14:textId="77777777" w:rsidR="005C1173" w:rsidRPr="00C9343F" w:rsidRDefault="005C1173" w:rsidP="007114B1">
            <w:pPr>
              <w:pStyle w:val="BlockText-Plain"/>
              <w:jc w:val="center"/>
            </w:pPr>
            <w:r w:rsidRPr="00C9343F">
              <w:t>a.</w:t>
            </w:r>
          </w:p>
        </w:tc>
        <w:tc>
          <w:tcPr>
            <w:tcW w:w="7801" w:type="dxa"/>
            <w:gridSpan w:val="2"/>
          </w:tcPr>
          <w:p w14:paraId="093C7C63" w14:textId="77777777" w:rsidR="005C1173" w:rsidRPr="00C9343F" w:rsidRDefault="005C1173" w:rsidP="00F66D98">
            <w:pPr>
              <w:pStyle w:val="BlockText-Plain"/>
            </w:pPr>
            <w:r w:rsidRPr="00C9343F">
              <w:t>An amount of salary calculated using the following formula.</w:t>
            </w:r>
          </w:p>
        </w:tc>
      </w:tr>
      <w:tr w:rsidR="005C1173" w:rsidRPr="00C9343F" w14:paraId="78FB708A" w14:textId="77777777" w:rsidTr="00B02E82">
        <w:trPr>
          <w:cantSplit/>
        </w:trPr>
        <w:tc>
          <w:tcPr>
            <w:tcW w:w="992" w:type="dxa"/>
          </w:tcPr>
          <w:p w14:paraId="785B0C40" w14:textId="77777777" w:rsidR="005C1173" w:rsidRPr="00C9343F" w:rsidRDefault="005C1173" w:rsidP="00F66D98">
            <w:pPr>
              <w:pStyle w:val="BlockText-Plain"/>
            </w:pPr>
          </w:p>
        </w:tc>
        <w:tc>
          <w:tcPr>
            <w:tcW w:w="8368" w:type="dxa"/>
            <w:gridSpan w:val="3"/>
          </w:tcPr>
          <w:p w14:paraId="57F1F972" w14:textId="77777777" w:rsidR="005C1173" w:rsidRPr="00C9343F" w:rsidRDefault="005C1173" w:rsidP="00F66D98">
            <w:pPr>
              <w:pStyle w:val="BlockText-Plain"/>
              <w:jc w:val="center"/>
              <w:rPr>
                <w:b/>
                <w:i/>
              </w:rPr>
            </w:pPr>
            <w:r w:rsidRPr="00C9343F">
              <w:rPr>
                <w:b/>
                <w:i/>
              </w:rPr>
              <w:t>Amount of salary repayable = A – B</w:t>
            </w:r>
          </w:p>
        </w:tc>
      </w:tr>
      <w:tr w:rsidR="005C1173" w:rsidRPr="00C9343F" w14:paraId="671E1B0F" w14:textId="77777777" w:rsidTr="00B02E82">
        <w:trPr>
          <w:cantSplit/>
        </w:trPr>
        <w:tc>
          <w:tcPr>
            <w:tcW w:w="992" w:type="dxa"/>
          </w:tcPr>
          <w:p w14:paraId="61194E13" w14:textId="77777777" w:rsidR="005C1173" w:rsidRPr="00C9343F" w:rsidRDefault="005C1173" w:rsidP="00F66D98">
            <w:pPr>
              <w:pStyle w:val="BlockText-Plain"/>
            </w:pPr>
          </w:p>
        </w:tc>
        <w:tc>
          <w:tcPr>
            <w:tcW w:w="567" w:type="dxa"/>
          </w:tcPr>
          <w:p w14:paraId="22D51721" w14:textId="77777777" w:rsidR="005C1173" w:rsidRPr="00C9343F" w:rsidRDefault="005C1173" w:rsidP="00F66D98">
            <w:pPr>
              <w:pStyle w:val="BlockText-Plain"/>
            </w:pPr>
          </w:p>
        </w:tc>
        <w:tc>
          <w:tcPr>
            <w:tcW w:w="7801" w:type="dxa"/>
            <w:gridSpan w:val="2"/>
          </w:tcPr>
          <w:p w14:paraId="63E519DD" w14:textId="77777777" w:rsidR="005C1173" w:rsidRPr="00C9343F" w:rsidRDefault="005C1173" w:rsidP="00F66D98">
            <w:pPr>
              <w:pStyle w:val="BlockText-Plain"/>
            </w:pPr>
            <w:r w:rsidRPr="00C9343F">
              <w:t>Where:</w:t>
            </w:r>
          </w:p>
        </w:tc>
      </w:tr>
      <w:tr w:rsidR="005C1173" w:rsidRPr="00C9343F" w14:paraId="0BDE383B" w14:textId="77777777" w:rsidTr="00B02E82">
        <w:trPr>
          <w:cantSplit/>
        </w:trPr>
        <w:tc>
          <w:tcPr>
            <w:tcW w:w="992" w:type="dxa"/>
          </w:tcPr>
          <w:p w14:paraId="0900FE3F" w14:textId="77777777" w:rsidR="005C1173" w:rsidRPr="00C9343F" w:rsidRDefault="005C1173" w:rsidP="00F66D98">
            <w:pPr>
              <w:pStyle w:val="BlockText-Plain"/>
            </w:pPr>
          </w:p>
        </w:tc>
        <w:tc>
          <w:tcPr>
            <w:tcW w:w="567" w:type="dxa"/>
          </w:tcPr>
          <w:p w14:paraId="06266AAB" w14:textId="77777777" w:rsidR="005C1173" w:rsidRPr="00C9343F" w:rsidRDefault="005C1173" w:rsidP="00F66D98">
            <w:pPr>
              <w:pStyle w:val="BlockText-Plain"/>
            </w:pPr>
          </w:p>
        </w:tc>
        <w:tc>
          <w:tcPr>
            <w:tcW w:w="563" w:type="dxa"/>
          </w:tcPr>
          <w:p w14:paraId="0AD6C2F1" w14:textId="77777777" w:rsidR="005C1173" w:rsidRPr="00C9343F" w:rsidRDefault="005C1173" w:rsidP="00F66D98">
            <w:pPr>
              <w:pStyle w:val="BlockText-Plain"/>
            </w:pPr>
            <w:r w:rsidRPr="00C9343F">
              <w:rPr>
                <w:b/>
              </w:rPr>
              <w:t>A</w:t>
            </w:r>
          </w:p>
        </w:tc>
        <w:tc>
          <w:tcPr>
            <w:tcW w:w="7238" w:type="dxa"/>
          </w:tcPr>
          <w:p w14:paraId="6C016074" w14:textId="77777777" w:rsidR="005C1173" w:rsidRPr="00C9343F" w:rsidRDefault="005C1173" w:rsidP="00F66D98">
            <w:pPr>
              <w:pStyle w:val="BlockText-Plain"/>
            </w:pPr>
            <w:r w:rsidRPr="00C9343F">
              <w:t xml:space="preserve">is the amount of salary that the member would have received during the period had the member not been in detention. </w:t>
            </w:r>
          </w:p>
        </w:tc>
      </w:tr>
      <w:tr w:rsidR="005C1173" w:rsidRPr="00C9343F" w14:paraId="54BAB81A" w14:textId="77777777" w:rsidTr="00B02E82">
        <w:trPr>
          <w:cantSplit/>
        </w:trPr>
        <w:tc>
          <w:tcPr>
            <w:tcW w:w="992" w:type="dxa"/>
          </w:tcPr>
          <w:p w14:paraId="671FED19" w14:textId="77777777" w:rsidR="005C1173" w:rsidRPr="00C9343F" w:rsidRDefault="005C1173" w:rsidP="00F66D98">
            <w:pPr>
              <w:pStyle w:val="BlockText-Plain"/>
            </w:pPr>
          </w:p>
        </w:tc>
        <w:tc>
          <w:tcPr>
            <w:tcW w:w="567" w:type="dxa"/>
          </w:tcPr>
          <w:p w14:paraId="4ED7C4BA" w14:textId="77777777" w:rsidR="005C1173" w:rsidRPr="00C9343F" w:rsidRDefault="005C1173" w:rsidP="00F66D98">
            <w:pPr>
              <w:pStyle w:val="BlockText-Plain"/>
            </w:pPr>
          </w:p>
        </w:tc>
        <w:tc>
          <w:tcPr>
            <w:tcW w:w="563" w:type="dxa"/>
          </w:tcPr>
          <w:p w14:paraId="46A2FBF2" w14:textId="77777777" w:rsidR="005C1173" w:rsidRPr="00C9343F" w:rsidRDefault="005C1173" w:rsidP="00F66D98">
            <w:pPr>
              <w:pStyle w:val="BlockText-Plain"/>
              <w:rPr>
                <w:b/>
              </w:rPr>
            </w:pPr>
            <w:r w:rsidRPr="00C9343F">
              <w:rPr>
                <w:b/>
              </w:rPr>
              <w:t>B</w:t>
            </w:r>
          </w:p>
        </w:tc>
        <w:tc>
          <w:tcPr>
            <w:tcW w:w="7238" w:type="dxa"/>
          </w:tcPr>
          <w:p w14:paraId="75A84DB9" w14:textId="77777777" w:rsidR="005C1173" w:rsidRPr="00C9343F" w:rsidRDefault="005C1173" w:rsidP="00F66D98">
            <w:pPr>
              <w:pStyle w:val="BlockText-Plain"/>
            </w:pPr>
            <w:r w:rsidRPr="00C9343F">
              <w:t>is the amount of salary that the member received during the period the member was in detention.</w:t>
            </w:r>
          </w:p>
        </w:tc>
      </w:tr>
      <w:tr w:rsidR="005C1173" w:rsidRPr="00C9343F" w14:paraId="3F3475AB" w14:textId="77777777" w:rsidTr="00B02E82">
        <w:trPr>
          <w:cantSplit/>
        </w:trPr>
        <w:tc>
          <w:tcPr>
            <w:tcW w:w="992" w:type="dxa"/>
          </w:tcPr>
          <w:p w14:paraId="1A35AE11" w14:textId="77777777" w:rsidR="005C1173" w:rsidRPr="00C9343F" w:rsidRDefault="005C1173" w:rsidP="00F66D98">
            <w:pPr>
              <w:pStyle w:val="BlockText-Plain"/>
            </w:pPr>
          </w:p>
        </w:tc>
        <w:tc>
          <w:tcPr>
            <w:tcW w:w="567" w:type="dxa"/>
          </w:tcPr>
          <w:p w14:paraId="186375E1" w14:textId="77777777" w:rsidR="005C1173" w:rsidRPr="00C9343F" w:rsidRDefault="005C1173" w:rsidP="007114B1">
            <w:pPr>
              <w:pStyle w:val="BlockText-Plain"/>
              <w:jc w:val="center"/>
            </w:pPr>
            <w:r w:rsidRPr="00C9343F">
              <w:t>b.</w:t>
            </w:r>
          </w:p>
        </w:tc>
        <w:tc>
          <w:tcPr>
            <w:tcW w:w="7801" w:type="dxa"/>
            <w:gridSpan w:val="2"/>
          </w:tcPr>
          <w:p w14:paraId="3AADF8F4" w14:textId="74FC7CC5" w:rsidR="005C1173" w:rsidRPr="00C9343F" w:rsidRDefault="00721283" w:rsidP="00F66D98">
            <w:pPr>
              <w:pStyle w:val="BlockText-Plain"/>
            </w:pPr>
            <w:r w:rsidRPr="00C9343F">
              <w:rPr>
                <w:rFonts w:cs="Arial"/>
                <w:lang w:eastAsia="en-US"/>
              </w:rPr>
              <w:t>An amount equal to the DFRT allowances and Language allowance which were forfeited during the period the member was in detention.</w:t>
            </w:r>
          </w:p>
        </w:tc>
      </w:tr>
      <w:tr w:rsidR="00721283" w:rsidRPr="00C9343F" w14:paraId="1CFE7D52" w14:textId="77777777" w:rsidTr="00B02E82">
        <w:trPr>
          <w:cantSplit/>
        </w:trPr>
        <w:tc>
          <w:tcPr>
            <w:tcW w:w="992" w:type="dxa"/>
          </w:tcPr>
          <w:p w14:paraId="10773C16" w14:textId="77777777" w:rsidR="00721283" w:rsidRPr="00C9343F" w:rsidRDefault="00721283" w:rsidP="00F66D98">
            <w:pPr>
              <w:pStyle w:val="BlockText-Plain"/>
            </w:pPr>
          </w:p>
        </w:tc>
        <w:tc>
          <w:tcPr>
            <w:tcW w:w="567" w:type="dxa"/>
          </w:tcPr>
          <w:p w14:paraId="4948D9B4" w14:textId="77777777" w:rsidR="00721283" w:rsidRPr="00C9343F" w:rsidRDefault="00721283" w:rsidP="00F66D98">
            <w:pPr>
              <w:pStyle w:val="BlockText-Plain"/>
            </w:pPr>
          </w:p>
        </w:tc>
        <w:tc>
          <w:tcPr>
            <w:tcW w:w="7801" w:type="dxa"/>
            <w:gridSpan w:val="2"/>
          </w:tcPr>
          <w:p w14:paraId="0AD4B3B2" w14:textId="4E6DACBF" w:rsidR="00721283" w:rsidRPr="00C9343F" w:rsidRDefault="00721283" w:rsidP="00F66D98">
            <w:pPr>
              <w:pStyle w:val="BlockText-Plain"/>
              <w:rPr>
                <w:rFonts w:cs="Arial"/>
                <w:lang w:eastAsia="en-US"/>
              </w:rPr>
            </w:pPr>
            <w:r w:rsidRPr="00C9343F">
              <w:rPr>
                <w:rFonts w:cs="Arial"/>
                <w:b/>
                <w:lang w:eastAsia="en-US"/>
              </w:rPr>
              <w:t>Note:</w:t>
            </w:r>
            <w:r w:rsidRPr="00C9343F">
              <w:rPr>
                <w:rFonts w:cs="Arial"/>
                <w:lang w:eastAsia="en-US"/>
              </w:rPr>
              <w:t xml:space="preserve"> Language allowance is payable under DFRT Determination No. 10 of 1992, </w:t>
            </w:r>
            <w:r w:rsidRPr="00C9343F">
              <w:rPr>
                <w:rFonts w:cs="Arial"/>
                <w:i/>
                <w:lang w:eastAsia="en-US"/>
              </w:rPr>
              <w:t>Language allowance.</w:t>
            </w:r>
          </w:p>
        </w:tc>
      </w:tr>
      <w:tr w:rsidR="005C1173" w:rsidRPr="00C9343F" w14:paraId="3A004A4E" w14:textId="77777777" w:rsidTr="00B02E82">
        <w:tc>
          <w:tcPr>
            <w:tcW w:w="992" w:type="dxa"/>
          </w:tcPr>
          <w:p w14:paraId="6CA50C65" w14:textId="77777777" w:rsidR="005C1173" w:rsidRPr="00C9343F" w:rsidRDefault="005C1173" w:rsidP="00F66D98">
            <w:pPr>
              <w:pStyle w:val="BlockText-Plain"/>
              <w:jc w:val="center"/>
            </w:pPr>
            <w:r w:rsidRPr="00C9343F">
              <w:t>3.</w:t>
            </w:r>
          </w:p>
        </w:tc>
        <w:tc>
          <w:tcPr>
            <w:tcW w:w="8368" w:type="dxa"/>
            <w:gridSpan w:val="3"/>
          </w:tcPr>
          <w:p w14:paraId="12D96B91" w14:textId="4D7FEED2" w:rsidR="005C1173" w:rsidRPr="00C9343F" w:rsidRDefault="005C1173" w:rsidP="00F66D98">
            <w:pPr>
              <w:pStyle w:val="BlockText-Plain"/>
            </w:pPr>
            <w:r w:rsidRPr="00C9343F">
              <w:t xml:space="preserve">If the member's </w:t>
            </w:r>
            <w:r w:rsidR="005F5594" w:rsidRPr="00C9343F">
              <w:rPr>
                <w:iCs/>
              </w:rPr>
              <w:t>salary, DFRT allowances and Language allowance</w:t>
            </w:r>
            <w:r w:rsidR="005F5594" w:rsidRPr="00C9343F">
              <w:t xml:space="preserve"> </w:t>
            </w:r>
            <w:r w:rsidRPr="00C9343F">
              <w:t xml:space="preserve">were forfeited under section 1.7.6, the member is to be paid an amount equal to the </w:t>
            </w:r>
            <w:r w:rsidR="005F5594" w:rsidRPr="00C9343F">
              <w:rPr>
                <w:iCs/>
              </w:rPr>
              <w:t>salary, DFRT allowances and Language allowance</w:t>
            </w:r>
            <w:r w:rsidRPr="00C9343F">
              <w:t xml:space="preserve"> that were forfeited during the period.</w:t>
            </w:r>
          </w:p>
        </w:tc>
      </w:tr>
      <w:tr w:rsidR="005C1173" w:rsidRPr="00C9343F" w14:paraId="22464DA9" w14:textId="77777777" w:rsidTr="00B02E82">
        <w:tc>
          <w:tcPr>
            <w:tcW w:w="992" w:type="dxa"/>
          </w:tcPr>
          <w:p w14:paraId="382F67C1" w14:textId="77777777" w:rsidR="005C1173" w:rsidRPr="00C9343F" w:rsidRDefault="005C1173" w:rsidP="00F66D98">
            <w:pPr>
              <w:pStyle w:val="BlockText-Plain"/>
              <w:jc w:val="center"/>
            </w:pPr>
            <w:r w:rsidRPr="00C9343F">
              <w:t>4.</w:t>
            </w:r>
          </w:p>
        </w:tc>
        <w:tc>
          <w:tcPr>
            <w:tcW w:w="8368" w:type="dxa"/>
            <w:gridSpan w:val="3"/>
          </w:tcPr>
          <w:p w14:paraId="0DAC33A7" w14:textId="77777777" w:rsidR="005C1173" w:rsidRPr="00C9343F" w:rsidRDefault="005C1173" w:rsidP="00F66D98">
            <w:pPr>
              <w:pStyle w:val="BlockText-Plain"/>
            </w:pPr>
            <w:r w:rsidRPr="00C9343F">
              <w:t>If a member's contribution for a benefit was increased under section 1.7.4, the member is to be reimbursed an amount calculated using the following formula.</w:t>
            </w:r>
          </w:p>
        </w:tc>
      </w:tr>
      <w:tr w:rsidR="005C1173" w:rsidRPr="00C9343F" w14:paraId="78B8BB2F" w14:textId="77777777" w:rsidTr="00B02E82">
        <w:trPr>
          <w:cantSplit/>
        </w:trPr>
        <w:tc>
          <w:tcPr>
            <w:tcW w:w="992" w:type="dxa"/>
          </w:tcPr>
          <w:p w14:paraId="7E1E0483" w14:textId="77777777" w:rsidR="005C1173" w:rsidRPr="00C9343F" w:rsidRDefault="005C1173" w:rsidP="00F66D98">
            <w:pPr>
              <w:pStyle w:val="BlockText-Plain"/>
            </w:pPr>
          </w:p>
        </w:tc>
        <w:tc>
          <w:tcPr>
            <w:tcW w:w="8368" w:type="dxa"/>
            <w:gridSpan w:val="3"/>
          </w:tcPr>
          <w:p w14:paraId="60A017AA" w14:textId="77777777" w:rsidR="005C1173" w:rsidRPr="00C9343F" w:rsidRDefault="005C1173" w:rsidP="00F66D98">
            <w:pPr>
              <w:pStyle w:val="BlockText-Plain"/>
              <w:jc w:val="center"/>
              <w:rPr>
                <w:b/>
                <w:i/>
              </w:rPr>
            </w:pPr>
            <w:r w:rsidRPr="00C9343F">
              <w:rPr>
                <w:b/>
                <w:i/>
              </w:rPr>
              <w:t>Amount of contribution reimbursed = A – B</w:t>
            </w:r>
          </w:p>
        </w:tc>
      </w:tr>
      <w:tr w:rsidR="005C1173" w:rsidRPr="00C9343F" w14:paraId="38658E65" w14:textId="77777777" w:rsidTr="00B02E82">
        <w:trPr>
          <w:cantSplit/>
        </w:trPr>
        <w:tc>
          <w:tcPr>
            <w:tcW w:w="992" w:type="dxa"/>
          </w:tcPr>
          <w:p w14:paraId="61F1DF87" w14:textId="77777777" w:rsidR="005C1173" w:rsidRPr="00C9343F" w:rsidRDefault="005C1173" w:rsidP="00F66D98">
            <w:pPr>
              <w:pStyle w:val="BlockText-Plain"/>
            </w:pPr>
          </w:p>
        </w:tc>
        <w:tc>
          <w:tcPr>
            <w:tcW w:w="8368" w:type="dxa"/>
            <w:gridSpan w:val="3"/>
          </w:tcPr>
          <w:p w14:paraId="171915C9" w14:textId="77777777" w:rsidR="005C1173" w:rsidRPr="00C9343F" w:rsidRDefault="005C1173" w:rsidP="00F66D98">
            <w:pPr>
              <w:pStyle w:val="BlockText-Plain"/>
            </w:pPr>
            <w:r w:rsidRPr="00C9343F">
              <w:t>Where:</w:t>
            </w:r>
          </w:p>
        </w:tc>
      </w:tr>
      <w:tr w:rsidR="005C1173" w:rsidRPr="00C9343F" w14:paraId="5F8DB7D9" w14:textId="77777777" w:rsidTr="00B02E82">
        <w:trPr>
          <w:cantSplit/>
        </w:trPr>
        <w:tc>
          <w:tcPr>
            <w:tcW w:w="992" w:type="dxa"/>
          </w:tcPr>
          <w:p w14:paraId="2B149262" w14:textId="77777777" w:rsidR="005C1173" w:rsidRPr="00C9343F" w:rsidRDefault="005C1173" w:rsidP="00F66D98">
            <w:pPr>
              <w:pStyle w:val="BlockText-Plain"/>
            </w:pPr>
          </w:p>
        </w:tc>
        <w:tc>
          <w:tcPr>
            <w:tcW w:w="567" w:type="dxa"/>
          </w:tcPr>
          <w:p w14:paraId="4F407D56" w14:textId="77777777" w:rsidR="005C1173" w:rsidRPr="00C9343F" w:rsidRDefault="005C1173" w:rsidP="00F66D98">
            <w:pPr>
              <w:pStyle w:val="BlockText-Plain"/>
            </w:pPr>
            <w:r w:rsidRPr="00C9343F">
              <w:rPr>
                <w:b/>
              </w:rPr>
              <w:t>A</w:t>
            </w:r>
          </w:p>
        </w:tc>
        <w:tc>
          <w:tcPr>
            <w:tcW w:w="7801" w:type="dxa"/>
            <w:gridSpan w:val="2"/>
          </w:tcPr>
          <w:p w14:paraId="78152DDF" w14:textId="77777777" w:rsidR="005C1173" w:rsidRPr="00C9343F" w:rsidRDefault="005C1173" w:rsidP="00F66D98">
            <w:pPr>
              <w:pStyle w:val="BlockText-Plain"/>
            </w:pPr>
            <w:r w:rsidRPr="00C9343F">
              <w:t>is the contribution amount paid by the member during the period of imprisonment, detention or custody.</w:t>
            </w:r>
          </w:p>
        </w:tc>
      </w:tr>
      <w:tr w:rsidR="005C1173" w:rsidRPr="00C9343F" w14:paraId="3851711F" w14:textId="77777777" w:rsidTr="00B02E82">
        <w:trPr>
          <w:cantSplit/>
        </w:trPr>
        <w:tc>
          <w:tcPr>
            <w:tcW w:w="992" w:type="dxa"/>
          </w:tcPr>
          <w:p w14:paraId="5AD2F924" w14:textId="77777777" w:rsidR="005C1173" w:rsidRPr="00C9343F" w:rsidRDefault="005C1173" w:rsidP="00F66D98">
            <w:pPr>
              <w:pStyle w:val="BlockText-Plain"/>
            </w:pPr>
          </w:p>
        </w:tc>
        <w:tc>
          <w:tcPr>
            <w:tcW w:w="567" w:type="dxa"/>
          </w:tcPr>
          <w:p w14:paraId="6AACB6D6" w14:textId="77777777" w:rsidR="005C1173" w:rsidRPr="00C9343F" w:rsidRDefault="005C1173" w:rsidP="00F66D98">
            <w:pPr>
              <w:pStyle w:val="BlockText-Plain"/>
            </w:pPr>
            <w:r w:rsidRPr="00C9343F">
              <w:rPr>
                <w:b/>
              </w:rPr>
              <w:t>B</w:t>
            </w:r>
          </w:p>
        </w:tc>
        <w:tc>
          <w:tcPr>
            <w:tcW w:w="7801" w:type="dxa"/>
            <w:gridSpan w:val="2"/>
          </w:tcPr>
          <w:p w14:paraId="7EEF2AFF" w14:textId="77777777" w:rsidR="005C1173" w:rsidRPr="00C9343F" w:rsidRDefault="005C1173" w:rsidP="00F66D98">
            <w:pPr>
              <w:pStyle w:val="BlockText-Plain"/>
            </w:pPr>
            <w:r w:rsidRPr="00C9343F">
              <w:t>is the contribution amount that would have been paid by the member during the period of imprisonment, detention or custody.</w:t>
            </w:r>
          </w:p>
        </w:tc>
      </w:tr>
      <w:tr w:rsidR="005C1173" w:rsidRPr="00C9343F" w14:paraId="6FAD4AE9" w14:textId="77777777" w:rsidTr="00B02E82">
        <w:tc>
          <w:tcPr>
            <w:tcW w:w="992" w:type="dxa"/>
          </w:tcPr>
          <w:p w14:paraId="276D8F1A" w14:textId="77777777" w:rsidR="005C1173" w:rsidRPr="00C9343F" w:rsidRDefault="005C1173" w:rsidP="00F66D98">
            <w:pPr>
              <w:pStyle w:val="BlockText-Plain"/>
              <w:jc w:val="center"/>
            </w:pPr>
            <w:r w:rsidRPr="00C9343F">
              <w:t>5.</w:t>
            </w:r>
          </w:p>
        </w:tc>
        <w:tc>
          <w:tcPr>
            <w:tcW w:w="8368" w:type="dxa"/>
            <w:gridSpan w:val="3"/>
          </w:tcPr>
          <w:p w14:paraId="31178DF2" w14:textId="77777777" w:rsidR="005C1173" w:rsidRPr="00C9343F" w:rsidRDefault="005C1173" w:rsidP="00F66D98">
            <w:pPr>
              <w:pStyle w:val="BlockText-Plain"/>
            </w:pPr>
            <w:r w:rsidRPr="00C9343F">
              <w:t>If a member's eligibility for a reimbursement was ceased under section 1.7.4, the member is to be paid the amount that the member would have been reimbursed had the member not been imprisoned, in detention or held in custody.</w:t>
            </w:r>
          </w:p>
        </w:tc>
      </w:tr>
      <w:tr w:rsidR="005C1173" w:rsidRPr="00C9343F" w14:paraId="74503554" w14:textId="77777777" w:rsidTr="00B02E82">
        <w:tc>
          <w:tcPr>
            <w:tcW w:w="992" w:type="dxa"/>
          </w:tcPr>
          <w:p w14:paraId="661FD037" w14:textId="77777777" w:rsidR="005C1173" w:rsidRPr="00C9343F" w:rsidRDefault="005C1173" w:rsidP="00F66D98">
            <w:pPr>
              <w:pStyle w:val="BlockText-Plain"/>
              <w:jc w:val="center"/>
            </w:pPr>
            <w:r w:rsidRPr="00C9343F">
              <w:t>6.</w:t>
            </w:r>
          </w:p>
        </w:tc>
        <w:tc>
          <w:tcPr>
            <w:tcW w:w="8368" w:type="dxa"/>
            <w:gridSpan w:val="3"/>
          </w:tcPr>
          <w:p w14:paraId="6D83CCAF" w14:textId="0592C284" w:rsidR="005C1173" w:rsidRPr="00C9343F" w:rsidRDefault="005C1173" w:rsidP="00F66D98">
            <w:pPr>
              <w:pStyle w:val="BlockText-Plain"/>
            </w:pPr>
            <w:r w:rsidRPr="00C9343F">
              <w:t xml:space="preserve">If a member's service in the ADF was terminated during a period of imprisonment, detention or custody, the member is to be paid any </w:t>
            </w:r>
            <w:r w:rsidR="005F5594" w:rsidRPr="00C9343F">
              <w:rPr>
                <w:iCs/>
              </w:rPr>
              <w:t>salary, DFRT allowances and Language allowance</w:t>
            </w:r>
            <w:r w:rsidR="005F5594" w:rsidRPr="00C9343F">
              <w:t xml:space="preserve"> </w:t>
            </w:r>
            <w:r w:rsidRPr="00C9343F">
              <w:t xml:space="preserve">that would have been payable from the date of forfeiture up until the member's last day of service. </w:t>
            </w:r>
          </w:p>
        </w:tc>
      </w:tr>
    </w:tbl>
    <w:p w14:paraId="5880676E" w14:textId="77777777" w:rsidR="00CD226D" w:rsidRPr="00C9343F" w:rsidRDefault="00CD226D" w:rsidP="00F66D98">
      <w:pPr>
        <w:pStyle w:val="Heading4"/>
        <w:pageBreakBefore/>
      </w:pPr>
      <w:bookmarkStart w:id="270" w:name="_Toc105053609"/>
      <w:r w:rsidRPr="00C9343F">
        <w:lastRenderedPageBreak/>
        <w:t>Division 1: Leave</w:t>
      </w:r>
      <w:bookmarkEnd w:id="270"/>
    </w:p>
    <w:p w14:paraId="510CC718" w14:textId="4881742A" w:rsidR="00CD226D" w:rsidRPr="00C9343F" w:rsidRDefault="00CD226D" w:rsidP="00F66D98">
      <w:pPr>
        <w:pStyle w:val="Heading5"/>
      </w:pPr>
      <w:bookmarkStart w:id="271" w:name="_Toc32570643"/>
      <w:bookmarkStart w:id="272" w:name="_Toc105053610"/>
      <w:r w:rsidRPr="00C9343F">
        <w:t>1.7.8</w:t>
      </w:r>
      <w:r w:rsidR="00D94006" w:rsidRPr="00C9343F">
        <w:t>    </w:t>
      </w:r>
      <w:r w:rsidRPr="00C9343F">
        <w:t>Purpose</w:t>
      </w:r>
      <w:bookmarkEnd w:id="271"/>
      <w:bookmarkEnd w:id="272"/>
    </w:p>
    <w:tbl>
      <w:tblPr>
        <w:tblW w:w="0" w:type="auto"/>
        <w:tblInd w:w="113" w:type="dxa"/>
        <w:tblLayout w:type="fixed"/>
        <w:tblLook w:val="0000" w:firstRow="0" w:lastRow="0" w:firstColumn="0" w:lastColumn="0" w:noHBand="0" w:noVBand="0"/>
      </w:tblPr>
      <w:tblGrid>
        <w:gridCol w:w="992"/>
        <w:gridCol w:w="8367"/>
      </w:tblGrid>
      <w:tr w:rsidR="00CD226D" w:rsidRPr="00C9343F" w14:paraId="7C0E78B5" w14:textId="77777777" w:rsidTr="00B02E82">
        <w:tc>
          <w:tcPr>
            <w:tcW w:w="992" w:type="dxa"/>
          </w:tcPr>
          <w:p w14:paraId="723EBF47" w14:textId="77777777" w:rsidR="00CD226D" w:rsidRPr="00C9343F" w:rsidRDefault="00CD226D" w:rsidP="00F66D98">
            <w:pPr>
              <w:pStyle w:val="BlockText-Plain"/>
              <w:jc w:val="center"/>
            </w:pPr>
          </w:p>
        </w:tc>
        <w:tc>
          <w:tcPr>
            <w:tcW w:w="8367" w:type="dxa"/>
          </w:tcPr>
          <w:p w14:paraId="6C3D05A5" w14:textId="77777777" w:rsidR="00CD226D" w:rsidRPr="00C9343F" w:rsidRDefault="00CD226D" w:rsidP="00F66D98">
            <w:pPr>
              <w:pStyle w:val="BlockText-Plain"/>
              <w:rPr>
                <w:iCs/>
              </w:rPr>
            </w:pPr>
            <w:r w:rsidRPr="00C9343F">
              <w:rPr>
                <w:iCs/>
              </w:rPr>
              <w:t>This Division sets out what happens to a member’s leave during a period of imprisonment, detention or custody.</w:t>
            </w:r>
          </w:p>
        </w:tc>
      </w:tr>
      <w:tr w:rsidR="00CD226D" w:rsidRPr="00C9343F" w14:paraId="4D9E1334" w14:textId="77777777" w:rsidTr="00B02E82">
        <w:tc>
          <w:tcPr>
            <w:tcW w:w="992" w:type="dxa"/>
          </w:tcPr>
          <w:p w14:paraId="5239BC00" w14:textId="77777777" w:rsidR="00CD226D" w:rsidRPr="00C9343F" w:rsidRDefault="00CD226D" w:rsidP="00F66D98">
            <w:pPr>
              <w:pStyle w:val="BlockText-Plain"/>
              <w:jc w:val="center"/>
            </w:pPr>
          </w:p>
        </w:tc>
        <w:tc>
          <w:tcPr>
            <w:tcW w:w="8367" w:type="dxa"/>
          </w:tcPr>
          <w:p w14:paraId="0BEE3CC5" w14:textId="77777777" w:rsidR="00CD226D" w:rsidRPr="00C9343F" w:rsidRDefault="00CD226D" w:rsidP="00F66D98">
            <w:pPr>
              <w:pStyle w:val="BlockText-Plain"/>
              <w:rPr>
                <w:iCs/>
              </w:rPr>
            </w:pPr>
            <w:r w:rsidRPr="00C9343F">
              <w:rPr>
                <w:b/>
                <w:iCs/>
              </w:rPr>
              <w:t>Note:</w:t>
            </w:r>
            <w:r w:rsidRPr="00C9343F">
              <w:rPr>
                <w:iCs/>
              </w:rPr>
              <w:t xml:space="preserve"> The general rule in section 1.7.4 does not apply to any type of leave.</w:t>
            </w:r>
          </w:p>
        </w:tc>
      </w:tr>
    </w:tbl>
    <w:p w14:paraId="4453903A" w14:textId="5E2ED09D" w:rsidR="00CD226D" w:rsidRPr="00C9343F" w:rsidRDefault="00CD226D" w:rsidP="00F66D98">
      <w:pPr>
        <w:pStyle w:val="Heading5"/>
      </w:pPr>
      <w:bookmarkStart w:id="273" w:name="_Toc32570644"/>
      <w:bookmarkStart w:id="274" w:name="_Toc105053611"/>
      <w:r w:rsidRPr="00C9343F">
        <w:t>1.7.9</w:t>
      </w:r>
      <w:r w:rsidR="00D94006" w:rsidRPr="00C9343F">
        <w:t>    </w:t>
      </w:r>
      <w:r w:rsidRPr="00C9343F">
        <w:t>Recreation leave</w:t>
      </w:r>
      <w:bookmarkEnd w:id="273"/>
      <w:bookmarkEnd w:id="274"/>
    </w:p>
    <w:tbl>
      <w:tblPr>
        <w:tblW w:w="9359" w:type="dxa"/>
        <w:tblInd w:w="113" w:type="dxa"/>
        <w:tblLayout w:type="fixed"/>
        <w:tblLook w:val="0000" w:firstRow="0" w:lastRow="0" w:firstColumn="0" w:lastColumn="0" w:noHBand="0" w:noVBand="0"/>
      </w:tblPr>
      <w:tblGrid>
        <w:gridCol w:w="992"/>
        <w:gridCol w:w="8367"/>
      </w:tblGrid>
      <w:tr w:rsidR="00CD226D" w:rsidRPr="00C9343F" w14:paraId="25FCDA6C" w14:textId="77777777" w:rsidTr="00B02E82">
        <w:tc>
          <w:tcPr>
            <w:tcW w:w="992" w:type="dxa"/>
          </w:tcPr>
          <w:p w14:paraId="54D0CED8" w14:textId="77777777" w:rsidR="00CD226D" w:rsidRPr="00C9343F" w:rsidRDefault="00CD226D" w:rsidP="00F66D98">
            <w:pPr>
              <w:pStyle w:val="BlockText-Plain"/>
              <w:jc w:val="center"/>
            </w:pPr>
            <w:r w:rsidRPr="00C9343F">
              <w:t>1.</w:t>
            </w:r>
          </w:p>
        </w:tc>
        <w:tc>
          <w:tcPr>
            <w:tcW w:w="8367" w:type="dxa"/>
          </w:tcPr>
          <w:p w14:paraId="699C2323" w14:textId="77777777" w:rsidR="00CD226D" w:rsidRPr="00C9343F" w:rsidRDefault="00CD226D" w:rsidP="00F66D98">
            <w:pPr>
              <w:pStyle w:val="BlockText-Plain"/>
              <w:rPr>
                <w:iCs/>
              </w:rPr>
            </w:pPr>
            <w:r w:rsidRPr="00C9343F">
              <w:rPr>
                <w:iCs/>
              </w:rPr>
              <w:t>A member is not eligible to take recreation leave during a period of imprisonment or detention.</w:t>
            </w:r>
          </w:p>
        </w:tc>
      </w:tr>
      <w:tr w:rsidR="00CD226D" w:rsidRPr="00C9343F" w14:paraId="2E87A6ED" w14:textId="77777777" w:rsidTr="00B02E82">
        <w:tc>
          <w:tcPr>
            <w:tcW w:w="992" w:type="dxa"/>
          </w:tcPr>
          <w:p w14:paraId="70541981" w14:textId="77777777" w:rsidR="00CD226D" w:rsidRPr="00C9343F" w:rsidRDefault="00CD226D" w:rsidP="00F66D98">
            <w:pPr>
              <w:pStyle w:val="BlockText-Plain"/>
              <w:jc w:val="center"/>
            </w:pPr>
            <w:r w:rsidRPr="00C9343F">
              <w:t>2.</w:t>
            </w:r>
          </w:p>
        </w:tc>
        <w:tc>
          <w:tcPr>
            <w:tcW w:w="8367" w:type="dxa"/>
          </w:tcPr>
          <w:p w14:paraId="65635383" w14:textId="77777777" w:rsidR="00CD226D" w:rsidRPr="00C9343F" w:rsidRDefault="00CD226D" w:rsidP="00F66D98">
            <w:pPr>
              <w:pStyle w:val="BlockText-Plain"/>
              <w:rPr>
                <w:iCs/>
              </w:rPr>
            </w:pPr>
            <w:r w:rsidRPr="00C9343F">
              <w:rPr>
                <w:iCs/>
              </w:rPr>
              <w:t>A period of imprisonment, detention or custody is non-effective service for the purpose of recreation leave accrual.</w:t>
            </w:r>
          </w:p>
        </w:tc>
      </w:tr>
      <w:tr w:rsidR="00CD226D" w:rsidRPr="00C9343F" w14:paraId="044623EB" w14:textId="77777777" w:rsidTr="00B02E82">
        <w:tc>
          <w:tcPr>
            <w:tcW w:w="992" w:type="dxa"/>
          </w:tcPr>
          <w:p w14:paraId="251B9FE0" w14:textId="77777777" w:rsidR="00CD226D" w:rsidRPr="00C9343F" w:rsidRDefault="00CD226D" w:rsidP="00F66D98">
            <w:pPr>
              <w:pStyle w:val="BlockText-Plain"/>
              <w:jc w:val="center"/>
            </w:pPr>
            <w:r w:rsidRPr="00C9343F">
              <w:t>3.</w:t>
            </w:r>
          </w:p>
        </w:tc>
        <w:tc>
          <w:tcPr>
            <w:tcW w:w="8367" w:type="dxa"/>
          </w:tcPr>
          <w:p w14:paraId="2FD11CAF" w14:textId="77777777" w:rsidR="00CD226D" w:rsidRPr="00C9343F" w:rsidRDefault="00CD226D" w:rsidP="00F66D98">
            <w:pPr>
              <w:pStyle w:val="BlockText-Plain"/>
              <w:rPr>
                <w:iCs/>
              </w:rPr>
            </w:pPr>
            <w:r w:rsidRPr="00C9343F">
              <w:rPr>
                <w:iCs/>
              </w:rPr>
              <w:t>A member is credited recreation leave credits that would have accrued during a period of detention if the decision is quashed or set aside.</w:t>
            </w:r>
          </w:p>
        </w:tc>
      </w:tr>
      <w:tr w:rsidR="00CD226D" w:rsidRPr="00C9343F" w14:paraId="4F0E4E41" w14:textId="77777777" w:rsidTr="00B02E82">
        <w:tc>
          <w:tcPr>
            <w:tcW w:w="992" w:type="dxa"/>
          </w:tcPr>
          <w:p w14:paraId="11DCA6A5" w14:textId="77777777" w:rsidR="00CD226D" w:rsidRPr="00C9343F" w:rsidRDefault="00CD226D" w:rsidP="00F66D98">
            <w:pPr>
              <w:pStyle w:val="BlockText-Plain"/>
              <w:jc w:val="center"/>
            </w:pPr>
          </w:p>
        </w:tc>
        <w:tc>
          <w:tcPr>
            <w:tcW w:w="8367" w:type="dxa"/>
          </w:tcPr>
          <w:p w14:paraId="58F1CB3A" w14:textId="77777777" w:rsidR="00CD226D" w:rsidRPr="00C9343F" w:rsidRDefault="00CD226D" w:rsidP="00F66D98">
            <w:pPr>
              <w:pStyle w:val="BlockText-Plain"/>
              <w:rPr>
                <w:b/>
                <w:iCs/>
              </w:rPr>
            </w:pPr>
            <w:r w:rsidRPr="00C9343F">
              <w:rPr>
                <w:b/>
                <w:iCs/>
              </w:rPr>
              <w:t xml:space="preserve">Note: </w:t>
            </w:r>
            <w:r w:rsidRPr="00C9343F">
              <w:rPr>
                <w:iCs/>
              </w:rPr>
              <w:t>This subsection does not apply to imprisonment or custody.</w:t>
            </w:r>
          </w:p>
        </w:tc>
      </w:tr>
    </w:tbl>
    <w:p w14:paraId="72DCF9D0" w14:textId="17D05488" w:rsidR="00CD226D" w:rsidRPr="00C9343F" w:rsidRDefault="00CD226D" w:rsidP="00F66D98">
      <w:pPr>
        <w:pStyle w:val="Heading5"/>
      </w:pPr>
      <w:bookmarkStart w:id="275" w:name="_Toc32570645"/>
      <w:bookmarkStart w:id="276" w:name="_Toc105053612"/>
      <w:r w:rsidRPr="00C9343F">
        <w:t>1.7.10</w:t>
      </w:r>
      <w:r w:rsidR="00D94006" w:rsidRPr="00C9343F">
        <w:t>    </w:t>
      </w:r>
      <w:r w:rsidRPr="00C9343F">
        <w:t>Short absence and medical absence from duty</w:t>
      </w:r>
      <w:bookmarkEnd w:id="275"/>
      <w:bookmarkEnd w:id="276"/>
    </w:p>
    <w:tbl>
      <w:tblPr>
        <w:tblW w:w="9359" w:type="dxa"/>
        <w:tblInd w:w="113" w:type="dxa"/>
        <w:tblLayout w:type="fixed"/>
        <w:tblLook w:val="0000" w:firstRow="0" w:lastRow="0" w:firstColumn="0" w:lastColumn="0" w:noHBand="0" w:noVBand="0"/>
      </w:tblPr>
      <w:tblGrid>
        <w:gridCol w:w="992"/>
        <w:gridCol w:w="8367"/>
      </w:tblGrid>
      <w:tr w:rsidR="00CD226D" w:rsidRPr="00C9343F" w14:paraId="74CF1031" w14:textId="77777777" w:rsidTr="00B02E82">
        <w:tc>
          <w:tcPr>
            <w:tcW w:w="992" w:type="dxa"/>
          </w:tcPr>
          <w:p w14:paraId="2268977A" w14:textId="77777777" w:rsidR="00CD226D" w:rsidRPr="00C9343F" w:rsidRDefault="00CD226D" w:rsidP="00F66D98">
            <w:pPr>
              <w:pStyle w:val="BlockText-Plain"/>
              <w:jc w:val="center"/>
            </w:pPr>
          </w:p>
        </w:tc>
        <w:tc>
          <w:tcPr>
            <w:tcW w:w="8367" w:type="dxa"/>
          </w:tcPr>
          <w:p w14:paraId="2187E0FD" w14:textId="77777777" w:rsidR="00CD226D" w:rsidRPr="00C9343F" w:rsidRDefault="00CD226D" w:rsidP="00F66D98">
            <w:pPr>
              <w:pStyle w:val="BlockText-Plain"/>
              <w:rPr>
                <w:iCs/>
              </w:rPr>
            </w:pPr>
            <w:r w:rsidRPr="00C9343F">
              <w:rPr>
                <w:iCs/>
              </w:rPr>
              <w:t>A member is not eligible to take short absence or medical absence from duty during a period of imprisonment, detention or custody.</w:t>
            </w:r>
          </w:p>
        </w:tc>
      </w:tr>
    </w:tbl>
    <w:p w14:paraId="46AD102D" w14:textId="2CC4E828" w:rsidR="00CD226D" w:rsidRPr="00C9343F" w:rsidRDefault="00CD226D" w:rsidP="00F66D98">
      <w:pPr>
        <w:pStyle w:val="Heading5"/>
      </w:pPr>
      <w:bookmarkStart w:id="277" w:name="_Toc32570646"/>
      <w:bookmarkStart w:id="278" w:name="_Toc105053613"/>
      <w:r w:rsidRPr="00C9343F">
        <w:t>1.7.11</w:t>
      </w:r>
      <w:r w:rsidR="00D94006" w:rsidRPr="00C9343F">
        <w:t>    </w:t>
      </w:r>
      <w:r w:rsidRPr="00C9343F">
        <w:t>Maternity leave</w:t>
      </w:r>
      <w:bookmarkEnd w:id="277"/>
      <w:bookmarkEnd w:id="278"/>
    </w:p>
    <w:tbl>
      <w:tblPr>
        <w:tblW w:w="9359" w:type="dxa"/>
        <w:tblInd w:w="113" w:type="dxa"/>
        <w:tblLayout w:type="fixed"/>
        <w:tblLook w:val="0000" w:firstRow="0" w:lastRow="0" w:firstColumn="0" w:lastColumn="0" w:noHBand="0" w:noVBand="0"/>
      </w:tblPr>
      <w:tblGrid>
        <w:gridCol w:w="992"/>
        <w:gridCol w:w="8367"/>
      </w:tblGrid>
      <w:tr w:rsidR="00CD226D" w:rsidRPr="00C9343F" w14:paraId="591D9508" w14:textId="77777777" w:rsidTr="00B02E82">
        <w:tc>
          <w:tcPr>
            <w:tcW w:w="992" w:type="dxa"/>
          </w:tcPr>
          <w:p w14:paraId="7852693C" w14:textId="77777777" w:rsidR="00CD226D" w:rsidRPr="00C9343F" w:rsidRDefault="00CD226D" w:rsidP="00F66D98">
            <w:pPr>
              <w:pStyle w:val="BlockText-Plain"/>
              <w:jc w:val="center"/>
            </w:pPr>
            <w:r w:rsidRPr="00C9343F">
              <w:t>1.</w:t>
            </w:r>
          </w:p>
        </w:tc>
        <w:tc>
          <w:tcPr>
            <w:tcW w:w="8367" w:type="dxa"/>
          </w:tcPr>
          <w:p w14:paraId="0C9C094D" w14:textId="77777777" w:rsidR="00CD226D" w:rsidRPr="00C9343F" w:rsidRDefault="00CD226D" w:rsidP="00F66D98">
            <w:pPr>
              <w:pStyle w:val="BlockText-Plain"/>
              <w:rPr>
                <w:iCs/>
              </w:rPr>
            </w:pPr>
            <w:r w:rsidRPr="00C9343F">
              <w:rPr>
                <w:iCs/>
              </w:rPr>
              <w:t>A member is not eligible to take maternity leave during a period of imprisonment, detention or custody.</w:t>
            </w:r>
          </w:p>
        </w:tc>
      </w:tr>
      <w:tr w:rsidR="00CD226D" w:rsidRPr="00C9343F" w14:paraId="3C615222" w14:textId="77777777" w:rsidTr="00B02E82">
        <w:tc>
          <w:tcPr>
            <w:tcW w:w="992" w:type="dxa"/>
          </w:tcPr>
          <w:p w14:paraId="5EEB2760" w14:textId="77777777" w:rsidR="00CD226D" w:rsidRPr="00C9343F" w:rsidRDefault="00CD226D" w:rsidP="00F66D98">
            <w:pPr>
              <w:pStyle w:val="BlockText-Plain"/>
              <w:jc w:val="center"/>
            </w:pPr>
            <w:r w:rsidRPr="00C9343F">
              <w:t>2.</w:t>
            </w:r>
          </w:p>
        </w:tc>
        <w:tc>
          <w:tcPr>
            <w:tcW w:w="8367" w:type="dxa"/>
          </w:tcPr>
          <w:p w14:paraId="7E52750C" w14:textId="77777777" w:rsidR="00CD226D" w:rsidRPr="00C9343F" w:rsidRDefault="00CD226D" w:rsidP="00F66D98">
            <w:pPr>
              <w:pStyle w:val="BlockText-Plain"/>
              <w:rPr>
                <w:iCs/>
              </w:rPr>
            </w:pPr>
            <w:r w:rsidRPr="00C9343F">
              <w:rPr>
                <w:iCs/>
              </w:rPr>
              <w:t>If a member is imprisoned, detained or held in custody during the required absence provided under Chapter 5 Part 6 Division 3, the required absence period is reduced by the by the number of days the member was imprisoned, in detention or custody during that period.</w:t>
            </w:r>
          </w:p>
        </w:tc>
      </w:tr>
      <w:tr w:rsidR="00CD226D" w:rsidRPr="00C9343F" w14:paraId="7F8B5BED" w14:textId="77777777" w:rsidTr="00B02E82">
        <w:tc>
          <w:tcPr>
            <w:tcW w:w="992" w:type="dxa"/>
          </w:tcPr>
          <w:p w14:paraId="7C98B718" w14:textId="77777777" w:rsidR="00CD226D" w:rsidRPr="00C9343F" w:rsidRDefault="00CD226D" w:rsidP="00F66D98">
            <w:pPr>
              <w:pStyle w:val="BlockText-Plain"/>
              <w:jc w:val="center"/>
            </w:pPr>
            <w:r w:rsidRPr="00C9343F">
              <w:t>3.</w:t>
            </w:r>
          </w:p>
        </w:tc>
        <w:tc>
          <w:tcPr>
            <w:tcW w:w="8367" w:type="dxa"/>
          </w:tcPr>
          <w:p w14:paraId="09B4FE45" w14:textId="77777777" w:rsidR="00CD226D" w:rsidRPr="00C9343F" w:rsidRDefault="00CD226D" w:rsidP="00F66D98">
            <w:pPr>
              <w:pStyle w:val="BlockText-Plain"/>
              <w:rPr>
                <w:iCs/>
              </w:rPr>
            </w:pPr>
            <w:r w:rsidRPr="00C9343F">
              <w:rPr>
                <w:iCs/>
              </w:rPr>
              <w:t>If a member is in periodic imprisonment or weekend imprisonment, the member may take maternity leave when not serving a period of imprisonment during the period in which maternity leave can be taken.</w:t>
            </w:r>
          </w:p>
        </w:tc>
      </w:tr>
    </w:tbl>
    <w:p w14:paraId="2052A283" w14:textId="641F50DF" w:rsidR="00CD226D" w:rsidRPr="00C9343F" w:rsidRDefault="00CD226D" w:rsidP="00F66D98">
      <w:pPr>
        <w:pStyle w:val="Heading5"/>
      </w:pPr>
      <w:bookmarkStart w:id="279" w:name="_Toc32570647"/>
      <w:bookmarkStart w:id="280" w:name="_Toc105053614"/>
      <w:r w:rsidRPr="00C9343F">
        <w:t>1.7.12</w:t>
      </w:r>
      <w:r w:rsidR="00D94006" w:rsidRPr="00C9343F">
        <w:t>    </w:t>
      </w:r>
      <w:r w:rsidRPr="00C9343F">
        <w:t>Parental leave</w:t>
      </w:r>
      <w:bookmarkEnd w:id="279"/>
      <w:bookmarkEnd w:id="280"/>
    </w:p>
    <w:tbl>
      <w:tblPr>
        <w:tblW w:w="9359" w:type="dxa"/>
        <w:tblInd w:w="113" w:type="dxa"/>
        <w:tblLayout w:type="fixed"/>
        <w:tblLook w:val="0000" w:firstRow="0" w:lastRow="0" w:firstColumn="0" w:lastColumn="0" w:noHBand="0" w:noVBand="0"/>
      </w:tblPr>
      <w:tblGrid>
        <w:gridCol w:w="992"/>
        <w:gridCol w:w="8367"/>
      </w:tblGrid>
      <w:tr w:rsidR="00CD226D" w:rsidRPr="00C9343F" w14:paraId="7965B10B" w14:textId="77777777" w:rsidTr="00B02E82">
        <w:tc>
          <w:tcPr>
            <w:tcW w:w="992" w:type="dxa"/>
          </w:tcPr>
          <w:p w14:paraId="1D31488B" w14:textId="77777777" w:rsidR="00CD226D" w:rsidRPr="00C9343F" w:rsidRDefault="00CD226D" w:rsidP="00F66D98">
            <w:pPr>
              <w:pStyle w:val="BlockText-Plain"/>
              <w:jc w:val="center"/>
            </w:pPr>
          </w:p>
        </w:tc>
        <w:tc>
          <w:tcPr>
            <w:tcW w:w="8367" w:type="dxa"/>
          </w:tcPr>
          <w:p w14:paraId="06B8C4E1" w14:textId="77777777" w:rsidR="00CD226D" w:rsidRPr="00C9343F" w:rsidRDefault="00CD226D" w:rsidP="00F66D98">
            <w:pPr>
              <w:pStyle w:val="BlockText-Plain"/>
              <w:rPr>
                <w:iCs/>
              </w:rPr>
            </w:pPr>
            <w:r w:rsidRPr="00C9343F">
              <w:rPr>
                <w:iCs/>
              </w:rPr>
              <w:t>If a member is in periodic imprisonment or weekend imprisonment, the member may take parental leave when not serving a period of imprisonment during the period in which parental leave may be taken.</w:t>
            </w:r>
          </w:p>
        </w:tc>
      </w:tr>
    </w:tbl>
    <w:p w14:paraId="4D45F3DF" w14:textId="2815F2DF" w:rsidR="00CD226D" w:rsidRPr="00C9343F" w:rsidRDefault="00CD226D" w:rsidP="00F66D98">
      <w:pPr>
        <w:pStyle w:val="Heading5"/>
      </w:pPr>
      <w:bookmarkStart w:id="281" w:name="_Toc32570648"/>
      <w:bookmarkStart w:id="282" w:name="_Toc105053615"/>
      <w:r w:rsidRPr="00C9343F">
        <w:t>1.7.13</w:t>
      </w:r>
      <w:r w:rsidR="00D94006" w:rsidRPr="00C9343F">
        <w:t>    </w:t>
      </w:r>
      <w:r w:rsidRPr="00C9343F">
        <w:t>Long service leave</w:t>
      </w:r>
      <w:bookmarkEnd w:id="281"/>
      <w:bookmarkEnd w:id="282"/>
    </w:p>
    <w:tbl>
      <w:tblPr>
        <w:tblW w:w="9359" w:type="dxa"/>
        <w:tblInd w:w="113" w:type="dxa"/>
        <w:tblLayout w:type="fixed"/>
        <w:tblLook w:val="0000" w:firstRow="0" w:lastRow="0" w:firstColumn="0" w:lastColumn="0" w:noHBand="0" w:noVBand="0"/>
      </w:tblPr>
      <w:tblGrid>
        <w:gridCol w:w="992"/>
        <w:gridCol w:w="8367"/>
      </w:tblGrid>
      <w:tr w:rsidR="00CD226D" w:rsidRPr="00C9343F" w14:paraId="7342A56B" w14:textId="77777777" w:rsidTr="00B02E82">
        <w:tc>
          <w:tcPr>
            <w:tcW w:w="992" w:type="dxa"/>
          </w:tcPr>
          <w:p w14:paraId="0FA99C0A" w14:textId="77777777" w:rsidR="00CD226D" w:rsidRPr="00C9343F" w:rsidRDefault="00CD226D" w:rsidP="00F66D98">
            <w:pPr>
              <w:pStyle w:val="BlockText-Plain"/>
              <w:jc w:val="center"/>
            </w:pPr>
            <w:r w:rsidRPr="00C9343F">
              <w:t>1.</w:t>
            </w:r>
          </w:p>
        </w:tc>
        <w:tc>
          <w:tcPr>
            <w:tcW w:w="8367" w:type="dxa"/>
          </w:tcPr>
          <w:p w14:paraId="78D3DFEE" w14:textId="77777777" w:rsidR="00CD226D" w:rsidRPr="00C9343F" w:rsidRDefault="00CD226D" w:rsidP="00F66D98">
            <w:pPr>
              <w:pStyle w:val="BlockText-Plain"/>
              <w:rPr>
                <w:iCs/>
              </w:rPr>
            </w:pPr>
            <w:r w:rsidRPr="00C9343F">
              <w:rPr>
                <w:iCs/>
              </w:rPr>
              <w:t>A period of imprisonment, detention or custody is non-effective service for the purpose of accruing long service leave credits under Chapter 5 Part 5 Division 3.</w:t>
            </w:r>
          </w:p>
        </w:tc>
      </w:tr>
      <w:tr w:rsidR="00CD226D" w:rsidRPr="00C9343F" w14:paraId="4CC44361" w14:textId="77777777" w:rsidTr="00B02E82">
        <w:tc>
          <w:tcPr>
            <w:tcW w:w="992" w:type="dxa"/>
          </w:tcPr>
          <w:p w14:paraId="5ED0F2BB" w14:textId="77777777" w:rsidR="00CD226D" w:rsidRPr="00C9343F" w:rsidRDefault="00CD226D" w:rsidP="00F66D98">
            <w:pPr>
              <w:pStyle w:val="BlockText-Plain"/>
              <w:jc w:val="center"/>
            </w:pPr>
            <w:r w:rsidRPr="00C9343F">
              <w:t>2.</w:t>
            </w:r>
          </w:p>
        </w:tc>
        <w:tc>
          <w:tcPr>
            <w:tcW w:w="8367" w:type="dxa"/>
          </w:tcPr>
          <w:p w14:paraId="10FCC954" w14:textId="77777777" w:rsidR="00CD226D" w:rsidRPr="00C9343F" w:rsidRDefault="00CD226D" w:rsidP="00F66D98">
            <w:pPr>
              <w:pStyle w:val="BlockText-Plain"/>
              <w:rPr>
                <w:iCs/>
              </w:rPr>
            </w:pPr>
            <w:r w:rsidRPr="00C9343F">
              <w:rPr>
                <w:iCs/>
              </w:rPr>
              <w:t>The member is not eligible to take long service leave during a period of imprisonment, detention or custody.</w:t>
            </w:r>
          </w:p>
        </w:tc>
      </w:tr>
    </w:tbl>
    <w:p w14:paraId="2059ABFE" w14:textId="5D485369" w:rsidR="00CD226D" w:rsidRPr="00C9343F" w:rsidRDefault="00CD226D" w:rsidP="00F66D98">
      <w:pPr>
        <w:pStyle w:val="Heading5"/>
      </w:pPr>
      <w:bookmarkStart w:id="283" w:name="_Toc32570649"/>
      <w:bookmarkStart w:id="284" w:name="_Toc105053616"/>
      <w:r w:rsidRPr="00C9343F">
        <w:lastRenderedPageBreak/>
        <w:t>1.7.14</w:t>
      </w:r>
      <w:r w:rsidR="00D94006" w:rsidRPr="00C9343F">
        <w:t>    </w:t>
      </w:r>
      <w:r w:rsidRPr="00C9343F">
        <w:t>Other forms of leave with or without pay</w:t>
      </w:r>
      <w:bookmarkEnd w:id="283"/>
      <w:bookmarkEnd w:id="284"/>
    </w:p>
    <w:tbl>
      <w:tblPr>
        <w:tblW w:w="0" w:type="auto"/>
        <w:tblInd w:w="113" w:type="dxa"/>
        <w:tblLayout w:type="fixed"/>
        <w:tblLook w:val="0000" w:firstRow="0" w:lastRow="0" w:firstColumn="0" w:lastColumn="0" w:noHBand="0" w:noVBand="0"/>
      </w:tblPr>
      <w:tblGrid>
        <w:gridCol w:w="992"/>
        <w:gridCol w:w="8367"/>
      </w:tblGrid>
      <w:tr w:rsidR="00CD226D" w:rsidRPr="00C9343F" w14:paraId="71D51BA7" w14:textId="77777777" w:rsidTr="00B02E82">
        <w:tc>
          <w:tcPr>
            <w:tcW w:w="992" w:type="dxa"/>
          </w:tcPr>
          <w:p w14:paraId="2B27FB41" w14:textId="77777777" w:rsidR="00CD226D" w:rsidRPr="00C9343F" w:rsidRDefault="00CD226D" w:rsidP="00F66D98">
            <w:pPr>
              <w:pStyle w:val="BlockText-Plain"/>
              <w:jc w:val="center"/>
            </w:pPr>
          </w:p>
        </w:tc>
        <w:tc>
          <w:tcPr>
            <w:tcW w:w="8367" w:type="dxa"/>
          </w:tcPr>
          <w:p w14:paraId="37DEA722" w14:textId="77777777" w:rsidR="00CD226D" w:rsidRPr="00C9343F" w:rsidRDefault="00CD226D" w:rsidP="00F66D98">
            <w:pPr>
              <w:pStyle w:val="BlockText-Plain"/>
              <w:rPr>
                <w:iCs/>
              </w:rPr>
            </w:pPr>
            <w:r w:rsidRPr="00C9343F">
              <w:rPr>
                <w:iCs/>
              </w:rPr>
              <w:t>A member is not eligible to take any other forms of leave with pay provided under Chapter 5 during a period of imprisonment or detention.</w:t>
            </w:r>
          </w:p>
          <w:p w14:paraId="73BE97DE" w14:textId="77777777" w:rsidR="00CD226D" w:rsidRPr="00C9343F" w:rsidRDefault="00CD226D" w:rsidP="00F66D98">
            <w:pPr>
              <w:pStyle w:val="BlockText-Plain"/>
              <w:rPr>
                <w:iCs/>
              </w:rPr>
            </w:pPr>
            <w:r w:rsidRPr="00C9343F">
              <w:rPr>
                <w:b/>
                <w:iCs/>
              </w:rPr>
              <w:t xml:space="preserve">Note: </w:t>
            </w:r>
            <w:r w:rsidRPr="00C9343F">
              <w:rPr>
                <w:iCs/>
              </w:rPr>
              <w:t>This section does not apply to custody.</w:t>
            </w:r>
          </w:p>
        </w:tc>
      </w:tr>
    </w:tbl>
    <w:p w14:paraId="74F0371A" w14:textId="77777777" w:rsidR="00CD226D" w:rsidRPr="00C9343F" w:rsidRDefault="00CD226D" w:rsidP="00F66D98">
      <w:pPr>
        <w:pStyle w:val="Heading4"/>
        <w:pageBreakBefore/>
      </w:pPr>
      <w:bookmarkStart w:id="285" w:name="_Toc105053617"/>
      <w:r w:rsidRPr="00C9343F">
        <w:lastRenderedPageBreak/>
        <w:t>Division 2: Housing, removals and storage</w:t>
      </w:r>
      <w:bookmarkEnd w:id="285"/>
    </w:p>
    <w:p w14:paraId="3E7EE944" w14:textId="32B77548" w:rsidR="00CD226D" w:rsidRPr="00C9343F" w:rsidRDefault="00CD226D" w:rsidP="00F66D98">
      <w:pPr>
        <w:pStyle w:val="Heading5"/>
      </w:pPr>
      <w:bookmarkStart w:id="286" w:name="_Toc32570650"/>
      <w:bookmarkStart w:id="287" w:name="_Toc105053618"/>
      <w:r w:rsidRPr="00C9343F">
        <w:t>1.7.15</w:t>
      </w:r>
      <w:r w:rsidR="00D94006" w:rsidRPr="00C9343F">
        <w:t>    </w:t>
      </w:r>
      <w:r w:rsidRPr="00C9343F">
        <w:t>Purpose</w:t>
      </w:r>
      <w:bookmarkEnd w:id="286"/>
      <w:bookmarkEnd w:id="287"/>
    </w:p>
    <w:tbl>
      <w:tblPr>
        <w:tblW w:w="0" w:type="auto"/>
        <w:tblInd w:w="113" w:type="dxa"/>
        <w:tblLayout w:type="fixed"/>
        <w:tblLook w:val="0000" w:firstRow="0" w:lastRow="0" w:firstColumn="0" w:lastColumn="0" w:noHBand="0" w:noVBand="0"/>
      </w:tblPr>
      <w:tblGrid>
        <w:gridCol w:w="992"/>
        <w:gridCol w:w="8367"/>
      </w:tblGrid>
      <w:tr w:rsidR="00CD226D" w:rsidRPr="00C9343F" w14:paraId="76D029F0" w14:textId="77777777" w:rsidTr="00B02E82">
        <w:tc>
          <w:tcPr>
            <w:tcW w:w="992" w:type="dxa"/>
          </w:tcPr>
          <w:p w14:paraId="25C7A341" w14:textId="77777777" w:rsidR="00CD226D" w:rsidRPr="00C9343F" w:rsidRDefault="00CD226D" w:rsidP="00F66D98">
            <w:pPr>
              <w:pStyle w:val="BlockText-Plain"/>
              <w:jc w:val="center"/>
            </w:pPr>
          </w:p>
        </w:tc>
        <w:tc>
          <w:tcPr>
            <w:tcW w:w="8367" w:type="dxa"/>
          </w:tcPr>
          <w:p w14:paraId="76CECE60" w14:textId="77777777" w:rsidR="00CD226D" w:rsidRPr="00C9343F" w:rsidRDefault="00CD226D" w:rsidP="00F66D98">
            <w:pPr>
              <w:pStyle w:val="BlockText-Plain"/>
              <w:rPr>
                <w:iCs/>
              </w:rPr>
            </w:pPr>
            <w:r w:rsidRPr="00C9343F">
              <w:rPr>
                <w:iCs/>
              </w:rPr>
              <w:t>This Division sets out what happens to a member’s housing, removals and storage benefits during a period of imprisonment, detention or custody.</w:t>
            </w:r>
          </w:p>
        </w:tc>
      </w:tr>
      <w:tr w:rsidR="00CD226D" w:rsidRPr="00C9343F" w14:paraId="2463F9CC" w14:textId="77777777" w:rsidTr="00B02E82">
        <w:tc>
          <w:tcPr>
            <w:tcW w:w="992" w:type="dxa"/>
          </w:tcPr>
          <w:p w14:paraId="2AE5E023" w14:textId="77777777" w:rsidR="00CD226D" w:rsidRPr="00C9343F" w:rsidRDefault="00CD226D" w:rsidP="00F66D98">
            <w:pPr>
              <w:pStyle w:val="BlockText-Plain"/>
              <w:jc w:val="center"/>
            </w:pPr>
          </w:p>
        </w:tc>
        <w:tc>
          <w:tcPr>
            <w:tcW w:w="8367" w:type="dxa"/>
          </w:tcPr>
          <w:p w14:paraId="4FD4739C" w14:textId="77777777" w:rsidR="00CD226D" w:rsidRPr="00C9343F" w:rsidRDefault="00CD226D" w:rsidP="00F66D98">
            <w:pPr>
              <w:pStyle w:val="BlockText-Plain"/>
              <w:rPr>
                <w:iCs/>
              </w:rPr>
            </w:pPr>
            <w:r w:rsidRPr="00C9343F">
              <w:rPr>
                <w:b/>
                <w:iCs/>
              </w:rPr>
              <w:t>Note:</w:t>
            </w:r>
            <w:r w:rsidRPr="00C9343F">
              <w:rPr>
                <w:iCs/>
              </w:rPr>
              <w:t xml:space="preserve"> The general rule in section 1.7.4 does not apply to the contribution rate payable for any type of housing.</w:t>
            </w:r>
          </w:p>
        </w:tc>
      </w:tr>
    </w:tbl>
    <w:p w14:paraId="2A72BD95" w14:textId="3E4864E7" w:rsidR="00CD226D" w:rsidRPr="00C9343F" w:rsidRDefault="00CD226D" w:rsidP="00F66D98">
      <w:pPr>
        <w:pStyle w:val="Heading5"/>
      </w:pPr>
      <w:bookmarkStart w:id="288" w:name="_Toc32570651"/>
      <w:bookmarkStart w:id="289" w:name="_Toc105053619"/>
      <w:r w:rsidRPr="00C9343F">
        <w:t>1.7.16</w:t>
      </w:r>
      <w:r w:rsidR="00D94006" w:rsidRPr="00C9343F">
        <w:t>    </w:t>
      </w:r>
      <w:r w:rsidRPr="00C9343F">
        <w:t>Member occupying a Service residence or rent band choice property</w:t>
      </w:r>
      <w:bookmarkEnd w:id="288"/>
      <w:bookmarkEnd w:id="289"/>
    </w:p>
    <w:tbl>
      <w:tblPr>
        <w:tblW w:w="9359" w:type="dxa"/>
        <w:tblInd w:w="113" w:type="dxa"/>
        <w:tblLayout w:type="fixed"/>
        <w:tblLook w:val="0000" w:firstRow="0" w:lastRow="0" w:firstColumn="0" w:lastColumn="0" w:noHBand="0" w:noVBand="0"/>
      </w:tblPr>
      <w:tblGrid>
        <w:gridCol w:w="992"/>
        <w:gridCol w:w="567"/>
        <w:gridCol w:w="563"/>
        <w:gridCol w:w="7229"/>
        <w:gridCol w:w="8"/>
      </w:tblGrid>
      <w:tr w:rsidR="00CD226D" w:rsidRPr="00C9343F" w14:paraId="21BE98A5" w14:textId="77777777" w:rsidTr="00B02E82">
        <w:trPr>
          <w:gridAfter w:val="1"/>
          <w:wAfter w:w="8" w:type="dxa"/>
        </w:trPr>
        <w:tc>
          <w:tcPr>
            <w:tcW w:w="992" w:type="dxa"/>
          </w:tcPr>
          <w:p w14:paraId="0EDFD8FF" w14:textId="77777777" w:rsidR="00CD226D" w:rsidRPr="00C9343F" w:rsidRDefault="00CD226D" w:rsidP="00F66D98">
            <w:pPr>
              <w:pStyle w:val="BlockText-Plain"/>
              <w:jc w:val="center"/>
            </w:pPr>
            <w:r w:rsidRPr="00C9343F">
              <w:t>1.</w:t>
            </w:r>
          </w:p>
        </w:tc>
        <w:tc>
          <w:tcPr>
            <w:tcW w:w="8359" w:type="dxa"/>
            <w:gridSpan w:val="3"/>
          </w:tcPr>
          <w:p w14:paraId="3C945646" w14:textId="77777777" w:rsidR="00CD226D" w:rsidRPr="00C9343F" w:rsidRDefault="00CD226D" w:rsidP="00F66D98">
            <w:pPr>
              <w:pStyle w:val="BlockText-Plain"/>
              <w:rPr>
                <w:iCs/>
              </w:rPr>
            </w:pPr>
            <w:r w:rsidRPr="00C9343F">
              <w:rPr>
                <w:iCs/>
              </w:rPr>
              <w:t>During a period of imprisonment, detention or custody a member is required to pay the market rent rate for the Service residence or rent band choice property for the following period.</w:t>
            </w:r>
          </w:p>
        </w:tc>
      </w:tr>
      <w:tr w:rsidR="00CD226D" w:rsidRPr="00C9343F" w14:paraId="4860CAA2" w14:textId="77777777" w:rsidTr="00B02E82">
        <w:trPr>
          <w:gridAfter w:val="1"/>
          <w:wAfter w:w="8" w:type="dxa"/>
          <w:cantSplit/>
        </w:trPr>
        <w:tc>
          <w:tcPr>
            <w:tcW w:w="992" w:type="dxa"/>
          </w:tcPr>
          <w:p w14:paraId="27F2A3EC" w14:textId="77777777" w:rsidR="00CD226D" w:rsidRPr="00C9343F" w:rsidRDefault="00CD226D" w:rsidP="00F66D98">
            <w:pPr>
              <w:pStyle w:val="BlockText-Plain"/>
            </w:pPr>
          </w:p>
        </w:tc>
        <w:tc>
          <w:tcPr>
            <w:tcW w:w="567" w:type="dxa"/>
          </w:tcPr>
          <w:p w14:paraId="22874E22" w14:textId="77777777" w:rsidR="00CD226D" w:rsidRPr="00C9343F" w:rsidRDefault="00CD226D" w:rsidP="007114B1">
            <w:pPr>
              <w:pStyle w:val="BlockText-Plain"/>
              <w:jc w:val="center"/>
            </w:pPr>
            <w:r w:rsidRPr="00C9343F">
              <w:t>a.</w:t>
            </w:r>
          </w:p>
        </w:tc>
        <w:tc>
          <w:tcPr>
            <w:tcW w:w="7792" w:type="dxa"/>
            <w:gridSpan w:val="2"/>
          </w:tcPr>
          <w:p w14:paraId="3BCD2713" w14:textId="77777777" w:rsidR="00CD226D" w:rsidRPr="00C9343F" w:rsidRDefault="00CD226D" w:rsidP="00F66D98">
            <w:pPr>
              <w:pStyle w:val="BlockText-Plain"/>
            </w:pPr>
            <w:r w:rsidRPr="00C9343F">
              <w:rPr>
                <w:iCs/>
              </w:rPr>
              <w:t>Commencing on the first full day of the member’s imprisonment, detention or custody.</w:t>
            </w:r>
          </w:p>
        </w:tc>
      </w:tr>
      <w:tr w:rsidR="00CD226D" w:rsidRPr="00C9343F" w14:paraId="7D2A41CB" w14:textId="77777777" w:rsidTr="00B02E82">
        <w:trPr>
          <w:gridAfter w:val="1"/>
          <w:wAfter w:w="8" w:type="dxa"/>
          <w:cantSplit/>
        </w:trPr>
        <w:tc>
          <w:tcPr>
            <w:tcW w:w="992" w:type="dxa"/>
          </w:tcPr>
          <w:p w14:paraId="444A94AC" w14:textId="77777777" w:rsidR="00CD226D" w:rsidRPr="00C9343F" w:rsidRDefault="00CD226D" w:rsidP="00F66D98">
            <w:pPr>
              <w:pStyle w:val="BlockText-Plain"/>
            </w:pPr>
          </w:p>
        </w:tc>
        <w:tc>
          <w:tcPr>
            <w:tcW w:w="567" w:type="dxa"/>
          </w:tcPr>
          <w:p w14:paraId="7C3672EE" w14:textId="77777777" w:rsidR="00CD226D" w:rsidRPr="00C9343F" w:rsidRDefault="00CD226D" w:rsidP="007114B1">
            <w:pPr>
              <w:pStyle w:val="BlockText-Plain"/>
              <w:jc w:val="center"/>
            </w:pPr>
            <w:r w:rsidRPr="00C9343F">
              <w:t>b.</w:t>
            </w:r>
          </w:p>
        </w:tc>
        <w:tc>
          <w:tcPr>
            <w:tcW w:w="7792" w:type="dxa"/>
            <w:gridSpan w:val="2"/>
          </w:tcPr>
          <w:p w14:paraId="4FE41C9B" w14:textId="77777777" w:rsidR="00CD226D" w:rsidRPr="00C9343F" w:rsidRDefault="00CD226D" w:rsidP="00F66D98">
            <w:pPr>
              <w:pStyle w:val="BlockText-Plain"/>
              <w:rPr>
                <w:iCs/>
              </w:rPr>
            </w:pPr>
            <w:r w:rsidRPr="00C9343F">
              <w:rPr>
                <w:iCs/>
              </w:rPr>
              <w:t xml:space="preserve">Ceasing on the earlier of the following. </w:t>
            </w:r>
          </w:p>
        </w:tc>
      </w:tr>
      <w:tr w:rsidR="00CD226D" w:rsidRPr="00C9343F" w14:paraId="3D330020" w14:textId="77777777" w:rsidTr="00B02E82">
        <w:trPr>
          <w:gridAfter w:val="1"/>
          <w:wAfter w:w="8" w:type="dxa"/>
          <w:cantSplit/>
        </w:trPr>
        <w:tc>
          <w:tcPr>
            <w:tcW w:w="992" w:type="dxa"/>
          </w:tcPr>
          <w:p w14:paraId="592B00A1" w14:textId="77777777" w:rsidR="00CD226D" w:rsidRPr="00C9343F" w:rsidRDefault="00CD226D" w:rsidP="00F66D98">
            <w:pPr>
              <w:pStyle w:val="BlockText-Plain"/>
            </w:pPr>
          </w:p>
        </w:tc>
        <w:tc>
          <w:tcPr>
            <w:tcW w:w="567" w:type="dxa"/>
          </w:tcPr>
          <w:p w14:paraId="61C4124D" w14:textId="77777777" w:rsidR="00CD226D" w:rsidRPr="00C9343F" w:rsidRDefault="00CD226D" w:rsidP="00F66D98">
            <w:pPr>
              <w:pStyle w:val="BlockText-Plain"/>
            </w:pPr>
          </w:p>
        </w:tc>
        <w:tc>
          <w:tcPr>
            <w:tcW w:w="563" w:type="dxa"/>
          </w:tcPr>
          <w:p w14:paraId="39FF10CE" w14:textId="77777777" w:rsidR="00CD226D" w:rsidRPr="00C9343F" w:rsidRDefault="00CD226D" w:rsidP="00F66D98">
            <w:pPr>
              <w:pStyle w:val="BlockText-Plain"/>
              <w:rPr>
                <w:iCs/>
              </w:rPr>
            </w:pPr>
            <w:r w:rsidRPr="00C9343F">
              <w:rPr>
                <w:iCs/>
              </w:rPr>
              <w:t>i.</w:t>
            </w:r>
          </w:p>
        </w:tc>
        <w:tc>
          <w:tcPr>
            <w:tcW w:w="7229" w:type="dxa"/>
          </w:tcPr>
          <w:p w14:paraId="093479D8" w14:textId="77777777" w:rsidR="00CD226D" w:rsidRPr="00C9343F" w:rsidRDefault="00CD226D" w:rsidP="00F66D98">
            <w:pPr>
              <w:pStyle w:val="BlockText-Plain"/>
              <w:rPr>
                <w:iCs/>
              </w:rPr>
            </w:pPr>
            <w:r w:rsidRPr="00C9343F">
              <w:rPr>
                <w:iCs/>
              </w:rPr>
              <w:t>The last full day the member is in prison, detention or custody.</w:t>
            </w:r>
          </w:p>
        </w:tc>
      </w:tr>
      <w:tr w:rsidR="00CD226D" w:rsidRPr="00C9343F" w14:paraId="6CD5528E" w14:textId="77777777" w:rsidTr="00B02E82">
        <w:trPr>
          <w:gridAfter w:val="1"/>
          <w:wAfter w:w="8" w:type="dxa"/>
          <w:cantSplit/>
        </w:trPr>
        <w:tc>
          <w:tcPr>
            <w:tcW w:w="992" w:type="dxa"/>
          </w:tcPr>
          <w:p w14:paraId="6898AF5A" w14:textId="77777777" w:rsidR="00CD226D" w:rsidRPr="00C9343F" w:rsidRDefault="00CD226D" w:rsidP="00F66D98">
            <w:pPr>
              <w:pStyle w:val="BlockText-Plain"/>
            </w:pPr>
          </w:p>
        </w:tc>
        <w:tc>
          <w:tcPr>
            <w:tcW w:w="567" w:type="dxa"/>
          </w:tcPr>
          <w:p w14:paraId="448C06D5" w14:textId="77777777" w:rsidR="00CD226D" w:rsidRPr="00C9343F" w:rsidRDefault="00CD226D" w:rsidP="00F66D98">
            <w:pPr>
              <w:pStyle w:val="BlockText-Plain"/>
            </w:pPr>
          </w:p>
        </w:tc>
        <w:tc>
          <w:tcPr>
            <w:tcW w:w="563" w:type="dxa"/>
          </w:tcPr>
          <w:p w14:paraId="4AEEEBE0" w14:textId="77777777" w:rsidR="00CD226D" w:rsidRPr="00C9343F" w:rsidRDefault="00CD226D" w:rsidP="00F66D98">
            <w:pPr>
              <w:pStyle w:val="BlockText-Plain"/>
              <w:rPr>
                <w:iCs/>
              </w:rPr>
            </w:pPr>
            <w:r w:rsidRPr="00C9343F">
              <w:rPr>
                <w:iCs/>
              </w:rPr>
              <w:t>ii.</w:t>
            </w:r>
          </w:p>
        </w:tc>
        <w:tc>
          <w:tcPr>
            <w:tcW w:w="7229" w:type="dxa"/>
          </w:tcPr>
          <w:p w14:paraId="4ADBC9B0" w14:textId="77777777" w:rsidR="00CD226D" w:rsidRPr="00C9343F" w:rsidRDefault="00CD226D" w:rsidP="00F66D98">
            <w:pPr>
              <w:pStyle w:val="BlockText-Plain"/>
              <w:rPr>
                <w:iCs/>
              </w:rPr>
            </w:pPr>
            <w:r w:rsidRPr="00C9343F">
              <w:rPr>
                <w:iCs/>
              </w:rPr>
              <w:t>The day the member vacates the property.</w:t>
            </w:r>
          </w:p>
        </w:tc>
      </w:tr>
      <w:tr w:rsidR="00CD226D" w:rsidRPr="00C9343F" w14:paraId="082062C3" w14:textId="77777777" w:rsidTr="00B02E82">
        <w:tc>
          <w:tcPr>
            <w:tcW w:w="992" w:type="dxa"/>
          </w:tcPr>
          <w:p w14:paraId="4ECD07D2" w14:textId="77777777" w:rsidR="00CD226D" w:rsidRPr="00C9343F" w:rsidRDefault="00CD226D" w:rsidP="00F66D98">
            <w:pPr>
              <w:pStyle w:val="BlockText-Plain"/>
              <w:jc w:val="center"/>
            </w:pPr>
          </w:p>
        </w:tc>
        <w:tc>
          <w:tcPr>
            <w:tcW w:w="8367" w:type="dxa"/>
            <w:gridSpan w:val="4"/>
          </w:tcPr>
          <w:p w14:paraId="2AB1F568" w14:textId="77777777" w:rsidR="00CD226D" w:rsidRPr="00C9343F" w:rsidRDefault="00CD226D" w:rsidP="00F66D98">
            <w:pPr>
              <w:pStyle w:val="BlockText-Plain"/>
              <w:rPr>
                <w:iCs/>
              </w:rPr>
            </w:pPr>
            <w:r w:rsidRPr="00C9343F">
              <w:rPr>
                <w:b/>
                <w:iCs/>
              </w:rPr>
              <w:t>Note:</w:t>
            </w:r>
            <w:r w:rsidRPr="00C9343F">
              <w:rPr>
                <w:iCs/>
              </w:rPr>
              <w:t xml:space="preserve"> If the member is not in receipt of salary during this period, the payments will be considered a debt to the Commonwealth.</w:t>
            </w:r>
          </w:p>
        </w:tc>
      </w:tr>
      <w:tr w:rsidR="00CD226D" w:rsidRPr="00C9343F" w14:paraId="3BB2B132" w14:textId="77777777" w:rsidTr="00B02E82">
        <w:trPr>
          <w:gridAfter w:val="1"/>
          <w:wAfter w:w="8" w:type="dxa"/>
        </w:trPr>
        <w:tc>
          <w:tcPr>
            <w:tcW w:w="992" w:type="dxa"/>
          </w:tcPr>
          <w:p w14:paraId="5D798D5B" w14:textId="77777777" w:rsidR="00CD226D" w:rsidRPr="00C9343F" w:rsidRDefault="00CD226D" w:rsidP="00F66D98">
            <w:pPr>
              <w:pStyle w:val="BlockText-Plain"/>
              <w:jc w:val="center"/>
            </w:pPr>
            <w:r w:rsidRPr="00C9343F">
              <w:t>2.</w:t>
            </w:r>
          </w:p>
        </w:tc>
        <w:tc>
          <w:tcPr>
            <w:tcW w:w="8359" w:type="dxa"/>
            <w:gridSpan w:val="3"/>
          </w:tcPr>
          <w:p w14:paraId="1B30D6F2" w14:textId="77777777" w:rsidR="00CD226D" w:rsidRPr="00C9343F" w:rsidRDefault="00CD226D" w:rsidP="00F66D98">
            <w:pPr>
              <w:pStyle w:val="BlockText-Plain"/>
              <w:rPr>
                <w:iCs/>
              </w:rPr>
            </w:pPr>
            <w:r w:rsidRPr="00C9343F">
              <w:rPr>
                <w:iCs/>
              </w:rPr>
              <w:t xml:space="preserve">Subject to subsection 4, if the member is in financial hardship the CDF may reduce the market rent rate payable under subsection 1. </w:t>
            </w:r>
          </w:p>
        </w:tc>
      </w:tr>
      <w:tr w:rsidR="00CD226D" w:rsidRPr="00C9343F" w14:paraId="171B5B33" w14:textId="77777777" w:rsidTr="00B02E82">
        <w:trPr>
          <w:gridAfter w:val="1"/>
          <w:wAfter w:w="8" w:type="dxa"/>
        </w:trPr>
        <w:tc>
          <w:tcPr>
            <w:tcW w:w="992" w:type="dxa"/>
          </w:tcPr>
          <w:p w14:paraId="5144963E" w14:textId="77777777" w:rsidR="00CD226D" w:rsidRPr="00C9343F" w:rsidRDefault="00CD226D" w:rsidP="00F66D98">
            <w:pPr>
              <w:pStyle w:val="BlockText-Plain"/>
              <w:jc w:val="center"/>
            </w:pPr>
            <w:r w:rsidRPr="00C9343F">
              <w:t>3.</w:t>
            </w:r>
          </w:p>
        </w:tc>
        <w:tc>
          <w:tcPr>
            <w:tcW w:w="8359" w:type="dxa"/>
            <w:gridSpan w:val="3"/>
          </w:tcPr>
          <w:p w14:paraId="4F44A283" w14:textId="77777777" w:rsidR="00CD226D" w:rsidRPr="00C9343F" w:rsidRDefault="00CD226D" w:rsidP="00F66D98">
            <w:pPr>
              <w:pStyle w:val="BlockText-Plain"/>
              <w:rPr>
                <w:iCs/>
              </w:rPr>
            </w:pPr>
            <w:r w:rsidRPr="00C9343F">
              <w:rPr>
                <w:iCs/>
              </w:rPr>
              <w:t xml:space="preserve">If the member’s eligibility for a Service residence or a rent band choice property is ceased by the CDF under section 1.7.4, the member is eligible for a removal under Chapter 6 Part 5 within 28 days to a location within Australia. </w:t>
            </w:r>
          </w:p>
        </w:tc>
      </w:tr>
      <w:tr w:rsidR="00CD226D" w:rsidRPr="00C9343F" w14:paraId="3411F65D" w14:textId="77777777" w:rsidTr="00B02E82">
        <w:trPr>
          <w:gridAfter w:val="1"/>
          <w:wAfter w:w="8" w:type="dxa"/>
        </w:trPr>
        <w:tc>
          <w:tcPr>
            <w:tcW w:w="992" w:type="dxa"/>
          </w:tcPr>
          <w:p w14:paraId="0F8684AE" w14:textId="77777777" w:rsidR="00CD226D" w:rsidRPr="00C9343F" w:rsidRDefault="00CD226D" w:rsidP="00F66D98">
            <w:pPr>
              <w:pStyle w:val="BlockText-Plain"/>
              <w:jc w:val="center"/>
            </w:pPr>
            <w:r w:rsidRPr="00C9343F">
              <w:t>4.</w:t>
            </w:r>
          </w:p>
        </w:tc>
        <w:tc>
          <w:tcPr>
            <w:tcW w:w="8359" w:type="dxa"/>
            <w:gridSpan w:val="3"/>
          </w:tcPr>
          <w:p w14:paraId="369CAFD3" w14:textId="77777777" w:rsidR="00CD226D" w:rsidRPr="00C9343F" w:rsidRDefault="00CD226D" w:rsidP="00F66D98">
            <w:pPr>
              <w:pStyle w:val="BlockText-Plain"/>
              <w:rPr>
                <w:iCs/>
              </w:rPr>
            </w:pPr>
            <w:r w:rsidRPr="00C9343F">
              <w:rPr>
                <w:iCs/>
              </w:rPr>
              <w:t>If the member or the member's dependants do not vacate the residence within the 28 day period under subsection 3, both of the following apply.</w:t>
            </w:r>
          </w:p>
        </w:tc>
      </w:tr>
      <w:tr w:rsidR="00CD226D" w:rsidRPr="00C9343F" w14:paraId="17422483" w14:textId="77777777" w:rsidTr="00B02E82">
        <w:trPr>
          <w:gridAfter w:val="1"/>
          <w:wAfter w:w="8" w:type="dxa"/>
          <w:cantSplit/>
        </w:trPr>
        <w:tc>
          <w:tcPr>
            <w:tcW w:w="992" w:type="dxa"/>
          </w:tcPr>
          <w:p w14:paraId="302516EB" w14:textId="77777777" w:rsidR="00CD226D" w:rsidRPr="00C9343F" w:rsidRDefault="00CD226D" w:rsidP="00F66D98">
            <w:pPr>
              <w:pStyle w:val="BlockText-Plain"/>
            </w:pPr>
          </w:p>
        </w:tc>
        <w:tc>
          <w:tcPr>
            <w:tcW w:w="567" w:type="dxa"/>
          </w:tcPr>
          <w:p w14:paraId="19ECF3A4" w14:textId="77777777" w:rsidR="00CD226D" w:rsidRPr="00C9343F" w:rsidRDefault="00CD226D" w:rsidP="007114B1">
            <w:pPr>
              <w:pStyle w:val="BlockText-Plain"/>
              <w:jc w:val="center"/>
            </w:pPr>
            <w:r w:rsidRPr="00C9343F">
              <w:t>a.</w:t>
            </w:r>
          </w:p>
        </w:tc>
        <w:tc>
          <w:tcPr>
            <w:tcW w:w="7792" w:type="dxa"/>
            <w:gridSpan w:val="2"/>
          </w:tcPr>
          <w:p w14:paraId="324B8BE2" w14:textId="77777777" w:rsidR="00CD226D" w:rsidRPr="00C9343F" w:rsidRDefault="00CD226D" w:rsidP="00F66D98">
            <w:pPr>
              <w:pStyle w:val="BlockText-Plain"/>
              <w:rPr>
                <w:iCs/>
              </w:rPr>
            </w:pPr>
            <w:r w:rsidRPr="00C9343F">
              <w:rPr>
                <w:iCs/>
              </w:rPr>
              <w:t>The member’s contribution is the equivalent of market rent rate for the residence until the residence is vacated.</w:t>
            </w:r>
          </w:p>
        </w:tc>
      </w:tr>
      <w:tr w:rsidR="00CD226D" w:rsidRPr="00C9343F" w14:paraId="518F2BAE" w14:textId="77777777" w:rsidTr="00B02E82">
        <w:trPr>
          <w:gridAfter w:val="1"/>
          <w:wAfter w:w="8" w:type="dxa"/>
          <w:cantSplit/>
        </w:trPr>
        <w:tc>
          <w:tcPr>
            <w:tcW w:w="992" w:type="dxa"/>
          </w:tcPr>
          <w:p w14:paraId="5F7F6D09" w14:textId="77777777" w:rsidR="00CD226D" w:rsidRPr="00C9343F" w:rsidRDefault="00CD226D" w:rsidP="00F66D98">
            <w:pPr>
              <w:pStyle w:val="BlockText-Plain"/>
            </w:pPr>
          </w:p>
        </w:tc>
        <w:tc>
          <w:tcPr>
            <w:tcW w:w="567" w:type="dxa"/>
          </w:tcPr>
          <w:p w14:paraId="3686DBFF" w14:textId="77777777" w:rsidR="00CD226D" w:rsidRPr="00C9343F" w:rsidRDefault="00CD226D" w:rsidP="007114B1">
            <w:pPr>
              <w:pStyle w:val="BlockText-Plain"/>
              <w:jc w:val="center"/>
            </w:pPr>
            <w:r w:rsidRPr="00C9343F">
              <w:t>b.</w:t>
            </w:r>
          </w:p>
        </w:tc>
        <w:tc>
          <w:tcPr>
            <w:tcW w:w="7792" w:type="dxa"/>
            <w:gridSpan w:val="2"/>
          </w:tcPr>
          <w:p w14:paraId="6EB2846D" w14:textId="77777777" w:rsidR="00CD226D" w:rsidRPr="00C9343F" w:rsidRDefault="00CD226D" w:rsidP="00F66D98">
            <w:pPr>
              <w:pStyle w:val="BlockText-Plain"/>
              <w:rPr>
                <w:iCs/>
              </w:rPr>
            </w:pPr>
            <w:r w:rsidRPr="00C9343F">
              <w:rPr>
                <w:iCs/>
              </w:rPr>
              <w:t>The member is not eligible for either of the following.</w:t>
            </w:r>
          </w:p>
        </w:tc>
      </w:tr>
      <w:tr w:rsidR="00CD226D" w:rsidRPr="00C9343F" w14:paraId="25979AC6" w14:textId="77777777" w:rsidTr="00B02E82">
        <w:trPr>
          <w:gridAfter w:val="1"/>
          <w:wAfter w:w="8" w:type="dxa"/>
          <w:cantSplit/>
        </w:trPr>
        <w:tc>
          <w:tcPr>
            <w:tcW w:w="992" w:type="dxa"/>
          </w:tcPr>
          <w:p w14:paraId="7C8B8334" w14:textId="77777777" w:rsidR="00CD226D" w:rsidRPr="00C9343F" w:rsidRDefault="00CD226D" w:rsidP="00F66D98">
            <w:pPr>
              <w:pStyle w:val="BlockText-Plain"/>
            </w:pPr>
          </w:p>
        </w:tc>
        <w:tc>
          <w:tcPr>
            <w:tcW w:w="567" w:type="dxa"/>
          </w:tcPr>
          <w:p w14:paraId="0F356FA9" w14:textId="77777777" w:rsidR="00CD226D" w:rsidRPr="00C9343F" w:rsidRDefault="00CD226D" w:rsidP="00F66D98">
            <w:pPr>
              <w:pStyle w:val="BlockText-Plain"/>
            </w:pPr>
          </w:p>
        </w:tc>
        <w:tc>
          <w:tcPr>
            <w:tcW w:w="563" w:type="dxa"/>
          </w:tcPr>
          <w:p w14:paraId="10094CFC" w14:textId="77777777" w:rsidR="00CD226D" w:rsidRPr="00C9343F" w:rsidRDefault="00CD226D" w:rsidP="00F66D98">
            <w:pPr>
              <w:pStyle w:val="BlockText-Plain"/>
              <w:rPr>
                <w:iCs/>
              </w:rPr>
            </w:pPr>
            <w:r w:rsidRPr="00C9343F">
              <w:rPr>
                <w:iCs/>
              </w:rPr>
              <w:t>i.</w:t>
            </w:r>
          </w:p>
        </w:tc>
        <w:tc>
          <w:tcPr>
            <w:tcW w:w="7229" w:type="dxa"/>
          </w:tcPr>
          <w:p w14:paraId="4FDB27ED" w14:textId="77777777" w:rsidR="00CD226D" w:rsidRPr="00C9343F" w:rsidRDefault="00CD226D" w:rsidP="00F66D98">
            <w:pPr>
              <w:pStyle w:val="BlockText-Plain"/>
              <w:rPr>
                <w:iCs/>
              </w:rPr>
            </w:pPr>
            <w:r w:rsidRPr="00C9343F">
              <w:rPr>
                <w:iCs/>
              </w:rPr>
              <w:t>A removal under Chapter 6 Part 5.</w:t>
            </w:r>
          </w:p>
        </w:tc>
      </w:tr>
      <w:tr w:rsidR="00CD226D" w:rsidRPr="00C9343F" w14:paraId="45682EED" w14:textId="77777777" w:rsidTr="00B02E82">
        <w:trPr>
          <w:gridAfter w:val="1"/>
          <w:wAfter w:w="8" w:type="dxa"/>
          <w:cantSplit/>
        </w:trPr>
        <w:tc>
          <w:tcPr>
            <w:tcW w:w="992" w:type="dxa"/>
          </w:tcPr>
          <w:p w14:paraId="44195214" w14:textId="77777777" w:rsidR="00CD226D" w:rsidRPr="00C9343F" w:rsidRDefault="00CD226D" w:rsidP="00F66D98">
            <w:pPr>
              <w:pStyle w:val="BlockText-Plain"/>
            </w:pPr>
          </w:p>
        </w:tc>
        <w:tc>
          <w:tcPr>
            <w:tcW w:w="567" w:type="dxa"/>
          </w:tcPr>
          <w:p w14:paraId="1A6EB34B" w14:textId="77777777" w:rsidR="00CD226D" w:rsidRPr="00C9343F" w:rsidRDefault="00CD226D" w:rsidP="00F66D98">
            <w:pPr>
              <w:pStyle w:val="BlockText-Plain"/>
            </w:pPr>
          </w:p>
        </w:tc>
        <w:tc>
          <w:tcPr>
            <w:tcW w:w="563" w:type="dxa"/>
          </w:tcPr>
          <w:p w14:paraId="23E0F88C" w14:textId="77777777" w:rsidR="00CD226D" w:rsidRPr="00C9343F" w:rsidRDefault="00CD226D" w:rsidP="00F66D98">
            <w:pPr>
              <w:pStyle w:val="BlockText-Plain"/>
              <w:rPr>
                <w:iCs/>
              </w:rPr>
            </w:pPr>
            <w:r w:rsidRPr="00C9343F">
              <w:rPr>
                <w:iCs/>
              </w:rPr>
              <w:t>ii.</w:t>
            </w:r>
          </w:p>
        </w:tc>
        <w:tc>
          <w:tcPr>
            <w:tcW w:w="7229" w:type="dxa"/>
          </w:tcPr>
          <w:p w14:paraId="08ABE476" w14:textId="77777777" w:rsidR="00CD226D" w:rsidRPr="00C9343F" w:rsidRDefault="00CD226D" w:rsidP="00F66D98">
            <w:pPr>
              <w:pStyle w:val="BlockText-Plain"/>
              <w:rPr>
                <w:iCs/>
              </w:rPr>
            </w:pPr>
            <w:r w:rsidRPr="00C9343F">
              <w:rPr>
                <w:iCs/>
              </w:rPr>
              <w:t>A reduction in the market rent rate under subsection 2.</w:t>
            </w:r>
          </w:p>
        </w:tc>
      </w:tr>
      <w:tr w:rsidR="00CD226D" w:rsidRPr="00C9343F" w14:paraId="3FB0073F" w14:textId="77777777" w:rsidTr="00B02E82">
        <w:trPr>
          <w:gridAfter w:val="1"/>
          <w:wAfter w:w="8" w:type="dxa"/>
        </w:trPr>
        <w:tc>
          <w:tcPr>
            <w:tcW w:w="992" w:type="dxa"/>
          </w:tcPr>
          <w:p w14:paraId="48DD0C72" w14:textId="77777777" w:rsidR="00CD226D" w:rsidRPr="00C9343F" w:rsidRDefault="00CD226D" w:rsidP="00F66D98">
            <w:pPr>
              <w:pStyle w:val="BlockText-Plain"/>
              <w:jc w:val="center"/>
            </w:pPr>
            <w:r w:rsidRPr="00C9343F">
              <w:t>5.</w:t>
            </w:r>
          </w:p>
        </w:tc>
        <w:tc>
          <w:tcPr>
            <w:tcW w:w="8359" w:type="dxa"/>
            <w:gridSpan w:val="3"/>
          </w:tcPr>
          <w:p w14:paraId="63333CCA" w14:textId="77777777" w:rsidR="00CD226D" w:rsidRPr="00C9343F" w:rsidRDefault="00CD226D" w:rsidP="00F66D98">
            <w:pPr>
              <w:pStyle w:val="BlockText-Plain"/>
              <w:rPr>
                <w:iCs/>
              </w:rPr>
            </w:pPr>
            <w:r w:rsidRPr="00C9343F">
              <w:rPr>
                <w:iCs/>
              </w:rPr>
              <w:t>If the member chooses to vacate a Service residence or rent band choice property and their eligibility for the accommodation has not ceased, the member is not eligible for a removal under Chapter 6 Part 5.</w:t>
            </w:r>
          </w:p>
        </w:tc>
      </w:tr>
      <w:tr w:rsidR="00CD226D" w:rsidRPr="00C9343F" w14:paraId="61D9878C" w14:textId="77777777" w:rsidTr="00B02E82">
        <w:trPr>
          <w:gridAfter w:val="1"/>
          <w:wAfter w:w="8" w:type="dxa"/>
        </w:trPr>
        <w:tc>
          <w:tcPr>
            <w:tcW w:w="992" w:type="dxa"/>
          </w:tcPr>
          <w:p w14:paraId="5F12CB02" w14:textId="77777777" w:rsidR="00CD226D" w:rsidRPr="00C9343F" w:rsidRDefault="00CD226D" w:rsidP="00F66D98">
            <w:pPr>
              <w:pStyle w:val="BlockText-Plain"/>
              <w:jc w:val="center"/>
            </w:pPr>
            <w:r w:rsidRPr="00C9343F">
              <w:t>6.</w:t>
            </w:r>
          </w:p>
        </w:tc>
        <w:tc>
          <w:tcPr>
            <w:tcW w:w="8359" w:type="dxa"/>
            <w:gridSpan w:val="3"/>
          </w:tcPr>
          <w:p w14:paraId="6F0304BC" w14:textId="77777777" w:rsidR="00CD226D" w:rsidRPr="00C9343F" w:rsidRDefault="00CD226D" w:rsidP="00F66D98">
            <w:pPr>
              <w:pStyle w:val="BlockText-Plain"/>
              <w:rPr>
                <w:iCs/>
              </w:rPr>
            </w:pPr>
            <w:r w:rsidRPr="00C9343F">
              <w:rPr>
                <w:iCs/>
              </w:rPr>
              <w:t>The member is not eligible for housing assistance for their dependants if either of the following applies.</w:t>
            </w:r>
          </w:p>
        </w:tc>
      </w:tr>
      <w:tr w:rsidR="00CD226D" w:rsidRPr="00C9343F" w14:paraId="49FA1178" w14:textId="77777777" w:rsidTr="00B02E82">
        <w:trPr>
          <w:gridAfter w:val="1"/>
          <w:wAfter w:w="8" w:type="dxa"/>
          <w:cantSplit/>
        </w:trPr>
        <w:tc>
          <w:tcPr>
            <w:tcW w:w="992" w:type="dxa"/>
          </w:tcPr>
          <w:p w14:paraId="7131EB62" w14:textId="77777777" w:rsidR="00CD226D" w:rsidRPr="00C9343F" w:rsidRDefault="00CD226D" w:rsidP="00F66D98">
            <w:pPr>
              <w:pStyle w:val="BlockText-Plain"/>
            </w:pPr>
          </w:p>
        </w:tc>
        <w:tc>
          <w:tcPr>
            <w:tcW w:w="567" w:type="dxa"/>
          </w:tcPr>
          <w:p w14:paraId="23201387" w14:textId="77777777" w:rsidR="00CD226D" w:rsidRPr="00C9343F" w:rsidRDefault="00CD226D" w:rsidP="007114B1">
            <w:pPr>
              <w:pStyle w:val="BlockText-Plain"/>
              <w:jc w:val="center"/>
            </w:pPr>
            <w:r w:rsidRPr="00C9343F">
              <w:t>a.</w:t>
            </w:r>
          </w:p>
        </w:tc>
        <w:tc>
          <w:tcPr>
            <w:tcW w:w="7792" w:type="dxa"/>
            <w:gridSpan w:val="2"/>
          </w:tcPr>
          <w:p w14:paraId="2099DE83" w14:textId="77777777" w:rsidR="00CD226D" w:rsidRPr="00C9343F" w:rsidRDefault="00CD226D" w:rsidP="00F66D98">
            <w:pPr>
              <w:pStyle w:val="BlockText-Plain"/>
              <w:rPr>
                <w:iCs/>
              </w:rPr>
            </w:pPr>
            <w:r w:rsidRPr="00C9343F">
              <w:rPr>
                <w:iCs/>
              </w:rPr>
              <w:t>The member's eligibility for a Service residence or rent band choice property is ceased by the CDF under section 1.7.4.</w:t>
            </w:r>
          </w:p>
        </w:tc>
      </w:tr>
      <w:tr w:rsidR="00CD226D" w:rsidRPr="00C9343F" w14:paraId="59E9A9FB" w14:textId="77777777" w:rsidTr="00B02E82">
        <w:trPr>
          <w:gridAfter w:val="1"/>
          <w:wAfter w:w="8" w:type="dxa"/>
          <w:cantSplit/>
        </w:trPr>
        <w:tc>
          <w:tcPr>
            <w:tcW w:w="992" w:type="dxa"/>
          </w:tcPr>
          <w:p w14:paraId="197D062F" w14:textId="77777777" w:rsidR="00CD226D" w:rsidRPr="00C9343F" w:rsidRDefault="00CD226D" w:rsidP="00F66D98">
            <w:pPr>
              <w:pStyle w:val="BlockText-Plain"/>
            </w:pPr>
          </w:p>
        </w:tc>
        <w:tc>
          <w:tcPr>
            <w:tcW w:w="567" w:type="dxa"/>
          </w:tcPr>
          <w:p w14:paraId="6C62E787" w14:textId="77777777" w:rsidR="00CD226D" w:rsidRPr="00C9343F" w:rsidRDefault="00CD226D" w:rsidP="007114B1">
            <w:pPr>
              <w:pStyle w:val="BlockText-Plain"/>
              <w:jc w:val="center"/>
            </w:pPr>
            <w:r w:rsidRPr="00C9343F">
              <w:t>b.</w:t>
            </w:r>
          </w:p>
        </w:tc>
        <w:tc>
          <w:tcPr>
            <w:tcW w:w="7792" w:type="dxa"/>
            <w:gridSpan w:val="2"/>
          </w:tcPr>
          <w:p w14:paraId="29591790" w14:textId="77777777" w:rsidR="00CD226D" w:rsidRPr="00C9343F" w:rsidRDefault="00CD226D" w:rsidP="00F66D98">
            <w:pPr>
              <w:pStyle w:val="BlockText-Plain"/>
              <w:rPr>
                <w:iCs/>
              </w:rPr>
            </w:pPr>
            <w:r w:rsidRPr="00C9343F">
              <w:rPr>
                <w:iCs/>
              </w:rPr>
              <w:t>The member chooses to vacate a Service residence or rent band choice property.</w:t>
            </w:r>
          </w:p>
        </w:tc>
      </w:tr>
      <w:tr w:rsidR="00CD226D" w:rsidRPr="00C9343F" w14:paraId="33251EE8" w14:textId="77777777" w:rsidTr="00B02E82">
        <w:trPr>
          <w:gridAfter w:val="1"/>
          <w:wAfter w:w="8" w:type="dxa"/>
        </w:trPr>
        <w:tc>
          <w:tcPr>
            <w:tcW w:w="992" w:type="dxa"/>
          </w:tcPr>
          <w:p w14:paraId="742AE4A3" w14:textId="77777777" w:rsidR="00CD226D" w:rsidRPr="00C9343F" w:rsidRDefault="00CD226D" w:rsidP="00F66D98">
            <w:pPr>
              <w:pStyle w:val="BlockText-Plain"/>
              <w:keepNext/>
              <w:keepLines/>
              <w:jc w:val="center"/>
            </w:pPr>
            <w:r w:rsidRPr="00C9343F">
              <w:lastRenderedPageBreak/>
              <w:t>7.</w:t>
            </w:r>
          </w:p>
        </w:tc>
        <w:tc>
          <w:tcPr>
            <w:tcW w:w="8359" w:type="dxa"/>
            <w:gridSpan w:val="3"/>
          </w:tcPr>
          <w:p w14:paraId="2C9234FB" w14:textId="77777777" w:rsidR="00CD226D" w:rsidRPr="00C9343F" w:rsidRDefault="00CD226D" w:rsidP="00F66D98">
            <w:pPr>
              <w:pStyle w:val="BlockText-Plain"/>
              <w:keepNext/>
              <w:keepLines/>
            </w:pPr>
            <w:r w:rsidRPr="00C9343F">
              <w:rPr>
                <w:iCs/>
              </w:rPr>
              <w:t>If a member is required to vacate their Service residence or rent band choice property and the member is unable to remove their property due to their imprisonment, detention or custody, t</w:t>
            </w:r>
            <w:r w:rsidRPr="00C9343F">
              <w:t>he member’s property may be removed and stored under Chapter 6 Part 5 until the member’s release or an agent appointed by the member takes possession of the property.</w:t>
            </w:r>
          </w:p>
          <w:p w14:paraId="00074D17" w14:textId="77777777" w:rsidR="00CD226D" w:rsidRPr="00C9343F" w:rsidRDefault="00CD226D" w:rsidP="00F66D98">
            <w:pPr>
              <w:pStyle w:val="BlockText-Plain"/>
              <w:keepNext/>
              <w:keepLines/>
              <w:rPr>
                <w:iCs/>
              </w:rPr>
            </w:pPr>
            <w:r w:rsidRPr="00C9343F">
              <w:rPr>
                <w:b/>
              </w:rPr>
              <w:t xml:space="preserve">Notes: </w:t>
            </w:r>
            <w:r w:rsidRPr="00C9343F">
              <w:rPr>
                <w:b/>
              </w:rPr>
              <w:br/>
            </w:r>
            <w:r w:rsidRPr="00C9343F">
              <w:t>1.</w:t>
            </w:r>
            <w:r w:rsidRPr="00C9343F">
              <w:rPr>
                <w:b/>
              </w:rPr>
              <w:t xml:space="preserve"> </w:t>
            </w:r>
            <w:r w:rsidRPr="00C9343F">
              <w:t>The member may be responsible for the cost of storage under section 1.7.19.</w:t>
            </w:r>
            <w:r w:rsidRPr="00C9343F">
              <w:br/>
              <w:t>2. If t</w:t>
            </w:r>
            <w:r w:rsidRPr="00C9343F">
              <w:rPr>
                <w:iCs/>
              </w:rPr>
              <w:t>he member appoints an agent to take possession of their property, this appointment must be in writing.</w:t>
            </w:r>
          </w:p>
        </w:tc>
      </w:tr>
      <w:tr w:rsidR="00CD226D" w:rsidRPr="00C9343F" w14:paraId="40E3B66D" w14:textId="77777777" w:rsidTr="00B02E82">
        <w:trPr>
          <w:gridAfter w:val="1"/>
          <w:wAfter w:w="8" w:type="dxa"/>
        </w:trPr>
        <w:tc>
          <w:tcPr>
            <w:tcW w:w="992" w:type="dxa"/>
          </w:tcPr>
          <w:p w14:paraId="321F82ED" w14:textId="77777777" w:rsidR="00CD226D" w:rsidRPr="00C9343F" w:rsidRDefault="00CD226D" w:rsidP="00F66D98">
            <w:pPr>
              <w:pStyle w:val="BlockText-Plain"/>
              <w:jc w:val="center"/>
            </w:pPr>
            <w:r w:rsidRPr="00C9343F">
              <w:t>8.</w:t>
            </w:r>
          </w:p>
        </w:tc>
        <w:tc>
          <w:tcPr>
            <w:tcW w:w="8359" w:type="dxa"/>
            <w:gridSpan w:val="3"/>
          </w:tcPr>
          <w:p w14:paraId="7DEE7AA3" w14:textId="77777777" w:rsidR="00CD226D" w:rsidRPr="00C9343F" w:rsidRDefault="00CD226D" w:rsidP="00F66D98">
            <w:pPr>
              <w:pStyle w:val="BlockText-Plain"/>
              <w:rPr>
                <w:iCs/>
              </w:rPr>
            </w:pPr>
            <w:r w:rsidRPr="00C9343F">
              <w:rPr>
                <w:iCs/>
              </w:rPr>
              <w:t>If a member’s possessions have been removed to another location or to storage, the member is not eligible for a removal under Chapter 6 Part 5 on their release from imprisonment, detention or custody unless they are posted to a new posting location.</w:t>
            </w:r>
          </w:p>
        </w:tc>
      </w:tr>
    </w:tbl>
    <w:p w14:paraId="7ADA4D22" w14:textId="62413833" w:rsidR="00CD226D" w:rsidRPr="00C9343F" w:rsidRDefault="00CD226D" w:rsidP="00F66D98">
      <w:pPr>
        <w:pStyle w:val="Heading5"/>
      </w:pPr>
      <w:bookmarkStart w:id="290" w:name="_Toc32570652"/>
      <w:bookmarkStart w:id="291" w:name="_Toc105053620"/>
      <w:r w:rsidRPr="00C9343F">
        <w:t>1.7.17</w:t>
      </w:r>
      <w:r w:rsidR="00D94006" w:rsidRPr="00C9343F">
        <w:t>    </w:t>
      </w:r>
      <w:r w:rsidRPr="00C9343F">
        <w:t>Member occupying a rent allowance property</w:t>
      </w:r>
      <w:bookmarkEnd w:id="290"/>
      <w:bookmarkEnd w:id="291"/>
    </w:p>
    <w:tbl>
      <w:tblPr>
        <w:tblW w:w="0" w:type="auto"/>
        <w:tblInd w:w="113" w:type="dxa"/>
        <w:tblLayout w:type="fixed"/>
        <w:tblLook w:val="0000" w:firstRow="0" w:lastRow="0" w:firstColumn="0" w:lastColumn="0" w:noHBand="0" w:noVBand="0"/>
      </w:tblPr>
      <w:tblGrid>
        <w:gridCol w:w="992"/>
        <w:gridCol w:w="8367"/>
      </w:tblGrid>
      <w:tr w:rsidR="00CD226D" w:rsidRPr="00C9343F" w14:paraId="4F14BDB8" w14:textId="77777777" w:rsidTr="00B02E82">
        <w:tc>
          <w:tcPr>
            <w:tcW w:w="992" w:type="dxa"/>
          </w:tcPr>
          <w:p w14:paraId="23CE13E1" w14:textId="77777777" w:rsidR="00CD226D" w:rsidRPr="00C9343F" w:rsidRDefault="00CD226D" w:rsidP="00F66D98">
            <w:pPr>
              <w:pStyle w:val="BlockText-Plain"/>
              <w:jc w:val="center"/>
            </w:pPr>
            <w:r w:rsidRPr="00C9343F">
              <w:t>1.</w:t>
            </w:r>
          </w:p>
        </w:tc>
        <w:tc>
          <w:tcPr>
            <w:tcW w:w="8367" w:type="dxa"/>
          </w:tcPr>
          <w:p w14:paraId="33DD6266" w14:textId="77777777" w:rsidR="00CD226D" w:rsidRPr="00C9343F" w:rsidRDefault="00CD226D" w:rsidP="00F66D98">
            <w:pPr>
              <w:pStyle w:val="BlockText-Plain"/>
              <w:rPr>
                <w:iCs/>
              </w:rPr>
            </w:pPr>
            <w:r w:rsidRPr="00C9343F">
              <w:rPr>
                <w:iCs/>
              </w:rPr>
              <w:t>A member ceases to be eligible for rent allowance on the first full day of the member's imprisonment, detention or custody.</w:t>
            </w:r>
          </w:p>
        </w:tc>
      </w:tr>
      <w:tr w:rsidR="00CD226D" w:rsidRPr="00C9343F" w14:paraId="262E464E" w14:textId="77777777" w:rsidTr="00B02E82">
        <w:tc>
          <w:tcPr>
            <w:tcW w:w="992" w:type="dxa"/>
          </w:tcPr>
          <w:p w14:paraId="69BF0D70" w14:textId="77777777" w:rsidR="00CD226D" w:rsidRPr="00C9343F" w:rsidRDefault="00CD226D" w:rsidP="00F66D98">
            <w:pPr>
              <w:pStyle w:val="BlockText-Plain"/>
              <w:jc w:val="center"/>
            </w:pPr>
            <w:r w:rsidRPr="00C9343F">
              <w:t>2.</w:t>
            </w:r>
          </w:p>
        </w:tc>
        <w:tc>
          <w:tcPr>
            <w:tcW w:w="8367" w:type="dxa"/>
          </w:tcPr>
          <w:p w14:paraId="61737A78" w14:textId="77777777" w:rsidR="00CD226D" w:rsidRPr="00C9343F" w:rsidRDefault="00CD226D" w:rsidP="00F66D98">
            <w:pPr>
              <w:pStyle w:val="BlockText-Plain"/>
              <w:rPr>
                <w:iCs/>
              </w:rPr>
            </w:pPr>
            <w:r w:rsidRPr="00C9343F">
              <w:rPr>
                <w:iCs/>
              </w:rPr>
              <w:t>If the member chooses to vacate the rent allowance property during a period of imprisonment, detention or custody, Chapter 6 does not apply.</w:t>
            </w:r>
          </w:p>
        </w:tc>
      </w:tr>
    </w:tbl>
    <w:p w14:paraId="584BE9B6" w14:textId="09B3403E" w:rsidR="00CD226D" w:rsidRPr="00C9343F" w:rsidRDefault="00CD226D" w:rsidP="00F66D98">
      <w:pPr>
        <w:pStyle w:val="Heading5"/>
      </w:pPr>
      <w:bookmarkStart w:id="292" w:name="_Toc32570653"/>
      <w:bookmarkStart w:id="293" w:name="_Toc105053621"/>
      <w:r w:rsidRPr="00C9343F">
        <w:t>1.7.18</w:t>
      </w:r>
      <w:r w:rsidR="00D94006" w:rsidRPr="00C9343F">
        <w:t>    </w:t>
      </w:r>
      <w:r w:rsidRPr="00C9343F">
        <w:t>Member occupying living-in accommodation</w:t>
      </w:r>
      <w:bookmarkEnd w:id="292"/>
      <w:bookmarkEnd w:id="293"/>
    </w:p>
    <w:tbl>
      <w:tblPr>
        <w:tblW w:w="9359" w:type="dxa"/>
        <w:tblInd w:w="113" w:type="dxa"/>
        <w:tblLayout w:type="fixed"/>
        <w:tblLook w:val="0000" w:firstRow="0" w:lastRow="0" w:firstColumn="0" w:lastColumn="0" w:noHBand="0" w:noVBand="0"/>
      </w:tblPr>
      <w:tblGrid>
        <w:gridCol w:w="992"/>
        <w:gridCol w:w="567"/>
        <w:gridCol w:w="7800"/>
      </w:tblGrid>
      <w:tr w:rsidR="00CD226D" w:rsidRPr="00C9343F" w14:paraId="161AC559" w14:textId="77777777" w:rsidTr="00B02E82">
        <w:tc>
          <w:tcPr>
            <w:tcW w:w="992" w:type="dxa"/>
          </w:tcPr>
          <w:p w14:paraId="7351E0FA" w14:textId="77777777" w:rsidR="00CD226D" w:rsidRPr="00C9343F" w:rsidRDefault="00CD226D" w:rsidP="00F66D98">
            <w:pPr>
              <w:pStyle w:val="BlockText-Plain"/>
              <w:jc w:val="center"/>
            </w:pPr>
            <w:r w:rsidRPr="00C9343F">
              <w:t>1.</w:t>
            </w:r>
          </w:p>
        </w:tc>
        <w:tc>
          <w:tcPr>
            <w:tcW w:w="8367" w:type="dxa"/>
            <w:gridSpan w:val="2"/>
          </w:tcPr>
          <w:p w14:paraId="2730CC4F" w14:textId="77777777" w:rsidR="00CD226D" w:rsidRPr="00C9343F" w:rsidRDefault="00CD226D" w:rsidP="00F66D98">
            <w:pPr>
              <w:pStyle w:val="BlockText-Plain"/>
              <w:rPr>
                <w:iCs/>
              </w:rPr>
            </w:pPr>
            <w:r w:rsidRPr="00C9343F">
              <w:rPr>
                <w:iCs/>
              </w:rPr>
              <w:t xml:space="preserve">A member ceases to be permitted to occupy living-in accommodation if the CDF revokes the member's licence to live in. </w:t>
            </w:r>
          </w:p>
        </w:tc>
      </w:tr>
      <w:tr w:rsidR="00CD226D" w:rsidRPr="00C9343F" w14:paraId="059EF6D5" w14:textId="77777777" w:rsidTr="00B02E82">
        <w:tc>
          <w:tcPr>
            <w:tcW w:w="992" w:type="dxa"/>
          </w:tcPr>
          <w:p w14:paraId="1C11A839" w14:textId="77777777" w:rsidR="00CD226D" w:rsidRPr="00C9343F" w:rsidRDefault="00CD226D" w:rsidP="00F66D98">
            <w:pPr>
              <w:pStyle w:val="BlockText-Plain"/>
              <w:jc w:val="center"/>
            </w:pPr>
            <w:r w:rsidRPr="00C9343F">
              <w:t>2.</w:t>
            </w:r>
          </w:p>
        </w:tc>
        <w:tc>
          <w:tcPr>
            <w:tcW w:w="8367" w:type="dxa"/>
            <w:gridSpan w:val="2"/>
          </w:tcPr>
          <w:p w14:paraId="6C6F51B8" w14:textId="77777777" w:rsidR="00CD226D" w:rsidRPr="00C9343F" w:rsidRDefault="00CD226D" w:rsidP="00F66D98">
            <w:pPr>
              <w:pStyle w:val="BlockText-Plain"/>
              <w:rPr>
                <w:iCs/>
              </w:rPr>
            </w:pPr>
            <w:r w:rsidRPr="00C9343F">
              <w:rPr>
                <w:iCs/>
              </w:rPr>
              <w:t>When making a decision under subsection 1, the CDF must take the following into consideration.</w:t>
            </w:r>
          </w:p>
        </w:tc>
      </w:tr>
      <w:tr w:rsidR="00CD226D" w:rsidRPr="00C9343F" w14:paraId="2860B22F" w14:textId="77777777" w:rsidTr="00B02E82">
        <w:trPr>
          <w:cantSplit/>
        </w:trPr>
        <w:tc>
          <w:tcPr>
            <w:tcW w:w="992" w:type="dxa"/>
          </w:tcPr>
          <w:p w14:paraId="3E700DF0" w14:textId="77777777" w:rsidR="00CD226D" w:rsidRPr="00C9343F" w:rsidRDefault="00CD226D" w:rsidP="00F66D98">
            <w:pPr>
              <w:pStyle w:val="BlockText-Plain"/>
            </w:pPr>
          </w:p>
        </w:tc>
        <w:tc>
          <w:tcPr>
            <w:tcW w:w="567" w:type="dxa"/>
          </w:tcPr>
          <w:p w14:paraId="6BD391BE" w14:textId="77777777" w:rsidR="00CD226D" w:rsidRPr="00C9343F" w:rsidRDefault="00CD226D" w:rsidP="007114B1">
            <w:pPr>
              <w:pStyle w:val="BlockText-Plain"/>
              <w:jc w:val="center"/>
            </w:pPr>
            <w:r w:rsidRPr="00C9343F">
              <w:t>a.</w:t>
            </w:r>
          </w:p>
        </w:tc>
        <w:tc>
          <w:tcPr>
            <w:tcW w:w="7800" w:type="dxa"/>
          </w:tcPr>
          <w:p w14:paraId="2E8B12E5" w14:textId="77777777" w:rsidR="00CD226D" w:rsidRPr="00C9343F" w:rsidRDefault="00CD226D" w:rsidP="00F66D98">
            <w:pPr>
              <w:pStyle w:val="BlockText-Plain"/>
            </w:pPr>
            <w:r w:rsidRPr="00C9343F">
              <w:t xml:space="preserve">The duration of the member’s </w:t>
            </w:r>
            <w:r w:rsidRPr="00C9343F">
              <w:rPr>
                <w:iCs/>
              </w:rPr>
              <w:t>imprisonment, detention or custody</w:t>
            </w:r>
            <w:r w:rsidRPr="00C9343F">
              <w:t>.</w:t>
            </w:r>
          </w:p>
        </w:tc>
      </w:tr>
      <w:tr w:rsidR="00CD226D" w:rsidRPr="00C9343F" w14:paraId="693E5A34" w14:textId="77777777" w:rsidTr="00B02E82">
        <w:trPr>
          <w:cantSplit/>
        </w:trPr>
        <w:tc>
          <w:tcPr>
            <w:tcW w:w="992" w:type="dxa"/>
          </w:tcPr>
          <w:p w14:paraId="20A08A7F" w14:textId="77777777" w:rsidR="00CD226D" w:rsidRPr="00C9343F" w:rsidRDefault="00CD226D" w:rsidP="00F66D98">
            <w:pPr>
              <w:pStyle w:val="BlockText-Plain"/>
            </w:pPr>
          </w:p>
        </w:tc>
        <w:tc>
          <w:tcPr>
            <w:tcW w:w="567" w:type="dxa"/>
          </w:tcPr>
          <w:p w14:paraId="49EDE04F" w14:textId="77777777" w:rsidR="00CD226D" w:rsidRPr="00C9343F" w:rsidRDefault="00CD226D" w:rsidP="007114B1">
            <w:pPr>
              <w:pStyle w:val="BlockText-Plain"/>
              <w:jc w:val="center"/>
            </w:pPr>
            <w:r w:rsidRPr="00C9343F">
              <w:t>b.</w:t>
            </w:r>
          </w:p>
        </w:tc>
        <w:tc>
          <w:tcPr>
            <w:tcW w:w="7800" w:type="dxa"/>
          </w:tcPr>
          <w:p w14:paraId="45C31D0D" w14:textId="77777777" w:rsidR="00CD226D" w:rsidRPr="00C9343F" w:rsidRDefault="00CD226D" w:rsidP="00F66D98">
            <w:pPr>
              <w:pStyle w:val="BlockText-Plain"/>
            </w:pPr>
            <w:r w:rsidRPr="00C9343F">
              <w:t xml:space="preserve">The pattern of the member’s </w:t>
            </w:r>
            <w:r w:rsidRPr="00C9343F">
              <w:rPr>
                <w:iCs/>
              </w:rPr>
              <w:t>imprisonment, detention or custody</w:t>
            </w:r>
            <w:r w:rsidRPr="00C9343F">
              <w:t>.</w:t>
            </w:r>
          </w:p>
        </w:tc>
      </w:tr>
      <w:tr w:rsidR="00CD226D" w:rsidRPr="00C9343F" w14:paraId="35994224" w14:textId="77777777" w:rsidTr="00B02E82">
        <w:trPr>
          <w:cantSplit/>
        </w:trPr>
        <w:tc>
          <w:tcPr>
            <w:tcW w:w="992" w:type="dxa"/>
          </w:tcPr>
          <w:p w14:paraId="18177EF8" w14:textId="77777777" w:rsidR="00CD226D" w:rsidRPr="00C9343F" w:rsidRDefault="00CD226D" w:rsidP="00F66D98">
            <w:pPr>
              <w:pStyle w:val="BlockText-Plain"/>
            </w:pPr>
          </w:p>
        </w:tc>
        <w:tc>
          <w:tcPr>
            <w:tcW w:w="567" w:type="dxa"/>
          </w:tcPr>
          <w:p w14:paraId="586EB028" w14:textId="77777777" w:rsidR="00CD226D" w:rsidRPr="00C9343F" w:rsidRDefault="00CD226D" w:rsidP="007114B1">
            <w:pPr>
              <w:pStyle w:val="BlockText-Plain"/>
              <w:jc w:val="center"/>
            </w:pPr>
            <w:r w:rsidRPr="00C9343F">
              <w:t>c.</w:t>
            </w:r>
          </w:p>
        </w:tc>
        <w:tc>
          <w:tcPr>
            <w:tcW w:w="7800" w:type="dxa"/>
          </w:tcPr>
          <w:p w14:paraId="2968D3FC" w14:textId="77777777" w:rsidR="00CD226D" w:rsidRPr="00C9343F" w:rsidRDefault="00CD226D" w:rsidP="00F66D98">
            <w:pPr>
              <w:pStyle w:val="BlockText-Plain"/>
            </w:pPr>
            <w:r w:rsidRPr="00C9343F">
              <w:t xml:space="preserve">The type of living-in accommodation. </w:t>
            </w:r>
          </w:p>
        </w:tc>
      </w:tr>
      <w:tr w:rsidR="00CD226D" w:rsidRPr="00C9343F" w14:paraId="4BFFBB74" w14:textId="77777777" w:rsidTr="00B02E82">
        <w:trPr>
          <w:cantSplit/>
        </w:trPr>
        <w:tc>
          <w:tcPr>
            <w:tcW w:w="992" w:type="dxa"/>
          </w:tcPr>
          <w:p w14:paraId="538B1F84" w14:textId="77777777" w:rsidR="00CD226D" w:rsidRPr="00C9343F" w:rsidRDefault="00CD226D" w:rsidP="00F66D98">
            <w:pPr>
              <w:pStyle w:val="BlockText-Plain"/>
            </w:pPr>
          </w:p>
        </w:tc>
        <w:tc>
          <w:tcPr>
            <w:tcW w:w="567" w:type="dxa"/>
          </w:tcPr>
          <w:p w14:paraId="1B44ECE3" w14:textId="77777777" w:rsidR="00CD226D" w:rsidRPr="00C9343F" w:rsidRDefault="00CD226D" w:rsidP="007114B1">
            <w:pPr>
              <w:pStyle w:val="BlockText-Plain"/>
              <w:jc w:val="center"/>
            </w:pPr>
            <w:r w:rsidRPr="00C9343F">
              <w:t>d.</w:t>
            </w:r>
          </w:p>
        </w:tc>
        <w:tc>
          <w:tcPr>
            <w:tcW w:w="7800" w:type="dxa"/>
          </w:tcPr>
          <w:p w14:paraId="3E408373" w14:textId="77777777" w:rsidR="00CD226D" w:rsidRPr="00C9343F" w:rsidRDefault="00CD226D" w:rsidP="00F66D98">
            <w:pPr>
              <w:pStyle w:val="BlockText-Plain"/>
            </w:pPr>
            <w:r w:rsidRPr="00C9343F">
              <w:t xml:space="preserve">Whether the accommodation is needed for a member who is required to live in. </w:t>
            </w:r>
          </w:p>
        </w:tc>
      </w:tr>
      <w:tr w:rsidR="00CD226D" w:rsidRPr="00C9343F" w14:paraId="4C4712D5" w14:textId="77777777" w:rsidTr="00B02E82">
        <w:tc>
          <w:tcPr>
            <w:tcW w:w="992" w:type="dxa"/>
          </w:tcPr>
          <w:p w14:paraId="2CC72177" w14:textId="77777777" w:rsidR="00CD226D" w:rsidRPr="00C9343F" w:rsidRDefault="00CD226D" w:rsidP="00F66D98">
            <w:pPr>
              <w:pStyle w:val="BlockText-Plain"/>
              <w:jc w:val="center"/>
            </w:pPr>
          </w:p>
        </w:tc>
        <w:tc>
          <w:tcPr>
            <w:tcW w:w="8367" w:type="dxa"/>
            <w:gridSpan w:val="2"/>
          </w:tcPr>
          <w:p w14:paraId="6E5BA147" w14:textId="77777777" w:rsidR="00CD226D" w:rsidRPr="00C9343F" w:rsidRDefault="00CD226D" w:rsidP="00F66D98">
            <w:pPr>
              <w:pStyle w:val="BlockText-Plain"/>
              <w:rPr>
                <w:iCs/>
              </w:rPr>
            </w:pPr>
            <w:r w:rsidRPr="00C9343F">
              <w:rPr>
                <w:b/>
                <w:iCs/>
              </w:rPr>
              <w:t>Note:</w:t>
            </w:r>
            <w:r w:rsidRPr="00C9343F">
              <w:rPr>
                <w:iCs/>
              </w:rPr>
              <w:t xml:space="preserve"> If the member’s licence to live in is revoked under subsection 1, the member may be eligible for housing assistance upon release from imprisonment, detention or custody. </w:t>
            </w:r>
          </w:p>
        </w:tc>
      </w:tr>
      <w:tr w:rsidR="00CD226D" w:rsidRPr="00C9343F" w14:paraId="78BAB609" w14:textId="77777777" w:rsidTr="00B02E82">
        <w:tc>
          <w:tcPr>
            <w:tcW w:w="992" w:type="dxa"/>
          </w:tcPr>
          <w:p w14:paraId="5DAA60E6" w14:textId="77777777" w:rsidR="00CD226D" w:rsidRPr="00C9343F" w:rsidRDefault="00CD226D" w:rsidP="00F66D98">
            <w:pPr>
              <w:pStyle w:val="BlockText-Plain"/>
              <w:jc w:val="center"/>
            </w:pPr>
            <w:r w:rsidRPr="00C9343F">
              <w:t>3.</w:t>
            </w:r>
          </w:p>
        </w:tc>
        <w:tc>
          <w:tcPr>
            <w:tcW w:w="8367" w:type="dxa"/>
            <w:gridSpan w:val="2"/>
          </w:tcPr>
          <w:p w14:paraId="6C544A7E" w14:textId="77777777" w:rsidR="00CD226D" w:rsidRPr="00C9343F" w:rsidRDefault="00CD226D" w:rsidP="00F66D98">
            <w:pPr>
              <w:pStyle w:val="BlockText-Plain"/>
              <w:rPr>
                <w:iCs/>
              </w:rPr>
            </w:pPr>
            <w:r w:rsidRPr="00C9343F">
              <w:rPr>
                <w:iCs/>
              </w:rPr>
              <w:t>If the member’s property remains in the living-in accommodation, the member is eligible for one of the following.</w:t>
            </w:r>
          </w:p>
        </w:tc>
      </w:tr>
      <w:tr w:rsidR="00CD226D" w:rsidRPr="00C9343F" w14:paraId="629E2342" w14:textId="77777777" w:rsidTr="00B02E82">
        <w:trPr>
          <w:cantSplit/>
        </w:trPr>
        <w:tc>
          <w:tcPr>
            <w:tcW w:w="992" w:type="dxa"/>
          </w:tcPr>
          <w:p w14:paraId="2DE677A0" w14:textId="77777777" w:rsidR="00CD226D" w:rsidRPr="00C9343F" w:rsidRDefault="00CD226D" w:rsidP="00F66D98">
            <w:pPr>
              <w:pStyle w:val="BlockText-Plain"/>
            </w:pPr>
          </w:p>
        </w:tc>
        <w:tc>
          <w:tcPr>
            <w:tcW w:w="567" w:type="dxa"/>
          </w:tcPr>
          <w:p w14:paraId="7D87EE71" w14:textId="77777777" w:rsidR="00CD226D" w:rsidRPr="00C9343F" w:rsidRDefault="00CD226D" w:rsidP="007114B1">
            <w:pPr>
              <w:pStyle w:val="BlockText-Plain"/>
              <w:jc w:val="center"/>
            </w:pPr>
            <w:r w:rsidRPr="00C9343F">
              <w:t>a.</w:t>
            </w:r>
          </w:p>
        </w:tc>
        <w:tc>
          <w:tcPr>
            <w:tcW w:w="7800" w:type="dxa"/>
          </w:tcPr>
          <w:p w14:paraId="62D36387" w14:textId="77777777" w:rsidR="00CD226D" w:rsidRPr="00C9343F" w:rsidRDefault="00CD226D" w:rsidP="00F66D98">
            <w:pPr>
              <w:pStyle w:val="BlockText-Plain"/>
            </w:pPr>
            <w:r w:rsidRPr="00C9343F">
              <w:t>Storage of the member's property in the living-in accommodation.</w:t>
            </w:r>
          </w:p>
        </w:tc>
      </w:tr>
      <w:tr w:rsidR="00CD226D" w:rsidRPr="00C9343F" w14:paraId="6CA4780A" w14:textId="77777777" w:rsidTr="00B02E82">
        <w:trPr>
          <w:cantSplit/>
        </w:trPr>
        <w:tc>
          <w:tcPr>
            <w:tcW w:w="992" w:type="dxa"/>
          </w:tcPr>
          <w:p w14:paraId="67BB866C" w14:textId="77777777" w:rsidR="00CD226D" w:rsidRPr="00C9343F" w:rsidRDefault="00CD226D" w:rsidP="00F66D98">
            <w:pPr>
              <w:pStyle w:val="BlockText-Plain"/>
            </w:pPr>
          </w:p>
        </w:tc>
        <w:tc>
          <w:tcPr>
            <w:tcW w:w="567" w:type="dxa"/>
          </w:tcPr>
          <w:p w14:paraId="2020C935" w14:textId="77777777" w:rsidR="00CD226D" w:rsidRPr="00C9343F" w:rsidRDefault="00CD226D" w:rsidP="007114B1">
            <w:pPr>
              <w:pStyle w:val="BlockText-Plain"/>
              <w:jc w:val="center"/>
            </w:pPr>
            <w:r w:rsidRPr="00C9343F">
              <w:t>b.</w:t>
            </w:r>
          </w:p>
        </w:tc>
        <w:tc>
          <w:tcPr>
            <w:tcW w:w="7800" w:type="dxa"/>
          </w:tcPr>
          <w:p w14:paraId="24D3C648" w14:textId="77777777" w:rsidR="00CD226D" w:rsidRPr="00C9343F" w:rsidRDefault="00CD226D" w:rsidP="00F66D98">
            <w:pPr>
              <w:pStyle w:val="BlockText-Plain"/>
            </w:pPr>
            <w:r w:rsidRPr="00C9343F">
              <w:t xml:space="preserve">Removal and storage of the member's property under Chapter 6 Part 5. </w:t>
            </w:r>
          </w:p>
          <w:p w14:paraId="6B6A6B54" w14:textId="77777777" w:rsidR="00CD226D" w:rsidRPr="00C9343F" w:rsidRDefault="00CD226D" w:rsidP="00F66D98">
            <w:pPr>
              <w:pStyle w:val="BlockText-Plain"/>
            </w:pPr>
            <w:r w:rsidRPr="00C9343F">
              <w:rPr>
                <w:b/>
              </w:rPr>
              <w:t xml:space="preserve">Note: </w:t>
            </w:r>
            <w:r w:rsidRPr="00C9343F">
              <w:t>The member may be responsible for the cost of storage under section 1.7.19.</w:t>
            </w:r>
          </w:p>
        </w:tc>
      </w:tr>
    </w:tbl>
    <w:p w14:paraId="7C9E01A7" w14:textId="216E9B85" w:rsidR="00CD226D" w:rsidRPr="00C9343F" w:rsidRDefault="00CD226D" w:rsidP="00F66D98">
      <w:pPr>
        <w:pStyle w:val="Heading5"/>
        <w:rPr>
          <w:rStyle w:val="CharSectno"/>
        </w:rPr>
      </w:pPr>
      <w:bookmarkStart w:id="294" w:name="_Toc32570654"/>
      <w:bookmarkStart w:id="295" w:name="_Toc105053622"/>
      <w:r w:rsidRPr="00C9343F">
        <w:rPr>
          <w:rStyle w:val="CharSectno"/>
        </w:rPr>
        <w:t>1.7.19</w:t>
      </w:r>
      <w:r w:rsidR="00D94006" w:rsidRPr="00C9343F">
        <w:rPr>
          <w:rStyle w:val="CharSectno"/>
        </w:rPr>
        <w:t>    </w:t>
      </w:r>
      <w:r w:rsidRPr="00C9343F">
        <w:rPr>
          <w:rStyle w:val="CharSectno"/>
        </w:rPr>
        <w:t>Storage costs</w:t>
      </w:r>
      <w:bookmarkEnd w:id="294"/>
      <w:bookmarkEnd w:id="295"/>
      <w:r w:rsidRPr="00C9343F">
        <w:rPr>
          <w:rStyle w:val="CharSectno"/>
        </w:rPr>
        <w:t xml:space="preserve"> </w:t>
      </w:r>
    </w:p>
    <w:tbl>
      <w:tblPr>
        <w:tblW w:w="9351" w:type="dxa"/>
        <w:tblInd w:w="113" w:type="dxa"/>
        <w:tblLayout w:type="fixed"/>
        <w:tblLook w:val="0000" w:firstRow="0" w:lastRow="0" w:firstColumn="0" w:lastColumn="0" w:noHBand="0" w:noVBand="0"/>
      </w:tblPr>
      <w:tblGrid>
        <w:gridCol w:w="992"/>
        <w:gridCol w:w="567"/>
        <w:gridCol w:w="7792"/>
      </w:tblGrid>
      <w:tr w:rsidR="00CD226D" w:rsidRPr="00C9343F" w14:paraId="13517086" w14:textId="77777777" w:rsidTr="00B02E82">
        <w:tc>
          <w:tcPr>
            <w:tcW w:w="992" w:type="dxa"/>
          </w:tcPr>
          <w:p w14:paraId="54B264C5" w14:textId="77777777" w:rsidR="00CD226D" w:rsidRPr="00C9343F" w:rsidRDefault="00CD226D" w:rsidP="00F66D98">
            <w:pPr>
              <w:pStyle w:val="BlockText-Plain"/>
              <w:jc w:val="center"/>
            </w:pPr>
            <w:r w:rsidRPr="00C9343F">
              <w:t>1.</w:t>
            </w:r>
          </w:p>
        </w:tc>
        <w:tc>
          <w:tcPr>
            <w:tcW w:w="8359" w:type="dxa"/>
            <w:gridSpan w:val="2"/>
          </w:tcPr>
          <w:p w14:paraId="5AD0B235" w14:textId="77777777" w:rsidR="00CD226D" w:rsidRPr="00C9343F" w:rsidRDefault="00CD226D" w:rsidP="00F66D98">
            <w:pPr>
              <w:pStyle w:val="BlockText-Plain"/>
              <w:rPr>
                <w:iCs/>
              </w:rPr>
            </w:pPr>
            <w:r w:rsidRPr="00C9343F">
              <w:rPr>
                <w:iCs/>
              </w:rPr>
              <w:t xml:space="preserve">If a member's possessions have been removed and stored under Chapter 6 Part 5, section 1.7.16 or section 1.7.18, the CDF may recover the cost of the storage from the member. </w:t>
            </w:r>
          </w:p>
        </w:tc>
      </w:tr>
      <w:tr w:rsidR="00CD226D" w:rsidRPr="00C9343F" w14:paraId="33D828B4" w14:textId="77777777" w:rsidTr="00B02E82">
        <w:tc>
          <w:tcPr>
            <w:tcW w:w="992" w:type="dxa"/>
          </w:tcPr>
          <w:p w14:paraId="36569348" w14:textId="77777777" w:rsidR="00CD226D" w:rsidRPr="00C9343F" w:rsidRDefault="00CD226D" w:rsidP="00F66D98">
            <w:pPr>
              <w:pStyle w:val="BlockText-Plain"/>
              <w:jc w:val="center"/>
            </w:pPr>
            <w:r w:rsidRPr="00C9343F">
              <w:t>2.</w:t>
            </w:r>
          </w:p>
        </w:tc>
        <w:tc>
          <w:tcPr>
            <w:tcW w:w="8359" w:type="dxa"/>
            <w:gridSpan w:val="2"/>
          </w:tcPr>
          <w:p w14:paraId="325CF963" w14:textId="77777777" w:rsidR="00CD226D" w:rsidRPr="00C9343F" w:rsidRDefault="00CD226D" w:rsidP="00F66D98">
            <w:pPr>
              <w:pStyle w:val="BlockText-Plain"/>
              <w:rPr>
                <w:iCs/>
              </w:rPr>
            </w:pPr>
            <w:r w:rsidRPr="00C9343F">
              <w:rPr>
                <w:iCs/>
              </w:rPr>
              <w:t>When making a decision under subsection 1 the CDF must take the following into consideration.</w:t>
            </w:r>
          </w:p>
        </w:tc>
      </w:tr>
      <w:tr w:rsidR="00CD226D" w:rsidRPr="00C9343F" w14:paraId="1404FC11" w14:textId="77777777" w:rsidTr="00B02E82">
        <w:trPr>
          <w:cantSplit/>
        </w:trPr>
        <w:tc>
          <w:tcPr>
            <w:tcW w:w="992" w:type="dxa"/>
          </w:tcPr>
          <w:p w14:paraId="069E3DC9" w14:textId="77777777" w:rsidR="00CD226D" w:rsidRPr="00C9343F" w:rsidRDefault="00CD226D" w:rsidP="00F66D98">
            <w:pPr>
              <w:pStyle w:val="BlockText-Plain"/>
            </w:pPr>
          </w:p>
        </w:tc>
        <w:tc>
          <w:tcPr>
            <w:tcW w:w="567" w:type="dxa"/>
          </w:tcPr>
          <w:p w14:paraId="7FB50AED" w14:textId="77777777" w:rsidR="00CD226D" w:rsidRPr="00C9343F" w:rsidRDefault="00CD226D" w:rsidP="007114B1">
            <w:pPr>
              <w:pStyle w:val="BlockText-Plain"/>
              <w:jc w:val="center"/>
            </w:pPr>
            <w:r w:rsidRPr="00C9343F">
              <w:t>a.</w:t>
            </w:r>
          </w:p>
        </w:tc>
        <w:tc>
          <w:tcPr>
            <w:tcW w:w="7792" w:type="dxa"/>
          </w:tcPr>
          <w:p w14:paraId="5F712E2A" w14:textId="77777777" w:rsidR="00CD226D" w:rsidRPr="00C9343F" w:rsidRDefault="00CD226D" w:rsidP="00F66D98">
            <w:pPr>
              <w:pStyle w:val="BlockText-Plain"/>
              <w:rPr>
                <w:iCs/>
              </w:rPr>
            </w:pPr>
            <w:r w:rsidRPr="00C9343F">
              <w:rPr>
                <w:iCs/>
              </w:rPr>
              <w:t>The amount of property put into storage.</w:t>
            </w:r>
          </w:p>
        </w:tc>
      </w:tr>
      <w:tr w:rsidR="00CD226D" w:rsidRPr="00C9343F" w14:paraId="18846778" w14:textId="77777777" w:rsidTr="00B02E82">
        <w:trPr>
          <w:cantSplit/>
        </w:trPr>
        <w:tc>
          <w:tcPr>
            <w:tcW w:w="992" w:type="dxa"/>
          </w:tcPr>
          <w:p w14:paraId="1E46E6DA" w14:textId="77777777" w:rsidR="00CD226D" w:rsidRPr="00C9343F" w:rsidRDefault="00CD226D" w:rsidP="00F66D98">
            <w:pPr>
              <w:pStyle w:val="BlockText-Plain"/>
            </w:pPr>
          </w:p>
        </w:tc>
        <w:tc>
          <w:tcPr>
            <w:tcW w:w="567" w:type="dxa"/>
          </w:tcPr>
          <w:p w14:paraId="21130866" w14:textId="77777777" w:rsidR="00CD226D" w:rsidRPr="00C9343F" w:rsidRDefault="00CD226D" w:rsidP="007114B1">
            <w:pPr>
              <w:pStyle w:val="BlockText-Plain"/>
              <w:jc w:val="center"/>
            </w:pPr>
            <w:r w:rsidRPr="00C9343F">
              <w:t>b.</w:t>
            </w:r>
          </w:p>
        </w:tc>
        <w:tc>
          <w:tcPr>
            <w:tcW w:w="7792" w:type="dxa"/>
          </w:tcPr>
          <w:p w14:paraId="7235E44E" w14:textId="77777777" w:rsidR="00CD226D" w:rsidRPr="00C9343F" w:rsidRDefault="00CD226D" w:rsidP="00F66D98">
            <w:pPr>
              <w:pStyle w:val="BlockText-Plain"/>
              <w:rPr>
                <w:iCs/>
              </w:rPr>
            </w:pPr>
            <w:r w:rsidRPr="00C9343F">
              <w:rPr>
                <w:iCs/>
              </w:rPr>
              <w:t>Any special storage requirements that resulted in an increased cost to the Commonwealth.</w:t>
            </w:r>
          </w:p>
        </w:tc>
      </w:tr>
      <w:tr w:rsidR="00CD226D" w:rsidRPr="00C9343F" w14:paraId="339DEE65" w14:textId="77777777" w:rsidTr="00B02E82">
        <w:trPr>
          <w:cantSplit/>
        </w:trPr>
        <w:tc>
          <w:tcPr>
            <w:tcW w:w="992" w:type="dxa"/>
          </w:tcPr>
          <w:p w14:paraId="2A82260F" w14:textId="77777777" w:rsidR="00CD226D" w:rsidRPr="00C9343F" w:rsidRDefault="00CD226D" w:rsidP="00F66D98">
            <w:pPr>
              <w:pStyle w:val="BlockText-Plain"/>
            </w:pPr>
          </w:p>
        </w:tc>
        <w:tc>
          <w:tcPr>
            <w:tcW w:w="567" w:type="dxa"/>
          </w:tcPr>
          <w:p w14:paraId="5DFAE184" w14:textId="77777777" w:rsidR="00CD226D" w:rsidRPr="00C9343F" w:rsidRDefault="00CD226D" w:rsidP="007114B1">
            <w:pPr>
              <w:pStyle w:val="BlockText-Plain"/>
              <w:jc w:val="center"/>
            </w:pPr>
            <w:r w:rsidRPr="00C9343F">
              <w:t>c.</w:t>
            </w:r>
          </w:p>
        </w:tc>
        <w:tc>
          <w:tcPr>
            <w:tcW w:w="7792" w:type="dxa"/>
          </w:tcPr>
          <w:p w14:paraId="7CAA7D82" w14:textId="77777777" w:rsidR="00CD226D" w:rsidRPr="00C9343F" w:rsidRDefault="00CD226D" w:rsidP="00F66D98">
            <w:pPr>
              <w:pStyle w:val="BlockText-Plain"/>
              <w:rPr>
                <w:iCs/>
              </w:rPr>
            </w:pPr>
            <w:r w:rsidRPr="00C9343F">
              <w:rPr>
                <w:iCs/>
              </w:rPr>
              <w:t>The number and type of vehicles that required storage.</w:t>
            </w:r>
          </w:p>
        </w:tc>
      </w:tr>
    </w:tbl>
    <w:p w14:paraId="4CCF706F" w14:textId="337966C6" w:rsidR="00CD226D" w:rsidRPr="00C9343F" w:rsidRDefault="00CD226D" w:rsidP="00F66D98">
      <w:pPr>
        <w:pStyle w:val="Heading5"/>
      </w:pPr>
      <w:bookmarkStart w:id="296" w:name="_Toc32570655"/>
      <w:bookmarkStart w:id="297" w:name="_Toc105053623"/>
      <w:r w:rsidRPr="00C9343F">
        <w:t>1.7.20</w:t>
      </w:r>
      <w:r w:rsidR="00D94006" w:rsidRPr="00C9343F">
        <w:t>    </w:t>
      </w:r>
      <w:r w:rsidRPr="00C9343F">
        <w:t>Contribution for meals</w:t>
      </w:r>
      <w:bookmarkEnd w:id="296"/>
      <w:bookmarkEnd w:id="297"/>
    </w:p>
    <w:tbl>
      <w:tblPr>
        <w:tblW w:w="9359" w:type="dxa"/>
        <w:tblInd w:w="113" w:type="dxa"/>
        <w:tblLayout w:type="fixed"/>
        <w:tblLook w:val="0000" w:firstRow="0" w:lastRow="0" w:firstColumn="0" w:lastColumn="0" w:noHBand="0" w:noVBand="0"/>
      </w:tblPr>
      <w:tblGrid>
        <w:gridCol w:w="992"/>
        <w:gridCol w:w="8367"/>
      </w:tblGrid>
      <w:tr w:rsidR="00CD226D" w:rsidRPr="00C9343F" w14:paraId="5173F294" w14:textId="77777777" w:rsidTr="00B02E82">
        <w:tc>
          <w:tcPr>
            <w:tcW w:w="992" w:type="dxa"/>
          </w:tcPr>
          <w:p w14:paraId="4D1920B3" w14:textId="77777777" w:rsidR="00CD226D" w:rsidRPr="00C9343F" w:rsidRDefault="00CD226D" w:rsidP="00F66D98">
            <w:pPr>
              <w:pStyle w:val="BlockText-Plain"/>
              <w:jc w:val="center"/>
            </w:pPr>
            <w:bookmarkStart w:id="298" w:name="_Hlk44934827"/>
          </w:p>
        </w:tc>
        <w:tc>
          <w:tcPr>
            <w:tcW w:w="8367" w:type="dxa"/>
          </w:tcPr>
          <w:p w14:paraId="58084CB7" w14:textId="77777777" w:rsidR="00CD226D" w:rsidRPr="00C9343F" w:rsidRDefault="00CD226D" w:rsidP="00F66D98">
            <w:pPr>
              <w:pStyle w:val="BlockText-Plain"/>
              <w:rPr>
                <w:iCs/>
              </w:rPr>
            </w:pPr>
            <w:r w:rsidRPr="00C9343F">
              <w:rPr>
                <w:iCs/>
              </w:rPr>
              <w:t xml:space="preserve">If the member is on a continuous period of imprisonment, detention or custody </w:t>
            </w:r>
            <w:r w:rsidRPr="00C9343F">
              <w:rPr>
                <w:rFonts w:cs="Arial"/>
                <w:iCs/>
              </w:rPr>
              <w:t>—</w:t>
            </w:r>
            <w:r w:rsidRPr="00C9343F">
              <w:rPr>
                <w:iCs/>
              </w:rPr>
              <w:t xml:space="preserve"> the member is not required to make a contribution for meals under Chapter 7 Part 9 Division 1.</w:t>
            </w:r>
          </w:p>
        </w:tc>
      </w:tr>
    </w:tbl>
    <w:p w14:paraId="682DF965" w14:textId="71A52CCE" w:rsidR="00CD226D" w:rsidRPr="00C9343F" w:rsidRDefault="00CD226D" w:rsidP="00F66D98">
      <w:pPr>
        <w:pStyle w:val="Heading5"/>
      </w:pPr>
      <w:bookmarkStart w:id="299" w:name="_Toc32570656"/>
      <w:bookmarkStart w:id="300" w:name="_Toc105053624"/>
      <w:bookmarkEnd w:id="298"/>
      <w:r w:rsidRPr="00C9343F">
        <w:t>1.7.21</w:t>
      </w:r>
      <w:r w:rsidR="00D94006" w:rsidRPr="00C9343F">
        <w:t>    </w:t>
      </w:r>
      <w:r w:rsidRPr="00C9343F">
        <w:t>Food allowance</w:t>
      </w:r>
      <w:bookmarkEnd w:id="299"/>
      <w:bookmarkEnd w:id="300"/>
    </w:p>
    <w:tbl>
      <w:tblPr>
        <w:tblW w:w="9359" w:type="dxa"/>
        <w:tblInd w:w="113" w:type="dxa"/>
        <w:tblLayout w:type="fixed"/>
        <w:tblLook w:val="0000" w:firstRow="0" w:lastRow="0" w:firstColumn="0" w:lastColumn="0" w:noHBand="0" w:noVBand="0"/>
      </w:tblPr>
      <w:tblGrid>
        <w:gridCol w:w="992"/>
        <w:gridCol w:w="8367"/>
      </w:tblGrid>
      <w:tr w:rsidR="00CD226D" w:rsidRPr="00C9343F" w14:paraId="0195A0B8" w14:textId="77777777" w:rsidTr="00B02E82">
        <w:tc>
          <w:tcPr>
            <w:tcW w:w="992" w:type="dxa"/>
          </w:tcPr>
          <w:p w14:paraId="46C58B88" w14:textId="77777777" w:rsidR="00CD226D" w:rsidRPr="00C9343F" w:rsidRDefault="00CD226D" w:rsidP="00F66D98">
            <w:pPr>
              <w:pStyle w:val="BlockText-Plain"/>
              <w:jc w:val="center"/>
            </w:pPr>
          </w:p>
        </w:tc>
        <w:tc>
          <w:tcPr>
            <w:tcW w:w="8367" w:type="dxa"/>
          </w:tcPr>
          <w:p w14:paraId="2386B334" w14:textId="77777777" w:rsidR="00CD226D" w:rsidRPr="00C9343F" w:rsidRDefault="00CD226D" w:rsidP="00F66D98">
            <w:pPr>
              <w:pStyle w:val="BlockText-Plain"/>
              <w:rPr>
                <w:iCs/>
              </w:rPr>
            </w:pPr>
            <w:r w:rsidRPr="00C9343F">
              <w:rPr>
                <w:iCs/>
              </w:rPr>
              <w:t>A member ceases to be eligible for food allowance under Chapter 7 Part 9 Division 2 during a period of imprisonment, detention or custody.</w:t>
            </w:r>
          </w:p>
        </w:tc>
      </w:tr>
    </w:tbl>
    <w:p w14:paraId="616F6C8C" w14:textId="77777777" w:rsidR="00CD226D" w:rsidRPr="00C9343F" w:rsidRDefault="00CD226D" w:rsidP="00F66D98">
      <w:pPr>
        <w:pStyle w:val="Heading4"/>
        <w:pageBreakBefore/>
      </w:pPr>
      <w:bookmarkStart w:id="301" w:name="_Toc105053625"/>
      <w:r w:rsidRPr="00C9343F">
        <w:lastRenderedPageBreak/>
        <w:t>Division 3: Other benefits</w:t>
      </w:r>
      <w:bookmarkEnd w:id="301"/>
    </w:p>
    <w:p w14:paraId="0AA41DE4" w14:textId="54888D08" w:rsidR="00CD226D" w:rsidRPr="00C9343F" w:rsidRDefault="00CD226D" w:rsidP="00F66D98">
      <w:pPr>
        <w:pStyle w:val="Heading5"/>
      </w:pPr>
      <w:bookmarkStart w:id="302" w:name="_Toc32570657"/>
      <w:bookmarkStart w:id="303" w:name="_Toc105053626"/>
      <w:r w:rsidRPr="00C9343F">
        <w:t>1.7.22</w:t>
      </w:r>
      <w:r w:rsidR="00D94006" w:rsidRPr="00C9343F">
        <w:t>    </w:t>
      </w:r>
      <w:r w:rsidRPr="00C9343F">
        <w:t>Purpose</w:t>
      </w:r>
      <w:bookmarkEnd w:id="302"/>
      <w:bookmarkEnd w:id="303"/>
    </w:p>
    <w:tbl>
      <w:tblPr>
        <w:tblW w:w="0" w:type="auto"/>
        <w:tblInd w:w="113" w:type="dxa"/>
        <w:tblLayout w:type="fixed"/>
        <w:tblLook w:val="0000" w:firstRow="0" w:lastRow="0" w:firstColumn="0" w:lastColumn="0" w:noHBand="0" w:noVBand="0"/>
      </w:tblPr>
      <w:tblGrid>
        <w:gridCol w:w="992"/>
        <w:gridCol w:w="8367"/>
      </w:tblGrid>
      <w:tr w:rsidR="00CD226D" w:rsidRPr="00C9343F" w14:paraId="246D8AC9" w14:textId="77777777" w:rsidTr="00B02E82">
        <w:tc>
          <w:tcPr>
            <w:tcW w:w="992" w:type="dxa"/>
          </w:tcPr>
          <w:p w14:paraId="551B5DF0" w14:textId="77777777" w:rsidR="00CD226D" w:rsidRPr="00C9343F" w:rsidRDefault="00CD226D" w:rsidP="00F66D98">
            <w:pPr>
              <w:pStyle w:val="BlockText-Plain"/>
              <w:jc w:val="center"/>
            </w:pPr>
          </w:p>
        </w:tc>
        <w:tc>
          <w:tcPr>
            <w:tcW w:w="8367" w:type="dxa"/>
          </w:tcPr>
          <w:p w14:paraId="15EF9D2D" w14:textId="77777777" w:rsidR="00CD226D" w:rsidRPr="00C9343F" w:rsidRDefault="00CD226D" w:rsidP="00F66D98">
            <w:pPr>
              <w:pStyle w:val="BlockText-Plain"/>
              <w:rPr>
                <w:iCs/>
              </w:rPr>
            </w:pPr>
            <w:r w:rsidRPr="00C9343F">
              <w:rPr>
                <w:iCs/>
              </w:rPr>
              <w:t>This Division sets out the effect on other benefits that a member may or may not be eligible for during a period of imprisonment, detention or custody.</w:t>
            </w:r>
          </w:p>
        </w:tc>
      </w:tr>
    </w:tbl>
    <w:p w14:paraId="4869496B" w14:textId="5118986C" w:rsidR="00CD226D" w:rsidRPr="00C9343F" w:rsidRDefault="00CD226D" w:rsidP="00F66D98">
      <w:pPr>
        <w:pStyle w:val="Heading5"/>
      </w:pPr>
      <w:bookmarkStart w:id="304" w:name="_Toc32570659"/>
      <w:bookmarkStart w:id="305" w:name="_Toc105053627"/>
      <w:r w:rsidRPr="00C9343F">
        <w:t>1.7.24</w:t>
      </w:r>
      <w:r w:rsidR="00D94006" w:rsidRPr="00C9343F">
        <w:t>    </w:t>
      </w:r>
      <w:r w:rsidRPr="00C9343F">
        <w:t>Travel in Australia</w:t>
      </w:r>
      <w:bookmarkEnd w:id="304"/>
      <w:bookmarkEnd w:id="305"/>
    </w:p>
    <w:tbl>
      <w:tblPr>
        <w:tblW w:w="9359" w:type="dxa"/>
        <w:tblInd w:w="113" w:type="dxa"/>
        <w:tblLayout w:type="fixed"/>
        <w:tblLook w:val="0000" w:firstRow="0" w:lastRow="0" w:firstColumn="0" w:lastColumn="0" w:noHBand="0" w:noVBand="0"/>
      </w:tblPr>
      <w:tblGrid>
        <w:gridCol w:w="992"/>
        <w:gridCol w:w="567"/>
        <w:gridCol w:w="7800"/>
      </w:tblGrid>
      <w:tr w:rsidR="00CD226D" w:rsidRPr="00C9343F" w14:paraId="2A73A7F4" w14:textId="77777777" w:rsidTr="00B02E82">
        <w:tc>
          <w:tcPr>
            <w:tcW w:w="992" w:type="dxa"/>
          </w:tcPr>
          <w:p w14:paraId="0A3257D4" w14:textId="77777777" w:rsidR="00CD226D" w:rsidRPr="00C9343F" w:rsidRDefault="00CD226D" w:rsidP="00F66D98">
            <w:pPr>
              <w:pStyle w:val="BlockText-Plain"/>
              <w:jc w:val="center"/>
            </w:pPr>
            <w:r w:rsidRPr="00C9343F">
              <w:t>1.</w:t>
            </w:r>
          </w:p>
        </w:tc>
        <w:tc>
          <w:tcPr>
            <w:tcW w:w="8367" w:type="dxa"/>
            <w:gridSpan w:val="2"/>
          </w:tcPr>
          <w:p w14:paraId="48601E35" w14:textId="77777777" w:rsidR="00CD226D" w:rsidRPr="00C9343F" w:rsidRDefault="00CD226D" w:rsidP="00F66D98">
            <w:pPr>
              <w:pStyle w:val="BlockText-Plain"/>
              <w:rPr>
                <w:iCs/>
              </w:rPr>
            </w:pPr>
            <w:r w:rsidRPr="00C9343F">
              <w:rPr>
                <w:iCs/>
              </w:rPr>
              <w:t>If a member is required to travel to or from the place of detention, the following apply.</w:t>
            </w:r>
          </w:p>
        </w:tc>
      </w:tr>
      <w:tr w:rsidR="00CD226D" w:rsidRPr="00C9343F" w14:paraId="1B61E847" w14:textId="77777777" w:rsidTr="00B02E82">
        <w:trPr>
          <w:cantSplit/>
        </w:trPr>
        <w:tc>
          <w:tcPr>
            <w:tcW w:w="992" w:type="dxa"/>
          </w:tcPr>
          <w:p w14:paraId="31FF072B" w14:textId="77777777" w:rsidR="00CD226D" w:rsidRPr="00C9343F" w:rsidRDefault="00CD226D" w:rsidP="00F66D98">
            <w:pPr>
              <w:pStyle w:val="BlockText-Plain"/>
            </w:pPr>
          </w:p>
        </w:tc>
        <w:tc>
          <w:tcPr>
            <w:tcW w:w="567" w:type="dxa"/>
          </w:tcPr>
          <w:p w14:paraId="1FC2DA0F" w14:textId="77777777" w:rsidR="00CD226D" w:rsidRPr="00C9343F" w:rsidRDefault="00CD226D" w:rsidP="007114B1">
            <w:pPr>
              <w:pStyle w:val="BlockText-Plain"/>
              <w:jc w:val="center"/>
            </w:pPr>
            <w:r w:rsidRPr="00C9343F">
              <w:t>a.</w:t>
            </w:r>
          </w:p>
        </w:tc>
        <w:tc>
          <w:tcPr>
            <w:tcW w:w="7800" w:type="dxa"/>
          </w:tcPr>
          <w:p w14:paraId="11343856" w14:textId="77777777" w:rsidR="00CD226D" w:rsidRPr="00C9343F" w:rsidRDefault="00CD226D" w:rsidP="00F66D98">
            <w:pPr>
              <w:pStyle w:val="BlockText-Plain"/>
              <w:rPr>
                <w:iCs/>
              </w:rPr>
            </w:pPr>
            <w:r w:rsidRPr="00C9343F">
              <w:rPr>
                <w:iCs/>
              </w:rPr>
              <w:t>The member is not eligible for meal allowance or incidentals for the journey to the place of detention but the member will be provided a reasonable meal having regard to the length and time of the journey.</w:t>
            </w:r>
          </w:p>
        </w:tc>
      </w:tr>
      <w:tr w:rsidR="00CD226D" w:rsidRPr="00C9343F" w14:paraId="1B4BE12F" w14:textId="77777777" w:rsidTr="00B02E82">
        <w:trPr>
          <w:cantSplit/>
        </w:trPr>
        <w:tc>
          <w:tcPr>
            <w:tcW w:w="992" w:type="dxa"/>
          </w:tcPr>
          <w:p w14:paraId="1618A5A4" w14:textId="77777777" w:rsidR="00CD226D" w:rsidRPr="00C9343F" w:rsidRDefault="00CD226D" w:rsidP="00F66D98">
            <w:pPr>
              <w:pStyle w:val="BlockText-Plain"/>
            </w:pPr>
          </w:p>
        </w:tc>
        <w:tc>
          <w:tcPr>
            <w:tcW w:w="567" w:type="dxa"/>
          </w:tcPr>
          <w:p w14:paraId="4A9740BF" w14:textId="77777777" w:rsidR="00CD226D" w:rsidRPr="00C9343F" w:rsidRDefault="00CD226D" w:rsidP="007114B1">
            <w:pPr>
              <w:pStyle w:val="BlockText-Plain"/>
              <w:jc w:val="center"/>
            </w:pPr>
            <w:r w:rsidRPr="00C9343F">
              <w:t>b.</w:t>
            </w:r>
          </w:p>
        </w:tc>
        <w:tc>
          <w:tcPr>
            <w:tcW w:w="7800" w:type="dxa"/>
          </w:tcPr>
          <w:p w14:paraId="279BB3C2" w14:textId="77777777" w:rsidR="00CD226D" w:rsidRPr="00C9343F" w:rsidRDefault="00CD226D" w:rsidP="00F66D98">
            <w:pPr>
              <w:pStyle w:val="BlockText-Plain"/>
              <w:rPr>
                <w:iCs/>
              </w:rPr>
            </w:pPr>
            <w:r w:rsidRPr="00C9343F">
              <w:rPr>
                <w:iCs/>
              </w:rPr>
              <w:t>The member is eligible for meal allowance and incidentals payable under Chapter 9 Part 5 for the return journey to the member's posting location.</w:t>
            </w:r>
          </w:p>
        </w:tc>
      </w:tr>
      <w:tr w:rsidR="00CD226D" w:rsidRPr="00C9343F" w14:paraId="6E5F731C" w14:textId="77777777" w:rsidTr="00B02E82">
        <w:trPr>
          <w:cantSplit/>
        </w:trPr>
        <w:tc>
          <w:tcPr>
            <w:tcW w:w="992" w:type="dxa"/>
          </w:tcPr>
          <w:p w14:paraId="490A9B65" w14:textId="77777777" w:rsidR="00CD226D" w:rsidRPr="00C9343F" w:rsidRDefault="00CD226D" w:rsidP="00F66D98">
            <w:pPr>
              <w:pStyle w:val="BlockText-Plain"/>
            </w:pPr>
          </w:p>
        </w:tc>
        <w:tc>
          <w:tcPr>
            <w:tcW w:w="8367" w:type="dxa"/>
            <w:gridSpan w:val="2"/>
          </w:tcPr>
          <w:p w14:paraId="36F84AEF" w14:textId="77777777" w:rsidR="00CD226D" w:rsidRPr="00C9343F" w:rsidRDefault="00CD226D" w:rsidP="00F66D98">
            <w:pPr>
              <w:pStyle w:val="BlockText-Plain"/>
              <w:rPr>
                <w:iCs/>
              </w:rPr>
            </w:pPr>
            <w:r w:rsidRPr="00C9343F">
              <w:rPr>
                <w:b/>
                <w:iCs/>
              </w:rPr>
              <w:t>Note:</w:t>
            </w:r>
            <w:r w:rsidRPr="00C9343F">
              <w:rPr>
                <w:iCs/>
              </w:rPr>
              <w:t xml:space="preserve"> Travel relating to the start and end of a period of detention is duty travel.</w:t>
            </w:r>
          </w:p>
        </w:tc>
      </w:tr>
      <w:tr w:rsidR="00CD226D" w:rsidRPr="00C9343F" w14:paraId="2769D5A6" w14:textId="77777777" w:rsidTr="00B02E82">
        <w:tc>
          <w:tcPr>
            <w:tcW w:w="992" w:type="dxa"/>
          </w:tcPr>
          <w:p w14:paraId="5ECFF387" w14:textId="77777777" w:rsidR="00CD226D" w:rsidRPr="00C9343F" w:rsidRDefault="00CD226D" w:rsidP="00F66D98">
            <w:pPr>
              <w:pStyle w:val="BlockText-Plain"/>
              <w:jc w:val="center"/>
            </w:pPr>
            <w:r w:rsidRPr="00C9343F">
              <w:t>2.</w:t>
            </w:r>
          </w:p>
        </w:tc>
        <w:tc>
          <w:tcPr>
            <w:tcW w:w="8367" w:type="dxa"/>
            <w:gridSpan w:val="2"/>
          </w:tcPr>
          <w:p w14:paraId="6ABE73B5" w14:textId="77777777" w:rsidR="00CD226D" w:rsidRPr="00C9343F" w:rsidRDefault="00CD226D" w:rsidP="00F66D98">
            <w:pPr>
              <w:pStyle w:val="BlockText-Plain"/>
              <w:rPr>
                <w:iCs/>
              </w:rPr>
            </w:pPr>
            <w:r w:rsidRPr="00C9343F">
              <w:rPr>
                <w:iCs/>
              </w:rPr>
              <w:t>If a member is required to travel to or from the place of imprisonment or custody, the member is not eligible for travel benefits under Chapter 9 Part 5.</w:t>
            </w:r>
          </w:p>
        </w:tc>
      </w:tr>
    </w:tbl>
    <w:p w14:paraId="2236148D" w14:textId="1DE3557D" w:rsidR="00CD226D" w:rsidRPr="00C9343F" w:rsidRDefault="00CD226D" w:rsidP="00F66D98">
      <w:pPr>
        <w:pStyle w:val="Heading5"/>
      </w:pPr>
      <w:bookmarkStart w:id="306" w:name="_Toc32570660"/>
      <w:bookmarkStart w:id="307" w:name="_Toc105053628"/>
      <w:r w:rsidRPr="00C9343F">
        <w:t>1.7.25</w:t>
      </w:r>
      <w:r w:rsidR="00D94006" w:rsidRPr="00C9343F">
        <w:t>    </w:t>
      </w:r>
      <w:r w:rsidRPr="00C9343F">
        <w:t>Funeral costs</w:t>
      </w:r>
      <w:bookmarkEnd w:id="306"/>
      <w:bookmarkEnd w:id="307"/>
    </w:p>
    <w:tbl>
      <w:tblPr>
        <w:tblW w:w="0" w:type="auto"/>
        <w:tblInd w:w="113" w:type="dxa"/>
        <w:tblLayout w:type="fixed"/>
        <w:tblLook w:val="0000" w:firstRow="0" w:lastRow="0" w:firstColumn="0" w:lastColumn="0" w:noHBand="0" w:noVBand="0"/>
      </w:tblPr>
      <w:tblGrid>
        <w:gridCol w:w="992"/>
        <w:gridCol w:w="8367"/>
      </w:tblGrid>
      <w:tr w:rsidR="00CD226D" w:rsidRPr="00C9343F" w14:paraId="3FB4197B" w14:textId="77777777" w:rsidTr="00B02E82">
        <w:tc>
          <w:tcPr>
            <w:tcW w:w="992" w:type="dxa"/>
          </w:tcPr>
          <w:p w14:paraId="0FBF377F" w14:textId="77777777" w:rsidR="00CD226D" w:rsidRPr="00C9343F" w:rsidRDefault="00CD226D" w:rsidP="00F66D98">
            <w:pPr>
              <w:pStyle w:val="BlockText-Plain"/>
              <w:jc w:val="center"/>
            </w:pPr>
          </w:p>
        </w:tc>
        <w:tc>
          <w:tcPr>
            <w:tcW w:w="8367" w:type="dxa"/>
          </w:tcPr>
          <w:p w14:paraId="35C0C78C" w14:textId="472B154E" w:rsidR="00CD226D" w:rsidRPr="00C9343F" w:rsidRDefault="00CD226D" w:rsidP="00F66D98">
            <w:pPr>
              <w:pStyle w:val="BlockText-Plain"/>
              <w:rPr>
                <w:iCs/>
              </w:rPr>
            </w:pPr>
            <w:r w:rsidRPr="00C9343F">
              <w:rPr>
                <w:iCs/>
              </w:rPr>
              <w:t xml:space="preserve">The Director General </w:t>
            </w:r>
            <w:r w:rsidR="00F26D1E" w:rsidRPr="00C9343F">
              <w:t>Defence Member and Family Support</w:t>
            </w:r>
            <w:r w:rsidRPr="00C9343F">
              <w:rPr>
                <w:iCs/>
              </w:rPr>
              <w:t xml:space="preserve"> may approve funeral benefits in exceptional circumstances under subsection 11.4.6.2.</w:t>
            </w:r>
          </w:p>
        </w:tc>
      </w:tr>
    </w:tbl>
    <w:p w14:paraId="60760025" w14:textId="09504420" w:rsidR="005C1173" w:rsidRPr="00C9343F" w:rsidRDefault="005C1173" w:rsidP="00F66D98">
      <w:pPr>
        <w:pStyle w:val="BlockTextArial"/>
      </w:pPr>
    </w:p>
    <w:p w14:paraId="675241A2" w14:textId="77777777" w:rsidR="005C1173" w:rsidRPr="00C9343F" w:rsidRDefault="005C1173" w:rsidP="00F66D98">
      <w:pPr>
        <w:pStyle w:val="BlockTextArial"/>
        <w:sectPr w:rsidR="005C1173" w:rsidRPr="00C9343F" w:rsidSect="00A21FB6">
          <w:headerReference w:type="even" r:id="rId18"/>
          <w:headerReference w:type="default" r:id="rId19"/>
          <w:headerReference w:type="first" r:id="rId20"/>
          <w:pgSz w:w="11907" w:h="16840" w:code="9"/>
          <w:pgMar w:top="1134" w:right="1134" w:bottom="992" w:left="1418" w:header="720" w:footer="720" w:gutter="0"/>
          <w:pgNumType w:start="1"/>
          <w:cols w:space="720"/>
        </w:sectPr>
      </w:pPr>
    </w:p>
    <w:p w14:paraId="08C8F380" w14:textId="77777777" w:rsidR="005F44BC" w:rsidRPr="00C9343F" w:rsidRDefault="005F44BC" w:rsidP="00F66D98">
      <w:pPr>
        <w:pStyle w:val="Heading2"/>
        <w:shd w:val="clear" w:color="auto" w:fill="auto"/>
      </w:pPr>
      <w:bookmarkStart w:id="308" w:name="_Toc105053629"/>
      <w:r w:rsidRPr="00C9343F">
        <w:lastRenderedPageBreak/>
        <w:t>Chapter 2: ADF</w:t>
      </w:r>
      <w:r w:rsidR="00BE6383" w:rsidRPr="00C9343F">
        <w:t xml:space="preserve"> career</w:t>
      </w:r>
      <w:bookmarkEnd w:id="308"/>
    </w:p>
    <w:p w14:paraId="28952C2E" w14:textId="06109C5E" w:rsidR="005F44BC" w:rsidRPr="00C9343F" w:rsidRDefault="005F44BC" w:rsidP="00F66D98">
      <w:pPr>
        <w:pStyle w:val="Heading3"/>
      </w:pPr>
      <w:bookmarkStart w:id="309" w:name="_Toc105053630"/>
      <w:r w:rsidRPr="00C9343F">
        <w:t>Part 1: Joining the ADF</w:t>
      </w:r>
      <w:bookmarkEnd w:id="309"/>
    </w:p>
    <w:p w14:paraId="4BDAABC7" w14:textId="07C0F59A" w:rsidR="005F44BC" w:rsidRPr="00C9343F" w:rsidRDefault="005F44BC" w:rsidP="00F66D98">
      <w:pPr>
        <w:pStyle w:val="Heading5"/>
      </w:pPr>
      <w:bookmarkStart w:id="310" w:name="_Toc105053631"/>
      <w:r w:rsidRPr="00C9343F">
        <w:t>2.1.3</w:t>
      </w:r>
      <w:r w:rsidR="00D94006" w:rsidRPr="00C9343F">
        <w:t>    </w:t>
      </w:r>
      <w:r w:rsidRPr="00C9343F">
        <w:t>Purpose</w:t>
      </w:r>
      <w:bookmarkEnd w:id="310"/>
    </w:p>
    <w:tbl>
      <w:tblPr>
        <w:tblW w:w="0" w:type="auto"/>
        <w:tblInd w:w="113" w:type="dxa"/>
        <w:tblLayout w:type="fixed"/>
        <w:tblLook w:val="0000" w:firstRow="0" w:lastRow="0" w:firstColumn="0" w:lastColumn="0" w:noHBand="0" w:noVBand="0"/>
      </w:tblPr>
      <w:tblGrid>
        <w:gridCol w:w="992"/>
        <w:gridCol w:w="8363"/>
      </w:tblGrid>
      <w:tr w:rsidR="005F44BC" w:rsidRPr="00C9343F" w14:paraId="2A5D8C2D" w14:textId="77777777" w:rsidTr="005F44BC">
        <w:tc>
          <w:tcPr>
            <w:tcW w:w="992" w:type="dxa"/>
          </w:tcPr>
          <w:p w14:paraId="1EFCBF12" w14:textId="77777777" w:rsidR="005F44BC" w:rsidRPr="00C9343F" w:rsidRDefault="005F44BC" w:rsidP="00F66D98">
            <w:pPr>
              <w:pStyle w:val="BlockText-Plain"/>
              <w:jc w:val="center"/>
            </w:pPr>
          </w:p>
        </w:tc>
        <w:tc>
          <w:tcPr>
            <w:tcW w:w="8363" w:type="dxa"/>
          </w:tcPr>
          <w:p w14:paraId="613ADDD8" w14:textId="71D25E1A" w:rsidR="005F44BC" w:rsidRPr="00C9343F" w:rsidRDefault="008530F6" w:rsidP="00F66D98">
            <w:pPr>
              <w:pStyle w:val="BlockText-Plain"/>
            </w:pPr>
            <w:r w:rsidRPr="00C9343F">
              <w:rPr>
                <w:rFonts w:cs="Arial"/>
                <w:color w:val="000000"/>
                <w:shd w:val="clear" w:color="auto" w:fill="FFFFFF"/>
              </w:rPr>
              <w:t>This Part provides</w:t>
            </w:r>
            <w:r w:rsidR="00C43B99" w:rsidRPr="00C9343F">
              <w:rPr>
                <w:rFonts w:cs="Arial"/>
                <w:color w:val="000000"/>
                <w:shd w:val="clear" w:color="auto" w:fill="FFFFFF"/>
              </w:rPr>
              <w:t xml:space="preserve"> assistance to a person who has applied to join the ADF. This includes travel costs, allowances and accommodation costs.</w:t>
            </w:r>
          </w:p>
        </w:tc>
      </w:tr>
    </w:tbl>
    <w:p w14:paraId="61D7529E" w14:textId="51CB4214" w:rsidR="00C43B99" w:rsidRPr="00C9343F" w:rsidRDefault="00C43B99" w:rsidP="00F66D98">
      <w:pPr>
        <w:pStyle w:val="Heading5"/>
        <w:rPr>
          <w:rFonts w:cs="Arial"/>
          <w:color w:val="000000"/>
          <w:szCs w:val="22"/>
        </w:rPr>
      </w:pPr>
      <w:bookmarkStart w:id="311" w:name="_Toc105053632"/>
      <w:r w:rsidRPr="00C9343F">
        <w:rPr>
          <w:rFonts w:cs="Arial"/>
          <w:color w:val="000000"/>
          <w:szCs w:val="22"/>
        </w:rPr>
        <w:t>2.1.4</w:t>
      </w:r>
      <w:r w:rsidR="00D94006" w:rsidRPr="00C9343F">
        <w:rPr>
          <w:rFonts w:cs="Arial"/>
          <w:color w:val="000000"/>
          <w:szCs w:val="22"/>
        </w:rPr>
        <w:t>    </w:t>
      </w:r>
      <w:r w:rsidRPr="00C9343F">
        <w:rPr>
          <w:rFonts w:cs="Arial"/>
          <w:color w:val="000000"/>
          <w:szCs w:val="22"/>
        </w:rPr>
        <w:t>Travel, accommodation and meals</w:t>
      </w:r>
      <w:bookmarkEnd w:id="311"/>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563"/>
        <w:gridCol w:w="7805"/>
      </w:tblGrid>
      <w:tr w:rsidR="00C43B99" w:rsidRPr="00C9343F" w14:paraId="502BA5B3" w14:textId="77777777" w:rsidTr="00C43B99">
        <w:tc>
          <w:tcPr>
            <w:tcW w:w="992" w:type="dxa"/>
            <w:shd w:val="clear" w:color="auto" w:fill="FFFFFF"/>
            <w:tcMar>
              <w:top w:w="0" w:type="dxa"/>
              <w:left w:w="108" w:type="dxa"/>
              <w:bottom w:w="0" w:type="dxa"/>
              <w:right w:w="108" w:type="dxa"/>
            </w:tcMar>
            <w:hideMark/>
          </w:tcPr>
          <w:p w14:paraId="1C89610D"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1.</w:t>
            </w:r>
          </w:p>
        </w:tc>
        <w:tc>
          <w:tcPr>
            <w:tcW w:w="8367" w:type="dxa"/>
            <w:gridSpan w:val="2"/>
            <w:shd w:val="clear" w:color="auto" w:fill="FFFFFF"/>
            <w:tcMar>
              <w:top w:w="0" w:type="dxa"/>
              <w:left w:w="108" w:type="dxa"/>
              <w:bottom w:w="0" w:type="dxa"/>
              <w:right w:w="108" w:type="dxa"/>
            </w:tcMar>
            <w:hideMark/>
          </w:tcPr>
          <w:p w14:paraId="5D5CE78B"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This section applies to a person who has applied to be appointed to, or enlisted in, the ADF and all the following apply.</w:t>
            </w:r>
          </w:p>
        </w:tc>
      </w:tr>
      <w:tr w:rsidR="00C43B99" w:rsidRPr="00C9343F" w14:paraId="4A08E7CB" w14:textId="77777777" w:rsidTr="00C43B99">
        <w:tc>
          <w:tcPr>
            <w:tcW w:w="992" w:type="dxa"/>
            <w:shd w:val="clear" w:color="auto" w:fill="FFFFFF"/>
            <w:tcMar>
              <w:top w:w="0" w:type="dxa"/>
              <w:left w:w="108" w:type="dxa"/>
              <w:bottom w:w="0" w:type="dxa"/>
              <w:right w:w="108" w:type="dxa"/>
            </w:tcMar>
            <w:hideMark/>
          </w:tcPr>
          <w:p w14:paraId="35809494"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20D0AF5C"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a.</w:t>
            </w:r>
          </w:p>
        </w:tc>
        <w:tc>
          <w:tcPr>
            <w:tcW w:w="7804" w:type="dxa"/>
            <w:shd w:val="clear" w:color="auto" w:fill="FFFFFF"/>
            <w:tcMar>
              <w:top w:w="0" w:type="dxa"/>
              <w:left w:w="108" w:type="dxa"/>
              <w:bottom w:w="0" w:type="dxa"/>
              <w:right w:w="108" w:type="dxa"/>
            </w:tcMar>
            <w:hideMark/>
          </w:tcPr>
          <w:p w14:paraId="00E41BBE"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They are requested to attend a Defence Force Recruiting Centre for an interview or examination.</w:t>
            </w:r>
          </w:p>
        </w:tc>
      </w:tr>
      <w:tr w:rsidR="00C43B99" w:rsidRPr="00C9343F" w14:paraId="77B22992" w14:textId="77777777" w:rsidTr="00C43B99">
        <w:tc>
          <w:tcPr>
            <w:tcW w:w="992" w:type="dxa"/>
            <w:shd w:val="clear" w:color="auto" w:fill="FFFFFF"/>
            <w:tcMar>
              <w:top w:w="0" w:type="dxa"/>
              <w:left w:w="108" w:type="dxa"/>
              <w:bottom w:w="0" w:type="dxa"/>
              <w:right w:w="108" w:type="dxa"/>
            </w:tcMar>
            <w:hideMark/>
          </w:tcPr>
          <w:p w14:paraId="52B1312F"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72B8C697"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b.</w:t>
            </w:r>
          </w:p>
        </w:tc>
        <w:tc>
          <w:tcPr>
            <w:tcW w:w="7804" w:type="dxa"/>
            <w:shd w:val="clear" w:color="auto" w:fill="FFFFFF"/>
            <w:tcMar>
              <w:top w:w="0" w:type="dxa"/>
              <w:left w:w="108" w:type="dxa"/>
              <w:bottom w:w="0" w:type="dxa"/>
              <w:right w:w="108" w:type="dxa"/>
            </w:tcMar>
            <w:hideMark/>
          </w:tcPr>
          <w:p w14:paraId="35A78BFD"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They attend a Defence Force Recruiting Centre for the interview or examination requested.</w:t>
            </w:r>
          </w:p>
        </w:tc>
      </w:tr>
      <w:tr w:rsidR="00C43B99" w:rsidRPr="00C9343F" w14:paraId="732A353E" w14:textId="77777777" w:rsidTr="00C43B99">
        <w:tc>
          <w:tcPr>
            <w:tcW w:w="992" w:type="dxa"/>
            <w:shd w:val="clear" w:color="auto" w:fill="FFFFFF"/>
            <w:tcMar>
              <w:top w:w="0" w:type="dxa"/>
              <w:left w:w="108" w:type="dxa"/>
              <w:bottom w:w="0" w:type="dxa"/>
              <w:right w:w="108" w:type="dxa"/>
            </w:tcMar>
            <w:hideMark/>
          </w:tcPr>
          <w:p w14:paraId="08F1BCE1"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3CE7BA83"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c.</w:t>
            </w:r>
          </w:p>
        </w:tc>
        <w:tc>
          <w:tcPr>
            <w:tcW w:w="7804" w:type="dxa"/>
            <w:shd w:val="clear" w:color="auto" w:fill="FFFFFF"/>
            <w:tcMar>
              <w:top w:w="0" w:type="dxa"/>
              <w:left w:w="108" w:type="dxa"/>
              <w:bottom w:w="0" w:type="dxa"/>
              <w:right w:w="108" w:type="dxa"/>
            </w:tcMar>
            <w:hideMark/>
          </w:tcPr>
          <w:p w14:paraId="20EB04F7" w14:textId="77777777" w:rsidR="00C43B99" w:rsidRPr="00C9343F" w:rsidRDefault="00C43B99" w:rsidP="00F66D98">
            <w:pPr>
              <w:pStyle w:val="sectiontext"/>
              <w:spacing w:before="0" w:beforeAutospacing="0" w:after="200" w:afterAutospacing="0"/>
              <w:jc w:val="both"/>
              <w:rPr>
                <w:rFonts w:ascii="Arial" w:hAnsi="Arial" w:cs="Arial"/>
                <w:color w:val="000000"/>
                <w:sz w:val="20"/>
                <w:szCs w:val="20"/>
              </w:rPr>
            </w:pPr>
            <w:r w:rsidRPr="00C9343F">
              <w:rPr>
                <w:rFonts w:ascii="Arial" w:hAnsi="Arial" w:cs="Arial"/>
                <w:color w:val="000000"/>
                <w:sz w:val="20"/>
                <w:szCs w:val="20"/>
              </w:rPr>
              <w:t>They are required to travel from their normal place of residence to the Defence Force Recruiting Centre and back to their normal place of residence.</w:t>
            </w:r>
          </w:p>
        </w:tc>
      </w:tr>
      <w:tr w:rsidR="00C43B99" w:rsidRPr="00C9343F" w14:paraId="0E74A36B" w14:textId="77777777" w:rsidTr="00C43B99">
        <w:tc>
          <w:tcPr>
            <w:tcW w:w="992" w:type="dxa"/>
            <w:shd w:val="clear" w:color="auto" w:fill="FFFFFF"/>
            <w:tcMar>
              <w:top w:w="0" w:type="dxa"/>
              <w:left w:w="108" w:type="dxa"/>
              <w:bottom w:w="0" w:type="dxa"/>
              <w:right w:w="108" w:type="dxa"/>
            </w:tcMar>
            <w:hideMark/>
          </w:tcPr>
          <w:p w14:paraId="35499099"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FF0000"/>
                <w:sz w:val="20"/>
                <w:szCs w:val="20"/>
              </w:rPr>
              <w:t> </w:t>
            </w:r>
          </w:p>
        </w:tc>
        <w:tc>
          <w:tcPr>
            <w:tcW w:w="563" w:type="dxa"/>
            <w:shd w:val="clear" w:color="auto" w:fill="FFFFFF"/>
            <w:tcMar>
              <w:top w:w="0" w:type="dxa"/>
              <w:left w:w="108" w:type="dxa"/>
              <w:bottom w:w="0" w:type="dxa"/>
              <w:right w:w="108" w:type="dxa"/>
            </w:tcMar>
            <w:hideMark/>
          </w:tcPr>
          <w:p w14:paraId="623D07D6"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d.</w:t>
            </w:r>
          </w:p>
        </w:tc>
        <w:tc>
          <w:tcPr>
            <w:tcW w:w="7804" w:type="dxa"/>
            <w:shd w:val="clear" w:color="auto" w:fill="FFFFFF"/>
            <w:tcMar>
              <w:top w:w="0" w:type="dxa"/>
              <w:left w:w="108" w:type="dxa"/>
              <w:bottom w:w="0" w:type="dxa"/>
              <w:right w:w="108" w:type="dxa"/>
            </w:tcMar>
            <w:hideMark/>
          </w:tcPr>
          <w:p w14:paraId="5A6276CE" w14:textId="77777777" w:rsidR="00C43B99" w:rsidRPr="00C9343F" w:rsidRDefault="00C43B99" w:rsidP="00F66D98">
            <w:pPr>
              <w:pStyle w:val="sectiontext"/>
              <w:spacing w:before="0" w:beforeAutospacing="0" w:after="200" w:afterAutospacing="0"/>
              <w:jc w:val="both"/>
              <w:rPr>
                <w:rFonts w:ascii="Arial" w:hAnsi="Arial" w:cs="Arial"/>
                <w:color w:val="000000"/>
                <w:sz w:val="20"/>
                <w:szCs w:val="20"/>
              </w:rPr>
            </w:pPr>
            <w:r w:rsidRPr="00C9343F">
              <w:rPr>
                <w:rFonts w:ascii="Arial" w:hAnsi="Arial" w:cs="Arial"/>
                <w:color w:val="000000"/>
                <w:sz w:val="20"/>
                <w:szCs w:val="20"/>
              </w:rPr>
              <w:t>They live outside of an area serviced by the metropolitan transport system of the city or town where the Defence Force Recruiting Centre is located.</w:t>
            </w:r>
          </w:p>
        </w:tc>
      </w:tr>
      <w:tr w:rsidR="00C43B99" w:rsidRPr="00C9343F" w14:paraId="316F9773" w14:textId="77777777" w:rsidTr="00C43B99">
        <w:tc>
          <w:tcPr>
            <w:tcW w:w="992" w:type="dxa"/>
            <w:shd w:val="clear" w:color="auto" w:fill="FFFFFF"/>
            <w:tcMar>
              <w:top w:w="0" w:type="dxa"/>
              <w:left w:w="108" w:type="dxa"/>
              <w:bottom w:w="0" w:type="dxa"/>
              <w:right w:w="108" w:type="dxa"/>
            </w:tcMar>
            <w:hideMark/>
          </w:tcPr>
          <w:p w14:paraId="2BADE689"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2.</w:t>
            </w:r>
          </w:p>
        </w:tc>
        <w:tc>
          <w:tcPr>
            <w:tcW w:w="8367" w:type="dxa"/>
            <w:gridSpan w:val="2"/>
            <w:shd w:val="clear" w:color="auto" w:fill="FFFFFF"/>
            <w:tcMar>
              <w:top w:w="0" w:type="dxa"/>
              <w:left w:w="108" w:type="dxa"/>
              <w:bottom w:w="0" w:type="dxa"/>
              <w:right w:w="108" w:type="dxa"/>
            </w:tcMar>
            <w:hideMark/>
          </w:tcPr>
          <w:p w14:paraId="4971E51E"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person who uses a means of travel in an item in column A of the following table is eligible for the amount in column B for the same item.</w:t>
            </w:r>
          </w:p>
        </w:tc>
      </w:tr>
    </w:tbl>
    <w:p w14:paraId="2111F1AB" w14:textId="77777777" w:rsidR="00C43B99" w:rsidRPr="00C9343F" w:rsidRDefault="00C43B99" w:rsidP="00F66D98">
      <w:pPr>
        <w:rPr>
          <w:rFonts w:ascii="Times New Roman" w:hAnsi="Times New Roman"/>
          <w:color w:val="000000"/>
          <w:szCs w:val="22"/>
        </w:rPr>
      </w:pPr>
      <w:r w:rsidRPr="00C9343F">
        <w:rPr>
          <w:color w:val="000000"/>
          <w:szCs w:val="22"/>
        </w:rPr>
        <w:t> </w:t>
      </w:r>
    </w:p>
    <w:tbl>
      <w:tblPr>
        <w:tblW w:w="8370" w:type="dxa"/>
        <w:tblInd w:w="1049" w:type="dxa"/>
        <w:shd w:val="clear" w:color="auto" w:fill="FFFFFF"/>
        <w:tblCellMar>
          <w:left w:w="0" w:type="dxa"/>
          <w:right w:w="0" w:type="dxa"/>
        </w:tblCellMar>
        <w:tblLook w:val="04A0" w:firstRow="1" w:lastRow="0" w:firstColumn="1" w:lastColumn="0" w:noHBand="0" w:noVBand="1"/>
      </w:tblPr>
      <w:tblGrid>
        <w:gridCol w:w="709"/>
        <w:gridCol w:w="3547"/>
        <w:gridCol w:w="4114"/>
      </w:tblGrid>
      <w:tr w:rsidR="00C43B99" w:rsidRPr="00C9343F" w14:paraId="1F4C69D7" w14:textId="77777777" w:rsidTr="00C43B99">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56" w:type="dxa"/>
              <w:bottom w:w="0" w:type="dxa"/>
              <w:right w:w="56" w:type="dxa"/>
            </w:tcMar>
            <w:hideMark/>
          </w:tcPr>
          <w:p w14:paraId="4870ED42" w14:textId="77777777" w:rsidR="00C43B99" w:rsidRPr="00C9343F" w:rsidRDefault="00C43B99" w:rsidP="00F66D98">
            <w:pPr>
              <w:pStyle w:val="tableheaderarial0"/>
              <w:rPr>
                <w:color w:val="000000"/>
              </w:rPr>
            </w:pPr>
            <w:r w:rsidRPr="00C9343F">
              <w:rPr>
                <w:bCs w:val="0"/>
                <w:color w:val="000000"/>
              </w:rPr>
              <w:t>Item</w:t>
            </w:r>
          </w:p>
        </w:tc>
        <w:tc>
          <w:tcPr>
            <w:tcW w:w="3544" w:type="dxa"/>
            <w:tcBorders>
              <w:top w:val="single" w:sz="8" w:space="0" w:color="auto"/>
              <w:left w:val="nil"/>
              <w:bottom w:val="single" w:sz="8" w:space="0" w:color="auto"/>
              <w:right w:val="single" w:sz="8" w:space="0" w:color="auto"/>
            </w:tcBorders>
            <w:shd w:val="clear" w:color="auto" w:fill="FFFFFF"/>
            <w:tcMar>
              <w:top w:w="0" w:type="dxa"/>
              <w:left w:w="56" w:type="dxa"/>
              <w:bottom w:w="0" w:type="dxa"/>
              <w:right w:w="56" w:type="dxa"/>
            </w:tcMar>
            <w:hideMark/>
          </w:tcPr>
          <w:p w14:paraId="2F4AE966" w14:textId="77777777" w:rsidR="00C43B99" w:rsidRPr="00C9343F" w:rsidRDefault="00C43B99" w:rsidP="00F66D98">
            <w:pPr>
              <w:pStyle w:val="tableheaderarial0"/>
              <w:rPr>
                <w:bCs w:val="0"/>
                <w:color w:val="000000"/>
              </w:rPr>
            </w:pPr>
            <w:r w:rsidRPr="00C9343F">
              <w:rPr>
                <w:bCs w:val="0"/>
                <w:color w:val="000000"/>
              </w:rPr>
              <w:t>Column A</w:t>
            </w:r>
          </w:p>
          <w:p w14:paraId="67E8C186" w14:textId="77777777" w:rsidR="00C43B99" w:rsidRPr="00C9343F" w:rsidRDefault="00C43B99" w:rsidP="00F66D98">
            <w:pPr>
              <w:pStyle w:val="tableheaderarial0"/>
              <w:rPr>
                <w:bCs w:val="0"/>
                <w:color w:val="000000"/>
              </w:rPr>
            </w:pPr>
            <w:r w:rsidRPr="00C9343F">
              <w:rPr>
                <w:bCs w:val="0"/>
                <w:color w:val="000000"/>
              </w:rPr>
              <w:t>Means of travel</w:t>
            </w:r>
          </w:p>
        </w:tc>
        <w:tc>
          <w:tcPr>
            <w:tcW w:w="4111" w:type="dxa"/>
            <w:tcBorders>
              <w:top w:val="single" w:sz="8" w:space="0" w:color="auto"/>
              <w:left w:val="nil"/>
              <w:bottom w:val="single" w:sz="8" w:space="0" w:color="auto"/>
              <w:right w:val="single" w:sz="8" w:space="0" w:color="auto"/>
            </w:tcBorders>
            <w:shd w:val="clear" w:color="auto" w:fill="FFFFFF"/>
            <w:tcMar>
              <w:top w:w="0" w:type="dxa"/>
              <w:left w:w="56" w:type="dxa"/>
              <w:bottom w:w="0" w:type="dxa"/>
              <w:right w:w="56" w:type="dxa"/>
            </w:tcMar>
            <w:hideMark/>
          </w:tcPr>
          <w:p w14:paraId="675518DB" w14:textId="77777777" w:rsidR="00C43B99" w:rsidRPr="00C9343F" w:rsidRDefault="00C43B99" w:rsidP="00F66D98">
            <w:pPr>
              <w:pStyle w:val="tableheaderarial0"/>
              <w:rPr>
                <w:bCs w:val="0"/>
                <w:color w:val="000000"/>
              </w:rPr>
            </w:pPr>
            <w:r w:rsidRPr="00C9343F">
              <w:rPr>
                <w:bCs w:val="0"/>
                <w:color w:val="000000"/>
              </w:rPr>
              <w:t>Column B</w:t>
            </w:r>
          </w:p>
          <w:p w14:paraId="46A767F8" w14:textId="77777777" w:rsidR="00C43B99" w:rsidRPr="00C9343F" w:rsidRDefault="00C43B99" w:rsidP="00F66D98">
            <w:pPr>
              <w:pStyle w:val="tableheaderarial0"/>
              <w:rPr>
                <w:bCs w:val="0"/>
                <w:color w:val="000000"/>
              </w:rPr>
            </w:pPr>
            <w:r w:rsidRPr="00C9343F">
              <w:rPr>
                <w:bCs w:val="0"/>
                <w:color w:val="000000"/>
              </w:rPr>
              <w:t>Assistance</w:t>
            </w:r>
          </w:p>
        </w:tc>
      </w:tr>
      <w:tr w:rsidR="00C43B99" w:rsidRPr="00C9343F" w14:paraId="6903D3BA" w14:textId="77777777" w:rsidTr="00C43B99">
        <w:tc>
          <w:tcPr>
            <w:tcW w:w="708" w:type="dxa"/>
            <w:tcBorders>
              <w:top w:val="nil"/>
              <w:left w:val="single" w:sz="8" w:space="0" w:color="auto"/>
              <w:bottom w:val="single" w:sz="8" w:space="0" w:color="auto"/>
              <w:right w:val="single" w:sz="8" w:space="0" w:color="auto"/>
            </w:tcBorders>
            <w:shd w:val="clear" w:color="auto" w:fill="FFFFFF"/>
            <w:tcMar>
              <w:top w:w="0" w:type="dxa"/>
              <w:left w:w="56" w:type="dxa"/>
              <w:bottom w:w="0" w:type="dxa"/>
              <w:right w:w="56" w:type="dxa"/>
            </w:tcMar>
            <w:hideMark/>
          </w:tcPr>
          <w:p w14:paraId="5185214A" w14:textId="77777777" w:rsidR="00C43B99" w:rsidRPr="00C9343F" w:rsidRDefault="00C43B99" w:rsidP="00F66D98">
            <w:pPr>
              <w:pStyle w:val="tabletextarial-left0"/>
              <w:jc w:val="center"/>
              <w:rPr>
                <w:color w:val="000000"/>
              </w:rPr>
            </w:pPr>
            <w:r w:rsidRPr="00C9343F">
              <w:rPr>
                <w:color w:val="000000"/>
              </w:rPr>
              <w:t>1.</w:t>
            </w:r>
          </w:p>
        </w:tc>
        <w:tc>
          <w:tcPr>
            <w:tcW w:w="3544" w:type="dxa"/>
            <w:tcBorders>
              <w:top w:val="nil"/>
              <w:left w:val="nil"/>
              <w:bottom w:val="single" w:sz="8" w:space="0" w:color="auto"/>
              <w:right w:val="single" w:sz="8" w:space="0" w:color="auto"/>
            </w:tcBorders>
            <w:shd w:val="clear" w:color="auto" w:fill="FFFFFF"/>
            <w:tcMar>
              <w:top w:w="0" w:type="dxa"/>
              <w:left w:w="56" w:type="dxa"/>
              <w:bottom w:w="0" w:type="dxa"/>
              <w:right w:w="56" w:type="dxa"/>
            </w:tcMar>
            <w:hideMark/>
          </w:tcPr>
          <w:p w14:paraId="7B5AF8F5" w14:textId="77777777" w:rsidR="00C43B99" w:rsidRPr="00C9343F" w:rsidRDefault="00C43B99" w:rsidP="00F66D98">
            <w:pPr>
              <w:pStyle w:val="tabletextarial-left0"/>
              <w:rPr>
                <w:color w:val="000000"/>
              </w:rPr>
            </w:pPr>
            <w:r w:rsidRPr="00C9343F">
              <w:rPr>
                <w:color w:val="000000"/>
              </w:rPr>
              <w:t>Private vehicle.</w:t>
            </w:r>
          </w:p>
        </w:tc>
        <w:tc>
          <w:tcPr>
            <w:tcW w:w="4111" w:type="dxa"/>
            <w:tcBorders>
              <w:top w:val="nil"/>
              <w:left w:val="nil"/>
              <w:bottom w:val="single" w:sz="8" w:space="0" w:color="auto"/>
              <w:right w:val="single" w:sz="8" w:space="0" w:color="auto"/>
            </w:tcBorders>
            <w:shd w:val="clear" w:color="auto" w:fill="FFFFFF"/>
            <w:tcMar>
              <w:top w:w="0" w:type="dxa"/>
              <w:left w:w="56" w:type="dxa"/>
              <w:bottom w:w="0" w:type="dxa"/>
              <w:right w:w="56" w:type="dxa"/>
            </w:tcMar>
            <w:hideMark/>
          </w:tcPr>
          <w:p w14:paraId="6C0DD07A" w14:textId="77777777" w:rsidR="00C43B99" w:rsidRPr="00C9343F" w:rsidRDefault="00C43B99" w:rsidP="00F66D98">
            <w:pPr>
              <w:pStyle w:val="tabletextarial-left0"/>
              <w:rPr>
                <w:color w:val="000000"/>
              </w:rPr>
            </w:pPr>
            <w:r w:rsidRPr="00C9343F">
              <w:rPr>
                <w:color w:val="000000"/>
              </w:rPr>
              <w:t>The amount they would be eligible for under section 9.6.25.</w:t>
            </w:r>
          </w:p>
        </w:tc>
      </w:tr>
      <w:tr w:rsidR="00C43B99" w:rsidRPr="00C9343F" w14:paraId="55F4465A" w14:textId="77777777" w:rsidTr="00C43B99">
        <w:tc>
          <w:tcPr>
            <w:tcW w:w="708" w:type="dxa"/>
            <w:tcBorders>
              <w:top w:val="nil"/>
              <w:left w:val="single" w:sz="8" w:space="0" w:color="auto"/>
              <w:bottom w:val="single" w:sz="8" w:space="0" w:color="auto"/>
              <w:right w:val="single" w:sz="8" w:space="0" w:color="auto"/>
            </w:tcBorders>
            <w:shd w:val="clear" w:color="auto" w:fill="FFFFFF"/>
            <w:tcMar>
              <w:top w:w="0" w:type="dxa"/>
              <w:left w:w="56" w:type="dxa"/>
              <w:bottom w:w="0" w:type="dxa"/>
              <w:right w:w="56" w:type="dxa"/>
            </w:tcMar>
            <w:hideMark/>
          </w:tcPr>
          <w:p w14:paraId="52DE66B4" w14:textId="77777777" w:rsidR="00C43B99" w:rsidRPr="00C9343F" w:rsidRDefault="00C43B99" w:rsidP="00F66D98">
            <w:pPr>
              <w:pStyle w:val="tabletextarial-left0"/>
              <w:jc w:val="center"/>
              <w:rPr>
                <w:color w:val="000000"/>
              </w:rPr>
            </w:pPr>
            <w:r w:rsidRPr="00C9343F">
              <w:rPr>
                <w:color w:val="000000"/>
              </w:rPr>
              <w:t>2.</w:t>
            </w:r>
          </w:p>
        </w:tc>
        <w:tc>
          <w:tcPr>
            <w:tcW w:w="3544" w:type="dxa"/>
            <w:tcBorders>
              <w:top w:val="nil"/>
              <w:left w:val="nil"/>
              <w:bottom w:val="single" w:sz="8" w:space="0" w:color="auto"/>
              <w:right w:val="single" w:sz="8" w:space="0" w:color="auto"/>
            </w:tcBorders>
            <w:shd w:val="clear" w:color="auto" w:fill="FFFFFF"/>
            <w:tcMar>
              <w:top w:w="0" w:type="dxa"/>
              <w:left w:w="56" w:type="dxa"/>
              <w:bottom w:w="0" w:type="dxa"/>
              <w:right w:w="56" w:type="dxa"/>
            </w:tcMar>
            <w:hideMark/>
          </w:tcPr>
          <w:p w14:paraId="3916E2F4" w14:textId="77777777" w:rsidR="00C43B99" w:rsidRPr="00C9343F" w:rsidRDefault="00C43B99" w:rsidP="00F66D98">
            <w:pPr>
              <w:pStyle w:val="tabletextarial-left0"/>
              <w:rPr>
                <w:color w:val="000000"/>
              </w:rPr>
            </w:pPr>
            <w:r w:rsidRPr="00C9343F">
              <w:rPr>
                <w:color w:val="000000"/>
              </w:rPr>
              <w:t>Public transport by a regional transport provider, including air travel.</w:t>
            </w:r>
          </w:p>
        </w:tc>
        <w:tc>
          <w:tcPr>
            <w:tcW w:w="4111" w:type="dxa"/>
            <w:tcBorders>
              <w:top w:val="nil"/>
              <w:left w:val="nil"/>
              <w:bottom w:val="single" w:sz="8" w:space="0" w:color="auto"/>
              <w:right w:val="single" w:sz="8" w:space="0" w:color="auto"/>
            </w:tcBorders>
            <w:shd w:val="clear" w:color="auto" w:fill="FFFFFF"/>
            <w:tcMar>
              <w:top w:w="0" w:type="dxa"/>
              <w:left w:w="56" w:type="dxa"/>
              <w:bottom w:w="0" w:type="dxa"/>
              <w:right w:w="56" w:type="dxa"/>
            </w:tcMar>
            <w:hideMark/>
          </w:tcPr>
          <w:p w14:paraId="3E0D8322" w14:textId="77777777" w:rsidR="00C43B99" w:rsidRPr="00C9343F" w:rsidRDefault="00C43B99" w:rsidP="00F66D98">
            <w:pPr>
              <w:pStyle w:val="tabletextarial-left0"/>
              <w:rPr>
                <w:color w:val="000000"/>
              </w:rPr>
            </w:pPr>
            <w:r w:rsidRPr="00C9343F">
              <w:rPr>
                <w:color w:val="000000"/>
              </w:rPr>
              <w:t>The lesser of these two amounts:</w:t>
            </w:r>
          </w:p>
          <w:p w14:paraId="276C76AF" w14:textId="39754C89" w:rsidR="00C43B99" w:rsidRPr="00C9343F" w:rsidRDefault="00C43B99" w:rsidP="00F66D98">
            <w:pPr>
              <w:pStyle w:val="tabletextarial-left0"/>
              <w:ind w:left="301" w:hanging="301"/>
              <w:rPr>
                <w:color w:val="000000"/>
              </w:rPr>
            </w:pPr>
            <w:r w:rsidRPr="00C9343F">
              <w:rPr>
                <w:color w:val="000000"/>
              </w:rPr>
              <w:t xml:space="preserve">a. The fares that the </w:t>
            </w:r>
            <w:r w:rsidR="003963B5" w:rsidRPr="00C9343F">
              <w:rPr>
                <w:color w:val="000000"/>
              </w:rPr>
              <w:t xml:space="preserve">member would be eligible for </w:t>
            </w:r>
            <w:r w:rsidRPr="00C9343F">
              <w:rPr>
                <w:color w:val="000000"/>
              </w:rPr>
              <w:t>if they held a rank of Colonel or lower.</w:t>
            </w:r>
          </w:p>
          <w:p w14:paraId="0711EE6B" w14:textId="77777777" w:rsidR="00C43B99" w:rsidRPr="00C9343F" w:rsidRDefault="00C43B99" w:rsidP="00F66D98">
            <w:pPr>
              <w:pStyle w:val="tabletextarial-left0"/>
              <w:ind w:left="301" w:hanging="301"/>
              <w:rPr>
                <w:color w:val="000000"/>
              </w:rPr>
            </w:pPr>
            <w:r w:rsidRPr="00C9343F">
              <w:rPr>
                <w:color w:val="000000"/>
              </w:rPr>
              <w:t>b. The fares that they paid.</w:t>
            </w:r>
          </w:p>
        </w:tc>
      </w:tr>
    </w:tbl>
    <w:p w14:paraId="173BCF7A" w14:textId="77777777" w:rsidR="00C43B99" w:rsidRPr="00C9343F" w:rsidRDefault="00C43B99" w:rsidP="00F66D98">
      <w:pPr>
        <w:spacing w:line="260" w:lineRule="atLeast"/>
        <w:rPr>
          <w:rFonts w:ascii="Times New Roman" w:hAnsi="Times New Roman"/>
          <w:color w:val="000000"/>
          <w:szCs w:val="22"/>
        </w:rPr>
      </w:pPr>
      <w:r w:rsidRPr="00C9343F">
        <w:rPr>
          <w:color w:val="000000"/>
          <w:szCs w:val="22"/>
        </w:rPr>
        <w:t> </w:t>
      </w:r>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563"/>
        <w:gridCol w:w="7805"/>
      </w:tblGrid>
      <w:tr w:rsidR="00C43B99" w:rsidRPr="00C9343F" w14:paraId="4653D7F4" w14:textId="77777777" w:rsidTr="00C43B99">
        <w:tc>
          <w:tcPr>
            <w:tcW w:w="992" w:type="dxa"/>
            <w:shd w:val="clear" w:color="auto" w:fill="FFFFFF"/>
            <w:tcMar>
              <w:top w:w="0" w:type="dxa"/>
              <w:left w:w="108" w:type="dxa"/>
              <w:bottom w:w="0" w:type="dxa"/>
              <w:right w:w="108" w:type="dxa"/>
            </w:tcMar>
            <w:hideMark/>
          </w:tcPr>
          <w:p w14:paraId="6C933A8F"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3.</w:t>
            </w:r>
          </w:p>
        </w:tc>
        <w:tc>
          <w:tcPr>
            <w:tcW w:w="8367" w:type="dxa"/>
            <w:gridSpan w:val="2"/>
            <w:shd w:val="clear" w:color="auto" w:fill="FFFFFF"/>
            <w:tcMar>
              <w:top w:w="0" w:type="dxa"/>
              <w:left w:w="108" w:type="dxa"/>
              <w:bottom w:w="0" w:type="dxa"/>
              <w:right w:w="108" w:type="dxa"/>
            </w:tcMar>
            <w:hideMark/>
          </w:tcPr>
          <w:p w14:paraId="673A657A"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person is eligible for the allowance under subsection 4 for accommodation and meals if they meet both the following.</w:t>
            </w:r>
          </w:p>
        </w:tc>
      </w:tr>
      <w:tr w:rsidR="00C43B99" w:rsidRPr="00C9343F" w14:paraId="3E8F09C9" w14:textId="77777777" w:rsidTr="00C43B99">
        <w:tc>
          <w:tcPr>
            <w:tcW w:w="992" w:type="dxa"/>
            <w:shd w:val="clear" w:color="auto" w:fill="FFFFFF"/>
            <w:tcMar>
              <w:top w:w="0" w:type="dxa"/>
              <w:left w:w="108" w:type="dxa"/>
              <w:bottom w:w="0" w:type="dxa"/>
              <w:right w:w="108" w:type="dxa"/>
            </w:tcMar>
            <w:hideMark/>
          </w:tcPr>
          <w:p w14:paraId="1990954B"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5ABC1611"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a.</w:t>
            </w:r>
          </w:p>
        </w:tc>
        <w:tc>
          <w:tcPr>
            <w:tcW w:w="7804" w:type="dxa"/>
            <w:shd w:val="clear" w:color="auto" w:fill="FFFFFF"/>
            <w:tcMar>
              <w:top w:w="0" w:type="dxa"/>
              <w:left w:w="108" w:type="dxa"/>
              <w:bottom w:w="0" w:type="dxa"/>
              <w:right w:w="108" w:type="dxa"/>
            </w:tcMar>
            <w:hideMark/>
          </w:tcPr>
          <w:p w14:paraId="7CA77060"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person has to be absent from their normal place of residence overnight to attend the Defence Force Recruiting Centre and return home.</w:t>
            </w:r>
          </w:p>
        </w:tc>
      </w:tr>
      <w:tr w:rsidR="00C43B99" w:rsidRPr="00C9343F" w14:paraId="5DB3EC79" w14:textId="77777777" w:rsidTr="00C43B99">
        <w:tc>
          <w:tcPr>
            <w:tcW w:w="992" w:type="dxa"/>
            <w:shd w:val="clear" w:color="auto" w:fill="FFFFFF"/>
            <w:tcMar>
              <w:top w:w="0" w:type="dxa"/>
              <w:left w:w="108" w:type="dxa"/>
              <w:bottom w:w="0" w:type="dxa"/>
              <w:right w:w="108" w:type="dxa"/>
            </w:tcMar>
            <w:hideMark/>
          </w:tcPr>
          <w:p w14:paraId="1077480D"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4B13E101" w14:textId="0005F4F0" w:rsidR="00C43B99" w:rsidRPr="00C9343F" w:rsidRDefault="00C43B99" w:rsidP="007114B1">
            <w:pPr>
              <w:pStyle w:val="sectiontext"/>
              <w:tabs>
                <w:tab w:val="center" w:pos="173"/>
              </w:tabs>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b.</w:t>
            </w:r>
          </w:p>
        </w:tc>
        <w:tc>
          <w:tcPr>
            <w:tcW w:w="7804" w:type="dxa"/>
            <w:shd w:val="clear" w:color="auto" w:fill="FFFFFF"/>
            <w:tcMar>
              <w:top w:w="0" w:type="dxa"/>
              <w:left w:w="108" w:type="dxa"/>
              <w:bottom w:w="0" w:type="dxa"/>
              <w:right w:w="108" w:type="dxa"/>
            </w:tcMar>
            <w:hideMark/>
          </w:tcPr>
          <w:p w14:paraId="54ABCBBD"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Their meals and accommodation are not provided by the Commonwealth.</w:t>
            </w:r>
          </w:p>
        </w:tc>
      </w:tr>
      <w:tr w:rsidR="00C43B99" w:rsidRPr="00C9343F" w14:paraId="000CE7BE" w14:textId="77777777" w:rsidTr="00C43B99">
        <w:tc>
          <w:tcPr>
            <w:tcW w:w="992" w:type="dxa"/>
            <w:shd w:val="clear" w:color="auto" w:fill="FFFFFF"/>
            <w:tcMar>
              <w:top w:w="0" w:type="dxa"/>
              <w:left w:w="108" w:type="dxa"/>
              <w:bottom w:w="0" w:type="dxa"/>
              <w:right w:w="108" w:type="dxa"/>
            </w:tcMar>
            <w:hideMark/>
          </w:tcPr>
          <w:p w14:paraId="5A83BD7D"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4.</w:t>
            </w:r>
          </w:p>
        </w:tc>
        <w:tc>
          <w:tcPr>
            <w:tcW w:w="8367" w:type="dxa"/>
            <w:gridSpan w:val="2"/>
            <w:shd w:val="clear" w:color="auto" w:fill="FFFFFF"/>
            <w:tcMar>
              <w:top w:w="0" w:type="dxa"/>
              <w:left w:w="108" w:type="dxa"/>
              <w:bottom w:w="0" w:type="dxa"/>
              <w:right w:w="108" w:type="dxa"/>
            </w:tcMar>
            <w:hideMark/>
          </w:tcPr>
          <w:p w14:paraId="0B0954F5"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allowance is the lowest of the following amounts.</w:t>
            </w:r>
          </w:p>
        </w:tc>
      </w:tr>
      <w:tr w:rsidR="00C43B99" w:rsidRPr="00C9343F" w14:paraId="2136A765" w14:textId="77777777" w:rsidTr="00C43B99">
        <w:tc>
          <w:tcPr>
            <w:tcW w:w="992" w:type="dxa"/>
            <w:shd w:val="clear" w:color="auto" w:fill="FFFFFF"/>
            <w:tcMar>
              <w:top w:w="0" w:type="dxa"/>
              <w:left w:w="108" w:type="dxa"/>
              <w:bottom w:w="0" w:type="dxa"/>
              <w:right w:w="108" w:type="dxa"/>
            </w:tcMar>
            <w:hideMark/>
          </w:tcPr>
          <w:p w14:paraId="0A230200"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7C106049"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a.</w:t>
            </w:r>
          </w:p>
        </w:tc>
        <w:tc>
          <w:tcPr>
            <w:tcW w:w="7804" w:type="dxa"/>
            <w:shd w:val="clear" w:color="auto" w:fill="FFFFFF"/>
            <w:tcMar>
              <w:top w:w="0" w:type="dxa"/>
              <w:left w:w="108" w:type="dxa"/>
              <w:bottom w:w="0" w:type="dxa"/>
              <w:right w:w="108" w:type="dxa"/>
            </w:tcMar>
            <w:hideMark/>
          </w:tcPr>
          <w:p w14:paraId="1B4AD769" w14:textId="3F4B5867" w:rsidR="00C43B99" w:rsidRPr="00C9343F" w:rsidRDefault="005A6F27"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amount the accommodation and meals would have cost if they had been provided under this Part.</w:t>
            </w:r>
          </w:p>
        </w:tc>
      </w:tr>
      <w:tr w:rsidR="00C43B99" w:rsidRPr="00C9343F" w14:paraId="2C448134" w14:textId="77777777" w:rsidTr="00C43B99">
        <w:tc>
          <w:tcPr>
            <w:tcW w:w="992" w:type="dxa"/>
            <w:shd w:val="clear" w:color="auto" w:fill="FFFFFF"/>
            <w:tcMar>
              <w:top w:w="0" w:type="dxa"/>
              <w:left w:w="108" w:type="dxa"/>
              <w:bottom w:w="0" w:type="dxa"/>
              <w:right w:w="108" w:type="dxa"/>
            </w:tcMar>
            <w:hideMark/>
          </w:tcPr>
          <w:p w14:paraId="48C095C6"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1F3E9CBB"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b.</w:t>
            </w:r>
          </w:p>
        </w:tc>
        <w:tc>
          <w:tcPr>
            <w:tcW w:w="7804" w:type="dxa"/>
            <w:shd w:val="clear" w:color="auto" w:fill="FFFFFF"/>
            <w:tcMar>
              <w:top w:w="0" w:type="dxa"/>
              <w:left w:w="108" w:type="dxa"/>
              <w:bottom w:w="0" w:type="dxa"/>
              <w:right w:w="108" w:type="dxa"/>
            </w:tcMar>
            <w:hideMark/>
          </w:tcPr>
          <w:p w14:paraId="400F7691"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amount the person paid for accommodation and meals.</w:t>
            </w:r>
          </w:p>
        </w:tc>
      </w:tr>
      <w:tr w:rsidR="00C43B99" w:rsidRPr="00C9343F" w14:paraId="53EDCCC9" w14:textId="77777777" w:rsidTr="00C43B99">
        <w:tc>
          <w:tcPr>
            <w:tcW w:w="992" w:type="dxa"/>
            <w:shd w:val="clear" w:color="auto" w:fill="FFFFFF"/>
            <w:tcMar>
              <w:top w:w="0" w:type="dxa"/>
              <w:left w:w="108" w:type="dxa"/>
              <w:bottom w:w="0" w:type="dxa"/>
              <w:right w:w="108" w:type="dxa"/>
            </w:tcMar>
            <w:hideMark/>
          </w:tcPr>
          <w:p w14:paraId="5B1D6A47"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1282FD16"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c.</w:t>
            </w:r>
          </w:p>
        </w:tc>
        <w:tc>
          <w:tcPr>
            <w:tcW w:w="7804" w:type="dxa"/>
            <w:shd w:val="clear" w:color="auto" w:fill="FFFFFF"/>
            <w:tcMar>
              <w:top w:w="0" w:type="dxa"/>
              <w:left w:w="108" w:type="dxa"/>
              <w:bottom w:w="0" w:type="dxa"/>
              <w:right w:w="108" w:type="dxa"/>
            </w:tcMar>
            <w:hideMark/>
          </w:tcPr>
          <w:p w14:paraId="4633FFEC"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amount the person would be eligible for under table item 2 of section 9.5.35.</w:t>
            </w:r>
          </w:p>
        </w:tc>
      </w:tr>
      <w:tr w:rsidR="00C43B99" w:rsidRPr="00C9343F" w14:paraId="78E4B329" w14:textId="77777777" w:rsidTr="00C43B99">
        <w:tc>
          <w:tcPr>
            <w:tcW w:w="992" w:type="dxa"/>
            <w:shd w:val="clear" w:color="auto" w:fill="FFFFFF"/>
            <w:tcMar>
              <w:top w:w="0" w:type="dxa"/>
              <w:left w:w="108" w:type="dxa"/>
              <w:bottom w:w="0" w:type="dxa"/>
              <w:right w:w="108" w:type="dxa"/>
            </w:tcMar>
            <w:hideMark/>
          </w:tcPr>
          <w:p w14:paraId="64D622DE"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lastRenderedPageBreak/>
              <w:t>5.</w:t>
            </w:r>
          </w:p>
        </w:tc>
        <w:tc>
          <w:tcPr>
            <w:tcW w:w="8367" w:type="dxa"/>
            <w:gridSpan w:val="2"/>
            <w:shd w:val="clear" w:color="auto" w:fill="FFFFFF"/>
            <w:tcMar>
              <w:top w:w="0" w:type="dxa"/>
              <w:left w:w="108" w:type="dxa"/>
              <w:bottom w:w="0" w:type="dxa"/>
              <w:right w:w="108" w:type="dxa"/>
            </w:tcMar>
            <w:hideMark/>
          </w:tcPr>
          <w:p w14:paraId="0604956A"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person is eligible for meal allowance under section 4.5.9 if all the following apply.</w:t>
            </w:r>
          </w:p>
        </w:tc>
      </w:tr>
      <w:tr w:rsidR="00C43B99" w:rsidRPr="00C9343F" w14:paraId="726B785F" w14:textId="77777777" w:rsidTr="00C43B99">
        <w:tc>
          <w:tcPr>
            <w:tcW w:w="992" w:type="dxa"/>
            <w:shd w:val="clear" w:color="auto" w:fill="FFFFFF"/>
            <w:tcMar>
              <w:top w:w="0" w:type="dxa"/>
              <w:left w:w="108" w:type="dxa"/>
              <w:bottom w:w="0" w:type="dxa"/>
              <w:right w:w="108" w:type="dxa"/>
            </w:tcMar>
            <w:hideMark/>
          </w:tcPr>
          <w:p w14:paraId="78BA19D0"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167D2C63"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a.</w:t>
            </w:r>
          </w:p>
        </w:tc>
        <w:tc>
          <w:tcPr>
            <w:tcW w:w="7804" w:type="dxa"/>
            <w:shd w:val="clear" w:color="auto" w:fill="FFFFFF"/>
            <w:tcMar>
              <w:top w:w="0" w:type="dxa"/>
              <w:left w:w="108" w:type="dxa"/>
              <w:bottom w:w="0" w:type="dxa"/>
              <w:right w:w="108" w:type="dxa"/>
            </w:tcMar>
            <w:hideMark/>
          </w:tcPr>
          <w:p w14:paraId="5B1C9420"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person will not be absent from their normal place of residence overnight.</w:t>
            </w:r>
          </w:p>
        </w:tc>
      </w:tr>
      <w:tr w:rsidR="00C43B99" w:rsidRPr="00C9343F" w14:paraId="69221E2B" w14:textId="77777777" w:rsidTr="00C43B99">
        <w:tc>
          <w:tcPr>
            <w:tcW w:w="992" w:type="dxa"/>
            <w:shd w:val="clear" w:color="auto" w:fill="FFFFFF"/>
            <w:tcMar>
              <w:top w:w="0" w:type="dxa"/>
              <w:left w:w="108" w:type="dxa"/>
              <w:bottom w:w="0" w:type="dxa"/>
              <w:right w:w="108" w:type="dxa"/>
            </w:tcMar>
            <w:hideMark/>
          </w:tcPr>
          <w:p w14:paraId="1FF5D22B"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348C86A0"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b.</w:t>
            </w:r>
          </w:p>
        </w:tc>
        <w:tc>
          <w:tcPr>
            <w:tcW w:w="7804" w:type="dxa"/>
            <w:shd w:val="clear" w:color="auto" w:fill="FFFFFF"/>
            <w:tcMar>
              <w:top w:w="0" w:type="dxa"/>
              <w:left w:w="108" w:type="dxa"/>
              <w:bottom w:w="0" w:type="dxa"/>
              <w:right w:w="108" w:type="dxa"/>
            </w:tcMar>
            <w:hideMark/>
          </w:tcPr>
          <w:p w14:paraId="0E157B26" w14:textId="77777777" w:rsidR="00C43B99" w:rsidRPr="00C9343F" w:rsidRDefault="00C43B99"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period of their absence includes a meal period.</w:t>
            </w:r>
          </w:p>
        </w:tc>
      </w:tr>
      <w:tr w:rsidR="00C43B99" w:rsidRPr="00C9343F" w14:paraId="033EE231" w14:textId="77777777" w:rsidTr="00C43B99">
        <w:tc>
          <w:tcPr>
            <w:tcW w:w="992" w:type="dxa"/>
            <w:shd w:val="clear" w:color="auto" w:fill="FFFFFF"/>
            <w:tcMar>
              <w:top w:w="0" w:type="dxa"/>
              <w:left w:w="108" w:type="dxa"/>
              <w:bottom w:w="0" w:type="dxa"/>
              <w:right w:w="108" w:type="dxa"/>
            </w:tcMar>
            <w:hideMark/>
          </w:tcPr>
          <w:p w14:paraId="5CEC4EC1" w14:textId="77777777" w:rsidR="00C43B99" w:rsidRPr="00C9343F" w:rsidRDefault="00C43B99"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70963AF8" w14:textId="77777777" w:rsidR="00C43B99" w:rsidRPr="00C9343F" w:rsidRDefault="00C43B99" w:rsidP="007114B1">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c.</w:t>
            </w:r>
          </w:p>
        </w:tc>
        <w:tc>
          <w:tcPr>
            <w:tcW w:w="7804" w:type="dxa"/>
            <w:shd w:val="clear" w:color="auto" w:fill="FFFFFF"/>
            <w:tcMar>
              <w:top w:w="0" w:type="dxa"/>
              <w:left w:w="108" w:type="dxa"/>
              <w:bottom w:w="0" w:type="dxa"/>
              <w:right w:w="108" w:type="dxa"/>
            </w:tcMar>
            <w:hideMark/>
          </w:tcPr>
          <w:p w14:paraId="4E613BC5" w14:textId="457E953A" w:rsidR="00C43B99" w:rsidRPr="00C9343F" w:rsidRDefault="00C43B99" w:rsidP="00A07B56">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 xml:space="preserve">A meal is not provided </w:t>
            </w:r>
            <w:r w:rsidR="00A07B56" w:rsidRPr="00C9343F">
              <w:rPr>
                <w:rFonts w:ascii="Arial" w:hAnsi="Arial" w:cs="Arial"/>
                <w:color w:val="000000"/>
                <w:sz w:val="20"/>
                <w:szCs w:val="20"/>
              </w:rPr>
              <w:t>under this Part</w:t>
            </w:r>
            <w:r w:rsidRPr="00C9343F">
              <w:rPr>
                <w:rFonts w:ascii="Arial" w:hAnsi="Arial" w:cs="Arial"/>
                <w:color w:val="000000"/>
                <w:sz w:val="20"/>
                <w:szCs w:val="20"/>
              </w:rPr>
              <w:t>.</w:t>
            </w:r>
          </w:p>
        </w:tc>
      </w:tr>
    </w:tbl>
    <w:p w14:paraId="1E781B50" w14:textId="2956DFE6" w:rsidR="005F44BC" w:rsidRPr="00C9343F" w:rsidRDefault="005F44BC" w:rsidP="00F66D98">
      <w:pPr>
        <w:pStyle w:val="Heading5"/>
      </w:pPr>
      <w:bookmarkStart w:id="312" w:name="_Toc105053633"/>
      <w:r w:rsidRPr="00C9343F">
        <w:t>2.1.5</w:t>
      </w:r>
      <w:r w:rsidR="00D94006" w:rsidRPr="00C9343F">
        <w:t>    </w:t>
      </w:r>
      <w:r w:rsidRPr="00C9343F">
        <w:t>Prepaid fares</w:t>
      </w:r>
      <w:bookmarkEnd w:id="312"/>
    </w:p>
    <w:tbl>
      <w:tblPr>
        <w:tblW w:w="9355" w:type="dxa"/>
        <w:tblInd w:w="113" w:type="dxa"/>
        <w:tblLayout w:type="fixed"/>
        <w:tblLook w:val="0000" w:firstRow="0" w:lastRow="0" w:firstColumn="0" w:lastColumn="0" w:noHBand="0" w:noVBand="0"/>
      </w:tblPr>
      <w:tblGrid>
        <w:gridCol w:w="992"/>
        <w:gridCol w:w="8363"/>
      </w:tblGrid>
      <w:tr w:rsidR="005F44BC" w:rsidRPr="00C9343F" w14:paraId="25F73B52" w14:textId="77777777" w:rsidTr="00A07B56">
        <w:tc>
          <w:tcPr>
            <w:tcW w:w="992" w:type="dxa"/>
          </w:tcPr>
          <w:p w14:paraId="00BC97AC" w14:textId="77777777" w:rsidR="005F44BC" w:rsidRPr="00C9343F" w:rsidRDefault="005F44BC" w:rsidP="00F66D98">
            <w:pPr>
              <w:pStyle w:val="BlockText-Plain"/>
              <w:jc w:val="center"/>
            </w:pPr>
            <w:r w:rsidRPr="00C9343F">
              <w:t>1.</w:t>
            </w:r>
          </w:p>
        </w:tc>
        <w:tc>
          <w:tcPr>
            <w:tcW w:w="8363" w:type="dxa"/>
          </w:tcPr>
          <w:p w14:paraId="5E13502A" w14:textId="77777777" w:rsidR="005F44BC" w:rsidRPr="00C9343F" w:rsidRDefault="005F44BC" w:rsidP="00F66D98">
            <w:pPr>
              <w:pStyle w:val="BlockText-Plain"/>
            </w:pPr>
            <w:r w:rsidRPr="00C9343F">
              <w:t xml:space="preserve">A country applicant who travels to or from a recruiting centre is eligible to either a prepaid fare or an allowance under section 2.1.4. </w:t>
            </w:r>
          </w:p>
        </w:tc>
      </w:tr>
      <w:tr w:rsidR="00A07B56" w:rsidRPr="00C9343F" w14:paraId="1EEB1731" w14:textId="77777777" w:rsidTr="00A07B56">
        <w:tc>
          <w:tcPr>
            <w:tcW w:w="992" w:type="dxa"/>
          </w:tcPr>
          <w:p w14:paraId="18AB727D" w14:textId="305C6020" w:rsidR="00A07B56" w:rsidRPr="00C9343F" w:rsidRDefault="00A07B56" w:rsidP="00A07B56">
            <w:pPr>
              <w:pStyle w:val="BlockText-Plain"/>
              <w:jc w:val="center"/>
            </w:pPr>
            <w:r w:rsidRPr="00C9343F">
              <w:t>2.</w:t>
            </w:r>
          </w:p>
        </w:tc>
        <w:tc>
          <w:tcPr>
            <w:tcW w:w="8363" w:type="dxa"/>
          </w:tcPr>
          <w:p w14:paraId="0453D3A5" w14:textId="585EEF91" w:rsidR="00A07B56" w:rsidRPr="00C9343F" w:rsidRDefault="00A07B56" w:rsidP="00A07B56">
            <w:pPr>
              <w:pStyle w:val="BlockText-Plain"/>
            </w:pPr>
            <w:r w:rsidRPr="00C9343F">
              <w:t>The applicant must repay any prepaid amount they do not spend, including if the journey is cancelled.</w:t>
            </w:r>
          </w:p>
        </w:tc>
      </w:tr>
    </w:tbl>
    <w:p w14:paraId="3BE579C2" w14:textId="02B5703E" w:rsidR="005F44BC" w:rsidRPr="00C9343F" w:rsidRDefault="005F44BC" w:rsidP="00F66D98">
      <w:pPr>
        <w:pStyle w:val="Heading5"/>
      </w:pPr>
      <w:bookmarkStart w:id="313" w:name="_Toc105053634"/>
      <w:r w:rsidRPr="00C9343F">
        <w:t>2.1.6</w:t>
      </w:r>
      <w:r w:rsidR="00D94006" w:rsidRPr="00C9343F">
        <w:t>    </w:t>
      </w:r>
      <w:r w:rsidRPr="00C9343F">
        <w:t>Baggage</w:t>
      </w:r>
      <w:bookmarkEnd w:id="313"/>
    </w:p>
    <w:tbl>
      <w:tblPr>
        <w:tblW w:w="0" w:type="auto"/>
        <w:tblInd w:w="113" w:type="dxa"/>
        <w:tblLayout w:type="fixed"/>
        <w:tblLook w:val="0000" w:firstRow="0" w:lastRow="0" w:firstColumn="0" w:lastColumn="0" w:noHBand="0" w:noVBand="0"/>
      </w:tblPr>
      <w:tblGrid>
        <w:gridCol w:w="992"/>
        <w:gridCol w:w="8363"/>
      </w:tblGrid>
      <w:tr w:rsidR="005F44BC" w:rsidRPr="00C9343F" w14:paraId="339627C8" w14:textId="77777777" w:rsidTr="005F44BC">
        <w:tc>
          <w:tcPr>
            <w:tcW w:w="992" w:type="dxa"/>
          </w:tcPr>
          <w:p w14:paraId="6D7CE1D6" w14:textId="77777777" w:rsidR="005F44BC" w:rsidRPr="00C9343F" w:rsidRDefault="005F44BC" w:rsidP="00F66D98">
            <w:pPr>
              <w:pStyle w:val="BlockText-Plain"/>
              <w:jc w:val="center"/>
            </w:pPr>
          </w:p>
        </w:tc>
        <w:tc>
          <w:tcPr>
            <w:tcW w:w="8363" w:type="dxa"/>
          </w:tcPr>
          <w:p w14:paraId="6AF0D131" w14:textId="5268D2DB" w:rsidR="005F44BC" w:rsidRPr="00C9343F" w:rsidRDefault="005F44BC" w:rsidP="00C03E26">
            <w:pPr>
              <w:pStyle w:val="BlockText-Plain"/>
            </w:pPr>
            <w:r w:rsidRPr="00C9343F">
              <w:t>Persons eligible for travel under this Division are not eligible for assistance</w:t>
            </w:r>
            <w:r w:rsidR="00C03E26" w:rsidRPr="00C9343F">
              <w:t xml:space="preserve"> under this Part</w:t>
            </w:r>
            <w:r w:rsidRPr="00C9343F">
              <w:t xml:space="preserve"> for excess baggage.</w:t>
            </w:r>
          </w:p>
        </w:tc>
      </w:tr>
    </w:tbl>
    <w:p w14:paraId="2280FB8D" w14:textId="40882D0B" w:rsidR="005F44BC" w:rsidRPr="00C9343F" w:rsidRDefault="005F44BC" w:rsidP="00F66D98">
      <w:pPr>
        <w:pStyle w:val="Heading5"/>
      </w:pPr>
      <w:bookmarkStart w:id="314" w:name="_Toc105053635"/>
      <w:r w:rsidRPr="00C9343F">
        <w:t>2.1.7</w:t>
      </w:r>
      <w:r w:rsidR="00D94006" w:rsidRPr="00C9343F">
        <w:t>    </w:t>
      </w:r>
      <w:r w:rsidRPr="00C9343F">
        <w:t>Loss of wages or salary</w:t>
      </w:r>
      <w:bookmarkEnd w:id="314"/>
    </w:p>
    <w:tbl>
      <w:tblPr>
        <w:tblW w:w="0" w:type="auto"/>
        <w:tblInd w:w="113" w:type="dxa"/>
        <w:tblLayout w:type="fixed"/>
        <w:tblLook w:val="0000" w:firstRow="0" w:lastRow="0" w:firstColumn="0" w:lastColumn="0" w:noHBand="0" w:noVBand="0"/>
      </w:tblPr>
      <w:tblGrid>
        <w:gridCol w:w="992"/>
        <w:gridCol w:w="567"/>
        <w:gridCol w:w="7800"/>
      </w:tblGrid>
      <w:tr w:rsidR="005F44BC" w:rsidRPr="00C9343F" w14:paraId="56AA41CF" w14:textId="77777777" w:rsidTr="005F44BC">
        <w:tc>
          <w:tcPr>
            <w:tcW w:w="992" w:type="dxa"/>
          </w:tcPr>
          <w:p w14:paraId="493F062C" w14:textId="77777777" w:rsidR="005F44BC" w:rsidRPr="00C9343F" w:rsidRDefault="005F44BC" w:rsidP="00F66D98">
            <w:pPr>
              <w:pStyle w:val="BlockText-Plain"/>
              <w:jc w:val="center"/>
            </w:pPr>
            <w:r w:rsidRPr="00C9343F">
              <w:t>1.</w:t>
            </w:r>
          </w:p>
        </w:tc>
        <w:tc>
          <w:tcPr>
            <w:tcW w:w="8367" w:type="dxa"/>
            <w:gridSpan w:val="2"/>
          </w:tcPr>
          <w:p w14:paraId="11DC976F" w14:textId="77777777" w:rsidR="005F44BC" w:rsidRPr="00C9343F" w:rsidRDefault="005F44BC" w:rsidP="00F66D98">
            <w:pPr>
              <w:pStyle w:val="BlockText-Plain"/>
            </w:pPr>
            <w:r w:rsidRPr="00C9343F">
              <w:t>This section applies to a person who is not a member of the ADF and who has applied to join the ADF. They may be compensated for loss of wages or salary if they meet all these conditions.</w:t>
            </w:r>
          </w:p>
        </w:tc>
      </w:tr>
      <w:tr w:rsidR="005F44BC" w:rsidRPr="00C9343F" w14:paraId="73A799D2" w14:textId="77777777" w:rsidTr="005F44BC">
        <w:trPr>
          <w:cantSplit/>
        </w:trPr>
        <w:tc>
          <w:tcPr>
            <w:tcW w:w="992" w:type="dxa"/>
          </w:tcPr>
          <w:p w14:paraId="5CAB7CC9" w14:textId="77777777" w:rsidR="005F44BC" w:rsidRPr="00C9343F" w:rsidRDefault="005F44BC" w:rsidP="00F66D98">
            <w:pPr>
              <w:pStyle w:val="BlockText-Plain"/>
            </w:pPr>
          </w:p>
        </w:tc>
        <w:tc>
          <w:tcPr>
            <w:tcW w:w="567" w:type="dxa"/>
          </w:tcPr>
          <w:p w14:paraId="39DF1C03" w14:textId="77777777" w:rsidR="005F44BC" w:rsidRPr="00C9343F" w:rsidRDefault="005F44BC" w:rsidP="007114B1">
            <w:pPr>
              <w:pStyle w:val="BlockText-Plain"/>
              <w:jc w:val="center"/>
            </w:pPr>
            <w:r w:rsidRPr="00C9343F">
              <w:t>a.</w:t>
            </w:r>
          </w:p>
        </w:tc>
        <w:tc>
          <w:tcPr>
            <w:tcW w:w="7800" w:type="dxa"/>
          </w:tcPr>
          <w:p w14:paraId="3F4275A2" w14:textId="77777777" w:rsidR="005F44BC" w:rsidRPr="00C9343F" w:rsidRDefault="005F44BC" w:rsidP="00F66D98">
            <w:pPr>
              <w:pStyle w:val="BlockText-Plain"/>
            </w:pPr>
            <w:r w:rsidRPr="00C9343F">
              <w:t>They are employed.</w:t>
            </w:r>
          </w:p>
        </w:tc>
      </w:tr>
      <w:tr w:rsidR="005F44BC" w:rsidRPr="00C9343F" w14:paraId="5B2E7B38" w14:textId="77777777" w:rsidTr="005F44BC">
        <w:trPr>
          <w:cantSplit/>
        </w:trPr>
        <w:tc>
          <w:tcPr>
            <w:tcW w:w="992" w:type="dxa"/>
          </w:tcPr>
          <w:p w14:paraId="7FC5028C" w14:textId="77777777" w:rsidR="005F44BC" w:rsidRPr="00C9343F" w:rsidRDefault="005F44BC" w:rsidP="00F66D98">
            <w:pPr>
              <w:pStyle w:val="BlockText-Plain"/>
            </w:pPr>
          </w:p>
        </w:tc>
        <w:tc>
          <w:tcPr>
            <w:tcW w:w="567" w:type="dxa"/>
          </w:tcPr>
          <w:p w14:paraId="43FFBF67" w14:textId="77777777" w:rsidR="005F44BC" w:rsidRPr="00C9343F" w:rsidRDefault="005F44BC" w:rsidP="007114B1">
            <w:pPr>
              <w:pStyle w:val="BlockText-Plain"/>
              <w:jc w:val="center"/>
            </w:pPr>
            <w:r w:rsidRPr="00C9343F">
              <w:t>b.</w:t>
            </w:r>
          </w:p>
        </w:tc>
        <w:tc>
          <w:tcPr>
            <w:tcW w:w="7800" w:type="dxa"/>
          </w:tcPr>
          <w:p w14:paraId="455EA6B6" w14:textId="77777777" w:rsidR="005F44BC" w:rsidRPr="00C9343F" w:rsidRDefault="005F44BC" w:rsidP="00F66D98">
            <w:pPr>
              <w:pStyle w:val="BlockText-Plain"/>
            </w:pPr>
            <w:r w:rsidRPr="00C9343F">
              <w:t>They are required to have an examination or interview to see if they are suitable to join the ADF.</w:t>
            </w:r>
          </w:p>
        </w:tc>
      </w:tr>
      <w:tr w:rsidR="005F44BC" w:rsidRPr="00C9343F" w14:paraId="05CE8F09" w14:textId="77777777" w:rsidTr="005F44BC">
        <w:trPr>
          <w:cantSplit/>
        </w:trPr>
        <w:tc>
          <w:tcPr>
            <w:tcW w:w="992" w:type="dxa"/>
          </w:tcPr>
          <w:p w14:paraId="2139EACA" w14:textId="77777777" w:rsidR="005F44BC" w:rsidRPr="00C9343F" w:rsidRDefault="005F44BC" w:rsidP="00F66D98">
            <w:pPr>
              <w:pStyle w:val="BlockText-Plain"/>
            </w:pPr>
          </w:p>
        </w:tc>
        <w:tc>
          <w:tcPr>
            <w:tcW w:w="567" w:type="dxa"/>
          </w:tcPr>
          <w:p w14:paraId="45F0F9E2" w14:textId="77777777" w:rsidR="005F44BC" w:rsidRPr="00C9343F" w:rsidRDefault="005F44BC" w:rsidP="007114B1">
            <w:pPr>
              <w:pStyle w:val="BlockText-Plain"/>
              <w:jc w:val="center"/>
            </w:pPr>
            <w:r w:rsidRPr="00C9343F">
              <w:t>c.</w:t>
            </w:r>
          </w:p>
        </w:tc>
        <w:tc>
          <w:tcPr>
            <w:tcW w:w="7800" w:type="dxa"/>
          </w:tcPr>
          <w:p w14:paraId="48AF3D46" w14:textId="77777777" w:rsidR="005F44BC" w:rsidRPr="00C9343F" w:rsidRDefault="005F44BC" w:rsidP="00F66D98">
            <w:pPr>
              <w:pStyle w:val="BlockText-Plain"/>
            </w:pPr>
            <w:r w:rsidRPr="00C9343F">
              <w:t>They attend a recruiting centre to be examined or interviewed.</w:t>
            </w:r>
          </w:p>
        </w:tc>
      </w:tr>
      <w:tr w:rsidR="005F44BC" w:rsidRPr="00C9343F" w14:paraId="306C85B9" w14:textId="77777777" w:rsidTr="005F44BC">
        <w:trPr>
          <w:cantSplit/>
        </w:trPr>
        <w:tc>
          <w:tcPr>
            <w:tcW w:w="992" w:type="dxa"/>
          </w:tcPr>
          <w:p w14:paraId="6051EF42" w14:textId="77777777" w:rsidR="005F44BC" w:rsidRPr="00C9343F" w:rsidRDefault="005F44BC" w:rsidP="00F66D98">
            <w:pPr>
              <w:pStyle w:val="BlockText-Plain"/>
            </w:pPr>
          </w:p>
        </w:tc>
        <w:tc>
          <w:tcPr>
            <w:tcW w:w="567" w:type="dxa"/>
          </w:tcPr>
          <w:p w14:paraId="4254B083" w14:textId="77777777" w:rsidR="005F44BC" w:rsidRPr="00C9343F" w:rsidRDefault="005F44BC" w:rsidP="007114B1">
            <w:pPr>
              <w:pStyle w:val="BlockText-Plain"/>
              <w:jc w:val="center"/>
            </w:pPr>
            <w:r w:rsidRPr="00C9343F">
              <w:t>d.</w:t>
            </w:r>
          </w:p>
        </w:tc>
        <w:tc>
          <w:tcPr>
            <w:tcW w:w="7800" w:type="dxa"/>
          </w:tcPr>
          <w:p w14:paraId="46045CE5" w14:textId="77777777" w:rsidR="005F44BC" w:rsidRPr="00C9343F" w:rsidRDefault="005F44BC" w:rsidP="00F66D98">
            <w:pPr>
              <w:pStyle w:val="BlockText-Plain"/>
            </w:pPr>
            <w:r w:rsidRPr="00C9343F">
              <w:t>They lose salary or wages because of that attendance.</w:t>
            </w:r>
          </w:p>
        </w:tc>
      </w:tr>
      <w:tr w:rsidR="005F44BC" w:rsidRPr="00C9343F" w14:paraId="00060FEC" w14:textId="77777777" w:rsidTr="005F44BC">
        <w:tc>
          <w:tcPr>
            <w:tcW w:w="992" w:type="dxa"/>
          </w:tcPr>
          <w:p w14:paraId="4E52DD74" w14:textId="77777777" w:rsidR="005F44BC" w:rsidRPr="00C9343F" w:rsidRDefault="005F44BC" w:rsidP="00F66D98">
            <w:pPr>
              <w:pStyle w:val="BlockText-Plain"/>
              <w:jc w:val="center"/>
            </w:pPr>
            <w:r w:rsidRPr="00C9343F">
              <w:t>2.</w:t>
            </w:r>
          </w:p>
        </w:tc>
        <w:tc>
          <w:tcPr>
            <w:tcW w:w="8367" w:type="dxa"/>
            <w:gridSpan w:val="2"/>
          </w:tcPr>
          <w:p w14:paraId="5C067D69" w14:textId="77777777" w:rsidR="005F44BC" w:rsidRPr="00C9343F" w:rsidRDefault="005F44BC" w:rsidP="00F66D98">
            <w:pPr>
              <w:pStyle w:val="BlockText-Plain"/>
            </w:pPr>
            <w:r w:rsidRPr="00C9343F">
              <w:t xml:space="preserve">The applicant is eligible for the lesser of these two amounts. </w:t>
            </w:r>
          </w:p>
        </w:tc>
      </w:tr>
      <w:tr w:rsidR="005F44BC" w:rsidRPr="00C9343F" w14:paraId="685AE03C" w14:textId="77777777" w:rsidTr="005F44BC">
        <w:trPr>
          <w:cantSplit/>
        </w:trPr>
        <w:tc>
          <w:tcPr>
            <w:tcW w:w="992" w:type="dxa"/>
          </w:tcPr>
          <w:p w14:paraId="039D7DFF" w14:textId="77777777" w:rsidR="005F44BC" w:rsidRPr="00C9343F" w:rsidRDefault="005F44BC" w:rsidP="00F66D98">
            <w:pPr>
              <w:pStyle w:val="BlockText-Plain"/>
            </w:pPr>
          </w:p>
        </w:tc>
        <w:tc>
          <w:tcPr>
            <w:tcW w:w="567" w:type="dxa"/>
          </w:tcPr>
          <w:p w14:paraId="4BF74806" w14:textId="77777777" w:rsidR="005F44BC" w:rsidRPr="00C9343F" w:rsidRDefault="005F44BC" w:rsidP="007114B1">
            <w:pPr>
              <w:pStyle w:val="BlockText-Plain"/>
              <w:jc w:val="center"/>
            </w:pPr>
            <w:r w:rsidRPr="00C9343F">
              <w:t>a.</w:t>
            </w:r>
          </w:p>
        </w:tc>
        <w:tc>
          <w:tcPr>
            <w:tcW w:w="7800" w:type="dxa"/>
          </w:tcPr>
          <w:p w14:paraId="6892F200" w14:textId="77777777" w:rsidR="005F44BC" w:rsidRPr="00C9343F" w:rsidRDefault="005F44BC" w:rsidP="00F66D98">
            <w:pPr>
              <w:pStyle w:val="BlockText-Plain"/>
            </w:pPr>
            <w:r w:rsidRPr="00C9343F">
              <w:t>The wages or salary they would have earned during the period they are reasonably required to be absent from the employment because of the attendance. This does not include any payment for overtime.</w:t>
            </w:r>
          </w:p>
        </w:tc>
      </w:tr>
      <w:tr w:rsidR="005F44BC" w:rsidRPr="00C9343F" w14:paraId="35B8968A" w14:textId="77777777" w:rsidTr="005F44BC">
        <w:trPr>
          <w:cantSplit/>
        </w:trPr>
        <w:tc>
          <w:tcPr>
            <w:tcW w:w="992" w:type="dxa"/>
          </w:tcPr>
          <w:p w14:paraId="01594FC4" w14:textId="77777777" w:rsidR="005F44BC" w:rsidRPr="00C9343F" w:rsidRDefault="005F44BC" w:rsidP="00F66D98">
            <w:pPr>
              <w:pStyle w:val="BlockText-Plain"/>
            </w:pPr>
          </w:p>
        </w:tc>
        <w:tc>
          <w:tcPr>
            <w:tcW w:w="567" w:type="dxa"/>
          </w:tcPr>
          <w:p w14:paraId="5A55D03E" w14:textId="77777777" w:rsidR="005F44BC" w:rsidRPr="00C9343F" w:rsidRDefault="005F44BC" w:rsidP="007114B1">
            <w:pPr>
              <w:pStyle w:val="BlockText-Plain"/>
              <w:jc w:val="center"/>
            </w:pPr>
            <w:r w:rsidRPr="00C9343F">
              <w:t>b.</w:t>
            </w:r>
          </w:p>
        </w:tc>
        <w:tc>
          <w:tcPr>
            <w:tcW w:w="7800" w:type="dxa"/>
          </w:tcPr>
          <w:p w14:paraId="2922C3A7" w14:textId="77777777" w:rsidR="005F44BC" w:rsidRPr="00C9343F" w:rsidRDefault="005F44BC" w:rsidP="00F66D98">
            <w:pPr>
              <w:pStyle w:val="BlockText-Plain"/>
            </w:pPr>
            <w:r w:rsidRPr="00C9343F">
              <w:t>The salary that would be payable for that period to a normal entry recruit during basic training.</w:t>
            </w:r>
          </w:p>
        </w:tc>
      </w:tr>
      <w:tr w:rsidR="005F44BC" w:rsidRPr="00C9343F" w14:paraId="5F2287EC" w14:textId="77777777" w:rsidTr="005F44BC">
        <w:tc>
          <w:tcPr>
            <w:tcW w:w="992" w:type="dxa"/>
          </w:tcPr>
          <w:p w14:paraId="057400CE" w14:textId="77777777" w:rsidR="005F44BC" w:rsidRPr="00C9343F" w:rsidRDefault="005F44BC" w:rsidP="00F66D98">
            <w:pPr>
              <w:pStyle w:val="BlockText-Plain"/>
              <w:jc w:val="center"/>
            </w:pPr>
            <w:r w:rsidRPr="00C9343F">
              <w:t>3.</w:t>
            </w:r>
          </w:p>
        </w:tc>
        <w:tc>
          <w:tcPr>
            <w:tcW w:w="8367" w:type="dxa"/>
            <w:gridSpan w:val="2"/>
          </w:tcPr>
          <w:p w14:paraId="4E4F9C0D" w14:textId="77777777" w:rsidR="005F44BC" w:rsidRPr="00C9343F" w:rsidRDefault="005F44BC" w:rsidP="00F66D98">
            <w:pPr>
              <w:pStyle w:val="BlockText-Plain"/>
            </w:pPr>
            <w:r w:rsidRPr="00C9343F">
              <w:t>The applicant is not eligible if they have not disclosed in their application a significant fact that makes them ineligible to join the ADF.</w:t>
            </w:r>
          </w:p>
        </w:tc>
      </w:tr>
    </w:tbl>
    <w:p w14:paraId="4AC54379" w14:textId="77777777" w:rsidR="005F44BC" w:rsidRPr="00C9343F" w:rsidRDefault="005F44BC" w:rsidP="00F66D98"/>
    <w:p w14:paraId="1551D21F" w14:textId="7D7F7C27" w:rsidR="005F44BC" w:rsidRPr="00C9343F" w:rsidRDefault="005F44BC" w:rsidP="00F66D98">
      <w:pPr>
        <w:pStyle w:val="Heading3"/>
        <w:pageBreakBefore/>
      </w:pPr>
      <w:bookmarkStart w:id="315" w:name="_Toc105053636"/>
      <w:r w:rsidRPr="00C9343F">
        <w:lastRenderedPageBreak/>
        <w:t xml:space="preserve">Part 2: </w:t>
      </w:r>
      <w:r w:rsidR="00277260" w:rsidRPr="00C9343F">
        <w:t>Career transition</w:t>
      </w:r>
      <w:bookmarkEnd w:id="315"/>
    </w:p>
    <w:p w14:paraId="7C79CB89" w14:textId="5A44ECFC" w:rsidR="00277260" w:rsidRPr="00C9343F" w:rsidRDefault="00277260" w:rsidP="00F66D98">
      <w:pPr>
        <w:pStyle w:val="Heading5"/>
      </w:pPr>
      <w:bookmarkStart w:id="316" w:name="_Toc105053637"/>
      <w:r w:rsidRPr="00C9343F">
        <w:t>2.2.1</w:t>
      </w:r>
      <w:r w:rsidR="00D94006" w:rsidRPr="00C9343F">
        <w:t>    </w:t>
      </w:r>
      <w:r w:rsidRPr="00C9343F">
        <w:t>Purpose</w:t>
      </w:r>
      <w:bookmarkEnd w:id="316"/>
    </w:p>
    <w:tbl>
      <w:tblPr>
        <w:tblW w:w="9359" w:type="dxa"/>
        <w:tblInd w:w="113" w:type="dxa"/>
        <w:tblLayout w:type="fixed"/>
        <w:tblLook w:val="04A0" w:firstRow="1" w:lastRow="0" w:firstColumn="1" w:lastColumn="0" w:noHBand="0" w:noVBand="1"/>
      </w:tblPr>
      <w:tblGrid>
        <w:gridCol w:w="992"/>
        <w:gridCol w:w="8367"/>
      </w:tblGrid>
      <w:tr w:rsidR="00B2485C" w:rsidRPr="00C9343F" w14:paraId="5BBDE1B5" w14:textId="77777777" w:rsidTr="00DE6552">
        <w:tc>
          <w:tcPr>
            <w:tcW w:w="992" w:type="dxa"/>
          </w:tcPr>
          <w:p w14:paraId="678234D6" w14:textId="77777777" w:rsidR="00B2485C" w:rsidRPr="00C9343F" w:rsidRDefault="00B2485C" w:rsidP="00B2485C">
            <w:pPr>
              <w:pStyle w:val="Sectiontext0"/>
              <w:jc w:val="center"/>
              <w:rPr>
                <w:lang w:eastAsia="en-US"/>
              </w:rPr>
            </w:pPr>
          </w:p>
        </w:tc>
        <w:tc>
          <w:tcPr>
            <w:tcW w:w="8367" w:type="dxa"/>
          </w:tcPr>
          <w:p w14:paraId="0931EF81" w14:textId="6352E7D5" w:rsidR="00B2485C" w:rsidRPr="00C9343F" w:rsidRDefault="00B2485C" w:rsidP="00B2485C">
            <w:pPr>
              <w:pStyle w:val="Sectiontext0"/>
              <w:rPr>
                <w:rFonts w:cs="Arial"/>
                <w:lang w:eastAsia="en-US"/>
              </w:rPr>
            </w:pPr>
            <w:r w:rsidRPr="00C9343F">
              <w:t>This Part provides benefits for a member to assist them with training and financial advice in preparation for civilian life when they change service category or cease service with the ADF.</w:t>
            </w:r>
          </w:p>
        </w:tc>
      </w:tr>
    </w:tbl>
    <w:p w14:paraId="1E88BF49" w14:textId="57BF102B" w:rsidR="00277260" w:rsidRPr="00C9343F" w:rsidRDefault="00277260" w:rsidP="00F66D98">
      <w:pPr>
        <w:pStyle w:val="Heading5"/>
      </w:pPr>
      <w:bookmarkStart w:id="317" w:name="_Toc105053638"/>
      <w:r w:rsidRPr="00C9343F">
        <w:t>2.2.2</w:t>
      </w:r>
      <w:r w:rsidR="00D94006" w:rsidRPr="00C9343F">
        <w:t>    </w:t>
      </w:r>
      <w:r w:rsidRPr="00C9343F">
        <w:t>Definitions</w:t>
      </w:r>
      <w:bookmarkEnd w:id="317"/>
    </w:p>
    <w:tbl>
      <w:tblPr>
        <w:tblW w:w="9359" w:type="dxa"/>
        <w:tblInd w:w="113" w:type="dxa"/>
        <w:tblLayout w:type="fixed"/>
        <w:tblLook w:val="0000" w:firstRow="0" w:lastRow="0" w:firstColumn="0" w:lastColumn="0" w:noHBand="0" w:noVBand="0"/>
      </w:tblPr>
      <w:tblGrid>
        <w:gridCol w:w="992"/>
        <w:gridCol w:w="563"/>
        <w:gridCol w:w="7804"/>
      </w:tblGrid>
      <w:tr w:rsidR="00277260" w:rsidRPr="00C9343F" w14:paraId="5B5BE42A" w14:textId="77777777" w:rsidTr="00DE6552">
        <w:tc>
          <w:tcPr>
            <w:tcW w:w="992" w:type="dxa"/>
          </w:tcPr>
          <w:p w14:paraId="7F1F27E3" w14:textId="77777777" w:rsidR="00277260" w:rsidRPr="00C9343F" w:rsidRDefault="00277260" w:rsidP="00F66D98">
            <w:pPr>
              <w:pStyle w:val="Sectiontext0"/>
              <w:jc w:val="center"/>
            </w:pPr>
          </w:p>
        </w:tc>
        <w:tc>
          <w:tcPr>
            <w:tcW w:w="8367" w:type="dxa"/>
            <w:gridSpan w:val="2"/>
          </w:tcPr>
          <w:p w14:paraId="694A1D88" w14:textId="77777777" w:rsidR="00277260" w:rsidRPr="00C9343F" w:rsidRDefault="00277260" w:rsidP="00F66D98">
            <w:pPr>
              <w:pStyle w:val="Sectiontext0"/>
            </w:pPr>
            <w:r w:rsidRPr="00C9343F">
              <w:rPr>
                <w:iCs/>
              </w:rPr>
              <w:t>In this Part the following apply.</w:t>
            </w:r>
          </w:p>
        </w:tc>
      </w:tr>
      <w:tr w:rsidR="00277260" w:rsidRPr="00C9343F" w14:paraId="0133BF4A" w14:textId="77777777" w:rsidTr="00DE6552">
        <w:tc>
          <w:tcPr>
            <w:tcW w:w="992" w:type="dxa"/>
          </w:tcPr>
          <w:p w14:paraId="6F4CFF77" w14:textId="77777777" w:rsidR="00277260" w:rsidRPr="00C9343F" w:rsidRDefault="00277260" w:rsidP="00F66D98">
            <w:pPr>
              <w:pStyle w:val="Sectiontext0"/>
              <w:jc w:val="center"/>
            </w:pPr>
          </w:p>
        </w:tc>
        <w:tc>
          <w:tcPr>
            <w:tcW w:w="8367" w:type="dxa"/>
            <w:gridSpan w:val="2"/>
          </w:tcPr>
          <w:p w14:paraId="77F15AC2" w14:textId="77777777" w:rsidR="00277260" w:rsidRPr="00C9343F" w:rsidRDefault="00277260" w:rsidP="00F66D98">
            <w:pPr>
              <w:pStyle w:val="Sectiontext0"/>
              <w:rPr>
                <w:iCs/>
              </w:rPr>
            </w:pPr>
            <w:r w:rsidRPr="00C9343F">
              <w:rPr>
                <w:b/>
                <w:bCs/>
                <w:iCs/>
              </w:rPr>
              <w:t xml:space="preserve">Employment </w:t>
            </w:r>
            <w:r w:rsidRPr="00C9343F">
              <w:rPr>
                <w:iCs/>
              </w:rPr>
              <w:t>means any of the following.</w:t>
            </w:r>
          </w:p>
        </w:tc>
      </w:tr>
      <w:tr w:rsidR="00277260" w:rsidRPr="00C9343F" w14:paraId="54416C9A" w14:textId="77777777" w:rsidTr="00DE6552">
        <w:tblPrEx>
          <w:tblLook w:val="04A0" w:firstRow="1" w:lastRow="0" w:firstColumn="1" w:lastColumn="0" w:noHBand="0" w:noVBand="1"/>
        </w:tblPrEx>
        <w:tc>
          <w:tcPr>
            <w:tcW w:w="992" w:type="dxa"/>
          </w:tcPr>
          <w:p w14:paraId="393E2245" w14:textId="77777777" w:rsidR="00277260" w:rsidRPr="00C9343F" w:rsidRDefault="00277260" w:rsidP="00F66D98">
            <w:pPr>
              <w:pStyle w:val="Sectiontext0"/>
              <w:jc w:val="center"/>
              <w:rPr>
                <w:lang w:eastAsia="en-US"/>
              </w:rPr>
            </w:pPr>
          </w:p>
        </w:tc>
        <w:tc>
          <w:tcPr>
            <w:tcW w:w="563" w:type="dxa"/>
          </w:tcPr>
          <w:p w14:paraId="1FB5873D" w14:textId="77777777" w:rsidR="00277260" w:rsidRPr="00C9343F" w:rsidRDefault="00277260" w:rsidP="00F66D98">
            <w:pPr>
              <w:pStyle w:val="Sectiontext0"/>
              <w:jc w:val="center"/>
              <w:rPr>
                <w:rFonts w:cs="Arial"/>
                <w:iCs/>
                <w:lang w:eastAsia="en-US"/>
              </w:rPr>
            </w:pPr>
            <w:r w:rsidRPr="00C9343F">
              <w:rPr>
                <w:rFonts w:cs="Arial"/>
                <w:iCs/>
                <w:lang w:eastAsia="en-US"/>
              </w:rPr>
              <w:t>a.</w:t>
            </w:r>
          </w:p>
        </w:tc>
        <w:tc>
          <w:tcPr>
            <w:tcW w:w="7804" w:type="dxa"/>
          </w:tcPr>
          <w:p w14:paraId="1211E9C2" w14:textId="77777777" w:rsidR="00277260" w:rsidRPr="00C9343F" w:rsidRDefault="00277260" w:rsidP="00F66D98">
            <w:pPr>
              <w:pStyle w:val="Sectiontext0"/>
              <w:rPr>
                <w:rFonts w:cs="Arial"/>
                <w:iCs/>
                <w:lang w:eastAsia="en-US"/>
              </w:rPr>
            </w:pPr>
            <w:r w:rsidRPr="00C9343F">
              <w:rPr>
                <w:iCs/>
              </w:rPr>
              <w:t>Full-time work.</w:t>
            </w:r>
          </w:p>
        </w:tc>
      </w:tr>
      <w:tr w:rsidR="00277260" w:rsidRPr="00C9343F" w14:paraId="061A2DE5" w14:textId="77777777" w:rsidTr="00DE6552">
        <w:tblPrEx>
          <w:tblLook w:val="04A0" w:firstRow="1" w:lastRow="0" w:firstColumn="1" w:lastColumn="0" w:noHBand="0" w:noVBand="1"/>
        </w:tblPrEx>
        <w:tc>
          <w:tcPr>
            <w:tcW w:w="992" w:type="dxa"/>
          </w:tcPr>
          <w:p w14:paraId="6CF02177" w14:textId="77777777" w:rsidR="00277260" w:rsidRPr="00C9343F" w:rsidRDefault="00277260" w:rsidP="00F66D98">
            <w:pPr>
              <w:pStyle w:val="Sectiontext0"/>
              <w:jc w:val="center"/>
              <w:rPr>
                <w:lang w:eastAsia="en-US"/>
              </w:rPr>
            </w:pPr>
          </w:p>
        </w:tc>
        <w:tc>
          <w:tcPr>
            <w:tcW w:w="563" w:type="dxa"/>
          </w:tcPr>
          <w:p w14:paraId="5340C40C" w14:textId="77777777" w:rsidR="00277260" w:rsidRPr="00C9343F" w:rsidRDefault="00277260" w:rsidP="00F66D98">
            <w:pPr>
              <w:pStyle w:val="Sectiontext0"/>
              <w:jc w:val="center"/>
              <w:rPr>
                <w:rFonts w:cs="Arial"/>
                <w:iCs/>
                <w:lang w:eastAsia="en-US"/>
              </w:rPr>
            </w:pPr>
            <w:r w:rsidRPr="00C9343F">
              <w:rPr>
                <w:rFonts w:cs="Arial"/>
                <w:iCs/>
                <w:lang w:eastAsia="en-US"/>
              </w:rPr>
              <w:t>b.</w:t>
            </w:r>
          </w:p>
        </w:tc>
        <w:tc>
          <w:tcPr>
            <w:tcW w:w="7804" w:type="dxa"/>
          </w:tcPr>
          <w:p w14:paraId="76ADD6E6" w14:textId="77777777" w:rsidR="00277260" w:rsidRPr="00C9343F" w:rsidRDefault="00277260" w:rsidP="00F66D98">
            <w:pPr>
              <w:pStyle w:val="Sectiontext0"/>
              <w:rPr>
                <w:iCs/>
              </w:rPr>
            </w:pPr>
            <w:r w:rsidRPr="00C9343F">
              <w:rPr>
                <w:iCs/>
              </w:rPr>
              <w:t>Part-time work.</w:t>
            </w:r>
          </w:p>
        </w:tc>
      </w:tr>
      <w:tr w:rsidR="00277260" w:rsidRPr="00C9343F" w14:paraId="3F3B8ABE" w14:textId="77777777" w:rsidTr="00DE6552">
        <w:tblPrEx>
          <w:tblLook w:val="04A0" w:firstRow="1" w:lastRow="0" w:firstColumn="1" w:lastColumn="0" w:noHBand="0" w:noVBand="1"/>
        </w:tblPrEx>
        <w:tc>
          <w:tcPr>
            <w:tcW w:w="992" w:type="dxa"/>
          </w:tcPr>
          <w:p w14:paraId="355F52E1" w14:textId="77777777" w:rsidR="00277260" w:rsidRPr="00C9343F" w:rsidRDefault="00277260" w:rsidP="00F66D98">
            <w:pPr>
              <w:pStyle w:val="Sectiontext0"/>
              <w:jc w:val="center"/>
              <w:rPr>
                <w:lang w:eastAsia="en-US"/>
              </w:rPr>
            </w:pPr>
          </w:p>
        </w:tc>
        <w:tc>
          <w:tcPr>
            <w:tcW w:w="563" w:type="dxa"/>
          </w:tcPr>
          <w:p w14:paraId="24FB4D6B" w14:textId="77777777" w:rsidR="00277260" w:rsidRPr="00C9343F" w:rsidRDefault="00277260" w:rsidP="00F66D98">
            <w:pPr>
              <w:pStyle w:val="Sectiontext0"/>
              <w:jc w:val="center"/>
              <w:rPr>
                <w:rFonts w:cs="Arial"/>
                <w:iCs/>
                <w:lang w:eastAsia="en-US"/>
              </w:rPr>
            </w:pPr>
            <w:r w:rsidRPr="00C9343F">
              <w:rPr>
                <w:rFonts w:cs="Arial"/>
                <w:iCs/>
                <w:lang w:eastAsia="en-US"/>
              </w:rPr>
              <w:t>c.</w:t>
            </w:r>
          </w:p>
        </w:tc>
        <w:tc>
          <w:tcPr>
            <w:tcW w:w="7804" w:type="dxa"/>
          </w:tcPr>
          <w:p w14:paraId="57D5C6E1" w14:textId="77777777" w:rsidR="00277260" w:rsidRPr="00C9343F" w:rsidRDefault="00277260" w:rsidP="00F66D98">
            <w:pPr>
              <w:pStyle w:val="Sectiontext0"/>
              <w:rPr>
                <w:iCs/>
              </w:rPr>
            </w:pPr>
            <w:r w:rsidRPr="00C9343F">
              <w:rPr>
                <w:iCs/>
              </w:rPr>
              <w:t>Casual work.</w:t>
            </w:r>
          </w:p>
        </w:tc>
      </w:tr>
      <w:tr w:rsidR="00277260" w:rsidRPr="00C9343F" w14:paraId="28595C82" w14:textId="77777777" w:rsidTr="00DE6552">
        <w:tblPrEx>
          <w:tblLook w:val="04A0" w:firstRow="1" w:lastRow="0" w:firstColumn="1" w:lastColumn="0" w:noHBand="0" w:noVBand="1"/>
        </w:tblPrEx>
        <w:tc>
          <w:tcPr>
            <w:tcW w:w="992" w:type="dxa"/>
          </w:tcPr>
          <w:p w14:paraId="6A466F2A" w14:textId="77777777" w:rsidR="00277260" w:rsidRPr="00C9343F" w:rsidRDefault="00277260" w:rsidP="00F66D98">
            <w:pPr>
              <w:pStyle w:val="Sectiontext0"/>
              <w:jc w:val="center"/>
              <w:rPr>
                <w:lang w:eastAsia="en-US"/>
              </w:rPr>
            </w:pPr>
          </w:p>
        </w:tc>
        <w:tc>
          <w:tcPr>
            <w:tcW w:w="563" w:type="dxa"/>
          </w:tcPr>
          <w:p w14:paraId="2B239DCA" w14:textId="77777777" w:rsidR="00277260" w:rsidRPr="00C9343F" w:rsidRDefault="00277260" w:rsidP="00F66D98">
            <w:pPr>
              <w:pStyle w:val="Sectiontext0"/>
              <w:jc w:val="center"/>
              <w:rPr>
                <w:rFonts w:cs="Arial"/>
                <w:iCs/>
                <w:lang w:eastAsia="en-US"/>
              </w:rPr>
            </w:pPr>
            <w:r w:rsidRPr="00C9343F">
              <w:rPr>
                <w:rFonts w:cs="Arial"/>
                <w:iCs/>
                <w:lang w:eastAsia="en-US"/>
              </w:rPr>
              <w:t>d.</w:t>
            </w:r>
          </w:p>
        </w:tc>
        <w:tc>
          <w:tcPr>
            <w:tcW w:w="7804" w:type="dxa"/>
          </w:tcPr>
          <w:p w14:paraId="106907B5" w14:textId="77777777" w:rsidR="00277260" w:rsidRPr="00C9343F" w:rsidRDefault="00277260" w:rsidP="00F66D98">
            <w:pPr>
              <w:pStyle w:val="Sectiontext0"/>
              <w:rPr>
                <w:iCs/>
              </w:rPr>
            </w:pPr>
            <w:r w:rsidRPr="00C9343F">
              <w:rPr>
                <w:iCs/>
              </w:rPr>
              <w:t>Self-employment.</w:t>
            </w:r>
          </w:p>
        </w:tc>
      </w:tr>
      <w:tr w:rsidR="00277260" w:rsidRPr="00C9343F" w14:paraId="144FF618" w14:textId="77777777" w:rsidTr="00DE6552">
        <w:tc>
          <w:tcPr>
            <w:tcW w:w="992" w:type="dxa"/>
          </w:tcPr>
          <w:p w14:paraId="073EB215" w14:textId="77777777" w:rsidR="00277260" w:rsidRPr="00C9343F" w:rsidRDefault="00277260" w:rsidP="00F66D98">
            <w:pPr>
              <w:pStyle w:val="Sectiontext0"/>
              <w:jc w:val="center"/>
            </w:pPr>
          </w:p>
        </w:tc>
        <w:tc>
          <w:tcPr>
            <w:tcW w:w="8367" w:type="dxa"/>
            <w:gridSpan w:val="2"/>
          </w:tcPr>
          <w:p w14:paraId="0B4294B7" w14:textId="77777777" w:rsidR="00277260" w:rsidRPr="00C9343F" w:rsidRDefault="00277260" w:rsidP="00F66D98">
            <w:pPr>
              <w:pStyle w:val="Sectiontext0"/>
              <w:rPr>
                <w:iCs/>
              </w:rPr>
            </w:pPr>
            <w:r w:rsidRPr="00C9343F">
              <w:rPr>
                <w:b/>
                <w:bCs/>
                <w:iCs/>
              </w:rPr>
              <w:t>Meaningful engagement</w:t>
            </w:r>
            <w:r w:rsidRPr="00C9343F">
              <w:rPr>
                <w:iCs/>
              </w:rPr>
              <w:t xml:space="preserve"> means unpaid work or volunteering activities which contribute to social interaction and community inclusion.</w:t>
            </w:r>
          </w:p>
        </w:tc>
      </w:tr>
      <w:tr w:rsidR="00B2485C" w:rsidRPr="00C9343F" w14:paraId="292BEF3A" w14:textId="77777777" w:rsidTr="00DE6552">
        <w:tc>
          <w:tcPr>
            <w:tcW w:w="992" w:type="dxa"/>
          </w:tcPr>
          <w:p w14:paraId="45D604B2" w14:textId="77777777" w:rsidR="00B2485C" w:rsidRPr="00C9343F" w:rsidRDefault="00B2485C" w:rsidP="00B2485C">
            <w:pPr>
              <w:pStyle w:val="Sectiontext0"/>
              <w:jc w:val="center"/>
            </w:pPr>
          </w:p>
        </w:tc>
        <w:tc>
          <w:tcPr>
            <w:tcW w:w="8367" w:type="dxa"/>
            <w:gridSpan w:val="2"/>
          </w:tcPr>
          <w:p w14:paraId="3E7EFFE6" w14:textId="4DF9D28B" w:rsidR="00B2485C" w:rsidRPr="00C9343F" w:rsidRDefault="00B2485C" w:rsidP="00B2485C">
            <w:pPr>
              <w:pStyle w:val="Sectiontext0"/>
              <w:rPr>
                <w:b/>
                <w:bCs/>
                <w:iCs/>
              </w:rPr>
            </w:pPr>
            <w:r w:rsidRPr="00C9343F">
              <w:rPr>
                <w:rFonts w:cs="Arial"/>
                <w:b/>
                <w:lang w:eastAsia="en-US"/>
              </w:rPr>
              <w:t>Member</w:t>
            </w:r>
            <w:r w:rsidRPr="00C9343F">
              <w:rPr>
                <w:rFonts w:cs="Arial"/>
                <w:lang w:eastAsia="en-US"/>
              </w:rPr>
              <w:t xml:space="preserve"> includes a former member.</w:t>
            </w:r>
          </w:p>
        </w:tc>
      </w:tr>
    </w:tbl>
    <w:p w14:paraId="2560AB88" w14:textId="77777777" w:rsidR="00B2485C" w:rsidRPr="00C9343F" w:rsidRDefault="00B2485C" w:rsidP="00B2485C">
      <w:pPr>
        <w:pStyle w:val="Heading5"/>
      </w:pPr>
      <w:bookmarkStart w:id="318" w:name="_Toc105053639"/>
      <w:r w:rsidRPr="00C9343F">
        <w:t>2.2.3    Member this Part applies to</w:t>
      </w:r>
      <w:bookmarkEnd w:id="318"/>
    </w:p>
    <w:tbl>
      <w:tblPr>
        <w:tblW w:w="9359" w:type="dxa"/>
        <w:tblInd w:w="113" w:type="dxa"/>
        <w:tblLayout w:type="fixed"/>
        <w:tblLook w:val="0000" w:firstRow="0" w:lastRow="0" w:firstColumn="0" w:lastColumn="0" w:noHBand="0" w:noVBand="0"/>
      </w:tblPr>
      <w:tblGrid>
        <w:gridCol w:w="992"/>
        <w:gridCol w:w="563"/>
        <w:gridCol w:w="567"/>
        <w:gridCol w:w="7237"/>
      </w:tblGrid>
      <w:tr w:rsidR="00B2485C" w:rsidRPr="00C9343F" w14:paraId="58A749AF" w14:textId="77777777" w:rsidTr="005E243D">
        <w:tc>
          <w:tcPr>
            <w:tcW w:w="992" w:type="dxa"/>
          </w:tcPr>
          <w:p w14:paraId="08A13E9A" w14:textId="77777777" w:rsidR="00B2485C" w:rsidRPr="00C9343F" w:rsidRDefault="00B2485C" w:rsidP="005E243D">
            <w:pPr>
              <w:pStyle w:val="Sectiontext0"/>
              <w:jc w:val="center"/>
            </w:pPr>
          </w:p>
        </w:tc>
        <w:tc>
          <w:tcPr>
            <w:tcW w:w="8367" w:type="dxa"/>
            <w:gridSpan w:val="3"/>
          </w:tcPr>
          <w:p w14:paraId="2CEB4448" w14:textId="77777777" w:rsidR="00B2485C" w:rsidRPr="00C9343F" w:rsidRDefault="00B2485C" w:rsidP="005E243D">
            <w:pPr>
              <w:pStyle w:val="Sectiontext0"/>
            </w:pPr>
            <w:r w:rsidRPr="00C9343F">
              <w:rPr>
                <w:iCs/>
              </w:rPr>
              <w:t>This Part applies to the following.</w:t>
            </w:r>
          </w:p>
        </w:tc>
      </w:tr>
      <w:tr w:rsidR="00B2485C" w:rsidRPr="00C9343F" w14:paraId="4ABA0F67" w14:textId="77777777" w:rsidTr="005E243D">
        <w:tblPrEx>
          <w:tblLook w:val="04A0" w:firstRow="1" w:lastRow="0" w:firstColumn="1" w:lastColumn="0" w:noHBand="0" w:noVBand="1"/>
        </w:tblPrEx>
        <w:tc>
          <w:tcPr>
            <w:tcW w:w="992" w:type="dxa"/>
          </w:tcPr>
          <w:p w14:paraId="24C29C03" w14:textId="77777777" w:rsidR="00B2485C" w:rsidRPr="00C9343F" w:rsidRDefault="00B2485C" w:rsidP="005E243D">
            <w:pPr>
              <w:pStyle w:val="Sectiontext0"/>
              <w:jc w:val="center"/>
              <w:rPr>
                <w:lang w:eastAsia="en-US"/>
              </w:rPr>
            </w:pPr>
          </w:p>
        </w:tc>
        <w:tc>
          <w:tcPr>
            <w:tcW w:w="563" w:type="dxa"/>
          </w:tcPr>
          <w:p w14:paraId="58E7E5F9" w14:textId="77777777" w:rsidR="00B2485C" w:rsidRPr="00C9343F" w:rsidRDefault="00B2485C" w:rsidP="005E243D">
            <w:pPr>
              <w:pStyle w:val="Sectiontext0"/>
              <w:jc w:val="center"/>
              <w:rPr>
                <w:rFonts w:cs="Arial"/>
                <w:iCs/>
                <w:lang w:eastAsia="en-US"/>
              </w:rPr>
            </w:pPr>
            <w:r w:rsidRPr="00C9343F">
              <w:rPr>
                <w:rFonts w:cs="Arial"/>
                <w:iCs/>
                <w:lang w:eastAsia="en-US"/>
              </w:rPr>
              <w:t>a.</w:t>
            </w:r>
          </w:p>
        </w:tc>
        <w:tc>
          <w:tcPr>
            <w:tcW w:w="7804" w:type="dxa"/>
            <w:gridSpan w:val="2"/>
          </w:tcPr>
          <w:p w14:paraId="536E54DA" w14:textId="77777777" w:rsidR="00B2485C" w:rsidRPr="00C9343F" w:rsidRDefault="00B2485C" w:rsidP="005E243D">
            <w:pPr>
              <w:pStyle w:val="Sectiontext0"/>
            </w:pPr>
            <w:r w:rsidRPr="00C9343F">
              <w:t>A member of the</w:t>
            </w:r>
            <w:r w:rsidRPr="00C9343F">
              <w:rPr>
                <w:rFonts w:cs="Arial"/>
                <w:iCs/>
                <w:lang w:eastAsia="en-US"/>
              </w:rPr>
              <w:t xml:space="preserve"> Permanent Forces who becomes a member of the Reserves.</w:t>
            </w:r>
          </w:p>
        </w:tc>
      </w:tr>
      <w:tr w:rsidR="00B2485C" w:rsidRPr="00C9343F" w14:paraId="2CDFD069" w14:textId="77777777" w:rsidTr="005E243D">
        <w:tblPrEx>
          <w:tblLook w:val="04A0" w:firstRow="1" w:lastRow="0" w:firstColumn="1" w:lastColumn="0" w:noHBand="0" w:noVBand="1"/>
        </w:tblPrEx>
        <w:tc>
          <w:tcPr>
            <w:tcW w:w="992" w:type="dxa"/>
          </w:tcPr>
          <w:p w14:paraId="5EEDC4F2" w14:textId="77777777" w:rsidR="00B2485C" w:rsidRPr="00C9343F" w:rsidRDefault="00B2485C" w:rsidP="005E243D">
            <w:pPr>
              <w:pStyle w:val="Sectiontext0"/>
              <w:jc w:val="center"/>
              <w:rPr>
                <w:lang w:eastAsia="en-US"/>
              </w:rPr>
            </w:pPr>
          </w:p>
        </w:tc>
        <w:tc>
          <w:tcPr>
            <w:tcW w:w="563" w:type="dxa"/>
          </w:tcPr>
          <w:p w14:paraId="62A972A5" w14:textId="77777777" w:rsidR="00B2485C" w:rsidRPr="00C9343F" w:rsidRDefault="00B2485C" w:rsidP="005E243D">
            <w:pPr>
              <w:pStyle w:val="Sectiontext0"/>
              <w:jc w:val="center"/>
              <w:rPr>
                <w:rFonts w:cs="Arial"/>
                <w:iCs/>
                <w:lang w:eastAsia="en-US"/>
              </w:rPr>
            </w:pPr>
          </w:p>
        </w:tc>
        <w:tc>
          <w:tcPr>
            <w:tcW w:w="7804" w:type="dxa"/>
            <w:gridSpan w:val="2"/>
          </w:tcPr>
          <w:p w14:paraId="19A01204" w14:textId="77777777" w:rsidR="00B2485C" w:rsidRPr="00C9343F" w:rsidRDefault="00B2485C" w:rsidP="005E243D">
            <w:pPr>
              <w:pStyle w:val="Sectiontext0"/>
            </w:pPr>
            <w:r w:rsidRPr="00C9343F">
              <w:rPr>
                <w:b/>
              </w:rPr>
              <w:t>Note:</w:t>
            </w:r>
            <w:r w:rsidRPr="00C9343F">
              <w:t xml:space="preserve"> A member may become a member of the Reserves under sections 16 or 21 of the Defence Regulation.</w:t>
            </w:r>
          </w:p>
        </w:tc>
      </w:tr>
      <w:tr w:rsidR="00B2485C" w:rsidRPr="00C9343F" w14:paraId="36A357E7" w14:textId="77777777" w:rsidTr="005E243D">
        <w:tblPrEx>
          <w:tblLook w:val="04A0" w:firstRow="1" w:lastRow="0" w:firstColumn="1" w:lastColumn="0" w:noHBand="0" w:noVBand="1"/>
        </w:tblPrEx>
        <w:tc>
          <w:tcPr>
            <w:tcW w:w="992" w:type="dxa"/>
          </w:tcPr>
          <w:p w14:paraId="214B2563" w14:textId="77777777" w:rsidR="00B2485C" w:rsidRPr="00C9343F" w:rsidRDefault="00B2485C" w:rsidP="005E243D">
            <w:pPr>
              <w:pStyle w:val="Sectiontext0"/>
              <w:jc w:val="center"/>
              <w:rPr>
                <w:lang w:eastAsia="en-US"/>
              </w:rPr>
            </w:pPr>
          </w:p>
        </w:tc>
        <w:tc>
          <w:tcPr>
            <w:tcW w:w="563" w:type="dxa"/>
          </w:tcPr>
          <w:p w14:paraId="5AE60741" w14:textId="77777777" w:rsidR="00B2485C" w:rsidRPr="00C9343F" w:rsidRDefault="00B2485C" w:rsidP="005E243D">
            <w:pPr>
              <w:pStyle w:val="Sectiontext0"/>
              <w:jc w:val="center"/>
              <w:rPr>
                <w:rFonts w:cs="Arial"/>
                <w:iCs/>
                <w:lang w:eastAsia="en-US"/>
              </w:rPr>
            </w:pPr>
            <w:r w:rsidRPr="00C9343F">
              <w:rPr>
                <w:rFonts w:cs="Arial"/>
                <w:iCs/>
                <w:lang w:eastAsia="en-US"/>
              </w:rPr>
              <w:t>b.</w:t>
            </w:r>
          </w:p>
        </w:tc>
        <w:tc>
          <w:tcPr>
            <w:tcW w:w="7804" w:type="dxa"/>
            <w:gridSpan w:val="2"/>
          </w:tcPr>
          <w:p w14:paraId="45B11C9C" w14:textId="77777777" w:rsidR="00B2485C" w:rsidRPr="00C9343F" w:rsidRDefault="00B2485C" w:rsidP="005E243D">
            <w:pPr>
              <w:pStyle w:val="Sectiontext0"/>
            </w:pPr>
            <w:r w:rsidRPr="00C9343F">
              <w:t xml:space="preserve">A member of the Reserves who transfers to SERCAT 2 if one of the following occurs.  </w:t>
            </w:r>
          </w:p>
        </w:tc>
      </w:tr>
      <w:tr w:rsidR="00B2485C" w:rsidRPr="00C9343F" w14:paraId="3C0F1987" w14:textId="77777777" w:rsidTr="005E243D">
        <w:tblPrEx>
          <w:tblLook w:val="04A0" w:firstRow="1" w:lastRow="0" w:firstColumn="1" w:lastColumn="0" w:noHBand="0" w:noVBand="1"/>
        </w:tblPrEx>
        <w:tc>
          <w:tcPr>
            <w:tcW w:w="992" w:type="dxa"/>
          </w:tcPr>
          <w:p w14:paraId="336FFA7B" w14:textId="77777777" w:rsidR="00B2485C" w:rsidRPr="00C9343F" w:rsidRDefault="00B2485C" w:rsidP="005E243D">
            <w:pPr>
              <w:pStyle w:val="Sectiontext0"/>
              <w:jc w:val="center"/>
              <w:rPr>
                <w:lang w:eastAsia="en-US"/>
              </w:rPr>
            </w:pPr>
          </w:p>
        </w:tc>
        <w:tc>
          <w:tcPr>
            <w:tcW w:w="563" w:type="dxa"/>
          </w:tcPr>
          <w:p w14:paraId="69E9180C" w14:textId="77777777" w:rsidR="00B2485C" w:rsidRPr="00C9343F" w:rsidRDefault="00B2485C" w:rsidP="005E243D">
            <w:pPr>
              <w:pStyle w:val="Sectiontext0"/>
              <w:rPr>
                <w:rFonts w:cs="Arial"/>
                <w:iCs/>
                <w:lang w:eastAsia="en-US"/>
              </w:rPr>
            </w:pPr>
          </w:p>
        </w:tc>
        <w:tc>
          <w:tcPr>
            <w:tcW w:w="567" w:type="dxa"/>
          </w:tcPr>
          <w:p w14:paraId="2E4C7C9F" w14:textId="77777777" w:rsidR="00B2485C" w:rsidRPr="00C9343F" w:rsidRDefault="00B2485C" w:rsidP="005E243D">
            <w:pPr>
              <w:pStyle w:val="Sectiontext0"/>
              <w:rPr>
                <w:rFonts w:cs="Arial"/>
                <w:iCs/>
                <w:lang w:eastAsia="en-US"/>
              </w:rPr>
            </w:pPr>
            <w:r w:rsidRPr="00C9343F">
              <w:rPr>
                <w:rFonts w:cs="Arial"/>
                <w:iCs/>
                <w:lang w:eastAsia="en-US"/>
              </w:rPr>
              <w:t>i.</w:t>
            </w:r>
          </w:p>
        </w:tc>
        <w:tc>
          <w:tcPr>
            <w:tcW w:w="7237" w:type="dxa"/>
          </w:tcPr>
          <w:p w14:paraId="4755A7B1" w14:textId="77777777" w:rsidR="00B2485C" w:rsidRPr="00C9343F" w:rsidRDefault="00B2485C" w:rsidP="005E243D">
            <w:pPr>
              <w:pStyle w:val="Sectiontext0"/>
              <w:rPr>
                <w:rFonts w:cs="Arial"/>
                <w:iCs/>
                <w:lang w:eastAsia="en-US"/>
              </w:rPr>
            </w:pPr>
            <w:r w:rsidRPr="00C9343F">
              <w:t>They cease service in SERCAT 3, 4 or 5.</w:t>
            </w:r>
          </w:p>
        </w:tc>
      </w:tr>
      <w:tr w:rsidR="00B2485C" w:rsidRPr="00C9343F" w14:paraId="06A1E360" w14:textId="77777777" w:rsidTr="005E243D">
        <w:tblPrEx>
          <w:tblLook w:val="04A0" w:firstRow="1" w:lastRow="0" w:firstColumn="1" w:lastColumn="0" w:noHBand="0" w:noVBand="1"/>
        </w:tblPrEx>
        <w:tc>
          <w:tcPr>
            <w:tcW w:w="992" w:type="dxa"/>
          </w:tcPr>
          <w:p w14:paraId="2A531CEC" w14:textId="77777777" w:rsidR="00B2485C" w:rsidRPr="00C9343F" w:rsidRDefault="00B2485C" w:rsidP="005E243D">
            <w:pPr>
              <w:pStyle w:val="Sectiontext0"/>
              <w:jc w:val="center"/>
              <w:rPr>
                <w:lang w:eastAsia="en-US"/>
              </w:rPr>
            </w:pPr>
          </w:p>
        </w:tc>
        <w:tc>
          <w:tcPr>
            <w:tcW w:w="563" w:type="dxa"/>
          </w:tcPr>
          <w:p w14:paraId="51894B25" w14:textId="77777777" w:rsidR="00B2485C" w:rsidRPr="00C9343F" w:rsidRDefault="00B2485C" w:rsidP="005E243D">
            <w:pPr>
              <w:pStyle w:val="Sectiontext0"/>
              <w:rPr>
                <w:rFonts w:cs="Arial"/>
                <w:iCs/>
                <w:lang w:eastAsia="en-US"/>
              </w:rPr>
            </w:pPr>
          </w:p>
        </w:tc>
        <w:tc>
          <w:tcPr>
            <w:tcW w:w="567" w:type="dxa"/>
          </w:tcPr>
          <w:p w14:paraId="1B14BA3D" w14:textId="77777777" w:rsidR="00B2485C" w:rsidRPr="00C9343F" w:rsidRDefault="00B2485C" w:rsidP="005E243D">
            <w:pPr>
              <w:pStyle w:val="Sectiontext0"/>
              <w:rPr>
                <w:rFonts w:cs="Arial"/>
                <w:iCs/>
                <w:lang w:eastAsia="en-US"/>
              </w:rPr>
            </w:pPr>
            <w:r w:rsidRPr="00C9343F">
              <w:rPr>
                <w:rFonts w:cs="Arial"/>
                <w:iCs/>
                <w:lang w:eastAsia="en-US"/>
              </w:rPr>
              <w:t>ii.</w:t>
            </w:r>
          </w:p>
        </w:tc>
        <w:tc>
          <w:tcPr>
            <w:tcW w:w="7237" w:type="dxa"/>
          </w:tcPr>
          <w:p w14:paraId="053969F1" w14:textId="77777777" w:rsidR="00B2485C" w:rsidRPr="00C9343F" w:rsidRDefault="00B2485C" w:rsidP="005E243D">
            <w:pPr>
              <w:pStyle w:val="Sectiontext0"/>
              <w:rPr>
                <w:rFonts w:cs="Arial"/>
                <w:iCs/>
                <w:lang w:eastAsia="en-US"/>
              </w:rPr>
            </w:pPr>
            <w:r w:rsidRPr="00C9343F">
              <w:rPr>
                <w:rFonts w:cs="Arial"/>
                <w:iCs/>
                <w:lang w:eastAsia="en-US"/>
              </w:rPr>
              <w:t xml:space="preserve">They complete a </w:t>
            </w:r>
            <w:r w:rsidRPr="00C9343F">
              <w:t>fixed period of continuous full-time service.</w:t>
            </w:r>
          </w:p>
        </w:tc>
      </w:tr>
      <w:tr w:rsidR="00B2485C" w:rsidRPr="00C9343F" w14:paraId="2E798089" w14:textId="77777777" w:rsidTr="005E243D">
        <w:tblPrEx>
          <w:tblLook w:val="04A0" w:firstRow="1" w:lastRow="0" w:firstColumn="1" w:lastColumn="0" w:noHBand="0" w:noVBand="1"/>
        </w:tblPrEx>
        <w:tc>
          <w:tcPr>
            <w:tcW w:w="992" w:type="dxa"/>
          </w:tcPr>
          <w:p w14:paraId="0B9C7C6C" w14:textId="77777777" w:rsidR="00B2485C" w:rsidRPr="00C9343F" w:rsidRDefault="00B2485C" w:rsidP="005E243D">
            <w:pPr>
              <w:pStyle w:val="Sectiontext0"/>
              <w:jc w:val="center"/>
              <w:rPr>
                <w:lang w:eastAsia="en-US"/>
              </w:rPr>
            </w:pPr>
          </w:p>
        </w:tc>
        <w:tc>
          <w:tcPr>
            <w:tcW w:w="563" w:type="dxa"/>
          </w:tcPr>
          <w:p w14:paraId="0D5DE499" w14:textId="77777777" w:rsidR="00B2485C" w:rsidRPr="00C9343F" w:rsidRDefault="00B2485C" w:rsidP="005E243D">
            <w:pPr>
              <w:pStyle w:val="Sectiontext0"/>
              <w:jc w:val="center"/>
              <w:rPr>
                <w:rFonts w:cs="Arial"/>
                <w:iCs/>
                <w:lang w:eastAsia="en-US"/>
              </w:rPr>
            </w:pPr>
            <w:r w:rsidRPr="00C9343F">
              <w:rPr>
                <w:rFonts w:cs="Arial"/>
                <w:iCs/>
                <w:lang w:eastAsia="en-US"/>
              </w:rPr>
              <w:t>c.</w:t>
            </w:r>
          </w:p>
        </w:tc>
        <w:tc>
          <w:tcPr>
            <w:tcW w:w="7804" w:type="dxa"/>
            <w:gridSpan w:val="2"/>
          </w:tcPr>
          <w:p w14:paraId="66177F3F" w14:textId="77777777" w:rsidR="00B2485C" w:rsidRPr="00C9343F" w:rsidRDefault="00B2485C" w:rsidP="005E243D">
            <w:pPr>
              <w:pStyle w:val="Sectiontext0"/>
            </w:pPr>
            <w:r w:rsidRPr="00C9343F">
              <w:t xml:space="preserve">A member, including a member of the Reserves, who meets one of the following.  </w:t>
            </w:r>
          </w:p>
        </w:tc>
      </w:tr>
      <w:tr w:rsidR="00B2485C" w:rsidRPr="00C9343F" w14:paraId="5B0ABBB7" w14:textId="77777777" w:rsidTr="005E243D">
        <w:tblPrEx>
          <w:tblLook w:val="04A0" w:firstRow="1" w:lastRow="0" w:firstColumn="1" w:lastColumn="0" w:noHBand="0" w:noVBand="1"/>
        </w:tblPrEx>
        <w:tc>
          <w:tcPr>
            <w:tcW w:w="992" w:type="dxa"/>
          </w:tcPr>
          <w:p w14:paraId="0644C9C9" w14:textId="77777777" w:rsidR="00B2485C" w:rsidRPr="00C9343F" w:rsidRDefault="00B2485C" w:rsidP="005E243D">
            <w:pPr>
              <w:pStyle w:val="Sectiontext0"/>
              <w:jc w:val="center"/>
              <w:rPr>
                <w:lang w:eastAsia="en-US"/>
              </w:rPr>
            </w:pPr>
          </w:p>
        </w:tc>
        <w:tc>
          <w:tcPr>
            <w:tcW w:w="563" w:type="dxa"/>
          </w:tcPr>
          <w:p w14:paraId="17FDD879" w14:textId="77777777" w:rsidR="00B2485C" w:rsidRPr="00C9343F" w:rsidRDefault="00B2485C" w:rsidP="005E243D">
            <w:pPr>
              <w:pStyle w:val="Sectiontext0"/>
              <w:rPr>
                <w:rFonts w:cs="Arial"/>
                <w:iCs/>
                <w:lang w:eastAsia="en-US"/>
              </w:rPr>
            </w:pPr>
          </w:p>
        </w:tc>
        <w:tc>
          <w:tcPr>
            <w:tcW w:w="567" w:type="dxa"/>
          </w:tcPr>
          <w:p w14:paraId="00665322" w14:textId="77777777" w:rsidR="00B2485C" w:rsidRPr="00C9343F" w:rsidRDefault="00B2485C" w:rsidP="005E243D">
            <w:pPr>
              <w:pStyle w:val="Sectiontext0"/>
              <w:rPr>
                <w:rFonts w:cs="Arial"/>
                <w:iCs/>
                <w:lang w:eastAsia="en-US"/>
              </w:rPr>
            </w:pPr>
            <w:r w:rsidRPr="00C9343F">
              <w:rPr>
                <w:rFonts w:cs="Arial"/>
                <w:iCs/>
                <w:lang w:eastAsia="en-US"/>
              </w:rPr>
              <w:t>i.</w:t>
            </w:r>
          </w:p>
        </w:tc>
        <w:tc>
          <w:tcPr>
            <w:tcW w:w="7237" w:type="dxa"/>
          </w:tcPr>
          <w:p w14:paraId="708FE32A" w14:textId="77777777" w:rsidR="00B2485C" w:rsidRPr="00C9343F" w:rsidRDefault="00B2485C" w:rsidP="005E243D">
            <w:pPr>
              <w:pStyle w:val="Sectiontext0"/>
              <w:rPr>
                <w:rFonts w:cs="Arial"/>
                <w:iCs/>
                <w:lang w:eastAsia="en-US"/>
              </w:rPr>
            </w:pPr>
            <w:r w:rsidRPr="00C9343F">
              <w:rPr>
                <w:rFonts w:cs="Arial"/>
                <w:iCs/>
                <w:lang w:eastAsia="en-US"/>
              </w:rPr>
              <w:t>They have been issued with a termination notice under section 24 of the Defence Regulation or section 100 of the Act.</w:t>
            </w:r>
          </w:p>
        </w:tc>
      </w:tr>
      <w:tr w:rsidR="00B2485C" w:rsidRPr="00C9343F" w14:paraId="3AA37CE2" w14:textId="77777777" w:rsidTr="005E243D">
        <w:tblPrEx>
          <w:tblLook w:val="04A0" w:firstRow="1" w:lastRow="0" w:firstColumn="1" w:lastColumn="0" w:noHBand="0" w:noVBand="1"/>
        </w:tblPrEx>
        <w:tc>
          <w:tcPr>
            <w:tcW w:w="992" w:type="dxa"/>
          </w:tcPr>
          <w:p w14:paraId="45D054A4" w14:textId="77777777" w:rsidR="00B2485C" w:rsidRPr="00C9343F" w:rsidRDefault="00B2485C" w:rsidP="005E243D">
            <w:pPr>
              <w:pStyle w:val="Sectiontext0"/>
              <w:jc w:val="center"/>
              <w:rPr>
                <w:lang w:eastAsia="en-US"/>
              </w:rPr>
            </w:pPr>
          </w:p>
        </w:tc>
        <w:tc>
          <w:tcPr>
            <w:tcW w:w="563" w:type="dxa"/>
          </w:tcPr>
          <w:p w14:paraId="644BE667" w14:textId="77777777" w:rsidR="00B2485C" w:rsidRPr="00C9343F" w:rsidRDefault="00B2485C" w:rsidP="005E243D">
            <w:pPr>
              <w:pStyle w:val="Sectiontext0"/>
              <w:rPr>
                <w:rFonts w:cs="Arial"/>
                <w:iCs/>
                <w:lang w:eastAsia="en-US"/>
              </w:rPr>
            </w:pPr>
          </w:p>
        </w:tc>
        <w:tc>
          <w:tcPr>
            <w:tcW w:w="567" w:type="dxa"/>
          </w:tcPr>
          <w:p w14:paraId="4ED2DA8E" w14:textId="77777777" w:rsidR="00B2485C" w:rsidRPr="00C9343F" w:rsidRDefault="00B2485C" w:rsidP="005E243D">
            <w:pPr>
              <w:pStyle w:val="Sectiontext0"/>
              <w:rPr>
                <w:rFonts w:cs="Arial"/>
                <w:iCs/>
                <w:lang w:eastAsia="en-US"/>
              </w:rPr>
            </w:pPr>
            <w:r w:rsidRPr="00C9343F">
              <w:rPr>
                <w:rFonts w:cs="Arial"/>
                <w:iCs/>
                <w:lang w:eastAsia="en-US"/>
              </w:rPr>
              <w:t>ii.</w:t>
            </w:r>
          </w:p>
        </w:tc>
        <w:tc>
          <w:tcPr>
            <w:tcW w:w="7237" w:type="dxa"/>
          </w:tcPr>
          <w:p w14:paraId="0A174AF6" w14:textId="77777777" w:rsidR="00B2485C" w:rsidRPr="00C9343F" w:rsidRDefault="00B2485C" w:rsidP="005E243D">
            <w:pPr>
              <w:pStyle w:val="Sectiontext0"/>
              <w:rPr>
                <w:rFonts w:cs="Arial"/>
                <w:iCs/>
                <w:lang w:eastAsia="en-US"/>
              </w:rPr>
            </w:pPr>
            <w:r w:rsidRPr="00C9343F">
              <w:rPr>
                <w:rFonts w:cs="Arial"/>
                <w:iCs/>
                <w:lang w:eastAsia="en-US"/>
              </w:rPr>
              <w:t>They are 12 months or less away from their retirement age.</w:t>
            </w:r>
          </w:p>
        </w:tc>
      </w:tr>
      <w:tr w:rsidR="00B31966" w:rsidRPr="00C9343F" w14:paraId="41B673E8" w14:textId="77777777" w:rsidTr="005E243D">
        <w:tblPrEx>
          <w:tblLook w:val="04A0" w:firstRow="1" w:lastRow="0" w:firstColumn="1" w:lastColumn="0" w:noHBand="0" w:noVBand="1"/>
        </w:tblPrEx>
        <w:tc>
          <w:tcPr>
            <w:tcW w:w="992" w:type="dxa"/>
          </w:tcPr>
          <w:p w14:paraId="6DF6C816" w14:textId="77777777" w:rsidR="00B31966" w:rsidRPr="00C9343F" w:rsidRDefault="00B31966" w:rsidP="005E243D">
            <w:pPr>
              <w:pStyle w:val="Sectiontext0"/>
              <w:jc w:val="center"/>
              <w:rPr>
                <w:lang w:eastAsia="en-US"/>
              </w:rPr>
            </w:pPr>
          </w:p>
        </w:tc>
        <w:tc>
          <w:tcPr>
            <w:tcW w:w="563" w:type="dxa"/>
          </w:tcPr>
          <w:p w14:paraId="2F66DA1F" w14:textId="77777777" w:rsidR="00B31966" w:rsidRPr="00C9343F" w:rsidRDefault="00B31966" w:rsidP="005E243D">
            <w:pPr>
              <w:pStyle w:val="Sectiontext0"/>
              <w:rPr>
                <w:rFonts w:cs="Arial"/>
                <w:iCs/>
                <w:lang w:eastAsia="en-US"/>
              </w:rPr>
            </w:pPr>
          </w:p>
        </w:tc>
        <w:tc>
          <w:tcPr>
            <w:tcW w:w="567" w:type="dxa"/>
          </w:tcPr>
          <w:p w14:paraId="17CAA0EB" w14:textId="77777777" w:rsidR="00B31966" w:rsidRPr="00C9343F" w:rsidRDefault="00B31966" w:rsidP="005E243D">
            <w:pPr>
              <w:pStyle w:val="Sectiontext0"/>
              <w:rPr>
                <w:rFonts w:cs="Arial"/>
                <w:iCs/>
                <w:lang w:eastAsia="en-US"/>
              </w:rPr>
            </w:pPr>
          </w:p>
        </w:tc>
        <w:tc>
          <w:tcPr>
            <w:tcW w:w="7237" w:type="dxa"/>
          </w:tcPr>
          <w:p w14:paraId="538C200D" w14:textId="5E196293" w:rsidR="00B31966" w:rsidRPr="00C9343F" w:rsidRDefault="00B31966" w:rsidP="005E243D">
            <w:pPr>
              <w:pStyle w:val="Sectiontext0"/>
              <w:rPr>
                <w:rFonts w:cs="Arial"/>
                <w:iCs/>
                <w:lang w:eastAsia="en-US"/>
              </w:rPr>
            </w:pPr>
            <w:r w:rsidRPr="00C9343F">
              <w:rPr>
                <w:rFonts w:cs="Arial"/>
                <w:b/>
                <w:iCs/>
                <w:lang w:eastAsia="en-US"/>
              </w:rPr>
              <w:t xml:space="preserve">Note: </w:t>
            </w:r>
            <w:r w:rsidRPr="00C9343F">
              <w:rPr>
                <w:rFonts w:cs="Arial"/>
                <w:iCs/>
                <w:lang w:eastAsia="en-US"/>
              </w:rPr>
              <w:t>Retirement ages are provided under section 24 of the Defence Regulation.</w:t>
            </w:r>
          </w:p>
        </w:tc>
      </w:tr>
      <w:tr w:rsidR="00B2485C" w:rsidRPr="00C9343F" w14:paraId="7B5AEC6F" w14:textId="77777777" w:rsidTr="005E243D">
        <w:tblPrEx>
          <w:tblLook w:val="04A0" w:firstRow="1" w:lastRow="0" w:firstColumn="1" w:lastColumn="0" w:noHBand="0" w:noVBand="1"/>
        </w:tblPrEx>
        <w:tc>
          <w:tcPr>
            <w:tcW w:w="992" w:type="dxa"/>
          </w:tcPr>
          <w:p w14:paraId="2CFAC8D0" w14:textId="77777777" w:rsidR="00B2485C" w:rsidRPr="00C9343F" w:rsidRDefault="00B2485C" w:rsidP="005E243D">
            <w:pPr>
              <w:pStyle w:val="Sectiontext0"/>
              <w:jc w:val="center"/>
              <w:rPr>
                <w:lang w:eastAsia="en-US"/>
              </w:rPr>
            </w:pPr>
          </w:p>
        </w:tc>
        <w:tc>
          <w:tcPr>
            <w:tcW w:w="563" w:type="dxa"/>
          </w:tcPr>
          <w:p w14:paraId="2BF69DD1" w14:textId="77777777" w:rsidR="00B2485C" w:rsidRPr="00C9343F" w:rsidRDefault="00B2485C" w:rsidP="005E243D">
            <w:pPr>
              <w:pStyle w:val="Sectiontext0"/>
              <w:rPr>
                <w:rFonts w:cs="Arial"/>
                <w:iCs/>
                <w:lang w:eastAsia="en-US"/>
              </w:rPr>
            </w:pPr>
          </w:p>
        </w:tc>
        <w:tc>
          <w:tcPr>
            <w:tcW w:w="567" w:type="dxa"/>
          </w:tcPr>
          <w:p w14:paraId="2F1134FE" w14:textId="77777777" w:rsidR="00B2485C" w:rsidRPr="00C9343F" w:rsidRDefault="00B2485C" w:rsidP="005E243D">
            <w:pPr>
              <w:pStyle w:val="Sectiontext0"/>
              <w:rPr>
                <w:rFonts w:cs="Arial"/>
                <w:iCs/>
                <w:lang w:eastAsia="en-US"/>
              </w:rPr>
            </w:pPr>
            <w:r w:rsidRPr="00C9343F">
              <w:rPr>
                <w:rFonts w:cs="Arial"/>
                <w:iCs/>
                <w:lang w:eastAsia="en-US"/>
              </w:rPr>
              <w:t>iii.</w:t>
            </w:r>
          </w:p>
        </w:tc>
        <w:tc>
          <w:tcPr>
            <w:tcW w:w="7237" w:type="dxa"/>
          </w:tcPr>
          <w:p w14:paraId="422AB47D" w14:textId="77777777" w:rsidR="00B2485C" w:rsidRPr="00C9343F" w:rsidRDefault="00B2485C" w:rsidP="005E243D">
            <w:pPr>
              <w:pStyle w:val="Sectiontext0"/>
              <w:rPr>
                <w:rFonts w:cs="Arial"/>
                <w:iCs/>
                <w:lang w:eastAsia="en-US"/>
              </w:rPr>
            </w:pPr>
            <w:r w:rsidRPr="00C9343F">
              <w:rPr>
                <w:rFonts w:cs="Arial"/>
                <w:iCs/>
                <w:lang w:eastAsia="en-US"/>
              </w:rPr>
              <w:t>They are 3 months or less away from completing a fixed period of service.</w:t>
            </w:r>
          </w:p>
        </w:tc>
      </w:tr>
      <w:tr w:rsidR="00B31966" w:rsidRPr="00C9343F" w14:paraId="2113727C" w14:textId="77777777" w:rsidTr="005E243D">
        <w:tblPrEx>
          <w:tblLook w:val="04A0" w:firstRow="1" w:lastRow="0" w:firstColumn="1" w:lastColumn="0" w:noHBand="0" w:noVBand="1"/>
        </w:tblPrEx>
        <w:tc>
          <w:tcPr>
            <w:tcW w:w="992" w:type="dxa"/>
          </w:tcPr>
          <w:p w14:paraId="23BA5611" w14:textId="77777777" w:rsidR="00B31966" w:rsidRPr="00C9343F" w:rsidRDefault="00B31966" w:rsidP="005E243D">
            <w:pPr>
              <w:pStyle w:val="Sectiontext0"/>
              <w:jc w:val="center"/>
              <w:rPr>
                <w:lang w:eastAsia="en-US"/>
              </w:rPr>
            </w:pPr>
          </w:p>
        </w:tc>
        <w:tc>
          <w:tcPr>
            <w:tcW w:w="563" w:type="dxa"/>
          </w:tcPr>
          <w:p w14:paraId="3E84818C" w14:textId="77777777" w:rsidR="00B31966" w:rsidRPr="00C9343F" w:rsidRDefault="00B31966" w:rsidP="005E243D">
            <w:pPr>
              <w:pStyle w:val="Sectiontext0"/>
              <w:rPr>
                <w:rFonts w:cs="Arial"/>
                <w:iCs/>
                <w:lang w:eastAsia="en-US"/>
              </w:rPr>
            </w:pPr>
          </w:p>
        </w:tc>
        <w:tc>
          <w:tcPr>
            <w:tcW w:w="567" w:type="dxa"/>
          </w:tcPr>
          <w:p w14:paraId="7C6ABA9D" w14:textId="77777777" w:rsidR="00B31966" w:rsidRPr="00C9343F" w:rsidRDefault="00B31966" w:rsidP="005E243D">
            <w:pPr>
              <w:pStyle w:val="Sectiontext0"/>
              <w:rPr>
                <w:rFonts w:cs="Arial"/>
                <w:iCs/>
                <w:lang w:eastAsia="en-US"/>
              </w:rPr>
            </w:pPr>
          </w:p>
        </w:tc>
        <w:tc>
          <w:tcPr>
            <w:tcW w:w="7237" w:type="dxa"/>
          </w:tcPr>
          <w:p w14:paraId="25860250" w14:textId="2C87C6BF" w:rsidR="00B31966" w:rsidRPr="00C9343F" w:rsidRDefault="00B31966" w:rsidP="005E243D">
            <w:pPr>
              <w:pStyle w:val="Sectiontext0"/>
              <w:rPr>
                <w:rFonts w:cs="Arial"/>
                <w:iCs/>
                <w:lang w:eastAsia="en-US"/>
              </w:rPr>
            </w:pPr>
            <w:r w:rsidRPr="00C9343F">
              <w:rPr>
                <w:rFonts w:cs="Arial"/>
                <w:b/>
                <w:iCs/>
                <w:lang w:eastAsia="en-US"/>
              </w:rPr>
              <w:t xml:space="preserve">Note: </w:t>
            </w:r>
            <w:r w:rsidRPr="00C9343F">
              <w:rPr>
                <w:rFonts w:cs="Arial"/>
                <w:iCs/>
                <w:lang w:eastAsia="en-US"/>
              </w:rPr>
              <w:t>A member may change their period of service under section 18 of the Defence Regulation.</w:t>
            </w:r>
          </w:p>
        </w:tc>
      </w:tr>
      <w:tr w:rsidR="00B2485C" w:rsidRPr="00C9343F" w14:paraId="301D5475" w14:textId="77777777" w:rsidTr="005E243D">
        <w:tblPrEx>
          <w:tblLook w:val="04A0" w:firstRow="1" w:lastRow="0" w:firstColumn="1" w:lastColumn="0" w:noHBand="0" w:noVBand="1"/>
        </w:tblPrEx>
        <w:tc>
          <w:tcPr>
            <w:tcW w:w="992" w:type="dxa"/>
          </w:tcPr>
          <w:p w14:paraId="6A2D5409" w14:textId="77777777" w:rsidR="00B2485C" w:rsidRPr="00C9343F" w:rsidRDefault="00B2485C" w:rsidP="005E243D">
            <w:pPr>
              <w:pStyle w:val="Sectiontext0"/>
              <w:jc w:val="center"/>
              <w:rPr>
                <w:lang w:eastAsia="en-US"/>
              </w:rPr>
            </w:pPr>
          </w:p>
        </w:tc>
        <w:tc>
          <w:tcPr>
            <w:tcW w:w="563" w:type="dxa"/>
          </w:tcPr>
          <w:p w14:paraId="67FDC4E5" w14:textId="77777777" w:rsidR="00B2485C" w:rsidRPr="00C9343F" w:rsidRDefault="00B2485C" w:rsidP="005E243D">
            <w:pPr>
              <w:pStyle w:val="Sectiontext0"/>
              <w:rPr>
                <w:rFonts w:cs="Arial"/>
                <w:iCs/>
                <w:lang w:eastAsia="en-US"/>
              </w:rPr>
            </w:pPr>
          </w:p>
        </w:tc>
        <w:tc>
          <w:tcPr>
            <w:tcW w:w="567" w:type="dxa"/>
          </w:tcPr>
          <w:p w14:paraId="0D77670D" w14:textId="77777777" w:rsidR="00B2485C" w:rsidRPr="00C9343F" w:rsidRDefault="00B2485C" w:rsidP="005E243D">
            <w:pPr>
              <w:pStyle w:val="Sectiontext0"/>
              <w:rPr>
                <w:rFonts w:cs="Arial"/>
                <w:iCs/>
                <w:lang w:eastAsia="en-US"/>
              </w:rPr>
            </w:pPr>
            <w:r w:rsidRPr="00C9343F">
              <w:rPr>
                <w:rFonts w:cs="Arial"/>
                <w:iCs/>
                <w:lang w:eastAsia="en-US"/>
              </w:rPr>
              <w:t>iv.</w:t>
            </w:r>
          </w:p>
        </w:tc>
        <w:tc>
          <w:tcPr>
            <w:tcW w:w="7237" w:type="dxa"/>
          </w:tcPr>
          <w:p w14:paraId="38B919BE" w14:textId="77777777" w:rsidR="00B2485C" w:rsidRPr="00C9343F" w:rsidRDefault="00B2485C" w:rsidP="005E243D">
            <w:pPr>
              <w:pStyle w:val="Sectiontext0"/>
              <w:rPr>
                <w:rFonts w:cs="Arial"/>
                <w:iCs/>
                <w:lang w:eastAsia="en-US"/>
              </w:rPr>
            </w:pPr>
            <w:r w:rsidRPr="00C9343F">
              <w:rPr>
                <w:rFonts w:cs="Arial"/>
                <w:iCs/>
                <w:lang w:eastAsia="en-US"/>
              </w:rPr>
              <w:t xml:space="preserve">They have been dismissed under the </w:t>
            </w:r>
            <w:r w:rsidRPr="00C9343F">
              <w:rPr>
                <w:rFonts w:cs="Arial"/>
                <w:i/>
                <w:iCs/>
                <w:lang w:eastAsia="en-US"/>
              </w:rPr>
              <w:t>Defence Force Discipline Act 1982.</w:t>
            </w:r>
          </w:p>
        </w:tc>
      </w:tr>
      <w:tr w:rsidR="00B2485C" w:rsidRPr="00C9343F" w14:paraId="2A8BE04C" w14:textId="77777777" w:rsidTr="005E243D">
        <w:tblPrEx>
          <w:tblLook w:val="04A0" w:firstRow="1" w:lastRow="0" w:firstColumn="1" w:lastColumn="0" w:noHBand="0" w:noVBand="1"/>
        </w:tblPrEx>
        <w:tc>
          <w:tcPr>
            <w:tcW w:w="992" w:type="dxa"/>
          </w:tcPr>
          <w:p w14:paraId="703DDC73" w14:textId="77777777" w:rsidR="00B2485C" w:rsidRPr="00C9343F" w:rsidRDefault="00B2485C" w:rsidP="005E243D">
            <w:pPr>
              <w:pStyle w:val="Sectiontext0"/>
              <w:jc w:val="center"/>
              <w:rPr>
                <w:lang w:eastAsia="en-US"/>
              </w:rPr>
            </w:pPr>
          </w:p>
        </w:tc>
        <w:tc>
          <w:tcPr>
            <w:tcW w:w="563" w:type="dxa"/>
          </w:tcPr>
          <w:p w14:paraId="103F20B7" w14:textId="77777777" w:rsidR="00B2485C" w:rsidRPr="00C9343F" w:rsidRDefault="00B2485C" w:rsidP="005E243D">
            <w:pPr>
              <w:pStyle w:val="Sectiontext0"/>
              <w:jc w:val="center"/>
              <w:rPr>
                <w:rFonts w:cs="Arial"/>
                <w:iCs/>
                <w:lang w:eastAsia="en-US"/>
              </w:rPr>
            </w:pPr>
            <w:r w:rsidRPr="00C9343F">
              <w:rPr>
                <w:rFonts w:cs="Arial"/>
                <w:iCs/>
                <w:lang w:eastAsia="en-US"/>
              </w:rPr>
              <w:t>d.</w:t>
            </w:r>
          </w:p>
        </w:tc>
        <w:tc>
          <w:tcPr>
            <w:tcW w:w="7804" w:type="dxa"/>
            <w:gridSpan w:val="2"/>
          </w:tcPr>
          <w:p w14:paraId="60D6C68C" w14:textId="77777777" w:rsidR="00B2485C" w:rsidRPr="00C9343F" w:rsidRDefault="00B2485C" w:rsidP="005E243D">
            <w:pPr>
              <w:pStyle w:val="Sectiontext0"/>
              <w:rPr>
                <w:rFonts w:cs="Arial"/>
                <w:iCs/>
                <w:lang w:eastAsia="en-US"/>
              </w:rPr>
            </w:pPr>
            <w:r w:rsidRPr="00C9343F">
              <w:rPr>
                <w:rFonts w:cs="Arial"/>
                <w:iCs/>
                <w:lang w:eastAsia="en-US"/>
              </w:rPr>
              <w:t xml:space="preserve">A former member who meets both of the following. </w:t>
            </w:r>
          </w:p>
        </w:tc>
      </w:tr>
      <w:tr w:rsidR="00B2485C" w:rsidRPr="00C9343F" w14:paraId="622DE4C3" w14:textId="77777777" w:rsidTr="005E243D">
        <w:tblPrEx>
          <w:tblLook w:val="04A0" w:firstRow="1" w:lastRow="0" w:firstColumn="1" w:lastColumn="0" w:noHBand="0" w:noVBand="1"/>
        </w:tblPrEx>
        <w:tc>
          <w:tcPr>
            <w:tcW w:w="992" w:type="dxa"/>
          </w:tcPr>
          <w:p w14:paraId="53288B9D" w14:textId="77777777" w:rsidR="00B2485C" w:rsidRPr="00C9343F" w:rsidRDefault="00B2485C" w:rsidP="005E243D">
            <w:pPr>
              <w:pStyle w:val="Sectiontext0"/>
              <w:jc w:val="center"/>
              <w:rPr>
                <w:lang w:eastAsia="en-US"/>
              </w:rPr>
            </w:pPr>
          </w:p>
        </w:tc>
        <w:tc>
          <w:tcPr>
            <w:tcW w:w="563" w:type="dxa"/>
          </w:tcPr>
          <w:p w14:paraId="5580F53A" w14:textId="77777777" w:rsidR="00B2485C" w:rsidRPr="00C9343F" w:rsidRDefault="00B2485C" w:rsidP="005E243D">
            <w:pPr>
              <w:pStyle w:val="Sectiontext0"/>
              <w:rPr>
                <w:rFonts w:cs="Arial"/>
                <w:iCs/>
                <w:lang w:eastAsia="en-US"/>
              </w:rPr>
            </w:pPr>
          </w:p>
        </w:tc>
        <w:tc>
          <w:tcPr>
            <w:tcW w:w="567" w:type="dxa"/>
          </w:tcPr>
          <w:p w14:paraId="4F4CA130" w14:textId="77777777" w:rsidR="00B2485C" w:rsidRPr="00C9343F" w:rsidRDefault="00B2485C" w:rsidP="005E243D">
            <w:pPr>
              <w:pStyle w:val="Sectiontext0"/>
              <w:rPr>
                <w:rFonts w:cs="Arial"/>
                <w:iCs/>
                <w:lang w:eastAsia="en-US"/>
              </w:rPr>
            </w:pPr>
            <w:r w:rsidRPr="00C9343F">
              <w:rPr>
                <w:rFonts w:cs="Arial"/>
                <w:iCs/>
                <w:lang w:eastAsia="en-US"/>
              </w:rPr>
              <w:t>i.</w:t>
            </w:r>
          </w:p>
        </w:tc>
        <w:tc>
          <w:tcPr>
            <w:tcW w:w="7237" w:type="dxa"/>
          </w:tcPr>
          <w:p w14:paraId="49D09696" w14:textId="77777777" w:rsidR="00B2485C" w:rsidRPr="00C9343F" w:rsidRDefault="00B2485C" w:rsidP="005E243D">
            <w:pPr>
              <w:pStyle w:val="Sectiontext0"/>
              <w:rPr>
                <w:rFonts w:cs="Arial"/>
                <w:iCs/>
                <w:lang w:eastAsia="en-US"/>
              </w:rPr>
            </w:pPr>
            <w:r w:rsidRPr="00C9343F">
              <w:rPr>
                <w:rFonts w:cs="Arial"/>
                <w:iCs/>
                <w:lang w:eastAsia="en-US"/>
              </w:rPr>
              <w:t>They met a requirement in paragraph c. before they ceased to be a member.</w:t>
            </w:r>
          </w:p>
        </w:tc>
      </w:tr>
      <w:tr w:rsidR="00B2485C" w:rsidRPr="00C9343F" w14:paraId="054864AF" w14:textId="77777777" w:rsidTr="005E243D">
        <w:tblPrEx>
          <w:tblLook w:val="04A0" w:firstRow="1" w:lastRow="0" w:firstColumn="1" w:lastColumn="0" w:noHBand="0" w:noVBand="1"/>
        </w:tblPrEx>
        <w:tc>
          <w:tcPr>
            <w:tcW w:w="992" w:type="dxa"/>
          </w:tcPr>
          <w:p w14:paraId="15ADF8BD" w14:textId="77777777" w:rsidR="00B2485C" w:rsidRPr="00C9343F" w:rsidRDefault="00B2485C" w:rsidP="005E243D">
            <w:pPr>
              <w:pStyle w:val="Sectiontext0"/>
              <w:jc w:val="center"/>
              <w:rPr>
                <w:lang w:eastAsia="en-US"/>
              </w:rPr>
            </w:pPr>
          </w:p>
        </w:tc>
        <w:tc>
          <w:tcPr>
            <w:tcW w:w="563" w:type="dxa"/>
          </w:tcPr>
          <w:p w14:paraId="4E2C33B7" w14:textId="77777777" w:rsidR="00B2485C" w:rsidRPr="00C9343F" w:rsidRDefault="00B2485C" w:rsidP="005E243D">
            <w:pPr>
              <w:pStyle w:val="Sectiontext0"/>
              <w:rPr>
                <w:rFonts w:cs="Arial"/>
                <w:iCs/>
                <w:lang w:eastAsia="en-US"/>
              </w:rPr>
            </w:pPr>
          </w:p>
        </w:tc>
        <w:tc>
          <w:tcPr>
            <w:tcW w:w="567" w:type="dxa"/>
          </w:tcPr>
          <w:p w14:paraId="10C8D125" w14:textId="77777777" w:rsidR="00B2485C" w:rsidRPr="00C9343F" w:rsidRDefault="00B2485C" w:rsidP="005E243D">
            <w:pPr>
              <w:pStyle w:val="Sectiontext0"/>
              <w:rPr>
                <w:rFonts w:cs="Arial"/>
                <w:iCs/>
                <w:lang w:eastAsia="en-US"/>
              </w:rPr>
            </w:pPr>
            <w:r w:rsidRPr="00C9343F">
              <w:rPr>
                <w:rFonts w:cs="Arial"/>
                <w:iCs/>
                <w:lang w:eastAsia="en-US"/>
              </w:rPr>
              <w:t>ii.</w:t>
            </w:r>
          </w:p>
        </w:tc>
        <w:tc>
          <w:tcPr>
            <w:tcW w:w="7237" w:type="dxa"/>
          </w:tcPr>
          <w:p w14:paraId="030C2DDF" w14:textId="77777777" w:rsidR="00B2485C" w:rsidRPr="00C9343F" w:rsidRDefault="00B2485C" w:rsidP="005E243D">
            <w:pPr>
              <w:pStyle w:val="Sectiontext0"/>
              <w:rPr>
                <w:rFonts w:cs="Arial"/>
                <w:iCs/>
                <w:lang w:eastAsia="en-US"/>
              </w:rPr>
            </w:pPr>
            <w:r w:rsidRPr="00C9343F">
              <w:rPr>
                <w:rFonts w:cs="Arial"/>
                <w:iCs/>
                <w:lang w:eastAsia="en-US"/>
              </w:rPr>
              <w:t>It has been no more than two years since their last day of service in the ADF.</w:t>
            </w:r>
          </w:p>
        </w:tc>
      </w:tr>
    </w:tbl>
    <w:p w14:paraId="6C5BAD9E" w14:textId="4D0B5CED" w:rsidR="00277260" w:rsidRPr="00C9343F" w:rsidRDefault="00277260" w:rsidP="00F66D98">
      <w:pPr>
        <w:pStyle w:val="Heading5"/>
      </w:pPr>
      <w:bookmarkStart w:id="319" w:name="_Toc105053640"/>
      <w:r w:rsidRPr="00C9343F">
        <w:t>2.2.4</w:t>
      </w:r>
      <w:r w:rsidR="00D94006" w:rsidRPr="00C9343F">
        <w:t>    </w:t>
      </w:r>
      <w:r w:rsidRPr="00C9343F">
        <w:t>Member this Part does not apply to</w:t>
      </w:r>
      <w:bookmarkEnd w:id="319"/>
    </w:p>
    <w:tbl>
      <w:tblPr>
        <w:tblW w:w="9359" w:type="dxa"/>
        <w:tblInd w:w="113" w:type="dxa"/>
        <w:tblLayout w:type="fixed"/>
        <w:tblLook w:val="0000" w:firstRow="0" w:lastRow="0" w:firstColumn="0" w:lastColumn="0" w:noHBand="0" w:noVBand="0"/>
      </w:tblPr>
      <w:tblGrid>
        <w:gridCol w:w="992"/>
        <w:gridCol w:w="8367"/>
      </w:tblGrid>
      <w:tr w:rsidR="00277260" w:rsidRPr="00C9343F" w14:paraId="595DCF5F" w14:textId="77777777" w:rsidTr="00DE6552">
        <w:tc>
          <w:tcPr>
            <w:tcW w:w="992" w:type="dxa"/>
          </w:tcPr>
          <w:p w14:paraId="1420688F" w14:textId="77777777" w:rsidR="00277260" w:rsidRPr="00C9343F" w:rsidRDefault="00277260" w:rsidP="00F66D98">
            <w:pPr>
              <w:pStyle w:val="Sectiontext0"/>
              <w:jc w:val="center"/>
            </w:pPr>
          </w:p>
        </w:tc>
        <w:tc>
          <w:tcPr>
            <w:tcW w:w="8367" w:type="dxa"/>
          </w:tcPr>
          <w:p w14:paraId="3A57E7A1" w14:textId="61F2633C" w:rsidR="00277260" w:rsidRPr="00C9343F" w:rsidRDefault="00277260" w:rsidP="00F66D98">
            <w:pPr>
              <w:pStyle w:val="Sectiontext0"/>
            </w:pPr>
            <w:r w:rsidRPr="00C9343F">
              <w:rPr>
                <w:iCs/>
              </w:rPr>
              <w:t>This Part does not apply to a member who is leaving the Permanent Force</w:t>
            </w:r>
            <w:r w:rsidR="009F4458" w:rsidRPr="00C9343F">
              <w:rPr>
                <w:iCs/>
              </w:rPr>
              <w:t>s</w:t>
            </w:r>
            <w:r w:rsidRPr="00C9343F">
              <w:rPr>
                <w:iCs/>
              </w:rPr>
              <w:t xml:space="preserve"> who will immediately become a member of the Reserves on continuous full-time service.</w:t>
            </w:r>
          </w:p>
        </w:tc>
      </w:tr>
    </w:tbl>
    <w:p w14:paraId="4DC3D5C7" w14:textId="77777777" w:rsidR="00B2485C" w:rsidRPr="00C9343F" w:rsidRDefault="00B2485C" w:rsidP="00B2485C">
      <w:pPr>
        <w:pStyle w:val="Heading5"/>
      </w:pPr>
      <w:bookmarkStart w:id="320" w:name="_Toc105053641"/>
      <w:r w:rsidRPr="00C9343F">
        <w:t>2.2.5    Career transition training</w:t>
      </w:r>
      <w:bookmarkEnd w:id="320"/>
    </w:p>
    <w:tbl>
      <w:tblPr>
        <w:tblW w:w="9359" w:type="dxa"/>
        <w:tblInd w:w="113" w:type="dxa"/>
        <w:tblLayout w:type="fixed"/>
        <w:tblLook w:val="0000" w:firstRow="0" w:lastRow="0" w:firstColumn="0" w:lastColumn="0" w:noHBand="0" w:noVBand="0"/>
      </w:tblPr>
      <w:tblGrid>
        <w:gridCol w:w="992"/>
        <w:gridCol w:w="563"/>
        <w:gridCol w:w="7804"/>
      </w:tblGrid>
      <w:tr w:rsidR="001E2FD9" w:rsidRPr="00C9343F" w14:paraId="1A036B18" w14:textId="77777777" w:rsidTr="005E243D">
        <w:tc>
          <w:tcPr>
            <w:tcW w:w="992" w:type="dxa"/>
          </w:tcPr>
          <w:p w14:paraId="6CED0A22" w14:textId="36182C76" w:rsidR="001E2FD9" w:rsidRPr="00C9343F" w:rsidRDefault="001E2FD9" w:rsidP="001E2FD9">
            <w:pPr>
              <w:pStyle w:val="Sectiontext0"/>
              <w:jc w:val="center"/>
            </w:pPr>
            <w:r w:rsidRPr="00C9343F">
              <w:t>1.</w:t>
            </w:r>
          </w:p>
        </w:tc>
        <w:tc>
          <w:tcPr>
            <w:tcW w:w="8367" w:type="dxa"/>
            <w:gridSpan w:val="2"/>
          </w:tcPr>
          <w:p w14:paraId="5CAAA832" w14:textId="205682EA" w:rsidR="001E2FD9" w:rsidRPr="00C9343F" w:rsidRDefault="001E2FD9" w:rsidP="001E2FD9">
            <w:pPr>
              <w:pStyle w:val="Sectiontext0"/>
              <w:rPr>
                <w:iCs/>
              </w:rPr>
            </w:pPr>
            <w:r w:rsidRPr="00C9343F">
              <w:rPr>
                <w:iCs/>
              </w:rPr>
              <w:t>Subject to subsection 3, a member is eligible on application for career transition training if all of the following apply and the CDF is satisfied that the training is aligned to a post-transition employment career path or meaningful engagement.</w:t>
            </w:r>
          </w:p>
        </w:tc>
      </w:tr>
      <w:tr w:rsidR="001E2FD9" w:rsidRPr="00C9343F" w14:paraId="26529921" w14:textId="77777777" w:rsidTr="005E243D">
        <w:tblPrEx>
          <w:tblLook w:val="04A0" w:firstRow="1" w:lastRow="0" w:firstColumn="1" w:lastColumn="0" w:noHBand="0" w:noVBand="1"/>
        </w:tblPrEx>
        <w:tc>
          <w:tcPr>
            <w:tcW w:w="992" w:type="dxa"/>
          </w:tcPr>
          <w:p w14:paraId="103044E6" w14:textId="77777777" w:rsidR="001E2FD9" w:rsidRPr="00C9343F" w:rsidRDefault="001E2FD9" w:rsidP="001E2FD9">
            <w:pPr>
              <w:pStyle w:val="Sectiontext0"/>
              <w:jc w:val="center"/>
              <w:rPr>
                <w:lang w:eastAsia="en-US"/>
              </w:rPr>
            </w:pPr>
          </w:p>
        </w:tc>
        <w:tc>
          <w:tcPr>
            <w:tcW w:w="563" w:type="dxa"/>
            <w:hideMark/>
          </w:tcPr>
          <w:p w14:paraId="26CFE27B" w14:textId="77777777" w:rsidR="001E2FD9" w:rsidRPr="00C9343F" w:rsidRDefault="001E2FD9" w:rsidP="001E2FD9">
            <w:pPr>
              <w:pStyle w:val="Sectiontext0"/>
              <w:jc w:val="center"/>
              <w:rPr>
                <w:rFonts w:cs="Arial"/>
                <w:lang w:eastAsia="en-US"/>
              </w:rPr>
            </w:pPr>
            <w:r w:rsidRPr="00C9343F">
              <w:rPr>
                <w:rFonts w:cs="Arial"/>
                <w:lang w:eastAsia="en-US"/>
              </w:rPr>
              <w:t>a.</w:t>
            </w:r>
          </w:p>
        </w:tc>
        <w:tc>
          <w:tcPr>
            <w:tcW w:w="7804" w:type="dxa"/>
          </w:tcPr>
          <w:p w14:paraId="103041A2" w14:textId="4468C673" w:rsidR="001E2FD9" w:rsidRPr="00C9343F" w:rsidRDefault="001E2FD9" w:rsidP="001E2FD9">
            <w:pPr>
              <w:pStyle w:val="Sectiontext0"/>
              <w:rPr>
                <w:rFonts w:cs="Arial"/>
                <w:lang w:eastAsia="en-US"/>
              </w:rPr>
            </w:pPr>
            <w:r w:rsidRPr="00C9343F">
              <w:rPr>
                <w:rFonts w:cs="Arial"/>
                <w:lang w:eastAsia="en-US"/>
              </w:rPr>
              <w:t>The application is approved within 24 months of the member’s transition date.</w:t>
            </w:r>
          </w:p>
        </w:tc>
      </w:tr>
      <w:tr w:rsidR="001E2FD9" w:rsidRPr="00C9343F" w14:paraId="3838D722" w14:textId="77777777" w:rsidTr="005E243D">
        <w:tblPrEx>
          <w:tblLook w:val="04A0" w:firstRow="1" w:lastRow="0" w:firstColumn="1" w:lastColumn="0" w:noHBand="0" w:noVBand="1"/>
        </w:tblPrEx>
        <w:tc>
          <w:tcPr>
            <w:tcW w:w="992" w:type="dxa"/>
          </w:tcPr>
          <w:p w14:paraId="49C94015" w14:textId="77777777" w:rsidR="001E2FD9" w:rsidRPr="00C9343F" w:rsidRDefault="001E2FD9" w:rsidP="001E2FD9">
            <w:pPr>
              <w:pStyle w:val="Sectiontext0"/>
              <w:jc w:val="center"/>
              <w:rPr>
                <w:lang w:eastAsia="en-US"/>
              </w:rPr>
            </w:pPr>
          </w:p>
        </w:tc>
        <w:tc>
          <w:tcPr>
            <w:tcW w:w="563" w:type="dxa"/>
          </w:tcPr>
          <w:p w14:paraId="48AC4F34" w14:textId="77777777" w:rsidR="001E2FD9" w:rsidRPr="00C9343F" w:rsidRDefault="001E2FD9" w:rsidP="001E2FD9">
            <w:pPr>
              <w:pStyle w:val="Sectiontext0"/>
              <w:jc w:val="center"/>
              <w:rPr>
                <w:rFonts w:cs="Arial"/>
                <w:lang w:eastAsia="en-US"/>
              </w:rPr>
            </w:pPr>
            <w:r w:rsidRPr="00C9343F">
              <w:rPr>
                <w:rFonts w:cs="Arial"/>
                <w:lang w:eastAsia="en-US"/>
              </w:rPr>
              <w:t>b.</w:t>
            </w:r>
          </w:p>
        </w:tc>
        <w:tc>
          <w:tcPr>
            <w:tcW w:w="7804" w:type="dxa"/>
          </w:tcPr>
          <w:p w14:paraId="1567551C" w14:textId="370ED128" w:rsidR="001E2FD9" w:rsidRPr="00C9343F" w:rsidRDefault="001E2FD9" w:rsidP="001E2FD9">
            <w:pPr>
              <w:pStyle w:val="Sectiontext0"/>
              <w:rPr>
                <w:rFonts w:cs="Arial"/>
                <w:lang w:eastAsia="en-US"/>
              </w:rPr>
            </w:pPr>
            <w:r w:rsidRPr="00C9343F">
              <w:rPr>
                <w:rFonts w:cs="Arial"/>
                <w:lang w:eastAsia="en-US"/>
              </w:rPr>
              <w:t>The training commences within 24 months of the member’s transition date.</w:t>
            </w:r>
          </w:p>
        </w:tc>
      </w:tr>
      <w:tr w:rsidR="00977580" w:rsidRPr="00C9343F" w14:paraId="00E40A5A" w14:textId="77777777" w:rsidTr="00445FEB">
        <w:tblPrEx>
          <w:tblLook w:val="04A0" w:firstRow="1" w:lastRow="0" w:firstColumn="1" w:lastColumn="0" w:noHBand="0" w:noVBand="1"/>
        </w:tblPrEx>
        <w:tc>
          <w:tcPr>
            <w:tcW w:w="992" w:type="dxa"/>
          </w:tcPr>
          <w:p w14:paraId="5BFDEDED" w14:textId="7BC86AC7" w:rsidR="00977580" w:rsidRPr="00C9343F" w:rsidRDefault="00977580" w:rsidP="00977580">
            <w:pPr>
              <w:pStyle w:val="Sectiontext0"/>
              <w:jc w:val="center"/>
              <w:rPr>
                <w:lang w:eastAsia="en-US"/>
              </w:rPr>
            </w:pPr>
            <w:r w:rsidRPr="00C9343F">
              <w:rPr>
                <w:lang w:eastAsia="en-US"/>
              </w:rPr>
              <w:t>1A.</w:t>
            </w:r>
          </w:p>
        </w:tc>
        <w:tc>
          <w:tcPr>
            <w:tcW w:w="8367" w:type="dxa"/>
            <w:gridSpan w:val="2"/>
          </w:tcPr>
          <w:p w14:paraId="2FD45C42" w14:textId="52B543A3" w:rsidR="00977580" w:rsidRPr="00C9343F" w:rsidRDefault="00977580" w:rsidP="00977580">
            <w:pPr>
              <w:pStyle w:val="Sectiontext0"/>
              <w:rPr>
                <w:rFonts w:cs="Arial"/>
                <w:lang w:eastAsia="en-US"/>
              </w:rPr>
            </w:pPr>
            <w:r w:rsidRPr="00C9343F">
              <w:rPr>
                <w:rFonts w:cs="Arial"/>
                <w:lang w:eastAsia="en-US"/>
              </w:rPr>
              <w:t xml:space="preserve">Despite subsection 1, a member is eligible for an additional 12 months to apply for and undertake training provided under subsection 1 if the decision maker is satisfied of all of the following. </w:t>
            </w:r>
          </w:p>
        </w:tc>
      </w:tr>
      <w:tr w:rsidR="00977580" w:rsidRPr="00C9343F" w14:paraId="6DBC59E3" w14:textId="77777777" w:rsidTr="005E243D">
        <w:tblPrEx>
          <w:tblLook w:val="04A0" w:firstRow="1" w:lastRow="0" w:firstColumn="1" w:lastColumn="0" w:noHBand="0" w:noVBand="1"/>
        </w:tblPrEx>
        <w:tc>
          <w:tcPr>
            <w:tcW w:w="992" w:type="dxa"/>
          </w:tcPr>
          <w:p w14:paraId="7A6DE035" w14:textId="77777777" w:rsidR="00977580" w:rsidRPr="00C9343F" w:rsidRDefault="00977580" w:rsidP="00977580">
            <w:pPr>
              <w:pStyle w:val="Sectiontext0"/>
              <w:jc w:val="center"/>
              <w:rPr>
                <w:lang w:eastAsia="en-US"/>
              </w:rPr>
            </w:pPr>
          </w:p>
        </w:tc>
        <w:tc>
          <w:tcPr>
            <w:tcW w:w="563" w:type="dxa"/>
          </w:tcPr>
          <w:p w14:paraId="643F4F35" w14:textId="59191EC9" w:rsidR="00977580" w:rsidRPr="00C9343F" w:rsidRDefault="00977580" w:rsidP="00977580">
            <w:pPr>
              <w:pStyle w:val="Sectiontext0"/>
              <w:jc w:val="center"/>
              <w:rPr>
                <w:rFonts w:cs="Arial"/>
                <w:lang w:eastAsia="en-US"/>
              </w:rPr>
            </w:pPr>
            <w:r w:rsidRPr="00C9343F">
              <w:rPr>
                <w:rFonts w:cs="Arial"/>
                <w:lang w:eastAsia="en-US"/>
              </w:rPr>
              <w:t>a.</w:t>
            </w:r>
          </w:p>
        </w:tc>
        <w:tc>
          <w:tcPr>
            <w:tcW w:w="7804" w:type="dxa"/>
          </w:tcPr>
          <w:p w14:paraId="6BCE8B21" w14:textId="33BEF91F" w:rsidR="00977580" w:rsidRPr="00C9343F" w:rsidRDefault="00977580" w:rsidP="00977580">
            <w:pPr>
              <w:pStyle w:val="Sectiontext0"/>
              <w:rPr>
                <w:rFonts w:cs="Arial"/>
                <w:lang w:eastAsia="en-US"/>
              </w:rPr>
            </w:pPr>
            <w:r w:rsidRPr="00C9343F">
              <w:rPr>
                <w:rFonts w:cs="Arial"/>
                <w:lang w:eastAsia="en-US"/>
              </w:rPr>
              <w:t>The member has received a termination notice for the reason of being medically unfit for service in the Defence Force.</w:t>
            </w:r>
          </w:p>
        </w:tc>
      </w:tr>
      <w:tr w:rsidR="00977580" w:rsidRPr="00C9343F" w14:paraId="5BD27533" w14:textId="77777777" w:rsidTr="005E243D">
        <w:tblPrEx>
          <w:tblLook w:val="04A0" w:firstRow="1" w:lastRow="0" w:firstColumn="1" w:lastColumn="0" w:noHBand="0" w:noVBand="1"/>
        </w:tblPrEx>
        <w:tc>
          <w:tcPr>
            <w:tcW w:w="992" w:type="dxa"/>
          </w:tcPr>
          <w:p w14:paraId="77534B00" w14:textId="77777777" w:rsidR="00977580" w:rsidRPr="00C9343F" w:rsidRDefault="00977580" w:rsidP="00977580">
            <w:pPr>
              <w:pStyle w:val="Sectiontext0"/>
              <w:jc w:val="center"/>
              <w:rPr>
                <w:lang w:eastAsia="en-US"/>
              </w:rPr>
            </w:pPr>
          </w:p>
        </w:tc>
        <w:tc>
          <w:tcPr>
            <w:tcW w:w="563" w:type="dxa"/>
          </w:tcPr>
          <w:p w14:paraId="517146FE" w14:textId="4067F23A" w:rsidR="00977580" w:rsidRPr="00C9343F" w:rsidRDefault="00977580" w:rsidP="00977580">
            <w:pPr>
              <w:pStyle w:val="Sectiontext0"/>
              <w:jc w:val="center"/>
              <w:rPr>
                <w:rFonts w:cs="Arial"/>
                <w:lang w:eastAsia="en-US"/>
              </w:rPr>
            </w:pPr>
            <w:r w:rsidRPr="00C9343F">
              <w:rPr>
                <w:rFonts w:cs="Arial"/>
                <w:lang w:eastAsia="en-US"/>
              </w:rPr>
              <w:t>b.</w:t>
            </w:r>
          </w:p>
        </w:tc>
        <w:tc>
          <w:tcPr>
            <w:tcW w:w="7804" w:type="dxa"/>
          </w:tcPr>
          <w:p w14:paraId="01BD7231" w14:textId="6EC47E59" w:rsidR="00977580" w:rsidRPr="00C9343F" w:rsidRDefault="00977580" w:rsidP="00977580">
            <w:pPr>
              <w:pStyle w:val="Sectiontext0"/>
              <w:rPr>
                <w:rFonts w:cs="Arial"/>
                <w:lang w:eastAsia="en-US"/>
              </w:rPr>
            </w:pPr>
            <w:r w:rsidRPr="00C9343F">
              <w:rPr>
                <w:rFonts w:cs="Arial"/>
                <w:lang w:eastAsia="en-US"/>
              </w:rPr>
              <w:t xml:space="preserve">The member is unable to </w:t>
            </w:r>
            <w:r w:rsidRPr="00C9343F">
              <w:rPr>
                <w:lang w:eastAsia="en-US"/>
              </w:rPr>
              <w:t>access training due to their medical condition or injuries</w:t>
            </w:r>
            <w:r w:rsidRPr="00C9343F">
              <w:rPr>
                <w:rFonts w:cs="Arial"/>
                <w:lang w:eastAsia="en-US"/>
              </w:rPr>
              <w:t>.</w:t>
            </w:r>
          </w:p>
        </w:tc>
      </w:tr>
      <w:tr w:rsidR="00977580" w:rsidRPr="00C9343F" w14:paraId="15541743" w14:textId="77777777" w:rsidTr="00445FEB">
        <w:tblPrEx>
          <w:tblLook w:val="04A0" w:firstRow="1" w:lastRow="0" w:firstColumn="1" w:lastColumn="0" w:noHBand="0" w:noVBand="1"/>
        </w:tblPrEx>
        <w:tc>
          <w:tcPr>
            <w:tcW w:w="992" w:type="dxa"/>
          </w:tcPr>
          <w:p w14:paraId="29650F3E" w14:textId="77777777" w:rsidR="00977580" w:rsidRPr="00C9343F" w:rsidRDefault="00977580" w:rsidP="00977580">
            <w:pPr>
              <w:pStyle w:val="Sectiontext0"/>
              <w:jc w:val="center"/>
              <w:rPr>
                <w:lang w:eastAsia="en-US"/>
              </w:rPr>
            </w:pPr>
          </w:p>
        </w:tc>
        <w:tc>
          <w:tcPr>
            <w:tcW w:w="8367" w:type="dxa"/>
            <w:gridSpan w:val="2"/>
          </w:tcPr>
          <w:p w14:paraId="064EBA77" w14:textId="563F8225" w:rsidR="00977580" w:rsidRPr="00C9343F" w:rsidRDefault="00977580" w:rsidP="00977580">
            <w:pPr>
              <w:pStyle w:val="Sectiontext0"/>
              <w:rPr>
                <w:rFonts w:cs="Arial"/>
                <w:lang w:eastAsia="en-US"/>
              </w:rPr>
            </w:pPr>
            <w:r w:rsidRPr="00C9343F">
              <w:rPr>
                <w:rFonts w:cs="Arial"/>
                <w:b/>
                <w:bCs/>
                <w:iCs/>
                <w:lang w:eastAsia="en-US"/>
              </w:rPr>
              <w:t>Note:</w:t>
            </w:r>
            <w:r w:rsidRPr="00C9343F">
              <w:rPr>
                <w:rFonts w:cs="Arial"/>
                <w:bCs/>
                <w:iCs/>
                <w:lang w:eastAsia="en-US"/>
              </w:rPr>
              <w:t xml:space="preserve"> A m</w:t>
            </w:r>
            <w:r w:rsidRPr="00C9343F">
              <w:rPr>
                <w:rFonts w:cs="Arial"/>
                <w:iCs/>
                <w:lang w:eastAsia="en-US"/>
              </w:rPr>
              <w:t>ember who is medically unfit for service may have their service in the Defence Force terminated under paragraph 24(1)(a) of the Defence Regulation.</w:t>
            </w:r>
          </w:p>
        </w:tc>
      </w:tr>
      <w:tr w:rsidR="00977580" w:rsidRPr="00C9343F" w14:paraId="0B6ADC14" w14:textId="77777777" w:rsidTr="00445FEB">
        <w:tblPrEx>
          <w:tblLook w:val="04A0" w:firstRow="1" w:lastRow="0" w:firstColumn="1" w:lastColumn="0" w:noHBand="0" w:noVBand="1"/>
        </w:tblPrEx>
        <w:tc>
          <w:tcPr>
            <w:tcW w:w="992" w:type="dxa"/>
          </w:tcPr>
          <w:p w14:paraId="28916412" w14:textId="5D709D42" w:rsidR="00977580" w:rsidRPr="00C9343F" w:rsidRDefault="00977580" w:rsidP="00977580">
            <w:pPr>
              <w:pStyle w:val="Sectiontext0"/>
              <w:jc w:val="center"/>
              <w:rPr>
                <w:lang w:eastAsia="en-US"/>
              </w:rPr>
            </w:pPr>
            <w:r w:rsidRPr="00C9343F">
              <w:rPr>
                <w:lang w:eastAsia="en-US"/>
              </w:rPr>
              <w:t>1B.</w:t>
            </w:r>
          </w:p>
        </w:tc>
        <w:tc>
          <w:tcPr>
            <w:tcW w:w="8367" w:type="dxa"/>
            <w:gridSpan w:val="2"/>
          </w:tcPr>
          <w:p w14:paraId="6CB8DFB4" w14:textId="444DC252" w:rsidR="00977580" w:rsidRPr="00C9343F" w:rsidRDefault="00977580" w:rsidP="00977580">
            <w:pPr>
              <w:pStyle w:val="Sectiontext0"/>
              <w:rPr>
                <w:rFonts w:cs="Arial"/>
                <w:lang w:eastAsia="en-US"/>
              </w:rPr>
            </w:pPr>
            <w:r w:rsidRPr="00C9343F">
              <w:rPr>
                <w:rFonts w:cs="Arial"/>
                <w:lang w:eastAsia="en-US"/>
              </w:rPr>
              <w:t xml:space="preserve">If subsection 1A applies, the member must not commence the approved training unless the decision maker is satisfied that the member is medically fit to undertake it. </w:t>
            </w:r>
          </w:p>
        </w:tc>
      </w:tr>
      <w:tr w:rsidR="00977580" w:rsidRPr="00C9343F" w14:paraId="606D6D27" w14:textId="77777777" w:rsidTr="00445FEB">
        <w:tblPrEx>
          <w:tblLook w:val="04A0" w:firstRow="1" w:lastRow="0" w:firstColumn="1" w:lastColumn="0" w:noHBand="0" w:noVBand="1"/>
        </w:tblPrEx>
        <w:tc>
          <w:tcPr>
            <w:tcW w:w="992" w:type="dxa"/>
          </w:tcPr>
          <w:p w14:paraId="0AAA204C" w14:textId="7624995B" w:rsidR="00977580" w:rsidRPr="00C9343F" w:rsidRDefault="00977580" w:rsidP="00977580">
            <w:pPr>
              <w:pStyle w:val="Sectiontext0"/>
              <w:jc w:val="center"/>
              <w:rPr>
                <w:lang w:eastAsia="en-US"/>
              </w:rPr>
            </w:pPr>
            <w:r w:rsidRPr="00C9343F">
              <w:rPr>
                <w:lang w:eastAsia="en-US"/>
              </w:rPr>
              <w:t>1C.</w:t>
            </w:r>
          </w:p>
        </w:tc>
        <w:tc>
          <w:tcPr>
            <w:tcW w:w="8367" w:type="dxa"/>
            <w:gridSpan w:val="2"/>
          </w:tcPr>
          <w:p w14:paraId="3BA5BDC1" w14:textId="751C2287" w:rsidR="00977580" w:rsidRPr="00C9343F" w:rsidRDefault="00977580" w:rsidP="00977580">
            <w:pPr>
              <w:pStyle w:val="Sectiontext0"/>
              <w:rPr>
                <w:rFonts w:cs="Arial"/>
                <w:lang w:eastAsia="en-US"/>
              </w:rPr>
            </w:pPr>
            <w:r w:rsidRPr="00C9343F">
              <w:rPr>
                <w:rFonts w:cs="Arial"/>
                <w:lang w:eastAsia="en-US"/>
              </w:rPr>
              <w:t>For the purpose of subsection 1A and 1B, decision maker means a person not below WO2(E)/APS4 working in the Directorate of Transition Coaching and Support.</w:t>
            </w:r>
          </w:p>
        </w:tc>
      </w:tr>
      <w:tr w:rsidR="00977580" w:rsidRPr="00C9343F" w14:paraId="1024C0A5" w14:textId="77777777" w:rsidTr="005E243D">
        <w:tblPrEx>
          <w:tblLook w:val="04A0" w:firstRow="1" w:lastRow="0" w:firstColumn="1" w:lastColumn="0" w:noHBand="0" w:noVBand="1"/>
        </w:tblPrEx>
        <w:tc>
          <w:tcPr>
            <w:tcW w:w="992" w:type="dxa"/>
          </w:tcPr>
          <w:p w14:paraId="48973B45" w14:textId="77777777" w:rsidR="00977580" w:rsidRPr="00C9343F" w:rsidRDefault="00977580" w:rsidP="00977580">
            <w:pPr>
              <w:pStyle w:val="Sectiontext0"/>
              <w:jc w:val="center"/>
              <w:rPr>
                <w:lang w:eastAsia="en-US"/>
              </w:rPr>
            </w:pPr>
            <w:r w:rsidRPr="00C9343F">
              <w:rPr>
                <w:lang w:eastAsia="en-US"/>
              </w:rPr>
              <w:t>2.</w:t>
            </w:r>
          </w:p>
        </w:tc>
        <w:tc>
          <w:tcPr>
            <w:tcW w:w="8367" w:type="dxa"/>
            <w:gridSpan w:val="2"/>
          </w:tcPr>
          <w:p w14:paraId="6CC9ADFD" w14:textId="77777777" w:rsidR="00977580" w:rsidRPr="00C9343F" w:rsidRDefault="00977580" w:rsidP="00977580">
            <w:pPr>
              <w:pStyle w:val="Sectiontext0"/>
              <w:rPr>
                <w:rFonts w:cs="Arial"/>
                <w:b/>
                <w:bCs/>
                <w:iCs/>
                <w:lang w:eastAsia="en-US"/>
              </w:rPr>
            </w:pPr>
            <w:r w:rsidRPr="00C9343F">
              <w:rPr>
                <w:rFonts w:cs="Arial"/>
                <w:bCs/>
                <w:iCs/>
                <w:lang w:eastAsia="en-US"/>
              </w:rPr>
              <w:t xml:space="preserve">Career transition training cannot occur during a period the member is on duty and undertaking Reserve service. </w:t>
            </w:r>
          </w:p>
        </w:tc>
      </w:tr>
      <w:tr w:rsidR="00977580" w:rsidRPr="00C9343F" w14:paraId="7BF13067" w14:textId="77777777" w:rsidTr="005E243D">
        <w:tblPrEx>
          <w:tblLook w:val="04A0" w:firstRow="1" w:lastRow="0" w:firstColumn="1" w:lastColumn="0" w:noHBand="0" w:noVBand="1"/>
        </w:tblPrEx>
        <w:tc>
          <w:tcPr>
            <w:tcW w:w="992" w:type="dxa"/>
          </w:tcPr>
          <w:p w14:paraId="6CFF259F" w14:textId="77777777" w:rsidR="00977580" w:rsidRPr="00C9343F" w:rsidRDefault="00977580" w:rsidP="00977580">
            <w:pPr>
              <w:pStyle w:val="Sectiontext0"/>
              <w:jc w:val="center"/>
              <w:rPr>
                <w:lang w:eastAsia="en-US"/>
              </w:rPr>
            </w:pPr>
            <w:r w:rsidRPr="00C9343F">
              <w:rPr>
                <w:lang w:eastAsia="en-US"/>
              </w:rPr>
              <w:t>3.</w:t>
            </w:r>
          </w:p>
        </w:tc>
        <w:tc>
          <w:tcPr>
            <w:tcW w:w="8367" w:type="dxa"/>
            <w:gridSpan w:val="2"/>
          </w:tcPr>
          <w:p w14:paraId="135340FF" w14:textId="77777777" w:rsidR="00977580" w:rsidRPr="00C9343F" w:rsidRDefault="00977580" w:rsidP="00977580">
            <w:pPr>
              <w:pStyle w:val="Sectiontext0"/>
              <w:rPr>
                <w:rFonts w:cs="Arial"/>
                <w:b/>
                <w:bCs/>
                <w:iCs/>
                <w:lang w:eastAsia="en-US"/>
              </w:rPr>
            </w:pPr>
            <w:r w:rsidRPr="00C9343F">
              <w:rPr>
                <w:rFonts w:cs="Arial"/>
                <w:bCs/>
                <w:iCs/>
                <w:lang w:eastAsia="en-US"/>
              </w:rPr>
              <w:t>A benefit under subsection 1 can be made as a reimbursement to the member or provided to the service provider.</w:t>
            </w:r>
          </w:p>
        </w:tc>
      </w:tr>
      <w:tr w:rsidR="00977580" w:rsidRPr="00C9343F" w14:paraId="51C0C704" w14:textId="77777777" w:rsidTr="005E243D">
        <w:tblPrEx>
          <w:tblLook w:val="04A0" w:firstRow="1" w:lastRow="0" w:firstColumn="1" w:lastColumn="0" w:noHBand="0" w:noVBand="1"/>
        </w:tblPrEx>
        <w:tc>
          <w:tcPr>
            <w:tcW w:w="992" w:type="dxa"/>
          </w:tcPr>
          <w:p w14:paraId="6EDAE157" w14:textId="77777777" w:rsidR="00977580" w:rsidRPr="00C9343F" w:rsidRDefault="00977580" w:rsidP="00977580">
            <w:pPr>
              <w:pStyle w:val="Sectiontext0"/>
              <w:jc w:val="center"/>
              <w:rPr>
                <w:lang w:eastAsia="en-US"/>
              </w:rPr>
            </w:pPr>
            <w:r w:rsidRPr="00C9343F">
              <w:rPr>
                <w:lang w:eastAsia="en-US"/>
              </w:rPr>
              <w:t>4.</w:t>
            </w:r>
          </w:p>
        </w:tc>
        <w:tc>
          <w:tcPr>
            <w:tcW w:w="8367" w:type="dxa"/>
            <w:gridSpan w:val="2"/>
          </w:tcPr>
          <w:p w14:paraId="5E03C59B" w14:textId="77777777" w:rsidR="00977580" w:rsidRPr="00C9343F" w:rsidRDefault="00977580" w:rsidP="00977580">
            <w:pPr>
              <w:pStyle w:val="Sectiontext0"/>
              <w:rPr>
                <w:rFonts w:cs="Arial"/>
                <w:iCs/>
                <w:lang w:eastAsia="en-US"/>
              </w:rPr>
            </w:pPr>
            <w:r w:rsidRPr="00C9343F">
              <w:rPr>
                <w:rFonts w:cs="Arial"/>
                <w:iCs/>
                <w:lang w:eastAsia="en-US"/>
              </w:rPr>
              <w:t xml:space="preserve">A member is not eligible for assistance under this section if any of the following apply. </w:t>
            </w:r>
          </w:p>
        </w:tc>
      </w:tr>
      <w:tr w:rsidR="00977580" w:rsidRPr="00C9343F" w14:paraId="5CCC8F60" w14:textId="77777777" w:rsidTr="005E243D">
        <w:tblPrEx>
          <w:tblLook w:val="04A0" w:firstRow="1" w:lastRow="0" w:firstColumn="1" w:lastColumn="0" w:noHBand="0" w:noVBand="1"/>
        </w:tblPrEx>
        <w:tc>
          <w:tcPr>
            <w:tcW w:w="992" w:type="dxa"/>
          </w:tcPr>
          <w:p w14:paraId="6B9FBA05" w14:textId="77777777" w:rsidR="00977580" w:rsidRPr="00C9343F" w:rsidRDefault="00977580" w:rsidP="00977580">
            <w:pPr>
              <w:pStyle w:val="Sectiontext0"/>
              <w:jc w:val="center"/>
              <w:rPr>
                <w:lang w:eastAsia="en-US"/>
              </w:rPr>
            </w:pPr>
          </w:p>
        </w:tc>
        <w:tc>
          <w:tcPr>
            <w:tcW w:w="563" w:type="dxa"/>
            <w:hideMark/>
          </w:tcPr>
          <w:p w14:paraId="69B03C4A" w14:textId="77777777" w:rsidR="00977580" w:rsidRPr="00C9343F" w:rsidRDefault="00977580" w:rsidP="00977580">
            <w:pPr>
              <w:pStyle w:val="Sectiontext0"/>
              <w:jc w:val="center"/>
              <w:rPr>
                <w:rFonts w:cs="Arial"/>
                <w:lang w:eastAsia="en-US"/>
              </w:rPr>
            </w:pPr>
            <w:r w:rsidRPr="00C9343F">
              <w:rPr>
                <w:rFonts w:cs="Arial"/>
                <w:lang w:eastAsia="en-US"/>
              </w:rPr>
              <w:t>a.</w:t>
            </w:r>
          </w:p>
        </w:tc>
        <w:tc>
          <w:tcPr>
            <w:tcW w:w="7804" w:type="dxa"/>
          </w:tcPr>
          <w:p w14:paraId="2905C112" w14:textId="77777777" w:rsidR="00977580" w:rsidRPr="00C9343F" w:rsidRDefault="00977580" w:rsidP="00977580">
            <w:pPr>
              <w:pStyle w:val="Sectiontext0"/>
              <w:rPr>
                <w:rFonts w:cs="Arial"/>
                <w:lang w:eastAsia="en-US"/>
              </w:rPr>
            </w:pPr>
            <w:r w:rsidRPr="00C9343F">
              <w:rPr>
                <w:rFonts w:cs="Arial"/>
                <w:lang w:eastAsia="en-US"/>
              </w:rPr>
              <w:t xml:space="preserve">The member has </w:t>
            </w:r>
            <w:r w:rsidRPr="00C9343F">
              <w:rPr>
                <w:rFonts w:cs="Arial"/>
                <w:iCs/>
                <w:lang w:eastAsia="en-US"/>
              </w:rPr>
              <w:t>secured employment or achieved meaningful engagement related to their post-transition goals.</w:t>
            </w:r>
          </w:p>
        </w:tc>
      </w:tr>
      <w:tr w:rsidR="00977580" w:rsidRPr="00C9343F" w14:paraId="342CB0D9" w14:textId="77777777" w:rsidTr="005E243D">
        <w:tblPrEx>
          <w:tblLook w:val="04A0" w:firstRow="1" w:lastRow="0" w:firstColumn="1" w:lastColumn="0" w:noHBand="0" w:noVBand="1"/>
        </w:tblPrEx>
        <w:tc>
          <w:tcPr>
            <w:tcW w:w="992" w:type="dxa"/>
          </w:tcPr>
          <w:p w14:paraId="2EA54CCA" w14:textId="77777777" w:rsidR="00977580" w:rsidRPr="00C9343F" w:rsidRDefault="00977580" w:rsidP="00977580">
            <w:pPr>
              <w:pStyle w:val="Sectiontext0"/>
              <w:jc w:val="center"/>
              <w:rPr>
                <w:lang w:eastAsia="en-US"/>
              </w:rPr>
            </w:pPr>
          </w:p>
        </w:tc>
        <w:tc>
          <w:tcPr>
            <w:tcW w:w="563" w:type="dxa"/>
          </w:tcPr>
          <w:p w14:paraId="167F9EFA" w14:textId="77777777" w:rsidR="00977580" w:rsidRPr="00C9343F" w:rsidRDefault="00977580" w:rsidP="00977580">
            <w:pPr>
              <w:pStyle w:val="Sectiontext0"/>
              <w:jc w:val="center"/>
              <w:rPr>
                <w:rFonts w:cs="Arial"/>
                <w:lang w:eastAsia="en-US"/>
              </w:rPr>
            </w:pPr>
            <w:r w:rsidRPr="00C9343F">
              <w:rPr>
                <w:rFonts w:cs="Arial"/>
                <w:lang w:eastAsia="en-US"/>
              </w:rPr>
              <w:t>b.</w:t>
            </w:r>
          </w:p>
        </w:tc>
        <w:tc>
          <w:tcPr>
            <w:tcW w:w="7804" w:type="dxa"/>
          </w:tcPr>
          <w:p w14:paraId="39029C23" w14:textId="77777777" w:rsidR="00977580" w:rsidRPr="00C9343F" w:rsidRDefault="00977580" w:rsidP="00977580">
            <w:pPr>
              <w:pStyle w:val="Sectiontext0"/>
              <w:rPr>
                <w:rFonts w:cs="Arial"/>
                <w:lang w:eastAsia="en-US"/>
              </w:rPr>
            </w:pPr>
            <w:r w:rsidRPr="00C9343F">
              <w:rPr>
                <w:rFonts w:cs="Arial"/>
                <w:lang w:eastAsia="en-US"/>
              </w:rPr>
              <w:t>The training could be considered a capital investment in a new or existing business.</w:t>
            </w:r>
          </w:p>
        </w:tc>
      </w:tr>
      <w:tr w:rsidR="00977580" w:rsidRPr="00C9343F" w14:paraId="1A3F9D0C" w14:textId="77777777" w:rsidTr="005E243D">
        <w:tblPrEx>
          <w:tblLook w:val="04A0" w:firstRow="1" w:lastRow="0" w:firstColumn="1" w:lastColumn="0" w:noHBand="0" w:noVBand="1"/>
        </w:tblPrEx>
        <w:tc>
          <w:tcPr>
            <w:tcW w:w="992" w:type="dxa"/>
          </w:tcPr>
          <w:p w14:paraId="31894F46" w14:textId="77777777" w:rsidR="00977580" w:rsidRPr="00C9343F" w:rsidRDefault="00977580" w:rsidP="00977580">
            <w:pPr>
              <w:pStyle w:val="Sectiontext0"/>
              <w:jc w:val="center"/>
              <w:rPr>
                <w:lang w:eastAsia="en-US"/>
              </w:rPr>
            </w:pPr>
            <w:r w:rsidRPr="00C9343F">
              <w:rPr>
                <w:lang w:eastAsia="en-US"/>
              </w:rPr>
              <w:t>5.</w:t>
            </w:r>
          </w:p>
        </w:tc>
        <w:tc>
          <w:tcPr>
            <w:tcW w:w="8367" w:type="dxa"/>
            <w:gridSpan w:val="2"/>
          </w:tcPr>
          <w:p w14:paraId="7BB2ED1E" w14:textId="77777777" w:rsidR="00977580" w:rsidRPr="00C9343F" w:rsidRDefault="00977580" w:rsidP="00977580">
            <w:pPr>
              <w:pStyle w:val="Sectiontext0"/>
              <w:rPr>
                <w:rFonts w:cs="Arial"/>
                <w:lang w:eastAsia="en-US"/>
              </w:rPr>
            </w:pPr>
            <w:r w:rsidRPr="00C9343F">
              <w:rPr>
                <w:rFonts w:cs="Arial"/>
                <w:lang w:eastAsia="en-US"/>
              </w:rPr>
              <w:t>In this section,</w:t>
            </w:r>
            <w:r w:rsidRPr="00C9343F">
              <w:rPr>
                <w:rFonts w:cs="Arial"/>
                <w:b/>
                <w:lang w:eastAsia="en-US"/>
              </w:rPr>
              <w:t xml:space="preserve"> career transition training</w:t>
            </w:r>
            <w:r w:rsidRPr="00C9343F">
              <w:rPr>
                <w:rFonts w:cs="Arial"/>
                <w:lang w:eastAsia="en-US"/>
              </w:rPr>
              <w:t xml:space="preserve"> means training for a member up to a cumulative lifetime total of $5,320.</w:t>
            </w:r>
          </w:p>
        </w:tc>
      </w:tr>
    </w:tbl>
    <w:p w14:paraId="113A258D" w14:textId="77777777" w:rsidR="00B2485C" w:rsidRPr="00C9343F" w:rsidRDefault="00B2485C" w:rsidP="00B2485C">
      <w:pPr>
        <w:pStyle w:val="Heading5"/>
      </w:pPr>
      <w:bookmarkStart w:id="321" w:name="_Toc105053642"/>
      <w:r w:rsidRPr="00C9343F">
        <w:t>2.2.6    Assistance for professional financial advice</w:t>
      </w:r>
      <w:bookmarkEnd w:id="321"/>
    </w:p>
    <w:tbl>
      <w:tblPr>
        <w:tblW w:w="9359" w:type="dxa"/>
        <w:tblInd w:w="113" w:type="dxa"/>
        <w:tblLayout w:type="fixed"/>
        <w:tblLook w:val="0000" w:firstRow="0" w:lastRow="0" w:firstColumn="0" w:lastColumn="0" w:noHBand="0" w:noVBand="0"/>
      </w:tblPr>
      <w:tblGrid>
        <w:gridCol w:w="992"/>
        <w:gridCol w:w="563"/>
        <w:gridCol w:w="567"/>
        <w:gridCol w:w="7237"/>
      </w:tblGrid>
      <w:tr w:rsidR="00B2485C" w:rsidRPr="00C9343F" w14:paraId="6CCF7B8F" w14:textId="77777777" w:rsidTr="005E243D">
        <w:tc>
          <w:tcPr>
            <w:tcW w:w="992" w:type="dxa"/>
          </w:tcPr>
          <w:p w14:paraId="7EBF3C1B" w14:textId="77777777" w:rsidR="00B2485C" w:rsidRPr="00C9343F" w:rsidRDefault="00B2485C" w:rsidP="005E243D">
            <w:pPr>
              <w:pStyle w:val="Sectiontext0"/>
              <w:jc w:val="center"/>
            </w:pPr>
            <w:r w:rsidRPr="00C9343F">
              <w:t>1.</w:t>
            </w:r>
          </w:p>
        </w:tc>
        <w:tc>
          <w:tcPr>
            <w:tcW w:w="8367" w:type="dxa"/>
            <w:gridSpan w:val="3"/>
          </w:tcPr>
          <w:p w14:paraId="0971C642" w14:textId="141FDFC0" w:rsidR="00B2485C" w:rsidRPr="00C9343F" w:rsidRDefault="00B2485C" w:rsidP="005E243D">
            <w:pPr>
              <w:pStyle w:val="Sectiontext0"/>
              <w:rPr>
                <w:iCs/>
              </w:rPr>
            </w:pPr>
            <w:r w:rsidRPr="00C9343F">
              <w:rPr>
                <w:iCs/>
              </w:rPr>
              <w:t>A member is eligible on application for professional financial advice</w:t>
            </w:r>
            <w:r w:rsidR="0009032B" w:rsidRPr="00C9343F">
              <w:rPr>
                <w:iCs/>
              </w:rPr>
              <w:t xml:space="preserve"> </w:t>
            </w:r>
            <w:r w:rsidR="0009032B" w:rsidRPr="00C9343F">
              <w:rPr>
                <w:rFonts w:cs="Arial"/>
                <w:lang w:eastAsia="en-US"/>
              </w:rPr>
              <w:t>within 24 months of the member’s transition date</w:t>
            </w:r>
            <w:r w:rsidRPr="00C9343F">
              <w:rPr>
                <w:iCs/>
              </w:rPr>
              <w:t xml:space="preserve"> if the financial advice meets the following.</w:t>
            </w:r>
          </w:p>
        </w:tc>
      </w:tr>
      <w:tr w:rsidR="00B2485C" w:rsidRPr="00C9343F" w14:paraId="2E92956C" w14:textId="77777777" w:rsidTr="005E243D">
        <w:tblPrEx>
          <w:tblLook w:val="04A0" w:firstRow="1" w:lastRow="0" w:firstColumn="1" w:lastColumn="0" w:noHBand="0" w:noVBand="1"/>
        </w:tblPrEx>
        <w:tc>
          <w:tcPr>
            <w:tcW w:w="992" w:type="dxa"/>
          </w:tcPr>
          <w:p w14:paraId="6EC415E2" w14:textId="77777777" w:rsidR="00B2485C" w:rsidRPr="00C9343F" w:rsidRDefault="00B2485C" w:rsidP="005E243D">
            <w:pPr>
              <w:pStyle w:val="Sectiontext0"/>
              <w:jc w:val="center"/>
              <w:rPr>
                <w:lang w:eastAsia="en-US"/>
              </w:rPr>
            </w:pPr>
          </w:p>
        </w:tc>
        <w:tc>
          <w:tcPr>
            <w:tcW w:w="563" w:type="dxa"/>
            <w:hideMark/>
          </w:tcPr>
          <w:p w14:paraId="73885F88" w14:textId="77777777" w:rsidR="00B2485C" w:rsidRPr="00C9343F" w:rsidRDefault="00B2485C" w:rsidP="005E243D">
            <w:pPr>
              <w:pStyle w:val="Sectiontext0"/>
              <w:jc w:val="center"/>
              <w:rPr>
                <w:rFonts w:cs="Arial"/>
                <w:lang w:eastAsia="en-US"/>
              </w:rPr>
            </w:pPr>
            <w:r w:rsidRPr="00C9343F">
              <w:rPr>
                <w:rFonts w:cs="Arial"/>
                <w:lang w:eastAsia="en-US"/>
              </w:rPr>
              <w:t>a.</w:t>
            </w:r>
          </w:p>
        </w:tc>
        <w:tc>
          <w:tcPr>
            <w:tcW w:w="7804" w:type="dxa"/>
            <w:gridSpan w:val="2"/>
          </w:tcPr>
          <w:p w14:paraId="51C5DBEB" w14:textId="77777777" w:rsidR="00B2485C" w:rsidRPr="00C9343F" w:rsidRDefault="00B2485C" w:rsidP="005E243D">
            <w:pPr>
              <w:pStyle w:val="Sectiontext0"/>
              <w:rPr>
                <w:rFonts w:cs="Arial"/>
                <w:lang w:eastAsia="en-US"/>
              </w:rPr>
            </w:pPr>
            <w:r w:rsidRPr="00C9343F">
              <w:rPr>
                <w:rFonts w:cs="Arial"/>
                <w:lang w:eastAsia="en-US"/>
              </w:rPr>
              <w:t>It is provided by one of the following.</w:t>
            </w:r>
          </w:p>
        </w:tc>
      </w:tr>
      <w:tr w:rsidR="00B2485C" w:rsidRPr="00C9343F" w14:paraId="09F04C79" w14:textId="77777777" w:rsidTr="005E243D">
        <w:tblPrEx>
          <w:tblLook w:val="04A0" w:firstRow="1" w:lastRow="0" w:firstColumn="1" w:lastColumn="0" w:noHBand="0" w:noVBand="1"/>
        </w:tblPrEx>
        <w:tc>
          <w:tcPr>
            <w:tcW w:w="992" w:type="dxa"/>
          </w:tcPr>
          <w:p w14:paraId="487B1BE9" w14:textId="77777777" w:rsidR="00B2485C" w:rsidRPr="00C9343F" w:rsidRDefault="00B2485C" w:rsidP="005E243D">
            <w:pPr>
              <w:pStyle w:val="Sectiontext0"/>
              <w:jc w:val="center"/>
              <w:rPr>
                <w:lang w:eastAsia="en-US"/>
              </w:rPr>
            </w:pPr>
          </w:p>
        </w:tc>
        <w:tc>
          <w:tcPr>
            <w:tcW w:w="563" w:type="dxa"/>
          </w:tcPr>
          <w:p w14:paraId="35EAA505" w14:textId="77777777" w:rsidR="00B2485C" w:rsidRPr="00C9343F" w:rsidRDefault="00B2485C" w:rsidP="005E243D">
            <w:pPr>
              <w:pStyle w:val="Sectiontext0"/>
              <w:rPr>
                <w:rFonts w:cs="Arial"/>
                <w:iCs/>
                <w:lang w:eastAsia="en-US"/>
              </w:rPr>
            </w:pPr>
          </w:p>
        </w:tc>
        <w:tc>
          <w:tcPr>
            <w:tcW w:w="567" w:type="dxa"/>
          </w:tcPr>
          <w:p w14:paraId="05C96F76" w14:textId="77777777" w:rsidR="00B2485C" w:rsidRPr="00C9343F" w:rsidRDefault="00B2485C" w:rsidP="005E243D">
            <w:pPr>
              <w:pStyle w:val="Sectiontext0"/>
              <w:rPr>
                <w:rFonts w:cs="Arial"/>
                <w:iCs/>
                <w:lang w:eastAsia="en-US"/>
              </w:rPr>
            </w:pPr>
            <w:r w:rsidRPr="00C9343F">
              <w:rPr>
                <w:rFonts w:cs="Arial"/>
                <w:iCs/>
                <w:lang w:eastAsia="en-US"/>
              </w:rPr>
              <w:t>i.</w:t>
            </w:r>
          </w:p>
        </w:tc>
        <w:tc>
          <w:tcPr>
            <w:tcW w:w="7237" w:type="dxa"/>
          </w:tcPr>
          <w:p w14:paraId="1BC5AFA7" w14:textId="77777777" w:rsidR="00B2485C" w:rsidRPr="00C9343F" w:rsidRDefault="00B2485C" w:rsidP="005E243D">
            <w:pPr>
              <w:pStyle w:val="Sectiontext0"/>
              <w:rPr>
                <w:rFonts w:cs="Arial"/>
                <w:iCs/>
                <w:lang w:eastAsia="en-US"/>
              </w:rPr>
            </w:pPr>
            <w:r w:rsidRPr="00C9343F">
              <w:rPr>
                <w:rFonts w:cs="Arial"/>
                <w:iCs/>
                <w:lang w:eastAsia="en-US"/>
              </w:rPr>
              <w:t xml:space="preserve">A professional financial advisor who holds a current Australian Financial Services Licence. </w:t>
            </w:r>
          </w:p>
        </w:tc>
      </w:tr>
      <w:tr w:rsidR="00B2485C" w:rsidRPr="00C9343F" w14:paraId="520B120C" w14:textId="77777777" w:rsidTr="005E243D">
        <w:tblPrEx>
          <w:tblLook w:val="04A0" w:firstRow="1" w:lastRow="0" w:firstColumn="1" w:lastColumn="0" w:noHBand="0" w:noVBand="1"/>
        </w:tblPrEx>
        <w:tc>
          <w:tcPr>
            <w:tcW w:w="992" w:type="dxa"/>
          </w:tcPr>
          <w:p w14:paraId="62B27746" w14:textId="77777777" w:rsidR="00B2485C" w:rsidRPr="00C9343F" w:rsidRDefault="00B2485C" w:rsidP="005E243D">
            <w:pPr>
              <w:pStyle w:val="Sectiontext0"/>
              <w:jc w:val="center"/>
              <w:rPr>
                <w:lang w:eastAsia="en-US"/>
              </w:rPr>
            </w:pPr>
          </w:p>
        </w:tc>
        <w:tc>
          <w:tcPr>
            <w:tcW w:w="563" w:type="dxa"/>
          </w:tcPr>
          <w:p w14:paraId="7396B6E8" w14:textId="77777777" w:rsidR="00B2485C" w:rsidRPr="00C9343F" w:rsidRDefault="00B2485C" w:rsidP="005E243D">
            <w:pPr>
              <w:pStyle w:val="Sectiontext0"/>
              <w:rPr>
                <w:rFonts w:cs="Arial"/>
                <w:iCs/>
                <w:lang w:eastAsia="en-US"/>
              </w:rPr>
            </w:pPr>
          </w:p>
        </w:tc>
        <w:tc>
          <w:tcPr>
            <w:tcW w:w="567" w:type="dxa"/>
          </w:tcPr>
          <w:p w14:paraId="77F3D37F" w14:textId="77777777" w:rsidR="00B2485C" w:rsidRPr="00C9343F" w:rsidRDefault="00B2485C" w:rsidP="005E243D">
            <w:pPr>
              <w:pStyle w:val="Sectiontext0"/>
              <w:rPr>
                <w:rFonts w:cs="Arial"/>
                <w:iCs/>
                <w:lang w:eastAsia="en-US"/>
              </w:rPr>
            </w:pPr>
            <w:r w:rsidRPr="00C9343F">
              <w:rPr>
                <w:rFonts w:cs="Arial"/>
                <w:iCs/>
                <w:lang w:eastAsia="en-US"/>
              </w:rPr>
              <w:t>ii.</w:t>
            </w:r>
          </w:p>
        </w:tc>
        <w:tc>
          <w:tcPr>
            <w:tcW w:w="7237" w:type="dxa"/>
          </w:tcPr>
          <w:p w14:paraId="60059AA8" w14:textId="77777777" w:rsidR="00B2485C" w:rsidRPr="00C9343F" w:rsidRDefault="00B2485C" w:rsidP="005E243D">
            <w:pPr>
              <w:pStyle w:val="Sectiontext0"/>
              <w:rPr>
                <w:rFonts w:cs="Arial"/>
                <w:iCs/>
                <w:lang w:eastAsia="en-US"/>
              </w:rPr>
            </w:pPr>
            <w:r w:rsidRPr="00C9343F">
              <w:rPr>
                <w:rFonts w:cs="Arial"/>
                <w:iCs/>
                <w:lang w:eastAsia="en-US"/>
              </w:rPr>
              <w:t>An authorised representative of a holder of an Australian Financial Services Licence.</w:t>
            </w:r>
          </w:p>
        </w:tc>
      </w:tr>
      <w:tr w:rsidR="00B2485C" w:rsidRPr="00C9343F" w14:paraId="2BE5E1BE" w14:textId="77777777" w:rsidTr="005E243D">
        <w:tblPrEx>
          <w:tblLook w:val="04A0" w:firstRow="1" w:lastRow="0" w:firstColumn="1" w:lastColumn="0" w:noHBand="0" w:noVBand="1"/>
        </w:tblPrEx>
        <w:tc>
          <w:tcPr>
            <w:tcW w:w="992" w:type="dxa"/>
          </w:tcPr>
          <w:p w14:paraId="0DC0293C" w14:textId="77777777" w:rsidR="00B2485C" w:rsidRPr="00C9343F" w:rsidRDefault="00B2485C" w:rsidP="005E243D">
            <w:pPr>
              <w:pStyle w:val="Sectiontext0"/>
              <w:jc w:val="center"/>
              <w:rPr>
                <w:lang w:eastAsia="en-US"/>
              </w:rPr>
            </w:pPr>
          </w:p>
        </w:tc>
        <w:tc>
          <w:tcPr>
            <w:tcW w:w="563" w:type="dxa"/>
            <w:hideMark/>
          </w:tcPr>
          <w:p w14:paraId="1FFA923B" w14:textId="77777777" w:rsidR="00B2485C" w:rsidRPr="00C9343F" w:rsidRDefault="00B2485C" w:rsidP="005E243D">
            <w:pPr>
              <w:pStyle w:val="Sectiontext0"/>
              <w:jc w:val="center"/>
              <w:rPr>
                <w:rFonts w:cs="Arial"/>
                <w:lang w:eastAsia="en-US"/>
              </w:rPr>
            </w:pPr>
            <w:r w:rsidRPr="00C9343F">
              <w:rPr>
                <w:rFonts w:cs="Arial"/>
                <w:lang w:eastAsia="en-US"/>
              </w:rPr>
              <w:t>b.</w:t>
            </w:r>
          </w:p>
        </w:tc>
        <w:tc>
          <w:tcPr>
            <w:tcW w:w="7804" w:type="dxa"/>
            <w:gridSpan w:val="2"/>
          </w:tcPr>
          <w:p w14:paraId="6AC89415" w14:textId="77777777" w:rsidR="00B2485C" w:rsidRPr="00C9343F" w:rsidRDefault="00B2485C" w:rsidP="005E243D">
            <w:pPr>
              <w:pStyle w:val="Sectiontext0"/>
              <w:rPr>
                <w:rFonts w:cs="Arial"/>
                <w:lang w:eastAsia="en-US"/>
              </w:rPr>
            </w:pPr>
            <w:r w:rsidRPr="00C9343F">
              <w:rPr>
                <w:rFonts w:cs="Arial"/>
                <w:lang w:eastAsia="en-US"/>
              </w:rPr>
              <w:t>The advice is not for routine tax or accountancy services.</w:t>
            </w:r>
          </w:p>
        </w:tc>
      </w:tr>
      <w:tr w:rsidR="00B2485C" w:rsidRPr="00C9343F" w14:paraId="10FCC8C1" w14:textId="77777777" w:rsidTr="005E243D">
        <w:tblPrEx>
          <w:tblLook w:val="04A0" w:firstRow="1" w:lastRow="0" w:firstColumn="1" w:lastColumn="0" w:noHBand="0" w:noVBand="1"/>
        </w:tblPrEx>
        <w:tc>
          <w:tcPr>
            <w:tcW w:w="992" w:type="dxa"/>
          </w:tcPr>
          <w:p w14:paraId="2D11F018" w14:textId="77777777" w:rsidR="00B2485C" w:rsidRPr="00C9343F" w:rsidRDefault="00B2485C" w:rsidP="005E243D">
            <w:pPr>
              <w:pStyle w:val="Sectiontext0"/>
              <w:jc w:val="center"/>
              <w:rPr>
                <w:lang w:eastAsia="en-US"/>
              </w:rPr>
            </w:pPr>
            <w:r w:rsidRPr="00C9343F">
              <w:rPr>
                <w:lang w:eastAsia="en-US"/>
              </w:rPr>
              <w:t>2.</w:t>
            </w:r>
          </w:p>
        </w:tc>
        <w:tc>
          <w:tcPr>
            <w:tcW w:w="8367" w:type="dxa"/>
            <w:gridSpan w:val="3"/>
          </w:tcPr>
          <w:p w14:paraId="243499CB" w14:textId="77777777" w:rsidR="00B2485C" w:rsidRPr="00C9343F" w:rsidRDefault="00B2485C" w:rsidP="005E243D">
            <w:pPr>
              <w:pStyle w:val="Sectiontext0"/>
              <w:rPr>
                <w:rFonts w:cs="Arial"/>
                <w:b/>
                <w:bCs/>
                <w:iCs/>
                <w:lang w:eastAsia="en-US"/>
              </w:rPr>
            </w:pPr>
            <w:r w:rsidRPr="00C9343F">
              <w:rPr>
                <w:rFonts w:cs="Arial"/>
                <w:bCs/>
                <w:iCs/>
                <w:lang w:eastAsia="en-US"/>
              </w:rPr>
              <w:t>A benefit under subsection 1 can be made as a reimbursement to the member or provided to the service provider.</w:t>
            </w:r>
          </w:p>
        </w:tc>
      </w:tr>
      <w:tr w:rsidR="00B2485C" w:rsidRPr="00C9343F" w14:paraId="56922045" w14:textId="77777777" w:rsidTr="005E243D">
        <w:tblPrEx>
          <w:tblLook w:val="04A0" w:firstRow="1" w:lastRow="0" w:firstColumn="1" w:lastColumn="0" w:noHBand="0" w:noVBand="1"/>
        </w:tblPrEx>
        <w:tc>
          <w:tcPr>
            <w:tcW w:w="992" w:type="dxa"/>
          </w:tcPr>
          <w:p w14:paraId="4CAE5CF1" w14:textId="77777777" w:rsidR="00B2485C" w:rsidRPr="00C9343F" w:rsidRDefault="00B2485C" w:rsidP="005E243D">
            <w:pPr>
              <w:pStyle w:val="Sectiontext0"/>
              <w:jc w:val="center"/>
              <w:rPr>
                <w:lang w:eastAsia="en-US"/>
              </w:rPr>
            </w:pPr>
            <w:r w:rsidRPr="00C9343F">
              <w:rPr>
                <w:lang w:eastAsia="en-US"/>
              </w:rPr>
              <w:t>3.</w:t>
            </w:r>
          </w:p>
        </w:tc>
        <w:tc>
          <w:tcPr>
            <w:tcW w:w="8367" w:type="dxa"/>
            <w:gridSpan w:val="3"/>
          </w:tcPr>
          <w:p w14:paraId="583078AB" w14:textId="77777777" w:rsidR="00B2485C" w:rsidRPr="00C9343F" w:rsidRDefault="00B2485C" w:rsidP="005E243D">
            <w:pPr>
              <w:pStyle w:val="Sectiontext0"/>
              <w:rPr>
                <w:rFonts w:cs="Arial"/>
                <w:bCs/>
                <w:iCs/>
                <w:lang w:eastAsia="en-US"/>
              </w:rPr>
            </w:pPr>
            <w:r w:rsidRPr="00C9343F">
              <w:rPr>
                <w:rFonts w:cs="Arial"/>
                <w:bCs/>
                <w:iCs/>
                <w:lang w:eastAsia="en-US"/>
              </w:rPr>
              <w:t xml:space="preserve">In this section, </w:t>
            </w:r>
            <w:r w:rsidRPr="00C9343F">
              <w:rPr>
                <w:rFonts w:cs="Arial"/>
                <w:b/>
                <w:bCs/>
                <w:iCs/>
                <w:lang w:eastAsia="en-US"/>
              </w:rPr>
              <w:t>professional financial advice</w:t>
            </w:r>
            <w:r w:rsidRPr="00C9343F">
              <w:rPr>
                <w:rFonts w:cs="Arial"/>
                <w:bCs/>
                <w:iCs/>
                <w:lang w:eastAsia="en-US"/>
              </w:rPr>
              <w:t xml:space="preserve"> means financial advice</w:t>
            </w:r>
            <w:r w:rsidRPr="00C9343F">
              <w:rPr>
                <w:rFonts w:cs="Arial"/>
                <w:lang w:eastAsia="en-US"/>
              </w:rPr>
              <w:t xml:space="preserve"> for a member up to a cumulative lifetime total of $1,000.</w:t>
            </w:r>
          </w:p>
        </w:tc>
      </w:tr>
    </w:tbl>
    <w:p w14:paraId="5381E8C2" w14:textId="14459689" w:rsidR="00277260" w:rsidRPr="00C9343F" w:rsidRDefault="00277260" w:rsidP="00F66D98">
      <w:pPr>
        <w:pStyle w:val="Heading5"/>
      </w:pPr>
      <w:bookmarkStart w:id="322" w:name="_Toc105053643"/>
      <w:r w:rsidRPr="00C9343F">
        <w:t>2.2.7</w:t>
      </w:r>
      <w:r w:rsidR="00D94006" w:rsidRPr="00C9343F">
        <w:t>    </w:t>
      </w:r>
      <w:r w:rsidRPr="00C9343F">
        <w:t>Travel and accommodation</w:t>
      </w:r>
      <w:bookmarkEnd w:id="322"/>
    </w:p>
    <w:tbl>
      <w:tblPr>
        <w:tblW w:w="9359" w:type="dxa"/>
        <w:tblInd w:w="113" w:type="dxa"/>
        <w:tblLayout w:type="fixed"/>
        <w:tblLook w:val="0000" w:firstRow="0" w:lastRow="0" w:firstColumn="0" w:lastColumn="0" w:noHBand="0" w:noVBand="0"/>
      </w:tblPr>
      <w:tblGrid>
        <w:gridCol w:w="992"/>
        <w:gridCol w:w="563"/>
        <w:gridCol w:w="7804"/>
      </w:tblGrid>
      <w:tr w:rsidR="00496918" w:rsidRPr="00C9343F" w14:paraId="535D69F5" w14:textId="77777777" w:rsidTr="00DE6552">
        <w:tc>
          <w:tcPr>
            <w:tcW w:w="992" w:type="dxa"/>
          </w:tcPr>
          <w:p w14:paraId="39CB3AD6" w14:textId="66C25D33" w:rsidR="00496918" w:rsidRPr="00C9343F" w:rsidRDefault="00496918" w:rsidP="00496918">
            <w:pPr>
              <w:pStyle w:val="Sectiontext0"/>
              <w:jc w:val="center"/>
            </w:pPr>
            <w:r w:rsidRPr="00C9343F">
              <w:t>1.</w:t>
            </w:r>
          </w:p>
        </w:tc>
        <w:tc>
          <w:tcPr>
            <w:tcW w:w="8367" w:type="dxa"/>
            <w:gridSpan w:val="2"/>
          </w:tcPr>
          <w:p w14:paraId="449CEDD9" w14:textId="11F1145C" w:rsidR="00496918" w:rsidRPr="00C9343F" w:rsidRDefault="00496918" w:rsidP="00496918">
            <w:pPr>
              <w:pStyle w:val="Sectiontext0"/>
            </w:pPr>
            <w:r w:rsidRPr="00C9343F">
              <w:rPr>
                <w:iCs/>
              </w:rPr>
              <w:t xml:space="preserve">A member is eligible for travel costs within Australia if the CDF is satisfied that the member must travel to attend the following. </w:t>
            </w:r>
          </w:p>
        </w:tc>
      </w:tr>
      <w:tr w:rsidR="00496918" w:rsidRPr="00C9343F" w14:paraId="794F4197" w14:textId="77777777" w:rsidTr="00DE6552">
        <w:tblPrEx>
          <w:tblLook w:val="04A0" w:firstRow="1" w:lastRow="0" w:firstColumn="1" w:lastColumn="0" w:noHBand="0" w:noVBand="1"/>
        </w:tblPrEx>
        <w:tc>
          <w:tcPr>
            <w:tcW w:w="992" w:type="dxa"/>
          </w:tcPr>
          <w:p w14:paraId="41B6CAD3" w14:textId="77777777" w:rsidR="00496918" w:rsidRPr="00C9343F" w:rsidRDefault="00496918" w:rsidP="00496918">
            <w:pPr>
              <w:pStyle w:val="Sectiontext0"/>
              <w:jc w:val="center"/>
              <w:rPr>
                <w:lang w:eastAsia="en-US"/>
              </w:rPr>
            </w:pPr>
          </w:p>
        </w:tc>
        <w:tc>
          <w:tcPr>
            <w:tcW w:w="563" w:type="dxa"/>
            <w:hideMark/>
          </w:tcPr>
          <w:p w14:paraId="1C8FCCEF" w14:textId="77777777" w:rsidR="00496918" w:rsidRPr="00C9343F" w:rsidRDefault="00496918" w:rsidP="00496918">
            <w:pPr>
              <w:pStyle w:val="Sectiontext0"/>
              <w:jc w:val="center"/>
              <w:rPr>
                <w:rFonts w:cs="Arial"/>
                <w:lang w:eastAsia="en-US"/>
              </w:rPr>
            </w:pPr>
            <w:r w:rsidRPr="00C9343F">
              <w:rPr>
                <w:rFonts w:cs="Arial"/>
                <w:lang w:eastAsia="en-US"/>
              </w:rPr>
              <w:t>a.</w:t>
            </w:r>
          </w:p>
        </w:tc>
        <w:tc>
          <w:tcPr>
            <w:tcW w:w="7804" w:type="dxa"/>
          </w:tcPr>
          <w:p w14:paraId="53B59CDA" w14:textId="0213689A" w:rsidR="00496918" w:rsidRPr="00C9343F" w:rsidRDefault="00496918" w:rsidP="00496918">
            <w:pPr>
              <w:pStyle w:val="Sectiontext0"/>
              <w:rPr>
                <w:rFonts w:cs="Arial"/>
                <w:lang w:eastAsia="en-US"/>
              </w:rPr>
            </w:pPr>
            <w:r w:rsidRPr="00C9343F">
              <w:rPr>
                <w:iCs/>
              </w:rPr>
              <w:t>Career transition training activities under section 2.2.5.</w:t>
            </w:r>
          </w:p>
        </w:tc>
      </w:tr>
      <w:tr w:rsidR="00496918" w:rsidRPr="00C9343F" w14:paraId="2B792C5C" w14:textId="77777777" w:rsidTr="00DE6552">
        <w:tblPrEx>
          <w:tblLook w:val="04A0" w:firstRow="1" w:lastRow="0" w:firstColumn="1" w:lastColumn="0" w:noHBand="0" w:noVBand="1"/>
        </w:tblPrEx>
        <w:tc>
          <w:tcPr>
            <w:tcW w:w="992" w:type="dxa"/>
          </w:tcPr>
          <w:p w14:paraId="70943B5C" w14:textId="77777777" w:rsidR="00496918" w:rsidRPr="00C9343F" w:rsidRDefault="00496918" w:rsidP="00496918">
            <w:pPr>
              <w:pStyle w:val="Sectiontext0"/>
              <w:jc w:val="center"/>
              <w:rPr>
                <w:lang w:eastAsia="en-US"/>
              </w:rPr>
            </w:pPr>
          </w:p>
        </w:tc>
        <w:tc>
          <w:tcPr>
            <w:tcW w:w="563" w:type="dxa"/>
          </w:tcPr>
          <w:p w14:paraId="01B61BDB" w14:textId="77777777" w:rsidR="00496918" w:rsidRPr="00C9343F" w:rsidRDefault="00496918" w:rsidP="00496918">
            <w:pPr>
              <w:pStyle w:val="Sectiontext0"/>
              <w:jc w:val="center"/>
              <w:rPr>
                <w:rFonts w:cs="Arial"/>
                <w:lang w:eastAsia="en-US"/>
              </w:rPr>
            </w:pPr>
            <w:r w:rsidRPr="00C9343F">
              <w:rPr>
                <w:rFonts w:cs="Arial"/>
                <w:lang w:eastAsia="en-US"/>
              </w:rPr>
              <w:t>b.</w:t>
            </w:r>
          </w:p>
        </w:tc>
        <w:tc>
          <w:tcPr>
            <w:tcW w:w="7804" w:type="dxa"/>
          </w:tcPr>
          <w:p w14:paraId="42575588" w14:textId="54D8C654" w:rsidR="00496918" w:rsidRPr="00C9343F" w:rsidRDefault="00496918" w:rsidP="00496918">
            <w:pPr>
              <w:pStyle w:val="Sectiontext0"/>
              <w:rPr>
                <w:iCs/>
              </w:rPr>
            </w:pPr>
            <w:r w:rsidRPr="00C9343F">
              <w:rPr>
                <w:iCs/>
              </w:rPr>
              <w:t>ADF Member and Family transition seminars.</w:t>
            </w:r>
          </w:p>
        </w:tc>
      </w:tr>
      <w:tr w:rsidR="00277260" w:rsidRPr="00C9343F" w14:paraId="636497E2" w14:textId="77777777" w:rsidTr="00DE6552">
        <w:tc>
          <w:tcPr>
            <w:tcW w:w="992" w:type="dxa"/>
          </w:tcPr>
          <w:p w14:paraId="6D8AC5B6" w14:textId="77777777" w:rsidR="00277260" w:rsidRPr="00C9343F" w:rsidRDefault="00277260" w:rsidP="00F66D98">
            <w:pPr>
              <w:pStyle w:val="Sectiontext0"/>
              <w:jc w:val="center"/>
            </w:pPr>
            <w:r w:rsidRPr="00C9343F">
              <w:t>2.</w:t>
            </w:r>
          </w:p>
        </w:tc>
        <w:tc>
          <w:tcPr>
            <w:tcW w:w="8367" w:type="dxa"/>
            <w:gridSpan w:val="2"/>
          </w:tcPr>
          <w:p w14:paraId="7FCFD67E" w14:textId="77777777" w:rsidR="00277260" w:rsidRPr="00C9343F" w:rsidRDefault="00277260" w:rsidP="00F66D98">
            <w:pPr>
              <w:pStyle w:val="Sectiontext0"/>
              <w:rPr>
                <w:iCs/>
              </w:rPr>
            </w:pPr>
            <w:r w:rsidRPr="00C9343F">
              <w:rPr>
                <w:iCs/>
              </w:rPr>
              <w:t>Travel costs provided under subsection 1 are limited to the travel costs payable under Chapter 9 Part 5, Payment of Travel costs.</w:t>
            </w:r>
          </w:p>
        </w:tc>
      </w:tr>
      <w:tr w:rsidR="00277260" w:rsidRPr="00C9343F" w14:paraId="01423F7B" w14:textId="77777777" w:rsidTr="00DE6552">
        <w:tc>
          <w:tcPr>
            <w:tcW w:w="992" w:type="dxa"/>
          </w:tcPr>
          <w:p w14:paraId="25239989" w14:textId="77777777" w:rsidR="00277260" w:rsidRPr="00C9343F" w:rsidRDefault="00277260" w:rsidP="00F66D98">
            <w:pPr>
              <w:pStyle w:val="Sectiontext0"/>
              <w:jc w:val="center"/>
            </w:pPr>
            <w:r w:rsidRPr="00C9343F">
              <w:t>3.</w:t>
            </w:r>
          </w:p>
        </w:tc>
        <w:tc>
          <w:tcPr>
            <w:tcW w:w="8367" w:type="dxa"/>
            <w:gridSpan w:val="2"/>
          </w:tcPr>
          <w:p w14:paraId="61C5EDD7" w14:textId="77777777" w:rsidR="00277260" w:rsidRPr="00C9343F" w:rsidRDefault="00277260" w:rsidP="00F66D98">
            <w:pPr>
              <w:pStyle w:val="Sectiontext0"/>
              <w:rPr>
                <w:iCs/>
              </w:rPr>
            </w:pPr>
            <w:r w:rsidRPr="00C9343F">
              <w:rPr>
                <w:iCs/>
              </w:rPr>
              <w:t xml:space="preserve">The member is eligible to occupy one of the following. </w:t>
            </w:r>
          </w:p>
        </w:tc>
      </w:tr>
      <w:tr w:rsidR="00277260" w:rsidRPr="00C9343F" w14:paraId="67BF0BA9" w14:textId="77777777" w:rsidTr="00DE6552">
        <w:tblPrEx>
          <w:tblLook w:val="04A0" w:firstRow="1" w:lastRow="0" w:firstColumn="1" w:lastColumn="0" w:noHBand="0" w:noVBand="1"/>
        </w:tblPrEx>
        <w:tc>
          <w:tcPr>
            <w:tcW w:w="992" w:type="dxa"/>
          </w:tcPr>
          <w:p w14:paraId="6589F426" w14:textId="77777777" w:rsidR="00277260" w:rsidRPr="00C9343F" w:rsidRDefault="00277260" w:rsidP="00F66D98">
            <w:pPr>
              <w:pStyle w:val="Sectiontext0"/>
              <w:jc w:val="center"/>
              <w:rPr>
                <w:lang w:eastAsia="en-US"/>
              </w:rPr>
            </w:pPr>
          </w:p>
        </w:tc>
        <w:tc>
          <w:tcPr>
            <w:tcW w:w="563" w:type="dxa"/>
            <w:hideMark/>
          </w:tcPr>
          <w:p w14:paraId="786844EC" w14:textId="77777777" w:rsidR="00277260" w:rsidRPr="00C9343F" w:rsidRDefault="00277260" w:rsidP="00F66D98">
            <w:pPr>
              <w:pStyle w:val="Sectiontext0"/>
              <w:jc w:val="center"/>
              <w:rPr>
                <w:rFonts w:cs="Arial"/>
                <w:lang w:eastAsia="en-US"/>
              </w:rPr>
            </w:pPr>
            <w:r w:rsidRPr="00C9343F">
              <w:rPr>
                <w:rFonts w:cs="Arial"/>
                <w:lang w:eastAsia="en-US"/>
              </w:rPr>
              <w:t>a.</w:t>
            </w:r>
          </w:p>
        </w:tc>
        <w:tc>
          <w:tcPr>
            <w:tcW w:w="7804" w:type="dxa"/>
          </w:tcPr>
          <w:p w14:paraId="53290559" w14:textId="77777777" w:rsidR="00277260" w:rsidRPr="00C9343F" w:rsidRDefault="00277260" w:rsidP="00F66D98">
            <w:pPr>
              <w:pStyle w:val="Sectiontext0"/>
              <w:rPr>
                <w:rFonts w:cs="Arial"/>
                <w:lang w:eastAsia="en-US"/>
              </w:rPr>
            </w:pPr>
            <w:r w:rsidRPr="00C9343F">
              <w:rPr>
                <w:iCs/>
              </w:rPr>
              <w:t>Service accommodation in the location where the activity is to be held.</w:t>
            </w:r>
          </w:p>
        </w:tc>
      </w:tr>
      <w:tr w:rsidR="00277260" w:rsidRPr="00C9343F" w14:paraId="2832BF48" w14:textId="77777777" w:rsidTr="00DE6552">
        <w:tblPrEx>
          <w:tblLook w:val="04A0" w:firstRow="1" w:lastRow="0" w:firstColumn="1" w:lastColumn="0" w:noHBand="0" w:noVBand="1"/>
        </w:tblPrEx>
        <w:tc>
          <w:tcPr>
            <w:tcW w:w="992" w:type="dxa"/>
          </w:tcPr>
          <w:p w14:paraId="272F348D" w14:textId="77777777" w:rsidR="00277260" w:rsidRPr="00C9343F" w:rsidRDefault="00277260" w:rsidP="00F66D98">
            <w:pPr>
              <w:pStyle w:val="Sectiontext0"/>
              <w:jc w:val="center"/>
              <w:rPr>
                <w:lang w:eastAsia="en-US"/>
              </w:rPr>
            </w:pPr>
          </w:p>
        </w:tc>
        <w:tc>
          <w:tcPr>
            <w:tcW w:w="563" w:type="dxa"/>
          </w:tcPr>
          <w:p w14:paraId="58FFDD1D" w14:textId="77777777" w:rsidR="00277260" w:rsidRPr="00C9343F" w:rsidRDefault="00277260" w:rsidP="00F66D98">
            <w:pPr>
              <w:pStyle w:val="Sectiontext0"/>
              <w:jc w:val="center"/>
              <w:rPr>
                <w:rFonts w:cs="Arial"/>
                <w:lang w:eastAsia="en-US"/>
              </w:rPr>
            </w:pPr>
            <w:r w:rsidRPr="00C9343F">
              <w:rPr>
                <w:rFonts w:cs="Arial"/>
                <w:lang w:eastAsia="en-US"/>
              </w:rPr>
              <w:t>b.</w:t>
            </w:r>
          </w:p>
        </w:tc>
        <w:tc>
          <w:tcPr>
            <w:tcW w:w="7804" w:type="dxa"/>
          </w:tcPr>
          <w:p w14:paraId="6AD27DD8" w14:textId="77777777" w:rsidR="00277260" w:rsidRPr="00C9343F" w:rsidRDefault="00277260" w:rsidP="00F66D98">
            <w:pPr>
              <w:pStyle w:val="Sectiontext0"/>
              <w:rPr>
                <w:iCs/>
              </w:rPr>
            </w:pPr>
            <w:r w:rsidRPr="00C9343F">
              <w:rPr>
                <w:iCs/>
              </w:rPr>
              <w:t>Normal accommodation stock, as defined in section 9.5.15, if the CDF is satisfied that Service accommodation is not suitable for the member to use.</w:t>
            </w:r>
          </w:p>
        </w:tc>
      </w:tr>
    </w:tbl>
    <w:p w14:paraId="54709930" w14:textId="77777777" w:rsidR="00E10A36" w:rsidRPr="00C9343F" w:rsidRDefault="00E10A36" w:rsidP="00E10A36">
      <w:pPr>
        <w:pStyle w:val="Heading5"/>
      </w:pPr>
      <w:bookmarkStart w:id="323" w:name="_Toc79054394"/>
      <w:bookmarkStart w:id="324" w:name="_Toc105053644"/>
      <w:r w:rsidRPr="00C9343F">
        <w:t>2.2.8    Approved absence</w:t>
      </w:r>
      <w:bookmarkEnd w:id="323"/>
      <w:bookmarkEnd w:id="324"/>
    </w:p>
    <w:tbl>
      <w:tblPr>
        <w:tblW w:w="9359" w:type="dxa"/>
        <w:tblInd w:w="113" w:type="dxa"/>
        <w:tblLayout w:type="fixed"/>
        <w:tblLook w:val="04A0" w:firstRow="1" w:lastRow="0" w:firstColumn="1" w:lastColumn="0" w:noHBand="0" w:noVBand="1"/>
      </w:tblPr>
      <w:tblGrid>
        <w:gridCol w:w="992"/>
        <w:gridCol w:w="563"/>
        <w:gridCol w:w="7804"/>
      </w:tblGrid>
      <w:tr w:rsidR="0009032B" w:rsidRPr="00C9343F" w14:paraId="4338BE3E" w14:textId="77777777" w:rsidTr="005E243D">
        <w:tc>
          <w:tcPr>
            <w:tcW w:w="992" w:type="dxa"/>
          </w:tcPr>
          <w:p w14:paraId="7EB19FE6" w14:textId="72102BAF" w:rsidR="0009032B" w:rsidRPr="00C9343F" w:rsidRDefault="0009032B" w:rsidP="0009032B">
            <w:pPr>
              <w:pStyle w:val="Sectiontext0"/>
              <w:jc w:val="center"/>
              <w:rPr>
                <w:lang w:eastAsia="en-US"/>
              </w:rPr>
            </w:pPr>
            <w:r w:rsidRPr="00C9343F">
              <w:t>1.</w:t>
            </w:r>
          </w:p>
        </w:tc>
        <w:tc>
          <w:tcPr>
            <w:tcW w:w="8367" w:type="dxa"/>
            <w:gridSpan w:val="2"/>
          </w:tcPr>
          <w:p w14:paraId="7F50361C" w14:textId="5E6AFACD" w:rsidR="0009032B" w:rsidRPr="00C9343F" w:rsidRDefault="0009032B" w:rsidP="0009032B">
            <w:pPr>
              <w:pStyle w:val="Sectiontext0"/>
              <w:rPr>
                <w:rFonts w:cs="Arial"/>
                <w:lang w:eastAsia="en-US"/>
              </w:rPr>
            </w:pPr>
            <w:r w:rsidRPr="00C9343F">
              <w:rPr>
                <w:iCs/>
              </w:rPr>
              <w:t>This section does not apply to a member of the Reserves, other than a member of the Reserves on continuous full-time service.</w:t>
            </w:r>
          </w:p>
        </w:tc>
      </w:tr>
      <w:tr w:rsidR="00E10A36" w:rsidRPr="00C9343F" w14:paraId="3E31BF1B" w14:textId="77777777" w:rsidTr="005E243D">
        <w:tc>
          <w:tcPr>
            <w:tcW w:w="992" w:type="dxa"/>
          </w:tcPr>
          <w:p w14:paraId="0B4AAE74" w14:textId="77777777" w:rsidR="00E10A36" w:rsidRPr="00C9343F" w:rsidRDefault="00E10A36" w:rsidP="005E243D">
            <w:pPr>
              <w:pStyle w:val="Sectiontext0"/>
              <w:jc w:val="center"/>
              <w:rPr>
                <w:lang w:eastAsia="en-US"/>
              </w:rPr>
            </w:pPr>
            <w:r w:rsidRPr="00C9343F">
              <w:rPr>
                <w:lang w:eastAsia="en-US"/>
              </w:rPr>
              <w:t>2.</w:t>
            </w:r>
          </w:p>
        </w:tc>
        <w:tc>
          <w:tcPr>
            <w:tcW w:w="8367" w:type="dxa"/>
            <w:gridSpan w:val="2"/>
          </w:tcPr>
          <w:p w14:paraId="4B134B04" w14:textId="3A28E4C6" w:rsidR="00E10A36" w:rsidRPr="00C9343F" w:rsidRDefault="00E10A36" w:rsidP="009F4458">
            <w:pPr>
              <w:pStyle w:val="Sectiontext0"/>
              <w:rPr>
                <w:rFonts w:cs="Arial"/>
                <w:lang w:eastAsia="en-US"/>
              </w:rPr>
            </w:pPr>
            <w:r w:rsidRPr="00C9343F">
              <w:rPr>
                <w:rFonts w:cs="Arial"/>
                <w:lang w:eastAsia="en-US"/>
              </w:rPr>
              <w:t xml:space="preserve">Subject to subsection 3, a member is eligible for 23 approved absence days to attend the following activities if the </w:t>
            </w:r>
            <w:r w:rsidR="009F4458" w:rsidRPr="00C9343F">
              <w:rPr>
                <w:rFonts w:cs="Arial"/>
                <w:lang w:eastAsia="en-US"/>
              </w:rPr>
              <w:t>CDF</w:t>
            </w:r>
            <w:r w:rsidRPr="00C9343F">
              <w:rPr>
                <w:rFonts w:cs="Arial"/>
                <w:lang w:eastAsia="en-US"/>
              </w:rPr>
              <w:t xml:space="preserve"> is satisfied that Service requirements can be met while the member is absent.</w:t>
            </w:r>
          </w:p>
        </w:tc>
      </w:tr>
      <w:tr w:rsidR="00E10A36" w:rsidRPr="00C9343F" w14:paraId="49F2E707" w14:textId="77777777" w:rsidTr="005E243D">
        <w:tc>
          <w:tcPr>
            <w:tcW w:w="992" w:type="dxa"/>
          </w:tcPr>
          <w:p w14:paraId="157D42CE" w14:textId="77777777" w:rsidR="00E10A36" w:rsidRPr="00C9343F" w:rsidRDefault="00E10A36" w:rsidP="005E243D">
            <w:pPr>
              <w:pStyle w:val="Sectiontext0"/>
              <w:jc w:val="center"/>
              <w:rPr>
                <w:lang w:eastAsia="en-US"/>
              </w:rPr>
            </w:pPr>
          </w:p>
        </w:tc>
        <w:tc>
          <w:tcPr>
            <w:tcW w:w="563" w:type="dxa"/>
            <w:hideMark/>
          </w:tcPr>
          <w:p w14:paraId="0178A411" w14:textId="77777777" w:rsidR="00E10A36" w:rsidRPr="00C9343F" w:rsidRDefault="00E10A36" w:rsidP="005E243D">
            <w:pPr>
              <w:pStyle w:val="Sectiontext0"/>
              <w:jc w:val="center"/>
              <w:rPr>
                <w:rFonts w:cs="Arial"/>
                <w:lang w:eastAsia="en-US"/>
              </w:rPr>
            </w:pPr>
            <w:r w:rsidRPr="00C9343F">
              <w:rPr>
                <w:rFonts w:cs="Arial"/>
                <w:lang w:eastAsia="en-US"/>
              </w:rPr>
              <w:t>a.</w:t>
            </w:r>
          </w:p>
        </w:tc>
        <w:tc>
          <w:tcPr>
            <w:tcW w:w="7804" w:type="dxa"/>
          </w:tcPr>
          <w:p w14:paraId="0C3AE1BE" w14:textId="77777777" w:rsidR="00E10A36" w:rsidRPr="00C9343F" w:rsidRDefault="00E10A36" w:rsidP="005E243D">
            <w:pPr>
              <w:pStyle w:val="Sectiontext0"/>
              <w:rPr>
                <w:rFonts w:cs="Arial"/>
                <w:lang w:eastAsia="en-US"/>
              </w:rPr>
            </w:pPr>
            <w:r w:rsidRPr="00C9343F">
              <w:rPr>
                <w:rFonts w:cs="Arial"/>
                <w:lang w:eastAsia="en-US"/>
              </w:rPr>
              <w:t>Defence Force transition program activities.</w:t>
            </w:r>
          </w:p>
        </w:tc>
      </w:tr>
      <w:tr w:rsidR="00E10A36" w:rsidRPr="00C9343F" w14:paraId="4240F917" w14:textId="77777777" w:rsidTr="005E243D">
        <w:tc>
          <w:tcPr>
            <w:tcW w:w="992" w:type="dxa"/>
          </w:tcPr>
          <w:p w14:paraId="0695D4F2" w14:textId="77777777" w:rsidR="00E10A36" w:rsidRPr="00C9343F" w:rsidRDefault="00E10A36" w:rsidP="005E243D">
            <w:pPr>
              <w:pStyle w:val="Sectiontext0"/>
              <w:jc w:val="center"/>
              <w:rPr>
                <w:lang w:eastAsia="en-US"/>
              </w:rPr>
            </w:pPr>
          </w:p>
        </w:tc>
        <w:tc>
          <w:tcPr>
            <w:tcW w:w="563" w:type="dxa"/>
          </w:tcPr>
          <w:p w14:paraId="3D16F82B" w14:textId="77777777" w:rsidR="00E10A36" w:rsidRPr="00C9343F" w:rsidRDefault="00E10A36" w:rsidP="005E243D">
            <w:pPr>
              <w:pStyle w:val="Sectiontext0"/>
              <w:jc w:val="center"/>
              <w:rPr>
                <w:rFonts w:cs="Arial"/>
                <w:lang w:eastAsia="en-US"/>
              </w:rPr>
            </w:pPr>
            <w:r w:rsidRPr="00C9343F">
              <w:rPr>
                <w:rFonts w:cs="Arial"/>
                <w:lang w:eastAsia="en-US"/>
              </w:rPr>
              <w:t>b.</w:t>
            </w:r>
          </w:p>
        </w:tc>
        <w:tc>
          <w:tcPr>
            <w:tcW w:w="7804" w:type="dxa"/>
          </w:tcPr>
          <w:p w14:paraId="353B6290" w14:textId="77777777" w:rsidR="00E10A36" w:rsidRPr="00C9343F" w:rsidRDefault="00E10A36" w:rsidP="005E243D">
            <w:pPr>
              <w:pStyle w:val="Sectiontext0"/>
              <w:rPr>
                <w:rFonts w:cs="Arial"/>
                <w:lang w:eastAsia="en-US"/>
              </w:rPr>
            </w:pPr>
            <w:r w:rsidRPr="00C9343F">
              <w:rPr>
                <w:rFonts w:cs="Arial"/>
                <w:lang w:eastAsia="en-US"/>
              </w:rPr>
              <w:t>Employment related activities.</w:t>
            </w:r>
          </w:p>
        </w:tc>
      </w:tr>
      <w:tr w:rsidR="00E10A36" w:rsidRPr="00C9343F" w14:paraId="6DCA8E5E" w14:textId="77777777" w:rsidTr="005E243D">
        <w:tc>
          <w:tcPr>
            <w:tcW w:w="992" w:type="dxa"/>
          </w:tcPr>
          <w:p w14:paraId="51A0CBD5" w14:textId="77777777" w:rsidR="00E10A36" w:rsidRPr="00C9343F" w:rsidRDefault="00E10A36" w:rsidP="005E243D">
            <w:pPr>
              <w:pStyle w:val="Sectiontext0"/>
              <w:jc w:val="center"/>
              <w:rPr>
                <w:lang w:eastAsia="en-US"/>
              </w:rPr>
            </w:pPr>
          </w:p>
        </w:tc>
        <w:tc>
          <w:tcPr>
            <w:tcW w:w="563" w:type="dxa"/>
          </w:tcPr>
          <w:p w14:paraId="20B89A79" w14:textId="77777777" w:rsidR="00E10A36" w:rsidRPr="00C9343F" w:rsidRDefault="00E10A36" w:rsidP="005E243D">
            <w:pPr>
              <w:pStyle w:val="Sectiontext0"/>
              <w:jc w:val="center"/>
              <w:rPr>
                <w:rFonts w:cs="Arial"/>
                <w:lang w:eastAsia="en-US"/>
              </w:rPr>
            </w:pPr>
            <w:r w:rsidRPr="00C9343F">
              <w:rPr>
                <w:rFonts w:cs="Arial"/>
                <w:lang w:eastAsia="en-US"/>
              </w:rPr>
              <w:t>c.</w:t>
            </w:r>
          </w:p>
        </w:tc>
        <w:tc>
          <w:tcPr>
            <w:tcW w:w="7804" w:type="dxa"/>
          </w:tcPr>
          <w:p w14:paraId="650AE39B" w14:textId="77777777" w:rsidR="00E10A36" w:rsidRPr="00C9343F" w:rsidRDefault="00E10A36" w:rsidP="005E243D">
            <w:pPr>
              <w:pStyle w:val="Sectiontext0"/>
              <w:rPr>
                <w:rFonts w:cs="Arial"/>
                <w:lang w:eastAsia="en-US"/>
              </w:rPr>
            </w:pPr>
            <w:r w:rsidRPr="00C9343F">
              <w:rPr>
                <w:rFonts w:cs="Arial"/>
                <w:lang w:eastAsia="en-US"/>
              </w:rPr>
              <w:t>Career transition training or education courses.</w:t>
            </w:r>
          </w:p>
        </w:tc>
      </w:tr>
      <w:tr w:rsidR="00E10A36" w:rsidRPr="00C9343F" w14:paraId="53B6C97A" w14:textId="77777777" w:rsidTr="005E243D">
        <w:tc>
          <w:tcPr>
            <w:tcW w:w="992" w:type="dxa"/>
          </w:tcPr>
          <w:p w14:paraId="0EC49CEB" w14:textId="77777777" w:rsidR="00E10A36" w:rsidRPr="00C9343F" w:rsidRDefault="00E10A36" w:rsidP="005E243D">
            <w:pPr>
              <w:pStyle w:val="Sectiontext0"/>
              <w:jc w:val="center"/>
              <w:rPr>
                <w:lang w:eastAsia="en-US"/>
              </w:rPr>
            </w:pPr>
          </w:p>
        </w:tc>
        <w:tc>
          <w:tcPr>
            <w:tcW w:w="563" w:type="dxa"/>
          </w:tcPr>
          <w:p w14:paraId="27C4A516" w14:textId="77777777" w:rsidR="00E10A36" w:rsidRPr="00C9343F" w:rsidRDefault="00E10A36" w:rsidP="005E243D">
            <w:pPr>
              <w:pStyle w:val="Sectiontext0"/>
              <w:jc w:val="center"/>
              <w:rPr>
                <w:rFonts w:cs="Arial"/>
                <w:lang w:eastAsia="en-US"/>
              </w:rPr>
            </w:pPr>
            <w:r w:rsidRPr="00C9343F">
              <w:rPr>
                <w:rFonts w:cs="Arial"/>
                <w:lang w:eastAsia="en-US"/>
              </w:rPr>
              <w:t>d.</w:t>
            </w:r>
          </w:p>
        </w:tc>
        <w:tc>
          <w:tcPr>
            <w:tcW w:w="7804" w:type="dxa"/>
          </w:tcPr>
          <w:p w14:paraId="3DFDFBEF" w14:textId="77777777" w:rsidR="00E10A36" w:rsidRPr="00C9343F" w:rsidRDefault="00E10A36" w:rsidP="005E243D">
            <w:pPr>
              <w:pStyle w:val="Sectiontext0"/>
              <w:rPr>
                <w:rFonts w:cs="Arial"/>
                <w:lang w:eastAsia="en-US"/>
              </w:rPr>
            </w:pPr>
            <w:r w:rsidRPr="00C9343F">
              <w:rPr>
                <w:rFonts w:cs="Arial"/>
                <w:lang w:eastAsia="en-US"/>
              </w:rPr>
              <w:t>Transition related administrative activities.</w:t>
            </w:r>
          </w:p>
        </w:tc>
      </w:tr>
      <w:tr w:rsidR="00E10A36" w:rsidRPr="00C9343F" w14:paraId="6986A01F" w14:textId="77777777" w:rsidTr="005E243D">
        <w:tc>
          <w:tcPr>
            <w:tcW w:w="992" w:type="dxa"/>
          </w:tcPr>
          <w:p w14:paraId="265C3C5E" w14:textId="77777777" w:rsidR="00E10A36" w:rsidRPr="00C9343F" w:rsidRDefault="00E10A36" w:rsidP="005E243D">
            <w:pPr>
              <w:pStyle w:val="Sectiontext0"/>
              <w:jc w:val="center"/>
              <w:rPr>
                <w:lang w:eastAsia="en-US"/>
              </w:rPr>
            </w:pPr>
            <w:r w:rsidRPr="00C9343F">
              <w:rPr>
                <w:lang w:eastAsia="en-US"/>
              </w:rPr>
              <w:t>3.</w:t>
            </w:r>
          </w:p>
        </w:tc>
        <w:tc>
          <w:tcPr>
            <w:tcW w:w="8367" w:type="dxa"/>
            <w:gridSpan w:val="2"/>
          </w:tcPr>
          <w:p w14:paraId="3B849CF8" w14:textId="77777777" w:rsidR="00E10A36" w:rsidRPr="00C9343F" w:rsidRDefault="00E10A36" w:rsidP="005E243D">
            <w:pPr>
              <w:pStyle w:val="Sectiontext0"/>
              <w:rPr>
                <w:rFonts w:cs="Arial"/>
                <w:lang w:eastAsia="en-US"/>
              </w:rPr>
            </w:pPr>
            <w:r w:rsidRPr="00C9343F">
              <w:rPr>
                <w:rFonts w:cs="Arial"/>
                <w:lang w:eastAsia="en-US"/>
              </w:rPr>
              <w:t>An approved absence under subsection 2 is limited by the following.</w:t>
            </w:r>
          </w:p>
        </w:tc>
      </w:tr>
      <w:tr w:rsidR="00E10A36" w:rsidRPr="00C9343F" w14:paraId="5EE756B3" w14:textId="77777777" w:rsidTr="005E243D">
        <w:tc>
          <w:tcPr>
            <w:tcW w:w="992" w:type="dxa"/>
          </w:tcPr>
          <w:p w14:paraId="6CB9B0C8" w14:textId="77777777" w:rsidR="00E10A36" w:rsidRPr="00C9343F" w:rsidRDefault="00E10A36" w:rsidP="005E243D">
            <w:pPr>
              <w:pStyle w:val="Sectiontext0"/>
              <w:jc w:val="center"/>
              <w:rPr>
                <w:lang w:eastAsia="en-US"/>
              </w:rPr>
            </w:pPr>
          </w:p>
        </w:tc>
        <w:tc>
          <w:tcPr>
            <w:tcW w:w="563" w:type="dxa"/>
            <w:hideMark/>
          </w:tcPr>
          <w:p w14:paraId="2ABFDB99" w14:textId="77777777" w:rsidR="00E10A36" w:rsidRPr="00C9343F" w:rsidRDefault="00E10A36" w:rsidP="005E243D">
            <w:pPr>
              <w:pStyle w:val="Sectiontext0"/>
              <w:jc w:val="center"/>
              <w:rPr>
                <w:rFonts w:cs="Arial"/>
                <w:lang w:eastAsia="en-US"/>
              </w:rPr>
            </w:pPr>
            <w:r w:rsidRPr="00C9343F">
              <w:rPr>
                <w:rFonts w:cs="Arial"/>
                <w:lang w:eastAsia="en-US"/>
              </w:rPr>
              <w:t>a.</w:t>
            </w:r>
          </w:p>
        </w:tc>
        <w:tc>
          <w:tcPr>
            <w:tcW w:w="7804" w:type="dxa"/>
          </w:tcPr>
          <w:p w14:paraId="1D5848A3" w14:textId="77777777" w:rsidR="00E10A36" w:rsidRPr="00C9343F" w:rsidRDefault="00E10A36" w:rsidP="005E243D">
            <w:pPr>
              <w:pStyle w:val="Sectiontext0"/>
              <w:rPr>
                <w:rFonts w:cs="Arial"/>
                <w:lang w:eastAsia="en-US"/>
              </w:rPr>
            </w:pPr>
            <w:r w:rsidRPr="00C9343F">
              <w:rPr>
                <w:rFonts w:cs="Arial"/>
                <w:lang w:eastAsia="en-US"/>
              </w:rPr>
              <w:t>The absences must not exceed a cumulative lifetime total of 23 days.</w:t>
            </w:r>
          </w:p>
        </w:tc>
      </w:tr>
      <w:tr w:rsidR="00E10A36" w:rsidRPr="00C9343F" w14:paraId="07833035" w14:textId="77777777" w:rsidTr="005E243D">
        <w:tc>
          <w:tcPr>
            <w:tcW w:w="992" w:type="dxa"/>
          </w:tcPr>
          <w:p w14:paraId="6BF607C9" w14:textId="77777777" w:rsidR="00E10A36" w:rsidRPr="00C9343F" w:rsidRDefault="00E10A36" w:rsidP="005E243D">
            <w:pPr>
              <w:pStyle w:val="Sectiontext0"/>
              <w:jc w:val="center"/>
              <w:rPr>
                <w:lang w:eastAsia="en-US"/>
              </w:rPr>
            </w:pPr>
          </w:p>
        </w:tc>
        <w:tc>
          <w:tcPr>
            <w:tcW w:w="563" w:type="dxa"/>
          </w:tcPr>
          <w:p w14:paraId="5895A666" w14:textId="77777777" w:rsidR="00E10A36" w:rsidRPr="00C9343F" w:rsidRDefault="00E10A36" w:rsidP="005E243D">
            <w:pPr>
              <w:pStyle w:val="Sectiontext0"/>
              <w:jc w:val="center"/>
              <w:rPr>
                <w:rFonts w:cs="Arial"/>
                <w:lang w:eastAsia="en-US"/>
              </w:rPr>
            </w:pPr>
            <w:r w:rsidRPr="00C9343F">
              <w:rPr>
                <w:rFonts w:cs="Arial"/>
                <w:lang w:eastAsia="en-US"/>
              </w:rPr>
              <w:t>b.</w:t>
            </w:r>
          </w:p>
        </w:tc>
        <w:tc>
          <w:tcPr>
            <w:tcW w:w="7804" w:type="dxa"/>
          </w:tcPr>
          <w:p w14:paraId="001D84FB" w14:textId="77777777" w:rsidR="00E10A36" w:rsidRPr="00C9343F" w:rsidRDefault="00E10A36" w:rsidP="005E243D">
            <w:pPr>
              <w:pStyle w:val="Sectiontext0"/>
              <w:rPr>
                <w:rFonts w:cs="Arial"/>
                <w:lang w:eastAsia="en-US"/>
              </w:rPr>
            </w:pPr>
            <w:r w:rsidRPr="00C9343F">
              <w:rPr>
                <w:rFonts w:cs="Arial"/>
                <w:lang w:eastAsia="en-US"/>
              </w:rPr>
              <w:t xml:space="preserve">A member may not be granted more than 3 days in total of approved absence for transition related administrative activities. </w:t>
            </w:r>
          </w:p>
        </w:tc>
      </w:tr>
      <w:tr w:rsidR="00E10A36" w:rsidRPr="00C9343F" w14:paraId="0A729EB5" w14:textId="77777777" w:rsidTr="005E243D">
        <w:tc>
          <w:tcPr>
            <w:tcW w:w="992" w:type="dxa"/>
          </w:tcPr>
          <w:p w14:paraId="4EDD1C60" w14:textId="77777777" w:rsidR="00E10A36" w:rsidRPr="00C9343F" w:rsidRDefault="00E10A36" w:rsidP="005E243D">
            <w:pPr>
              <w:pStyle w:val="Sectiontext0"/>
              <w:jc w:val="center"/>
              <w:rPr>
                <w:lang w:eastAsia="en-US"/>
              </w:rPr>
            </w:pPr>
            <w:r w:rsidRPr="00C9343F">
              <w:rPr>
                <w:lang w:eastAsia="en-US"/>
              </w:rPr>
              <w:t>4.</w:t>
            </w:r>
          </w:p>
        </w:tc>
        <w:tc>
          <w:tcPr>
            <w:tcW w:w="8367" w:type="dxa"/>
            <w:gridSpan w:val="2"/>
          </w:tcPr>
          <w:p w14:paraId="13965CCB" w14:textId="77777777" w:rsidR="00E10A36" w:rsidRPr="00C9343F" w:rsidRDefault="00E10A36" w:rsidP="005E243D">
            <w:pPr>
              <w:pStyle w:val="Sectiontext0"/>
              <w:rPr>
                <w:rFonts w:cs="Arial"/>
                <w:lang w:eastAsia="en-US"/>
              </w:rPr>
            </w:pPr>
            <w:r w:rsidRPr="00C9343F">
              <w:rPr>
                <w:rFonts w:cs="Arial"/>
                <w:lang w:eastAsia="en-US"/>
              </w:rPr>
              <w:t>Approved absence can only be taken in full days.</w:t>
            </w:r>
          </w:p>
        </w:tc>
      </w:tr>
      <w:tr w:rsidR="00E10A36" w:rsidRPr="00C9343F" w14:paraId="4CAAF06F" w14:textId="77777777" w:rsidTr="005E243D">
        <w:tc>
          <w:tcPr>
            <w:tcW w:w="992" w:type="dxa"/>
          </w:tcPr>
          <w:p w14:paraId="6A3F39C0" w14:textId="77777777" w:rsidR="00E10A36" w:rsidRPr="00C9343F" w:rsidRDefault="00E10A36" w:rsidP="005E243D">
            <w:pPr>
              <w:pStyle w:val="Sectiontext0"/>
              <w:jc w:val="center"/>
              <w:rPr>
                <w:lang w:eastAsia="en-US"/>
              </w:rPr>
            </w:pPr>
            <w:r w:rsidRPr="00C9343F">
              <w:rPr>
                <w:lang w:eastAsia="en-US"/>
              </w:rPr>
              <w:lastRenderedPageBreak/>
              <w:t>5.</w:t>
            </w:r>
          </w:p>
        </w:tc>
        <w:tc>
          <w:tcPr>
            <w:tcW w:w="8367" w:type="dxa"/>
            <w:gridSpan w:val="2"/>
          </w:tcPr>
          <w:p w14:paraId="16977D34" w14:textId="77777777" w:rsidR="00E10A36" w:rsidRPr="00C9343F" w:rsidRDefault="00E10A36" w:rsidP="005E243D">
            <w:pPr>
              <w:pStyle w:val="Sectiontext0"/>
              <w:rPr>
                <w:rFonts w:cs="Arial"/>
                <w:lang w:eastAsia="en-US"/>
              </w:rPr>
            </w:pPr>
            <w:r w:rsidRPr="00C9343F">
              <w:rPr>
                <w:rFonts w:cs="Arial"/>
                <w:lang w:eastAsia="en-US"/>
              </w:rPr>
              <w:t>If a member has been granted a period of approved absence for a career transition training activity and one of the following occurs, the unused approved absence days are not debited from the member’s approved absence credits.</w:t>
            </w:r>
          </w:p>
        </w:tc>
      </w:tr>
      <w:tr w:rsidR="00E10A36" w:rsidRPr="00C9343F" w14:paraId="07B7D018" w14:textId="77777777" w:rsidTr="005E243D">
        <w:tc>
          <w:tcPr>
            <w:tcW w:w="992" w:type="dxa"/>
          </w:tcPr>
          <w:p w14:paraId="54D6A32C" w14:textId="77777777" w:rsidR="00E10A36" w:rsidRPr="00C9343F" w:rsidRDefault="00E10A36" w:rsidP="005E243D">
            <w:pPr>
              <w:pStyle w:val="Sectiontext0"/>
              <w:jc w:val="center"/>
              <w:rPr>
                <w:lang w:eastAsia="en-US"/>
              </w:rPr>
            </w:pPr>
          </w:p>
        </w:tc>
        <w:tc>
          <w:tcPr>
            <w:tcW w:w="563" w:type="dxa"/>
            <w:hideMark/>
          </w:tcPr>
          <w:p w14:paraId="493EA873" w14:textId="77777777" w:rsidR="00E10A36" w:rsidRPr="00C9343F" w:rsidRDefault="00E10A36" w:rsidP="005E243D">
            <w:pPr>
              <w:pStyle w:val="Sectiontext0"/>
              <w:jc w:val="center"/>
              <w:rPr>
                <w:rFonts w:cs="Arial"/>
                <w:lang w:eastAsia="en-US"/>
              </w:rPr>
            </w:pPr>
            <w:r w:rsidRPr="00C9343F">
              <w:rPr>
                <w:rFonts w:cs="Arial"/>
                <w:lang w:eastAsia="en-US"/>
              </w:rPr>
              <w:t>a.</w:t>
            </w:r>
          </w:p>
        </w:tc>
        <w:tc>
          <w:tcPr>
            <w:tcW w:w="7804" w:type="dxa"/>
          </w:tcPr>
          <w:p w14:paraId="03D118FA" w14:textId="77777777" w:rsidR="00E10A36" w:rsidRPr="00C9343F" w:rsidRDefault="00E10A36" w:rsidP="005E243D">
            <w:pPr>
              <w:pStyle w:val="Sectiontext0"/>
              <w:rPr>
                <w:rFonts w:cs="Arial"/>
                <w:lang w:eastAsia="en-US"/>
              </w:rPr>
            </w:pPr>
            <w:r w:rsidRPr="00C9343F">
              <w:rPr>
                <w:rFonts w:cs="Arial"/>
                <w:lang w:eastAsia="en-US"/>
              </w:rPr>
              <w:t>The training activity finishes early.</w:t>
            </w:r>
          </w:p>
        </w:tc>
      </w:tr>
      <w:tr w:rsidR="00E10A36" w:rsidRPr="00C9343F" w14:paraId="2E543415" w14:textId="77777777" w:rsidTr="005E243D">
        <w:tc>
          <w:tcPr>
            <w:tcW w:w="992" w:type="dxa"/>
          </w:tcPr>
          <w:p w14:paraId="31B6CEB5" w14:textId="77777777" w:rsidR="00E10A36" w:rsidRPr="00C9343F" w:rsidRDefault="00E10A36" w:rsidP="005E243D">
            <w:pPr>
              <w:pStyle w:val="Sectiontext0"/>
              <w:jc w:val="center"/>
              <w:rPr>
                <w:lang w:eastAsia="en-US"/>
              </w:rPr>
            </w:pPr>
          </w:p>
        </w:tc>
        <w:tc>
          <w:tcPr>
            <w:tcW w:w="563" w:type="dxa"/>
          </w:tcPr>
          <w:p w14:paraId="4D24D31D" w14:textId="77777777" w:rsidR="00E10A36" w:rsidRPr="00C9343F" w:rsidRDefault="00E10A36" w:rsidP="005E243D">
            <w:pPr>
              <w:pStyle w:val="Sectiontext0"/>
              <w:jc w:val="center"/>
              <w:rPr>
                <w:rFonts w:cs="Arial"/>
                <w:lang w:eastAsia="en-US"/>
              </w:rPr>
            </w:pPr>
            <w:r w:rsidRPr="00C9343F">
              <w:rPr>
                <w:rFonts w:cs="Arial"/>
                <w:lang w:eastAsia="en-US"/>
              </w:rPr>
              <w:t>b.</w:t>
            </w:r>
          </w:p>
        </w:tc>
        <w:tc>
          <w:tcPr>
            <w:tcW w:w="7804" w:type="dxa"/>
          </w:tcPr>
          <w:p w14:paraId="18C3E5D1" w14:textId="77777777" w:rsidR="00E10A36" w:rsidRPr="00C9343F" w:rsidRDefault="00E10A36" w:rsidP="005E243D">
            <w:pPr>
              <w:pStyle w:val="Sectiontext0"/>
              <w:rPr>
                <w:rFonts w:cs="Arial"/>
                <w:lang w:eastAsia="en-US"/>
              </w:rPr>
            </w:pPr>
            <w:r w:rsidRPr="00C9343F">
              <w:rPr>
                <w:rFonts w:cs="Arial"/>
                <w:lang w:eastAsia="en-US"/>
              </w:rPr>
              <w:t>The training activity is cancelled.</w:t>
            </w:r>
          </w:p>
        </w:tc>
      </w:tr>
    </w:tbl>
    <w:p w14:paraId="1D37BE63" w14:textId="3D321AF1" w:rsidR="00277260" w:rsidRPr="00C9343F" w:rsidRDefault="00277260" w:rsidP="00F66D98">
      <w:pPr>
        <w:pStyle w:val="Heading5"/>
      </w:pPr>
      <w:bookmarkStart w:id="325" w:name="_Toc105053645"/>
      <w:r w:rsidRPr="00C9343F">
        <w:t>2.2.9</w:t>
      </w:r>
      <w:r w:rsidR="00D94006" w:rsidRPr="00C9343F">
        <w:t>    </w:t>
      </w:r>
      <w:r w:rsidRPr="00C9343F">
        <w:t>How to apply for transition assistance and approved absence</w:t>
      </w:r>
      <w:bookmarkEnd w:id="325"/>
    </w:p>
    <w:tbl>
      <w:tblPr>
        <w:tblW w:w="9359" w:type="dxa"/>
        <w:tblInd w:w="113" w:type="dxa"/>
        <w:tblLayout w:type="fixed"/>
        <w:tblLook w:val="04A0" w:firstRow="1" w:lastRow="0" w:firstColumn="1" w:lastColumn="0" w:noHBand="0" w:noVBand="1"/>
      </w:tblPr>
      <w:tblGrid>
        <w:gridCol w:w="992"/>
        <w:gridCol w:w="8367"/>
      </w:tblGrid>
      <w:tr w:rsidR="00277260" w:rsidRPr="00C9343F" w14:paraId="3A438271" w14:textId="77777777" w:rsidTr="00DE6552">
        <w:tc>
          <w:tcPr>
            <w:tcW w:w="992" w:type="dxa"/>
          </w:tcPr>
          <w:p w14:paraId="7E8F99ED" w14:textId="77777777" w:rsidR="00277260" w:rsidRPr="00C9343F" w:rsidRDefault="00277260" w:rsidP="00F66D98">
            <w:pPr>
              <w:pStyle w:val="Sectiontext0"/>
              <w:jc w:val="center"/>
              <w:rPr>
                <w:lang w:eastAsia="en-US"/>
              </w:rPr>
            </w:pPr>
          </w:p>
        </w:tc>
        <w:tc>
          <w:tcPr>
            <w:tcW w:w="8367" w:type="dxa"/>
          </w:tcPr>
          <w:p w14:paraId="6611219D" w14:textId="77777777" w:rsidR="00277260" w:rsidRPr="00C9343F" w:rsidRDefault="00277260" w:rsidP="00F66D98">
            <w:pPr>
              <w:pStyle w:val="Sectiontext0"/>
              <w:rPr>
                <w:rFonts w:cs="Arial"/>
                <w:lang w:eastAsia="en-US"/>
              </w:rPr>
            </w:pPr>
            <w:r w:rsidRPr="00C9343F">
              <w:rPr>
                <w:lang w:val="en"/>
              </w:rPr>
              <w:t xml:space="preserve">A member must use the approved form to apply for any assistance under this Part. </w:t>
            </w:r>
          </w:p>
        </w:tc>
      </w:tr>
    </w:tbl>
    <w:p w14:paraId="3EF042C4" w14:textId="65828AA8" w:rsidR="005F44BC" w:rsidRPr="00C9343F" w:rsidRDefault="005F44BC" w:rsidP="00372934">
      <w:pPr>
        <w:pStyle w:val="Heading3"/>
        <w:pageBreakBefore/>
      </w:pPr>
      <w:bookmarkStart w:id="326" w:name="_Toc105053646"/>
      <w:r w:rsidRPr="00C9343F">
        <w:lastRenderedPageBreak/>
        <w:t>Part 3: Leaving the ADF: Redundancy</w:t>
      </w:r>
      <w:bookmarkEnd w:id="326"/>
    </w:p>
    <w:p w14:paraId="3F1EC320" w14:textId="3B345F09" w:rsidR="005F44BC" w:rsidRPr="00C9343F" w:rsidRDefault="005F44BC" w:rsidP="00F66D98">
      <w:pPr>
        <w:pStyle w:val="Heading4"/>
      </w:pPr>
      <w:bookmarkStart w:id="327" w:name="_Toc105053647"/>
      <w:r w:rsidRPr="00C9343F">
        <w:t>Division 1: Redundancy</w:t>
      </w:r>
      <w:bookmarkEnd w:id="327"/>
    </w:p>
    <w:p w14:paraId="1A307679" w14:textId="0D9A502A" w:rsidR="005F44BC" w:rsidRPr="00C9343F" w:rsidRDefault="005F44BC" w:rsidP="00F66D98">
      <w:pPr>
        <w:pStyle w:val="Heading5"/>
      </w:pPr>
      <w:bookmarkStart w:id="328" w:name="_Toc105053648"/>
      <w:bookmarkStart w:id="329" w:name="bk101229313Purpose"/>
      <w:bookmarkStart w:id="330" w:name="bk113356313Purpose"/>
      <w:bookmarkStart w:id="331" w:name="bk90939233Purpose"/>
      <w:r w:rsidRPr="00C9343F">
        <w:t>2.3.3</w:t>
      </w:r>
      <w:r w:rsidR="00D94006" w:rsidRPr="00C9343F">
        <w:t>    </w:t>
      </w:r>
      <w:r w:rsidRPr="00C9343F">
        <w:t>Purpose</w:t>
      </w:r>
      <w:bookmarkEnd w:id="328"/>
    </w:p>
    <w:bookmarkEnd w:id="329"/>
    <w:bookmarkEnd w:id="330"/>
    <w:bookmarkEnd w:id="331"/>
    <w:tbl>
      <w:tblPr>
        <w:tblW w:w="0" w:type="auto"/>
        <w:tblInd w:w="113" w:type="dxa"/>
        <w:tblLayout w:type="fixed"/>
        <w:tblLook w:val="0000" w:firstRow="0" w:lastRow="0" w:firstColumn="0" w:lastColumn="0" w:noHBand="0" w:noVBand="0"/>
      </w:tblPr>
      <w:tblGrid>
        <w:gridCol w:w="992"/>
        <w:gridCol w:w="8363"/>
      </w:tblGrid>
      <w:tr w:rsidR="005F44BC" w:rsidRPr="00C9343F" w14:paraId="5C9891B4" w14:textId="77777777" w:rsidTr="005F44BC">
        <w:tc>
          <w:tcPr>
            <w:tcW w:w="992" w:type="dxa"/>
          </w:tcPr>
          <w:p w14:paraId="503DBD3F" w14:textId="77777777" w:rsidR="005F44BC" w:rsidRPr="00C9343F" w:rsidRDefault="005F44BC" w:rsidP="00F66D98">
            <w:pPr>
              <w:pStyle w:val="BlockText-Plain"/>
              <w:jc w:val="center"/>
            </w:pPr>
          </w:p>
        </w:tc>
        <w:tc>
          <w:tcPr>
            <w:tcW w:w="8363" w:type="dxa"/>
          </w:tcPr>
          <w:p w14:paraId="6B920A0D" w14:textId="77777777" w:rsidR="005F44BC" w:rsidRPr="00C9343F" w:rsidRDefault="00F13553" w:rsidP="00F66D98">
            <w:pPr>
              <w:pStyle w:val="BlockText-Plain"/>
            </w:pPr>
            <w:r w:rsidRPr="00C9343F">
              <w:t>The purpose of this Division is to provide financial benefits for a member whose service in the Permanent Forces is being terminated because of redundancy.</w:t>
            </w:r>
          </w:p>
        </w:tc>
      </w:tr>
    </w:tbl>
    <w:p w14:paraId="641A7F54" w14:textId="718995AB" w:rsidR="005F44BC" w:rsidRPr="00C9343F" w:rsidRDefault="005F44BC" w:rsidP="00F66D98">
      <w:pPr>
        <w:pStyle w:val="Heading5"/>
      </w:pPr>
      <w:bookmarkStart w:id="332" w:name="_Toc105053649"/>
      <w:bookmarkStart w:id="333" w:name="bk101229314MemberthisDivisionappliesto"/>
      <w:bookmarkStart w:id="334" w:name="bk113356314MemberthisDivisionappliesto"/>
      <w:bookmarkStart w:id="335" w:name="bk90939234MemberthisDivisionappliesto"/>
      <w:r w:rsidRPr="00C9343F">
        <w:t>2.3.4</w:t>
      </w:r>
      <w:r w:rsidR="00D94006" w:rsidRPr="00C9343F">
        <w:t>    </w:t>
      </w:r>
      <w:r w:rsidRPr="00C9343F">
        <w:t>Member this Division applies to</w:t>
      </w:r>
      <w:bookmarkEnd w:id="332"/>
    </w:p>
    <w:bookmarkEnd w:id="333"/>
    <w:bookmarkEnd w:id="334"/>
    <w:bookmarkEnd w:id="335"/>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4BED1252" w14:textId="77777777" w:rsidTr="005F44BC">
        <w:tc>
          <w:tcPr>
            <w:tcW w:w="992" w:type="dxa"/>
          </w:tcPr>
          <w:p w14:paraId="6793AAA8" w14:textId="77777777" w:rsidR="005F44BC" w:rsidRPr="00C9343F" w:rsidRDefault="005F44BC" w:rsidP="00F66D98">
            <w:pPr>
              <w:pStyle w:val="BlockText-Plain"/>
              <w:jc w:val="center"/>
            </w:pPr>
          </w:p>
        </w:tc>
        <w:tc>
          <w:tcPr>
            <w:tcW w:w="8363" w:type="dxa"/>
            <w:gridSpan w:val="2"/>
          </w:tcPr>
          <w:p w14:paraId="2706D383" w14:textId="77777777" w:rsidR="005F44BC" w:rsidRPr="00C9343F" w:rsidRDefault="005F44BC" w:rsidP="00F66D98">
            <w:pPr>
              <w:pStyle w:val="BlockText-Plain"/>
            </w:pPr>
            <w:r w:rsidRPr="00C9343F">
              <w:t>This Division applies to a member who meets both these conditions.</w:t>
            </w:r>
          </w:p>
        </w:tc>
      </w:tr>
      <w:tr w:rsidR="005F44BC" w:rsidRPr="00C9343F" w14:paraId="4972CC2B" w14:textId="77777777" w:rsidTr="005F44BC">
        <w:trPr>
          <w:cantSplit/>
        </w:trPr>
        <w:tc>
          <w:tcPr>
            <w:tcW w:w="992" w:type="dxa"/>
          </w:tcPr>
          <w:p w14:paraId="60E4A370" w14:textId="77777777" w:rsidR="005F44BC" w:rsidRPr="00C9343F" w:rsidRDefault="005F44BC" w:rsidP="00F66D98">
            <w:pPr>
              <w:pStyle w:val="BlockText-Plain"/>
            </w:pPr>
          </w:p>
        </w:tc>
        <w:tc>
          <w:tcPr>
            <w:tcW w:w="567" w:type="dxa"/>
          </w:tcPr>
          <w:p w14:paraId="3E5EDCC0" w14:textId="77777777" w:rsidR="005F44BC" w:rsidRPr="00C9343F" w:rsidRDefault="005F44BC" w:rsidP="007114B1">
            <w:pPr>
              <w:pStyle w:val="BlockText-Plain"/>
              <w:jc w:val="center"/>
            </w:pPr>
            <w:r w:rsidRPr="00C9343F">
              <w:t>a.</w:t>
            </w:r>
          </w:p>
        </w:tc>
        <w:tc>
          <w:tcPr>
            <w:tcW w:w="7796" w:type="dxa"/>
          </w:tcPr>
          <w:p w14:paraId="58477C27" w14:textId="77777777" w:rsidR="005F44BC" w:rsidRPr="00C9343F" w:rsidRDefault="00F13553" w:rsidP="00F66D98">
            <w:pPr>
              <w:pStyle w:val="BlockText-Plain"/>
            </w:pPr>
            <w:r w:rsidRPr="00C9343F">
              <w:t xml:space="preserve">The service of the member is terminated by the CDF under paragraph 24(1)(b) of the </w:t>
            </w:r>
            <w:r w:rsidR="004974D5" w:rsidRPr="00C9343F">
              <w:t>Defence Regulation</w:t>
            </w:r>
            <w:r w:rsidRPr="00C9343F">
              <w:t>.</w:t>
            </w:r>
          </w:p>
        </w:tc>
      </w:tr>
      <w:tr w:rsidR="005F44BC" w:rsidRPr="00C9343F" w14:paraId="17733D26" w14:textId="77777777" w:rsidTr="005F44BC">
        <w:trPr>
          <w:cantSplit/>
        </w:trPr>
        <w:tc>
          <w:tcPr>
            <w:tcW w:w="992" w:type="dxa"/>
          </w:tcPr>
          <w:p w14:paraId="540F6BF4" w14:textId="77777777" w:rsidR="005F44BC" w:rsidRPr="00C9343F" w:rsidRDefault="005F44BC" w:rsidP="00F66D98">
            <w:pPr>
              <w:pStyle w:val="BlockText-Plain"/>
            </w:pPr>
          </w:p>
        </w:tc>
        <w:tc>
          <w:tcPr>
            <w:tcW w:w="567" w:type="dxa"/>
          </w:tcPr>
          <w:p w14:paraId="6EAD63C7" w14:textId="77777777" w:rsidR="005F44BC" w:rsidRPr="00C9343F" w:rsidRDefault="005F44BC" w:rsidP="007114B1">
            <w:pPr>
              <w:pStyle w:val="BlockText-Plain"/>
              <w:jc w:val="center"/>
            </w:pPr>
            <w:r w:rsidRPr="00C9343F">
              <w:t>b.</w:t>
            </w:r>
          </w:p>
        </w:tc>
        <w:tc>
          <w:tcPr>
            <w:tcW w:w="7796" w:type="dxa"/>
          </w:tcPr>
          <w:p w14:paraId="0CD9B7F7" w14:textId="77777777" w:rsidR="005F44BC" w:rsidRPr="00C9343F" w:rsidRDefault="005F44BC" w:rsidP="00F66D98">
            <w:pPr>
              <w:pStyle w:val="BlockText-Plain"/>
            </w:pPr>
            <w:r w:rsidRPr="00C9343F">
              <w:t>The member has completed more than two years of continuous full-time service.</w:t>
            </w:r>
          </w:p>
        </w:tc>
      </w:tr>
    </w:tbl>
    <w:p w14:paraId="3AFD9A0B" w14:textId="37E3F4A9" w:rsidR="005F44BC" w:rsidRPr="00C9343F" w:rsidRDefault="005F44BC" w:rsidP="00F66D98">
      <w:pPr>
        <w:pStyle w:val="Heading5"/>
      </w:pPr>
      <w:bookmarkStart w:id="336" w:name="_Toc105053650"/>
      <w:bookmarkStart w:id="337" w:name="bk101229315Entitlement"/>
      <w:bookmarkStart w:id="338" w:name="bk113356315Entitlement"/>
      <w:bookmarkStart w:id="339" w:name="bk90939235Entitlement"/>
      <w:r w:rsidRPr="00C9343F">
        <w:t>2.3.5</w:t>
      </w:r>
      <w:r w:rsidR="00D94006" w:rsidRPr="00C9343F">
        <w:t>    </w:t>
      </w:r>
      <w:r w:rsidRPr="00C9343F">
        <w:t>Benefit</w:t>
      </w:r>
      <w:bookmarkEnd w:id="336"/>
    </w:p>
    <w:tbl>
      <w:tblPr>
        <w:tblW w:w="9359" w:type="dxa"/>
        <w:tblInd w:w="113" w:type="dxa"/>
        <w:tblLayout w:type="fixed"/>
        <w:tblLook w:val="0000" w:firstRow="0" w:lastRow="0" w:firstColumn="0" w:lastColumn="0" w:noHBand="0" w:noVBand="0"/>
      </w:tblPr>
      <w:tblGrid>
        <w:gridCol w:w="991"/>
        <w:gridCol w:w="567"/>
        <w:gridCol w:w="7801"/>
      </w:tblGrid>
      <w:tr w:rsidR="005F44BC" w:rsidRPr="00C9343F" w14:paraId="3F6E72D7" w14:textId="77777777" w:rsidTr="007C517F">
        <w:tc>
          <w:tcPr>
            <w:tcW w:w="991" w:type="dxa"/>
          </w:tcPr>
          <w:bookmarkEnd w:id="337"/>
          <w:bookmarkEnd w:id="338"/>
          <w:bookmarkEnd w:id="339"/>
          <w:p w14:paraId="2E0B7D86" w14:textId="77777777" w:rsidR="005F44BC" w:rsidRPr="00C9343F" w:rsidRDefault="005F44BC" w:rsidP="00F66D98">
            <w:pPr>
              <w:pStyle w:val="BlockText-Plain"/>
              <w:jc w:val="center"/>
            </w:pPr>
            <w:r w:rsidRPr="00C9343F">
              <w:t>1.</w:t>
            </w:r>
          </w:p>
        </w:tc>
        <w:tc>
          <w:tcPr>
            <w:tcW w:w="8368" w:type="dxa"/>
            <w:gridSpan w:val="2"/>
          </w:tcPr>
          <w:p w14:paraId="09DB5C3E" w14:textId="77777777" w:rsidR="005F44BC" w:rsidRPr="00C9343F" w:rsidRDefault="005F44BC" w:rsidP="00F66D98">
            <w:pPr>
              <w:pStyle w:val="BlockText-Plain"/>
            </w:pPr>
            <w:r w:rsidRPr="00C9343F">
              <w:t xml:space="preserve">On the day the member ceases to be a member of the Permanent Forces as a result of </w:t>
            </w:r>
            <w:r w:rsidR="00F13553" w:rsidRPr="00C9343F">
              <w:t>their service being terminated because of redundancy</w:t>
            </w:r>
            <w:r w:rsidRPr="00C9343F">
              <w:t xml:space="preserve">, the member is entitled to these amounts. </w:t>
            </w:r>
          </w:p>
        </w:tc>
      </w:tr>
      <w:tr w:rsidR="005F44BC" w:rsidRPr="00C9343F" w14:paraId="178EEDF8" w14:textId="77777777" w:rsidTr="007C517F">
        <w:trPr>
          <w:cantSplit/>
        </w:trPr>
        <w:tc>
          <w:tcPr>
            <w:tcW w:w="991" w:type="dxa"/>
          </w:tcPr>
          <w:p w14:paraId="0B38846A" w14:textId="77777777" w:rsidR="005F44BC" w:rsidRPr="00C9343F" w:rsidRDefault="005F44BC" w:rsidP="00F66D98">
            <w:pPr>
              <w:pStyle w:val="BlockText-Plain"/>
            </w:pPr>
          </w:p>
        </w:tc>
        <w:tc>
          <w:tcPr>
            <w:tcW w:w="567" w:type="dxa"/>
          </w:tcPr>
          <w:p w14:paraId="123C95FA" w14:textId="77777777" w:rsidR="005F44BC" w:rsidRPr="00C9343F" w:rsidRDefault="005F44BC" w:rsidP="007114B1">
            <w:pPr>
              <w:pStyle w:val="BlockText-Plain"/>
              <w:jc w:val="center"/>
            </w:pPr>
            <w:r w:rsidRPr="00C9343F">
              <w:t>a.</w:t>
            </w:r>
          </w:p>
        </w:tc>
        <w:tc>
          <w:tcPr>
            <w:tcW w:w="7801" w:type="dxa"/>
          </w:tcPr>
          <w:p w14:paraId="24421E3E" w14:textId="0AD88B76" w:rsidR="005F44BC" w:rsidRPr="00C9343F" w:rsidRDefault="005F44BC" w:rsidP="00F66D98">
            <w:pPr>
              <w:pStyle w:val="BlockText-Plain"/>
            </w:pPr>
            <w:r w:rsidRPr="00C9343F">
              <w:t>A fortnight’s salary</w:t>
            </w:r>
            <w:r w:rsidR="007C517F" w:rsidRPr="00C9343F">
              <w:t xml:space="preserve"> and allowances</w:t>
            </w:r>
            <w:r w:rsidRPr="00C9343F">
              <w:t xml:space="preserve"> for each completed year of service that is recognised for long service leave</w:t>
            </w:r>
            <w:r w:rsidR="00202D91" w:rsidRPr="00C9343F">
              <w:t xml:space="preserve"> under Chapter 5 Part 5</w:t>
            </w:r>
            <w:r w:rsidRPr="00C9343F">
              <w:t xml:space="preserve">. </w:t>
            </w:r>
          </w:p>
        </w:tc>
      </w:tr>
      <w:tr w:rsidR="005F44BC" w:rsidRPr="00C9343F" w14:paraId="4B4856C6" w14:textId="77777777" w:rsidTr="007C517F">
        <w:trPr>
          <w:cantSplit/>
        </w:trPr>
        <w:tc>
          <w:tcPr>
            <w:tcW w:w="991" w:type="dxa"/>
          </w:tcPr>
          <w:p w14:paraId="614BF478" w14:textId="77777777" w:rsidR="005F44BC" w:rsidRPr="00C9343F" w:rsidRDefault="005F44BC" w:rsidP="00F66D98">
            <w:pPr>
              <w:pStyle w:val="BlockText-Plain"/>
            </w:pPr>
          </w:p>
        </w:tc>
        <w:tc>
          <w:tcPr>
            <w:tcW w:w="567" w:type="dxa"/>
          </w:tcPr>
          <w:p w14:paraId="39EE9455" w14:textId="77777777" w:rsidR="005F44BC" w:rsidRPr="00C9343F" w:rsidRDefault="005F44BC" w:rsidP="007114B1">
            <w:pPr>
              <w:pStyle w:val="BlockText-Plain"/>
              <w:jc w:val="center"/>
            </w:pPr>
            <w:r w:rsidRPr="00C9343F">
              <w:t>b.</w:t>
            </w:r>
          </w:p>
        </w:tc>
        <w:tc>
          <w:tcPr>
            <w:tcW w:w="7801" w:type="dxa"/>
          </w:tcPr>
          <w:p w14:paraId="10BD5A92" w14:textId="77777777" w:rsidR="005F44BC" w:rsidRPr="00C9343F" w:rsidRDefault="005F44BC" w:rsidP="00F66D98">
            <w:pPr>
              <w:pStyle w:val="BlockText-Plain"/>
            </w:pPr>
            <w:r w:rsidRPr="00C9343F">
              <w:t>A pro rata payment for each part-year of such service completed.</w:t>
            </w:r>
          </w:p>
        </w:tc>
      </w:tr>
      <w:tr w:rsidR="005F44BC" w:rsidRPr="00C9343F" w14:paraId="7377C3C6" w14:textId="77777777" w:rsidTr="007C517F">
        <w:trPr>
          <w:cantSplit/>
        </w:trPr>
        <w:tc>
          <w:tcPr>
            <w:tcW w:w="991" w:type="dxa"/>
          </w:tcPr>
          <w:p w14:paraId="3135CB90" w14:textId="77777777" w:rsidR="005F44BC" w:rsidRPr="00C9343F" w:rsidRDefault="005F44BC" w:rsidP="00F66D98">
            <w:pPr>
              <w:pStyle w:val="BlockText-Plain"/>
            </w:pPr>
          </w:p>
        </w:tc>
        <w:tc>
          <w:tcPr>
            <w:tcW w:w="567" w:type="dxa"/>
          </w:tcPr>
          <w:p w14:paraId="77CF20C9" w14:textId="77777777" w:rsidR="005F44BC" w:rsidRPr="00C9343F" w:rsidRDefault="005F44BC" w:rsidP="007114B1">
            <w:pPr>
              <w:pStyle w:val="BlockText-Plain"/>
              <w:jc w:val="center"/>
            </w:pPr>
            <w:r w:rsidRPr="00C9343F">
              <w:t>c.</w:t>
            </w:r>
          </w:p>
        </w:tc>
        <w:tc>
          <w:tcPr>
            <w:tcW w:w="7801" w:type="dxa"/>
          </w:tcPr>
          <w:p w14:paraId="3B8B8B9C" w14:textId="33C5B10E" w:rsidR="005F44BC" w:rsidRPr="00C9343F" w:rsidRDefault="005F44BC" w:rsidP="00F66D98">
            <w:pPr>
              <w:pStyle w:val="BlockText-Plain"/>
            </w:pPr>
            <w:r w:rsidRPr="00C9343F">
              <w:t>A fortnight’s salary</w:t>
            </w:r>
            <w:r w:rsidR="007C517F" w:rsidRPr="00C9343F">
              <w:t xml:space="preserve"> and allowances</w:t>
            </w:r>
            <w:r w:rsidRPr="00C9343F">
              <w:t xml:space="preserve"> for each completed year of continuous full-time service in the ADF that is not recognised for long service leave accrual.</w:t>
            </w:r>
          </w:p>
        </w:tc>
      </w:tr>
      <w:tr w:rsidR="005F44BC" w:rsidRPr="00C9343F" w14:paraId="44F02317" w14:textId="77777777" w:rsidTr="007C517F">
        <w:trPr>
          <w:cantSplit/>
        </w:trPr>
        <w:tc>
          <w:tcPr>
            <w:tcW w:w="991" w:type="dxa"/>
          </w:tcPr>
          <w:p w14:paraId="549E768B" w14:textId="77777777" w:rsidR="005F44BC" w:rsidRPr="00C9343F" w:rsidRDefault="005F44BC" w:rsidP="00F66D98">
            <w:pPr>
              <w:pStyle w:val="BlockText-Plain"/>
            </w:pPr>
          </w:p>
        </w:tc>
        <w:tc>
          <w:tcPr>
            <w:tcW w:w="567" w:type="dxa"/>
          </w:tcPr>
          <w:p w14:paraId="5E3696D3" w14:textId="77777777" w:rsidR="005F44BC" w:rsidRPr="00C9343F" w:rsidRDefault="005F44BC" w:rsidP="007114B1">
            <w:pPr>
              <w:pStyle w:val="BlockText-Plain"/>
              <w:jc w:val="center"/>
            </w:pPr>
            <w:r w:rsidRPr="00C9343F">
              <w:t>d.</w:t>
            </w:r>
          </w:p>
        </w:tc>
        <w:tc>
          <w:tcPr>
            <w:tcW w:w="7801" w:type="dxa"/>
          </w:tcPr>
          <w:p w14:paraId="6F44FECE" w14:textId="77777777" w:rsidR="005F44BC" w:rsidRPr="00C9343F" w:rsidRDefault="005F44BC" w:rsidP="00F66D98">
            <w:pPr>
              <w:pStyle w:val="BlockText-Plain"/>
            </w:pPr>
            <w:r w:rsidRPr="00C9343F">
              <w:t>A pro rata payment for each completed part year of ADF service that is not recognised for long service leave accrual.</w:t>
            </w:r>
          </w:p>
        </w:tc>
      </w:tr>
      <w:tr w:rsidR="005F44BC" w:rsidRPr="00C9343F" w14:paraId="6392096A" w14:textId="77777777" w:rsidTr="007C517F">
        <w:tc>
          <w:tcPr>
            <w:tcW w:w="991" w:type="dxa"/>
          </w:tcPr>
          <w:p w14:paraId="4B7F05BE" w14:textId="77777777" w:rsidR="005F44BC" w:rsidRPr="00C9343F" w:rsidRDefault="005F44BC" w:rsidP="00F66D98">
            <w:pPr>
              <w:pStyle w:val="BlockText-Plain"/>
              <w:jc w:val="center"/>
            </w:pPr>
            <w:r w:rsidRPr="00C9343F">
              <w:t>2.</w:t>
            </w:r>
          </w:p>
        </w:tc>
        <w:tc>
          <w:tcPr>
            <w:tcW w:w="8368" w:type="dxa"/>
            <w:gridSpan w:val="2"/>
          </w:tcPr>
          <w:p w14:paraId="630C2270" w14:textId="77777777" w:rsidR="005F44BC" w:rsidRPr="00C9343F" w:rsidRDefault="005F44BC" w:rsidP="00F66D98">
            <w:pPr>
              <w:pStyle w:val="BlockText-Plain"/>
            </w:pPr>
            <w:r w:rsidRPr="00C9343F">
              <w:t>Certain periods must be excluded from the calculations in subsection 1. These periods are those included by the Commonwealth or any employer in the calculation of a payment of a special benefit, redundancy payment, or management initiated early retirement benefit, however described.</w:t>
            </w:r>
          </w:p>
        </w:tc>
      </w:tr>
      <w:tr w:rsidR="005F44BC" w:rsidRPr="00C9343F" w14:paraId="03DB8531" w14:textId="77777777" w:rsidTr="007C517F">
        <w:tc>
          <w:tcPr>
            <w:tcW w:w="991" w:type="dxa"/>
          </w:tcPr>
          <w:p w14:paraId="74800278" w14:textId="77777777" w:rsidR="005F44BC" w:rsidRPr="00C9343F" w:rsidRDefault="005F44BC" w:rsidP="00F66D98">
            <w:pPr>
              <w:pStyle w:val="BlockText-Plain"/>
              <w:jc w:val="center"/>
            </w:pPr>
            <w:r w:rsidRPr="00C9343F">
              <w:t>3.</w:t>
            </w:r>
          </w:p>
        </w:tc>
        <w:tc>
          <w:tcPr>
            <w:tcW w:w="8368" w:type="dxa"/>
            <w:gridSpan w:val="2"/>
          </w:tcPr>
          <w:p w14:paraId="6DEBA310" w14:textId="5766EE70" w:rsidR="005F44BC" w:rsidRPr="00C9343F" w:rsidRDefault="005F44BC" w:rsidP="00F66D98">
            <w:pPr>
              <w:pStyle w:val="BlockText-Plain"/>
            </w:pPr>
            <w:r w:rsidRPr="00C9343F">
              <w:t>The amount payable under subsection 1 must not be more than 48 weeks’ salary</w:t>
            </w:r>
            <w:r w:rsidR="007C517F" w:rsidRPr="00C9343F">
              <w:t xml:space="preserve"> and allowances</w:t>
            </w:r>
            <w:r w:rsidRPr="00C9343F">
              <w:t xml:space="preserve">. </w:t>
            </w:r>
          </w:p>
        </w:tc>
      </w:tr>
      <w:tr w:rsidR="005F44BC" w:rsidRPr="00C9343F" w14:paraId="6BE93616" w14:textId="77777777" w:rsidTr="007C517F">
        <w:tc>
          <w:tcPr>
            <w:tcW w:w="991" w:type="dxa"/>
          </w:tcPr>
          <w:p w14:paraId="17915D54" w14:textId="77777777" w:rsidR="005F44BC" w:rsidRPr="00C9343F" w:rsidRDefault="005F44BC" w:rsidP="00F66D98">
            <w:pPr>
              <w:pStyle w:val="BlockText-Plain"/>
              <w:jc w:val="center"/>
            </w:pPr>
            <w:r w:rsidRPr="00C9343F">
              <w:t>4.</w:t>
            </w:r>
          </w:p>
        </w:tc>
        <w:tc>
          <w:tcPr>
            <w:tcW w:w="8368" w:type="dxa"/>
            <w:gridSpan w:val="2"/>
          </w:tcPr>
          <w:p w14:paraId="3EB61FA8" w14:textId="77777777" w:rsidR="005F44BC" w:rsidRPr="00C9343F" w:rsidRDefault="00F13553" w:rsidP="00F66D98">
            <w:pPr>
              <w:pStyle w:val="BlockText-Plain"/>
            </w:pPr>
            <w:r w:rsidRPr="00C9343F">
              <w:t>If the member's retirement age is less than 48 weeks from the day the service of the member is to be terminated, the amount payable is for the period up to the member's retirement age.</w:t>
            </w:r>
          </w:p>
        </w:tc>
      </w:tr>
      <w:tr w:rsidR="007C517F" w:rsidRPr="00C9343F" w14:paraId="7B5185CC" w14:textId="77777777" w:rsidTr="007C517F">
        <w:tc>
          <w:tcPr>
            <w:tcW w:w="991" w:type="dxa"/>
          </w:tcPr>
          <w:p w14:paraId="001F2EE9" w14:textId="77777777" w:rsidR="007C517F" w:rsidRPr="00C9343F" w:rsidRDefault="007C517F" w:rsidP="00F66D98">
            <w:pPr>
              <w:pStyle w:val="Sectiontext0"/>
              <w:jc w:val="center"/>
            </w:pPr>
            <w:r w:rsidRPr="00C9343F">
              <w:t>5.</w:t>
            </w:r>
          </w:p>
        </w:tc>
        <w:tc>
          <w:tcPr>
            <w:tcW w:w="8368" w:type="dxa"/>
            <w:gridSpan w:val="2"/>
          </w:tcPr>
          <w:p w14:paraId="47574DD4" w14:textId="77777777" w:rsidR="007C517F" w:rsidRPr="00C9343F" w:rsidRDefault="007C517F" w:rsidP="00F66D98">
            <w:pPr>
              <w:pStyle w:val="Sectiontext0"/>
              <w:rPr>
                <w:iCs/>
              </w:rPr>
            </w:pPr>
            <w:r w:rsidRPr="00C9343F">
              <w:rPr>
                <w:iCs/>
              </w:rPr>
              <w:t xml:space="preserve">For the purpose of this section, </w:t>
            </w:r>
            <w:r w:rsidRPr="00C9343F">
              <w:rPr>
                <w:b/>
                <w:bCs/>
                <w:iCs/>
              </w:rPr>
              <w:t xml:space="preserve">allowances </w:t>
            </w:r>
            <w:r w:rsidRPr="00C9343F">
              <w:rPr>
                <w:iCs/>
              </w:rPr>
              <w:t>means any of the following.</w:t>
            </w:r>
          </w:p>
        </w:tc>
      </w:tr>
      <w:tr w:rsidR="007C517F" w:rsidRPr="00C9343F" w14:paraId="3D0241E3" w14:textId="77777777" w:rsidTr="007C517F">
        <w:tblPrEx>
          <w:tblLook w:val="04A0" w:firstRow="1" w:lastRow="0" w:firstColumn="1" w:lastColumn="0" w:noHBand="0" w:noVBand="1"/>
        </w:tblPrEx>
        <w:tc>
          <w:tcPr>
            <w:tcW w:w="991" w:type="dxa"/>
          </w:tcPr>
          <w:p w14:paraId="0186CBCA" w14:textId="77777777" w:rsidR="007C517F" w:rsidRPr="00C9343F" w:rsidRDefault="007C517F" w:rsidP="00F66D98">
            <w:pPr>
              <w:pStyle w:val="Sectiontext0"/>
              <w:jc w:val="center"/>
              <w:rPr>
                <w:lang w:eastAsia="en-US"/>
              </w:rPr>
            </w:pPr>
          </w:p>
        </w:tc>
        <w:tc>
          <w:tcPr>
            <w:tcW w:w="567" w:type="dxa"/>
            <w:hideMark/>
          </w:tcPr>
          <w:p w14:paraId="2B44AE6B" w14:textId="77777777" w:rsidR="007C517F" w:rsidRPr="00C9343F" w:rsidRDefault="007C517F" w:rsidP="007114B1">
            <w:pPr>
              <w:pStyle w:val="Sectiontext0"/>
              <w:jc w:val="center"/>
              <w:rPr>
                <w:rFonts w:cs="Arial"/>
                <w:lang w:eastAsia="en-US"/>
              </w:rPr>
            </w:pPr>
            <w:r w:rsidRPr="00C9343F">
              <w:rPr>
                <w:rFonts w:cs="Arial"/>
                <w:lang w:eastAsia="en-US"/>
              </w:rPr>
              <w:t>a.</w:t>
            </w:r>
          </w:p>
        </w:tc>
        <w:tc>
          <w:tcPr>
            <w:tcW w:w="7801" w:type="dxa"/>
          </w:tcPr>
          <w:p w14:paraId="04E414E5" w14:textId="77777777" w:rsidR="007C517F" w:rsidRPr="00C9343F" w:rsidRDefault="007C517F" w:rsidP="00F66D98">
            <w:pPr>
              <w:pStyle w:val="Sectiontext0"/>
              <w:rPr>
                <w:rFonts w:cs="Arial"/>
                <w:lang w:eastAsia="en-US"/>
              </w:rPr>
            </w:pPr>
            <w:r w:rsidRPr="00C9343F">
              <w:rPr>
                <w:rFonts w:cs="Arial"/>
                <w:lang w:eastAsia="en-US"/>
              </w:rPr>
              <w:t>Higher duties allowance when the period of higher duties was for 12 continuous months or more on the day the notice of redundancy was received.</w:t>
            </w:r>
          </w:p>
        </w:tc>
      </w:tr>
    </w:tbl>
    <w:p w14:paraId="7BCA9B4E" w14:textId="6893E638" w:rsidR="005F44BC" w:rsidRPr="00C9343F" w:rsidRDefault="005F44BC" w:rsidP="00F66D98">
      <w:pPr>
        <w:pStyle w:val="Heading5"/>
      </w:pPr>
      <w:bookmarkStart w:id="340" w:name="_Toc105053651"/>
      <w:bookmarkStart w:id="341" w:name="bk101229316Additionalpayment"/>
      <w:bookmarkStart w:id="342" w:name="bk113356316Additionalpayment"/>
      <w:bookmarkStart w:id="343" w:name="bk90939236Additionalpayment"/>
      <w:r w:rsidRPr="00C9343F">
        <w:t>2.3.6</w:t>
      </w:r>
      <w:r w:rsidR="00D94006" w:rsidRPr="00C9343F">
        <w:t>    </w:t>
      </w:r>
      <w:r w:rsidRPr="00C9343F">
        <w:t>Additional payment</w:t>
      </w:r>
      <w:bookmarkEnd w:id="340"/>
    </w:p>
    <w:tbl>
      <w:tblPr>
        <w:tblW w:w="9364" w:type="dxa"/>
        <w:tblInd w:w="108" w:type="dxa"/>
        <w:tblLayout w:type="fixed"/>
        <w:tblLook w:val="0000" w:firstRow="0" w:lastRow="0" w:firstColumn="0" w:lastColumn="0" w:noHBand="0" w:noVBand="0"/>
      </w:tblPr>
      <w:tblGrid>
        <w:gridCol w:w="997"/>
        <w:gridCol w:w="567"/>
        <w:gridCol w:w="7800"/>
      </w:tblGrid>
      <w:tr w:rsidR="00BA6A94" w:rsidRPr="00C9343F" w14:paraId="32519695" w14:textId="77777777" w:rsidTr="004E5563">
        <w:tc>
          <w:tcPr>
            <w:tcW w:w="997" w:type="dxa"/>
          </w:tcPr>
          <w:p w14:paraId="26B50B74" w14:textId="77777777" w:rsidR="00BA6A94" w:rsidRPr="00C9343F" w:rsidRDefault="00BA6A94" w:rsidP="00F66D98">
            <w:pPr>
              <w:pStyle w:val="BlockText-Plain"/>
              <w:jc w:val="center"/>
            </w:pPr>
            <w:r w:rsidRPr="00C9343F">
              <w:t>1.</w:t>
            </w:r>
          </w:p>
        </w:tc>
        <w:tc>
          <w:tcPr>
            <w:tcW w:w="8367" w:type="dxa"/>
            <w:gridSpan w:val="2"/>
          </w:tcPr>
          <w:p w14:paraId="0A852E65" w14:textId="77777777" w:rsidR="00BA6A94" w:rsidRPr="00C9343F" w:rsidRDefault="00BA6A94" w:rsidP="00F66D98">
            <w:pPr>
              <w:pStyle w:val="BlockText-Plain"/>
            </w:pPr>
            <w:r w:rsidRPr="00C9343F">
              <w:t>This section applies to a member to which both the following apply.</w:t>
            </w:r>
          </w:p>
        </w:tc>
      </w:tr>
      <w:tr w:rsidR="00BA6A94" w:rsidRPr="00C9343F" w14:paraId="4081FB18" w14:textId="77777777" w:rsidTr="004E5563">
        <w:trPr>
          <w:cantSplit/>
        </w:trPr>
        <w:tc>
          <w:tcPr>
            <w:tcW w:w="997" w:type="dxa"/>
          </w:tcPr>
          <w:p w14:paraId="7F0AAD50" w14:textId="77777777" w:rsidR="00BA6A94" w:rsidRPr="00C9343F" w:rsidRDefault="00BA6A94" w:rsidP="00F66D98">
            <w:pPr>
              <w:pStyle w:val="BlockText-Plain"/>
            </w:pPr>
          </w:p>
        </w:tc>
        <w:tc>
          <w:tcPr>
            <w:tcW w:w="567" w:type="dxa"/>
          </w:tcPr>
          <w:p w14:paraId="57A7D870" w14:textId="77777777" w:rsidR="00BA6A94" w:rsidRPr="00C9343F" w:rsidRDefault="00BA6A94" w:rsidP="007114B1">
            <w:pPr>
              <w:pStyle w:val="BlockText-Plain"/>
              <w:jc w:val="center"/>
            </w:pPr>
            <w:r w:rsidRPr="00C9343F">
              <w:t>a.</w:t>
            </w:r>
          </w:p>
        </w:tc>
        <w:tc>
          <w:tcPr>
            <w:tcW w:w="7800" w:type="dxa"/>
          </w:tcPr>
          <w:p w14:paraId="5D271CA0" w14:textId="77777777" w:rsidR="00BA6A94" w:rsidRPr="00C9343F" w:rsidRDefault="00BA6A94" w:rsidP="00F66D98">
            <w:pPr>
              <w:pStyle w:val="BlockText-Plain"/>
            </w:pPr>
            <w:r w:rsidRPr="00C9343F">
              <w:t xml:space="preserve">The member's service is terminated early under paragraph 24(1)(b) of the </w:t>
            </w:r>
            <w:r w:rsidRPr="00C9343F">
              <w:br/>
            </w:r>
            <w:r w:rsidR="004974D5" w:rsidRPr="00C9343F">
              <w:t>Defence Regulation</w:t>
            </w:r>
            <w:r w:rsidRPr="00C9343F">
              <w:rPr>
                <w:i/>
              </w:rPr>
              <w:t>.</w:t>
            </w:r>
          </w:p>
        </w:tc>
      </w:tr>
      <w:tr w:rsidR="00BA6A94" w:rsidRPr="00C9343F" w14:paraId="0BFBF95E" w14:textId="77777777" w:rsidTr="004E5563">
        <w:trPr>
          <w:cantSplit/>
        </w:trPr>
        <w:tc>
          <w:tcPr>
            <w:tcW w:w="997" w:type="dxa"/>
          </w:tcPr>
          <w:p w14:paraId="558AA0CF" w14:textId="77777777" w:rsidR="00BA6A94" w:rsidRPr="00C9343F" w:rsidRDefault="00BA6A94" w:rsidP="00F66D98">
            <w:pPr>
              <w:pStyle w:val="BlockText-Plain"/>
            </w:pPr>
          </w:p>
        </w:tc>
        <w:tc>
          <w:tcPr>
            <w:tcW w:w="567" w:type="dxa"/>
          </w:tcPr>
          <w:p w14:paraId="4247FDEA" w14:textId="77777777" w:rsidR="00BA6A94" w:rsidRPr="00C9343F" w:rsidRDefault="00BA6A94" w:rsidP="007114B1">
            <w:pPr>
              <w:pStyle w:val="BlockText-Plain"/>
              <w:jc w:val="center"/>
            </w:pPr>
            <w:r w:rsidRPr="00C9343F">
              <w:t>b.</w:t>
            </w:r>
          </w:p>
        </w:tc>
        <w:tc>
          <w:tcPr>
            <w:tcW w:w="7800" w:type="dxa"/>
          </w:tcPr>
          <w:p w14:paraId="5EE4D63E" w14:textId="77777777" w:rsidR="00BA6A94" w:rsidRPr="00C9343F" w:rsidRDefault="00BA6A94" w:rsidP="00F66D98">
            <w:pPr>
              <w:pStyle w:val="BlockText-Plain"/>
            </w:pPr>
            <w:r w:rsidRPr="00C9343F">
              <w:t xml:space="preserve">The member provides a written response within the notice period requesting their service end on a day that is less than five weeks from the day the notice under section 24(2) of the </w:t>
            </w:r>
            <w:r w:rsidR="004974D5" w:rsidRPr="00C9343F">
              <w:t>Defence Regulation</w:t>
            </w:r>
            <w:r w:rsidRPr="00C9343F">
              <w:t xml:space="preserve"> was given to the member.</w:t>
            </w:r>
          </w:p>
        </w:tc>
      </w:tr>
      <w:tr w:rsidR="00BA6A94" w:rsidRPr="00C9343F" w14:paraId="3E1C7DAB" w14:textId="77777777" w:rsidTr="004E5563">
        <w:tc>
          <w:tcPr>
            <w:tcW w:w="997" w:type="dxa"/>
          </w:tcPr>
          <w:p w14:paraId="5C9A53C1" w14:textId="77777777" w:rsidR="00BA6A94" w:rsidRPr="00C9343F" w:rsidRDefault="00BA6A94" w:rsidP="00F66D98">
            <w:pPr>
              <w:pStyle w:val="BlockText-Plain"/>
              <w:jc w:val="center"/>
            </w:pPr>
            <w:r w:rsidRPr="00C9343F">
              <w:t>2.</w:t>
            </w:r>
          </w:p>
        </w:tc>
        <w:tc>
          <w:tcPr>
            <w:tcW w:w="8367" w:type="dxa"/>
            <w:gridSpan w:val="2"/>
          </w:tcPr>
          <w:p w14:paraId="278BED54" w14:textId="73E0D2D1" w:rsidR="00BA6A94" w:rsidRPr="00C9343F" w:rsidRDefault="004E5563" w:rsidP="00F66D98">
            <w:pPr>
              <w:pStyle w:val="BlockText-Plain"/>
            </w:pPr>
            <w:r w:rsidRPr="00C9343F">
              <w:rPr>
                <w:iCs/>
              </w:rPr>
              <w:t xml:space="preserve">The member is to be paid an additional amount that is equal to the salary the member would have received between </w:t>
            </w:r>
            <w:r w:rsidR="00880933" w:rsidRPr="00C9343F">
              <w:rPr>
                <w:iCs/>
              </w:rPr>
              <w:t xml:space="preserve">and including </w:t>
            </w:r>
            <w:r w:rsidRPr="00C9343F">
              <w:rPr>
                <w:iCs/>
              </w:rPr>
              <w:t>the following days had the member continued to serve during the period.</w:t>
            </w:r>
          </w:p>
        </w:tc>
      </w:tr>
      <w:tr w:rsidR="00BA6A94" w:rsidRPr="00C9343F" w14:paraId="27C0D16E" w14:textId="77777777" w:rsidTr="004E5563">
        <w:trPr>
          <w:cantSplit/>
        </w:trPr>
        <w:tc>
          <w:tcPr>
            <w:tcW w:w="997" w:type="dxa"/>
          </w:tcPr>
          <w:p w14:paraId="660DCDE7" w14:textId="77777777" w:rsidR="00BA6A94" w:rsidRPr="00C9343F" w:rsidRDefault="00BA6A94" w:rsidP="00F66D98">
            <w:pPr>
              <w:pStyle w:val="BlockText-Plain"/>
            </w:pPr>
          </w:p>
        </w:tc>
        <w:tc>
          <w:tcPr>
            <w:tcW w:w="567" w:type="dxa"/>
          </w:tcPr>
          <w:p w14:paraId="3AA10D61" w14:textId="77777777" w:rsidR="00BA6A94" w:rsidRPr="00C9343F" w:rsidRDefault="00BA6A94" w:rsidP="007114B1">
            <w:pPr>
              <w:pStyle w:val="BlockText-Plain"/>
              <w:jc w:val="center"/>
            </w:pPr>
            <w:r w:rsidRPr="00C9343F">
              <w:t>a.</w:t>
            </w:r>
          </w:p>
        </w:tc>
        <w:tc>
          <w:tcPr>
            <w:tcW w:w="7800" w:type="dxa"/>
          </w:tcPr>
          <w:p w14:paraId="4F8B22BF" w14:textId="20856CD1" w:rsidR="00BA6A94" w:rsidRPr="00C9343F" w:rsidRDefault="004E5563" w:rsidP="00F66D98">
            <w:pPr>
              <w:pStyle w:val="BlockText-Plain"/>
            </w:pPr>
            <w:r w:rsidRPr="00C9343F">
              <w:t>The day the member’s service ends.</w:t>
            </w:r>
          </w:p>
        </w:tc>
      </w:tr>
      <w:tr w:rsidR="00BA6A94" w:rsidRPr="00C9343F" w14:paraId="7EE8E631" w14:textId="77777777" w:rsidTr="004E5563">
        <w:trPr>
          <w:cantSplit/>
        </w:trPr>
        <w:tc>
          <w:tcPr>
            <w:tcW w:w="997" w:type="dxa"/>
          </w:tcPr>
          <w:p w14:paraId="2B2F2CD9" w14:textId="77777777" w:rsidR="00BA6A94" w:rsidRPr="00C9343F" w:rsidRDefault="00BA6A94" w:rsidP="00F66D98">
            <w:pPr>
              <w:pStyle w:val="BlockText-Plain"/>
            </w:pPr>
          </w:p>
        </w:tc>
        <w:tc>
          <w:tcPr>
            <w:tcW w:w="567" w:type="dxa"/>
          </w:tcPr>
          <w:p w14:paraId="4BD84A09" w14:textId="77777777" w:rsidR="00BA6A94" w:rsidRPr="00C9343F" w:rsidRDefault="00BA6A94" w:rsidP="007114B1">
            <w:pPr>
              <w:pStyle w:val="BlockText-Plain"/>
              <w:jc w:val="center"/>
            </w:pPr>
            <w:r w:rsidRPr="00C9343F">
              <w:t>b.</w:t>
            </w:r>
          </w:p>
        </w:tc>
        <w:tc>
          <w:tcPr>
            <w:tcW w:w="7800" w:type="dxa"/>
          </w:tcPr>
          <w:p w14:paraId="439D26DE" w14:textId="0345AD49" w:rsidR="00BA6A94" w:rsidRPr="00C9343F" w:rsidRDefault="004E5563" w:rsidP="00F66D98">
            <w:pPr>
              <w:pStyle w:val="BlockText-Plain"/>
            </w:pPr>
            <w:r w:rsidRPr="00C9343F">
              <w:t>The last day of the 5 week period beginning the day the member was given the notice under section 24(2) of the Defence Regulation.</w:t>
            </w:r>
          </w:p>
        </w:tc>
      </w:tr>
    </w:tbl>
    <w:p w14:paraId="2989D489" w14:textId="00B90F91" w:rsidR="005F44BC" w:rsidRPr="00C9343F" w:rsidRDefault="005F44BC" w:rsidP="00F66D98">
      <w:pPr>
        <w:pStyle w:val="Heading5"/>
      </w:pPr>
      <w:bookmarkStart w:id="344" w:name="_Toc105053652"/>
      <w:bookmarkStart w:id="345" w:name="bk101229317Amountrepayableifmemberconti"/>
      <w:bookmarkStart w:id="346" w:name="bk113356317Amountrepayableifmemberconti"/>
      <w:bookmarkStart w:id="347" w:name="bk90939237Amountrepayableifmembercontin"/>
      <w:bookmarkEnd w:id="341"/>
      <w:bookmarkEnd w:id="342"/>
      <w:bookmarkEnd w:id="343"/>
      <w:r w:rsidRPr="00C9343F">
        <w:t>2.3.7</w:t>
      </w:r>
      <w:r w:rsidR="00D94006" w:rsidRPr="00C9343F">
        <w:t>    </w:t>
      </w:r>
      <w:r w:rsidRPr="00C9343F">
        <w:t>Amount repayable if member continues service</w:t>
      </w:r>
      <w:bookmarkEnd w:id="344"/>
    </w:p>
    <w:bookmarkEnd w:id="345"/>
    <w:bookmarkEnd w:id="346"/>
    <w:bookmarkEnd w:id="347"/>
    <w:tbl>
      <w:tblPr>
        <w:tblW w:w="9355" w:type="dxa"/>
        <w:tblInd w:w="113" w:type="dxa"/>
        <w:tblLayout w:type="fixed"/>
        <w:tblLook w:val="0000" w:firstRow="0" w:lastRow="0" w:firstColumn="0" w:lastColumn="0" w:noHBand="0" w:noVBand="0"/>
      </w:tblPr>
      <w:tblGrid>
        <w:gridCol w:w="992"/>
        <w:gridCol w:w="8363"/>
      </w:tblGrid>
      <w:tr w:rsidR="005F44BC" w:rsidRPr="00C9343F" w14:paraId="457458D3" w14:textId="77777777" w:rsidTr="00202D91">
        <w:tc>
          <w:tcPr>
            <w:tcW w:w="992" w:type="dxa"/>
          </w:tcPr>
          <w:p w14:paraId="27AB5D12" w14:textId="77777777" w:rsidR="005F44BC" w:rsidRPr="00C9343F" w:rsidRDefault="005F44BC" w:rsidP="00F66D98">
            <w:pPr>
              <w:pStyle w:val="BlockText-Plain"/>
              <w:jc w:val="center"/>
            </w:pPr>
          </w:p>
        </w:tc>
        <w:tc>
          <w:tcPr>
            <w:tcW w:w="8363" w:type="dxa"/>
          </w:tcPr>
          <w:p w14:paraId="741E3216" w14:textId="79DD04D7" w:rsidR="005F44BC" w:rsidRPr="00C9343F" w:rsidRDefault="00BA6A94" w:rsidP="00880933">
            <w:pPr>
              <w:pStyle w:val="BlockText-Plain"/>
            </w:pPr>
            <w:r w:rsidRPr="00C9343F">
              <w:t>A member paid an amount under this Division must repay that amount if the member begins a further period of continuous full-time service, within one year of ceasing to be a member of the Permanent Forces.</w:t>
            </w:r>
          </w:p>
        </w:tc>
      </w:tr>
      <w:tr w:rsidR="00BA6A94" w:rsidRPr="00C9343F" w14:paraId="526C34FB" w14:textId="77777777" w:rsidTr="00202D91">
        <w:tc>
          <w:tcPr>
            <w:tcW w:w="992" w:type="dxa"/>
          </w:tcPr>
          <w:p w14:paraId="1B80609C" w14:textId="77777777" w:rsidR="00BA6A94" w:rsidRPr="00C9343F" w:rsidRDefault="00BA6A94" w:rsidP="00F66D98">
            <w:pPr>
              <w:pStyle w:val="BlockText-Plain"/>
              <w:jc w:val="center"/>
            </w:pPr>
          </w:p>
        </w:tc>
        <w:tc>
          <w:tcPr>
            <w:tcW w:w="8363" w:type="dxa"/>
          </w:tcPr>
          <w:p w14:paraId="2706FEDD" w14:textId="77777777" w:rsidR="00BA6A94" w:rsidRPr="00C9343F" w:rsidRDefault="00BA6A94" w:rsidP="00F66D98">
            <w:pPr>
              <w:pStyle w:val="BlockText-Plain"/>
            </w:pPr>
            <w:r w:rsidRPr="00C9343F">
              <w:rPr>
                <w:b/>
              </w:rPr>
              <w:t>Exception:</w:t>
            </w:r>
            <w:r w:rsidRPr="00C9343F">
              <w:t xml:space="preserve"> The CDF decides the member does not have to repay the amount.</w:t>
            </w:r>
          </w:p>
        </w:tc>
      </w:tr>
    </w:tbl>
    <w:p w14:paraId="32C5F9A2" w14:textId="3DF31C26" w:rsidR="005F44BC" w:rsidRPr="00C9343F" w:rsidRDefault="005F44BC" w:rsidP="00F66D98">
      <w:pPr>
        <w:pStyle w:val="Heading4"/>
        <w:pageBreakBefore/>
      </w:pPr>
      <w:bookmarkStart w:id="348" w:name="div2"/>
      <w:bookmarkStart w:id="349" w:name="TCFinish"/>
      <w:bookmarkStart w:id="350" w:name="_Toc105053653"/>
      <w:bookmarkEnd w:id="348"/>
      <w:bookmarkEnd w:id="349"/>
      <w:r w:rsidRPr="00C9343F">
        <w:lastRenderedPageBreak/>
        <w:t>Division 3: Special benefit payment</w:t>
      </w:r>
      <w:bookmarkEnd w:id="350"/>
      <w:r w:rsidRPr="00C9343F">
        <w:t xml:space="preserve"> </w:t>
      </w:r>
    </w:p>
    <w:p w14:paraId="7006843B" w14:textId="56AE08E7" w:rsidR="005F44BC" w:rsidRPr="00C9343F" w:rsidRDefault="005F44BC" w:rsidP="00F66D98">
      <w:pPr>
        <w:pStyle w:val="Heading5"/>
      </w:pPr>
      <w:bookmarkStart w:id="351" w:name="_Toc105053654"/>
      <w:r w:rsidRPr="00C9343F">
        <w:t>2.3.20</w:t>
      </w:r>
      <w:r w:rsidR="00D94006" w:rsidRPr="00C9343F">
        <w:t>    </w:t>
      </w:r>
      <w:r w:rsidRPr="00C9343F">
        <w:t>Purpose</w:t>
      </w:r>
      <w:bookmarkEnd w:id="351"/>
    </w:p>
    <w:tbl>
      <w:tblPr>
        <w:tblW w:w="0" w:type="auto"/>
        <w:tblInd w:w="113" w:type="dxa"/>
        <w:tblLayout w:type="fixed"/>
        <w:tblLook w:val="0000" w:firstRow="0" w:lastRow="0" w:firstColumn="0" w:lastColumn="0" w:noHBand="0" w:noVBand="0"/>
      </w:tblPr>
      <w:tblGrid>
        <w:gridCol w:w="992"/>
        <w:gridCol w:w="8363"/>
      </w:tblGrid>
      <w:tr w:rsidR="005F44BC" w:rsidRPr="00C9343F" w14:paraId="57B150AF" w14:textId="77777777" w:rsidTr="005F44BC">
        <w:tc>
          <w:tcPr>
            <w:tcW w:w="992" w:type="dxa"/>
          </w:tcPr>
          <w:p w14:paraId="450BB71B" w14:textId="77777777" w:rsidR="005F44BC" w:rsidRPr="00C9343F" w:rsidRDefault="005F44BC" w:rsidP="00F66D98">
            <w:pPr>
              <w:pStyle w:val="BlockText-Plain"/>
              <w:jc w:val="center"/>
            </w:pPr>
            <w:r w:rsidRPr="00C9343F">
              <w:t>1.</w:t>
            </w:r>
          </w:p>
        </w:tc>
        <w:tc>
          <w:tcPr>
            <w:tcW w:w="8363" w:type="dxa"/>
          </w:tcPr>
          <w:p w14:paraId="6D7C6165" w14:textId="77777777" w:rsidR="005F44BC" w:rsidRPr="00C9343F" w:rsidRDefault="00860461" w:rsidP="00F66D98">
            <w:pPr>
              <w:pStyle w:val="BlockText-Plain"/>
            </w:pPr>
            <w:r w:rsidRPr="00C9343F">
              <w:t>The purpose of this Division is to provide the payment of a special benefit to certain members of the Permanent Forces who are compulsorily transferred to the Reserves under section 16 of the Defence Regulation.</w:t>
            </w:r>
          </w:p>
        </w:tc>
      </w:tr>
      <w:tr w:rsidR="005F44BC" w:rsidRPr="00C9343F" w14:paraId="47CA69E9" w14:textId="77777777" w:rsidTr="005F44BC">
        <w:tc>
          <w:tcPr>
            <w:tcW w:w="992" w:type="dxa"/>
          </w:tcPr>
          <w:p w14:paraId="4871201E" w14:textId="77777777" w:rsidR="005F44BC" w:rsidRPr="00C9343F" w:rsidRDefault="005F44BC" w:rsidP="00F66D98">
            <w:pPr>
              <w:pStyle w:val="BlockText-Plain"/>
              <w:jc w:val="center"/>
            </w:pPr>
            <w:r w:rsidRPr="00C9343F">
              <w:t>2.</w:t>
            </w:r>
          </w:p>
        </w:tc>
        <w:tc>
          <w:tcPr>
            <w:tcW w:w="8363" w:type="dxa"/>
          </w:tcPr>
          <w:p w14:paraId="36E9F0DF" w14:textId="77777777" w:rsidR="005F44BC" w:rsidRPr="00C9343F" w:rsidRDefault="00436414" w:rsidP="00F66D98">
            <w:pPr>
              <w:pStyle w:val="BlockText-Plain"/>
            </w:pPr>
            <w:r w:rsidRPr="00C9343F">
              <w:t>The payment is not a performance management tool.</w:t>
            </w:r>
          </w:p>
        </w:tc>
      </w:tr>
    </w:tbl>
    <w:p w14:paraId="3B4DF3C0" w14:textId="071451DA" w:rsidR="00860461" w:rsidRPr="00C9343F" w:rsidRDefault="00860461" w:rsidP="00F66D98">
      <w:pPr>
        <w:pStyle w:val="Heading5"/>
      </w:pPr>
      <w:bookmarkStart w:id="352" w:name="_Toc105053655"/>
      <w:r w:rsidRPr="00C9343F">
        <w:t>2.3.22</w:t>
      </w:r>
      <w:r w:rsidR="00D94006" w:rsidRPr="00C9343F">
        <w:t>    </w:t>
      </w:r>
      <w:r w:rsidRPr="00C9343F">
        <w:t>Member eligible for a special benefit</w:t>
      </w:r>
      <w:bookmarkEnd w:id="352"/>
    </w:p>
    <w:tbl>
      <w:tblPr>
        <w:tblW w:w="9359" w:type="dxa"/>
        <w:tblInd w:w="113" w:type="dxa"/>
        <w:tblLayout w:type="fixed"/>
        <w:tblLook w:val="04A0" w:firstRow="1" w:lastRow="0" w:firstColumn="1" w:lastColumn="0" w:noHBand="0" w:noVBand="1"/>
      </w:tblPr>
      <w:tblGrid>
        <w:gridCol w:w="992"/>
        <w:gridCol w:w="563"/>
        <w:gridCol w:w="567"/>
        <w:gridCol w:w="7237"/>
      </w:tblGrid>
      <w:tr w:rsidR="00860461" w:rsidRPr="00C9343F" w14:paraId="622696CD" w14:textId="77777777" w:rsidTr="0094501B">
        <w:tc>
          <w:tcPr>
            <w:tcW w:w="992" w:type="dxa"/>
          </w:tcPr>
          <w:p w14:paraId="388CDA00" w14:textId="77777777" w:rsidR="00860461" w:rsidRPr="00C9343F" w:rsidRDefault="00860461" w:rsidP="00F66D98">
            <w:pPr>
              <w:pStyle w:val="BlockText-Plain"/>
              <w:jc w:val="center"/>
              <w:rPr>
                <w:lang w:eastAsia="en-US"/>
              </w:rPr>
            </w:pPr>
            <w:r w:rsidRPr="00C9343F">
              <w:rPr>
                <w:lang w:eastAsia="en-US"/>
              </w:rPr>
              <w:t>1.</w:t>
            </w:r>
          </w:p>
        </w:tc>
        <w:tc>
          <w:tcPr>
            <w:tcW w:w="8367" w:type="dxa"/>
            <w:gridSpan w:val="3"/>
            <w:hideMark/>
          </w:tcPr>
          <w:p w14:paraId="0E941642" w14:textId="77777777" w:rsidR="00860461" w:rsidRPr="00C9343F" w:rsidRDefault="00860461" w:rsidP="00F66D98">
            <w:pPr>
              <w:pStyle w:val="BlockText-Plain"/>
              <w:rPr>
                <w:rFonts w:cs="Arial"/>
                <w:lang w:eastAsia="en-US"/>
              </w:rPr>
            </w:pPr>
            <w:r w:rsidRPr="00C9343F">
              <w:rPr>
                <w:rFonts w:cs="Arial"/>
                <w:lang w:eastAsia="en-US"/>
              </w:rPr>
              <w:t>A member is eligible for the special benefit under section 2.3.23 if either of the following apply.</w:t>
            </w:r>
          </w:p>
        </w:tc>
      </w:tr>
      <w:tr w:rsidR="00860461" w:rsidRPr="00C9343F" w14:paraId="07C802EB" w14:textId="77777777" w:rsidTr="0094501B">
        <w:tc>
          <w:tcPr>
            <w:tcW w:w="992" w:type="dxa"/>
          </w:tcPr>
          <w:p w14:paraId="7D74127B" w14:textId="77777777" w:rsidR="00860461" w:rsidRPr="00C9343F" w:rsidRDefault="00860461" w:rsidP="00F66D98">
            <w:pPr>
              <w:pStyle w:val="BlockText-Plain"/>
              <w:jc w:val="center"/>
              <w:rPr>
                <w:lang w:eastAsia="en-US"/>
              </w:rPr>
            </w:pPr>
          </w:p>
        </w:tc>
        <w:tc>
          <w:tcPr>
            <w:tcW w:w="563" w:type="dxa"/>
            <w:hideMark/>
          </w:tcPr>
          <w:p w14:paraId="68F5FAFB" w14:textId="77777777" w:rsidR="00860461" w:rsidRPr="00C9343F" w:rsidRDefault="00860461" w:rsidP="007114B1">
            <w:pPr>
              <w:pStyle w:val="BlockText-Plain"/>
              <w:jc w:val="center"/>
              <w:rPr>
                <w:rFonts w:cs="Arial"/>
                <w:lang w:eastAsia="en-US"/>
              </w:rPr>
            </w:pPr>
            <w:r w:rsidRPr="00C9343F">
              <w:rPr>
                <w:rFonts w:cs="Arial"/>
                <w:lang w:eastAsia="en-US"/>
              </w:rPr>
              <w:t>a.</w:t>
            </w:r>
          </w:p>
        </w:tc>
        <w:tc>
          <w:tcPr>
            <w:tcW w:w="7804" w:type="dxa"/>
            <w:gridSpan w:val="2"/>
          </w:tcPr>
          <w:p w14:paraId="3FAA6A97" w14:textId="77777777" w:rsidR="00860461" w:rsidRPr="00C9343F" w:rsidRDefault="00860461" w:rsidP="00F66D98">
            <w:pPr>
              <w:pStyle w:val="BlockText-Plain"/>
              <w:rPr>
                <w:rFonts w:cs="Arial"/>
                <w:lang w:eastAsia="en-US"/>
              </w:rPr>
            </w:pPr>
            <w:r w:rsidRPr="00C9343F">
              <w:rPr>
                <w:rFonts w:cs="Arial"/>
                <w:lang w:eastAsia="en-US"/>
              </w:rPr>
              <w:t>Subject to subsections 2 and 3, the member is compulsorily transferred to the Reserves for workforce planning reasons.</w:t>
            </w:r>
          </w:p>
        </w:tc>
      </w:tr>
      <w:tr w:rsidR="00860461" w:rsidRPr="00C9343F" w14:paraId="36AB0DA5" w14:textId="77777777" w:rsidTr="0094501B">
        <w:tc>
          <w:tcPr>
            <w:tcW w:w="992" w:type="dxa"/>
          </w:tcPr>
          <w:p w14:paraId="1F249F9B" w14:textId="77777777" w:rsidR="00860461" w:rsidRPr="00C9343F" w:rsidRDefault="00860461" w:rsidP="00F66D98">
            <w:pPr>
              <w:pStyle w:val="BlockText-Plain"/>
              <w:jc w:val="center"/>
              <w:rPr>
                <w:lang w:eastAsia="en-US"/>
              </w:rPr>
            </w:pPr>
          </w:p>
        </w:tc>
        <w:tc>
          <w:tcPr>
            <w:tcW w:w="563" w:type="dxa"/>
          </w:tcPr>
          <w:p w14:paraId="5B0BB38E" w14:textId="77777777" w:rsidR="00860461" w:rsidRPr="00C9343F" w:rsidRDefault="00860461" w:rsidP="007114B1">
            <w:pPr>
              <w:pStyle w:val="BlockText-Plain"/>
              <w:jc w:val="center"/>
              <w:rPr>
                <w:rFonts w:cs="Arial"/>
                <w:lang w:eastAsia="en-US"/>
              </w:rPr>
            </w:pPr>
            <w:r w:rsidRPr="00C9343F">
              <w:rPr>
                <w:rFonts w:cs="Arial"/>
                <w:lang w:eastAsia="en-US"/>
              </w:rPr>
              <w:t>b.</w:t>
            </w:r>
          </w:p>
        </w:tc>
        <w:tc>
          <w:tcPr>
            <w:tcW w:w="7804" w:type="dxa"/>
            <w:gridSpan w:val="2"/>
          </w:tcPr>
          <w:p w14:paraId="6AF43BE7" w14:textId="77777777" w:rsidR="00860461" w:rsidRPr="00C9343F" w:rsidRDefault="00860461" w:rsidP="00F66D98">
            <w:pPr>
              <w:pStyle w:val="BlockText-Plain"/>
              <w:rPr>
                <w:rFonts w:cs="Arial"/>
                <w:lang w:eastAsia="en-US"/>
              </w:rPr>
            </w:pPr>
            <w:r w:rsidRPr="00C9343F">
              <w:rPr>
                <w:rFonts w:cs="Arial"/>
                <w:lang w:eastAsia="en-US"/>
              </w:rPr>
              <w:t>Both of the following apply.</w:t>
            </w:r>
          </w:p>
        </w:tc>
      </w:tr>
      <w:tr w:rsidR="00860461" w:rsidRPr="00C9343F" w14:paraId="697C41A8" w14:textId="77777777" w:rsidTr="0094501B">
        <w:tc>
          <w:tcPr>
            <w:tcW w:w="992" w:type="dxa"/>
          </w:tcPr>
          <w:p w14:paraId="5B374F2D" w14:textId="77777777" w:rsidR="00860461" w:rsidRPr="00C9343F" w:rsidRDefault="00860461" w:rsidP="00F66D98">
            <w:pPr>
              <w:pStyle w:val="BlockText-Plain"/>
              <w:jc w:val="center"/>
              <w:rPr>
                <w:lang w:eastAsia="en-US"/>
              </w:rPr>
            </w:pPr>
          </w:p>
        </w:tc>
        <w:tc>
          <w:tcPr>
            <w:tcW w:w="563" w:type="dxa"/>
          </w:tcPr>
          <w:p w14:paraId="73E56230" w14:textId="77777777" w:rsidR="00860461" w:rsidRPr="00C9343F" w:rsidRDefault="00860461" w:rsidP="00F66D98">
            <w:pPr>
              <w:pStyle w:val="BlockText-Plain"/>
              <w:rPr>
                <w:rFonts w:cs="Arial"/>
                <w:iCs/>
                <w:lang w:eastAsia="en-US"/>
              </w:rPr>
            </w:pPr>
          </w:p>
        </w:tc>
        <w:tc>
          <w:tcPr>
            <w:tcW w:w="567" w:type="dxa"/>
            <w:hideMark/>
          </w:tcPr>
          <w:p w14:paraId="41F4BA68" w14:textId="77777777" w:rsidR="00860461" w:rsidRPr="00C9343F" w:rsidRDefault="00860461" w:rsidP="00F66D98">
            <w:pPr>
              <w:pStyle w:val="BlockText-Plain"/>
              <w:rPr>
                <w:rFonts w:cs="Arial"/>
                <w:iCs/>
                <w:lang w:eastAsia="en-US"/>
              </w:rPr>
            </w:pPr>
            <w:r w:rsidRPr="00C9343F">
              <w:rPr>
                <w:rFonts w:cs="Arial"/>
                <w:iCs/>
                <w:lang w:eastAsia="en-US"/>
              </w:rPr>
              <w:t>i.</w:t>
            </w:r>
          </w:p>
        </w:tc>
        <w:tc>
          <w:tcPr>
            <w:tcW w:w="7237" w:type="dxa"/>
          </w:tcPr>
          <w:p w14:paraId="64A00211" w14:textId="77777777" w:rsidR="00860461" w:rsidRPr="00C9343F" w:rsidRDefault="00860461" w:rsidP="00F66D98">
            <w:pPr>
              <w:pStyle w:val="BlockText-Plain"/>
              <w:rPr>
                <w:rFonts w:cs="Arial"/>
                <w:iCs/>
                <w:lang w:eastAsia="en-US"/>
              </w:rPr>
            </w:pPr>
            <w:r w:rsidRPr="00C9343F">
              <w:rPr>
                <w:rFonts w:cs="Arial"/>
                <w:lang w:eastAsia="en-US"/>
              </w:rPr>
              <w:t>The member is compulsorily transferred to the Reserves for reasons other than workforce planning.</w:t>
            </w:r>
          </w:p>
        </w:tc>
      </w:tr>
      <w:tr w:rsidR="00860461" w:rsidRPr="00C9343F" w14:paraId="6EDBE1B2" w14:textId="77777777" w:rsidTr="0094501B">
        <w:tc>
          <w:tcPr>
            <w:tcW w:w="992" w:type="dxa"/>
          </w:tcPr>
          <w:p w14:paraId="5EEFB10E" w14:textId="77777777" w:rsidR="00860461" w:rsidRPr="00C9343F" w:rsidRDefault="00860461" w:rsidP="00F66D98">
            <w:pPr>
              <w:pStyle w:val="BlockText-Plain"/>
              <w:jc w:val="center"/>
              <w:rPr>
                <w:lang w:eastAsia="en-US"/>
              </w:rPr>
            </w:pPr>
          </w:p>
        </w:tc>
        <w:tc>
          <w:tcPr>
            <w:tcW w:w="563" w:type="dxa"/>
          </w:tcPr>
          <w:p w14:paraId="2C685CEC" w14:textId="77777777" w:rsidR="00860461" w:rsidRPr="00C9343F" w:rsidRDefault="00860461" w:rsidP="00F66D98">
            <w:pPr>
              <w:pStyle w:val="BlockText-Plain"/>
              <w:rPr>
                <w:rFonts w:cs="Arial"/>
                <w:iCs/>
                <w:lang w:eastAsia="en-US"/>
              </w:rPr>
            </w:pPr>
          </w:p>
        </w:tc>
        <w:tc>
          <w:tcPr>
            <w:tcW w:w="567" w:type="dxa"/>
          </w:tcPr>
          <w:p w14:paraId="3AC1A6B9" w14:textId="77777777" w:rsidR="00860461" w:rsidRPr="00C9343F" w:rsidRDefault="00860461" w:rsidP="00F66D98">
            <w:pPr>
              <w:pStyle w:val="BlockText-Plain"/>
              <w:rPr>
                <w:rFonts w:cs="Arial"/>
                <w:iCs/>
                <w:lang w:eastAsia="en-US"/>
              </w:rPr>
            </w:pPr>
            <w:r w:rsidRPr="00C9343F">
              <w:rPr>
                <w:rFonts w:cs="Arial"/>
                <w:iCs/>
                <w:lang w:eastAsia="en-US"/>
              </w:rPr>
              <w:t>ii.</w:t>
            </w:r>
          </w:p>
        </w:tc>
        <w:tc>
          <w:tcPr>
            <w:tcW w:w="7237" w:type="dxa"/>
          </w:tcPr>
          <w:p w14:paraId="3225CAA5" w14:textId="77777777" w:rsidR="00860461" w:rsidRPr="00C9343F" w:rsidRDefault="00860461" w:rsidP="00F66D98">
            <w:pPr>
              <w:pStyle w:val="BlockText-Plain"/>
              <w:rPr>
                <w:rFonts w:cs="Arial"/>
                <w:iCs/>
                <w:lang w:eastAsia="en-US"/>
              </w:rPr>
            </w:pPr>
            <w:r w:rsidRPr="00C9343F">
              <w:rPr>
                <w:rFonts w:cs="Arial"/>
                <w:iCs/>
                <w:lang w:eastAsia="en-US"/>
              </w:rPr>
              <w:t>The CDF is satisfied that payment of the special benefit is reasonable in the circumstances.</w:t>
            </w:r>
          </w:p>
        </w:tc>
      </w:tr>
      <w:tr w:rsidR="00860461" w:rsidRPr="00C9343F" w14:paraId="587711E8" w14:textId="77777777" w:rsidTr="0094501B">
        <w:tc>
          <w:tcPr>
            <w:tcW w:w="992" w:type="dxa"/>
          </w:tcPr>
          <w:p w14:paraId="046E6DFE" w14:textId="77777777" w:rsidR="00860461" w:rsidRPr="00C9343F" w:rsidRDefault="00860461" w:rsidP="00F66D98">
            <w:pPr>
              <w:pStyle w:val="BlockText-Plain"/>
              <w:jc w:val="center"/>
              <w:rPr>
                <w:lang w:eastAsia="en-US"/>
              </w:rPr>
            </w:pPr>
            <w:r w:rsidRPr="00C9343F">
              <w:rPr>
                <w:lang w:eastAsia="en-US"/>
              </w:rPr>
              <w:t>2.</w:t>
            </w:r>
          </w:p>
        </w:tc>
        <w:tc>
          <w:tcPr>
            <w:tcW w:w="8367" w:type="dxa"/>
            <w:gridSpan w:val="3"/>
          </w:tcPr>
          <w:p w14:paraId="1B7E545C" w14:textId="77777777" w:rsidR="00860461" w:rsidRPr="00C9343F" w:rsidRDefault="00860461" w:rsidP="00F66D98">
            <w:pPr>
              <w:pStyle w:val="Default"/>
            </w:pPr>
            <w:r w:rsidRPr="00C9343F">
              <w:t>To be eligible for the special benefit, the member must satisfy all of the following.</w:t>
            </w:r>
          </w:p>
        </w:tc>
      </w:tr>
      <w:tr w:rsidR="00860461" w:rsidRPr="00C9343F" w14:paraId="3B378D3C" w14:textId="77777777" w:rsidTr="0094501B">
        <w:tc>
          <w:tcPr>
            <w:tcW w:w="992" w:type="dxa"/>
          </w:tcPr>
          <w:p w14:paraId="6AF6CBDE" w14:textId="77777777" w:rsidR="00860461" w:rsidRPr="00C9343F" w:rsidRDefault="00860461" w:rsidP="00F66D98">
            <w:pPr>
              <w:pStyle w:val="BlockText-Plain"/>
              <w:jc w:val="center"/>
              <w:rPr>
                <w:lang w:eastAsia="en-US"/>
              </w:rPr>
            </w:pPr>
          </w:p>
        </w:tc>
        <w:tc>
          <w:tcPr>
            <w:tcW w:w="563" w:type="dxa"/>
          </w:tcPr>
          <w:p w14:paraId="18F7F4A5" w14:textId="77777777" w:rsidR="00860461" w:rsidRPr="00C9343F" w:rsidRDefault="00860461" w:rsidP="007114B1">
            <w:pPr>
              <w:pStyle w:val="BlockText-Plain"/>
              <w:jc w:val="center"/>
              <w:rPr>
                <w:rFonts w:cs="Arial"/>
                <w:lang w:eastAsia="en-US"/>
              </w:rPr>
            </w:pPr>
            <w:r w:rsidRPr="00C9343F">
              <w:rPr>
                <w:rFonts w:cs="Arial"/>
                <w:lang w:eastAsia="en-US"/>
              </w:rPr>
              <w:t>a.</w:t>
            </w:r>
          </w:p>
        </w:tc>
        <w:tc>
          <w:tcPr>
            <w:tcW w:w="7804" w:type="dxa"/>
            <w:gridSpan w:val="2"/>
          </w:tcPr>
          <w:p w14:paraId="7B710E1E" w14:textId="77777777" w:rsidR="00860461" w:rsidRPr="00C9343F" w:rsidRDefault="00860461" w:rsidP="00F66D98">
            <w:pPr>
              <w:pStyle w:val="Default"/>
            </w:pPr>
            <w:r w:rsidRPr="00C9343F">
              <w:t xml:space="preserve">They have completed at least two years’ service at their current rank. </w:t>
            </w:r>
          </w:p>
        </w:tc>
      </w:tr>
      <w:tr w:rsidR="00860461" w:rsidRPr="00C9343F" w14:paraId="4492C996" w14:textId="77777777" w:rsidTr="0094501B">
        <w:tc>
          <w:tcPr>
            <w:tcW w:w="992" w:type="dxa"/>
          </w:tcPr>
          <w:p w14:paraId="5D3205D8" w14:textId="77777777" w:rsidR="00860461" w:rsidRPr="00C9343F" w:rsidRDefault="00860461" w:rsidP="00F66D98">
            <w:pPr>
              <w:pStyle w:val="BlockText-Plain"/>
              <w:jc w:val="center"/>
              <w:rPr>
                <w:lang w:eastAsia="en-US"/>
              </w:rPr>
            </w:pPr>
          </w:p>
        </w:tc>
        <w:tc>
          <w:tcPr>
            <w:tcW w:w="563" w:type="dxa"/>
          </w:tcPr>
          <w:p w14:paraId="63172182" w14:textId="77777777" w:rsidR="00860461" w:rsidRPr="00C9343F" w:rsidRDefault="00860461" w:rsidP="007114B1">
            <w:pPr>
              <w:pStyle w:val="BlockText-Plain"/>
              <w:jc w:val="center"/>
              <w:rPr>
                <w:rFonts w:cs="Arial"/>
                <w:lang w:eastAsia="en-US"/>
              </w:rPr>
            </w:pPr>
            <w:r w:rsidRPr="00C9343F">
              <w:rPr>
                <w:rFonts w:cs="Arial"/>
                <w:lang w:eastAsia="en-US"/>
              </w:rPr>
              <w:t>b.</w:t>
            </w:r>
          </w:p>
        </w:tc>
        <w:tc>
          <w:tcPr>
            <w:tcW w:w="7804" w:type="dxa"/>
            <w:gridSpan w:val="2"/>
          </w:tcPr>
          <w:p w14:paraId="096D639A" w14:textId="77777777" w:rsidR="00860461" w:rsidRPr="00C9343F" w:rsidRDefault="00860461" w:rsidP="00F66D98">
            <w:pPr>
              <w:pStyle w:val="BlockText-Plain"/>
              <w:rPr>
                <w:rFonts w:cs="Arial"/>
                <w:lang w:eastAsia="en-US"/>
              </w:rPr>
            </w:pPr>
            <w:r w:rsidRPr="00C9343F">
              <w:t>They have at least 12 months of service remaining before the day on which their period of service is expected to end.</w:t>
            </w:r>
          </w:p>
        </w:tc>
      </w:tr>
      <w:tr w:rsidR="00860461" w:rsidRPr="00C9343F" w14:paraId="25DC92DA" w14:textId="77777777" w:rsidTr="0094501B">
        <w:tc>
          <w:tcPr>
            <w:tcW w:w="992" w:type="dxa"/>
          </w:tcPr>
          <w:p w14:paraId="4E4C53A3" w14:textId="77777777" w:rsidR="00860461" w:rsidRPr="00C9343F" w:rsidRDefault="00860461" w:rsidP="00F66D98">
            <w:pPr>
              <w:pStyle w:val="BlockText-Plain"/>
              <w:jc w:val="center"/>
              <w:rPr>
                <w:lang w:eastAsia="en-US"/>
              </w:rPr>
            </w:pPr>
          </w:p>
        </w:tc>
        <w:tc>
          <w:tcPr>
            <w:tcW w:w="563" w:type="dxa"/>
          </w:tcPr>
          <w:p w14:paraId="61316D61" w14:textId="77777777" w:rsidR="00860461" w:rsidRPr="00C9343F" w:rsidRDefault="00860461" w:rsidP="007114B1">
            <w:pPr>
              <w:pStyle w:val="BlockText-Plain"/>
              <w:jc w:val="center"/>
              <w:rPr>
                <w:rFonts w:cs="Arial"/>
                <w:lang w:eastAsia="en-US"/>
              </w:rPr>
            </w:pPr>
            <w:r w:rsidRPr="00C9343F">
              <w:rPr>
                <w:rFonts w:cs="Arial"/>
                <w:lang w:eastAsia="en-US"/>
              </w:rPr>
              <w:t>c.</w:t>
            </w:r>
          </w:p>
        </w:tc>
        <w:tc>
          <w:tcPr>
            <w:tcW w:w="7804" w:type="dxa"/>
            <w:gridSpan w:val="2"/>
          </w:tcPr>
          <w:p w14:paraId="403E01EC" w14:textId="77777777" w:rsidR="00860461" w:rsidRPr="00C9343F" w:rsidRDefault="00860461" w:rsidP="00F66D98">
            <w:pPr>
              <w:pStyle w:val="BlockText-Plain"/>
            </w:pPr>
            <w:r w:rsidRPr="00C9343F">
              <w:t xml:space="preserve">They are transferred to the Reserves within 30 days of the receiving the decision to transfer them to the Reserves. </w:t>
            </w:r>
          </w:p>
        </w:tc>
      </w:tr>
      <w:tr w:rsidR="00860461" w:rsidRPr="00C9343F" w14:paraId="74DCC5CE" w14:textId="77777777" w:rsidTr="0094501B">
        <w:tc>
          <w:tcPr>
            <w:tcW w:w="992" w:type="dxa"/>
          </w:tcPr>
          <w:p w14:paraId="19FA800D" w14:textId="77777777" w:rsidR="00860461" w:rsidRPr="00C9343F" w:rsidRDefault="00860461" w:rsidP="00F66D98">
            <w:pPr>
              <w:pStyle w:val="BlockText-Plain"/>
              <w:jc w:val="center"/>
              <w:rPr>
                <w:lang w:eastAsia="en-US"/>
              </w:rPr>
            </w:pPr>
            <w:r w:rsidRPr="00C9343F">
              <w:rPr>
                <w:lang w:eastAsia="en-US"/>
              </w:rPr>
              <w:t>3.</w:t>
            </w:r>
          </w:p>
        </w:tc>
        <w:tc>
          <w:tcPr>
            <w:tcW w:w="8367" w:type="dxa"/>
            <w:gridSpan w:val="3"/>
          </w:tcPr>
          <w:p w14:paraId="3A0F37CF" w14:textId="77777777" w:rsidR="00860461" w:rsidRPr="00C9343F" w:rsidRDefault="00860461" w:rsidP="00F66D98">
            <w:pPr>
              <w:pStyle w:val="BlockText-Plain"/>
            </w:pPr>
            <w:r w:rsidRPr="00C9343F">
              <w:t>A member is not eligible for the special benefit if either of the following apply.</w:t>
            </w:r>
          </w:p>
        </w:tc>
      </w:tr>
      <w:tr w:rsidR="00860461" w:rsidRPr="00C9343F" w14:paraId="1CF9313C" w14:textId="77777777" w:rsidTr="0094501B">
        <w:tc>
          <w:tcPr>
            <w:tcW w:w="992" w:type="dxa"/>
          </w:tcPr>
          <w:p w14:paraId="549D6639" w14:textId="77777777" w:rsidR="00860461" w:rsidRPr="00C9343F" w:rsidRDefault="00860461" w:rsidP="00F66D98">
            <w:pPr>
              <w:pStyle w:val="BlockText-Plain"/>
              <w:jc w:val="center"/>
              <w:rPr>
                <w:lang w:eastAsia="en-US"/>
              </w:rPr>
            </w:pPr>
          </w:p>
        </w:tc>
        <w:tc>
          <w:tcPr>
            <w:tcW w:w="563" w:type="dxa"/>
          </w:tcPr>
          <w:p w14:paraId="3567723F" w14:textId="77777777" w:rsidR="00860461" w:rsidRPr="00C9343F" w:rsidRDefault="00860461" w:rsidP="007114B1">
            <w:pPr>
              <w:pStyle w:val="BlockText-Plain"/>
              <w:jc w:val="center"/>
              <w:rPr>
                <w:rFonts w:cs="Arial"/>
                <w:lang w:eastAsia="en-US"/>
              </w:rPr>
            </w:pPr>
            <w:r w:rsidRPr="00C9343F">
              <w:rPr>
                <w:rFonts w:cs="Arial"/>
                <w:lang w:eastAsia="en-US"/>
              </w:rPr>
              <w:t>a.</w:t>
            </w:r>
          </w:p>
        </w:tc>
        <w:tc>
          <w:tcPr>
            <w:tcW w:w="7804" w:type="dxa"/>
            <w:gridSpan w:val="2"/>
          </w:tcPr>
          <w:p w14:paraId="5C96B70C" w14:textId="77777777" w:rsidR="00860461" w:rsidRPr="00C9343F" w:rsidRDefault="00860461" w:rsidP="00F66D98">
            <w:pPr>
              <w:pStyle w:val="BlockText-Plain"/>
              <w:rPr>
                <w:rFonts w:cs="Arial"/>
                <w:lang w:eastAsia="en-US"/>
              </w:rPr>
            </w:pPr>
            <w:r w:rsidRPr="00C9343F">
              <w:t>The member is subject to any of the following.</w:t>
            </w:r>
          </w:p>
        </w:tc>
      </w:tr>
      <w:tr w:rsidR="00860461" w:rsidRPr="00C9343F" w14:paraId="2D8CD2F1" w14:textId="77777777" w:rsidTr="0094501B">
        <w:tc>
          <w:tcPr>
            <w:tcW w:w="992" w:type="dxa"/>
          </w:tcPr>
          <w:p w14:paraId="1EE29787" w14:textId="77777777" w:rsidR="00860461" w:rsidRPr="00C9343F" w:rsidRDefault="00860461" w:rsidP="00F66D98">
            <w:pPr>
              <w:pStyle w:val="BlockText-Plain"/>
              <w:jc w:val="center"/>
              <w:rPr>
                <w:lang w:eastAsia="en-US"/>
              </w:rPr>
            </w:pPr>
          </w:p>
        </w:tc>
        <w:tc>
          <w:tcPr>
            <w:tcW w:w="563" w:type="dxa"/>
          </w:tcPr>
          <w:p w14:paraId="75DBC984" w14:textId="77777777" w:rsidR="00860461" w:rsidRPr="00C9343F" w:rsidRDefault="00860461" w:rsidP="00F66D98">
            <w:pPr>
              <w:pStyle w:val="BlockText-Plain"/>
              <w:rPr>
                <w:rFonts w:cs="Arial"/>
                <w:lang w:eastAsia="en-US"/>
              </w:rPr>
            </w:pPr>
          </w:p>
        </w:tc>
        <w:tc>
          <w:tcPr>
            <w:tcW w:w="567" w:type="dxa"/>
          </w:tcPr>
          <w:p w14:paraId="0BCEC4FE" w14:textId="77777777" w:rsidR="00860461" w:rsidRPr="00C9343F" w:rsidRDefault="00860461" w:rsidP="00F66D98">
            <w:pPr>
              <w:pStyle w:val="BlockText-Plain"/>
              <w:rPr>
                <w:rFonts w:cs="Arial"/>
                <w:lang w:eastAsia="en-US"/>
              </w:rPr>
            </w:pPr>
            <w:r w:rsidRPr="00C9343F">
              <w:rPr>
                <w:rFonts w:cs="Arial"/>
                <w:lang w:eastAsia="en-US"/>
              </w:rPr>
              <w:t>i.</w:t>
            </w:r>
          </w:p>
        </w:tc>
        <w:tc>
          <w:tcPr>
            <w:tcW w:w="7237" w:type="dxa"/>
          </w:tcPr>
          <w:p w14:paraId="1667F774" w14:textId="77777777" w:rsidR="00860461" w:rsidRPr="00C9343F" w:rsidRDefault="00860461" w:rsidP="00F66D98">
            <w:pPr>
              <w:pStyle w:val="BlockText-Plain"/>
              <w:rPr>
                <w:rFonts w:cs="Arial"/>
                <w:lang w:eastAsia="en-US"/>
              </w:rPr>
            </w:pPr>
            <w:r w:rsidRPr="00C9343F">
              <w:rPr>
                <w:rFonts w:cs="Arial"/>
                <w:lang w:eastAsia="en-US"/>
              </w:rPr>
              <w:t>An investigation for unacceptable behaviour.</w:t>
            </w:r>
          </w:p>
        </w:tc>
      </w:tr>
      <w:tr w:rsidR="00860461" w:rsidRPr="00C9343F" w14:paraId="1FB33988" w14:textId="77777777" w:rsidTr="0094501B">
        <w:tc>
          <w:tcPr>
            <w:tcW w:w="992" w:type="dxa"/>
          </w:tcPr>
          <w:p w14:paraId="0E852B11" w14:textId="77777777" w:rsidR="00860461" w:rsidRPr="00C9343F" w:rsidRDefault="00860461" w:rsidP="00F66D98">
            <w:pPr>
              <w:pStyle w:val="BlockText-Plain"/>
              <w:jc w:val="center"/>
              <w:rPr>
                <w:lang w:eastAsia="en-US"/>
              </w:rPr>
            </w:pPr>
          </w:p>
        </w:tc>
        <w:tc>
          <w:tcPr>
            <w:tcW w:w="563" w:type="dxa"/>
          </w:tcPr>
          <w:p w14:paraId="25D1D18A" w14:textId="77777777" w:rsidR="00860461" w:rsidRPr="00C9343F" w:rsidRDefault="00860461" w:rsidP="00F66D98">
            <w:pPr>
              <w:pStyle w:val="BlockText-Plain"/>
              <w:rPr>
                <w:rFonts w:cs="Arial"/>
                <w:lang w:eastAsia="en-US"/>
              </w:rPr>
            </w:pPr>
          </w:p>
        </w:tc>
        <w:tc>
          <w:tcPr>
            <w:tcW w:w="567" w:type="dxa"/>
          </w:tcPr>
          <w:p w14:paraId="7D6074F8" w14:textId="77777777" w:rsidR="00860461" w:rsidRPr="00C9343F" w:rsidRDefault="00860461" w:rsidP="00F66D98">
            <w:pPr>
              <w:pStyle w:val="BlockText-Plain"/>
              <w:rPr>
                <w:rFonts w:cs="Arial"/>
                <w:lang w:eastAsia="en-US"/>
              </w:rPr>
            </w:pPr>
            <w:r w:rsidRPr="00C9343F">
              <w:rPr>
                <w:rFonts w:cs="Arial"/>
                <w:lang w:eastAsia="en-US"/>
              </w:rPr>
              <w:t>ii.</w:t>
            </w:r>
          </w:p>
        </w:tc>
        <w:tc>
          <w:tcPr>
            <w:tcW w:w="7237" w:type="dxa"/>
          </w:tcPr>
          <w:p w14:paraId="78744620" w14:textId="77777777" w:rsidR="00860461" w:rsidRPr="00C9343F" w:rsidRDefault="00860461" w:rsidP="00F66D98">
            <w:pPr>
              <w:pStyle w:val="BlockText-Plain"/>
              <w:rPr>
                <w:rFonts w:cs="Arial"/>
                <w:lang w:eastAsia="en-US"/>
              </w:rPr>
            </w:pPr>
            <w:r w:rsidRPr="00C9343F">
              <w:rPr>
                <w:rFonts w:cs="Arial"/>
                <w:lang w:eastAsia="en-US"/>
              </w:rPr>
              <w:t>Disciplinary action.</w:t>
            </w:r>
          </w:p>
        </w:tc>
      </w:tr>
      <w:tr w:rsidR="00860461" w:rsidRPr="00C9343F" w14:paraId="5BDFFA03" w14:textId="77777777" w:rsidTr="0094501B">
        <w:tc>
          <w:tcPr>
            <w:tcW w:w="992" w:type="dxa"/>
          </w:tcPr>
          <w:p w14:paraId="39B2CC48" w14:textId="77777777" w:rsidR="00860461" w:rsidRPr="00C9343F" w:rsidRDefault="00860461" w:rsidP="00F66D98">
            <w:pPr>
              <w:pStyle w:val="BlockText-Plain"/>
              <w:jc w:val="center"/>
              <w:rPr>
                <w:lang w:eastAsia="en-US"/>
              </w:rPr>
            </w:pPr>
          </w:p>
        </w:tc>
        <w:tc>
          <w:tcPr>
            <w:tcW w:w="563" w:type="dxa"/>
          </w:tcPr>
          <w:p w14:paraId="1B53B0A3" w14:textId="77777777" w:rsidR="00860461" w:rsidRPr="00C9343F" w:rsidRDefault="00860461" w:rsidP="00F66D98">
            <w:pPr>
              <w:pStyle w:val="BlockText-Plain"/>
              <w:rPr>
                <w:rFonts w:cs="Arial"/>
                <w:lang w:eastAsia="en-US"/>
              </w:rPr>
            </w:pPr>
          </w:p>
        </w:tc>
        <w:tc>
          <w:tcPr>
            <w:tcW w:w="567" w:type="dxa"/>
          </w:tcPr>
          <w:p w14:paraId="74AC25D1" w14:textId="77777777" w:rsidR="00860461" w:rsidRPr="00C9343F" w:rsidRDefault="00860461" w:rsidP="00F66D98">
            <w:pPr>
              <w:pStyle w:val="BlockText-Plain"/>
              <w:rPr>
                <w:rFonts w:cs="Arial"/>
                <w:lang w:eastAsia="en-US"/>
              </w:rPr>
            </w:pPr>
            <w:r w:rsidRPr="00C9343F">
              <w:rPr>
                <w:rFonts w:cs="Arial"/>
                <w:lang w:eastAsia="en-US"/>
              </w:rPr>
              <w:t>iii.</w:t>
            </w:r>
          </w:p>
        </w:tc>
        <w:tc>
          <w:tcPr>
            <w:tcW w:w="7237" w:type="dxa"/>
          </w:tcPr>
          <w:p w14:paraId="0B33C382" w14:textId="77777777" w:rsidR="00860461" w:rsidRPr="00C9343F" w:rsidRDefault="00860461" w:rsidP="00F66D98">
            <w:pPr>
              <w:pStyle w:val="BlockText-Plain"/>
              <w:rPr>
                <w:rFonts w:cs="Arial"/>
                <w:lang w:eastAsia="en-US"/>
              </w:rPr>
            </w:pPr>
            <w:r w:rsidRPr="00C9343F">
              <w:rPr>
                <w:rFonts w:cs="Arial"/>
                <w:lang w:eastAsia="en-US"/>
              </w:rPr>
              <w:t xml:space="preserve">A notice to show cause for an administrative sanction. </w:t>
            </w:r>
          </w:p>
        </w:tc>
      </w:tr>
      <w:tr w:rsidR="00860461" w:rsidRPr="00C9343F" w14:paraId="65F8A73D" w14:textId="77777777" w:rsidTr="0094501B">
        <w:tc>
          <w:tcPr>
            <w:tcW w:w="992" w:type="dxa"/>
          </w:tcPr>
          <w:p w14:paraId="3A87303D" w14:textId="77777777" w:rsidR="00860461" w:rsidRPr="00C9343F" w:rsidRDefault="00860461" w:rsidP="00F66D98">
            <w:pPr>
              <w:pStyle w:val="BlockText-Plain"/>
              <w:jc w:val="center"/>
              <w:rPr>
                <w:lang w:eastAsia="en-US"/>
              </w:rPr>
            </w:pPr>
          </w:p>
        </w:tc>
        <w:tc>
          <w:tcPr>
            <w:tcW w:w="563" w:type="dxa"/>
          </w:tcPr>
          <w:p w14:paraId="6F526442" w14:textId="77777777" w:rsidR="00860461" w:rsidRPr="00C9343F" w:rsidRDefault="00860461" w:rsidP="00F66D98">
            <w:pPr>
              <w:pStyle w:val="BlockText-Plain"/>
              <w:rPr>
                <w:rFonts w:cs="Arial"/>
                <w:lang w:eastAsia="en-US"/>
              </w:rPr>
            </w:pPr>
          </w:p>
        </w:tc>
        <w:tc>
          <w:tcPr>
            <w:tcW w:w="567" w:type="dxa"/>
          </w:tcPr>
          <w:p w14:paraId="46DD187C" w14:textId="77777777" w:rsidR="00860461" w:rsidRPr="00C9343F" w:rsidRDefault="00860461" w:rsidP="00F66D98">
            <w:pPr>
              <w:pStyle w:val="BlockText-Plain"/>
              <w:rPr>
                <w:rFonts w:cs="Arial"/>
                <w:lang w:eastAsia="en-US"/>
              </w:rPr>
            </w:pPr>
            <w:r w:rsidRPr="00C9343F">
              <w:rPr>
                <w:rFonts w:cs="Arial"/>
                <w:lang w:eastAsia="en-US"/>
              </w:rPr>
              <w:t>iv.</w:t>
            </w:r>
          </w:p>
        </w:tc>
        <w:tc>
          <w:tcPr>
            <w:tcW w:w="7237" w:type="dxa"/>
          </w:tcPr>
          <w:p w14:paraId="2B012517" w14:textId="77777777" w:rsidR="00860461" w:rsidRPr="00C9343F" w:rsidRDefault="00860461" w:rsidP="00F66D98">
            <w:pPr>
              <w:pStyle w:val="BlockText-Plain"/>
              <w:rPr>
                <w:rFonts w:cs="Arial"/>
                <w:lang w:eastAsia="en-US"/>
              </w:rPr>
            </w:pPr>
            <w:r w:rsidRPr="00C9343F">
              <w:rPr>
                <w:rFonts w:cs="Arial"/>
                <w:lang w:eastAsia="en-US"/>
              </w:rPr>
              <w:t>A notice of a positive test result under section 100 of the Act.</w:t>
            </w:r>
          </w:p>
        </w:tc>
      </w:tr>
      <w:tr w:rsidR="00860461" w:rsidRPr="00C9343F" w14:paraId="4DAF637A" w14:textId="77777777" w:rsidTr="0094501B">
        <w:tc>
          <w:tcPr>
            <w:tcW w:w="992" w:type="dxa"/>
          </w:tcPr>
          <w:p w14:paraId="0F34BEBB" w14:textId="77777777" w:rsidR="00860461" w:rsidRPr="00C9343F" w:rsidRDefault="00860461" w:rsidP="00F66D98">
            <w:pPr>
              <w:pStyle w:val="BlockText-Plain"/>
              <w:jc w:val="center"/>
              <w:rPr>
                <w:lang w:eastAsia="en-US"/>
              </w:rPr>
            </w:pPr>
          </w:p>
        </w:tc>
        <w:tc>
          <w:tcPr>
            <w:tcW w:w="563" w:type="dxa"/>
          </w:tcPr>
          <w:p w14:paraId="7585D12A" w14:textId="77777777" w:rsidR="00860461" w:rsidRPr="00C9343F" w:rsidRDefault="00860461" w:rsidP="007114B1">
            <w:pPr>
              <w:pStyle w:val="BlockText-Plain"/>
              <w:jc w:val="center"/>
              <w:rPr>
                <w:rFonts w:cs="Arial"/>
                <w:lang w:eastAsia="en-US"/>
              </w:rPr>
            </w:pPr>
            <w:r w:rsidRPr="00C9343F">
              <w:rPr>
                <w:rFonts w:cs="Arial"/>
                <w:lang w:eastAsia="en-US"/>
              </w:rPr>
              <w:t>b.</w:t>
            </w:r>
          </w:p>
        </w:tc>
        <w:tc>
          <w:tcPr>
            <w:tcW w:w="7804" w:type="dxa"/>
            <w:gridSpan w:val="2"/>
          </w:tcPr>
          <w:p w14:paraId="29B6322B" w14:textId="77777777" w:rsidR="00860461" w:rsidRPr="00C9343F" w:rsidRDefault="00860461" w:rsidP="00F66D98">
            <w:pPr>
              <w:pStyle w:val="BlockText-Plain"/>
              <w:rPr>
                <w:rFonts w:cs="Arial"/>
                <w:lang w:eastAsia="en-US"/>
              </w:rPr>
            </w:pPr>
            <w:r w:rsidRPr="00C9343F">
              <w:rPr>
                <w:rFonts w:cs="Arial"/>
                <w:lang w:eastAsia="en-US"/>
              </w:rPr>
              <w:t>An administrative sanction was imposed on the member within the previous 12 months.</w:t>
            </w:r>
          </w:p>
        </w:tc>
      </w:tr>
      <w:tr w:rsidR="00860461" w:rsidRPr="00C9343F" w14:paraId="2F15863E" w14:textId="77777777" w:rsidTr="0094501B">
        <w:tc>
          <w:tcPr>
            <w:tcW w:w="992" w:type="dxa"/>
          </w:tcPr>
          <w:p w14:paraId="5C882093" w14:textId="77777777" w:rsidR="00860461" w:rsidRPr="00C9343F" w:rsidRDefault="00860461" w:rsidP="00F66D98">
            <w:pPr>
              <w:pStyle w:val="BlockText-Plain"/>
              <w:jc w:val="center"/>
              <w:rPr>
                <w:lang w:eastAsia="en-US"/>
              </w:rPr>
            </w:pPr>
            <w:r w:rsidRPr="00C9343F">
              <w:rPr>
                <w:lang w:eastAsia="en-US"/>
              </w:rPr>
              <w:t>4.</w:t>
            </w:r>
          </w:p>
        </w:tc>
        <w:tc>
          <w:tcPr>
            <w:tcW w:w="8367" w:type="dxa"/>
            <w:gridSpan w:val="3"/>
          </w:tcPr>
          <w:p w14:paraId="6D569EC3" w14:textId="77777777" w:rsidR="00860461" w:rsidRPr="00C9343F" w:rsidRDefault="00860461" w:rsidP="00F66D98">
            <w:pPr>
              <w:pStyle w:val="BlockText-Plain"/>
              <w:rPr>
                <w:rFonts w:cs="Arial"/>
                <w:lang w:eastAsia="en-US"/>
              </w:rPr>
            </w:pPr>
            <w:r w:rsidRPr="00C9343F">
              <w:rPr>
                <w:rFonts w:cs="Arial"/>
                <w:lang w:eastAsia="en-US"/>
              </w:rPr>
              <w:t>For the purpose of paragraph 2.b, the day the member’s period of service is expected to end is the earlier of the following days.</w:t>
            </w:r>
          </w:p>
        </w:tc>
      </w:tr>
      <w:tr w:rsidR="00860461" w:rsidRPr="00C9343F" w14:paraId="20E21C8B" w14:textId="77777777" w:rsidTr="0094501B">
        <w:tc>
          <w:tcPr>
            <w:tcW w:w="992" w:type="dxa"/>
          </w:tcPr>
          <w:p w14:paraId="67CBC579" w14:textId="77777777" w:rsidR="00860461" w:rsidRPr="00C9343F" w:rsidRDefault="00860461" w:rsidP="00F66D98">
            <w:pPr>
              <w:pStyle w:val="BlockText-Plain"/>
              <w:jc w:val="center"/>
              <w:rPr>
                <w:lang w:eastAsia="en-US"/>
              </w:rPr>
            </w:pPr>
          </w:p>
        </w:tc>
        <w:tc>
          <w:tcPr>
            <w:tcW w:w="563" w:type="dxa"/>
          </w:tcPr>
          <w:p w14:paraId="0F63A1B4" w14:textId="77777777" w:rsidR="00860461" w:rsidRPr="00C9343F" w:rsidRDefault="00860461" w:rsidP="007114B1">
            <w:pPr>
              <w:pStyle w:val="BlockText-Plain"/>
              <w:jc w:val="center"/>
              <w:rPr>
                <w:rFonts w:cs="Arial"/>
                <w:lang w:eastAsia="en-US"/>
              </w:rPr>
            </w:pPr>
            <w:r w:rsidRPr="00C9343F">
              <w:rPr>
                <w:rFonts w:cs="Arial"/>
                <w:lang w:eastAsia="en-US"/>
              </w:rPr>
              <w:t>a.</w:t>
            </w:r>
          </w:p>
        </w:tc>
        <w:tc>
          <w:tcPr>
            <w:tcW w:w="7804" w:type="dxa"/>
            <w:gridSpan w:val="2"/>
          </w:tcPr>
          <w:p w14:paraId="7C3F3BB2" w14:textId="77777777" w:rsidR="00860461" w:rsidRPr="00C9343F" w:rsidRDefault="00860461" w:rsidP="00F66D98">
            <w:pPr>
              <w:pStyle w:val="BlockText-Plain"/>
            </w:pPr>
            <w:r w:rsidRPr="00C9343F">
              <w:t>The day the member reaches retirement age.</w:t>
            </w:r>
          </w:p>
        </w:tc>
      </w:tr>
      <w:tr w:rsidR="00860461" w:rsidRPr="00C9343F" w14:paraId="688AF342" w14:textId="77777777" w:rsidTr="0094501B">
        <w:tc>
          <w:tcPr>
            <w:tcW w:w="992" w:type="dxa"/>
          </w:tcPr>
          <w:p w14:paraId="1D6DC429" w14:textId="77777777" w:rsidR="00860461" w:rsidRPr="00C9343F" w:rsidRDefault="00860461" w:rsidP="00F66D98">
            <w:pPr>
              <w:pStyle w:val="BlockText-Plain"/>
              <w:jc w:val="center"/>
              <w:rPr>
                <w:lang w:eastAsia="en-US"/>
              </w:rPr>
            </w:pPr>
          </w:p>
        </w:tc>
        <w:tc>
          <w:tcPr>
            <w:tcW w:w="563" w:type="dxa"/>
          </w:tcPr>
          <w:p w14:paraId="170B0D33" w14:textId="77777777" w:rsidR="00860461" w:rsidRPr="00C9343F" w:rsidRDefault="00860461" w:rsidP="007114B1">
            <w:pPr>
              <w:pStyle w:val="BlockText-Plain"/>
              <w:jc w:val="center"/>
              <w:rPr>
                <w:rFonts w:cs="Arial"/>
                <w:lang w:eastAsia="en-US"/>
              </w:rPr>
            </w:pPr>
            <w:r w:rsidRPr="00C9343F">
              <w:rPr>
                <w:rFonts w:cs="Arial"/>
                <w:lang w:eastAsia="en-US"/>
              </w:rPr>
              <w:t>b.</w:t>
            </w:r>
          </w:p>
        </w:tc>
        <w:tc>
          <w:tcPr>
            <w:tcW w:w="7804" w:type="dxa"/>
            <w:gridSpan w:val="2"/>
          </w:tcPr>
          <w:p w14:paraId="1E0608C3" w14:textId="77777777" w:rsidR="00860461" w:rsidRPr="00C9343F" w:rsidRDefault="00860461" w:rsidP="00F66D98">
            <w:pPr>
              <w:pStyle w:val="BlockText-Plain"/>
            </w:pPr>
            <w:r w:rsidRPr="00C9343F">
              <w:t>The last day of the member’s fixed period of service.</w:t>
            </w:r>
          </w:p>
        </w:tc>
      </w:tr>
    </w:tbl>
    <w:p w14:paraId="4E9CE251" w14:textId="37C164B5" w:rsidR="005F44BC" w:rsidRPr="00C9343F" w:rsidRDefault="005F44BC" w:rsidP="00F66D98">
      <w:pPr>
        <w:pStyle w:val="Heading5"/>
      </w:pPr>
      <w:bookmarkStart w:id="353" w:name="_Toc105053656"/>
      <w:r w:rsidRPr="00C9343F">
        <w:lastRenderedPageBreak/>
        <w:t>2.3.23</w:t>
      </w:r>
      <w:r w:rsidR="00D94006" w:rsidRPr="00C9343F">
        <w:t>    </w:t>
      </w:r>
      <w:r w:rsidR="00436414" w:rsidRPr="00C9343F">
        <w:t>Amount of special benefit</w:t>
      </w:r>
      <w:bookmarkEnd w:id="353"/>
    </w:p>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46D5F05A" w14:textId="77777777" w:rsidTr="005F44BC">
        <w:tc>
          <w:tcPr>
            <w:tcW w:w="992" w:type="dxa"/>
          </w:tcPr>
          <w:p w14:paraId="73A30CEC" w14:textId="32E0CD5E" w:rsidR="005F44BC" w:rsidRPr="00C9343F" w:rsidRDefault="004654DB" w:rsidP="00F66D98">
            <w:pPr>
              <w:pStyle w:val="BlockText-Plain"/>
              <w:jc w:val="center"/>
            </w:pPr>
            <w:r w:rsidRPr="00C9343F">
              <w:t>1.</w:t>
            </w:r>
          </w:p>
        </w:tc>
        <w:tc>
          <w:tcPr>
            <w:tcW w:w="8363" w:type="dxa"/>
            <w:gridSpan w:val="2"/>
          </w:tcPr>
          <w:p w14:paraId="5133AF39" w14:textId="77777777" w:rsidR="005F44BC" w:rsidRPr="00C9343F" w:rsidRDefault="00436414" w:rsidP="00F66D98">
            <w:pPr>
              <w:pStyle w:val="BlockText-Plain"/>
            </w:pPr>
            <w:r w:rsidRPr="00C9343F">
              <w:t>An eligible member may be paid the lesser of the following.</w:t>
            </w:r>
          </w:p>
        </w:tc>
      </w:tr>
      <w:tr w:rsidR="005F44BC" w:rsidRPr="00C9343F" w14:paraId="66CBF892" w14:textId="77777777" w:rsidTr="005F44BC">
        <w:trPr>
          <w:cantSplit/>
        </w:trPr>
        <w:tc>
          <w:tcPr>
            <w:tcW w:w="992" w:type="dxa"/>
          </w:tcPr>
          <w:p w14:paraId="187293F3" w14:textId="77777777" w:rsidR="005F44BC" w:rsidRPr="00C9343F" w:rsidRDefault="005F44BC" w:rsidP="00F66D98">
            <w:pPr>
              <w:pStyle w:val="BlockText-Plain"/>
            </w:pPr>
          </w:p>
        </w:tc>
        <w:tc>
          <w:tcPr>
            <w:tcW w:w="567" w:type="dxa"/>
          </w:tcPr>
          <w:p w14:paraId="7EA2904A" w14:textId="77777777" w:rsidR="005F44BC" w:rsidRPr="00C9343F" w:rsidRDefault="005F44BC" w:rsidP="007114B1">
            <w:pPr>
              <w:pStyle w:val="BlockText-Plain"/>
              <w:jc w:val="center"/>
            </w:pPr>
            <w:r w:rsidRPr="00C9343F">
              <w:t>a.</w:t>
            </w:r>
          </w:p>
        </w:tc>
        <w:tc>
          <w:tcPr>
            <w:tcW w:w="7796" w:type="dxa"/>
          </w:tcPr>
          <w:p w14:paraId="3D865DDF" w14:textId="77777777" w:rsidR="005F44BC" w:rsidRPr="00C9343F" w:rsidRDefault="00436414" w:rsidP="00F66D98">
            <w:pPr>
              <w:pStyle w:val="BlockText-Plain"/>
            </w:pPr>
            <w:r w:rsidRPr="00C9343F">
              <w:t>The sum described in items 1 and 2 of the following table less the amounts described in item 3.</w:t>
            </w:r>
          </w:p>
        </w:tc>
      </w:tr>
    </w:tbl>
    <w:p w14:paraId="3A0BDA99" w14:textId="77777777" w:rsidR="00436414" w:rsidRPr="00C9343F" w:rsidRDefault="00436414"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2976"/>
        <w:gridCol w:w="426"/>
        <w:gridCol w:w="4394"/>
      </w:tblGrid>
      <w:tr w:rsidR="00436414" w:rsidRPr="00C9343F" w14:paraId="552AA665" w14:textId="77777777" w:rsidTr="00D1351F">
        <w:trPr>
          <w:cantSpli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3CDE616" w14:textId="77777777" w:rsidR="00436414" w:rsidRPr="00C9343F" w:rsidRDefault="00436414" w:rsidP="00F66D98">
            <w:pPr>
              <w:pStyle w:val="TableHeaderArial"/>
            </w:pPr>
            <w:r w:rsidRPr="00C9343F">
              <w:t>Item</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3D00D746" w14:textId="77777777" w:rsidR="00436414" w:rsidRPr="00C9343F" w:rsidRDefault="00436414" w:rsidP="00F66D98">
            <w:pPr>
              <w:pStyle w:val="TableHeaderArial"/>
            </w:pPr>
            <w:r w:rsidRPr="00C9343F">
              <w:t>Description</w:t>
            </w: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tcPr>
          <w:p w14:paraId="644F66E1" w14:textId="77777777" w:rsidR="00436414" w:rsidRPr="00C9343F" w:rsidRDefault="00436414" w:rsidP="00F66D98">
            <w:pPr>
              <w:pStyle w:val="TableHeaderArial"/>
            </w:pPr>
            <w:r w:rsidRPr="00C9343F">
              <w:t>Amount</w:t>
            </w:r>
          </w:p>
        </w:tc>
      </w:tr>
      <w:tr w:rsidR="00436414" w:rsidRPr="00C9343F" w14:paraId="4601B11B" w14:textId="77777777" w:rsidTr="00D1351F">
        <w:trPr>
          <w:cantSplit/>
          <w:trHeight w:val="317"/>
        </w:trPr>
        <w:tc>
          <w:tcPr>
            <w:tcW w:w="567" w:type="dxa"/>
            <w:vMerge w:val="restart"/>
            <w:tcBorders>
              <w:top w:val="single" w:sz="6" w:space="0" w:color="auto"/>
              <w:left w:val="single" w:sz="6" w:space="0" w:color="auto"/>
              <w:bottom w:val="single" w:sz="6" w:space="0" w:color="auto"/>
              <w:right w:val="single" w:sz="6" w:space="0" w:color="auto"/>
            </w:tcBorders>
            <w:shd w:val="clear" w:color="auto" w:fill="auto"/>
          </w:tcPr>
          <w:p w14:paraId="603E56AB" w14:textId="77777777" w:rsidR="00436414" w:rsidRPr="00C9343F" w:rsidRDefault="00436414" w:rsidP="00F66D98">
            <w:pPr>
              <w:pStyle w:val="TableTextArial-left"/>
              <w:jc w:val="center"/>
            </w:pPr>
            <w:r w:rsidRPr="00C9343F">
              <w:t>1.</w:t>
            </w:r>
          </w:p>
        </w:tc>
        <w:tc>
          <w:tcPr>
            <w:tcW w:w="2976" w:type="dxa"/>
            <w:vMerge w:val="restart"/>
            <w:tcBorders>
              <w:top w:val="single" w:sz="6" w:space="0" w:color="auto"/>
              <w:left w:val="single" w:sz="6" w:space="0" w:color="auto"/>
              <w:bottom w:val="single" w:sz="6" w:space="0" w:color="auto"/>
              <w:right w:val="single" w:sz="6" w:space="0" w:color="auto"/>
            </w:tcBorders>
            <w:shd w:val="clear" w:color="auto" w:fill="auto"/>
          </w:tcPr>
          <w:p w14:paraId="528FC020" w14:textId="77777777" w:rsidR="00436414" w:rsidRPr="00C9343F" w:rsidRDefault="00436414" w:rsidP="00F66D98">
            <w:pPr>
              <w:pStyle w:val="TableTextArial-left"/>
              <w:spacing w:after="120"/>
            </w:pPr>
            <w:r w:rsidRPr="00C9343F">
              <w:t>ADF service, including earlier periods of ADF service.</w:t>
            </w:r>
          </w:p>
        </w:tc>
        <w:tc>
          <w:tcPr>
            <w:tcW w:w="4820" w:type="dxa"/>
            <w:gridSpan w:val="2"/>
            <w:tcBorders>
              <w:top w:val="single" w:sz="6" w:space="0" w:color="auto"/>
              <w:left w:val="single" w:sz="6" w:space="0" w:color="auto"/>
              <w:right w:val="single" w:sz="6" w:space="0" w:color="auto"/>
            </w:tcBorders>
            <w:shd w:val="clear" w:color="auto" w:fill="auto"/>
          </w:tcPr>
          <w:p w14:paraId="6FCA7BF1" w14:textId="77777777" w:rsidR="00436414" w:rsidRPr="00C9343F" w:rsidRDefault="00436414" w:rsidP="00F66D98">
            <w:pPr>
              <w:pStyle w:val="TableTextArial-left"/>
              <w:spacing w:after="120"/>
              <w:rPr>
                <w:color w:val="000000"/>
              </w:rPr>
            </w:pPr>
            <w:r w:rsidRPr="00C9343F">
              <w:rPr>
                <w:color w:val="000000"/>
              </w:rPr>
              <w:t>The sum of the following amounts.</w:t>
            </w:r>
          </w:p>
        </w:tc>
      </w:tr>
      <w:tr w:rsidR="00436414" w:rsidRPr="00C9343F" w14:paraId="5D6D7DF1" w14:textId="77777777" w:rsidTr="00D1351F">
        <w:trPr>
          <w:cantSplit/>
          <w:trHeight w:val="67"/>
        </w:trPr>
        <w:tc>
          <w:tcPr>
            <w:tcW w:w="567" w:type="dxa"/>
            <w:vMerge/>
            <w:tcBorders>
              <w:top w:val="single" w:sz="6" w:space="0" w:color="auto"/>
              <w:left w:val="single" w:sz="6" w:space="0" w:color="auto"/>
              <w:bottom w:val="single" w:sz="6" w:space="0" w:color="auto"/>
              <w:right w:val="single" w:sz="6" w:space="0" w:color="auto"/>
            </w:tcBorders>
            <w:shd w:val="clear" w:color="auto" w:fill="auto"/>
          </w:tcPr>
          <w:p w14:paraId="49F429A8" w14:textId="77777777" w:rsidR="00436414" w:rsidRPr="00C9343F" w:rsidRDefault="00436414" w:rsidP="00F66D98">
            <w:pPr>
              <w:pStyle w:val="TableTextArial-left"/>
              <w:jc w:val="center"/>
            </w:pPr>
          </w:p>
        </w:tc>
        <w:tc>
          <w:tcPr>
            <w:tcW w:w="2976" w:type="dxa"/>
            <w:vMerge/>
            <w:tcBorders>
              <w:top w:val="single" w:sz="6" w:space="0" w:color="auto"/>
              <w:left w:val="single" w:sz="6" w:space="0" w:color="auto"/>
              <w:bottom w:val="single" w:sz="6" w:space="0" w:color="auto"/>
              <w:right w:val="single" w:sz="6" w:space="0" w:color="auto"/>
            </w:tcBorders>
            <w:shd w:val="clear" w:color="auto" w:fill="auto"/>
          </w:tcPr>
          <w:p w14:paraId="36EEEB7F" w14:textId="77777777" w:rsidR="00436414" w:rsidRPr="00C9343F" w:rsidRDefault="00436414" w:rsidP="00F66D98">
            <w:pPr>
              <w:pStyle w:val="TableTextArial-left"/>
              <w:rPr>
                <w:color w:val="0000FF"/>
              </w:rPr>
            </w:pPr>
          </w:p>
        </w:tc>
        <w:tc>
          <w:tcPr>
            <w:tcW w:w="426" w:type="dxa"/>
            <w:tcBorders>
              <w:left w:val="single" w:sz="6" w:space="0" w:color="auto"/>
            </w:tcBorders>
            <w:shd w:val="clear" w:color="auto" w:fill="auto"/>
          </w:tcPr>
          <w:p w14:paraId="06CD3C56" w14:textId="77777777" w:rsidR="00436414" w:rsidRPr="00C9343F" w:rsidRDefault="00436414" w:rsidP="00F66D98">
            <w:pPr>
              <w:pStyle w:val="TableTextArial-left"/>
              <w:spacing w:after="200"/>
              <w:jc w:val="center"/>
              <w:rPr>
                <w:color w:val="000000"/>
              </w:rPr>
            </w:pPr>
            <w:r w:rsidRPr="00C9343F">
              <w:rPr>
                <w:color w:val="000000"/>
              </w:rPr>
              <w:t>a.</w:t>
            </w:r>
          </w:p>
        </w:tc>
        <w:tc>
          <w:tcPr>
            <w:tcW w:w="4394" w:type="dxa"/>
            <w:tcBorders>
              <w:right w:val="single" w:sz="6" w:space="0" w:color="auto"/>
            </w:tcBorders>
            <w:shd w:val="clear" w:color="auto" w:fill="auto"/>
          </w:tcPr>
          <w:p w14:paraId="0A905084" w14:textId="77777777" w:rsidR="00436414" w:rsidRPr="00C9343F" w:rsidRDefault="00436414" w:rsidP="00F66D98">
            <w:pPr>
              <w:pStyle w:val="BlockText-Plain"/>
              <w:spacing w:after="120"/>
              <w:rPr>
                <w:color w:val="000000"/>
              </w:rPr>
            </w:pPr>
            <w:r w:rsidRPr="00C9343F">
              <w:rPr>
                <w:color w:val="000000"/>
              </w:rPr>
              <w:t xml:space="preserve">A fortnight’s salary for each completed year of </w:t>
            </w:r>
            <w:r w:rsidRPr="00C9343F">
              <w:t>continuous full-time service in the ADF</w:t>
            </w:r>
            <w:r w:rsidRPr="00C9343F">
              <w:rPr>
                <w:color w:val="000000"/>
              </w:rPr>
              <w:t>.</w:t>
            </w:r>
          </w:p>
        </w:tc>
      </w:tr>
      <w:tr w:rsidR="00436414" w:rsidRPr="00C9343F" w14:paraId="1907C6AF" w14:textId="77777777" w:rsidTr="00D1351F">
        <w:trPr>
          <w:cantSplit/>
          <w:trHeight w:val="67"/>
        </w:trPr>
        <w:tc>
          <w:tcPr>
            <w:tcW w:w="567" w:type="dxa"/>
            <w:vMerge/>
            <w:tcBorders>
              <w:top w:val="single" w:sz="6" w:space="0" w:color="auto"/>
              <w:left w:val="single" w:sz="6" w:space="0" w:color="auto"/>
              <w:bottom w:val="single" w:sz="6" w:space="0" w:color="auto"/>
              <w:right w:val="single" w:sz="6" w:space="0" w:color="auto"/>
            </w:tcBorders>
            <w:shd w:val="clear" w:color="auto" w:fill="auto"/>
          </w:tcPr>
          <w:p w14:paraId="4C8563E9" w14:textId="77777777" w:rsidR="00436414" w:rsidRPr="00C9343F" w:rsidRDefault="00436414" w:rsidP="00F66D98">
            <w:pPr>
              <w:pStyle w:val="TableTextArial-left"/>
              <w:jc w:val="center"/>
            </w:pPr>
          </w:p>
        </w:tc>
        <w:tc>
          <w:tcPr>
            <w:tcW w:w="2976" w:type="dxa"/>
            <w:vMerge/>
            <w:tcBorders>
              <w:top w:val="single" w:sz="6" w:space="0" w:color="auto"/>
              <w:left w:val="single" w:sz="6" w:space="0" w:color="auto"/>
              <w:bottom w:val="single" w:sz="6" w:space="0" w:color="auto"/>
              <w:right w:val="single" w:sz="6" w:space="0" w:color="auto"/>
            </w:tcBorders>
            <w:shd w:val="clear" w:color="auto" w:fill="auto"/>
          </w:tcPr>
          <w:p w14:paraId="3456C7EC" w14:textId="77777777" w:rsidR="00436414" w:rsidRPr="00C9343F" w:rsidRDefault="00436414" w:rsidP="00F66D98">
            <w:pPr>
              <w:pStyle w:val="TableTextArial-left"/>
              <w:rPr>
                <w:color w:val="0000FF"/>
              </w:rPr>
            </w:pPr>
          </w:p>
        </w:tc>
        <w:tc>
          <w:tcPr>
            <w:tcW w:w="426" w:type="dxa"/>
            <w:tcBorders>
              <w:left w:val="single" w:sz="6" w:space="0" w:color="auto"/>
              <w:bottom w:val="single" w:sz="6" w:space="0" w:color="auto"/>
            </w:tcBorders>
            <w:shd w:val="clear" w:color="auto" w:fill="auto"/>
          </w:tcPr>
          <w:p w14:paraId="00408041" w14:textId="77777777" w:rsidR="00436414" w:rsidRPr="00C9343F" w:rsidRDefault="00436414" w:rsidP="00F66D98">
            <w:pPr>
              <w:pStyle w:val="TableTextArial-left"/>
              <w:spacing w:after="200"/>
              <w:jc w:val="center"/>
              <w:rPr>
                <w:color w:val="000000"/>
              </w:rPr>
            </w:pPr>
            <w:r w:rsidRPr="00C9343F">
              <w:rPr>
                <w:color w:val="000000"/>
              </w:rPr>
              <w:t>b.</w:t>
            </w:r>
          </w:p>
        </w:tc>
        <w:tc>
          <w:tcPr>
            <w:tcW w:w="4394" w:type="dxa"/>
            <w:tcBorders>
              <w:bottom w:val="single" w:sz="6" w:space="0" w:color="auto"/>
              <w:right w:val="single" w:sz="6" w:space="0" w:color="auto"/>
            </w:tcBorders>
            <w:shd w:val="clear" w:color="auto" w:fill="auto"/>
          </w:tcPr>
          <w:p w14:paraId="4584F715" w14:textId="77777777" w:rsidR="00436414" w:rsidRPr="00C9343F" w:rsidRDefault="00436414" w:rsidP="00F66D98">
            <w:pPr>
              <w:pStyle w:val="TableTextArial-left"/>
              <w:spacing w:after="120"/>
              <w:rPr>
                <w:color w:val="000000"/>
              </w:rPr>
            </w:pPr>
            <w:r w:rsidRPr="00C9343F">
              <w:rPr>
                <w:color w:val="000000"/>
              </w:rPr>
              <w:t xml:space="preserve">A pro rata payment for each part year of </w:t>
            </w:r>
            <w:r w:rsidRPr="00C9343F">
              <w:t xml:space="preserve">continuous full-time service </w:t>
            </w:r>
            <w:r w:rsidRPr="00C9343F">
              <w:rPr>
                <w:color w:val="000000"/>
              </w:rPr>
              <w:t>completed</w:t>
            </w:r>
            <w:r w:rsidRPr="00C9343F">
              <w:t xml:space="preserve"> in the ADF</w:t>
            </w:r>
            <w:r w:rsidRPr="00C9343F">
              <w:rPr>
                <w:color w:val="000000"/>
              </w:rPr>
              <w:t>.</w:t>
            </w:r>
          </w:p>
        </w:tc>
      </w:tr>
      <w:tr w:rsidR="00436414" w:rsidRPr="00C9343F" w14:paraId="7DC1D6D8" w14:textId="77777777" w:rsidTr="00D1351F">
        <w:trPr>
          <w:cantSplit/>
          <w:trHeight w:val="69"/>
        </w:trPr>
        <w:tc>
          <w:tcPr>
            <w:tcW w:w="567" w:type="dxa"/>
            <w:vMerge w:val="restart"/>
            <w:tcBorders>
              <w:top w:val="single" w:sz="6" w:space="0" w:color="auto"/>
              <w:left w:val="single" w:sz="6" w:space="0" w:color="auto"/>
              <w:bottom w:val="single" w:sz="6" w:space="0" w:color="auto"/>
              <w:right w:val="single" w:sz="6" w:space="0" w:color="auto"/>
            </w:tcBorders>
            <w:shd w:val="clear" w:color="auto" w:fill="auto"/>
          </w:tcPr>
          <w:p w14:paraId="5A5DF892" w14:textId="77777777" w:rsidR="00436414" w:rsidRPr="00C9343F" w:rsidRDefault="00436414" w:rsidP="00F66D98">
            <w:pPr>
              <w:pStyle w:val="TableTextArial-left"/>
              <w:jc w:val="center"/>
            </w:pPr>
            <w:r w:rsidRPr="00C9343F">
              <w:t>2.</w:t>
            </w:r>
          </w:p>
        </w:tc>
        <w:tc>
          <w:tcPr>
            <w:tcW w:w="2976" w:type="dxa"/>
            <w:vMerge w:val="restart"/>
            <w:tcBorders>
              <w:top w:val="single" w:sz="6" w:space="0" w:color="auto"/>
              <w:left w:val="single" w:sz="6" w:space="0" w:color="auto"/>
              <w:bottom w:val="single" w:sz="6" w:space="0" w:color="auto"/>
              <w:right w:val="single" w:sz="6" w:space="0" w:color="auto"/>
            </w:tcBorders>
            <w:shd w:val="clear" w:color="auto" w:fill="auto"/>
          </w:tcPr>
          <w:p w14:paraId="7C501C00" w14:textId="28C925CA" w:rsidR="00436414" w:rsidRPr="00C9343F" w:rsidRDefault="00436414" w:rsidP="00F66D98">
            <w:pPr>
              <w:pStyle w:val="TableTextArial-left"/>
              <w:spacing w:after="120"/>
              <w:rPr>
                <w:b/>
              </w:rPr>
            </w:pPr>
            <w:r w:rsidRPr="00C9343F">
              <w:t>Prior non-ADF service recognised for long service leave.</w:t>
            </w:r>
            <w:r w:rsidRPr="00C9343F">
              <w:rPr>
                <w:b/>
              </w:rPr>
              <w:t xml:space="preserve"> </w:t>
            </w:r>
          </w:p>
        </w:tc>
        <w:tc>
          <w:tcPr>
            <w:tcW w:w="4820" w:type="dxa"/>
            <w:gridSpan w:val="2"/>
            <w:tcBorders>
              <w:top w:val="single" w:sz="6" w:space="0" w:color="auto"/>
              <w:left w:val="single" w:sz="6" w:space="0" w:color="auto"/>
              <w:right w:val="single" w:sz="6" w:space="0" w:color="auto"/>
            </w:tcBorders>
            <w:shd w:val="clear" w:color="auto" w:fill="auto"/>
          </w:tcPr>
          <w:p w14:paraId="284F1ABF" w14:textId="77777777" w:rsidR="00436414" w:rsidRPr="00C9343F" w:rsidRDefault="00436414" w:rsidP="00F66D98">
            <w:pPr>
              <w:pStyle w:val="TableTextArial-left"/>
              <w:spacing w:after="120"/>
            </w:pPr>
            <w:r w:rsidRPr="00C9343F">
              <w:t>The sum of the following amounts.</w:t>
            </w:r>
          </w:p>
        </w:tc>
      </w:tr>
      <w:tr w:rsidR="00436414" w:rsidRPr="00C9343F" w14:paraId="67FEDB8D" w14:textId="77777777" w:rsidTr="00D1351F">
        <w:trPr>
          <w:cantSplit/>
          <w:trHeight w:val="67"/>
        </w:trPr>
        <w:tc>
          <w:tcPr>
            <w:tcW w:w="567" w:type="dxa"/>
            <w:vMerge/>
            <w:tcBorders>
              <w:top w:val="single" w:sz="6" w:space="0" w:color="auto"/>
              <w:left w:val="single" w:sz="6" w:space="0" w:color="auto"/>
              <w:bottom w:val="single" w:sz="6" w:space="0" w:color="auto"/>
              <w:right w:val="single" w:sz="6" w:space="0" w:color="auto"/>
            </w:tcBorders>
            <w:shd w:val="clear" w:color="auto" w:fill="auto"/>
          </w:tcPr>
          <w:p w14:paraId="105C04EC" w14:textId="77777777" w:rsidR="00436414" w:rsidRPr="00C9343F" w:rsidRDefault="00436414" w:rsidP="00F66D98">
            <w:pPr>
              <w:pStyle w:val="TableTextArial-left"/>
              <w:jc w:val="center"/>
            </w:pPr>
          </w:p>
        </w:tc>
        <w:tc>
          <w:tcPr>
            <w:tcW w:w="2976" w:type="dxa"/>
            <w:vMerge/>
            <w:tcBorders>
              <w:top w:val="single" w:sz="6" w:space="0" w:color="auto"/>
              <w:left w:val="single" w:sz="6" w:space="0" w:color="auto"/>
              <w:bottom w:val="single" w:sz="6" w:space="0" w:color="auto"/>
              <w:right w:val="single" w:sz="6" w:space="0" w:color="auto"/>
            </w:tcBorders>
            <w:shd w:val="clear" w:color="auto" w:fill="auto"/>
          </w:tcPr>
          <w:p w14:paraId="35358D4E" w14:textId="77777777" w:rsidR="00436414" w:rsidRPr="00C9343F" w:rsidRDefault="00436414" w:rsidP="00F66D98">
            <w:pPr>
              <w:pStyle w:val="TableTextArial-left"/>
            </w:pPr>
          </w:p>
        </w:tc>
        <w:tc>
          <w:tcPr>
            <w:tcW w:w="426" w:type="dxa"/>
            <w:tcBorders>
              <w:left w:val="single" w:sz="6" w:space="0" w:color="auto"/>
            </w:tcBorders>
            <w:shd w:val="clear" w:color="auto" w:fill="auto"/>
          </w:tcPr>
          <w:p w14:paraId="627AAC52" w14:textId="77777777" w:rsidR="00436414" w:rsidRPr="00C9343F" w:rsidRDefault="00436414" w:rsidP="00F66D98">
            <w:pPr>
              <w:pStyle w:val="TableTextArial-left"/>
              <w:spacing w:afterLines="200" w:after="480"/>
              <w:jc w:val="center"/>
            </w:pPr>
            <w:r w:rsidRPr="00C9343F">
              <w:t>a.</w:t>
            </w:r>
          </w:p>
        </w:tc>
        <w:tc>
          <w:tcPr>
            <w:tcW w:w="4394" w:type="dxa"/>
            <w:tcBorders>
              <w:right w:val="single" w:sz="6" w:space="0" w:color="auto"/>
            </w:tcBorders>
            <w:shd w:val="clear" w:color="auto" w:fill="auto"/>
          </w:tcPr>
          <w:p w14:paraId="1731AE77" w14:textId="77777777" w:rsidR="00436414" w:rsidRPr="00C9343F" w:rsidRDefault="00436414" w:rsidP="00F66D98">
            <w:pPr>
              <w:pStyle w:val="BlockText-Plain"/>
              <w:spacing w:after="120"/>
            </w:pPr>
            <w:r w:rsidRPr="00C9343F">
              <w:t>A fortnight’s salary for each completed year of prior service that is recognised for long service leave.</w:t>
            </w:r>
          </w:p>
        </w:tc>
      </w:tr>
      <w:tr w:rsidR="00436414" w:rsidRPr="00C9343F" w14:paraId="2E100D8D" w14:textId="77777777" w:rsidTr="00D1351F">
        <w:trPr>
          <w:cantSplit/>
          <w:trHeight w:val="67"/>
        </w:trPr>
        <w:tc>
          <w:tcPr>
            <w:tcW w:w="567" w:type="dxa"/>
            <w:vMerge/>
            <w:tcBorders>
              <w:top w:val="single" w:sz="6" w:space="0" w:color="auto"/>
              <w:left w:val="single" w:sz="6" w:space="0" w:color="auto"/>
              <w:bottom w:val="single" w:sz="6" w:space="0" w:color="auto"/>
              <w:right w:val="single" w:sz="6" w:space="0" w:color="auto"/>
            </w:tcBorders>
            <w:shd w:val="clear" w:color="auto" w:fill="auto"/>
          </w:tcPr>
          <w:p w14:paraId="3739A5A3" w14:textId="77777777" w:rsidR="00436414" w:rsidRPr="00C9343F" w:rsidRDefault="00436414" w:rsidP="00F66D98">
            <w:pPr>
              <w:pStyle w:val="TableTextArial-left"/>
              <w:jc w:val="center"/>
            </w:pPr>
          </w:p>
        </w:tc>
        <w:tc>
          <w:tcPr>
            <w:tcW w:w="2976" w:type="dxa"/>
            <w:vMerge/>
            <w:tcBorders>
              <w:top w:val="single" w:sz="6" w:space="0" w:color="auto"/>
              <w:left w:val="single" w:sz="6" w:space="0" w:color="auto"/>
              <w:bottom w:val="single" w:sz="6" w:space="0" w:color="auto"/>
              <w:right w:val="single" w:sz="6" w:space="0" w:color="auto"/>
            </w:tcBorders>
            <w:shd w:val="clear" w:color="auto" w:fill="auto"/>
          </w:tcPr>
          <w:p w14:paraId="399429E5" w14:textId="77777777" w:rsidR="00436414" w:rsidRPr="00C9343F" w:rsidRDefault="00436414" w:rsidP="00F66D98">
            <w:pPr>
              <w:pStyle w:val="TableTextArial-left"/>
              <w:rPr>
                <w:color w:val="0000FF"/>
              </w:rPr>
            </w:pPr>
          </w:p>
        </w:tc>
        <w:tc>
          <w:tcPr>
            <w:tcW w:w="426" w:type="dxa"/>
            <w:tcBorders>
              <w:left w:val="single" w:sz="6" w:space="0" w:color="auto"/>
              <w:bottom w:val="single" w:sz="6" w:space="0" w:color="auto"/>
            </w:tcBorders>
            <w:shd w:val="clear" w:color="auto" w:fill="auto"/>
          </w:tcPr>
          <w:p w14:paraId="0417FB34" w14:textId="77777777" w:rsidR="00436414" w:rsidRPr="00C9343F" w:rsidRDefault="00436414" w:rsidP="00F66D98">
            <w:pPr>
              <w:pStyle w:val="TableTextArial-left"/>
              <w:spacing w:afterLines="200" w:after="480"/>
              <w:jc w:val="center"/>
              <w:rPr>
                <w:color w:val="000000"/>
              </w:rPr>
            </w:pPr>
            <w:r w:rsidRPr="00C9343F">
              <w:rPr>
                <w:color w:val="000000"/>
              </w:rPr>
              <w:t>b.</w:t>
            </w:r>
          </w:p>
        </w:tc>
        <w:tc>
          <w:tcPr>
            <w:tcW w:w="4394" w:type="dxa"/>
            <w:tcBorders>
              <w:bottom w:val="single" w:sz="6" w:space="0" w:color="auto"/>
              <w:right w:val="single" w:sz="6" w:space="0" w:color="auto"/>
            </w:tcBorders>
            <w:shd w:val="clear" w:color="auto" w:fill="auto"/>
          </w:tcPr>
          <w:p w14:paraId="270CB888" w14:textId="77777777" w:rsidR="00436414" w:rsidRPr="00C9343F" w:rsidRDefault="00436414" w:rsidP="00F66D98">
            <w:pPr>
              <w:pStyle w:val="TableTextArial-left"/>
              <w:spacing w:after="120"/>
              <w:rPr>
                <w:color w:val="000000"/>
              </w:rPr>
            </w:pPr>
            <w:r w:rsidRPr="00C9343F">
              <w:rPr>
                <w:color w:val="000000"/>
              </w:rPr>
              <w:t>A pro rata payment for each part year of prior service completed that is recognised for long service leave.</w:t>
            </w:r>
          </w:p>
        </w:tc>
      </w:tr>
      <w:tr w:rsidR="00436414" w:rsidRPr="00C9343F" w14:paraId="2AD26E17" w14:textId="77777777" w:rsidTr="00D1351F">
        <w:trPr>
          <w:cantSplit/>
          <w:trHeight w:val="67"/>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8E4B363" w14:textId="77777777" w:rsidR="00436414" w:rsidRPr="00C9343F" w:rsidRDefault="00436414" w:rsidP="00F66D98">
            <w:pPr>
              <w:pStyle w:val="TableTextArial-left"/>
              <w:jc w:val="center"/>
            </w:pPr>
            <w:r w:rsidRPr="00C9343F">
              <w:t>3.</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38C2BCA6" w14:textId="77777777" w:rsidR="00436414" w:rsidRPr="00C9343F" w:rsidRDefault="00436414" w:rsidP="00F66D98">
            <w:pPr>
              <w:pStyle w:val="TableTextArial-left"/>
            </w:pPr>
            <w:r w:rsidRPr="00C9343F">
              <w:t>Prior payments for redundancy or retirement.</w:t>
            </w: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tcPr>
          <w:p w14:paraId="21CC046C" w14:textId="77777777" w:rsidR="00436414" w:rsidRPr="00C9343F" w:rsidRDefault="00436414" w:rsidP="00F66D98">
            <w:pPr>
              <w:pStyle w:val="TableTextArial-left"/>
              <w:spacing w:after="120"/>
              <w:rPr>
                <w:color w:val="000000"/>
              </w:rPr>
            </w:pPr>
            <w:r w:rsidRPr="00C9343F">
              <w:rPr>
                <w:color w:val="000000"/>
              </w:rPr>
              <w:t xml:space="preserve">Any payments made by the </w:t>
            </w:r>
            <w:r w:rsidRPr="00C9343F">
              <w:rPr>
                <w:rFonts w:cs="Arial"/>
                <w:szCs w:val="22"/>
              </w:rPr>
              <w:t>Commonwealth or any employer of a special benefit, redundancy payment, or management initiated early retirement benefit, however described.</w:t>
            </w:r>
          </w:p>
        </w:tc>
      </w:tr>
    </w:tbl>
    <w:p w14:paraId="65D62D70" w14:textId="77777777" w:rsidR="00436414" w:rsidRPr="00C9343F" w:rsidRDefault="00436414" w:rsidP="00F66D98"/>
    <w:tbl>
      <w:tblPr>
        <w:tblW w:w="9355" w:type="dxa"/>
        <w:tblInd w:w="113" w:type="dxa"/>
        <w:tblLayout w:type="fixed"/>
        <w:tblLook w:val="0000" w:firstRow="0" w:lastRow="0" w:firstColumn="0" w:lastColumn="0" w:noHBand="0" w:noVBand="0"/>
      </w:tblPr>
      <w:tblGrid>
        <w:gridCol w:w="992"/>
        <w:gridCol w:w="567"/>
        <w:gridCol w:w="7796"/>
      </w:tblGrid>
      <w:tr w:rsidR="005F44BC" w:rsidRPr="00C9343F" w14:paraId="5C196E4E" w14:textId="77777777" w:rsidTr="004E5563">
        <w:trPr>
          <w:cantSplit/>
        </w:trPr>
        <w:tc>
          <w:tcPr>
            <w:tcW w:w="992" w:type="dxa"/>
          </w:tcPr>
          <w:p w14:paraId="649A0DA8" w14:textId="77777777" w:rsidR="005F44BC" w:rsidRPr="00C9343F" w:rsidRDefault="005F44BC" w:rsidP="00F66D98">
            <w:pPr>
              <w:pStyle w:val="BlockText-Plain"/>
            </w:pPr>
          </w:p>
        </w:tc>
        <w:tc>
          <w:tcPr>
            <w:tcW w:w="567" w:type="dxa"/>
          </w:tcPr>
          <w:p w14:paraId="050ADC6C" w14:textId="77777777" w:rsidR="005F44BC" w:rsidRPr="00C9343F" w:rsidRDefault="005F44BC" w:rsidP="007114B1">
            <w:pPr>
              <w:pStyle w:val="BlockText-Plain"/>
              <w:jc w:val="center"/>
            </w:pPr>
            <w:r w:rsidRPr="00C9343F">
              <w:t>b.</w:t>
            </w:r>
          </w:p>
        </w:tc>
        <w:tc>
          <w:tcPr>
            <w:tcW w:w="7796" w:type="dxa"/>
          </w:tcPr>
          <w:p w14:paraId="0CB6CE6A" w14:textId="77777777" w:rsidR="005F44BC" w:rsidRPr="00C9343F" w:rsidRDefault="00436414" w:rsidP="00F66D98">
            <w:pPr>
              <w:pStyle w:val="BlockText-Plain"/>
            </w:pPr>
            <w:r w:rsidRPr="00C9343F">
              <w:t>48 weeks salary.</w:t>
            </w:r>
          </w:p>
        </w:tc>
      </w:tr>
    </w:tbl>
    <w:p w14:paraId="71DC1766" w14:textId="083B9BD1" w:rsidR="005F44BC" w:rsidRPr="00C9343F" w:rsidRDefault="005F44BC" w:rsidP="00F66D98">
      <w:pPr>
        <w:pStyle w:val="Heading5"/>
      </w:pPr>
      <w:bookmarkStart w:id="354" w:name="_Toc105053657"/>
      <w:r w:rsidRPr="00C9343F">
        <w:t>2.3.25</w:t>
      </w:r>
      <w:r w:rsidR="00D94006" w:rsidRPr="00C9343F">
        <w:t>    </w:t>
      </w:r>
      <w:r w:rsidRPr="00C9343F">
        <w:t>Repayment of special benefit</w:t>
      </w:r>
      <w:bookmarkEnd w:id="354"/>
    </w:p>
    <w:tbl>
      <w:tblPr>
        <w:tblW w:w="0" w:type="auto"/>
        <w:tblInd w:w="113" w:type="dxa"/>
        <w:tblLayout w:type="fixed"/>
        <w:tblLook w:val="0000" w:firstRow="0" w:lastRow="0" w:firstColumn="0" w:lastColumn="0" w:noHBand="0" w:noVBand="0"/>
      </w:tblPr>
      <w:tblGrid>
        <w:gridCol w:w="992"/>
        <w:gridCol w:w="8363"/>
      </w:tblGrid>
      <w:tr w:rsidR="005F44BC" w:rsidRPr="00C9343F" w14:paraId="3D496B67" w14:textId="77777777" w:rsidTr="005F44BC">
        <w:tc>
          <w:tcPr>
            <w:tcW w:w="992" w:type="dxa"/>
          </w:tcPr>
          <w:p w14:paraId="237A98B8" w14:textId="77777777" w:rsidR="005F44BC" w:rsidRPr="00C9343F" w:rsidRDefault="005F44BC" w:rsidP="00F66D98">
            <w:pPr>
              <w:pStyle w:val="BlockText-Plain"/>
              <w:jc w:val="center"/>
            </w:pPr>
          </w:p>
        </w:tc>
        <w:tc>
          <w:tcPr>
            <w:tcW w:w="8363" w:type="dxa"/>
          </w:tcPr>
          <w:p w14:paraId="31419DA4" w14:textId="5D63F828" w:rsidR="005F44BC" w:rsidRPr="00C9343F" w:rsidRDefault="00436414" w:rsidP="00492F3A">
            <w:pPr>
              <w:pStyle w:val="BlockText-Plain"/>
            </w:pPr>
            <w:r w:rsidRPr="00C9343F">
              <w:t>The member must repay any amount paid under this Division, if they begin a period of continuous full-time service (as a member of the Reserves or Permanent Forces) within one year of receiving a payment under this Division.</w:t>
            </w:r>
          </w:p>
        </w:tc>
      </w:tr>
    </w:tbl>
    <w:p w14:paraId="44AA2B8E" w14:textId="77777777" w:rsidR="005F44BC" w:rsidRPr="00C9343F" w:rsidRDefault="005F44BC" w:rsidP="00F66D98"/>
    <w:p w14:paraId="4F55B7F5" w14:textId="77BF6CAB" w:rsidR="005F44BC" w:rsidRPr="00C9343F" w:rsidRDefault="005F44BC" w:rsidP="00F66D98">
      <w:pPr>
        <w:pStyle w:val="Heading4"/>
        <w:pageBreakBefore/>
      </w:pPr>
      <w:bookmarkStart w:id="355" w:name="_Toc105053658"/>
      <w:r w:rsidRPr="00C9343F">
        <w:lastRenderedPageBreak/>
        <w:t>Division 4: Additional transition period</w:t>
      </w:r>
      <w:bookmarkEnd w:id="355"/>
    </w:p>
    <w:p w14:paraId="267F15E3" w14:textId="5D9C0A36" w:rsidR="005F44BC" w:rsidRPr="00C9343F" w:rsidRDefault="005F44BC" w:rsidP="00F66D98">
      <w:pPr>
        <w:pStyle w:val="Heading5"/>
      </w:pPr>
      <w:bookmarkStart w:id="356" w:name="_Toc105053659"/>
      <w:r w:rsidRPr="00C9343F">
        <w:t>2.3.26</w:t>
      </w:r>
      <w:r w:rsidR="00D94006" w:rsidRPr="00C9343F">
        <w:t>    </w:t>
      </w:r>
      <w:r w:rsidRPr="00C9343F">
        <w:t>Additional transition period</w:t>
      </w:r>
      <w:bookmarkEnd w:id="356"/>
    </w:p>
    <w:tbl>
      <w:tblPr>
        <w:tblW w:w="0" w:type="auto"/>
        <w:tblInd w:w="113" w:type="dxa"/>
        <w:tblLayout w:type="fixed"/>
        <w:tblLook w:val="0000" w:firstRow="0" w:lastRow="0" w:firstColumn="0" w:lastColumn="0" w:noHBand="0" w:noVBand="0"/>
      </w:tblPr>
      <w:tblGrid>
        <w:gridCol w:w="992"/>
        <w:gridCol w:w="567"/>
        <w:gridCol w:w="7800"/>
      </w:tblGrid>
      <w:tr w:rsidR="005F44BC" w:rsidRPr="00C9343F" w14:paraId="74E33210" w14:textId="77777777" w:rsidTr="005F44BC">
        <w:tc>
          <w:tcPr>
            <w:tcW w:w="992" w:type="dxa"/>
          </w:tcPr>
          <w:p w14:paraId="74775DCF" w14:textId="77777777" w:rsidR="005F44BC" w:rsidRPr="00C9343F" w:rsidRDefault="005F44BC" w:rsidP="00F66D98">
            <w:pPr>
              <w:pStyle w:val="BlockText-Plain"/>
              <w:jc w:val="center"/>
            </w:pPr>
            <w:r w:rsidRPr="00C9343F">
              <w:t>1.</w:t>
            </w:r>
          </w:p>
        </w:tc>
        <w:tc>
          <w:tcPr>
            <w:tcW w:w="8367" w:type="dxa"/>
            <w:gridSpan w:val="2"/>
          </w:tcPr>
          <w:p w14:paraId="2256BED2" w14:textId="77777777" w:rsidR="005F44BC" w:rsidRPr="00C9343F" w:rsidRDefault="005F44BC" w:rsidP="00F66D98">
            <w:pPr>
              <w:pStyle w:val="BlockText-Plain"/>
            </w:pPr>
            <w:r w:rsidRPr="00C9343F">
              <w:t>The CDF or a Service Chief may approve payment of certain benefits to a former member for a period, having regard to the following considerations.</w:t>
            </w:r>
          </w:p>
        </w:tc>
      </w:tr>
      <w:tr w:rsidR="005F44BC" w:rsidRPr="00C9343F" w14:paraId="6865FCF8" w14:textId="77777777" w:rsidTr="005F44BC">
        <w:trPr>
          <w:cantSplit/>
        </w:trPr>
        <w:tc>
          <w:tcPr>
            <w:tcW w:w="992" w:type="dxa"/>
          </w:tcPr>
          <w:p w14:paraId="4B047D5B" w14:textId="77777777" w:rsidR="005F44BC" w:rsidRPr="00C9343F" w:rsidRDefault="005F44BC" w:rsidP="00F66D98">
            <w:pPr>
              <w:pStyle w:val="BlockText-Plain"/>
            </w:pPr>
          </w:p>
        </w:tc>
        <w:tc>
          <w:tcPr>
            <w:tcW w:w="567" w:type="dxa"/>
          </w:tcPr>
          <w:p w14:paraId="0649FB7B" w14:textId="77777777" w:rsidR="005F44BC" w:rsidRPr="00C9343F" w:rsidRDefault="005F44BC" w:rsidP="007114B1">
            <w:pPr>
              <w:pStyle w:val="BlockText-Plain"/>
              <w:jc w:val="center"/>
            </w:pPr>
            <w:r w:rsidRPr="00C9343F">
              <w:t>a.</w:t>
            </w:r>
          </w:p>
        </w:tc>
        <w:tc>
          <w:tcPr>
            <w:tcW w:w="7800" w:type="dxa"/>
          </w:tcPr>
          <w:p w14:paraId="5F4154FB" w14:textId="77777777" w:rsidR="005F44BC" w:rsidRPr="00C9343F" w:rsidRDefault="005F44BC" w:rsidP="00F66D98">
            <w:pPr>
              <w:pStyle w:val="BlockText-Plain"/>
            </w:pPr>
            <w:r w:rsidRPr="00C9343F">
              <w:t xml:space="preserve">Whether the period is necessary to provide the member with a reasonable period of transition assistance to adjust to the end of their </w:t>
            </w:r>
            <w:r w:rsidR="00E2213A" w:rsidRPr="00C9343F">
              <w:t>career in the Permanent Forces</w:t>
            </w:r>
            <w:r w:rsidRPr="00C9343F">
              <w:t>.</w:t>
            </w:r>
          </w:p>
        </w:tc>
      </w:tr>
      <w:tr w:rsidR="005F44BC" w:rsidRPr="00C9343F" w14:paraId="03AB8832" w14:textId="77777777" w:rsidTr="005F44BC">
        <w:trPr>
          <w:cantSplit/>
        </w:trPr>
        <w:tc>
          <w:tcPr>
            <w:tcW w:w="992" w:type="dxa"/>
          </w:tcPr>
          <w:p w14:paraId="2BA6A37E" w14:textId="77777777" w:rsidR="005F44BC" w:rsidRPr="00C9343F" w:rsidRDefault="005F44BC" w:rsidP="00F66D98">
            <w:pPr>
              <w:pStyle w:val="BlockText-Plain"/>
            </w:pPr>
          </w:p>
        </w:tc>
        <w:tc>
          <w:tcPr>
            <w:tcW w:w="567" w:type="dxa"/>
          </w:tcPr>
          <w:p w14:paraId="32DAD3BE" w14:textId="77777777" w:rsidR="005F44BC" w:rsidRPr="00C9343F" w:rsidRDefault="005F44BC" w:rsidP="007114B1">
            <w:pPr>
              <w:pStyle w:val="BlockText-Plain"/>
              <w:jc w:val="center"/>
            </w:pPr>
            <w:r w:rsidRPr="00C9343F">
              <w:t>b.</w:t>
            </w:r>
          </w:p>
        </w:tc>
        <w:tc>
          <w:tcPr>
            <w:tcW w:w="7800" w:type="dxa"/>
          </w:tcPr>
          <w:p w14:paraId="0FF9F7FE" w14:textId="77777777" w:rsidR="005F44BC" w:rsidRPr="00C9343F" w:rsidRDefault="005F44BC" w:rsidP="00F66D98">
            <w:pPr>
              <w:pStyle w:val="BlockText-Plain"/>
            </w:pPr>
            <w:r w:rsidRPr="00C9343F">
              <w:t>The period for which the benefits are usually made available to a member ceasing service on the same grounds as the former member.</w:t>
            </w:r>
          </w:p>
        </w:tc>
      </w:tr>
      <w:tr w:rsidR="005F44BC" w:rsidRPr="00C9343F" w14:paraId="7B5C2EE5" w14:textId="77777777" w:rsidTr="005F44BC">
        <w:tc>
          <w:tcPr>
            <w:tcW w:w="992" w:type="dxa"/>
          </w:tcPr>
          <w:p w14:paraId="66948D20" w14:textId="77777777" w:rsidR="005F44BC" w:rsidRPr="00C9343F" w:rsidRDefault="005F44BC" w:rsidP="00F66D98">
            <w:pPr>
              <w:pStyle w:val="BlockText-Plain"/>
              <w:jc w:val="center"/>
            </w:pPr>
            <w:r w:rsidRPr="00C9343F">
              <w:t>2.</w:t>
            </w:r>
          </w:p>
        </w:tc>
        <w:tc>
          <w:tcPr>
            <w:tcW w:w="8367" w:type="dxa"/>
            <w:gridSpan w:val="2"/>
          </w:tcPr>
          <w:p w14:paraId="6BF6EFD8" w14:textId="77777777" w:rsidR="005F44BC" w:rsidRPr="00C9343F" w:rsidRDefault="005F44BC" w:rsidP="00F66D98">
            <w:pPr>
              <w:pStyle w:val="BlockText-Plain"/>
            </w:pPr>
            <w:r w:rsidRPr="00C9343F">
              <w:t xml:space="preserve">Approval under subsection 1 may extend for a period of up to four months and is taken to start from the day that the member ceases service in the </w:t>
            </w:r>
            <w:r w:rsidR="005060F8" w:rsidRPr="00C9343F">
              <w:t>Permanent Forces.</w:t>
            </w:r>
          </w:p>
        </w:tc>
      </w:tr>
    </w:tbl>
    <w:p w14:paraId="1A800A18" w14:textId="5DB7E6AD" w:rsidR="005F44BC" w:rsidRPr="00C9343F" w:rsidRDefault="005F44BC" w:rsidP="00F66D98">
      <w:pPr>
        <w:pStyle w:val="Heading5"/>
      </w:pPr>
      <w:bookmarkStart w:id="357" w:name="_Toc105053660"/>
      <w:r w:rsidRPr="00C9343F">
        <w:t>2.3.27</w:t>
      </w:r>
      <w:r w:rsidR="00D94006" w:rsidRPr="00C9343F">
        <w:t>    </w:t>
      </w:r>
      <w:r w:rsidRPr="00C9343F">
        <w:t>Benefits during additional transition</w:t>
      </w:r>
      <w:bookmarkEnd w:id="357"/>
    </w:p>
    <w:tbl>
      <w:tblPr>
        <w:tblW w:w="9359" w:type="dxa"/>
        <w:tblInd w:w="113" w:type="dxa"/>
        <w:tblLayout w:type="fixed"/>
        <w:tblLook w:val="0000" w:firstRow="0" w:lastRow="0" w:firstColumn="0" w:lastColumn="0" w:noHBand="0" w:noVBand="0"/>
      </w:tblPr>
      <w:tblGrid>
        <w:gridCol w:w="992"/>
        <w:gridCol w:w="567"/>
        <w:gridCol w:w="7800"/>
      </w:tblGrid>
      <w:tr w:rsidR="005F44BC" w:rsidRPr="00C9343F" w14:paraId="19B4F9C4" w14:textId="77777777" w:rsidTr="00277260">
        <w:tc>
          <w:tcPr>
            <w:tcW w:w="992" w:type="dxa"/>
          </w:tcPr>
          <w:p w14:paraId="3D0FFAC8" w14:textId="77777777" w:rsidR="005F44BC" w:rsidRPr="00C9343F" w:rsidRDefault="005F44BC" w:rsidP="00F66D98">
            <w:pPr>
              <w:pStyle w:val="BlockText-Plain"/>
              <w:jc w:val="center"/>
            </w:pPr>
            <w:r w:rsidRPr="00C9343F">
              <w:t>1.</w:t>
            </w:r>
          </w:p>
        </w:tc>
        <w:tc>
          <w:tcPr>
            <w:tcW w:w="8367" w:type="dxa"/>
            <w:gridSpan w:val="2"/>
          </w:tcPr>
          <w:p w14:paraId="2914B01C" w14:textId="77777777" w:rsidR="005F44BC" w:rsidRPr="00C9343F" w:rsidRDefault="005F44BC" w:rsidP="00F66D98">
            <w:pPr>
              <w:pStyle w:val="BlockText-Plain"/>
            </w:pPr>
            <w:r w:rsidRPr="00C9343F">
              <w:t>Benefits approved during an additional transition period may include any of the following.</w:t>
            </w:r>
          </w:p>
        </w:tc>
      </w:tr>
      <w:tr w:rsidR="005F44BC" w:rsidRPr="00C9343F" w14:paraId="71820513" w14:textId="77777777" w:rsidTr="00277260">
        <w:trPr>
          <w:cantSplit/>
        </w:trPr>
        <w:tc>
          <w:tcPr>
            <w:tcW w:w="992" w:type="dxa"/>
          </w:tcPr>
          <w:p w14:paraId="4EDE94A4" w14:textId="77777777" w:rsidR="005F44BC" w:rsidRPr="00C9343F" w:rsidRDefault="005F44BC" w:rsidP="00F66D98">
            <w:pPr>
              <w:pStyle w:val="BlockText-Plain"/>
            </w:pPr>
          </w:p>
        </w:tc>
        <w:tc>
          <w:tcPr>
            <w:tcW w:w="567" w:type="dxa"/>
          </w:tcPr>
          <w:p w14:paraId="4BF93982" w14:textId="77777777" w:rsidR="005F44BC" w:rsidRPr="00C9343F" w:rsidRDefault="005F44BC" w:rsidP="007114B1">
            <w:pPr>
              <w:pStyle w:val="BlockText-Plain"/>
              <w:jc w:val="center"/>
            </w:pPr>
            <w:r w:rsidRPr="00C9343F">
              <w:t>a.</w:t>
            </w:r>
          </w:p>
        </w:tc>
        <w:tc>
          <w:tcPr>
            <w:tcW w:w="7800" w:type="dxa"/>
          </w:tcPr>
          <w:p w14:paraId="33201994" w14:textId="292C2697" w:rsidR="005F44BC" w:rsidRPr="00C9343F" w:rsidRDefault="00277260" w:rsidP="00F66D98">
            <w:pPr>
              <w:pStyle w:val="BlockText-Plain"/>
            </w:pPr>
            <w:r w:rsidRPr="00C9343F">
              <w:rPr>
                <w:rFonts w:cs="Arial"/>
                <w:lang w:eastAsia="en-US"/>
              </w:rPr>
              <w:t>Benefits under Chapter 2 Part 2 for career transition.</w:t>
            </w:r>
          </w:p>
        </w:tc>
      </w:tr>
      <w:tr w:rsidR="005F44BC" w:rsidRPr="00C9343F" w14:paraId="22C4F844" w14:textId="77777777" w:rsidTr="00277260">
        <w:trPr>
          <w:cantSplit/>
        </w:trPr>
        <w:tc>
          <w:tcPr>
            <w:tcW w:w="992" w:type="dxa"/>
          </w:tcPr>
          <w:p w14:paraId="7EBE33E0" w14:textId="77777777" w:rsidR="005F44BC" w:rsidRPr="00C9343F" w:rsidRDefault="005F44BC" w:rsidP="00F66D98">
            <w:pPr>
              <w:pStyle w:val="BlockText-Plain"/>
            </w:pPr>
          </w:p>
        </w:tc>
        <w:tc>
          <w:tcPr>
            <w:tcW w:w="567" w:type="dxa"/>
          </w:tcPr>
          <w:p w14:paraId="61D92144" w14:textId="77777777" w:rsidR="005F44BC" w:rsidRPr="00C9343F" w:rsidRDefault="005F44BC" w:rsidP="007114B1">
            <w:pPr>
              <w:pStyle w:val="BlockText-Plain"/>
              <w:jc w:val="center"/>
            </w:pPr>
            <w:r w:rsidRPr="00C9343F">
              <w:t>b.</w:t>
            </w:r>
          </w:p>
        </w:tc>
        <w:tc>
          <w:tcPr>
            <w:tcW w:w="7800" w:type="dxa"/>
          </w:tcPr>
          <w:p w14:paraId="61DE2882" w14:textId="6EAEC25C" w:rsidR="005F44BC" w:rsidRPr="00C9343F" w:rsidRDefault="005F44BC" w:rsidP="00F66D98">
            <w:pPr>
              <w:pStyle w:val="BlockText-Plain"/>
            </w:pPr>
            <w:r w:rsidRPr="00C9343F">
              <w:t>Removal</w:t>
            </w:r>
            <w:r w:rsidR="00CB03DB" w:rsidRPr="00C9343F">
              <w:t xml:space="preserve"> under Chapter 6</w:t>
            </w:r>
            <w:r w:rsidRPr="00C9343F">
              <w:t>.</w:t>
            </w:r>
          </w:p>
        </w:tc>
      </w:tr>
      <w:tr w:rsidR="005F44BC" w:rsidRPr="00C9343F" w14:paraId="629B9D35" w14:textId="77777777" w:rsidTr="00277260">
        <w:trPr>
          <w:cantSplit/>
        </w:trPr>
        <w:tc>
          <w:tcPr>
            <w:tcW w:w="992" w:type="dxa"/>
          </w:tcPr>
          <w:p w14:paraId="5B83F8EE" w14:textId="77777777" w:rsidR="005F44BC" w:rsidRPr="00C9343F" w:rsidRDefault="005F44BC" w:rsidP="00F66D98">
            <w:pPr>
              <w:pStyle w:val="BlockText-Plain"/>
            </w:pPr>
          </w:p>
        </w:tc>
        <w:tc>
          <w:tcPr>
            <w:tcW w:w="567" w:type="dxa"/>
          </w:tcPr>
          <w:p w14:paraId="70F1A6B6" w14:textId="77777777" w:rsidR="005F44BC" w:rsidRPr="00C9343F" w:rsidRDefault="005F44BC" w:rsidP="007114B1">
            <w:pPr>
              <w:pStyle w:val="BlockText-Plain"/>
              <w:jc w:val="center"/>
            </w:pPr>
            <w:r w:rsidRPr="00C9343F">
              <w:t>c.</w:t>
            </w:r>
          </w:p>
        </w:tc>
        <w:tc>
          <w:tcPr>
            <w:tcW w:w="7800" w:type="dxa"/>
          </w:tcPr>
          <w:p w14:paraId="019595AC" w14:textId="36158FAD" w:rsidR="005F44BC" w:rsidRPr="00C9343F" w:rsidRDefault="005F44BC" w:rsidP="00F66D98">
            <w:pPr>
              <w:pStyle w:val="BlockText-Plain"/>
            </w:pPr>
            <w:r w:rsidRPr="00C9343F">
              <w:t>Continuation of housing assistance</w:t>
            </w:r>
            <w:r w:rsidR="00CB03DB" w:rsidRPr="00C9343F">
              <w:t xml:space="preserve"> under Chapter 7</w:t>
            </w:r>
            <w:r w:rsidRPr="00C9343F">
              <w:t>.</w:t>
            </w:r>
          </w:p>
        </w:tc>
      </w:tr>
      <w:tr w:rsidR="005F44BC" w:rsidRPr="00C9343F" w14:paraId="5A63B646" w14:textId="77777777" w:rsidTr="00277260">
        <w:trPr>
          <w:cantSplit/>
        </w:trPr>
        <w:tc>
          <w:tcPr>
            <w:tcW w:w="992" w:type="dxa"/>
          </w:tcPr>
          <w:p w14:paraId="2B05B8E9" w14:textId="77777777" w:rsidR="005F44BC" w:rsidRPr="00C9343F" w:rsidRDefault="005F44BC" w:rsidP="00F66D98">
            <w:pPr>
              <w:pStyle w:val="BlockText-Plain"/>
            </w:pPr>
          </w:p>
        </w:tc>
        <w:tc>
          <w:tcPr>
            <w:tcW w:w="567" w:type="dxa"/>
          </w:tcPr>
          <w:p w14:paraId="15939020" w14:textId="77777777" w:rsidR="005F44BC" w:rsidRPr="00C9343F" w:rsidRDefault="005F44BC" w:rsidP="007114B1">
            <w:pPr>
              <w:pStyle w:val="BlockText-Plain"/>
              <w:jc w:val="center"/>
            </w:pPr>
            <w:r w:rsidRPr="00C9343F">
              <w:t>d.</w:t>
            </w:r>
          </w:p>
        </w:tc>
        <w:tc>
          <w:tcPr>
            <w:tcW w:w="7800" w:type="dxa"/>
          </w:tcPr>
          <w:p w14:paraId="590CC80E" w14:textId="77777777" w:rsidR="005F44BC" w:rsidRPr="00C9343F" w:rsidRDefault="005F44BC" w:rsidP="00F66D98">
            <w:pPr>
              <w:pStyle w:val="BlockText-Plain"/>
            </w:pPr>
            <w:r w:rsidRPr="00C9343F">
              <w:t>Medical, psychological and dental services and treatment; or reimbursement for equivalent private services if ADF services and treatment cannot be supplied.</w:t>
            </w:r>
          </w:p>
        </w:tc>
      </w:tr>
      <w:tr w:rsidR="005F44BC" w:rsidRPr="00C9343F" w14:paraId="6C4DC43D" w14:textId="77777777" w:rsidTr="00277260">
        <w:tc>
          <w:tcPr>
            <w:tcW w:w="992" w:type="dxa"/>
          </w:tcPr>
          <w:p w14:paraId="3E547891" w14:textId="77777777" w:rsidR="005F44BC" w:rsidRPr="00C9343F" w:rsidRDefault="005F44BC" w:rsidP="00F66D98">
            <w:pPr>
              <w:pStyle w:val="BlockText-Plain"/>
              <w:jc w:val="center"/>
            </w:pPr>
            <w:r w:rsidRPr="00C9343F">
              <w:t>2.</w:t>
            </w:r>
          </w:p>
        </w:tc>
        <w:tc>
          <w:tcPr>
            <w:tcW w:w="8367" w:type="dxa"/>
            <w:gridSpan w:val="2"/>
          </w:tcPr>
          <w:p w14:paraId="49A2240C" w14:textId="0BAB4AB2" w:rsidR="005F44BC" w:rsidRPr="00C9343F" w:rsidRDefault="005F44BC" w:rsidP="00F66D98">
            <w:pPr>
              <w:pStyle w:val="BlockText-Plain"/>
            </w:pPr>
            <w:r w:rsidRPr="00C9343F">
              <w:t xml:space="preserve">Other benefits and conditions of service such as salary, </w:t>
            </w:r>
            <w:r w:rsidR="00715861" w:rsidRPr="00C9343F">
              <w:t xml:space="preserve">DFRT allowances </w:t>
            </w:r>
            <w:r w:rsidRPr="00C9343F">
              <w:t>and leave may not be paid for the additional transition period under this Division.</w:t>
            </w:r>
          </w:p>
        </w:tc>
      </w:tr>
    </w:tbl>
    <w:p w14:paraId="7E6E36DE" w14:textId="77777777" w:rsidR="005F44BC" w:rsidRPr="00C9343F" w:rsidRDefault="005F44BC" w:rsidP="00F66D98"/>
    <w:p w14:paraId="653BD344" w14:textId="77777777" w:rsidR="005F44BC" w:rsidRPr="00C9343F" w:rsidRDefault="005F44BC" w:rsidP="00F66D98">
      <w:pPr>
        <w:pStyle w:val="Heading5"/>
        <w:sectPr w:rsidR="005F44BC" w:rsidRPr="00C9343F" w:rsidSect="00C0188F">
          <w:pgSz w:w="11907" w:h="16840" w:code="9"/>
          <w:pgMar w:top="1134" w:right="1134" w:bottom="992" w:left="1418" w:header="720" w:footer="720" w:gutter="0"/>
          <w:cols w:space="720"/>
        </w:sectPr>
      </w:pPr>
    </w:p>
    <w:p w14:paraId="4324B1D8" w14:textId="77777777" w:rsidR="005F44BC" w:rsidRPr="00C9343F" w:rsidRDefault="005F44BC" w:rsidP="00F66D98">
      <w:pPr>
        <w:pStyle w:val="Heading2"/>
        <w:shd w:val="clear" w:color="auto" w:fill="auto"/>
      </w:pPr>
      <w:bookmarkStart w:id="358" w:name="_Toc105053661"/>
      <w:r w:rsidRPr="00C9343F">
        <w:lastRenderedPageBreak/>
        <w:t>Chapter 3: ADF salaries and bonuses</w:t>
      </w:r>
      <w:bookmarkEnd w:id="358"/>
    </w:p>
    <w:p w14:paraId="1D719011" w14:textId="52751F84" w:rsidR="005F44BC" w:rsidRPr="00C9343F" w:rsidRDefault="005F44BC" w:rsidP="00F66D98">
      <w:pPr>
        <w:pStyle w:val="Heading3"/>
      </w:pPr>
      <w:bookmarkStart w:id="359" w:name="_Toc105053662"/>
      <w:r w:rsidRPr="00C9343F">
        <w:t>Part 2: Administration of salaries</w:t>
      </w:r>
      <w:bookmarkEnd w:id="359"/>
    </w:p>
    <w:p w14:paraId="28B0A5E8" w14:textId="01F01A9F" w:rsidR="005F44BC" w:rsidRPr="00C9343F" w:rsidRDefault="005F44BC" w:rsidP="00F66D98">
      <w:pPr>
        <w:pStyle w:val="Heading5"/>
      </w:pPr>
      <w:bookmarkStart w:id="360" w:name="_Toc105053663"/>
      <w:bookmarkStart w:id="361" w:name="bk105619331Overview"/>
      <w:bookmarkStart w:id="362" w:name="bk105709331Overview"/>
      <w:bookmarkStart w:id="363" w:name="bk123809331Overview"/>
      <w:bookmarkStart w:id="364" w:name="bk165924331Overview"/>
      <w:bookmarkStart w:id="365" w:name="bk113545331Overview"/>
      <w:r w:rsidRPr="00C9343F">
        <w:t>3.2.1</w:t>
      </w:r>
      <w:r w:rsidR="00D94006" w:rsidRPr="00C9343F">
        <w:t>    </w:t>
      </w:r>
      <w:r w:rsidRPr="00C9343F">
        <w:t>Overview</w:t>
      </w:r>
      <w:bookmarkEnd w:id="360"/>
    </w:p>
    <w:tbl>
      <w:tblPr>
        <w:tblW w:w="0" w:type="auto"/>
        <w:tblInd w:w="113" w:type="dxa"/>
        <w:tblLayout w:type="fixed"/>
        <w:tblLook w:val="0000" w:firstRow="0" w:lastRow="0" w:firstColumn="0" w:lastColumn="0" w:noHBand="0" w:noVBand="0"/>
      </w:tblPr>
      <w:tblGrid>
        <w:gridCol w:w="992"/>
        <w:gridCol w:w="8363"/>
      </w:tblGrid>
      <w:tr w:rsidR="005F44BC" w:rsidRPr="00C9343F" w14:paraId="20088E16" w14:textId="77777777" w:rsidTr="005F44BC">
        <w:tc>
          <w:tcPr>
            <w:tcW w:w="992" w:type="dxa"/>
          </w:tcPr>
          <w:p w14:paraId="1BD984EF" w14:textId="77777777" w:rsidR="005F44BC" w:rsidRPr="00C9343F" w:rsidRDefault="005F44BC" w:rsidP="00F66D98">
            <w:pPr>
              <w:pStyle w:val="BlockText-Plain"/>
              <w:spacing w:before="20"/>
              <w:jc w:val="center"/>
            </w:pPr>
            <w:r w:rsidRPr="00C9343F">
              <w:t>1.</w:t>
            </w:r>
          </w:p>
        </w:tc>
        <w:tc>
          <w:tcPr>
            <w:tcW w:w="8363" w:type="dxa"/>
          </w:tcPr>
          <w:p w14:paraId="02CD7B87" w14:textId="77777777" w:rsidR="005F44BC" w:rsidRPr="00C9343F" w:rsidRDefault="005F44BC" w:rsidP="00F66D98">
            <w:pPr>
              <w:pStyle w:val="BlockText-Plain"/>
              <w:spacing w:before="20"/>
            </w:pPr>
            <w:r w:rsidRPr="00C9343F">
              <w:t>This Part deals with the administration of salary for members of the Permanent Forces and Reserves.</w:t>
            </w:r>
            <w:r w:rsidRPr="00C9343F">
              <w:rPr>
                <w:color w:val="000000"/>
              </w:rPr>
              <w:t xml:space="preserve"> It explains general aspects of salary, including when salary is paid, commencement salary, increments and other related matters.</w:t>
            </w:r>
          </w:p>
        </w:tc>
      </w:tr>
      <w:tr w:rsidR="005F44BC" w:rsidRPr="00C9343F" w14:paraId="12E130B5" w14:textId="77777777" w:rsidTr="005F44BC">
        <w:tc>
          <w:tcPr>
            <w:tcW w:w="992" w:type="dxa"/>
          </w:tcPr>
          <w:p w14:paraId="033FA3A3" w14:textId="77777777" w:rsidR="005F44BC" w:rsidRPr="00C9343F" w:rsidRDefault="005F44BC" w:rsidP="00F66D98">
            <w:pPr>
              <w:pStyle w:val="BlockText-Plain"/>
              <w:spacing w:before="20"/>
              <w:jc w:val="center"/>
            </w:pPr>
            <w:r w:rsidRPr="00C9343F">
              <w:t>2.</w:t>
            </w:r>
          </w:p>
        </w:tc>
        <w:tc>
          <w:tcPr>
            <w:tcW w:w="8363" w:type="dxa"/>
          </w:tcPr>
          <w:p w14:paraId="1E1125BB" w14:textId="48EA986D" w:rsidR="005F44BC" w:rsidRPr="00C9343F" w:rsidRDefault="005F44BC" w:rsidP="00F66D98">
            <w:pPr>
              <w:pStyle w:val="BlockText-Plain"/>
              <w:spacing w:before="20"/>
            </w:pPr>
            <w:r w:rsidRPr="00C9343F">
              <w:t xml:space="preserve">This Part should be read together with DFRT Determination No. </w:t>
            </w:r>
            <w:r w:rsidR="002A2A83" w:rsidRPr="00C9343F">
              <w:t>2 of 2017</w:t>
            </w:r>
            <w:r w:rsidRPr="00C9343F">
              <w:t xml:space="preserve">, </w:t>
            </w:r>
            <w:r w:rsidRPr="00C9343F">
              <w:rPr>
                <w:i/>
              </w:rPr>
              <w:t>Salaries</w:t>
            </w:r>
            <w:r w:rsidRPr="00C9343F">
              <w:t>, and other relevant determinations made by the DFRT under section 58H of the Act.</w:t>
            </w:r>
          </w:p>
        </w:tc>
      </w:tr>
    </w:tbl>
    <w:p w14:paraId="641644F3" w14:textId="7D4CCA47" w:rsidR="005F44BC" w:rsidRPr="00C9343F" w:rsidRDefault="005F44BC" w:rsidP="00F66D98">
      <w:pPr>
        <w:pStyle w:val="Heading4"/>
        <w:pageBreakBefore/>
      </w:pPr>
      <w:bookmarkStart w:id="366" w:name="_Toc105053664"/>
      <w:bookmarkEnd w:id="361"/>
      <w:bookmarkEnd w:id="362"/>
      <w:bookmarkEnd w:id="363"/>
      <w:bookmarkEnd w:id="364"/>
      <w:bookmarkEnd w:id="365"/>
      <w:r w:rsidRPr="00C9343F">
        <w:lastRenderedPageBreak/>
        <w:t>Division 1: About salaries</w:t>
      </w:r>
      <w:bookmarkEnd w:id="366"/>
    </w:p>
    <w:p w14:paraId="45601D22" w14:textId="016F3806" w:rsidR="005F44BC" w:rsidRPr="00C9343F" w:rsidRDefault="005F44BC" w:rsidP="00F66D98">
      <w:pPr>
        <w:pStyle w:val="Heading5"/>
        <w:rPr>
          <w:color w:val="000000"/>
        </w:rPr>
      </w:pPr>
      <w:bookmarkStart w:id="367" w:name="_Toc105053665"/>
      <w:r w:rsidRPr="00C9343F">
        <w:rPr>
          <w:color w:val="000000"/>
        </w:rPr>
        <w:t>3.2.3</w:t>
      </w:r>
      <w:r w:rsidR="00D94006" w:rsidRPr="00C9343F">
        <w:rPr>
          <w:color w:val="000000"/>
        </w:rPr>
        <w:t>    </w:t>
      </w:r>
      <w:r w:rsidRPr="00C9343F">
        <w:rPr>
          <w:color w:val="000000"/>
        </w:rPr>
        <w:t>Purpose</w:t>
      </w:r>
      <w:bookmarkEnd w:id="367"/>
    </w:p>
    <w:tbl>
      <w:tblPr>
        <w:tblW w:w="0" w:type="auto"/>
        <w:tblInd w:w="113" w:type="dxa"/>
        <w:tblLayout w:type="fixed"/>
        <w:tblLook w:val="0000" w:firstRow="0" w:lastRow="0" w:firstColumn="0" w:lastColumn="0" w:noHBand="0" w:noVBand="0"/>
      </w:tblPr>
      <w:tblGrid>
        <w:gridCol w:w="992"/>
        <w:gridCol w:w="8363"/>
      </w:tblGrid>
      <w:tr w:rsidR="005F44BC" w:rsidRPr="00C9343F" w14:paraId="70E1485A" w14:textId="77777777" w:rsidTr="005F44BC">
        <w:tc>
          <w:tcPr>
            <w:tcW w:w="992" w:type="dxa"/>
          </w:tcPr>
          <w:p w14:paraId="134A68B0" w14:textId="77777777" w:rsidR="005F44BC" w:rsidRPr="00C9343F" w:rsidRDefault="005F44BC" w:rsidP="00F66D98">
            <w:pPr>
              <w:pStyle w:val="BlockText-Plain"/>
              <w:jc w:val="center"/>
              <w:rPr>
                <w:color w:val="000000"/>
              </w:rPr>
            </w:pPr>
          </w:p>
        </w:tc>
        <w:tc>
          <w:tcPr>
            <w:tcW w:w="8363" w:type="dxa"/>
          </w:tcPr>
          <w:p w14:paraId="289ED86B" w14:textId="77777777" w:rsidR="005F44BC" w:rsidRPr="00C9343F" w:rsidRDefault="005F44BC" w:rsidP="00F66D98">
            <w:pPr>
              <w:pStyle w:val="BlockText-Plain"/>
              <w:rPr>
                <w:color w:val="000000"/>
              </w:rPr>
            </w:pPr>
            <w:r w:rsidRPr="00C9343F">
              <w:rPr>
                <w:color w:val="000000"/>
              </w:rPr>
              <w:t>The purpose of this Division is to explain the principles for administration of salaries set by the DFRT.</w:t>
            </w:r>
          </w:p>
        </w:tc>
      </w:tr>
    </w:tbl>
    <w:p w14:paraId="0DA1897A" w14:textId="68B91F74" w:rsidR="005F44BC" w:rsidRPr="00C9343F" w:rsidRDefault="005F44BC" w:rsidP="00F66D98">
      <w:pPr>
        <w:pStyle w:val="Heading5"/>
      </w:pPr>
      <w:bookmarkStart w:id="368" w:name="_Toc105053666"/>
      <w:bookmarkStart w:id="369" w:name="bk133815B12Commencementandcessationofsa"/>
      <w:bookmarkStart w:id="370" w:name="bk133855B12Commencementandcessationofsa"/>
      <w:bookmarkStart w:id="371" w:name="bk80650A42Commencementandcessationofsal"/>
      <w:bookmarkStart w:id="372" w:name="bk115053A42Commencementandcessationofsa"/>
      <w:bookmarkStart w:id="373" w:name="bk173521A42Timeforpaymentofsalary"/>
      <w:bookmarkStart w:id="374" w:name="bk85501A42Timeforpaymentofsalary"/>
      <w:bookmarkStart w:id="375" w:name="bk113627A42Timeforpaymentofsalary"/>
      <w:r w:rsidRPr="00C9343F">
        <w:t>3.2.5</w:t>
      </w:r>
      <w:r w:rsidR="00D94006" w:rsidRPr="00C9343F">
        <w:t>    </w:t>
      </w:r>
      <w:r w:rsidRPr="00C9343F">
        <w:t xml:space="preserve">Time for payment of salary for a member </w:t>
      </w:r>
      <w:r w:rsidR="00315084" w:rsidRPr="00C9343F">
        <w:t>on continuous full-time service</w:t>
      </w:r>
      <w:bookmarkEnd w:id="368"/>
    </w:p>
    <w:bookmarkEnd w:id="369"/>
    <w:bookmarkEnd w:id="370"/>
    <w:bookmarkEnd w:id="371"/>
    <w:bookmarkEnd w:id="372"/>
    <w:bookmarkEnd w:id="373"/>
    <w:bookmarkEnd w:id="374"/>
    <w:bookmarkEnd w:id="375"/>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4BE6E3C5" w14:textId="77777777" w:rsidTr="005F44BC">
        <w:tc>
          <w:tcPr>
            <w:tcW w:w="992" w:type="dxa"/>
          </w:tcPr>
          <w:p w14:paraId="0923CCA3" w14:textId="77777777" w:rsidR="005F44BC" w:rsidRPr="00C9343F" w:rsidRDefault="005F44BC" w:rsidP="00F66D98">
            <w:pPr>
              <w:keepLines w:val="0"/>
              <w:spacing w:after="200"/>
              <w:jc w:val="center"/>
              <w:rPr>
                <w:sz w:val="20"/>
              </w:rPr>
            </w:pPr>
          </w:p>
        </w:tc>
        <w:tc>
          <w:tcPr>
            <w:tcW w:w="8363" w:type="dxa"/>
            <w:gridSpan w:val="2"/>
          </w:tcPr>
          <w:p w14:paraId="3D6E4F59" w14:textId="77777777" w:rsidR="005F44BC" w:rsidRPr="00C9343F" w:rsidRDefault="005F44BC" w:rsidP="00F66D98">
            <w:pPr>
              <w:keepLines w:val="0"/>
              <w:spacing w:after="200"/>
              <w:rPr>
                <w:sz w:val="20"/>
              </w:rPr>
            </w:pPr>
            <w:r w:rsidRPr="00C9343F">
              <w:rPr>
                <w:sz w:val="20"/>
              </w:rPr>
              <w:t xml:space="preserve">Subject to </w:t>
            </w:r>
            <w:r w:rsidR="002A2A83" w:rsidRPr="00C9343F">
              <w:rPr>
                <w:sz w:val="20"/>
              </w:rPr>
              <w:t>section</w:t>
            </w:r>
            <w:r w:rsidR="00315084" w:rsidRPr="00C9343F">
              <w:rPr>
                <w:sz w:val="20"/>
              </w:rPr>
              <w:t xml:space="preserve"> A.1.</w:t>
            </w:r>
            <w:r w:rsidR="002A2A83" w:rsidRPr="00C9343F">
              <w:rPr>
                <w:sz w:val="20"/>
              </w:rPr>
              <w:t>4</w:t>
            </w:r>
            <w:r w:rsidR="00315084" w:rsidRPr="00C9343F">
              <w:rPr>
                <w:sz w:val="20"/>
              </w:rPr>
              <w:t xml:space="preserve"> of DFRT Determination No. </w:t>
            </w:r>
            <w:r w:rsidR="002A2A83" w:rsidRPr="00C9343F">
              <w:rPr>
                <w:sz w:val="20"/>
              </w:rPr>
              <w:t>2 of 2017</w:t>
            </w:r>
            <w:r w:rsidR="00315084" w:rsidRPr="00C9343F">
              <w:rPr>
                <w:sz w:val="20"/>
              </w:rPr>
              <w:t xml:space="preserve">, </w:t>
            </w:r>
            <w:r w:rsidR="00315084" w:rsidRPr="00C9343F">
              <w:rPr>
                <w:i/>
                <w:sz w:val="20"/>
              </w:rPr>
              <w:t>Salaries</w:t>
            </w:r>
            <w:r w:rsidRPr="00C9343F">
              <w:rPr>
                <w:sz w:val="20"/>
              </w:rPr>
              <w:t>, the salary of a member starts on the day on which the member begins continuous full-time service and ends on midnight on whichever of the following days is relevant to the member's situation.</w:t>
            </w:r>
          </w:p>
        </w:tc>
      </w:tr>
      <w:tr w:rsidR="005F44BC" w:rsidRPr="00C9343F" w14:paraId="4DC41471" w14:textId="77777777" w:rsidTr="005F44BC">
        <w:trPr>
          <w:cantSplit/>
        </w:trPr>
        <w:tc>
          <w:tcPr>
            <w:tcW w:w="992" w:type="dxa"/>
          </w:tcPr>
          <w:p w14:paraId="73BCDF9E" w14:textId="77777777" w:rsidR="005F44BC" w:rsidRPr="00C9343F" w:rsidRDefault="005F44BC" w:rsidP="00F66D98">
            <w:pPr>
              <w:keepLines w:val="0"/>
              <w:spacing w:after="200"/>
              <w:rPr>
                <w:sz w:val="20"/>
              </w:rPr>
            </w:pPr>
          </w:p>
        </w:tc>
        <w:tc>
          <w:tcPr>
            <w:tcW w:w="567" w:type="dxa"/>
          </w:tcPr>
          <w:p w14:paraId="2FDBB58C" w14:textId="77777777" w:rsidR="005F44BC" w:rsidRPr="00C9343F" w:rsidRDefault="005F44BC" w:rsidP="007114B1">
            <w:pPr>
              <w:keepLines w:val="0"/>
              <w:spacing w:after="200"/>
              <w:jc w:val="center"/>
              <w:rPr>
                <w:sz w:val="20"/>
              </w:rPr>
            </w:pPr>
            <w:r w:rsidRPr="00C9343F">
              <w:rPr>
                <w:sz w:val="20"/>
              </w:rPr>
              <w:t>a.</w:t>
            </w:r>
          </w:p>
        </w:tc>
        <w:tc>
          <w:tcPr>
            <w:tcW w:w="7796" w:type="dxa"/>
          </w:tcPr>
          <w:p w14:paraId="1AD08D29" w14:textId="77777777" w:rsidR="005F44BC" w:rsidRPr="00C9343F" w:rsidRDefault="005F44BC" w:rsidP="00F66D98">
            <w:pPr>
              <w:keepLines w:val="0"/>
              <w:spacing w:after="200"/>
              <w:rPr>
                <w:sz w:val="20"/>
              </w:rPr>
            </w:pPr>
            <w:r w:rsidRPr="00C9343F">
              <w:rPr>
                <w:sz w:val="20"/>
              </w:rPr>
              <w:t>For an officer — on the day on which the member resigns, retires, or their appointment or services are terminated.</w:t>
            </w:r>
          </w:p>
        </w:tc>
      </w:tr>
      <w:tr w:rsidR="005F44BC" w:rsidRPr="00C9343F" w14:paraId="538BF420" w14:textId="77777777" w:rsidTr="005F44BC">
        <w:trPr>
          <w:cantSplit/>
        </w:trPr>
        <w:tc>
          <w:tcPr>
            <w:tcW w:w="992" w:type="dxa"/>
          </w:tcPr>
          <w:p w14:paraId="765115E1" w14:textId="77777777" w:rsidR="005F44BC" w:rsidRPr="00C9343F" w:rsidRDefault="005F44BC" w:rsidP="00F66D98">
            <w:pPr>
              <w:keepLines w:val="0"/>
              <w:spacing w:after="200"/>
              <w:rPr>
                <w:sz w:val="20"/>
              </w:rPr>
            </w:pPr>
          </w:p>
        </w:tc>
        <w:tc>
          <w:tcPr>
            <w:tcW w:w="567" w:type="dxa"/>
          </w:tcPr>
          <w:p w14:paraId="1FC148FC" w14:textId="77777777" w:rsidR="005F44BC" w:rsidRPr="00C9343F" w:rsidRDefault="005F44BC" w:rsidP="007114B1">
            <w:pPr>
              <w:keepLines w:val="0"/>
              <w:spacing w:after="200"/>
              <w:jc w:val="center"/>
              <w:rPr>
                <w:sz w:val="20"/>
              </w:rPr>
            </w:pPr>
            <w:r w:rsidRPr="00C9343F">
              <w:rPr>
                <w:sz w:val="20"/>
              </w:rPr>
              <w:t>b.</w:t>
            </w:r>
          </w:p>
        </w:tc>
        <w:tc>
          <w:tcPr>
            <w:tcW w:w="7796" w:type="dxa"/>
          </w:tcPr>
          <w:p w14:paraId="5519A2EB" w14:textId="77777777" w:rsidR="005F44BC" w:rsidRPr="00C9343F" w:rsidRDefault="005F44BC" w:rsidP="00F66D98">
            <w:pPr>
              <w:keepLines w:val="0"/>
              <w:spacing w:after="200"/>
              <w:rPr>
                <w:sz w:val="20"/>
              </w:rPr>
            </w:pPr>
            <w:r w:rsidRPr="00C9343F">
              <w:rPr>
                <w:sz w:val="20"/>
              </w:rPr>
              <w:t>For Warrant Officer Class 1 and an other rank member — on the day on which the member is discharged, retired or terminated.</w:t>
            </w:r>
          </w:p>
        </w:tc>
      </w:tr>
      <w:tr w:rsidR="005F44BC" w:rsidRPr="00C9343F" w14:paraId="47B62CB2" w14:textId="77777777" w:rsidTr="005F44BC">
        <w:trPr>
          <w:cantSplit/>
        </w:trPr>
        <w:tc>
          <w:tcPr>
            <w:tcW w:w="992" w:type="dxa"/>
          </w:tcPr>
          <w:p w14:paraId="3B2158E6" w14:textId="77777777" w:rsidR="005F44BC" w:rsidRPr="00C9343F" w:rsidRDefault="005F44BC" w:rsidP="00F66D98">
            <w:pPr>
              <w:keepLines w:val="0"/>
              <w:spacing w:after="200"/>
              <w:rPr>
                <w:sz w:val="20"/>
              </w:rPr>
            </w:pPr>
          </w:p>
        </w:tc>
        <w:tc>
          <w:tcPr>
            <w:tcW w:w="567" w:type="dxa"/>
          </w:tcPr>
          <w:p w14:paraId="095C5144" w14:textId="77777777" w:rsidR="005F44BC" w:rsidRPr="00C9343F" w:rsidRDefault="005F44BC" w:rsidP="007114B1">
            <w:pPr>
              <w:keepLines w:val="0"/>
              <w:spacing w:after="200"/>
              <w:jc w:val="center"/>
              <w:rPr>
                <w:sz w:val="20"/>
              </w:rPr>
            </w:pPr>
            <w:r w:rsidRPr="00C9343F">
              <w:rPr>
                <w:sz w:val="20"/>
              </w:rPr>
              <w:t>c.</w:t>
            </w:r>
          </w:p>
        </w:tc>
        <w:tc>
          <w:tcPr>
            <w:tcW w:w="7796" w:type="dxa"/>
          </w:tcPr>
          <w:p w14:paraId="35A64BC9" w14:textId="77777777" w:rsidR="005F44BC" w:rsidRPr="00C9343F" w:rsidRDefault="005F44BC" w:rsidP="00F66D98">
            <w:pPr>
              <w:keepLines w:val="0"/>
              <w:spacing w:after="200"/>
              <w:rPr>
                <w:sz w:val="20"/>
              </w:rPr>
            </w:pPr>
            <w:r w:rsidRPr="00C9343F">
              <w:rPr>
                <w:sz w:val="20"/>
              </w:rPr>
              <w:t>In the case of a member who is seconded for service with another Government department or civil employment, the day before the member starts the secondment.</w:t>
            </w:r>
          </w:p>
        </w:tc>
      </w:tr>
      <w:tr w:rsidR="005F44BC" w:rsidRPr="00C9343F" w14:paraId="2A741367" w14:textId="77777777" w:rsidTr="005F44BC">
        <w:trPr>
          <w:cantSplit/>
        </w:trPr>
        <w:tc>
          <w:tcPr>
            <w:tcW w:w="992" w:type="dxa"/>
          </w:tcPr>
          <w:p w14:paraId="32DD77DD" w14:textId="77777777" w:rsidR="005F44BC" w:rsidRPr="00C9343F" w:rsidRDefault="005F44BC" w:rsidP="00F66D98">
            <w:pPr>
              <w:keepLines w:val="0"/>
              <w:spacing w:after="200"/>
              <w:rPr>
                <w:sz w:val="20"/>
              </w:rPr>
            </w:pPr>
          </w:p>
        </w:tc>
        <w:tc>
          <w:tcPr>
            <w:tcW w:w="567" w:type="dxa"/>
          </w:tcPr>
          <w:p w14:paraId="754C32E5" w14:textId="77777777" w:rsidR="005F44BC" w:rsidRPr="00C9343F" w:rsidRDefault="005F44BC" w:rsidP="007114B1">
            <w:pPr>
              <w:keepLines w:val="0"/>
              <w:spacing w:after="200"/>
              <w:jc w:val="center"/>
              <w:rPr>
                <w:sz w:val="20"/>
              </w:rPr>
            </w:pPr>
            <w:r w:rsidRPr="00C9343F">
              <w:rPr>
                <w:sz w:val="20"/>
              </w:rPr>
              <w:t>d.</w:t>
            </w:r>
          </w:p>
        </w:tc>
        <w:tc>
          <w:tcPr>
            <w:tcW w:w="7796" w:type="dxa"/>
          </w:tcPr>
          <w:p w14:paraId="074984B0" w14:textId="77777777" w:rsidR="005F44BC" w:rsidRPr="00C9343F" w:rsidRDefault="005F44BC" w:rsidP="00F66D98">
            <w:pPr>
              <w:keepLines w:val="0"/>
              <w:spacing w:after="200"/>
              <w:rPr>
                <w:sz w:val="20"/>
              </w:rPr>
            </w:pPr>
            <w:r w:rsidRPr="00C9343F">
              <w:rPr>
                <w:sz w:val="20"/>
              </w:rPr>
              <w:t>In the case of a member who transfers to the Reserves, the day immediately before the transfer.</w:t>
            </w:r>
          </w:p>
        </w:tc>
      </w:tr>
    </w:tbl>
    <w:p w14:paraId="42192A7D" w14:textId="5D1DEEB8" w:rsidR="005F44BC" w:rsidRPr="00C9343F" w:rsidRDefault="005F44BC" w:rsidP="00F66D98">
      <w:pPr>
        <w:pStyle w:val="Heading5"/>
      </w:pPr>
      <w:bookmarkStart w:id="376" w:name="_Toc105053667"/>
      <w:bookmarkStart w:id="377" w:name="bk173521A43Methodofpaymentofsalary"/>
      <w:bookmarkStart w:id="378" w:name="bk85502A43Methodofpaymentofsalaryforame"/>
      <w:bookmarkStart w:id="379" w:name="bk113627A43Methodofpaymentofsalaryforam"/>
      <w:r w:rsidRPr="00C9343F">
        <w:t>3.2.6</w:t>
      </w:r>
      <w:r w:rsidR="00D94006" w:rsidRPr="00C9343F">
        <w:t>    </w:t>
      </w:r>
      <w:r w:rsidR="006D35E1" w:rsidRPr="00C9343F">
        <w:t>Method of payment of salary for a member on continuous full-time service</w:t>
      </w:r>
      <w:bookmarkEnd w:id="376"/>
    </w:p>
    <w:tbl>
      <w:tblPr>
        <w:tblW w:w="9355" w:type="dxa"/>
        <w:tblInd w:w="113" w:type="dxa"/>
        <w:tblLayout w:type="fixed"/>
        <w:tblLook w:val="0000" w:firstRow="0" w:lastRow="0" w:firstColumn="0" w:lastColumn="0" w:noHBand="0" w:noVBand="0"/>
      </w:tblPr>
      <w:tblGrid>
        <w:gridCol w:w="992"/>
        <w:gridCol w:w="8363"/>
      </w:tblGrid>
      <w:tr w:rsidR="005F44BC" w:rsidRPr="00C9343F" w14:paraId="2ED09D47" w14:textId="77777777" w:rsidTr="003861FB">
        <w:tc>
          <w:tcPr>
            <w:tcW w:w="992" w:type="dxa"/>
          </w:tcPr>
          <w:bookmarkEnd w:id="377"/>
          <w:bookmarkEnd w:id="378"/>
          <w:bookmarkEnd w:id="379"/>
          <w:p w14:paraId="5A7FCF9B" w14:textId="77777777" w:rsidR="005F44BC" w:rsidRPr="00C9343F" w:rsidRDefault="005F44BC" w:rsidP="00F66D98">
            <w:pPr>
              <w:keepLines w:val="0"/>
              <w:spacing w:after="200"/>
              <w:jc w:val="center"/>
              <w:rPr>
                <w:sz w:val="20"/>
              </w:rPr>
            </w:pPr>
            <w:r w:rsidRPr="00C9343F">
              <w:rPr>
                <w:sz w:val="20"/>
              </w:rPr>
              <w:t>1.</w:t>
            </w:r>
          </w:p>
        </w:tc>
        <w:tc>
          <w:tcPr>
            <w:tcW w:w="8363" w:type="dxa"/>
          </w:tcPr>
          <w:p w14:paraId="744C511C" w14:textId="77777777" w:rsidR="005F44BC" w:rsidRPr="00C9343F" w:rsidRDefault="00315084" w:rsidP="00F66D98">
            <w:pPr>
              <w:keepLines w:val="0"/>
              <w:spacing w:after="200"/>
              <w:rPr>
                <w:sz w:val="20"/>
              </w:rPr>
            </w:pPr>
            <w:r w:rsidRPr="00C9343F">
              <w:rPr>
                <w:sz w:val="20"/>
              </w:rPr>
              <w:t>Salary may be paid to members every 14 days (a fortnight).</w:t>
            </w:r>
          </w:p>
        </w:tc>
      </w:tr>
      <w:tr w:rsidR="005F44BC" w:rsidRPr="00C9343F" w14:paraId="2AD0FCB1" w14:textId="77777777" w:rsidTr="003861FB">
        <w:tc>
          <w:tcPr>
            <w:tcW w:w="992" w:type="dxa"/>
          </w:tcPr>
          <w:p w14:paraId="142E7B3F" w14:textId="77777777" w:rsidR="005F44BC" w:rsidRPr="00C9343F" w:rsidRDefault="005F44BC" w:rsidP="00F66D98">
            <w:pPr>
              <w:keepLines w:val="0"/>
              <w:spacing w:after="200"/>
              <w:jc w:val="center"/>
              <w:rPr>
                <w:sz w:val="20"/>
              </w:rPr>
            </w:pPr>
            <w:r w:rsidRPr="00C9343F">
              <w:rPr>
                <w:sz w:val="20"/>
              </w:rPr>
              <w:t>2.</w:t>
            </w:r>
          </w:p>
        </w:tc>
        <w:tc>
          <w:tcPr>
            <w:tcW w:w="8363" w:type="dxa"/>
          </w:tcPr>
          <w:p w14:paraId="563ADA2E" w14:textId="77777777" w:rsidR="005F44BC" w:rsidRPr="00C9343F" w:rsidRDefault="00315084" w:rsidP="00F66D98">
            <w:pPr>
              <w:keepLines w:val="0"/>
              <w:spacing w:after="200"/>
              <w:rPr>
                <w:sz w:val="20"/>
              </w:rPr>
            </w:pPr>
            <w:r w:rsidRPr="00C9343F">
              <w:rPr>
                <w:sz w:val="20"/>
              </w:rPr>
              <w:t>Payment of salary and allowances to a member is made by electronic funds transfer into a financial institution advised by the member.</w:t>
            </w:r>
          </w:p>
        </w:tc>
      </w:tr>
    </w:tbl>
    <w:p w14:paraId="264EDB4F" w14:textId="4971CB3B" w:rsidR="003861FB" w:rsidRPr="00C9343F" w:rsidRDefault="003861FB" w:rsidP="003861FB">
      <w:pPr>
        <w:pStyle w:val="Heading5"/>
      </w:pPr>
      <w:bookmarkStart w:id="380" w:name="_Toc105053668"/>
      <w:bookmarkStart w:id="381" w:name="bk133816B15Salaryandallowancesmemberonp"/>
      <w:bookmarkStart w:id="382" w:name="bk133855B15Salaryandallowancesmemberonp"/>
      <w:bookmarkStart w:id="383" w:name="bk80651A45Salaryandallowancesmemberonpa"/>
      <w:bookmarkStart w:id="384" w:name="bk115054A45Salaryandallowancesmemberonp"/>
      <w:bookmarkStart w:id="385" w:name="bk172916A44Salaryandallowancesmemberonp"/>
      <w:bookmarkStart w:id="386" w:name="bk173521A45Salaryandallowancesmemberonp"/>
      <w:bookmarkStart w:id="387" w:name="bk85502A45Salaryandallowancesmemberonpa"/>
      <w:bookmarkStart w:id="388" w:name="bk113628A45Salaryandallowancesmemberonp"/>
      <w:r w:rsidRPr="00C9343F">
        <w:t>3.2.7    Administration of allowances</w:t>
      </w:r>
      <w:bookmarkEnd w:id="380"/>
    </w:p>
    <w:tbl>
      <w:tblPr>
        <w:tblW w:w="9359" w:type="dxa"/>
        <w:tblInd w:w="113" w:type="dxa"/>
        <w:tblLayout w:type="fixed"/>
        <w:tblLook w:val="04A0" w:firstRow="1" w:lastRow="0" w:firstColumn="1" w:lastColumn="0" w:noHBand="0" w:noVBand="1"/>
      </w:tblPr>
      <w:tblGrid>
        <w:gridCol w:w="992"/>
        <w:gridCol w:w="596"/>
        <w:gridCol w:w="7771"/>
      </w:tblGrid>
      <w:tr w:rsidR="003861FB" w:rsidRPr="00C9343F" w14:paraId="7A72D5D1" w14:textId="77777777" w:rsidTr="005E243D">
        <w:tc>
          <w:tcPr>
            <w:tcW w:w="992" w:type="dxa"/>
          </w:tcPr>
          <w:p w14:paraId="3A40204B" w14:textId="77777777" w:rsidR="003861FB" w:rsidRPr="00C9343F" w:rsidRDefault="003861FB" w:rsidP="005E243D">
            <w:pPr>
              <w:pStyle w:val="Sectiontext0"/>
              <w:jc w:val="center"/>
              <w:rPr>
                <w:lang w:eastAsia="en-US"/>
              </w:rPr>
            </w:pPr>
            <w:r w:rsidRPr="00C9343F">
              <w:rPr>
                <w:lang w:eastAsia="en-US"/>
              </w:rPr>
              <w:t>1.</w:t>
            </w:r>
          </w:p>
        </w:tc>
        <w:tc>
          <w:tcPr>
            <w:tcW w:w="8367" w:type="dxa"/>
            <w:gridSpan w:val="2"/>
          </w:tcPr>
          <w:p w14:paraId="4923B8BC" w14:textId="77777777" w:rsidR="003861FB" w:rsidRPr="00C9343F" w:rsidRDefault="003861FB" w:rsidP="005E243D">
            <w:pPr>
              <w:pStyle w:val="Sectiontext0"/>
              <w:rPr>
                <w:rFonts w:cs="Arial"/>
                <w:lang w:eastAsia="en-US"/>
              </w:rPr>
            </w:pPr>
            <w:r w:rsidRPr="00C9343F">
              <w:rPr>
                <w:rFonts w:cs="Arial"/>
                <w:lang w:eastAsia="en-US"/>
              </w:rPr>
              <w:t>This section applies to allowances payable under this Determination to a member not on a flexible service determination.</w:t>
            </w:r>
          </w:p>
        </w:tc>
      </w:tr>
      <w:tr w:rsidR="003861FB" w:rsidRPr="00C9343F" w14:paraId="44BC03A6" w14:textId="77777777" w:rsidTr="005E243D">
        <w:tc>
          <w:tcPr>
            <w:tcW w:w="992" w:type="dxa"/>
          </w:tcPr>
          <w:p w14:paraId="2281A4BE" w14:textId="77777777" w:rsidR="003861FB" w:rsidRPr="00C9343F" w:rsidRDefault="003861FB" w:rsidP="005E243D">
            <w:pPr>
              <w:pStyle w:val="Sectiontext0"/>
              <w:jc w:val="center"/>
              <w:rPr>
                <w:lang w:eastAsia="en-US"/>
              </w:rPr>
            </w:pPr>
          </w:p>
        </w:tc>
        <w:tc>
          <w:tcPr>
            <w:tcW w:w="8367" w:type="dxa"/>
            <w:gridSpan w:val="2"/>
          </w:tcPr>
          <w:p w14:paraId="6299E390" w14:textId="77777777" w:rsidR="003861FB" w:rsidRPr="00C9343F" w:rsidRDefault="003861FB" w:rsidP="005E243D">
            <w:pPr>
              <w:pStyle w:val="Sectiontext0"/>
              <w:rPr>
                <w:rFonts w:cs="Arial"/>
                <w:b/>
                <w:lang w:eastAsia="en-US"/>
              </w:rPr>
            </w:pPr>
            <w:r w:rsidRPr="00C9343F">
              <w:rPr>
                <w:rFonts w:cs="Arial"/>
                <w:b/>
                <w:lang w:eastAsia="en-US"/>
              </w:rPr>
              <w:t xml:space="preserve">Note: </w:t>
            </w:r>
            <w:r w:rsidRPr="00C9343F">
              <w:rPr>
                <w:rFonts w:cs="Arial"/>
                <w:lang w:eastAsia="en-US"/>
              </w:rPr>
              <w:t>Administration of allowances payable to members on a flexible service determination are set out under section 3.2.7A.</w:t>
            </w:r>
          </w:p>
        </w:tc>
      </w:tr>
      <w:tr w:rsidR="003861FB" w:rsidRPr="00C9343F" w14:paraId="6A57AFE3" w14:textId="77777777" w:rsidTr="005E243D">
        <w:tc>
          <w:tcPr>
            <w:tcW w:w="992" w:type="dxa"/>
          </w:tcPr>
          <w:p w14:paraId="7BE4C633" w14:textId="77777777" w:rsidR="003861FB" w:rsidRPr="00C9343F" w:rsidRDefault="003861FB" w:rsidP="005E243D">
            <w:pPr>
              <w:pStyle w:val="Sectiontext0"/>
              <w:jc w:val="center"/>
              <w:rPr>
                <w:lang w:eastAsia="en-US"/>
              </w:rPr>
            </w:pPr>
            <w:r w:rsidRPr="00C9343F">
              <w:rPr>
                <w:lang w:eastAsia="en-US"/>
              </w:rPr>
              <w:t>2.</w:t>
            </w:r>
          </w:p>
        </w:tc>
        <w:tc>
          <w:tcPr>
            <w:tcW w:w="8367" w:type="dxa"/>
            <w:gridSpan w:val="2"/>
          </w:tcPr>
          <w:p w14:paraId="12949CFF" w14:textId="77777777" w:rsidR="003861FB" w:rsidRPr="00C9343F" w:rsidRDefault="003861FB" w:rsidP="005E243D">
            <w:pPr>
              <w:pStyle w:val="Sectiontext0"/>
              <w:rPr>
                <w:rFonts w:cs="Arial"/>
                <w:lang w:eastAsia="en-US"/>
              </w:rPr>
            </w:pPr>
            <w:r w:rsidRPr="00C9343F">
              <w:rPr>
                <w:rFonts w:cs="Arial"/>
                <w:lang w:eastAsia="en-US"/>
              </w:rPr>
              <w:t>The daily rate of rent allowance is one fourteenth of the rate calculated in section 7.8.19.</w:t>
            </w:r>
          </w:p>
        </w:tc>
      </w:tr>
      <w:tr w:rsidR="003861FB" w:rsidRPr="00C9343F" w14:paraId="5B9C97EB" w14:textId="77777777" w:rsidTr="005E243D">
        <w:tc>
          <w:tcPr>
            <w:tcW w:w="992" w:type="dxa"/>
          </w:tcPr>
          <w:p w14:paraId="41037BB8" w14:textId="77777777" w:rsidR="003861FB" w:rsidRPr="00C9343F" w:rsidRDefault="003861FB" w:rsidP="005E243D">
            <w:pPr>
              <w:pStyle w:val="Sectiontext0"/>
              <w:jc w:val="center"/>
              <w:rPr>
                <w:lang w:eastAsia="en-US"/>
              </w:rPr>
            </w:pPr>
            <w:r w:rsidRPr="00C9343F">
              <w:rPr>
                <w:lang w:eastAsia="en-US"/>
              </w:rPr>
              <w:t>3.</w:t>
            </w:r>
          </w:p>
        </w:tc>
        <w:tc>
          <w:tcPr>
            <w:tcW w:w="8367" w:type="dxa"/>
            <w:gridSpan w:val="2"/>
          </w:tcPr>
          <w:p w14:paraId="3DAE1D08" w14:textId="77777777" w:rsidR="003861FB" w:rsidRPr="00C9343F" w:rsidRDefault="003861FB" w:rsidP="005E243D">
            <w:pPr>
              <w:pStyle w:val="Sectiontext0"/>
              <w:rPr>
                <w:rFonts w:cs="Arial"/>
                <w:lang w:eastAsia="en-US"/>
              </w:rPr>
            </w:pPr>
            <w:r w:rsidRPr="00C9343F">
              <w:rPr>
                <w:rFonts w:cs="Arial"/>
                <w:lang w:eastAsia="en-US"/>
              </w:rPr>
              <w:t>The fortnightly rate of an annual rate of an allowance under this Determination is calculated using the following formula.</w:t>
            </w:r>
          </w:p>
        </w:tc>
      </w:tr>
      <w:tr w:rsidR="003861FB" w:rsidRPr="00C9343F" w14:paraId="354B7636" w14:textId="77777777" w:rsidTr="005E243D">
        <w:tblPrEx>
          <w:tblLook w:val="0000" w:firstRow="0" w:lastRow="0" w:firstColumn="0" w:lastColumn="0" w:noHBand="0" w:noVBand="0"/>
        </w:tblPrEx>
        <w:tc>
          <w:tcPr>
            <w:tcW w:w="992" w:type="dxa"/>
          </w:tcPr>
          <w:p w14:paraId="217CEE4F" w14:textId="77777777" w:rsidR="003861FB" w:rsidRPr="00C9343F" w:rsidRDefault="003861FB" w:rsidP="005E243D">
            <w:pPr>
              <w:pStyle w:val="Sectiontext0"/>
              <w:jc w:val="center"/>
            </w:pPr>
          </w:p>
        </w:tc>
        <w:tc>
          <w:tcPr>
            <w:tcW w:w="8367" w:type="dxa"/>
            <w:gridSpan w:val="2"/>
          </w:tcPr>
          <w:p w14:paraId="50CF21AB" w14:textId="77777777" w:rsidR="003861FB" w:rsidRPr="00C9343F" w:rsidRDefault="003861FB" w:rsidP="005E243D">
            <w:pPr>
              <w:pStyle w:val="Sectiontext0"/>
              <w:rPr>
                <w:b/>
                <w:iCs/>
              </w:rPr>
            </w:pPr>
            <m:oMathPara>
              <m:oMath>
                <m:r>
                  <m:rPr>
                    <m:sty m:val="bi"/>
                  </m:rPr>
                  <w:rPr>
                    <w:rFonts w:ascii="Cambria Math" w:hAnsi="Cambria Math"/>
                  </w:rPr>
                  <m:t xml:space="preserve">fortnightly rate= </m:t>
                </m:r>
                <m:d>
                  <m:dPr>
                    <m:ctrlPr>
                      <w:rPr>
                        <w:rFonts w:ascii="Cambria Math" w:hAnsi="Cambria Math"/>
                        <w:b/>
                        <w:i/>
                        <w:iCs/>
                      </w:rPr>
                    </m:ctrlPr>
                  </m:dPr>
                  <m:e>
                    <m:f>
                      <m:fPr>
                        <m:ctrlPr>
                          <w:rPr>
                            <w:rFonts w:ascii="Cambria Math" w:hAnsi="Cambria Math"/>
                            <w:b/>
                            <w:i/>
                            <w:iCs/>
                          </w:rPr>
                        </m:ctrlPr>
                      </m:fPr>
                      <m:num>
                        <m:r>
                          <m:rPr>
                            <m:sty m:val="bi"/>
                          </m:rPr>
                          <w:rPr>
                            <w:rFonts w:ascii="Cambria Math" w:hAnsi="Cambria Math"/>
                          </w:rPr>
                          <m:t>A</m:t>
                        </m:r>
                      </m:num>
                      <m:den>
                        <m:r>
                          <m:rPr>
                            <m:sty m:val="bi"/>
                          </m:rPr>
                          <w:rPr>
                            <w:rFonts w:ascii="Cambria Math" w:hAnsi="Cambria Math"/>
                          </w:rPr>
                          <m:t>365</m:t>
                        </m:r>
                      </m:den>
                    </m:f>
                  </m:e>
                </m:d>
                <m:r>
                  <m:rPr>
                    <m:sty m:val="bi"/>
                  </m:rPr>
                  <w:rPr>
                    <w:rFonts w:ascii="Cambria Math" w:hAnsi="Cambria Math"/>
                  </w:rPr>
                  <m:t xml:space="preserve"> x 14</m:t>
                </m:r>
              </m:oMath>
            </m:oMathPara>
          </w:p>
        </w:tc>
      </w:tr>
      <w:tr w:rsidR="003861FB" w:rsidRPr="00C9343F" w14:paraId="495D9C60" w14:textId="77777777" w:rsidTr="005E243D">
        <w:tblPrEx>
          <w:tblLook w:val="0000" w:firstRow="0" w:lastRow="0" w:firstColumn="0" w:lastColumn="0" w:noHBand="0" w:noVBand="0"/>
        </w:tblPrEx>
        <w:tc>
          <w:tcPr>
            <w:tcW w:w="992" w:type="dxa"/>
          </w:tcPr>
          <w:p w14:paraId="2B02CE55" w14:textId="77777777" w:rsidR="003861FB" w:rsidRPr="00C9343F" w:rsidRDefault="003861FB" w:rsidP="005E243D">
            <w:pPr>
              <w:pStyle w:val="Sectiontext0"/>
              <w:jc w:val="center"/>
            </w:pPr>
          </w:p>
        </w:tc>
        <w:tc>
          <w:tcPr>
            <w:tcW w:w="8367" w:type="dxa"/>
            <w:gridSpan w:val="2"/>
          </w:tcPr>
          <w:p w14:paraId="25B26F1E" w14:textId="77777777" w:rsidR="003861FB" w:rsidRPr="00C9343F" w:rsidRDefault="003861FB" w:rsidP="005E243D">
            <w:pPr>
              <w:pStyle w:val="Sectiontext0"/>
              <w:rPr>
                <w:iCs/>
              </w:rPr>
            </w:pPr>
            <w:r w:rsidRPr="00C9343F">
              <w:rPr>
                <w:iCs/>
              </w:rPr>
              <w:t>Where:</w:t>
            </w:r>
          </w:p>
        </w:tc>
      </w:tr>
      <w:tr w:rsidR="003861FB" w:rsidRPr="00C9343F" w14:paraId="753A185A" w14:textId="77777777" w:rsidTr="005E243D">
        <w:tblPrEx>
          <w:tblLook w:val="0000" w:firstRow="0" w:lastRow="0" w:firstColumn="0" w:lastColumn="0" w:noHBand="0" w:noVBand="0"/>
        </w:tblPrEx>
        <w:tc>
          <w:tcPr>
            <w:tcW w:w="992" w:type="dxa"/>
          </w:tcPr>
          <w:p w14:paraId="2744FDD8" w14:textId="77777777" w:rsidR="003861FB" w:rsidRPr="00C9343F" w:rsidRDefault="003861FB" w:rsidP="005E243D">
            <w:pPr>
              <w:pStyle w:val="Sectiontext0"/>
              <w:jc w:val="center"/>
            </w:pPr>
          </w:p>
        </w:tc>
        <w:tc>
          <w:tcPr>
            <w:tcW w:w="596" w:type="dxa"/>
          </w:tcPr>
          <w:p w14:paraId="1CCB21AF" w14:textId="77777777" w:rsidR="003861FB" w:rsidRPr="00C9343F" w:rsidRDefault="003861FB" w:rsidP="005E243D">
            <w:pPr>
              <w:pStyle w:val="Sectiontext0"/>
              <w:rPr>
                <w:b/>
                <w:iCs/>
              </w:rPr>
            </w:pPr>
            <w:r w:rsidRPr="00C9343F">
              <w:rPr>
                <w:b/>
                <w:iCs/>
              </w:rPr>
              <w:t>A</w:t>
            </w:r>
          </w:p>
        </w:tc>
        <w:tc>
          <w:tcPr>
            <w:tcW w:w="7771" w:type="dxa"/>
          </w:tcPr>
          <w:p w14:paraId="37D804BA" w14:textId="77777777" w:rsidR="003861FB" w:rsidRPr="00C9343F" w:rsidRDefault="003861FB" w:rsidP="005E243D">
            <w:pPr>
              <w:pStyle w:val="Sectiontext0"/>
              <w:rPr>
                <w:iCs/>
              </w:rPr>
            </w:pPr>
            <w:r w:rsidRPr="00C9343F">
              <w:rPr>
                <w:rFonts w:cs="Arial"/>
                <w:shd w:val="clear" w:color="auto" w:fill="FFFFFF"/>
              </w:rPr>
              <w:t>is the annual rate of allowance.</w:t>
            </w:r>
          </w:p>
        </w:tc>
      </w:tr>
    </w:tbl>
    <w:p w14:paraId="08833D2F" w14:textId="4992F3B4" w:rsidR="004E5563" w:rsidRPr="00C9343F" w:rsidRDefault="004E5563" w:rsidP="00F66D98">
      <w:pPr>
        <w:pStyle w:val="Heading5"/>
      </w:pPr>
      <w:bookmarkStart w:id="389" w:name="_Toc105053669"/>
      <w:r w:rsidRPr="00C9343F">
        <w:lastRenderedPageBreak/>
        <w:t>3.2.7AA</w:t>
      </w:r>
      <w:r w:rsidR="00D94006" w:rsidRPr="00C9343F">
        <w:t>    </w:t>
      </w:r>
      <w:r w:rsidRPr="00C9343F">
        <w:t>Salary and DFRT determinations – flexible service determinations</w:t>
      </w:r>
      <w:bookmarkEnd w:id="389"/>
    </w:p>
    <w:tbl>
      <w:tblPr>
        <w:tblW w:w="9362" w:type="dxa"/>
        <w:tblInd w:w="113" w:type="dxa"/>
        <w:tblLayout w:type="fixed"/>
        <w:tblLook w:val="04A0" w:firstRow="1" w:lastRow="0" w:firstColumn="1" w:lastColumn="0" w:noHBand="0" w:noVBand="1"/>
      </w:tblPr>
      <w:tblGrid>
        <w:gridCol w:w="992"/>
        <w:gridCol w:w="563"/>
        <w:gridCol w:w="7807"/>
      </w:tblGrid>
      <w:tr w:rsidR="004E5563" w:rsidRPr="00C9343F" w14:paraId="69EF4505" w14:textId="77777777" w:rsidTr="0027112A">
        <w:tc>
          <w:tcPr>
            <w:tcW w:w="992" w:type="dxa"/>
          </w:tcPr>
          <w:p w14:paraId="2DCEEC0C" w14:textId="77777777" w:rsidR="004E5563" w:rsidRPr="00C9343F" w:rsidRDefault="004E5563" w:rsidP="00F66D98">
            <w:pPr>
              <w:pStyle w:val="Sectiontext0"/>
              <w:jc w:val="center"/>
              <w:rPr>
                <w:lang w:eastAsia="en-US"/>
              </w:rPr>
            </w:pPr>
            <w:r w:rsidRPr="00C9343F">
              <w:rPr>
                <w:lang w:eastAsia="en-US"/>
              </w:rPr>
              <w:t>1.</w:t>
            </w:r>
          </w:p>
        </w:tc>
        <w:tc>
          <w:tcPr>
            <w:tcW w:w="8370" w:type="dxa"/>
            <w:gridSpan w:val="2"/>
          </w:tcPr>
          <w:p w14:paraId="76425622" w14:textId="77777777" w:rsidR="004E5563" w:rsidRPr="00C9343F" w:rsidRDefault="004E5563" w:rsidP="00F66D98">
            <w:pPr>
              <w:pStyle w:val="Sectiontext0"/>
            </w:pPr>
            <w:r w:rsidRPr="00C9343F">
              <w:rPr>
                <w:rFonts w:cs="Arial"/>
              </w:rPr>
              <w:t>This section applies to salary and allowances payable under a DFRT Determination to a member on a flexible service determination.</w:t>
            </w:r>
          </w:p>
        </w:tc>
      </w:tr>
      <w:tr w:rsidR="004E5563" w:rsidRPr="00C9343F" w14:paraId="4D07F6D1" w14:textId="77777777" w:rsidTr="0027112A">
        <w:tc>
          <w:tcPr>
            <w:tcW w:w="992" w:type="dxa"/>
          </w:tcPr>
          <w:p w14:paraId="1B37B599" w14:textId="77777777" w:rsidR="004E5563" w:rsidRPr="00C9343F" w:rsidRDefault="004E5563" w:rsidP="00F66D98">
            <w:pPr>
              <w:pStyle w:val="Sectiontext0"/>
              <w:jc w:val="center"/>
              <w:rPr>
                <w:lang w:eastAsia="en-US"/>
              </w:rPr>
            </w:pPr>
            <w:r w:rsidRPr="00C9343F">
              <w:rPr>
                <w:lang w:eastAsia="en-US"/>
              </w:rPr>
              <w:t>2.</w:t>
            </w:r>
          </w:p>
        </w:tc>
        <w:tc>
          <w:tcPr>
            <w:tcW w:w="8370" w:type="dxa"/>
            <w:gridSpan w:val="2"/>
          </w:tcPr>
          <w:p w14:paraId="433E6DD2" w14:textId="77777777" w:rsidR="004E5563" w:rsidRPr="00C9343F" w:rsidRDefault="004E5563" w:rsidP="00F66D98">
            <w:pPr>
              <w:pStyle w:val="Sectiontext0"/>
            </w:pPr>
            <w:r w:rsidRPr="00C9343F">
              <w:t xml:space="preserve">For the purpose of calculating a member’s fortnightly salary, the value of a day of a nonworking period is the following. </w:t>
            </w:r>
          </w:p>
        </w:tc>
      </w:tr>
      <w:tr w:rsidR="004E5563" w:rsidRPr="00C9343F" w14:paraId="4A08C934" w14:textId="77777777" w:rsidTr="0027112A">
        <w:tc>
          <w:tcPr>
            <w:tcW w:w="992" w:type="dxa"/>
          </w:tcPr>
          <w:p w14:paraId="45948E7C" w14:textId="77777777" w:rsidR="004E5563" w:rsidRPr="00C9343F" w:rsidRDefault="004E5563" w:rsidP="00F66D98">
            <w:pPr>
              <w:pStyle w:val="Sectiontext0"/>
              <w:jc w:val="center"/>
              <w:rPr>
                <w:lang w:eastAsia="en-US"/>
              </w:rPr>
            </w:pPr>
          </w:p>
        </w:tc>
        <w:tc>
          <w:tcPr>
            <w:tcW w:w="563" w:type="dxa"/>
          </w:tcPr>
          <w:p w14:paraId="6F2B0DBA" w14:textId="77777777" w:rsidR="004E5563" w:rsidRPr="00C9343F" w:rsidRDefault="004E5563" w:rsidP="00F66D98">
            <w:pPr>
              <w:pStyle w:val="Sectiontext0"/>
              <w:jc w:val="center"/>
              <w:rPr>
                <w:rFonts w:cs="Arial"/>
                <w:lang w:eastAsia="en-US"/>
              </w:rPr>
            </w:pPr>
            <w:r w:rsidRPr="00C9343F">
              <w:rPr>
                <w:rFonts w:cs="Arial"/>
                <w:lang w:eastAsia="en-US"/>
              </w:rPr>
              <w:t>a.</w:t>
            </w:r>
          </w:p>
        </w:tc>
        <w:tc>
          <w:tcPr>
            <w:tcW w:w="7807" w:type="dxa"/>
          </w:tcPr>
          <w:p w14:paraId="61BA7AE0" w14:textId="77777777" w:rsidR="004E5563" w:rsidRPr="00C9343F" w:rsidRDefault="004E5563" w:rsidP="00F66D98">
            <w:pPr>
              <w:pStyle w:val="Sectiontext0"/>
            </w:pPr>
            <w:r w:rsidRPr="00C9343F">
              <w:t xml:space="preserve">For the first 4 days of a nonworking period in a fortnight </w:t>
            </w:r>
            <w:r w:rsidRPr="00C9343F">
              <w:rPr>
                <w:rFonts w:cs="Arial"/>
              </w:rPr>
              <w:t>— $0.00.</w:t>
            </w:r>
          </w:p>
        </w:tc>
      </w:tr>
      <w:tr w:rsidR="004E5563" w:rsidRPr="00C9343F" w14:paraId="247E84A4" w14:textId="77777777" w:rsidTr="0027112A">
        <w:tc>
          <w:tcPr>
            <w:tcW w:w="992" w:type="dxa"/>
          </w:tcPr>
          <w:p w14:paraId="4E1BA3F6" w14:textId="77777777" w:rsidR="004E5563" w:rsidRPr="00C9343F" w:rsidRDefault="004E5563" w:rsidP="00F66D98">
            <w:pPr>
              <w:pStyle w:val="Sectiontext0"/>
              <w:jc w:val="center"/>
              <w:rPr>
                <w:lang w:eastAsia="en-US"/>
              </w:rPr>
            </w:pPr>
          </w:p>
        </w:tc>
        <w:tc>
          <w:tcPr>
            <w:tcW w:w="563" w:type="dxa"/>
            <w:hideMark/>
          </w:tcPr>
          <w:p w14:paraId="156DE691" w14:textId="77777777" w:rsidR="004E5563" w:rsidRPr="00C9343F" w:rsidRDefault="004E5563" w:rsidP="00F66D98">
            <w:pPr>
              <w:pStyle w:val="Sectiontext0"/>
              <w:jc w:val="center"/>
              <w:rPr>
                <w:rFonts w:cs="Arial"/>
                <w:lang w:eastAsia="en-US"/>
              </w:rPr>
            </w:pPr>
            <w:r w:rsidRPr="00C9343F">
              <w:rPr>
                <w:rFonts w:cs="Arial"/>
                <w:lang w:eastAsia="en-US"/>
              </w:rPr>
              <w:t>b.</w:t>
            </w:r>
          </w:p>
        </w:tc>
        <w:tc>
          <w:tcPr>
            <w:tcW w:w="7807" w:type="dxa"/>
          </w:tcPr>
          <w:p w14:paraId="3433061E" w14:textId="77777777" w:rsidR="004E5563" w:rsidRPr="00C9343F" w:rsidRDefault="004E5563" w:rsidP="00F66D98">
            <w:pPr>
              <w:pStyle w:val="Sectiontext0"/>
              <w:rPr>
                <w:rFonts w:cs="Arial"/>
                <w:lang w:eastAsia="en-US"/>
              </w:rPr>
            </w:pPr>
            <w:r w:rsidRPr="00C9343F">
              <w:t>For any other day of a nonworking period in a fortnight, the amount calculated using the following formula.</w:t>
            </w:r>
          </w:p>
        </w:tc>
      </w:tr>
      <w:tr w:rsidR="004E5563" w:rsidRPr="00C9343F" w14:paraId="7357BF9C" w14:textId="77777777" w:rsidTr="0027112A">
        <w:tc>
          <w:tcPr>
            <w:tcW w:w="992" w:type="dxa"/>
          </w:tcPr>
          <w:p w14:paraId="24B355F5" w14:textId="77777777" w:rsidR="004E5563" w:rsidRPr="00C9343F" w:rsidRDefault="004E5563" w:rsidP="00F66D98">
            <w:pPr>
              <w:pStyle w:val="Sectiontext0"/>
              <w:jc w:val="center"/>
              <w:rPr>
                <w:lang w:eastAsia="en-US"/>
              </w:rPr>
            </w:pPr>
          </w:p>
        </w:tc>
        <w:tc>
          <w:tcPr>
            <w:tcW w:w="8370" w:type="dxa"/>
            <w:gridSpan w:val="2"/>
          </w:tcPr>
          <w:p w14:paraId="0EF54B55" w14:textId="77777777" w:rsidR="004E5563" w:rsidRPr="00C9343F" w:rsidRDefault="004E5563" w:rsidP="00F66D98">
            <w:pPr>
              <w:pStyle w:val="Sectiontext0"/>
              <w:rPr>
                <w:b/>
              </w:rPr>
            </w:pPr>
            <m:oMathPara>
              <m:oMath>
                <m:r>
                  <m:rPr>
                    <m:sty m:val="bi"/>
                  </m:rPr>
                  <w:rPr>
                    <w:rFonts w:ascii="Cambria Math" w:hAnsi="Cambria Math"/>
                  </w:rPr>
                  <m:t xml:space="preserve">day in a non–working period </m:t>
                </m:r>
                <m:d>
                  <m:dPr>
                    <m:ctrlPr>
                      <w:rPr>
                        <w:rFonts w:ascii="Cambria Math" w:hAnsi="Cambria Math"/>
                        <w:b/>
                        <w:i/>
                      </w:rPr>
                    </m:ctrlPr>
                  </m:dPr>
                  <m:e>
                    <m:r>
                      <m:rPr>
                        <m:sty m:val="bi"/>
                      </m:rPr>
                      <w:rPr>
                        <w:rFonts w:ascii="Cambria Math" w:hAnsi="Cambria Math"/>
                      </w:rPr>
                      <m:t>$</m:t>
                    </m:r>
                  </m:e>
                </m:d>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Salary</m:t>
                    </m:r>
                  </m:num>
                  <m:den>
                    <m:r>
                      <m:rPr>
                        <m:sty m:val="bi"/>
                      </m:rPr>
                      <w:rPr>
                        <w:rFonts w:ascii="Cambria Math" w:hAnsi="Cambria Math"/>
                      </w:rPr>
                      <m:t>365</m:t>
                    </m:r>
                  </m:den>
                </m:f>
                <m:r>
                  <m:rPr>
                    <m:sty m:val="bi"/>
                  </m:rPr>
                  <w:rPr>
                    <w:rFonts w:ascii="Cambria Math" w:hAnsi="Cambria Math"/>
                  </w:rPr>
                  <m:t xml:space="preserve"> ×1.4</m:t>
                </m:r>
              </m:oMath>
            </m:oMathPara>
          </w:p>
        </w:tc>
      </w:tr>
      <w:tr w:rsidR="004E5563" w:rsidRPr="00C9343F" w14:paraId="3FF50DF4" w14:textId="77777777" w:rsidTr="0027112A">
        <w:tc>
          <w:tcPr>
            <w:tcW w:w="992" w:type="dxa"/>
          </w:tcPr>
          <w:p w14:paraId="085ECBAC" w14:textId="77777777" w:rsidR="004E5563" w:rsidRPr="00C9343F" w:rsidRDefault="004E5563" w:rsidP="00F66D98">
            <w:pPr>
              <w:pStyle w:val="Sectiontext0"/>
              <w:jc w:val="center"/>
              <w:rPr>
                <w:lang w:eastAsia="en-US"/>
              </w:rPr>
            </w:pPr>
          </w:p>
        </w:tc>
        <w:tc>
          <w:tcPr>
            <w:tcW w:w="563" w:type="dxa"/>
            <w:hideMark/>
          </w:tcPr>
          <w:p w14:paraId="37B82CAC" w14:textId="77777777" w:rsidR="004E5563" w:rsidRPr="00C9343F" w:rsidRDefault="004E5563" w:rsidP="00F66D98">
            <w:pPr>
              <w:pStyle w:val="Sectiontext0"/>
              <w:jc w:val="center"/>
              <w:rPr>
                <w:rFonts w:cs="Arial"/>
                <w:lang w:eastAsia="en-US"/>
              </w:rPr>
            </w:pPr>
          </w:p>
        </w:tc>
        <w:tc>
          <w:tcPr>
            <w:tcW w:w="7807" w:type="dxa"/>
          </w:tcPr>
          <w:p w14:paraId="2F969C40" w14:textId="77777777" w:rsidR="004E5563" w:rsidRPr="00C9343F" w:rsidRDefault="004E5563" w:rsidP="00F66D98">
            <w:pPr>
              <w:pStyle w:val="Sectiontext0"/>
              <w:rPr>
                <w:rFonts w:cs="Arial"/>
                <w:lang w:eastAsia="en-US"/>
              </w:rPr>
            </w:pPr>
            <w:r w:rsidRPr="00C9343F">
              <w:t>Where:</w:t>
            </w:r>
          </w:p>
        </w:tc>
      </w:tr>
      <w:tr w:rsidR="004E5563" w:rsidRPr="00C9343F" w14:paraId="119B5EF1" w14:textId="77777777" w:rsidTr="0027112A">
        <w:tc>
          <w:tcPr>
            <w:tcW w:w="992" w:type="dxa"/>
          </w:tcPr>
          <w:p w14:paraId="37252727" w14:textId="77777777" w:rsidR="004E5563" w:rsidRPr="00C9343F" w:rsidRDefault="004E5563" w:rsidP="00F66D98">
            <w:pPr>
              <w:pStyle w:val="Sectiontext0"/>
              <w:jc w:val="center"/>
              <w:rPr>
                <w:lang w:eastAsia="en-US"/>
              </w:rPr>
            </w:pPr>
          </w:p>
        </w:tc>
        <w:tc>
          <w:tcPr>
            <w:tcW w:w="563" w:type="dxa"/>
          </w:tcPr>
          <w:p w14:paraId="275BD105" w14:textId="77777777" w:rsidR="004E5563" w:rsidRPr="00C9343F" w:rsidRDefault="004E5563" w:rsidP="00F66D98">
            <w:pPr>
              <w:pStyle w:val="Sectiontext0"/>
              <w:jc w:val="center"/>
              <w:rPr>
                <w:rFonts w:cs="Arial"/>
                <w:lang w:eastAsia="en-US"/>
              </w:rPr>
            </w:pPr>
          </w:p>
        </w:tc>
        <w:tc>
          <w:tcPr>
            <w:tcW w:w="7807" w:type="dxa"/>
          </w:tcPr>
          <w:p w14:paraId="086E7C18" w14:textId="77777777" w:rsidR="004E5563" w:rsidRPr="00C9343F" w:rsidRDefault="004E5563" w:rsidP="00F66D98">
            <w:pPr>
              <w:pStyle w:val="Sectiontext0"/>
              <w:rPr>
                <w:rFonts w:cs="Arial"/>
                <w:lang w:eastAsia="en-US"/>
              </w:rPr>
            </w:pPr>
            <w:r w:rsidRPr="00C9343F">
              <w:rPr>
                <w:b/>
              </w:rPr>
              <w:t>Salary</w:t>
            </w:r>
            <w:r w:rsidRPr="00C9343F">
              <w:t xml:space="preserve"> means the member’s annual salary.</w:t>
            </w:r>
          </w:p>
        </w:tc>
      </w:tr>
      <w:tr w:rsidR="004E5563" w:rsidRPr="00C9343F" w14:paraId="3D2736D4" w14:textId="77777777" w:rsidTr="0027112A">
        <w:tc>
          <w:tcPr>
            <w:tcW w:w="992" w:type="dxa"/>
          </w:tcPr>
          <w:p w14:paraId="1095FC33" w14:textId="77777777" w:rsidR="004E5563" w:rsidRPr="00C9343F" w:rsidRDefault="004E5563" w:rsidP="00F66D98">
            <w:pPr>
              <w:pStyle w:val="Sectiontext0"/>
              <w:jc w:val="center"/>
              <w:rPr>
                <w:lang w:eastAsia="en-US"/>
              </w:rPr>
            </w:pPr>
          </w:p>
        </w:tc>
        <w:tc>
          <w:tcPr>
            <w:tcW w:w="8370" w:type="dxa"/>
            <w:gridSpan w:val="2"/>
          </w:tcPr>
          <w:p w14:paraId="64F8F04A" w14:textId="77777777" w:rsidR="004E5563" w:rsidRPr="00C9343F" w:rsidRDefault="004E5563" w:rsidP="00F66D98">
            <w:pPr>
              <w:pStyle w:val="Sectiontext0"/>
            </w:pPr>
            <w:r w:rsidRPr="00C9343F">
              <w:rPr>
                <w:b/>
              </w:rPr>
              <w:t>Note:</w:t>
            </w:r>
            <w:r w:rsidRPr="00C9343F">
              <w:t xml:space="preserve"> Under DFRT Determination No. 2 of 2017, a member is not paid for a nonworking period. A member’s fortnightly salary is reduced by the value of the nonworking period for each day that in their nonworking period in the fortnight.</w:t>
            </w:r>
          </w:p>
        </w:tc>
      </w:tr>
      <w:tr w:rsidR="004E5563" w:rsidRPr="00C9343F" w14:paraId="0AECD308" w14:textId="77777777" w:rsidTr="0027112A">
        <w:tc>
          <w:tcPr>
            <w:tcW w:w="992" w:type="dxa"/>
          </w:tcPr>
          <w:p w14:paraId="246F24BB" w14:textId="77777777" w:rsidR="004E5563" w:rsidRPr="00C9343F" w:rsidRDefault="004E5563" w:rsidP="00F66D98">
            <w:pPr>
              <w:pStyle w:val="Sectiontext0"/>
              <w:jc w:val="center"/>
              <w:rPr>
                <w:lang w:eastAsia="en-US"/>
              </w:rPr>
            </w:pPr>
            <w:r w:rsidRPr="00C9343F">
              <w:rPr>
                <w:lang w:eastAsia="en-US"/>
              </w:rPr>
              <w:t>3.</w:t>
            </w:r>
          </w:p>
        </w:tc>
        <w:tc>
          <w:tcPr>
            <w:tcW w:w="8370" w:type="dxa"/>
            <w:gridSpan w:val="2"/>
          </w:tcPr>
          <w:p w14:paraId="56E0D8DF" w14:textId="77777777" w:rsidR="004E5563" w:rsidRPr="00C9343F" w:rsidRDefault="004E5563" w:rsidP="00F66D98">
            <w:pPr>
              <w:pStyle w:val="Sectiontext0"/>
            </w:pPr>
            <w:r w:rsidRPr="00C9343F">
              <w:t>For the purpose of a DFRT allowance, the value of a day of a nonworking period is one of the following.</w:t>
            </w:r>
          </w:p>
        </w:tc>
      </w:tr>
      <w:tr w:rsidR="004E5563" w:rsidRPr="00C9343F" w14:paraId="6DCF37E5" w14:textId="77777777" w:rsidTr="0027112A">
        <w:tc>
          <w:tcPr>
            <w:tcW w:w="992" w:type="dxa"/>
          </w:tcPr>
          <w:p w14:paraId="3A68A296" w14:textId="77777777" w:rsidR="004E5563" w:rsidRPr="00C9343F" w:rsidRDefault="004E5563" w:rsidP="00F66D98">
            <w:pPr>
              <w:pStyle w:val="Sectiontext0"/>
              <w:jc w:val="center"/>
              <w:rPr>
                <w:lang w:eastAsia="en-US"/>
              </w:rPr>
            </w:pPr>
          </w:p>
        </w:tc>
        <w:tc>
          <w:tcPr>
            <w:tcW w:w="563" w:type="dxa"/>
          </w:tcPr>
          <w:p w14:paraId="5B3235AC" w14:textId="77777777" w:rsidR="004E5563" w:rsidRPr="00C9343F" w:rsidRDefault="004E5563" w:rsidP="00F66D98">
            <w:pPr>
              <w:pStyle w:val="Sectiontext0"/>
              <w:jc w:val="center"/>
              <w:rPr>
                <w:rFonts w:cs="Arial"/>
                <w:lang w:eastAsia="en-US"/>
              </w:rPr>
            </w:pPr>
            <w:r w:rsidRPr="00C9343F">
              <w:rPr>
                <w:rFonts w:cs="Arial"/>
                <w:lang w:eastAsia="en-US"/>
              </w:rPr>
              <w:t>a.</w:t>
            </w:r>
          </w:p>
        </w:tc>
        <w:tc>
          <w:tcPr>
            <w:tcW w:w="7807" w:type="dxa"/>
          </w:tcPr>
          <w:p w14:paraId="3041F7E1" w14:textId="77777777" w:rsidR="004E5563" w:rsidRPr="00C9343F" w:rsidRDefault="004E5563" w:rsidP="00F66D98">
            <w:pPr>
              <w:pStyle w:val="Sectiontext0"/>
            </w:pPr>
            <w:r w:rsidRPr="00C9343F">
              <w:t xml:space="preserve">For the first 4 days of a nonworking period in a fortnight </w:t>
            </w:r>
            <w:r w:rsidRPr="00C9343F">
              <w:rPr>
                <w:rFonts w:cs="Arial"/>
              </w:rPr>
              <w:t>— $0.00.</w:t>
            </w:r>
          </w:p>
        </w:tc>
      </w:tr>
      <w:tr w:rsidR="004E5563" w:rsidRPr="00C9343F" w14:paraId="22060177" w14:textId="77777777" w:rsidTr="0027112A">
        <w:tc>
          <w:tcPr>
            <w:tcW w:w="992" w:type="dxa"/>
          </w:tcPr>
          <w:p w14:paraId="41A03F22" w14:textId="77777777" w:rsidR="004E5563" w:rsidRPr="00C9343F" w:rsidRDefault="004E5563" w:rsidP="00F66D98">
            <w:pPr>
              <w:pStyle w:val="Sectiontext0"/>
              <w:jc w:val="center"/>
              <w:rPr>
                <w:lang w:eastAsia="en-US"/>
              </w:rPr>
            </w:pPr>
          </w:p>
        </w:tc>
        <w:tc>
          <w:tcPr>
            <w:tcW w:w="563" w:type="dxa"/>
            <w:hideMark/>
          </w:tcPr>
          <w:p w14:paraId="3BA2C768" w14:textId="77777777" w:rsidR="004E5563" w:rsidRPr="00C9343F" w:rsidRDefault="004E5563" w:rsidP="00F66D98">
            <w:pPr>
              <w:pStyle w:val="Sectiontext0"/>
              <w:jc w:val="center"/>
              <w:rPr>
                <w:rFonts w:cs="Arial"/>
                <w:lang w:eastAsia="en-US"/>
              </w:rPr>
            </w:pPr>
            <w:r w:rsidRPr="00C9343F">
              <w:rPr>
                <w:rFonts w:cs="Arial"/>
                <w:lang w:eastAsia="en-US"/>
              </w:rPr>
              <w:t>b.</w:t>
            </w:r>
          </w:p>
        </w:tc>
        <w:tc>
          <w:tcPr>
            <w:tcW w:w="7807" w:type="dxa"/>
          </w:tcPr>
          <w:p w14:paraId="6EC8A244" w14:textId="77777777" w:rsidR="004E5563" w:rsidRPr="00C9343F" w:rsidRDefault="004E5563" w:rsidP="00F66D98">
            <w:pPr>
              <w:pStyle w:val="Sectiontext0"/>
              <w:rPr>
                <w:rFonts w:cs="Arial"/>
                <w:lang w:eastAsia="en-US"/>
              </w:rPr>
            </w:pPr>
            <w:r w:rsidRPr="00C9343F">
              <w:t>For every other day of a nonworking period in a fortnight, the amount calculated using the following formula.</w:t>
            </w:r>
          </w:p>
        </w:tc>
      </w:tr>
      <w:tr w:rsidR="004E5563" w:rsidRPr="00C9343F" w14:paraId="64BFA279" w14:textId="77777777" w:rsidTr="0027112A">
        <w:tc>
          <w:tcPr>
            <w:tcW w:w="992" w:type="dxa"/>
          </w:tcPr>
          <w:p w14:paraId="5B730852" w14:textId="77777777" w:rsidR="004E5563" w:rsidRPr="00C9343F" w:rsidRDefault="004E5563" w:rsidP="00F66D98">
            <w:pPr>
              <w:pStyle w:val="Sectiontext0"/>
              <w:jc w:val="center"/>
              <w:rPr>
                <w:lang w:eastAsia="en-US"/>
              </w:rPr>
            </w:pPr>
          </w:p>
        </w:tc>
        <w:tc>
          <w:tcPr>
            <w:tcW w:w="8370" w:type="dxa"/>
            <w:gridSpan w:val="2"/>
          </w:tcPr>
          <w:p w14:paraId="671326AD" w14:textId="77777777" w:rsidR="004E5563" w:rsidRPr="00C9343F" w:rsidRDefault="004E5563" w:rsidP="00F66D98">
            <w:pPr>
              <w:pStyle w:val="Sectiontext0"/>
              <w:rPr>
                <w:b/>
              </w:rPr>
            </w:pPr>
            <m:oMathPara>
              <m:oMath>
                <m:r>
                  <m:rPr>
                    <m:sty m:val="bi"/>
                  </m:rPr>
                  <w:rPr>
                    <w:rFonts w:ascii="Cambria Math" w:hAnsi="Cambria Math"/>
                  </w:rPr>
                  <m:t xml:space="preserve">day in a non–working period </m:t>
                </m:r>
                <m:d>
                  <m:dPr>
                    <m:ctrlPr>
                      <w:rPr>
                        <w:rFonts w:ascii="Cambria Math" w:hAnsi="Cambria Math"/>
                        <w:b/>
                        <w:i/>
                      </w:rPr>
                    </m:ctrlPr>
                  </m:dPr>
                  <m:e>
                    <m:r>
                      <m:rPr>
                        <m:sty m:val="bi"/>
                      </m:rPr>
                      <w:rPr>
                        <w:rFonts w:ascii="Cambria Math" w:hAnsi="Cambria Math"/>
                      </w:rPr>
                      <m:t>$</m:t>
                    </m:r>
                  </m:e>
                </m:d>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Allowance</m:t>
                    </m:r>
                  </m:num>
                  <m:den>
                    <m:r>
                      <m:rPr>
                        <m:sty m:val="bi"/>
                      </m:rPr>
                      <w:rPr>
                        <w:rFonts w:ascii="Cambria Math" w:hAnsi="Cambria Math"/>
                      </w:rPr>
                      <m:t>365</m:t>
                    </m:r>
                  </m:den>
                </m:f>
                <m:r>
                  <m:rPr>
                    <m:sty m:val="bi"/>
                  </m:rPr>
                  <w:rPr>
                    <w:rFonts w:ascii="Cambria Math" w:hAnsi="Cambria Math"/>
                  </w:rPr>
                  <m:t xml:space="preserve"> × 1.4</m:t>
                </m:r>
              </m:oMath>
            </m:oMathPara>
          </w:p>
        </w:tc>
      </w:tr>
      <w:tr w:rsidR="004E5563" w:rsidRPr="00C9343F" w14:paraId="272A4E49" w14:textId="77777777" w:rsidTr="0027112A">
        <w:tc>
          <w:tcPr>
            <w:tcW w:w="992" w:type="dxa"/>
          </w:tcPr>
          <w:p w14:paraId="26C8DDD1" w14:textId="77777777" w:rsidR="004E5563" w:rsidRPr="00C9343F" w:rsidRDefault="004E5563" w:rsidP="00F66D98">
            <w:pPr>
              <w:pStyle w:val="Sectiontext0"/>
              <w:jc w:val="center"/>
              <w:rPr>
                <w:lang w:eastAsia="en-US"/>
              </w:rPr>
            </w:pPr>
          </w:p>
        </w:tc>
        <w:tc>
          <w:tcPr>
            <w:tcW w:w="563" w:type="dxa"/>
            <w:hideMark/>
          </w:tcPr>
          <w:p w14:paraId="02F256F3" w14:textId="77777777" w:rsidR="004E5563" w:rsidRPr="00C9343F" w:rsidRDefault="004E5563" w:rsidP="00F66D98">
            <w:pPr>
              <w:pStyle w:val="Sectiontext0"/>
              <w:jc w:val="center"/>
              <w:rPr>
                <w:rFonts w:cs="Arial"/>
                <w:lang w:eastAsia="en-US"/>
              </w:rPr>
            </w:pPr>
          </w:p>
        </w:tc>
        <w:tc>
          <w:tcPr>
            <w:tcW w:w="7807" w:type="dxa"/>
          </w:tcPr>
          <w:p w14:paraId="25FE4859" w14:textId="77777777" w:rsidR="004E5563" w:rsidRPr="00C9343F" w:rsidRDefault="004E5563" w:rsidP="00F66D98">
            <w:pPr>
              <w:pStyle w:val="Sectiontext0"/>
              <w:rPr>
                <w:rFonts w:cs="Arial"/>
                <w:lang w:eastAsia="en-US"/>
              </w:rPr>
            </w:pPr>
            <w:r w:rsidRPr="00C9343F">
              <w:t>Where:</w:t>
            </w:r>
          </w:p>
        </w:tc>
      </w:tr>
      <w:tr w:rsidR="004E5563" w:rsidRPr="00C9343F" w14:paraId="68752029" w14:textId="77777777" w:rsidTr="0027112A">
        <w:tc>
          <w:tcPr>
            <w:tcW w:w="992" w:type="dxa"/>
          </w:tcPr>
          <w:p w14:paraId="1D0A09BC" w14:textId="77777777" w:rsidR="004E5563" w:rsidRPr="00C9343F" w:rsidRDefault="004E5563" w:rsidP="00F66D98">
            <w:pPr>
              <w:pStyle w:val="Sectiontext0"/>
              <w:jc w:val="center"/>
              <w:rPr>
                <w:lang w:eastAsia="en-US"/>
              </w:rPr>
            </w:pPr>
          </w:p>
        </w:tc>
        <w:tc>
          <w:tcPr>
            <w:tcW w:w="563" w:type="dxa"/>
          </w:tcPr>
          <w:p w14:paraId="25242227" w14:textId="77777777" w:rsidR="004E5563" w:rsidRPr="00C9343F" w:rsidRDefault="004E5563" w:rsidP="00F66D98">
            <w:pPr>
              <w:pStyle w:val="Sectiontext0"/>
              <w:jc w:val="center"/>
              <w:rPr>
                <w:rFonts w:cs="Arial"/>
                <w:lang w:eastAsia="en-US"/>
              </w:rPr>
            </w:pPr>
          </w:p>
        </w:tc>
        <w:tc>
          <w:tcPr>
            <w:tcW w:w="7807" w:type="dxa"/>
          </w:tcPr>
          <w:p w14:paraId="763EF620" w14:textId="77777777" w:rsidR="004E5563" w:rsidRPr="00C9343F" w:rsidRDefault="004E5563" w:rsidP="00F66D98">
            <w:pPr>
              <w:pStyle w:val="Sectiontext0"/>
              <w:rPr>
                <w:rFonts w:cs="Arial"/>
                <w:lang w:eastAsia="en-US"/>
              </w:rPr>
            </w:pPr>
            <w:r w:rsidRPr="00C9343F">
              <w:rPr>
                <w:b/>
              </w:rPr>
              <w:t>Allowance</w:t>
            </w:r>
            <w:r w:rsidRPr="00C9343F">
              <w:t xml:space="preserve"> means the annual rate of a DFRT allowance payable to a member.</w:t>
            </w:r>
          </w:p>
        </w:tc>
      </w:tr>
      <w:tr w:rsidR="004E5563" w:rsidRPr="00C9343F" w14:paraId="05F91685" w14:textId="77777777" w:rsidTr="0027112A">
        <w:tc>
          <w:tcPr>
            <w:tcW w:w="992" w:type="dxa"/>
          </w:tcPr>
          <w:p w14:paraId="705FAC85" w14:textId="77777777" w:rsidR="004E5563" w:rsidRPr="00C9343F" w:rsidRDefault="004E5563" w:rsidP="00F66D98">
            <w:pPr>
              <w:pStyle w:val="Sectiontext0"/>
              <w:jc w:val="center"/>
              <w:rPr>
                <w:lang w:eastAsia="en-US"/>
              </w:rPr>
            </w:pPr>
          </w:p>
        </w:tc>
        <w:tc>
          <w:tcPr>
            <w:tcW w:w="8370" w:type="dxa"/>
            <w:gridSpan w:val="2"/>
          </w:tcPr>
          <w:p w14:paraId="216A4C2D" w14:textId="77777777" w:rsidR="004E5563" w:rsidRPr="00C9343F" w:rsidRDefault="004E5563" w:rsidP="00F66D98">
            <w:pPr>
              <w:pStyle w:val="Sectiontext0"/>
            </w:pPr>
            <w:r w:rsidRPr="00C9343F">
              <w:rPr>
                <w:b/>
              </w:rPr>
              <w:t>Note:</w:t>
            </w:r>
            <w:r w:rsidRPr="00C9343F">
              <w:t xml:space="preserve"> Under DFRT Determination No. 11 of 2013, a member is not paid for a nonworking period. A member’s fortnightly rate of the allowance is reduced by the value of the nonworking period for each day in their nonworking period in the fortnight.</w:t>
            </w:r>
          </w:p>
        </w:tc>
      </w:tr>
    </w:tbl>
    <w:p w14:paraId="08B27643" w14:textId="705C5E77" w:rsidR="004E5563" w:rsidRPr="00C9343F" w:rsidRDefault="004E5563" w:rsidP="00F66D98">
      <w:pPr>
        <w:pStyle w:val="Heading5"/>
      </w:pPr>
      <w:bookmarkStart w:id="390" w:name="_Toc105053670"/>
      <w:r w:rsidRPr="00C9343F">
        <w:t>3.2.7A</w:t>
      </w:r>
      <w:r w:rsidR="00D94006" w:rsidRPr="00C9343F">
        <w:t>    </w:t>
      </w:r>
      <w:r w:rsidRPr="00C9343F">
        <w:t>Section 58B Allowances – flexible service determinations</w:t>
      </w:r>
      <w:bookmarkEnd w:id="390"/>
    </w:p>
    <w:tbl>
      <w:tblPr>
        <w:tblW w:w="9359" w:type="dxa"/>
        <w:tblInd w:w="113" w:type="dxa"/>
        <w:tblLayout w:type="fixed"/>
        <w:tblLook w:val="04A0" w:firstRow="1" w:lastRow="0" w:firstColumn="1" w:lastColumn="0" w:noHBand="0" w:noVBand="1"/>
      </w:tblPr>
      <w:tblGrid>
        <w:gridCol w:w="992"/>
        <w:gridCol w:w="563"/>
        <w:gridCol w:w="7804"/>
      </w:tblGrid>
      <w:tr w:rsidR="004E5563" w:rsidRPr="00C9343F" w14:paraId="4578906F" w14:textId="77777777" w:rsidTr="0027112A">
        <w:tc>
          <w:tcPr>
            <w:tcW w:w="992" w:type="dxa"/>
          </w:tcPr>
          <w:p w14:paraId="416F8E7B" w14:textId="77777777" w:rsidR="004E5563" w:rsidRPr="00C9343F" w:rsidRDefault="004E5563" w:rsidP="00F66D98">
            <w:pPr>
              <w:pStyle w:val="Sectiontext0"/>
              <w:jc w:val="center"/>
              <w:rPr>
                <w:lang w:eastAsia="en-US"/>
              </w:rPr>
            </w:pPr>
            <w:r w:rsidRPr="00C9343F">
              <w:rPr>
                <w:lang w:eastAsia="en-US"/>
              </w:rPr>
              <w:t>1.</w:t>
            </w:r>
          </w:p>
        </w:tc>
        <w:tc>
          <w:tcPr>
            <w:tcW w:w="8367" w:type="dxa"/>
            <w:gridSpan w:val="2"/>
          </w:tcPr>
          <w:p w14:paraId="6FB9C99D" w14:textId="77777777" w:rsidR="004E5563" w:rsidRPr="00C9343F" w:rsidRDefault="004E5563" w:rsidP="00F66D98">
            <w:pPr>
              <w:pStyle w:val="Sectiontext0"/>
              <w:rPr>
                <w:rFonts w:cs="Arial"/>
              </w:rPr>
            </w:pPr>
            <w:r w:rsidRPr="00C9343F">
              <w:rPr>
                <w:rFonts w:cs="Arial"/>
              </w:rPr>
              <w:t>This section applies to an allowance under this Determination that has an annual rate and is payable to a member on a flexible service determination other than the following.</w:t>
            </w:r>
          </w:p>
        </w:tc>
      </w:tr>
      <w:tr w:rsidR="004E5563" w:rsidRPr="00C9343F" w14:paraId="2CC6C45E" w14:textId="77777777" w:rsidTr="0027112A">
        <w:tc>
          <w:tcPr>
            <w:tcW w:w="992" w:type="dxa"/>
          </w:tcPr>
          <w:p w14:paraId="3D49CAAA" w14:textId="77777777" w:rsidR="004E5563" w:rsidRPr="00C9343F" w:rsidRDefault="004E5563" w:rsidP="00F66D98">
            <w:pPr>
              <w:pStyle w:val="Sectiontext0"/>
              <w:jc w:val="center"/>
              <w:rPr>
                <w:lang w:eastAsia="en-US"/>
              </w:rPr>
            </w:pPr>
          </w:p>
        </w:tc>
        <w:tc>
          <w:tcPr>
            <w:tcW w:w="563" w:type="dxa"/>
            <w:hideMark/>
          </w:tcPr>
          <w:p w14:paraId="52F0BB84" w14:textId="77777777" w:rsidR="004E5563" w:rsidRPr="00C9343F" w:rsidRDefault="004E5563" w:rsidP="00F66D98">
            <w:pPr>
              <w:pStyle w:val="Sectiontext0"/>
              <w:jc w:val="center"/>
              <w:rPr>
                <w:rFonts w:cs="Arial"/>
                <w:lang w:eastAsia="en-US"/>
              </w:rPr>
            </w:pPr>
            <w:r w:rsidRPr="00C9343F">
              <w:rPr>
                <w:rFonts w:cs="Arial"/>
                <w:lang w:eastAsia="en-US"/>
              </w:rPr>
              <w:t>a.</w:t>
            </w:r>
          </w:p>
        </w:tc>
        <w:tc>
          <w:tcPr>
            <w:tcW w:w="7804" w:type="dxa"/>
          </w:tcPr>
          <w:p w14:paraId="78569609" w14:textId="77777777" w:rsidR="004E5563" w:rsidRPr="00C9343F" w:rsidRDefault="004E5563" w:rsidP="00F66D98">
            <w:pPr>
              <w:pStyle w:val="NormalWeb"/>
              <w:spacing w:before="100" w:beforeAutospacing="1" w:after="100" w:afterAutospacing="1"/>
              <w:rPr>
                <w:rFonts w:ascii="Arial" w:hAnsi="Arial" w:cs="Arial"/>
                <w:sz w:val="20"/>
                <w:szCs w:val="20"/>
              </w:rPr>
            </w:pPr>
            <w:r w:rsidRPr="00C9343F">
              <w:rPr>
                <w:rFonts w:ascii="Arial" w:hAnsi="Arial" w:cs="Arial"/>
                <w:sz w:val="20"/>
                <w:szCs w:val="20"/>
              </w:rPr>
              <w:t>ADF District allowance under Chapter 4 Part 4 Division 1 and Division 2.</w:t>
            </w:r>
          </w:p>
        </w:tc>
      </w:tr>
      <w:tr w:rsidR="004E5563" w:rsidRPr="00C9343F" w14:paraId="18C56064" w14:textId="77777777" w:rsidTr="0027112A">
        <w:tc>
          <w:tcPr>
            <w:tcW w:w="992" w:type="dxa"/>
          </w:tcPr>
          <w:p w14:paraId="60680F9B" w14:textId="77777777" w:rsidR="004E5563" w:rsidRPr="00C9343F" w:rsidRDefault="004E5563" w:rsidP="00F66D98">
            <w:pPr>
              <w:pStyle w:val="Sectiontext0"/>
              <w:jc w:val="center"/>
              <w:rPr>
                <w:lang w:eastAsia="en-US"/>
              </w:rPr>
            </w:pPr>
          </w:p>
        </w:tc>
        <w:tc>
          <w:tcPr>
            <w:tcW w:w="563" w:type="dxa"/>
            <w:hideMark/>
          </w:tcPr>
          <w:p w14:paraId="132B95C3" w14:textId="77777777" w:rsidR="004E5563" w:rsidRPr="00C9343F" w:rsidRDefault="004E5563" w:rsidP="00F66D98">
            <w:pPr>
              <w:pStyle w:val="Sectiontext0"/>
              <w:jc w:val="center"/>
              <w:rPr>
                <w:rFonts w:cs="Arial"/>
                <w:lang w:eastAsia="en-US"/>
              </w:rPr>
            </w:pPr>
            <w:r w:rsidRPr="00C9343F">
              <w:rPr>
                <w:rFonts w:cs="Arial"/>
                <w:lang w:eastAsia="en-US"/>
              </w:rPr>
              <w:t>b.</w:t>
            </w:r>
          </w:p>
        </w:tc>
        <w:tc>
          <w:tcPr>
            <w:tcW w:w="7804" w:type="dxa"/>
          </w:tcPr>
          <w:p w14:paraId="0A1D1543" w14:textId="77777777" w:rsidR="004E5563" w:rsidRPr="00C9343F" w:rsidRDefault="004E5563" w:rsidP="00F66D98">
            <w:pPr>
              <w:pStyle w:val="NormalWeb"/>
              <w:spacing w:before="100" w:beforeAutospacing="1" w:after="100" w:afterAutospacing="1"/>
              <w:rPr>
                <w:rFonts w:ascii="Arial" w:hAnsi="Arial" w:cs="Arial"/>
                <w:sz w:val="20"/>
                <w:szCs w:val="20"/>
              </w:rPr>
            </w:pPr>
            <w:r w:rsidRPr="00C9343F">
              <w:rPr>
                <w:rFonts w:ascii="Arial" w:hAnsi="Arial" w:cs="Arial"/>
                <w:sz w:val="20"/>
                <w:szCs w:val="20"/>
              </w:rPr>
              <w:t xml:space="preserve">Scherger allowance under Chapter 4 Part 4 Division 4. </w:t>
            </w:r>
          </w:p>
        </w:tc>
      </w:tr>
      <w:tr w:rsidR="004E5563" w:rsidRPr="00C9343F" w14:paraId="286E7914" w14:textId="77777777" w:rsidTr="0027112A">
        <w:tc>
          <w:tcPr>
            <w:tcW w:w="992" w:type="dxa"/>
          </w:tcPr>
          <w:p w14:paraId="670FA6E1" w14:textId="77777777" w:rsidR="004E5563" w:rsidRPr="00C9343F" w:rsidRDefault="004E5563" w:rsidP="00F66D98">
            <w:pPr>
              <w:pStyle w:val="Sectiontext0"/>
              <w:jc w:val="center"/>
              <w:rPr>
                <w:lang w:eastAsia="en-US"/>
              </w:rPr>
            </w:pPr>
          </w:p>
        </w:tc>
        <w:tc>
          <w:tcPr>
            <w:tcW w:w="563" w:type="dxa"/>
            <w:hideMark/>
          </w:tcPr>
          <w:p w14:paraId="5E81FBAD" w14:textId="77777777" w:rsidR="004E5563" w:rsidRPr="00C9343F" w:rsidRDefault="004E5563" w:rsidP="00F66D98">
            <w:pPr>
              <w:pStyle w:val="Sectiontext0"/>
              <w:jc w:val="center"/>
              <w:rPr>
                <w:rFonts w:cs="Arial"/>
                <w:lang w:eastAsia="en-US"/>
              </w:rPr>
            </w:pPr>
            <w:r w:rsidRPr="00C9343F">
              <w:rPr>
                <w:rFonts w:cs="Arial"/>
                <w:lang w:eastAsia="en-US"/>
              </w:rPr>
              <w:t>c.</w:t>
            </w:r>
          </w:p>
        </w:tc>
        <w:tc>
          <w:tcPr>
            <w:tcW w:w="7804" w:type="dxa"/>
          </w:tcPr>
          <w:p w14:paraId="3BA0F1F1" w14:textId="77777777" w:rsidR="004E5563" w:rsidRPr="00C9343F" w:rsidRDefault="004E5563" w:rsidP="00F66D98">
            <w:pPr>
              <w:pStyle w:val="NormalWeb"/>
              <w:spacing w:before="100" w:beforeAutospacing="1" w:after="100" w:afterAutospacing="1"/>
              <w:rPr>
                <w:rFonts w:ascii="Arial" w:hAnsi="Arial" w:cs="Arial"/>
                <w:sz w:val="20"/>
                <w:szCs w:val="20"/>
              </w:rPr>
            </w:pPr>
            <w:r w:rsidRPr="00C9343F">
              <w:rPr>
                <w:rFonts w:ascii="Arial" w:hAnsi="Arial" w:cs="Arial"/>
                <w:sz w:val="20"/>
                <w:szCs w:val="20"/>
              </w:rPr>
              <w:t xml:space="preserve">Antarctic allowance under Chapter 4 Part 4 Division 6. </w:t>
            </w:r>
          </w:p>
        </w:tc>
      </w:tr>
      <w:tr w:rsidR="004E5563" w:rsidRPr="00C9343F" w14:paraId="4F73979F" w14:textId="77777777" w:rsidTr="0027112A">
        <w:tc>
          <w:tcPr>
            <w:tcW w:w="992" w:type="dxa"/>
          </w:tcPr>
          <w:p w14:paraId="3127B588" w14:textId="77777777" w:rsidR="004E5563" w:rsidRPr="00C9343F" w:rsidRDefault="004E5563" w:rsidP="00F66D98">
            <w:pPr>
              <w:pStyle w:val="Sectiontext0"/>
              <w:jc w:val="center"/>
              <w:rPr>
                <w:lang w:eastAsia="en-US"/>
              </w:rPr>
            </w:pPr>
          </w:p>
        </w:tc>
        <w:tc>
          <w:tcPr>
            <w:tcW w:w="563" w:type="dxa"/>
            <w:hideMark/>
          </w:tcPr>
          <w:p w14:paraId="5B6BDDE6" w14:textId="77777777" w:rsidR="004E5563" w:rsidRPr="00C9343F" w:rsidRDefault="004E5563" w:rsidP="00F66D98">
            <w:pPr>
              <w:pStyle w:val="Sectiontext0"/>
              <w:jc w:val="center"/>
              <w:rPr>
                <w:rFonts w:cs="Arial"/>
                <w:lang w:eastAsia="en-US"/>
              </w:rPr>
            </w:pPr>
            <w:r w:rsidRPr="00C9343F">
              <w:rPr>
                <w:rFonts w:cs="Arial"/>
                <w:lang w:eastAsia="en-US"/>
              </w:rPr>
              <w:t>d.</w:t>
            </w:r>
          </w:p>
        </w:tc>
        <w:tc>
          <w:tcPr>
            <w:tcW w:w="7804" w:type="dxa"/>
          </w:tcPr>
          <w:p w14:paraId="542CA2EF" w14:textId="633858DC" w:rsidR="004E5563" w:rsidRPr="00C9343F" w:rsidRDefault="004E5563" w:rsidP="00F66D98">
            <w:pPr>
              <w:pStyle w:val="NormalWeb"/>
              <w:spacing w:before="100" w:beforeAutospacing="1" w:after="100" w:afterAutospacing="1"/>
              <w:rPr>
                <w:rFonts w:ascii="Arial" w:hAnsi="Arial" w:cs="Arial"/>
                <w:sz w:val="20"/>
                <w:szCs w:val="20"/>
              </w:rPr>
            </w:pPr>
            <w:r w:rsidRPr="00C9343F">
              <w:rPr>
                <w:rFonts w:ascii="Arial" w:hAnsi="Arial" w:cs="Arial"/>
                <w:sz w:val="20"/>
                <w:szCs w:val="20"/>
              </w:rPr>
              <w:t xml:space="preserve">Common duties allowance (Antarctic) under Chapter 4 Part 4 Division </w:t>
            </w:r>
            <w:r w:rsidR="004654DB" w:rsidRPr="00C9343F">
              <w:rPr>
                <w:rFonts w:ascii="Arial" w:hAnsi="Arial" w:cs="Arial"/>
                <w:sz w:val="20"/>
                <w:szCs w:val="20"/>
              </w:rPr>
              <w:t>7</w:t>
            </w:r>
            <w:r w:rsidRPr="00C9343F">
              <w:rPr>
                <w:rFonts w:ascii="Arial" w:hAnsi="Arial" w:cs="Arial"/>
                <w:sz w:val="20"/>
                <w:szCs w:val="20"/>
              </w:rPr>
              <w:t xml:space="preserve">. </w:t>
            </w:r>
          </w:p>
        </w:tc>
      </w:tr>
      <w:tr w:rsidR="004E5563" w:rsidRPr="00C9343F" w14:paraId="5F38DBD7" w14:textId="77777777" w:rsidTr="0027112A">
        <w:tc>
          <w:tcPr>
            <w:tcW w:w="992" w:type="dxa"/>
          </w:tcPr>
          <w:p w14:paraId="208C7EB6" w14:textId="77777777" w:rsidR="004E5563" w:rsidRPr="00C9343F" w:rsidRDefault="004E5563" w:rsidP="00F66D98">
            <w:pPr>
              <w:pStyle w:val="Sectiontext0"/>
              <w:jc w:val="center"/>
              <w:rPr>
                <w:lang w:eastAsia="en-US"/>
              </w:rPr>
            </w:pPr>
          </w:p>
        </w:tc>
        <w:tc>
          <w:tcPr>
            <w:tcW w:w="563" w:type="dxa"/>
            <w:hideMark/>
          </w:tcPr>
          <w:p w14:paraId="48E5DEB0" w14:textId="77777777" w:rsidR="004E5563" w:rsidRPr="00C9343F" w:rsidRDefault="004E5563" w:rsidP="00F66D98">
            <w:pPr>
              <w:pStyle w:val="Sectiontext0"/>
              <w:jc w:val="center"/>
              <w:rPr>
                <w:rFonts w:cs="Arial"/>
                <w:lang w:eastAsia="en-US"/>
              </w:rPr>
            </w:pPr>
            <w:r w:rsidRPr="00C9343F">
              <w:rPr>
                <w:rFonts w:cs="Arial"/>
                <w:lang w:eastAsia="en-US"/>
              </w:rPr>
              <w:t>e.</w:t>
            </w:r>
          </w:p>
        </w:tc>
        <w:tc>
          <w:tcPr>
            <w:tcW w:w="7804" w:type="dxa"/>
          </w:tcPr>
          <w:p w14:paraId="359CE639" w14:textId="77777777" w:rsidR="004E5563" w:rsidRPr="00C9343F" w:rsidRDefault="004E5563" w:rsidP="00F66D98">
            <w:pPr>
              <w:pStyle w:val="NormalWeb"/>
              <w:spacing w:before="100" w:beforeAutospacing="1" w:after="100" w:afterAutospacing="1"/>
              <w:rPr>
                <w:rFonts w:ascii="Arial" w:hAnsi="Arial" w:cs="Arial"/>
                <w:sz w:val="20"/>
                <w:szCs w:val="20"/>
              </w:rPr>
            </w:pPr>
            <w:r w:rsidRPr="00C9343F">
              <w:rPr>
                <w:rFonts w:ascii="Arial" w:hAnsi="Arial" w:cs="Arial"/>
                <w:sz w:val="20"/>
                <w:szCs w:val="20"/>
              </w:rPr>
              <w:t xml:space="preserve">Antarctic parity allowance under Chapter 4 Part 4 Division 8. </w:t>
            </w:r>
          </w:p>
        </w:tc>
      </w:tr>
      <w:tr w:rsidR="004E5563" w:rsidRPr="00C9343F" w14:paraId="41D86AE6" w14:textId="77777777" w:rsidTr="0027112A">
        <w:tc>
          <w:tcPr>
            <w:tcW w:w="992" w:type="dxa"/>
          </w:tcPr>
          <w:p w14:paraId="2356BDB8" w14:textId="77777777" w:rsidR="004E5563" w:rsidRPr="00C9343F" w:rsidRDefault="004E5563" w:rsidP="00F66D98">
            <w:pPr>
              <w:pStyle w:val="Sectiontext0"/>
              <w:jc w:val="center"/>
              <w:rPr>
                <w:lang w:eastAsia="en-US"/>
              </w:rPr>
            </w:pPr>
            <w:r w:rsidRPr="00C9343F">
              <w:rPr>
                <w:lang w:eastAsia="en-US"/>
              </w:rPr>
              <w:t>2.</w:t>
            </w:r>
          </w:p>
        </w:tc>
        <w:tc>
          <w:tcPr>
            <w:tcW w:w="8367" w:type="dxa"/>
            <w:gridSpan w:val="2"/>
          </w:tcPr>
          <w:p w14:paraId="51B903ED" w14:textId="77777777" w:rsidR="004E5563" w:rsidRPr="00C9343F" w:rsidRDefault="004E5563" w:rsidP="00F66D98">
            <w:pPr>
              <w:pStyle w:val="Sectiontext0"/>
              <w:tabs>
                <w:tab w:val="left" w:pos="1708"/>
              </w:tabs>
            </w:pPr>
            <w:r w:rsidRPr="00C9343F">
              <w:t>If the member is eligible for the payment of an allowance, the allowance is paid for all of the following days.</w:t>
            </w:r>
          </w:p>
        </w:tc>
      </w:tr>
      <w:tr w:rsidR="004E5563" w:rsidRPr="00C9343F" w14:paraId="16E79B31" w14:textId="77777777" w:rsidTr="0027112A">
        <w:tc>
          <w:tcPr>
            <w:tcW w:w="992" w:type="dxa"/>
          </w:tcPr>
          <w:p w14:paraId="2689BE31" w14:textId="77777777" w:rsidR="004E5563" w:rsidRPr="00C9343F" w:rsidRDefault="004E5563" w:rsidP="00F66D98">
            <w:pPr>
              <w:pStyle w:val="Sectiontext0"/>
              <w:jc w:val="center"/>
              <w:rPr>
                <w:lang w:eastAsia="en-US"/>
              </w:rPr>
            </w:pPr>
          </w:p>
        </w:tc>
        <w:tc>
          <w:tcPr>
            <w:tcW w:w="563" w:type="dxa"/>
            <w:hideMark/>
          </w:tcPr>
          <w:p w14:paraId="0D521FF7" w14:textId="77777777" w:rsidR="004E5563" w:rsidRPr="00C9343F" w:rsidRDefault="004E5563" w:rsidP="00F66D98">
            <w:pPr>
              <w:pStyle w:val="Sectiontext0"/>
              <w:jc w:val="center"/>
              <w:rPr>
                <w:rFonts w:cs="Arial"/>
                <w:lang w:eastAsia="en-US"/>
              </w:rPr>
            </w:pPr>
            <w:r w:rsidRPr="00C9343F">
              <w:rPr>
                <w:rFonts w:cs="Arial"/>
                <w:lang w:eastAsia="en-US"/>
              </w:rPr>
              <w:t>a.</w:t>
            </w:r>
          </w:p>
        </w:tc>
        <w:tc>
          <w:tcPr>
            <w:tcW w:w="7804" w:type="dxa"/>
          </w:tcPr>
          <w:p w14:paraId="22A1091E" w14:textId="77777777" w:rsidR="004E5563" w:rsidRPr="00C9343F" w:rsidRDefault="004E5563" w:rsidP="00F66D98">
            <w:pPr>
              <w:pStyle w:val="Sectiontext0"/>
              <w:rPr>
                <w:rFonts w:cs="Arial"/>
              </w:rPr>
            </w:pPr>
            <w:r w:rsidRPr="00C9343F">
              <w:rPr>
                <w:rFonts w:cs="Arial"/>
              </w:rPr>
              <w:t xml:space="preserve">Each full day of duty in a fortnight in the member’s flexible service determination. </w:t>
            </w:r>
          </w:p>
        </w:tc>
      </w:tr>
      <w:tr w:rsidR="004E5563" w:rsidRPr="00C9343F" w14:paraId="70A68673" w14:textId="77777777" w:rsidTr="0027112A">
        <w:tc>
          <w:tcPr>
            <w:tcW w:w="992" w:type="dxa"/>
          </w:tcPr>
          <w:p w14:paraId="4E3971BB" w14:textId="77777777" w:rsidR="004E5563" w:rsidRPr="00C9343F" w:rsidRDefault="004E5563" w:rsidP="00F66D98">
            <w:pPr>
              <w:pStyle w:val="Sectiontext0"/>
              <w:jc w:val="center"/>
              <w:rPr>
                <w:lang w:eastAsia="en-US"/>
              </w:rPr>
            </w:pPr>
          </w:p>
        </w:tc>
        <w:tc>
          <w:tcPr>
            <w:tcW w:w="563" w:type="dxa"/>
            <w:hideMark/>
          </w:tcPr>
          <w:p w14:paraId="0CCCDEFD" w14:textId="77777777" w:rsidR="004E5563" w:rsidRPr="00C9343F" w:rsidRDefault="004E5563" w:rsidP="00F66D98">
            <w:pPr>
              <w:pStyle w:val="Sectiontext0"/>
              <w:jc w:val="center"/>
              <w:rPr>
                <w:rFonts w:cs="Arial"/>
                <w:lang w:eastAsia="en-US"/>
              </w:rPr>
            </w:pPr>
            <w:r w:rsidRPr="00C9343F">
              <w:rPr>
                <w:rFonts w:cs="Arial"/>
                <w:lang w:eastAsia="en-US"/>
              </w:rPr>
              <w:t>b.</w:t>
            </w:r>
          </w:p>
        </w:tc>
        <w:tc>
          <w:tcPr>
            <w:tcW w:w="7804" w:type="dxa"/>
          </w:tcPr>
          <w:p w14:paraId="2A935166" w14:textId="77777777" w:rsidR="004E5563" w:rsidRPr="00C9343F" w:rsidRDefault="004E5563" w:rsidP="00F66D98">
            <w:pPr>
              <w:pStyle w:val="Sectiontext0"/>
              <w:rPr>
                <w:rFonts w:cs="Arial"/>
              </w:rPr>
            </w:pPr>
            <w:r w:rsidRPr="00C9343F">
              <w:rPr>
                <w:rFonts w:cs="Arial"/>
              </w:rPr>
              <w:t>Each part day of duty in the fortnight that adds up to 8 hours when combined with another part day of duty in the fortnight.</w:t>
            </w:r>
          </w:p>
        </w:tc>
      </w:tr>
      <w:tr w:rsidR="004E5563" w:rsidRPr="00C9343F" w14:paraId="60087986" w14:textId="77777777" w:rsidTr="0027112A">
        <w:tc>
          <w:tcPr>
            <w:tcW w:w="992" w:type="dxa"/>
          </w:tcPr>
          <w:p w14:paraId="3F80E629" w14:textId="77777777" w:rsidR="004E5563" w:rsidRPr="00C9343F" w:rsidRDefault="004E5563" w:rsidP="00F66D98">
            <w:pPr>
              <w:pStyle w:val="Sectiontext0"/>
              <w:jc w:val="center"/>
              <w:rPr>
                <w:lang w:eastAsia="en-US"/>
              </w:rPr>
            </w:pPr>
            <w:r w:rsidRPr="00C9343F">
              <w:rPr>
                <w:lang w:eastAsia="en-US"/>
              </w:rPr>
              <w:t>3.</w:t>
            </w:r>
          </w:p>
        </w:tc>
        <w:tc>
          <w:tcPr>
            <w:tcW w:w="8367" w:type="dxa"/>
            <w:gridSpan w:val="2"/>
          </w:tcPr>
          <w:p w14:paraId="4F0A7A73" w14:textId="77777777" w:rsidR="004E5563" w:rsidRPr="00C9343F" w:rsidRDefault="004E5563" w:rsidP="00F66D98">
            <w:pPr>
              <w:pStyle w:val="Sectiontext0"/>
            </w:pPr>
            <w:r w:rsidRPr="00C9343F">
              <w:rPr>
                <w:rFonts w:cs="Arial"/>
              </w:rPr>
              <w:t xml:space="preserve">The daily rate of an annual rate of an allowance under this Determination </w:t>
            </w:r>
            <w:r w:rsidRPr="00C9343F">
              <w:t>calculated using the following formula.</w:t>
            </w:r>
          </w:p>
        </w:tc>
      </w:tr>
      <w:tr w:rsidR="004E5563" w:rsidRPr="00C9343F" w14:paraId="2AC39226" w14:textId="77777777" w:rsidTr="0027112A">
        <w:tc>
          <w:tcPr>
            <w:tcW w:w="992" w:type="dxa"/>
          </w:tcPr>
          <w:p w14:paraId="402AEB29" w14:textId="77777777" w:rsidR="004E5563" w:rsidRPr="00C9343F" w:rsidRDefault="004E5563" w:rsidP="00F66D98">
            <w:pPr>
              <w:pStyle w:val="Sectiontext0"/>
              <w:jc w:val="center"/>
              <w:rPr>
                <w:lang w:eastAsia="en-US"/>
              </w:rPr>
            </w:pPr>
          </w:p>
        </w:tc>
        <w:tc>
          <w:tcPr>
            <w:tcW w:w="8367" w:type="dxa"/>
            <w:gridSpan w:val="2"/>
          </w:tcPr>
          <w:p w14:paraId="498C69CC" w14:textId="77777777" w:rsidR="004E5563" w:rsidRPr="00C9343F" w:rsidRDefault="004E5563" w:rsidP="00F66D98">
            <w:pPr>
              <w:pStyle w:val="Sectiontext0"/>
              <w:rPr>
                <w:b/>
              </w:rPr>
            </w:pPr>
            <m:oMathPara>
              <m:oMath>
                <m:r>
                  <m:rPr>
                    <m:sty m:val="bi"/>
                  </m:rPr>
                  <w:rPr>
                    <w:rFonts w:ascii="Cambria Math" w:hAnsi="Cambria Math"/>
                  </w:rPr>
                  <m:t>daily rate=</m:t>
                </m:r>
                <m:f>
                  <m:fPr>
                    <m:ctrlPr>
                      <w:rPr>
                        <w:rFonts w:ascii="Cambria Math" w:hAnsi="Cambria Math"/>
                        <w:b/>
                        <w:i/>
                      </w:rPr>
                    </m:ctrlPr>
                  </m:fPr>
                  <m:num>
                    <m:r>
                      <m:rPr>
                        <m:sty m:val="bi"/>
                      </m:rPr>
                      <w:rPr>
                        <w:rFonts w:ascii="Cambria Math" w:hAnsi="Cambria Math"/>
                      </w:rPr>
                      <m:t>annual rate</m:t>
                    </m:r>
                  </m:num>
                  <m:den>
                    <m:r>
                      <m:rPr>
                        <m:sty m:val="bi"/>
                      </m:rPr>
                      <w:rPr>
                        <w:rFonts w:ascii="Cambria Math" w:hAnsi="Cambria Math"/>
                      </w:rPr>
                      <m:t>365</m:t>
                    </m:r>
                  </m:den>
                </m:f>
                <m:r>
                  <m:rPr>
                    <m:sty m:val="bi"/>
                  </m:rPr>
                  <w:rPr>
                    <w:rFonts w:ascii="Cambria Math" w:hAnsi="Cambria Math"/>
                  </w:rPr>
                  <m:t>×1.4</m:t>
                </m:r>
              </m:oMath>
            </m:oMathPara>
          </w:p>
        </w:tc>
      </w:tr>
      <w:tr w:rsidR="004E5563" w:rsidRPr="00C9343F" w14:paraId="064AEB98" w14:textId="77777777" w:rsidTr="0027112A">
        <w:tc>
          <w:tcPr>
            <w:tcW w:w="992" w:type="dxa"/>
          </w:tcPr>
          <w:p w14:paraId="2BCA89E2" w14:textId="77777777" w:rsidR="004E5563" w:rsidRPr="00C9343F" w:rsidRDefault="004E5563" w:rsidP="00F66D98">
            <w:pPr>
              <w:pStyle w:val="Sectiontext0"/>
              <w:jc w:val="center"/>
              <w:rPr>
                <w:lang w:eastAsia="en-US"/>
              </w:rPr>
            </w:pPr>
            <w:r w:rsidRPr="00C9343F">
              <w:rPr>
                <w:lang w:eastAsia="en-US"/>
              </w:rPr>
              <w:t>4.</w:t>
            </w:r>
          </w:p>
        </w:tc>
        <w:tc>
          <w:tcPr>
            <w:tcW w:w="8367" w:type="dxa"/>
            <w:gridSpan w:val="2"/>
          </w:tcPr>
          <w:p w14:paraId="141860EC" w14:textId="77777777" w:rsidR="004E5563" w:rsidRPr="00C9343F" w:rsidRDefault="004E5563" w:rsidP="00F66D98">
            <w:pPr>
              <w:pStyle w:val="Sectiontext0"/>
              <w:tabs>
                <w:tab w:val="left" w:pos="1708"/>
              </w:tabs>
            </w:pPr>
            <w:r w:rsidRPr="00C9343F">
              <w:t xml:space="preserve">The maximum fortnightly rate payable to a member must not exceed the fortnightly rate of a member not on a flexible service determination. </w:t>
            </w:r>
          </w:p>
        </w:tc>
      </w:tr>
    </w:tbl>
    <w:p w14:paraId="70EDDCCA" w14:textId="7728EC0F" w:rsidR="005F44BC" w:rsidRPr="00C9343F" w:rsidRDefault="005F44BC" w:rsidP="00F66D98">
      <w:pPr>
        <w:pStyle w:val="Heading5"/>
      </w:pPr>
      <w:bookmarkStart w:id="391" w:name="_Toc105053671"/>
      <w:r w:rsidRPr="00C9343F">
        <w:t>3.2.8</w:t>
      </w:r>
      <w:r w:rsidR="00D94006" w:rsidRPr="00C9343F">
        <w:t>    </w:t>
      </w:r>
      <w:r w:rsidRPr="00C9343F">
        <w:t>Pro rating contributions</w:t>
      </w:r>
      <w:bookmarkEnd w:id="391"/>
    </w:p>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5D1B76C4" w14:textId="77777777" w:rsidTr="005F44BC">
        <w:tc>
          <w:tcPr>
            <w:tcW w:w="992" w:type="dxa"/>
          </w:tcPr>
          <w:bookmarkEnd w:id="381"/>
          <w:bookmarkEnd w:id="382"/>
          <w:bookmarkEnd w:id="383"/>
          <w:bookmarkEnd w:id="384"/>
          <w:bookmarkEnd w:id="385"/>
          <w:bookmarkEnd w:id="386"/>
          <w:bookmarkEnd w:id="387"/>
          <w:bookmarkEnd w:id="388"/>
          <w:p w14:paraId="703C181B" w14:textId="77777777" w:rsidR="005F44BC" w:rsidRPr="00C9343F" w:rsidRDefault="005F44BC" w:rsidP="00F66D98">
            <w:pPr>
              <w:keepLines w:val="0"/>
              <w:spacing w:after="200"/>
              <w:jc w:val="center"/>
              <w:rPr>
                <w:sz w:val="20"/>
              </w:rPr>
            </w:pPr>
            <w:r w:rsidRPr="00C9343F">
              <w:rPr>
                <w:sz w:val="20"/>
              </w:rPr>
              <w:t>1.</w:t>
            </w:r>
          </w:p>
        </w:tc>
        <w:tc>
          <w:tcPr>
            <w:tcW w:w="8363" w:type="dxa"/>
            <w:gridSpan w:val="2"/>
          </w:tcPr>
          <w:p w14:paraId="4C75C536" w14:textId="77777777" w:rsidR="005F44BC" w:rsidRPr="00C9343F" w:rsidRDefault="00E04065" w:rsidP="00F66D98">
            <w:pPr>
              <w:keepLines w:val="0"/>
              <w:spacing w:after="200"/>
              <w:rPr>
                <w:sz w:val="20"/>
              </w:rPr>
            </w:pPr>
            <w:r w:rsidRPr="00C9343F">
              <w:rPr>
                <w:color w:val="000000"/>
                <w:sz w:val="20"/>
              </w:rPr>
              <w:t>This section applies to a member if both the following apply.</w:t>
            </w:r>
          </w:p>
        </w:tc>
      </w:tr>
      <w:tr w:rsidR="005F44BC" w:rsidRPr="00C9343F" w14:paraId="2C63B128" w14:textId="77777777" w:rsidTr="005F44BC">
        <w:trPr>
          <w:cantSplit/>
        </w:trPr>
        <w:tc>
          <w:tcPr>
            <w:tcW w:w="992" w:type="dxa"/>
          </w:tcPr>
          <w:p w14:paraId="01A8285B" w14:textId="77777777" w:rsidR="005F44BC" w:rsidRPr="00C9343F" w:rsidRDefault="005F44BC" w:rsidP="00F66D98">
            <w:pPr>
              <w:pStyle w:val="BlockText-Plain"/>
            </w:pPr>
          </w:p>
        </w:tc>
        <w:tc>
          <w:tcPr>
            <w:tcW w:w="567" w:type="dxa"/>
          </w:tcPr>
          <w:p w14:paraId="2B20D4CC" w14:textId="77777777" w:rsidR="005F44BC" w:rsidRPr="00C9343F" w:rsidRDefault="005F44BC" w:rsidP="007114B1">
            <w:pPr>
              <w:pStyle w:val="BlockText-Plain"/>
              <w:jc w:val="center"/>
            </w:pPr>
            <w:r w:rsidRPr="00C9343F">
              <w:t>a.</w:t>
            </w:r>
          </w:p>
        </w:tc>
        <w:tc>
          <w:tcPr>
            <w:tcW w:w="7796" w:type="dxa"/>
          </w:tcPr>
          <w:p w14:paraId="25905042" w14:textId="77777777" w:rsidR="005F44BC" w:rsidRPr="00C9343F" w:rsidRDefault="00E04065" w:rsidP="00F66D98">
            <w:pPr>
              <w:pStyle w:val="BlockText-Plain"/>
            </w:pPr>
            <w:r w:rsidRPr="00C9343F">
              <w:rPr>
                <w:color w:val="000000"/>
              </w:rPr>
              <w:t>The member is required to make a contribution for receiving a benefit.</w:t>
            </w:r>
          </w:p>
        </w:tc>
      </w:tr>
      <w:tr w:rsidR="005F44BC" w:rsidRPr="00C9343F" w14:paraId="58ECA2A6" w14:textId="77777777" w:rsidTr="005F44BC">
        <w:trPr>
          <w:cantSplit/>
        </w:trPr>
        <w:tc>
          <w:tcPr>
            <w:tcW w:w="992" w:type="dxa"/>
          </w:tcPr>
          <w:p w14:paraId="07901E12" w14:textId="77777777" w:rsidR="005F44BC" w:rsidRPr="00C9343F" w:rsidRDefault="005F44BC" w:rsidP="00F66D98">
            <w:pPr>
              <w:pStyle w:val="BlockText-Plain"/>
            </w:pPr>
          </w:p>
        </w:tc>
        <w:tc>
          <w:tcPr>
            <w:tcW w:w="567" w:type="dxa"/>
          </w:tcPr>
          <w:p w14:paraId="3EDE3BCB" w14:textId="77777777" w:rsidR="005F44BC" w:rsidRPr="00C9343F" w:rsidRDefault="005F44BC" w:rsidP="007114B1">
            <w:pPr>
              <w:pStyle w:val="BlockText-Plain"/>
              <w:jc w:val="center"/>
            </w:pPr>
            <w:r w:rsidRPr="00C9343F">
              <w:t>b.</w:t>
            </w:r>
          </w:p>
        </w:tc>
        <w:tc>
          <w:tcPr>
            <w:tcW w:w="7796" w:type="dxa"/>
          </w:tcPr>
          <w:p w14:paraId="6EA8B31F" w14:textId="77777777" w:rsidR="005F44BC" w:rsidRPr="00C9343F" w:rsidRDefault="00E04065" w:rsidP="00F66D98">
            <w:pPr>
              <w:pStyle w:val="BlockText-Plain"/>
            </w:pPr>
            <w:r w:rsidRPr="00C9343F">
              <w:rPr>
                <w:color w:val="000000"/>
              </w:rPr>
              <w:t>The rate of contribution needs to be calculated for a period that is less than the prescribed time period.</w:t>
            </w:r>
          </w:p>
        </w:tc>
      </w:tr>
      <w:tr w:rsidR="005F44BC" w:rsidRPr="00C9343F" w14:paraId="0391875E" w14:textId="77777777" w:rsidTr="005F44BC">
        <w:tc>
          <w:tcPr>
            <w:tcW w:w="992" w:type="dxa"/>
          </w:tcPr>
          <w:p w14:paraId="092893D9" w14:textId="77777777" w:rsidR="005F44BC" w:rsidRPr="00C9343F" w:rsidRDefault="005F44BC" w:rsidP="00F66D98">
            <w:pPr>
              <w:keepLines w:val="0"/>
              <w:spacing w:after="200"/>
              <w:jc w:val="center"/>
              <w:rPr>
                <w:sz w:val="20"/>
              </w:rPr>
            </w:pPr>
            <w:r w:rsidRPr="00C9343F">
              <w:rPr>
                <w:sz w:val="20"/>
              </w:rPr>
              <w:t>2.</w:t>
            </w:r>
          </w:p>
        </w:tc>
        <w:tc>
          <w:tcPr>
            <w:tcW w:w="8363" w:type="dxa"/>
            <w:gridSpan w:val="2"/>
          </w:tcPr>
          <w:p w14:paraId="74BCA1A1" w14:textId="77777777" w:rsidR="005F44BC" w:rsidRPr="00C9343F" w:rsidRDefault="00E04065" w:rsidP="00F66D98">
            <w:pPr>
              <w:keepLines w:val="0"/>
              <w:spacing w:after="200"/>
              <w:rPr>
                <w:sz w:val="20"/>
              </w:rPr>
            </w:pPr>
            <w:r w:rsidRPr="00C9343F">
              <w:rPr>
                <w:rFonts w:cs="Arial"/>
                <w:color w:val="000000"/>
                <w:sz w:val="20"/>
              </w:rPr>
              <w:t>The daily rate of contribution is one fourteenth of the fortnightly rate.</w:t>
            </w:r>
          </w:p>
        </w:tc>
      </w:tr>
    </w:tbl>
    <w:p w14:paraId="0102C797" w14:textId="4D4AD1E6" w:rsidR="005F44BC" w:rsidRPr="00C9343F" w:rsidRDefault="005F44BC" w:rsidP="00F66D98">
      <w:pPr>
        <w:pStyle w:val="Heading5"/>
        <w:rPr>
          <w:i/>
        </w:rPr>
      </w:pPr>
      <w:bookmarkStart w:id="392" w:name="_Toc105053672"/>
      <w:bookmarkStart w:id="393" w:name="bk133816B16Deathorpresumeddeathofmember"/>
      <w:bookmarkStart w:id="394" w:name="bk133855B16Deathorpresumeddeathofmember"/>
      <w:bookmarkStart w:id="395" w:name="bk80651A46Deathorpresumeddeathofmember"/>
      <w:bookmarkStart w:id="396" w:name="bk115054A46Deathorpresumeddeathofmember"/>
      <w:bookmarkStart w:id="397" w:name="bk172916A45Deathorpresumeddeathofmember"/>
      <w:bookmarkStart w:id="398" w:name="bk173521A46Deathorpresumeddeathofmember"/>
      <w:bookmarkStart w:id="399" w:name="bk85502A46Deathorpresumeddeathofmember"/>
      <w:bookmarkStart w:id="400" w:name="bk113628A46Deathorpresumeddeathofmember"/>
      <w:r w:rsidRPr="00C9343F">
        <w:t>3.2.9</w:t>
      </w:r>
      <w:r w:rsidR="00D94006" w:rsidRPr="00C9343F">
        <w:t>    </w:t>
      </w:r>
      <w:r w:rsidRPr="00C9343F">
        <w:t>Death or presumed death of member</w:t>
      </w:r>
      <w:bookmarkEnd w:id="392"/>
    </w:p>
    <w:tbl>
      <w:tblPr>
        <w:tblW w:w="0" w:type="auto"/>
        <w:tblInd w:w="113" w:type="dxa"/>
        <w:tblLayout w:type="fixed"/>
        <w:tblLook w:val="0000" w:firstRow="0" w:lastRow="0" w:firstColumn="0" w:lastColumn="0" w:noHBand="0" w:noVBand="0"/>
      </w:tblPr>
      <w:tblGrid>
        <w:gridCol w:w="992"/>
        <w:gridCol w:w="8367"/>
      </w:tblGrid>
      <w:tr w:rsidR="005F44BC" w:rsidRPr="00C9343F" w14:paraId="7B95AF54" w14:textId="77777777" w:rsidTr="005F44BC">
        <w:tc>
          <w:tcPr>
            <w:tcW w:w="992" w:type="dxa"/>
          </w:tcPr>
          <w:p w14:paraId="62AFA64C" w14:textId="77777777" w:rsidR="005F44BC" w:rsidRPr="00C9343F" w:rsidRDefault="005F44BC" w:rsidP="00F66D98">
            <w:pPr>
              <w:pStyle w:val="BlockText-Plain"/>
              <w:jc w:val="center"/>
            </w:pPr>
            <w:bookmarkStart w:id="401" w:name="bk113630A49ServicewiththeUnitedNationso"/>
            <w:bookmarkEnd w:id="393"/>
            <w:bookmarkEnd w:id="394"/>
            <w:bookmarkEnd w:id="395"/>
            <w:bookmarkEnd w:id="396"/>
            <w:bookmarkEnd w:id="397"/>
            <w:bookmarkEnd w:id="398"/>
            <w:bookmarkEnd w:id="399"/>
            <w:bookmarkEnd w:id="400"/>
          </w:p>
        </w:tc>
        <w:tc>
          <w:tcPr>
            <w:tcW w:w="8367" w:type="dxa"/>
          </w:tcPr>
          <w:p w14:paraId="1359EAE9" w14:textId="4FA405BF" w:rsidR="005F44BC" w:rsidRPr="00C9343F" w:rsidRDefault="005F44BC" w:rsidP="00F66D98">
            <w:pPr>
              <w:pStyle w:val="BlockText-Plain"/>
            </w:pPr>
            <w:r w:rsidRPr="00C9343F">
              <w:t>If a member dies or is missing and presumed dead, the member may be taken to have ceased continuous full-time service.</w:t>
            </w:r>
          </w:p>
        </w:tc>
      </w:tr>
    </w:tbl>
    <w:p w14:paraId="38741CAE" w14:textId="5E62E315" w:rsidR="005F44BC" w:rsidRPr="00C9343F" w:rsidRDefault="005F44BC" w:rsidP="00F66D98">
      <w:pPr>
        <w:pStyle w:val="Heading5"/>
      </w:pPr>
      <w:bookmarkStart w:id="402" w:name="_Toc105053673"/>
      <w:bookmarkStart w:id="403" w:name="bk113631A412Reservemembertakentobeatten"/>
      <w:bookmarkEnd w:id="401"/>
      <w:r w:rsidRPr="00C9343F">
        <w:t>3.2.13</w:t>
      </w:r>
      <w:r w:rsidR="00D94006" w:rsidRPr="00C9343F">
        <w:t>    </w:t>
      </w:r>
      <w:r w:rsidRPr="00C9343F">
        <w:t>Reserve member taken to be attending for duty</w:t>
      </w:r>
      <w:bookmarkEnd w:id="402"/>
    </w:p>
    <w:bookmarkEnd w:id="403"/>
    <w:tbl>
      <w:tblPr>
        <w:tblW w:w="0" w:type="auto"/>
        <w:tblInd w:w="113" w:type="dxa"/>
        <w:tblLayout w:type="fixed"/>
        <w:tblLook w:val="0000" w:firstRow="0" w:lastRow="0" w:firstColumn="0" w:lastColumn="0" w:noHBand="0" w:noVBand="0"/>
      </w:tblPr>
      <w:tblGrid>
        <w:gridCol w:w="988"/>
        <w:gridCol w:w="8367"/>
      </w:tblGrid>
      <w:tr w:rsidR="005F44BC" w:rsidRPr="00C9343F" w14:paraId="6419B2CD" w14:textId="77777777" w:rsidTr="005F44BC">
        <w:tc>
          <w:tcPr>
            <w:tcW w:w="988" w:type="dxa"/>
          </w:tcPr>
          <w:p w14:paraId="597D2018" w14:textId="77777777" w:rsidR="005F44BC" w:rsidRPr="00C9343F" w:rsidRDefault="005F44BC" w:rsidP="00F66D98">
            <w:pPr>
              <w:spacing w:after="200"/>
              <w:rPr>
                <w:sz w:val="20"/>
              </w:rPr>
            </w:pPr>
          </w:p>
        </w:tc>
        <w:tc>
          <w:tcPr>
            <w:tcW w:w="8367" w:type="dxa"/>
          </w:tcPr>
          <w:p w14:paraId="30450D3D" w14:textId="77777777" w:rsidR="005F44BC" w:rsidRPr="00C9343F" w:rsidRDefault="005F44BC" w:rsidP="00F66D98">
            <w:pPr>
              <w:spacing w:after="200"/>
              <w:rPr>
                <w:sz w:val="20"/>
              </w:rPr>
            </w:pPr>
            <w:r w:rsidRPr="00C9343F">
              <w:rPr>
                <w:sz w:val="20"/>
              </w:rPr>
              <w:t>A member is taken to be on duty in the circumstances and corresponding periods described in the table.</w:t>
            </w:r>
          </w:p>
        </w:tc>
      </w:tr>
    </w:tbl>
    <w:p w14:paraId="48ED53EA" w14:textId="77777777" w:rsidR="005F44BC" w:rsidRPr="00C9343F" w:rsidRDefault="005F44BC" w:rsidP="00F66D98"/>
    <w:tbl>
      <w:tblPr>
        <w:tblW w:w="8367" w:type="dxa"/>
        <w:tblInd w:w="1049" w:type="dxa"/>
        <w:tblLayout w:type="fixed"/>
        <w:tblCellMar>
          <w:left w:w="56" w:type="dxa"/>
          <w:right w:w="56" w:type="dxa"/>
        </w:tblCellMar>
        <w:tblLook w:val="0000" w:firstRow="0" w:lastRow="0" w:firstColumn="0" w:lastColumn="0" w:noHBand="0" w:noVBand="0"/>
      </w:tblPr>
      <w:tblGrid>
        <w:gridCol w:w="708"/>
        <w:gridCol w:w="2127"/>
        <w:gridCol w:w="2551"/>
        <w:gridCol w:w="2981"/>
      </w:tblGrid>
      <w:tr w:rsidR="005F44BC" w:rsidRPr="00C9343F" w14:paraId="7D7EBE77" w14:textId="77777777" w:rsidTr="007C3D9A">
        <w:trPr>
          <w:cantSplit/>
        </w:trPr>
        <w:tc>
          <w:tcPr>
            <w:tcW w:w="708" w:type="dxa"/>
            <w:tcBorders>
              <w:top w:val="single" w:sz="6" w:space="0" w:color="auto"/>
              <w:left w:val="single" w:sz="6" w:space="0" w:color="auto"/>
              <w:bottom w:val="single" w:sz="6" w:space="0" w:color="auto"/>
              <w:right w:val="single" w:sz="6" w:space="0" w:color="auto"/>
            </w:tcBorders>
          </w:tcPr>
          <w:p w14:paraId="53B911FF" w14:textId="77777777" w:rsidR="005F44BC" w:rsidRPr="00C9343F" w:rsidRDefault="005F44BC" w:rsidP="00F66D98">
            <w:pPr>
              <w:jc w:val="center"/>
              <w:rPr>
                <w:b/>
                <w:sz w:val="20"/>
              </w:rPr>
            </w:pPr>
            <w:r w:rsidRPr="00C9343F">
              <w:rPr>
                <w:b/>
                <w:sz w:val="20"/>
              </w:rPr>
              <w:t>Item</w:t>
            </w:r>
          </w:p>
        </w:tc>
        <w:tc>
          <w:tcPr>
            <w:tcW w:w="2127" w:type="dxa"/>
            <w:tcBorders>
              <w:top w:val="single" w:sz="6" w:space="0" w:color="auto"/>
              <w:left w:val="single" w:sz="6" w:space="0" w:color="auto"/>
              <w:bottom w:val="single" w:sz="6" w:space="0" w:color="auto"/>
              <w:right w:val="single" w:sz="6" w:space="0" w:color="auto"/>
            </w:tcBorders>
          </w:tcPr>
          <w:p w14:paraId="7DF4433E" w14:textId="55395431" w:rsidR="005F44BC" w:rsidRPr="00C9343F" w:rsidRDefault="005F44BC" w:rsidP="00F66D98">
            <w:pPr>
              <w:jc w:val="center"/>
              <w:rPr>
                <w:b/>
                <w:sz w:val="20"/>
              </w:rPr>
            </w:pPr>
            <w:r w:rsidRPr="00C9343F">
              <w:rPr>
                <w:b/>
                <w:sz w:val="20"/>
              </w:rPr>
              <w:t>If a member is</w:t>
            </w:r>
            <w:r w:rsidR="00D94006" w:rsidRPr="00C9343F">
              <w:rPr>
                <w:b/>
                <w:sz w:val="20"/>
              </w:rPr>
              <w:t>    </w:t>
            </w:r>
          </w:p>
        </w:tc>
        <w:tc>
          <w:tcPr>
            <w:tcW w:w="2551" w:type="dxa"/>
            <w:tcBorders>
              <w:top w:val="single" w:sz="6" w:space="0" w:color="auto"/>
              <w:left w:val="single" w:sz="6" w:space="0" w:color="auto"/>
              <w:bottom w:val="single" w:sz="6" w:space="0" w:color="auto"/>
              <w:right w:val="single" w:sz="6" w:space="0" w:color="auto"/>
            </w:tcBorders>
          </w:tcPr>
          <w:p w14:paraId="1EC49909" w14:textId="5DD2F7B1" w:rsidR="005F44BC" w:rsidRPr="00C9343F" w:rsidRDefault="005F44BC" w:rsidP="00F66D98">
            <w:pPr>
              <w:jc w:val="center"/>
              <w:rPr>
                <w:b/>
                <w:sz w:val="20"/>
              </w:rPr>
            </w:pPr>
            <w:r w:rsidRPr="00C9343F">
              <w:rPr>
                <w:b/>
                <w:sz w:val="20"/>
              </w:rPr>
              <w:t>they will be taken to be on duty for the period starting</w:t>
            </w:r>
            <w:r w:rsidR="00D94006" w:rsidRPr="00C9343F">
              <w:rPr>
                <w:b/>
                <w:sz w:val="20"/>
              </w:rPr>
              <w:t>    </w:t>
            </w:r>
          </w:p>
        </w:tc>
        <w:tc>
          <w:tcPr>
            <w:tcW w:w="2981" w:type="dxa"/>
            <w:tcBorders>
              <w:top w:val="single" w:sz="6" w:space="0" w:color="auto"/>
              <w:left w:val="single" w:sz="6" w:space="0" w:color="auto"/>
              <w:bottom w:val="single" w:sz="6" w:space="0" w:color="auto"/>
              <w:right w:val="single" w:sz="6" w:space="0" w:color="auto"/>
            </w:tcBorders>
          </w:tcPr>
          <w:p w14:paraId="772FBD51" w14:textId="0670B0CE" w:rsidR="005F44BC" w:rsidRPr="00C9343F" w:rsidRDefault="005F44BC" w:rsidP="00F66D98">
            <w:pPr>
              <w:jc w:val="center"/>
              <w:rPr>
                <w:b/>
                <w:sz w:val="20"/>
              </w:rPr>
            </w:pPr>
            <w:r w:rsidRPr="00C9343F">
              <w:rPr>
                <w:b/>
                <w:sz w:val="20"/>
              </w:rPr>
              <w:t>and ending</w:t>
            </w:r>
            <w:r w:rsidR="00D94006" w:rsidRPr="00C9343F">
              <w:rPr>
                <w:b/>
                <w:sz w:val="20"/>
              </w:rPr>
              <w:t>    </w:t>
            </w:r>
          </w:p>
        </w:tc>
      </w:tr>
      <w:tr w:rsidR="005F44BC" w:rsidRPr="00C9343F" w14:paraId="40F4B3FA" w14:textId="77777777" w:rsidTr="007C3D9A">
        <w:trPr>
          <w:cantSplit/>
        </w:trPr>
        <w:tc>
          <w:tcPr>
            <w:tcW w:w="708" w:type="dxa"/>
            <w:tcBorders>
              <w:top w:val="single" w:sz="6" w:space="0" w:color="auto"/>
              <w:left w:val="single" w:sz="6" w:space="0" w:color="auto"/>
              <w:bottom w:val="single" w:sz="6" w:space="0" w:color="auto"/>
              <w:right w:val="single" w:sz="6" w:space="0" w:color="auto"/>
            </w:tcBorders>
          </w:tcPr>
          <w:p w14:paraId="025DC6C2" w14:textId="77777777" w:rsidR="005F44BC" w:rsidRPr="00C9343F" w:rsidRDefault="005F44BC" w:rsidP="00F66D98">
            <w:pPr>
              <w:pStyle w:val="TableTextArial-left"/>
              <w:spacing w:after="200"/>
              <w:jc w:val="center"/>
            </w:pPr>
            <w:r w:rsidRPr="00C9343F">
              <w:t>1.</w:t>
            </w:r>
          </w:p>
        </w:tc>
        <w:tc>
          <w:tcPr>
            <w:tcW w:w="2127" w:type="dxa"/>
            <w:tcBorders>
              <w:top w:val="single" w:sz="6" w:space="0" w:color="auto"/>
              <w:left w:val="single" w:sz="6" w:space="0" w:color="auto"/>
              <w:bottom w:val="single" w:sz="6" w:space="0" w:color="auto"/>
              <w:right w:val="single" w:sz="6" w:space="0" w:color="auto"/>
            </w:tcBorders>
          </w:tcPr>
          <w:p w14:paraId="629EA6C3" w14:textId="77777777" w:rsidR="005F44BC" w:rsidRPr="00C9343F" w:rsidRDefault="005F44BC" w:rsidP="00F66D98">
            <w:pPr>
              <w:pStyle w:val="TableTextArial-left"/>
              <w:spacing w:after="200"/>
            </w:pPr>
            <w:r w:rsidRPr="00C9343F">
              <w:t>directed to attend away from their normal place of duty</w:t>
            </w:r>
          </w:p>
        </w:tc>
        <w:tc>
          <w:tcPr>
            <w:tcW w:w="2551" w:type="dxa"/>
            <w:tcBorders>
              <w:top w:val="single" w:sz="6" w:space="0" w:color="auto"/>
              <w:left w:val="single" w:sz="6" w:space="0" w:color="auto"/>
              <w:bottom w:val="single" w:sz="6" w:space="0" w:color="auto"/>
              <w:right w:val="single" w:sz="6" w:space="0" w:color="auto"/>
            </w:tcBorders>
          </w:tcPr>
          <w:p w14:paraId="7B708013" w14:textId="77777777" w:rsidR="005F44BC" w:rsidRPr="00C9343F" w:rsidRDefault="005F44BC" w:rsidP="00F66D98">
            <w:pPr>
              <w:pStyle w:val="TableTextArial-left"/>
              <w:spacing w:after="200"/>
            </w:pPr>
            <w:r w:rsidRPr="00C9343F">
              <w:t xml:space="preserve">at the start of the journey from where the member normally lives </w:t>
            </w:r>
          </w:p>
        </w:tc>
        <w:tc>
          <w:tcPr>
            <w:tcW w:w="2981" w:type="dxa"/>
            <w:tcBorders>
              <w:top w:val="single" w:sz="6" w:space="0" w:color="auto"/>
              <w:left w:val="single" w:sz="6" w:space="0" w:color="auto"/>
              <w:bottom w:val="single" w:sz="6" w:space="0" w:color="auto"/>
              <w:right w:val="single" w:sz="6" w:space="0" w:color="auto"/>
            </w:tcBorders>
          </w:tcPr>
          <w:p w14:paraId="25EE45B3" w14:textId="77777777" w:rsidR="005F44BC" w:rsidRPr="00C9343F" w:rsidRDefault="005F44BC" w:rsidP="00F66D98">
            <w:pPr>
              <w:pStyle w:val="TableTextArial-left"/>
            </w:pPr>
            <w:r w:rsidRPr="00C9343F">
              <w:t>when the member commences duty in the other location.</w:t>
            </w:r>
          </w:p>
        </w:tc>
      </w:tr>
      <w:tr w:rsidR="005F44BC" w:rsidRPr="00C9343F" w14:paraId="73A0F589" w14:textId="77777777" w:rsidTr="007C3D9A">
        <w:trPr>
          <w:cantSplit/>
        </w:trPr>
        <w:tc>
          <w:tcPr>
            <w:tcW w:w="708" w:type="dxa"/>
            <w:tcBorders>
              <w:top w:val="single" w:sz="6" w:space="0" w:color="auto"/>
              <w:left w:val="single" w:sz="6" w:space="0" w:color="auto"/>
              <w:bottom w:val="single" w:sz="6" w:space="0" w:color="auto"/>
              <w:right w:val="single" w:sz="6" w:space="0" w:color="auto"/>
            </w:tcBorders>
          </w:tcPr>
          <w:p w14:paraId="06A95065" w14:textId="77777777" w:rsidR="005F44BC" w:rsidRPr="00C9343F" w:rsidRDefault="005F44BC" w:rsidP="00F66D98">
            <w:pPr>
              <w:pStyle w:val="TableTextArial-left"/>
              <w:spacing w:after="200"/>
              <w:jc w:val="center"/>
            </w:pPr>
            <w:r w:rsidRPr="00C9343F">
              <w:t>2.</w:t>
            </w:r>
          </w:p>
        </w:tc>
        <w:tc>
          <w:tcPr>
            <w:tcW w:w="2127" w:type="dxa"/>
            <w:tcBorders>
              <w:top w:val="single" w:sz="6" w:space="0" w:color="auto"/>
              <w:left w:val="single" w:sz="6" w:space="0" w:color="auto"/>
              <w:bottom w:val="single" w:sz="6" w:space="0" w:color="auto"/>
              <w:right w:val="single" w:sz="6" w:space="0" w:color="auto"/>
            </w:tcBorders>
          </w:tcPr>
          <w:p w14:paraId="287DEC9D" w14:textId="77777777" w:rsidR="005F44BC" w:rsidRPr="00C9343F" w:rsidRDefault="005F44BC" w:rsidP="00F66D98">
            <w:pPr>
              <w:pStyle w:val="TableTextArial-left"/>
              <w:spacing w:after="200"/>
            </w:pPr>
            <w:r w:rsidRPr="00C9343F">
              <w:t>returning to the place they normally live after attending for duty away from it</w:t>
            </w:r>
          </w:p>
        </w:tc>
        <w:tc>
          <w:tcPr>
            <w:tcW w:w="2551" w:type="dxa"/>
            <w:tcBorders>
              <w:top w:val="single" w:sz="6" w:space="0" w:color="auto"/>
              <w:left w:val="single" w:sz="6" w:space="0" w:color="auto"/>
              <w:bottom w:val="single" w:sz="6" w:space="0" w:color="auto"/>
              <w:right w:val="single" w:sz="6" w:space="0" w:color="auto"/>
            </w:tcBorders>
          </w:tcPr>
          <w:p w14:paraId="01EB062D" w14:textId="77777777" w:rsidR="005F44BC" w:rsidRPr="00C9343F" w:rsidRDefault="005F44BC" w:rsidP="00F66D98">
            <w:pPr>
              <w:pStyle w:val="TableTextArial-left"/>
              <w:spacing w:after="200"/>
            </w:pPr>
            <w:r w:rsidRPr="00C9343F">
              <w:t>at the start of the return journey to the place where the member normally lives</w:t>
            </w:r>
          </w:p>
        </w:tc>
        <w:tc>
          <w:tcPr>
            <w:tcW w:w="2981" w:type="dxa"/>
            <w:tcBorders>
              <w:top w:val="single" w:sz="6" w:space="0" w:color="auto"/>
              <w:left w:val="single" w:sz="6" w:space="0" w:color="auto"/>
              <w:bottom w:val="single" w:sz="6" w:space="0" w:color="auto"/>
              <w:right w:val="single" w:sz="6" w:space="0" w:color="auto"/>
            </w:tcBorders>
          </w:tcPr>
          <w:p w14:paraId="518843E1" w14:textId="4A762689" w:rsidR="005F44BC" w:rsidRPr="00C9343F" w:rsidRDefault="005F44BC" w:rsidP="00F66D98">
            <w:pPr>
              <w:pStyle w:val="TableTextArial-left"/>
              <w:spacing w:after="200"/>
            </w:pPr>
            <w:r w:rsidRPr="00C9343F">
              <w:t>when the member arrives at the place they normally live.</w:t>
            </w:r>
          </w:p>
        </w:tc>
      </w:tr>
      <w:tr w:rsidR="005F44BC" w:rsidRPr="00C9343F" w14:paraId="4DAAF1F4" w14:textId="77777777" w:rsidTr="007C3D9A">
        <w:trPr>
          <w:cantSplit/>
        </w:trPr>
        <w:tc>
          <w:tcPr>
            <w:tcW w:w="708" w:type="dxa"/>
            <w:tcBorders>
              <w:top w:val="single" w:sz="6" w:space="0" w:color="auto"/>
              <w:left w:val="single" w:sz="6" w:space="0" w:color="auto"/>
              <w:bottom w:val="single" w:sz="6" w:space="0" w:color="auto"/>
              <w:right w:val="single" w:sz="6" w:space="0" w:color="auto"/>
            </w:tcBorders>
          </w:tcPr>
          <w:p w14:paraId="7682FB2C" w14:textId="77777777" w:rsidR="005F44BC" w:rsidRPr="00C9343F" w:rsidRDefault="005F44BC" w:rsidP="00F66D98">
            <w:pPr>
              <w:pStyle w:val="TableTextArial-left"/>
              <w:spacing w:after="200"/>
              <w:jc w:val="center"/>
            </w:pPr>
            <w:r w:rsidRPr="00C9343F">
              <w:t>3.</w:t>
            </w:r>
          </w:p>
        </w:tc>
        <w:tc>
          <w:tcPr>
            <w:tcW w:w="2127" w:type="dxa"/>
            <w:tcBorders>
              <w:top w:val="single" w:sz="6" w:space="0" w:color="auto"/>
              <w:left w:val="single" w:sz="6" w:space="0" w:color="auto"/>
              <w:bottom w:val="single" w:sz="6" w:space="0" w:color="auto"/>
              <w:right w:val="single" w:sz="6" w:space="0" w:color="auto"/>
            </w:tcBorders>
          </w:tcPr>
          <w:p w14:paraId="19EAAC24" w14:textId="77777777" w:rsidR="005F44BC" w:rsidRPr="00C9343F" w:rsidRDefault="005F44BC" w:rsidP="00F66D98">
            <w:pPr>
              <w:pStyle w:val="TableTextArial-left"/>
              <w:spacing w:after="200"/>
            </w:pPr>
            <w:r w:rsidRPr="00C9343F">
              <w:t>admitted to hospital while parading for approved duty</w:t>
            </w:r>
          </w:p>
        </w:tc>
        <w:tc>
          <w:tcPr>
            <w:tcW w:w="2551" w:type="dxa"/>
            <w:tcBorders>
              <w:top w:val="single" w:sz="6" w:space="0" w:color="auto"/>
              <w:left w:val="single" w:sz="6" w:space="0" w:color="auto"/>
              <w:bottom w:val="single" w:sz="6" w:space="0" w:color="auto"/>
              <w:right w:val="single" w:sz="6" w:space="0" w:color="auto"/>
            </w:tcBorders>
          </w:tcPr>
          <w:p w14:paraId="5ADA9CF2" w14:textId="77777777" w:rsidR="005F44BC" w:rsidRPr="00C9343F" w:rsidRDefault="005F44BC" w:rsidP="00F66D98">
            <w:pPr>
              <w:pStyle w:val="TableTextArial-left"/>
              <w:spacing w:after="200"/>
            </w:pPr>
            <w:r w:rsidRPr="00C9343F">
              <w:t>the day when they are admitted to hospital</w:t>
            </w:r>
          </w:p>
        </w:tc>
        <w:tc>
          <w:tcPr>
            <w:tcW w:w="2981" w:type="dxa"/>
            <w:tcBorders>
              <w:top w:val="single" w:sz="6" w:space="0" w:color="auto"/>
              <w:left w:val="single" w:sz="6" w:space="0" w:color="auto"/>
              <w:bottom w:val="single" w:sz="6" w:space="0" w:color="auto"/>
              <w:right w:val="single" w:sz="6" w:space="0" w:color="auto"/>
            </w:tcBorders>
          </w:tcPr>
          <w:p w14:paraId="0FC3CEC7" w14:textId="77777777" w:rsidR="005F44BC" w:rsidRPr="00C9343F" w:rsidRDefault="005F44BC" w:rsidP="00F66D98">
            <w:pPr>
              <w:pStyle w:val="TableTextArial-left"/>
            </w:pPr>
            <w:r w:rsidRPr="00C9343F">
              <w:t>on the earlier of the following days:</w:t>
            </w:r>
          </w:p>
          <w:p w14:paraId="65E05A1E" w14:textId="77777777" w:rsidR="005F44BC" w:rsidRPr="00C9343F" w:rsidRDefault="005F44BC" w:rsidP="00F66D98">
            <w:pPr>
              <w:pStyle w:val="TableTextArial-left"/>
            </w:pPr>
            <w:r w:rsidRPr="00C9343F">
              <w:t>a. the day when they are discharged from hospital; or</w:t>
            </w:r>
          </w:p>
          <w:p w14:paraId="6AEE2915" w14:textId="77777777" w:rsidR="005F44BC" w:rsidRPr="00C9343F" w:rsidRDefault="005F44BC" w:rsidP="00F66D98">
            <w:pPr>
              <w:pStyle w:val="TableTextArial-left"/>
              <w:spacing w:after="200"/>
            </w:pPr>
            <w:r w:rsidRPr="00C9343F">
              <w:t>b. the first day that one of dates in item 4 occurs.</w:t>
            </w:r>
          </w:p>
        </w:tc>
      </w:tr>
      <w:tr w:rsidR="005F44BC" w:rsidRPr="00C9343F" w14:paraId="3524E667" w14:textId="77777777" w:rsidTr="007C3D9A">
        <w:trPr>
          <w:cantSplit/>
        </w:trPr>
        <w:tc>
          <w:tcPr>
            <w:tcW w:w="708" w:type="dxa"/>
            <w:tcBorders>
              <w:top w:val="single" w:sz="6" w:space="0" w:color="auto"/>
              <w:left w:val="single" w:sz="6" w:space="0" w:color="auto"/>
              <w:bottom w:val="single" w:sz="6" w:space="0" w:color="auto"/>
              <w:right w:val="single" w:sz="6" w:space="0" w:color="auto"/>
            </w:tcBorders>
          </w:tcPr>
          <w:p w14:paraId="32110A10" w14:textId="77777777" w:rsidR="005F44BC" w:rsidRPr="00C9343F" w:rsidRDefault="005F44BC" w:rsidP="00F66D98">
            <w:pPr>
              <w:pStyle w:val="TableTextArial-left"/>
              <w:spacing w:after="200"/>
              <w:jc w:val="center"/>
            </w:pPr>
            <w:r w:rsidRPr="00C9343F">
              <w:lastRenderedPageBreak/>
              <w:t>4.</w:t>
            </w:r>
          </w:p>
        </w:tc>
        <w:tc>
          <w:tcPr>
            <w:tcW w:w="2127" w:type="dxa"/>
            <w:tcBorders>
              <w:top w:val="single" w:sz="6" w:space="0" w:color="auto"/>
              <w:left w:val="single" w:sz="6" w:space="0" w:color="auto"/>
              <w:bottom w:val="single" w:sz="6" w:space="0" w:color="auto"/>
              <w:right w:val="single" w:sz="6" w:space="0" w:color="auto"/>
            </w:tcBorders>
          </w:tcPr>
          <w:p w14:paraId="52BBDB48" w14:textId="77777777" w:rsidR="005F44BC" w:rsidRPr="00C9343F" w:rsidRDefault="005F44BC" w:rsidP="00F66D98">
            <w:pPr>
              <w:keepLines w:val="0"/>
              <w:spacing w:before="20" w:after="200"/>
              <w:rPr>
                <w:sz w:val="20"/>
              </w:rPr>
            </w:pPr>
            <w:r w:rsidRPr="00C9343F">
              <w:rPr>
                <w:sz w:val="20"/>
              </w:rPr>
              <w:t>on a period of medical absence due to illness or injury arising out of and immediately following a period of Reserve duty</w:t>
            </w:r>
          </w:p>
        </w:tc>
        <w:tc>
          <w:tcPr>
            <w:tcW w:w="2551" w:type="dxa"/>
            <w:tcBorders>
              <w:top w:val="single" w:sz="6" w:space="0" w:color="auto"/>
              <w:left w:val="single" w:sz="6" w:space="0" w:color="auto"/>
              <w:bottom w:val="single" w:sz="6" w:space="0" w:color="auto"/>
              <w:right w:val="single" w:sz="6" w:space="0" w:color="auto"/>
            </w:tcBorders>
          </w:tcPr>
          <w:p w14:paraId="0BD84056" w14:textId="77777777" w:rsidR="005F44BC" w:rsidRPr="00C9343F" w:rsidRDefault="005F44BC" w:rsidP="00F66D98">
            <w:pPr>
              <w:keepLines w:val="0"/>
              <w:spacing w:before="20" w:after="200"/>
              <w:rPr>
                <w:sz w:val="20"/>
              </w:rPr>
            </w:pPr>
            <w:r w:rsidRPr="00C9343F">
              <w:rPr>
                <w:sz w:val="20"/>
              </w:rPr>
              <w:t xml:space="preserve">the day that the Commanding Officer approves as the first day of the medical absence </w:t>
            </w:r>
          </w:p>
        </w:tc>
        <w:tc>
          <w:tcPr>
            <w:tcW w:w="2981" w:type="dxa"/>
            <w:tcBorders>
              <w:top w:val="single" w:sz="6" w:space="0" w:color="auto"/>
              <w:left w:val="single" w:sz="6" w:space="0" w:color="auto"/>
              <w:bottom w:val="single" w:sz="6" w:space="0" w:color="auto"/>
              <w:right w:val="single" w:sz="6" w:space="0" w:color="auto"/>
            </w:tcBorders>
          </w:tcPr>
          <w:p w14:paraId="0228DB4B" w14:textId="77777777" w:rsidR="005F44BC" w:rsidRPr="00C9343F" w:rsidRDefault="005F44BC" w:rsidP="00F66D98">
            <w:pPr>
              <w:keepLines w:val="0"/>
              <w:spacing w:before="20" w:after="20"/>
              <w:rPr>
                <w:sz w:val="20"/>
              </w:rPr>
            </w:pPr>
            <w:r w:rsidRPr="00C9343F">
              <w:rPr>
                <w:sz w:val="20"/>
              </w:rPr>
              <w:t>on the earliest of the following days:</w:t>
            </w:r>
          </w:p>
          <w:p w14:paraId="74717AA0" w14:textId="77777777" w:rsidR="005F44BC" w:rsidRPr="00C9343F" w:rsidRDefault="005F44BC" w:rsidP="00F66D98">
            <w:pPr>
              <w:keepLines w:val="0"/>
              <w:spacing w:before="20" w:after="20"/>
              <w:rPr>
                <w:sz w:val="20"/>
              </w:rPr>
            </w:pPr>
            <w:r w:rsidRPr="00C9343F">
              <w:rPr>
                <w:sz w:val="20"/>
              </w:rPr>
              <w:t>a. the day:</w:t>
            </w:r>
          </w:p>
          <w:p w14:paraId="407A36AD" w14:textId="77777777" w:rsidR="005F44BC" w:rsidRPr="00C9343F" w:rsidRDefault="005F44BC" w:rsidP="00F66D98">
            <w:pPr>
              <w:keepLines w:val="0"/>
              <w:spacing w:before="20" w:after="20"/>
              <w:rPr>
                <w:sz w:val="20"/>
              </w:rPr>
            </w:pPr>
            <w:r w:rsidRPr="00C9343F">
              <w:rPr>
                <w:sz w:val="20"/>
              </w:rPr>
              <w:t>i. the period of medical absence authorised has passed; and</w:t>
            </w:r>
          </w:p>
          <w:p w14:paraId="2B9060A4" w14:textId="77777777" w:rsidR="005F44BC" w:rsidRPr="00C9343F" w:rsidRDefault="005F44BC" w:rsidP="00F66D98">
            <w:pPr>
              <w:keepLines w:val="0"/>
              <w:spacing w:before="20" w:after="20"/>
              <w:rPr>
                <w:sz w:val="20"/>
              </w:rPr>
            </w:pPr>
            <w:r w:rsidRPr="00C9343F">
              <w:rPr>
                <w:sz w:val="20"/>
              </w:rPr>
              <w:t>ii. the member has been cleared for duty by a service medical officer;</w:t>
            </w:r>
          </w:p>
          <w:p w14:paraId="5CD84C97" w14:textId="77777777" w:rsidR="005F44BC" w:rsidRPr="00C9343F" w:rsidRDefault="005F44BC" w:rsidP="00F66D98">
            <w:pPr>
              <w:keepLines w:val="0"/>
              <w:spacing w:before="20" w:after="20"/>
              <w:rPr>
                <w:sz w:val="20"/>
              </w:rPr>
            </w:pPr>
            <w:r w:rsidRPr="00C9343F">
              <w:rPr>
                <w:sz w:val="20"/>
              </w:rPr>
              <w:t>b. the day the Department of Veterans' Affairs commences payment to the member;</w:t>
            </w:r>
          </w:p>
          <w:p w14:paraId="70FF34F6" w14:textId="77777777" w:rsidR="005F44BC" w:rsidRPr="00C9343F" w:rsidRDefault="005F44BC" w:rsidP="00F66D98">
            <w:pPr>
              <w:keepLines w:val="0"/>
              <w:spacing w:before="20" w:after="20"/>
              <w:rPr>
                <w:sz w:val="20"/>
              </w:rPr>
            </w:pPr>
            <w:r w:rsidRPr="00C9343F">
              <w:rPr>
                <w:sz w:val="20"/>
              </w:rPr>
              <w:t>c. the day the member starts civilian employment or receives sick leave payment from a civilian employer;</w:t>
            </w:r>
          </w:p>
          <w:p w14:paraId="099FC818" w14:textId="77777777" w:rsidR="005F44BC" w:rsidRPr="00C9343F" w:rsidRDefault="005F44BC" w:rsidP="00F66D98">
            <w:pPr>
              <w:keepLines w:val="0"/>
              <w:spacing w:before="20" w:after="20"/>
              <w:rPr>
                <w:sz w:val="20"/>
              </w:rPr>
            </w:pPr>
            <w:r w:rsidRPr="00C9343F">
              <w:rPr>
                <w:sz w:val="20"/>
              </w:rPr>
              <w:t>d. a day for which sick leave is payable by the member's employer;</w:t>
            </w:r>
          </w:p>
          <w:p w14:paraId="51CBE49C" w14:textId="77777777" w:rsidR="005F44BC" w:rsidRPr="00C9343F" w:rsidRDefault="005F44BC" w:rsidP="00F66D98">
            <w:pPr>
              <w:keepLines w:val="0"/>
              <w:spacing w:before="20" w:after="20"/>
              <w:rPr>
                <w:sz w:val="20"/>
              </w:rPr>
            </w:pPr>
            <w:r w:rsidRPr="00C9343F">
              <w:rPr>
                <w:sz w:val="20"/>
              </w:rPr>
              <w:t>e. the day the member receives unemployment or a similar benefit from Centrelink;</w:t>
            </w:r>
          </w:p>
          <w:p w14:paraId="160E0EBD" w14:textId="77777777" w:rsidR="005F44BC" w:rsidRPr="00C9343F" w:rsidRDefault="005F44BC" w:rsidP="00F66D98">
            <w:pPr>
              <w:keepLines w:val="0"/>
              <w:spacing w:before="20" w:after="20"/>
              <w:rPr>
                <w:sz w:val="20"/>
              </w:rPr>
            </w:pPr>
            <w:r w:rsidRPr="00C9343F">
              <w:rPr>
                <w:sz w:val="20"/>
              </w:rPr>
              <w:t>f. the day the member has recovered from their injury and parades with their unit; or</w:t>
            </w:r>
          </w:p>
          <w:p w14:paraId="345828E0" w14:textId="77777777" w:rsidR="005F44BC" w:rsidRPr="00C9343F" w:rsidRDefault="005F44BC" w:rsidP="00F66D98">
            <w:pPr>
              <w:keepLines w:val="0"/>
              <w:spacing w:before="20" w:after="200"/>
              <w:rPr>
                <w:sz w:val="20"/>
              </w:rPr>
            </w:pPr>
            <w:r w:rsidRPr="00C9343F">
              <w:rPr>
                <w:sz w:val="20"/>
              </w:rPr>
              <w:t>g. the day the Department of Veterans' Affairs notifies the member that it has rejected the claim.</w:t>
            </w:r>
          </w:p>
        </w:tc>
      </w:tr>
    </w:tbl>
    <w:p w14:paraId="63A7CCC4" w14:textId="28B52719" w:rsidR="005F44BC" w:rsidRPr="00C9343F" w:rsidRDefault="005F44BC" w:rsidP="00F66D98">
      <w:pPr>
        <w:pStyle w:val="Heading5"/>
      </w:pPr>
      <w:bookmarkStart w:id="404" w:name="_Toc105053674"/>
      <w:bookmarkStart w:id="405" w:name="bk175119B610Membertokeeprecords"/>
      <w:bookmarkStart w:id="406" w:name="bk80652A413MembertokeeprecordsofReserve"/>
      <w:bookmarkStart w:id="407" w:name="bk115055A413MembertokeeprecordsofReserv"/>
      <w:bookmarkStart w:id="408" w:name="bk172917A412MembertokeeprecordsofReserv"/>
      <w:bookmarkStart w:id="409" w:name="bk173522A413MembertokeeprecordsofReserv"/>
      <w:bookmarkStart w:id="410" w:name="bk85503A413MembertokeeprecordsofReserve"/>
      <w:bookmarkStart w:id="411" w:name="bk113631A413MembertokeeprecordsofReserv"/>
      <w:r w:rsidRPr="00C9343F">
        <w:t>3.2.14</w:t>
      </w:r>
      <w:r w:rsidR="00D94006" w:rsidRPr="00C9343F">
        <w:t>    </w:t>
      </w:r>
      <w:r w:rsidRPr="00C9343F">
        <w:t>Reserve member attending for duty in special circumstances</w:t>
      </w:r>
      <w:bookmarkEnd w:id="404"/>
    </w:p>
    <w:tbl>
      <w:tblPr>
        <w:tblW w:w="9374" w:type="dxa"/>
        <w:tblInd w:w="113" w:type="dxa"/>
        <w:tblLayout w:type="fixed"/>
        <w:tblLook w:val="0000" w:firstRow="0" w:lastRow="0" w:firstColumn="0" w:lastColumn="0" w:noHBand="0" w:noVBand="0"/>
      </w:tblPr>
      <w:tblGrid>
        <w:gridCol w:w="992"/>
        <w:gridCol w:w="567"/>
        <w:gridCol w:w="7804"/>
        <w:gridCol w:w="11"/>
      </w:tblGrid>
      <w:tr w:rsidR="005F44BC" w:rsidRPr="00C9343F" w14:paraId="1E4A2381" w14:textId="77777777" w:rsidTr="00C63860">
        <w:trPr>
          <w:gridAfter w:val="1"/>
          <w:wAfter w:w="11" w:type="dxa"/>
        </w:trPr>
        <w:tc>
          <w:tcPr>
            <w:tcW w:w="992" w:type="dxa"/>
          </w:tcPr>
          <w:p w14:paraId="376762C1" w14:textId="77777777" w:rsidR="005F44BC" w:rsidRPr="00C9343F" w:rsidRDefault="005F44BC" w:rsidP="00F66D98">
            <w:pPr>
              <w:pStyle w:val="BlockText-Plain"/>
              <w:jc w:val="center"/>
            </w:pPr>
            <w:r w:rsidRPr="00C9343F">
              <w:t>1.</w:t>
            </w:r>
          </w:p>
        </w:tc>
        <w:tc>
          <w:tcPr>
            <w:tcW w:w="8371" w:type="dxa"/>
            <w:gridSpan w:val="2"/>
          </w:tcPr>
          <w:p w14:paraId="14446101" w14:textId="77777777" w:rsidR="005F44BC" w:rsidRPr="00C9343F" w:rsidRDefault="005F44BC" w:rsidP="00F66D98">
            <w:pPr>
              <w:pStyle w:val="BlockText-Plain"/>
            </w:pPr>
            <w:r w:rsidRPr="00C9343F">
              <w:t xml:space="preserve">This section applies to a member on Reserve service. </w:t>
            </w:r>
          </w:p>
        </w:tc>
      </w:tr>
      <w:tr w:rsidR="005F44BC" w:rsidRPr="00C9343F" w14:paraId="640D9811" w14:textId="77777777" w:rsidTr="00C63860">
        <w:trPr>
          <w:gridAfter w:val="1"/>
          <w:wAfter w:w="11" w:type="dxa"/>
        </w:trPr>
        <w:tc>
          <w:tcPr>
            <w:tcW w:w="992" w:type="dxa"/>
          </w:tcPr>
          <w:p w14:paraId="1D40D1EC" w14:textId="77777777" w:rsidR="005F44BC" w:rsidRPr="00C9343F" w:rsidRDefault="005F44BC" w:rsidP="00F66D98">
            <w:pPr>
              <w:pStyle w:val="BlockText-Plain"/>
              <w:jc w:val="center"/>
            </w:pPr>
            <w:r w:rsidRPr="00C9343F">
              <w:t>2.</w:t>
            </w:r>
          </w:p>
        </w:tc>
        <w:tc>
          <w:tcPr>
            <w:tcW w:w="8371" w:type="dxa"/>
            <w:gridSpan w:val="2"/>
          </w:tcPr>
          <w:p w14:paraId="5AC21E34" w14:textId="77777777" w:rsidR="005F44BC" w:rsidRPr="00C9343F" w:rsidRDefault="005F44BC" w:rsidP="00F66D98">
            <w:pPr>
              <w:pStyle w:val="BlockText-Plain"/>
            </w:pPr>
            <w:r w:rsidRPr="00C9343F">
              <w:t>The CDF may deem a member to be required and attending for duty while they are recuperating following a period of intense activity associated with an exercise, operation or deployment.</w:t>
            </w:r>
          </w:p>
        </w:tc>
      </w:tr>
      <w:tr w:rsidR="005F44BC" w:rsidRPr="00C9343F" w14:paraId="20BE7035" w14:textId="77777777" w:rsidTr="00C63860">
        <w:trPr>
          <w:gridAfter w:val="1"/>
          <w:wAfter w:w="11" w:type="dxa"/>
        </w:trPr>
        <w:tc>
          <w:tcPr>
            <w:tcW w:w="992" w:type="dxa"/>
          </w:tcPr>
          <w:p w14:paraId="1AEC6DEC" w14:textId="77777777" w:rsidR="005F44BC" w:rsidRPr="00C9343F" w:rsidRDefault="005F44BC" w:rsidP="00F66D98">
            <w:pPr>
              <w:pStyle w:val="BlockText-Plain"/>
              <w:jc w:val="center"/>
            </w:pPr>
            <w:r w:rsidRPr="00C9343F">
              <w:t>3.</w:t>
            </w:r>
          </w:p>
        </w:tc>
        <w:tc>
          <w:tcPr>
            <w:tcW w:w="8371" w:type="dxa"/>
            <w:gridSpan w:val="2"/>
          </w:tcPr>
          <w:p w14:paraId="7B41A75C" w14:textId="77777777" w:rsidR="005F44BC" w:rsidRPr="00C9343F" w:rsidRDefault="005F44BC" w:rsidP="00F66D98">
            <w:pPr>
              <w:pStyle w:val="BlockText-Plain"/>
            </w:pPr>
            <w:r w:rsidRPr="00C9343F">
              <w:t>The CDF may deem a member to be required and attending for duty when they are required to be away from their home location over a non-working day in order to perform duties during the days immediately before or after. For this subsection a non-working day is a weekend, a public holiday or a rostered day off.</w:t>
            </w:r>
          </w:p>
        </w:tc>
      </w:tr>
      <w:tr w:rsidR="005F44BC" w:rsidRPr="00C9343F" w14:paraId="568622C2" w14:textId="77777777" w:rsidTr="00C63860">
        <w:trPr>
          <w:gridAfter w:val="1"/>
          <w:wAfter w:w="11" w:type="dxa"/>
        </w:trPr>
        <w:tc>
          <w:tcPr>
            <w:tcW w:w="992" w:type="dxa"/>
          </w:tcPr>
          <w:p w14:paraId="59AC428D" w14:textId="77777777" w:rsidR="005F44BC" w:rsidRPr="00C9343F" w:rsidRDefault="005F44BC" w:rsidP="00F66D98">
            <w:pPr>
              <w:pStyle w:val="BlockText-Plain"/>
              <w:jc w:val="center"/>
            </w:pPr>
          </w:p>
        </w:tc>
        <w:tc>
          <w:tcPr>
            <w:tcW w:w="8371" w:type="dxa"/>
            <w:gridSpan w:val="2"/>
          </w:tcPr>
          <w:p w14:paraId="408201A6" w14:textId="77777777" w:rsidR="005F44BC" w:rsidRPr="00C9343F" w:rsidRDefault="005F44BC" w:rsidP="00F66D98">
            <w:pPr>
              <w:pStyle w:val="BlockText-Plain"/>
              <w:rPr>
                <w:b/>
              </w:rPr>
            </w:pPr>
            <w:r w:rsidRPr="00C9343F">
              <w:rPr>
                <w:b/>
              </w:rPr>
              <w:t xml:space="preserve">Note: </w:t>
            </w:r>
            <w:r w:rsidRPr="00C9343F">
              <w:t>A member deemed under subsections 2 or 3 is eligible for remuneration at their daily rate of salary.</w:t>
            </w:r>
          </w:p>
        </w:tc>
      </w:tr>
      <w:tr w:rsidR="005F44BC" w:rsidRPr="00C9343F" w14:paraId="179426C1" w14:textId="77777777" w:rsidTr="00C63860">
        <w:trPr>
          <w:gridAfter w:val="1"/>
          <w:wAfter w:w="11" w:type="dxa"/>
        </w:trPr>
        <w:tc>
          <w:tcPr>
            <w:tcW w:w="992" w:type="dxa"/>
          </w:tcPr>
          <w:p w14:paraId="72F04411" w14:textId="15307278" w:rsidR="005F44BC" w:rsidRPr="00C9343F" w:rsidRDefault="005F44BC" w:rsidP="00F66D98">
            <w:pPr>
              <w:pStyle w:val="BlockText-Plain"/>
              <w:jc w:val="center"/>
            </w:pPr>
          </w:p>
        </w:tc>
        <w:tc>
          <w:tcPr>
            <w:tcW w:w="8371" w:type="dxa"/>
            <w:gridSpan w:val="2"/>
          </w:tcPr>
          <w:p w14:paraId="067026FB" w14:textId="77777777" w:rsidR="005F44BC" w:rsidRPr="00C9343F" w:rsidRDefault="005F44BC" w:rsidP="00F66D98">
            <w:pPr>
              <w:pStyle w:val="BlockText-Plain"/>
            </w:pPr>
            <w:r w:rsidRPr="00C9343F">
              <w:rPr>
                <w:b/>
              </w:rPr>
              <w:t>Exception:</w:t>
            </w:r>
            <w:r w:rsidRPr="00C9343F">
              <w:t xml:space="preserve"> This exception applies to a member who performs duty for another employer while deemed to be required and attending for Reserve duty. If the member is paid for that duty the member is not eligible for payment under this section. A member who is on paid leave from another employer is eligible for payment under this section.</w:t>
            </w:r>
          </w:p>
        </w:tc>
      </w:tr>
      <w:tr w:rsidR="005F44BC" w:rsidRPr="00C9343F" w14:paraId="1982B2CD" w14:textId="77777777" w:rsidTr="00C63860">
        <w:trPr>
          <w:gridAfter w:val="1"/>
          <w:wAfter w:w="11" w:type="dxa"/>
        </w:trPr>
        <w:tc>
          <w:tcPr>
            <w:tcW w:w="992" w:type="dxa"/>
          </w:tcPr>
          <w:p w14:paraId="299F7D1A" w14:textId="77777777" w:rsidR="005F44BC" w:rsidRPr="00C9343F" w:rsidRDefault="005F44BC" w:rsidP="00F66D98">
            <w:pPr>
              <w:pStyle w:val="BlockText-Plain"/>
              <w:jc w:val="center"/>
            </w:pPr>
            <w:r w:rsidRPr="00C9343F">
              <w:t>4.</w:t>
            </w:r>
          </w:p>
        </w:tc>
        <w:tc>
          <w:tcPr>
            <w:tcW w:w="8371" w:type="dxa"/>
            <w:gridSpan w:val="2"/>
          </w:tcPr>
          <w:p w14:paraId="668F10C1" w14:textId="77777777" w:rsidR="005F44BC" w:rsidRPr="00C9343F" w:rsidRDefault="00FA56DC" w:rsidP="00F66D98">
            <w:pPr>
              <w:pStyle w:val="BlockText-Plain"/>
            </w:pPr>
            <w:r w:rsidRPr="00C9343F">
              <w:t>A Chaplain or Maritime Spiritual Wellbeing Officer is deemed to be attending for duty between the first and last day of each period they are rostered on a Notification Team by any of the following.</w:t>
            </w:r>
          </w:p>
        </w:tc>
      </w:tr>
      <w:tr w:rsidR="00FA56DC" w:rsidRPr="00C9343F" w14:paraId="0EA9CBF8" w14:textId="77777777" w:rsidTr="00C63860">
        <w:trPr>
          <w:cantSplit/>
        </w:trPr>
        <w:tc>
          <w:tcPr>
            <w:tcW w:w="992" w:type="dxa"/>
          </w:tcPr>
          <w:p w14:paraId="46123186" w14:textId="77777777" w:rsidR="00FA56DC" w:rsidRPr="00C9343F" w:rsidRDefault="00FA56DC" w:rsidP="00F66D98">
            <w:pPr>
              <w:pStyle w:val="BlockText-Plain"/>
            </w:pPr>
          </w:p>
        </w:tc>
        <w:tc>
          <w:tcPr>
            <w:tcW w:w="567" w:type="dxa"/>
          </w:tcPr>
          <w:p w14:paraId="4302AD5B" w14:textId="77777777" w:rsidR="00FA56DC" w:rsidRPr="00C9343F" w:rsidRDefault="00FA56DC" w:rsidP="007114B1">
            <w:pPr>
              <w:pStyle w:val="BlockText-Plain"/>
              <w:jc w:val="center"/>
            </w:pPr>
            <w:r w:rsidRPr="00C9343F">
              <w:rPr>
                <w:rFonts w:cs="Arial"/>
                <w:lang w:eastAsia="en-US"/>
              </w:rPr>
              <w:t>a.</w:t>
            </w:r>
          </w:p>
        </w:tc>
        <w:tc>
          <w:tcPr>
            <w:tcW w:w="7815" w:type="dxa"/>
            <w:gridSpan w:val="2"/>
          </w:tcPr>
          <w:p w14:paraId="58C1676E" w14:textId="77777777" w:rsidR="00FA56DC" w:rsidRPr="00C9343F" w:rsidRDefault="00FA56DC" w:rsidP="00F66D98">
            <w:pPr>
              <w:pStyle w:val="BlockText-Plain"/>
            </w:pPr>
            <w:r w:rsidRPr="00C9343F">
              <w:t>For a member of the Navy — Director General Chaplain – Navy.</w:t>
            </w:r>
          </w:p>
        </w:tc>
      </w:tr>
      <w:tr w:rsidR="00FA56DC" w:rsidRPr="00C9343F" w14:paraId="793A8B0A" w14:textId="77777777" w:rsidTr="00C63860">
        <w:trPr>
          <w:cantSplit/>
        </w:trPr>
        <w:tc>
          <w:tcPr>
            <w:tcW w:w="992" w:type="dxa"/>
          </w:tcPr>
          <w:p w14:paraId="230296E1" w14:textId="77777777" w:rsidR="00FA56DC" w:rsidRPr="00C9343F" w:rsidRDefault="00FA56DC" w:rsidP="00F66D98">
            <w:pPr>
              <w:pStyle w:val="BlockText-Plain"/>
            </w:pPr>
          </w:p>
        </w:tc>
        <w:tc>
          <w:tcPr>
            <w:tcW w:w="567" w:type="dxa"/>
          </w:tcPr>
          <w:p w14:paraId="3562E88A" w14:textId="77777777" w:rsidR="00FA56DC" w:rsidRPr="00C9343F" w:rsidRDefault="00FA56DC" w:rsidP="007114B1">
            <w:pPr>
              <w:pStyle w:val="BlockText-Plain"/>
              <w:jc w:val="center"/>
            </w:pPr>
            <w:r w:rsidRPr="00C9343F">
              <w:rPr>
                <w:rFonts w:cs="Arial"/>
                <w:lang w:eastAsia="en-US"/>
              </w:rPr>
              <w:t>b.</w:t>
            </w:r>
          </w:p>
        </w:tc>
        <w:tc>
          <w:tcPr>
            <w:tcW w:w="7815" w:type="dxa"/>
            <w:gridSpan w:val="2"/>
          </w:tcPr>
          <w:p w14:paraId="2E7FD5D1" w14:textId="77777777" w:rsidR="00FA56DC" w:rsidRPr="00C9343F" w:rsidRDefault="00FA56DC" w:rsidP="00F66D98">
            <w:pPr>
              <w:pStyle w:val="BlockText-Plain"/>
            </w:pPr>
            <w:r w:rsidRPr="00C9343F">
              <w:t>For a member of the Army — Principal Chaplain – Army.</w:t>
            </w:r>
          </w:p>
        </w:tc>
      </w:tr>
      <w:tr w:rsidR="00FA56DC" w:rsidRPr="00C9343F" w14:paraId="5817271E" w14:textId="77777777" w:rsidTr="00C63860">
        <w:trPr>
          <w:cantSplit/>
        </w:trPr>
        <w:tc>
          <w:tcPr>
            <w:tcW w:w="992" w:type="dxa"/>
          </w:tcPr>
          <w:p w14:paraId="55F4EFD9" w14:textId="77777777" w:rsidR="00FA56DC" w:rsidRPr="00C9343F" w:rsidRDefault="00FA56DC" w:rsidP="00F66D98">
            <w:pPr>
              <w:pStyle w:val="BlockText-Plain"/>
            </w:pPr>
          </w:p>
        </w:tc>
        <w:tc>
          <w:tcPr>
            <w:tcW w:w="567" w:type="dxa"/>
          </w:tcPr>
          <w:p w14:paraId="30A2435B" w14:textId="77777777" w:rsidR="00FA56DC" w:rsidRPr="00C9343F" w:rsidRDefault="00FA56DC" w:rsidP="007114B1">
            <w:pPr>
              <w:pStyle w:val="BlockText-Plain"/>
              <w:jc w:val="center"/>
            </w:pPr>
            <w:r w:rsidRPr="00C9343F">
              <w:rPr>
                <w:rFonts w:cs="Arial"/>
                <w:lang w:eastAsia="en-US"/>
              </w:rPr>
              <w:t>c.</w:t>
            </w:r>
          </w:p>
        </w:tc>
        <w:tc>
          <w:tcPr>
            <w:tcW w:w="7815" w:type="dxa"/>
            <w:gridSpan w:val="2"/>
          </w:tcPr>
          <w:p w14:paraId="5BFEC6A2" w14:textId="77777777" w:rsidR="00FA56DC" w:rsidRPr="00C9343F" w:rsidRDefault="00FA56DC" w:rsidP="00F66D98">
            <w:pPr>
              <w:pStyle w:val="BlockText-Plain"/>
            </w:pPr>
            <w:r w:rsidRPr="00C9343F">
              <w:t>For a member of the Air Force — Director General Personnel – Air Force.</w:t>
            </w:r>
          </w:p>
        </w:tc>
      </w:tr>
    </w:tbl>
    <w:p w14:paraId="0B4483D1" w14:textId="312A84CD" w:rsidR="005F44BC" w:rsidRPr="00C9343F" w:rsidRDefault="005F44BC" w:rsidP="00F66D98">
      <w:pPr>
        <w:pStyle w:val="Heading5"/>
      </w:pPr>
      <w:bookmarkStart w:id="412" w:name="_Toc105053675"/>
      <w:r w:rsidRPr="00C9343F">
        <w:lastRenderedPageBreak/>
        <w:t>3.2.15</w:t>
      </w:r>
      <w:r w:rsidR="00D94006" w:rsidRPr="00C9343F">
        <w:t>    </w:t>
      </w:r>
      <w:r w:rsidRPr="00C9343F">
        <w:t>Reserve Assistance Program attendance</w:t>
      </w:r>
      <w:bookmarkEnd w:id="412"/>
    </w:p>
    <w:tbl>
      <w:tblPr>
        <w:tblW w:w="9359" w:type="dxa"/>
        <w:tblInd w:w="113" w:type="dxa"/>
        <w:tblLayout w:type="fixed"/>
        <w:tblLook w:val="0000" w:firstRow="0" w:lastRow="0" w:firstColumn="0" w:lastColumn="0" w:noHBand="0" w:noVBand="0"/>
      </w:tblPr>
      <w:tblGrid>
        <w:gridCol w:w="992"/>
        <w:gridCol w:w="567"/>
        <w:gridCol w:w="567"/>
        <w:gridCol w:w="7233"/>
      </w:tblGrid>
      <w:tr w:rsidR="005F44BC" w:rsidRPr="00C9343F" w14:paraId="0982C67F" w14:textId="77777777" w:rsidTr="00E64A8F">
        <w:tc>
          <w:tcPr>
            <w:tcW w:w="992" w:type="dxa"/>
          </w:tcPr>
          <w:p w14:paraId="5E819B33" w14:textId="77777777" w:rsidR="005F44BC" w:rsidRPr="00C9343F" w:rsidRDefault="005F44BC" w:rsidP="00F66D98">
            <w:pPr>
              <w:pStyle w:val="BlockText-Plain"/>
              <w:jc w:val="center"/>
            </w:pPr>
          </w:p>
        </w:tc>
        <w:tc>
          <w:tcPr>
            <w:tcW w:w="8367" w:type="dxa"/>
            <w:gridSpan w:val="3"/>
          </w:tcPr>
          <w:p w14:paraId="2D2BEF29" w14:textId="77777777" w:rsidR="005F44BC" w:rsidRPr="00C9343F" w:rsidRDefault="005F44BC" w:rsidP="00F66D98">
            <w:pPr>
              <w:pStyle w:val="BlockText-Plain"/>
            </w:pPr>
            <w:r w:rsidRPr="00C9343F">
              <w:t xml:space="preserve">The following arrangements apply to a </w:t>
            </w:r>
            <w:r w:rsidR="005060F8" w:rsidRPr="00C9343F">
              <w:t xml:space="preserve">member of the Reserves </w:t>
            </w:r>
            <w:r w:rsidRPr="00C9343F">
              <w:t>who attends a session</w:t>
            </w:r>
            <w:r w:rsidRPr="00C9343F">
              <w:rPr>
                <w:i/>
                <w:color w:val="0000FF"/>
              </w:rPr>
              <w:t xml:space="preserve"> </w:t>
            </w:r>
            <w:r w:rsidRPr="00C9343F">
              <w:t>under the Reserve Assistance Program.</w:t>
            </w:r>
          </w:p>
        </w:tc>
      </w:tr>
      <w:tr w:rsidR="005F44BC" w:rsidRPr="00C9343F" w14:paraId="59C8DBC7" w14:textId="77777777" w:rsidTr="00E64A8F">
        <w:trPr>
          <w:cantSplit/>
        </w:trPr>
        <w:tc>
          <w:tcPr>
            <w:tcW w:w="992" w:type="dxa"/>
          </w:tcPr>
          <w:p w14:paraId="7905BE5D" w14:textId="77777777" w:rsidR="005F44BC" w:rsidRPr="00C9343F" w:rsidRDefault="005F44BC" w:rsidP="00F66D98">
            <w:pPr>
              <w:pStyle w:val="BlockText-Plain"/>
            </w:pPr>
          </w:p>
        </w:tc>
        <w:tc>
          <w:tcPr>
            <w:tcW w:w="567" w:type="dxa"/>
          </w:tcPr>
          <w:p w14:paraId="6C64F9E2" w14:textId="77777777" w:rsidR="005F44BC" w:rsidRPr="00C9343F" w:rsidRDefault="005F44BC" w:rsidP="007114B1">
            <w:pPr>
              <w:pStyle w:val="BlockText-Plain"/>
              <w:jc w:val="center"/>
            </w:pPr>
            <w:r w:rsidRPr="00C9343F">
              <w:t>a.</w:t>
            </w:r>
          </w:p>
        </w:tc>
        <w:tc>
          <w:tcPr>
            <w:tcW w:w="7800" w:type="dxa"/>
            <w:gridSpan w:val="2"/>
          </w:tcPr>
          <w:p w14:paraId="78D335EE" w14:textId="77777777" w:rsidR="005F44BC" w:rsidRPr="00C9343F" w:rsidRDefault="005F44BC" w:rsidP="00F66D98">
            <w:pPr>
              <w:pStyle w:val="BlockText-Plain"/>
            </w:pPr>
            <w:r w:rsidRPr="00C9343F">
              <w:t>If all the following conditions are met the member is taken to be on duty for the period of the session.</w:t>
            </w:r>
          </w:p>
        </w:tc>
      </w:tr>
      <w:tr w:rsidR="005F44BC" w:rsidRPr="00C9343F" w14:paraId="0488108B" w14:textId="77777777" w:rsidTr="00E64A8F">
        <w:trPr>
          <w:cantSplit/>
        </w:trPr>
        <w:tc>
          <w:tcPr>
            <w:tcW w:w="1559" w:type="dxa"/>
            <w:gridSpan w:val="2"/>
          </w:tcPr>
          <w:p w14:paraId="09A445ED" w14:textId="77777777" w:rsidR="005F44BC" w:rsidRPr="00C9343F" w:rsidRDefault="005F44BC" w:rsidP="00F66D98">
            <w:pPr>
              <w:pStyle w:val="BlockText-Plain"/>
            </w:pPr>
          </w:p>
        </w:tc>
        <w:tc>
          <w:tcPr>
            <w:tcW w:w="567" w:type="dxa"/>
          </w:tcPr>
          <w:p w14:paraId="7E1B4666" w14:textId="77777777" w:rsidR="005F44BC" w:rsidRPr="00C9343F" w:rsidRDefault="005F44BC" w:rsidP="007114B1">
            <w:pPr>
              <w:pStyle w:val="BlockText-Plain"/>
            </w:pPr>
            <w:r w:rsidRPr="00C9343F">
              <w:t>i.</w:t>
            </w:r>
          </w:p>
        </w:tc>
        <w:tc>
          <w:tcPr>
            <w:tcW w:w="7233" w:type="dxa"/>
          </w:tcPr>
          <w:p w14:paraId="7768A4D2" w14:textId="77777777" w:rsidR="005F44BC" w:rsidRPr="00C9343F" w:rsidRDefault="005F44BC" w:rsidP="00F66D98">
            <w:pPr>
              <w:pStyle w:val="BlockText-Plain"/>
            </w:pPr>
            <w:r w:rsidRPr="00C9343F">
              <w:t>The member counts their attendance time against the days of duty approved in their annual training commitment.</w:t>
            </w:r>
          </w:p>
        </w:tc>
      </w:tr>
      <w:tr w:rsidR="005F44BC" w:rsidRPr="00C9343F" w14:paraId="1866F1B2" w14:textId="77777777" w:rsidTr="00E64A8F">
        <w:trPr>
          <w:cantSplit/>
        </w:trPr>
        <w:tc>
          <w:tcPr>
            <w:tcW w:w="1559" w:type="dxa"/>
            <w:gridSpan w:val="2"/>
          </w:tcPr>
          <w:p w14:paraId="72EF4889" w14:textId="77777777" w:rsidR="005F44BC" w:rsidRPr="00C9343F" w:rsidRDefault="005F44BC" w:rsidP="00F66D98">
            <w:pPr>
              <w:pStyle w:val="BlockText-Plain"/>
            </w:pPr>
          </w:p>
        </w:tc>
        <w:tc>
          <w:tcPr>
            <w:tcW w:w="567" w:type="dxa"/>
          </w:tcPr>
          <w:p w14:paraId="60BE97C5" w14:textId="77777777" w:rsidR="005F44BC" w:rsidRPr="00C9343F" w:rsidRDefault="005F44BC" w:rsidP="007114B1">
            <w:pPr>
              <w:pStyle w:val="BlockText-Plain"/>
            </w:pPr>
            <w:r w:rsidRPr="00C9343F">
              <w:t>ii.</w:t>
            </w:r>
          </w:p>
        </w:tc>
        <w:tc>
          <w:tcPr>
            <w:tcW w:w="7233" w:type="dxa"/>
          </w:tcPr>
          <w:p w14:paraId="0AD13EE8" w14:textId="77777777" w:rsidR="005F44BC" w:rsidRPr="00C9343F" w:rsidRDefault="005F44BC" w:rsidP="00F66D98">
            <w:pPr>
              <w:pStyle w:val="BlockText-Plain"/>
            </w:pPr>
            <w:r w:rsidRPr="00C9343F">
              <w:t>The session is the member's first session to discuss an issue.</w:t>
            </w:r>
          </w:p>
        </w:tc>
      </w:tr>
      <w:tr w:rsidR="005F44BC" w:rsidRPr="00C9343F" w14:paraId="4A9B45D2" w14:textId="77777777" w:rsidTr="00E64A8F">
        <w:trPr>
          <w:cantSplit/>
        </w:trPr>
        <w:tc>
          <w:tcPr>
            <w:tcW w:w="1559" w:type="dxa"/>
            <w:gridSpan w:val="2"/>
          </w:tcPr>
          <w:p w14:paraId="405301F8" w14:textId="77777777" w:rsidR="005F44BC" w:rsidRPr="00C9343F" w:rsidRDefault="005F44BC" w:rsidP="00F66D98">
            <w:pPr>
              <w:pStyle w:val="BlockText-Plain"/>
            </w:pPr>
          </w:p>
        </w:tc>
        <w:tc>
          <w:tcPr>
            <w:tcW w:w="567" w:type="dxa"/>
          </w:tcPr>
          <w:p w14:paraId="4B7F6BCC" w14:textId="77777777" w:rsidR="005F44BC" w:rsidRPr="00C9343F" w:rsidRDefault="005F44BC" w:rsidP="007114B1">
            <w:pPr>
              <w:pStyle w:val="BlockText-Plain"/>
            </w:pPr>
            <w:r w:rsidRPr="00C9343F">
              <w:t>iii.</w:t>
            </w:r>
          </w:p>
        </w:tc>
        <w:tc>
          <w:tcPr>
            <w:tcW w:w="7233" w:type="dxa"/>
          </w:tcPr>
          <w:p w14:paraId="1A9B15AD" w14:textId="18AC9887" w:rsidR="005F44BC" w:rsidRPr="00C9343F" w:rsidRDefault="005F44BC" w:rsidP="00F66D98">
            <w:pPr>
              <w:pStyle w:val="BlockText-Plain"/>
            </w:pPr>
            <w:r w:rsidRPr="00C9343F">
              <w:t>The session and associated travel time are counted against the member's limits in section 8.10.3.</w:t>
            </w:r>
          </w:p>
        </w:tc>
      </w:tr>
      <w:tr w:rsidR="005F44BC" w:rsidRPr="00C9343F" w14:paraId="29EF829A" w14:textId="77777777" w:rsidTr="00E64A8F">
        <w:trPr>
          <w:cantSplit/>
        </w:trPr>
        <w:tc>
          <w:tcPr>
            <w:tcW w:w="992" w:type="dxa"/>
          </w:tcPr>
          <w:p w14:paraId="41D25711" w14:textId="77777777" w:rsidR="005F44BC" w:rsidRPr="00C9343F" w:rsidRDefault="005F44BC" w:rsidP="00F66D98">
            <w:pPr>
              <w:pStyle w:val="BlockText-Plain"/>
            </w:pPr>
          </w:p>
        </w:tc>
        <w:tc>
          <w:tcPr>
            <w:tcW w:w="567" w:type="dxa"/>
          </w:tcPr>
          <w:p w14:paraId="3D62EF7B" w14:textId="77777777" w:rsidR="005F44BC" w:rsidRPr="00C9343F" w:rsidRDefault="005F44BC" w:rsidP="00F66D98">
            <w:pPr>
              <w:pStyle w:val="BlockText-Plain"/>
            </w:pPr>
          </w:p>
        </w:tc>
        <w:tc>
          <w:tcPr>
            <w:tcW w:w="7800" w:type="dxa"/>
            <w:gridSpan w:val="2"/>
          </w:tcPr>
          <w:p w14:paraId="178A2664" w14:textId="7ED5721A" w:rsidR="005F44BC" w:rsidRPr="00C9343F" w:rsidRDefault="005F44BC" w:rsidP="00F66D98">
            <w:pPr>
              <w:pStyle w:val="BlockText-Plain"/>
            </w:pPr>
            <w:r w:rsidRPr="00C9343F">
              <w:rPr>
                <w:b/>
              </w:rPr>
              <w:t>Note:</w:t>
            </w:r>
            <w:r w:rsidRPr="00C9343F">
              <w:t xml:space="preserve"> </w:t>
            </w:r>
            <w:r w:rsidR="00315084" w:rsidRPr="00C9343F">
              <w:t xml:space="preserve">A member who attends a session must still meet the specified time periods set out in DFRT Determination No. </w:t>
            </w:r>
            <w:r w:rsidR="002A2A83" w:rsidRPr="00C9343F">
              <w:t>2 of 2017</w:t>
            </w:r>
            <w:r w:rsidR="00315084" w:rsidRPr="00C9343F">
              <w:t xml:space="preserve">, </w:t>
            </w:r>
            <w:r w:rsidR="00315084" w:rsidRPr="00C9343F">
              <w:rPr>
                <w:i/>
              </w:rPr>
              <w:t>Salaries</w:t>
            </w:r>
            <w:r w:rsidR="00315084" w:rsidRPr="00C9343F">
              <w:t xml:space="preserve">, </w:t>
            </w:r>
            <w:r w:rsidR="002A2A83" w:rsidRPr="00C9343F">
              <w:t>section A.1.5</w:t>
            </w:r>
            <w:r w:rsidR="002A2A83" w:rsidRPr="00C9343F">
              <w:rPr>
                <w:iCs/>
              </w:rPr>
              <w:t xml:space="preserve"> and subsection B.3.4.4</w:t>
            </w:r>
            <w:r w:rsidR="00315084" w:rsidRPr="00C9343F">
              <w:t xml:space="preserve"> to be paid. </w:t>
            </w:r>
            <w:r w:rsidR="00A12E26" w:rsidRPr="00C9343F">
              <w:rPr>
                <w:iCs/>
              </w:rPr>
              <w:t>See Part 1 Part A sec</w:t>
            </w:r>
            <w:r w:rsidR="004E3093" w:rsidRPr="00C9343F">
              <w:rPr>
                <w:iCs/>
              </w:rPr>
              <w:t>tion A.1.5, Salary for Reserve s</w:t>
            </w:r>
            <w:r w:rsidR="00A12E26" w:rsidRPr="00C9343F">
              <w:rPr>
                <w:iCs/>
              </w:rPr>
              <w:t>ervice, and subsection B.3.4.4, Rate of salary for a specialist officer</w:t>
            </w:r>
            <w:r w:rsidR="00315084" w:rsidRPr="00C9343F">
              <w:t>.</w:t>
            </w:r>
          </w:p>
        </w:tc>
      </w:tr>
      <w:tr w:rsidR="005F44BC" w:rsidRPr="00C9343F" w14:paraId="516DBD7E" w14:textId="77777777" w:rsidTr="00E64A8F">
        <w:trPr>
          <w:cantSplit/>
        </w:trPr>
        <w:tc>
          <w:tcPr>
            <w:tcW w:w="992" w:type="dxa"/>
          </w:tcPr>
          <w:p w14:paraId="6472113B" w14:textId="77777777" w:rsidR="005F44BC" w:rsidRPr="00C9343F" w:rsidRDefault="005F44BC" w:rsidP="00F66D98">
            <w:pPr>
              <w:pStyle w:val="BlockText-Plain"/>
            </w:pPr>
          </w:p>
        </w:tc>
        <w:tc>
          <w:tcPr>
            <w:tcW w:w="567" w:type="dxa"/>
          </w:tcPr>
          <w:p w14:paraId="070BE29F" w14:textId="77777777" w:rsidR="005F44BC" w:rsidRPr="00C9343F" w:rsidRDefault="005F44BC" w:rsidP="007114B1">
            <w:pPr>
              <w:pStyle w:val="BlockText-Plain"/>
              <w:jc w:val="center"/>
            </w:pPr>
            <w:r w:rsidRPr="00C9343F">
              <w:t>b.</w:t>
            </w:r>
          </w:p>
        </w:tc>
        <w:tc>
          <w:tcPr>
            <w:tcW w:w="7800" w:type="dxa"/>
            <w:gridSpan w:val="2"/>
          </w:tcPr>
          <w:p w14:paraId="6E01AD99" w14:textId="77777777" w:rsidR="005F44BC" w:rsidRPr="00C9343F" w:rsidRDefault="005F44BC" w:rsidP="00F66D98">
            <w:pPr>
              <w:pStyle w:val="BlockText-Plain"/>
            </w:pPr>
            <w:r w:rsidRPr="00C9343F">
              <w:t>For sessions that do not meet the conditions in paragraph a the member is not taken to be on duty.</w:t>
            </w:r>
          </w:p>
        </w:tc>
      </w:tr>
    </w:tbl>
    <w:p w14:paraId="28F835FC" w14:textId="6704CF8F" w:rsidR="005F44BC" w:rsidRPr="00C9343F" w:rsidRDefault="005F44BC" w:rsidP="00F66D98">
      <w:pPr>
        <w:pStyle w:val="Heading5"/>
      </w:pPr>
      <w:bookmarkStart w:id="413" w:name="_Toc105053676"/>
      <w:bookmarkStart w:id="414" w:name="bk175119B611WorkingoutwhenReservesalary"/>
      <w:bookmarkStart w:id="415" w:name="bk80652A414WorkingoutwhenReservesalarym"/>
      <w:bookmarkStart w:id="416" w:name="bk115055A414WorkingoutwhenReservesalary"/>
      <w:bookmarkStart w:id="417" w:name="bk172917A413WorkingoutwhenReservesalary"/>
      <w:bookmarkStart w:id="418" w:name="bk173522A414WorkingoutwhenReservesalary"/>
      <w:bookmarkStart w:id="419" w:name="bk85503A414WorkingoutwhenReservesalarym"/>
      <w:bookmarkStart w:id="420" w:name="bk113631A414WorkingoutwhenReservesalary"/>
      <w:bookmarkEnd w:id="405"/>
      <w:bookmarkEnd w:id="406"/>
      <w:bookmarkEnd w:id="407"/>
      <w:bookmarkEnd w:id="408"/>
      <w:bookmarkEnd w:id="409"/>
      <w:bookmarkEnd w:id="410"/>
      <w:bookmarkEnd w:id="411"/>
      <w:r w:rsidRPr="00C9343F">
        <w:t>3.2.17</w:t>
      </w:r>
      <w:r w:rsidR="00D94006" w:rsidRPr="00C9343F">
        <w:t>    </w:t>
      </w:r>
      <w:r w:rsidR="00315084" w:rsidRPr="00C9343F">
        <w:t>Method</w:t>
      </w:r>
      <w:r w:rsidRPr="00C9343F">
        <w:t xml:space="preserve"> of payment of salary and allowances for a member on Reserve service</w:t>
      </w:r>
      <w:bookmarkEnd w:id="413"/>
    </w:p>
    <w:tbl>
      <w:tblPr>
        <w:tblW w:w="9351" w:type="dxa"/>
        <w:tblInd w:w="113" w:type="dxa"/>
        <w:tblLayout w:type="fixed"/>
        <w:tblLook w:val="0000" w:firstRow="0" w:lastRow="0" w:firstColumn="0" w:lastColumn="0" w:noHBand="0" w:noVBand="0"/>
      </w:tblPr>
      <w:tblGrid>
        <w:gridCol w:w="992"/>
        <w:gridCol w:w="8359"/>
      </w:tblGrid>
      <w:tr w:rsidR="005F44BC" w:rsidRPr="00C9343F" w14:paraId="2A882F53" w14:textId="77777777" w:rsidTr="005F44BC">
        <w:tc>
          <w:tcPr>
            <w:tcW w:w="992" w:type="dxa"/>
          </w:tcPr>
          <w:bookmarkEnd w:id="414"/>
          <w:bookmarkEnd w:id="415"/>
          <w:bookmarkEnd w:id="416"/>
          <w:bookmarkEnd w:id="417"/>
          <w:bookmarkEnd w:id="418"/>
          <w:bookmarkEnd w:id="419"/>
          <w:bookmarkEnd w:id="420"/>
          <w:p w14:paraId="553BDBD6" w14:textId="77777777" w:rsidR="005F44BC" w:rsidRPr="00C9343F" w:rsidRDefault="005F44BC" w:rsidP="00F66D98">
            <w:pPr>
              <w:pStyle w:val="BlockText-Plain"/>
              <w:jc w:val="center"/>
            </w:pPr>
            <w:r w:rsidRPr="00C9343F">
              <w:t>1.</w:t>
            </w:r>
          </w:p>
        </w:tc>
        <w:tc>
          <w:tcPr>
            <w:tcW w:w="8359" w:type="dxa"/>
          </w:tcPr>
          <w:p w14:paraId="746D9208" w14:textId="77777777" w:rsidR="005F44BC" w:rsidRPr="00C9343F" w:rsidRDefault="005F44BC" w:rsidP="00F66D98">
            <w:pPr>
              <w:pStyle w:val="BlockText-Plain"/>
            </w:pPr>
            <w:r w:rsidRPr="00C9343F">
              <w:t>Salary may be paid to a member on Reserve service every 14 days (a fortnight).</w:t>
            </w:r>
          </w:p>
        </w:tc>
      </w:tr>
      <w:tr w:rsidR="005F44BC" w:rsidRPr="00C9343F" w14:paraId="581511BA" w14:textId="77777777" w:rsidTr="005F44BC">
        <w:tc>
          <w:tcPr>
            <w:tcW w:w="992" w:type="dxa"/>
          </w:tcPr>
          <w:p w14:paraId="458C44B7" w14:textId="77777777" w:rsidR="005F44BC" w:rsidRPr="00C9343F" w:rsidRDefault="005F44BC" w:rsidP="00F66D98">
            <w:pPr>
              <w:pStyle w:val="BlockText-Plain"/>
              <w:jc w:val="center"/>
            </w:pPr>
            <w:r w:rsidRPr="00C9343F">
              <w:t>2.</w:t>
            </w:r>
          </w:p>
        </w:tc>
        <w:tc>
          <w:tcPr>
            <w:tcW w:w="8359" w:type="dxa"/>
          </w:tcPr>
          <w:p w14:paraId="3134F7D9" w14:textId="77777777" w:rsidR="005F44BC" w:rsidRPr="00C9343F" w:rsidRDefault="005F44BC" w:rsidP="00F66D98">
            <w:pPr>
              <w:pStyle w:val="BlockText-Plain"/>
            </w:pPr>
            <w:r w:rsidRPr="00C9343F">
              <w:t>A Commanding Officer may approve a salary payment outside of the fortnightly pay cycle, if the Reserve member can demonstrate exceptional circumstances or hardship.</w:t>
            </w:r>
          </w:p>
        </w:tc>
      </w:tr>
      <w:tr w:rsidR="00315084" w:rsidRPr="00C9343F" w14:paraId="73C94B27" w14:textId="77777777" w:rsidTr="005F44BC">
        <w:tc>
          <w:tcPr>
            <w:tcW w:w="992" w:type="dxa"/>
          </w:tcPr>
          <w:p w14:paraId="6C85D882" w14:textId="77777777" w:rsidR="00315084" w:rsidRPr="00C9343F" w:rsidRDefault="00315084" w:rsidP="00F66D98">
            <w:pPr>
              <w:pStyle w:val="BlockText-Plain"/>
              <w:jc w:val="center"/>
            </w:pPr>
            <w:r w:rsidRPr="00C9343F">
              <w:t>3.</w:t>
            </w:r>
          </w:p>
        </w:tc>
        <w:tc>
          <w:tcPr>
            <w:tcW w:w="8359" w:type="dxa"/>
          </w:tcPr>
          <w:p w14:paraId="65CFE677" w14:textId="77777777" w:rsidR="00315084" w:rsidRPr="00C9343F" w:rsidRDefault="00315084" w:rsidP="00F66D98">
            <w:pPr>
              <w:pStyle w:val="BlockText-Plain"/>
            </w:pPr>
            <w:r w:rsidRPr="00C9343F">
              <w:t>Payment of salary and allowances to a member is made by electronic funds transfer into a financial institution advised by the member.</w:t>
            </w:r>
          </w:p>
        </w:tc>
      </w:tr>
    </w:tbl>
    <w:p w14:paraId="0C5514E7" w14:textId="76051BD2" w:rsidR="005F44BC" w:rsidRPr="00C9343F" w:rsidRDefault="005F44BC" w:rsidP="00F66D98">
      <w:pPr>
        <w:pStyle w:val="Heading4"/>
        <w:pageBreakBefore/>
      </w:pPr>
      <w:bookmarkStart w:id="421" w:name="_Toc105053677"/>
      <w:r w:rsidRPr="00C9343F">
        <w:lastRenderedPageBreak/>
        <w:t>Division 2: Commencement salary</w:t>
      </w:r>
      <w:bookmarkEnd w:id="421"/>
    </w:p>
    <w:p w14:paraId="370F8D9A" w14:textId="4F433EF8" w:rsidR="005F44BC" w:rsidRPr="00C9343F" w:rsidRDefault="005F44BC" w:rsidP="00F66D98">
      <w:pPr>
        <w:pStyle w:val="Heading5"/>
      </w:pPr>
      <w:bookmarkStart w:id="422" w:name="_Toc105053678"/>
      <w:r w:rsidRPr="00C9343F">
        <w:t>3.2.18</w:t>
      </w:r>
      <w:r w:rsidR="00D94006" w:rsidRPr="00C9343F">
        <w:t>    </w:t>
      </w:r>
      <w:r w:rsidRPr="00C9343F">
        <w:t>Purpose</w:t>
      </w:r>
      <w:bookmarkEnd w:id="422"/>
    </w:p>
    <w:tbl>
      <w:tblPr>
        <w:tblW w:w="0" w:type="auto"/>
        <w:tblInd w:w="113" w:type="dxa"/>
        <w:tblLayout w:type="fixed"/>
        <w:tblLook w:val="0000" w:firstRow="0" w:lastRow="0" w:firstColumn="0" w:lastColumn="0" w:noHBand="0" w:noVBand="0"/>
      </w:tblPr>
      <w:tblGrid>
        <w:gridCol w:w="992"/>
        <w:gridCol w:w="8363"/>
      </w:tblGrid>
      <w:tr w:rsidR="005F44BC" w:rsidRPr="00C9343F" w14:paraId="1D70797D" w14:textId="77777777" w:rsidTr="005F44BC">
        <w:tc>
          <w:tcPr>
            <w:tcW w:w="992" w:type="dxa"/>
          </w:tcPr>
          <w:p w14:paraId="6AB822D0" w14:textId="77777777" w:rsidR="005F44BC" w:rsidRPr="00C9343F" w:rsidRDefault="005F44BC" w:rsidP="00F66D98">
            <w:pPr>
              <w:pStyle w:val="BlockText-PlainNoSpacing"/>
              <w:keepNext w:val="0"/>
              <w:keepLines w:val="0"/>
              <w:jc w:val="center"/>
            </w:pPr>
          </w:p>
        </w:tc>
        <w:tc>
          <w:tcPr>
            <w:tcW w:w="8363" w:type="dxa"/>
          </w:tcPr>
          <w:p w14:paraId="351C658C" w14:textId="77777777" w:rsidR="005F44BC" w:rsidRPr="00C9343F" w:rsidRDefault="005F44BC" w:rsidP="00F66D98">
            <w:pPr>
              <w:pStyle w:val="BlockText-Plain"/>
            </w:pPr>
            <w:r w:rsidRPr="00C9343F">
              <w:t>The Division describes how to work out the rate of salary that may apply to a member at various points in their career.</w:t>
            </w:r>
          </w:p>
        </w:tc>
      </w:tr>
    </w:tbl>
    <w:p w14:paraId="7EF16AC7" w14:textId="776B8AB0" w:rsidR="00083B82" w:rsidRPr="00C9343F" w:rsidRDefault="00083B82" w:rsidP="00F66D98">
      <w:pPr>
        <w:spacing w:before="360" w:after="120"/>
        <w:rPr>
          <w:b/>
        </w:rPr>
      </w:pPr>
      <w:bookmarkStart w:id="423" w:name="bk105619333Commencementsalary"/>
      <w:bookmarkStart w:id="424" w:name="bk105709333Commencementsalary"/>
      <w:bookmarkStart w:id="425" w:name="bk123809333Commencementsalary"/>
      <w:bookmarkStart w:id="426" w:name="bk165924333Commencementsalary"/>
      <w:bookmarkStart w:id="427" w:name="bk113545333Commencementsalary"/>
      <w:r w:rsidRPr="00C9343F">
        <w:rPr>
          <w:b/>
        </w:rPr>
        <w:t>3.2.18A</w:t>
      </w:r>
      <w:r w:rsidR="00D94006" w:rsidRPr="00C9343F">
        <w:rPr>
          <w:b/>
        </w:rPr>
        <w:t>    </w:t>
      </w:r>
      <w:r w:rsidRPr="00C9343F">
        <w:rPr>
          <w:b/>
        </w:rPr>
        <w:t>Member this Division does not apply to</w:t>
      </w:r>
    </w:p>
    <w:tbl>
      <w:tblPr>
        <w:tblW w:w="9360" w:type="dxa"/>
        <w:tblInd w:w="113" w:type="dxa"/>
        <w:tblLayout w:type="fixed"/>
        <w:tblLook w:val="04A0" w:firstRow="1" w:lastRow="0" w:firstColumn="1" w:lastColumn="0" w:noHBand="0" w:noVBand="1"/>
      </w:tblPr>
      <w:tblGrid>
        <w:gridCol w:w="992"/>
        <w:gridCol w:w="8368"/>
      </w:tblGrid>
      <w:tr w:rsidR="00083B82" w:rsidRPr="00C9343F" w14:paraId="0E79196F" w14:textId="77777777" w:rsidTr="00F945FD">
        <w:tc>
          <w:tcPr>
            <w:tcW w:w="992" w:type="dxa"/>
            <w:hideMark/>
          </w:tcPr>
          <w:p w14:paraId="0E9A413E" w14:textId="77777777" w:rsidR="00083B82" w:rsidRPr="00C9343F" w:rsidRDefault="00083B82" w:rsidP="00F66D98">
            <w:pPr>
              <w:pStyle w:val="BlockText-Plain"/>
              <w:spacing w:line="276" w:lineRule="auto"/>
              <w:jc w:val="center"/>
              <w:rPr>
                <w:lang w:eastAsia="en-US"/>
              </w:rPr>
            </w:pPr>
          </w:p>
        </w:tc>
        <w:tc>
          <w:tcPr>
            <w:tcW w:w="8368" w:type="dxa"/>
          </w:tcPr>
          <w:p w14:paraId="4EC59F32" w14:textId="77777777" w:rsidR="00083B82" w:rsidRPr="00C9343F" w:rsidRDefault="00083B82" w:rsidP="00F66D98">
            <w:pPr>
              <w:pStyle w:val="BlockText-Plain"/>
              <w:rPr>
                <w:lang w:eastAsia="en-US"/>
              </w:rPr>
            </w:pPr>
            <w:r w:rsidRPr="00C9343F">
              <w:rPr>
                <w:lang w:eastAsia="en-US"/>
              </w:rPr>
              <w:t>This Division does not apply to a member who is paid salary as an Officer Aviation member under Division 4A.</w:t>
            </w:r>
          </w:p>
        </w:tc>
      </w:tr>
    </w:tbl>
    <w:p w14:paraId="46443229" w14:textId="77777777" w:rsidR="00B467F2" w:rsidRPr="00C9343F" w:rsidRDefault="00B467F2" w:rsidP="00B467F2">
      <w:pPr>
        <w:pStyle w:val="Heading5"/>
      </w:pPr>
      <w:bookmarkStart w:id="428" w:name="_Toc105053679"/>
      <w:bookmarkStart w:id="429" w:name="_Hlk45129771"/>
      <w:r w:rsidRPr="00C9343F">
        <w:t>3.2.18B    Definitions</w:t>
      </w:r>
      <w:bookmarkEnd w:id="428"/>
    </w:p>
    <w:tbl>
      <w:tblPr>
        <w:tblW w:w="9359" w:type="dxa"/>
        <w:tblInd w:w="113" w:type="dxa"/>
        <w:tblLayout w:type="fixed"/>
        <w:tblLook w:val="04A0" w:firstRow="1" w:lastRow="0" w:firstColumn="1" w:lastColumn="0" w:noHBand="0" w:noVBand="1"/>
      </w:tblPr>
      <w:tblGrid>
        <w:gridCol w:w="29"/>
        <w:gridCol w:w="963"/>
        <w:gridCol w:w="563"/>
        <w:gridCol w:w="7804"/>
      </w:tblGrid>
      <w:tr w:rsidR="00B467F2" w:rsidRPr="00C9343F" w14:paraId="252216DE" w14:textId="77777777" w:rsidTr="00445FEB">
        <w:tc>
          <w:tcPr>
            <w:tcW w:w="992" w:type="dxa"/>
            <w:gridSpan w:val="2"/>
            <w:hideMark/>
          </w:tcPr>
          <w:p w14:paraId="41451806" w14:textId="77777777" w:rsidR="00B467F2" w:rsidRPr="00C9343F" w:rsidRDefault="00B467F2" w:rsidP="00445FEB">
            <w:pPr>
              <w:pStyle w:val="Sectiontext0"/>
              <w:spacing w:line="276" w:lineRule="auto"/>
              <w:ind w:left="1440"/>
              <w:jc w:val="center"/>
              <w:rPr>
                <w:lang w:eastAsia="en-US"/>
              </w:rPr>
            </w:pPr>
            <w:r w:rsidRPr="00C9343F">
              <w:rPr>
                <w:lang w:eastAsia="en-US"/>
              </w:rPr>
              <w:fldChar w:fldCharType="begin"/>
            </w:r>
            <w:r w:rsidRPr="00C9343F">
              <w:rPr>
                <w:lang w:eastAsia="en-US"/>
              </w:rPr>
              <w:instrText xml:space="preserve"> AUTONUMLGL </w:instrText>
            </w:r>
            <w:r w:rsidRPr="00C9343F">
              <w:rPr>
                <w:lang w:eastAsia="en-US"/>
              </w:rPr>
              <w:fldChar w:fldCharType="end"/>
            </w:r>
          </w:p>
        </w:tc>
        <w:tc>
          <w:tcPr>
            <w:tcW w:w="8367" w:type="dxa"/>
            <w:gridSpan w:val="2"/>
            <w:hideMark/>
          </w:tcPr>
          <w:p w14:paraId="12B782D0" w14:textId="77777777" w:rsidR="00B467F2" w:rsidRPr="00C9343F" w:rsidRDefault="00B467F2" w:rsidP="00445FEB">
            <w:pPr>
              <w:pStyle w:val="Sectiontext0"/>
              <w:spacing w:line="276" w:lineRule="auto"/>
              <w:rPr>
                <w:iCs/>
                <w:lang w:eastAsia="en-US"/>
              </w:rPr>
            </w:pPr>
            <w:r w:rsidRPr="00C9343F">
              <w:rPr>
                <w:iCs/>
                <w:lang w:eastAsia="en-US"/>
              </w:rPr>
              <w:t>In this Division the following apply.</w:t>
            </w:r>
          </w:p>
        </w:tc>
      </w:tr>
      <w:tr w:rsidR="00B467F2" w:rsidRPr="00C9343F" w14:paraId="6F0072EA" w14:textId="77777777" w:rsidTr="00445FEB">
        <w:trPr>
          <w:gridBefore w:val="1"/>
          <w:wBefore w:w="29" w:type="dxa"/>
        </w:trPr>
        <w:tc>
          <w:tcPr>
            <w:tcW w:w="963" w:type="dxa"/>
          </w:tcPr>
          <w:p w14:paraId="27D40A0F" w14:textId="77777777" w:rsidR="00B467F2" w:rsidRPr="00C9343F" w:rsidRDefault="00B467F2" w:rsidP="00445FEB">
            <w:pPr>
              <w:pStyle w:val="Sectiontext0"/>
              <w:spacing w:line="276" w:lineRule="auto"/>
              <w:ind w:left="1440"/>
              <w:jc w:val="center"/>
              <w:rPr>
                <w:lang w:eastAsia="en-US"/>
              </w:rPr>
            </w:pPr>
          </w:p>
        </w:tc>
        <w:tc>
          <w:tcPr>
            <w:tcW w:w="8367" w:type="dxa"/>
            <w:gridSpan w:val="2"/>
            <w:hideMark/>
          </w:tcPr>
          <w:p w14:paraId="0C9298E6" w14:textId="77777777" w:rsidR="00B467F2" w:rsidRPr="00C9343F" w:rsidRDefault="00B467F2" w:rsidP="00445FEB">
            <w:pPr>
              <w:pStyle w:val="Sectiontext0"/>
              <w:spacing w:line="276" w:lineRule="auto"/>
              <w:rPr>
                <w:iCs/>
                <w:lang w:eastAsia="en-US"/>
              </w:rPr>
            </w:pPr>
            <w:r w:rsidRPr="00C9343F">
              <w:rPr>
                <w:b/>
                <w:iCs/>
                <w:lang w:eastAsia="en-US"/>
              </w:rPr>
              <w:t>Specialist level</w:t>
            </w:r>
            <w:r w:rsidRPr="00C9343F">
              <w:rPr>
                <w:iCs/>
                <w:lang w:eastAsia="en-US"/>
              </w:rPr>
              <w:t xml:space="preserve"> means any of the following.</w:t>
            </w:r>
          </w:p>
        </w:tc>
      </w:tr>
      <w:tr w:rsidR="00B467F2" w:rsidRPr="00C9343F" w14:paraId="663F6E1B" w14:textId="77777777" w:rsidTr="00445FEB">
        <w:trPr>
          <w:gridBefore w:val="1"/>
          <w:wBefore w:w="29" w:type="dxa"/>
        </w:trPr>
        <w:tc>
          <w:tcPr>
            <w:tcW w:w="963" w:type="dxa"/>
          </w:tcPr>
          <w:p w14:paraId="7F456028" w14:textId="77777777" w:rsidR="00B467F2" w:rsidRPr="00C9343F" w:rsidRDefault="00B467F2" w:rsidP="00445FEB">
            <w:pPr>
              <w:pStyle w:val="Sectiontext0"/>
              <w:spacing w:line="276" w:lineRule="auto"/>
              <w:jc w:val="center"/>
              <w:rPr>
                <w:lang w:eastAsia="en-US"/>
              </w:rPr>
            </w:pPr>
          </w:p>
        </w:tc>
        <w:tc>
          <w:tcPr>
            <w:tcW w:w="563" w:type="dxa"/>
            <w:hideMark/>
          </w:tcPr>
          <w:p w14:paraId="2386E721" w14:textId="77777777" w:rsidR="00B467F2" w:rsidRPr="00C9343F" w:rsidRDefault="00B467F2" w:rsidP="00445FEB">
            <w:pPr>
              <w:pStyle w:val="Sectiontext0"/>
              <w:spacing w:line="276" w:lineRule="auto"/>
              <w:jc w:val="center"/>
              <w:rPr>
                <w:rFonts w:cs="Arial"/>
                <w:lang w:eastAsia="en-US"/>
              </w:rPr>
            </w:pPr>
            <w:r w:rsidRPr="00C9343F">
              <w:rPr>
                <w:rFonts w:cs="Arial"/>
                <w:lang w:eastAsia="en-US"/>
              </w:rPr>
              <w:t>a.</w:t>
            </w:r>
          </w:p>
        </w:tc>
        <w:tc>
          <w:tcPr>
            <w:tcW w:w="7804" w:type="dxa"/>
            <w:hideMark/>
          </w:tcPr>
          <w:p w14:paraId="095D9590" w14:textId="77777777" w:rsidR="00B467F2" w:rsidRPr="00C9343F" w:rsidRDefault="00B467F2" w:rsidP="00445FEB">
            <w:pPr>
              <w:pStyle w:val="Default"/>
              <w:spacing w:line="276" w:lineRule="auto"/>
            </w:pPr>
            <w:r w:rsidRPr="00C9343F">
              <w:t>Competency level.</w:t>
            </w:r>
          </w:p>
        </w:tc>
      </w:tr>
      <w:tr w:rsidR="00B467F2" w:rsidRPr="00C9343F" w14:paraId="621DDCCF" w14:textId="77777777" w:rsidTr="00445FEB">
        <w:trPr>
          <w:gridBefore w:val="1"/>
          <w:wBefore w:w="29" w:type="dxa"/>
        </w:trPr>
        <w:tc>
          <w:tcPr>
            <w:tcW w:w="963" w:type="dxa"/>
          </w:tcPr>
          <w:p w14:paraId="2A6FF5E0" w14:textId="77777777" w:rsidR="00B467F2" w:rsidRPr="00C9343F" w:rsidRDefault="00B467F2" w:rsidP="00445FEB">
            <w:pPr>
              <w:pStyle w:val="Sectiontext0"/>
              <w:spacing w:line="276" w:lineRule="auto"/>
              <w:jc w:val="center"/>
              <w:rPr>
                <w:lang w:eastAsia="en-US"/>
              </w:rPr>
            </w:pPr>
          </w:p>
        </w:tc>
        <w:tc>
          <w:tcPr>
            <w:tcW w:w="563" w:type="dxa"/>
            <w:hideMark/>
          </w:tcPr>
          <w:p w14:paraId="243853B7" w14:textId="77777777" w:rsidR="00B467F2" w:rsidRPr="00C9343F" w:rsidRDefault="00B467F2" w:rsidP="00445FEB">
            <w:pPr>
              <w:pStyle w:val="Sectiontext0"/>
              <w:spacing w:line="276" w:lineRule="auto"/>
              <w:jc w:val="center"/>
              <w:rPr>
                <w:rFonts w:cs="Arial"/>
                <w:lang w:eastAsia="en-US"/>
              </w:rPr>
            </w:pPr>
            <w:r w:rsidRPr="00C9343F">
              <w:rPr>
                <w:rFonts w:cs="Arial"/>
                <w:lang w:eastAsia="en-US"/>
              </w:rPr>
              <w:t>b.</w:t>
            </w:r>
          </w:p>
        </w:tc>
        <w:tc>
          <w:tcPr>
            <w:tcW w:w="7804" w:type="dxa"/>
            <w:hideMark/>
          </w:tcPr>
          <w:p w14:paraId="1FF055F2" w14:textId="77777777" w:rsidR="00B467F2" w:rsidRPr="00C9343F" w:rsidRDefault="00B467F2" w:rsidP="00445FEB">
            <w:pPr>
              <w:pStyle w:val="Default"/>
              <w:spacing w:line="276" w:lineRule="auto"/>
            </w:pPr>
            <w:r w:rsidRPr="00C9343F">
              <w:t>Dental level.</w:t>
            </w:r>
          </w:p>
        </w:tc>
      </w:tr>
      <w:tr w:rsidR="00B467F2" w:rsidRPr="00C9343F" w14:paraId="6253D71B" w14:textId="77777777" w:rsidTr="00445FEB">
        <w:trPr>
          <w:gridBefore w:val="1"/>
          <w:wBefore w:w="29" w:type="dxa"/>
        </w:trPr>
        <w:tc>
          <w:tcPr>
            <w:tcW w:w="963" w:type="dxa"/>
          </w:tcPr>
          <w:p w14:paraId="2EACDE5F" w14:textId="77777777" w:rsidR="00B467F2" w:rsidRPr="00C9343F" w:rsidRDefault="00B467F2" w:rsidP="00445FEB">
            <w:pPr>
              <w:pStyle w:val="Sectiontext0"/>
              <w:spacing w:line="276" w:lineRule="auto"/>
              <w:jc w:val="center"/>
              <w:rPr>
                <w:lang w:eastAsia="en-US"/>
              </w:rPr>
            </w:pPr>
          </w:p>
        </w:tc>
        <w:tc>
          <w:tcPr>
            <w:tcW w:w="563" w:type="dxa"/>
            <w:hideMark/>
          </w:tcPr>
          <w:p w14:paraId="38DBAEF0" w14:textId="77777777" w:rsidR="00B467F2" w:rsidRPr="00C9343F" w:rsidRDefault="00B467F2" w:rsidP="00445FEB">
            <w:pPr>
              <w:pStyle w:val="Sectiontext0"/>
              <w:spacing w:line="276" w:lineRule="auto"/>
              <w:jc w:val="center"/>
              <w:rPr>
                <w:rFonts w:cs="Arial"/>
                <w:lang w:eastAsia="en-US"/>
              </w:rPr>
            </w:pPr>
            <w:r w:rsidRPr="00C9343F">
              <w:rPr>
                <w:rFonts w:cs="Arial"/>
                <w:lang w:eastAsia="en-US"/>
              </w:rPr>
              <w:t>c.</w:t>
            </w:r>
          </w:p>
        </w:tc>
        <w:tc>
          <w:tcPr>
            <w:tcW w:w="7804" w:type="dxa"/>
            <w:hideMark/>
          </w:tcPr>
          <w:p w14:paraId="5ED31184" w14:textId="77777777" w:rsidR="00B467F2" w:rsidRPr="00C9343F" w:rsidRDefault="00B467F2" w:rsidP="00445FEB">
            <w:pPr>
              <w:pStyle w:val="Default"/>
              <w:spacing w:line="276" w:lineRule="auto"/>
            </w:pPr>
            <w:r w:rsidRPr="00C9343F">
              <w:t>Military medical level.</w:t>
            </w:r>
          </w:p>
        </w:tc>
      </w:tr>
      <w:tr w:rsidR="00B467F2" w:rsidRPr="00C9343F" w14:paraId="45913176" w14:textId="77777777" w:rsidTr="00445FEB">
        <w:trPr>
          <w:gridBefore w:val="1"/>
          <w:wBefore w:w="29" w:type="dxa"/>
        </w:trPr>
        <w:tc>
          <w:tcPr>
            <w:tcW w:w="963" w:type="dxa"/>
          </w:tcPr>
          <w:p w14:paraId="45702510" w14:textId="77777777" w:rsidR="00B467F2" w:rsidRPr="00C9343F" w:rsidRDefault="00B467F2" w:rsidP="00445FEB">
            <w:pPr>
              <w:pStyle w:val="Sectiontext0"/>
              <w:spacing w:line="276" w:lineRule="auto"/>
              <w:jc w:val="center"/>
              <w:rPr>
                <w:lang w:eastAsia="en-US"/>
              </w:rPr>
            </w:pPr>
          </w:p>
        </w:tc>
        <w:tc>
          <w:tcPr>
            <w:tcW w:w="563" w:type="dxa"/>
            <w:hideMark/>
          </w:tcPr>
          <w:p w14:paraId="7A4AB31F" w14:textId="77777777" w:rsidR="00B467F2" w:rsidRPr="00C9343F" w:rsidRDefault="00B467F2" w:rsidP="00445FEB">
            <w:pPr>
              <w:pStyle w:val="Sectiontext0"/>
              <w:spacing w:line="276" w:lineRule="auto"/>
              <w:jc w:val="center"/>
              <w:rPr>
                <w:rFonts w:cs="Arial"/>
                <w:lang w:eastAsia="en-US"/>
              </w:rPr>
            </w:pPr>
            <w:r w:rsidRPr="00C9343F">
              <w:rPr>
                <w:rFonts w:cs="Arial"/>
                <w:lang w:eastAsia="en-US"/>
              </w:rPr>
              <w:t>d.</w:t>
            </w:r>
          </w:p>
        </w:tc>
        <w:tc>
          <w:tcPr>
            <w:tcW w:w="7804" w:type="dxa"/>
            <w:hideMark/>
          </w:tcPr>
          <w:p w14:paraId="1EC6A413" w14:textId="77777777" w:rsidR="00B467F2" w:rsidRPr="00C9343F" w:rsidRDefault="00B467F2" w:rsidP="00445FEB">
            <w:pPr>
              <w:pStyle w:val="Default"/>
              <w:spacing w:line="276" w:lineRule="auto"/>
            </w:pPr>
            <w:r w:rsidRPr="00C9343F">
              <w:t>Legal level.</w:t>
            </w:r>
          </w:p>
        </w:tc>
      </w:tr>
    </w:tbl>
    <w:p w14:paraId="7CE34FC5" w14:textId="363669EA" w:rsidR="00764BC5" w:rsidRPr="00C9343F" w:rsidRDefault="00764BC5" w:rsidP="00F66D98">
      <w:pPr>
        <w:pStyle w:val="Heading5"/>
      </w:pPr>
      <w:bookmarkStart w:id="430" w:name="_Toc105053680"/>
      <w:r w:rsidRPr="00C9343F">
        <w:t>3.2.19</w:t>
      </w:r>
      <w:r w:rsidR="00D94006" w:rsidRPr="00C9343F">
        <w:t>    </w:t>
      </w:r>
      <w:r w:rsidRPr="00C9343F">
        <w:t>Salary on enlistment or appointment</w:t>
      </w:r>
      <w:bookmarkEnd w:id="430"/>
    </w:p>
    <w:tbl>
      <w:tblPr>
        <w:tblW w:w="9279" w:type="dxa"/>
        <w:tblInd w:w="112" w:type="dxa"/>
        <w:tblLayout w:type="fixed"/>
        <w:tblLook w:val="0000" w:firstRow="0" w:lastRow="0" w:firstColumn="0" w:lastColumn="0" w:noHBand="0" w:noVBand="0"/>
      </w:tblPr>
      <w:tblGrid>
        <w:gridCol w:w="993"/>
        <w:gridCol w:w="563"/>
        <w:gridCol w:w="516"/>
        <w:gridCol w:w="7207"/>
      </w:tblGrid>
      <w:tr w:rsidR="00764BC5" w:rsidRPr="00C9343F" w14:paraId="7E7A80B3" w14:textId="77777777" w:rsidTr="00B15186">
        <w:tc>
          <w:tcPr>
            <w:tcW w:w="993" w:type="dxa"/>
          </w:tcPr>
          <w:p w14:paraId="37783B51" w14:textId="77777777" w:rsidR="00764BC5" w:rsidRPr="00C9343F" w:rsidRDefault="00764BC5" w:rsidP="00F66D98">
            <w:pPr>
              <w:pStyle w:val="BlockText-Plain"/>
              <w:jc w:val="center"/>
            </w:pPr>
            <w:r w:rsidRPr="00C9343F">
              <w:t>1.</w:t>
            </w:r>
          </w:p>
        </w:tc>
        <w:tc>
          <w:tcPr>
            <w:tcW w:w="8286" w:type="dxa"/>
            <w:gridSpan w:val="3"/>
          </w:tcPr>
          <w:p w14:paraId="1A886AEB" w14:textId="77777777" w:rsidR="00764BC5" w:rsidRPr="00C9343F" w:rsidRDefault="00764BC5" w:rsidP="00F66D98">
            <w:pPr>
              <w:pStyle w:val="BlockText-Plain"/>
            </w:pPr>
            <w:r w:rsidRPr="00C9343F">
              <w:t xml:space="preserve">The rate of salary on the day a member is enlisted or appointed </w:t>
            </w:r>
            <w:r w:rsidRPr="00C9343F">
              <w:rPr>
                <w:rFonts w:cs="Arial"/>
                <w:iCs/>
                <w:lang w:eastAsia="en-US"/>
              </w:rPr>
              <w:t>is one of the following.</w:t>
            </w:r>
          </w:p>
        </w:tc>
      </w:tr>
      <w:tr w:rsidR="00764BC5" w:rsidRPr="00C9343F" w14:paraId="4E77D588" w14:textId="77777777" w:rsidTr="00B15186">
        <w:tblPrEx>
          <w:tblLook w:val="04A0" w:firstRow="1" w:lastRow="0" w:firstColumn="1" w:lastColumn="0" w:noHBand="0" w:noVBand="1"/>
        </w:tblPrEx>
        <w:tc>
          <w:tcPr>
            <w:tcW w:w="993" w:type="dxa"/>
          </w:tcPr>
          <w:p w14:paraId="3CA8503C" w14:textId="77777777" w:rsidR="00764BC5" w:rsidRPr="00C9343F" w:rsidRDefault="00764BC5" w:rsidP="00F66D98">
            <w:pPr>
              <w:pStyle w:val="Sectiontext0"/>
              <w:jc w:val="center"/>
              <w:rPr>
                <w:lang w:eastAsia="en-US"/>
              </w:rPr>
            </w:pPr>
          </w:p>
        </w:tc>
        <w:tc>
          <w:tcPr>
            <w:tcW w:w="563" w:type="dxa"/>
            <w:hideMark/>
          </w:tcPr>
          <w:p w14:paraId="201AD55B" w14:textId="77777777" w:rsidR="00764BC5" w:rsidRPr="00C9343F" w:rsidRDefault="00764BC5" w:rsidP="007114B1">
            <w:pPr>
              <w:pStyle w:val="Sectiontext0"/>
              <w:jc w:val="center"/>
              <w:rPr>
                <w:rFonts w:cs="Arial"/>
                <w:lang w:eastAsia="en-US"/>
              </w:rPr>
            </w:pPr>
            <w:r w:rsidRPr="00C9343F">
              <w:rPr>
                <w:rFonts w:cs="Arial"/>
                <w:lang w:eastAsia="en-US"/>
              </w:rPr>
              <w:t>a.</w:t>
            </w:r>
          </w:p>
        </w:tc>
        <w:tc>
          <w:tcPr>
            <w:tcW w:w="7723" w:type="dxa"/>
            <w:gridSpan w:val="2"/>
          </w:tcPr>
          <w:p w14:paraId="4077C971" w14:textId="77777777" w:rsidR="00764BC5" w:rsidRPr="00C9343F" w:rsidRDefault="00764BC5" w:rsidP="00F66D98">
            <w:pPr>
              <w:pStyle w:val="Sectiontext0"/>
              <w:rPr>
                <w:rFonts w:cs="Arial"/>
                <w:i/>
                <w:iCs/>
                <w:lang w:eastAsia="en-US"/>
              </w:rPr>
            </w:pPr>
            <w:r w:rsidRPr="00C9343F">
              <w:rPr>
                <w:rFonts w:cs="Arial"/>
                <w:lang w:eastAsia="en-US"/>
              </w:rPr>
              <w:t xml:space="preserve">If the member is a trainee, the rate specified in Schedule B.13 of DFRT Determination No. 2 of 2017, </w:t>
            </w:r>
            <w:r w:rsidRPr="00C9343F">
              <w:rPr>
                <w:rFonts w:cs="Arial"/>
                <w:i/>
                <w:iCs/>
                <w:lang w:eastAsia="en-US"/>
              </w:rPr>
              <w:t>Salaries.</w:t>
            </w:r>
          </w:p>
        </w:tc>
      </w:tr>
      <w:tr w:rsidR="00764BC5" w:rsidRPr="00C9343F" w14:paraId="168FF17B" w14:textId="77777777" w:rsidTr="00B15186">
        <w:tblPrEx>
          <w:tblLook w:val="04A0" w:firstRow="1" w:lastRow="0" w:firstColumn="1" w:lastColumn="0" w:noHBand="0" w:noVBand="1"/>
        </w:tblPrEx>
        <w:tc>
          <w:tcPr>
            <w:tcW w:w="993" w:type="dxa"/>
          </w:tcPr>
          <w:p w14:paraId="6647A84F" w14:textId="77777777" w:rsidR="00764BC5" w:rsidRPr="00C9343F" w:rsidRDefault="00764BC5" w:rsidP="00F66D98">
            <w:pPr>
              <w:pStyle w:val="Sectiontext0"/>
              <w:jc w:val="center"/>
              <w:rPr>
                <w:lang w:eastAsia="en-US"/>
              </w:rPr>
            </w:pPr>
          </w:p>
        </w:tc>
        <w:tc>
          <w:tcPr>
            <w:tcW w:w="563" w:type="dxa"/>
            <w:hideMark/>
          </w:tcPr>
          <w:p w14:paraId="6610B9BC" w14:textId="77777777" w:rsidR="00764BC5" w:rsidRPr="00C9343F" w:rsidRDefault="00764BC5" w:rsidP="007114B1">
            <w:pPr>
              <w:pStyle w:val="Sectiontext0"/>
              <w:jc w:val="center"/>
              <w:rPr>
                <w:rFonts w:cs="Arial"/>
                <w:lang w:eastAsia="en-US"/>
              </w:rPr>
            </w:pPr>
            <w:r w:rsidRPr="00C9343F">
              <w:rPr>
                <w:rFonts w:cs="Arial"/>
                <w:lang w:eastAsia="en-US"/>
              </w:rPr>
              <w:t>b.</w:t>
            </w:r>
          </w:p>
        </w:tc>
        <w:tc>
          <w:tcPr>
            <w:tcW w:w="7723" w:type="dxa"/>
            <w:gridSpan w:val="2"/>
          </w:tcPr>
          <w:p w14:paraId="2AB255BD" w14:textId="77777777" w:rsidR="00764BC5" w:rsidRPr="00C9343F" w:rsidRDefault="00764BC5" w:rsidP="00F66D98">
            <w:pPr>
              <w:pStyle w:val="Sectiontext0"/>
              <w:rPr>
                <w:rFonts w:cs="Arial"/>
                <w:lang w:eastAsia="en-US"/>
              </w:rPr>
            </w:pPr>
            <w:r w:rsidRPr="00C9343F">
              <w:rPr>
                <w:rFonts w:cs="Arial"/>
                <w:lang w:eastAsia="en-US"/>
              </w:rPr>
              <w:t xml:space="preserve">If </w:t>
            </w:r>
            <w:r w:rsidRPr="00C9343F">
              <w:t xml:space="preserve">paragraph a. does not apply to the member, </w:t>
            </w:r>
            <w:r w:rsidRPr="00C9343F">
              <w:rPr>
                <w:rFonts w:cs="Arial"/>
                <w:lang w:eastAsia="en-US"/>
              </w:rPr>
              <w:t xml:space="preserve">the </w:t>
            </w:r>
            <w:r w:rsidRPr="00C9343F">
              <w:t xml:space="preserve">rate of salary is the higher of the following. </w:t>
            </w:r>
          </w:p>
        </w:tc>
      </w:tr>
      <w:tr w:rsidR="00764BC5" w:rsidRPr="00C9343F" w14:paraId="723CB57E" w14:textId="77777777" w:rsidTr="00B15186">
        <w:tblPrEx>
          <w:tblLook w:val="04A0" w:firstRow="1" w:lastRow="0" w:firstColumn="1" w:lastColumn="0" w:noHBand="0" w:noVBand="1"/>
        </w:tblPrEx>
        <w:tc>
          <w:tcPr>
            <w:tcW w:w="993" w:type="dxa"/>
          </w:tcPr>
          <w:p w14:paraId="2B2FA98B" w14:textId="77777777" w:rsidR="00764BC5" w:rsidRPr="00C9343F" w:rsidRDefault="00764BC5" w:rsidP="00F66D98">
            <w:pPr>
              <w:pStyle w:val="Sectiontext0"/>
              <w:jc w:val="center"/>
              <w:rPr>
                <w:lang w:eastAsia="en-US"/>
              </w:rPr>
            </w:pPr>
          </w:p>
        </w:tc>
        <w:tc>
          <w:tcPr>
            <w:tcW w:w="563" w:type="dxa"/>
          </w:tcPr>
          <w:p w14:paraId="5E87F344" w14:textId="77777777" w:rsidR="00764BC5" w:rsidRPr="00C9343F" w:rsidRDefault="00764BC5" w:rsidP="00F66D98">
            <w:pPr>
              <w:pStyle w:val="Sectiontext0"/>
              <w:rPr>
                <w:rFonts w:cs="Arial"/>
                <w:lang w:eastAsia="en-US"/>
              </w:rPr>
            </w:pPr>
          </w:p>
        </w:tc>
        <w:tc>
          <w:tcPr>
            <w:tcW w:w="516" w:type="dxa"/>
          </w:tcPr>
          <w:p w14:paraId="208C5345" w14:textId="77777777" w:rsidR="00764BC5" w:rsidRPr="00C9343F" w:rsidRDefault="00764BC5" w:rsidP="00F66D98">
            <w:pPr>
              <w:pStyle w:val="Sectiontext0"/>
              <w:rPr>
                <w:rFonts w:cs="Arial"/>
                <w:lang w:eastAsia="en-US"/>
              </w:rPr>
            </w:pPr>
            <w:r w:rsidRPr="00C9343F">
              <w:rPr>
                <w:rFonts w:cs="Arial"/>
                <w:lang w:eastAsia="en-US"/>
              </w:rPr>
              <w:t>i.</w:t>
            </w:r>
          </w:p>
        </w:tc>
        <w:tc>
          <w:tcPr>
            <w:tcW w:w="7207" w:type="dxa"/>
          </w:tcPr>
          <w:p w14:paraId="42633032" w14:textId="77777777" w:rsidR="00764BC5" w:rsidRPr="00C9343F" w:rsidRDefault="00764BC5" w:rsidP="00F66D98">
            <w:pPr>
              <w:pStyle w:val="Sectiontext0"/>
              <w:rPr>
                <w:rFonts w:cs="Arial"/>
                <w:lang w:eastAsia="en-US"/>
              </w:rPr>
            </w:pPr>
            <w:r w:rsidRPr="00C9343F">
              <w:t>The minimum rate for their rank and pay grade or specialist level under the relevant salary structure</w:t>
            </w:r>
            <w:r w:rsidRPr="00C9343F">
              <w:rPr>
                <w:rFonts w:cs="Arial"/>
                <w:lang w:eastAsia="en-US"/>
              </w:rPr>
              <w:t xml:space="preserve"> specified in DFRT Determination No. 2 of 2017, </w:t>
            </w:r>
            <w:r w:rsidRPr="00C9343F">
              <w:rPr>
                <w:rFonts w:cs="Arial"/>
                <w:i/>
                <w:iCs/>
                <w:lang w:eastAsia="en-US"/>
              </w:rPr>
              <w:t>Salaries</w:t>
            </w:r>
            <w:r w:rsidRPr="00C9343F">
              <w:t>.</w:t>
            </w:r>
          </w:p>
        </w:tc>
      </w:tr>
      <w:tr w:rsidR="00764BC5" w:rsidRPr="00C9343F" w14:paraId="1CD19C3F" w14:textId="77777777" w:rsidTr="00B15186">
        <w:tblPrEx>
          <w:tblLook w:val="04A0" w:firstRow="1" w:lastRow="0" w:firstColumn="1" w:lastColumn="0" w:noHBand="0" w:noVBand="1"/>
        </w:tblPrEx>
        <w:tc>
          <w:tcPr>
            <w:tcW w:w="993" w:type="dxa"/>
          </w:tcPr>
          <w:p w14:paraId="1E0B9FFB" w14:textId="77777777" w:rsidR="00764BC5" w:rsidRPr="00C9343F" w:rsidRDefault="00764BC5" w:rsidP="00F66D98">
            <w:pPr>
              <w:pStyle w:val="Sectiontext0"/>
              <w:jc w:val="center"/>
              <w:rPr>
                <w:lang w:eastAsia="en-US"/>
              </w:rPr>
            </w:pPr>
          </w:p>
        </w:tc>
        <w:tc>
          <w:tcPr>
            <w:tcW w:w="563" w:type="dxa"/>
          </w:tcPr>
          <w:p w14:paraId="3F0527BE" w14:textId="77777777" w:rsidR="00764BC5" w:rsidRPr="00C9343F" w:rsidRDefault="00764BC5" w:rsidP="00F66D98">
            <w:pPr>
              <w:pStyle w:val="Sectiontext0"/>
              <w:rPr>
                <w:rFonts w:cs="Arial"/>
                <w:lang w:eastAsia="en-US"/>
              </w:rPr>
            </w:pPr>
          </w:p>
        </w:tc>
        <w:tc>
          <w:tcPr>
            <w:tcW w:w="516" w:type="dxa"/>
          </w:tcPr>
          <w:p w14:paraId="43D26968" w14:textId="77777777" w:rsidR="00764BC5" w:rsidRPr="00C9343F" w:rsidRDefault="00764BC5" w:rsidP="00F66D98">
            <w:pPr>
              <w:pStyle w:val="Sectiontext0"/>
              <w:rPr>
                <w:rFonts w:cs="Arial"/>
                <w:lang w:eastAsia="en-US"/>
              </w:rPr>
            </w:pPr>
            <w:r w:rsidRPr="00C9343F">
              <w:rPr>
                <w:rFonts w:cs="Arial"/>
                <w:lang w:eastAsia="en-US"/>
              </w:rPr>
              <w:t>ii.</w:t>
            </w:r>
          </w:p>
        </w:tc>
        <w:tc>
          <w:tcPr>
            <w:tcW w:w="7207" w:type="dxa"/>
          </w:tcPr>
          <w:p w14:paraId="7A229C42" w14:textId="77777777" w:rsidR="00764BC5" w:rsidRPr="00C9343F" w:rsidRDefault="00764BC5" w:rsidP="00F66D98">
            <w:pPr>
              <w:pStyle w:val="Sectiontext0"/>
            </w:pPr>
            <w:r w:rsidRPr="00C9343F">
              <w:rPr>
                <w:rFonts w:cs="Arial"/>
                <w:lang w:eastAsia="en-US"/>
              </w:rPr>
              <w:t>The rate of salary set by the CDF.</w:t>
            </w:r>
          </w:p>
        </w:tc>
      </w:tr>
      <w:tr w:rsidR="00764BC5" w:rsidRPr="00C9343F" w14:paraId="2FD16D25" w14:textId="77777777" w:rsidTr="00B15186">
        <w:tc>
          <w:tcPr>
            <w:tcW w:w="993" w:type="dxa"/>
          </w:tcPr>
          <w:p w14:paraId="3063D190" w14:textId="77777777" w:rsidR="00764BC5" w:rsidRPr="00C9343F" w:rsidRDefault="00764BC5" w:rsidP="00F66D98">
            <w:pPr>
              <w:pStyle w:val="BlockText-Plain"/>
              <w:jc w:val="center"/>
            </w:pPr>
          </w:p>
        </w:tc>
        <w:tc>
          <w:tcPr>
            <w:tcW w:w="8286" w:type="dxa"/>
            <w:gridSpan w:val="3"/>
          </w:tcPr>
          <w:p w14:paraId="006B4F64" w14:textId="77777777" w:rsidR="00764BC5" w:rsidRPr="00C9343F" w:rsidRDefault="00764BC5" w:rsidP="00F66D98">
            <w:pPr>
              <w:pStyle w:val="BlockText-Plain"/>
            </w:pPr>
            <w:r w:rsidRPr="00C9343F">
              <w:rPr>
                <w:b/>
                <w:bCs/>
              </w:rPr>
              <w:t>Note:</w:t>
            </w:r>
            <w:r w:rsidRPr="00C9343F">
              <w:t xml:space="preserve"> A member’s service commences on the day they are first required for duty.</w:t>
            </w:r>
          </w:p>
        </w:tc>
      </w:tr>
      <w:tr w:rsidR="00764BC5" w:rsidRPr="00C9343F" w14:paraId="3B1B91C1" w14:textId="77777777" w:rsidTr="00B15186">
        <w:tc>
          <w:tcPr>
            <w:tcW w:w="993" w:type="dxa"/>
          </w:tcPr>
          <w:p w14:paraId="1054F8AA" w14:textId="77777777" w:rsidR="00764BC5" w:rsidRPr="00C9343F" w:rsidRDefault="00764BC5" w:rsidP="00F66D98">
            <w:pPr>
              <w:pStyle w:val="BlockText-Plain"/>
              <w:jc w:val="center"/>
            </w:pPr>
            <w:r w:rsidRPr="00C9343F">
              <w:t>2.</w:t>
            </w:r>
          </w:p>
        </w:tc>
        <w:tc>
          <w:tcPr>
            <w:tcW w:w="8286" w:type="dxa"/>
            <w:gridSpan w:val="3"/>
          </w:tcPr>
          <w:p w14:paraId="26D45708" w14:textId="77777777" w:rsidR="00764BC5" w:rsidRPr="00C9343F" w:rsidRDefault="00764BC5" w:rsidP="00F66D98">
            <w:pPr>
              <w:pStyle w:val="BlockText-Plain"/>
            </w:pPr>
            <w:r w:rsidRPr="00C9343F">
              <w:t xml:space="preserve">For the purpose of subparagraph 1.b.ii, the following apply. </w:t>
            </w:r>
          </w:p>
        </w:tc>
      </w:tr>
      <w:tr w:rsidR="00764BC5" w:rsidRPr="00C9343F" w14:paraId="5F8264C6" w14:textId="77777777" w:rsidTr="00B15186">
        <w:tblPrEx>
          <w:tblLook w:val="04A0" w:firstRow="1" w:lastRow="0" w:firstColumn="1" w:lastColumn="0" w:noHBand="0" w:noVBand="1"/>
        </w:tblPrEx>
        <w:tc>
          <w:tcPr>
            <w:tcW w:w="993" w:type="dxa"/>
          </w:tcPr>
          <w:p w14:paraId="2BB37204" w14:textId="77777777" w:rsidR="00764BC5" w:rsidRPr="00C9343F" w:rsidRDefault="00764BC5" w:rsidP="00F66D98">
            <w:pPr>
              <w:pStyle w:val="Sectiontext0"/>
              <w:jc w:val="center"/>
              <w:rPr>
                <w:lang w:eastAsia="en-US"/>
              </w:rPr>
            </w:pPr>
          </w:p>
        </w:tc>
        <w:tc>
          <w:tcPr>
            <w:tcW w:w="563" w:type="dxa"/>
            <w:hideMark/>
          </w:tcPr>
          <w:p w14:paraId="1E29DDF8" w14:textId="77777777" w:rsidR="00764BC5" w:rsidRPr="00C9343F" w:rsidRDefault="00764BC5" w:rsidP="007114B1">
            <w:pPr>
              <w:pStyle w:val="Sectiontext0"/>
              <w:jc w:val="center"/>
              <w:rPr>
                <w:rFonts w:cs="Arial"/>
                <w:lang w:eastAsia="en-US"/>
              </w:rPr>
            </w:pPr>
            <w:r w:rsidRPr="00C9343F">
              <w:rPr>
                <w:rFonts w:cs="Arial"/>
                <w:lang w:eastAsia="en-US"/>
              </w:rPr>
              <w:t>a.</w:t>
            </w:r>
          </w:p>
        </w:tc>
        <w:tc>
          <w:tcPr>
            <w:tcW w:w="7723" w:type="dxa"/>
            <w:gridSpan w:val="2"/>
          </w:tcPr>
          <w:p w14:paraId="473536C1" w14:textId="77777777" w:rsidR="00764BC5" w:rsidRPr="00C9343F" w:rsidRDefault="00764BC5" w:rsidP="00F66D98">
            <w:pPr>
              <w:pStyle w:val="Sectiontext0"/>
              <w:rPr>
                <w:rFonts w:cs="Arial"/>
                <w:i/>
                <w:iCs/>
                <w:lang w:eastAsia="en-US"/>
              </w:rPr>
            </w:pPr>
            <w:r w:rsidRPr="00C9343F">
              <w:t>The CDF must believe that a higher rate of salary is reasonable having regard to the member's experience, qualifications and skills.</w:t>
            </w:r>
          </w:p>
        </w:tc>
      </w:tr>
      <w:tr w:rsidR="00764BC5" w:rsidRPr="00C9343F" w14:paraId="316855F6" w14:textId="77777777" w:rsidTr="00B15186">
        <w:tblPrEx>
          <w:tblLook w:val="04A0" w:firstRow="1" w:lastRow="0" w:firstColumn="1" w:lastColumn="0" w:noHBand="0" w:noVBand="1"/>
        </w:tblPrEx>
        <w:tc>
          <w:tcPr>
            <w:tcW w:w="993" w:type="dxa"/>
          </w:tcPr>
          <w:p w14:paraId="2860F7E4" w14:textId="77777777" w:rsidR="00764BC5" w:rsidRPr="00C9343F" w:rsidRDefault="00764BC5" w:rsidP="00F66D98">
            <w:pPr>
              <w:pStyle w:val="Sectiontext0"/>
              <w:jc w:val="center"/>
              <w:rPr>
                <w:lang w:eastAsia="en-US"/>
              </w:rPr>
            </w:pPr>
          </w:p>
        </w:tc>
        <w:tc>
          <w:tcPr>
            <w:tcW w:w="563" w:type="dxa"/>
          </w:tcPr>
          <w:p w14:paraId="2B12B840" w14:textId="77777777" w:rsidR="00764BC5" w:rsidRPr="00C9343F" w:rsidRDefault="00764BC5" w:rsidP="007114B1">
            <w:pPr>
              <w:pStyle w:val="Sectiontext0"/>
              <w:jc w:val="center"/>
              <w:rPr>
                <w:rFonts w:cs="Arial"/>
                <w:lang w:eastAsia="en-US"/>
              </w:rPr>
            </w:pPr>
            <w:r w:rsidRPr="00C9343F">
              <w:rPr>
                <w:rFonts w:cs="Arial"/>
                <w:lang w:eastAsia="en-US"/>
              </w:rPr>
              <w:t>b.</w:t>
            </w:r>
          </w:p>
        </w:tc>
        <w:tc>
          <w:tcPr>
            <w:tcW w:w="7723" w:type="dxa"/>
            <w:gridSpan w:val="2"/>
          </w:tcPr>
          <w:p w14:paraId="0833419A" w14:textId="77777777" w:rsidR="00764BC5" w:rsidRPr="00C9343F" w:rsidRDefault="00764BC5" w:rsidP="00F66D98">
            <w:pPr>
              <w:pStyle w:val="Sectiontext0"/>
            </w:pPr>
            <w:r w:rsidRPr="00C9343F">
              <w:t>The member does not hold an entry level rank of Officer Cadet in the Army or Air Force.</w:t>
            </w:r>
          </w:p>
        </w:tc>
      </w:tr>
    </w:tbl>
    <w:p w14:paraId="0AB68DDF" w14:textId="275D4494" w:rsidR="00764BC5" w:rsidRPr="00C9343F" w:rsidRDefault="00764BC5" w:rsidP="00F66D98">
      <w:pPr>
        <w:pStyle w:val="Heading5"/>
      </w:pPr>
      <w:bookmarkStart w:id="431" w:name="_Toc105053681"/>
      <w:bookmarkStart w:id="432" w:name="_Hlk45130256"/>
      <w:bookmarkEnd w:id="423"/>
      <w:bookmarkEnd w:id="424"/>
      <w:bookmarkEnd w:id="425"/>
      <w:bookmarkEnd w:id="426"/>
      <w:bookmarkEnd w:id="427"/>
      <w:bookmarkEnd w:id="429"/>
      <w:r w:rsidRPr="00C9343F">
        <w:t>3.2.20</w:t>
      </w:r>
      <w:r w:rsidR="00D94006" w:rsidRPr="00C9343F">
        <w:t>    </w:t>
      </w:r>
      <w:r w:rsidRPr="00C9343F">
        <w:t>Salary on promotion – general</w:t>
      </w:r>
      <w:bookmarkEnd w:id="431"/>
    </w:p>
    <w:tbl>
      <w:tblPr>
        <w:tblW w:w="9364" w:type="dxa"/>
        <w:tblInd w:w="108" w:type="dxa"/>
        <w:tblLayout w:type="fixed"/>
        <w:tblLook w:val="0000" w:firstRow="0" w:lastRow="0" w:firstColumn="0" w:lastColumn="0" w:noHBand="0" w:noVBand="0"/>
      </w:tblPr>
      <w:tblGrid>
        <w:gridCol w:w="997"/>
        <w:gridCol w:w="567"/>
        <w:gridCol w:w="7800"/>
      </w:tblGrid>
      <w:tr w:rsidR="00764BC5" w:rsidRPr="00C9343F" w14:paraId="5B3360A7" w14:textId="77777777" w:rsidTr="00B15186">
        <w:tc>
          <w:tcPr>
            <w:tcW w:w="997" w:type="dxa"/>
          </w:tcPr>
          <w:p w14:paraId="186D4CC7" w14:textId="77777777" w:rsidR="00764BC5" w:rsidRPr="00C9343F" w:rsidRDefault="00764BC5" w:rsidP="00F66D98">
            <w:pPr>
              <w:pStyle w:val="BlockText-Plain"/>
              <w:jc w:val="center"/>
            </w:pPr>
            <w:r w:rsidRPr="00C9343F">
              <w:t>1.</w:t>
            </w:r>
          </w:p>
        </w:tc>
        <w:tc>
          <w:tcPr>
            <w:tcW w:w="8367" w:type="dxa"/>
            <w:gridSpan w:val="2"/>
          </w:tcPr>
          <w:p w14:paraId="34271A94" w14:textId="77777777" w:rsidR="00764BC5" w:rsidRPr="00C9343F" w:rsidRDefault="00764BC5" w:rsidP="00F66D98">
            <w:pPr>
              <w:pStyle w:val="BlockText-Plain"/>
            </w:pPr>
            <w:r w:rsidRPr="00C9343F">
              <w:t>On the day that a member’s rank changes due to a promotion, the member’s rate of salary is one of the following.</w:t>
            </w:r>
          </w:p>
        </w:tc>
      </w:tr>
      <w:tr w:rsidR="00764BC5" w:rsidRPr="00C9343F" w14:paraId="34EFCD5E" w14:textId="77777777" w:rsidTr="00B15186">
        <w:tblPrEx>
          <w:tblLook w:val="04A0" w:firstRow="1" w:lastRow="0" w:firstColumn="1" w:lastColumn="0" w:noHBand="0" w:noVBand="1"/>
        </w:tblPrEx>
        <w:tc>
          <w:tcPr>
            <w:tcW w:w="997" w:type="dxa"/>
          </w:tcPr>
          <w:p w14:paraId="5D0FCC0B" w14:textId="77777777" w:rsidR="00764BC5" w:rsidRPr="00C9343F" w:rsidRDefault="00764BC5" w:rsidP="00F66D98">
            <w:pPr>
              <w:pStyle w:val="Sectiontext0"/>
              <w:jc w:val="center"/>
              <w:rPr>
                <w:lang w:eastAsia="en-US"/>
              </w:rPr>
            </w:pPr>
          </w:p>
        </w:tc>
        <w:tc>
          <w:tcPr>
            <w:tcW w:w="567" w:type="dxa"/>
            <w:hideMark/>
          </w:tcPr>
          <w:p w14:paraId="4213B8FB" w14:textId="77777777" w:rsidR="00764BC5" w:rsidRPr="00C9343F" w:rsidRDefault="00764BC5" w:rsidP="007114B1">
            <w:pPr>
              <w:pStyle w:val="Sectiontext0"/>
              <w:jc w:val="center"/>
              <w:rPr>
                <w:rFonts w:cs="Arial"/>
                <w:lang w:eastAsia="en-US"/>
              </w:rPr>
            </w:pPr>
            <w:r w:rsidRPr="00C9343F">
              <w:rPr>
                <w:rFonts w:cs="Arial"/>
                <w:lang w:eastAsia="en-US"/>
              </w:rPr>
              <w:t>a.</w:t>
            </w:r>
          </w:p>
        </w:tc>
        <w:tc>
          <w:tcPr>
            <w:tcW w:w="7800" w:type="dxa"/>
          </w:tcPr>
          <w:p w14:paraId="09AC601C" w14:textId="77777777" w:rsidR="00764BC5" w:rsidRPr="00C9343F" w:rsidRDefault="00764BC5" w:rsidP="00F66D98">
            <w:pPr>
              <w:pStyle w:val="Sectiontext0"/>
              <w:rPr>
                <w:rFonts w:cs="Arial"/>
                <w:lang w:eastAsia="en-US"/>
              </w:rPr>
            </w:pPr>
            <w:r w:rsidRPr="00C9343F">
              <w:t>The minimum rate for their new rank at the relevant pay grade.</w:t>
            </w:r>
          </w:p>
        </w:tc>
      </w:tr>
      <w:tr w:rsidR="00764BC5" w:rsidRPr="00C9343F" w14:paraId="13111C4E" w14:textId="77777777" w:rsidTr="00B15186">
        <w:tblPrEx>
          <w:tblLook w:val="04A0" w:firstRow="1" w:lastRow="0" w:firstColumn="1" w:lastColumn="0" w:noHBand="0" w:noVBand="1"/>
        </w:tblPrEx>
        <w:tc>
          <w:tcPr>
            <w:tcW w:w="997" w:type="dxa"/>
          </w:tcPr>
          <w:p w14:paraId="6EA655A7" w14:textId="77777777" w:rsidR="00764BC5" w:rsidRPr="00C9343F" w:rsidRDefault="00764BC5" w:rsidP="00F66D98">
            <w:pPr>
              <w:pStyle w:val="Sectiontext0"/>
              <w:jc w:val="center"/>
              <w:rPr>
                <w:lang w:eastAsia="en-US"/>
              </w:rPr>
            </w:pPr>
          </w:p>
        </w:tc>
        <w:tc>
          <w:tcPr>
            <w:tcW w:w="567" w:type="dxa"/>
          </w:tcPr>
          <w:p w14:paraId="7E30E4F2" w14:textId="77777777" w:rsidR="00764BC5" w:rsidRPr="00C9343F" w:rsidRDefault="00764BC5" w:rsidP="007114B1">
            <w:pPr>
              <w:pStyle w:val="Sectiontext0"/>
              <w:jc w:val="center"/>
              <w:rPr>
                <w:rFonts w:cs="Arial"/>
                <w:lang w:eastAsia="en-US"/>
              </w:rPr>
            </w:pPr>
            <w:r w:rsidRPr="00C9343F">
              <w:rPr>
                <w:rFonts w:cs="Arial"/>
                <w:lang w:eastAsia="en-US"/>
              </w:rPr>
              <w:t>b.</w:t>
            </w:r>
          </w:p>
        </w:tc>
        <w:tc>
          <w:tcPr>
            <w:tcW w:w="7800" w:type="dxa"/>
          </w:tcPr>
          <w:p w14:paraId="34CC0CBA" w14:textId="77777777" w:rsidR="00764BC5" w:rsidRPr="00C9343F" w:rsidRDefault="00764BC5" w:rsidP="00F66D98">
            <w:pPr>
              <w:pStyle w:val="Sectiontext0"/>
            </w:pPr>
            <w:r w:rsidRPr="00C9343F">
              <w:t>The rate of salary set by the CDF.</w:t>
            </w:r>
          </w:p>
        </w:tc>
      </w:tr>
      <w:tr w:rsidR="00764BC5" w:rsidRPr="00C9343F" w14:paraId="2C516E5F" w14:textId="77777777" w:rsidTr="00B15186">
        <w:tblPrEx>
          <w:tblLook w:val="04A0" w:firstRow="1" w:lastRow="0" w:firstColumn="1" w:lastColumn="0" w:noHBand="0" w:noVBand="1"/>
        </w:tblPrEx>
        <w:tc>
          <w:tcPr>
            <w:tcW w:w="997" w:type="dxa"/>
          </w:tcPr>
          <w:p w14:paraId="1277A2EC" w14:textId="77777777" w:rsidR="00764BC5" w:rsidRPr="00C9343F" w:rsidRDefault="00764BC5" w:rsidP="00F66D98">
            <w:pPr>
              <w:pStyle w:val="Sectiontext0"/>
              <w:jc w:val="center"/>
              <w:rPr>
                <w:lang w:eastAsia="en-US"/>
              </w:rPr>
            </w:pPr>
          </w:p>
        </w:tc>
        <w:tc>
          <w:tcPr>
            <w:tcW w:w="567" w:type="dxa"/>
          </w:tcPr>
          <w:p w14:paraId="12B1EF42" w14:textId="77777777" w:rsidR="00764BC5" w:rsidRPr="00C9343F" w:rsidRDefault="00764BC5" w:rsidP="007114B1">
            <w:pPr>
              <w:pStyle w:val="Sectiontext0"/>
              <w:jc w:val="center"/>
              <w:rPr>
                <w:rFonts w:cs="Arial"/>
                <w:lang w:eastAsia="en-US"/>
              </w:rPr>
            </w:pPr>
            <w:r w:rsidRPr="00C9343F">
              <w:rPr>
                <w:rFonts w:cs="Arial"/>
                <w:lang w:eastAsia="en-US"/>
              </w:rPr>
              <w:t>c.</w:t>
            </w:r>
          </w:p>
        </w:tc>
        <w:tc>
          <w:tcPr>
            <w:tcW w:w="7800" w:type="dxa"/>
          </w:tcPr>
          <w:p w14:paraId="4F34814E" w14:textId="77777777" w:rsidR="00764BC5" w:rsidRPr="00C9343F" w:rsidRDefault="00764BC5" w:rsidP="00F66D98">
            <w:pPr>
              <w:pStyle w:val="Sectiontext0"/>
            </w:pPr>
            <w:r w:rsidRPr="00C9343F">
              <w:t>Another rate if a non-reduction provision under Division 5 applies to the member.</w:t>
            </w:r>
          </w:p>
        </w:tc>
      </w:tr>
      <w:tr w:rsidR="00764BC5" w:rsidRPr="00C9343F" w14:paraId="2F147AF2" w14:textId="77777777" w:rsidTr="00B15186">
        <w:tc>
          <w:tcPr>
            <w:tcW w:w="997" w:type="dxa"/>
          </w:tcPr>
          <w:p w14:paraId="4B03EE9B" w14:textId="77777777" w:rsidR="00764BC5" w:rsidRPr="00C9343F" w:rsidRDefault="00764BC5" w:rsidP="00F66D98">
            <w:pPr>
              <w:pStyle w:val="BlockText-Plain"/>
              <w:jc w:val="center"/>
            </w:pPr>
            <w:r w:rsidRPr="00C9343F">
              <w:t>2.</w:t>
            </w:r>
          </w:p>
        </w:tc>
        <w:tc>
          <w:tcPr>
            <w:tcW w:w="8367" w:type="dxa"/>
            <w:gridSpan w:val="2"/>
          </w:tcPr>
          <w:p w14:paraId="70E57DB5" w14:textId="77777777" w:rsidR="00764BC5" w:rsidRPr="00C9343F" w:rsidRDefault="00764BC5" w:rsidP="00F66D98">
            <w:pPr>
              <w:pStyle w:val="BlockText-Plain"/>
            </w:pPr>
            <w:r w:rsidRPr="00C9343F">
              <w:t>For the purpose of paragraph 1.b,</w:t>
            </w:r>
            <w:r w:rsidRPr="00C9343F">
              <w:rPr>
                <w:rFonts w:cs="Arial"/>
                <w:lang w:eastAsia="en-US"/>
              </w:rPr>
              <w:t xml:space="preserve"> the CDF must believe that a higher rate of salary is reasonable having regard to </w:t>
            </w:r>
            <w:r w:rsidRPr="00C9343F">
              <w:t>the member's experience, qualifications and skills.</w:t>
            </w:r>
          </w:p>
        </w:tc>
      </w:tr>
    </w:tbl>
    <w:p w14:paraId="3FBD68DC" w14:textId="26A9D9C3" w:rsidR="00764BC5" w:rsidRPr="00C9343F" w:rsidRDefault="00764BC5" w:rsidP="00F66D98">
      <w:pPr>
        <w:pStyle w:val="Heading5"/>
        <w:spacing w:before="200"/>
      </w:pPr>
      <w:bookmarkStart w:id="433" w:name="_Toc105053682"/>
      <w:bookmarkStart w:id="434" w:name="_Hlk45130326"/>
      <w:bookmarkEnd w:id="432"/>
      <w:r w:rsidRPr="00C9343F">
        <w:t>3.2.21</w:t>
      </w:r>
      <w:r w:rsidR="00D94006" w:rsidRPr="00C9343F">
        <w:t>    </w:t>
      </w:r>
      <w:r w:rsidRPr="00C9343F">
        <w:t>Salary on change of pay grade or specialist level</w:t>
      </w:r>
      <w:bookmarkEnd w:id="433"/>
    </w:p>
    <w:tbl>
      <w:tblPr>
        <w:tblW w:w="9364" w:type="dxa"/>
        <w:tblInd w:w="108" w:type="dxa"/>
        <w:tblLayout w:type="fixed"/>
        <w:tblLook w:val="0000" w:firstRow="0" w:lastRow="0" w:firstColumn="0" w:lastColumn="0" w:noHBand="0" w:noVBand="0"/>
      </w:tblPr>
      <w:tblGrid>
        <w:gridCol w:w="993"/>
        <w:gridCol w:w="567"/>
        <w:gridCol w:w="7804"/>
      </w:tblGrid>
      <w:tr w:rsidR="00764BC5" w:rsidRPr="00C9343F" w14:paraId="0CD55FB8" w14:textId="77777777" w:rsidTr="00B15186">
        <w:tc>
          <w:tcPr>
            <w:tcW w:w="992" w:type="dxa"/>
          </w:tcPr>
          <w:p w14:paraId="606C9CAE" w14:textId="77777777" w:rsidR="00764BC5" w:rsidRPr="00C9343F" w:rsidRDefault="00764BC5" w:rsidP="00F66D98">
            <w:pPr>
              <w:pStyle w:val="BlockText-Plain"/>
              <w:jc w:val="center"/>
            </w:pPr>
            <w:r w:rsidRPr="00C9343F">
              <w:t>1.</w:t>
            </w:r>
          </w:p>
        </w:tc>
        <w:tc>
          <w:tcPr>
            <w:tcW w:w="8367" w:type="dxa"/>
            <w:gridSpan w:val="2"/>
          </w:tcPr>
          <w:p w14:paraId="41C3BA78" w14:textId="77777777" w:rsidR="00764BC5" w:rsidRPr="00C9343F" w:rsidRDefault="00764BC5" w:rsidP="00F66D98">
            <w:pPr>
              <w:pStyle w:val="BlockText-Plain"/>
            </w:pPr>
            <w:r w:rsidRPr="00C9343F">
              <w:t>This section applies to a member who meets all of the following.</w:t>
            </w:r>
          </w:p>
        </w:tc>
      </w:tr>
      <w:tr w:rsidR="00764BC5" w:rsidRPr="00C9343F" w14:paraId="59DA8221" w14:textId="77777777" w:rsidTr="00B15186">
        <w:trPr>
          <w:cantSplit/>
        </w:trPr>
        <w:tc>
          <w:tcPr>
            <w:tcW w:w="992" w:type="dxa"/>
          </w:tcPr>
          <w:p w14:paraId="70C5CC50" w14:textId="77777777" w:rsidR="00764BC5" w:rsidRPr="00C9343F" w:rsidRDefault="00764BC5" w:rsidP="00F66D98">
            <w:pPr>
              <w:pStyle w:val="BlockText-Plain"/>
            </w:pPr>
          </w:p>
        </w:tc>
        <w:tc>
          <w:tcPr>
            <w:tcW w:w="567" w:type="dxa"/>
          </w:tcPr>
          <w:p w14:paraId="6F3C1B49" w14:textId="77777777" w:rsidR="00764BC5" w:rsidRPr="00C9343F" w:rsidRDefault="00764BC5" w:rsidP="007114B1">
            <w:pPr>
              <w:pStyle w:val="BlockText-Plain"/>
              <w:jc w:val="center"/>
            </w:pPr>
            <w:r w:rsidRPr="00C9343F">
              <w:t>a.</w:t>
            </w:r>
          </w:p>
        </w:tc>
        <w:tc>
          <w:tcPr>
            <w:tcW w:w="7800" w:type="dxa"/>
          </w:tcPr>
          <w:p w14:paraId="6FEFB408" w14:textId="77777777" w:rsidR="00764BC5" w:rsidRPr="00C9343F" w:rsidRDefault="00764BC5" w:rsidP="00F66D98">
            <w:pPr>
              <w:pStyle w:val="BlockText-Plain"/>
            </w:pPr>
            <w:r w:rsidRPr="00C9343F">
              <w:t>The member's pay grade or specialist level changes.</w:t>
            </w:r>
          </w:p>
        </w:tc>
      </w:tr>
      <w:tr w:rsidR="00764BC5" w:rsidRPr="00C9343F" w14:paraId="4376B184" w14:textId="77777777" w:rsidTr="00B15186">
        <w:trPr>
          <w:cantSplit/>
        </w:trPr>
        <w:tc>
          <w:tcPr>
            <w:tcW w:w="992" w:type="dxa"/>
          </w:tcPr>
          <w:p w14:paraId="2EBF0322" w14:textId="77777777" w:rsidR="00764BC5" w:rsidRPr="00C9343F" w:rsidRDefault="00764BC5" w:rsidP="00F66D98">
            <w:pPr>
              <w:pStyle w:val="BlockText-Plain"/>
            </w:pPr>
          </w:p>
        </w:tc>
        <w:tc>
          <w:tcPr>
            <w:tcW w:w="567" w:type="dxa"/>
          </w:tcPr>
          <w:p w14:paraId="70E7EC57" w14:textId="77777777" w:rsidR="00764BC5" w:rsidRPr="00C9343F" w:rsidRDefault="00764BC5" w:rsidP="007114B1">
            <w:pPr>
              <w:pStyle w:val="BlockText-Plain"/>
              <w:jc w:val="center"/>
            </w:pPr>
            <w:r w:rsidRPr="00C9343F">
              <w:t>b.</w:t>
            </w:r>
          </w:p>
        </w:tc>
        <w:tc>
          <w:tcPr>
            <w:tcW w:w="7800" w:type="dxa"/>
          </w:tcPr>
          <w:p w14:paraId="0C62C044" w14:textId="77777777" w:rsidR="00764BC5" w:rsidRPr="00C9343F" w:rsidRDefault="00764BC5" w:rsidP="00F66D98">
            <w:pPr>
              <w:pStyle w:val="BlockText-Plain"/>
            </w:pPr>
            <w:r w:rsidRPr="00C9343F">
              <w:t>The change is for a reason other than disciplinary action or an administrative sanction.</w:t>
            </w:r>
          </w:p>
        </w:tc>
      </w:tr>
      <w:tr w:rsidR="00764BC5" w:rsidRPr="00C9343F" w14:paraId="78D49A15" w14:textId="77777777" w:rsidTr="00B15186">
        <w:trPr>
          <w:cantSplit/>
        </w:trPr>
        <w:tc>
          <w:tcPr>
            <w:tcW w:w="992" w:type="dxa"/>
          </w:tcPr>
          <w:p w14:paraId="3B84F35D" w14:textId="77777777" w:rsidR="00764BC5" w:rsidRPr="00C9343F" w:rsidRDefault="00764BC5" w:rsidP="00F66D98">
            <w:pPr>
              <w:pStyle w:val="BlockText-Plain"/>
            </w:pPr>
          </w:p>
        </w:tc>
        <w:tc>
          <w:tcPr>
            <w:tcW w:w="567" w:type="dxa"/>
          </w:tcPr>
          <w:p w14:paraId="76790B87" w14:textId="77777777" w:rsidR="00764BC5" w:rsidRPr="00C9343F" w:rsidRDefault="00764BC5" w:rsidP="007114B1">
            <w:pPr>
              <w:pStyle w:val="BlockText-Plain"/>
              <w:jc w:val="center"/>
            </w:pPr>
            <w:r w:rsidRPr="00C9343F">
              <w:t>c.</w:t>
            </w:r>
          </w:p>
        </w:tc>
        <w:tc>
          <w:tcPr>
            <w:tcW w:w="7800" w:type="dxa"/>
          </w:tcPr>
          <w:p w14:paraId="1CBC2498" w14:textId="77777777" w:rsidR="00764BC5" w:rsidRPr="00C9343F" w:rsidRDefault="00764BC5" w:rsidP="00F66D98">
            <w:pPr>
              <w:pStyle w:val="BlockText-Plain"/>
            </w:pPr>
            <w:r w:rsidRPr="00C9343F">
              <w:t xml:space="preserve">The change is not related to the member becoming eligible for salary in a different pay grade scale under another salary Schedule in DFRT Determination No. 2 of 2017, </w:t>
            </w:r>
            <w:r w:rsidRPr="00C9343F">
              <w:rPr>
                <w:i/>
              </w:rPr>
              <w:t>Salaries</w:t>
            </w:r>
            <w:r w:rsidRPr="00C9343F">
              <w:t>.</w:t>
            </w:r>
          </w:p>
        </w:tc>
      </w:tr>
      <w:tr w:rsidR="00764BC5" w:rsidRPr="00C9343F" w14:paraId="2BDA73A4" w14:textId="77777777" w:rsidTr="00B15186">
        <w:tc>
          <w:tcPr>
            <w:tcW w:w="992" w:type="dxa"/>
          </w:tcPr>
          <w:p w14:paraId="0F2800AF" w14:textId="77777777" w:rsidR="00764BC5" w:rsidRPr="00C9343F" w:rsidRDefault="00764BC5" w:rsidP="00F66D98">
            <w:pPr>
              <w:pStyle w:val="BlockText-Plain"/>
              <w:jc w:val="center"/>
            </w:pPr>
            <w:r w:rsidRPr="00C9343F">
              <w:t>2.</w:t>
            </w:r>
          </w:p>
        </w:tc>
        <w:tc>
          <w:tcPr>
            <w:tcW w:w="8367" w:type="dxa"/>
            <w:gridSpan w:val="2"/>
          </w:tcPr>
          <w:p w14:paraId="0CAEE02A" w14:textId="77777777" w:rsidR="00764BC5" w:rsidRPr="00C9343F" w:rsidRDefault="00764BC5" w:rsidP="00F66D98">
            <w:pPr>
              <w:pStyle w:val="BlockText-Plain"/>
            </w:pPr>
            <w:r w:rsidRPr="00C9343F">
              <w:t>The member’s salary rate is the rate for the new pay grade or specialist level that corresponds to the rank increment the member held at their former pay grade or specialist level.</w:t>
            </w:r>
          </w:p>
        </w:tc>
      </w:tr>
      <w:tr w:rsidR="00764BC5" w:rsidRPr="00C9343F" w14:paraId="48935DD8" w14:textId="77777777" w:rsidTr="00B15186">
        <w:tc>
          <w:tcPr>
            <w:tcW w:w="992" w:type="dxa"/>
          </w:tcPr>
          <w:p w14:paraId="76931FE2" w14:textId="77777777" w:rsidR="00764BC5" w:rsidRPr="00C9343F" w:rsidRDefault="00764BC5" w:rsidP="00F66D98">
            <w:pPr>
              <w:pStyle w:val="BlockText-Plain"/>
              <w:jc w:val="center"/>
            </w:pPr>
            <w:r w:rsidRPr="00C9343F">
              <w:t>3.</w:t>
            </w:r>
          </w:p>
        </w:tc>
        <w:tc>
          <w:tcPr>
            <w:tcW w:w="8367" w:type="dxa"/>
            <w:gridSpan w:val="2"/>
          </w:tcPr>
          <w:p w14:paraId="053B21FB" w14:textId="77777777" w:rsidR="00764BC5" w:rsidRPr="00C9343F" w:rsidRDefault="00764BC5" w:rsidP="00F66D98">
            <w:pPr>
              <w:pStyle w:val="BlockText-Plain"/>
            </w:pPr>
            <w:r w:rsidRPr="00C9343F">
              <w:t>Despite subsection 2, if salary non-reduction arrangements apply to the member under Division 5, then the member's rate of salary is the rate for the member's rank increment of their former pay grade or specialist level.</w:t>
            </w:r>
          </w:p>
        </w:tc>
      </w:tr>
    </w:tbl>
    <w:p w14:paraId="58840221" w14:textId="5D1C6D5E" w:rsidR="005F44BC" w:rsidRPr="00C9343F" w:rsidRDefault="005F44BC" w:rsidP="00F66D98">
      <w:pPr>
        <w:pStyle w:val="Heading5"/>
        <w:spacing w:before="200"/>
      </w:pPr>
      <w:bookmarkStart w:id="435" w:name="_Toc105053683"/>
      <w:bookmarkEnd w:id="434"/>
      <w:r w:rsidRPr="00C9343F">
        <w:t>3.2.22</w:t>
      </w:r>
      <w:r w:rsidR="00D94006" w:rsidRPr="00C9343F">
        <w:t>    </w:t>
      </w:r>
      <w:r w:rsidRPr="00C9343F">
        <w:t>Salary on ceasing to be a specialist officer</w:t>
      </w:r>
      <w:bookmarkEnd w:id="435"/>
    </w:p>
    <w:tbl>
      <w:tblPr>
        <w:tblW w:w="0" w:type="auto"/>
        <w:tblInd w:w="113" w:type="dxa"/>
        <w:tblLayout w:type="fixed"/>
        <w:tblLook w:val="0000" w:firstRow="0" w:lastRow="0" w:firstColumn="0" w:lastColumn="0" w:noHBand="0" w:noVBand="0"/>
      </w:tblPr>
      <w:tblGrid>
        <w:gridCol w:w="992"/>
        <w:gridCol w:w="8367"/>
      </w:tblGrid>
      <w:tr w:rsidR="005F44BC" w:rsidRPr="00C9343F" w14:paraId="1E2B6C60" w14:textId="77777777" w:rsidTr="005F44BC">
        <w:trPr>
          <w:cantSplit/>
        </w:trPr>
        <w:tc>
          <w:tcPr>
            <w:tcW w:w="992" w:type="dxa"/>
          </w:tcPr>
          <w:p w14:paraId="5B52A3F2" w14:textId="77777777" w:rsidR="005F44BC" w:rsidRPr="00C9343F" w:rsidRDefault="005F44BC" w:rsidP="00F66D98">
            <w:pPr>
              <w:pStyle w:val="BlockText-Plain"/>
              <w:jc w:val="center"/>
            </w:pPr>
            <w:r w:rsidRPr="00C9343F">
              <w:t>1.</w:t>
            </w:r>
          </w:p>
        </w:tc>
        <w:tc>
          <w:tcPr>
            <w:tcW w:w="8367" w:type="dxa"/>
          </w:tcPr>
          <w:p w14:paraId="0C6873B4" w14:textId="77777777" w:rsidR="005F44BC" w:rsidRPr="00C9343F" w:rsidRDefault="005F44BC" w:rsidP="00F66D98">
            <w:pPr>
              <w:pStyle w:val="BlockText-Plain"/>
            </w:pPr>
            <w:r w:rsidRPr="00C9343F">
              <w:t>This section applies to a member who ceases to perform duty as a specialist officer.</w:t>
            </w:r>
          </w:p>
        </w:tc>
      </w:tr>
      <w:tr w:rsidR="005F44BC" w:rsidRPr="00C9343F" w14:paraId="7DB69AA9" w14:textId="77777777" w:rsidTr="005F44BC">
        <w:tc>
          <w:tcPr>
            <w:tcW w:w="992" w:type="dxa"/>
          </w:tcPr>
          <w:p w14:paraId="02E96A42" w14:textId="77777777" w:rsidR="005F44BC" w:rsidRPr="00C9343F" w:rsidRDefault="005F44BC" w:rsidP="00F66D98">
            <w:pPr>
              <w:pStyle w:val="BlockText-Plain"/>
              <w:jc w:val="center"/>
            </w:pPr>
            <w:r w:rsidRPr="00C9343F">
              <w:t>2.</w:t>
            </w:r>
          </w:p>
        </w:tc>
        <w:tc>
          <w:tcPr>
            <w:tcW w:w="8367" w:type="dxa"/>
          </w:tcPr>
          <w:p w14:paraId="4F9E0F1D" w14:textId="77777777" w:rsidR="005F44BC" w:rsidRPr="00C9343F" w:rsidRDefault="005F44BC" w:rsidP="00F66D98">
            <w:pPr>
              <w:pStyle w:val="BlockText-Plain"/>
            </w:pPr>
            <w:r w:rsidRPr="00C9343F">
              <w:t>The member is to be paid the salary rate for the new pay grade that corresponds to the rank increment the member held in their former specialist officer competency level.</w:t>
            </w:r>
          </w:p>
        </w:tc>
      </w:tr>
      <w:tr w:rsidR="005F44BC" w:rsidRPr="00C9343F" w14:paraId="30E765A8" w14:textId="77777777" w:rsidTr="005F44BC">
        <w:tc>
          <w:tcPr>
            <w:tcW w:w="992" w:type="dxa"/>
          </w:tcPr>
          <w:p w14:paraId="61582F0B" w14:textId="77777777" w:rsidR="005F44BC" w:rsidRPr="00C9343F" w:rsidRDefault="005F44BC" w:rsidP="00F66D98">
            <w:pPr>
              <w:pStyle w:val="BlockText-Plain"/>
              <w:jc w:val="center"/>
            </w:pPr>
          </w:p>
        </w:tc>
        <w:tc>
          <w:tcPr>
            <w:tcW w:w="8367" w:type="dxa"/>
          </w:tcPr>
          <w:p w14:paraId="0F119756" w14:textId="77777777" w:rsidR="005F44BC" w:rsidRPr="00C9343F" w:rsidRDefault="005F44BC" w:rsidP="00F66D98">
            <w:pPr>
              <w:pStyle w:val="BlockText-Plain"/>
            </w:pPr>
            <w:r w:rsidRPr="00C9343F">
              <w:rPr>
                <w:b/>
              </w:rPr>
              <w:t>Exception:</w:t>
            </w:r>
            <w:r w:rsidRPr="00C9343F">
              <w:t xml:space="preserve"> The CDF may approve a salary above the minimum incremental rate for a member because of their experience, qualifications and skills.</w:t>
            </w:r>
          </w:p>
        </w:tc>
      </w:tr>
    </w:tbl>
    <w:p w14:paraId="3833A656" w14:textId="2DCB9EF3" w:rsidR="005F44BC" w:rsidRPr="00C9343F" w:rsidRDefault="005F44BC" w:rsidP="00F66D98">
      <w:pPr>
        <w:pStyle w:val="Heading5"/>
      </w:pPr>
      <w:bookmarkStart w:id="436" w:name="_Toc105053684"/>
      <w:r w:rsidRPr="00C9343F">
        <w:t>3.2.23</w:t>
      </w:r>
      <w:r w:rsidR="00D94006" w:rsidRPr="00C9343F">
        <w:t>    </w:t>
      </w:r>
      <w:r w:rsidRPr="00C9343F">
        <w:t>Member with previous service – commencement salary</w:t>
      </w:r>
      <w:bookmarkEnd w:id="436"/>
    </w:p>
    <w:tbl>
      <w:tblPr>
        <w:tblW w:w="9359" w:type="dxa"/>
        <w:tblInd w:w="113" w:type="dxa"/>
        <w:tblLayout w:type="fixed"/>
        <w:tblLook w:val="0000" w:firstRow="0" w:lastRow="0" w:firstColumn="0" w:lastColumn="0" w:noHBand="0" w:noVBand="0"/>
      </w:tblPr>
      <w:tblGrid>
        <w:gridCol w:w="992"/>
        <w:gridCol w:w="567"/>
        <w:gridCol w:w="29"/>
        <w:gridCol w:w="7771"/>
      </w:tblGrid>
      <w:tr w:rsidR="005468B3" w:rsidRPr="00C9343F" w14:paraId="167C8D25" w14:textId="77777777" w:rsidTr="001E65AE">
        <w:tc>
          <w:tcPr>
            <w:tcW w:w="992" w:type="dxa"/>
          </w:tcPr>
          <w:p w14:paraId="7B0E9813" w14:textId="4DD781C3" w:rsidR="005468B3" w:rsidRPr="00C9343F" w:rsidRDefault="005468B3" w:rsidP="005468B3">
            <w:pPr>
              <w:pStyle w:val="BlockText-Plain"/>
              <w:jc w:val="center"/>
            </w:pPr>
            <w:r w:rsidRPr="00C9343F">
              <w:rPr>
                <w:lang w:eastAsia="en-US"/>
              </w:rPr>
              <w:t>1.</w:t>
            </w:r>
          </w:p>
        </w:tc>
        <w:tc>
          <w:tcPr>
            <w:tcW w:w="8367" w:type="dxa"/>
            <w:gridSpan w:val="3"/>
          </w:tcPr>
          <w:p w14:paraId="79ED0F9A" w14:textId="2DF48A40" w:rsidR="005468B3" w:rsidRPr="00C9343F" w:rsidRDefault="005468B3" w:rsidP="005468B3">
            <w:pPr>
              <w:pStyle w:val="BlockText-Plain"/>
            </w:pPr>
            <w:r w:rsidRPr="00C9343F">
              <w:rPr>
                <w:iCs/>
                <w:lang w:eastAsia="en-US"/>
              </w:rPr>
              <w:t>In this section</w:t>
            </w:r>
            <w:r w:rsidRPr="00C9343F">
              <w:rPr>
                <w:b/>
                <w:iCs/>
                <w:lang w:eastAsia="en-US"/>
              </w:rPr>
              <w:t xml:space="preserve"> relevant military service</w:t>
            </w:r>
            <w:r w:rsidRPr="00C9343F">
              <w:rPr>
                <w:b/>
                <w:lang w:eastAsia="en-US"/>
              </w:rPr>
              <w:t xml:space="preserve"> </w:t>
            </w:r>
            <w:r w:rsidRPr="00C9343F">
              <w:rPr>
                <w:lang w:eastAsia="en-US"/>
              </w:rPr>
              <w:t>means service that meets all of the following.</w:t>
            </w:r>
          </w:p>
        </w:tc>
      </w:tr>
      <w:tr w:rsidR="005468B3" w:rsidRPr="00C9343F" w14:paraId="33AE8C85" w14:textId="77777777" w:rsidTr="001E65AE">
        <w:tc>
          <w:tcPr>
            <w:tcW w:w="992" w:type="dxa"/>
          </w:tcPr>
          <w:p w14:paraId="433F8435" w14:textId="77777777" w:rsidR="005468B3" w:rsidRPr="00C9343F" w:rsidRDefault="005468B3" w:rsidP="005468B3">
            <w:pPr>
              <w:pStyle w:val="Sectiontext0"/>
              <w:jc w:val="center"/>
            </w:pPr>
          </w:p>
        </w:tc>
        <w:tc>
          <w:tcPr>
            <w:tcW w:w="596" w:type="dxa"/>
            <w:gridSpan w:val="2"/>
          </w:tcPr>
          <w:p w14:paraId="76BFAED5" w14:textId="5028C942" w:rsidR="005468B3" w:rsidRPr="00C9343F" w:rsidRDefault="005468B3" w:rsidP="007114B1">
            <w:pPr>
              <w:pStyle w:val="Sectiontext0"/>
              <w:jc w:val="center"/>
              <w:rPr>
                <w:iCs/>
              </w:rPr>
            </w:pPr>
            <w:r w:rsidRPr="00C9343F">
              <w:rPr>
                <w:iCs/>
              </w:rPr>
              <w:t>a.</w:t>
            </w:r>
          </w:p>
        </w:tc>
        <w:tc>
          <w:tcPr>
            <w:tcW w:w="7771" w:type="dxa"/>
          </w:tcPr>
          <w:p w14:paraId="32A30975" w14:textId="1B39EFE3" w:rsidR="005468B3" w:rsidRPr="00C9343F" w:rsidRDefault="005468B3" w:rsidP="005468B3">
            <w:pPr>
              <w:pStyle w:val="Sectiontext0"/>
              <w:rPr>
                <w:iCs/>
              </w:rPr>
            </w:pPr>
            <w:r w:rsidRPr="00C9343F">
              <w:rPr>
                <w:lang w:eastAsia="en-US"/>
              </w:rPr>
              <w:t xml:space="preserve">It was in the ADF, or the forces of a Commonwealth country or the United States of America. </w:t>
            </w:r>
          </w:p>
        </w:tc>
      </w:tr>
      <w:tr w:rsidR="005468B3" w:rsidRPr="00C9343F" w14:paraId="66CF7609" w14:textId="77777777" w:rsidTr="001E65AE">
        <w:tc>
          <w:tcPr>
            <w:tcW w:w="992" w:type="dxa"/>
          </w:tcPr>
          <w:p w14:paraId="0CDB9BEF" w14:textId="77777777" w:rsidR="005468B3" w:rsidRPr="00C9343F" w:rsidRDefault="005468B3" w:rsidP="005468B3">
            <w:pPr>
              <w:pStyle w:val="Sectiontext0"/>
              <w:jc w:val="center"/>
            </w:pPr>
          </w:p>
        </w:tc>
        <w:tc>
          <w:tcPr>
            <w:tcW w:w="596" w:type="dxa"/>
            <w:gridSpan w:val="2"/>
          </w:tcPr>
          <w:p w14:paraId="5FF9D9AB" w14:textId="77777777" w:rsidR="005468B3" w:rsidRPr="00C9343F" w:rsidRDefault="005468B3" w:rsidP="007114B1">
            <w:pPr>
              <w:pStyle w:val="Sectiontext0"/>
              <w:jc w:val="center"/>
              <w:rPr>
                <w:iCs/>
              </w:rPr>
            </w:pPr>
            <w:r w:rsidRPr="00C9343F">
              <w:rPr>
                <w:iCs/>
              </w:rPr>
              <w:t>b.</w:t>
            </w:r>
          </w:p>
        </w:tc>
        <w:tc>
          <w:tcPr>
            <w:tcW w:w="7771" w:type="dxa"/>
          </w:tcPr>
          <w:p w14:paraId="0F2057A8" w14:textId="63AFF549" w:rsidR="005468B3" w:rsidRPr="00C9343F" w:rsidRDefault="005468B3" w:rsidP="005468B3">
            <w:pPr>
              <w:pStyle w:val="Sectiontext0"/>
              <w:rPr>
                <w:iCs/>
              </w:rPr>
            </w:pPr>
            <w:r w:rsidRPr="00C9343F">
              <w:t xml:space="preserve">It is relevant to the kind of work the member enlisted or is appointed to do. </w:t>
            </w:r>
          </w:p>
        </w:tc>
      </w:tr>
      <w:tr w:rsidR="005468B3" w:rsidRPr="00C9343F" w14:paraId="07CC07F9" w14:textId="77777777" w:rsidTr="001E65AE">
        <w:tc>
          <w:tcPr>
            <w:tcW w:w="992" w:type="dxa"/>
          </w:tcPr>
          <w:p w14:paraId="3FF02557" w14:textId="77777777" w:rsidR="005468B3" w:rsidRPr="00C9343F" w:rsidRDefault="005468B3" w:rsidP="005468B3">
            <w:pPr>
              <w:pStyle w:val="Sectiontext0"/>
              <w:jc w:val="center"/>
            </w:pPr>
          </w:p>
        </w:tc>
        <w:tc>
          <w:tcPr>
            <w:tcW w:w="596" w:type="dxa"/>
            <w:gridSpan w:val="2"/>
          </w:tcPr>
          <w:p w14:paraId="7AD54DEC" w14:textId="77777777" w:rsidR="005468B3" w:rsidRPr="00C9343F" w:rsidRDefault="005468B3" w:rsidP="007114B1">
            <w:pPr>
              <w:pStyle w:val="Sectiontext0"/>
              <w:jc w:val="center"/>
              <w:rPr>
                <w:iCs/>
              </w:rPr>
            </w:pPr>
            <w:r w:rsidRPr="00C9343F">
              <w:rPr>
                <w:iCs/>
              </w:rPr>
              <w:t>c.</w:t>
            </w:r>
          </w:p>
        </w:tc>
        <w:tc>
          <w:tcPr>
            <w:tcW w:w="7771" w:type="dxa"/>
          </w:tcPr>
          <w:p w14:paraId="641B5656" w14:textId="7746E61A" w:rsidR="005468B3" w:rsidRPr="00C9343F" w:rsidRDefault="005468B3" w:rsidP="005468B3">
            <w:pPr>
              <w:pStyle w:val="Sectiontext0"/>
              <w:rPr>
                <w:iCs/>
              </w:rPr>
            </w:pPr>
            <w:r w:rsidRPr="00C9343F">
              <w:rPr>
                <w:lang w:eastAsia="en-US"/>
              </w:rPr>
              <w:t>It was performed at a rank equivalent to the rank the member enlisted or is appointed to, or at a higher rank.</w:t>
            </w:r>
          </w:p>
        </w:tc>
      </w:tr>
      <w:tr w:rsidR="003A3C27" w:rsidRPr="00C9343F" w14:paraId="27F40DD1" w14:textId="77777777" w:rsidTr="005468B3">
        <w:tc>
          <w:tcPr>
            <w:tcW w:w="992" w:type="dxa"/>
          </w:tcPr>
          <w:p w14:paraId="55042181" w14:textId="77777777" w:rsidR="003A3C27" w:rsidRPr="00C9343F" w:rsidRDefault="003A3C27" w:rsidP="00F66D98">
            <w:pPr>
              <w:pStyle w:val="BlockText-Plain"/>
              <w:jc w:val="center"/>
            </w:pPr>
            <w:r w:rsidRPr="00C9343F">
              <w:t>2.</w:t>
            </w:r>
          </w:p>
        </w:tc>
        <w:tc>
          <w:tcPr>
            <w:tcW w:w="8367" w:type="dxa"/>
            <w:gridSpan w:val="3"/>
          </w:tcPr>
          <w:p w14:paraId="1A862988" w14:textId="77777777" w:rsidR="003A3C27" w:rsidRPr="00C9343F" w:rsidRDefault="003A3C27" w:rsidP="00F66D98">
            <w:pPr>
              <w:pStyle w:val="BlockText-Plain"/>
            </w:pPr>
            <w:r w:rsidRPr="00C9343F">
              <w:t>This section does not apply to members on promotion.</w:t>
            </w:r>
          </w:p>
        </w:tc>
      </w:tr>
      <w:tr w:rsidR="005F44BC" w:rsidRPr="00C9343F" w14:paraId="33BB02F3" w14:textId="77777777" w:rsidTr="005468B3">
        <w:tc>
          <w:tcPr>
            <w:tcW w:w="992" w:type="dxa"/>
          </w:tcPr>
          <w:p w14:paraId="58C2C25F" w14:textId="77777777" w:rsidR="005F44BC" w:rsidRPr="00C9343F" w:rsidRDefault="005F44BC" w:rsidP="00F66D98">
            <w:pPr>
              <w:pStyle w:val="BlockText-Plain"/>
              <w:jc w:val="center"/>
            </w:pPr>
            <w:r w:rsidRPr="00C9343F">
              <w:t>3.</w:t>
            </w:r>
          </w:p>
        </w:tc>
        <w:tc>
          <w:tcPr>
            <w:tcW w:w="8367" w:type="dxa"/>
            <w:gridSpan w:val="3"/>
          </w:tcPr>
          <w:p w14:paraId="42A7A03C" w14:textId="77777777" w:rsidR="005F44BC" w:rsidRPr="00C9343F" w:rsidRDefault="005F44BC" w:rsidP="00F66D98">
            <w:pPr>
              <w:pStyle w:val="BlockText-Plain"/>
            </w:pPr>
            <w:r w:rsidRPr="00C9343F">
              <w:t xml:space="preserve">A member may have previous relevant military service at the time they enlist or are appointed to a rank. The CDF may grant the member a commencement salary between the following two amounts. </w:t>
            </w:r>
          </w:p>
        </w:tc>
      </w:tr>
      <w:tr w:rsidR="005F44BC" w:rsidRPr="00C9343F" w14:paraId="0C5A1892" w14:textId="77777777" w:rsidTr="005468B3">
        <w:trPr>
          <w:cantSplit/>
        </w:trPr>
        <w:tc>
          <w:tcPr>
            <w:tcW w:w="992" w:type="dxa"/>
          </w:tcPr>
          <w:p w14:paraId="286D065C" w14:textId="77777777" w:rsidR="005F44BC" w:rsidRPr="00C9343F" w:rsidRDefault="005F44BC" w:rsidP="00F66D98">
            <w:pPr>
              <w:pStyle w:val="BlockText-Plain"/>
            </w:pPr>
          </w:p>
        </w:tc>
        <w:tc>
          <w:tcPr>
            <w:tcW w:w="567" w:type="dxa"/>
          </w:tcPr>
          <w:p w14:paraId="7999C857" w14:textId="77777777" w:rsidR="005F44BC" w:rsidRPr="00C9343F" w:rsidRDefault="005F44BC" w:rsidP="007114B1">
            <w:pPr>
              <w:pStyle w:val="BlockText-Plain"/>
              <w:jc w:val="center"/>
            </w:pPr>
            <w:r w:rsidRPr="00C9343F">
              <w:t>a.</w:t>
            </w:r>
          </w:p>
        </w:tc>
        <w:tc>
          <w:tcPr>
            <w:tcW w:w="7800" w:type="dxa"/>
            <w:gridSpan w:val="2"/>
          </w:tcPr>
          <w:p w14:paraId="1BA7B867" w14:textId="77777777" w:rsidR="005F44BC" w:rsidRPr="00C9343F" w:rsidRDefault="005F44BC" w:rsidP="00F66D98">
            <w:pPr>
              <w:pStyle w:val="BlockText-Plain"/>
            </w:pPr>
            <w:r w:rsidRPr="00C9343F">
              <w:t>The minimum rate.</w:t>
            </w:r>
          </w:p>
        </w:tc>
      </w:tr>
      <w:tr w:rsidR="005F44BC" w:rsidRPr="00C9343F" w14:paraId="71AC4CA5" w14:textId="77777777" w:rsidTr="005468B3">
        <w:trPr>
          <w:cantSplit/>
        </w:trPr>
        <w:tc>
          <w:tcPr>
            <w:tcW w:w="992" w:type="dxa"/>
          </w:tcPr>
          <w:p w14:paraId="776D41A6" w14:textId="77777777" w:rsidR="005F44BC" w:rsidRPr="00C9343F" w:rsidRDefault="005F44BC" w:rsidP="00F66D98">
            <w:pPr>
              <w:pStyle w:val="BlockText-Plain"/>
            </w:pPr>
          </w:p>
        </w:tc>
        <w:tc>
          <w:tcPr>
            <w:tcW w:w="567" w:type="dxa"/>
          </w:tcPr>
          <w:p w14:paraId="357C6861" w14:textId="77777777" w:rsidR="005F44BC" w:rsidRPr="00C9343F" w:rsidRDefault="005F44BC" w:rsidP="007114B1">
            <w:pPr>
              <w:pStyle w:val="BlockText-Plain"/>
              <w:jc w:val="center"/>
            </w:pPr>
            <w:r w:rsidRPr="00C9343F">
              <w:t>b.</w:t>
            </w:r>
          </w:p>
        </w:tc>
        <w:tc>
          <w:tcPr>
            <w:tcW w:w="7800" w:type="dxa"/>
            <w:gridSpan w:val="2"/>
          </w:tcPr>
          <w:p w14:paraId="00BD1A73" w14:textId="77777777" w:rsidR="005F44BC" w:rsidRPr="00C9343F" w:rsidRDefault="005F44BC" w:rsidP="00F66D98">
            <w:pPr>
              <w:pStyle w:val="BlockText-Plain"/>
            </w:pPr>
            <w:r w:rsidRPr="00C9343F">
              <w:t xml:space="preserve">The rate the member would have been paid if the member's service had been in the ADF. </w:t>
            </w:r>
          </w:p>
        </w:tc>
      </w:tr>
      <w:tr w:rsidR="005F44BC" w:rsidRPr="00C9343F" w14:paraId="65DC4E23" w14:textId="77777777" w:rsidTr="005468B3">
        <w:tc>
          <w:tcPr>
            <w:tcW w:w="992" w:type="dxa"/>
          </w:tcPr>
          <w:p w14:paraId="7A054FD9" w14:textId="77777777" w:rsidR="005F44BC" w:rsidRPr="00C9343F" w:rsidRDefault="005F44BC" w:rsidP="00F66D98">
            <w:pPr>
              <w:pStyle w:val="BlockText-Plain"/>
              <w:jc w:val="center"/>
            </w:pPr>
            <w:r w:rsidRPr="00C9343F">
              <w:t>4.</w:t>
            </w:r>
          </w:p>
        </w:tc>
        <w:tc>
          <w:tcPr>
            <w:tcW w:w="8367" w:type="dxa"/>
            <w:gridSpan w:val="3"/>
          </w:tcPr>
          <w:p w14:paraId="38D53197" w14:textId="77777777" w:rsidR="005F44BC" w:rsidRPr="00C9343F" w:rsidRDefault="005F44BC" w:rsidP="00F66D98">
            <w:pPr>
              <w:pStyle w:val="BlockText-Plain"/>
            </w:pPr>
            <w:r w:rsidRPr="00C9343F">
              <w:t>The CDF must consider all of the following factors.</w:t>
            </w:r>
          </w:p>
        </w:tc>
      </w:tr>
      <w:tr w:rsidR="005F44BC" w:rsidRPr="00C9343F" w14:paraId="234BCEE7" w14:textId="77777777" w:rsidTr="005468B3">
        <w:trPr>
          <w:cantSplit/>
        </w:trPr>
        <w:tc>
          <w:tcPr>
            <w:tcW w:w="992" w:type="dxa"/>
          </w:tcPr>
          <w:p w14:paraId="4FAE7E37" w14:textId="77777777" w:rsidR="005F44BC" w:rsidRPr="00C9343F" w:rsidRDefault="005F44BC" w:rsidP="00F66D98">
            <w:pPr>
              <w:pStyle w:val="BlockText-Plain"/>
            </w:pPr>
          </w:p>
        </w:tc>
        <w:tc>
          <w:tcPr>
            <w:tcW w:w="567" w:type="dxa"/>
          </w:tcPr>
          <w:p w14:paraId="742CD43A" w14:textId="77777777" w:rsidR="005F44BC" w:rsidRPr="00C9343F" w:rsidRDefault="005F44BC" w:rsidP="007114B1">
            <w:pPr>
              <w:pStyle w:val="BlockText-Plain"/>
              <w:jc w:val="center"/>
            </w:pPr>
            <w:r w:rsidRPr="00C9343F">
              <w:t>a.</w:t>
            </w:r>
          </w:p>
        </w:tc>
        <w:tc>
          <w:tcPr>
            <w:tcW w:w="7800" w:type="dxa"/>
            <w:gridSpan w:val="2"/>
          </w:tcPr>
          <w:p w14:paraId="76D6A383" w14:textId="77777777" w:rsidR="005F44BC" w:rsidRPr="00C9343F" w:rsidRDefault="005F44BC" w:rsidP="00F66D98">
            <w:pPr>
              <w:pStyle w:val="BlockText-Plain"/>
            </w:pPr>
            <w:r w:rsidRPr="00C9343F">
              <w:t>The member's previous relevant military service.</w:t>
            </w:r>
          </w:p>
        </w:tc>
      </w:tr>
      <w:tr w:rsidR="005F44BC" w:rsidRPr="00C9343F" w14:paraId="14B73CED" w14:textId="77777777" w:rsidTr="005468B3">
        <w:trPr>
          <w:cantSplit/>
        </w:trPr>
        <w:tc>
          <w:tcPr>
            <w:tcW w:w="992" w:type="dxa"/>
          </w:tcPr>
          <w:p w14:paraId="2E4D4691" w14:textId="77777777" w:rsidR="005F44BC" w:rsidRPr="00C9343F" w:rsidRDefault="005F44BC" w:rsidP="00F66D98">
            <w:pPr>
              <w:pStyle w:val="BlockText-Plain"/>
            </w:pPr>
          </w:p>
        </w:tc>
        <w:tc>
          <w:tcPr>
            <w:tcW w:w="567" w:type="dxa"/>
          </w:tcPr>
          <w:p w14:paraId="6598E990" w14:textId="77777777" w:rsidR="005F44BC" w:rsidRPr="00C9343F" w:rsidRDefault="005F44BC" w:rsidP="007114B1">
            <w:pPr>
              <w:pStyle w:val="BlockText-Plain"/>
              <w:jc w:val="center"/>
            </w:pPr>
            <w:r w:rsidRPr="00C9343F">
              <w:t>b.</w:t>
            </w:r>
          </w:p>
        </w:tc>
        <w:tc>
          <w:tcPr>
            <w:tcW w:w="7800" w:type="dxa"/>
            <w:gridSpan w:val="2"/>
          </w:tcPr>
          <w:p w14:paraId="36451EB1" w14:textId="77777777" w:rsidR="005F44BC" w:rsidRPr="00C9343F" w:rsidRDefault="005F44BC" w:rsidP="00F66D98">
            <w:pPr>
              <w:pStyle w:val="BlockText-Plain"/>
            </w:pPr>
            <w:r w:rsidRPr="00C9343F">
              <w:t xml:space="preserve">What incremental salary rate the length of the member's relevant military service would place them at in the salary scale. </w:t>
            </w:r>
          </w:p>
        </w:tc>
      </w:tr>
      <w:tr w:rsidR="005F44BC" w:rsidRPr="00C9343F" w14:paraId="4E6593C7" w14:textId="77777777" w:rsidTr="005468B3">
        <w:trPr>
          <w:cantSplit/>
        </w:trPr>
        <w:tc>
          <w:tcPr>
            <w:tcW w:w="992" w:type="dxa"/>
          </w:tcPr>
          <w:p w14:paraId="54A914A8" w14:textId="77777777" w:rsidR="005F44BC" w:rsidRPr="00C9343F" w:rsidRDefault="005F44BC" w:rsidP="00F66D98">
            <w:pPr>
              <w:pStyle w:val="BlockText-Plain"/>
            </w:pPr>
          </w:p>
        </w:tc>
        <w:tc>
          <w:tcPr>
            <w:tcW w:w="567" w:type="dxa"/>
          </w:tcPr>
          <w:p w14:paraId="758A5296" w14:textId="77777777" w:rsidR="005F44BC" w:rsidRPr="00C9343F" w:rsidRDefault="005F44BC" w:rsidP="007114B1">
            <w:pPr>
              <w:pStyle w:val="BlockText-Plain"/>
              <w:jc w:val="center"/>
            </w:pPr>
            <w:r w:rsidRPr="00C9343F">
              <w:t>c.</w:t>
            </w:r>
          </w:p>
        </w:tc>
        <w:tc>
          <w:tcPr>
            <w:tcW w:w="7800" w:type="dxa"/>
            <w:gridSpan w:val="2"/>
          </w:tcPr>
          <w:p w14:paraId="568F315D" w14:textId="77777777" w:rsidR="005F44BC" w:rsidRPr="00C9343F" w:rsidRDefault="005F44BC" w:rsidP="00F66D98">
            <w:pPr>
              <w:pStyle w:val="BlockText-Plain"/>
            </w:pPr>
            <w:r w:rsidRPr="00C9343F">
              <w:t>For a member being reappointed or re-enlisted – whether the qualifications, skills or training requirements for the rank have changed since the member last served.</w:t>
            </w:r>
          </w:p>
        </w:tc>
      </w:tr>
      <w:tr w:rsidR="005F44BC" w:rsidRPr="00C9343F" w14:paraId="4D97F8AF" w14:textId="77777777" w:rsidTr="005468B3">
        <w:trPr>
          <w:cantSplit/>
        </w:trPr>
        <w:tc>
          <w:tcPr>
            <w:tcW w:w="992" w:type="dxa"/>
          </w:tcPr>
          <w:p w14:paraId="29E30EB7" w14:textId="77777777" w:rsidR="005F44BC" w:rsidRPr="00C9343F" w:rsidRDefault="005F44BC" w:rsidP="00F66D98">
            <w:pPr>
              <w:pStyle w:val="BlockText-Plain"/>
            </w:pPr>
          </w:p>
        </w:tc>
        <w:tc>
          <w:tcPr>
            <w:tcW w:w="567" w:type="dxa"/>
          </w:tcPr>
          <w:p w14:paraId="06B838A8" w14:textId="77777777" w:rsidR="005F44BC" w:rsidRPr="00C9343F" w:rsidRDefault="005F44BC" w:rsidP="007114B1">
            <w:pPr>
              <w:pStyle w:val="BlockText-Plain"/>
              <w:jc w:val="center"/>
            </w:pPr>
            <w:r w:rsidRPr="00C9343F">
              <w:t>d.</w:t>
            </w:r>
          </w:p>
        </w:tc>
        <w:tc>
          <w:tcPr>
            <w:tcW w:w="7800" w:type="dxa"/>
            <w:gridSpan w:val="2"/>
          </w:tcPr>
          <w:p w14:paraId="28FEAF4D" w14:textId="5D2146D8" w:rsidR="005F44BC" w:rsidRPr="00C9343F" w:rsidRDefault="005F44BC" w:rsidP="00F66D98">
            <w:pPr>
              <w:pStyle w:val="BlockText-Plain"/>
            </w:pPr>
            <w:r w:rsidRPr="00C9343F">
              <w:t>Other matters relevant to periods of service for salary advancement.</w:t>
            </w:r>
          </w:p>
        </w:tc>
      </w:tr>
      <w:tr w:rsidR="005F44BC" w:rsidRPr="00C9343F" w14:paraId="12DB62BC" w14:textId="77777777" w:rsidTr="005468B3">
        <w:tc>
          <w:tcPr>
            <w:tcW w:w="992" w:type="dxa"/>
          </w:tcPr>
          <w:p w14:paraId="5A2C3800" w14:textId="77777777" w:rsidR="005F44BC" w:rsidRPr="00C9343F" w:rsidRDefault="005F44BC" w:rsidP="00F66D98">
            <w:pPr>
              <w:pStyle w:val="BlockText-PlainNoSpacing"/>
              <w:jc w:val="center"/>
            </w:pPr>
            <w:r w:rsidRPr="00C9343F">
              <w:t>5.</w:t>
            </w:r>
          </w:p>
        </w:tc>
        <w:tc>
          <w:tcPr>
            <w:tcW w:w="8367" w:type="dxa"/>
            <w:gridSpan w:val="3"/>
          </w:tcPr>
          <w:p w14:paraId="6D6D3D73" w14:textId="77777777" w:rsidR="005F44BC" w:rsidRPr="00C9343F" w:rsidRDefault="005F44BC" w:rsidP="00F66D98">
            <w:pPr>
              <w:pStyle w:val="BlockText-Plain"/>
            </w:pPr>
            <w:r w:rsidRPr="00C9343F">
              <w:t>This table sets out what the CDF considers in working out the period of relevant military service if there is a break in service between two periods of continuous full-time service.</w:t>
            </w:r>
          </w:p>
        </w:tc>
      </w:tr>
    </w:tbl>
    <w:p w14:paraId="056786D0" w14:textId="77777777" w:rsidR="005F44BC" w:rsidRPr="00C9343F" w:rsidRDefault="005F44BC"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2778"/>
        <w:gridCol w:w="4876"/>
      </w:tblGrid>
      <w:tr w:rsidR="005F44BC" w:rsidRPr="00C9343F" w14:paraId="58E2A56C" w14:textId="77777777" w:rsidTr="005F44BC">
        <w:trPr>
          <w:cantSplit/>
        </w:trPr>
        <w:tc>
          <w:tcPr>
            <w:tcW w:w="567" w:type="dxa"/>
            <w:tcBorders>
              <w:top w:val="single" w:sz="6" w:space="0" w:color="auto"/>
              <w:left w:val="single" w:sz="6" w:space="0" w:color="auto"/>
              <w:bottom w:val="single" w:sz="6" w:space="0" w:color="auto"/>
              <w:right w:val="single" w:sz="6" w:space="0" w:color="auto"/>
            </w:tcBorders>
          </w:tcPr>
          <w:p w14:paraId="6FAB9C19" w14:textId="77777777" w:rsidR="005F44BC" w:rsidRPr="00C9343F" w:rsidRDefault="005F44BC" w:rsidP="00F66D98">
            <w:pPr>
              <w:rPr>
                <w:b/>
                <w:sz w:val="20"/>
              </w:rPr>
            </w:pPr>
            <w:r w:rsidRPr="00C9343F">
              <w:rPr>
                <w:b/>
                <w:sz w:val="20"/>
              </w:rPr>
              <w:t>Item</w:t>
            </w:r>
          </w:p>
        </w:tc>
        <w:tc>
          <w:tcPr>
            <w:tcW w:w="2778" w:type="dxa"/>
            <w:tcBorders>
              <w:top w:val="single" w:sz="6" w:space="0" w:color="auto"/>
              <w:left w:val="single" w:sz="6" w:space="0" w:color="auto"/>
              <w:bottom w:val="single" w:sz="6" w:space="0" w:color="auto"/>
              <w:right w:val="single" w:sz="6" w:space="0" w:color="auto"/>
            </w:tcBorders>
          </w:tcPr>
          <w:p w14:paraId="25905050" w14:textId="77777777" w:rsidR="005F44BC" w:rsidRPr="00C9343F" w:rsidRDefault="005F44BC" w:rsidP="00F66D98">
            <w:pPr>
              <w:rPr>
                <w:b/>
                <w:sz w:val="20"/>
              </w:rPr>
            </w:pPr>
            <w:r w:rsidRPr="00C9343F">
              <w:rPr>
                <w:b/>
                <w:sz w:val="20"/>
              </w:rPr>
              <w:t>If the break in service is…</w:t>
            </w:r>
          </w:p>
        </w:tc>
        <w:tc>
          <w:tcPr>
            <w:tcW w:w="4876" w:type="dxa"/>
            <w:tcBorders>
              <w:top w:val="single" w:sz="6" w:space="0" w:color="auto"/>
              <w:left w:val="single" w:sz="6" w:space="0" w:color="auto"/>
              <w:bottom w:val="single" w:sz="6" w:space="0" w:color="auto"/>
              <w:right w:val="single" w:sz="6" w:space="0" w:color="auto"/>
            </w:tcBorders>
          </w:tcPr>
          <w:p w14:paraId="2C65CFD3" w14:textId="77777777" w:rsidR="005F44BC" w:rsidRPr="00C9343F" w:rsidRDefault="005F44BC" w:rsidP="00F66D98">
            <w:pPr>
              <w:rPr>
                <w:b/>
                <w:sz w:val="20"/>
              </w:rPr>
            </w:pPr>
            <w:r w:rsidRPr="00C9343F">
              <w:rPr>
                <w:b/>
                <w:sz w:val="20"/>
              </w:rPr>
              <w:t>then the CDF may disregard…</w:t>
            </w:r>
          </w:p>
        </w:tc>
      </w:tr>
      <w:tr w:rsidR="005F44BC" w:rsidRPr="00C9343F" w14:paraId="4A3DDDC0" w14:textId="77777777" w:rsidTr="005F44BC">
        <w:trPr>
          <w:cantSplit/>
        </w:trPr>
        <w:tc>
          <w:tcPr>
            <w:tcW w:w="567" w:type="dxa"/>
            <w:tcBorders>
              <w:top w:val="single" w:sz="6" w:space="0" w:color="auto"/>
              <w:left w:val="single" w:sz="6" w:space="0" w:color="auto"/>
              <w:bottom w:val="single" w:sz="6" w:space="0" w:color="auto"/>
              <w:right w:val="single" w:sz="6" w:space="0" w:color="auto"/>
            </w:tcBorders>
          </w:tcPr>
          <w:p w14:paraId="09F0FCED" w14:textId="77777777" w:rsidR="005F44BC" w:rsidRPr="00C9343F" w:rsidRDefault="005F44BC" w:rsidP="00F66D98">
            <w:pPr>
              <w:pStyle w:val="TableTextArial-leftCharCharChar"/>
              <w:jc w:val="center"/>
            </w:pPr>
            <w:r w:rsidRPr="00C9343F">
              <w:t>1.</w:t>
            </w:r>
          </w:p>
        </w:tc>
        <w:tc>
          <w:tcPr>
            <w:tcW w:w="2778" w:type="dxa"/>
            <w:tcBorders>
              <w:top w:val="single" w:sz="6" w:space="0" w:color="auto"/>
              <w:left w:val="single" w:sz="6" w:space="0" w:color="auto"/>
              <w:bottom w:val="single" w:sz="6" w:space="0" w:color="auto"/>
              <w:right w:val="single" w:sz="6" w:space="0" w:color="auto"/>
            </w:tcBorders>
          </w:tcPr>
          <w:p w14:paraId="7D23B7A8" w14:textId="77777777" w:rsidR="005F44BC" w:rsidRPr="00C9343F" w:rsidRDefault="005F44BC" w:rsidP="00F66D98">
            <w:pPr>
              <w:pStyle w:val="TableTextArial-leftCharCharChar"/>
            </w:pPr>
            <w:r w:rsidRPr="00C9343F">
              <w:rPr>
                <w:snapToGrid w:val="0"/>
                <w:lang w:eastAsia="en-US"/>
              </w:rPr>
              <w:t>five years or less</w:t>
            </w:r>
          </w:p>
        </w:tc>
        <w:tc>
          <w:tcPr>
            <w:tcW w:w="4876" w:type="dxa"/>
            <w:tcBorders>
              <w:top w:val="single" w:sz="6" w:space="0" w:color="auto"/>
              <w:left w:val="single" w:sz="6" w:space="0" w:color="auto"/>
              <w:bottom w:val="single" w:sz="6" w:space="0" w:color="auto"/>
              <w:right w:val="single" w:sz="6" w:space="0" w:color="auto"/>
            </w:tcBorders>
          </w:tcPr>
          <w:p w14:paraId="5E49A4A3" w14:textId="77777777" w:rsidR="005F44BC" w:rsidRPr="00C9343F" w:rsidRDefault="005F44BC" w:rsidP="00F66D98">
            <w:pPr>
              <w:pStyle w:val="TableTextArial-leftCharCharChar"/>
            </w:pPr>
            <w:r w:rsidRPr="00C9343F">
              <w:rPr>
                <w:snapToGrid w:val="0"/>
                <w:lang w:eastAsia="en-US"/>
              </w:rPr>
              <w:t>any service before an earlier break in service.</w:t>
            </w:r>
          </w:p>
        </w:tc>
      </w:tr>
      <w:tr w:rsidR="005F44BC" w:rsidRPr="00C9343F" w14:paraId="4755106A" w14:textId="77777777" w:rsidTr="005F44BC">
        <w:trPr>
          <w:cantSplit/>
        </w:trPr>
        <w:tc>
          <w:tcPr>
            <w:tcW w:w="567" w:type="dxa"/>
            <w:tcBorders>
              <w:top w:val="single" w:sz="6" w:space="0" w:color="auto"/>
              <w:left w:val="single" w:sz="6" w:space="0" w:color="auto"/>
              <w:bottom w:val="single" w:sz="6" w:space="0" w:color="auto"/>
              <w:right w:val="single" w:sz="6" w:space="0" w:color="auto"/>
            </w:tcBorders>
          </w:tcPr>
          <w:p w14:paraId="4270F51A" w14:textId="77777777" w:rsidR="005F44BC" w:rsidRPr="00C9343F" w:rsidRDefault="005F44BC" w:rsidP="00F66D98">
            <w:pPr>
              <w:pStyle w:val="TableTextArial-leftCharCharChar"/>
              <w:jc w:val="center"/>
            </w:pPr>
            <w:r w:rsidRPr="00C9343F">
              <w:t>2.</w:t>
            </w:r>
          </w:p>
        </w:tc>
        <w:tc>
          <w:tcPr>
            <w:tcW w:w="2778" w:type="dxa"/>
            <w:tcBorders>
              <w:top w:val="single" w:sz="6" w:space="0" w:color="auto"/>
              <w:left w:val="single" w:sz="6" w:space="0" w:color="auto"/>
              <w:bottom w:val="single" w:sz="6" w:space="0" w:color="auto"/>
              <w:right w:val="single" w:sz="6" w:space="0" w:color="auto"/>
            </w:tcBorders>
          </w:tcPr>
          <w:p w14:paraId="0277C4EF" w14:textId="77777777" w:rsidR="005F44BC" w:rsidRPr="00C9343F" w:rsidRDefault="005F44BC" w:rsidP="00F66D98">
            <w:pPr>
              <w:pStyle w:val="TableTextArial-leftCharCharChar"/>
              <w:rPr>
                <w:snapToGrid w:val="0"/>
                <w:lang w:eastAsia="en-US"/>
              </w:rPr>
            </w:pPr>
            <w:r w:rsidRPr="00C9343F">
              <w:rPr>
                <w:snapToGrid w:val="0"/>
                <w:lang w:eastAsia="en-US"/>
              </w:rPr>
              <w:t>more than five years</w:t>
            </w:r>
          </w:p>
        </w:tc>
        <w:tc>
          <w:tcPr>
            <w:tcW w:w="4876" w:type="dxa"/>
            <w:tcBorders>
              <w:top w:val="single" w:sz="6" w:space="0" w:color="auto"/>
              <w:left w:val="single" w:sz="6" w:space="0" w:color="auto"/>
              <w:bottom w:val="single" w:sz="6" w:space="0" w:color="auto"/>
              <w:right w:val="single" w:sz="6" w:space="0" w:color="auto"/>
            </w:tcBorders>
          </w:tcPr>
          <w:p w14:paraId="47CABA2C" w14:textId="77777777" w:rsidR="005F44BC" w:rsidRPr="00C9343F" w:rsidRDefault="005F44BC" w:rsidP="00F66D98">
            <w:pPr>
              <w:pStyle w:val="TableTextArial-leftCharCharChar"/>
              <w:rPr>
                <w:snapToGrid w:val="0"/>
                <w:lang w:eastAsia="en-US"/>
              </w:rPr>
            </w:pPr>
            <w:r w:rsidRPr="00C9343F">
              <w:rPr>
                <w:snapToGrid w:val="0"/>
                <w:lang w:eastAsia="en-US"/>
              </w:rPr>
              <w:t>any service before the break.</w:t>
            </w:r>
          </w:p>
        </w:tc>
      </w:tr>
    </w:tbl>
    <w:p w14:paraId="1B608E94" w14:textId="4F8AE8ED" w:rsidR="005F44BC" w:rsidRPr="00C9343F" w:rsidRDefault="005F44BC" w:rsidP="00F66D98">
      <w:bookmarkStart w:id="437" w:name="bk105619335RecognitionofserviceintheRes"/>
      <w:bookmarkStart w:id="438" w:name="bk105709335RecognitionofserviceintheRes"/>
      <w:bookmarkStart w:id="439" w:name="bk123809335RecognitionofserviceintheRes"/>
      <w:bookmarkStart w:id="440" w:name="bk165924335RecognitionofserviceintheRes"/>
      <w:bookmarkStart w:id="441" w:name="bk113545335RecognitionofserviceintheRes"/>
    </w:p>
    <w:p w14:paraId="624A9789" w14:textId="44A30069" w:rsidR="005F44BC" w:rsidRPr="00C9343F" w:rsidRDefault="005F44BC" w:rsidP="00F66D98">
      <w:pPr>
        <w:pStyle w:val="Heading5"/>
      </w:pPr>
      <w:bookmarkStart w:id="442" w:name="_Toc105053685"/>
      <w:r w:rsidRPr="00C9343F">
        <w:t>3.2.24</w:t>
      </w:r>
      <w:r w:rsidR="00D94006" w:rsidRPr="00C9343F">
        <w:t>    </w:t>
      </w:r>
      <w:r w:rsidRPr="00C9343F">
        <w:t>Recognition of service in the Reserves</w:t>
      </w:r>
      <w:bookmarkEnd w:id="442"/>
    </w:p>
    <w:tbl>
      <w:tblPr>
        <w:tblW w:w="0" w:type="auto"/>
        <w:tblInd w:w="113" w:type="dxa"/>
        <w:tblLayout w:type="fixed"/>
        <w:tblLook w:val="0000" w:firstRow="0" w:lastRow="0" w:firstColumn="0" w:lastColumn="0" w:noHBand="0" w:noVBand="0"/>
      </w:tblPr>
      <w:tblGrid>
        <w:gridCol w:w="992"/>
        <w:gridCol w:w="8363"/>
      </w:tblGrid>
      <w:tr w:rsidR="005F44BC" w:rsidRPr="00C9343F" w14:paraId="2C5F0734" w14:textId="77777777" w:rsidTr="005F44BC">
        <w:tc>
          <w:tcPr>
            <w:tcW w:w="992" w:type="dxa"/>
          </w:tcPr>
          <w:bookmarkEnd w:id="437"/>
          <w:bookmarkEnd w:id="438"/>
          <w:bookmarkEnd w:id="439"/>
          <w:bookmarkEnd w:id="440"/>
          <w:bookmarkEnd w:id="441"/>
          <w:p w14:paraId="62A43F74" w14:textId="77777777" w:rsidR="005F44BC" w:rsidRPr="00C9343F" w:rsidRDefault="005F44BC" w:rsidP="00F66D98">
            <w:pPr>
              <w:pStyle w:val="BlockText-Plain"/>
              <w:keepNext/>
              <w:keepLines/>
              <w:jc w:val="center"/>
            </w:pPr>
            <w:r w:rsidRPr="00C9343F">
              <w:t>1.</w:t>
            </w:r>
          </w:p>
        </w:tc>
        <w:tc>
          <w:tcPr>
            <w:tcW w:w="8363" w:type="dxa"/>
          </w:tcPr>
          <w:p w14:paraId="5223396E" w14:textId="77777777" w:rsidR="005F44BC" w:rsidRPr="00C9343F" w:rsidRDefault="005F44BC" w:rsidP="00F66D98">
            <w:pPr>
              <w:pStyle w:val="BlockText-Plain"/>
              <w:keepNext/>
              <w:keepLines/>
            </w:pPr>
            <w:r w:rsidRPr="00C9343F">
              <w:t>The CDF may approve a salary above the minimum rate in the salary scale for the member's rank, for a member who served in the Reserves before they enlisted or were appointed to the Permanent Forces. This also applies to any other service that is not continuous full-time service.</w:t>
            </w:r>
          </w:p>
        </w:tc>
      </w:tr>
      <w:tr w:rsidR="005F44BC" w:rsidRPr="00C9343F" w14:paraId="0E70F549" w14:textId="77777777" w:rsidTr="005F44BC">
        <w:tc>
          <w:tcPr>
            <w:tcW w:w="992" w:type="dxa"/>
          </w:tcPr>
          <w:p w14:paraId="54A4325A" w14:textId="77777777" w:rsidR="005F44BC" w:rsidRPr="00C9343F" w:rsidRDefault="005F44BC" w:rsidP="00F66D98">
            <w:pPr>
              <w:pStyle w:val="BlockText-Plain"/>
              <w:jc w:val="center"/>
            </w:pPr>
            <w:r w:rsidRPr="00C9343F">
              <w:t>2.</w:t>
            </w:r>
          </w:p>
        </w:tc>
        <w:tc>
          <w:tcPr>
            <w:tcW w:w="8363" w:type="dxa"/>
          </w:tcPr>
          <w:p w14:paraId="513C3959" w14:textId="70549BAC" w:rsidR="005F44BC" w:rsidRPr="00C9343F" w:rsidRDefault="005F44BC" w:rsidP="00F66D98">
            <w:pPr>
              <w:pStyle w:val="BlockText-Plain"/>
            </w:pPr>
            <w:r w:rsidRPr="00C9343F">
              <w:t>The CDF must consider the nature and period of the previous service, having regard to any relevant matters set out in Division 3 or Division 4.</w:t>
            </w:r>
          </w:p>
        </w:tc>
      </w:tr>
    </w:tbl>
    <w:p w14:paraId="1E7E9EDB" w14:textId="13E02EFF" w:rsidR="005F44BC" w:rsidRPr="00C9343F" w:rsidRDefault="005F44BC" w:rsidP="00F66D98">
      <w:pPr>
        <w:pStyle w:val="Heading5"/>
      </w:pPr>
      <w:bookmarkStart w:id="443" w:name="_Toc105053686"/>
      <w:r w:rsidRPr="00C9343F">
        <w:t>3.2.25</w:t>
      </w:r>
      <w:r w:rsidR="00D94006" w:rsidRPr="00C9343F">
        <w:t>    </w:t>
      </w:r>
      <w:r w:rsidRPr="00C9343F">
        <w:t>Salary – member undergoing recategorisation training</w:t>
      </w:r>
      <w:bookmarkEnd w:id="443"/>
    </w:p>
    <w:tbl>
      <w:tblPr>
        <w:tblW w:w="9359" w:type="dxa"/>
        <w:tblInd w:w="113" w:type="dxa"/>
        <w:tblLayout w:type="fixed"/>
        <w:tblLook w:val="0000" w:firstRow="0" w:lastRow="0" w:firstColumn="0" w:lastColumn="0" w:noHBand="0" w:noVBand="0"/>
      </w:tblPr>
      <w:tblGrid>
        <w:gridCol w:w="992"/>
        <w:gridCol w:w="567"/>
        <w:gridCol w:w="7800"/>
      </w:tblGrid>
      <w:tr w:rsidR="005F44BC" w:rsidRPr="00C9343F" w14:paraId="4348FC07" w14:textId="77777777" w:rsidTr="004E5563">
        <w:tc>
          <w:tcPr>
            <w:tcW w:w="992" w:type="dxa"/>
          </w:tcPr>
          <w:p w14:paraId="7AA0E6E9" w14:textId="77777777" w:rsidR="005F44BC" w:rsidRPr="00C9343F" w:rsidRDefault="005F44BC" w:rsidP="00F66D98">
            <w:pPr>
              <w:pStyle w:val="BlockText-Plain"/>
              <w:jc w:val="center"/>
            </w:pPr>
            <w:r w:rsidRPr="00C9343F">
              <w:t>1.</w:t>
            </w:r>
          </w:p>
        </w:tc>
        <w:tc>
          <w:tcPr>
            <w:tcW w:w="8367" w:type="dxa"/>
            <w:gridSpan w:val="2"/>
          </w:tcPr>
          <w:p w14:paraId="09C7710F" w14:textId="77777777" w:rsidR="005F44BC" w:rsidRPr="00C9343F" w:rsidRDefault="005F44BC" w:rsidP="00F66D98">
            <w:pPr>
              <w:pStyle w:val="BlockText-Plain"/>
            </w:pPr>
            <w:r w:rsidRPr="00C9343F">
              <w:rPr>
                <w:iCs/>
              </w:rPr>
              <w:t xml:space="preserve">This section applies to a member </w:t>
            </w:r>
            <w:r w:rsidRPr="00C9343F">
              <w:t>undergoing recategorisation training.</w:t>
            </w:r>
          </w:p>
        </w:tc>
      </w:tr>
      <w:tr w:rsidR="005F44BC" w:rsidRPr="00C9343F" w14:paraId="5FCE8E5B" w14:textId="77777777" w:rsidTr="004E5563">
        <w:tc>
          <w:tcPr>
            <w:tcW w:w="992" w:type="dxa"/>
          </w:tcPr>
          <w:p w14:paraId="4159DB00" w14:textId="77777777" w:rsidR="005F44BC" w:rsidRPr="00C9343F" w:rsidRDefault="005F44BC" w:rsidP="00F66D98">
            <w:pPr>
              <w:pStyle w:val="BlockText-Plain"/>
              <w:jc w:val="center"/>
            </w:pPr>
            <w:r w:rsidRPr="00C9343F">
              <w:t>2.</w:t>
            </w:r>
          </w:p>
        </w:tc>
        <w:tc>
          <w:tcPr>
            <w:tcW w:w="8367" w:type="dxa"/>
            <w:gridSpan w:val="2"/>
          </w:tcPr>
          <w:p w14:paraId="2F335848" w14:textId="2A43B3B8" w:rsidR="005F44BC" w:rsidRPr="00C9343F" w:rsidRDefault="004E5563" w:rsidP="00F66D98">
            <w:pPr>
              <w:pStyle w:val="BlockText-Plain"/>
            </w:pPr>
            <w:r w:rsidRPr="00C9343F">
              <w:rPr>
                <w:iCs/>
              </w:rPr>
              <w:t>The member is to be paid the relevant of the following amounts for the duration of the training.</w:t>
            </w:r>
          </w:p>
        </w:tc>
      </w:tr>
      <w:tr w:rsidR="004E5563" w:rsidRPr="00C9343F" w14:paraId="29CC25BA" w14:textId="77777777" w:rsidTr="004E5563">
        <w:trPr>
          <w:cantSplit/>
        </w:trPr>
        <w:tc>
          <w:tcPr>
            <w:tcW w:w="992" w:type="dxa"/>
          </w:tcPr>
          <w:p w14:paraId="12382ED9" w14:textId="77777777" w:rsidR="004E5563" w:rsidRPr="00C9343F" w:rsidRDefault="004E5563" w:rsidP="00F66D98">
            <w:pPr>
              <w:pStyle w:val="BlockText-Plain"/>
            </w:pPr>
          </w:p>
        </w:tc>
        <w:tc>
          <w:tcPr>
            <w:tcW w:w="567" w:type="dxa"/>
          </w:tcPr>
          <w:p w14:paraId="106A02FE" w14:textId="77777777" w:rsidR="004E5563" w:rsidRPr="00C9343F" w:rsidRDefault="004E5563" w:rsidP="00F66D98">
            <w:pPr>
              <w:pStyle w:val="BlockText-Plain"/>
              <w:jc w:val="center"/>
            </w:pPr>
            <w:r w:rsidRPr="00C9343F">
              <w:t>a.</w:t>
            </w:r>
          </w:p>
        </w:tc>
        <w:tc>
          <w:tcPr>
            <w:tcW w:w="7800" w:type="dxa"/>
          </w:tcPr>
          <w:p w14:paraId="4E017AAD" w14:textId="50CE639A" w:rsidR="004E5563" w:rsidRPr="00C9343F" w:rsidRDefault="004E5563" w:rsidP="00F66D98">
            <w:pPr>
              <w:pStyle w:val="BlockText-Plain"/>
            </w:pPr>
            <w:r w:rsidRPr="00C9343F">
              <w:t>For a member of the Permanent Forces or a member of the Reserves on continuous full-time service — the rate of salary for the rank, pay grade or specialist level and increment that they held immediately before they began training.</w:t>
            </w:r>
          </w:p>
        </w:tc>
      </w:tr>
      <w:tr w:rsidR="004E5563" w:rsidRPr="00C9343F" w14:paraId="2DF652C8" w14:textId="77777777" w:rsidTr="004E5563">
        <w:trPr>
          <w:cantSplit/>
        </w:trPr>
        <w:tc>
          <w:tcPr>
            <w:tcW w:w="992" w:type="dxa"/>
          </w:tcPr>
          <w:p w14:paraId="6F04B4B4" w14:textId="77777777" w:rsidR="004E5563" w:rsidRPr="00C9343F" w:rsidRDefault="004E5563" w:rsidP="00F66D98">
            <w:pPr>
              <w:pStyle w:val="BlockText-Plain"/>
            </w:pPr>
          </w:p>
        </w:tc>
        <w:tc>
          <w:tcPr>
            <w:tcW w:w="567" w:type="dxa"/>
          </w:tcPr>
          <w:p w14:paraId="22953D00" w14:textId="77777777" w:rsidR="004E5563" w:rsidRPr="00C9343F" w:rsidRDefault="004E5563" w:rsidP="00F66D98">
            <w:pPr>
              <w:pStyle w:val="BlockText-Plain"/>
              <w:jc w:val="center"/>
            </w:pPr>
            <w:r w:rsidRPr="00C9343F">
              <w:t>b.</w:t>
            </w:r>
          </w:p>
        </w:tc>
        <w:tc>
          <w:tcPr>
            <w:tcW w:w="7800" w:type="dxa"/>
          </w:tcPr>
          <w:p w14:paraId="5251FA26" w14:textId="7E345E63" w:rsidR="004E5563" w:rsidRPr="00C9343F" w:rsidRDefault="004E5563" w:rsidP="00F66D98">
            <w:pPr>
              <w:pStyle w:val="BlockText-Plain"/>
            </w:pPr>
            <w:r w:rsidRPr="00C9343F">
              <w:t>For a member on Reserve service — the daily rate of salary for the rank, pay grade or specialist level and increment that they held immediately before they began training.</w:t>
            </w:r>
          </w:p>
        </w:tc>
      </w:tr>
      <w:tr w:rsidR="004E5563" w:rsidRPr="00C9343F" w14:paraId="19E694D1" w14:textId="77777777" w:rsidTr="004E5563">
        <w:trPr>
          <w:cantSplit/>
        </w:trPr>
        <w:tc>
          <w:tcPr>
            <w:tcW w:w="992" w:type="dxa"/>
          </w:tcPr>
          <w:p w14:paraId="5EC27836" w14:textId="77777777" w:rsidR="004E5563" w:rsidRPr="00C9343F" w:rsidRDefault="004E5563" w:rsidP="00F66D98">
            <w:pPr>
              <w:pStyle w:val="BlockText-Plain"/>
            </w:pPr>
          </w:p>
        </w:tc>
        <w:tc>
          <w:tcPr>
            <w:tcW w:w="567" w:type="dxa"/>
          </w:tcPr>
          <w:p w14:paraId="658AA8ED" w14:textId="77777777" w:rsidR="004E5563" w:rsidRPr="00C9343F" w:rsidRDefault="004E5563" w:rsidP="00F66D98">
            <w:pPr>
              <w:pStyle w:val="BlockText-Plain"/>
              <w:jc w:val="center"/>
            </w:pPr>
            <w:r w:rsidRPr="00C9343F">
              <w:t>c.</w:t>
            </w:r>
          </w:p>
        </w:tc>
        <w:tc>
          <w:tcPr>
            <w:tcW w:w="7800" w:type="dxa"/>
          </w:tcPr>
          <w:p w14:paraId="137F68DD" w14:textId="775B3C18" w:rsidR="004E5563" w:rsidRPr="00C9343F" w:rsidRDefault="004E5563" w:rsidP="00F66D98">
            <w:pPr>
              <w:pStyle w:val="BlockText-Plain"/>
            </w:pPr>
            <w:r w:rsidRPr="00C9343F">
              <w:t>For a member of the Reserves who transfers to the Permanent Forces or undertakes a period of continuous full-time service for the period of their training — the rate of salary for the rank, pay grade or specialist level and increment that they would have held if they were on continuous full-time service immediately before they began training.</w:t>
            </w:r>
          </w:p>
        </w:tc>
      </w:tr>
      <w:tr w:rsidR="005F44BC" w:rsidRPr="00C9343F" w14:paraId="316A16D8" w14:textId="77777777" w:rsidTr="004E5563">
        <w:tc>
          <w:tcPr>
            <w:tcW w:w="992" w:type="dxa"/>
          </w:tcPr>
          <w:p w14:paraId="1AF24F27" w14:textId="77777777" w:rsidR="005F44BC" w:rsidRPr="00C9343F" w:rsidRDefault="005F44BC" w:rsidP="00F66D98">
            <w:pPr>
              <w:pStyle w:val="BlockText-Plain"/>
              <w:jc w:val="center"/>
            </w:pPr>
            <w:r w:rsidRPr="00C9343F">
              <w:t>3.</w:t>
            </w:r>
          </w:p>
        </w:tc>
        <w:tc>
          <w:tcPr>
            <w:tcW w:w="8367" w:type="dxa"/>
            <w:gridSpan w:val="2"/>
          </w:tcPr>
          <w:p w14:paraId="5CD34E27" w14:textId="77777777" w:rsidR="005F44BC" w:rsidRPr="00C9343F" w:rsidRDefault="005F44BC" w:rsidP="00F66D98">
            <w:pPr>
              <w:pStyle w:val="BlockText-Plain"/>
            </w:pPr>
            <w:r w:rsidRPr="00C9343F">
              <w:t>A Service Chief may approve an extended period of payment under subsection 2 for a member who has completed training. The Service Chief must specify the period of the extension.</w:t>
            </w:r>
          </w:p>
        </w:tc>
      </w:tr>
    </w:tbl>
    <w:p w14:paraId="4DFB2CCB" w14:textId="6BA29DF8" w:rsidR="005F44BC" w:rsidRPr="00C9343F" w:rsidRDefault="005F44BC" w:rsidP="00F66D98">
      <w:pPr>
        <w:pStyle w:val="Heading5"/>
        <w:rPr>
          <w:color w:val="000000"/>
        </w:rPr>
      </w:pPr>
      <w:bookmarkStart w:id="444" w:name="_Toc105053687"/>
      <w:bookmarkStart w:id="445" w:name="bk205435B62Salaryratefortrainingstartan"/>
      <w:r w:rsidRPr="00C9343F">
        <w:rPr>
          <w:color w:val="000000"/>
        </w:rPr>
        <w:t>3.2.26</w:t>
      </w:r>
      <w:r w:rsidR="00D94006" w:rsidRPr="00C9343F">
        <w:rPr>
          <w:color w:val="000000"/>
        </w:rPr>
        <w:t>    </w:t>
      </w:r>
      <w:r w:rsidRPr="00C9343F">
        <w:rPr>
          <w:color w:val="000000"/>
        </w:rPr>
        <w:t>Salary rate for training – start and advancement dates</w:t>
      </w:r>
      <w:bookmarkEnd w:id="444"/>
    </w:p>
    <w:tbl>
      <w:tblPr>
        <w:tblW w:w="9359" w:type="dxa"/>
        <w:tblInd w:w="113" w:type="dxa"/>
        <w:tblLayout w:type="fixed"/>
        <w:tblLook w:val="0000" w:firstRow="0" w:lastRow="0" w:firstColumn="0" w:lastColumn="0" w:noHBand="0" w:noVBand="0"/>
      </w:tblPr>
      <w:tblGrid>
        <w:gridCol w:w="992"/>
        <w:gridCol w:w="567"/>
        <w:gridCol w:w="7800"/>
      </w:tblGrid>
      <w:tr w:rsidR="005F44BC" w:rsidRPr="00C9343F" w14:paraId="72C43964" w14:textId="77777777" w:rsidTr="00F34120">
        <w:tc>
          <w:tcPr>
            <w:tcW w:w="992" w:type="dxa"/>
          </w:tcPr>
          <w:bookmarkEnd w:id="445"/>
          <w:p w14:paraId="37F236CC" w14:textId="77777777" w:rsidR="005F44BC" w:rsidRPr="00C9343F" w:rsidRDefault="005F44BC" w:rsidP="00F66D98">
            <w:pPr>
              <w:pStyle w:val="BlockText-Plain"/>
              <w:jc w:val="center"/>
              <w:rPr>
                <w:color w:val="000000"/>
              </w:rPr>
            </w:pPr>
            <w:r w:rsidRPr="00C9343F">
              <w:rPr>
                <w:color w:val="000000"/>
              </w:rPr>
              <w:t>2.</w:t>
            </w:r>
          </w:p>
        </w:tc>
        <w:tc>
          <w:tcPr>
            <w:tcW w:w="8367" w:type="dxa"/>
            <w:gridSpan w:val="2"/>
          </w:tcPr>
          <w:p w14:paraId="622CFBC9" w14:textId="77777777" w:rsidR="005F44BC" w:rsidRPr="00C9343F" w:rsidRDefault="005F44BC" w:rsidP="00F66D98">
            <w:pPr>
              <w:pStyle w:val="BlockText-Plain"/>
              <w:rPr>
                <w:color w:val="000000"/>
              </w:rPr>
            </w:pPr>
            <w:r w:rsidRPr="00C9343F">
              <w:rPr>
                <w:color w:val="000000"/>
              </w:rPr>
              <w:t>If a member is advanced to a higher year of training to recognise previous studies then they are to be paid salary at the following rates and corresponding periods.</w:t>
            </w:r>
          </w:p>
        </w:tc>
      </w:tr>
      <w:tr w:rsidR="005F44BC" w:rsidRPr="00C9343F" w14:paraId="570A1986" w14:textId="77777777" w:rsidTr="00F34120">
        <w:trPr>
          <w:cantSplit/>
        </w:trPr>
        <w:tc>
          <w:tcPr>
            <w:tcW w:w="992" w:type="dxa"/>
          </w:tcPr>
          <w:p w14:paraId="6CDA9654" w14:textId="77777777" w:rsidR="005F44BC" w:rsidRPr="00C9343F" w:rsidRDefault="005F44BC" w:rsidP="00F66D98">
            <w:pPr>
              <w:pStyle w:val="BlockText-Plain"/>
              <w:rPr>
                <w:color w:val="000000"/>
              </w:rPr>
            </w:pPr>
          </w:p>
        </w:tc>
        <w:tc>
          <w:tcPr>
            <w:tcW w:w="567" w:type="dxa"/>
          </w:tcPr>
          <w:p w14:paraId="18C60F07" w14:textId="77777777" w:rsidR="005F44BC" w:rsidRPr="00C9343F" w:rsidRDefault="005F44BC" w:rsidP="007114B1">
            <w:pPr>
              <w:pStyle w:val="BlockText-Plain"/>
              <w:jc w:val="center"/>
              <w:rPr>
                <w:color w:val="000000"/>
              </w:rPr>
            </w:pPr>
            <w:r w:rsidRPr="00C9343F">
              <w:rPr>
                <w:color w:val="000000"/>
              </w:rPr>
              <w:t>a.</w:t>
            </w:r>
          </w:p>
        </w:tc>
        <w:tc>
          <w:tcPr>
            <w:tcW w:w="7800" w:type="dxa"/>
          </w:tcPr>
          <w:p w14:paraId="013B326C" w14:textId="77777777" w:rsidR="005F44BC" w:rsidRPr="00C9343F" w:rsidRDefault="005F44BC" w:rsidP="00F66D98">
            <w:pPr>
              <w:pStyle w:val="BlockText-Plain"/>
              <w:rPr>
                <w:color w:val="000000"/>
              </w:rPr>
            </w:pPr>
            <w:r w:rsidRPr="00C9343F">
              <w:rPr>
                <w:color w:val="000000"/>
              </w:rPr>
              <w:t>From the date of entry into the Service — the rate of salary that applies to the first year of the member's course of training.</w:t>
            </w:r>
          </w:p>
        </w:tc>
      </w:tr>
      <w:tr w:rsidR="005F44BC" w:rsidRPr="00C9343F" w14:paraId="11EB0EA8" w14:textId="77777777" w:rsidTr="00F34120">
        <w:trPr>
          <w:cantSplit/>
        </w:trPr>
        <w:tc>
          <w:tcPr>
            <w:tcW w:w="992" w:type="dxa"/>
          </w:tcPr>
          <w:p w14:paraId="3981FDAD" w14:textId="77777777" w:rsidR="005F44BC" w:rsidRPr="00C9343F" w:rsidRDefault="005F44BC" w:rsidP="00F66D98">
            <w:pPr>
              <w:pStyle w:val="BlockText-Plain"/>
              <w:rPr>
                <w:color w:val="000000"/>
              </w:rPr>
            </w:pPr>
          </w:p>
        </w:tc>
        <w:tc>
          <w:tcPr>
            <w:tcW w:w="567" w:type="dxa"/>
          </w:tcPr>
          <w:p w14:paraId="4AEDAC8A" w14:textId="77777777" w:rsidR="005F44BC" w:rsidRPr="00C9343F" w:rsidRDefault="005F44BC" w:rsidP="007114B1">
            <w:pPr>
              <w:pStyle w:val="BlockText-Plain"/>
              <w:jc w:val="center"/>
              <w:rPr>
                <w:color w:val="000000"/>
              </w:rPr>
            </w:pPr>
            <w:r w:rsidRPr="00C9343F">
              <w:rPr>
                <w:color w:val="000000"/>
              </w:rPr>
              <w:t>b.</w:t>
            </w:r>
          </w:p>
        </w:tc>
        <w:tc>
          <w:tcPr>
            <w:tcW w:w="7800" w:type="dxa"/>
          </w:tcPr>
          <w:p w14:paraId="1B010A0B" w14:textId="77777777" w:rsidR="005F44BC" w:rsidRPr="00C9343F" w:rsidRDefault="005F44BC" w:rsidP="00F66D98">
            <w:pPr>
              <w:pStyle w:val="BlockText-Plain"/>
              <w:rPr>
                <w:color w:val="000000"/>
              </w:rPr>
            </w:pPr>
            <w:r w:rsidRPr="00C9343F">
              <w:rPr>
                <w:color w:val="000000"/>
              </w:rPr>
              <w:t>From the date the member begins the academic studies of the higher year — the rate that applies to that higher year of training.</w:t>
            </w:r>
          </w:p>
        </w:tc>
      </w:tr>
      <w:tr w:rsidR="005F44BC" w:rsidRPr="00C9343F" w14:paraId="70D0B572" w14:textId="77777777" w:rsidTr="00F34120">
        <w:tc>
          <w:tcPr>
            <w:tcW w:w="992" w:type="dxa"/>
          </w:tcPr>
          <w:p w14:paraId="019E0187" w14:textId="77777777" w:rsidR="005F44BC" w:rsidRPr="00C9343F" w:rsidRDefault="005F44BC" w:rsidP="00F66D98">
            <w:pPr>
              <w:pStyle w:val="BlockText-Plain"/>
              <w:jc w:val="center"/>
              <w:rPr>
                <w:color w:val="000000"/>
              </w:rPr>
            </w:pPr>
            <w:r w:rsidRPr="00C9343F">
              <w:rPr>
                <w:color w:val="000000"/>
              </w:rPr>
              <w:t>3.</w:t>
            </w:r>
          </w:p>
        </w:tc>
        <w:tc>
          <w:tcPr>
            <w:tcW w:w="8367" w:type="dxa"/>
            <w:gridSpan w:val="2"/>
          </w:tcPr>
          <w:p w14:paraId="0145E0E0" w14:textId="41246BCA" w:rsidR="005F44BC" w:rsidRPr="00C9343F" w:rsidRDefault="005F44BC" w:rsidP="00F66D98">
            <w:pPr>
              <w:pStyle w:val="BlockText-Plain"/>
              <w:rPr>
                <w:color w:val="000000"/>
              </w:rPr>
            </w:pPr>
            <w:r w:rsidRPr="00C9343F">
              <w:rPr>
                <w:color w:val="000000"/>
              </w:rPr>
              <w:t xml:space="preserve">If a course of training listed in Schedule B.13 of DFRT Determination No. </w:t>
            </w:r>
            <w:r w:rsidR="002A2A83" w:rsidRPr="00C9343F">
              <w:t>2 of 2017</w:t>
            </w:r>
            <w:r w:rsidRPr="00C9343F">
              <w:rPr>
                <w:color w:val="000000"/>
              </w:rPr>
              <w:t xml:space="preserve">, </w:t>
            </w:r>
            <w:r w:rsidRPr="00C9343F">
              <w:rPr>
                <w:i/>
                <w:color w:val="000000"/>
              </w:rPr>
              <w:t>Salaries</w:t>
            </w:r>
            <w:r w:rsidRPr="00C9343F">
              <w:rPr>
                <w:color w:val="000000"/>
              </w:rPr>
              <w:t>, provides rates of salary for different years of the course, then the member is to be paid the rate applicable to the year they are in, regardless of when they start the training.</w:t>
            </w:r>
          </w:p>
        </w:tc>
      </w:tr>
      <w:tr w:rsidR="005F44BC" w:rsidRPr="00C9343F" w14:paraId="38BA388B" w14:textId="77777777" w:rsidTr="00F34120">
        <w:tc>
          <w:tcPr>
            <w:tcW w:w="992" w:type="dxa"/>
          </w:tcPr>
          <w:p w14:paraId="4FC9F5EE" w14:textId="77777777" w:rsidR="005F44BC" w:rsidRPr="00C9343F" w:rsidRDefault="005F44BC" w:rsidP="00F66D98">
            <w:pPr>
              <w:pStyle w:val="BlockText-Plain"/>
              <w:jc w:val="center"/>
              <w:rPr>
                <w:color w:val="000000"/>
              </w:rPr>
            </w:pPr>
            <w:r w:rsidRPr="00C9343F">
              <w:rPr>
                <w:color w:val="000000"/>
              </w:rPr>
              <w:t>4.</w:t>
            </w:r>
          </w:p>
        </w:tc>
        <w:tc>
          <w:tcPr>
            <w:tcW w:w="8367" w:type="dxa"/>
            <w:gridSpan w:val="2"/>
          </w:tcPr>
          <w:p w14:paraId="11EC7E69" w14:textId="77777777" w:rsidR="005F44BC" w:rsidRPr="00C9343F" w:rsidRDefault="005F44BC" w:rsidP="00F66D98">
            <w:pPr>
              <w:pStyle w:val="BlockText-Plain"/>
              <w:rPr>
                <w:color w:val="000000"/>
              </w:rPr>
            </w:pPr>
            <w:r w:rsidRPr="00C9343F">
              <w:rPr>
                <w:color w:val="000000"/>
              </w:rPr>
              <w:t xml:space="preserve">For members undergoing a course of officer training and paid in accordance with item 6 of Part 1 of Schedule B.13 of DFRT Determination No. </w:t>
            </w:r>
            <w:r w:rsidR="002A2A83" w:rsidRPr="00C9343F">
              <w:t>2 of 2017</w:t>
            </w:r>
            <w:r w:rsidRPr="00C9343F">
              <w:rPr>
                <w:color w:val="000000"/>
              </w:rPr>
              <w:t xml:space="preserve">, </w:t>
            </w:r>
            <w:r w:rsidRPr="00C9343F">
              <w:rPr>
                <w:i/>
                <w:color w:val="000000"/>
              </w:rPr>
              <w:t>Salaries</w:t>
            </w:r>
            <w:r w:rsidRPr="00C9343F">
              <w:rPr>
                <w:color w:val="000000"/>
              </w:rPr>
              <w:t>, the date of increase to the next year's rate is the date that corresponds to the member's month of entry to the course, set out in paragraph a or b.</w:t>
            </w:r>
          </w:p>
        </w:tc>
      </w:tr>
      <w:tr w:rsidR="005F44BC" w:rsidRPr="00C9343F" w14:paraId="49CDDDE6" w14:textId="77777777" w:rsidTr="00F34120">
        <w:trPr>
          <w:cantSplit/>
        </w:trPr>
        <w:tc>
          <w:tcPr>
            <w:tcW w:w="992" w:type="dxa"/>
          </w:tcPr>
          <w:p w14:paraId="5B180163" w14:textId="77777777" w:rsidR="005F44BC" w:rsidRPr="00C9343F" w:rsidRDefault="005F44BC" w:rsidP="00F66D98">
            <w:pPr>
              <w:pStyle w:val="BlockText-Plain"/>
              <w:rPr>
                <w:color w:val="000000"/>
              </w:rPr>
            </w:pPr>
          </w:p>
        </w:tc>
        <w:tc>
          <w:tcPr>
            <w:tcW w:w="567" w:type="dxa"/>
          </w:tcPr>
          <w:p w14:paraId="42FA2B73" w14:textId="77777777" w:rsidR="005F44BC" w:rsidRPr="00C9343F" w:rsidRDefault="005F44BC" w:rsidP="007114B1">
            <w:pPr>
              <w:pStyle w:val="BlockText-Plain"/>
              <w:jc w:val="center"/>
              <w:rPr>
                <w:color w:val="000000"/>
              </w:rPr>
            </w:pPr>
            <w:r w:rsidRPr="00C9343F">
              <w:rPr>
                <w:color w:val="000000"/>
              </w:rPr>
              <w:t>a.</w:t>
            </w:r>
          </w:p>
        </w:tc>
        <w:tc>
          <w:tcPr>
            <w:tcW w:w="7800" w:type="dxa"/>
          </w:tcPr>
          <w:p w14:paraId="1261B79E" w14:textId="77777777" w:rsidR="005F44BC" w:rsidRPr="00C9343F" w:rsidRDefault="005F44BC" w:rsidP="00F66D98">
            <w:pPr>
              <w:pStyle w:val="BlockText-Plain"/>
              <w:rPr>
                <w:color w:val="000000"/>
              </w:rPr>
            </w:pPr>
            <w:r w:rsidRPr="00C9343F">
              <w:rPr>
                <w:color w:val="000000"/>
              </w:rPr>
              <w:t>For the January entry — the date of commencement of the second term.</w:t>
            </w:r>
          </w:p>
        </w:tc>
      </w:tr>
      <w:tr w:rsidR="005F44BC" w:rsidRPr="00C9343F" w14:paraId="53D2A789" w14:textId="77777777" w:rsidTr="00F34120">
        <w:trPr>
          <w:cantSplit/>
        </w:trPr>
        <w:tc>
          <w:tcPr>
            <w:tcW w:w="992" w:type="dxa"/>
          </w:tcPr>
          <w:p w14:paraId="79C68E8D" w14:textId="77777777" w:rsidR="005F44BC" w:rsidRPr="00C9343F" w:rsidRDefault="005F44BC" w:rsidP="00F66D98">
            <w:pPr>
              <w:pStyle w:val="BlockText-Plain"/>
              <w:rPr>
                <w:color w:val="000000"/>
              </w:rPr>
            </w:pPr>
          </w:p>
        </w:tc>
        <w:tc>
          <w:tcPr>
            <w:tcW w:w="567" w:type="dxa"/>
          </w:tcPr>
          <w:p w14:paraId="5157BACC" w14:textId="77777777" w:rsidR="005F44BC" w:rsidRPr="00C9343F" w:rsidRDefault="005F44BC" w:rsidP="007114B1">
            <w:pPr>
              <w:pStyle w:val="BlockText-Plain"/>
              <w:jc w:val="center"/>
              <w:rPr>
                <w:color w:val="000000"/>
              </w:rPr>
            </w:pPr>
            <w:r w:rsidRPr="00C9343F">
              <w:rPr>
                <w:color w:val="000000"/>
              </w:rPr>
              <w:t>b.</w:t>
            </w:r>
          </w:p>
        </w:tc>
        <w:tc>
          <w:tcPr>
            <w:tcW w:w="7800" w:type="dxa"/>
          </w:tcPr>
          <w:p w14:paraId="2DA5FC74" w14:textId="77777777" w:rsidR="005F44BC" w:rsidRPr="00C9343F" w:rsidRDefault="005F44BC" w:rsidP="00F66D98">
            <w:pPr>
              <w:pStyle w:val="BlockText-Plain"/>
              <w:rPr>
                <w:color w:val="000000"/>
              </w:rPr>
            </w:pPr>
            <w:r w:rsidRPr="00C9343F">
              <w:rPr>
                <w:color w:val="000000"/>
              </w:rPr>
              <w:t>For the July entry — 1 January of the following year.</w:t>
            </w:r>
          </w:p>
        </w:tc>
      </w:tr>
      <w:tr w:rsidR="005F44BC" w:rsidRPr="00C9343F" w14:paraId="59327CE0" w14:textId="77777777" w:rsidTr="00F34120">
        <w:tc>
          <w:tcPr>
            <w:tcW w:w="992" w:type="dxa"/>
          </w:tcPr>
          <w:p w14:paraId="2CB348D8" w14:textId="77777777" w:rsidR="005F44BC" w:rsidRPr="00C9343F" w:rsidRDefault="005F44BC" w:rsidP="00F66D98">
            <w:pPr>
              <w:pStyle w:val="BlockText-Plain"/>
              <w:jc w:val="center"/>
            </w:pPr>
            <w:r w:rsidRPr="00C9343F">
              <w:t>5.</w:t>
            </w:r>
          </w:p>
        </w:tc>
        <w:tc>
          <w:tcPr>
            <w:tcW w:w="8367" w:type="dxa"/>
            <w:gridSpan w:val="2"/>
          </w:tcPr>
          <w:p w14:paraId="74FE41E2" w14:textId="77777777" w:rsidR="005F44BC" w:rsidRPr="00C9343F" w:rsidRDefault="005F44BC" w:rsidP="00F66D98">
            <w:pPr>
              <w:pStyle w:val="BlockText-Plain"/>
            </w:pPr>
            <w:r w:rsidRPr="00C9343F">
              <w:rPr>
                <w:color w:val="000000"/>
              </w:rPr>
              <w:t>If approval is given for a trainee to repeat a year of training, that member is to be paid the rate applicable to the year of training being repeated.</w:t>
            </w:r>
          </w:p>
        </w:tc>
      </w:tr>
      <w:tr w:rsidR="005F44BC" w:rsidRPr="00C9343F" w14:paraId="130B2863" w14:textId="77777777" w:rsidTr="00F34120">
        <w:tc>
          <w:tcPr>
            <w:tcW w:w="992" w:type="dxa"/>
          </w:tcPr>
          <w:p w14:paraId="00ED8E4C" w14:textId="77777777" w:rsidR="005F44BC" w:rsidRPr="00C9343F" w:rsidRDefault="005F44BC" w:rsidP="00F66D98">
            <w:pPr>
              <w:pStyle w:val="BlockText-Plain"/>
              <w:jc w:val="center"/>
            </w:pPr>
            <w:r w:rsidRPr="00C9343F">
              <w:t>6.</w:t>
            </w:r>
          </w:p>
        </w:tc>
        <w:tc>
          <w:tcPr>
            <w:tcW w:w="8367" w:type="dxa"/>
            <w:gridSpan w:val="2"/>
          </w:tcPr>
          <w:p w14:paraId="3478A2D2" w14:textId="77777777" w:rsidR="005F44BC" w:rsidRPr="00C9343F" w:rsidRDefault="00317FAA" w:rsidP="00F66D98">
            <w:pPr>
              <w:pStyle w:val="BlockText-Plain"/>
              <w:rPr>
                <w:rFonts w:cs="Arial"/>
                <w:iCs/>
              </w:rPr>
            </w:pPr>
            <w:r w:rsidRPr="00C9343F">
              <w:rPr>
                <w:rFonts w:cs="Arial"/>
                <w:iCs/>
              </w:rPr>
              <w:t>To avoid doubt, for salary purposes a member is taken to be a trainee in the graduate medical scheme for any period in which both the following conditions apply to them.</w:t>
            </w:r>
          </w:p>
        </w:tc>
      </w:tr>
      <w:tr w:rsidR="00317FAA" w:rsidRPr="00C9343F" w14:paraId="46ACA350" w14:textId="77777777" w:rsidTr="00F34120">
        <w:trPr>
          <w:cantSplit/>
        </w:trPr>
        <w:tc>
          <w:tcPr>
            <w:tcW w:w="992" w:type="dxa"/>
          </w:tcPr>
          <w:p w14:paraId="2E1911A1" w14:textId="77777777" w:rsidR="00317FAA" w:rsidRPr="00C9343F" w:rsidRDefault="00317FAA" w:rsidP="00F66D98">
            <w:pPr>
              <w:pStyle w:val="BlockText-Plain"/>
            </w:pPr>
          </w:p>
        </w:tc>
        <w:tc>
          <w:tcPr>
            <w:tcW w:w="567" w:type="dxa"/>
          </w:tcPr>
          <w:p w14:paraId="12C61D67" w14:textId="77777777" w:rsidR="00317FAA" w:rsidRPr="00C9343F" w:rsidRDefault="00317FAA" w:rsidP="007114B1">
            <w:pPr>
              <w:pStyle w:val="BlockText-Plain"/>
              <w:jc w:val="center"/>
            </w:pPr>
            <w:r w:rsidRPr="00C9343F">
              <w:t>a.</w:t>
            </w:r>
          </w:p>
        </w:tc>
        <w:tc>
          <w:tcPr>
            <w:tcW w:w="7800" w:type="dxa"/>
          </w:tcPr>
          <w:p w14:paraId="5562B452" w14:textId="77777777" w:rsidR="00317FAA" w:rsidRPr="00C9343F" w:rsidRDefault="00317FAA" w:rsidP="00F66D98">
            <w:pPr>
              <w:pStyle w:val="BlockText-Plain"/>
            </w:pPr>
            <w:r w:rsidRPr="00C9343F">
              <w:t xml:space="preserve">The member was appointed to the Australian Regular Army and started participating in the graduate </w:t>
            </w:r>
            <w:r w:rsidR="00A12E26" w:rsidRPr="00C9343F">
              <w:rPr>
                <w:iCs/>
              </w:rPr>
              <w:t>medical</w:t>
            </w:r>
            <w:r w:rsidRPr="00C9343F">
              <w:t xml:space="preserve"> scheme between 19 February 2009 and 12 February 2013.</w:t>
            </w:r>
          </w:p>
        </w:tc>
      </w:tr>
      <w:tr w:rsidR="00317FAA" w:rsidRPr="00C9343F" w14:paraId="6D2DD315" w14:textId="77777777" w:rsidTr="00F34120">
        <w:trPr>
          <w:cantSplit/>
        </w:trPr>
        <w:tc>
          <w:tcPr>
            <w:tcW w:w="992" w:type="dxa"/>
          </w:tcPr>
          <w:p w14:paraId="68021D69" w14:textId="77777777" w:rsidR="00317FAA" w:rsidRPr="00C9343F" w:rsidRDefault="00317FAA" w:rsidP="00F66D98">
            <w:pPr>
              <w:pStyle w:val="BlockText-Plain"/>
            </w:pPr>
          </w:p>
        </w:tc>
        <w:tc>
          <w:tcPr>
            <w:tcW w:w="567" w:type="dxa"/>
          </w:tcPr>
          <w:p w14:paraId="342F2DD2" w14:textId="77777777" w:rsidR="00317FAA" w:rsidRPr="00C9343F" w:rsidRDefault="00317FAA" w:rsidP="007114B1">
            <w:pPr>
              <w:pStyle w:val="BlockText-Plain"/>
              <w:jc w:val="center"/>
            </w:pPr>
            <w:r w:rsidRPr="00C9343F">
              <w:t>b.</w:t>
            </w:r>
          </w:p>
        </w:tc>
        <w:tc>
          <w:tcPr>
            <w:tcW w:w="7800" w:type="dxa"/>
          </w:tcPr>
          <w:p w14:paraId="10FDA19E" w14:textId="77777777" w:rsidR="00317FAA" w:rsidRPr="00C9343F" w:rsidRDefault="00317FAA" w:rsidP="00F66D98">
            <w:pPr>
              <w:pStyle w:val="BlockText-Plain"/>
            </w:pPr>
            <w:r w:rsidRPr="00C9343F">
              <w:t xml:space="preserve">The member participates in the graduate </w:t>
            </w:r>
            <w:r w:rsidR="002371C2" w:rsidRPr="00C9343F">
              <w:rPr>
                <w:iCs/>
              </w:rPr>
              <w:t>medical</w:t>
            </w:r>
            <w:r w:rsidRPr="00C9343F">
              <w:t xml:space="preserve"> scheme.</w:t>
            </w:r>
          </w:p>
        </w:tc>
      </w:tr>
    </w:tbl>
    <w:p w14:paraId="051F4139" w14:textId="2B9A1013" w:rsidR="005F44BC" w:rsidRPr="00C9343F" w:rsidRDefault="005F44BC" w:rsidP="00C96A4C">
      <w:pPr>
        <w:pStyle w:val="Heading4"/>
        <w:pageBreakBefore/>
      </w:pPr>
      <w:bookmarkStart w:id="446" w:name="_Toc105053688"/>
      <w:r w:rsidRPr="00C9343F">
        <w:lastRenderedPageBreak/>
        <w:t>Division 3: Increments</w:t>
      </w:r>
      <w:bookmarkEnd w:id="446"/>
    </w:p>
    <w:p w14:paraId="1B15DB43" w14:textId="2443BA0E" w:rsidR="005F44BC" w:rsidRPr="00C9343F" w:rsidRDefault="005F44BC" w:rsidP="00F66D98">
      <w:pPr>
        <w:pStyle w:val="Heading5"/>
      </w:pPr>
      <w:bookmarkStart w:id="447" w:name="_Toc105053689"/>
      <w:r w:rsidRPr="00C9343F">
        <w:t>3.2.27</w:t>
      </w:r>
      <w:r w:rsidR="00D94006" w:rsidRPr="00C9343F">
        <w:t>    </w:t>
      </w:r>
      <w:r w:rsidRPr="00C9343F">
        <w:t>Purpose</w:t>
      </w:r>
      <w:bookmarkEnd w:id="447"/>
    </w:p>
    <w:tbl>
      <w:tblPr>
        <w:tblW w:w="9355" w:type="dxa"/>
        <w:tblInd w:w="113" w:type="dxa"/>
        <w:tblLayout w:type="fixed"/>
        <w:tblLook w:val="0000" w:firstRow="0" w:lastRow="0" w:firstColumn="0" w:lastColumn="0" w:noHBand="0" w:noVBand="0"/>
      </w:tblPr>
      <w:tblGrid>
        <w:gridCol w:w="992"/>
        <w:gridCol w:w="8363"/>
      </w:tblGrid>
      <w:tr w:rsidR="005F44BC" w:rsidRPr="00C9343F" w14:paraId="4FE08BB8" w14:textId="77777777" w:rsidTr="00F97C61">
        <w:tc>
          <w:tcPr>
            <w:tcW w:w="992" w:type="dxa"/>
          </w:tcPr>
          <w:p w14:paraId="30894B9E" w14:textId="77777777" w:rsidR="005F44BC" w:rsidRPr="00C9343F" w:rsidRDefault="005F44BC" w:rsidP="00F66D98">
            <w:pPr>
              <w:pStyle w:val="BlockText-PlainNoSpacing"/>
              <w:jc w:val="center"/>
              <w:rPr>
                <w:color w:val="000000"/>
              </w:rPr>
            </w:pPr>
          </w:p>
        </w:tc>
        <w:tc>
          <w:tcPr>
            <w:tcW w:w="8363" w:type="dxa"/>
          </w:tcPr>
          <w:p w14:paraId="1E26C1AB" w14:textId="77777777" w:rsidR="005F44BC" w:rsidRPr="00C9343F" w:rsidRDefault="005F44BC" w:rsidP="00F66D98">
            <w:pPr>
              <w:pStyle w:val="BlockText-Plain"/>
              <w:rPr>
                <w:color w:val="000000"/>
              </w:rPr>
            </w:pPr>
            <w:r w:rsidRPr="00C9343F">
              <w:rPr>
                <w:color w:val="000000"/>
              </w:rPr>
              <w:t>This Division describes advancement through a rank, based on the passing of time.</w:t>
            </w:r>
          </w:p>
        </w:tc>
      </w:tr>
    </w:tbl>
    <w:p w14:paraId="61C87E7B" w14:textId="77777777" w:rsidR="00F97C61" w:rsidRPr="00C9343F" w:rsidRDefault="00F97C61" w:rsidP="00F97C61">
      <w:pPr>
        <w:pStyle w:val="Heading5"/>
      </w:pPr>
      <w:bookmarkStart w:id="448" w:name="_Toc105053690"/>
      <w:r w:rsidRPr="00C9343F">
        <w:t>3.2.28    Definitions</w:t>
      </w:r>
      <w:bookmarkEnd w:id="448"/>
    </w:p>
    <w:tbl>
      <w:tblPr>
        <w:tblW w:w="0" w:type="dxa"/>
        <w:tblInd w:w="113" w:type="dxa"/>
        <w:tblLayout w:type="fixed"/>
        <w:tblLook w:val="04A0" w:firstRow="1" w:lastRow="0" w:firstColumn="1" w:lastColumn="0" w:noHBand="0" w:noVBand="1"/>
      </w:tblPr>
      <w:tblGrid>
        <w:gridCol w:w="963"/>
        <w:gridCol w:w="8367"/>
      </w:tblGrid>
      <w:tr w:rsidR="00F97C61" w:rsidRPr="00C9343F" w14:paraId="26CEE96A" w14:textId="77777777" w:rsidTr="00445FEB">
        <w:tc>
          <w:tcPr>
            <w:tcW w:w="963" w:type="dxa"/>
          </w:tcPr>
          <w:p w14:paraId="63A92BF8" w14:textId="77777777" w:rsidR="00F97C61" w:rsidRPr="00C9343F" w:rsidRDefault="00F97C61" w:rsidP="00445FEB">
            <w:pPr>
              <w:pStyle w:val="Sectiontext0"/>
              <w:spacing w:line="276" w:lineRule="auto"/>
              <w:ind w:left="1440"/>
              <w:jc w:val="center"/>
              <w:rPr>
                <w:lang w:eastAsia="en-US"/>
              </w:rPr>
            </w:pPr>
          </w:p>
        </w:tc>
        <w:tc>
          <w:tcPr>
            <w:tcW w:w="8367" w:type="dxa"/>
            <w:hideMark/>
          </w:tcPr>
          <w:p w14:paraId="6C08C087" w14:textId="77777777" w:rsidR="00F97C61" w:rsidRPr="00C9343F" w:rsidRDefault="00F97C61" w:rsidP="00445FEB">
            <w:pPr>
              <w:pStyle w:val="Sectiontext0"/>
              <w:spacing w:line="276" w:lineRule="auto"/>
              <w:rPr>
                <w:iCs/>
                <w:lang w:eastAsia="en-US"/>
              </w:rPr>
            </w:pPr>
            <w:r w:rsidRPr="00C9343F">
              <w:rPr>
                <w:iCs/>
                <w:lang w:eastAsia="en-US"/>
              </w:rPr>
              <w:t>In this Division the following apply.</w:t>
            </w:r>
          </w:p>
        </w:tc>
      </w:tr>
      <w:tr w:rsidR="00F97C61" w:rsidRPr="00C9343F" w14:paraId="32C23577" w14:textId="77777777" w:rsidTr="00445FEB">
        <w:tc>
          <w:tcPr>
            <w:tcW w:w="963" w:type="dxa"/>
          </w:tcPr>
          <w:p w14:paraId="6ADD5069" w14:textId="77777777" w:rsidR="00F97C61" w:rsidRPr="00C9343F" w:rsidRDefault="00F97C61" w:rsidP="00445FEB">
            <w:pPr>
              <w:pStyle w:val="Sectiontext0"/>
              <w:spacing w:line="276" w:lineRule="auto"/>
              <w:ind w:left="1440"/>
              <w:jc w:val="center"/>
              <w:rPr>
                <w:lang w:eastAsia="en-US"/>
              </w:rPr>
            </w:pPr>
          </w:p>
        </w:tc>
        <w:tc>
          <w:tcPr>
            <w:tcW w:w="8367" w:type="dxa"/>
            <w:hideMark/>
          </w:tcPr>
          <w:p w14:paraId="4762C23B" w14:textId="77777777" w:rsidR="00F97C61" w:rsidRPr="00C9343F" w:rsidRDefault="00F97C61" w:rsidP="00445FEB">
            <w:pPr>
              <w:pStyle w:val="Sectiontext0"/>
              <w:tabs>
                <w:tab w:val="left" w:pos="1215"/>
              </w:tabs>
              <w:spacing w:line="276" w:lineRule="auto"/>
              <w:rPr>
                <w:lang w:eastAsia="en-US"/>
              </w:rPr>
            </w:pPr>
            <w:r w:rsidRPr="00C9343F">
              <w:rPr>
                <w:b/>
                <w:iCs/>
                <w:lang w:eastAsia="en-US"/>
              </w:rPr>
              <w:t xml:space="preserve">Increment anniversary date </w:t>
            </w:r>
            <w:r w:rsidRPr="00C9343F">
              <w:rPr>
                <w:iCs/>
                <w:lang w:eastAsia="en-US"/>
              </w:rPr>
              <w:t xml:space="preserve">means </w:t>
            </w:r>
            <w:r w:rsidRPr="00C9343F">
              <w:rPr>
                <w:lang w:eastAsia="en-US"/>
              </w:rPr>
              <w:t xml:space="preserve">the day that is 12 months after the member's most recent appointment, enlistment, promotion or last increment advancement date. </w:t>
            </w:r>
          </w:p>
        </w:tc>
      </w:tr>
    </w:tbl>
    <w:p w14:paraId="52B394AC" w14:textId="4E0AD039" w:rsidR="005F44BC" w:rsidRPr="00C9343F" w:rsidRDefault="005F44BC" w:rsidP="00F66D98">
      <w:pPr>
        <w:pStyle w:val="Heading5"/>
      </w:pPr>
      <w:bookmarkStart w:id="449" w:name="_Toc105053691"/>
      <w:r w:rsidRPr="00C9343F">
        <w:t>3.2.29</w:t>
      </w:r>
      <w:r w:rsidR="00D94006" w:rsidRPr="00C9343F">
        <w:t>    </w:t>
      </w:r>
      <w:r w:rsidRPr="00C9343F">
        <w:t>Member this Division does not apply to</w:t>
      </w:r>
      <w:bookmarkEnd w:id="449"/>
    </w:p>
    <w:tbl>
      <w:tblPr>
        <w:tblW w:w="9351" w:type="dxa"/>
        <w:tblInd w:w="113" w:type="dxa"/>
        <w:tblLayout w:type="fixed"/>
        <w:tblLook w:val="0000" w:firstRow="0" w:lastRow="0" w:firstColumn="0" w:lastColumn="0" w:noHBand="0" w:noVBand="0"/>
      </w:tblPr>
      <w:tblGrid>
        <w:gridCol w:w="1007"/>
        <w:gridCol w:w="8344"/>
      </w:tblGrid>
      <w:tr w:rsidR="005F44BC" w:rsidRPr="00C9343F" w14:paraId="7126E25D" w14:textId="77777777" w:rsidTr="005F44BC">
        <w:tc>
          <w:tcPr>
            <w:tcW w:w="1007" w:type="dxa"/>
          </w:tcPr>
          <w:p w14:paraId="4E5B5F4D" w14:textId="77777777" w:rsidR="005F44BC" w:rsidRPr="00C9343F" w:rsidRDefault="005F44BC" w:rsidP="00F66D98">
            <w:pPr>
              <w:pStyle w:val="BlockText-Plain"/>
              <w:jc w:val="center"/>
            </w:pPr>
          </w:p>
        </w:tc>
        <w:tc>
          <w:tcPr>
            <w:tcW w:w="8344" w:type="dxa"/>
          </w:tcPr>
          <w:p w14:paraId="2263FE7E" w14:textId="6123E8BE" w:rsidR="005F44BC" w:rsidRPr="00C9343F" w:rsidRDefault="005F44BC" w:rsidP="00F66D98">
            <w:pPr>
              <w:pStyle w:val="BlockText-Plain"/>
            </w:pPr>
            <w:r w:rsidRPr="00C9343F">
              <w:t>This Division does not apply to a member who is paid a specialist rate of salary</w:t>
            </w:r>
            <w:r w:rsidR="00F34120" w:rsidRPr="00C9343F">
              <w:t xml:space="preserve"> </w:t>
            </w:r>
            <w:r w:rsidR="00F34120" w:rsidRPr="00C9343F">
              <w:rPr>
                <w:iCs/>
              </w:rPr>
              <w:t>under Division 4 or Division 4A</w:t>
            </w:r>
            <w:r w:rsidRPr="00C9343F">
              <w:t>.</w:t>
            </w:r>
          </w:p>
        </w:tc>
      </w:tr>
    </w:tbl>
    <w:p w14:paraId="69A2E7BD" w14:textId="594BF0C4" w:rsidR="005F44BC" w:rsidRPr="00C9343F" w:rsidRDefault="005F44BC" w:rsidP="00F66D98">
      <w:pPr>
        <w:pStyle w:val="Heading5"/>
      </w:pPr>
      <w:bookmarkStart w:id="450" w:name="_Toc105053692"/>
      <w:r w:rsidRPr="00C9343F">
        <w:t>3.2.30</w:t>
      </w:r>
      <w:r w:rsidR="00D94006" w:rsidRPr="00C9343F">
        <w:t>    </w:t>
      </w:r>
      <w:r w:rsidRPr="00C9343F">
        <w:t>Increment advancement</w:t>
      </w:r>
      <w:bookmarkEnd w:id="450"/>
    </w:p>
    <w:tbl>
      <w:tblPr>
        <w:tblW w:w="9351" w:type="dxa"/>
        <w:tblInd w:w="113" w:type="dxa"/>
        <w:tblLayout w:type="fixed"/>
        <w:tblLook w:val="0000" w:firstRow="0" w:lastRow="0" w:firstColumn="0" w:lastColumn="0" w:noHBand="0" w:noVBand="0"/>
      </w:tblPr>
      <w:tblGrid>
        <w:gridCol w:w="992"/>
        <w:gridCol w:w="567"/>
        <w:gridCol w:w="567"/>
        <w:gridCol w:w="7225"/>
      </w:tblGrid>
      <w:tr w:rsidR="005F44BC" w:rsidRPr="00C9343F" w14:paraId="30BAB12B" w14:textId="77777777" w:rsidTr="005F44BC">
        <w:tc>
          <w:tcPr>
            <w:tcW w:w="992" w:type="dxa"/>
          </w:tcPr>
          <w:p w14:paraId="29A12FA1" w14:textId="77777777" w:rsidR="005F44BC" w:rsidRPr="00C9343F" w:rsidRDefault="005F44BC" w:rsidP="00F66D98">
            <w:pPr>
              <w:pStyle w:val="BlockText-Plain"/>
              <w:jc w:val="center"/>
            </w:pPr>
            <w:r w:rsidRPr="00C9343F">
              <w:t>1.</w:t>
            </w:r>
          </w:p>
        </w:tc>
        <w:tc>
          <w:tcPr>
            <w:tcW w:w="8359" w:type="dxa"/>
            <w:gridSpan w:val="3"/>
          </w:tcPr>
          <w:p w14:paraId="27ACF188" w14:textId="17892C62" w:rsidR="005F44BC" w:rsidRPr="00C9343F" w:rsidRDefault="003D5C1C" w:rsidP="00F66D98">
            <w:pPr>
              <w:pStyle w:val="BlockText-Plain"/>
            </w:pPr>
            <w:r w:rsidRPr="00C9343F">
              <w:t>A</w:t>
            </w:r>
            <w:r w:rsidR="009502E4" w:rsidRPr="00C9343F">
              <w:t xml:space="preserve"> member</w:t>
            </w:r>
            <w:r w:rsidR="005F44BC" w:rsidRPr="00C9343F">
              <w:t xml:space="preserve"> is to be given an additional increment of salary if all of the following conditions are met.</w:t>
            </w:r>
          </w:p>
        </w:tc>
      </w:tr>
      <w:tr w:rsidR="005F44BC" w:rsidRPr="00C9343F" w14:paraId="2540057C" w14:textId="77777777" w:rsidTr="005F44BC">
        <w:trPr>
          <w:cantSplit/>
        </w:trPr>
        <w:tc>
          <w:tcPr>
            <w:tcW w:w="992" w:type="dxa"/>
          </w:tcPr>
          <w:p w14:paraId="052B9265" w14:textId="77777777" w:rsidR="005F44BC" w:rsidRPr="00C9343F" w:rsidRDefault="005F44BC" w:rsidP="00F66D98">
            <w:pPr>
              <w:pStyle w:val="BlockText-Plain"/>
            </w:pPr>
          </w:p>
        </w:tc>
        <w:tc>
          <w:tcPr>
            <w:tcW w:w="567" w:type="dxa"/>
          </w:tcPr>
          <w:p w14:paraId="739BE303" w14:textId="77777777" w:rsidR="005F44BC" w:rsidRPr="00C9343F" w:rsidRDefault="005F44BC" w:rsidP="007114B1">
            <w:pPr>
              <w:pStyle w:val="BlockText-Plain"/>
              <w:jc w:val="center"/>
            </w:pPr>
            <w:r w:rsidRPr="00C9343F">
              <w:t>a.</w:t>
            </w:r>
          </w:p>
        </w:tc>
        <w:tc>
          <w:tcPr>
            <w:tcW w:w="7792" w:type="dxa"/>
            <w:gridSpan w:val="2"/>
          </w:tcPr>
          <w:p w14:paraId="3E60DE61" w14:textId="77777777" w:rsidR="005F44BC" w:rsidRPr="00C9343F" w:rsidRDefault="005F44BC" w:rsidP="00F66D98">
            <w:pPr>
              <w:pStyle w:val="BlockText-Plain"/>
            </w:pPr>
            <w:r w:rsidRPr="00C9343F">
              <w:t>The member's rate of salary is below the top increment for the member's rank.</w:t>
            </w:r>
          </w:p>
        </w:tc>
      </w:tr>
      <w:tr w:rsidR="005F44BC" w:rsidRPr="00C9343F" w14:paraId="1B9A6251" w14:textId="77777777" w:rsidTr="005F44BC">
        <w:trPr>
          <w:cantSplit/>
        </w:trPr>
        <w:tc>
          <w:tcPr>
            <w:tcW w:w="992" w:type="dxa"/>
          </w:tcPr>
          <w:p w14:paraId="241F1C26" w14:textId="77777777" w:rsidR="005F44BC" w:rsidRPr="00C9343F" w:rsidRDefault="005F44BC" w:rsidP="00F66D98">
            <w:pPr>
              <w:pStyle w:val="BlockText-Plain"/>
            </w:pPr>
          </w:p>
        </w:tc>
        <w:tc>
          <w:tcPr>
            <w:tcW w:w="567" w:type="dxa"/>
          </w:tcPr>
          <w:p w14:paraId="588796D3" w14:textId="77777777" w:rsidR="005F44BC" w:rsidRPr="00C9343F" w:rsidRDefault="005F44BC" w:rsidP="007114B1">
            <w:pPr>
              <w:pStyle w:val="BlockText-Plain"/>
              <w:jc w:val="center"/>
            </w:pPr>
            <w:r w:rsidRPr="00C9343F">
              <w:t>b.</w:t>
            </w:r>
          </w:p>
        </w:tc>
        <w:tc>
          <w:tcPr>
            <w:tcW w:w="7792" w:type="dxa"/>
            <w:gridSpan w:val="2"/>
          </w:tcPr>
          <w:p w14:paraId="64B1FF42" w14:textId="77777777" w:rsidR="005F44BC" w:rsidRPr="00C9343F" w:rsidRDefault="005F44BC" w:rsidP="00F66D98">
            <w:pPr>
              <w:pStyle w:val="BlockText-Plain"/>
            </w:pPr>
            <w:r w:rsidRPr="00C9343F">
              <w:t>The member ordinarily carries out duties at the standard of competence for the member's rank, experience, pay grade and employment category (including any applicable classification).</w:t>
            </w:r>
          </w:p>
        </w:tc>
      </w:tr>
      <w:tr w:rsidR="005F44BC" w:rsidRPr="00C9343F" w14:paraId="658243B4" w14:textId="77777777" w:rsidTr="005F44BC">
        <w:trPr>
          <w:cantSplit/>
        </w:trPr>
        <w:tc>
          <w:tcPr>
            <w:tcW w:w="992" w:type="dxa"/>
          </w:tcPr>
          <w:p w14:paraId="0CBA8104" w14:textId="77777777" w:rsidR="005F44BC" w:rsidRPr="00C9343F" w:rsidRDefault="005F44BC" w:rsidP="00F66D98">
            <w:pPr>
              <w:pStyle w:val="BlockText-Plain"/>
            </w:pPr>
          </w:p>
        </w:tc>
        <w:tc>
          <w:tcPr>
            <w:tcW w:w="567" w:type="dxa"/>
          </w:tcPr>
          <w:p w14:paraId="69F423C8" w14:textId="77777777" w:rsidR="005F44BC" w:rsidRPr="00C9343F" w:rsidRDefault="005F44BC" w:rsidP="00F66D98">
            <w:pPr>
              <w:pStyle w:val="BlockText-Plain"/>
            </w:pPr>
          </w:p>
        </w:tc>
        <w:tc>
          <w:tcPr>
            <w:tcW w:w="7792" w:type="dxa"/>
            <w:gridSpan w:val="2"/>
          </w:tcPr>
          <w:p w14:paraId="560DABBD" w14:textId="77777777" w:rsidR="005F44BC" w:rsidRPr="00C9343F" w:rsidRDefault="005F44BC" w:rsidP="00F66D98">
            <w:pPr>
              <w:pStyle w:val="BlockText-Plain"/>
            </w:pPr>
            <w:r w:rsidRPr="00C9343F">
              <w:rPr>
                <w:b/>
              </w:rPr>
              <w:t>Exception:</w:t>
            </w:r>
            <w:r w:rsidRPr="00C9343F">
              <w:t xml:space="preserve"> Senior officers eligible to be paid salary under Schedule B.1 of DFRT Determination </w:t>
            </w:r>
            <w:r w:rsidR="002A2A83" w:rsidRPr="00C9343F">
              <w:t>2 of 2017</w:t>
            </w:r>
            <w:r w:rsidRPr="00C9343F">
              <w:t xml:space="preserve">, </w:t>
            </w:r>
            <w:r w:rsidRPr="00C9343F">
              <w:rPr>
                <w:i/>
              </w:rPr>
              <w:t>Salaries</w:t>
            </w:r>
            <w:r w:rsidRPr="00C9343F">
              <w:t>, do not need to meet the employment category condition in this paragraph.</w:t>
            </w:r>
          </w:p>
        </w:tc>
      </w:tr>
      <w:tr w:rsidR="005F44BC" w:rsidRPr="00C9343F" w14:paraId="6ABCF3D2" w14:textId="77777777" w:rsidTr="005F44BC">
        <w:trPr>
          <w:cantSplit/>
        </w:trPr>
        <w:tc>
          <w:tcPr>
            <w:tcW w:w="992" w:type="dxa"/>
          </w:tcPr>
          <w:p w14:paraId="516C4C9F" w14:textId="77777777" w:rsidR="005F44BC" w:rsidRPr="00C9343F" w:rsidRDefault="005F44BC" w:rsidP="00F66D98">
            <w:pPr>
              <w:pStyle w:val="BlockText-Plain"/>
            </w:pPr>
          </w:p>
        </w:tc>
        <w:tc>
          <w:tcPr>
            <w:tcW w:w="567" w:type="dxa"/>
          </w:tcPr>
          <w:p w14:paraId="42C44FBF" w14:textId="77777777" w:rsidR="005F44BC" w:rsidRPr="00C9343F" w:rsidRDefault="005F44BC" w:rsidP="007114B1">
            <w:pPr>
              <w:pStyle w:val="BlockText-Plain"/>
              <w:jc w:val="center"/>
            </w:pPr>
            <w:r w:rsidRPr="00C9343F">
              <w:t>c.</w:t>
            </w:r>
          </w:p>
        </w:tc>
        <w:tc>
          <w:tcPr>
            <w:tcW w:w="7792" w:type="dxa"/>
            <w:gridSpan w:val="2"/>
          </w:tcPr>
          <w:p w14:paraId="00342004" w14:textId="77777777" w:rsidR="005F44BC" w:rsidRPr="00C9343F" w:rsidRDefault="005F44BC" w:rsidP="00F66D98">
            <w:pPr>
              <w:pStyle w:val="BlockText-Plain"/>
            </w:pPr>
            <w:r w:rsidRPr="00C9343F">
              <w:t>In the year since their most recent appointment, enlistment, last promotion, or last increment advancement date, the member has completed the following amount of service.</w:t>
            </w:r>
          </w:p>
        </w:tc>
      </w:tr>
      <w:tr w:rsidR="005F44BC" w:rsidRPr="00C9343F" w14:paraId="43452FD4" w14:textId="77777777" w:rsidTr="005F44BC">
        <w:trPr>
          <w:cantSplit/>
        </w:trPr>
        <w:tc>
          <w:tcPr>
            <w:tcW w:w="1559" w:type="dxa"/>
            <w:gridSpan w:val="2"/>
          </w:tcPr>
          <w:p w14:paraId="6DE2AC3C" w14:textId="77777777" w:rsidR="005F44BC" w:rsidRPr="00C9343F" w:rsidRDefault="005F44BC" w:rsidP="00F66D98">
            <w:pPr>
              <w:pStyle w:val="BlockText-Plain"/>
            </w:pPr>
          </w:p>
        </w:tc>
        <w:tc>
          <w:tcPr>
            <w:tcW w:w="567" w:type="dxa"/>
          </w:tcPr>
          <w:p w14:paraId="2BF66612" w14:textId="77777777" w:rsidR="005F44BC" w:rsidRPr="00C9343F" w:rsidRDefault="005F44BC" w:rsidP="007114B1">
            <w:pPr>
              <w:pStyle w:val="BlockText-Plain"/>
            </w:pPr>
            <w:r w:rsidRPr="00C9343F">
              <w:t>i.</w:t>
            </w:r>
          </w:p>
        </w:tc>
        <w:tc>
          <w:tcPr>
            <w:tcW w:w="7225" w:type="dxa"/>
          </w:tcPr>
          <w:p w14:paraId="26B68626" w14:textId="77777777" w:rsidR="005F44BC" w:rsidRPr="00C9343F" w:rsidRDefault="005F44BC" w:rsidP="00F66D98">
            <w:pPr>
              <w:pStyle w:val="BlockText-Plain"/>
            </w:pPr>
            <w:r w:rsidRPr="00C9343F">
              <w:t xml:space="preserve">For a </w:t>
            </w:r>
            <w:r w:rsidR="00C42D78" w:rsidRPr="00C9343F">
              <w:t xml:space="preserve">member of the Permanent Forces </w:t>
            </w:r>
            <w:r w:rsidRPr="00C9343F">
              <w:t>– 12 months of continuous full-time service.</w:t>
            </w:r>
          </w:p>
        </w:tc>
      </w:tr>
      <w:tr w:rsidR="005F44BC" w:rsidRPr="00C9343F" w14:paraId="01994205" w14:textId="77777777" w:rsidTr="005F44BC">
        <w:trPr>
          <w:cantSplit/>
        </w:trPr>
        <w:tc>
          <w:tcPr>
            <w:tcW w:w="1559" w:type="dxa"/>
            <w:gridSpan w:val="2"/>
          </w:tcPr>
          <w:p w14:paraId="5048B18E" w14:textId="77777777" w:rsidR="005F44BC" w:rsidRPr="00C9343F" w:rsidRDefault="005F44BC" w:rsidP="00F66D98">
            <w:pPr>
              <w:pStyle w:val="BlockText-Plain"/>
            </w:pPr>
          </w:p>
        </w:tc>
        <w:tc>
          <w:tcPr>
            <w:tcW w:w="567" w:type="dxa"/>
          </w:tcPr>
          <w:p w14:paraId="0FD070C0" w14:textId="77777777" w:rsidR="005F44BC" w:rsidRPr="00C9343F" w:rsidRDefault="005F44BC" w:rsidP="007114B1">
            <w:pPr>
              <w:pStyle w:val="BlockText-Plain"/>
            </w:pPr>
            <w:r w:rsidRPr="00C9343F">
              <w:t>ii.</w:t>
            </w:r>
          </w:p>
        </w:tc>
        <w:tc>
          <w:tcPr>
            <w:tcW w:w="7225" w:type="dxa"/>
          </w:tcPr>
          <w:p w14:paraId="4A823943" w14:textId="77777777" w:rsidR="005F44BC" w:rsidRPr="00C9343F" w:rsidRDefault="00C42D78" w:rsidP="00F66D98">
            <w:pPr>
              <w:pStyle w:val="BlockText-Plain"/>
            </w:pPr>
            <w:r w:rsidRPr="00C9343F">
              <w:rPr>
                <w:color w:val="000000"/>
              </w:rPr>
              <w:t xml:space="preserve">For a member of the Reserves (includes Reserve service and continuous full-time service) </w:t>
            </w:r>
            <w:r w:rsidR="005F44BC" w:rsidRPr="00C9343F">
              <w:t>– 20 days or more of service in a 12 month period.</w:t>
            </w:r>
          </w:p>
          <w:p w14:paraId="00DB8C12" w14:textId="77777777" w:rsidR="005F44BC" w:rsidRPr="00C9343F" w:rsidRDefault="005F44BC" w:rsidP="00F66D98">
            <w:pPr>
              <w:pStyle w:val="BlockText-Plain"/>
            </w:pPr>
            <w:r w:rsidRPr="00C9343F">
              <w:rPr>
                <w:b/>
              </w:rPr>
              <w:t>Exception:</w:t>
            </w:r>
            <w:r w:rsidRPr="00C9343F">
              <w:t xml:space="preserve"> For the increment following 1 July 2015, special transitional rules apply for some members.</w:t>
            </w:r>
          </w:p>
        </w:tc>
      </w:tr>
      <w:tr w:rsidR="005F44BC" w:rsidRPr="00C9343F" w14:paraId="564A45D1" w14:textId="77777777" w:rsidTr="005F44BC">
        <w:trPr>
          <w:cantSplit/>
        </w:trPr>
        <w:tc>
          <w:tcPr>
            <w:tcW w:w="1559" w:type="dxa"/>
            <w:gridSpan w:val="2"/>
          </w:tcPr>
          <w:p w14:paraId="6F866520" w14:textId="77777777" w:rsidR="005F44BC" w:rsidRPr="00C9343F" w:rsidRDefault="005F44BC" w:rsidP="00F66D98">
            <w:pPr>
              <w:pStyle w:val="BlockText-Plain"/>
            </w:pPr>
          </w:p>
        </w:tc>
        <w:tc>
          <w:tcPr>
            <w:tcW w:w="567" w:type="dxa"/>
          </w:tcPr>
          <w:p w14:paraId="11E26184" w14:textId="77777777" w:rsidR="005F44BC" w:rsidRPr="00C9343F" w:rsidRDefault="005F44BC" w:rsidP="007114B1">
            <w:pPr>
              <w:pStyle w:val="BlockText-Plain"/>
            </w:pPr>
            <w:r w:rsidRPr="00C9343F">
              <w:t>iii.</w:t>
            </w:r>
          </w:p>
        </w:tc>
        <w:tc>
          <w:tcPr>
            <w:tcW w:w="7225" w:type="dxa"/>
          </w:tcPr>
          <w:p w14:paraId="34C3CADD" w14:textId="77777777" w:rsidR="005F44BC" w:rsidRPr="00C9343F" w:rsidRDefault="005F44BC" w:rsidP="00F66D98">
            <w:pPr>
              <w:pStyle w:val="BlockText-Plain"/>
            </w:pPr>
            <w:r w:rsidRPr="00C9343F">
              <w:t xml:space="preserve">For a member who served in both the </w:t>
            </w:r>
            <w:r w:rsidR="00C42D78" w:rsidRPr="00C9343F">
              <w:t xml:space="preserve">Permanent Forces and Reserves </w:t>
            </w:r>
            <w:r w:rsidRPr="00C9343F">
              <w:t>in a 12 month period – 20 days of service, made up of the sum of the service in both Forces.</w:t>
            </w:r>
          </w:p>
        </w:tc>
      </w:tr>
      <w:tr w:rsidR="005F44BC" w:rsidRPr="00C9343F" w14:paraId="4D0C8591" w14:textId="77777777" w:rsidTr="005F44BC">
        <w:tc>
          <w:tcPr>
            <w:tcW w:w="992" w:type="dxa"/>
          </w:tcPr>
          <w:p w14:paraId="1C14D7A2" w14:textId="77777777" w:rsidR="005F44BC" w:rsidRPr="00C9343F" w:rsidRDefault="005F44BC" w:rsidP="00F66D98">
            <w:pPr>
              <w:pStyle w:val="BlockText-Plain"/>
              <w:jc w:val="center"/>
            </w:pPr>
            <w:r w:rsidRPr="00C9343F">
              <w:t>2.</w:t>
            </w:r>
          </w:p>
        </w:tc>
        <w:tc>
          <w:tcPr>
            <w:tcW w:w="8359" w:type="dxa"/>
            <w:gridSpan w:val="3"/>
          </w:tcPr>
          <w:p w14:paraId="66A1176C" w14:textId="77777777" w:rsidR="005F44BC" w:rsidRPr="00C9343F" w:rsidRDefault="005F44BC" w:rsidP="00F66D98">
            <w:pPr>
              <w:pStyle w:val="BlockText-Plain"/>
            </w:pPr>
            <w:r w:rsidRPr="00C9343F">
              <w:t>A member may not receive more than one increment advancement under this section in any 12 month period, except as a result of their initial transition to the 2 July 2015 salary structure.</w:t>
            </w:r>
          </w:p>
        </w:tc>
      </w:tr>
      <w:tr w:rsidR="005F44BC" w:rsidRPr="00C9343F" w14:paraId="2783129C" w14:textId="77777777" w:rsidTr="005F44BC">
        <w:tc>
          <w:tcPr>
            <w:tcW w:w="992" w:type="dxa"/>
          </w:tcPr>
          <w:p w14:paraId="746CE4C3" w14:textId="77777777" w:rsidR="00BE23A8" w:rsidRPr="00C9343F" w:rsidRDefault="007A3F41" w:rsidP="00F66D98">
            <w:pPr>
              <w:pStyle w:val="BlockText-Plain"/>
              <w:jc w:val="center"/>
            </w:pPr>
            <w:bookmarkStart w:id="451" w:name="_Hlk300058699"/>
            <w:r w:rsidRPr="00C9343F">
              <w:t>3.</w:t>
            </w:r>
          </w:p>
        </w:tc>
        <w:tc>
          <w:tcPr>
            <w:tcW w:w="8359" w:type="dxa"/>
            <w:gridSpan w:val="3"/>
          </w:tcPr>
          <w:p w14:paraId="10910BEC" w14:textId="77777777" w:rsidR="005F44BC" w:rsidRPr="00C9343F" w:rsidRDefault="005F44BC" w:rsidP="00F66D98">
            <w:pPr>
              <w:pStyle w:val="BlockText-Plain"/>
            </w:pPr>
            <w:r w:rsidRPr="00C9343F">
              <w:t xml:space="preserve">This subsection applies to a </w:t>
            </w:r>
            <w:r w:rsidR="00C42D78" w:rsidRPr="00C9343F">
              <w:rPr>
                <w:color w:val="000000"/>
              </w:rPr>
              <w:t>member of the Reserves</w:t>
            </w:r>
            <w:r w:rsidRPr="00C9343F">
              <w:t>. The following table sets out how part days of duty count toward the amount of service needed to qualify for an increment.</w:t>
            </w:r>
          </w:p>
        </w:tc>
      </w:tr>
    </w:tbl>
    <w:p w14:paraId="6A6DB526" w14:textId="77777777" w:rsidR="005F44BC" w:rsidRPr="00C9343F" w:rsidRDefault="005F44BC"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2835"/>
        <w:gridCol w:w="4961"/>
      </w:tblGrid>
      <w:tr w:rsidR="005F44BC" w:rsidRPr="00C9343F" w14:paraId="7915FC00" w14:textId="77777777" w:rsidTr="005F44BC">
        <w:trPr>
          <w:cantSplit/>
        </w:trPr>
        <w:tc>
          <w:tcPr>
            <w:tcW w:w="567" w:type="dxa"/>
            <w:tcBorders>
              <w:top w:val="single" w:sz="6" w:space="0" w:color="auto"/>
              <w:left w:val="single" w:sz="6" w:space="0" w:color="auto"/>
              <w:bottom w:val="single" w:sz="6" w:space="0" w:color="auto"/>
              <w:right w:val="single" w:sz="6" w:space="0" w:color="auto"/>
            </w:tcBorders>
          </w:tcPr>
          <w:p w14:paraId="0DCB61C7" w14:textId="77777777" w:rsidR="005F44BC" w:rsidRPr="00C9343F" w:rsidRDefault="005F44BC" w:rsidP="00F66D98">
            <w:pPr>
              <w:pStyle w:val="TableHeaderArial"/>
              <w:tabs>
                <w:tab w:val="left" w:pos="720"/>
              </w:tabs>
            </w:pPr>
            <w:r w:rsidRPr="00C9343F">
              <w:t>Item</w:t>
            </w:r>
          </w:p>
        </w:tc>
        <w:tc>
          <w:tcPr>
            <w:tcW w:w="2835" w:type="dxa"/>
            <w:tcBorders>
              <w:top w:val="single" w:sz="6" w:space="0" w:color="auto"/>
              <w:left w:val="single" w:sz="6" w:space="0" w:color="auto"/>
              <w:bottom w:val="single" w:sz="6" w:space="0" w:color="auto"/>
              <w:right w:val="single" w:sz="6" w:space="0" w:color="auto"/>
            </w:tcBorders>
          </w:tcPr>
          <w:p w14:paraId="4E72C325" w14:textId="2777B00F" w:rsidR="005F44BC" w:rsidRPr="00C9343F" w:rsidRDefault="005F44BC" w:rsidP="00F66D98">
            <w:pPr>
              <w:pStyle w:val="TableHeaderArial"/>
              <w:tabs>
                <w:tab w:val="left" w:pos="720"/>
              </w:tabs>
            </w:pPr>
            <w:r w:rsidRPr="00C9343F">
              <w:t>If a member</w:t>
            </w:r>
            <w:r w:rsidR="00D94006" w:rsidRPr="00C9343F">
              <w:t>    </w:t>
            </w:r>
          </w:p>
        </w:tc>
        <w:tc>
          <w:tcPr>
            <w:tcW w:w="4961" w:type="dxa"/>
            <w:tcBorders>
              <w:top w:val="single" w:sz="6" w:space="0" w:color="auto"/>
              <w:left w:val="single" w:sz="6" w:space="0" w:color="auto"/>
              <w:bottom w:val="single" w:sz="6" w:space="0" w:color="auto"/>
              <w:right w:val="single" w:sz="6" w:space="0" w:color="auto"/>
            </w:tcBorders>
          </w:tcPr>
          <w:p w14:paraId="23B53098" w14:textId="53EBD351" w:rsidR="005F44BC" w:rsidRPr="00C9343F" w:rsidRDefault="005F44BC" w:rsidP="00F66D98">
            <w:pPr>
              <w:pStyle w:val="TableHeaderArial"/>
              <w:tabs>
                <w:tab w:val="left" w:pos="720"/>
              </w:tabs>
            </w:pPr>
            <w:r w:rsidRPr="00C9343F">
              <w:t>then</w:t>
            </w:r>
            <w:r w:rsidR="00D94006" w:rsidRPr="00C9343F">
              <w:t>    </w:t>
            </w:r>
          </w:p>
        </w:tc>
      </w:tr>
      <w:tr w:rsidR="005F44BC" w:rsidRPr="00C9343F" w14:paraId="154F4826" w14:textId="77777777" w:rsidTr="005F44BC">
        <w:trPr>
          <w:cantSplit/>
        </w:trPr>
        <w:tc>
          <w:tcPr>
            <w:tcW w:w="567" w:type="dxa"/>
            <w:tcBorders>
              <w:top w:val="single" w:sz="6" w:space="0" w:color="auto"/>
              <w:left w:val="single" w:sz="6" w:space="0" w:color="auto"/>
              <w:bottom w:val="single" w:sz="6" w:space="0" w:color="auto"/>
              <w:right w:val="single" w:sz="6" w:space="0" w:color="auto"/>
            </w:tcBorders>
          </w:tcPr>
          <w:p w14:paraId="5B718276" w14:textId="77777777" w:rsidR="005F44BC" w:rsidRPr="00C9343F" w:rsidRDefault="005F44BC" w:rsidP="00F66D98">
            <w:pPr>
              <w:pStyle w:val="TableTextArial-left"/>
              <w:jc w:val="center"/>
            </w:pPr>
            <w:r w:rsidRPr="00C9343F">
              <w:lastRenderedPageBreak/>
              <w:t>1.</w:t>
            </w:r>
          </w:p>
        </w:tc>
        <w:tc>
          <w:tcPr>
            <w:tcW w:w="2835" w:type="dxa"/>
            <w:tcBorders>
              <w:top w:val="single" w:sz="6" w:space="0" w:color="auto"/>
              <w:left w:val="single" w:sz="6" w:space="0" w:color="auto"/>
              <w:bottom w:val="single" w:sz="6" w:space="0" w:color="auto"/>
              <w:right w:val="single" w:sz="6" w:space="0" w:color="auto"/>
            </w:tcBorders>
          </w:tcPr>
          <w:p w14:paraId="2CA6C974" w14:textId="77777777" w:rsidR="005F44BC" w:rsidRPr="00C9343F" w:rsidRDefault="005F44BC" w:rsidP="00F66D98">
            <w:pPr>
              <w:pStyle w:val="TableTextArial-left"/>
            </w:pPr>
            <w:r w:rsidRPr="00C9343F">
              <w:t>performs a period of duty for six hours or more</w:t>
            </w:r>
          </w:p>
        </w:tc>
        <w:tc>
          <w:tcPr>
            <w:tcW w:w="4961" w:type="dxa"/>
            <w:tcBorders>
              <w:top w:val="single" w:sz="6" w:space="0" w:color="auto"/>
              <w:left w:val="single" w:sz="6" w:space="0" w:color="auto"/>
              <w:bottom w:val="single" w:sz="6" w:space="0" w:color="auto"/>
              <w:right w:val="single" w:sz="6" w:space="0" w:color="auto"/>
            </w:tcBorders>
          </w:tcPr>
          <w:p w14:paraId="158B1FCA" w14:textId="77777777" w:rsidR="005F44BC" w:rsidRPr="00C9343F" w:rsidRDefault="005F44BC" w:rsidP="00F66D98">
            <w:pPr>
              <w:pStyle w:val="TableTextArial-left"/>
            </w:pPr>
            <w:r w:rsidRPr="00C9343F">
              <w:t>that period counts as a full day for the purposes of subsection 2.</w:t>
            </w:r>
          </w:p>
        </w:tc>
      </w:tr>
      <w:tr w:rsidR="005F44BC" w:rsidRPr="00C9343F" w14:paraId="34B6CC55" w14:textId="77777777" w:rsidTr="005F44BC">
        <w:trPr>
          <w:cantSplit/>
        </w:trPr>
        <w:tc>
          <w:tcPr>
            <w:tcW w:w="567" w:type="dxa"/>
            <w:tcBorders>
              <w:top w:val="single" w:sz="6" w:space="0" w:color="auto"/>
              <w:left w:val="single" w:sz="6" w:space="0" w:color="auto"/>
              <w:bottom w:val="single" w:sz="6" w:space="0" w:color="auto"/>
              <w:right w:val="single" w:sz="6" w:space="0" w:color="auto"/>
            </w:tcBorders>
          </w:tcPr>
          <w:p w14:paraId="1D8FA363" w14:textId="77777777" w:rsidR="005F44BC" w:rsidRPr="00C9343F" w:rsidRDefault="005F44BC" w:rsidP="00F66D98">
            <w:pPr>
              <w:pStyle w:val="TableTextArial-left"/>
              <w:jc w:val="center"/>
            </w:pPr>
            <w:r w:rsidRPr="00C9343F">
              <w:t>2.</w:t>
            </w:r>
          </w:p>
        </w:tc>
        <w:tc>
          <w:tcPr>
            <w:tcW w:w="2835" w:type="dxa"/>
            <w:tcBorders>
              <w:top w:val="single" w:sz="6" w:space="0" w:color="auto"/>
              <w:left w:val="single" w:sz="6" w:space="0" w:color="auto"/>
              <w:bottom w:val="single" w:sz="6" w:space="0" w:color="auto"/>
              <w:right w:val="single" w:sz="6" w:space="0" w:color="auto"/>
            </w:tcBorders>
          </w:tcPr>
          <w:p w14:paraId="2A7BCEAE" w14:textId="77777777" w:rsidR="005F44BC" w:rsidRPr="00C9343F" w:rsidRDefault="005F44BC" w:rsidP="00F66D98">
            <w:pPr>
              <w:pStyle w:val="TableTextArial-left"/>
            </w:pPr>
            <w:r w:rsidRPr="00C9343F">
              <w:t>performs duty for a part day</w:t>
            </w:r>
          </w:p>
        </w:tc>
        <w:tc>
          <w:tcPr>
            <w:tcW w:w="4961" w:type="dxa"/>
            <w:tcBorders>
              <w:top w:val="single" w:sz="6" w:space="0" w:color="auto"/>
              <w:left w:val="single" w:sz="6" w:space="0" w:color="auto"/>
              <w:bottom w:val="single" w:sz="6" w:space="0" w:color="auto"/>
              <w:right w:val="single" w:sz="6" w:space="0" w:color="auto"/>
            </w:tcBorders>
          </w:tcPr>
          <w:p w14:paraId="2FA3A9D3" w14:textId="56985DD0" w:rsidR="005F44BC" w:rsidRPr="00C9343F" w:rsidRDefault="005F44BC" w:rsidP="00F66D98">
            <w:pPr>
              <w:pStyle w:val="TableTextArial-left"/>
            </w:pPr>
            <w:r w:rsidRPr="00C9343F">
              <w:t>that time can be combined with other part days. The total counts towards the time period conditions set out in subsection 2.</w:t>
            </w:r>
          </w:p>
        </w:tc>
      </w:tr>
      <w:tr w:rsidR="005F44BC" w:rsidRPr="00C9343F" w14:paraId="0D9C2D12" w14:textId="77777777" w:rsidTr="005F44BC">
        <w:trPr>
          <w:cantSplit/>
        </w:trPr>
        <w:tc>
          <w:tcPr>
            <w:tcW w:w="567" w:type="dxa"/>
            <w:tcBorders>
              <w:top w:val="single" w:sz="6" w:space="0" w:color="auto"/>
              <w:left w:val="single" w:sz="6" w:space="0" w:color="auto"/>
              <w:bottom w:val="single" w:sz="6" w:space="0" w:color="auto"/>
              <w:right w:val="single" w:sz="6" w:space="0" w:color="auto"/>
            </w:tcBorders>
          </w:tcPr>
          <w:p w14:paraId="63C9BA0F" w14:textId="77777777" w:rsidR="005F44BC" w:rsidRPr="00C9343F" w:rsidRDefault="005F44BC" w:rsidP="00F66D98">
            <w:pPr>
              <w:pStyle w:val="TableTextArial-left"/>
              <w:jc w:val="center"/>
            </w:pPr>
            <w:r w:rsidRPr="00C9343F">
              <w:t>3.</w:t>
            </w:r>
          </w:p>
        </w:tc>
        <w:tc>
          <w:tcPr>
            <w:tcW w:w="2835" w:type="dxa"/>
            <w:tcBorders>
              <w:top w:val="single" w:sz="6" w:space="0" w:color="auto"/>
              <w:left w:val="single" w:sz="6" w:space="0" w:color="auto"/>
              <w:bottom w:val="single" w:sz="6" w:space="0" w:color="auto"/>
              <w:right w:val="single" w:sz="6" w:space="0" w:color="auto"/>
            </w:tcBorders>
          </w:tcPr>
          <w:p w14:paraId="4CF3C1D7" w14:textId="77777777" w:rsidR="005F44BC" w:rsidRPr="00C9343F" w:rsidRDefault="005F44BC" w:rsidP="00F66D98">
            <w:pPr>
              <w:pStyle w:val="TableTextArial-left"/>
            </w:pPr>
            <w:r w:rsidRPr="00C9343F">
              <w:t>is taken to be attending for duty under section 3.2.13</w:t>
            </w:r>
          </w:p>
        </w:tc>
        <w:tc>
          <w:tcPr>
            <w:tcW w:w="4961" w:type="dxa"/>
            <w:vMerge w:val="restart"/>
            <w:tcBorders>
              <w:top w:val="single" w:sz="6" w:space="0" w:color="auto"/>
              <w:left w:val="single" w:sz="6" w:space="0" w:color="auto"/>
              <w:bottom w:val="single" w:sz="6" w:space="0" w:color="auto"/>
              <w:right w:val="single" w:sz="6" w:space="0" w:color="auto"/>
            </w:tcBorders>
            <w:vAlign w:val="center"/>
          </w:tcPr>
          <w:p w14:paraId="3E6040A1" w14:textId="77777777" w:rsidR="005F44BC" w:rsidRPr="00C9343F" w:rsidRDefault="005F44BC" w:rsidP="00F66D98">
            <w:pPr>
              <w:pStyle w:val="TableTextArial-left"/>
            </w:pPr>
            <w:r w:rsidRPr="00C9343F">
              <w:t>that period of duty will count towards the time period conditions set out in subsection 2.</w:t>
            </w:r>
          </w:p>
        </w:tc>
      </w:tr>
      <w:tr w:rsidR="005F44BC" w:rsidRPr="00C9343F" w14:paraId="57A2D0F6" w14:textId="77777777" w:rsidTr="005F44BC">
        <w:trPr>
          <w:cantSplit/>
        </w:trPr>
        <w:tc>
          <w:tcPr>
            <w:tcW w:w="567" w:type="dxa"/>
            <w:tcBorders>
              <w:top w:val="single" w:sz="6" w:space="0" w:color="auto"/>
              <w:left w:val="single" w:sz="6" w:space="0" w:color="auto"/>
              <w:bottom w:val="single" w:sz="6" w:space="0" w:color="auto"/>
              <w:right w:val="single" w:sz="6" w:space="0" w:color="auto"/>
            </w:tcBorders>
          </w:tcPr>
          <w:p w14:paraId="3B79B114" w14:textId="77777777" w:rsidR="005F44BC" w:rsidRPr="00C9343F" w:rsidRDefault="005F44BC" w:rsidP="00F66D98">
            <w:pPr>
              <w:pStyle w:val="TableTextArial-left"/>
              <w:jc w:val="center"/>
            </w:pPr>
            <w:r w:rsidRPr="00C9343F">
              <w:t>4.</w:t>
            </w:r>
          </w:p>
        </w:tc>
        <w:tc>
          <w:tcPr>
            <w:tcW w:w="2835" w:type="dxa"/>
            <w:tcBorders>
              <w:top w:val="single" w:sz="6" w:space="0" w:color="auto"/>
              <w:left w:val="single" w:sz="6" w:space="0" w:color="auto"/>
              <w:bottom w:val="single" w:sz="6" w:space="0" w:color="auto"/>
              <w:right w:val="single" w:sz="6" w:space="0" w:color="auto"/>
            </w:tcBorders>
          </w:tcPr>
          <w:p w14:paraId="468B262E" w14:textId="77777777" w:rsidR="005F44BC" w:rsidRPr="00C9343F" w:rsidRDefault="005F44BC" w:rsidP="00F66D98">
            <w:pPr>
              <w:pStyle w:val="TableTextArial-left"/>
            </w:pPr>
            <w:r w:rsidRPr="00C9343F">
              <w:t>is taken to be attending for duty in special circumstances under section 3.2.14</w:t>
            </w:r>
          </w:p>
        </w:tc>
        <w:tc>
          <w:tcPr>
            <w:tcW w:w="4961" w:type="dxa"/>
            <w:vMerge/>
            <w:tcBorders>
              <w:top w:val="single" w:sz="6" w:space="0" w:color="auto"/>
              <w:left w:val="single" w:sz="6" w:space="0" w:color="auto"/>
              <w:bottom w:val="single" w:sz="6" w:space="0" w:color="auto"/>
              <w:right w:val="single" w:sz="6" w:space="0" w:color="auto"/>
            </w:tcBorders>
            <w:vAlign w:val="center"/>
          </w:tcPr>
          <w:p w14:paraId="63448B59" w14:textId="77777777" w:rsidR="005F44BC" w:rsidRPr="00C9343F" w:rsidRDefault="005F44BC" w:rsidP="00F66D98">
            <w:pPr>
              <w:rPr>
                <w:sz w:val="20"/>
              </w:rPr>
            </w:pPr>
          </w:p>
        </w:tc>
      </w:tr>
    </w:tbl>
    <w:p w14:paraId="1C376255" w14:textId="77777777" w:rsidR="005F44BC" w:rsidRPr="00C9343F" w:rsidRDefault="005F44BC" w:rsidP="00F66D98"/>
    <w:tbl>
      <w:tblPr>
        <w:tblW w:w="9351" w:type="dxa"/>
        <w:tblInd w:w="113" w:type="dxa"/>
        <w:tblLayout w:type="fixed"/>
        <w:tblLook w:val="0000" w:firstRow="0" w:lastRow="0" w:firstColumn="0" w:lastColumn="0" w:noHBand="0" w:noVBand="0"/>
      </w:tblPr>
      <w:tblGrid>
        <w:gridCol w:w="992"/>
        <w:gridCol w:w="8359"/>
      </w:tblGrid>
      <w:tr w:rsidR="005F44BC" w:rsidRPr="00C9343F" w14:paraId="3FAC4F8B" w14:textId="77777777" w:rsidTr="005F44BC">
        <w:tc>
          <w:tcPr>
            <w:tcW w:w="992" w:type="dxa"/>
          </w:tcPr>
          <w:bookmarkEnd w:id="451"/>
          <w:p w14:paraId="13C41F1D" w14:textId="77777777" w:rsidR="005F44BC" w:rsidRPr="00C9343F" w:rsidRDefault="005F44BC" w:rsidP="00F66D98">
            <w:pPr>
              <w:pStyle w:val="BlockText-Plain"/>
              <w:jc w:val="center"/>
            </w:pPr>
            <w:r w:rsidRPr="00C9343F">
              <w:t>4.</w:t>
            </w:r>
          </w:p>
        </w:tc>
        <w:tc>
          <w:tcPr>
            <w:tcW w:w="8359" w:type="dxa"/>
          </w:tcPr>
          <w:p w14:paraId="697B7109" w14:textId="10E77B49" w:rsidR="005F44BC" w:rsidRPr="00C9343F" w:rsidRDefault="005F44BC" w:rsidP="00F66D98">
            <w:pPr>
              <w:pStyle w:val="BlockText-Plain"/>
            </w:pPr>
            <w:r w:rsidRPr="00C9343F">
              <w:t>If a member performs a period of higher duties, the service at the higher rank counts towards increment advancement in the member's substantive rank, but not in the higher rank.</w:t>
            </w:r>
          </w:p>
        </w:tc>
      </w:tr>
      <w:tr w:rsidR="00977449" w:rsidRPr="00C9343F" w14:paraId="70AD3791" w14:textId="77777777" w:rsidTr="005F44BC">
        <w:tc>
          <w:tcPr>
            <w:tcW w:w="992" w:type="dxa"/>
          </w:tcPr>
          <w:p w14:paraId="50746934" w14:textId="77777777" w:rsidR="00977449" w:rsidRPr="00C9343F" w:rsidRDefault="00977449" w:rsidP="00F66D98">
            <w:pPr>
              <w:pStyle w:val="BlockText-Plain"/>
              <w:jc w:val="center"/>
            </w:pPr>
            <w:r w:rsidRPr="00C9343F">
              <w:t>5.</w:t>
            </w:r>
          </w:p>
        </w:tc>
        <w:tc>
          <w:tcPr>
            <w:tcW w:w="8359" w:type="dxa"/>
          </w:tcPr>
          <w:p w14:paraId="1CF4C456" w14:textId="77777777" w:rsidR="00977449" w:rsidRPr="00C9343F" w:rsidRDefault="00977449" w:rsidP="00F66D98">
            <w:pPr>
              <w:pStyle w:val="BlockText-Plain"/>
            </w:pPr>
            <w:r w:rsidRPr="00C9343F">
              <w:t xml:space="preserve">For a member of the Permanent Forces, any period when a member is not entitled to salary cannot be counted for salary increments. </w:t>
            </w:r>
          </w:p>
          <w:p w14:paraId="751CE5EA" w14:textId="77777777" w:rsidR="00977449" w:rsidRPr="00C9343F" w:rsidRDefault="00977449" w:rsidP="00F66D98">
            <w:pPr>
              <w:pStyle w:val="Default"/>
              <w:spacing w:after="200"/>
            </w:pPr>
            <w:r w:rsidRPr="00C9343F">
              <w:rPr>
                <w:b/>
                <w:bCs/>
              </w:rPr>
              <w:t xml:space="preserve">Exceptions: </w:t>
            </w:r>
            <w:r w:rsidRPr="00C9343F">
              <w:t>A member undertaking service with the United Nations or a member on a flexible service determination.</w:t>
            </w:r>
          </w:p>
        </w:tc>
      </w:tr>
      <w:tr w:rsidR="00977449" w:rsidRPr="00C9343F" w14:paraId="09865A7C" w14:textId="77777777" w:rsidTr="005F44BC">
        <w:tc>
          <w:tcPr>
            <w:tcW w:w="992" w:type="dxa"/>
          </w:tcPr>
          <w:p w14:paraId="4039B5BB" w14:textId="77777777" w:rsidR="00977449" w:rsidRPr="00C9343F" w:rsidRDefault="00977449" w:rsidP="00F66D98">
            <w:pPr>
              <w:pStyle w:val="BlockText-Plain"/>
              <w:jc w:val="center"/>
            </w:pPr>
            <w:r w:rsidRPr="00C9343F">
              <w:t>6.</w:t>
            </w:r>
          </w:p>
        </w:tc>
        <w:tc>
          <w:tcPr>
            <w:tcW w:w="8359" w:type="dxa"/>
          </w:tcPr>
          <w:p w14:paraId="19C083A0" w14:textId="7C614017" w:rsidR="00977449" w:rsidRPr="00C9343F" w:rsidRDefault="00977449" w:rsidP="00F66D98">
            <w:pPr>
              <w:pStyle w:val="BlockText-Plain"/>
            </w:pPr>
            <w:r w:rsidRPr="00C9343F">
              <w:t>A member undergoing recategorisation training under section 3.2.25 is eligible for increment advancement at their preserved salary rate if they meet the relevant conditions under this section.</w:t>
            </w:r>
          </w:p>
        </w:tc>
      </w:tr>
    </w:tbl>
    <w:p w14:paraId="1542CB81" w14:textId="73770DFD" w:rsidR="005F44BC" w:rsidRPr="00C9343F" w:rsidRDefault="005F44BC" w:rsidP="00F66D98">
      <w:pPr>
        <w:pStyle w:val="Heading5"/>
      </w:pPr>
      <w:bookmarkStart w:id="452" w:name="_Toc105053693"/>
      <w:r w:rsidRPr="00C9343F">
        <w:t>3.2.33</w:t>
      </w:r>
      <w:r w:rsidR="00D94006" w:rsidRPr="00C9343F">
        <w:t>    </w:t>
      </w:r>
      <w:r w:rsidRPr="00C9343F">
        <w:t>Increment deferral</w:t>
      </w:r>
      <w:bookmarkEnd w:id="452"/>
    </w:p>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3D97AF46" w14:textId="77777777" w:rsidTr="005F44BC">
        <w:tc>
          <w:tcPr>
            <w:tcW w:w="992" w:type="dxa"/>
          </w:tcPr>
          <w:p w14:paraId="3E85C1CB" w14:textId="77777777" w:rsidR="005F44BC" w:rsidRPr="00C9343F" w:rsidRDefault="005F44BC" w:rsidP="00F66D98">
            <w:pPr>
              <w:pStyle w:val="BlockText-Plain"/>
              <w:jc w:val="center"/>
            </w:pPr>
            <w:r w:rsidRPr="00C9343F">
              <w:t>1.</w:t>
            </w:r>
          </w:p>
        </w:tc>
        <w:tc>
          <w:tcPr>
            <w:tcW w:w="8363" w:type="dxa"/>
            <w:gridSpan w:val="2"/>
          </w:tcPr>
          <w:p w14:paraId="2C686FD9" w14:textId="77777777" w:rsidR="005F44BC" w:rsidRPr="00C9343F" w:rsidRDefault="005F44BC" w:rsidP="00F66D98">
            <w:pPr>
              <w:pStyle w:val="BlockText-Plain"/>
            </w:pPr>
            <w:r w:rsidRPr="00C9343F">
              <w:t>If a member does not meet the conditions for incremental advancement under paragraph 3.2.30.1.b, the member's Commanding Officer may defer the payment of an increment for up to 12 months.</w:t>
            </w:r>
          </w:p>
        </w:tc>
      </w:tr>
      <w:tr w:rsidR="005F44BC" w:rsidRPr="00C9343F" w14:paraId="242C0D8C" w14:textId="77777777" w:rsidTr="005F44BC">
        <w:tc>
          <w:tcPr>
            <w:tcW w:w="992" w:type="dxa"/>
          </w:tcPr>
          <w:p w14:paraId="7F2BE94B" w14:textId="77777777" w:rsidR="005F44BC" w:rsidRPr="00C9343F" w:rsidRDefault="005F44BC" w:rsidP="00F66D98">
            <w:pPr>
              <w:pStyle w:val="BlockText-Plain"/>
              <w:jc w:val="center"/>
            </w:pPr>
            <w:r w:rsidRPr="00C9343F">
              <w:t>2.</w:t>
            </w:r>
          </w:p>
        </w:tc>
        <w:tc>
          <w:tcPr>
            <w:tcW w:w="8363" w:type="dxa"/>
            <w:gridSpan w:val="2"/>
          </w:tcPr>
          <w:p w14:paraId="52A1CC6B" w14:textId="77777777" w:rsidR="005F44BC" w:rsidRPr="00C9343F" w:rsidRDefault="005F44BC" w:rsidP="00F66D98">
            <w:pPr>
              <w:pStyle w:val="BlockText-Plain"/>
            </w:pPr>
            <w:r w:rsidRPr="00C9343F">
              <w:t xml:space="preserve">The decision to defer an increment must meet all the following conditions. </w:t>
            </w:r>
          </w:p>
        </w:tc>
      </w:tr>
      <w:tr w:rsidR="005F44BC" w:rsidRPr="00C9343F" w14:paraId="3DE10E58" w14:textId="77777777" w:rsidTr="005F44BC">
        <w:trPr>
          <w:cantSplit/>
        </w:trPr>
        <w:tc>
          <w:tcPr>
            <w:tcW w:w="992" w:type="dxa"/>
          </w:tcPr>
          <w:p w14:paraId="4910842F" w14:textId="77777777" w:rsidR="005F44BC" w:rsidRPr="00C9343F" w:rsidRDefault="005F44BC" w:rsidP="00F66D98">
            <w:pPr>
              <w:pStyle w:val="BlockText-Plain"/>
            </w:pPr>
          </w:p>
        </w:tc>
        <w:tc>
          <w:tcPr>
            <w:tcW w:w="567" w:type="dxa"/>
          </w:tcPr>
          <w:p w14:paraId="19ABCE20" w14:textId="77777777" w:rsidR="005F44BC" w:rsidRPr="00C9343F" w:rsidRDefault="005F44BC" w:rsidP="007114B1">
            <w:pPr>
              <w:pStyle w:val="BlockText-Plain"/>
              <w:jc w:val="center"/>
            </w:pPr>
            <w:r w:rsidRPr="00C9343F">
              <w:t>a.</w:t>
            </w:r>
          </w:p>
        </w:tc>
        <w:tc>
          <w:tcPr>
            <w:tcW w:w="7796" w:type="dxa"/>
          </w:tcPr>
          <w:p w14:paraId="6F0F6D4D" w14:textId="77777777" w:rsidR="005F44BC" w:rsidRPr="00C9343F" w:rsidRDefault="005F44BC" w:rsidP="00F66D98">
            <w:pPr>
              <w:pStyle w:val="BlockText-Plain"/>
            </w:pPr>
            <w:r w:rsidRPr="00C9343F">
              <w:t>It must be in writing.</w:t>
            </w:r>
          </w:p>
        </w:tc>
      </w:tr>
      <w:tr w:rsidR="005F44BC" w:rsidRPr="00C9343F" w14:paraId="3F0B9110" w14:textId="77777777" w:rsidTr="005F44BC">
        <w:trPr>
          <w:cantSplit/>
        </w:trPr>
        <w:tc>
          <w:tcPr>
            <w:tcW w:w="992" w:type="dxa"/>
          </w:tcPr>
          <w:p w14:paraId="7DF02B0B" w14:textId="77777777" w:rsidR="005F44BC" w:rsidRPr="00C9343F" w:rsidRDefault="005F44BC" w:rsidP="00F66D98">
            <w:pPr>
              <w:pStyle w:val="BlockText-Plain"/>
            </w:pPr>
          </w:p>
        </w:tc>
        <w:tc>
          <w:tcPr>
            <w:tcW w:w="567" w:type="dxa"/>
          </w:tcPr>
          <w:p w14:paraId="01B0467A" w14:textId="77777777" w:rsidR="005F44BC" w:rsidRPr="00C9343F" w:rsidRDefault="005F44BC" w:rsidP="007114B1">
            <w:pPr>
              <w:pStyle w:val="BlockText-Plain"/>
              <w:jc w:val="center"/>
            </w:pPr>
            <w:r w:rsidRPr="00C9343F">
              <w:t>b.</w:t>
            </w:r>
          </w:p>
        </w:tc>
        <w:tc>
          <w:tcPr>
            <w:tcW w:w="7796" w:type="dxa"/>
          </w:tcPr>
          <w:p w14:paraId="628C6500" w14:textId="77777777" w:rsidR="005F44BC" w:rsidRPr="00C9343F" w:rsidRDefault="005F44BC" w:rsidP="00F66D98">
            <w:pPr>
              <w:pStyle w:val="BlockText-Plain"/>
            </w:pPr>
            <w:r w:rsidRPr="00C9343F">
              <w:t>The period of the deferral must be specified.</w:t>
            </w:r>
          </w:p>
        </w:tc>
      </w:tr>
      <w:tr w:rsidR="005F44BC" w:rsidRPr="00C9343F" w14:paraId="46A72B1A" w14:textId="77777777" w:rsidTr="005F44BC">
        <w:trPr>
          <w:cantSplit/>
        </w:trPr>
        <w:tc>
          <w:tcPr>
            <w:tcW w:w="992" w:type="dxa"/>
          </w:tcPr>
          <w:p w14:paraId="39C8D80C" w14:textId="77777777" w:rsidR="005F44BC" w:rsidRPr="00C9343F" w:rsidRDefault="005F44BC" w:rsidP="00F66D98">
            <w:pPr>
              <w:pStyle w:val="BlockText-Plain"/>
            </w:pPr>
          </w:p>
        </w:tc>
        <w:tc>
          <w:tcPr>
            <w:tcW w:w="567" w:type="dxa"/>
          </w:tcPr>
          <w:p w14:paraId="691517E7" w14:textId="77777777" w:rsidR="005F44BC" w:rsidRPr="00C9343F" w:rsidRDefault="005F44BC" w:rsidP="007114B1">
            <w:pPr>
              <w:pStyle w:val="BlockText-Plain"/>
              <w:jc w:val="center"/>
            </w:pPr>
            <w:r w:rsidRPr="00C9343F">
              <w:t>c.</w:t>
            </w:r>
          </w:p>
        </w:tc>
        <w:tc>
          <w:tcPr>
            <w:tcW w:w="7796" w:type="dxa"/>
          </w:tcPr>
          <w:p w14:paraId="6942E70F" w14:textId="77777777" w:rsidR="005F44BC" w:rsidRPr="00C9343F" w:rsidRDefault="005F44BC" w:rsidP="00F66D98">
            <w:pPr>
              <w:pStyle w:val="BlockText-Plain"/>
            </w:pPr>
            <w:r w:rsidRPr="00C9343F">
              <w:t>A copy must be provided to the member.</w:t>
            </w:r>
          </w:p>
        </w:tc>
      </w:tr>
      <w:tr w:rsidR="005F44BC" w:rsidRPr="00C9343F" w14:paraId="60326A14" w14:textId="77777777" w:rsidTr="005F44BC">
        <w:tc>
          <w:tcPr>
            <w:tcW w:w="992" w:type="dxa"/>
          </w:tcPr>
          <w:p w14:paraId="162D5991" w14:textId="77777777" w:rsidR="005F44BC" w:rsidRPr="00C9343F" w:rsidRDefault="005F44BC" w:rsidP="00F66D98">
            <w:pPr>
              <w:pStyle w:val="BlockText-Plain"/>
              <w:jc w:val="center"/>
            </w:pPr>
            <w:r w:rsidRPr="00C9343F">
              <w:t>3.</w:t>
            </w:r>
          </w:p>
        </w:tc>
        <w:tc>
          <w:tcPr>
            <w:tcW w:w="8363" w:type="dxa"/>
            <w:gridSpan w:val="2"/>
          </w:tcPr>
          <w:p w14:paraId="64D1D056" w14:textId="77777777" w:rsidR="005F44BC" w:rsidRPr="00C9343F" w:rsidRDefault="005F44BC" w:rsidP="00F66D98">
            <w:pPr>
              <w:pStyle w:val="BlockText-Plain"/>
            </w:pPr>
            <w:r w:rsidRPr="00C9343F">
              <w:t>The decision to defer an increment must be reviewed within four months of the date of deferral. If the member is assessed having carried out their duties and responsibilities at the standard expected during that four months, the increment will be granted at the end of that review period.</w:t>
            </w:r>
          </w:p>
        </w:tc>
      </w:tr>
    </w:tbl>
    <w:p w14:paraId="091C5E41" w14:textId="276CA701" w:rsidR="005F44BC" w:rsidRPr="00C9343F" w:rsidRDefault="005F44BC" w:rsidP="00F66D98">
      <w:pPr>
        <w:pStyle w:val="Heading5"/>
      </w:pPr>
      <w:bookmarkStart w:id="453" w:name="_Toc105053694"/>
      <w:r w:rsidRPr="00C9343F">
        <w:t>3.2.34</w:t>
      </w:r>
      <w:r w:rsidR="00D94006" w:rsidRPr="00C9343F">
        <w:t>    </w:t>
      </w:r>
      <w:r w:rsidRPr="00C9343F">
        <w:t>Effect of pay increases on increments</w:t>
      </w:r>
      <w:bookmarkEnd w:id="453"/>
    </w:p>
    <w:tbl>
      <w:tblPr>
        <w:tblW w:w="0" w:type="auto"/>
        <w:tblInd w:w="113" w:type="dxa"/>
        <w:tblLayout w:type="fixed"/>
        <w:tblLook w:val="0000" w:firstRow="0" w:lastRow="0" w:firstColumn="0" w:lastColumn="0" w:noHBand="0" w:noVBand="0"/>
      </w:tblPr>
      <w:tblGrid>
        <w:gridCol w:w="992"/>
        <w:gridCol w:w="8367"/>
      </w:tblGrid>
      <w:tr w:rsidR="005F44BC" w:rsidRPr="00C9343F" w14:paraId="0865E23E" w14:textId="77777777" w:rsidTr="005F44BC">
        <w:tc>
          <w:tcPr>
            <w:tcW w:w="992" w:type="dxa"/>
          </w:tcPr>
          <w:p w14:paraId="2058A70D" w14:textId="77777777" w:rsidR="005F44BC" w:rsidRPr="00C9343F" w:rsidRDefault="005F44BC" w:rsidP="00F66D98">
            <w:pPr>
              <w:pStyle w:val="BlockText-Plain"/>
              <w:jc w:val="center"/>
            </w:pPr>
          </w:p>
        </w:tc>
        <w:tc>
          <w:tcPr>
            <w:tcW w:w="8367" w:type="dxa"/>
          </w:tcPr>
          <w:p w14:paraId="10AE43A6" w14:textId="1560E677" w:rsidR="005F44BC" w:rsidRPr="00C9343F" w:rsidRDefault="005F44BC" w:rsidP="00F66D98">
            <w:pPr>
              <w:pStyle w:val="BlockText-Plain"/>
            </w:pPr>
            <w:r w:rsidRPr="00C9343F">
              <w:t xml:space="preserve">A salary increase that is not a salary increment under subsection 3.2.30.1 does not affect the date for the next increment. </w:t>
            </w:r>
          </w:p>
        </w:tc>
      </w:tr>
    </w:tbl>
    <w:p w14:paraId="47A51B12" w14:textId="422EF7AD" w:rsidR="005F44BC" w:rsidRPr="00C9343F" w:rsidRDefault="005F44BC" w:rsidP="00F66D98">
      <w:pPr>
        <w:pStyle w:val="Heading5"/>
      </w:pPr>
      <w:bookmarkStart w:id="454" w:name="_Toc105053695"/>
      <w:r w:rsidRPr="00C9343F">
        <w:t>3.2.35</w:t>
      </w:r>
      <w:r w:rsidR="00D94006" w:rsidRPr="00C9343F">
        <w:t>    </w:t>
      </w:r>
      <w:r w:rsidRPr="00C9343F">
        <w:t xml:space="preserve">Effect of </w:t>
      </w:r>
      <w:r w:rsidRPr="00C9343F">
        <w:rPr>
          <w:i/>
        </w:rPr>
        <w:t>pay grade</w:t>
      </w:r>
      <w:r w:rsidRPr="00C9343F">
        <w:t xml:space="preserve"> changes on increments</w:t>
      </w:r>
      <w:bookmarkEnd w:id="454"/>
    </w:p>
    <w:tbl>
      <w:tblPr>
        <w:tblW w:w="0" w:type="auto"/>
        <w:tblInd w:w="113" w:type="dxa"/>
        <w:tblLayout w:type="fixed"/>
        <w:tblLook w:val="0000" w:firstRow="0" w:lastRow="0" w:firstColumn="0" w:lastColumn="0" w:noHBand="0" w:noVBand="0"/>
      </w:tblPr>
      <w:tblGrid>
        <w:gridCol w:w="992"/>
        <w:gridCol w:w="8367"/>
      </w:tblGrid>
      <w:tr w:rsidR="005F44BC" w:rsidRPr="00C9343F" w14:paraId="5733E42B" w14:textId="77777777" w:rsidTr="005F44BC">
        <w:tc>
          <w:tcPr>
            <w:tcW w:w="992" w:type="dxa"/>
          </w:tcPr>
          <w:p w14:paraId="240C645F" w14:textId="77777777" w:rsidR="005F44BC" w:rsidRPr="00C9343F" w:rsidRDefault="005F44BC" w:rsidP="00F66D98">
            <w:pPr>
              <w:pStyle w:val="BlockText-Plain"/>
              <w:jc w:val="center"/>
            </w:pPr>
          </w:p>
        </w:tc>
        <w:tc>
          <w:tcPr>
            <w:tcW w:w="8367" w:type="dxa"/>
          </w:tcPr>
          <w:p w14:paraId="0A735A65" w14:textId="77777777" w:rsidR="005F44BC" w:rsidRPr="00C9343F" w:rsidRDefault="005F44BC" w:rsidP="00F66D98">
            <w:pPr>
              <w:pStyle w:val="BlockText-Plain"/>
            </w:pPr>
            <w:r w:rsidRPr="00C9343F">
              <w:t>A member keeps the increment level for their rank when their pay grade changes.</w:t>
            </w:r>
          </w:p>
          <w:p w14:paraId="1A8764D4" w14:textId="01FCF42C" w:rsidR="005F44BC" w:rsidRPr="00C9343F" w:rsidRDefault="005F44BC" w:rsidP="00F66D98">
            <w:pPr>
              <w:pStyle w:val="BlockText-Plain"/>
            </w:pPr>
            <w:r w:rsidRPr="00C9343F">
              <w:rPr>
                <w:b/>
              </w:rPr>
              <w:t>Note:</w:t>
            </w:r>
            <w:r w:rsidRPr="00C9343F">
              <w:t xml:space="preserve"> Senior officers paid under Schedule B.1 of DFRT Determination </w:t>
            </w:r>
            <w:r w:rsidR="002A2A83" w:rsidRPr="00C9343F">
              <w:t>No. 2 of 2017</w:t>
            </w:r>
            <w:r w:rsidRPr="00C9343F">
              <w:t xml:space="preserve">, </w:t>
            </w:r>
            <w:r w:rsidRPr="00C9343F">
              <w:rPr>
                <w:i/>
              </w:rPr>
              <w:t>Salaries</w:t>
            </w:r>
            <w:r w:rsidRPr="00C9343F">
              <w:t>, do not change pay grade once they have been placed in a pay grade.</w:t>
            </w:r>
          </w:p>
        </w:tc>
      </w:tr>
      <w:tr w:rsidR="005F44BC" w:rsidRPr="00C9343F" w14:paraId="07FFAA37" w14:textId="77777777" w:rsidTr="005F44BC">
        <w:tc>
          <w:tcPr>
            <w:tcW w:w="992" w:type="dxa"/>
          </w:tcPr>
          <w:p w14:paraId="7CC52693" w14:textId="77777777" w:rsidR="005F44BC" w:rsidRPr="00C9343F" w:rsidRDefault="005F44BC" w:rsidP="00F66D98">
            <w:pPr>
              <w:pStyle w:val="BlockText-Plain"/>
              <w:jc w:val="center"/>
            </w:pPr>
          </w:p>
        </w:tc>
        <w:tc>
          <w:tcPr>
            <w:tcW w:w="8367" w:type="dxa"/>
          </w:tcPr>
          <w:p w14:paraId="3265D741" w14:textId="77777777" w:rsidR="005F44BC" w:rsidRPr="00C9343F" w:rsidRDefault="005F44BC" w:rsidP="00F66D98">
            <w:pPr>
              <w:pStyle w:val="BlockText-Plain"/>
            </w:pPr>
            <w:r w:rsidRPr="00C9343F">
              <w:rPr>
                <w:b/>
              </w:rPr>
              <w:t>Exception:</w:t>
            </w:r>
            <w:r w:rsidRPr="00C9343F">
              <w:t xml:space="preserve"> Section 3.2.38</w:t>
            </w:r>
            <w:r w:rsidRPr="00C9343F">
              <w:rPr>
                <w:color w:val="000000"/>
              </w:rPr>
              <w:t xml:space="preserve"> </w:t>
            </w:r>
            <w:r w:rsidRPr="00C9343F">
              <w:t>deals with salary for a member who is reduced in rank for disciplinary reasons or as an administrative sanction.</w:t>
            </w:r>
          </w:p>
        </w:tc>
      </w:tr>
    </w:tbl>
    <w:p w14:paraId="7631AC09" w14:textId="70C1B9E1" w:rsidR="005F44BC" w:rsidRPr="00C9343F" w:rsidRDefault="005F44BC" w:rsidP="00F66D98">
      <w:pPr>
        <w:pStyle w:val="Heading5"/>
      </w:pPr>
      <w:bookmarkStart w:id="455" w:name="_Toc105053696"/>
      <w:r w:rsidRPr="00C9343F">
        <w:t>3.2.36</w:t>
      </w:r>
      <w:r w:rsidR="00D94006" w:rsidRPr="00C9343F">
        <w:t>    </w:t>
      </w:r>
      <w:r w:rsidRPr="00C9343F">
        <w:t>Promotion after previous service at temporary or acting rank</w:t>
      </w:r>
      <w:bookmarkEnd w:id="455"/>
    </w:p>
    <w:tbl>
      <w:tblPr>
        <w:tblW w:w="9355" w:type="dxa"/>
        <w:tblInd w:w="113" w:type="dxa"/>
        <w:tblLayout w:type="fixed"/>
        <w:tblLook w:val="0000" w:firstRow="0" w:lastRow="0" w:firstColumn="0" w:lastColumn="0" w:noHBand="0" w:noVBand="0"/>
      </w:tblPr>
      <w:tblGrid>
        <w:gridCol w:w="992"/>
        <w:gridCol w:w="567"/>
        <w:gridCol w:w="7796"/>
      </w:tblGrid>
      <w:tr w:rsidR="005F44BC" w:rsidRPr="00C9343F" w14:paraId="184800AF" w14:textId="77777777" w:rsidTr="00A82063">
        <w:tc>
          <w:tcPr>
            <w:tcW w:w="992" w:type="dxa"/>
          </w:tcPr>
          <w:p w14:paraId="6AA1CDFA" w14:textId="77777777" w:rsidR="005F44BC" w:rsidRPr="00C9343F" w:rsidRDefault="005F44BC" w:rsidP="00F66D98">
            <w:pPr>
              <w:pStyle w:val="BlockText-Plain"/>
              <w:jc w:val="center"/>
            </w:pPr>
            <w:r w:rsidRPr="00C9343F">
              <w:t>1.</w:t>
            </w:r>
          </w:p>
        </w:tc>
        <w:tc>
          <w:tcPr>
            <w:tcW w:w="8363" w:type="dxa"/>
            <w:gridSpan w:val="2"/>
          </w:tcPr>
          <w:p w14:paraId="5C67E1A3" w14:textId="6EDE53E7" w:rsidR="005F44BC" w:rsidRPr="00C9343F" w:rsidRDefault="008A4743" w:rsidP="00F66D98">
            <w:pPr>
              <w:pStyle w:val="BlockText-Plain"/>
            </w:pPr>
            <w:r w:rsidRPr="00C9343F">
              <w:t>The purpose of this section is to set out</w:t>
            </w:r>
            <w:r w:rsidR="005F44BC" w:rsidRPr="00C9343F">
              <w:t xml:space="preserve"> how earlier service in a higher rank can affect a member's increment when they are promoted to a new substantive rank.</w:t>
            </w:r>
          </w:p>
        </w:tc>
      </w:tr>
      <w:tr w:rsidR="005F44BC" w:rsidRPr="00C9343F" w14:paraId="7DE026BF" w14:textId="77777777" w:rsidTr="00A82063">
        <w:tc>
          <w:tcPr>
            <w:tcW w:w="992" w:type="dxa"/>
          </w:tcPr>
          <w:p w14:paraId="1D4F0494" w14:textId="77777777" w:rsidR="005F44BC" w:rsidRPr="00C9343F" w:rsidRDefault="005F44BC" w:rsidP="00F66D98">
            <w:pPr>
              <w:pStyle w:val="BlockText-Plain"/>
              <w:jc w:val="center"/>
            </w:pPr>
            <w:r w:rsidRPr="00C9343F">
              <w:t>2.</w:t>
            </w:r>
          </w:p>
        </w:tc>
        <w:tc>
          <w:tcPr>
            <w:tcW w:w="8363" w:type="dxa"/>
            <w:gridSpan w:val="2"/>
          </w:tcPr>
          <w:p w14:paraId="7B6F74C8" w14:textId="77777777" w:rsidR="005F44BC" w:rsidRPr="00C9343F" w:rsidRDefault="005F44BC" w:rsidP="00F66D98">
            <w:pPr>
              <w:pStyle w:val="BlockText-Plain"/>
            </w:pPr>
            <w:r w:rsidRPr="00C9343F">
              <w:t xml:space="preserve">This section applies to a member who meets both of the following conditions. </w:t>
            </w:r>
          </w:p>
        </w:tc>
      </w:tr>
      <w:tr w:rsidR="005F44BC" w:rsidRPr="00C9343F" w14:paraId="15EA291C" w14:textId="77777777" w:rsidTr="00A82063">
        <w:trPr>
          <w:cantSplit/>
        </w:trPr>
        <w:tc>
          <w:tcPr>
            <w:tcW w:w="992" w:type="dxa"/>
          </w:tcPr>
          <w:p w14:paraId="1B3B649A" w14:textId="77777777" w:rsidR="005F44BC" w:rsidRPr="00C9343F" w:rsidRDefault="005F44BC" w:rsidP="00F66D98">
            <w:pPr>
              <w:pStyle w:val="BlockText-Plain"/>
            </w:pPr>
          </w:p>
        </w:tc>
        <w:tc>
          <w:tcPr>
            <w:tcW w:w="567" w:type="dxa"/>
          </w:tcPr>
          <w:p w14:paraId="508F1B1F" w14:textId="77777777" w:rsidR="005F44BC" w:rsidRPr="00C9343F" w:rsidRDefault="005F44BC" w:rsidP="007114B1">
            <w:pPr>
              <w:pStyle w:val="BlockText-Plain"/>
              <w:jc w:val="center"/>
            </w:pPr>
            <w:r w:rsidRPr="00C9343F">
              <w:t>a.</w:t>
            </w:r>
          </w:p>
        </w:tc>
        <w:tc>
          <w:tcPr>
            <w:tcW w:w="7796" w:type="dxa"/>
          </w:tcPr>
          <w:p w14:paraId="1D10506D" w14:textId="77777777" w:rsidR="005F44BC" w:rsidRPr="00C9343F" w:rsidRDefault="005F44BC" w:rsidP="00F66D98">
            <w:pPr>
              <w:pStyle w:val="BlockText-Plain"/>
            </w:pPr>
            <w:r w:rsidRPr="00C9343F">
              <w:t>The member is promoted while in service. It is not to be confused with provisions dealing with salary on appointment or enlistment.</w:t>
            </w:r>
          </w:p>
        </w:tc>
      </w:tr>
      <w:tr w:rsidR="005F44BC" w:rsidRPr="00C9343F" w14:paraId="32DD752D" w14:textId="77777777" w:rsidTr="00A82063">
        <w:trPr>
          <w:cantSplit/>
        </w:trPr>
        <w:tc>
          <w:tcPr>
            <w:tcW w:w="992" w:type="dxa"/>
          </w:tcPr>
          <w:p w14:paraId="5337E3E6" w14:textId="77777777" w:rsidR="005F44BC" w:rsidRPr="00C9343F" w:rsidRDefault="005F44BC" w:rsidP="00F66D98">
            <w:pPr>
              <w:pStyle w:val="BlockText-Plain"/>
            </w:pPr>
          </w:p>
        </w:tc>
        <w:tc>
          <w:tcPr>
            <w:tcW w:w="567" w:type="dxa"/>
          </w:tcPr>
          <w:p w14:paraId="222EC865" w14:textId="77777777" w:rsidR="005F44BC" w:rsidRPr="00C9343F" w:rsidRDefault="005F44BC" w:rsidP="007114B1">
            <w:pPr>
              <w:pStyle w:val="BlockText-Plain"/>
              <w:jc w:val="center"/>
            </w:pPr>
            <w:r w:rsidRPr="00C9343F">
              <w:t>b.</w:t>
            </w:r>
          </w:p>
        </w:tc>
        <w:tc>
          <w:tcPr>
            <w:tcW w:w="7796" w:type="dxa"/>
          </w:tcPr>
          <w:p w14:paraId="77CA9C5C" w14:textId="77777777" w:rsidR="005F44BC" w:rsidRPr="00C9343F" w:rsidRDefault="005F44BC" w:rsidP="00F66D98">
            <w:pPr>
              <w:pStyle w:val="BlockText-Plain"/>
            </w:pPr>
            <w:r w:rsidRPr="00C9343F">
              <w:t xml:space="preserve">The member has previously served at their new substantive rank, or a higher one. </w:t>
            </w:r>
          </w:p>
        </w:tc>
      </w:tr>
      <w:tr w:rsidR="005F44BC" w:rsidRPr="00C9343F" w14:paraId="061DE627" w14:textId="77777777" w:rsidTr="00A82063">
        <w:tc>
          <w:tcPr>
            <w:tcW w:w="992" w:type="dxa"/>
          </w:tcPr>
          <w:p w14:paraId="7DBEA00E" w14:textId="77777777" w:rsidR="005F44BC" w:rsidRPr="00C9343F" w:rsidRDefault="005F44BC" w:rsidP="00F66D98">
            <w:pPr>
              <w:pStyle w:val="BlockText-Plain"/>
              <w:jc w:val="center"/>
            </w:pPr>
            <w:r w:rsidRPr="00C9343F">
              <w:t>3.</w:t>
            </w:r>
          </w:p>
        </w:tc>
        <w:tc>
          <w:tcPr>
            <w:tcW w:w="8363" w:type="dxa"/>
            <w:gridSpan w:val="2"/>
          </w:tcPr>
          <w:p w14:paraId="150F46DA" w14:textId="77777777" w:rsidR="005F44BC" w:rsidRPr="00C9343F" w:rsidRDefault="005F44BC" w:rsidP="00F66D98">
            <w:pPr>
              <w:pStyle w:val="BlockText-Plain"/>
            </w:pPr>
            <w:r w:rsidRPr="00C9343F">
              <w:t>Periods of service must add up to full years of service to be counted towards an increment under this section. Periods of service that add up to part-years (that is, less than one year of service) do not count for salary increments in the higher rank.</w:t>
            </w:r>
          </w:p>
        </w:tc>
      </w:tr>
      <w:tr w:rsidR="005F44BC" w:rsidRPr="00C9343F" w14:paraId="751FA493" w14:textId="77777777" w:rsidTr="00A82063">
        <w:tc>
          <w:tcPr>
            <w:tcW w:w="992" w:type="dxa"/>
          </w:tcPr>
          <w:p w14:paraId="292DDEBF" w14:textId="77777777" w:rsidR="005F44BC" w:rsidRPr="00C9343F" w:rsidRDefault="005F44BC" w:rsidP="00F66D98">
            <w:pPr>
              <w:pStyle w:val="BlockText-Plain"/>
              <w:jc w:val="center"/>
            </w:pPr>
            <w:r w:rsidRPr="00C9343F">
              <w:t>4.</w:t>
            </w:r>
          </w:p>
        </w:tc>
        <w:tc>
          <w:tcPr>
            <w:tcW w:w="8363" w:type="dxa"/>
            <w:gridSpan w:val="2"/>
          </w:tcPr>
          <w:p w14:paraId="5FC71FE6" w14:textId="77777777" w:rsidR="005F44BC" w:rsidRPr="00C9343F" w:rsidRDefault="005F44BC" w:rsidP="00F66D98">
            <w:pPr>
              <w:pStyle w:val="BlockText-Plain"/>
            </w:pPr>
            <w:r w:rsidRPr="00C9343F">
              <w:t xml:space="preserve">Periods of earlier service that meet either of these conditions can count towards increments. </w:t>
            </w:r>
          </w:p>
        </w:tc>
      </w:tr>
      <w:tr w:rsidR="005F44BC" w:rsidRPr="00C9343F" w14:paraId="1B1996B5" w14:textId="77777777" w:rsidTr="00A82063">
        <w:trPr>
          <w:cantSplit/>
        </w:trPr>
        <w:tc>
          <w:tcPr>
            <w:tcW w:w="992" w:type="dxa"/>
          </w:tcPr>
          <w:p w14:paraId="59F99C6D" w14:textId="77777777" w:rsidR="005F44BC" w:rsidRPr="00C9343F" w:rsidRDefault="005F44BC" w:rsidP="00F66D98">
            <w:pPr>
              <w:pStyle w:val="BlockText-Plain"/>
            </w:pPr>
          </w:p>
        </w:tc>
        <w:tc>
          <w:tcPr>
            <w:tcW w:w="567" w:type="dxa"/>
          </w:tcPr>
          <w:p w14:paraId="57F2F9B5" w14:textId="77777777" w:rsidR="005F44BC" w:rsidRPr="00C9343F" w:rsidRDefault="005F44BC" w:rsidP="007114B1">
            <w:pPr>
              <w:pStyle w:val="BlockText-Plain"/>
              <w:jc w:val="center"/>
            </w:pPr>
            <w:r w:rsidRPr="00C9343F">
              <w:t>a.</w:t>
            </w:r>
          </w:p>
        </w:tc>
        <w:tc>
          <w:tcPr>
            <w:tcW w:w="7796" w:type="dxa"/>
          </w:tcPr>
          <w:p w14:paraId="1F33A3A4" w14:textId="33D13E33" w:rsidR="005F44BC" w:rsidRPr="00C9343F" w:rsidRDefault="005F44BC" w:rsidP="00F66D98">
            <w:pPr>
              <w:pStyle w:val="BlockText-Plain"/>
            </w:pPr>
            <w:r w:rsidRPr="00C9343F">
              <w:t>A period of service at temporary or acting rank that is continuous with service in the member's new substantive rank. The whole period of continuous service counts towards the date of the member's next increment. There must be no break at all between the two periods of service.</w:t>
            </w:r>
          </w:p>
        </w:tc>
      </w:tr>
      <w:tr w:rsidR="005F44BC" w:rsidRPr="00C9343F" w14:paraId="737ACC0D" w14:textId="77777777" w:rsidTr="00A82063">
        <w:trPr>
          <w:cantSplit/>
        </w:trPr>
        <w:tc>
          <w:tcPr>
            <w:tcW w:w="992" w:type="dxa"/>
          </w:tcPr>
          <w:p w14:paraId="3FB76636" w14:textId="77777777" w:rsidR="005F44BC" w:rsidRPr="00C9343F" w:rsidRDefault="005F44BC" w:rsidP="00F66D98">
            <w:pPr>
              <w:pStyle w:val="BlockText-Plain"/>
            </w:pPr>
          </w:p>
        </w:tc>
        <w:tc>
          <w:tcPr>
            <w:tcW w:w="567" w:type="dxa"/>
          </w:tcPr>
          <w:p w14:paraId="79D8F1E4" w14:textId="77777777" w:rsidR="005F44BC" w:rsidRPr="00C9343F" w:rsidRDefault="005F44BC" w:rsidP="007114B1">
            <w:pPr>
              <w:pStyle w:val="BlockText-Plain"/>
              <w:jc w:val="center"/>
            </w:pPr>
            <w:r w:rsidRPr="00C9343F">
              <w:t>b.</w:t>
            </w:r>
          </w:p>
        </w:tc>
        <w:tc>
          <w:tcPr>
            <w:tcW w:w="7796" w:type="dxa"/>
          </w:tcPr>
          <w:p w14:paraId="12C4B496" w14:textId="77777777" w:rsidR="005F44BC" w:rsidRPr="00C9343F" w:rsidRDefault="005F44BC" w:rsidP="00F66D98">
            <w:pPr>
              <w:pStyle w:val="BlockText-Plain"/>
            </w:pPr>
            <w:r w:rsidRPr="00C9343F">
              <w:t>Periods of service at temporary or acting rank that are not continuous with service in the member's new substantive rank. This service must be within an overall period of double the number of years needed to qualify for the particular salary increment in that rank. Periods of service can be added together, provided they are within that overall period.</w:t>
            </w:r>
          </w:p>
          <w:p w14:paraId="1F50A29B" w14:textId="77777777" w:rsidR="005F44BC" w:rsidRPr="00C9343F" w:rsidRDefault="005F44BC" w:rsidP="00F66D98">
            <w:pPr>
              <w:pStyle w:val="BlockText-Plain"/>
            </w:pPr>
            <w:r w:rsidRPr="00C9343F">
              <w:rPr>
                <w:b/>
              </w:rPr>
              <w:t>Note:</w:t>
            </w:r>
            <w:r w:rsidRPr="00C9343F">
              <w:t xml:space="preserve"> This is sometimes known as the 'one in two' rule, that is, one year in the last two years, two years in the last four, three years in the last six, etc. </w:t>
            </w:r>
          </w:p>
        </w:tc>
      </w:tr>
    </w:tbl>
    <w:p w14:paraId="529B7E79" w14:textId="77777777" w:rsidR="002E0C4C" w:rsidRPr="00C9343F" w:rsidRDefault="002E0C4C" w:rsidP="00F66D98">
      <w:pPr>
        <w:pStyle w:val="Heading5"/>
      </w:pPr>
      <w:bookmarkStart w:id="456" w:name="_Hlt65383553"/>
      <w:bookmarkStart w:id="457" w:name="_Toc105053697"/>
      <w:bookmarkStart w:id="458" w:name="bk1056203313Salaryonreductionofrank"/>
      <w:bookmarkStart w:id="459" w:name="bk1057103313Salaryonreductionofrank"/>
      <w:bookmarkStart w:id="460" w:name="bk1238093313Salaryonreductionofrank"/>
      <w:bookmarkStart w:id="461" w:name="bk1659253313Salaryonreductionofrank"/>
      <w:bookmarkStart w:id="462" w:name="bk1135463313Salaryonreductionofrank"/>
      <w:bookmarkEnd w:id="456"/>
      <w:r w:rsidRPr="00C9343F">
        <w:t>3.2.37    Salary – Private Proficient</w:t>
      </w:r>
      <w:bookmarkEnd w:id="457"/>
    </w:p>
    <w:tbl>
      <w:tblPr>
        <w:tblW w:w="9359" w:type="dxa"/>
        <w:tblInd w:w="113" w:type="dxa"/>
        <w:tblLayout w:type="fixed"/>
        <w:tblLook w:val="04A0" w:firstRow="1" w:lastRow="0" w:firstColumn="1" w:lastColumn="0" w:noHBand="0" w:noVBand="1"/>
      </w:tblPr>
      <w:tblGrid>
        <w:gridCol w:w="992"/>
        <w:gridCol w:w="563"/>
        <w:gridCol w:w="567"/>
        <w:gridCol w:w="7237"/>
      </w:tblGrid>
      <w:tr w:rsidR="002E0C4C" w:rsidRPr="00C9343F" w14:paraId="166F729D" w14:textId="77777777" w:rsidTr="002E0C4C">
        <w:tc>
          <w:tcPr>
            <w:tcW w:w="992" w:type="dxa"/>
          </w:tcPr>
          <w:p w14:paraId="324FC6E4" w14:textId="77777777" w:rsidR="002E0C4C" w:rsidRPr="00C9343F" w:rsidRDefault="002E0C4C" w:rsidP="00F66D98">
            <w:pPr>
              <w:pStyle w:val="Sectiontext0"/>
              <w:jc w:val="center"/>
              <w:rPr>
                <w:lang w:eastAsia="en-US"/>
              </w:rPr>
            </w:pPr>
            <w:r w:rsidRPr="00C9343F">
              <w:rPr>
                <w:lang w:eastAsia="en-US"/>
              </w:rPr>
              <w:t>1.</w:t>
            </w:r>
          </w:p>
        </w:tc>
        <w:tc>
          <w:tcPr>
            <w:tcW w:w="8367" w:type="dxa"/>
            <w:gridSpan w:val="3"/>
          </w:tcPr>
          <w:p w14:paraId="398DF7FD" w14:textId="77777777" w:rsidR="002E0C4C" w:rsidRPr="00C9343F" w:rsidRDefault="002E0C4C" w:rsidP="00F66D98">
            <w:pPr>
              <w:pStyle w:val="Sectiontext0"/>
              <w:rPr>
                <w:rFonts w:cs="Arial"/>
                <w:lang w:eastAsia="en-US"/>
              </w:rPr>
            </w:pPr>
            <w:r w:rsidRPr="00C9343F">
              <w:t>This section applies to an Army member who holds the rank of Private and meets all the following.</w:t>
            </w:r>
          </w:p>
        </w:tc>
      </w:tr>
      <w:tr w:rsidR="002E0C4C" w:rsidRPr="00C9343F" w14:paraId="5391BFAB" w14:textId="77777777" w:rsidTr="002E0C4C">
        <w:tc>
          <w:tcPr>
            <w:tcW w:w="992" w:type="dxa"/>
          </w:tcPr>
          <w:p w14:paraId="4C8CB25F" w14:textId="77777777" w:rsidR="002E0C4C" w:rsidRPr="00C9343F" w:rsidRDefault="002E0C4C" w:rsidP="00F66D98">
            <w:pPr>
              <w:pStyle w:val="Sectiontext0"/>
              <w:jc w:val="center"/>
              <w:rPr>
                <w:lang w:eastAsia="en-US"/>
              </w:rPr>
            </w:pPr>
          </w:p>
        </w:tc>
        <w:tc>
          <w:tcPr>
            <w:tcW w:w="563" w:type="dxa"/>
          </w:tcPr>
          <w:p w14:paraId="4CA3CF56" w14:textId="77777777" w:rsidR="002E0C4C" w:rsidRPr="00C9343F" w:rsidRDefault="002E0C4C" w:rsidP="00F66D98">
            <w:pPr>
              <w:pStyle w:val="Sectiontext0"/>
              <w:jc w:val="center"/>
              <w:rPr>
                <w:rFonts w:cs="Arial"/>
                <w:lang w:eastAsia="en-US"/>
              </w:rPr>
            </w:pPr>
            <w:r w:rsidRPr="00C9343F">
              <w:rPr>
                <w:rFonts w:cs="Arial"/>
                <w:lang w:eastAsia="en-US"/>
              </w:rPr>
              <w:t>a.</w:t>
            </w:r>
          </w:p>
        </w:tc>
        <w:tc>
          <w:tcPr>
            <w:tcW w:w="7804" w:type="dxa"/>
            <w:gridSpan w:val="2"/>
          </w:tcPr>
          <w:p w14:paraId="4355F481" w14:textId="77777777" w:rsidR="002E0C4C" w:rsidRPr="00C9343F" w:rsidRDefault="002E0C4C" w:rsidP="00F66D98">
            <w:pPr>
              <w:pStyle w:val="Sectiontext0"/>
            </w:pPr>
            <w:r w:rsidRPr="00C9343F">
              <w:t>They have completed their initial employment category training.</w:t>
            </w:r>
          </w:p>
        </w:tc>
      </w:tr>
      <w:tr w:rsidR="002E0C4C" w:rsidRPr="00C9343F" w14:paraId="03120FEE" w14:textId="77777777" w:rsidTr="002E0C4C">
        <w:tc>
          <w:tcPr>
            <w:tcW w:w="992" w:type="dxa"/>
          </w:tcPr>
          <w:p w14:paraId="1972F5EA" w14:textId="77777777" w:rsidR="002E0C4C" w:rsidRPr="00C9343F" w:rsidRDefault="002E0C4C" w:rsidP="00F66D98">
            <w:pPr>
              <w:pStyle w:val="Sectiontext0"/>
              <w:jc w:val="center"/>
              <w:rPr>
                <w:lang w:eastAsia="en-US"/>
              </w:rPr>
            </w:pPr>
          </w:p>
        </w:tc>
        <w:tc>
          <w:tcPr>
            <w:tcW w:w="563" w:type="dxa"/>
          </w:tcPr>
          <w:p w14:paraId="6A50CFF9" w14:textId="77777777" w:rsidR="002E0C4C" w:rsidRPr="00C9343F" w:rsidRDefault="002E0C4C" w:rsidP="00F66D98">
            <w:pPr>
              <w:pStyle w:val="Sectiontext0"/>
              <w:jc w:val="center"/>
              <w:rPr>
                <w:rFonts w:cs="Arial"/>
                <w:lang w:eastAsia="en-US"/>
              </w:rPr>
            </w:pPr>
            <w:r w:rsidRPr="00C9343F">
              <w:rPr>
                <w:rFonts w:cs="Arial"/>
                <w:lang w:eastAsia="en-US"/>
              </w:rPr>
              <w:t>b.</w:t>
            </w:r>
          </w:p>
        </w:tc>
        <w:tc>
          <w:tcPr>
            <w:tcW w:w="7804" w:type="dxa"/>
            <w:gridSpan w:val="2"/>
          </w:tcPr>
          <w:p w14:paraId="3947659D" w14:textId="77777777" w:rsidR="002E0C4C" w:rsidRPr="00C9343F" w:rsidRDefault="002E0C4C" w:rsidP="00F66D98">
            <w:pPr>
              <w:pStyle w:val="Sectiontext0"/>
            </w:pPr>
            <w:r w:rsidRPr="00C9343F">
              <w:t>They are proficient in their military trade or skill.</w:t>
            </w:r>
          </w:p>
        </w:tc>
      </w:tr>
      <w:tr w:rsidR="002E0C4C" w:rsidRPr="00C9343F" w14:paraId="695E86B4" w14:textId="77777777" w:rsidTr="002E0C4C">
        <w:tc>
          <w:tcPr>
            <w:tcW w:w="992" w:type="dxa"/>
          </w:tcPr>
          <w:p w14:paraId="66F9D368" w14:textId="77777777" w:rsidR="002E0C4C" w:rsidRPr="00C9343F" w:rsidRDefault="002E0C4C" w:rsidP="00F66D98">
            <w:pPr>
              <w:pStyle w:val="Sectiontext0"/>
              <w:jc w:val="center"/>
              <w:rPr>
                <w:lang w:eastAsia="en-US"/>
              </w:rPr>
            </w:pPr>
            <w:r w:rsidRPr="00C9343F">
              <w:rPr>
                <w:lang w:eastAsia="en-US"/>
              </w:rPr>
              <w:t>2.</w:t>
            </w:r>
          </w:p>
        </w:tc>
        <w:tc>
          <w:tcPr>
            <w:tcW w:w="8367" w:type="dxa"/>
            <w:gridSpan w:val="3"/>
          </w:tcPr>
          <w:p w14:paraId="19303499" w14:textId="77777777" w:rsidR="002E0C4C" w:rsidRPr="00C9343F" w:rsidRDefault="002E0C4C" w:rsidP="00F66D98">
            <w:pPr>
              <w:pStyle w:val="Sectiontext0"/>
              <w:rPr>
                <w:rFonts w:cs="Arial"/>
                <w:lang w:eastAsia="en-US"/>
              </w:rPr>
            </w:pPr>
            <w:r w:rsidRPr="00C9343F">
              <w:rPr>
                <w:rFonts w:cs="Arial"/>
                <w:lang w:eastAsia="en-US"/>
              </w:rPr>
              <w:t>The member is eligible to be paid as Private Proficient if they meet one of the following.</w:t>
            </w:r>
          </w:p>
        </w:tc>
      </w:tr>
      <w:tr w:rsidR="002E0C4C" w:rsidRPr="00C9343F" w14:paraId="513A7B10" w14:textId="77777777" w:rsidTr="002E0C4C">
        <w:tc>
          <w:tcPr>
            <w:tcW w:w="992" w:type="dxa"/>
          </w:tcPr>
          <w:p w14:paraId="6A629F46" w14:textId="77777777" w:rsidR="002E0C4C" w:rsidRPr="00C9343F" w:rsidRDefault="002E0C4C" w:rsidP="00F66D98">
            <w:pPr>
              <w:pStyle w:val="Sectiontext0"/>
              <w:jc w:val="center"/>
              <w:rPr>
                <w:lang w:eastAsia="en-US"/>
              </w:rPr>
            </w:pPr>
          </w:p>
        </w:tc>
        <w:tc>
          <w:tcPr>
            <w:tcW w:w="563" w:type="dxa"/>
          </w:tcPr>
          <w:p w14:paraId="6485323E" w14:textId="77777777" w:rsidR="002E0C4C" w:rsidRPr="00C9343F" w:rsidRDefault="002E0C4C" w:rsidP="00F66D98">
            <w:pPr>
              <w:pStyle w:val="Sectiontext0"/>
              <w:jc w:val="center"/>
              <w:rPr>
                <w:rFonts w:cs="Arial"/>
                <w:lang w:eastAsia="en-US"/>
              </w:rPr>
            </w:pPr>
            <w:r w:rsidRPr="00C9343F">
              <w:rPr>
                <w:rFonts w:cs="Arial"/>
                <w:lang w:eastAsia="en-US"/>
              </w:rPr>
              <w:t>a.</w:t>
            </w:r>
          </w:p>
        </w:tc>
        <w:tc>
          <w:tcPr>
            <w:tcW w:w="7804" w:type="dxa"/>
            <w:gridSpan w:val="2"/>
          </w:tcPr>
          <w:p w14:paraId="64E5715A" w14:textId="3C36708C" w:rsidR="002E0C4C" w:rsidRPr="00C9343F" w:rsidRDefault="004E3093" w:rsidP="00F66D98">
            <w:pPr>
              <w:pStyle w:val="Sectiontext0"/>
              <w:rPr>
                <w:rFonts w:cs="Arial"/>
                <w:lang w:eastAsia="en-US"/>
              </w:rPr>
            </w:pPr>
            <w:r w:rsidRPr="00C9343F">
              <w:rPr>
                <w:rFonts w:cs="Arial"/>
                <w:lang w:eastAsia="en-US"/>
              </w:rPr>
              <w:t>They are a member of the Permanent F</w:t>
            </w:r>
            <w:r w:rsidR="002E0C4C" w:rsidRPr="00C9343F">
              <w:rPr>
                <w:rFonts w:cs="Arial"/>
                <w:lang w:eastAsia="en-US"/>
              </w:rPr>
              <w:t>orces and they have completed at least 12 months of service since finishing their initial employment category training.</w:t>
            </w:r>
          </w:p>
        </w:tc>
      </w:tr>
      <w:tr w:rsidR="002E0C4C" w:rsidRPr="00C9343F" w14:paraId="1DF3DA6A" w14:textId="77777777" w:rsidTr="002E0C4C">
        <w:tc>
          <w:tcPr>
            <w:tcW w:w="992" w:type="dxa"/>
          </w:tcPr>
          <w:p w14:paraId="4B8FE7D5" w14:textId="77777777" w:rsidR="002E0C4C" w:rsidRPr="00C9343F" w:rsidRDefault="002E0C4C" w:rsidP="00F66D98">
            <w:pPr>
              <w:pStyle w:val="Sectiontext0"/>
              <w:jc w:val="center"/>
              <w:rPr>
                <w:lang w:eastAsia="en-US"/>
              </w:rPr>
            </w:pPr>
          </w:p>
        </w:tc>
        <w:tc>
          <w:tcPr>
            <w:tcW w:w="563" w:type="dxa"/>
            <w:hideMark/>
          </w:tcPr>
          <w:p w14:paraId="6ABDBA1B" w14:textId="77777777" w:rsidR="002E0C4C" w:rsidRPr="00C9343F" w:rsidRDefault="002E0C4C" w:rsidP="00F66D98">
            <w:pPr>
              <w:pStyle w:val="Sectiontext0"/>
              <w:jc w:val="center"/>
              <w:rPr>
                <w:rFonts w:cs="Arial"/>
                <w:lang w:eastAsia="en-US"/>
              </w:rPr>
            </w:pPr>
            <w:r w:rsidRPr="00C9343F">
              <w:rPr>
                <w:rFonts w:cs="Arial"/>
                <w:lang w:eastAsia="en-US"/>
              </w:rPr>
              <w:t>b.</w:t>
            </w:r>
          </w:p>
        </w:tc>
        <w:tc>
          <w:tcPr>
            <w:tcW w:w="7804" w:type="dxa"/>
            <w:gridSpan w:val="2"/>
          </w:tcPr>
          <w:p w14:paraId="0B9994F3" w14:textId="77777777" w:rsidR="002E0C4C" w:rsidRPr="00C9343F" w:rsidRDefault="002E0C4C" w:rsidP="00F66D98">
            <w:pPr>
              <w:pStyle w:val="Sectiontext0"/>
              <w:rPr>
                <w:rFonts w:cs="Arial"/>
                <w:lang w:eastAsia="en-US"/>
              </w:rPr>
            </w:pPr>
            <w:r w:rsidRPr="00C9343F">
              <w:rPr>
                <w:rFonts w:cs="Arial"/>
                <w:lang w:eastAsia="en-US"/>
              </w:rPr>
              <w:t>They are a member of the Reserves and all the following apply.</w:t>
            </w:r>
          </w:p>
        </w:tc>
      </w:tr>
      <w:tr w:rsidR="002E0C4C" w:rsidRPr="00C9343F" w14:paraId="6CF613D9" w14:textId="77777777" w:rsidTr="002E0C4C">
        <w:tc>
          <w:tcPr>
            <w:tcW w:w="992" w:type="dxa"/>
          </w:tcPr>
          <w:p w14:paraId="2F0EC776" w14:textId="77777777" w:rsidR="002E0C4C" w:rsidRPr="00C9343F" w:rsidRDefault="002E0C4C" w:rsidP="00F66D98">
            <w:pPr>
              <w:pStyle w:val="Sectiontext0"/>
              <w:jc w:val="center"/>
              <w:rPr>
                <w:lang w:eastAsia="en-US"/>
              </w:rPr>
            </w:pPr>
          </w:p>
        </w:tc>
        <w:tc>
          <w:tcPr>
            <w:tcW w:w="563" w:type="dxa"/>
            <w:hideMark/>
          </w:tcPr>
          <w:p w14:paraId="6506C11F" w14:textId="77777777" w:rsidR="002E0C4C" w:rsidRPr="00C9343F" w:rsidRDefault="002E0C4C" w:rsidP="00F66D98">
            <w:pPr>
              <w:pStyle w:val="Sectiontext0"/>
              <w:jc w:val="center"/>
              <w:rPr>
                <w:rFonts w:cs="Arial"/>
                <w:lang w:eastAsia="en-US"/>
              </w:rPr>
            </w:pPr>
          </w:p>
        </w:tc>
        <w:tc>
          <w:tcPr>
            <w:tcW w:w="567" w:type="dxa"/>
          </w:tcPr>
          <w:p w14:paraId="4F2BB87F" w14:textId="77777777" w:rsidR="002E0C4C" w:rsidRPr="00C9343F" w:rsidRDefault="002E0C4C" w:rsidP="00F66D98">
            <w:pPr>
              <w:pStyle w:val="Sectiontext0"/>
              <w:rPr>
                <w:rFonts w:cs="Arial"/>
                <w:lang w:eastAsia="en-US"/>
              </w:rPr>
            </w:pPr>
            <w:r w:rsidRPr="00C9343F">
              <w:rPr>
                <w:rFonts w:cs="Arial"/>
                <w:lang w:eastAsia="en-US"/>
              </w:rPr>
              <w:t>i.</w:t>
            </w:r>
          </w:p>
        </w:tc>
        <w:tc>
          <w:tcPr>
            <w:tcW w:w="7237" w:type="dxa"/>
          </w:tcPr>
          <w:p w14:paraId="5B51D21A" w14:textId="77777777" w:rsidR="002E0C4C" w:rsidRPr="00C9343F" w:rsidRDefault="002E0C4C" w:rsidP="00F66D98">
            <w:pPr>
              <w:pStyle w:val="Sectiontext0"/>
              <w:rPr>
                <w:rFonts w:cs="Arial"/>
                <w:lang w:eastAsia="en-US"/>
              </w:rPr>
            </w:pPr>
            <w:r w:rsidRPr="00C9343F">
              <w:rPr>
                <w:rFonts w:cs="Arial"/>
                <w:lang w:eastAsia="en-US"/>
              </w:rPr>
              <w:t>At least 12 months have passed since they finished initial employment category training.</w:t>
            </w:r>
          </w:p>
        </w:tc>
      </w:tr>
      <w:tr w:rsidR="002E0C4C" w:rsidRPr="00C9343F" w14:paraId="0760ED87" w14:textId="77777777" w:rsidTr="002E0C4C">
        <w:tc>
          <w:tcPr>
            <w:tcW w:w="992" w:type="dxa"/>
          </w:tcPr>
          <w:p w14:paraId="376454F5" w14:textId="77777777" w:rsidR="002E0C4C" w:rsidRPr="00C9343F" w:rsidRDefault="002E0C4C" w:rsidP="00F66D98">
            <w:pPr>
              <w:pStyle w:val="Sectiontext0"/>
              <w:jc w:val="center"/>
              <w:rPr>
                <w:lang w:eastAsia="en-US"/>
              </w:rPr>
            </w:pPr>
          </w:p>
        </w:tc>
        <w:tc>
          <w:tcPr>
            <w:tcW w:w="563" w:type="dxa"/>
          </w:tcPr>
          <w:p w14:paraId="1F1C0EDA" w14:textId="77777777" w:rsidR="002E0C4C" w:rsidRPr="00C9343F" w:rsidRDefault="002E0C4C" w:rsidP="00F66D98">
            <w:pPr>
              <w:pStyle w:val="Sectiontext0"/>
              <w:jc w:val="center"/>
              <w:rPr>
                <w:rFonts w:cs="Arial"/>
                <w:lang w:eastAsia="en-US"/>
              </w:rPr>
            </w:pPr>
          </w:p>
        </w:tc>
        <w:tc>
          <w:tcPr>
            <w:tcW w:w="567" w:type="dxa"/>
          </w:tcPr>
          <w:p w14:paraId="12727E7D" w14:textId="77777777" w:rsidR="002E0C4C" w:rsidRPr="00C9343F" w:rsidRDefault="002E0C4C" w:rsidP="00F66D98">
            <w:pPr>
              <w:pStyle w:val="Sectiontext0"/>
              <w:rPr>
                <w:rFonts w:cs="Arial"/>
                <w:lang w:eastAsia="en-US"/>
              </w:rPr>
            </w:pPr>
            <w:r w:rsidRPr="00C9343F">
              <w:rPr>
                <w:rFonts w:cs="Arial"/>
                <w:lang w:eastAsia="en-US"/>
              </w:rPr>
              <w:t>ii.</w:t>
            </w:r>
          </w:p>
        </w:tc>
        <w:tc>
          <w:tcPr>
            <w:tcW w:w="7237" w:type="dxa"/>
          </w:tcPr>
          <w:p w14:paraId="4D6B4B37" w14:textId="77777777" w:rsidR="002E0C4C" w:rsidRPr="00C9343F" w:rsidRDefault="002E0C4C" w:rsidP="00F66D98">
            <w:pPr>
              <w:pStyle w:val="Sectiontext0"/>
              <w:rPr>
                <w:rFonts w:cs="Arial"/>
                <w:lang w:eastAsia="en-US"/>
              </w:rPr>
            </w:pPr>
            <w:r w:rsidRPr="00C9343F">
              <w:rPr>
                <w:rFonts w:cs="Arial"/>
                <w:lang w:eastAsia="en-US"/>
              </w:rPr>
              <w:t xml:space="preserve">They have provided 20 days of service in a year after </w:t>
            </w:r>
            <w:r w:rsidRPr="00C9343F">
              <w:t>completing their initial employment category training.</w:t>
            </w:r>
          </w:p>
          <w:p w14:paraId="28315399" w14:textId="3A473EF9" w:rsidR="002E0C4C" w:rsidRPr="00C9343F" w:rsidRDefault="002E0C4C" w:rsidP="00F66D98">
            <w:pPr>
              <w:pStyle w:val="Sectiontext0"/>
              <w:rPr>
                <w:rFonts w:cs="Arial"/>
                <w:lang w:eastAsia="en-US"/>
              </w:rPr>
            </w:pPr>
            <w:r w:rsidRPr="00C9343F">
              <w:rPr>
                <w:rFonts w:cs="Arial"/>
                <w:b/>
                <w:lang w:eastAsia="en-US"/>
              </w:rPr>
              <w:t>Note:</w:t>
            </w:r>
            <w:r w:rsidR="0061097B" w:rsidRPr="00C9343F">
              <w:rPr>
                <w:rFonts w:cs="Arial"/>
                <w:lang w:eastAsia="en-US"/>
              </w:rPr>
              <w:t xml:space="preserve"> Service includes R</w:t>
            </w:r>
            <w:r w:rsidRPr="00C9343F">
              <w:rPr>
                <w:rFonts w:cs="Arial"/>
                <w:lang w:eastAsia="en-US"/>
              </w:rPr>
              <w:t>eserve service and continuous full-time service.</w:t>
            </w:r>
          </w:p>
        </w:tc>
      </w:tr>
      <w:tr w:rsidR="002E0C4C" w:rsidRPr="00C9343F" w14:paraId="20C68147" w14:textId="77777777" w:rsidTr="002E0C4C">
        <w:tc>
          <w:tcPr>
            <w:tcW w:w="992" w:type="dxa"/>
          </w:tcPr>
          <w:p w14:paraId="2C84F876" w14:textId="77777777" w:rsidR="002E0C4C" w:rsidRPr="00C9343F" w:rsidRDefault="002E0C4C" w:rsidP="00F66D98">
            <w:pPr>
              <w:pStyle w:val="Sectiontext0"/>
              <w:jc w:val="center"/>
              <w:rPr>
                <w:lang w:eastAsia="en-US"/>
              </w:rPr>
            </w:pPr>
            <w:r w:rsidRPr="00C9343F">
              <w:rPr>
                <w:lang w:eastAsia="en-US"/>
              </w:rPr>
              <w:t>3.</w:t>
            </w:r>
          </w:p>
        </w:tc>
        <w:tc>
          <w:tcPr>
            <w:tcW w:w="8367" w:type="dxa"/>
            <w:gridSpan w:val="3"/>
          </w:tcPr>
          <w:p w14:paraId="043C84FD" w14:textId="77777777" w:rsidR="002E0C4C" w:rsidRPr="00C9343F" w:rsidRDefault="002E0C4C" w:rsidP="00F66D98">
            <w:pPr>
              <w:pStyle w:val="Sectiontext0"/>
              <w:rPr>
                <w:rFonts w:cs="Arial"/>
                <w:lang w:eastAsia="en-US"/>
              </w:rPr>
            </w:pPr>
            <w:r w:rsidRPr="00C9343F">
              <w:rPr>
                <w:rFonts w:cs="Arial"/>
                <w:lang w:eastAsia="en-US"/>
              </w:rPr>
              <w:t>For the purpose of subsection 2, only days for which the member is eligible for salary are counted.</w:t>
            </w:r>
          </w:p>
        </w:tc>
      </w:tr>
    </w:tbl>
    <w:p w14:paraId="73794D9B" w14:textId="35096E6A" w:rsidR="005F44BC" w:rsidRPr="00C9343F" w:rsidRDefault="005F44BC" w:rsidP="00F66D98">
      <w:pPr>
        <w:pStyle w:val="Heading5"/>
      </w:pPr>
      <w:bookmarkStart w:id="463" w:name="_Toc105053698"/>
      <w:r w:rsidRPr="00C9343F">
        <w:lastRenderedPageBreak/>
        <w:t>3.2.38</w:t>
      </w:r>
      <w:r w:rsidR="00D94006" w:rsidRPr="00C9343F">
        <w:t>    </w:t>
      </w:r>
      <w:r w:rsidRPr="00C9343F">
        <w:t>Salary on reduction of rank</w:t>
      </w:r>
      <w:bookmarkEnd w:id="463"/>
    </w:p>
    <w:bookmarkEnd w:id="458"/>
    <w:bookmarkEnd w:id="459"/>
    <w:bookmarkEnd w:id="460"/>
    <w:bookmarkEnd w:id="461"/>
    <w:bookmarkEnd w:id="462"/>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2C17DE8C" w14:textId="77777777" w:rsidTr="005F44BC">
        <w:tc>
          <w:tcPr>
            <w:tcW w:w="992" w:type="dxa"/>
          </w:tcPr>
          <w:p w14:paraId="0FA318EA" w14:textId="77777777" w:rsidR="005F44BC" w:rsidRPr="00C9343F" w:rsidRDefault="005F44BC" w:rsidP="00F66D98">
            <w:pPr>
              <w:pStyle w:val="BlockText-Plain"/>
              <w:jc w:val="center"/>
            </w:pPr>
          </w:p>
        </w:tc>
        <w:tc>
          <w:tcPr>
            <w:tcW w:w="8363" w:type="dxa"/>
            <w:gridSpan w:val="2"/>
          </w:tcPr>
          <w:p w14:paraId="7EFF882B" w14:textId="77777777" w:rsidR="005F44BC" w:rsidRPr="00C9343F" w:rsidRDefault="005F44BC" w:rsidP="00F66D98">
            <w:pPr>
              <w:pStyle w:val="BlockText-Plain"/>
            </w:pPr>
            <w:r w:rsidRPr="00C9343F">
              <w:t>If a member’s rank is reduced, they are entitled to salary at a rate approved by CDF in the salary scale of the lower rank. CDF must consider all the following factors in setting the member's new salary rate.</w:t>
            </w:r>
          </w:p>
        </w:tc>
      </w:tr>
      <w:tr w:rsidR="005F44BC" w:rsidRPr="00C9343F" w14:paraId="4C7EA99D" w14:textId="77777777" w:rsidTr="005F44BC">
        <w:trPr>
          <w:cantSplit/>
        </w:trPr>
        <w:tc>
          <w:tcPr>
            <w:tcW w:w="992" w:type="dxa"/>
          </w:tcPr>
          <w:p w14:paraId="2AC15D54" w14:textId="77777777" w:rsidR="005F44BC" w:rsidRPr="00C9343F" w:rsidRDefault="005F44BC" w:rsidP="00F66D98">
            <w:pPr>
              <w:pStyle w:val="BlockText-Plain"/>
            </w:pPr>
          </w:p>
        </w:tc>
        <w:tc>
          <w:tcPr>
            <w:tcW w:w="567" w:type="dxa"/>
          </w:tcPr>
          <w:p w14:paraId="57262965" w14:textId="77777777" w:rsidR="005F44BC" w:rsidRPr="00C9343F" w:rsidRDefault="005F44BC" w:rsidP="007114B1">
            <w:pPr>
              <w:pStyle w:val="BlockText-Plain"/>
              <w:jc w:val="center"/>
            </w:pPr>
            <w:r w:rsidRPr="00C9343F">
              <w:t>a.</w:t>
            </w:r>
          </w:p>
        </w:tc>
        <w:tc>
          <w:tcPr>
            <w:tcW w:w="7796" w:type="dxa"/>
          </w:tcPr>
          <w:p w14:paraId="6E0EE546" w14:textId="77777777" w:rsidR="005F44BC" w:rsidRPr="00C9343F" w:rsidRDefault="005F44BC" w:rsidP="00F66D98">
            <w:pPr>
              <w:pStyle w:val="BlockText-Plain"/>
            </w:pPr>
            <w:r w:rsidRPr="00C9343F">
              <w:t>Their previous service at the lower rank.</w:t>
            </w:r>
          </w:p>
        </w:tc>
      </w:tr>
      <w:tr w:rsidR="005F44BC" w:rsidRPr="00C9343F" w14:paraId="252BB13C" w14:textId="77777777" w:rsidTr="005F44BC">
        <w:trPr>
          <w:cantSplit/>
        </w:trPr>
        <w:tc>
          <w:tcPr>
            <w:tcW w:w="992" w:type="dxa"/>
          </w:tcPr>
          <w:p w14:paraId="323DB730" w14:textId="77777777" w:rsidR="005F44BC" w:rsidRPr="00C9343F" w:rsidRDefault="005F44BC" w:rsidP="00F66D98">
            <w:pPr>
              <w:pStyle w:val="BlockText-Plain"/>
            </w:pPr>
          </w:p>
        </w:tc>
        <w:tc>
          <w:tcPr>
            <w:tcW w:w="567" w:type="dxa"/>
          </w:tcPr>
          <w:p w14:paraId="04A98D66" w14:textId="77777777" w:rsidR="005F44BC" w:rsidRPr="00C9343F" w:rsidRDefault="005F44BC" w:rsidP="007114B1">
            <w:pPr>
              <w:pStyle w:val="BlockText-Plain"/>
              <w:jc w:val="center"/>
            </w:pPr>
            <w:r w:rsidRPr="00C9343F">
              <w:t>b.</w:t>
            </w:r>
          </w:p>
        </w:tc>
        <w:tc>
          <w:tcPr>
            <w:tcW w:w="7796" w:type="dxa"/>
          </w:tcPr>
          <w:p w14:paraId="77A2372D" w14:textId="77777777" w:rsidR="005F44BC" w:rsidRPr="00C9343F" w:rsidRDefault="005F44BC" w:rsidP="00F66D98">
            <w:pPr>
              <w:pStyle w:val="BlockText-Plain"/>
            </w:pPr>
            <w:r w:rsidRPr="00C9343F">
              <w:t>Relevant service in the higher rank.</w:t>
            </w:r>
          </w:p>
        </w:tc>
      </w:tr>
      <w:tr w:rsidR="005F44BC" w:rsidRPr="00C9343F" w14:paraId="611123DA" w14:textId="77777777" w:rsidTr="005F44BC">
        <w:trPr>
          <w:cantSplit/>
        </w:trPr>
        <w:tc>
          <w:tcPr>
            <w:tcW w:w="992" w:type="dxa"/>
          </w:tcPr>
          <w:p w14:paraId="183B1641" w14:textId="77777777" w:rsidR="005F44BC" w:rsidRPr="00C9343F" w:rsidRDefault="005F44BC" w:rsidP="00F66D98">
            <w:pPr>
              <w:pStyle w:val="BlockText-Plain"/>
            </w:pPr>
          </w:p>
        </w:tc>
        <w:tc>
          <w:tcPr>
            <w:tcW w:w="567" w:type="dxa"/>
          </w:tcPr>
          <w:p w14:paraId="2DD16BB8" w14:textId="77777777" w:rsidR="005F44BC" w:rsidRPr="00C9343F" w:rsidRDefault="005F44BC" w:rsidP="007114B1">
            <w:pPr>
              <w:pStyle w:val="BlockText-Plain"/>
              <w:jc w:val="center"/>
            </w:pPr>
            <w:r w:rsidRPr="00C9343F">
              <w:t>c.</w:t>
            </w:r>
          </w:p>
        </w:tc>
        <w:tc>
          <w:tcPr>
            <w:tcW w:w="7796" w:type="dxa"/>
          </w:tcPr>
          <w:p w14:paraId="561E3CD9" w14:textId="77777777" w:rsidR="005F44BC" w:rsidRPr="00C9343F" w:rsidRDefault="005F44BC" w:rsidP="00F66D98">
            <w:pPr>
              <w:pStyle w:val="BlockText-Plain"/>
            </w:pPr>
            <w:r w:rsidRPr="00C9343F">
              <w:t>The circumstances of the reduction in rank.</w:t>
            </w:r>
          </w:p>
        </w:tc>
      </w:tr>
    </w:tbl>
    <w:p w14:paraId="699945EC" w14:textId="79ABDC08" w:rsidR="005F44BC" w:rsidRPr="00C9343F" w:rsidRDefault="005F44BC" w:rsidP="00F66D98">
      <w:pPr>
        <w:pStyle w:val="Heading5"/>
      </w:pPr>
      <w:bookmarkStart w:id="464" w:name="_Hlt72915805"/>
      <w:bookmarkStart w:id="465" w:name="_Toc105053699"/>
      <w:bookmarkStart w:id="466" w:name="bk1056203314Salaryonpromotiontorankprev"/>
      <w:bookmarkStart w:id="467" w:name="bk1057103314Salaryonpromotiontorankprev"/>
      <w:bookmarkStart w:id="468" w:name="bk1238093314Salaryonpromotiontorankprev"/>
      <w:bookmarkStart w:id="469" w:name="bk1659253314Salaryonpromotiontorankprev"/>
      <w:bookmarkStart w:id="470" w:name="bk1135463314Salaryonpromotiontorankprev"/>
      <w:bookmarkEnd w:id="464"/>
      <w:r w:rsidRPr="00C9343F">
        <w:t>3.2.39</w:t>
      </w:r>
      <w:r w:rsidR="00D94006" w:rsidRPr="00C9343F">
        <w:t>    </w:t>
      </w:r>
      <w:r w:rsidRPr="00C9343F">
        <w:t>Salary on promotion to rank previously held</w:t>
      </w:r>
      <w:bookmarkEnd w:id="465"/>
    </w:p>
    <w:tbl>
      <w:tblPr>
        <w:tblW w:w="0" w:type="auto"/>
        <w:tblInd w:w="113" w:type="dxa"/>
        <w:tblLayout w:type="fixed"/>
        <w:tblLook w:val="0000" w:firstRow="0" w:lastRow="0" w:firstColumn="0" w:lastColumn="0" w:noHBand="0" w:noVBand="0"/>
      </w:tblPr>
      <w:tblGrid>
        <w:gridCol w:w="992"/>
        <w:gridCol w:w="567"/>
        <w:gridCol w:w="7800"/>
      </w:tblGrid>
      <w:tr w:rsidR="005F44BC" w:rsidRPr="00C9343F" w14:paraId="37D6CA8B" w14:textId="77777777" w:rsidTr="005F44BC">
        <w:tc>
          <w:tcPr>
            <w:tcW w:w="992" w:type="dxa"/>
          </w:tcPr>
          <w:bookmarkEnd w:id="466"/>
          <w:bookmarkEnd w:id="467"/>
          <w:bookmarkEnd w:id="468"/>
          <w:bookmarkEnd w:id="469"/>
          <w:bookmarkEnd w:id="470"/>
          <w:p w14:paraId="381C65DF" w14:textId="77777777" w:rsidR="005F44BC" w:rsidRPr="00C9343F" w:rsidRDefault="005F44BC" w:rsidP="00F66D98">
            <w:pPr>
              <w:pStyle w:val="BlockText-Plain"/>
              <w:jc w:val="center"/>
            </w:pPr>
            <w:r w:rsidRPr="00C9343F">
              <w:t>1.</w:t>
            </w:r>
          </w:p>
        </w:tc>
        <w:tc>
          <w:tcPr>
            <w:tcW w:w="8367" w:type="dxa"/>
            <w:gridSpan w:val="2"/>
          </w:tcPr>
          <w:p w14:paraId="347CEE82" w14:textId="021C55A9" w:rsidR="005F44BC" w:rsidRPr="00C9343F" w:rsidRDefault="008A4743" w:rsidP="00F66D98">
            <w:pPr>
              <w:pStyle w:val="BlockText-Plain"/>
            </w:pPr>
            <w:r w:rsidRPr="00C9343F">
              <w:t>The purpose of this section is to set out</w:t>
            </w:r>
            <w:r w:rsidR="005F44BC" w:rsidRPr="00C9343F">
              <w:t xml:space="preserve"> how earlier service in a previously held rank can affect a member's rate of salary on promotion. </w:t>
            </w:r>
          </w:p>
        </w:tc>
      </w:tr>
      <w:tr w:rsidR="005F44BC" w:rsidRPr="00C9343F" w14:paraId="4FF14983" w14:textId="77777777" w:rsidTr="005F44BC">
        <w:tc>
          <w:tcPr>
            <w:tcW w:w="992" w:type="dxa"/>
          </w:tcPr>
          <w:p w14:paraId="4624FDC1" w14:textId="77777777" w:rsidR="005F44BC" w:rsidRPr="00C9343F" w:rsidRDefault="005F44BC" w:rsidP="00F66D98">
            <w:pPr>
              <w:pStyle w:val="BlockText-Plain"/>
              <w:jc w:val="center"/>
            </w:pPr>
            <w:r w:rsidRPr="00C9343F">
              <w:t>2.</w:t>
            </w:r>
          </w:p>
        </w:tc>
        <w:tc>
          <w:tcPr>
            <w:tcW w:w="8367" w:type="dxa"/>
            <w:gridSpan w:val="2"/>
          </w:tcPr>
          <w:p w14:paraId="1427A4FD" w14:textId="77777777" w:rsidR="005F44BC" w:rsidRPr="00C9343F" w:rsidRDefault="005F44BC" w:rsidP="00F66D98">
            <w:pPr>
              <w:pStyle w:val="BlockText-Plain"/>
            </w:pPr>
            <w:r w:rsidRPr="00C9343F">
              <w:t xml:space="preserve">The member must meet all the following conditions. </w:t>
            </w:r>
          </w:p>
        </w:tc>
      </w:tr>
      <w:tr w:rsidR="005F44BC" w:rsidRPr="00C9343F" w14:paraId="6B4E3A35" w14:textId="77777777" w:rsidTr="005F44BC">
        <w:trPr>
          <w:cantSplit/>
        </w:trPr>
        <w:tc>
          <w:tcPr>
            <w:tcW w:w="992" w:type="dxa"/>
          </w:tcPr>
          <w:p w14:paraId="769E0AFE" w14:textId="77777777" w:rsidR="005F44BC" w:rsidRPr="00C9343F" w:rsidRDefault="005F44BC" w:rsidP="00F66D98">
            <w:pPr>
              <w:pStyle w:val="BlockText-Plain"/>
            </w:pPr>
          </w:p>
        </w:tc>
        <w:tc>
          <w:tcPr>
            <w:tcW w:w="567" w:type="dxa"/>
          </w:tcPr>
          <w:p w14:paraId="28189B66" w14:textId="77777777" w:rsidR="005F44BC" w:rsidRPr="00C9343F" w:rsidRDefault="005F44BC" w:rsidP="007114B1">
            <w:pPr>
              <w:pStyle w:val="BlockText-Plain"/>
              <w:jc w:val="center"/>
            </w:pPr>
            <w:r w:rsidRPr="00C9343F">
              <w:t>a.</w:t>
            </w:r>
          </w:p>
        </w:tc>
        <w:tc>
          <w:tcPr>
            <w:tcW w:w="7800" w:type="dxa"/>
          </w:tcPr>
          <w:p w14:paraId="530E6BE6" w14:textId="77777777" w:rsidR="005F44BC" w:rsidRPr="00C9343F" w:rsidRDefault="005F44BC" w:rsidP="00F66D98">
            <w:pPr>
              <w:pStyle w:val="BlockText-Plain"/>
            </w:pPr>
            <w:r w:rsidRPr="00C9343F">
              <w:t>They have been reduced in rank.</w:t>
            </w:r>
          </w:p>
        </w:tc>
      </w:tr>
      <w:tr w:rsidR="005F44BC" w:rsidRPr="00C9343F" w14:paraId="3A571362" w14:textId="77777777" w:rsidTr="005F44BC">
        <w:trPr>
          <w:cantSplit/>
        </w:trPr>
        <w:tc>
          <w:tcPr>
            <w:tcW w:w="992" w:type="dxa"/>
          </w:tcPr>
          <w:p w14:paraId="331BF36C" w14:textId="77777777" w:rsidR="005F44BC" w:rsidRPr="00C9343F" w:rsidRDefault="005F44BC" w:rsidP="00F66D98">
            <w:pPr>
              <w:pStyle w:val="BlockText-Plain"/>
            </w:pPr>
          </w:p>
        </w:tc>
        <w:tc>
          <w:tcPr>
            <w:tcW w:w="567" w:type="dxa"/>
          </w:tcPr>
          <w:p w14:paraId="52564CED" w14:textId="77777777" w:rsidR="005F44BC" w:rsidRPr="00C9343F" w:rsidRDefault="005F44BC" w:rsidP="007114B1">
            <w:pPr>
              <w:pStyle w:val="BlockText-Plain"/>
              <w:jc w:val="center"/>
            </w:pPr>
            <w:r w:rsidRPr="00C9343F">
              <w:t>b.</w:t>
            </w:r>
          </w:p>
        </w:tc>
        <w:tc>
          <w:tcPr>
            <w:tcW w:w="7800" w:type="dxa"/>
          </w:tcPr>
          <w:p w14:paraId="53D20001" w14:textId="77777777" w:rsidR="005F44BC" w:rsidRPr="00C9343F" w:rsidRDefault="005F44BC" w:rsidP="00F66D98">
            <w:pPr>
              <w:pStyle w:val="BlockText-Plain"/>
            </w:pPr>
            <w:r w:rsidRPr="00C9343F">
              <w:t>They are later promoted to the rank that they held substantively before the reduction in rank.</w:t>
            </w:r>
          </w:p>
        </w:tc>
      </w:tr>
      <w:tr w:rsidR="005F44BC" w:rsidRPr="00C9343F" w14:paraId="63C7C39D" w14:textId="77777777" w:rsidTr="005F44BC">
        <w:trPr>
          <w:cantSplit/>
        </w:trPr>
        <w:tc>
          <w:tcPr>
            <w:tcW w:w="992" w:type="dxa"/>
          </w:tcPr>
          <w:p w14:paraId="398F7B75" w14:textId="77777777" w:rsidR="005F44BC" w:rsidRPr="00C9343F" w:rsidRDefault="005F44BC" w:rsidP="00F66D98">
            <w:pPr>
              <w:pStyle w:val="BlockText-Plain"/>
            </w:pPr>
          </w:p>
        </w:tc>
        <w:tc>
          <w:tcPr>
            <w:tcW w:w="567" w:type="dxa"/>
          </w:tcPr>
          <w:p w14:paraId="507FFDB6" w14:textId="77777777" w:rsidR="005F44BC" w:rsidRPr="00C9343F" w:rsidRDefault="005F44BC" w:rsidP="007114B1">
            <w:pPr>
              <w:pStyle w:val="BlockText-Plain"/>
              <w:jc w:val="center"/>
            </w:pPr>
            <w:r w:rsidRPr="00C9343F">
              <w:t>c.</w:t>
            </w:r>
          </w:p>
        </w:tc>
        <w:tc>
          <w:tcPr>
            <w:tcW w:w="7800" w:type="dxa"/>
          </w:tcPr>
          <w:p w14:paraId="59351086" w14:textId="77777777" w:rsidR="005F44BC" w:rsidRPr="00C9343F" w:rsidRDefault="005F44BC" w:rsidP="00F66D98">
            <w:pPr>
              <w:pStyle w:val="BlockText-Plain"/>
            </w:pPr>
            <w:r w:rsidRPr="00C9343F">
              <w:t>The actions in paragraphs a and b occur within a single period of service.</w:t>
            </w:r>
          </w:p>
        </w:tc>
      </w:tr>
      <w:tr w:rsidR="005F44BC" w:rsidRPr="00C9343F" w14:paraId="79D029FC" w14:textId="77777777" w:rsidTr="005F44BC">
        <w:tc>
          <w:tcPr>
            <w:tcW w:w="992" w:type="dxa"/>
          </w:tcPr>
          <w:p w14:paraId="01A83D33" w14:textId="77777777" w:rsidR="005F44BC" w:rsidRPr="00C9343F" w:rsidRDefault="005F44BC" w:rsidP="00F66D98">
            <w:pPr>
              <w:pStyle w:val="BlockText-Plain"/>
              <w:jc w:val="center"/>
            </w:pPr>
            <w:r w:rsidRPr="00C9343F">
              <w:t>3.</w:t>
            </w:r>
          </w:p>
        </w:tc>
        <w:tc>
          <w:tcPr>
            <w:tcW w:w="8367" w:type="dxa"/>
            <w:gridSpan w:val="2"/>
          </w:tcPr>
          <w:p w14:paraId="2E4074DE" w14:textId="77777777" w:rsidR="005F44BC" w:rsidRPr="00C9343F" w:rsidRDefault="005F44BC" w:rsidP="00F66D98">
            <w:pPr>
              <w:pStyle w:val="BlockText-Plain"/>
            </w:pPr>
            <w:r w:rsidRPr="00C9343F">
              <w:t>The CDF may approve earlier periods of the member's service in the higher rank to be counted towards the member's increment in the higher rank.</w:t>
            </w:r>
          </w:p>
        </w:tc>
      </w:tr>
      <w:tr w:rsidR="005F44BC" w:rsidRPr="00C9343F" w14:paraId="7CF98BC2" w14:textId="77777777" w:rsidTr="005F44BC">
        <w:tc>
          <w:tcPr>
            <w:tcW w:w="992" w:type="dxa"/>
          </w:tcPr>
          <w:p w14:paraId="41E79CE0" w14:textId="77777777" w:rsidR="005F44BC" w:rsidRPr="00C9343F" w:rsidRDefault="005F44BC" w:rsidP="00F66D98">
            <w:pPr>
              <w:pStyle w:val="BlockText-Plain"/>
              <w:jc w:val="center"/>
            </w:pPr>
          </w:p>
        </w:tc>
        <w:tc>
          <w:tcPr>
            <w:tcW w:w="8367" w:type="dxa"/>
            <w:gridSpan w:val="2"/>
          </w:tcPr>
          <w:p w14:paraId="6D7A0408" w14:textId="39158806" w:rsidR="005F44BC" w:rsidRPr="00C9343F" w:rsidRDefault="005F44BC" w:rsidP="00F66D98">
            <w:pPr>
              <w:pStyle w:val="BlockText-Plain"/>
            </w:pPr>
            <w:r w:rsidRPr="00C9343F">
              <w:rPr>
                <w:b/>
              </w:rPr>
              <w:t>Exception:</w:t>
            </w:r>
            <w:r w:rsidRPr="00C9343F">
              <w:t xml:space="preserve"> </w:t>
            </w:r>
            <w:r w:rsidR="00F26D1E" w:rsidRPr="00C9343F">
              <w:t>If</w:t>
            </w:r>
            <w:r w:rsidRPr="00C9343F">
              <w:t xml:space="preserve"> the reduction was for inefficiency.</w:t>
            </w:r>
          </w:p>
        </w:tc>
      </w:tr>
    </w:tbl>
    <w:p w14:paraId="0C737E33" w14:textId="77777777" w:rsidR="00841634" w:rsidRPr="00C9343F" w:rsidRDefault="00841634" w:rsidP="00F66D98"/>
    <w:p w14:paraId="45BD3395" w14:textId="17E58932" w:rsidR="005F44BC" w:rsidRPr="00C9343F" w:rsidRDefault="005F44BC" w:rsidP="00C96A4C">
      <w:pPr>
        <w:pStyle w:val="Heading4"/>
        <w:pageBreakBefore/>
      </w:pPr>
      <w:bookmarkStart w:id="471" w:name="_Toc105053700"/>
      <w:r w:rsidRPr="00C9343F">
        <w:lastRenderedPageBreak/>
        <w:t>Division 4: Specialist Officer – increment and competency arrangements</w:t>
      </w:r>
      <w:bookmarkEnd w:id="471"/>
    </w:p>
    <w:p w14:paraId="0670B8CB" w14:textId="7761FD76" w:rsidR="005F44BC" w:rsidRPr="00C9343F" w:rsidRDefault="005F44BC" w:rsidP="00F66D98">
      <w:pPr>
        <w:pStyle w:val="Heading5"/>
      </w:pPr>
      <w:bookmarkStart w:id="472" w:name="_Toc105053701"/>
      <w:r w:rsidRPr="00C9343F">
        <w:t>3.2.40</w:t>
      </w:r>
      <w:r w:rsidR="00D94006" w:rsidRPr="00C9343F">
        <w:t>    </w:t>
      </w:r>
      <w:r w:rsidRPr="00C9343F">
        <w:t>Purpose</w:t>
      </w:r>
      <w:bookmarkEnd w:id="472"/>
    </w:p>
    <w:tbl>
      <w:tblPr>
        <w:tblW w:w="0" w:type="auto"/>
        <w:tblInd w:w="113" w:type="dxa"/>
        <w:tblLayout w:type="fixed"/>
        <w:tblLook w:val="0000" w:firstRow="0" w:lastRow="0" w:firstColumn="0" w:lastColumn="0" w:noHBand="0" w:noVBand="0"/>
      </w:tblPr>
      <w:tblGrid>
        <w:gridCol w:w="992"/>
        <w:gridCol w:w="567"/>
        <w:gridCol w:w="7800"/>
      </w:tblGrid>
      <w:tr w:rsidR="00326686" w:rsidRPr="00C9343F" w14:paraId="745E7EC8" w14:textId="77777777" w:rsidTr="003D2B69">
        <w:tc>
          <w:tcPr>
            <w:tcW w:w="992" w:type="dxa"/>
          </w:tcPr>
          <w:p w14:paraId="2D6DF92C" w14:textId="77777777" w:rsidR="00326686" w:rsidRPr="00C9343F" w:rsidRDefault="00326686" w:rsidP="00F66D98">
            <w:pPr>
              <w:pStyle w:val="BlockText-Plain"/>
              <w:jc w:val="center"/>
            </w:pPr>
            <w:bookmarkStart w:id="473" w:name="bk41035PM3234Specialistofficersincremen"/>
          </w:p>
        </w:tc>
        <w:tc>
          <w:tcPr>
            <w:tcW w:w="8367" w:type="dxa"/>
            <w:gridSpan w:val="2"/>
          </w:tcPr>
          <w:p w14:paraId="6EFCD404" w14:textId="77777777" w:rsidR="00326686" w:rsidRPr="00C9343F" w:rsidRDefault="00326686" w:rsidP="00F66D98">
            <w:pPr>
              <w:pStyle w:val="BlockText-Plain"/>
            </w:pPr>
            <w:r w:rsidRPr="00C9343F">
              <w:t>This Division sets out provisions for advancement through ranks and competency arrangements for the following specialist officers.</w:t>
            </w:r>
          </w:p>
        </w:tc>
      </w:tr>
      <w:tr w:rsidR="00326686" w:rsidRPr="00C9343F" w14:paraId="42B9BB12" w14:textId="77777777" w:rsidTr="003D2B69">
        <w:tblPrEx>
          <w:tblLook w:val="04A0" w:firstRow="1" w:lastRow="0" w:firstColumn="1" w:lastColumn="0" w:noHBand="0" w:noVBand="1"/>
        </w:tblPrEx>
        <w:trPr>
          <w:cantSplit/>
        </w:trPr>
        <w:tc>
          <w:tcPr>
            <w:tcW w:w="992" w:type="dxa"/>
          </w:tcPr>
          <w:p w14:paraId="6832BD0F" w14:textId="77777777" w:rsidR="00326686" w:rsidRPr="00C9343F" w:rsidRDefault="00326686" w:rsidP="00F66D98">
            <w:pPr>
              <w:pStyle w:val="BlockText-Plain"/>
              <w:spacing w:line="276" w:lineRule="auto"/>
              <w:rPr>
                <w:lang w:eastAsia="en-US"/>
              </w:rPr>
            </w:pPr>
          </w:p>
        </w:tc>
        <w:tc>
          <w:tcPr>
            <w:tcW w:w="567" w:type="dxa"/>
            <w:hideMark/>
          </w:tcPr>
          <w:p w14:paraId="7D8BD2C5" w14:textId="77777777" w:rsidR="00326686" w:rsidRPr="00C9343F" w:rsidRDefault="00326686" w:rsidP="00F66D98">
            <w:pPr>
              <w:pStyle w:val="BlockText-Plain"/>
              <w:spacing w:line="276" w:lineRule="auto"/>
              <w:jc w:val="center"/>
              <w:rPr>
                <w:lang w:eastAsia="en-US"/>
              </w:rPr>
            </w:pPr>
            <w:r w:rsidRPr="00C9343F">
              <w:rPr>
                <w:lang w:eastAsia="en-US"/>
              </w:rPr>
              <w:t>a.</w:t>
            </w:r>
          </w:p>
        </w:tc>
        <w:tc>
          <w:tcPr>
            <w:tcW w:w="7800" w:type="dxa"/>
            <w:hideMark/>
          </w:tcPr>
          <w:p w14:paraId="7821C61A" w14:textId="77777777" w:rsidR="00326686" w:rsidRPr="00C9343F" w:rsidRDefault="00326686" w:rsidP="00F66D98">
            <w:pPr>
              <w:pStyle w:val="BlockText-Plain"/>
              <w:spacing w:line="276" w:lineRule="auto"/>
              <w:rPr>
                <w:lang w:eastAsia="en-US"/>
              </w:rPr>
            </w:pPr>
            <w:r w:rsidRPr="00C9343F">
              <w:rPr>
                <w:lang w:eastAsia="en-US"/>
              </w:rPr>
              <w:t>Chaplains.</w:t>
            </w:r>
          </w:p>
        </w:tc>
      </w:tr>
      <w:tr w:rsidR="00326686" w:rsidRPr="00C9343F" w14:paraId="3B2A4265" w14:textId="77777777" w:rsidTr="003D2B69">
        <w:tblPrEx>
          <w:tblLook w:val="04A0" w:firstRow="1" w:lastRow="0" w:firstColumn="1" w:lastColumn="0" w:noHBand="0" w:noVBand="1"/>
        </w:tblPrEx>
        <w:trPr>
          <w:cantSplit/>
        </w:trPr>
        <w:tc>
          <w:tcPr>
            <w:tcW w:w="992" w:type="dxa"/>
          </w:tcPr>
          <w:p w14:paraId="6A4A8378" w14:textId="77777777" w:rsidR="00326686" w:rsidRPr="00C9343F" w:rsidRDefault="00326686" w:rsidP="00F66D98">
            <w:pPr>
              <w:pStyle w:val="BlockText-Plain"/>
              <w:spacing w:line="276" w:lineRule="auto"/>
              <w:rPr>
                <w:lang w:eastAsia="en-US"/>
              </w:rPr>
            </w:pPr>
          </w:p>
        </w:tc>
        <w:tc>
          <w:tcPr>
            <w:tcW w:w="567" w:type="dxa"/>
          </w:tcPr>
          <w:p w14:paraId="47A27BF1" w14:textId="77777777" w:rsidR="00326686" w:rsidRPr="00C9343F" w:rsidRDefault="00326686" w:rsidP="00F66D98">
            <w:pPr>
              <w:pStyle w:val="BlockText-Plain"/>
              <w:spacing w:line="276" w:lineRule="auto"/>
              <w:jc w:val="center"/>
              <w:rPr>
                <w:lang w:eastAsia="en-US"/>
              </w:rPr>
            </w:pPr>
            <w:r w:rsidRPr="00C9343F">
              <w:rPr>
                <w:lang w:eastAsia="en-US"/>
              </w:rPr>
              <w:t>b.</w:t>
            </w:r>
          </w:p>
        </w:tc>
        <w:tc>
          <w:tcPr>
            <w:tcW w:w="7800" w:type="dxa"/>
          </w:tcPr>
          <w:p w14:paraId="3F79B53A" w14:textId="77777777" w:rsidR="00326686" w:rsidRPr="00C9343F" w:rsidRDefault="00326686" w:rsidP="00F66D98">
            <w:pPr>
              <w:pStyle w:val="BlockText-Plain"/>
              <w:spacing w:line="276" w:lineRule="auto"/>
              <w:rPr>
                <w:rFonts w:cs="Arial"/>
                <w:lang w:eastAsia="en-US"/>
              </w:rPr>
            </w:pPr>
            <w:r w:rsidRPr="00C9343F">
              <w:rPr>
                <w:rFonts w:cs="Arial"/>
                <w:lang w:eastAsia="en-US"/>
              </w:rPr>
              <w:t>Dental officers.</w:t>
            </w:r>
          </w:p>
        </w:tc>
      </w:tr>
      <w:tr w:rsidR="00326686" w:rsidRPr="00C9343F" w14:paraId="723C2F21" w14:textId="77777777" w:rsidTr="003D2B69">
        <w:tblPrEx>
          <w:tblLook w:val="04A0" w:firstRow="1" w:lastRow="0" w:firstColumn="1" w:lastColumn="0" w:noHBand="0" w:noVBand="1"/>
        </w:tblPrEx>
        <w:trPr>
          <w:cantSplit/>
        </w:trPr>
        <w:tc>
          <w:tcPr>
            <w:tcW w:w="992" w:type="dxa"/>
          </w:tcPr>
          <w:p w14:paraId="5F41EBBD" w14:textId="77777777" w:rsidR="00326686" w:rsidRPr="00C9343F" w:rsidRDefault="00326686" w:rsidP="00F66D98">
            <w:pPr>
              <w:pStyle w:val="BlockText-Plain"/>
              <w:spacing w:line="276" w:lineRule="auto"/>
              <w:rPr>
                <w:lang w:eastAsia="en-US"/>
              </w:rPr>
            </w:pPr>
          </w:p>
        </w:tc>
        <w:tc>
          <w:tcPr>
            <w:tcW w:w="567" w:type="dxa"/>
          </w:tcPr>
          <w:p w14:paraId="7EFDA3B3" w14:textId="77777777" w:rsidR="00326686" w:rsidRPr="00C9343F" w:rsidRDefault="00326686" w:rsidP="00F66D98">
            <w:pPr>
              <w:pStyle w:val="BlockText-Plain"/>
              <w:spacing w:line="276" w:lineRule="auto"/>
              <w:jc w:val="center"/>
              <w:rPr>
                <w:lang w:eastAsia="en-US"/>
              </w:rPr>
            </w:pPr>
            <w:r w:rsidRPr="00C9343F">
              <w:rPr>
                <w:lang w:eastAsia="en-US"/>
              </w:rPr>
              <w:t>c.</w:t>
            </w:r>
          </w:p>
        </w:tc>
        <w:tc>
          <w:tcPr>
            <w:tcW w:w="7800" w:type="dxa"/>
          </w:tcPr>
          <w:p w14:paraId="637DF566" w14:textId="77777777" w:rsidR="00326686" w:rsidRPr="00C9343F" w:rsidRDefault="00326686" w:rsidP="00F66D98">
            <w:pPr>
              <w:pStyle w:val="BlockText-Plain"/>
              <w:spacing w:line="276" w:lineRule="auto"/>
              <w:rPr>
                <w:rFonts w:cs="Arial"/>
                <w:lang w:eastAsia="en-US"/>
              </w:rPr>
            </w:pPr>
            <w:r w:rsidRPr="00C9343F">
              <w:rPr>
                <w:rFonts w:cs="Arial"/>
                <w:lang w:eastAsia="en-US"/>
              </w:rPr>
              <w:t>Legal officers.</w:t>
            </w:r>
          </w:p>
        </w:tc>
      </w:tr>
      <w:tr w:rsidR="00326686" w:rsidRPr="00C9343F" w14:paraId="5F3CF101" w14:textId="77777777" w:rsidTr="003D2B69">
        <w:tblPrEx>
          <w:tblLook w:val="04A0" w:firstRow="1" w:lastRow="0" w:firstColumn="1" w:lastColumn="0" w:noHBand="0" w:noVBand="1"/>
        </w:tblPrEx>
        <w:trPr>
          <w:cantSplit/>
        </w:trPr>
        <w:tc>
          <w:tcPr>
            <w:tcW w:w="992" w:type="dxa"/>
          </w:tcPr>
          <w:p w14:paraId="09E90678" w14:textId="77777777" w:rsidR="00326686" w:rsidRPr="00C9343F" w:rsidRDefault="00326686" w:rsidP="00F66D98">
            <w:pPr>
              <w:pStyle w:val="BlockText-Plain"/>
              <w:spacing w:line="276" w:lineRule="auto"/>
              <w:rPr>
                <w:lang w:eastAsia="en-US"/>
              </w:rPr>
            </w:pPr>
          </w:p>
        </w:tc>
        <w:tc>
          <w:tcPr>
            <w:tcW w:w="567" w:type="dxa"/>
          </w:tcPr>
          <w:p w14:paraId="4BA9D846" w14:textId="77777777" w:rsidR="00326686" w:rsidRPr="00C9343F" w:rsidRDefault="00326686" w:rsidP="00F66D98">
            <w:pPr>
              <w:pStyle w:val="BlockText-Plain"/>
              <w:spacing w:line="276" w:lineRule="auto"/>
              <w:jc w:val="center"/>
              <w:rPr>
                <w:lang w:eastAsia="en-US"/>
              </w:rPr>
            </w:pPr>
            <w:r w:rsidRPr="00C9343F">
              <w:rPr>
                <w:lang w:eastAsia="en-US"/>
              </w:rPr>
              <w:t>d.</w:t>
            </w:r>
          </w:p>
        </w:tc>
        <w:tc>
          <w:tcPr>
            <w:tcW w:w="7800" w:type="dxa"/>
          </w:tcPr>
          <w:p w14:paraId="4DDAD57D" w14:textId="77777777" w:rsidR="00326686" w:rsidRPr="00C9343F" w:rsidRDefault="00326686" w:rsidP="00F66D98">
            <w:pPr>
              <w:pStyle w:val="BlockText-Plain"/>
              <w:spacing w:line="276" w:lineRule="auto"/>
              <w:rPr>
                <w:rFonts w:cs="Arial"/>
                <w:lang w:eastAsia="en-US"/>
              </w:rPr>
            </w:pPr>
            <w:r w:rsidRPr="00C9343F">
              <w:rPr>
                <w:rFonts w:cs="Arial"/>
                <w:lang w:eastAsia="en-US"/>
              </w:rPr>
              <w:t>Medical officers.</w:t>
            </w:r>
          </w:p>
        </w:tc>
      </w:tr>
      <w:tr w:rsidR="00FA56DC" w:rsidRPr="00C9343F" w14:paraId="00323546" w14:textId="77777777" w:rsidTr="003D2B69">
        <w:tblPrEx>
          <w:tblLook w:val="04A0" w:firstRow="1" w:lastRow="0" w:firstColumn="1" w:lastColumn="0" w:noHBand="0" w:noVBand="1"/>
        </w:tblPrEx>
        <w:trPr>
          <w:cantSplit/>
        </w:trPr>
        <w:tc>
          <w:tcPr>
            <w:tcW w:w="992" w:type="dxa"/>
          </w:tcPr>
          <w:p w14:paraId="3FF68FFA" w14:textId="77777777" w:rsidR="00FA56DC" w:rsidRPr="00C9343F" w:rsidRDefault="00FA56DC" w:rsidP="00F66D98">
            <w:pPr>
              <w:pStyle w:val="BlockText-Plain"/>
              <w:spacing w:line="276" w:lineRule="auto"/>
              <w:rPr>
                <w:lang w:eastAsia="en-US"/>
              </w:rPr>
            </w:pPr>
          </w:p>
        </w:tc>
        <w:tc>
          <w:tcPr>
            <w:tcW w:w="567" w:type="dxa"/>
          </w:tcPr>
          <w:p w14:paraId="70FE30C6" w14:textId="77777777" w:rsidR="00FA56DC" w:rsidRPr="00C9343F" w:rsidRDefault="00FA56DC" w:rsidP="00F66D98">
            <w:pPr>
              <w:pStyle w:val="BlockText-Plain"/>
              <w:spacing w:line="276" w:lineRule="auto"/>
              <w:jc w:val="center"/>
              <w:rPr>
                <w:lang w:eastAsia="en-US"/>
              </w:rPr>
            </w:pPr>
            <w:r w:rsidRPr="00C9343F">
              <w:rPr>
                <w:rFonts w:cs="Arial"/>
                <w:lang w:eastAsia="en-US"/>
              </w:rPr>
              <w:t>e.</w:t>
            </w:r>
          </w:p>
        </w:tc>
        <w:tc>
          <w:tcPr>
            <w:tcW w:w="7800" w:type="dxa"/>
          </w:tcPr>
          <w:p w14:paraId="62A21CA8" w14:textId="77777777" w:rsidR="00FA56DC" w:rsidRPr="00C9343F" w:rsidRDefault="00FA56DC" w:rsidP="00F66D98">
            <w:pPr>
              <w:pStyle w:val="BlockText-Plain"/>
              <w:spacing w:line="276" w:lineRule="auto"/>
              <w:rPr>
                <w:rFonts w:cs="Arial"/>
                <w:lang w:eastAsia="en-US"/>
              </w:rPr>
            </w:pPr>
            <w:r w:rsidRPr="00C9343F">
              <w:rPr>
                <w:rFonts w:cs="Arial"/>
                <w:lang w:eastAsia="en-US"/>
              </w:rPr>
              <w:t>Maritime Spiritual Wellbeing Officer.</w:t>
            </w:r>
          </w:p>
        </w:tc>
      </w:tr>
    </w:tbl>
    <w:p w14:paraId="2132628C" w14:textId="415EBF57" w:rsidR="005F44BC" w:rsidRPr="00C9343F" w:rsidRDefault="005F44BC" w:rsidP="00F66D98">
      <w:pPr>
        <w:pStyle w:val="Heading5"/>
      </w:pPr>
      <w:bookmarkStart w:id="474" w:name="_Toc105053702"/>
      <w:r w:rsidRPr="00C9343F">
        <w:t>3.2.41</w:t>
      </w:r>
      <w:r w:rsidR="00D94006" w:rsidRPr="00C9343F">
        <w:t>    </w:t>
      </w:r>
      <w:bookmarkStart w:id="475" w:name="_Hlk45116359"/>
      <w:r w:rsidR="00FA56DC" w:rsidRPr="00C9343F">
        <w:t>Chaplain, Maritime Spiritual Wellbeing Officers and dental officers – increment advancement, promotion and advancement</w:t>
      </w:r>
      <w:bookmarkEnd w:id="475"/>
      <w:bookmarkEnd w:id="474"/>
    </w:p>
    <w:tbl>
      <w:tblPr>
        <w:tblW w:w="9360" w:type="dxa"/>
        <w:tblInd w:w="113" w:type="dxa"/>
        <w:tblLayout w:type="fixed"/>
        <w:tblLook w:val="0000" w:firstRow="0" w:lastRow="0" w:firstColumn="0" w:lastColumn="0" w:noHBand="0" w:noVBand="0"/>
      </w:tblPr>
      <w:tblGrid>
        <w:gridCol w:w="992"/>
        <w:gridCol w:w="567"/>
        <w:gridCol w:w="7801"/>
      </w:tblGrid>
      <w:tr w:rsidR="005F44BC" w:rsidRPr="00C9343F" w14:paraId="056A62BD" w14:textId="77777777" w:rsidTr="003D5C1C">
        <w:tc>
          <w:tcPr>
            <w:tcW w:w="992" w:type="dxa"/>
          </w:tcPr>
          <w:bookmarkEnd w:id="473"/>
          <w:p w14:paraId="24FB5D78" w14:textId="77777777" w:rsidR="005F44BC" w:rsidRPr="00C9343F" w:rsidRDefault="005F44BC" w:rsidP="00F66D98">
            <w:pPr>
              <w:pStyle w:val="BlockText-Plain"/>
              <w:jc w:val="center"/>
            </w:pPr>
            <w:r w:rsidRPr="00C9343F">
              <w:t>1.</w:t>
            </w:r>
          </w:p>
        </w:tc>
        <w:tc>
          <w:tcPr>
            <w:tcW w:w="8368" w:type="dxa"/>
            <w:gridSpan w:val="2"/>
          </w:tcPr>
          <w:p w14:paraId="5A3D86D4" w14:textId="4F459391" w:rsidR="005F44BC" w:rsidRPr="00C9343F" w:rsidRDefault="003D5C1C" w:rsidP="00F66D98">
            <w:pPr>
              <w:pStyle w:val="BlockText-Plain"/>
            </w:pPr>
            <w:r w:rsidRPr="00C9343F">
              <w:rPr>
                <w:iCs/>
              </w:rPr>
              <w:t>A</w:t>
            </w:r>
            <w:r w:rsidR="00BD5E5A" w:rsidRPr="00C9343F">
              <w:rPr>
                <w:iCs/>
              </w:rPr>
              <w:t xml:space="preserve"> Chaplain</w:t>
            </w:r>
            <w:r w:rsidR="00591960" w:rsidRPr="00C9343F">
              <w:rPr>
                <w:iCs/>
              </w:rPr>
              <w:t xml:space="preserve"> or Maritime Spiritual Wellbeing Officer is eligible for incremental advancement in the specialist officer salary structure 12 months after the later of the following dates.</w:t>
            </w:r>
          </w:p>
        </w:tc>
      </w:tr>
      <w:tr w:rsidR="005F44BC" w:rsidRPr="00C9343F" w14:paraId="715ED23C" w14:textId="77777777" w:rsidTr="003D5C1C">
        <w:trPr>
          <w:cantSplit/>
        </w:trPr>
        <w:tc>
          <w:tcPr>
            <w:tcW w:w="992" w:type="dxa"/>
          </w:tcPr>
          <w:p w14:paraId="5D5A9977" w14:textId="77777777" w:rsidR="005F44BC" w:rsidRPr="00C9343F" w:rsidRDefault="005F44BC" w:rsidP="00F66D98">
            <w:pPr>
              <w:pStyle w:val="BlockText-Plain"/>
            </w:pPr>
          </w:p>
        </w:tc>
        <w:tc>
          <w:tcPr>
            <w:tcW w:w="567" w:type="dxa"/>
          </w:tcPr>
          <w:p w14:paraId="77BE5BE5" w14:textId="77777777" w:rsidR="005F44BC" w:rsidRPr="00C9343F" w:rsidRDefault="005F44BC" w:rsidP="00F66D98">
            <w:pPr>
              <w:pStyle w:val="BlockText-Plain"/>
              <w:jc w:val="center"/>
            </w:pPr>
            <w:r w:rsidRPr="00C9343F">
              <w:t>a.</w:t>
            </w:r>
          </w:p>
        </w:tc>
        <w:tc>
          <w:tcPr>
            <w:tcW w:w="7801" w:type="dxa"/>
          </w:tcPr>
          <w:p w14:paraId="5CD84F15" w14:textId="77777777" w:rsidR="005F44BC" w:rsidRPr="00C9343F" w:rsidRDefault="00591960" w:rsidP="00F66D98">
            <w:pPr>
              <w:pStyle w:val="BlockText-Plain"/>
            </w:pPr>
            <w:r w:rsidRPr="00C9343F">
              <w:t>The day the member is posted to a position requiring a higher competency level than the member previously held.</w:t>
            </w:r>
          </w:p>
        </w:tc>
      </w:tr>
      <w:tr w:rsidR="005F44BC" w:rsidRPr="00C9343F" w14:paraId="6A63D2E6" w14:textId="77777777" w:rsidTr="003D5C1C">
        <w:trPr>
          <w:cantSplit/>
        </w:trPr>
        <w:tc>
          <w:tcPr>
            <w:tcW w:w="992" w:type="dxa"/>
          </w:tcPr>
          <w:p w14:paraId="5DB4406E" w14:textId="77777777" w:rsidR="005F44BC" w:rsidRPr="00C9343F" w:rsidRDefault="005F44BC" w:rsidP="00F66D98">
            <w:pPr>
              <w:pStyle w:val="BlockText-Plain"/>
            </w:pPr>
          </w:p>
        </w:tc>
        <w:tc>
          <w:tcPr>
            <w:tcW w:w="567" w:type="dxa"/>
          </w:tcPr>
          <w:p w14:paraId="6718A6E2" w14:textId="77777777" w:rsidR="005F44BC" w:rsidRPr="00C9343F" w:rsidRDefault="005F44BC" w:rsidP="00F66D98">
            <w:pPr>
              <w:pStyle w:val="BlockText-Plain"/>
              <w:jc w:val="center"/>
            </w:pPr>
            <w:r w:rsidRPr="00C9343F">
              <w:t>b.</w:t>
            </w:r>
          </w:p>
        </w:tc>
        <w:tc>
          <w:tcPr>
            <w:tcW w:w="7801" w:type="dxa"/>
          </w:tcPr>
          <w:p w14:paraId="37C70DA9" w14:textId="77777777" w:rsidR="005F44BC" w:rsidRPr="00C9343F" w:rsidRDefault="00591960" w:rsidP="00F66D98">
            <w:pPr>
              <w:pStyle w:val="BlockText-Plain"/>
            </w:pPr>
            <w:r w:rsidRPr="00C9343F">
              <w:t>The day the member advances to a higher division or class.</w:t>
            </w:r>
          </w:p>
        </w:tc>
      </w:tr>
      <w:tr w:rsidR="00591960" w:rsidRPr="00C9343F" w14:paraId="04EC5CA3" w14:textId="77777777" w:rsidTr="003D5C1C">
        <w:trPr>
          <w:cantSplit/>
        </w:trPr>
        <w:tc>
          <w:tcPr>
            <w:tcW w:w="992" w:type="dxa"/>
          </w:tcPr>
          <w:p w14:paraId="129EBED6" w14:textId="77777777" w:rsidR="00591960" w:rsidRPr="00C9343F" w:rsidRDefault="00591960" w:rsidP="00F66D98">
            <w:pPr>
              <w:pStyle w:val="BlockText-Plain"/>
            </w:pPr>
          </w:p>
        </w:tc>
        <w:tc>
          <w:tcPr>
            <w:tcW w:w="567" w:type="dxa"/>
          </w:tcPr>
          <w:p w14:paraId="6F0BE631" w14:textId="77777777" w:rsidR="00591960" w:rsidRPr="00C9343F" w:rsidRDefault="00591960" w:rsidP="00F66D98">
            <w:pPr>
              <w:pStyle w:val="BlockText-Plain"/>
              <w:jc w:val="center"/>
            </w:pPr>
            <w:r w:rsidRPr="00C9343F">
              <w:t>c.</w:t>
            </w:r>
          </w:p>
        </w:tc>
        <w:tc>
          <w:tcPr>
            <w:tcW w:w="7801" w:type="dxa"/>
          </w:tcPr>
          <w:p w14:paraId="368AC676" w14:textId="77777777" w:rsidR="00591960" w:rsidRPr="00C9343F" w:rsidRDefault="00591960" w:rsidP="00F66D98">
            <w:pPr>
              <w:pStyle w:val="BlockText-Plain"/>
            </w:pPr>
            <w:r w:rsidRPr="00C9343F">
              <w:t>The day of the member's last increment advancement.</w:t>
            </w:r>
          </w:p>
        </w:tc>
      </w:tr>
      <w:tr w:rsidR="00BD5E5A" w:rsidRPr="00C9343F" w14:paraId="442037FF" w14:textId="77777777" w:rsidTr="003D5C1C">
        <w:tc>
          <w:tcPr>
            <w:tcW w:w="992" w:type="dxa"/>
          </w:tcPr>
          <w:p w14:paraId="2C38EFEF" w14:textId="77777777" w:rsidR="00BD5E5A" w:rsidRPr="00C9343F" w:rsidRDefault="00BD5E5A" w:rsidP="00F66D98">
            <w:pPr>
              <w:pStyle w:val="BlockText-Plain"/>
              <w:jc w:val="center"/>
            </w:pPr>
            <w:r w:rsidRPr="00C9343F">
              <w:t>2.</w:t>
            </w:r>
          </w:p>
        </w:tc>
        <w:tc>
          <w:tcPr>
            <w:tcW w:w="8368" w:type="dxa"/>
            <w:gridSpan w:val="2"/>
          </w:tcPr>
          <w:p w14:paraId="1F59690F" w14:textId="77777777" w:rsidR="00BD5E5A" w:rsidRPr="00C9343F" w:rsidRDefault="00BD5E5A" w:rsidP="00F66D98">
            <w:pPr>
              <w:pStyle w:val="BlockText-Plain"/>
            </w:pPr>
            <w:r w:rsidRPr="00C9343F">
              <w:t>A dental officer is eligible for incremental advancement in the specialist officer salary structure 12 months after the later of the following dates.</w:t>
            </w:r>
          </w:p>
        </w:tc>
      </w:tr>
      <w:tr w:rsidR="00BD5E5A" w:rsidRPr="00C9343F" w14:paraId="6930441D" w14:textId="77777777" w:rsidTr="003D5C1C">
        <w:trPr>
          <w:cantSplit/>
        </w:trPr>
        <w:tc>
          <w:tcPr>
            <w:tcW w:w="992" w:type="dxa"/>
          </w:tcPr>
          <w:p w14:paraId="2310F96C" w14:textId="77777777" w:rsidR="00BD5E5A" w:rsidRPr="00C9343F" w:rsidRDefault="00BD5E5A" w:rsidP="00F66D98">
            <w:pPr>
              <w:pStyle w:val="BlockText-Plain"/>
            </w:pPr>
          </w:p>
        </w:tc>
        <w:tc>
          <w:tcPr>
            <w:tcW w:w="567" w:type="dxa"/>
          </w:tcPr>
          <w:p w14:paraId="5D3D5829" w14:textId="77777777" w:rsidR="00BD5E5A" w:rsidRPr="00C9343F" w:rsidRDefault="00BD5E5A" w:rsidP="00F66D98">
            <w:pPr>
              <w:pStyle w:val="BlockText-Plain"/>
              <w:jc w:val="center"/>
            </w:pPr>
            <w:r w:rsidRPr="00C9343F">
              <w:t>a.</w:t>
            </w:r>
          </w:p>
        </w:tc>
        <w:tc>
          <w:tcPr>
            <w:tcW w:w="7801" w:type="dxa"/>
          </w:tcPr>
          <w:p w14:paraId="156BF204" w14:textId="77777777" w:rsidR="00BD5E5A" w:rsidRPr="00C9343F" w:rsidRDefault="00BD5E5A" w:rsidP="00F66D98">
            <w:pPr>
              <w:pStyle w:val="BlockText-Plain"/>
            </w:pPr>
            <w:r w:rsidRPr="00C9343F">
              <w:t>The day the member is assessed as holding a higher dental level than the member previously held.</w:t>
            </w:r>
          </w:p>
        </w:tc>
      </w:tr>
      <w:tr w:rsidR="00BD5E5A" w:rsidRPr="00C9343F" w14:paraId="1A21D9E5" w14:textId="77777777" w:rsidTr="003D5C1C">
        <w:trPr>
          <w:cantSplit/>
        </w:trPr>
        <w:tc>
          <w:tcPr>
            <w:tcW w:w="992" w:type="dxa"/>
          </w:tcPr>
          <w:p w14:paraId="7BB2035E" w14:textId="77777777" w:rsidR="00BD5E5A" w:rsidRPr="00C9343F" w:rsidRDefault="00BD5E5A" w:rsidP="00F66D98">
            <w:pPr>
              <w:pStyle w:val="BlockText-Plain"/>
            </w:pPr>
          </w:p>
        </w:tc>
        <w:tc>
          <w:tcPr>
            <w:tcW w:w="567" w:type="dxa"/>
          </w:tcPr>
          <w:p w14:paraId="7738307F" w14:textId="77777777" w:rsidR="00BD5E5A" w:rsidRPr="00C9343F" w:rsidRDefault="00BD5E5A" w:rsidP="00F66D98">
            <w:pPr>
              <w:pStyle w:val="BlockText-Plain"/>
              <w:jc w:val="center"/>
            </w:pPr>
            <w:r w:rsidRPr="00C9343F">
              <w:t>b.</w:t>
            </w:r>
          </w:p>
        </w:tc>
        <w:tc>
          <w:tcPr>
            <w:tcW w:w="7801" w:type="dxa"/>
          </w:tcPr>
          <w:p w14:paraId="41A96203" w14:textId="77777777" w:rsidR="00BD5E5A" w:rsidRPr="00C9343F" w:rsidRDefault="00BD5E5A" w:rsidP="00F66D98">
            <w:pPr>
              <w:pStyle w:val="BlockText-Plain"/>
            </w:pPr>
            <w:r w:rsidRPr="00C9343F">
              <w:t>The day the member is promoted to a higher rank.</w:t>
            </w:r>
          </w:p>
        </w:tc>
      </w:tr>
      <w:tr w:rsidR="00BD5E5A" w:rsidRPr="00C9343F" w14:paraId="3D5936CC" w14:textId="77777777" w:rsidTr="003D5C1C">
        <w:trPr>
          <w:cantSplit/>
        </w:trPr>
        <w:tc>
          <w:tcPr>
            <w:tcW w:w="992" w:type="dxa"/>
          </w:tcPr>
          <w:p w14:paraId="1FB0E0A3" w14:textId="77777777" w:rsidR="00BD5E5A" w:rsidRPr="00C9343F" w:rsidRDefault="00BD5E5A" w:rsidP="00F66D98">
            <w:pPr>
              <w:pStyle w:val="BlockText-Plain"/>
            </w:pPr>
          </w:p>
        </w:tc>
        <w:tc>
          <w:tcPr>
            <w:tcW w:w="567" w:type="dxa"/>
          </w:tcPr>
          <w:p w14:paraId="5FA69AC4" w14:textId="77777777" w:rsidR="00BD5E5A" w:rsidRPr="00C9343F" w:rsidRDefault="00BD5E5A" w:rsidP="00F66D98">
            <w:pPr>
              <w:pStyle w:val="BlockText-Plain"/>
              <w:jc w:val="center"/>
            </w:pPr>
            <w:r w:rsidRPr="00C9343F">
              <w:t>c.</w:t>
            </w:r>
          </w:p>
        </w:tc>
        <w:tc>
          <w:tcPr>
            <w:tcW w:w="7801" w:type="dxa"/>
          </w:tcPr>
          <w:p w14:paraId="158C2AF8" w14:textId="77777777" w:rsidR="00BD5E5A" w:rsidRPr="00C9343F" w:rsidRDefault="00BD5E5A" w:rsidP="00F66D98">
            <w:pPr>
              <w:pStyle w:val="BlockText-Plain"/>
            </w:pPr>
            <w:r w:rsidRPr="00C9343F">
              <w:t>The day of the member's last increment advancement.</w:t>
            </w:r>
          </w:p>
        </w:tc>
      </w:tr>
      <w:tr w:rsidR="00BD5E5A" w:rsidRPr="00C9343F" w14:paraId="4E3D3D38" w14:textId="77777777" w:rsidTr="003D5C1C">
        <w:tc>
          <w:tcPr>
            <w:tcW w:w="992" w:type="dxa"/>
          </w:tcPr>
          <w:p w14:paraId="34097B7F" w14:textId="77777777" w:rsidR="00BD5E5A" w:rsidRPr="00C9343F" w:rsidRDefault="00BD5E5A" w:rsidP="00F66D98">
            <w:pPr>
              <w:pStyle w:val="BlockText-Plain"/>
              <w:jc w:val="center"/>
            </w:pPr>
            <w:r w:rsidRPr="00C9343F">
              <w:t>3.</w:t>
            </w:r>
          </w:p>
        </w:tc>
        <w:tc>
          <w:tcPr>
            <w:tcW w:w="8368" w:type="dxa"/>
            <w:gridSpan w:val="2"/>
          </w:tcPr>
          <w:p w14:paraId="6AD37BB2" w14:textId="77777777" w:rsidR="00BD5E5A" w:rsidRPr="00C9343F" w:rsidRDefault="00BD5E5A" w:rsidP="00F66D98">
            <w:pPr>
              <w:pStyle w:val="BlockText-Plain"/>
            </w:pPr>
            <w:r w:rsidRPr="00C9343F">
              <w:t>A dental officer in the specialist officer salary structure is eligible for increment advancement 12 months after the day they become eligible for payment under that structure.</w:t>
            </w:r>
          </w:p>
        </w:tc>
      </w:tr>
      <w:tr w:rsidR="00BD5E5A" w:rsidRPr="00C9343F" w14:paraId="04C027CA" w14:textId="77777777" w:rsidTr="003D5C1C">
        <w:tc>
          <w:tcPr>
            <w:tcW w:w="992" w:type="dxa"/>
          </w:tcPr>
          <w:p w14:paraId="1E627A5E" w14:textId="77777777" w:rsidR="00BD5E5A" w:rsidRPr="00C9343F" w:rsidRDefault="00BD5E5A" w:rsidP="00F66D98">
            <w:pPr>
              <w:pStyle w:val="BlockText-Plain"/>
              <w:jc w:val="center"/>
            </w:pPr>
            <w:r w:rsidRPr="00C9343F">
              <w:t>4.</w:t>
            </w:r>
          </w:p>
        </w:tc>
        <w:tc>
          <w:tcPr>
            <w:tcW w:w="8368" w:type="dxa"/>
            <w:gridSpan w:val="2"/>
          </w:tcPr>
          <w:p w14:paraId="42FD26A4" w14:textId="77777777" w:rsidR="00BD5E5A" w:rsidRPr="00C9343F" w:rsidRDefault="00BD5E5A" w:rsidP="00F66D98">
            <w:pPr>
              <w:pStyle w:val="BlockText-Plain"/>
            </w:pPr>
            <w:r w:rsidRPr="00C9343F">
              <w:t>On advancement to a higher division or class a</w:t>
            </w:r>
            <w:r w:rsidRPr="00C9343F">
              <w:rPr>
                <w:color w:val="000000"/>
              </w:rPr>
              <w:t xml:space="preserve"> Chaplain or Maritime Spiritual Wellbeing Officer is paid the lowest increment for the competency level for their new division or class.</w:t>
            </w:r>
          </w:p>
        </w:tc>
      </w:tr>
      <w:tr w:rsidR="00BD5E5A" w:rsidRPr="00C9343F" w14:paraId="3970E791" w14:textId="77777777" w:rsidTr="003D5C1C">
        <w:tc>
          <w:tcPr>
            <w:tcW w:w="992" w:type="dxa"/>
          </w:tcPr>
          <w:p w14:paraId="5AC32B6D" w14:textId="77777777" w:rsidR="00BD5E5A" w:rsidRPr="00C9343F" w:rsidRDefault="00BD5E5A" w:rsidP="00F66D98">
            <w:pPr>
              <w:pStyle w:val="BlockText-Plain"/>
              <w:jc w:val="center"/>
            </w:pPr>
            <w:r w:rsidRPr="00C9343F">
              <w:t>4A.</w:t>
            </w:r>
          </w:p>
        </w:tc>
        <w:tc>
          <w:tcPr>
            <w:tcW w:w="8368" w:type="dxa"/>
            <w:gridSpan w:val="2"/>
          </w:tcPr>
          <w:p w14:paraId="0C65D389" w14:textId="77777777" w:rsidR="00BD5E5A" w:rsidRPr="00C9343F" w:rsidRDefault="00BD5E5A" w:rsidP="00F66D98">
            <w:pPr>
              <w:pStyle w:val="BlockText-Plain"/>
            </w:pPr>
            <w:r w:rsidRPr="00C9343F">
              <w:rPr>
                <w:bCs/>
              </w:rPr>
              <w:t xml:space="preserve">On promotion a </w:t>
            </w:r>
            <w:r w:rsidRPr="00C9343F">
              <w:rPr>
                <w:color w:val="000000"/>
              </w:rPr>
              <w:t>dental officer is paid the lowest increment for the dental level for their new rank.</w:t>
            </w:r>
          </w:p>
        </w:tc>
      </w:tr>
      <w:tr w:rsidR="00BD5E5A" w:rsidRPr="00C9343F" w14:paraId="7E3A1D39" w14:textId="77777777" w:rsidTr="003D5C1C">
        <w:tc>
          <w:tcPr>
            <w:tcW w:w="992" w:type="dxa"/>
          </w:tcPr>
          <w:p w14:paraId="3B707361" w14:textId="77777777" w:rsidR="00BD5E5A" w:rsidRPr="00C9343F" w:rsidRDefault="00BD5E5A" w:rsidP="00F66D98">
            <w:pPr>
              <w:pStyle w:val="BlockText-Plain"/>
              <w:jc w:val="center"/>
            </w:pPr>
            <w:r w:rsidRPr="00C9343F">
              <w:t>4B.</w:t>
            </w:r>
          </w:p>
        </w:tc>
        <w:tc>
          <w:tcPr>
            <w:tcW w:w="8368" w:type="dxa"/>
            <w:gridSpan w:val="2"/>
          </w:tcPr>
          <w:p w14:paraId="64071193" w14:textId="77777777" w:rsidR="00BD5E5A" w:rsidRPr="00C9343F" w:rsidRDefault="00BD5E5A" w:rsidP="00F66D98">
            <w:pPr>
              <w:pStyle w:val="BlockText-Plain"/>
            </w:pPr>
            <w:r w:rsidRPr="00C9343F">
              <w:rPr>
                <w:bCs/>
              </w:rPr>
              <w:t>Despite subsections 4 and 4A,</w:t>
            </w:r>
            <w:r w:rsidRPr="00C9343F">
              <w:t xml:space="preserve"> a member will be paid a higher increment of salary set by the CDF if the CDF believes it is reasonable, based on the member's relevant experience, qualifications and skills.</w:t>
            </w:r>
          </w:p>
        </w:tc>
      </w:tr>
      <w:tr w:rsidR="003A3C27" w:rsidRPr="00C9343F" w14:paraId="612E5B1B" w14:textId="77777777" w:rsidTr="003D5C1C">
        <w:tc>
          <w:tcPr>
            <w:tcW w:w="992" w:type="dxa"/>
          </w:tcPr>
          <w:p w14:paraId="16801855" w14:textId="77777777" w:rsidR="003A3C27" w:rsidRPr="00C9343F" w:rsidRDefault="003A3C27" w:rsidP="00F66D98">
            <w:pPr>
              <w:pStyle w:val="BlockText-Plain"/>
              <w:jc w:val="center"/>
            </w:pPr>
            <w:r w:rsidRPr="00C9343F">
              <w:t>5.</w:t>
            </w:r>
          </w:p>
        </w:tc>
        <w:tc>
          <w:tcPr>
            <w:tcW w:w="8368" w:type="dxa"/>
            <w:gridSpan w:val="2"/>
          </w:tcPr>
          <w:p w14:paraId="4B323BD6" w14:textId="77777777" w:rsidR="003A3C27" w:rsidRPr="00C9343F" w:rsidRDefault="003A3C27" w:rsidP="00F66D98">
            <w:pPr>
              <w:pStyle w:val="BlockText-Plain"/>
              <w:rPr>
                <w:bCs/>
              </w:rPr>
            </w:pPr>
            <w:r w:rsidRPr="00C9343F">
              <w:t xml:space="preserve">On advancement to a higher competency or dental level under section </w:t>
            </w:r>
            <w:r w:rsidRPr="00C9343F">
              <w:rPr>
                <w:iCs/>
              </w:rPr>
              <w:t>3.2.44 or 3.2.45</w:t>
            </w:r>
            <w:r w:rsidRPr="00C9343F">
              <w:t>, the member's increment level is the lowest increment for that competency or dental level.</w:t>
            </w:r>
          </w:p>
        </w:tc>
      </w:tr>
    </w:tbl>
    <w:p w14:paraId="559F5117" w14:textId="42010142" w:rsidR="005F44BC" w:rsidRPr="00C9343F" w:rsidRDefault="005F44BC" w:rsidP="00F66D98">
      <w:pPr>
        <w:pStyle w:val="Heading5"/>
      </w:pPr>
      <w:bookmarkStart w:id="476" w:name="_Toc105053703"/>
      <w:r w:rsidRPr="00C9343F">
        <w:lastRenderedPageBreak/>
        <w:t>3.2.42</w:t>
      </w:r>
      <w:r w:rsidR="00D94006" w:rsidRPr="00C9343F">
        <w:t>    </w:t>
      </w:r>
      <w:r w:rsidRPr="00C9343F">
        <w:t>Medical officers – increment advancement and promotion</w:t>
      </w:r>
      <w:bookmarkEnd w:id="476"/>
    </w:p>
    <w:tbl>
      <w:tblPr>
        <w:tblW w:w="9364" w:type="dxa"/>
        <w:tblInd w:w="113" w:type="dxa"/>
        <w:tblLayout w:type="fixed"/>
        <w:tblLook w:val="04A0" w:firstRow="1" w:lastRow="0" w:firstColumn="1" w:lastColumn="0" w:noHBand="0" w:noVBand="1"/>
      </w:tblPr>
      <w:tblGrid>
        <w:gridCol w:w="992"/>
        <w:gridCol w:w="567"/>
        <w:gridCol w:w="567"/>
        <w:gridCol w:w="7238"/>
      </w:tblGrid>
      <w:tr w:rsidR="001C036C" w:rsidRPr="00C9343F" w14:paraId="000ECCAF" w14:textId="77777777" w:rsidTr="00762D4B">
        <w:tc>
          <w:tcPr>
            <w:tcW w:w="992" w:type="dxa"/>
            <w:hideMark/>
          </w:tcPr>
          <w:p w14:paraId="5A1A719F" w14:textId="77777777" w:rsidR="001C036C" w:rsidRPr="00C9343F" w:rsidRDefault="001C036C" w:rsidP="00F66D98">
            <w:pPr>
              <w:pStyle w:val="BlockText-Plain"/>
              <w:jc w:val="center"/>
              <w:rPr>
                <w:rFonts w:cs="Arial"/>
              </w:rPr>
            </w:pPr>
            <w:bookmarkStart w:id="477" w:name="bk182134B34Competencylevelschaplain"/>
            <w:bookmarkStart w:id="478" w:name="bk182206B34Competencylevelschaplain"/>
            <w:bookmarkStart w:id="479" w:name="bk110525B34Competencylevelschaplain"/>
            <w:bookmarkStart w:id="480" w:name="bk110556B34Competencylevelschaplain"/>
            <w:r w:rsidRPr="00C9343F">
              <w:rPr>
                <w:rFonts w:cs="Arial"/>
              </w:rPr>
              <w:t>3.</w:t>
            </w:r>
          </w:p>
        </w:tc>
        <w:tc>
          <w:tcPr>
            <w:tcW w:w="8372" w:type="dxa"/>
            <w:gridSpan w:val="3"/>
            <w:hideMark/>
          </w:tcPr>
          <w:p w14:paraId="4385D37A" w14:textId="77777777" w:rsidR="001C036C" w:rsidRPr="00C9343F" w:rsidRDefault="001C036C" w:rsidP="00F66D98">
            <w:pPr>
              <w:pStyle w:val="BlockText-Plain"/>
              <w:rPr>
                <w:rFonts w:cs="Arial"/>
              </w:rPr>
            </w:pPr>
            <w:r w:rsidRPr="00C9343F">
              <w:rPr>
                <w:rFonts w:cs="Arial"/>
              </w:rPr>
              <w:t>A medical officer is eligible for an increment advancement in the specialist officer salary structure (up to the maximum increment level in the relevant Part of Schedule B.8 in DFRT Determination No. 2 of 2017 that applies to the medical officer) on their increment anniversary.</w:t>
            </w:r>
          </w:p>
        </w:tc>
      </w:tr>
      <w:tr w:rsidR="001C036C" w:rsidRPr="00C9343F" w14:paraId="376CF892" w14:textId="77777777" w:rsidTr="00762D4B">
        <w:tc>
          <w:tcPr>
            <w:tcW w:w="992" w:type="dxa"/>
            <w:hideMark/>
          </w:tcPr>
          <w:p w14:paraId="52CF157D" w14:textId="77777777" w:rsidR="001C036C" w:rsidRPr="00C9343F" w:rsidRDefault="001C036C" w:rsidP="00F66D98">
            <w:pPr>
              <w:pStyle w:val="BlockText-Plain"/>
              <w:jc w:val="center"/>
              <w:rPr>
                <w:rFonts w:cs="Arial"/>
              </w:rPr>
            </w:pPr>
            <w:r w:rsidRPr="00C9343F">
              <w:rPr>
                <w:rFonts w:cs="Arial"/>
              </w:rPr>
              <w:t>3A.</w:t>
            </w:r>
          </w:p>
        </w:tc>
        <w:tc>
          <w:tcPr>
            <w:tcW w:w="8372" w:type="dxa"/>
            <w:gridSpan w:val="3"/>
            <w:hideMark/>
          </w:tcPr>
          <w:p w14:paraId="6D7833ED" w14:textId="77777777" w:rsidR="001C036C" w:rsidRPr="00C9343F" w:rsidRDefault="001C036C" w:rsidP="00F66D98">
            <w:pPr>
              <w:pStyle w:val="BlockText-Plain"/>
              <w:rPr>
                <w:rFonts w:cs="Arial"/>
              </w:rPr>
            </w:pPr>
            <w:r w:rsidRPr="00C9343F">
              <w:rPr>
                <w:rFonts w:cs="Arial"/>
              </w:rPr>
              <w:t>For the purpose of this section, increment anniversary means the day 12 months after the later of the following days.</w:t>
            </w:r>
          </w:p>
        </w:tc>
      </w:tr>
      <w:tr w:rsidR="001C036C" w:rsidRPr="00C9343F" w14:paraId="12408185" w14:textId="77777777" w:rsidTr="00762D4B">
        <w:trPr>
          <w:cantSplit/>
        </w:trPr>
        <w:tc>
          <w:tcPr>
            <w:tcW w:w="992" w:type="dxa"/>
          </w:tcPr>
          <w:p w14:paraId="6A88BB0C" w14:textId="77777777" w:rsidR="001C036C" w:rsidRPr="00C9343F" w:rsidRDefault="001C036C" w:rsidP="00F66D98">
            <w:pPr>
              <w:pStyle w:val="BlockText-Plain"/>
              <w:rPr>
                <w:rFonts w:cs="Arial"/>
              </w:rPr>
            </w:pPr>
          </w:p>
        </w:tc>
        <w:tc>
          <w:tcPr>
            <w:tcW w:w="567" w:type="dxa"/>
            <w:hideMark/>
          </w:tcPr>
          <w:p w14:paraId="1A7CBC8A" w14:textId="77777777" w:rsidR="001C036C" w:rsidRPr="00C9343F" w:rsidRDefault="001C036C" w:rsidP="00F66D98">
            <w:pPr>
              <w:pStyle w:val="BlockText-Plain"/>
              <w:jc w:val="center"/>
              <w:rPr>
                <w:rFonts w:cs="Arial"/>
              </w:rPr>
            </w:pPr>
            <w:r w:rsidRPr="00C9343F">
              <w:rPr>
                <w:rFonts w:cs="Arial"/>
              </w:rPr>
              <w:t>a.</w:t>
            </w:r>
          </w:p>
        </w:tc>
        <w:tc>
          <w:tcPr>
            <w:tcW w:w="7805" w:type="dxa"/>
            <w:gridSpan w:val="2"/>
            <w:hideMark/>
          </w:tcPr>
          <w:p w14:paraId="3E59B34E" w14:textId="2D90AEF4" w:rsidR="001C036C" w:rsidRPr="00C9343F" w:rsidRDefault="00B6720A" w:rsidP="00F66D98">
            <w:pPr>
              <w:pStyle w:val="BlockText-Plain"/>
              <w:rPr>
                <w:rFonts w:cs="Arial"/>
              </w:rPr>
            </w:pPr>
            <w:r w:rsidRPr="00C9343F">
              <w:rPr>
                <w:rFonts w:cs="Arial"/>
              </w:rPr>
              <w:t>The day that the member begins to be paid salary under one of the following.</w:t>
            </w:r>
          </w:p>
        </w:tc>
      </w:tr>
      <w:tr w:rsidR="00B6720A" w:rsidRPr="00C9343F" w14:paraId="1EC3A633" w14:textId="77777777" w:rsidTr="00B6720A">
        <w:trPr>
          <w:cantSplit/>
        </w:trPr>
        <w:tc>
          <w:tcPr>
            <w:tcW w:w="992" w:type="dxa"/>
          </w:tcPr>
          <w:p w14:paraId="4C9024F1" w14:textId="77777777" w:rsidR="00B6720A" w:rsidRPr="00C9343F" w:rsidRDefault="00B6720A" w:rsidP="00F66D98">
            <w:pPr>
              <w:pStyle w:val="BlockText-Plain"/>
              <w:rPr>
                <w:rFonts w:cs="Arial"/>
              </w:rPr>
            </w:pPr>
          </w:p>
        </w:tc>
        <w:tc>
          <w:tcPr>
            <w:tcW w:w="567" w:type="dxa"/>
          </w:tcPr>
          <w:p w14:paraId="50E6034C" w14:textId="77777777" w:rsidR="00B6720A" w:rsidRPr="00C9343F" w:rsidRDefault="00B6720A" w:rsidP="00F66D98">
            <w:pPr>
              <w:pStyle w:val="BlockText-Plain"/>
              <w:jc w:val="center"/>
              <w:rPr>
                <w:rFonts w:cs="Arial"/>
              </w:rPr>
            </w:pPr>
          </w:p>
        </w:tc>
        <w:tc>
          <w:tcPr>
            <w:tcW w:w="567" w:type="dxa"/>
          </w:tcPr>
          <w:p w14:paraId="2849D307" w14:textId="4BE64144" w:rsidR="00B6720A" w:rsidRPr="00C9343F" w:rsidRDefault="00B6720A" w:rsidP="00F66D98">
            <w:pPr>
              <w:pStyle w:val="BlockText-Plain"/>
              <w:rPr>
                <w:rFonts w:cs="Arial"/>
              </w:rPr>
            </w:pPr>
            <w:r w:rsidRPr="00C9343F">
              <w:rPr>
                <w:rFonts w:cs="Arial"/>
              </w:rPr>
              <w:t>i.</w:t>
            </w:r>
          </w:p>
        </w:tc>
        <w:tc>
          <w:tcPr>
            <w:tcW w:w="7238" w:type="dxa"/>
          </w:tcPr>
          <w:p w14:paraId="23195AF8" w14:textId="297F7881" w:rsidR="00B6720A" w:rsidRPr="00C9343F" w:rsidRDefault="00B6720A" w:rsidP="00F66D98">
            <w:pPr>
              <w:pStyle w:val="BlockText-Plain"/>
              <w:rPr>
                <w:rFonts w:cs="Arial"/>
              </w:rPr>
            </w:pPr>
            <w:r w:rsidRPr="00C9343F">
              <w:rPr>
                <w:rFonts w:cs="Arial"/>
              </w:rPr>
              <w:t>Schedule B.8, Specialist officer salary rates – medical officer.</w:t>
            </w:r>
          </w:p>
        </w:tc>
      </w:tr>
      <w:tr w:rsidR="00B6720A" w:rsidRPr="00C9343F" w14:paraId="16B381F7" w14:textId="77777777" w:rsidTr="00B6720A">
        <w:trPr>
          <w:cantSplit/>
        </w:trPr>
        <w:tc>
          <w:tcPr>
            <w:tcW w:w="992" w:type="dxa"/>
          </w:tcPr>
          <w:p w14:paraId="27C3E994" w14:textId="77777777" w:rsidR="00B6720A" w:rsidRPr="00C9343F" w:rsidRDefault="00B6720A" w:rsidP="00F66D98">
            <w:pPr>
              <w:pStyle w:val="BlockText-Plain"/>
              <w:rPr>
                <w:rFonts w:cs="Arial"/>
              </w:rPr>
            </w:pPr>
          </w:p>
        </w:tc>
        <w:tc>
          <w:tcPr>
            <w:tcW w:w="567" w:type="dxa"/>
          </w:tcPr>
          <w:p w14:paraId="21E49AA0" w14:textId="77777777" w:rsidR="00B6720A" w:rsidRPr="00C9343F" w:rsidRDefault="00B6720A" w:rsidP="00F66D98">
            <w:pPr>
              <w:pStyle w:val="BlockText-Plain"/>
              <w:jc w:val="center"/>
              <w:rPr>
                <w:rFonts w:cs="Arial"/>
              </w:rPr>
            </w:pPr>
          </w:p>
        </w:tc>
        <w:tc>
          <w:tcPr>
            <w:tcW w:w="567" w:type="dxa"/>
          </w:tcPr>
          <w:p w14:paraId="5A0CA704" w14:textId="35AF3C2D" w:rsidR="00B6720A" w:rsidRPr="00C9343F" w:rsidRDefault="00B6720A" w:rsidP="00F66D98">
            <w:pPr>
              <w:pStyle w:val="BlockText-Plain"/>
              <w:rPr>
                <w:rFonts w:cs="Arial"/>
              </w:rPr>
            </w:pPr>
            <w:r w:rsidRPr="00C9343F">
              <w:rPr>
                <w:rFonts w:cs="Arial"/>
              </w:rPr>
              <w:t>ii.</w:t>
            </w:r>
          </w:p>
        </w:tc>
        <w:tc>
          <w:tcPr>
            <w:tcW w:w="7238" w:type="dxa"/>
          </w:tcPr>
          <w:p w14:paraId="32703BD1" w14:textId="1A3EBB9E" w:rsidR="00B6720A" w:rsidRPr="00C9343F" w:rsidRDefault="00B6720A" w:rsidP="00F66D98">
            <w:pPr>
              <w:pStyle w:val="BlockText-Plain"/>
              <w:rPr>
                <w:rFonts w:cs="Arial"/>
              </w:rPr>
            </w:pPr>
            <w:r w:rsidRPr="00C9343F">
              <w:rPr>
                <w:iCs/>
              </w:rPr>
              <w:t xml:space="preserve">Schedule B.15, </w:t>
            </w:r>
            <w:r w:rsidRPr="00C9343F">
              <w:rPr>
                <w:rFonts w:cs="Arial"/>
              </w:rPr>
              <w:t>Senior officer specialist salary rates – medical officer</w:t>
            </w:r>
          </w:p>
        </w:tc>
      </w:tr>
      <w:tr w:rsidR="001C036C" w:rsidRPr="00C9343F" w14:paraId="0C441B65" w14:textId="77777777" w:rsidTr="00762D4B">
        <w:trPr>
          <w:cantSplit/>
        </w:trPr>
        <w:tc>
          <w:tcPr>
            <w:tcW w:w="992" w:type="dxa"/>
          </w:tcPr>
          <w:p w14:paraId="4FB5780C" w14:textId="77777777" w:rsidR="001C036C" w:rsidRPr="00C9343F" w:rsidRDefault="001C036C" w:rsidP="00F66D98">
            <w:pPr>
              <w:pStyle w:val="BlockText-Plain"/>
              <w:rPr>
                <w:rFonts w:cs="Arial"/>
              </w:rPr>
            </w:pPr>
          </w:p>
        </w:tc>
        <w:tc>
          <w:tcPr>
            <w:tcW w:w="567" w:type="dxa"/>
            <w:hideMark/>
          </w:tcPr>
          <w:p w14:paraId="7FCB4F0E" w14:textId="77777777" w:rsidR="001C036C" w:rsidRPr="00C9343F" w:rsidRDefault="001C036C" w:rsidP="00F66D98">
            <w:pPr>
              <w:pStyle w:val="BlockText-Plain"/>
              <w:jc w:val="center"/>
              <w:rPr>
                <w:rFonts w:cs="Arial"/>
              </w:rPr>
            </w:pPr>
            <w:r w:rsidRPr="00C9343F">
              <w:rPr>
                <w:rFonts w:cs="Arial"/>
              </w:rPr>
              <w:t>b.</w:t>
            </w:r>
          </w:p>
        </w:tc>
        <w:tc>
          <w:tcPr>
            <w:tcW w:w="7805" w:type="dxa"/>
            <w:gridSpan w:val="2"/>
            <w:hideMark/>
          </w:tcPr>
          <w:p w14:paraId="35A4BF1A" w14:textId="1F4CD5C2" w:rsidR="001C036C" w:rsidRPr="00C9343F" w:rsidRDefault="001C036C" w:rsidP="00F66D98">
            <w:pPr>
              <w:pStyle w:val="BlockText-Plain"/>
              <w:rPr>
                <w:rFonts w:cs="Arial"/>
              </w:rPr>
            </w:pPr>
            <w:r w:rsidRPr="00C9343F">
              <w:rPr>
                <w:rFonts w:cs="Arial"/>
              </w:rPr>
              <w:t xml:space="preserve">The day the member last advanced to a higher </w:t>
            </w:r>
            <w:r w:rsidR="00DE6552" w:rsidRPr="00C9343F">
              <w:rPr>
                <w:rFonts w:cs="Arial"/>
              </w:rPr>
              <w:t xml:space="preserve">military </w:t>
            </w:r>
            <w:r w:rsidRPr="00C9343F">
              <w:rPr>
                <w:rFonts w:cs="Arial"/>
              </w:rPr>
              <w:t>medical level.</w:t>
            </w:r>
          </w:p>
        </w:tc>
      </w:tr>
      <w:tr w:rsidR="001C036C" w:rsidRPr="00C9343F" w14:paraId="71924558" w14:textId="77777777" w:rsidTr="00762D4B">
        <w:trPr>
          <w:cantSplit/>
        </w:trPr>
        <w:tc>
          <w:tcPr>
            <w:tcW w:w="992" w:type="dxa"/>
          </w:tcPr>
          <w:p w14:paraId="2BDBA817" w14:textId="77777777" w:rsidR="001C036C" w:rsidRPr="00C9343F" w:rsidRDefault="001C036C" w:rsidP="00F66D98">
            <w:pPr>
              <w:pStyle w:val="BlockText-Plain"/>
              <w:rPr>
                <w:rFonts w:cs="Arial"/>
              </w:rPr>
            </w:pPr>
          </w:p>
        </w:tc>
        <w:tc>
          <w:tcPr>
            <w:tcW w:w="567" w:type="dxa"/>
            <w:hideMark/>
          </w:tcPr>
          <w:p w14:paraId="24CC4F40" w14:textId="77777777" w:rsidR="001C036C" w:rsidRPr="00C9343F" w:rsidRDefault="001C036C" w:rsidP="00F66D98">
            <w:pPr>
              <w:pStyle w:val="BlockText-Plain"/>
              <w:jc w:val="center"/>
              <w:rPr>
                <w:rFonts w:cs="Arial"/>
              </w:rPr>
            </w:pPr>
            <w:r w:rsidRPr="00C9343F">
              <w:rPr>
                <w:rFonts w:cs="Arial"/>
              </w:rPr>
              <w:t>c.</w:t>
            </w:r>
          </w:p>
        </w:tc>
        <w:tc>
          <w:tcPr>
            <w:tcW w:w="7805" w:type="dxa"/>
            <w:gridSpan w:val="2"/>
            <w:hideMark/>
          </w:tcPr>
          <w:p w14:paraId="4D091C5F" w14:textId="77777777" w:rsidR="001C036C" w:rsidRPr="00C9343F" w:rsidRDefault="001C036C" w:rsidP="00F66D98">
            <w:pPr>
              <w:pStyle w:val="BlockText-Plain"/>
              <w:rPr>
                <w:rFonts w:cs="Arial"/>
              </w:rPr>
            </w:pPr>
            <w:r w:rsidRPr="00C9343F">
              <w:rPr>
                <w:rFonts w:cs="Arial"/>
              </w:rPr>
              <w:t>The day of the member's last increment advancement.</w:t>
            </w:r>
          </w:p>
        </w:tc>
      </w:tr>
      <w:tr w:rsidR="001C036C" w:rsidRPr="00C9343F" w14:paraId="36474FAC" w14:textId="77777777" w:rsidTr="00762D4B">
        <w:tc>
          <w:tcPr>
            <w:tcW w:w="992" w:type="dxa"/>
          </w:tcPr>
          <w:p w14:paraId="34424EBB" w14:textId="77777777" w:rsidR="001C036C" w:rsidRPr="00C9343F" w:rsidRDefault="001C036C" w:rsidP="00F66D98">
            <w:pPr>
              <w:pStyle w:val="BlockText-Plain"/>
              <w:jc w:val="center"/>
              <w:rPr>
                <w:rFonts w:cs="Arial"/>
              </w:rPr>
            </w:pPr>
          </w:p>
        </w:tc>
        <w:tc>
          <w:tcPr>
            <w:tcW w:w="8372" w:type="dxa"/>
            <w:gridSpan w:val="3"/>
            <w:hideMark/>
          </w:tcPr>
          <w:p w14:paraId="6ED32BE1" w14:textId="4EB64C9F" w:rsidR="001C036C" w:rsidRPr="00C9343F" w:rsidRDefault="00DE6552" w:rsidP="00F66D98">
            <w:pPr>
              <w:pStyle w:val="BlockText-Plain"/>
            </w:pPr>
            <w:r w:rsidRPr="00C9343F">
              <w:rPr>
                <w:b/>
              </w:rPr>
              <w:t>Note:</w:t>
            </w:r>
            <w:r w:rsidRPr="00C9343F">
              <w:t xml:space="preserve"> The placement of a member from a medical level to a military medical level is not an increment advancement.</w:t>
            </w:r>
          </w:p>
        </w:tc>
      </w:tr>
      <w:tr w:rsidR="005F44BC" w:rsidRPr="00C9343F" w14:paraId="45D3D96C" w14:textId="77777777" w:rsidTr="00762D4B">
        <w:tblPrEx>
          <w:tblLook w:val="0000" w:firstRow="0" w:lastRow="0" w:firstColumn="0" w:lastColumn="0" w:noHBand="0" w:noVBand="0"/>
        </w:tblPrEx>
        <w:tc>
          <w:tcPr>
            <w:tcW w:w="992" w:type="dxa"/>
          </w:tcPr>
          <w:p w14:paraId="6857A8F1" w14:textId="77777777" w:rsidR="005F44BC" w:rsidRPr="00C9343F" w:rsidRDefault="005F44BC" w:rsidP="00F66D98">
            <w:pPr>
              <w:pStyle w:val="BlockText-Plain"/>
              <w:jc w:val="center"/>
            </w:pPr>
            <w:r w:rsidRPr="00C9343F">
              <w:t>5.</w:t>
            </w:r>
          </w:p>
        </w:tc>
        <w:tc>
          <w:tcPr>
            <w:tcW w:w="8372" w:type="dxa"/>
            <w:gridSpan w:val="3"/>
          </w:tcPr>
          <w:p w14:paraId="05F91174" w14:textId="222777B9" w:rsidR="005F44BC" w:rsidRPr="00C9343F" w:rsidRDefault="005F44BC" w:rsidP="00F66D98">
            <w:pPr>
              <w:pStyle w:val="BlockText-Plain"/>
            </w:pPr>
            <w:r w:rsidRPr="00C9343F">
              <w:t xml:space="preserve">On promotion from rank to rank, a medical officer retains the same </w:t>
            </w:r>
            <w:r w:rsidR="00DE6552" w:rsidRPr="00C9343F">
              <w:t xml:space="preserve">military </w:t>
            </w:r>
            <w:r w:rsidRPr="00C9343F">
              <w:t>medical level (</w:t>
            </w:r>
            <w:r w:rsidR="00DE6552" w:rsidRPr="00C9343F">
              <w:t>MML1, 2A, 2B, 3, 3A or 4</w:t>
            </w:r>
            <w:r w:rsidRPr="00C9343F">
              <w:t>) and the same increment level they held before promotion.</w:t>
            </w:r>
          </w:p>
          <w:p w14:paraId="2AC7960A" w14:textId="77777777" w:rsidR="005F44BC" w:rsidRPr="00C9343F" w:rsidRDefault="005F44BC" w:rsidP="00F66D98">
            <w:pPr>
              <w:pStyle w:val="BlockText-Plain"/>
            </w:pPr>
            <w:r w:rsidRPr="00C9343F">
              <w:rPr>
                <w:b/>
              </w:rPr>
              <w:t xml:space="preserve">Note: </w:t>
            </w:r>
            <w:r w:rsidRPr="00C9343F">
              <w:t xml:space="preserve">The member's increment advancement date will remain unchanged. </w:t>
            </w:r>
          </w:p>
        </w:tc>
      </w:tr>
      <w:tr w:rsidR="00DE6552" w:rsidRPr="00C9343F" w14:paraId="0A9E817C" w14:textId="77777777" w:rsidTr="00762D4B">
        <w:tblPrEx>
          <w:tblLook w:val="0000" w:firstRow="0" w:lastRow="0" w:firstColumn="0" w:lastColumn="0" w:noHBand="0" w:noVBand="0"/>
        </w:tblPrEx>
        <w:tc>
          <w:tcPr>
            <w:tcW w:w="992" w:type="dxa"/>
          </w:tcPr>
          <w:p w14:paraId="6B48CB44" w14:textId="6CB19B39" w:rsidR="00DE6552" w:rsidRPr="00C9343F" w:rsidRDefault="00DE6552" w:rsidP="00F66D98">
            <w:pPr>
              <w:pStyle w:val="BlockText-Plain"/>
              <w:jc w:val="center"/>
            </w:pPr>
            <w:r w:rsidRPr="00C9343F">
              <w:t>6.</w:t>
            </w:r>
          </w:p>
        </w:tc>
        <w:tc>
          <w:tcPr>
            <w:tcW w:w="8372" w:type="dxa"/>
            <w:gridSpan w:val="3"/>
          </w:tcPr>
          <w:p w14:paraId="0DF1A6F3" w14:textId="3E35CA6D" w:rsidR="00DE6552" w:rsidRPr="00C9343F" w:rsidRDefault="00DE6552" w:rsidP="00F66D98">
            <w:pPr>
              <w:pStyle w:val="BlockText-Plain"/>
            </w:pPr>
            <w:r w:rsidRPr="00C9343F">
              <w:t>If a member advances to a higher military medical level under section 3.2.47, the member's increment is the lowest increment for that military medical level.</w:t>
            </w:r>
          </w:p>
        </w:tc>
      </w:tr>
      <w:tr w:rsidR="005F44BC" w:rsidRPr="00C9343F" w14:paraId="7BDBC724" w14:textId="77777777" w:rsidTr="00762D4B">
        <w:tblPrEx>
          <w:tblLook w:val="0000" w:firstRow="0" w:lastRow="0" w:firstColumn="0" w:lastColumn="0" w:noHBand="0" w:noVBand="0"/>
        </w:tblPrEx>
        <w:tc>
          <w:tcPr>
            <w:tcW w:w="992" w:type="dxa"/>
          </w:tcPr>
          <w:p w14:paraId="7DDA3747" w14:textId="0A3AD215" w:rsidR="005F44BC" w:rsidRPr="00C9343F" w:rsidRDefault="00DE6552" w:rsidP="00F66D98">
            <w:pPr>
              <w:pStyle w:val="BlockText-Plain"/>
              <w:jc w:val="center"/>
            </w:pPr>
            <w:r w:rsidRPr="00C9343F">
              <w:t>6A.</w:t>
            </w:r>
          </w:p>
        </w:tc>
        <w:tc>
          <w:tcPr>
            <w:tcW w:w="8372" w:type="dxa"/>
            <w:gridSpan w:val="3"/>
          </w:tcPr>
          <w:p w14:paraId="67F9F93F" w14:textId="1D3F0B32" w:rsidR="005F44BC" w:rsidRPr="00C9343F" w:rsidRDefault="00DE6552" w:rsidP="00F66D98">
            <w:pPr>
              <w:pStyle w:val="BlockText-Plain"/>
            </w:pPr>
            <w:r w:rsidRPr="00C9343F">
              <w:t>Despite subsection 6, if one of the following applies, the member’s increment level is the increment that has the next higher salary than their salary immediately before they advanced.</w:t>
            </w:r>
          </w:p>
        </w:tc>
      </w:tr>
      <w:tr w:rsidR="000577E2" w:rsidRPr="00C9343F" w14:paraId="32D572A8" w14:textId="77777777" w:rsidTr="003263A7">
        <w:tblPrEx>
          <w:tblLook w:val="0000" w:firstRow="0" w:lastRow="0" w:firstColumn="0" w:lastColumn="0" w:noHBand="0" w:noVBand="0"/>
        </w:tblPrEx>
        <w:tc>
          <w:tcPr>
            <w:tcW w:w="992" w:type="dxa"/>
          </w:tcPr>
          <w:p w14:paraId="59115A85" w14:textId="77777777" w:rsidR="000577E2" w:rsidRPr="00C9343F" w:rsidRDefault="000577E2" w:rsidP="00F66D98">
            <w:pPr>
              <w:pStyle w:val="Sectiontext0"/>
              <w:jc w:val="center"/>
            </w:pPr>
          </w:p>
        </w:tc>
        <w:tc>
          <w:tcPr>
            <w:tcW w:w="567" w:type="dxa"/>
          </w:tcPr>
          <w:p w14:paraId="09CA7729" w14:textId="77777777" w:rsidR="000577E2" w:rsidRPr="00C9343F" w:rsidRDefault="000577E2" w:rsidP="00F66D98">
            <w:pPr>
              <w:pStyle w:val="Sectiontext0"/>
              <w:jc w:val="center"/>
            </w:pPr>
            <w:r w:rsidRPr="00C9343F">
              <w:t>a.</w:t>
            </w:r>
          </w:p>
        </w:tc>
        <w:tc>
          <w:tcPr>
            <w:tcW w:w="7805" w:type="dxa"/>
            <w:gridSpan w:val="2"/>
          </w:tcPr>
          <w:p w14:paraId="374A2761" w14:textId="77777777" w:rsidR="000577E2" w:rsidRPr="00C9343F" w:rsidRDefault="000577E2" w:rsidP="00F66D98">
            <w:pPr>
              <w:pStyle w:val="BlockText-Plain"/>
            </w:pPr>
            <w:r w:rsidRPr="00C9343F">
              <w:t>The member advances to MML3A.</w:t>
            </w:r>
          </w:p>
        </w:tc>
      </w:tr>
      <w:tr w:rsidR="000577E2" w:rsidRPr="00C9343F" w14:paraId="3F636FF9" w14:textId="77777777" w:rsidTr="003263A7">
        <w:tblPrEx>
          <w:tblLook w:val="0000" w:firstRow="0" w:lastRow="0" w:firstColumn="0" w:lastColumn="0" w:noHBand="0" w:noVBand="0"/>
        </w:tblPrEx>
        <w:tc>
          <w:tcPr>
            <w:tcW w:w="992" w:type="dxa"/>
          </w:tcPr>
          <w:p w14:paraId="419C5645" w14:textId="77777777" w:rsidR="000577E2" w:rsidRPr="00C9343F" w:rsidRDefault="000577E2" w:rsidP="00F66D98">
            <w:pPr>
              <w:pStyle w:val="Sectiontext0"/>
              <w:jc w:val="center"/>
            </w:pPr>
          </w:p>
        </w:tc>
        <w:tc>
          <w:tcPr>
            <w:tcW w:w="567" w:type="dxa"/>
          </w:tcPr>
          <w:p w14:paraId="25A67A99" w14:textId="77777777" w:rsidR="000577E2" w:rsidRPr="00C9343F" w:rsidRDefault="000577E2" w:rsidP="00F66D98">
            <w:pPr>
              <w:pStyle w:val="BlockText-Plain"/>
              <w:jc w:val="center"/>
            </w:pPr>
            <w:r w:rsidRPr="00C9343F">
              <w:t>b.</w:t>
            </w:r>
          </w:p>
        </w:tc>
        <w:tc>
          <w:tcPr>
            <w:tcW w:w="7805" w:type="dxa"/>
            <w:gridSpan w:val="2"/>
          </w:tcPr>
          <w:p w14:paraId="7EB9F7C6" w14:textId="77777777" w:rsidR="000577E2" w:rsidRPr="00C9343F" w:rsidRDefault="000577E2" w:rsidP="00F66D98">
            <w:pPr>
              <w:pStyle w:val="BlockText-Plain"/>
            </w:pPr>
            <w:r w:rsidRPr="00C9343F">
              <w:t>The member advances from MML3A to MML4.</w:t>
            </w:r>
          </w:p>
        </w:tc>
      </w:tr>
      <w:tr w:rsidR="005F44BC" w:rsidRPr="00C9343F" w14:paraId="74152E2D" w14:textId="77777777" w:rsidTr="00762D4B">
        <w:tblPrEx>
          <w:tblLook w:val="0000" w:firstRow="0" w:lastRow="0" w:firstColumn="0" w:lastColumn="0" w:noHBand="0" w:noVBand="0"/>
        </w:tblPrEx>
        <w:tc>
          <w:tcPr>
            <w:tcW w:w="992" w:type="dxa"/>
          </w:tcPr>
          <w:p w14:paraId="3973A771" w14:textId="77777777" w:rsidR="005F44BC" w:rsidRPr="00C9343F" w:rsidRDefault="005F44BC" w:rsidP="00F66D98">
            <w:pPr>
              <w:pStyle w:val="BlockText-Plain"/>
              <w:jc w:val="center"/>
            </w:pPr>
            <w:r w:rsidRPr="00C9343F">
              <w:t>8.</w:t>
            </w:r>
          </w:p>
        </w:tc>
        <w:tc>
          <w:tcPr>
            <w:tcW w:w="8372" w:type="dxa"/>
            <w:gridSpan w:val="3"/>
          </w:tcPr>
          <w:p w14:paraId="24EB5B2A" w14:textId="77777777" w:rsidR="005F44BC" w:rsidRPr="00C9343F" w:rsidRDefault="005F44BC" w:rsidP="00F66D98">
            <w:pPr>
              <w:pStyle w:val="BlockText-Plain"/>
            </w:pPr>
            <w:r w:rsidRPr="00C9343F">
              <w:t xml:space="preserve">For medical officer who becomes eligible to be paid under Schedule B.8 Part </w:t>
            </w:r>
            <w:r w:rsidR="002A2A83" w:rsidRPr="00C9343F">
              <w:t>2</w:t>
            </w:r>
            <w:r w:rsidRPr="00C9343F">
              <w:t xml:space="preserve"> or </w:t>
            </w:r>
            <w:r w:rsidR="002A2A83" w:rsidRPr="00C9343F">
              <w:t>4</w:t>
            </w:r>
            <w:r w:rsidRPr="00C9343F">
              <w:t xml:space="preserve"> of DFRT Determination No. </w:t>
            </w:r>
            <w:r w:rsidR="002A2A83" w:rsidRPr="00C9343F">
              <w:t>2 of 2017</w:t>
            </w:r>
            <w:r w:rsidRPr="00C9343F">
              <w:t xml:space="preserve">, </w:t>
            </w:r>
            <w:r w:rsidRPr="00C9343F">
              <w:rPr>
                <w:i/>
              </w:rPr>
              <w:t>Salaries</w:t>
            </w:r>
            <w:r w:rsidRPr="00C9343F">
              <w:t>, the medical officer's initial increment level is the higher of the following.</w:t>
            </w:r>
          </w:p>
        </w:tc>
      </w:tr>
      <w:tr w:rsidR="005F44BC" w:rsidRPr="00C9343F" w14:paraId="37E0B9CB" w14:textId="77777777" w:rsidTr="00762D4B">
        <w:tblPrEx>
          <w:tblLook w:val="0000" w:firstRow="0" w:lastRow="0" w:firstColumn="0" w:lastColumn="0" w:noHBand="0" w:noVBand="0"/>
        </w:tblPrEx>
        <w:trPr>
          <w:cantSplit/>
        </w:trPr>
        <w:tc>
          <w:tcPr>
            <w:tcW w:w="992" w:type="dxa"/>
          </w:tcPr>
          <w:p w14:paraId="6B995EF8" w14:textId="77777777" w:rsidR="005F44BC" w:rsidRPr="00C9343F" w:rsidRDefault="005F44BC" w:rsidP="00F66D98">
            <w:pPr>
              <w:pStyle w:val="BlockText-Plain"/>
            </w:pPr>
          </w:p>
        </w:tc>
        <w:tc>
          <w:tcPr>
            <w:tcW w:w="567" w:type="dxa"/>
          </w:tcPr>
          <w:p w14:paraId="75DD3C36" w14:textId="77777777" w:rsidR="005F44BC" w:rsidRPr="00C9343F" w:rsidRDefault="005F44BC" w:rsidP="00F66D98">
            <w:pPr>
              <w:pStyle w:val="BlockText-Plain"/>
              <w:jc w:val="center"/>
            </w:pPr>
            <w:r w:rsidRPr="00C9343F">
              <w:t>a.</w:t>
            </w:r>
          </w:p>
        </w:tc>
        <w:tc>
          <w:tcPr>
            <w:tcW w:w="7805" w:type="dxa"/>
            <w:gridSpan w:val="2"/>
          </w:tcPr>
          <w:p w14:paraId="435BE804" w14:textId="77777777" w:rsidR="005F44BC" w:rsidRPr="00C9343F" w:rsidRDefault="005F44BC" w:rsidP="00F66D98">
            <w:pPr>
              <w:pStyle w:val="BlockText-Plain"/>
            </w:pPr>
            <w:r w:rsidRPr="00C9343F">
              <w:t>The entry level increment for their Force and rank.</w:t>
            </w:r>
          </w:p>
        </w:tc>
      </w:tr>
      <w:tr w:rsidR="005F44BC" w:rsidRPr="00C9343F" w14:paraId="3C77908D" w14:textId="77777777" w:rsidTr="00762D4B">
        <w:tblPrEx>
          <w:tblLook w:val="0000" w:firstRow="0" w:lastRow="0" w:firstColumn="0" w:lastColumn="0" w:noHBand="0" w:noVBand="0"/>
        </w:tblPrEx>
        <w:trPr>
          <w:cantSplit/>
        </w:trPr>
        <w:tc>
          <w:tcPr>
            <w:tcW w:w="992" w:type="dxa"/>
          </w:tcPr>
          <w:p w14:paraId="43448081" w14:textId="77777777" w:rsidR="005F44BC" w:rsidRPr="00C9343F" w:rsidRDefault="005F44BC" w:rsidP="00F66D98">
            <w:pPr>
              <w:pStyle w:val="BlockText-Plain"/>
            </w:pPr>
          </w:p>
        </w:tc>
        <w:tc>
          <w:tcPr>
            <w:tcW w:w="567" w:type="dxa"/>
          </w:tcPr>
          <w:p w14:paraId="3602B3F3" w14:textId="77777777" w:rsidR="005F44BC" w:rsidRPr="00C9343F" w:rsidRDefault="005F44BC" w:rsidP="00F66D98">
            <w:pPr>
              <w:pStyle w:val="BlockText-Plain"/>
              <w:jc w:val="center"/>
            </w:pPr>
            <w:r w:rsidRPr="00C9343F">
              <w:t>b.</w:t>
            </w:r>
          </w:p>
        </w:tc>
        <w:tc>
          <w:tcPr>
            <w:tcW w:w="7805" w:type="dxa"/>
            <w:gridSpan w:val="2"/>
          </w:tcPr>
          <w:p w14:paraId="20BE3803" w14:textId="77777777" w:rsidR="005F44BC" w:rsidRPr="00C9343F" w:rsidRDefault="005F44BC" w:rsidP="00F66D98">
            <w:pPr>
              <w:pStyle w:val="BlockText-Plain"/>
            </w:pPr>
            <w:r w:rsidRPr="00C9343F">
              <w:t>An increment level approved by Surgeon General Australian Defence Force above the entry level increment for the medical officer because of their qualifications, clinical experience, and currency of skills.</w:t>
            </w:r>
          </w:p>
        </w:tc>
      </w:tr>
    </w:tbl>
    <w:p w14:paraId="1442B1CB" w14:textId="77777777" w:rsidR="003263A7" w:rsidRPr="00C9343F" w:rsidRDefault="003263A7" w:rsidP="00F66D98">
      <w:pPr>
        <w:pStyle w:val="Heading5"/>
      </w:pPr>
      <w:bookmarkStart w:id="481" w:name="_Toc61263441"/>
      <w:bookmarkStart w:id="482" w:name="_Toc105053704"/>
      <w:bookmarkStart w:id="483" w:name="_Toc61263463"/>
      <w:r w:rsidRPr="00C9343F">
        <w:t xml:space="preserve">3.2.42A   Salary on promotion – </w:t>
      </w:r>
      <w:bookmarkEnd w:id="481"/>
      <w:r w:rsidRPr="00C9343F">
        <w:t>senior medical officers</w:t>
      </w:r>
      <w:bookmarkEnd w:id="482"/>
    </w:p>
    <w:tbl>
      <w:tblPr>
        <w:tblW w:w="9364" w:type="dxa"/>
        <w:tblInd w:w="108" w:type="dxa"/>
        <w:tblLayout w:type="fixed"/>
        <w:tblLook w:val="0000" w:firstRow="0" w:lastRow="0" w:firstColumn="0" w:lastColumn="0" w:noHBand="0" w:noVBand="0"/>
      </w:tblPr>
      <w:tblGrid>
        <w:gridCol w:w="997"/>
        <w:gridCol w:w="562"/>
        <w:gridCol w:w="7805"/>
      </w:tblGrid>
      <w:tr w:rsidR="003263A7" w:rsidRPr="00C9343F" w14:paraId="0E569968" w14:textId="77777777" w:rsidTr="002E0C4C">
        <w:tc>
          <w:tcPr>
            <w:tcW w:w="997" w:type="dxa"/>
          </w:tcPr>
          <w:p w14:paraId="5DAB7EE1" w14:textId="77777777" w:rsidR="003263A7" w:rsidRPr="00C9343F" w:rsidRDefault="003263A7" w:rsidP="00F66D98">
            <w:pPr>
              <w:pStyle w:val="BlockText-Plain"/>
              <w:jc w:val="center"/>
            </w:pPr>
          </w:p>
        </w:tc>
        <w:tc>
          <w:tcPr>
            <w:tcW w:w="8367" w:type="dxa"/>
            <w:gridSpan w:val="2"/>
          </w:tcPr>
          <w:p w14:paraId="172F582E" w14:textId="77777777" w:rsidR="003263A7" w:rsidRPr="00C9343F" w:rsidRDefault="003263A7" w:rsidP="00F66D98">
            <w:pPr>
              <w:pStyle w:val="BlockText-Plain"/>
            </w:pPr>
            <w:r w:rsidRPr="00C9343F">
              <w:t xml:space="preserve">If a member is promoted to one of the following ranks, the member’s rate of salary is the rate payable under Schedule B.15 </w:t>
            </w:r>
            <w:r w:rsidRPr="00C9343F">
              <w:rPr>
                <w:iCs/>
              </w:rPr>
              <w:t xml:space="preserve">of DFRT Determination No. 2 of 2017, </w:t>
            </w:r>
            <w:r w:rsidRPr="00C9343F">
              <w:rPr>
                <w:i/>
              </w:rPr>
              <w:t>Salaries</w:t>
            </w:r>
            <w:r w:rsidRPr="00C9343F">
              <w:t xml:space="preserve"> for the lowest increment for their new rank. </w:t>
            </w:r>
          </w:p>
        </w:tc>
      </w:tr>
      <w:bookmarkEnd w:id="483"/>
      <w:tr w:rsidR="003263A7" w:rsidRPr="00C9343F" w14:paraId="764AD058" w14:textId="77777777" w:rsidTr="002E0C4C">
        <w:tc>
          <w:tcPr>
            <w:tcW w:w="997" w:type="dxa"/>
          </w:tcPr>
          <w:p w14:paraId="2B47E334" w14:textId="77777777" w:rsidR="003263A7" w:rsidRPr="00C9343F" w:rsidRDefault="003263A7" w:rsidP="00F66D98">
            <w:pPr>
              <w:pStyle w:val="Sectiontext0"/>
              <w:jc w:val="center"/>
            </w:pPr>
          </w:p>
        </w:tc>
        <w:tc>
          <w:tcPr>
            <w:tcW w:w="562" w:type="dxa"/>
          </w:tcPr>
          <w:p w14:paraId="7FE4131C" w14:textId="77777777" w:rsidR="003263A7" w:rsidRPr="00C9343F" w:rsidRDefault="003263A7" w:rsidP="00F66D98">
            <w:pPr>
              <w:pStyle w:val="Sectiontext0"/>
              <w:jc w:val="center"/>
              <w:rPr>
                <w:iCs/>
              </w:rPr>
            </w:pPr>
            <w:r w:rsidRPr="00C9343F">
              <w:rPr>
                <w:rFonts w:cs="Arial"/>
              </w:rPr>
              <w:t>a.</w:t>
            </w:r>
          </w:p>
        </w:tc>
        <w:tc>
          <w:tcPr>
            <w:tcW w:w="7805" w:type="dxa"/>
          </w:tcPr>
          <w:p w14:paraId="6BBE157A" w14:textId="77777777" w:rsidR="003263A7" w:rsidRPr="00C9343F" w:rsidRDefault="003263A7" w:rsidP="00F66D98">
            <w:pPr>
              <w:pStyle w:val="Sectiontext0"/>
              <w:rPr>
                <w:iCs/>
              </w:rPr>
            </w:pPr>
            <w:r w:rsidRPr="00C9343F">
              <w:rPr>
                <w:iCs/>
              </w:rPr>
              <w:t>Brigadier.</w:t>
            </w:r>
          </w:p>
        </w:tc>
      </w:tr>
      <w:tr w:rsidR="003263A7" w:rsidRPr="00C9343F" w14:paraId="19A9ED36" w14:textId="77777777" w:rsidTr="002E0C4C">
        <w:tc>
          <w:tcPr>
            <w:tcW w:w="997" w:type="dxa"/>
          </w:tcPr>
          <w:p w14:paraId="2F27B6E2" w14:textId="77777777" w:rsidR="003263A7" w:rsidRPr="00C9343F" w:rsidRDefault="003263A7" w:rsidP="00F66D98">
            <w:pPr>
              <w:pStyle w:val="Sectiontext0"/>
              <w:jc w:val="center"/>
            </w:pPr>
          </w:p>
        </w:tc>
        <w:tc>
          <w:tcPr>
            <w:tcW w:w="562" w:type="dxa"/>
          </w:tcPr>
          <w:p w14:paraId="219FB9C5" w14:textId="77777777" w:rsidR="003263A7" w:rsidRPr="00C9343F" w:rsidRDefault="003263A7" w:rsidP="00F66D98">
            <w:pPr>
              <w:pStyle w:val="Sectiontext0"/>
              <w:jc w:val="center"/>
              <w:rPr>
                <w:rFonts w:cs="Arial"/>
              </w:rPr>
            </w:pPr>
            <w:r w:rsidRPr="00C9343F">
              <w:rPr>
                <w:rFonts w:cs="Arial"/>
              </w:rPr>
              <w:t>b.</w:t>
            </w:r>
          </w:p>
        </w:tc>
        <w:tc>
          <w:tcPr>
            <w:tcW w:w="7805" w:type="dxa"/>
          </w:tcPr>
          <w:p w14:paraId="07A680DA" w14:textId="77777777" w:rsidR="003263A7" w:rsidRPr="00C9343F" w:rsidRDefault="003263A7" w:rsidP="00F66D98">
            <w:pPr>
              <w:pStyle w:val="Sectiontext0"/>
              <w:rPr>
                <w:rFonts w:cs="Arial"/>
              </w:rPr>
            </w:pPr>
            <w:r w:rsidRPr="00C9343F">
              <w:rPr>
                <w:rFonts w:cs="Arial"/>
              </w:rPr>
              <w:t>Major General.</w:t>
            </w:r>
          </w:p>
        </w:tc>
      </w:tr>
    </w:tbl>
    <w:p w14:paraId="51F1334F" w14:textId="071B7FED" w:rsidR="005F44BC" w:rsidRPr="00C9343F" w:rsidRDefault="005F44BC" w:rsidP="00F66D98">
      <w:pPr>
        <w:pStyle w:val="Heading5"/>
      </w:pPr>
      <w:bookmarkStart w:id="484" w:name="_Toc105053705"/>
      <w:r w:rsidRPr="00C9343F">
        <w:lastRenderedPageBreak/>
        <w:t>3.2.43</w:t>
      </w:r>
      <w:r w:rsidR="00D94006" w:rsidRPr="00C9343F">
        <w:rPr>
          <w:color w:val="000000"/>
        </w:rPr>
        <w:t>    </w:t>
      </w:r>
      <w:r w:rsidRPr="00C9343F">
        <w:t>Legal Officers – increment advancement and promotion</w:t>
      </w:r>
      <w:bookmarkEnd w:id="484"/>
    </w:p>
    <w:tbl>
      <w:tblPr>
        <w:tblW w:w="9359" w:type="dxa"/>
        <w:tblInd w:w="113" w:type="dxa"/>
        <w:tblLayout w:type="fixed"/>
        <w:tblLook w:val="0000" w:firstRow="0" w:lastRow="0" w:firstColumn="0" w:lastColumn="0" w:noHBand="0" w:noVBand="0"/>
      </w:tblPr>
      <w:tblGrid>
        <w:gridCol w:w="992"/>
        <w:gridCol w:w="567"/>
        <w:gridCol w:w="7800"/>
      </w:tblGrid>
      <w:tr w:rsidR="005F44BC" w:rsidRPr="00C9343F" w14:paraId="7B38E2A2" w14:textId="77777777" w:rsidTr="003D5C1C">
        <w:tc>
          <w:tcPr>
            <w:tcW w:w="992" w:type="dxa"/>
          </w:tcPr>
          <w:p w14:paraId="2D4A3F7B" w14:textId="77777777" w:rsidR="005F44BC" w:rsidRPr="00C9343F" w:rsidRDefault="005F44BC" w:rsidP="00F66D98">
            <w:pPr>
              <w:pStyle w:val="BlockText-Plain"/>
              <w:jc w:val="center"/>
            </w:pPr>
            <w:r w:rsidRPr="00C9343F">
              <w:t>1.</w:t>
            </w:r>
          </w:p>
        </w:tc>
        <w:tc>
          <w:tcPr>
            <w:tcW w:w="8367" w:type="dxa"/>
            <w:gridSpan w:val="2"/>
          </w:tcPr>
          <w:p w14:paraId="14722D19" w14:textId="5F0329F0" w:rsidR="005F44BC" w:rsidRPr="00C9343F" w:rsidRDefault="003D5C1C" w:rsidP="00F66D98">
            <w:pPr>
              <w:pStyle w:val="BlockText-Plain"/>
            </w:pPr>
            <w:r w:rsidRPr="00C9343F">
              <w:rPr>
                <w:iCs/>
              </w:rPr>
              <w:t>A</w:t>
            </w:r>
            <w:r w:rsidR="00A3365C" w:rsidRPr="00C9343F">
              <w:rPr>
                <w:iCs/>
              </w:rPr>
              <w:t xml:space="preserve"> legal officer</w:t>
            </w:r>
            <w:r w:rsidR="00A3365C" w:rsidRPr="00C9343F">
              <w:t xml:space="preserve"> </w:t>
            </w:r>
            <w:r w:rsidR="005F44BC" w:rsidRPr="00C9343F">
              <w:t>in the specialist career structure becomes eligible for an increment level advancement (up to the maximum increment level for their legal level) on the later of the following dates.</w:t>
            </w:r>
          </w:p>
        </w:tc>
      </w:tr>
      <w:tr w:rsidR="005F44BC" w:rsidRPr="00C9343F" w14:paraId="0B08F8E1" w14:textId="77777777" w:rsidTr="003D5C1C">
        <w:trPr>
          <w:cantSplit/>
        </w:trPr>
        <w:tc>
          <w:tcPr>
            <w:tcW w:w="992" w:type="dxa"/>
          </w:tcPr>
          <w:p w14:paraId="505B56CA" w14:textId="77777777" w:rsidR="005F44BC" w:rsidRPr="00C9343F" w:rsidRDefault="005F44BC" w:rsidP="00F66D98">
            <w:pPr>
              <w:pStyle w:val="BlockText-Plain"/>
            </w:pPr>
          </w:p>
        </w:tc>
        <w:tc>
          <w:tcPr>
            <w:tcW w:w="567" w:type="dxa"/>
          </w:tcPr>
          <w:p w14:paraId="5B1D59A0" w14:textId="77777777" w:rsidR="005F44BC" w:rsidRPr="00C9343F" w:rsidRDefault="005F44BC" w:rsidP="00F66D98">
            <w:pPr>
              <w:pStyle w:val="BlockText-Plain"/>
              <w:jc w:val="center"/>
            </w:pPr>
            <w:r w:rsidRPr="00C9343F">
              <w:t>a.</w:t>
            </w:r>
          </w:p>
        </w:tc>
        <w:tc>
          <w:tcPr>
            <w:tcW w:w="7800" w:type="dxa"/>
          </w:tcPr>
          <w:p w14:paraId="10042B97" w14:textId="77777777" w:rsidR="005F44BC" w:rsidRPr="00C9343F" w:rsidRDefault="005F44BC" w:rsidP="00F66D98">
            <w:pPr>
              <w:pStyle w:val="BlockText-Plain"/>
            </w:pPr>
            <w:r w:rsidRPr="00C9343F">
              <w:t>The day that is 12 months after the legal officer entered the specialist career structure.</w:t>
            </w:r>
          </w:p>
        </w:tc>
      </w:tr>
      <w:tr w:rsidR="005F44BC" w:rsidRPr="00C9343F" w14:paraId="342B4B45" w14:textId="77777777" w:rsidTr="003D5C1C">
        <w:trPr>
          <w:cantSplit/>
        </w:trPr>
        <w:tc>
          <w:tcPr>
            <w:tcW w:w="992" w:type="dxa"/>
          </w:tcPr>
          <w:p w14:paraId="72408BFA" w14:textId="77777777" w:rsidR="005F44BC" w:rsidRPr="00C9343F" w:rsidRDefault="005F44BC" w:rsidP="00F66D98">
            <w:pPr>
              <w:pStyle w:val="BlockText-Plain"/>
            </w:pPr>
          </w:p>
        </w:tc>
        <w:tc>
          <w:tcPr>
            <w:tcW w:w="567" w:type="dxa"/>
          </w:tcPr>
          <w:p w14:paraId="3146F786" w14:textId="77777777" w:rsidR="005F44BC" w:rsidRPr="00C9343F" w:rsidRDefault="005F44BC" w:rsidP="00F66D98">
            <w:pPr>
              <w:pStyle w:val="BlockText-Plain"/>
              <w:jc w:val="center"/>
            </w:pPr>
            <w:r w:rsidRPr="00C9343F">
              <w:t>b.</w:t>
            </w:r>
          </w:p>
        </w:tc>
        <w:tc>
          <w:tcPr>
            <w:tcW w:w="7800" w:type="dxa"/>
          </w:tcPr>
          <w:p w14:paraId="0A929358" w14:textId="77777777" w:rsidR="005F44BC" w:rsidRPr="00C9343F" w:rsidRDefault="005F44BC" w:rsidP="00F66D98">
            <w:pPr>
              <w:pStyle w:val="BlockText-Plain"/>
            </w:pPr>
            <w:r w:rsidRPr="00C9343F">
              <w:t>The day that is 12 months after the legal officer advanced to a higher legal level.</w:t>
            </w:r>
          </w:p>
        </w:tc>
      </w:tr>
      <w:tr w:rsidR="005F44BC" w:rsidRPr="00C9343F" w14:paraId="22C934D4" w14:textId="77777777" w:rsidTr="003D5C1C">
        <w:trPr>
          <w:cantSplit/>
        </w:trPr>
        <w:tc>
          <w:tcPr>
            <w:tcW w:w="992" w:type="dxa"/>
          </w:tcPr>
          <w:p w14:paraId="7BF367A9" w14:textId="77777777" w:rsidR="005F44BC" w:rsidRPr="00C9343F" w:rsidRDefault="005F44BC" w:rsidP="00F66D98">
            <w:pPr>
              <w:pStyle w:val="BlockText-Plain"/>
            </w:pPr>
          </w:p>
        </w:tc>
        <w:tc>
          <w:tcPr>
            <w:tcW w:w="567" w:type="dxa"/>
          </w:tcPr>
          <w:p w14:paraId="43DCB72E" w14:textId="77777777" w:rsidR="005F44BC" w:rsidRPr="00C9343F" w:rsidRDefault="005F44BC" w:rsidP="00F66D98">
            <w:pPr>
              <w:pStyle w:val="BlockText-Plain"/>
              <w:jc w:val="center"/>
            </w:pPr>
            <w:r w:rsidRPr="00C9343F">
              <w:t>c.</w:t>
            </w:r>
          </w:p>
        </w:tc>
        <w:tc>
          <w:tcPr>
            <w:tcW w:w="7800" w:type="dxa"/>
          </w:tcPr>
          <w:p w14:paraId="056C3210" w14:textId="77777777" w:rsidR="005F44BC" w:rsidRPr="00C9343F" w:rsidRDefault="005F44BC" w:rsidP="00F66D98">
            <w:pPr>
              <w:pStyle w:val="BlockText-Plain"/>
            </w:pPr>
            <w:r w:rsidRPr="00C9343F">
              <w:t>The day that is 12 months after the legal officer was promoted to a higher rank.</w:t>
            </w:r>
          </w:p>
        </w:tc>
      </w:tr>
      <w:tr w:rsidR="005F44BC" w:rsidRPr="00C9343F" w14:paraId="7FB4A5E4" w14:textId="77777777" w:rsidTr="003D5C1C">
        <w:trPr>
          <w:cantSplit/>
        </w:trPr>
        <w:tc>
          <w:tcPr>
            <w:tcW w:w="992" w:type="dxa"/>
          </w:tcPr>
          <w:p w14:paraId="1BFC7884" w14:textId="77777777" w:rsidR="005F44BC" w:rsidRPr="00C9343F" w:rsidRDefault="005F44BC" w:rsidP="00F66D98">
            <w:pPr>
              <w:pStyle w:val="BlockText-Plain"/>
            </w:pPr>
          </w:p>
        </w:tc>
        <w:tc>
          <w:tcPr>
            <w:tcW w:w="567" w:type="dxa"/>
          </w:tcPr>
          <w:p w14:paraId="3FA82F14" w14:textId="77777777" w:rsidR="005F44BC" w:rsidRPr="00C9343F" w:rsidRDefault="005F44BC" w:rsidP="00F66D98">
            <w:pPr>
              <w:pStyle w:val="BlockText-Plain"/>
              <w:jc w:val="center"/>
            </w:pPr>
            <w:r w:rsidRPr="00C9343F">
              <w:t>d.</w:t>
            </w:r>
          </w:p>
        </w:tc>
        <w:tc>
          <w:tcPr>
            <w:tcW w:w="7800" w:type="dxa"/>
          </w:tcPr>
          <w:p w14:paraId="3222E4EA" w14:textId="77777777" w:rsidR="005F44BC" w:rsidRPr="00C9343F" w:rsidRDefault="005F44BC" w:rsidP="00F66D98">
            <w:pPr>
              <w:pStyle w:val="BlockText-Plain"/>
            </w:pPr>
            <w:r w:rsidRPr="00C9343F">
              <w:t>The day that is 12 months after the legal officer's last increment level advancement date.</w:t>
            </w:r>
          </w:p>
        </w:tc>
      </w:tr>
      <w:tr w:rsidR="0029723E" w:rsidRPr="00C9343F" w14:paraId="7EE9DF5E" w14:textId="77777777" w:rsidTr="003D5C1C">
        <w:tc>
          <w:tcPr>
            <w:tcW w:w="992" w:type="dxa"/>
          </w:tcPr>
          <w:p w14:paraId="0A5BB0E0" w14:textId="77777777" w:rsidR="0029723E" w:rsidRPr="00C9343F" w:rsidRDefault="0029723E" w:rsidP="00F66D98">
            <w:pPr>
              <w:pStyle w:val="BlockText-Plain"/>
              <w:jc w:val="center"/>
            </w:pPr>
            <w:r w:rsidRPr="00C9343F">
              <w:t>2.</w:t>
            </w:r>
          </w:p>
        </w:tc>
        <w:tc>
          <w:tcPr>
            <w:tcW w:w="8367" w:type="dxa"/>
            <w:gridSpan w:val="2"/>
          </w:tcPr>
          <w:p w14:paraId="7A9D4841" w14:textId="77777777" w:rsidR="0029723E" w:rsidRPr="00C9343F" w:rsidRDefault="0029723E" w:rsidP="00F66D98">
            <w:pPr>
              <w:pStyle w:val="BlockText-Plain"/>
            </w:pPr>
            <w:r w:rsidRPr="00C9343F">
              <w:t>On promotion, a legal officer retains the competency element of their legal level (LL1, 2, 3, 4 or 5) but is paid the lowest increment for that level at the new rank.</w:t>
            </w:r>
          </w:p>
        </w:tc>
      </w:tr>
      <w:tr w:rsidR="0029723E" w:rsidRPr="00C9343F" w14:paraId="16335915" w14:textId="77777777" w:rsidTr="003D5C1C">
        <w:tc>
          <w:tcPr>
            <w:tcW w:w="992" w:type="dxa"/>
          </w:tcPr>
          <w:p w14:paraId="6D2B1FCB" w14:textId="77777777" w:rsidR="0029723E" w:rsidRPr="00C9343F" w:rsidRDefault="0029723E" w:rsidP="00F66D98">
            <w:pPr>
              <w:pStyle w:val="BlockText-Plain"/>
              <w:jc w:val="center"/>
            </w:pPr>
          </w:p>
        </w:tc>
        <w:tc>
          <w:tcPr>
            <w:tcW w:w="8367" w:type="dxa"/>
            <w:gridSpan w:val="2"/>
          </w:tcPr>
          <w:p w14:paraId="2A6F9852" w14:textId="77777777" w:rsidR="0029723E" w:rsidRPr="00C9343F" w:rsidRDefault="0029723E" w:rsidP="00F66D98">
            <w:pPr>
              <w:pStyle w:val="BlockText-Plain"/>
            </w:pPr>
            <w:r w:rsidRPr="00C9343F">
              <w:rPr>
                <w:b/>
              </w:rPr>
              <w:t>Exception:</w:t>
            </w:r>
            <w:r w:rsidRPr="00C9343F">
              <w:t xml:space="preserve"> For a legal officer, the CDF may approve a salary above the minimum incremental rate in a legal level because of the member's relevant experience, qualifications and skills.</w:t>
            </w:r>
          </w:p>
        </w:tc>
      </w:tr>
      <w:tr w:rsidR="0029723E" w:rsidRPr="00C9343F" w14:paraId="065426DB" w14:textId="77777777" w:rsidTr="003D5C1C">
        <w:tc>
          <w:tcPr>
            <w:tcW w:w="992" w:type="dxa"/>
          </w:tcPr>
          <w:p w14:paraId="4AED458F" w14:textId="77777777" w:rsidR="0029723E" w:rsidRPr="00C9343F" w:rsidRDefault="0029723E" w:rsidP="00F66D98">
            <w:pPr>
              <w:pStyle w:val="BlockText-Plain"/>
              <w:jc w:val="center"/>
            </w:pPr>
            <w:r w:rsidRPr="00C9343F">
              <w:t>3.</w:t>
            </w:r>
          </w:p>
        </w:tc>
        <w:tc>
          <w:tcPr>
            <w:tcW w:w="8367" w:type="dxa"/>
            <w:gridSpan w:val="2"/>
          </w:tcPr>
          <w:p w14:paraId="0B924B01" w14:textId="77777777" w:rsidR="0029723E" w:rsidRPr="00C9343F" w:rsidRDefault="0029723E" w:rsidP="00F66D98">
            <w:pPr>
              <w:pStyle w:val="BlockText-Plain"/>
            </w:pPr>
            <w:r w:rsidRPr="00C9343F">
              <w:t>On advancement to a higher legal level under section 3.2.44, the legal officer's increment level is the bottom increment for that legal level.</w:t>
            </w:r>
          </w:p>
        </w:tc>
      </w:tr>
    </w:tbl>
    <w:p w14:paraId="26D8693B" w14:textId="4807B59B" w:rsidR="00591960" w:rsidRPr="00C9343F" w:rsidRDefault="00591960" w:rsidP="00F66D98">
      <w:pPr>
        <w:pStyle w:val="Heading5"/>
        <w:rPr>
          <w:color w:val="000000"/>
        </w:rPr>
      </w:pPr>
      <w:bookmarkStart w:id="485" w:name="_Toc105053706"/>
      <w:bookmarkStart w:id="486" w:name="_Hlk45256141"/>
      <w:r w:rsidRPr="00C9343F">
        <w:rPr>
          <w:color w:val="000000"/>
        </w:rPr>
        <w:t>3.2.44</w:t>
      </w:r>
      <w:r w:rsidR="00D94006" w:rsidRPr="00C9343F">
        <w:rPr>
          <w:color w:val="000000"/>
        </w:rPr>
        <w:t>    </w:t>
      </w:r>
      <w:bookmarkStart w:id="487" w:name="_Hlk45127893"/>
      <w:r w:rsidRPr="00C9343F">
        <w:rPr>
          <w:color w:val="000000"/>
        </w:rPr>
        <w:t>Competency levels – Chaplain and Maritime Spiritual Wellbeing Officer</w:t>
      </w:r>
      <w:bookmarkEnd w:id="487"/>
      <w:bookmarkEnd w:id="485"/>
    </w:p>
    <w:tbl>
      <w:tblPr>
        <w:tblW w:w="9364" w:type="dxa"/>
        <w:tblInd w:w="108" w:type="dxa"/>
        <w:tblLayout w:type="fixed"/>
        <w:tblLook w:val="0000" w:firstRow="0" w:lastRow="0" w:firstColumn="0" w:lastColumn="0" w:noHBand="0" w:noVBand="0"/>
      </w:tblPr>
      <w:tblGrid>
        <w:gridCol w:w="997"/>
        <w:gridCol w:w="567"/>
        <w:gridCol w:w="7800"/>
      </w:tblGrid>
      <w:tr w:rsidR="00591960" w:rsidRPr="00C9343F" w14:paraId="0173E0AB" w14:textId="77777777" w:rsidTr="00B15186">
        <w:tc>
          <w:tcPr>
            <w:tcW w:w="997" w:type="dxa"/>
          </w:tcPr>
          <w:p w14:paraId="5749B78D" w14:textId="77777777" w:rsidR="00591960" w:rsidRPr="00C9343F" w:rsidRDefault="00591960" w:rsidP="00F66D98">
            <w:pPr>
              <w:pStyle w:val="BlockText-Plain"/>
              <w:jc w:val="center"/>
              <w:rPr>
                <w:color w:val="000000"/>
              </w:rPr>
            </w:pPr>
            <w:r w:rsidRPr="00C9343F">
              <w:rPr>
                <w:color w:val="000000"/>
              </w:rPr>
              <w:t>1.</w:t>
            </w:r>
          </w:p>
        </w:tc>
        <w:tc>
          <w:tcPr>
            <w:tcW w:w="8367" w:type="dxa"/>
            <w:gridSpan w:val="2"/>
          </w:tcPr>
          <w:p w14:paraId="42138220" w14:textId="77777777" w:rsidR="00591960" w:rsidRPr="00C9343F" w:rsidRDefault="00591960" w:rsidP="00F66D98">
            <w:pPr>
              <w:pStyle w:val="BlockText-Plain"/>
            </w:pPr>
            <w:r w:rsidRPr="00C9343F">
              <w:t>A Chaplain or Maritime Spiritual Wellbeing Officer is placed in a competency level by the CDF based on the member's relevant experience, qualifications and skills.</w:t>
            </w:r>
          </w:p>
        </w:tc>
      </w:tr>
      <w:tr w:rsidR="00591960" w:rsidRPr="00C9343F" w14:paraId="5BDF9FA2" w14:textId="77777777" w:rsidTr="00B15186">
        <w:tc>
          <w:tcPr>
            <w:tcW w:w="997" w:type="dxa"/>
          </w:tcPr>
          <w:p w14:paraId="557EA7D5" w14:textId="77777777" w:rsidR="00591960" w:rsidRPr="00C9343F" w:rsidRDefault="00591960" w:rsidP="00F66D98">
            <w:pPr>
              <w:pStyle w:val="BlockText-Plain"/>
              <w:jc w:val="center"/>
              <w:rPr>
                <w:color w:val="000000"/>
              </w:rPr>
            </w:pPr>
            <w:r w:rsidRPr="00C9343F">
              <w:rPr>
                <w:color w:val="000000"/>
              </w:rPr>
              <w:t>2.</w:t>
            </w:r>
          </w:p>
        </w:tc>
        <w:tc>
          <w:tcPr>
            <w:tcW w:w="8367" w:type="dxa"/>
            <w:gridSpan w:val="2"/>
          </w:tcPr>
          <w:p w14:paraId="76F97A8E" w14:textId="77777777" w:rsidR="00591960" w:rsidRPr="00C9343F" w:rsidRDefault="00591960" w:rsidP="00F66D98">
            <w:pPr>
              <w:pStyle w:val="BlockText-Plain"/>
            </w:pPr>
            <w:r w:rsidRPr="00C9343F">
              <w:t>A Chaplain or Maritime Spiritual Wellbeing Officer may be placed in or advanced to a higher competency level if the CDF is satisfied that the officer meets the requirements for that competency level.</w:t>
            </w:r>
          </w:p>
        </w:tc>
      </w:tr>
      <w:bookmarkEnd w:id="486"/>
      <w:tr w:rsidR="00591960" w:rsidRPr="00C9343F" w14:paraId="7AB5E640" w14:textId="77777777" w:rsidTr="00F403AF">
        <w:tc>
          <w:tcPr>
            <w:tcW w:w="997" w:type="dxa"/>
            <w:shd w:val="clear" w:color="auto" w:fill="auto"/>
          </w:tcPr>
          <w:p w14:paraId="2CFBE20B" w14:textId="77777777" w:rsidR="00591960" w:rsidRPr="00C9343F" w:rsidRDefault="00591960" w:rsidP="00F66D98">
            <w:pPr>
              <w:pStyle w:val="BlockText-Plain"/>
              <w:jc w:val="center"/>
              <w:rPr>
                <w:color w:val="000000"/>
              </w:rPr>
            </w:pPr>
            <w:r w:rsidRPr="00C9343F">
              <w:rPr>
                <w:color w:val="000000"/>
              </w:rPr>
              <w:t>3.</w:t>
            </w:r>
          </w:p>
        </w:tc>
        <w:tc>
          <w:tcPr>
            <w:tcW w:w="8367" w:type="dxa"/>
            <w:gridSpan w:val="2"/>
            <w:shd w:val="clear" w:color="auto" w:fill="auto"/>
          </w:tcPr>
          <w:p w14:paraId="561B91D1" w14:textId="77777777" w:rsidR="00591960" w:rsidRPr="00C9343F" w:rsidRDefault="00591960" w:rsidP="00F66D98">
            <w:pPr>
              <w:pStyle w:val="BlockText-Plain"/>
              <w:rPr>
                <w:color w:val="000000"/>
              </w:rPr>
            </w:pPr>
            <w:r w:rsidRPr="00C9343F">
              <w:rPr>
                <w:color w:val="000000"/>
              </w:rPr>
              <w:t>A Chaplain or Maritime Spiritual Wellbeing Officer may advance to competency level 3 if the CDF is satisfied that the officer meets both of the following.</w:t>
            </w:r>
          </w:p>
        </w:tc>
      </w:tr>
      <w:tr w:rsidR="00591960" w:rsidRPr="00C9343F" w14:paraId="592564EA" w14:textId="77777777" w:rsidTr="00F403AF">
        <w:trPr>
          <w:cantSplit/>
        </w:trPr>
        <w:tc>
          <w:tcPr>
            <w:tcW w:w="997" w:type="dxa"/>
            <w:shd w:val="clear" w:color="auto" w:fill="auto"/>
          </w:tcPr>
          <w:p w14:paraId="2F4F1199" w14:textId="77777777" w:rsidR="00591960" w:rsidRPr="00C9343F" w:rsidRDefault="00591960" w:rsidP="00F66D98">
            <w:pPr>
              <w:pStyle w:val="BlockText-Plain"/>
              <w:rPr>
                <w:color w:val="000000"/>
              </w:rPr>
            </w:pPr>
          </w:p>
        </w:tc>
        <w:tc>
          <w:tcPr>
            <w:tcW w:w="567" w:type="dxa"/>
            <w:shd w:val="clear" w:color="auto" w:fill="auto"/>
          </w:tcPr>
          <w:p w14:paraId="0762E73D" w14:textId="77777777" w:rsidR="00591960" w:rsidRPr="00C9343F" w:rsidRDefault="00591960" w:rsidP="007114B1">
            <w:pPr>
              <w:pStyle w:val="BlockText-Plain"/>
              <w:jc w:val="center"/>
              <w:rPr>
                <w:color w:val="000000"/>
              </w:rPr>
            </w:pPr>
            <w:r w:rsidRPr="00C9343F">
              <w:rPr>
                <w:color w:val="000000"/>
              </w:rPr>
              <w:t>a.</w:t>
            </w:r>
          </w:p>
        </w:tc>
        <w:tc>
          <w:tcPr>
            <w:tcW w:w="7800" w:type="dxa"/>
            <w:shd w:val="clear" w:color="auto" w:fill="auto"/>
          </w:tcPr>
          <w:p w14:paraId="784DBBAA" w14:textId="77777777" w:rsidR="00591960" w:rsidRPr="00C9343F" w:rsidRDefault="00591960" w:rsidP="00F66D98">
            <w:pPr>
              <w:pStyle w:val="BlockText-Plain"/>
              <w:rPr>
                <w:color w:val="000000"/>
              </w:rPr>
            </w:pPr>
            <w:r w:rsidRPr="00C9343F">
              <w:rPr>
                <w:color w:val="000000"/>
              </w:rPr>
              <w:t>The officer meets the requirements for competency level 3.</w:t>
            </w:r>
          </w:p>
        </w:tc>
      </w:tr>
      <w:tr w:rsidR="00591960" w:rsidRPr="00C9343F" w14:paraId="3C38DBD0" w14:textId="77777777" w:rsidTr="00F403AF">
        <w:trPr>
          <w:cantSplit/>
        </w:trPr>
        <w:tc>
          <w:tcPr>
            <w:tcW w:w="997" w:type="dxa"/>
            <w:shd w:val="clear" w:color="auto" w:fill="auto"/>
          </w:tcPr>
          <w:p w14:paraId="0A9D3E1A" w14:textId="77777777" w:rsidR="00591960" w:rsidRPr="00C9343F" w:rsidRDefault="00591960" w:rsidP="00F66D98">
            <w:pPr>
              <w:pStyle w:val="BlockText-Plain"/>
              <w:rPr>
                <w:color w:val="000000"/>
              </w:rPr>
            </w:pPr>
          </w:p>
        </w:tc>
        <w:tc>
          <w:tcPr>
            <w:tcW w:w="567" w:type="dxa"/>
            <w:shd w:val="clear" w:color="auto" w:fill="auto"/>
          </w:tcPr>
          <w:p w14:paraId="4D641DCC" w14:textId="77777777" w:rsidR="00591960" w:rsidRPr="00C9343F" w:rsidRDefault="00591960" w:rsidP="007114B1">
            <w:pPr>
              <w:pStyle w:val="BlockText-Plain"/>
              <w:jc w:val="center"/>
              <w:rPr>
                <w:color w:val="000000"/>
              </w:rPr>
            </w:pPr>
            <w:r w:rsidRPr="00C9343F">
              <w:rPr>
                <w:color w:val="000000"/>
              </w:rPr>
              <w:t>b.</w:t>
            </w:r>
          </w:p>
        </w:tc>
        <w:tc>
          <w:tcPr>
            <w:tcW w:w="7800" w:type="dxa"/>
            <w:shd w:val="clear" w:color="auto" w:fill="auto"/>
          </w:tcPr>
          <w:p w14:paraId="14D7F759" w14:textId="77777777" w:rsidR="00591960" w:rsidRPr="00C9343F" w:rsidRDefault="00591960" w:rsidP="00F66D98">
            <w:pPr>
              <w:pStyle w:val="BlockText-Plain"/>
              <w:rPr>
                <w:color w:val="000000"/>
              </w:rPr>
            </w:pPr>
            <w:r w:rsidRPr="00C9343F">
              <w:rPr>
                <w:color w:val="000000"/>
              </w:rPr>
              <w:t>The officer is posted to a position that requires competency level 3.</w:t>
            </w:r>
          </w:p>
        </w:tc>
      </w:tr>
    </w:tbl>
    <w:p w14:paraId="6C55832A" w14:textId="1CB9DA22" w:rsidR="005F44BC" w:rsidRPr="00C9343F" w:rsidRDefault="005F44BC" w:rsidP="00F66D98">
      <w:pPr>
        <w:pStyle w:val="Heading5"/>
      </w:pPr>
      <w:bookmarkStart w:id="488" w:name="_Toc105053707"/>
      <w:bookmarkStart w:id="489" w:name="bk41036PM3236Competencylevelsdentaloffi"/>
      <w:bookmarkStart w:id="490" w:name="bk182135B36Competencylevelslegalofficer"/>
      <w:bookmarkStart w:id="491" w:name="bk182206B36Competencylevelslegalofficer"/>
      <w:bookmarkStart w:id="492" w:name="bk110526B36Competencylevelslegalofficer"/>
      <w:bookmarkStart w:id="493" w:name="bk110556B36Competencylevelslegalofficer"/>
      <w:bookmarkEnd w:id="477"/>
      <w:bookmarkEnd w:id="478"/>
      <w:bookmarkEnd w:id="479"/>
      <w:bookmarkEnd w:id="480"/>
      <w:r w:rsidRPr="00C9343F">
        <w:t>3.2.45</w:t>
      </w:r>
      <w:r w:rsidR="00D94006" w:rsidRPr="00C9343F">
        <w:t>    </w:t>
      </w:r>
      <w:r w:rsidRPr="00C9343F">
        <w:t>Dental levels – dental officer</w:t>
      </w:r>
      <w:bookmarkEnd w:id="488"/>
    </w:p>
    <w:tbl>
      <w:tblPr>
        <w:tblW w:w="9359" w:type="dxa"/>
        <w:tblInd w:w="113" w:type="dxa"/>
        <w:tblLayout w:type="fixed"/>
        <w:tblLook w:val="0000" w:firstRow="0" w:lastRow="0" w:firstColumn="0" w:lastColumn="0" w:noHBand="0" w:noVBand="0"/>
      </w:tblPr>
      <w:tblGrid>
        <w:gridCol w:w="992"/>
        <w:gridCol w:w="8367"/>
      </w:tblGrid>
      <w:tr w:rsidR="005F44BC" w:rsidRPr="00C9343F" w14:paraId="7E1E8AF9" w14:textId="77777777" w:rsidTr="00762D4B">
        <w:tc>
          <w:tcPr>
            <w:tcW w:w="992" w:type="dxa"/>
          </w:tcPr>
          <w:bookmarkEnd w:id="489"/>
          <w:p w14:paraId="2795E2D6" w14:textId="77777777" w:rsidR="005F44BC" w:rsidRPr="00C9343F" w:rsidRDefault="005F44BC" w:rsidP="00F66D98">
            <w:pPr>
              <w:pStyle w:val="BlockText-Plain"/>
              <w:jc w:val="center"/>
            </w:pPr>
            <w:r w:rsidRPr="00C9343F">
              <w:t>1.</w:t>
            </w:r>
          </w:p>
        </w:tc>
        <w:tc>
          <w:tcPr>
            <w:tcW w:w="8367" w:type="dxa"/>
          </w:tcPr>
          <w:p w14:paraId="3C2BF9E5" w14:textId="77777777" w:rsidR="005F44BC" w:rsidRPr="00C9343F" w:rsidRDefault="005F44BC" w:rsidP="00F66D98">
            <w:pPr>
              <w:pStyle w:val="BlockText-Plain"/>
            </w:pPr>
            <w:r w:rsidRPr="00C9343F">
              <w:t>The CDF may approve the qualification, skill and experience requirements for a dental level.</w:t>
            </w:r>
          </w:p>
        </w:tc>
      </w:tr>
      <w:tr w:rsidR="005F44BC" w:rsidRPr="00C9343F" w14:paraId="61A372B9" w14:textId="77777777" w:rsidTr="00762D4B">
        <w:tc>
          <w:tcPr>
            <w:tcW w:w="992" w:type="dxa"/>
          </w:tcPr>
          <w:p w14:paraId="74C668EA" w14:textId="77777777" w:rsidR="005F44BC" w:rsidRPr="00C9343F" w:rsidRDefault="005F44BC" w:rsidP="00F66D98">
            <w:pPr>
              <w:pStyle w:val="BlockText-Plain"/>
              <w:jc w:val="center"/>
            </w:pPr>
            <w:r w:rsidRPr="00C9343F">
              <w:t>2.</w:t>
            </w:r>
          </w:p>
        </w:tc>
        <w:tc>
          <w:tcPr>
            <w:tcW w:w="8367" w:type="dxa"/>
          </w:tcPr>
          <w:p w14:paraId="7AB3DFF3" w14:textId="77777777" w:rsidR="005F44BC" w:rsidRPr="00C9343F" w:rsidRDefault="005F44BC" w:rsidP="00F66D98">
            <w:pPr>
              <w:pStyle w:val="BlockText-Plain"/>
            </w:pPr>
            <w:r w:rsidRPr="00C9343F">
              <w:t>The CDF may designate a position as requiring a specific dental level.</w:t>
            </w:r>
          </w:p>
        </w:tc>
      </w:tr>
      <w:tr w:rsidR="005F44BC" w:rsidRPr="00C9343F" w14:paraId="5FF46126" w14:textId="77777777" w:rsidTr="00762D4B">
        <w:tc>
          <w:tcPr>
            <w:tcW w:w="992" w:type="dxa"/>
          </w:tcPr>
          <w:p w14:paraId="640225AA" w14:textId="77777777" w:rsidR="005F44BC" w:rsidRPr="00C9343F" w:rsidRDefault="005F44BC" w:rsidP="00F66D98">
            <w:pPr>
              <w:pStyle w:val="BlockText-Plain"/>
              <w:jc w:val="center"/>
            </w:pPr>
            <w:r w:rsidRPr="00C9343F">
              <w:t>3.</w:t>
            </w:r>
          </w:p>
        </w:tc>
        <w:tc>
          <w:tcPr>
            <w:tcW w:w="8367" w:type="dxa"/>
          </w:tcPr>
          <w:p w14:paraId="416BCF16" w14:textId="77777777" w:rsidR="005F44BC" w:rsidRPr="00C9343F" w:rsidRDefault="005F44BC" w:rsidP="00F66D98">
            <w:pPr>
              <w:pStyle w:val="BlockText-Plain"/>
            </w:pPr>
            <w:r w:rsidRPr="00C9343F">
              <w:t>A dental officer may only advance to a higher dental level if the CDF is satisfied that the officer meets the requirements for that dental level.</w:t>
            </w:r>
          </w:p>
        </w:tc>
      </w:tr>
      <w:tr w:rsidR="005F44BC" w:rsidRPr="00C9343F" w14:paraId="3CFF2645" w14:textId="77777777" w:rsidTr="00762D4B">
        <w:tc>
          <w:tcPr>
            <w:tcW w:w="992" w:type="dxa"/>
          </w:tcPr>
          <w:p w14:paraId="3D3FC6B2" w14:textId="77777777" w:rsidR="005F44BC" w:rsidRPr="00C9343F" w:rsidRDefault="005F44BC" w:rsidP="00F66D98">
            <w:pPr>
              <w:pStyle w:val="BlockText-Plain"/>
              <w:jc w:val="center"/>
            </w:pPr>
            <w:r w:rsidRPr="00C9343F">
              <w:t>4.</w:t>
            </w:r>
          </w:p>
        </w:tc>
        <w:tc>
          <w:tcPr>
            <w:tcW w:w="8367" w:type="dxa"/>
          </w:tcPr>
          <w:p w14:paraId="52B676FA" w14:textId="77777777" w:rsidR="005F44BC" w:rsidRPr="00C9343F" w:rsidRDefault="005F44BC" w:rsidP="00F66D98">
            <w:pPr>
              <w:pStyle w:val="BlockText-Plain"/>
            </w:pPr>
            <w:r w:rsidRPr="00C9343F">
              <w:t xml:space="preserve">A dental officer who holds the honorary rank of dental officer in the Army Reserve is taken to be a Captain for the purpose of determining the relevant rate of salary for the officer under Part 2 of Schedule B.6 of DFRT Determination No. </w:t>
            </w:r>
            <w:r w:rsidR="002A2A83" w:rsidRPr="00C9343F">
              <w:t>2 of 2017</w:t>
            </w:r>
            <w:r w:rsidRPr="00C9343F">
              <w:t xml:space="preserve">, </w:t>
            </w:r>
            <w:r w:rsidRPr="00C9343F">
              <w:rPr>
                <w:i/>
              </w:rPr>
              <w:t>Salaries</w:t>
            </w:r>
            <w:r w:rsidRPr="00C9343F">
              <w:t>.</w:t>
            </w:r>
          </w:p>
        </w:tc>
      </w:tr>
    </w:tbl>
    <w:p w14:paraId="33B12C58" w14:textId="00EDE54F" w:rsidR="005F44BC" w:rsidRPr="00C9343F" w:rsidRDefault="005F44BC" w:rsidP="00F66D98">
      <w:pPr>
        <w:pStyle w:val="Heading5"/>
        <w:rPr>
          <w:color w:val="000000"/>
        </w:rPr>
      </w:pPr>
      <w:bookmarkStart w:id="494" w:name="_Toc105053708"/>
      <w:r w:rsidRPr="00C9343F">
        <w:rPr>
          <w:color w:val="000000"/>
        </w:rPr>
        <w:t>3.2.46</w:t>
      </w:r>
      <w:r w:rsidR="00D94006" w:rsidRPr="00C9343F">
        <w:rPr>
          <w:color w:val="000000"/>
        </w:rPr>
        <w:t>    </w:t>
      </w:r>
      <w:r w:rsidRPr="00C9343F">
        <w:rPr>
          <w:color w:val="000000"/>
        </w:rPr>
        <w:t>Legal levels – legal officer</w:t>
      </w:r>
      <w:bookmarkEnd w:id="494"/>
    </w:p>
    <w:tbl>
      <w:tblPr>
        <w:tblW w:w="0" w:type="auto"/>
        <w:tblInd w:w="113" w:type="dxa"/>
        <w:tblLayout w:type="fixed"/>
        <w:tblLook w:val="0000" w:firstRow="0" w:lastRow="0" w:firstColumn="0" w:lastColumn="0" w:noHBand="0" w:noVBand="0"/>
      </w:tblPr>
      <w:tblGrid>
        <w:gridCol w:w="992"/>
        <w:gridCol w:w="567"/>
        <w:gridCol w:w="7800"/>
      </w:tblGrid>
      <w:tr w:rsidR="005F44BC" w:rsidRPr="00C9343F" w14:paraId="28E980E2" w14:textId="77777777" w:rsidTr="005F44BC">
        <w:tc>
          <w:tcPr>
            <w:tcW w:w="992" w:type="dxa"/>
          </w:tcPr>
          <w:bookmarkEnd w:id="490"/>
          <w:bookmarkEnd w:id="491"/>
          <w:bookmarkEnd w:id="492"/>
          <w:bookmarkEnd w:id="493"/>
          <w:p w14:paraId="2EFEFDF1" w14:textId="77777777" w:rsidR="005F44BC" w:rsidRPr="00C9343F" w:rsidRDefault="005F44BC" w:rsidP="00F66D98">
            <w:pPr>
              <w:pStyle w:val="BlockText-Plain"/>
              <w:jc w:val="center"/>
              <w:rPr>
                <w:color w:val="000000"/>
              </w:rPr>
            </w:pPr>
            <w:r w:rsidRPr="00C9343F">
              <w:rPr>
                <w:color w:val="000000"/>
              </w:rPr>
              <w:t>1.</w:t>
            </w:r>
          </w:p>
        </w:tc>
        <w:tc>
          <w:tcPr>
            <w:tcW w:w="8367" w:type="dxa"/>
            <w:gridSpan w:val="2"/>
          </w:tcPr>
          <w:p w14:paraId="0760D574" w14:textId="77777777" w:rsidR="005F44BC" w:rsidRPr="00C9343F" w:rsidRDefault="005F44BC" w:rsidP="00F66D98">
            <w:pPr>
              <w:pStyle w:val="BlockText-Plain"/>
              <w:rPr>
                <w:color w:val="000000"/>
              </w:rPr>
            </w:pPr>
            <w:r w:rsidRPr="00C9343F">
              <w:rPr>
                <w:color w:val="000000"/>
              </w:rPr>
              <w:t>The CDF may approve the qualification, skill and experience requirements for a legal level for legal officers.</w:t>
            </w:r>
          </w:p>
        </w:tc>
      </w:tr>
      <w:tr w:rsidR="005F44BC" w:rsidRPr="00C9343F" w14:paraId="7778E876" w14:textId="77777777" w:rsidTr="005F44BC">
        <w:tc>
          <w:tcPr>
            <w:tcW w:w="992" w:type="dxa"/>
          </w:tcPr>
          <w:p w14:paraId="21022B5B" w14:textId="77777777" w:rsidR="005F44BC" w:rsidRPr="00C9343F" w:rsidRDefault="005F44BC" w:rsidP="00F66D98">
            <w:pPr>
              <w:pStyle w:val="BlockText-Plain"/>
              <w:jc w:val="center"/>
              <w:rPr>
                <w:color w:val="000000"/>
              </w:rPr>
            </w:pPr>
            <w:r w:rsidRPr="00C9343F">
              <w:rPr>
                <w:color w:val="000000"/>
              </w:rPr>
              <w:t>2.</w:t>
            </w:r>
          </w:p>
        </w:tc>
        <w:tc>
          <w:tcPr>
            <w:tcW w:w="8367" w:type="dxa"/>
            <w:gridSpan w:val="2"/>
          </w:tcPr>
          <w:p w14:paraId="6B45FFF2" w14:textId="77777777" w:rsidR="005F44BC" w:rsidRPr="00C9343F" w:rsidRDefault="005F44BC" w:rsidP="00F66D98">
            <w:pPr>
              <w:pStyle w:val="BlockText-Plain"/>
              <w:rPr>
                <w:color w:val="000000"/>
              </w:rPr>
            </w:pPr>
            <w:r w:rsidRPr="00C9343F">
              <w:rPr>
                <w:color w:val="000000"/>
              </w:rPr>
              <w:t>The CDF may designate a position as requiring a specific legal level.</w:t>
            </w:r>
          </w:p>
        </w:tc>
      </w:tr>
      <w:tr w:rsidR="005F44BC" w:rsidRPr="00C9343F" w14:paraId="2F7A1CAC" w14:textId="77777777" w:rsidTr="005F44BC">
        <w:tc>
          <w:tcPr>
            <w:tcW w:w="992" w:type="dxa"/>
          </w:tcPr>
          <w:p w14:paraId="747AF951" w14:textId="77777777" w:rsidR="005F44BC" w:rsidRPr="00C9343F" w:rsidRDefault="005F44BC" w:rsidP="00F66D98">
            <w:pPr>
              <w:pStyle w:val="BlockText-Plain"/>
              <w:jc w:val="center"/>
              <w:rPr>
                <w:color w:val="000000"/>
              </w:rPr>
            </w:pPr>
            <w:r w:rsidRPr="00C9343F">
              <w:lastRenderedPageBreak/>
              <w:t>3.</w:t>
            </w:r>
          </w:p>
        </w:tc>
        <w:tc>
          <w:tcPr>
            <w:tcW w:w="8367" w:type="dxa"/>
            <w:gridSpan w:val="2"/>
          </w:tcPr>
          <w:p w14:paraId="2CBB7B68" w14:textId="77777777" w:rsidR="005F44BC" w:rsidRPr="00C9343F" w:rsidRDefault="005F44BC" w:rsidP="00F66D98">
            <w:pPr>
              <w:pStyle w:val="BlockText-Plain"/>
              <w:rPr>
                <w:color w:val="000000"/>
              </w:rPr>
            </w:pPr>
            <w:r w:rsidRPr="00C9343F">
              <w:t xml:space="preserve">A legal officer holding legal level 1 or 2 may only advance to a higher legal level if the CDF is satisfied that the legal officer meets the professional requirements for the legal level. </w:t>
            </w:r>
          </w:p>
        </w:tc>
      </w:tr>
      <w:tr w:rsidR="005F44BC" w:rsidRPr="00C9343F" w14:paraId="06C8E783" w14:textId="77777777" w:rsidTr="005F44BC">
        <w:tc>
          <w:tcPr>
            <w:tcW w:w="992" w:type="dxa"/>
          </w:tcPr>
          <w:p w14:paraId="7AAACECB" w14:textId="77777777" w:rsidR="005F44BC" w:rsidRPr="00C9343F" w:rsidRDefault="005F44BC" w:rsidP="00F66D98">
            <w:pPr>
              <w:pStyle w:val="BlockText-Plain"/>
              <w:jc w:val="center"/>
              <w:rPr>
                <w:color w:val="000000"/>
              </w:rPr>
            </w:pPr>
            <w:r w:rsidRPr="00C9343F">
              <w:t>4.</w:t>
            </w:r>
          </w:p>
        </w:tc>
        <w:tc>
          <w:tcPr>
            <w:tcW w:w="8367" w:type="dxa"/>
            <w:gridSpan w:val="2"/>
          </w:tcPr>
          <w:p w14:paraId="05CC398F" w14:textId="77777777" w:rsidR="005F44BC" w:rsidRPr="00C9343F" w:rsidRDefault="005F44BC" w:rsidP="00F66D98">
            <w:pPr>
              <w:pStyle w:val="BlockText-Plain"/>
              <w:rPr>
                <w:color w:val="000000"/>
              </w:rPr>
            </w:pPr>
            <w:r w:rsidRPr="00C9343F">
              <w:t>A legal officer holding legal level 3 or 4 may only advance to a higher legal level if the officer meets both of the following conditions.</w:t>
            </w:r>
          </w:p>
        </w:tc>
      </w:tr>
      <w:tr w:rsidR="005F44BC" w:rsidRPr="00C9343F" w14:paraId="1BF108D2" w14:textId="77777777" w:rsidTr="005F44BC">
        <w:trPr>
          <w:cantSplit/>
        </w:trPr>
        <w:tc>
          <w:tcPr>
            <w:tcW w:w="992" w:type="dxa"/>
          </w:tcPr>
          <w:p w14:paraId="646647C8" w14:textId="77777777" w:rsidR="005F44BC" w:rsidRPr="00C9343F" w:rsidRDefault="005F44BC" w:rsidP="00F66D98">
            <w:pPr>
              <w:pStyle w:val="BlockText-Plain"/>
              <w:rPr>
                <w:color w:val="000000"/>
              </w:rPr>
            </w:pPr>
          </w:p>
        </w:tc>
        <w:tc>
          <w:tcPr>
            <w:tcW w:w="567" w:type="dxa"/>
          </w:tcPr>
          <w:p w14:paraId="42DCB087" w14:textId="77777777" w:rsidR="005F44BC" w:rsidRPr="00C9343F" w:rsidRDefault="005F44BC" w:rsidP="007114B1">
            <w:pPr>
              <w:pStyle w:val="BlockText-Plain"/>
              <w:jc w:val="center"/>
              <w:rPr>
                <w:color w:val="000000"/>
              </w:rPr>
            </w:pPr>
            <w:r w:rsidRPr="00C9343F">
              <w:t>a.</w:t>
            </w:r>
          </w:p>
        </w:tc>
        <w:tc>
          <w:tcPr>
            <w:tcW w:w="7800" w:type="dxa"/>
          </w:tcPr>
          <w:p w14:paraId="276D01F6" w14:textId="77777777" w:rsidR="005F44BC" w:rsidRPr="00C9343F" w:rsidRDefault="005F44BC" w:rsidP="00F66D98">
            <w:pPr>
              <w:pStyle w:val="BlockText-Plain"/>
              <w:rPr>
                <w:color w:val="000000"/>
              </w:rPr>
            </w:pPr>
            <w:r w:rsidRPr="00C9343F">
              <w:t>The CDF is satisfied that the legal officer meets the professional requirements for the legal level.</w:t>
            </w:r>
          </w:p>
        </w:tc>
      </w:tr>
      <w:tr w:rsidR="005F44BC" w:rsidRPr="00C9343F" w14:paraId="18E740E2" w14:textId="77777777" w:rsidTr="005F44BC">
        <w:trPr>
          <w:cantSplit/>
        </w:trPr>
        <w:tc>
          <w:tcPr>
            <w:tcW w:w="992" w:type="dxa"/>
          </w:tcPr>
          <w:p w14:paraId="08EC1A96" w14:textId="77777777" w:rsidR="005F44BC" w:rsidRPr="00C9343F" w:rsidRDefault="005F44BC" w:rsidP="00F66D98">
            <w:pPr>
              <w:pStyle w:val="BlockText-Plain"/>
              <w:rPr>
                <w:color w:val="000000"/>
              </w:rPr>
            </w:pPr>
          </w:p>
        </w:tc>
        <w:tc>
          <w:tcPr>
            <w:tcW w:w="567" w:type="dxa"/>
          </w:tcPr>
          <w:p w14:paraId="64C4AC1B" w14:textId="77777777" w:rsidR="005F44BC" w:rsidRPr="00C9343F" w:rsidRDefault="005F44BC" w:rsidP="007114B1">
            <w:pPr>
              <w:pStyle w:val="BlockText-Plain"/>
              <w:jc w:val="center"/>
              <w:rPr>
                <w:color w:val="000000"/>
              </w:rPr>
            </w:pPr>
            <w:r w:rsidRPr="00C9343F">
              <w:t>b.</w:t>
            </w:r>
          </w:p>
        </w:tc>
        <w:tc>
          <w:tcPr>
            <w:tcW w:w="7800" w:type="dxa"/>
          </w:tcPr>
          <w:p w14:paraId="680B69D0" w14:textId="77777777" w:rsidR="005F44BC" w:rsidRPr="00C9343F" w:rsidRDefault="005F44BC" w:rsidP="00F66D98">
            <w:pPr>
              <w:pStyle w:val="BlockText-Plain"/>
              <w:rPr>
                <w:color w:val="000000"/>
              </w:rPr>
            </w:pPr>
            <w:r w:rsidRPr="00C9343F">
              <w:t>The Chief of the member's Service is satisfied that the legal officer is posted to a position that requires that legal level.</w:t>
            </w:r>
          </w:p>
        </w:tc>
      </w:tr>
    </w:tbl>
    <w:p w14:paraId="7AB0DC4A" w14:textId="62382722" w:rsidR="005F44BC" w:rsidRPr="00C9343F" w:rsidRDefault="005F44BC" w:rsidP="00F66D98">
      <w:pPr>
        <w:pStyle w:val="Heading5"/>
      </w:pPr>
      <w:bookmarkStart w:id="495" w:name="_Toc105053709"/>
      <w:bookmarkStart w:id="496" w:name="bk182135B39Competencylevelsmedicaloffic"/>
      <w:bookmarkStart w:id="497" w:name="bk182206B39Competencylevelsmedicaloffic"/>
      <w:bookmarkStart w:id="498" w:name="bk110526B37Competencylevelsmedicaloffic"/>
      <w:bookmarkStart w:id="499" w:name="bk110556B37Competencylevelsmedicaloffic"/>
      <w:r w:rsidRPr="00C9343F">
        <w:t>3.2.47</w:t>
      </w:r>
      <w:r w:rsidR="00D94006" w:rsidRPr="00C9343F">
        <w:rPr>
          <w:color w:val="000000"/>
        </w:rPr>
        <w:t>    </w:t>
      </w:r>
      <w:r w:rsidR="000577E2" w:rsidRPr="00C9343F">
        <w:rPr>
          <w:color w:val="000000"/>
        </w:rPr>
        <w:t xml:space="preserve">Military </w:t>
      </w:r>
      <w:r w:rsidR="000577E2" w:rsidRPr="00C9343F">
        <w:t>m</w:t>
      </w:r>
      <w:r w:rsidRPr="00C9343F">
        <w:t>edical levels – medical officer</w:t>
      </w:r>
      <w:bookmarkEnd w:id="495"/>
    </w:p>
    <w:tbl>
      <w:tblPr>
        <w:tblW w:w="9355" w:type="dxa"/>
        <w:tblInd w:w="113" w:type="dxa"/>
        <w:tblLayout w:type="fixed"/>
        <w:tblLook w:val="0000" w:firstRow="0" w:lastRow="0" w:firstColumn="0" w:lastColumn="0" w:noHBand="0" w:noVBand="0"/>
      </w:tblPr>
      <w:tblGrid>
        <w:gridCol w:w="992"/>
        <w:gridCol w:w="8363"/>
      </w:tblGrid>
      <w:tr w:rsidR="000577E2" w:rsidRPr="00C9343F" w14:paraId="7BBA2285" w14:textId="77777777" w:rsidTr="000577E2">
        <w:tc>
          <w:tcPr>
            <w:tcW w:w="992" w:type="dxa"/>
          </w:tcPr>
          <w:bookmarkEnd w:id="496"/>
          <w:bookmarkEnd w:id="497"/>
          <w:bookmarkEnd w:id="498"/>
          <w:bookmarkEnd w:id="499"/>
          <w:p w14:paraId="04FEC0C5" w14:textId="77777777" w:rsidR="000577E2" w:rsidRPr="00C9343F" w:rsidRDefault="000577E2" w:rsidP="00F66D98">
            <w:pPr>
              <w:pStyle w:val="BlockText-Plain"/>
              <w:jc w:val="center"/>
            </w:pPr>
            <w:r w:rsidRPr="00C9343F">
              <w:t>1.</w:t>
            </w:r>
          </w:p>
        </w:tc>
        <w:tc>
          <w:tcPr>
            <w:tcW w:w="8363" w:type="dxa"/>
          </w:tcPr>
          <w:p w14:paraId="3C35EC61" w14:textId="77777777" w:rsidR="000577E2" w:rsidRPr="00C9343F" w:rsidRDefault="000577E2" w:rsidP="00F66D98">
            <w:pPr>
              <w:pStyle w:val="BlockText-Plain"/>
            </w:pPr>
            <w:r w:rsidRPr="00C9343F">
              <w:t>A medical officer is placed in a higher military medical level by the CDF based on the member’s relevant experience, qualifications and skills.</w:t>
            </w:r>
          </w:p>
        </w:tc>
      </w:tr>
      <w:tr w:rsidR="000577E2" w:rsidRPr="00C9343F" w14:paraId="4E49E051" w14:textId="77777777" w:rsidTr="000577E2">
        <w:tc>
          <w:tcPr>
            <w:tcW w:w="992" w:type="dxa"/>
          </w:tcPr>
          <w:p w14:paraId="2ECB4DFD" w14:textId="77777777" w:rsidR="000577E2" w:rsidRPr="00C9343F" w:rsidRDefault="000577E2" w:rsidP="00F66D98">
            <w:pPr>
              <w:pStyle w:val="BlockText-Plain"/>
              <w:jc w:val="center"/>
            </w:pPr>
            <w:r w:rsidRPr="00C9343F">
              <w:t>2.</w:t>
            </w:r>
          </w:p>
        </w:tc>
        <w:tc>
          <w:tcPr>
            <w:tcW w:w="8363" w:type="dxa"/>
          </w:tcPr>
          <w:p w14:paraId="487BBE8C" w14:textId="77777777" w:rsidR="000577E2" w:rsidRPr="00C9343F" w:rsidRDefault="000577E2" w:rsidP="00F66D98">
            <w:pPr>
              <w:pStyle w:val="BlockText-Plain"/>
            </w:pPr>
            <w:r w:rsidRPr="00C9343F">
              <w:t>A medical officer advances to a higher military medical level if the CDF is satisfied that the officer meets the requirements for that military medical level.</w:t>
            </w:r>
          </w:p>
        </w:tc>
      </w:tr>
      <w:tr w:rsidR="000577E2" w:rsidRPr="00C9343F" w14:paraId="2D5ED84F" w14:textId="77777777" w:rsidTr="000577E2">
        <w:tc>
          <w:tcPr>
            <w:tcW w:w="992" w:type="dxa"/>
          </w:tcPr>
          <w:p w14:paraId="032F6D01" w14:textId="77777777" w:rsidR="000577E2" w:rsidRPr="00C9343F" w:rsidRDefault="000577E2" w:rsidP="00F66D98">
            <w:pPr>
              <w:pStyle w:val="BlockText-Plain"/>
              <w:jc w:val="center"/>
            </w:pPr>
            <w:r w:rsidRPr="00C9343F">
              <w:t>3.</w:t>
            </w:r>
          </w:p>
        </w:tc>
        <w:tc>
          <w:tcPr>
            <w:tcW w:w="8363" w:type="dxa"/>
          </w:tcPr>
          <w:p w14:paraId="4D757037" w14:textId="77777777" w:rsidR="000577E2" w:rsidRPr="00C9343F" w:rsidRDefault="000577E2" w:rsidP="00F66D98">
            <w:pPr>
              <w:pStyle w:val="BlockText-Plain"/>
            </w:pPr>
            <w:r w:rsidRPr="00C9343F">
              <w:t xml:space="preserve">A member who holds honorary rank in the Army Reserve and performs duty as a medical officer is taken to hold the rank of Captain for the purpose of determining the rate of salary for the officer under Part 1 or 3 of Schedule B.8 of DFRT Determination No. 2 of 2017, </w:t>
            </w:r>
            <w:r w:rsidRPr="00C9343F">
              <w:rPr>
                <w:i/>
              </w:rPr>
              <w:t>Salaries</w:t>
            </w:r>
            <w:r w:rsidRPr="00C9343F">
              <w:t>.</w:t>
            </w:r>
          </w:p>
        </w:tc>
      </w:tr>
    </w:tbl>
    <w:p w14:paraId="0350DBDA" w14:textId="77777777" w:rsidR="005F44BC" w:rsidRPr="00C9343F" w:rsidRDefault="005F44BC" w:rsidP="00F66D98"/>
    <w:p w14:paraId="500EFE87" w14:textId="33A1FAB7" w:rsidR="00326686" w:rsidRPr="00C9343F" w:rsidRDefault="00326686" w:rsidP="00111F99">
      <w:pPr>
        <w:pStyle w:val="Heading4"/>
        <w:pageBreakBefore/>
        <w:rPr>
          <w:b w:val="0"/>
          <w:bCs/>
          <w:iCs/>
        </w:rPr>
      </w:pPr>
      <w:bookmarkStart w:id="500" w:name="_Toc105053710"/>
      <w:r w:rsidRPr="00C9343F">
        <w:lastRenderedPageBreak/>
        <w:t>Division 4A: Specialist Officer – Aviation – increment placement, progression and transfer</w:t>
      </w:r>
      <w:bookmarkEnd w:id="500"/>
    </w:p>
    <w:p w14:paraId="6A47740F" w14:textId="4A1C2EA6" w:rsidR="00083B82" w:rsidRPr="00C9343F" w:rsidRDefault="00083B82" w:rsidP="00F66D98">
      <w:pPr>
        <w:spacing w:before="360" w:after="120"/>
        <w:rPr>
          <w:b/>
        </w:rPr>
      </w:pPr>
      <w:r w:rsidRPr="00C9343F">
        <w:rPr>
          <w:b/>
        </w:rPr>
        <w:t>3.2.47A</w:t>
      </w:r>
      <w:r w:rsidR="00D94006" w:rsidRPr="00C9343F">
        <w:rPr>
          <w:b/>
        </w:rPr>
        <w:t>    </w:t>
      </w:r>
      <w:r w:rsidRPr="00C9343F">
        <w:rPr>
          <w:b/>
        </w:rPr>
        <w:t>Purpose</w:t>
      </w:r>
    </w:p>
    <w:tbl>
      <w:tblPr>
        <w:tblW w:w="9359" w:type="dxa"/>
        <w:tblInd w:w="113" w:type="dxa"/>
        <w:tblLayout w:type="fixed"/>
        <w:tblLook w:val="0000" w:firstRow="0" w:lastRow="0" w:firstColumn="0" w:lastColumn="0" w:noHBand="0" w:noVBand="0"/>
      </w:tblPr>
      <w:tblGrid>
        <w:gridCol w:w="992"/>
        <w:gridCol w:w="8367"/>
      </w:tblGrid>
      <w:tr w:rsidR="00083B82" w:rsidRPr="00C9343F" w14:paraId="3B72D294" w14:textId="77777777" w:rsidTr="00B5646C">
        <w:tc>
          <w:tcPr>
            <w:tcW w:w="992" w:type="dxa"/>
          </w:tcPr>
          <w:p w14:paraId="523C4D52" w14:textId="77777777" w:rsidR="00083B82" w:rsidRPr="00C9343F" w:rsidRDefault="00083B82" w:rsidP="00F66D98">
            <w:pPr>
              <w:pStyle w:val="BlockText-Plain"/>
              <w:jc w:val="center"/>
            </w:pPr>
          </w:p>
        </w:tc>
        <w:tc>
          <w:tcPr>
            <w:tcW w:w="8367" w:type="dxa"/>
          </w:tcPr>
          <w:p w14:paraId="6E6F35E0" w14:textId="77777777" w:rsidR="00083B82" w:rsidRPr="00C9343F" w:rsidRDefault="00083B82" w:rsidP="00F66D98">
            <w:pPr>
              <w:pStyle w:val="BlockText-Plain"/>
            </w:pPr>
            <w:r w:rsidRPr="00C9343F">
              <w:t>This Division provides for the increment placement, progression and transfer through the Officer Aviation Pay Structure for an Officer Aviation member.</w:t>
            </w:r>
          </w:p>
        </w:tc>
      </w:tr>
    </w:tbl>
    <w:p w14:paraId="6FEAF0EA" w14:textId="77777777" w:rsidR="00B5646C" w:rsidRPr="00C9343F" w:rsidRDefault="00B5646C" w:rsidP="00B5646C">
      <w:pPr>
        <w:pStyle w:val="Heading5"/>
      </w:pPr>
      <w:bookmarkStart w:id="501" w:name="_Toc105053711"/>
      <w:r w:rsidRPr="00C9343F">
        <w:t>3.2.47B    Definitions</w:t>
      </w:r>
      <w:bookmarkEnd w:id="501"/>
    </w:p>
    <w:tbl>
      <w:tblPr>
        <w:tblW w:w="0" w:type="dxa"/>
        <w:tblInd w:w="113" w:type="dxa"/>
        <w:tblLayout w:type="fixed"/>
        <w:tblLook w:val="04A0" w:firstRow="1" w:lastRow="0" w:firstColumn="1" w:lastColumn="0" w:noHBand="0" w:noVBand="1"/>
      </w:tblPr>
      <w:tblGrid>
        <w:gridCol w:w="29"/>
        <w:gridCol w:w="963"/>
        <w:gridCol w:w="563"/>
        <w:gridCol w:w="567"/>
        <w:gridCol w:w="7237"/>
      </w:tblGrid>
      <w:tr w:rsidR="00B5646C" w:rsidRPr="00C9343F" w14:paraId="148B6251" w14:textId="77777777" w:rsidTr="00445FEB">
        <w:trPr>
          <w:gridBefore w:val="1"/>
          <w:wBefore w:w="29" w:type="dxa"/>
        </w:trPr>
        <w:tc>
          <w:tcPr>
            <w:tcW w:w="963" w:type="dxa"/>
          </w:tcPr>
          <w:p w14:paraId="232922F1"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7C2E3A9C" w14:textId="77777777" w:rsidR="00B5646C" w:rsidRPr="00C9343F" w:rsidRDefault="00B5646C" w:rsidP="00445FEB">
            <w:pPr>
              <w:pStyle w:val="Sectiontext0"/>
              <w:tabs>
                <w:tab w:val="left" w:pos="1215"/>
              </w:tabs>
              <w:spacing w:line="276" w:lineRule="auto"/>
              <w:rPr>
                <w:iCs/>
                <w:lang w:eastAsia="en-US"/>
              </w:rPr>
            </w:pPr>
            <w:r w:rsidRPr="00C9343F">
              <w:rPr>
                <w:iCs/>
                <w:lang w:eastAsia="en-US"/>
              </w:rPr>
              <w:t>In this Division the following apply.</w:t>
            </w:r>
          </w:p>
        </w:tc>
      </w:tr>
      <w:tr w:rsidR="00B5646C" w:rsidRPr="00C9343F" w14:paraId="60F110F2" w14:textId="77777777" w:rsidTr="00445FEB">
        <w:trPr>
          <w:gridBefore w:val="1"/>
          <w:wBefore w:w="29" w:type="dxa"/>
        </w:trPr>
        <w:tc>
          <w:tcPr>
            <w:tcW w:w="963" w:type="dxa"/>
          </w:tcPr>
          <w:p w14:paraId="424789C7"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4D7D74A7" w14:textId="77777777" w:rsidR="00B5646C" w:rsidRPr="00C9343F" w:rsidRDefault="00B5646C" w:rsidP="00445FEB">
            <w:pPr>
              <w:pStyle w:val="Sectiontext0"/>
              <w:tabs>
                <w:tab w:val="left" w:pos="1215"/>
              </w:tabs>
              <w:spacing w:line="276" w:lineRule="auto"/>
              <w:rPr>
                <w:lang w:eastAsia="en-US"/>
              </w:rPr>
            </w:pPr>
            <w:r w:rsidRPr="00C9343F">
              <w:rPr>
                <w:b/>
                <w:iCs/>
                <w:lang w:eastAsia="en-US"/>
              </w:rPr>
              <w:t>Aviation specialist h</w:t>
            </w:r>
            <w:r w:rsidRPr="00C9343F">
              <w:rPr>
                <w:lang w:eastAsia="en-US"/>
              </w:rPr>
              <w:t xml:space="preserve">as the same meaning as given in Part A Division 1 section A.1.12 of DFRT Determination No. 2 of 2017, </w:t>
            </w:r>
            <w:r w:rsidRPr="00C9343F">
              <w:rPr>
                <w:i/>
                <w:iCs/>
                <w:lang w:eastAsia="en-US"/>
              </w:rPr>
              <w:t>Salaries</w:t>
            </w:r>
            <w:r w:rsidRPr="00C9343F">
              <w:rPr>
                <w:lang w:eastAsia="en-US"/>
              </w:rPr>
              <w:t xml:space="preserve">. </w:t>
            </w:r>
          </w:p>
        </w:tc>
      </w:tr>
      <w:tr w:rsidR="00B5646C" w:rsidRPr="00C9343F" w14:paraId="7909E3CC" w14:textId="77777777" w:rsidTr="00445FEB">
        <w:trPr>
          <w:gridBefore w:val="1"/>
          <w:wBefore w:w="29" w:type="dxa"/>
        </w:trPr>
        <w:tc>
          <w:tcPr>
            <w:tcW w:w="963" w:type="dxa"/>
          </w:tcPr>
          <w:p w14:paraId="1B23EB6F"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4C0BBACB" w14:textId="77777777" w:rsidR="00B5646C" w:rsidRPr="00C9343F" w:rsidRDefault="00B5646C" w:rsidP="00445FEB">
            <w:pPr>
              <w:pStyle w:val="Sectiontext0"/>
              <w:tabs>
                <w:tab w:val="left" w:pos="1215"/>
              </w:tabs>
              <w:spacing w:line="276" w:lineRule="auto"/>
              <w:rPr>
                <w:lang w:eastAsia="en-US"/>
              </w:rPr>
            </w:pPr>
            <w:r w:rsidRPr="00C9343F">
              <w:rPr>
                <w:b/>
                <w:lang w:eastAsia="en-US"/>
              </w:rPr>
              <w:t xml:space="preserve">Maritime Aviation Warfare Officer employment category </w:t>
            </w:r>
            <w:r w:rsidRPr="00C9343F">
              <w:rPr>
                <w:lang w:eastAsia="en-US"/>
              </w:rPr>
              <w:t xml:space="preserve">means any of the following Navy employment categories under Schedule B.3 Part 2 of DFRT Determination No. 2 of 2017, </w:t>
            </w:r>
            <w:r w:rsidRPr="00C9343F">
              <w:rPr>
                <w:i/>
                <w:iCs/>
                <w:lang w:eastAsia="en-US"/>
              </w:rPr>
              <w:t>Salaries</w:t>
            </w:r>
            <w:r w:rsidRPr="00C9343F">
              <w:rPr>
                <w:lang w:eastAsia="en-US"/>
              </w:rPr>
              <w:t xml:space="preserve">. </w:t>
            </w:r>
          </w:p>
        </w:tc>
      </w:tr>
      <w:tr w:rsidR="00B5646C" w:rsidRPr="00C9343F" w14:paraId="5B8A3532" w14:textId="77777777" w:rsidTr="00445FEB">
        <w:trPr>
          <w:gridBefore w:val="1"/>
          <w:wBefore w:w="29" w:type="dxa"/>
        </w:trPr>
        <w:tc>
          <w:tcPr>
            <w:tcW w:w="963" w:type="dxa"/>
          </w:tcPr>
          <w:p w14:paraId="0B74F216" w14:textId="77777777" w:rsidR="00B5646C" w:rsidRPr="00C9343F" w:rsidRDefault="00B5646C" w:rsidP="00445FEB">
            <w:pPr>
              <w:pStyle w:val="Sectiontext0"/>
              <w:spacing w:line="276" w:lineRule="auto"/>
              <w:jc w:val="center"/>
              <w:rPr>
                <w:lang w:eastAsia="en-US"/>
              </w:rPr>
            </w:pPr>
          </w:p>
        </w:tc>
        <w:tc>
          <w:tcPr>
            <w:tcW w:w="563" w:type="dxa"/>
            <w:hideMark/>
          </w:tcPr>
          <w:p w14:paraId="2077FBE7"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a.</w:t>
            </w:r>
          </w:p>
        </w:tc>
        <w:tc>
          <w:tcPr>
            <w:tcW w:w="7804" w:type="dxa"/>
            <w:gridSpan w:val="2"/>
            <w:hideMark/>
          </w:tcPr>
          <w:p w14:paraId="36079274" w14:textId="77777777" w:rsidR="00B5646C" w:rsidRPr="00C9343F" w:rsidRDefault="00B5646C" w:rsidP="00445FEB">
            <w:pPr>
              <w:pStyle w:val="Default"/>
              <w:spacing w:line="276" w:lineRule="auto"/>
            </w:pPr>
            <w:r w:rsidRPr="00C9343F">
              <w:t>Maritime Aviation Warfare Officer Competency Progression.</w:t>
            </w:r>
          </w:p>
        </w:tc>
      </w:tr>
      <w:tr w:rsidR="00B5646C" w:rsidRPr="00C9343F" w14:paraId="7682FAF5" w14:textId="77777777" w:rsidTr="00445FEB">
        <w:trPr>
          <w:gridBefore w:val="1"/>
          <w:wBefore w:w="29" w:type="dxa"/>
        </w:trPr>
        <w:tc>
          <w:tcPr>
            <w:tcW w:w="963" w:type="dxa"/>
          </w:tcPr>
          <w:p w14:paraId="60279CD3" w14:textId="77777777" w:rsidR="00B5646C" w:rsidRPr="00C9343F" w:rsidRDefault="00B5646C" w:rsidP="00445FEB">
            <w:pPr>
              <w:pStyle w:val="Sectiontext0"/>
              <w:spacing w:line="276" w:lineRule="auto"/>
              <w:jc w:val="center"/>
              <w:rPr>
                <w:lang w:eastAsia="en-US"/>
              </w:rPr>
            </w:pPr>
          </w:p>
        </w:tc>
        <w:tc>
          <w:tcPr>
            <w:tcW w:w="563" w:type="dxa"/>
            <w:hideMark/>
          </w:tcPr>
          <w:p w14:paraId="6AB82670"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b.</w:t>
            </w:r>
          </w:p>
        </w:tc>
        <w:tc>
          <w:tcPr>
            <w:tcW w:w="7804" w:type="dxa"/>
            <w:gridSpan w:val="2"/>
            <w:hideMark/>
          </w:tcPr>
          <w:p w14:paraId="35A78415" w14:textId="77777777" w:rsidR="00B5646C" w:rsidRPr="00C9343F" w:rsidRDefault="00B5646C" w:rsidP="00445FEB">
            <w:pPr>
              <w:pStyle w:val="Default"/>
              <w:spacing w:line="276" w:lineRule="auto"/>
            </w:pPr>
            <w:r w:rsidRPr="00C9343F">
              <w:t>Maritime Aviation Warfare Officer Competency Progression ADQUAL.</w:t>
            </w:r>
          </w:p>
        </w:tc>
      </w:tr>
      <w:tr w:rsidR="00B5646C" w:rsidRPr="00C9343F" w14:paraId="6F935058" w14:textId="77777777" w:rsidTr="00445FEB">
        <w:trPr>
          <w:gridBefore w:val="1"/>
          <w:wBefore w:w="29" w:type="dxa"/>
        </w:trPr>
        <w:tc>
          <w:tcPr>
            <w:tcW w:w="963" w:type="dxa"/>
          </w:tcPr>
          <w:p w14:paraId="19E28756" w14:textId="77777777" w:rsidR="00B5646C" w:rsidRPr="00C9343F" w:rsidRDefault="00B5646C" w:rsidP="00445FEB">
            <w:pPr>
              <w:pStyle w:val="Sectiontext0"/>
              <w:spacing w:line="276" w:lineRule="auto"/>
              <w:jc w:val="center"/>
              <w:rPr>
                <w:lang w:eastAsia="en-US"/>
              </w:rPr>
            </w:pPr>
          </w:p>
        </w:tc>
        <w:tc>
          <w:tcPr>
            <w:tcW w:w="563" w:type="dxa"/>
            <w:hideMark/>
          </w:tcPr>
          <w:p w14:paraId="226EAB50"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c.</w:t>
            </w:r>
          </w:p>
        </w:tc>
        <w:tc>
          <w:tcPr>
            <w:tcW w:w="7804" w:type="dxa"/>
            <w:gridSpan w:val="2"/>
            <w:hideMark/>
          </w:tcPr>
          <w:p w14:paraId="0AAED0F7" w14:textId="77777777" w:rsidR="00B5646C" w:rsidRPr="00C9343F" w:rsidRDefault="00B5646C" w:rsidP="00445FEB">
            <w:pPr>
              <w:pStyle w:val="Default"/>
              <w:spacing w:line="276" w:lineRule="auto"/>
            </w:pPr>
            <w:r w:rsidRPr="00C9343F">
              <w:t>Maritime Aviation Warfare Officer Time Progression.</w:t>
            </w:r>
          </w:p>
        </w:tc>
      </w:tr>
      <w:tr w:rsidR="00B5646C" w:rsidRPr="00C9343F" w14:paraId="1AFE7274" w14:textId="77777777" w:rsidTr="00445FEB">
        <w:trPr>
          <w:gridBefore w:val="1"/>
          <w:wBefore w:w="29" w:type="dxa"/>
        </w:trPr>
        <w:tc>
          <w:tcPr>
            <w:tcW w:w="963" w:type="dxa"/>
          </w:tcPr>
          <w:p w14:paraId="017E3E27" w14:textId="77777777" w:rsidR="00B5646C" w:rsidRPr="00C9343F" w:rsidRDefault="00B5646C" w:rsidP="00445FEB">
            <w:pPr>
              <w:pStyle w:val="Sectiontext0"/>
              <w:spacing w:line="276" w:lineRule="auto"/>
              <w:jc w:val="center"/>
              <w:rPr>
                <w:lang w:eastAsia="en-US"/>
              </w:rPr>
            </w:pPr>
          </w:p>
        </w:tc>
        <w:tc>
          <w:tcPr>
            <w:tcW w:w="563" w:type="dxa"/>
            <w:hideMark/>
          </w:tcPr>
          <w:p w14:paraId="63230D25"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d.</w:t>
            </w:r>
          </w:p>
        </w:tc>
        <w:tc>
          <w:tcPr>
            <w:tcW w:w="7804" w:type="dxa"/>
            <w:gridSpan w:val="2"/>
            <w:hideMark/>
          </w:tcPr>
          <w:p w14:paraId="52BC4060" w14:textId="77777777" w:rsidR="00B5646C" w:rsidRPr="00C9343F" w:rsidRDefault="00B5646C" w:rsidP="00445FEB">
            <w:pPr>
              <w:pStyle w:val="Default"/>
              <w:spacing w:line="276" w:lineRule="auto"/>
            </w:pPr>
            <w:r w:rsidRPr="00C9343F">
              <w:t>Maritime Aviation Warfare Officer Time Progression ADQUAL.</w:t>
            </w:r>
          </w:p>
        </w:tc>
      </w:tr>
      <w:tr w:rsidR="00B5646C" w:rsidRPr="00C9343F" w14:paraId="4992B765" w14:textId="77777777" w:rsidTr="00445FEB">
        <w:trPr>
          <w:gridBefore w:val="1"/>
          <w:wBefore w:w="29" w:type="dxa"/>
        </w:trPr>
        <w:tc>
          <w:tcPr>
            <w:tcW w:w="963" w:type="dxa"/>
          </w:tcPr>
          <w:p w14:paraId="2E797BDF"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0591E88A" w14:textId="77777777" w:rsidR="00B5646C" w:rsidRPr="00C9343F" w:rsidRDefault="00B5646C" w:rsidP="00445FEB">
            <w:pPr>
              <w:pStyle w:val="Sectiontext0"/>
              <w:tabs>
                <w:tab w:val="left" w:pos="1215"/>
              </w:tabs>
              <w:spacing w:line="276" w:lineRule="auto"/>
              <w:rPr>
                <w:szCs w:val="24"/>
                <w:lang w:eastAsia="en-US"/>
              </w:rPr>
            </w:pPr>
            <w:r w:rsidRPr="00C9343F">
              <w:rPr>
                <w:b/>
                <w:lang w:eastAsia="en-US"/>
              </w:rPr>
              <w:t>Officer Aviation member has</w:t>
            </w:r>
            <w:r w:rsidRPr="00C9343F">
              <w:rPr>
                <w:lang w:eastAsia="en-US"/>
              </w:rPr>
              <w:t xml:space="preserve"> the same meaning as given in Part A Division 1 section A.1.12 of DFRT Determination No. 2 of 2017, </w:t>
            </w:r>
            <w:r w:rsidRPr="00C9343F">
              <w:rPr>
                <w:i/>
                <w:iCs/>
                <w:lang w:eastAsia="en-US"/>
              </w:rPr>
              <w:t>Salaries</w:t>
            </w:r>
            <w:r w:rsidRPr="00C9343F">
              <w:rPr>
                <w:lang w:eastAsia="en-US"/>
              </w:rPr>
              <w:t xml:space="preserve">. </w:t>
            </w:r>
          </w:p>
        </w:tc>
      </w:tr>
      <w:tr w:rsidR="00B5646C" w:rsidRPr="00C9343F" w14:paraId="54FA10F5" w14:textId="77777777" w:rsidTr="00445FEB">
        <w:trPr>
          <w:gridBefore w:val="1"/>
          <w:wBefore w:w="29" w:type="dxa"/>
        </w:trPr>
        <w:tc>
          <w:tcPr>
            <w:tcW w:w="963" w:type="dxa"/>
          </w:tcPr>
          <w:p w14:paraId="1C927F8D"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3B34003E" w14:textId="77777777" w:rsidR="00B5646C" w:rsidRPr="00C9343F" w:rsidRDefault="00B5646C" w:rsidP="00445FEB">
            <w:pPr>
              <w:pStyle w:val="Sectiontext0"/>
              <w:tabs>
                <w:tab w:val="left" w:pos="1215"/>
              </w:tabs>
              <w:spacing w:line="276" w:lineRule="auto"/>
              <w:rPr>
                <w:lang w:eastAsia="en-US"/>
              </w:rPr>
            </w:pPr>
            <w:r w:rsidRPr="00C9343F">
              <w:rPr>
                <w:b/>
                <w:lang w:eastAsia="en-US"/>
              </w:rPr>
              <w:t xml:space="preserve">Officer Aviation Pay Structure </w:t>
            </w:r>
            <w:r w:rsidRPr="00C9343F">
              <w:rPr>
                <w:lang w:eastAsia="en-US"/>
              </w:rPr>
              <w:t xml:space="preserve">means the salary structure under Part B Division 3 sections B.3.7 to B.3.10 of DFRT Determination No. 2 of 2017, </w:t>
            </w:r>
            <w:r w:rsidRPr="00C9343F">
              <w:rPr>
                <w:i/>
                <w:iCs/>
                <w:lang w:eastAsia="en-US"/>
              </w:rPr>
              <w:t>Salaries</w:t>
            </w:r>
            <w:r w:rsidRPr="00C9343F">
              <w:rPr>
                <w:lang w:eastAsia="en-US"/>
              </w:rPr>
              <w:t xml:space="preserve">. </w:t>
            </w:r>
          </w:p>
        </w:tc>
      </w:tr>
      <w:tr w:rsidR="00B5646C" w:rsidRPr="00C9343F" w14:paraId="69EA74E6" w14:textId="77777777" w:rsidTr="00445FEB">
        <w:trPr>
          <w:gridBefore w:val="1"/>
          <w:wBefore w:w="29" w:type="dxa"/>
        </w:trPr>
        <w:tc>
          <w:tcPr>
            <w:tcW w:w="963" w:type="dxa"/>
          </w:tcPr>
          <w:p w14:paraId="186956F5"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1C39A137" w14:textId="77777777" w:rsidR="00B5646C" w:rsidRPr="00C9343F" w:rsidRDefault="00B5646C" w:rsidP="00445FEB">
            <w:pPr>
              <w:pStyle w:val="Sectiontext0"/>
              <w:tabs>
                <w:tab w:val="left" w:pos="1215"/>
              </w:tabs>
              <w:spacing w:line="276" w:lineRule="auto"/>
              <w:rPr>
                <w:lang w:eastAsia="en-US"/>
              </w:rPr>
            </w:pPr>
            <w:r w:rsidRPr="00C9343F">
              <w:rPr>
                <w:b/>
                <w:lang w:eastAsia="en-US"/>
              </w:rPr>
              <w:t xml:space="preserve">Pilot employment category </w:t>
            </w:r>
            <w:r w:rsidRPr="00C9343F">
              <w:rPr>
                <w:lang w:eastAsia="en-US"/>
              </w:rPr>
              <w:t>means the following under Schedule B.3 of DFRT Determination No. 2 of 2017, Salaries.</w:t>
            </w:r>
          </w:p>
        </w:tc>
      </w:tr>
      <w:tr w:rsidR="00B5646C" w:rsidRPr="00C9343F" w14:paraId="2651E8F4" w14:textId="77777777" w:rsidTr="00445FEB">
        <w:trPr>
          <w:gridBefore w:val="1"/>
          <w:wBefore w:w="29" w:type="dxa"/>
        </w:trPr>
        <w:tc>
          <w:tcPr>
            <w:tcW w:w="963" w:type="dxa"/>
          </w:tcPr>
          <w:p w14:paraId="6293850D" w14:textId="77777777" w:rsidR="00B5646C" w:rsidRPr="00C9343F" w:rsidRDefault="00B5646C" w:rsidP="00445FEB">
            <w:pPr>
              <w:pStyle w:val="Sectiontext0"/>
              <w:spacing w:line="276" w:lineRule="auto"/>
              <w:jc w:val="center"/>
              <w:rPr>
                <w:lang w:eastAsia="en-US"/>
              </w:rPr>
            </w:pPr>
          </w:p>
        </w:tc>
        <w:tc>
          <w:tcPr>
            <w:tcW w:w="563" w:type="dxa"/>
            <w:hideMark/>
          </w:tcPr>
          <w:p w14:paraId="50643A55"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a.</w:t>
            </w:r>
          </w:p>
        </w:tc>
        <w:tc>
          <w:tcPr>
            <w:tcW w:w="7804" w:type="dxa"/>
            <w:gridSpan w:val="2"/>
            <w:hideMark/>
          </w:tcPr>
          <w:p w14:paraId="301EBD53" w14:textId="77777777" w:rsidR="00B5646C" w:rsidRPr="00C9343F" w:rsidRDefault="00B5646C" w:rsidP="00445FEB">
            <w:pPr>
              <w:pStyle w:val="Default"/>
              <w:spacing w:line="276" w:lineRule="auto"/>
            </w:pPr>
            <w:r w:rsidRPr="00C9343F">
              <w:t>For a member of the Navy, any of the following employment categories.</w:t>
            </w:r>
          </w:p>
        </w:tc>
      </w:tr>
      <w:tr w:rsidR="00B5646C" w:rsidRPr="00C9343F" w14:paraId="46CF2C6E" w14:textId="77777777" w:rsidTr="00445FEB">
        <w:tc>
          <w:tcPr>
            <w:tcW w:w="992" w:type="dxa"/>
            <w:gridSpan w:val="2"/>
          </w:tcPr>
          <w:p w14:paraId="2F629D47" w14:textId="77777777" w:rsidR="00B5646C" w:rsidRPr="00C9343F" w:rsidRDefault="00B5646C" w:rsidP="00445FEB">
            <w:pPr>
              <w:pStyle w:val="Sectiontext0"/>
              <w:spacing w:line="276" w:lineRule="auto"/>
              <w:jc w:val="center"/>
              <w:rPr>
                <w:lang w:eastAsia="en-US"/>
              </w:rPr>
            </w:pPr>
          </w:p>
        </w:tc>
        <w:tc>
          <w:tcPr>
            <w:tcW w:w="563" w:type="dxa"/>
          </w:tcPr>
          <w:p w14:paraId="75386EF4" w14:textId="77777777" w:rsidR="00B5646C" w:rsidRPr="00C9343F" w:rsidRDefault="00B5646C" w:rsidP="00445FEB">
            <w:pPr>
              <w:pStyle w:val="Sectiontext0"/>
              <w:spacing w:line="276" w:lineRule="auto"/>
              <w:rPr>
                <w:rFonts w:cs="Arial"/>
                <w:iCs/>
                <w:lang w:eastAsia="en-US"/>
              </w:rPr>
            </w:pPr>
          </w:p>
        </w:tc>
        <w:tc>
          <w:tcPr>
            <w:tcW w:w="567" w:type="dxa"/>
            <w:hideMark/>
          </w:tcPr>
          <w:p w14:paraId="11056F65" w14:textId="77777777" w:rsidR="00B5646C" w:rsidRPr="00C9343F" w:rsidRDefault="00B5646C" w:rsidP="00E62EB5">
            <w:pPr>
              <w:pStyle w:val="Sectiontext0"/>
              <w:spacing w:line="276" w:lineRule="auto"/>
              <w:rPr>
                <w:rFonts w:cs="Arial"/>
                <w:iCs/>
                <w:lang w:eastAsia="en-US"/>
              </w:rPr>
            </w:pPr>
            <w:r w:rsidRPr="00C9343F">
              <w:rPr>
                <w:rFonts w:cs="Arial"/>
                <w:iCs/>
                <w:lang w:eastAsia="en-US"/>
              </w:rPr>
              <w:t>i.</w:t>
            </w:r>
          </w:p>
        </w:tc>
        <w:tc>
          <w:tcPr>
            <w:tcW w:w="7237" w:type="dxa"/>
            <w:hideMark/>
          </w:tcPr>
          <w:p w14:paraId="188F26C6" w14:textId="77777777" w:rsidR="00B5646C" w:rsidRPr="00C9343F" w:rsidRDefault="00B5646C" w:rsidP="00445FEB">
            <w:pPr>
              <w:pStyle w:val="Sectiontext0"/>
              <w:spacing w:line="276" w:lineRule="auto"/>
              <w:rPr>
                <w:rFonts w:cs="Arial"/>
                <w:iCs/>
                <w:lang w:eastAsia="en-US"/>
              </w:rPr>
            </w:pPr>
            <w:r w:rsidRPr="00C9343F">
              <w:rPr>
                <w:rFonts w:cs="Arial"/>
                <w:iCs/>
                <w:lang w:eastAsia="en-US"/>
              </w:rPr>
              <w:t>Pilot Competency Progression.</w:t>
            </w:r>
          </w:p>
        </w:tc>
      </w:tr>
      <w:tr w:rsidR="00B5646C" w:rsidRPr="00C9343F" w14:paraId="27FFF881" w14:textId="77777777" w:rsidTr="00445FEB">
        <w:tc>
          <w:tcPr>
            <w:tcW w:w="992" w:type="dxa"/>
            <w:gridSpan w:val="2"/>
          </w:tcPr>
          <w:p w14:paraId="14E86223" w14:textId="77777777" w:rsidR="00B5646C" w:rsidRPr="00C9343F" w:rsidRDefault="00B5646C" w:rsidP="00445FEB">
            <w:pPr>
              <w:pStyle w:val="Sectiontext0"/>
              <w:spacing w:line="276" w:lineRule="auto"/>
              <w:jc w:val="center"/>
              <w:rPr>
                <w:lang w:eastAsia="en-US"/>
              </w:rPr>
            </w:pPr>
          </w:p>
        </w:tc>
        <w:tc>
          <w:tcPr>
            <w:tcW w:w="563" w:type="dxa"/>
          </w:tcPr>
          <w:p w14:paraId="32099AF4" w14:textId="77777777" w:rsidR="00B5646C" w:rsidRPr="00C9343F" w:rsidRDefault="00B5646C" w:rsidP="00445FEB">
            <w:pPr>
              <w:pStyle w:val="Sectiontext0"/>
              <w:spacing w:line="276" w:lineRule="auto"/>
              <w:rPr>
                <w:rFonts w:cs="Arial"/>
                <w:iCs/>
                <w:lang w:eastAsia="en-US"/>
              </w:rPr>
            </w:pPr>
          </w:p>
        </w:tc>
        <w:tc>
          <w:tcPr>
            <w:tcW w:w="567" w:type="dxa"/>
            <w:hideMark/>
          </w:tcPr>
          <w:p w14:paraId="358A4BFF" w14:textId="77777777" w:rsidR="00B5646C" w:rsidRPr="00C9343F" w:rsidRDefault="00B5646C" w:rsidP="00E62EB5">
            <w:pPr>
              <w:pStyle w:val="Sectiontext0"/>
              <w:spacing w:line="276" w:lineRule="auto"/>
              <w:rPr>
                <w:rFonts w:cs="Arial"/>
                <w:iCs/>
                <w:lang w:eastAsia="en-US"/>
              </w:rPr>
            </w:pPr>
            <w:r w:rsidRPr="00C9343F">
              <w:rPr>
                <w:rFonts w:cs="Arial"/>
                <w:iCs/>
                <w:lang w:eastAsia="en-US"/>
              </w:rPr>
              <w:t>ii.</w:t>
            </w:r>
          </w:p>
        </w:tc>
        <w:tc>
          <w:tcPr>
            <w:tcW w:w="7237" w:type="dxa"/>
            <w:hideMark/>
          </w:tcPr>
          <w:p w14:paraId="159248CF" w14:textId="77777777" w:rsidR="00B5646C" w:rsidRPr="00C9343F" w:rsidRDefault="00B5646C" w:rsidP="00445FEB">
            <w:pPr>
              <w:pStyle w:val="Sectiontext0"/>
              <w:spacing w:line="276" w:lineRule="auto"/>
              <w:rPr>
                <w:rFonts w:cs="Arial"/>
                <w:iCs/>
                <w:lang w:eastAsia="en-US"/>
              </w:rPr>
            </w:pPr>
            <w:r w:rsidRPr="00C9343F">
              <w:rPr>
                <w:rFonts w:cs="Arial"/>
                <w:iCs/>
                <w:lang w:eastAsia="en-US"/>
              </w:rPr>
              <w:t>Pilot Competency Progression ADQUAL.</w:t>
            </w:r>
          </w:p>
        </w:tc>
      </w:tr>
      <w:tr w:rsidR="00B5646C" w:rsidRPr="00C9343F" w14:paraId="5FDB1D69" w14:textId="77777777" w:rsidTr="00445FEB">
        <w:tc>
          <w:tcPr>
            <w:tcW w:w="992" w:type="dxa"/>
            <w:gridSpan w:val="2"/>
          </w:tcPr>
          <w:p w14:paraId="21ED3565" w14:textId="77777777" w:rsidR="00B5646C" w:rsidRPr="00C9343F" w:rsidRDefault="00B5646C" w:rsidP="00445FEB">
            <w:pPr>
              <w:pStyle w:val="Sectiontext0"/>
              <w:spacing w:line="276" w:lineRule="auto"/>
              <w:jc w:val="center"/>
              <w:rPr>
                <w:lang w:eastAsia="en-US"/>
              </w:rPr>
            </w:pPr>
          </w:p>
        </w:tc>
        <w:tc>
          <w:tcPr>
            <w:tcW w:w="563" w:type="dxa"/>
          </w:tcPr>
          <w:p w14:paraId="242636F0" w14:textId="77777777" w:rsidR="00B5646C" w:rsidRPr="00C9343F" w:rsidRDefault="00B5646C" w:rsidP="00445FEB">
            <w:pPr>
              <w:pStyle w:val="Sectiontext0"/>
              <w:spacing w:line="276" w:lineRule="auto"/>
              <w:rPr>
                <w:rFonts w:cs="Arial"/>
                <w:iCs/>
                <w:lang w:eastAsia="en-US"/>
              </w:rPr>
            </w:pPr>
          </w:p>
        </w:tc>
        <w:tc>
          <w:tcPr>
            <w:tcW w:w="567" w:type="dxa"/>
            <w:hideMark/>
          </w:tcPr>
          <w:p w14:paraId="69166775" w14:textId="77777777" w:rsidR="00B5646C" w:rsidRPr="00C9343F" w:rsidRDefault="00B5646C" w:rsidP="00E62EB5">
            <w:pPr>
              <w:pStyle w:val="Sectiontext0"/>
              <w:spacing w:line="276" w:lineRule="auto"/>
              <w:rPr>
                <w:rFonts w:cs="Arial"/>
                <w:iCs/>
                <w:lang w:eastAsia="en-US"/>
              </w:rPr>
            </w:pPr>
            <w:r w:rsidRPr="00C9343F">
              <w:rPr>
                <w:rFonts w:cs="Arial"/>
                <w:iCs/>
                <w:lang w:eastAsia="en-US"/>
              </w:rPr>
              <w:t>iii.</w:t>
            </w:r>
          </w:p>
        </w:tc>
        <w:tc>
          <w:tcPr>
            <w:tcW w:w="7237" w:type="dxa"/>
            <w:hideMark/>
          </w:tcPr>
          <w:p w14:paraId="1B8BDE47" w14:textId="77777777" w:rsidR="00B5646C" w:rsidRPr="00C9343F" w:rsidRDefault="00B5646C" w:rsidP="00445FEB">
            <w:pPr>
              <w:pStyle w:val="Sectiontext0"/>
              <w:spacing w:line="276" w:lineRule="auto"/>
              <w:rPr>
                <w:rFonts w:cs="Arial"/>
                <w:iCs/>
                <w:lang w:eastAsia="en-US"/>
              </w:rPr>
            </w:pPr>
            <w:r w:rsidRPr="00C9343F">
              <w:rPr>
                <w:rFonts w:cs="Arial"/>
                <w:iCs/>
                <w:lang w:eastAsia="en-US"/>
              </w:rPr>
              <w:t>Pilot Time Progression.</w:t>
            </w:r>
          </w:p>
        </w:tc>
      </w:tr>
      <w:tr w:rsidR="00B5646C" w:rsidRPr="00C9343F" w14:paraId="46E80C87" w14:textId="77777777" w:rsidTr="00445FEB">
        <w:tc>
          <w:tcPr>
            <w:tcW w:w="992" w:type="dxa"/>
            <w:gridSpan w:val="2"/>
          </w:tcPr>
          <w:p w14:paraId="74043A41" w14:textId="77777777" w:rsidR="00B5646C" w:rsidRPr="00C9343F" w:rsidRDefault="00B5646C" w:rsidP="00445FEB">
            <w:pPr>
              <w:pStyle w:val="Sectiontext0"/>
              <w:spacing w:line="276" w:lineRule="auto"/>
              <w:jc w:val="center"/>
              <w:rPr>
                <w:lang w:eastAsia="en-US"/>
              </w:rPr>
            </w:pPr>
          </w:p>
        </w:tc>
        <w:tc>
          <w:tcPr>
            <w:tcW w:w="563" w:type="dxa"/>
          </w:tcPr>
          <w:p w14:paraId="613BCC24" w14:textId="77777777" w:rsidR="00B5646C" w:rsidRPr="00C9343F" w:rsidRDefault="00B5646C" w:rsidP="00445FEB">
            <w:pPr>
              <w:pStyle w:val="Sectiontext0"/>
              <w:spacing w:line="276" w:lineRule="auto"/>
              <w:rPr>
                <w:rFonts w:cs="Arial"/>
                <w:iCs/>
                <w:lang w:eastAsia="en-US"/>
              </w:rPr>
            </w:pPr>
          </w:p>
        </w:tc>
        <w:tc>
          <w:tcPr>
            <w:tcW w:w="567" w:type="dxa"/>
            <w:hideMark/>
          </w:tcPr>
          <w:p w14:paraId="4E137D15" w14:textId="77777777" w:rsidR="00B5646C" w:rsidRPr="00C9343F" w:rsidRDefault="00B5646C" w:rsidP="00E62EB5">
            <w:pPr>
              <w:pStyle w:val="Sectiontext0"/>
              <w:spacing w:line="276" w:lineRule="auto"/>
              <w:rPr>
                <w:rFonts w:cs="Arial"/>
                <w:iCs/>
                <w:lang w:eastAsia="en-US"/>
              </w:rPr>
            </w:pPr>
            <w:r w:rsidRPr="00C9343F">
              <w:rPr>
                <w:rFonts w:cs="Arial"/>
                <w:iCs/>
                <w:lang w:eastAsia="en-US"/>
              </w:rPr>
              <w:t>iv.</w:t>
            </w:r>
          </w:p>
        </w:tc>
        <w:tc>
          <w:tcPr>
            <w:tcW w:w="7237" w:type="dxa"/>
            <w:hideMark/>
          </w:tcPr>
          <w:p w14:paraId="5CB28012" w14:textId="77777777" w:rsidR="00B5646C" w:rsidRPr="00C9343F" w:rsidRDefault="00B5646C" w:rsidP="00445FEB">
            <w:pPr>
              <w:pStyle w:val="Sectiontext0"/>
              <w:spacing w:line="276" w:lineRule="auto"/>
              <w:rPr>
                <w:rFonts w:cs="Arial"/>
                <w:iCs/>
                <w:lang w:eastAsia="en-US"/>
              </w:rPr>
            </w:pPr>
            <w:r w:rsidRPr="00C9343F">
              <w:rPr>
                <w:rFonts w:cs="Arial"/>
                <w:iCs/>
                <w:lang w:eastAsia="en-US"/>
              </w:rPr>
              <w:t>Pilot Time Progression ADQUAL.</w:t>
            </w:r>
          </w:p>
        </w:tc>
      </w:tr>
      <w:tr w:rsidR="00B5646C" w:rsidRPr="00C9343F" w14:paraId="42A31FA1" w14:textId="77777777" w:rsidTr="00445FEB">
        <w:trPr>
          <w:gridBefore w:val="1"/>
          <w:wBefore w:w="29" w:type="dxa"/>
        </w:trPr>
        <w:tc>
          <w:tcPr>
            <w:tcW w:w="963" w:type="dxa"/>
          </w:tcPr>
          <w:p w14:paraId="4F3576A7" w14:textId="77777777" w:rsidR="00B5646C" w:rsidRPr="00C9343F" w:rsidRDefault="00B5646C" w:rsidP="00445FEB">
            <w:pPr>
              <w:pStyle w:val="Sectiontext0"/>
              <w:spacing w:line="276" w:lineRule="auto"/>
              <w:jc w:val="center"/>
              <w:rPr>
                <w:lang w:eastAsia="en-US"/>
              </w:rPr>
            </w:pPr>
          </w:p>
        </w:tc>
        <w:tc>
          <w:tcPr>
            <w:tcW w:w="563" w:type="dxa"/>
            <w:hideMark/>
          </w:tcPr>
          <w:p w14:paraId="5115B5D1"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b.</w:t>
            </w:r>
          </w:p>
        </w:tc>
        <w:tc>
          <w:tcPr>
            <w:tcW w:w="7804" w:type="dxa"/>
            <w:gridSpan w:val="2"/>
            <w:hideMark/>
          </w:tcPr>
          <w:p w14:paraId="48ECE1E6" w14:textId="77777777" w:rsidR="00B5646C" w:rsidRPr="00C9343F" w:rsidRDefault="00B5646C" w:rsidP="00445FEB">
            <w:pPr>
              <w:pStyle w:val="Default"/>
              <w:spacing w:line="276" w:lineRule="auto"/>
            </w:pPr>
            <w:r w:rsidRPr="00C9343F">
              <w:t>For a member of the Army, any of the following employment categories.</w:t>
            </w:r>
          </w:p>
        </w:tc>
      </w:tr>
      <w:tr w:rsidR="00B5646C" w:rsidRPr="00C9343F" w14:paraId="466890FD" w14:textId="77777777" w:rsidTr="00445FEB">
        <w:tc>
          <w:tcPr>
            <w:tcW w:w="992" w:type="dxa"/>
            <w:gridSpan w:val="2"/>
          </w:tcPr>
          <w:p w14:paraId="07012C9F" w14:textId="77777777" w:rsidR="00B5646C" w:rsidRPr="00C9343F" w:rsidRDefault="00B5646C" w:rsidP="00445FEB">
            <w:pPr>
              <w:pStyle w:val="Sectiontext0"/>
              <w:spacing w:line="276" w:lineRule="auto"/>
              <w:jc w:val="center"/>
              <w:rPr>
                <w:lang w:eastAsia="en-US"/>
              </w:rPr>
            </w:pPr>
          </w:p>
        </w:tc>
        <w:tc>
          <w:tcPr>
            <w:tcW w:w="563" w:type="dxa"/>
          </w:tcPr>
          <w:p w14:paraId="53198E07" w14:textId="77777777" w:rsidR="00B5646C" w:rsidRPr="00C9343F" w:rsidRDefault="00B5646C" w:rsidP="00445FEB">
            <w:pPr>
              <w:pStyle w:val="Sectiontext0"/>
              <w:spacing w:line="276" w:lineRule="auto"/>
              <w:rPr>
                <w:rFonts w:cs="Arial"/>
                <w:iCs/>
                <w:lang w:eastAsia="en-US"/>
              </w:rPr>
            </w:pPr>
          </w:p>
        </w:tc>
        <w:tc>
          <w:tcPr>
            <w:tcW w:w="567" w:type="dxa"/>
            <w:hideMark/>
          </w:tcPr>
          <w:p w14:paraId="166A7A36" w14:textId="77777777" w:rsidR="00B5646C" w:rsidRPr="00C9343F" w:rsidRDefault="00B5646C" w:rsidP="00E62EB5">
            <w:pPr>
              <w:pStyle w:val="Sectiontext0"/>
              <w:spacing w:line="276" w:lineRule="auto"/>
              <w:rPr>
                <w:rFonts w:cs="Arial"/>
                <w:iCs/>
                <w:lang w:eastAsia="en-US"/>
              </w:rPr>
            </w:pPr>
            <w:r w:rsidRPr="00C9343F">
              <w:rPr>
                <w:rFonts w:cs="Arial"/>
                <w:iCs/>
                <w:lang w:eastAsia="en-US"/>
              </w:rPr>
              <w:t>i.</w:t>
            </w:r>
          </w:p>
        </w:tc>
        <w:tc>
          <w:tcPr>
            <w:tcW w:w="7237" w:type="dxa"/>
            <w:hideMark/>
          </w:tcPr>
          <w:p w14:paraId="0DDF3107" w14:textId="77777777" w:rsidR="00B5646C" w:rsidRPr="00C9343F" w:rsidRDefault="00B5646C" w:rsidP="00445FEB">
            <w:pPr>
              <w:pStyle w:val="Sectiontext0"/>
              <w:spacing w:line="276" w:lineRule="auto"/>
              <w:rPr>
                <w:rFonts w:cs="Arial"/>
                <w:iCs/>
                <w:lang w:eastAsia="en-US"/>
              </w:rPr>
            </w:pPr>
            <w:r w:rsidRPr="00C9343F">
              <w:rPr>
                <w:rFonts w:cs="Arial"/>
                <w:iCs/>
                <w:lang w:eastAsia="en-US"/>
              </w:rPr>
              <w:t>Pilot — Competency Progression.</w:t>
            </w:r>
          </w:p>
        </w:tc>
      </w:tr>
      <w:tr w:rsidR="00B5646C" w:rsidRPr="00C9343F" w14:paraId="6F4AE88B" w14:textId="77777777" w:rsidTr="00445FEB">
        <w:tc>
          <w:tcPr>
            <w:tcW w:w="992" w:type="dxa"/>
            <w:gridSpan w:val="2"/>
          </w:tcPr>
          <w:p w14:paraId="348F23A3" w14:textId="77777777" w:rsidR="00B5646C" w:rsidRPr="00C9343F" w:rsidRDefault="00B5646C" w:rsidP="00445FEB">
            <w:pPr>
              <w:pStyle w:val="Sectiontext0"/>
              <w:spacing w:line="276" w:lineRule="auto"/>
              <w:jc w:val="center"/>
              <w:rPr>
                <w:lang w:eastAsia="en-US"/>
              </w:rPr>
            </w:pPr>
          </w:p>
        </w:tc>
        <w:tc>
          <w:tcPr>
            <w:tcW w:w="563" w:type="dxa"/>
          </w:tcPr>
          <w:p w14:paraId="7256E301" w14:textId="77777777" w:rsidR="00B5646C" w:rsidRPr="00C9343F" w:rsidRDefault="00B5646C" w:rsidP="00445FEB">
            <w:pPr>
              <w:pStyle w:val="Sectiontext0"/>
              <w:spacing w:line="276" w:lineRule="auto"/>
              <w:rPr>
                <w:rFonts w:cs="Arial"/>
                <w:iCs/>
                <w:lang w:eastAsia="en-US"/>
              </w:rPr>
            </w:pPr>
          </w:p>
        </w:tc>
        <w:tc>
          <w:tcPr>
            <w:tcW w:w="567" w:type="dxa"/>
            <w:hideMark/>
          </w:tcPr>
          <w:p w14:paraId="0A4F7F73" w14:textId="77777777" w:rsidR="00B5646C" w:rsidRPr="00C9343F" w:rsidRDefault="00B5646C" w:rsidP="00E62EB5">
            <w:pPr>
              <w:pStyle w:val="Sectiontext0"/>
              <w:spacing w:line="276" w:lineRule="auto"/>
              <w:rPr>
                <w:rFonts w:cs="Arial"/>
                <w:iCs/>
                <w:lang w:eastAsia="en-US"/>
              </w:rPr>
            </w:pPr>
            <w:r w:rsidRPr="00C9343F">
              <w:rPr>
                <w:rFonts w:cs="Arial"/>
                <w:iCs/>
                <w:lang w:eastAsia="en-US"/>
              </w:rPr>
              <w:t>ii.</w:t>
            </w:r>
          </w:p>
        </w:tc>
        <w:tc>
          <w:tcPr>
            <w:tcW w:w="7237" w:type="dxa"/>
            <w:hideMark/>
          </w:tcPr>
          <w:p w14:paraId="26D9096A" w14:textId="77777777" w:rsidR="00B5646C" w:rsidRPr="00C9343F" w:rsidRDefault="00B5646C" w:rsidP="00445FEB">
            <w:pPr>
              <w:pStyle w:val="Sectiontext0"/>
              <w:spacing w:line="276" w:lineRule="auto"/>
              <w:rPr>
                <w:rFonts w:cs="Arial"/>
                <w:iCs/>
                <w:lang w:eastAsia="en-US"/>
              </w:rPr>
            </w:pPr>
            <w:r w:rsidRPr="00C9343F">
              <w:rPr>
                <w:rFonts w:cs="Arial"/>
                <w:iCs/>
                <w:lang w:eastAsia="en-US"/>
              </w:rPr>
              <w:t>Pilot — Time Base Progression.</w:t>
            </w:r>
          </w:p>
        </w:tc>
      </w:tr>
      <w:tr w:rsidR="00B5646C" w:rsidRPr="00C9343F" w14:paraId="2063F718" w14:textId="77777777" w:rsidTr="00445FEB">
        <w:trPr>
          <w:gridBefore w:val="1"/>
          <w:wBefore w:w="29" w:type="dxa"/>
        </w:trPr>
        <w:tc>
          <w:tcPr>
            <w:tcW w:w="963" w:type="dxa"/>
          </w:tcPr>
          <w:p w14:paraId="27C80FD0"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41136705" w14:textId="77777777" w:rsidR="00B5646C" w:rsidRPr="00C9343F" w:rsidRDefault="00B5646C" w:rsidP="00445FEB">
            <w:pPr>
              <w:pStyle w:val="Sectiontext0"/>
              <w:tabs>
                <w:tab w:val="left" w:pos="1215"/>
              </w:tabs>
              <w:spacing w:line="276" w:lineRule="auto"/>
              <w:rPr>
                <w:lang w:eastAsia="en-US"/>
              </w:rPr>
            </w:pPr>
            <w:r w:rsidRPr="00C9343F">
              <w:rPr>
                <w:b/>
                <w:lang w:eastAsia="en-US"/>
              </w:rPr>
              <w:t xml:space="preserve">Promoted </w:t>
            </w:r>
            <w:r w:rsidRPr="00C9343F">
              <w:rPr>
                <w:lang w:eastAsia="en-US"/>
              </w:rPr>
              <w:t>means a member promoted under paragraph 13(1)(a) of the Regulation.</w:t>
            </w:r>
          </w:p>
        </w:tc>
      </w:tr>
      <w:tr w:rsidR="00B5646C" w:rsidRPr="00C9343F" w14:paraId="7D47DE2D" w14:textId="77777777" w:rsidTr="00445FEB">
        <w:trPr>
          <w:gridBefore w:val="1"/>
          <w:wBefore w:w="29" w:type="dxa"/>
        </w:trPr>
        <w:tc>
          <w:tcPr>
            <w:tcW w:w="963" w:type="dxa"/>
          </w:tcPr>
          <w:p w14:paraId="360B2A1D"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655B5E91" w14:textId="77777777" w:rsidR="00B5646C" w:rsidRPr="00C9343F" w:rsidRDefault="00B5646C" w:rsidP="00445FEB">
            <w:pPr>
              <w:pStyle w:val="Sectiontext0"/>
              <w:tabs>
                <w:tab w:val="left" w:pos="1215"/>
              </w:tabs>
              <w:spacing w:line="276" w:lineRule="auto"/>
              <w:rPr>
                <w:lang w:eastAsia="en-US"/>
              </w:rPr>
            </w:pPr>
            <w:r w:rsidRPr="00C9343F">
              <w:rPr>
                <w:b/>
                <w:lang w:eastAsia="en-US"/>
              </w:rPr>
              <w:t xml:space="preserve">Rank </w:t>
            </w:r>
            <w:r w:rsidRPr="00C9343F">
              <w:rPr>
                <w:lang w:eastAsia="en-US"/>
              </w:rPr>
              <w:t xml:space="preserve">means the rank that the member was appointed to or last promoted to under paragraph 13(1)(a) of the Regulation. </w:t>
            </w:r>
          </w:p>
        </w:tc>
      </w:tr>
      <w:tr w:rsidR="00B5646C" w:rsidRPr="00C9343F" w14:paraId="5F01E06F" w14:textId="77777777" w:rsidTr="00445FEB">
        <w:trPr>
          <w:gridBefore w:val="1"/>
          <w:wBefore w:w="29" w:type="dxa"/>
        </w:trPr>
        <w:tc>
          <w:tcPr>
            <w:tcW w:w="963" w:type="dxa"/>
          </w:tcPr>
          <w:p w14:paraId="49236E11"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6F42569E" w14:textId="77777777" w:rsidR="00B5646C" w:rsidRPr="00C9343F" w:rsidRDefault="00B5646C" w:rsidP="00445FEB">
            <w:pPr>
              <w:pStyle w:val="Sectiontext0"/>
              <w:tabs>
                <w:tab w:val="left" w:pos="1215"/>
              </w:tabs>
              <w:spacing w:line="276" w:lineRule="auto"/>
              <w:rPr>
                <w:lang w:eastAsia="en-US"/>
              </w:rPr>
            </w:pPr>
            <w:r w:rsidRPr="00C9343F">
              <w:rPr>
                <w:b/>
                <w:lang w:eastAsia="en-US"/>
              </w:rPr>
              <w:t xml:space="preserve">Note: </w:t>
            </w:r>
            <w:r w:rsidRPr="00C9343F">
              <w:rPr>
                <w:lang w:eastAsia="en-US"/>
              </w:rPr>
              <w:t>Rank does not include a higher rank that the member has been directed to act in under paragraph 13(1)(b) of the Regulation.</w:t>
            </w:r>
          </w:p>
        </w:tc>
      </w:tr>
      <w:tr w:rsidR="00B5646C" w:rsidRPr="00C9343F" w14:paraId="0A574B2E" w14:textId="77777777" w:rsidTr="00445FEB">
        <w:trPr>
          <w:gridBefore w:val="1"/>
          <w:wBefore w:w="29" w:type="dxa"/>
        </w:trPr>
        <w:tc>
          <w:tcPr>
            <w:tcW w:w="963" w:type="dxa"/>
          </w:tcPr>
          <w:p w14:paraId="660BF809"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743758D1" w14:textId="77777777" w:rsidR="00B5646C" w:rsidRPr="00C9343F" w:rsidRDefault="00B5646C" w:rsidP="00445FEB">
            <w:pPr>
              <w:pStyle w:val="Sectiontext0"/>
              <w:tabs>
                <w:tab w:val="left" w:pos="1215"/>
              </w:tabs>
              <w:spacing w:line="276" w:lineRule="auto"/>
              <w:rPr>
                <w:lang w:eastAsia="en-US"/>
              </w:rPr>
            </w:pPr>
            <w:r w:rsidRPr="00C9343F">
              <w:rPr>
                <w:b/>
                <w:lang w:eastAsia="en-US"/>
              </w:rPr>
              <w:t xml:space="preserve">Regimental Officers Basic Course – Program (aviation) </w:t>
            </w:r>
            <w:r w:rsidRPr="00C9343F">
              <w:rPr>
                <w:lang w:eastAsia="en-US"/>
              </w:rPr>
              <w:t xml:space="preserve">means the completion on Army's junior officer aviation pilot training program, which includes the following. </w:t>
            </w:r>
          </w:p>
        </w:tc>
      </w:tr>
      <w:tr w:rsidR="00B5646C" w:rsidRPr="00C9343F" w14:paraId="7D233201" w14:textId="77777777" w:rsidTr="00445FEB">
        <w:trPr>
          <w:gridBefore w:val="1"/>
          <w:wBefore w:w="29" w:type="dxa"/>
        </w:trPr>
        <w:tc>
          <w:tcPr>
            <w:tcW w:w="963" w:type="dxa"/>
          </w:tcPr>
          <w:p w14:paraId="51EBE3EC" w14:textId="77777777" w:rsidR="00B5646C" w:rsidRPr="00C9343F" w:rsidRDefault="00B5646C" w:rsidP="00445FEB">
            <w:pPr>
              <w:pStyle w:val="Sectiontext0"/>
              <w:spacing w:line="276" w:lineRule="auto"/>
              <w:jc w:val="center"/>
              <w:rPr>
                <w:lang w:eastAsia="en-US"/>
              </w:rPr>
            </w:pPr>
          </w:p>
        </w:tc>
        <w:tc>
          <w:tcPr>
            <w:tcW w:w="563" w:type="dxa"/>
            <w:hideMark/>
          </w:tcPr>
          <w:p w14:paraId="6193C81F"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a.</w:t>
            </w:r>
          </w:p>
        </w:tc>
        <w:tc>
          <w:tcPr>
            <w:tcW w:w="7804" w:type="dxa"/>
            <w:gridSpan w:val="2"/>
            <w:hideMark/>
          </w:tcPr>
          <w:p w14:paraId="7D7142F8" w14:textId="77777777" w:rsidR="00B5646C" w:rsidRPr="00C9343F" w:rsidRDefault="00B5646C" w:rsidP="00445FEB">
            <w:pPr>
              <w:pStyle w:val="Default"/>
              <w:spacing w:line="276" w:lineRule="auto"/>
            </w:pPr>
            <w:r w:rsidRPr="00C9343F">
              <w:t>Conversion to operational type aircraft.</w:t>
            </w:r>
          </w:p>
        </w:tc>
      </w:tr>
      <w:tr w:rsidR="00B5646C" w:rsidRPr="00C9343F" w14:paraId="6EF883B7" w14:textId="77777777" w:rsidTr="00445FEB">
        <w:trPr>
          <w:gridBefore w:val="1"/>
          <w:wBefore w:w="29" w:type="dxa"/>
        </w:trPr>
        <w:tc>
          <w:tcPr>
            <w:tcW w:w="963" w:type="dxa"/>
          </w:tcPr>
          <w:p w14:paraId="4A4251C4" w14:textId="77777777" w:rsidR="00B5646C" w:rsidRPr="00C9343F" w:rsidRDefault="00B5646C" w:rsidP="00445FEB">
            <w:pPr>
              <w:pStyle w:val="Sectiontext0"/>
              <w:spacing w:line="276" w:lineRule="auto"/>
              <w:jc w:val="center"/>
              <w:rPr>
                <w:lang w:eastAsia="en-US"/>
              </w:rPr>
            </w:pPr>
          </w:p>
        </w:tc>
        <w:tc>
          <w:tcPr>
            <w:tcW w:w="563" w:type="dxa"/>
            <w:hideMark/>
          </w:tcPr>
          <w:p w14:paraId="6D479A5A"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b.</w:t>
            </w:r>
          </w:p>
        </w:tc>
        <w:tc>
          <w:tcPr>
            <w:tcW w:w="7804" w:type="dxa"/>
            <w:gridSpan w:val="2"/>
            <w:hideMark/>
          </w:tcPr>
          <w:p w14:paraId="6EF959D7" w14:textId="77777777" w:rsidR="00B5646C" w:rsidRPr="00C9343F" w:rsidRDefault="00B5646C" w:rsidP="00445FEB">
            <w:pPr>
              <w:pStyle w:val="Default"/>
              <w:spacing w:line="276" w:lineRule="auto"/>
            </w:pPr>
            <w:r w:rsidRPr="00C9343F">
              <w:t>Regimental Officer Basic Courses (aviation).</w:t>
            </w:r>
          </w:p>
        </w:tc>
      </w:tr>
      <w:tr w:rsidR="00B5646C" w:rsidRPr="00C9343F" w14:paraId="23ABE5F4" w14:textId="77777777" w:rsidTr="00445FEB">
        <w:trPr>
          <w:gridBefore w:val="1"/>
          <w:wBefore w:w="29" w:type="dxa"/>
        </w:trPr>
        <w:tc>
          <w:tcPr>
            <w:tcW w:w="963" w:type="dxa"/>
          </w:tcPr>
          <w:p w14:paraId="4EE1F200"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4D0DC0D7" w14:textId="77777777" w:rsidR="00B5646C" w:rsidRPr="00C9343F" w:rsidRDefault="00B5646C" w:rsidP="00445FEB">
            <w:pPr>
              <w:pStyle w:val="Default"/>
              <w:spacing w:line="276" w:lineRule="auto"/>
            </w:pPr>
            <w:r w:rsidRPr="00C9343F">
              <w:rPr>
                <w:b/>
              </w:rPr>
              <w:t xml:space="preserve">Relevant military service </w:t>
            </w:r>
            <w:r w:rsidRPr="00C9343F">
              <w:t>means service that meets all of the following.</w:t>
            </w:r>
          </w:p>
        </w:tc>
      </w:tr>
      <w:tr w:rsidR="00B5646C" w:rsidRPr="00C9343F" w14:paraId="3213B2CB" w14:textId="77777777" w:rsidTr="00445FEB">
        <w:trPr>
          <w:gridBefore w:val="1"/>
          <w:wBefore w:w="29" w:type="dxa"/>
        </w:trPr>
        <w:tc>
          <w:tcPr>
            <w:tcW w:w="963" w:type="dxa"/>
          </w:tcPr>
          <w:p w14:paraId="14A1800F" w14:textId="77777777" w:rsidR="00B5646C" w:rsidRPr="00C9343F" w:rsidRDefault="00B5646C" w:rsidP="00445FEB">
            <w:pPr>
              <w:pStyle w:val="Sectiontext0"/>
              <w:spacing w:line="276" w:lineRule="auto"/>
              <w:jc w:val="center"/>
              <w:rPr>
                <w:lang w:eastAsia="en-US"/>
              </w:rPr>
            </w:pPr>
          </w:p>
        </w:tc>
        <w:tc>
          <w:tcPr>
            <w:tcW w:w="563" w:type="dxa"/>
            <w:hideMark/>
          </w:tcPr>
          <w:p w14:paraId="12BA7EB1"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a.</w:t>
            </w:r>
          </w:p>
        </w:tc>
        <w:tc>
          <w:tcPr>
            <w:tcW w:w="7804" w:type="dxa"/>
            <w:gridSpan w:val="2"/>
            <w:hideMark/>
          </w:tcPr>
          <w:p w14:paraId="179B0B78" w14:textId="77777777" w:rsidR="00B5646C" w:rsidRPr="00C9343F" w:rsidRDefault="00B5646C" w:rsidP="00445FEB">
            <w:pPr>
              <w:pStyle w:val="Default"/>
              <w:spacing w:line="276" w:lineRule="auto"/>
            </w:pPr>
            <w:r w:rsidRPr="00C9343F">
              <w:t>It was in the ADF or a foreign military force.</w:t>
            </w:r>
          </w:p>
        </w:tc>
      </w:tr>
      <w:tr w:rsidR="00B5646C" w:rsidRPr="00C9343F" w14:paraId="0A43A9A5" w14:textId="77777777" w:rsidTr="00445FEB">
        <w:trPr>
          <w:gridBefore w:val="1"/>
          <w:wBefore w:w="29" w:type="dxa"/>
        </w:trPr>
        <w:tc>
          <w:tcPr>
            <w:tcW w:w="963" w:type="dxa"/>
          </w:tcPr>
          <w:p w14:paraId="38BED210" w14:textId="77777777" w:rsidR="00B5646C" w:rsidRPr="00C9343F" w:rsidRDefault="00B5646C" w:rsidP="00445FEB">
            <w:pPr>
              <w:pStyle w:val="Sectiontext0"/>
              <w:spacing w:line="276" w:lineRule="auto"/>
              <w:jc w:val="center"/>
              <w:rPr>
                <w:lang w:eastAsia="en-US"/>
              </w:rPr>
            </w:pPr>
          </w:p>
        </w:tc>
        <w:tc>
          <w:tcPr>
            <w:tcW w:w="563" w:type="dxa"/>
            <w:hideMark/>
          </w:tcPr>
          <w:p w14:paraId="0B8D921F"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b.</w:t>
            </w:r>
          </w:p>
        </w:tc>
        <w:tc>
          <w:tcPr>
            <w:tcW w:w="7804" w:type="dxa"/>
            <w:gridSpan w:val="2"/>
            <w:hideMark/>
          </w:tcPr>
          <w:p w14:paraId="512B6EBA" w14:textId="77777777" w:rsidR="00B5646C" w:rsidRPr="00C9343F" w:rsidRDefault="00B5646C" w:rsidP="00445FEB">
            <w:pPr>
              <w:pStyle w:val="Default"/>
              <w:spacing w:line="276" w:lineRule="auto"/>
            </w:pPr>
            <w:r w:rsidRPr="00C9343F">
              <w:t>It is relevant to the work that the officer is appointed to do.</w:t>
            </w:r>
          </w:p>
        </w:tc>
      </w:tr>
      <w:tr w:rsidR="00B5646C" w:rsidRPr="00C9343F" w14:paraId="3868FB02" w14:textId="77777777" w:rsidTr="00445FEB">
        <w:trPr>
          <w:gridBefore w:val="1"/>
          <w:wBefore w:w="29" w:type="dxa"/>
        </w:trPr>
        <w:tc>
          <w:tcPr>
            <w:tcW w:w="963" w:type="dxa"/>
          </w:tcPr>
          <w:p w14:paraId="60CFCAC6" w14:textId="77777777" w:rsidR="00B5646C" w:rsidRPr="00C9343F" w:rsidRDefault="00B5646C" w:rsidP="00445FEB">
            <w:pPr>
              <w:pStyle w:val="Sectiontext0"/>
              <w:spacing w:line="276" w:lineRule="auto"/>
              <w:jc w:val="center"/>
              <w:rPr>
                <w:rFonts w:cs="Arial"/>
                <w:lang w:eastAsia="en-US"/>
              </w:rPr>
            </w:pPr>
          </w:p>
        </w:tc>
        <w:tc>
          <w:tcPr>
            <w:tcW w:w="563" w:type="dxa"/>
            <w:hideMark/>
          </w:tcPr>
          <w:p w14:paraId="1EA2F1BD" w14:textId="77777777" w:rsidR="00B5646C" w:rsidRPr="00C9343F" w:rsidRDefault="00B5646C" w:rsidP="00445FEB">
            <w:pPr>
              <w:pStyle w:val="Sectiontext0"/>
              <w:spacing w:line="276" w:lineRule="auto"/>
              <w:jc w:val="center"/>
              <w:rPr>
                <w:rFonts w:cs="Arial"/>
                <w:lang w:eastAsia="en-US"/>
              </w:rPr>
            </w:pPr>
            <w:r w:rsidRPr="00C9343F">
              <w:rPr>
                <w:rFonts w:cs="Arial"/>
                <w:lang w:eastAsia="en-US"/>
              </w:rPr>
              <w:t>c.</w:t>
            </w:r>
          </w:p>
        </w:tc>
        <w:tc>
          <w:tcPr>
            <w:tcW w:w="7804" w:type="dxa"/>
            <w:gridSpan w:val="2"/>
            <w:hideMark/>
          </w:tcPr>
          <w:p w14:paraId="6C209109" w14:textId="77777777" w:rsidR="00B5646C" w:rsidRPr="00C9343F" w:rsidRDefault="00B5646C" w:rsidP="00445FEB">
            <w:pPr>
              <w:pStyle w:val="Sectiontext0"/>
              <w:spacing w:line="276" w:lineRule="auto"/>
              <w:rPr>
                <w:rFonts w:cs="Arial"/>
                <w:lang w:eastAsia="en-US"/>
              </w:rPr>
            </w:pPr>
            <w:r w:rsidRPr="00C9343F">
              <w:rPr>
                <w:rFonts w:cs="Arial"/>
                <w:lang w:eastAsia="en-US"/>
              </w:rPr>
              <w:t>It was performed at a rank equivalent to the rank the officer is appointed to, or at a higher rank.</w:t>
            </w:r>
          </w:p>
        </w:tc>
      </w:tr>
      <w:tr w:rsidR="00B5646C" w:rsidRPr="00C9343F" w14:paraId="62F4C8B8" w14:textId="77777777" w:rsidTr="00445FEB">
        <w:trPr>
          <w:gridBefore w:val="1"/>
          <w:wBefore w:w="29" w:type="dxa"/>
        </w:trPr>
        <w:tc>
          <w:tcPr>
            <w:tcW w:w="963" w:type="dxa"/>
          </w:tcPr>
          <w:p w14:paraId="2E725591" w14:textId="77777777" w:rsidR="00B5646C" w:rsidRPr="00C9343F" w:rsidRDefault="00B5646C" w:rsidP="00445FEB">
            <w:pPr>
              <w:pStyle w:val="Sectiontext0"/>
              <w:spacing w:line="276" w:lineRule="auto"/>
              <w:ind w:left="1440"/>
              <w:jc w:val="center"/>
              <w:rPr>
                <w:lang w:eastAsia="en-US"/>
              </w:rPr>
            </w:pPr>
          </w:p>
        </w:tc>
        <w:tc>
          <w:tcPr>
            <w:tcW w:w="8367" w:type="dxa"/>
            <w:gridSpan w:val="3"/>
            <w:hideMark/>
          </w:tcPr>
          <w:p w14:paraId="73496D58" w14:textId="77777777" w:rsidR="00B5646C" w:rsidRPr="00C9343F" w:rsidRDefault="00B5646C" w:rsidP="00445FEB">
            <w:pPr>
              <w:pStyle w:val="Sectiontext0"/>
              <w:spacing w:line="276" w:lineRule="auto"/>
              <w:rPr>
                <w:lang w:eastAsia="en-US"/>
              </w:rPr>
            </w:pPr>
            <w:r w:rsidRPr="00C9343F">
              <w:rPr>
                <w:b/>
                <w:lang w:eastAsia="en-US"/>
              </w:rPr>
              <w:t xml:space="preserve">Years in rank </w:t>
            </w:r>
            <w:r w:rsidRPr="00C9343F">
              <w:rPr>
                <w:lang w:eastAsia="en-US"/>
              </w:rPr>
              <w:t xml:space="preserve">means the years in rank under Annex B.3.A to Annex B.3.D of DFRT Determination No. 2 of 2017, </w:t>
            </w:r>
            <w:r w:rsidRPr="00C9343F">
              <w:rPr>
                <w:i/>
                <w:iCs/>
                <w:lang w:eastAsia="en-US"/>
              </w:rPr>
              <w:t>Salaries</w:t>
            </w:r>
            <w:r w:rsidRPr="00C9343F">
              <w:rPr>
                <w:lang w:eastAsia="en-US"/>
              </w:rPr>
              <w:t xml:space="preserve">, that corresponds to the number of years of experience a member has at their rank, unless otherwise stated. </w:t>
            </w:r>
          </w:p>
        </w:tc>
      </w:tr>
    </w:tbl>
    <w:p w14:paraId="49EA1A9D" w14:textId="1474449D" w:rsidR="00083B82" w:rsidRPr="00C9343F" w:rsidRDefault="00083B82" w:rsidP="00F66D98">
      <w:pPr>
        <w:spacing w:before="360" w:after="120"/>
        <w:rPr>
          <w:b/>
        </w:rPr>
      </w:pPr>
      <w:r w:rsidRPr="00C9343F">
        <w:rPr>
          <w:b/>
        </w:rPr>
        <w:t>3.2.47C</w:t>
      </w:r>
      <w:r w:rsidR="00D94006" w:rsidRPr="00C9343F">
        <w:rPr>
          <w:b/>
        </w:rPr>
        <w:t>    </w:t>
      </w:r>
      <w:r w:rsidRPr="00C9343F">
        <w:rPr>
          <w:b/>
        </w:rPr>
        <w:t>Member this Division does not apply to</w:t>
      </w:r>
    </w:p>
    <w:tbl>
      <w:tblPr>
        <w:tblW w:w="9366" w:type="dxa"/>
        <w:tblInd w:w="108" w:type="dxa"/>
        <w:tblLayout w:type="fixed"/>
        <w:tblLook w:val="04A0" w:firstRow="1" w:lastRow="0" w:firstColumn="1" w:lastColumn="0" w:noHBand="0" w:noVBand="1"/>
      </w:tblPr>
      <w:tblGrid>
        <w:gridCol w:w="992"/>
        <w:gridCol w:w="572"/>
        <w:gridCol w:w="7802"/>
      </w:tblGrid>
      <w:tr w:rsidR="00083B82" w:rsidRPr="00C9343F" w14:paraId="63B55CF5" w14:textId="77777777" w:rsidTr="00F945FD">
        <w:tc>
          <w:tcPr>
            <w:tcW w:w="992" w:type="dxa"/>
          </w:tcPr>
          <w:p w14:paraId="350BE070" w14:textId="77777777" w:rsidR="00083B82" w:rsidRPr="00C9343F" w:rsidRDefault="00083B82" w:rsidP="00F66D98">
            <w:pPr>
              <w:pStyle w:val="BlockText-Plain"/>
              <w:jc w:val="center"/>
              <w:rPr>
                <w:lang w:eastAsia="en-US"/>
              </w:rPr>
            </w:pPr>
            <w:r w:rsidRPr="00C9343F">
              <w:br w:type="page"/>
            </w:r>
          </w:p>
        </w:tc>
        <w:tc>
          <w:tcPr>
            <w:tcW w:w="8374" w:type="dxa"/>
            <w:gridSpan w:val="2"/>
            <w:hideMark/>
          </w:tcPr>
          <w:p w14:paraId="23ADF5A4" w14:textId="77777777" w:rsidR="00083B82" w:rsidRPr="00C9343F" w:rsidRDefault="00083B82" w:rsidP="00F66D98">
            <w:pPr>
              <w:pStyle w:val="BlockText-Plain"/>
              <w:rPr>
                <w:lang w:eastAsia="en-US"/>
              </w:rPr>
            </w:pPr>
            <w:r w:rsidRPr="00C9343F">
              <w:rPr>
                <w:lang w:eastAsia="en-US"/>
              </w:rPr>
              <w:t>This Division does not apply to a member who meets any of the following.</w:t>
            </w:r>
          </w:p>
        </w:tc>
      </w:tr>
      <w:tr w:rsidR="00083B82" w:rsidRPr="00C9343F" w14:paraId="095C7C15" w14:textId="77777777" w:rsidTr="00F945FD">
        <w:trPr>
          <w:cantSplit/>
        </w:trPr>
        <w:tc>
          <w:tcPr>
            <w:tcW w:w="992" w:type="dxa"/>
          </w:tcPr>
          <w:p w14:paraId="3FBC0EAD" w14:textId="77777777" w:rsidR="00083B82" w:rsidRPr="00C9343F" w:rsidRDefault="00083B82" w:rsidP="00F66D98">
            <w:pPr>
              <w:pStyle w:val="BlockText-Plain"/>
              <w:rPr>
                <w:lang w:eastAsia="en-US"/>
              </w:rPr>
            </w:pPr>
          </w:p>
        </w:tc>
        <w:tc>
          <w:tcPr>
            <w:tcW w:w="572" w:type="dxa"/>
          </w:tcPr>
          <w:p w14:paraId="2C8BDD5D" w14:textId="77777777" w:rsidR="00083B82" w:rsidRPr="00C9343F" w:rsidRDefault="00083B82" w:rsidP="007114B1">
            <w:pPr>
              <w:pStyle w:val="BlockText-Plain"/>
              <w:jc w:val="center"/>
              <w:rPr>
                <w:lang w:eastAsia="en-US"/>
              </w:rPr>
            </w:pPr>
            <w:r w:rsidRPr="00C9343F">
              <w:rPr>
                <w:lang w:eastAsia="en-US"/>
              </w:rPr>
              <w:t>a.</w:t>
            </w:r>
          </w:p>
        </w:tc>
        <w:tc>
          <w:tcPr>
            <w:tcW w:w="7802" w:type="dxa"/>
          </w:tcPr>
          <w:p w14:paraId="0CB7FC73" w14:textId="77777777" w:rsidR="00083B82" w:rsidRPr="00C9343F" w:rsidRDefault="00083B82" w:rsidP="00F66D98">
            <w:pPr>
              <w:pStyle w:val="BlockText-Plain"/>
              <w:rPr>
                <w:lang w:eastAsia="en-US"/>
              </w:rPr>
            </w:pPr>
            <w:r w:rsidRPr="00C9343F">
              <w:rPr>
                <w:lang w:eastAsia="en-US"/>
              </w:rPr>
              <w:t xml:space="preserve">The member is an aviation specialist in the Air Force and has not reached the maximum aviation specialist experience level set out in their aviation specialist agreement. </w:t>
            </w:r>
          </w:p>
        </w:tc>
      </w:tr>
      <w:tr w:rsidR="00083B82" w:rsidRPr="00C9343F" w14:paraId="63F556E5" w14:textId="77777777" w:rsidTr="00F945FD">
        <w:trPr>
          <w:cantSplit/>
        </w:trPr>
        <w:tc>
          <w:tcPr>
            <w:tcW w:w="992" w:type="dxa"/>
          </w:tcPr>
          <w:p w14:paraId="3C10DCDD" w14:textId="77777777" w:rsidR="00083B82" w:rsidRPr="00C9343F" w:rsidRDefault="00083B82" w:rsidP="00F66D98">
            <w:pPr>
              <w:pStyle w:val="BlockText-Plain"/>
              <w:rPr>
                <w:lang w:eastAsia="en-US"/>
              </w:rPr>
            </w:pPr>
          </w:p>
        </w:tc>
        <w:tc>
          <w:tcPr>
            <w:tcW w:w="572" w:type="dxa"/>
          </w:tcPr>
          <w:p w14:paraId="6DF5DCB4" w14:textId="77777777" w:rsidR="00083B82" w:rsidRPr="00C9343F" w:rsidRDefault="00083B82" w:rsidP="007114B1">
            <w:pPr>
              <w:pStyle w:val="BlockText-Plain"/>
              <w:jc w:val="center"/>
              <w:rPr>
                <w:lang w:eastAsia="en-US"/>
              </w:rPr>
            </w:pPr>
            <w:r w:rsidRPr="00C9343F">
              <w:rPr>
                <w:lang w:eastAsia="en-US"/>
              </w:rPr>
              <w:t>b.</w:t>
            </w:r>
          </w:p>
        </w:tc>
        <w:tc>
          <w:tcPr>
            <w:tcW w:w="7802" w:type="dxa"/>
          </w:tcPr>
          <w:p w14:paraId="0C20DE1B" w14:textId="77777777" w:rsidR="00083B82" w:rsidRPr="00C9343F" w:rsidRDefault="00083B82" w:rsidP="00F66D98">
            <w:pPr>
              <w:pStyle w:val="BlockText-Plain"/>
              <w:rPr>
                <w:lang w:eastAsia="en-US"/>
              </w:rPr>
            </w:pPr>
            <w:r w:rsidRPr="00C9343F">
              <w:rPr>
                <w:lang w:eastAsia="en-US"/>
              </w:rPr>
              <w:t>The member is an aviation specialist in the Navy or Army and the member's aviation specialist agreement has not expired or been cancelled for Service reasons.</w:t>
            </w:r>
          </w:p>
        </w:tc>
      </w:tr>
      <w:tr w:rsidR="00083B82" w:rsidRPr="00C9343F" w14:paraId="246AD773" w14:textId="77777777" w:rsidTr="00F945FD">
        <w:trPr>
          <w:cantSplit/>
        </w:trPr>
        <w:tc>
          <w:tcPr>
            <w:tcW w:w="992" w:type="dxa"/>
          </w:tcPr>
          <w:p w14:paraId="56138C05" w14:textId="77777777" w:rsidR="00083B82" w:rsidRPr="00C9343F" w:rsidRDefault="00083B82" w:rsidP="00F66D98">
            <w:pPr>
              <w:pStyle w:val="BlockText-Plain"/>
              <w:rPr>
                <w:lang w:eastAsia="en-US"/>
              </w:rPr>
            </w:pPr>
          </w:p>
        </w:tc>
        <w:tc>
          <w:tcPr>
            <w:tcW w:w="572" w:type="dxa"/>
          </w:tcPr>
          <w:p w14:paraId="46EF8D2F" w14:textId="77777777" w:rsidR="00083B82" w:rsidRPr="00C9343F" w:rsidRDefault="00083B82" w:rsidP="007114B1">
            <w:pPr>
              <w:pStyle w:val="BlockText-Plain"/>
              <w:jc w:val="center"/>
              <w:rPr>
                <w:lang w:eastAsia="en-US"/>
              </w:rPr>
            </w:pPr>
            <w:r w:rsidRPr="00C9343F">
              <w:rPr>
                <w:lang w:eastAsia="en-US"/>
              </w:rPr>
              <w:t>c.</w:t>
            </w:r>
          </w:p>
        </w:tc>
        <w:tc>
          <w:tcPr>
            <w:tcW w:w="7802" w:type="dxa"/>
          </w:tcPr>
          <w:p w14:paraId="6F081718" w14:textId="77777777" w:rsidR="00083B82" w:rsidRPr="00C9343F" w:rsidRDefault="00083B82" w:rsidP="00F66D98">
            <w:pPr>
              <w:pStyle w:val="BlockText-Plain"/>
              <w:rPr>
                <w:lang w:eastAsia="en-US"/>
              </w:rPr>
            </w:pPr>
            <w:r w:rsidRPr="00C9343F">
              <w:rPr>
                <w:lang w:eastAsia="en-US"/>
              </w:rPr>
              <w:t>The member holds aviation qualifications but ceases to be an Officer Aviation member.</w:t>
            </w:r>
          </w:p>
        </w:tc>
      </w:tr>
    </w:tbl>
    <w:p w14:paraId="31D827A0" w14:textId="78BC30C2" w:rsidR="00083B82" w:rsidRPr="00C9343F" w:rsidRDefault="00083B82" w:rsidP="00F66D98">
      <w:pPr>
        <w:keepNext/>
        <w:spacing w:before="360" w:after="120"/>
        <w:rPr>
          <w:b/>
        </w:rPr>
      </w:pPr>
      <w:r w:rsidRPr="00C9343F">
        <w:rPr>
          <w:b/>
        </w:rPr>
        <w:t>3.2.47D</w:t>
      </w:r>
      <w:r w:rsidR="00D94006" w:rsidRPr="00C9343F">
        <w:rPr>
          <w:b/>
        </w:rPr>
        <w:t>    </w:t>
      </w:r>
      <w:r w:rsidRPr="00C9343F">
        <w:rPr>
          <w:b/>
        </w:rPr>
        <w:t>Entry placement – general</w:t>
      </w:r>
    </w:p>
    <w:tbl>
      <w:tblPr>
        <w:tblW w:w="9360" w:type="dxa"/>
        <w:tblInd w:w="113" w:type="dxa"/>
        <w:tblLayout w:type="fixed"/>
        <w:tblLook w:val="04A0" w:firstRow="1" w:lastRow="0" w:firstColumn="1" w:lastColumn="0" w:noHBand="0" w:noVBand="1"/>
      </w:tblPr>
      <w:tblGrid>
        <w:gridCol w:w="991"/>
        <w:gridCol w:w="8369"/>
      </w:tblGrid>
      <w:tr w:rsidR="00083B82" w:rsidRPr="00C9343F" w14:paraId="23D6065B" w14:textId="77777777" w:rsidTr="00F945FD">
        <w:tc>
          <w:tcPr>
            <w:tcW w:w="991" w:type="dxa"/>
          </w:tcPr>
          <w:p w14:paraId="4C74FE97" w14:textId="77777777" w:rsidR="00083B82" w:rsidRPr="00C9343F" w:rsidRDefault="00083B82" w:rsidP="00F66D98">
            <w:pPr>
              <w:pStyle w:val="BlockText-Plain"/>
              <w:keepNext/>
              <w:keepLines/>
              <w:spacing w:line="276" w:lineRule="auto"/>
              <w:jc w:val="center"/>
              <w:rPr>
                <w:lang w:eastAsia="en-US"/>
              </w:rPr>
            </w:pPr>
          </w:p>
        </w:tc>
        <w:tc>
          <w:tcPr>
            <w:tcW w:w="8369" w:type="dxa"/>
          </w:tcPr>
          <w:p w14:paraId="3F57BC0D" w14:textId="77777777" w:rsidR="00083B82" w:rsidRPr="00C9343F" w:rsidRDefault="00083B82" w:rsidP="00F66D98">
            <w:pPr>
              <w:pStyle w:val="BlockText-Plain"/>
              <w:keepNext/>
              <w:keepLines/>
              <w:rPr>
                <w:lang w:eastAsia="en-US"/>
              </w:rPr>
            </w:pPr>
            <w:r w:rsidRPr="00C9343F">
              <w:rPr>
                <w:lang w:eastAsia="en-US"/>
              </w:rPr>
              <w:t>Subject to sections 3.2.47E to 3.2.47M,</w:t>
            </w:r>
            <w:r w:rsidRPr="00C9343F">
              <w:rPr>
                <w:rFonts w:cs="Arial"/>
                <w:lang w:eastAsia="en-US"/>
              </w:rPr>
              <w:t xml:space="preserve"> a member has the minimum Officer Aviation increment for</w:t>
            </w:r>
            <w:r w:rsidRPr="00C9343F">
              <w:rPr>
                <w:rFonts w:cs="Arial"/>
                <w:color w:val="FF0000"/>
                <w:lang w:eastAsia="en-US"/>
              </w:rPr>
              <w:t xml:space="preserve"> </w:t>
            </w:r>
            <w:r w:rsidRPr="00C9343F">
              <w:rPr>
                <w:iCs/>
              </w:rPr>
              <w:t xml:space="preserve">their rank, </w:t>
            </w:r>
            <w:r w:rsidRPr="00C9343F">
              <w:rPr>
                <w:rFonts w:cs="Arial"/>
                <w:lang w:eastAsia="en-US"/>
              </w:rPr>
              <w:t xml:space="preserve">pathway and competency stream when the member becomes an Officer Aviation member. </w:t>
            </w:r>
          </w:p>
        </w:tc>
      </w:tr>
    </w:tbl>
    <w:p w14:paraId="64BE9D69" w14:textId="448F1079" w:rsidR="00083B82" w:rsidRPr="00C9343F" w:rsidRDefault="00083B82" w:rsidP="00F66D98">
      <w:pPr>
        <w:pStyle w:val="Heading5"/>
      </w:pPr>
      <w:bookmarkStart w:id="502" w:name="_Toc105053712"/>
      <w:r w:rsidRPr="00C9343F">
        <w:t>3.2.47E</w:t>
      </w:r>
      <w:r w:rsidR="00D94006" w:rsidRPr="00C9343F">
        <w:t>    </w:t>
      </w:r>
      <w:r w:rsidRPr="00C9343F">
        <w:t>Entry placement – member who is an aviation specialist</w:t>
      </w:r>
      <w:bookmarkEnd w:id="502"/>
      <w:r w:rsidRPr="00C9343F">
        <w:t xml:space="preserve"> </w:t>
      </w:r>
    </w:p>
    <w:tbl>
      <w:tblPr>
        <w:tblW w:w="9365" w:type="dxa"/>
        <w:tblInd w:w="108" w:type="dxa"/>
        <w:tblLayout w:type="fixed"/>
        <w:tblLook w:val="04A0" w:firstRow="1" w:lastRow="0" w:firstColumn="1" w:lastColumn="0" w:noHBand="0" w:noVBand="1"/>
      </w:tblPr>
      <w:tblGrid>
        <w:gridCol w:w="992"/>
        <w:gridCol w:w="573"/>
        <w:gridCol w:w="7800"/>
      </w:tblGrid>
      <w:tr w:rsidR="00083B82" w:rsidRPr="00C9343F" w14:paraId="1553DDAC" w14:textId="77777777" w:rsidTr="00F945FD">
        <w:tc>
          <w:tcPr>
            <w:tcW w:w="992" w:type="dxa"/>
            <w:hideMark/>
          </w:tcPr>
          <w:p w14:paraId="7FA9A280" w14:textId="77777777" w:rsidR="00083B82" w:rsidRPr="00C9343F" w:rsidRDefault="00083B82" w:rsidP="00F66D98">
            <w:pPr>
              <w:pStyle w:val="BlockText-Plain"/>
              <w:spacing w:line="276" w:lineRule="auto"/>
              <w:jc w:val="center"/>
              <w:rPr>
                <w:lang w:eastAsia="en-US"/>
              </w:rPr>
            </w:pPr>
            <w:r w:rsidRPr="00C9343F">
              <w:t>1.</w:t>
            </w:r>
            <w:r w:rsidRPr="00C9343F">
              <w:br w:type="page"/>
            </w:r>
          </w:p>
        </w:tc>
        <w:tc>
          <w:tcPr>
            <w:tcW w:w="8373" w:type="dxa"/>
            <w:gridSpan w:val="2"/>
            <w:hideMark/>
          </w:tcPr>
          <w:p w14:paraId="29CC1524" w14:textId="77777777" w:rsidR="00083B82" w:rsidRPr="00C9343F" w:rsidRDefault="00083B82" w:rsidP="00F66D98">
            <w:pPr>
              <w:pStyle w:val="BlockText-Plain"/>
              <w:rPr>
                <w:lang w:eastAsia="en-US"/>
              </w:rPr>
            </w:pPr>
            <w:r w:rsidRPr="00C9343F">
              <w:rPr>
                <w:lang w:eastAsia="en-US"/>
              </w:rPr>
              <w:t>When a member in the Navy or Air Force who is an aviation specialist transfers to the Officer Aviation Pay Structure, the member has an Officer Aviation increment as set out in the conversion table in Annex 3.2.E. The member is placed in the relevant pathway and competency stream.</w:t>
            </w:r>
          </w:p>
        </w:tc>
      </w:tr>
      <w:tr w:rsidR="00083B82" w:rsidRPr="00C9343F" w14:paraId="777FCD1B" w14:textId="77777777" w:rsidTr="00F945FD">
        <w:tc>
          <w:tcPr>
            <w:tcW w:w="992" w:type="dxa"/>
          </w:tcPr>
          <w:p w14:paraId="4D6BCFEC" w14:textId="77777777" w:rsidR="00083B82" w:rsidRPr="00C9343F" w:rsidRDefault="00083B82" w:rsidP="00F66D98">
            <w:pPr>
              <w:pStyle w:val="BlockText-Plain"/>
              <w:spacing w:line="276" w:lineRule="auto"/>
              <w:jc w:val="center"/>
              <w:rPr>
                <w:lang w:eastAsia="en-US"/>
              </w:rPr>
            </w:pPr>
            <w:r w:rsidRPr="00C9343F">
              <w:rPr>
                <w:lang w:eastAsia="en-US"/>
              </w:rPr>
              <w:t>2.</w:t>
            </w:r>
          </w:p>
        </w:tc>
        <w:tc>
          <w:tcPr>
            <w:tcW w:w="8373" w:type="dxa"/>
            <w:gridSpan w:val="2"/>
          </w:tcPr>
          <w:p w14:paraId="3C1472AB" w14:textId="77777777" w:rsidR="00083B82" w:rsidRPr="00C9343F" w:rsidRDefault="00083B82" w:rsidP="00F66D98">
            <w:pPr>
              <w:pStyle w:val="BlockText-Plain"/>
              <w:rPr>
                <w:lang w:eastAsia="en-US"/>
              </w:rPr>
            </w:pPr>
            <w:r w:rsidRPr="00C9343F">
              <w:rPr>
                <w:lang w:eastAsia="en-US"/>
              </w:rPr>
              <w:t>Subsection 3 applies to a member in the Army who is an aviation specialist and one of the following occurs.</w:t>
            </w:r>
          </w:p>
        </w:tc>
      </w:tr>
      <w:tr w:rsidR="00083B82" w:rsidRPr="00C9343F" w14:paraId="36DE16C1" w14:textId="77777777" w:rsidTr="00F945FD">
        <w:trPr>
          <w:cantSplit/>
        </w:trPr>
        <w:tc>
          <w:tcPr>
            <w:tcW w:w="992" w:type="dxa"/>
          </w:tcPr>
          <w:p w14:paraId="7CEC6D7B" w14:textId="77777777" w:rsidR="00083B82" w:rsidRPr="00C9343F" w:rsidRDefault="00083B82" w:rsidP="00F66D98">
            <w:pPr>
              <w:pStyle w:val="BlockText-Plain"/>
              <w:spacing w:line="276" w:lineRule="auto"/>
              <w:rPr>
                <w:lang w:eastAsia="en-US"/>
              </w:rPr>
            </w:pPr>
          </w:p>
        </w:tc>
        <w:tc>
          <w:tcPr>
            <w:tcW w:w="573" w:type="dxa"/>
          </w:tcPr>
          <w:p w14:paraId="1530FE73" w14:textId="77777777" w:rsidR="00083B82" w:rsidRPr="00C9343F" w:rsidRDefault="00083B82" w:rsidP="007114B1">
            <w:pPr>
              <w:pStyle w:val="BlockText-Plain"/>
              <w:jc w:val="center"/>
              <w:rPr>
                <w:lang w:eastAsia="en-US"/>
              </w:rPr>
            </w:pPr>
            <w:r w:rsidRPr="00C9343F">
              <w:rPr>
                <w:lang w:eastAsia="en-US"/>
              </w:rPr>
              <w:t>a.</w:t>
            </w:r>
          </w:p>
        </w:tc>
        <w:tc>
          <w:tcPr>
            <w:tcW w:w="7800" w:type="dxa"/>
          </w:tcPr>
          <w:p w14:paraId="139E3182" w14:textId="77777777" w:rsidR="00083B82" w:rsidRPr="00C9343F" w:rsidRDefault="00083B82" w:rsidP="00F66D98">
            <w:pPr>
              <w:pStyle w:val="BlockText-Plain"/>
              <w:rPr>
                <w:lang w:eastAsia="en-US"/>
              </w:rPr>
            </w:pPr>
            <w:r w:rsidRPr="00C9343F">
              <w:rPr>
                <w:lang w:eastAsia="en-US"/>
              </w:rPr>
              <w:t>The member's aviation specialist agreement expires.</w:t>
            </w:r>
          </w:p>
        </w:tc>
      </w:tr>
      <w:tr w:rsidR="00083B82" w:rsidRPr="00C9343F" w14:paraId="4523F85C" w14:textId="77777777" w:rsidTr="00F945FD">
        <w:trPr>
          <w:cantSplit/>
        </w:trPr>
        <w:tc>
          <w:tcPr>
            <w:tcW w:w="992" w:type="dxa"/>
          </w:tcPr>
          <w:p w14:paraId="011BAB61" w14:textId="77777777" w:rsidR="00083B82" w:rsidRPr="00C9343F" w:rsidRDefault="00083B82" w:rsidP="00F66D98">
            <w:pPr>
              <w:pStyle w:val="BlockText-Plain"/>
              <w:spacing w:line="276" w:lineRule="auto"/>
              <w:rPr>
                <w:lang w:eastAsia="en-US"/>
              </w:rPr>
            </w:pPr>
          </w:p>
        </w:tc>
        <w:tc>
          <w:tcPr>
            <w:tcW w:w="573" w:type="dxa"/>
          </w:tcPr>
          <w:p w14:paraId="1D8A63BC" w14:textId="77777777" w:rsidR="00083B82" w:rsidRPr="00C9343F" w:rsidRDefault="00083B82" w:rsidP="007114B1">
            <w:pPr>
              <w:pStyle w:val="BlockText-Plain"/>
              <w:jc w:val="center"/>
              <w:rPr>
                <w:lang w:eastAsia="en-US"/>
              </w:rPr>
            </w:pPr>
            <w:r w:rsidRPr="00C9343F">
              <w:rPr>
                <w:lang w:eastAsia="en-US"/>
              </w:rPr>
              <w:t>b.</w:t>
            </w:r>
          </w:p>
        </w:tc>
        <w:tc>
          <w:tcPr>
            <w:tcW w:w="7800" w:type="dxa"/>
          </w:tcPr>
          <w:p w14:paraId="6120DF50" w14:textId="77777777" w:rsidR="00083B82" w:rsidRPr="00C9343F" w:rsidRDefault="00083B82" w:rsidP="00F66D98">
            <w:pPr>
              <w:pStyle w:val="BlockText-Plain"/>
              <w:rPr>
                <w:lang w:eastAsia="en-US"/>
              </w:rPr>
            </w:pPr>
            <w:r w:rsidRPr="00C9343F">
              <w:rPr>
                <w:lang w:eastAsia="en-US"/>
              </w:rPr>
              <w:t>The member's aviation specialist agreement is terminated or ceased by Army.</w:t>
            </w:r>
          </w:p>
        </w:tc>
      </w:tr>
      <w:tr w:rsidR="00083B82" w:rsidRPr="00C9343F" w14:paraId="1C64F8AF" w14:textId="77777777" w:rsidTr="00F945FD">
        <w:trPr>
          <w:cantSplit/>
        </w:trPr>
        <w:tc>
          <w:tcPr>
            <w:tcW w:w="992" w:type="dxa"/>
          </w:tcPr>
          <w:p w14:paraId="0FFBBFFC" w14:textId="77777777" w:rsidR="00083B82" w:rsidRPr="00C9343F" w:rsidRDefault="00083B82" w:rsidP="00F66D98">
            <w:pPr>
              <w:pStyle w:val="BlockText-Plain"/>
              <w:spacing w:line="276" w:lineRule="auto"/>
              <w:rPr>
                <w:lang w:eastAsia="en-US"/>
              </w:rPr>
            </w:pPr>
          </w:p>
        </w:tc>
        <w:tc>
          <w:tcPr>
            <w:tcW w:w="573" w:type="dxa"/>
          </w:tcPr>
          <w:p w14:paraId="4800E2DD" w14:textId="77777777" w:rsidR="00083B82" w:rsidRPr="00C9343F" w:rsidRDefault="00083B82" w:rsidP="007114B1">
            <w:pPr>
              <w:pStyle w:val="BlockText-Plain"/>
              <w:jc w:val="center"/>
              <w:rPr>
                <w:lang w:eastAsia="en-US"/>
              </w:rPr>
            </w:pPr>
            <w:r w:rsidRPr="00C9343F">
              <w:rPr>
                <w:lang w:eastAsia="en-US"/>
              </w:rPr>
              <w:t>c.</w:t>
            </w:r>
          </w:p>
        </w:tc>
        <w:tc>
          <w:tcPr>
            <w:tcW w:w="7800" w:type="dxa"/>
          </w:tcPr>
          <w:p w14:paraId="650C1A97" w14:textId="77777777" w:rsidR="00083B82" w:rsidRPr="00C9343F" w:rsidRDefault="00083B82" w:rsidP="00F66D98">
            <w:pPr>
              <w:pStyle w:val="BlockText-Plain"/>
              <w:rPr>
                <w:lang w:eastAsia="en-US"/>
              </w:rPr>
            </w:pPr>
            <w:r w:rsidRPr="00C9343F">
              <w:rPr>
                <w:lang w:eastAsia="en-US"/>
              </w:rPr>
              <w:t>The specialist officer salary structure for aviation officers ceases.</w:t>
            </w:r>
          </w:p>
        </w:tc>
      </w:tr>
      <w:tr w:rsidR="00083B82" w:rsidRPr="00C9343F" w14:paraId="3B790B85" w14:textId="77777777" w:rsidTr="00F945FD">
        <w:tc>
          <w:tcPr>
            <w:tcW w:w="992" w:type="dxa"/>
          </w:tcPr>
          <w:p w14:paraId="68A525A4" w14:textId="77777777" w:rsidR="00083B82" w:rsidRPr="00C9343F" w:rsidRDefault="00083B82" w:rsidP="00F66D98">
            <w:pPr>
              <w:pStyle w:val="BlockText-Plain"/>
              <w:spacing w:line="276" w:lineRule="auto"/>
              <w:jc w:val="center"/>
              <w:rPr>
                <w:lang w:eastAsia="en-US"/>
              </w:rPr>
            </w:pPr>
            <w:r w:rsidRPr="00C9343F">
              <w:rPr>
                <w:lang w:eastAsia="en-US"/>
              </w:rPr>
              <w:t>3.</w:t>
            </w:r>
          </w:p>
        </w:tc>
        <w:tc>
          <w:tcPr>
            <w:tcW w:w="8373" w:type="dxa"/>
            <w:gridSpan w:val="2"/>
          </w:tcPr>
          <w:p w14:paraId="22A1FD24" w14:textId="77777777" w:rsidR="00083B82" w:rsidRPr="00C9343F" w:rsidRDefault="00083B82" w:rsidP="00F66D98">
            <w:pPr>
              <w:pStyle w:val="BlockText-Plain"/>
              <w:rPr>
                <w:lang w:eastAsia="en-US"/>
              </w:rPr>
            </w:pPr>
            <w:r w:rsidRPr="00C9343F">
              <w:rPr>
                <w:lang w:eastAsia="en-US"/>
              </w:rPr>
              <w:t xml:space="preserve">The member is placed in the Officer Aviation Pay Structure in the Rotary Wing Pilot competency stream at an Officer Aviation increment within the increment range for their rank that is decided by the CDF, taking into consideration both of the following. </w:t>
            </w:r>
          </w:p>
        </w:tc>
      </w:tr>
      <w:tr w:rsidR="00083B82" w:rsidRPr="00C9343F" w14:paraId="180E99B5" w14:textId="77777777" w:rsidTr="00F945FD">
        <w:trPr>
          <w:cantSplit/>
        </w:trPr>
        <w:tc>
          <w:tcPr>
            <w:tcW w:w="992" w:type="dxa"/>
          </w:tcPr>
          <w:p w14:paraId="2DBBC50F" w14:textId="77777777" w:rsidR="00083B82" w:rsidRPr="00C9343F" w:rsidRDefault="00083B82" w:rsidP="00F66D98">
            <w:pPr>
              <w:pStyle w:val="BlockText-Plain"/>
              <w:spacing w:line="276" w:lineRule="auto"/>
              <w:rPr>
                <w:lang w:eastAsia="en-US"/>
              </w:rPr>
            </w:pPr>
          </w:p>
        </w:tc>
        <w:tc>
          <w:tcPr>
            <w:tcW w:w="573" w:type="dxa"/>
          </w:tcPr>
          <w:p w14:paraId="17839ED4" w14:textId="77777777" w:rsidR="00083B82" w:rsidRPr="00C9343F" w:rsidRDefault="00083B82" w:rsidP="007114B1">
            <w:pPr>
              <w:pStyle w:val="BlockText-Plain"/>
              <w:jc w:val="center"/>
              <w:rPr>
                <w:lang w:eastAsia="en-US"/>
              </w:rPr>
            </w:pPr>
            <w:r w:rsidRPr="00C9343F">
              <w:rPr>
                <w:lang w:eastAsia="en-US"/>
              </w:rPr>
              <w:t>a.</w:t>
            </w:r>
          </w:p>
        </w:tc>
        <w:tc>
          <w:tcPr>
            <w:tcW w:w="7800" w:type="dxa"/>
          </w:tcPr>
          <w:p w14:paraId="2F70DE58" w14:textId="77777777" w:rsidR="00083B82" w:rsidRPr="00C9343F" w:rsidRDefault="00083B82" w:rsidP="00F66D98">
            <w:pPr>
              <w:pStyle w:val="BlockText-Plain"/>
              <w:rPr>
                <w:lang w:eastAsia="en-US"/>
              </w:rPr>
            </w:pPr>
            <w:r w:rsidRPr="00C9343F">
              <w:rPr>
                <w:lang w:eastAsia="en-US"/>
              </w:rPr>
              <w:t>The member's experience, qualifications and skills.</w:t>
            </w:r>
          </w:p>
        </w:tc>
      </w:tr>
      <w:tr w:rsidR="00083B82" w:rsidRPr="00C9343F" w14:paraId="531608D8" w14:textId="77777777" w:rsidTr="00F945FD">
        <w:trPr>
          <w:cantSplit/>
        </w:trPr>
        <w:tc>
          <w:tcPr>
            <w:tcW w:w="992" w:type="dxa"/>
          </w:tcPr>
          <w:p w14:paraId="032B7007" w14:textId="77777777" w:rsidR="00083B82" w:rsidRPr="00C9343F" w:rsidRDefault="00083B82" w:rsidP="00F66D98">
            <w:pPr>
              <w:pStyle w:val="BlockText-Plain"/>
              <w:spacing w:line="276" w:lineRule="auto"/>
              <w:rPr>
                <w:lang w:eastAsia="en-US"/>
              </w:rPr>
            </w:pPr>
          </w:p>
        </w:tc>
        <w:tc>
          <w:tcPr>
            <w:tcW w:w="573" w:type="dxa"/>
          </w:tcPr>
          <w:p w14:paraId="347563A8" w14:textId="77777777" w:rsidR="00083B82" w:rsidRPr="00C9343F" w:rsidRDefault="00083B82" w:rsidP="007114B1">
            <w:pPr>
              <w:pStyle w:val="BlockText-Plain"/>
              <w:jc w:val="center"/>
              <w:rPr>
                <w:lang w:eastAsia="en-US"/>
              </w:rPr>
            </w:pPr>
            <w:r w:rsidRPr="00C9343F">
              <w:rPr>
                <w:lang w:eastAsia="en-US"/>
              </w:rPr>
              <w:t>b.</w:t>
            </w:r>
          </w:p>
        </w:tc>
        <w:tc>
          <w:tcPr>
            <w:tcW w:w="7800" w:type="dxa"/>
          </w:tcPr>
          <w:p w14:paraId="167CF6D5" w14:textId="77777777" w:rsidR="00083B82" w:rsidRPr="00C9343F" w:rsidRDefault="00083B82" w:rsidP="00F66D98">
            <w:pPr>
              <w:pStyle w:val="BlockText-Plain"/>
              <w:rPr>
                <w:lang w:eastAsia="en-US"/>
              </w:rPr>
            </w:pPr>
            <w:r w:rsidRPr="00C9343F">
              <w:rPr>
                <w:lang w:eastAsia="en-US"/>
              </w:rPr>
              <w:t>The member's previous military service.</w:t>
            </w:r>
          </w:p>
        </w:tc>
      </w:tr>
      <w:tr w:rsidR="00083B82" w:rsidRPr="00C9343F" w14:paraId="5F596452" w14:textId="77777777" w:rsidTr="00F945FD">
        <w:tc>
          <w:tcPr>
            <w:tcW w:w="992" w:type="dxa"/>
          </w:tcPr>
          <w:p w14:paraId="0F5E1A8B" w14:textId="77777777" w:rsidR="00083B82" w:rsidRPr="00C9343F" w:rsidRDefault="00083B82" w:rsidP="00F66D98">
            <w:pPr>
              <w:pStyle w:val="BlockText-Plain"/>
              <w:spacing w:line="276" w:lineRule="auto"/>
              <w:jc w:val="center"/>
              <w:rPr>
                <w:lang w:eastAsia="en-US"/>
              </w:rPr>
            </w:pPr>
          </w:p>
        </w:tc>
        <w:tc>
          <w:tcPr>
            <w:tcW w:w="8373" w:type="dxa"/>
            <w:gridSpan w:val="2"/>
            <w:hideMark/>
          </w:tcPr>
          <w:p w14:paraId="282CF255" w14:textId="77777777" w:rsidR="00083B82" w:rsidRPr="00C9343F" w:rsidRDefault="00083B82" w:rsidP="00F66D98">
            <w:pPr>
              <w:pStyle w:val="BlockText-Plain"/>
              <w:rPr>
                <w:lang w:eastAsia="en-US"/>
              </w:rPr>
            </w:pPr>
            <w:r w:rsidRPr="00C9343F">
              <w:rPr>
                <w:b/>
                <w:lang w:eastAsia="en-US"/>
              </w:rPr>
              <w:t>Note:</w:t>
            </w:r>
            <w:r w:rsidRPr="00C9343F">
              <w:rPr>
                <w:lang w:eastAsia="en-US"/>
              </w:rPr>
              <w:t xml:space="preserve"> Transfer from the salary structure for aviation specialists to the Officer Aviation Pay Structure on the Specialist Pathway does not affect or change the member’s increment advancement date.</w:t>
            </w:r>
          </w:p>
        </w:tc>
      </w:tr>
    </w:tbl>
    <w:p w14:paraId="036A7589" w14:textId="47D8FA35" w:rsidR="00083B82" w:rsidRPr="00C9343F" w:rsidRDefault="00083B82" w:rsidP="00F66D98">
      <w:pPr>
        <w:pStyle w:val="Heading5"/>
        <w:keepNext w:val="0"/>
        <w:keepLines w:val="0"/>
      </w:pPr>
      <w:bookmarkStart w:id="503" w:name="_Toc105053713"/>
      <w:r w:rsidRPr="00C9343F">
        <w:t>3.2.47F</w:t>
      </w:r>
      <w:r w:rsidR="00D94006" w:rsidRPr="00C9343F">
        <w:t>    </w:t>
      </w:r>
      <w:r w:rsidRPr="00C9343F">
        <w:t>Entry placement – Other Rank member transfers to the Officer Aviation Pay Structure</w:t>
      </w:r>
      <w:bookmarkEnd w:id="503"/>
      <w:r w:rsidRPr="00C9343F">
        <w:t xml:space="preserve"> </w:t>
      </w:r>
    </w:p>
    <w:tbl>
      <w:tblPr>
        <w:tblW w:w="9360" w:type="dxa"/>
        <w:tblInd w:w="113" w:type="dxa"/>
        <w:tblLayout w:type="fixed"/>
        <w:tblLook w:val="04A0" w:firstRow="1" w:lastRow="0" w:firstColumn="1" w:lastColumn="0" w:noHBand="0" w:noVBand="1"/>
      </w:tblPr>
      <w:tblGrid>
        <w:gridCol w:w="992"/>
        <w:gridCol w:w="8368"/>
      </w:tblGrid>
      <w:tr w:rsidR="00083B82" w:rsidRPr="00C9343F" w14:paraId="5E119411" w14:textId="77777777" w:rsidTr="00F945FD">
        <w:tc>
          <w:tcPr>
            <w:tcW w:w="992" w:type="dxa"/>
          </w:tcPr>
          <w:p w14:paraId="262BB0C8" w14:textId="77777777" w:rsidR="00083B82" w:rsidRPr="00C9343F" w:rsidRDefault="00083B82" w:rsidP="00F66D98">
            <w:pPr>
              <w:pStyle w:val="BlockText-Plain"/>
              <w:jc w:val="center"/>
              <w:rPr>
                <w:lang w:eastAsia="en-US"/>
              </w:rPr>
            </w:pPr>
            <w:r w:rsidRPr="00C9343F">
              <w:rPr>
                <w:lang w:eastAsia="en-US"/>
              </w:rPr>
              <w:t>1.</w:t>
            </w:r>
          </w:p>
        </w:tc>
        <w:tc>
          <w:tcPr>
            <w:tcW w:w="8368" w:type="dxa"/>
          </w:tcPr>
          <w:p w14:paraId="7529C258" w14:textId="77777777" w:rsidR="00083B82" w:rsidRPr="00C9343F" w:rsidRDefault="00083B82" w:rsidP="00F66D98">
            <w:pPr>
              <w:pStyle w:val="BlockText-Plain"/>
              <w:rPr>
                <w:lang w:eastAsia="en-US"/>
              </w:rPr>
            </w:pPr>
            <w:r w:rsidRPr="00C9343F">
              <w:rPr>
                <w:lang w:eastAsia="en-US"/>
              </w:rPr>
              <w:t>This section applies to an Other Rank member who transfers to the Officer Aviation Pay Structure and their salary immediately before the transfer is higher than the rate of salary payable for the member's Officer Aviation increment for their rank, pathway and competency stream.</w:t>
            </w:r>
          </w:p>
        </w:tc>
      </w:tr>
      <w:tr w:rsidR="00083B82" w:rsidRPr="00C9343F" w14:paraId="7ECB82A4" w14:textId="77777777" w:rsidTr="00F945FD">
        <w:tc>
          <w:tcPr>
            <w:tcW w:w="992" w:type="dxa"/>
          </w:tcPr>
          <w:p w14:paraId="636A31CE" w14:textId="77777777" w:rsidR="00083B82" w:rsidRPr="00C9343F" w:rsidRDefault="00083B82" w:rsidP="00F66D98">
            <w:pPr>
              <w:pStyle w:val="BlockText-Plain"/>
              <w:jc w:val="center"/>
              <w:rPr>
                <w:lang w:eastAsia="en-US"/>
              </w:rPr>
            </w:pPr>
            <w:r w:rsidRPr="00C9343F">
              <w:rPr>
                <w:lang w:eastAsia="en-US"/>
              </w:rPr>
              <w:t>2.</w:t>
            </w:r>
          </w:p>
        </w:tc>
        <w:tc>
          <w:tcPr>
            <w:tcW w:w="8368" w:type="dxa"/>
          </w:tcPr>
          <w:p w14:paraId="7C059FAC" w14:textId="77777777" w:rsidR="00083B82" w:rsidRPr="00C9343F" w:rsidRDefault="00083B82" w:rsidP="00F66D98">
            <w:pPr>
              <w:pStyle w:val="BlockText-Plain"/>
              <w:rPr>
                <w:lang w:eastAsia="en-US"/>
              </w:rPr>
            </w:pPr>
            <w:r w:rsidRPr="00C9343F">
              <w:rPr>
                <w:lang w:eastAsia="en-US"/>
              </w:rPr>
              <w:t>The member retains the rate of salary payable immediately before the transfer until the salary payable for the member's Officer Aviation increment for their rank, pathway and competency stream is equal to or greater than the retained rate of salary.</w:t>
            </w:r>
          </w:p>
        </w:tc>
      </w:tr>
    </w:tbl>
    <w:p w14:paraId="605FC2D7" w14:textId="344083BC" w:rsidR="00083B82" w:rsidRPr="00C9343F" w:rsidRDefault="00083B82" w:rsidP="00F66D98">
      <w:pPr>
        <w:pStyle w:val="Heading5"/>
      </w:pPr>
      <w:bookmarkStart w:id="504" w:name="_Toc105053714"/>
      <w:r w:rsidRPr="00C9343F">
        <w:t>3.2.47G</w:t>
      </w:r>
      <w:r w:rsidR="00D94006" w:rsidRPr="00C9343F">
        <w:t>    </w:t>
      </w:r>
      <w:r w:rsidRPr="00C9343F">
        <w:t>Entry placement – Navy Aviation Officers</w:t>
      </w:r>
      <w:bookmarkEnd w:id="504"/>
      <w:r w:rsidRPr="00C9343F">
        <w:t xml:space="preserve"> </w:t>
      </w:r>
    </w:p>
    <w:tbl>
      <w:tblPr>
        <w:tblW w:w="9366" w:type="dxa"/>
        <w:tblInd w:w="108" w:type="dxa"/>
        <w:tblLayout w:type="fixed"/>
        <w:tblLook w:val="0000" w:firstRow="0" w:lastRow="0" w:firstColumn="0" w:lastColumn="0" w:noHBand="0" w:noVBand="0"/>
      </w:tblPr>
      <w:tblGrid>
        <w:gridCol w:w="991"/>
        <w:gridCol w:w="573"/>
        <w:gridCol w:w="567"/>
        <w:gridCol w:w="7235"/>
      </w:tblGrid>
      <w:tr w:rsidR="00083B82" w:rsidRPr="00C9343F" w14:paraId="19692CCC" w14:textId="77777777" w:rsidTr="00F945FD">
        <w:tc>
          <w:tcPr>
            <w:tcW w:w="991" w:type="dxa"/>
          </w:tcPr>
          <w:p w14:paraId="54C29649" w14:textId="77777777" w:rsidR="00083B82" w:rsidRPr="00C9343F" w:rsidRDefault="00083B82" w:rsidP="00F66D98">
            <w:pPr>
              <w:pStyle w:val="BlockText-Plain"/>
              <w:jc w:val="center"/>
              <w:rPr>
                <w:rFonts w:cs="Arial"/>
              </w:rPr>
            </w:pPr>
            <w:r w:rsidRPr="00C9343F">
              <w:rPr>
                <w:rFonts w:cs="Arial"/>
              </w:rPr>
              <w:t>1.</w:t>
            </w:r>
          </w:p>
        </w:tc>
        <w:tc>
          <w:tcPr>
            <w:tcW w:w="8375" w:type="dxa"/>
            <w:gridSpan w:val="3"/>
          </w:tcPr>
          <w:p w14:paraId="480C42BD" w14:textId="77777777" w:rsidR="00083B82" w:rsidRPr="00C9343F" w:rsidRDefault="00083B82" w:rsidP="00F66D98">
            <w:pPr>
              <w:pStyle w:val="BlockText-Plain"/>
            </w:pPr>
            <w:r w:rsidRPr="00C9343F">
              <w:t>For the purpose of this section, a member in the Navy who meets the applicable conditions set out in this section is placed in the Command Pathway and one of the following competency streams.</w:t>
            </w:r>
          </w:p>
        </w:tc>
      </w:tr>
      <w:tr w:rsidR="00083B82" w:rsidRPr="00C9343F" w14:paraId="6A73C810" w14:textId="77777777" w:rsidTr="00F945FD">
        <w:trPr>
          <w:cantSplit/>
        </w:trPr>
        <w:tc>
          <w:tcPr>
            <w:tcW w:w="991" w:type="dxa"/>
          </w:tcPr>
          <w:p w14:paraId="72E8434E" w14:textId="77777777" w:rsidR="00083B82" w:rsidRPr="00C9343F" w:rsidRDefault="00083B82" w:rsidP="00F66D98">
            <w:pPr>
              <w:pStyle w:val="BlockText-Plain"/>
            </w:pPr>
          </w:p>
        </w:tc>
        <w:tc>
          <w:tcPr>
            <w:tcW w:w="573" w:type="dxa"/>
          </w:tcPr>
          <w:p w14:paraId="536B0630" w14:textId="77777777" w:rsidR="00083B82" w:rsidRPr="00C9343F" w:rsidRDefault="00083B82" w:rsidP="007114B1">
            <w:pPr>
              <w:pStyle w:val="BlockText-Plain"/>
              <w:jc w:val="center"/>
            </w:pPr>
            <w:r w:rsidRPr="00C9343F">
              <w:t>a.</w:t>
            </w:r>
          </w:p>
        </w:tc>
        <w:tc>
          <w:tcPr>
            <w:tcW w:w="7802" w:type="dxa"/>
            <w:gridSpan w:val="2"/>
          </w:tcPr>
          <w:p w14:paraId="4BD94D35" w14:textId="77777777" w:rsidR="00083B82" w:rsidRPr="00C9343F" w:rsidRDefault="00083B82" w:rsidP="00F66D98">
            <w:pPr>
              <w:pStyle w:val="BlockText-Plain"/>
            </w:pPr>
            <w:r w:rsidRPr="00C9343F">
              <w:rPr>
                <w:lang w:eastAsia="en-US"/>
              </w:rPr>
              <w:t xml:space="preserve">If the member is in a Pilot employment category or is undertaking training as a rotary wing pilot — Rotary Wing Pilot competency stream. </w:t>
            </w:r>
          </w:p>
        </w:tc>
      </w:tr>
      <w:tr w:rsidR="00083B82" w:rsidRPr="00C9343F" w14:paraId="4B0F64AA" w14:textId="77777777" w:rsidTr="00F945FD">
        <w:trPr>
          <w:cantSplit/>
        </w:trPr>
        <w:tc>
          <w:tcPr>
            <w:tcW w:w="991" w:type="dxa"/>
          </w:tcPr>
          <w:p w14:paraId="76CEF789" w14:textId="77777777" w:rsidR="00083B82" w:rsidRPr="00C9343F" w:rsidRDefault="00083B82" w:rsidP="00F66D98">
            <w:pPr>
              <w:pStyle w:val="BlockText-Plain"/>
            </w:pPr>
          </w:p>
        </w:tc>
        <w:tc>
          <w:tcPr>
            <w:tcW w:w="573" w:type="dxa"/>
          </w:tcPr>
          <w:p w14:paraId="7CFB27EB" w14:textId="77777777" w:rsidR="00083B82" w:rsidRPr="00C9343F" w:rsidRDefault="00083B82" w:rsidP="007114B1">
            <w:pPr>
              <w:pStyle w:val="BlockText-Plain"/>
              <w:jc w:val="center"/>
            </w:pPr>
            <w:r w:rsidRPr="00C9343F">
              <w:t>b.</w:t>
            </w:r>
          </w:p>
        </w:tc>
        <w:tc>
          <w:tcPr>
            <w:tcW w:w="7802" w:type="dxa"/>
            <w:gridSpan w:val="2"/>
          </w:tcPr>
          <w:p w14:paraId="4A376AF7" w14:textId="77777777" w:rsidR="00083B82" w:rsidRPr="00C9343F" w:rsidRDefault="00083B82" w:rsidP="00F66D98">
            <w:pPr>
              <w:pStyle w:val="BlockText-Plain"/>
              <w:rPr>
                <w:lang w:eastAsia="en-US"/>
              </w:rPr>
            </w:pPr>
            <w:r w:rsidRPr="00C9343F">
              <w:rPr>
                <w:lang w:eastAsia="en-US"/>
              </w:rPr>
              <w:t>If the member is in a Maritime Aviation Warfare Officer employment category or undertaking training as an aviation warfare officer — Aviation Warfare Officer competency stream.</w:t>
            </w:r>
          </w:p>
        </w:tc>
      </w:tr>
      <w:tr w:rsidR="008D0E8F" w:rsidRPr="00C9343F" w14:paraId="55C52342" w14:textId="77777777" w:rsidTr="00F945FD">
        <w:trPr>
          <w:cantSplit/>
        </w:trPr>
        <w:tc>
          <w:tcPr>
            <w:tcW w:w="991" w:type="dxa"/>
          </w:tcPr>
          <w:p w14:paraId="4814EAEA" w14:textId="631BE163" w:rsidR="008D0E8F" w:rsidRPr="00C9343F" w:rsidRDefault="008D0E8F" w:rsidP="00F66D98">
            <w:pPr>
              <w:pStyle w:val="BlockText-Plain"/>
            </w:pPr>
          </w:p>
        </w:tc>
        <w:tc>
          <w:tcPr>
            <w:tcW w:w="573" w:type="dxa"/>
          </w:tcPr>
          <w:p w14:paraId="6584FB3B" w14:textId="2F2D58B0" w:rsidR="008D0E8F" w:rsidRPr="00C9343F" w:rsidRDefault="008D0E8F" w:rsidP="007114B1">
            <w:pPr>
              <w:pStyle w:val="BlockText-Plain"/>
              <w:jc w:val="center"/>
            </w:pPr>
            <w:r w:rsidRPr="00C9343F">
              <w:t>c.</w:t>
            </w:r>
          </w:p>
        </w:tc>
        <w:tc>
          <w:tcPr>
            <w:tcW w:w="7802" w:type="dxa"/>
            <w:gridSpan w:val="2"/>
          </w:tcPr>
          <w:p w14:paraId="39A6F9AD" w14:textId="647E7A04" w:rsidR="008D0E8F" w:rsidRPr="00C9343F" w:rsidRDefault="008D0E8F" w:rsidP="00F66D98">
            <w:pPr>
              <w:pStyle w:val="BlockText-Plain"/>
              <w:rPr>
                <w:lang w:eastAsia="en-US"/>
              </w:rPr>
            </w:pPr>
            <w:r w:rsidRPr="00C9343F">
              <w:t>If the member is undertaking training in a Remote Pilot Warfare Officer employment category — Remote Pilot Warfare Officer competency stream.</w:t>
            </w:r>
          </w:p>
        </w:tc>
      </w:tr>
      <w:tr w:rsidR="008D0E8F" w:rsidRPr="00C9343F" w14:paraId="4DBF773D" w14:textId="77777777" w:rsidTr="00F945FD">
        <w:tblPrEx>
          <w:tblLook w:val="04A0" w:firstRow="1" w:lastRow="0" w:firstColumn="1" w:lastColumn="0" w:noHBand="0" w:noVBand="1"/>
        </w:tblPrEx>
        <w:tc>
          <w:tcPr>
            <w:tcW w:w="991" w:type="dxa"/>
          </w:tcPr>
          <w:p w14:paraId="2895ACEB" w14:textId="77777777" w:rsidR="008D0E8F" w:rsidRPr="00C9343F" w:rsidRDefault="008D0E8F" w:rsidP="00F66D98">
            <w:pPr>
              <w:pStyle w:val="BlockText-Plain"/>
              <w:jc w:val="center"/>
            </w:pPr>
            <w:r w:rsidRPr="00C9343F">
              <w:t>2.</w:t>
            </w:r>
          </w:p>
        </w:tc>
        <w:tc>
          <w:tcPr>
            <w:tcW w:w="8375" w:type="dxa"/>
            <w:gridSpan w:val="3"/>
          </w:tcPr>
          <w:p w14:paraId="11178113" w14:textId="77777777" w:rsidR="008D0E8F" w:rsidRPr="00C9343F" w:rsidRDefault="008D0E8F" w:rsidP="00F66D98">
            <w:pPr>
              <w:pStyle w:val="BlockText-Plain"/>
            </w:pPr>
            <w:r w:rsidRPr="00C9343F">
              <w:t>A member is placed in the Officer Aviation Pay Structure at Officer Aviation increment OA0 on the day they meet either of the following.</w:t>
            </w:r>
          </w:p>
        </w:tc>
      </w:tr>
      <w:tr w:rsidR="008D0E8F" w:rsidRPr="00C9343F" w14:paraId="5BDB0127" w14:textId="77777777" w:rsidTr="00F945FD">
        <w:trPr>
          <w:cantSplit/>
        </w:trPr>
        <w:tc>
          <w:tcPr>
            <w:tcW w:w="991" w:type="dxa"/>
          </w:tcPr>
          <w:p w14:paraId="454E47FC" w14:textId="77777777" w:rsidR="008D0E8F" w:rsidRPr="00C9343F" w:rsidRDefault="008D0E8F" w:rsidP="00F66D98">
            <w:pPr>
              <w:pStyle w:val="BlockText-Plain"/>
            </w:pPr>
          </w:p>
        </w:tc>
        <w:tc>
          <w:tcPr>
            <w:tcW w:w="573" w:type="dxa"/>
          </w:tcPr>
          <w:p w14:paraId="672C6CCE" w14:textId="77777777" w:rsidR="008D0E8F" w:rsidRPr="00C9343F" w:rsidRDefault="008D0E8F" w:rsidP="007114B1">
            <w:pPr>
              <w:pStyle w:val="BlockText-Plain"/>
              <w:jc w:val="center"/>
            </w:pPr>
            <w:r w:rsidRPr="00C9343F">
              <w:t>a.</w:t>
            </w:r>
          </w:p>
        </w:tc>
        <w:tc>
          <w:tcPr>
            <w:tcW w:w="7802" w:type="dxa"/>
            <w:gridSpan w:val="2"/>
          </w:tcPr>
          <w:p w14:paraId="2E570802" w14:textId="77777777" w:rsidR="008D0E8F" w:rsidRPr="00C9343F" w:rsidRDefault="008D0E8F" w:rsidP="00F66D98">
            <w:pPr>
              <w:pStyle w:val="BlockText-Plain"/>
              <w:rPr>
                <w:lang w:eastAsia="en-US"/>
              </w:rPr>
            </w:pPr>
            <w:r w:rsidRPr="00C9343F">
              <w:rPr>
                <w:lang w:eastAsia="en-US"/>
              </w:rPr>
              <w:t>The member completes studies at the Australian Defence Force Academy and is promoted to Sub Lieutenant.</w:t>
            </w:r>
          </w:p>
        </w:tc>
      </w:tr>
      <w:tr w:rsidR="008D0E8F" w:rsidRPr="00C9343F" w14:paraId="5136B2C4" w14:textId="77777777" w:rsidTr="00F945FD">
        <w:trPr>
          <w:cantSplit/>
        </w:trPr>
        <w:tc>
          <w:tcPr>
            <w:tcW w:w="991" w:type="dxa"/>
          </w:tcPr>
          <w:p w14:paraId="7BC8197E" w14:textId="77777777" w:rsidR="008D0E8F" w:rsidRPr="00C9343F" w:rsidRDefault="008D0E8F" w:rsidP="00F66D98">
            <w:pPr>
              <w:pStyle w:val="BlockText-Plain"/>
            </w:pPr>
          </w:p>
        </w:tc>
        <w:tc>
          <w:tcPr>
            <w:tcW w:w="573" w:type="dxa"/>
          </w:tcPr>
          <w:p w14:paraId="4686FF4B" w14:textId="77777777" w:rsidR="008D0E8F" w:rsidRPr="00C9343F" w:rsidRDefault="008D0E8F" w:rsidP="007114B1">
            <w:pPr>
              <w:pStyle w:val="BlockText-Plain"/>
              <w:jc w:val="center"/>
            </w:pPr>
            <w:r w:rsidRPr="00C9343F">
              <w:t>b.</w:t>
            </w:r>
          </w:p>
        </w:tc>
        <w:tc>
          <w:tcPr>
            <w:tcW w:w="7802" w:type="dxa"/>
            <w:gridSpan w:val="2"/>
          </w:tcPr>
          <w:p w14:paraId="43FCB849" w14:textId="77777777" w:rsidR="008D0E8F" w:rsidRPr="00C9343F" w:rsidRDefault="008D0E8F" w:rsidP="00F66D98">
            <w:pPr>
              <w:pStyle w:val="BlockText-Plain"/>
              <w:rPr>
                <w:lang w:eastAsia="en-US"/>
              </w:rPr>
            </w:pPr>
            <w:r w:rsidRPr="00C9343F">
              <w:rPr>
                <w:lang w:eastAsia="en-US"/>
              </w:rPr>
              <w:t>The member is a direct entry officer and meets either of the following.</w:t>
            </w:r>
          </w:p>
        </w:tc>
      </w:tr>
      <w:tr w:rsidR="008D0E8F" w:rsidRPr="00C9343F" w14:paraId="2E5A1D9E" w14:textId="77777777" w:rsidTr="00F945FD">
        <w:tblPrEx>
          <w:tblLook w:val="04A0" w:firstRow="1" w:lastRow="0" w:firstColumn="1" w:lastColumn="0" w:noHBand="0" w:noVBand="1"/>
        </w:tblPrEx>
        <w:trPr>
          <w:cantSplit/>
        </w:trPr>
        <w:tc>
          <w:tcPr>
            <w:tcW w:w="1564" w:type="dxa"/>
            <w:gridSpan w:val="2"/>
          </w:tcPr>
          <w:p w14:paraId="3A74F8C6" w14:textId="77777777" w:rsidR="008D0E8F" w:rsidRPr="00C9343F" w:rsidRDefault="008D0E8F" w:rsidP="00F66D98">
            <w:pPr>
              <w:pStyle w:val="BlockText-Plain"/>
              <w:spacing w:line="276" w:lineRule="auto"/>
              <w:rPr>
                <w:lang w:eastAsia="en-US"/>
              </w:rPr>
            </w:pPr>
          </w:p>
        </w:tc>
        <w:tc>
          <w:tcPr>
            <w:tcW w:w="567" w:type="dxa"/>
            <w:hideMark/>
          </w:tcPr>
          <w:p w14:paraId="3478892A" w14:textId="77777777" w:rsidR="008D0E8F" w:rsidRPr="00C9343F" w:rsidRDefault="008D0E8F" w:rsidP="00F66D98">
            <w:pPr>
              <w:pStyle w:val="BlockText-Plain"/>
              <w:rPr>
                <w:lang w:eastAsia="en-US"/>
              </w:rPr>
            </w:pPr>
            <w:r w:rsidRPr="00C9343F">
              <w:rPr>
                <w:lang w:eastAsia="en-US"/>
              </w:rPr>
              <w:t>i.</w:t>
            </w:r>
          </w:p>
        </w:tc>
        <w:tc>
          <w:tcPr>
            <w:tcW w:w="7235" w:type="dxa"/>
            <w:hideMark/>
          </w:tcPr>
          <w:p w14:paraId="0F32E3CE" w14:textId="77777777" w:rsidR="008D0E8F" w:rsidRPr="00C9343F" w:rsidRDefault="008D0E8F" w:rsidP="00F66D98">
            <w:pPr>
              <w:pStyle w:val="BlockText-Plain"/>
              <w:rPr>
                <w:lang w:eastAsia="en-US"/>
              </w:rPr>
            </w:pPr>
            <w:r w:rsidRPr="00C9343F">
              <w:rPr>
                <w:lang w:eastAsia="en-US"/>
              </w:rPr>
              <w:t>The member has completed the new entry officer course and is promoted to Acting Sub Lieutenant.</w:t>
            </w:r>
          </w:p>
        </w:tc>
      </w:tr>
      <w:tr w:rsidR="008D0E8F" w:rsidRPr="00C9343F" w14:paraId="07D91616" w14:textId="77777777" w:rsidTr="00F945FD">
        <w:tblPrEx>
          <w:tblLook w:val="04A0" w:firstRow="1" w:lastRow="0" w:firstColumn="1" w:lastColumn="0" w:noHBand="0" w:noVBand="1"/>
        </w:tblPrEx>
        <w:trPr>
          <w:cantSplit/>
        </w:trPr>
        <w:tc>
          <w:tcPr>
            <w:tcW w:w="1564" w:type="dxa"/>
            <w:gridSpan w:val="2"/>
          </w:tcPr>
          <w:p w14:paraId="522F10B0" w14:textId="77777777" w:rsidR="008D0E8F" w:rsidRPr="00C9343F" w:rsidRDefault="008D0E8F" w:rsidP="00F66D98">
            <w:pPr>
              <w:pStyle w:val="BlockText-Plain"/>
              <w:spacing w:line="276" w:lineRule="auto"/>
              <w:rPr>
                <w:lang w:eastAsia="en-US"/>
              </w:rPr>
            </w:pPr>
          </w:p>
        </w:tc>
        <w:tc>
          <w:tcPr>
            <w:tcW w:w="567" w:type="dxa"/>
          </w:tcPr>
          <w:p w14:paraId="72A0050E" w14:textId="77777777" w:rsidR="008D0E8F" w:rsidRPr="00C9343F" w:rsidRDefault="008D0E8F" w:rsidP="00F66D98">
            <w:pPr>
              <w:pStyle w:val="BlockText-Plain"/>
              <w:rPr>
                <w:lang w:eastAsia="en-US"/>
              </w:rPr>
            </w:pPr>
            <w:r w:rsidRPr="00C9343F">
              <w:rPr>
                <w:lang w:eastAsia="en-US"/>
              </w:rPr>
              <w:t>ii.</w:t>
            </w:r>
          </w:p>
        </w:tc>
        <w:tc>
          <w:tcPr>
            <w:tcW w:w="7235" w:type="dxa"/>
          </w:tcPr>
          <w:p w14:paraId="7FEED11C" w14:textId="77777777" w:rsidR="008D0E8F" w:rsidRPr="00C9343F" w:rsidRDefault="008D0E8F" w:rsidP="00F66D98">
            <w:pPr>
              <w:pStyle w:val="BlockText-Plain"/>
              <w:rPr>
                <w:lang w:eastAsia="en-US"/>
              </w:rPr>
            </w:pPr>
            <w:r w:rsidRPr="00C9343F">
              <w:rPr>
                <w:lang w:eastAsia="en-US"/>
              </w:rPr>
              <w:t xml:space="preserve">The member has </w:t>
            </w:r>
            <w:r w:rsidRPr="00C9343F">
              <w:t>completed officer training and is promoted to Sub Lieutenant.</w:t>
            </w:r>
          </w:p>
        </w:tc>
      </w:tr>
      <w:tr w:rsidR="008D0E8F" w:rsidRPr="00C9343F" w14:paraId="4F5D6939" w14:textId="77777777" w:rsidTr="00F945FD">
        <w:tblPrEx>
          <w:tblLook w:val="04A0" w:firstRow="1" w:lastRow="0" w:firstColumn="1" w:lastColumn="0" w:noHBand="0" w:noVBand="1"/>
        </w:tblPrEx>
        <w:tc>
          <w:tcPr>
            <w:tcW w:w="991" w:type="dxa"/>
          </w:tcPr>
          <w:p w14:paraId="2E3107A9" w14:textId="77777777" w:rsidR="008D0E8F" w:rsidRPr="00C9343F" w:rsidRDefault="008D0E8F" w:rsidP="00F66D98">
            <w:pPr>
              <w:pStyle w:val="BlockText-Plain"/>
              <w:jc w:val="center"/>
            </w:pPr>
            <w:r w:rsidRPr="00C9343F">
              <w:t>3.</w:t>
            </w:r>
          </w:p>
        </w:tc>
        <w:tc>
          <w:tcPr>
            <w:tcW w:w="8375" w:type="dxa"/>
            <w:gridSpan w:val="3"/>
          </w:tcPr>
          <w:p w14:paraId="29FFA4AE" w14:textId="77777777" w:rsidR="008D0E8F" w:rsidRPr="00C9343F" w:rsidRDefault="008D0E8F" w:rsidP="00F66D98">
            <w:pPr>
              <w:pStyle w:val="BlockText-Plain"/>
              <w:rPr>
                <w:b/>
              </w:rPr>
            </w:pPr>
            <w:r w:rsidRPr="00C9343F">
              <w:t xml:space="preserve">Despite subsection 2, a member is placed in the Officer Aviation Pay Structure at Officer Aviation increment OA1 on the day they meet either of the following. </w:t>
            </w:r>
          </w:p>
        </w:tc>
      </w:tr>
      <w:tr w:rsidR="008D0E8F" w:rsidRPr="00C9343F" w14:paraId="2EEB5DF9" w14:textId="77777777" w:rsidTr="00F945FD">
        <w:trPr>
          <w:cantSplit/>
        </w:trPr>
        <w:tc>
          <w:tcPr>
            <w:tcW w:w="991" w:type="dxa"/>
          </w:tcPr>
          <w:p w14:paraId="4D9A8A85" w14:textId="77777777" w:rsidR="008D0E8F" w:rsidRPr="00C9343F" w:rsidRDefault="008D0E8F" w:rsidP="00F66D98">
            <w:pPr>
              <w:pStyle w:val="BlockText-Plain"/>
            </w:pPr>
          </w:p>
        </w:tc>
        <w:tc>
          <w:tcPr>
            <w:tcW w:w="573" w:type="dxa"/>
          </w:tcPr>
          <w:p w14:paraId="3CC0EFDA" w14:textId="77777777" w:rsidR="008D0E8F" w:rsidRPr="00C9343F" w:rsidRDefault="008D0E8F" w:rsidP="007114B1">
            <w:pPr>
              <w:pStyle w:val="BlockText-Plain"/>
              <w:jc w:val="center"/>
            </w:pPr>
            <w:r w:rsidRPr="00C9343F">
              <w:t>a.</w:t>
            </w:r>
          </w:p>
        </w:tc>
        <w:tc>
          <w:tcPr>
            <w:tcW w:w="7802" w:type="dxa"/>
            <w:gridSpan w:val="2"/>
          </w:tcPr>
          <w:p w14:paraId="50BE4860" w14:textId="77777777" w:rsidR="008D0E8F" w:rsidRPr="00C9343F" w:rsidRDefault="008D0E8F" w:rsidP="00F66D98">
            <w:pPr>
              <w:pStyle w:val="BlockText-Plain"/>
              <w:rPr>
                <w:lang w:eastAsia="en-US"/>
              </w:rPr>
            </w:pPr>
            <w:r w:rsidRPr="00C9343F">
              <w:t xml:space="preserve">The member meets all of the following. </w:t>
            </w:r>
          </w:p>
        </w:tc>
      </w:tr>
      <w:tr w:rsidR="008D0E8F" w:rsidRPr="00C9343F" w14:paraId="69DB71E3" w14:textId="77777777" w:rsidTr="00F945FD">
        <w:tblPrEx>
          <w:tblLook w:val="04A0" w:firstRow="1" w:lastRow="0" w:firstColumn="1" w:lastColumn="0" w:noHBand="0" w:noVBand="1"/>
        </w:tblPrEx>
        <w:trPr>
          <w:cantSplit/>
        </w:trPr>
        <w:tc>
          <w:tcPr>
            <w:tcW w:w="1564" w:type="dxa"/>
            <w:gridSpan w:val="2"/>
          </w:tcPr>
          <w:p w14:paraId="1680DDCB" w14:textId="77777777" w:rsidR="008D0E8F" w:rsidRPr="00C9343F" w:rsidRDefault="008D0E8F" w:rsidP="00F66D98">
            <w:pPr>
              <w:pStyle w:val="BlockText-Plain"/>
              <w:spacing w:line="276" w:lineRule="auto"/>
              <w:rPr>
                <w:lang w:eastAsia="en-US"/>
              </w:rPr>
            </w:pPr>
          </w:p>
        </w:tc>
        <w:tc>
          <w:tcPr>
            <w:tcW w:w="567" w:type="dxa"/>
            <w:hideMark/>
          </w:tcPr>
          <w:p w14:paraId="68C98165" w14:textId="77777777" w:rsidR="008D0E8F" w:rsidRPr="00C9343F" w:rsidRDefault="008D0E8F" w:rsidP="00F66D98">
            <w:pPr>
              <w:pStyle w:val="BlockText-Plain"/>
              <w:rPr>
                <w:lang w:eastAsia="en-US"/>
              </w:rPr>
            </w:pPr>
            <w:r w:rsidRPr="00C9343F">
              <w:rPr>
                <w:lang w:eastAsia="en-US"/>
              </w:rPr>
              <w:t>i.</w:t>
            </w:r>
          </w:p>
        </w:tc>
        <w:tc>
          <w:tcPr>
            <w:tcW w:w="7235" w:type="dxa"/>
          </w:tcPr>
          <w:p w14:paraId="1575F8EE" w14:textId="77777777" w:rsidR="008D0E8F" w:rsidRPr="00C9343F" w:rsidRDefault="008D0E8F" w:rsidP="00F66D98">
            <w:pPr>
              <w:pStyle w:val="BlockText-Plain"/>
              <w:rPr>
                <w:lang w:eastAsia="en-US"/>
              </w:rPr>
            </w:pPr>
            <w:r w:rsidRPr="00C9343F">
              <w:t>The member was undertaking study at the Australian Defence Force Academy on 30 June 2019.</w:t>
            </w:r>
          </w:p>
        </w:tc>
      </w:tr>
      <w:tr w:rsidR="008D0E8F" w:rsidRPr="00C9343F" w14:paraId="2905B9B6" w14:textId="77777777" w:rsidTr="00F945FD">
        <w:tblPrEx>
          <w:tblLook w:val="04A0" w:firstRow="1" w:lastRow="0" w:firstColumn="1" w:lastColumn="0" w:noHBand="0" w:noVBand="1"/>
        </w:tblPrEx>
        <w:trPr>
          <w:cantSplit/>
        </w:trPr>
        <w:tc>
          <w:tcPr>
            <w:tcW w:w="1564" w:type="dxa"/>
            <w:gridSpan w:val="2"/>
          </w:tcPr>
          <w:p w14:paraId="22AD10D8" w14:textId="77777777" w:rsidR="008D0E8F" w:rsidRPr="00C9343F" w:rsidRDefault="008D0E8F" w:rsidP="00F66D98">
            <w:pPr>
              <w:pStyle w:val="BlockText-Plain"/>
              <w:spacing w:line="276" w:lineRule="auto"/>
              <w:rPr>
                <w:lang w:eastAsia="en-US"/>
              </w:rPr>
            </w:pPr>
          </w:p>
        </w:tc>
        <w:tc>
          <w:tcPr>
            <w:tcW w:w="567" w:type="dxa"/>
          </w:tcPr>
          <w:p w14:paraId="646C0037" w14:textId="77777777" w:rsidR="008D0E8F" w:rsidRPr="00C9343F" w:rsidRDefault="008D0E8F" w:rsidP="00F66D98">
            <w:pPr>
              <w:pStyle w:val="BlockText-Plain"/>
              <w:rPr>
                <w:lang w:eastAsia="en-US"/>
              </w:rPr>
            </w:pPr>
            <w:r w:rsidRPr="00C9343F">
              <w:rPr>
                <w:lang w:eastAsia="en-US"/>
              </w:rPr>
              <w:t>ii.</w:t>
            </w:r>
          </w:p>
        </w:tc>
        <w:tc>
          <w:tcPr>
            <w:tcW w:w="7235" w:type="dxa"/>
          </w:tcPr>
          <w:p w14:paraId="1E511E57" w14:textId="77777777" w:rsidR="008D0E8F" w:rsidRPr="00C9343F" w:rsidRDefault="008D0E8F" w:rsidP="00F66D98">
            <w:pPr>
              <w:pStyle w:val="BlockText-Plain"/>
            </w:pPr>
            <w:r w:rsidRPr="00C9343F">
              <w:t>The member has completed officer training.</w:t>
            </w:r>
          </w:p>
        </w:tc>
      </w:tr>
      <w:tr w:rsidR="008D0E8F" w:rsidRPr="00C9343F" w14:paraId="1969F748" w14:textId="77777777" w:rsidTr="00F945FD">
        <w:tblPrEx>
          <w:tblLook w:val="04A0" w:firstRow="1" w:lastRow="0" w:firstColumn="1" w:lastColumn="0" w:noHBand="0" w:noVBand="1"/>
        </w:tblPrEx>
        <w:trPr>
          <w:cantSplit/>
        </w:trPr>
        <w:tc>
          <w:tcPr>
            <w:tcW w:w="1564" w:type="dxa"/>
            <w:gridSpan w:val="2"/>
          </w:tcPr>
          <w:p w14:paraId="5BB2473E" w14:textId="77777777" w:rsidR="008D0E8F" w:rsidRPr="00C9343F" w:rsidRDefault="008D0E8F" w:rsidP="00F66D98">
            <w:pPr>
              <w:pStyle w:val="BlockText-Plain"/>
              <w:spacing w:line="276" w:lineRule="auto"/>
              <w:rPr>
                <w:lang w:eastAsia="en-US"/>
              </w:rPr>
            </w:pPr>
          </w:p>
        </w:tc>
        <w:tc>
          <w:tcPr>
            <w:tcW w:w="567" w:type="dxa"/>
          </w:tcPr>
          <w:p w14:paraId="61640457" w14:textId="77777777" w:rsidR="008D0E8F" w:rsidRPr="00C9343F" w:rsidRDefault="008D0E8F" w:rsidP="00F66D98">
            <w:pPr>
              <w:pStyle w:val="BlockText-Plain"/>
              <w:rPr>
                <w:lang w:eastAsia="en-US"/>
              </w:rPr>
            </w:pPr>
            <w:r w:rsidRPr="00C9343F">
              <w:rPr>
                <w:lang w:eastAsia="en-US"/>
              </w:rPr>
              <w:t>iii.</w:t>
            </w:r>
          </w:p>
        </w:tc>
        <w:tc>
          <w:tcPr>
            <w:tcW w:w="7235" w:type="dxa"/>
          </w:tcPr>
          <w:p w14:paraId="5507703F" w14:textId="77777777" w:rsidR="008D0E8F" w:rsidRPr="00C9343F" w:rsidRDefault="008D0E8F" w:rsidP="00F66D98">
            <w:pPr>
              <w:pStyle w:val="BlockText-Plain"/>
            </w:pPr>
            <w:r w:rsidRPr="00C9343F">
              <w:t>The member has graduated from the Australian Defence Force Academy.</w:t>
            </w:r>
          </w:p>
        </w:tc>
      </w:tr>
      <w:tr w:rsidR="008D0E8F" w:rsidRPr="00C9343F" w14:paraId="77142393" w14:textId="77777777" w:rsidTr="00F945FD">
        <w:trPr>
          <w:cantSplit/>
        </w:trPr>
        <w:tc>
          <w:tcPr>
            <w:tcW w:w="991" w:type="dxa"/>
          </w:tcPr>
          <w:p w14:paraId="11404932" w14:textId="77777777" w:rsidR="008D0E8F" w:rsidRPr="00C9343F" w:rsidRDefault="008D0E8F" w:rsidP="00F66D98">
            <w:pPr>
              <w:pStyle w:val="BlockText-Plain"/>
            </w:pPr>
          </w:p>
        </w:tc>
        <w:tc>
          <w:tcPr>
            <w:tcW w:w="573" w:type="dxa"/>
          </w:tcPr>
          <w:p w14:paraId="6A44B3F1" w14:textId="77777777" w:rsidR="008D0E8F" w:rsidRPr="00C9343F" w:rsidRDefault="008D0E8F" w:rsidP="007114B1">
            <w:pPr>
              <w:pStyle w:val="BlockText-Plain"/>
              <w:jc w:val="center"/>
            </w:pPr>
            <w:r w:rsidRPr="00C9343F">
              <w:t>b.</w:t>
            </w:r>
          </w:p>
        </w:tc>
        <w:tc>
          <w:tcPr>
            <w:tcW w:w="7802" w:type="dxa"/>
            <w:gridSpan w:val="2"/>
          </w:tcPr>
          <w:p w14:paraId="68B807E7" w14:textId="77777777" w:rsidR="008D0E8F" w:rsidRPr="00C9343F" w:rsidRDefault="008D0E8F" w:rsidP="00F66D98">
            <w:pPr>
              <w:pStyle w:val="BlockText-Plain"/>
            </w:pPr>
            <w:r w:rsidRPr="00C9343F">
              <w:t xml:space="preserve">The member meets both of the following. </w:t>
            </w:r>
          </w:p>
        </w:tc>
      </w:tr>
      <w:tr w:rsidR="008D0E8F" w:rsidRPr="00C9343F" w14:paraId="253718B4" w14:textId="77777777" w:rsidTr="00F945FD">
        <w:tblPrEx>
          <w:tblLook w:val="04A0" w:firstRow="1" w:lastRow="0" w:firstColumn="1" w:lastColumn="0" w:noHBand="0" w:noVBand="1"/>
        </w:tblPrEx>
        <w:trPr>
          <w:cantSplit/>
        </w:trPr>
        <w:tc>
          <w:tcPr>
            <w:tcW w:w="1564" w:type="dxa"/>
            <w:gridSpan w:val="2"/>
          </w:tcPr>
          <w:p w14:paraId="5AA5A581" w14:textId="77777777" w:rsidR="008D0E8F" w:rsidRPr="00C9343F" w:rsidRDefault="008D0E8F" w:rsidP="00F66D98">
            <w:pPr>
              <w:pStyle w:val="BlockText-Plain"/>
              <w:spacing w:line="276" w:lineRule="auto"/>
              <w:rPr>
                <w:lang w:eastAsia="en-US"/>
              </w:rPr>
            </w:pPr>
          </w:p>
        </w:tc>
        <w:tc>
          <w:tcPr>
            <w:tcW w:w="567" w:type="dxa"/>
          </w:tcPr>
          <w:p w14:paraId="1FCB1D4F" w14:textId="77777777" w:rsidR="008D0E8F" w:rsidRPr="00C9343F" w:rsidRDefault="008D0E8F" w:rsidP="00F66D98">
            <w:pPr>
              <w:pStyle w:val="BlockText-Plain"/>
              <w:rPr>
                <w:lang w:eastAsia="en-US"/>
              </w:rPr>
            </w:pPr>
            <w:r w:rsidRPr="00C9343F">
              <w:rPr>
                <w:lang w:eastAsia="en-US"/>
              </w:rPr>
              <w:t>i.</w:t>
            </w:r>
          </w:p>
        </w:tc>
        <w:tc>
          <w:tcPr>
            <w:tcW w:w="7235" w:type="dxa"/>
          </w:tcPr>
          <w:p w14:paraId="4E301233" w14:textId="77777777" w:rsidR="008D0E8F" w:rsidRPr="00C9343F" w:rsidRDefault="008D0E8F" w:rsidP="00F66D98">
            <w:pPr>
              <w:pStyle w:val="BlockText-Plain"/>
            </w:pPr>
            <w:r w:rsidRPr="00C9343F">
              <w:t>The member was undertaking officer training as a direct entry officer on 30 June 2019.</w:t>
            </w:r>
          </w:p>
        </w:tc>
      </w:tr>
      <w:tr w:rsidR="008D0E8F" w:rsidRPr="00C9343F" w14:paraId="56575BE1" w14:textId="77777777" w:rsidTr="00A049CD">
        <w:tblPrEx>
          <w:tblLook w:val="04A0" w:firstRow="1" w:lastRow="0" w:firstColumn="1" w:lastColumn="0" w:noHBand="0" w:noVBand="1"/>
        </w:tblPrEx>
        <w:trPr>
          <w:cantSplit/>
        </w:trPr>
        <w:tc>
          <w:tcPr>
            <w:tcW w:w="1564" w:type="dxa"/>
            <w:gridSpan w:val="2"/>
          </w:tcPr>
          <w:p w14:paraId="4DBB73A0" w14:textId="77777777" w:rsidR="008D0E8F" w:rsidRPr="00C9343F" w:rsidRDefault="008D0E8F" w:rsidP="00F66D98">
            <w:pPr>
              <w:pStyle w:val="BlockText-Plain"/>
              <w:spacing w:line="276" w:lineRule="auto"/>
              <w:rPr>
                <w:lang w:eastAsia="en-US"/>
              </w:rPr>
            </w:pPr>
          </w:p>
        </w:tc>
        <w:tc>
          <w:tcPr>
            <w:tcW w:w="567" w:type="dxa"/>
          </w:tcPr>
          <w:p w14:paraId="2B4FB0D8" w14:textId="77777777" w:rsidR="008D0E8F" w:rsidRPr="00C9343F" w:rsidRDefault="008D0E8F" w:rsidP="00F66D98">
            <w:pPr>
              <w:pStyle w:val="BlockText-Plain"/>
              <w:rPr>
                <w:lang w:eastAsia="en-US"/>
              </w:rPr>
            </w:pPr>
            <w:r w:rsidRPr="00C9343F">
              <w:rPr>
                <w:lang w:eastAsia="en-US"/>
              </w:rPr>
              <w:t>ii.</w:t>
            </w:r>
          </w:p>
        </w:tc>
        <w:tc>
          <w:tcPr>
            <w:tcW w:w="7235" w:type="dxa"/>
            <w:shd w:val="clear" w:color="auto" w:fill="auto"/>
          </w:tcPr>
          <w:p w14:paraId="2B4021A4" w14:textId="77777777" w:rsidR="008D0E8F" w:rsidRPr="00C9343F" w:rsidRDefault="008D0E8F" w:rsidP="00F66D98">
            <w:pPr>
              <w:pStyle w:val="BlockText-Plain"/>
            </w:pPr>
            <w:r w:rsidRPr="00C9343F">
              <w:t>The member has completed officer training.</w:t>
            </w:r>
          </w:p>
        </w:tc>
      </w:tr>
      <w:tr w:rsidR="008D0E8F" w:rsidRPr="00C9343F" w14:paraId="0B62206F" w14:textId="77777777" w:rsidTr="00F945FD">
        <w:tc>
          <w:tcPr>
            <w:tcW w:w="991" w:type="dxa"/>
          </w:tcPr>
          <w:p w14:paraId="706CB5A1" w14:textId="77777777" w:rsidR="008D0E8F" w:rsidRPr="00C9343F" w:rsidRDefault="008D0E8F" w:rsidP="00F66D98">
            <w:pPr>
              <w:pStyle w:val="BlockText-Plain"/>
              <w:jc w:val="center"/>
              <w:rPr>
                <w:rFonts w:cs="Arial"/>
              </w:rPr>
            </w:pPr>
            <w:r w:rsidRPr="00C9343F">
              <w:rPr>
                <w:rFonts w:cs="Arial"/>
              </w:rPr>
              <w:t>4.</w:t>
            </w:r>
          </w:p>
        </w:tc>
        <w:tc>
          <w:tcPr>
            <w:tcW w:w="8375" w:type="dxa"/>
            <w:gridSpan w:val="3"/>
          </w:tcPr>
          <w:p w14:paraId="1580DB1A" w14:textId="77777777" w:rsidR="008D0E8F" w:rsidRPr="00C9343F" w:rsidRDefault="008D0E8F" w:rsidP="00F66D98">
            <w:pPr>
              <w:pStyle w:val="BlockText-Plain"/>
            </w:pPr>
            <w:r w:rsidRPr="00C9343F">
              <w:t>A member who holds the rank of Sub Lieutenant or Lieutenant has Officer Aviation increment OA9 on the day that they meet all of the following.</w:t>
            </w:r>
          </w:p>
        </w:tc>
      </w:tr>
      <w:tr w:rsidR="008D0E8F" w:rsidRPr="00C9343F" w14:paraId="6632B978" w14:textId="77777777" w:rsidTr="00F945FD">
        <w:trPr>
          <w:cantSplit/>
        </w:trPr>
        <w:tc>
          <w:tcPr>
            <w:tcW w:w="991" w:type="dxa"/>
          </w:tcPr>
          <w:p w14:paraId="4E82E757" w14:textId="77777777" w:rsidR="008D0E8F" w:rsidRPr="00C9343F" w:rsidRDefault="008D0E8F" w:rsidP="00F66D98">
            <w:pPr>
              <w:pStyle w:val="BlockText-Plain"/>
            </w:pPr>
          </w:p>
        </w:tc>
        <w:tc>
          <w:tcPr>
            <w:tcW w:w="573" w:type="dxa"/>
          </w:tcPr>
          <w:p w14:paraId="0EF1C41C" w14:textId="77777777" w:rsidR="008D0E8F" w:rsidRPr="00C9343F" w:rsidRDefault="008D0E8F" w:rsidP="007114B1">
            <w:pPr>
              <w:pStyle w:val="BlockText-Plain"/>
              <w:jc w:val="center"/>
            </w:pPr>
            <w:r w:rsidRPr="00C9343F">
              <w:t>a.</w:t>
            </w:r>
          </w:p>
        </w:tc>
        <w:tc>
          <w:tcPr>
            <w:tcW w:w="7802" w:type="dxa"/>
            <w:gridSpan w:val="2"/>
          </w:tcPr>
          <w:p w14:paraId="6BFD0EEE" w14:textId="77777777" w:rsidR="008D0E8F" w:rsidRPr="00C9343F" w:rsidRDefault="008D0E8F" w:rsidP="00F66D98">
            <w:pPr>
              <w:pStyle w:val="BlockText-Plain"/>
            </w:pPr>
            <w:r w:rsidRPr="00C9343F">
              <w:rPr>
                <w:lang w:eastAsia="en-US"/>
              </w:rPr>
              <w:t>The member has completed operational flying training as a pilot on a military aircraft.</w:t>
            </w:r>
          </w:p>
        </w:tc>
      </w:tr>
      <w:tr w:rsidR="008D0E8F" w:rsidRPr="00C9343F" w14:paraId="5C838C44" w14:textId="77777777" w:rsidTr="00F945FD">
        <w:trPr>
          <w:cantSplit/>
        </w:trPr>
        <w:tc>
          <w:tcPr>
            <w:tcW w:w="991" w:type="dxa"/>
          </w:tcPr>
          <w:p w14:paraId="430217EC" w14:textId="77777777" w:rsidR="008D0E8F" w:rsidRPr="00C9343F" w:rsidRDefault="008D0E8F" w:rsidP="00F66D98">
            <w:pPr>
              <w:pStyle w:val="BlockText-Plain"/>
            </w:pPr>
          </w:p>
        </w:tc>
        <w:tc>
          <w:tcPr>
            <w:tcW w:w="573" w:type="dxa"/>
          </w:tcPr>
          <w:p w14:paraId="425C7EB8" w14:textId="77777777" w:rsidR="008D0E8F" w:rsidRPr="00C9343F" w:rsidRDefault="008D0E8F" w:rsidP="007114B1">
            <w:pPr>
              <w:pStyle w:val="BlockText-Plain"/>
              <w:jc w:val="center"/>
            </w:pPr>
            <w:r w:rsidRPr="00C9343F">
              <w:t>b.</w:t>
            </w:r>
          </w:p>
        </w:tc>
        <w:tc>
          <w:tcPr>
            <w:tcW w:w="7802" w:type="dxa"/>
            <w:gridSpan w:val="2"/>
          </w:tcPr>
          <w:p w14:paraId="71762558" w14:textId="77777777" w:rsidR="008D0E8F" w:rsidRPr="00C9343F" w:rsidRDefault="008D0E8F" w:rsidP="00F66D98">
            <w:pPr>
              <w:pStyle w:val="BlockText-Plain"/>
              <w:rPr>
                <w:lang w:eastAsia="en-US"/>
              </w:rPr>
            </w:pPr>
            <w:r w:rsidRPr="00C9343F">
              <w:rPr>
                <w:lang w:eastAsia="en-US"/>
              </w:rPr>
              <w:t>The member has 12 months experience on the aircraft following operational flying training.</w:t>
            </w:r>
          </w:p>
        </w:tc>
      </w:tr>
      <w:tr w:rsidR="008D0E8F" w:rsidRPr="00C9343F" w14:paraId="3FD8DFAC" w14:textId="77777777" w:rsidTr="00F945FD">
        <w:trPr>
          <w:cantSplit/>
        </w:trPr>
        <w:tc>
          <w:tcPr>
            <w:tcW w:w="991" w:type="dxa"/>
          </w:tcPr>
          <w:p w14:paraId="3DA8EABD" w14:textId="77777777" w:rsidR="008D0E8F" w:rsidRPr="00C9343F" w:rsidRDefault="008D0E8F" w:rsidP="00F66D98">
            <w:pPr>
              <w:pStyle w:val="BlockText-Plain"/>
            </w:pPr>
          </w:p>
        </w:tc>
        <w:tc>
          <w:tcPr>
            <w:tcW w:w="573" w:type="dxa"/>
          </w:tcPr>
          <w:p w14:paraId="14422CEE" w14:textId="77777777" w:rsidR="008D0E8F" w:rsidRPr="00C9343F" w:rsidRDefault="008D0E8F" w:rsidP="007114B1">
            <w:pPr>
              <w:pStyle w:val="BlockText-Plain"/>
              <w:jc w:val="center"/>
            </w:pPr>
            <w:r w:rsidRPr="00C9343F">
              <w:t>c.</w:t>
            </w:r>
          </w:p>
        </w:tc>
        <w:tc>
          <w:tcPr>
            <w:tcW w:w="7802" w:type="dxa"/>
            <w:gridSpan w:val="2"/>
          </w:tcPr>
          <w:p w14:paraId="49C258E3" w14:textId="77777777" w:rsidR="008D0E8F" w:rsidRPr="00C9343F" w:rsidRDefault="008D0E8F" w:rsidP="00F66D98">
            <w:pPr>
              <w:pStyle w:val="BlockText-Plain"/>
              <w:rPr>
                <w:lang w:eastAsia="en-US"/>
              </w:rPr>
            </w:pPr>
            <w:r w:rsidRPr="00C9343F">
              <w:rPr>
                <w:lang w:eastAsia="en-US"/>
              </w:rPr>
              <w:t xml:space="preserve">The member has completed four and a half years of service since one of the following. </w:t>
            </w:r>
          </w:p>
        </w:tc>
      </w:tr>
      <w:tr w:rsidR="008D0E8F" w:rsidRPr="00C9343F" w14:paraId="7BE38F3D" w14:textId="77777777" w:rsidTr="00F945FD">
        <w:tblPrEx>
          <w:tblLook w:val="04A0" w:firstRow="1" w:lastRow="0" w:firstColumn="1" w:lastColumn="0" w:noHBand="0" w:noVBand="1"/>
        </w:tblPrEx>
        <w:trPr>
          <w:cantSplit/>
        </w:trPr>
        <w:tc>
          <w:tcPr>
            <w:tcW w:w="1564" w:type="dxa"/>
            <w:gridSpan w:val="2"/>
          </w:tcPr>
          <w:p w14:paraId="7E098FD7" w14:textId="77777777" w:rsidR="008D0E8F" w:rsidRPr="00C9343F" w:rsidRDefault="008D0E8F" w:rsidP="00F66D98">
            <w:pPr>
              <w:pStyle w:val="BlockText-Plain"/>
              <w:spacing w:line="276" w:lineRule="auto"/>
              <w:rPr>
                <w:lang w:eastAsia="en-US"/>
              </w:rPr>
            </w:pPr>
          </w:p>
        </w:tc>
        <w:tc>
          <w:tcPr>
            <w:tcW w:w="567" w:type="dxa"/>
          </w:tcPr>
          <w:p w14:paraId="4FE01A73" w14:textId="77777777" w:rsidR="008D0E8F" w:rsidRPr="00C9343F" w:rsidRDefault="008D0E8F" w:rsidP="00F66D98">
            <w:pPr>
              <w:pStyle w:val="BlockText-Plain"/>
              <w:rPr>
                <w:lang w:eastAsia="en-US"/>
              </w:rPr>
            </w:pPr>
            <w:r w:rsidRPr="00C9343F">
              <w:rPr>
                <w:lang w:eastAsia="en-US"/>
              </w:rPr>
              <w:t>i.</w:t>
            </w:r>
          </w:p>
        </w:tc>
        <w:tc>
          <w:tcPr>
            <w:tcW w:w="7235" w:type="dxa"/>
          </w:tcPr>
          <w:p w14:paraId="6363849E" w14:textId="77777777" w:rsidR="008D0E8F" w:rsidRPr="00C9343F" w:rsidRDefault="008D0E8F" w:rsidP="00F66D98">
            <w:pPr>
              <w:pStyle w:val="BlockText-Plain"/>
            </w:pPr>
            <w:r w:rsidRPr="00C9343F">
              <w:rPr>
                <w:lang w:eastAsia="en-US"/>
              </w:rPr>
              <w:t>The member graduated from the Australian Defence Force Academy.</w:t>
            </w:r>
          </w:p>
        </w:tc>
      </w:tr>
      <w:tr w:rsidR="008D0E8F" w:rsidRPr="00C9343F" w14:paraId="61C87FE9" w14:textId="77777777" w:rsidTr="00F945FD">
        <w:tblPrEx>
          <w:tblLook w:val="04A0" w:firstRow="1" w:lastRow="0" w:firstColumn="1" w:lastColumn="0" w:noHBand="0" w:noVBand="1"/>
        </w:tblPrEx>
        <w:trPr>
          <w:cantSplit/>
        </w:trPr>
        <w:tc>
          <w:tcPr>
            <w:tcW w:w="1564" w:type="dxa"/>
            <w:gridSpan w:val="2"/>
          </w:tcPr>
          <w:p w14:paraId="63FB224D" w14:textId="77777777" w:rsidR="008D0E8F" w:rsidRPr="00C9343F" w:rsidRDefault="008D0E8F" w:rsidP="00F66D98">
            <w:pPr>
              <w:pStyle w:val="BlockText-Plain"/>
              <w:spacing w:line="276" w:lineRule="auto"/>
              <w:rPr>
                <w:lang w:eastAsia="en-US"/>
              </w:rPr>
            </w:pPr>
          </w:p>
        </w:tc>
        <w:tc>
          <w:tcPr>
            <w:tcW w:w="567" w:type="dxa"/>
          </w:tcPr>
          <w:p w14:paraId="345FC9A7" w14:textId="77777777" w:rsidR="008D0E8F" w:rsidRPr="00C9343F" w:rsidRDefault="008D0E8F" w:rsidP="00F66D98">
            <w:pPr>
              <w:pStyle w:val="BlockText-Plain"/>
              <w:rPr>
                <w:lang w:eastAsia="en-US"/>
              </w:rPr>
            </w:pPr>
            <w:r w:rsidRPr="00C9343F">
              <w:rPr>
                <w:lang w:eastAsia="en-US"/>
              </w:rPr>
              <w:t>ii.</w:t>
            </w:r>
          </w:p>
        </w:tc>
        <w:tc>
          <w:tcPr>
            <w:tcW w:w="7235" w:type="dxa"/>
          </w:tcPr>
          <w:p w14:paraId="59C7D1CD" w14:textId="77777777" w:rsidR="008D0E8F" w:rsidRPr="00C9343F" w:rsidRDefault="008D0E8F" w:rsidP="00F66D98">
            <w:pPr>
              <w:pStyle w:val="BlockText-Plain"/>
              <w:rPr>
                <w:lang w:eastAsia="en-US"/>
              </w:rPr>
            </w:pPr>
            <w:r w:rsidRPr="00C9343F">
              <w:rPr>
                <w:lang w:eastAsia="en-US"/>
              </w:rPr>
              <w:t>The member completed officer training.</w:t>
            </w:r>
          </w:p>
        </w:tc>
      </w:tr>
      <w:tr w:rsidR="008D0E8F" w:rsidRPr="00C9343F" w14:paraId="2BE0B9C9" w14:textId="77777777" w:rsidTr="00F945FD">
        <w:tc>
          <w:tcPr>
            <w:tcW w:w="991" w:type="dxa"/>
          </w:tcPr>
          <w:p w14:paraId="63DFF0B3" w14:textId="77777777" w:rsidR="008D0E8F" w:rsidRPr="00C9343F" w:rsidRDefault="008D0E8F" w:rsidP="00F66D98">
            <w:pPr>
              <w:pStyle w:val="BlockText-Plain"/>
              <w:jc w:val="center"/>
              <w:rPr>
                <w:rFonts w:cs="Arial"/>
              </w:rPr>
            </w:pPr>
            <w:r w:rsidRPr="00C9343F">
              <w:rPr>
                <w:rFonts w:cs="Arial"/>
              </w:rPr>
              <w:t>5.</w:t>
            </w:r>
          </w:p>
        </w:tc>
        <w:tc>
          <w:tcPr>
            <w:tcW w:w="8375" w:type="dxa"/>
            <w:gridSpan w:val="3"/>
          </w:tcPr>
          <w:p w14:paraId="2121E1D0" w14:textId="77777777" w:rsidR="008D0E8F" w:rsidRPr="00C9343F" w:rsidRDefault="008D0E8F" w:rsidP="00F66D98">
            <w:pPr>
              <w:pStyle w:val="BlockText-Plain"/>
            </w:pPr>
            <w:r w:rsidRPr="00C9343F">
              <w:t>A member who holds the rank of Sub Lieutenant or Lieutenant has an Officer Aviation increment OA8 on the day that the member meets all of the following.</w:t>
            </w:r>
          </w:p>
        </w:tc>
      </w:tr>
      <w:tr w:rsidR="008D0E8F" w:rsidRPr="00C9343F" w14:paraId="0F29B65B" w14:textId="77777777" w:rsidTr="00F945FD">
        <w:trPr>
          <w:cantSplit/>
        </w:trPr>
        <w:tc>
          <w:tcPr>
            <w:tcW w:w="991" w:type="dxa"/>
          </w:tcPr>
          <w:p w14:paraId="674429F6" w14:textId="77777777" w:rsidR="008D0E8F" w:rsidRPr="00C9343F" w:rsidRDefault="008D0E8F" w:rsidP="00F66D98">
            <w:pPr>
              <w:pStyle w:val="BlockText-Plain"/>
            </w:pPr>
          </w:p>
        </w:tc>
        <w:tc>
          <w:tcPr>
            <w:tcW w:w="573" w:type="dxa"/>
          </w:tcPr>
          <w:p w14:paraId="3D0AA952" w14:textId="77777777" w:rsidR="008D0E8F" w:rsidRPr="00C9343F" w:rsidRDefault="008D0E8F" w:rsidP="007114B1">
            <w:pPr>
              <w:pStyle w:val="BlockText-Plain"/>
              <w:jc w:val="center"/>
            </w:pPr>
            <w:r w:rsidRPr="00C9343F">
              <w:t>a.</w:t>
            </w:r>
          </w:p>
        </w:tc>
        <w:tc>
          <w:tcPr>
            <w:tcW w:w="7802" w:type="dxa"/>
            <w:gridSpan w:val="2"/>
          </w:tcPr>
          <w:p w14:paraId="5D0E784B" w14:textId="77777777" w:rsidR="008D0E8F" w:rsidRPr="00C9343F" w:rsidRDefault="008D0E8F" w:rsidP="00F66D98">
            <w:pPr>
              <w:pStyle w:val="BlockText-Plain"/>
            </w:pPr>
            <w:r w:rsidRPr="00C9343F">
              <w:rPr>
                <w:lang w:eastAsia="en-US"/>
              </w:rPr>
              <w:t>The member has completed operational flying training as an aviation warfare officer on a military aircraft.</w:t>
            </w:r>
          </w:p>
        </w:tc>
      </w:tr>
      <w:tr w:rsidR="008D0E8F" w:rsidRPr="00C9343F" w14:paraId="477FB474" w14:textId="77777777" w:rsidTr="00F945FD">
        <w:trPr>
          <w:cantSplit/>
        </w:trPr>
        <w:tc>
          <w:tcPr>
            <w:tcW w:w="991" w:type="dxa"/>
          </w:tcPr>
          <w:p w14:paraId="4E45841E" w14:textId="77777777" w:rsidR="008D0E8F" w:rsidRPr="00C9343F" w:rsidRDefault="008D0E8F" w:rsidP="00F66D98">
            <w:pPr>
              <w:pStyle w:val="BlockText-Plain"/>
            </w:pPr>
          </w:p>
        </w:tc>
        <w:tc>
          <w:tcPr>
            <w:tcW w:w="573" w:type="dxa"/>
          </w:tcPr>
          <w:p w14:paraId="5BEA628A" w14:textId="77777777" w:rsidR="008D0E8F" w:rsidRPr="00C9343F" w:rsidRDefault="008D0E8F" w:rsidP="007114B1">
            <w:pPr>
              <w:pStyle w:val="BlockText-Plain"/>
              <w:jc w:val="center"/>
            </w:pPr>
            <w:r w:rsidRPr="00C9343F">
              <w:t>b.</w:t>
            </w:r>
          </w:p>
        </w:tc>
        <w:tc>
          <w:tcPr>
            <w:tcW w:w="7802" w:type="dxa"/>
            <w:gridSpan w:val="2"/>
          </w:tcPr>
          <w:p w14:paraId="49D33AB3" w14:textId="77777777" w:rsidR="008D0E8F" w:rsidRPr="00C9343F" w:rsidRDefault="008D0E8F" w:rsidP="00F66D98">
            <w:pPr>
              <w:pStyle w:val="BlockText-Plain"/>
              <w:rPr>
                <w:lang w:eastAsia="en-US"/>
              </w:rPr>
            </w:pPr>
            <w:r w:rsidRPr="00C9343F">
              <w:rPr>
                <w:lang w:eastAsia="en-US"/>
              </w:rPr>
              <w:t>The member has 12 months experience on the aircraft following operational flying training.</w:t>
            </w:r>
          </w:p>
        </w:tc>
      </w:tr>
      <w:tr w:rsidR="008D0E8F" w:rsidRPr="00C9343F" w14:paraId="66D583A6" w14:textId="77777777" w:rsidTr="00F945FD">
        <w:trPr>
          <w:cantSplit/>
        </w:trPr>
        <w:tc>
          <w:tcPr>
            <w:tcW w:w="991" w:type="dxa"/>
          </w:tcPr>
          <w:p w14:paraId="093A8E4D" w14:textId="77777777" w:rsidR="008D0E8F" w:rsidRPr="00C9343F" w:rsidRDefault="008D0E8F" w:rsidP="00F66D98">
            <w:pPr>
              <w:pStyle w:val="BlockText-Plain"/>
            </w:pPr>
          </w:p>
        </w:tc>
        <w:tc>
          <w:tcPr>
            <w:tcW w:w="573" w:type="dxa"/>
          </w:tcPr>
          <w:p w14:paraId="2671D061" w14:textId="77777777" w:rsidR="008D0E8F" w:rsidRPr="00C9343F" w:rsidRDefault="008D0E8F" w:rsidP="007114B1">
            <w:pPr>
              <w:pStyle w:val="BlockText-Plain"/>
              <w:jc w:val="center"/>
            </w:pPr>
            <w:r w:rsidRPr="00C9343F">
              <w:t>c.</w:t>
            </w:r>
          </w:p>
        </w:tc>
        <w:tc>
          <w:tcPr>
            <w:tcW w:w="7802" w:type="dxa"/>
            <w:gridSpan w:val="2"/>
          </w:tcPr>
          <w:p w14:paraId="7753D9C0" w14:textId="77777777" w:rsidR="008D0E8F" w:rsidRPr="00C9343F" w:rsidRDefault="008D0E8F" w:rsidP="00F66D98">
            <w:pPr>
              <w:pStyle w:val="BlockText-Plain"/>
              <w:rPr>
                <w:lang w:eastAsia="en-US"/>
              </w:rPr>
            </w:pPr>
            <w:r w:rsidRPr="00C9343F">
              <w:rPr>
                <w:lang w:eastAsia="en-US"/>
              </w:rPr>
              <w:t xml:space="preserve">The member has completed four and a half years of service since one of the following. </w:t>
            </w:r>
          </w:p>
        </w:tc>
      </w:tr>
      <w:tr w:rsidR="008D0E8F" w:rsidRPr="00C9343F" w14:paraId="312A5825" w14:textId="77777777" w:rsidTr="00F945FD">
        <w:tblPrEx>
          <w:tblLook w:val="04A0" w:firstRow="1" w:lastRow="0" w:firstColumn="1" w:lastColumn="0" w:noHBand="0" w:noVBand="1"/>
        </w:tblPrEx>
        <w:trPr>
          <w:cantSplit/>
        </w:trPr>
        <w:tc>
          <w:tcPr>
            <w:tcW w:w="1564" w:type="dxa"/>
            <w:gridSpan w:val="2"/>
          </w:tcPr>
          <w:p w14:paraId="28285C89" w14:textId="77777777" w:rsidR="008D0E8F" w:rsidRPr="00C9343F" w:rsidRDefault="008D0E8F" w:rsidP="00F66D98">
            <w:pPr>
              <w:pStyle w:val="BlockText-Plain"/>
              <w:spacing w:line="276" w:lineRule="auto"/>
              <w:rPr>
                <w:lang w:eastAsia="en-US"/>
              </w:rPr>
            </w:pPr>
          </w:p>
        </w:tc>
        <w:tc>
          <w:tcPr>
            <w:tcW w:w="567" w:type="dxa"/>
          </w:tcPr>
          <w:p w14:paraId="2F72B675" w14:textId="77777777" w:rsidR="008D0E8F" w:rsidRPr="00C9343F" w:rsidRDefault="008D0E8F" w:rsidP="00F66D98">
            <w:pPr>
              <w:pStyle w:val="BlockText-Plain"/>
              <w:rPr>
                <w:lang w:eastAsia="en-US"/>
              </w:rPr>
            </w:pPr>
            <w:r w:rsidRPr="00C9343F">
              <w:rPr>
                <w:lang w:eastAsia="en-US"/>
              </w:rPr>
              <w:t>i.</w:t>
            </w:r>
          </w:p>
        </w:tc>
        <w:tc>
          <w:tcPr>
            <w:tcW w:w="7235" w:type="dxa"/>
          </w:tcPr>
          <w:p w14:paraId="5ECE734E" w14:textId="77777777" w:rsidR="008D0E8F" w:rsidRPr="00C9343F" w:rsidRDefault="008D0E8F" w:rsidP="00F66D98">
            <w:pPr>
              <w:pStyle w:val="BlockText-Plain"/>
            </w:pPr>
            <w:r w:rsidRPr="00C9343F">
              <w:rPr>
                <w:lang w:eastAsia="en-US"/>
              </w:rPr>
              <w:t>The member graduated from the Australian Defence Force Academy.</w:t>
            </w:r>
          </w:p>
        </w:tc>
      </w:tr>
      <w:tr w:rsidR="008D0E8F" w:rsidRPr="00C9343F" w14:paraId="2717ECC1" w14:textId="77777777" w:rsidTr="00F945FD">
        <w:tblPrEx>
          <w:tblLook w:val="04A0" w:firstRow="1" w:lastRow="0" w:firstColumn="1" w:lastColumn="0" w:noHBand="0" w:noVBand="1"/>
        </w:tblPrEx>
        <w:trPr>
          <w:cantSplit/>
        </w:trPr>
        <w:tc>
          <w:tcPr>
            <w:tcW w:w="1564" w:type="dxa"/>
            <w:gridSpan w:val="2"/>
          </w:tcPr>
          <w:p w14:paraId="408450FE" w14:textId="77777777" w:rsidR="008D0E8F" w:rsidRPr="00C9343F" w:rsidRDefault="008D0E8F" w:rsidP="00F66D98">
            <w:pPr>
              <w:pStyle w:val="BlockText-Plain"/>
              <w:spacing w:line="276" w:lineRule="auto"/>
              <w:rPr>
                <w:lang w:eastAsia="en-US"/>
              </w:rPr>
            </w:pPr>
          </w:p>
        </w:tc>
        <w:tc>
          <w:tcPr>
            <w:tcW w:w="567" w:type="dxa"/>
          </w:tcPr>
          <w:p w14:paraId="2F23FA0A" w14:textId="77777777" w:rsidR="008D0E8F" w:rsidRPr="00C9343F" w:rsidRDefault="008D0E8F" w:rsidP="00F66D98">
            <w:pPr>
              <w:pStyle w:val="BlockText-Plain"/>
              <w:rPr>
                <w:lang w:eastAsia="en-US"/>
              </w:rPr>
            </w:pPr>
            <w:r w:rsidRPr="00C9343F">
              <w:rPr>
                <w:lang w:eastAsia="en-US"/>
              </w:rPr>
              <w:t>ii.</w:t>
            </w:r>
          </w:p>
        </w:tc>
        <w:tc>
          <w:tcPr>
            <w:tcW w:w="7235" w:type="dxa"/>
          </w:tcPr>
          <w:p w14:paraId="123C1C57" w14:textId="77777777" w:rsidR="008D0E8F" w:rsidRPr="00C9343F" w:rsidRDefault="008D0E8F" w:rsidP="00F66D98">
            <w:pPr>
              <w:pStyle w:val="BlockText-Plain"/>
              <w:rPr>
                <w:lang w:eastAsia="en-US"/>
              </w:rPr>
            </w:pPr>
            <w:r w:rsidRPr="00C9343F">
              <w:rPr>
                <w:lang w:eastAsia="en-US"/>
              </w:rPr>
              <w:t>The member completed officer training.</w:t>
            </w:r>
          </w:p>
        </w:tc>
      </w:tr>
      <w:tr w:rsidR="00112F50" w:rsidRPr="00C9343F" w14:paraId="56097D8B" w14:textId="77777777" w:rsidTr="00F945FD">
        <w:tc>
          <w:tcPr>
            <w:tcW w:w="991" w:type="dxa"/>
          </w:tcPr>
          <w:p w14:paraId="4CCF11CE" w14:textId="0ECCA52F" w:rsidR="00112F50" w:rsidRPr="00C9343F" w:rsidRDefault="00112F50" w:rsidP="00F66D98">
            <w:pPr>
              <w:pStyle w:val="BlockText-Plain"/>
              <w:jc w:val="center"/>
              <w:rPr>
                <w:rFonts w:cs="Arial"/>
              </w:rPr>
            </w:pPr>
            <w:r w:rsidRPr="00C9343F">
              <w:rPr>
                <w:rFonts w:cs="Arial"/>
              </w:rPr>
              <w:t>5A.</w:t>
            </w:r>
          </w:p>
        </w:tc>
        <w:tc>
          <w:tcPr>
            <w:tcW w:w="8375" w:type="dxa"/>
            <w:gridSpan w:val="3"/>
          </w:tcPr>
          <w:p w14:paraId="3EEAF017" w14:textId="2DB18874" w:rsidR="00112F50" w:rsidRPr="00C9343F" w:rsidRDefault="00112F50" w:rsidP="00F66D98">
            <w:pPr>
              <w:pStyle w:val="Sectiontext0"/>
            </w:pPr>
            <w:r w:rsidRPr="00C9343F">
              <w:t>A member who holds the rank of Sub Lieutenant or Lieutenant has an Officer Aviation increment OA6 on the day that the member meets all of the following.</w:t>
            </w:r>
          </w:p>
        </w:tc>
      </w:tr>
      <w:tr w:rsidR="00112F50" w:rsidRPr="00C9343F" w14:paraId="088B81F3" w14:textId="77777777" w:rsidTr="008234B1">
        <w:trPr>
          <w:cantSplit/>
        </w:trPr>
        <w:tc>
          <w:tcPr>
            <w:tcW w:w="991" w:type="dxa"/>
          </w:tcPr>
          <w:p w14:paraId="2AEEA0D5" w14:textId="52DB7644" w:rsidR="00112F50" w:rsidRPr="00C9343F" w:rsidRDefault="00112F50" w:rsidP="00F66D98">
            <w:pPr>
              <w:pStyle w:val="BlockText-Plain"/>
            </w:pPr>
          </w:p>
        </w:tc>
        <w:tc>
          <w:tcPr>
            <w:tcW w:w="573" w:type="dxa"/>
          </w:tcPr>
          <w:p w14:paraId="1F9CDB8E" w14:textId="77777777" w:rsidR="00112F50" w:rsidRPr="00C9343F" w:rsidRDefault="00112F50" w:rsidP="007114B1">
            <w:pPr>
              <w:pStyle w:val="BlockText-Plain"/>
              <w:jc w:val="center"/>
            </w:pPr>
            <w:r w:rsidRPr="00C9343F">
              <w:t>a.</w:t>
            </w:r>
          </w:p>
        </w:tc>
        <w:tc>
          <w:tcPr>
            <w:tcW w:w="7802" w:type="dxa"/>
            <w:gridSpan w:val="2"/>
          </w:tcPr>
          <w:p w14:paraId="5F9F97B2" w14:textId="04C69F57" w:rsidR="00112F50" w:rsidRPr="00C9343F" w:rsidRDefault="00112F50" w:rsidP="00F66D98">
            <w:pPr>
              <w:pStyle w:val="BlockText-Plain"/>
            </w:pPr>
            <w:r w:rsidRPr="00C9343F">
              <w:t>The member has completed remote pilot warfare officer training.</w:t>
            </w:r>
          </w:p>
        </w:tc>
      </w:tr>
      <w:tr w:rsidR="00112F50" w:rsidRPr="00C9343F" w14:paraId="6D0BD687" w14:textId="77777777" w:rsidTr="008234B1">
        <w:trPr>
          <w:cantSplit/>
        </w:trPr>
        <w:tc>
          <w:tcPr>
            <w:tcW w:w="991" w:type="dxa"/>
          </w:tcPr>
          <w:p w14:paraId="6B050B89" w14:textId="4A4CF101" w:rsidR="00112F50" w:rsidRPr="00C9343F" w:rsidRDefault="00112F50" w:rsidP="00F66D98">
            <w:pPr>
              <w:pStyle w:val="BlockText-Plain"/>
            </w:pPr>
          </w:p>
        </w:tc>
        <w:tc>
          <w:tcPr>
            <w:tcW w:w="573" w:type="dxa"/>
          </w:tcPr>
          <w:p w14:paraId="3B9872D1" w14:textId="77777777" w:rsidR="00112F50" w:rsidRPr="00C9343F" w:rsidRDefault="00112F50" w:rsidP="007114B1">
            <w:pPr>
              <w:pStyle w:val="Sectiontext0"/>
              <w:jc w:val="center"/>
            </w:pPr>
            <w:r w:rsidRPr="00C9343F">
              <w:t>b.</w:t>
            </w:r>
          </w:p>
        </w:tc>
        <w:tc>
          <w:tcPr>
            <w:tcW w:w="7802" w:type="dxa"/>
            <w:gridSpan w:val="2"/>
          </w:tcPr>
          <w:p w14:paraId="62799311" w14:textId="3CC0C4DC" w:rsidR="00112F50" w:rsidRPr="00C9343F" w:rsidRDefault="00112F50" w:rsidP="00F66D98">
            <w:pPr>
              <w:pStyle w:val="BlockText-Plain"/>
              <w:rPr>
                <w:lang w:eastAsia="en-US"/>
              </w:rPr>
            </w:pPr>
            <w:r w:rsidRPr="00C9343F">
              <w:t>The member has completed 4 ½ years of service since one of the following.</w:t>
            </w:r>
          </w:p>
        </w:tc>
      </w:tr>
      <w:tr w:rsidR="00112F50" w:rsidRPr="00C9343F" w14:paraId="7F20746D" w14:textId="77777777" w:rsidTr="008234B1">
        <w:tblPrEx>
          <w:tblLook w:val="04A0" w:firstRow="1" w:lastRow="0" w:firstColumn="1" w:lastColumn="0" w:noHBand="0" w:noVBand="1"/>
        </w:tblPrEx>
        <w:trPr>
          <w:cantSplit/>
        </w:trPr>
        <w:tc>
          <w:tcPr>
            <w:tcW w:w="1564" w:type="dxa"/>
            <w:gridSpan w:val="2"/>
          </w:tcPr>
          <w:p w14:paraId="2DBAAED4" w14:textId="345AE4B0" w:rsidR="00112F50" w:rsidRPr="00C9343F" w:rsidRDefault="00112F50" w:rsidP="00F66D98">
            <w:pPr>
              <w:pStyle w:val="BlockText-Plain"/>
              <w:spacing w:line="276" w:lineRule="auto"/>
              <w:rPr>
                <w:lang w:eastAsia="en-US"/>
              </w:rPr>
            </w:pPr>
          </w:p>
        </w:tc>
        <w:tc>
          <w:tcPr>
            <w:tcW w:w="567" w:type="dxa"/>
          </w:tcPr>
          <w:p w14:paraId="6DD1B7B4" w14:textId="77777777" w:rsidR="00112F50" w:rsidRPr="00C9343F" w:rsidRDefault="00112F50" w:rsidP="00F66D98">
            <w:pPr>
              <w:pStyle w:val="Sectiontext0"/>
              <w:rPr>
                <w:lang w:eastAsia="en-US"/>
              </w:rPr>
            </w:pPr>
            <w:r w:rsidRPr="00C9343F">
              <w:rPr>
                <w:lang w:eastAsia="en-US"/>
              </w:rPr>
              <w:t>i.</w:t>
            </w:r>
          </w:p>
        </w:tc>
        <w:tc>
          <w:tcPr>
            <w:tcW w:w="7235" w:type="dxa"/>
          </w:tcPr>
          <w:p w14:paraId="2181798A" w14:textId="142D9933" w:rsidR="00112F50" w:rsidRPr="00C9343F" w:rsidRDefault="00112F50" w:rsidP="00F66D98">
            <w:pPr>
              <w:pStyle w:val="BlockText-Plain"/>
            </w:pPr>
            <w:r w:rsidRPr="00C9343F">
              <w:t>The member graduated from the Australian Defence Force Academy.</w:t>
            </w:r>
          </w:p>
        </w:tc>
      </w:tr>
      <w:tr w:rsidR="00112F50" w:rsidRPr="00C9343F" w14:paraId="7C229CEA" w14:textId="77777777" w:rsidTr="008234B1">
        <w:tblPrEx>
          <w:tblLook w:val="04A0" w:firstRow="1" w:lastRow="0" w:firstColumn="1" w:lastColumn="0" w:noHBand="0" w:noVBand="1"/>
        </w:tblPrEx>
        <w:trPr>
          <w:cantSplit/>
        </w:trPr>
        <w:tc>
          <w:tcPr>
            <w:tcW w:w="1564" w:type="dxa"/>
            <w:gridSpan w:val="2"/>
          </w:tcPr>
          <w:p w14:paraId="1B1F7CE0" w14:textId="1B2FCF3A" w:rsidR="00112F50" w:rsidRPr="00C9343F" w:rsidRDefault="00112F50" w:rsidP="00F66D98">
            <w:pPr>
              <w:pStyle w:val="BlockText-Plain"/>
              <w:spacing w:line="276" w:lineRule="auto"/>
              <w:rPr>
                <w:lang w:eastAsia="en-US"/>
              </w:rPr>
            </w:pPr>
          </w:p>
        </w:tc>
        <w:tc>
          <w:tcPr>
            <w:tcW w:w="567" w:type="dxa"/>
          </w:tcPr>
          <w:p w14:paraId="220659D8" w14:textId="77777777" w:rsidR="00112F50" w:rsidRPr="00C9343F" w:rsidRDefault="00112F50" w:rsidP="00F66D98">
            <w:pPr>
              <w:pStyle w:val="Sectiontext0"/>
              <w:rPr>
                <w:lang w:eastAsia="en-US"/>
              </w:rPr>
            </w:pPr>
            <w:r w:rsidRPr="00C9343F">
              <w:rPr>
                <w:lang w:eastAsia="en-US"/>
              </w:rPr>
              <w:t>ii.</w:t>
            </w:r>
          </w:p>
        </w:tc>
        <w:tc>
          <w:tcPr>
            <w:tcW w:w="7235" w:type="dxa"/>
          </w:tcPr>
          <w:p w14:paraId="68B17D59" w14:textId="3EE2BB14" w:rsidR="00112F50" w:rsidRPr="00C9343F" w:rsidRDefault="00112F50" w:rsidP="00F66D98">
            <w:pPr>
              <w:pStyle w:val="BlockText-Plain"/>
              <w:rPr>
                <w:lang w:eastAsia="en-US"/>
              </w:rPr>
            </w:pPr>
            <w:r w:rsidRPr="00C9343F">
              <w:t>The member was a direct entry officer — the member completed officer training.</w:t>
            </w:r>
          </w:p>
        </w:tc>
      </w:tr>
      <w:tr w:rsidR="00112F50" w:rsidRPr="00C9343F" w14:paraId="01A78AF3" w14:textId="77777777" w:rsidTr="00F945FD">
        <w:tc>
          <w:tcPr>
            <w:tcW w:w="991" w:type="dxa"/>
          </w:tcPr>
          <w:p w14:paraId="5BE275F6" w14:textId="77777777" w:rsidR="00112F50" w:rsidRPr="00C9343F" w:rsidRDefault="00112F50" w:rsidP="00F66D98">
            <w:pPr>
              <w:pStyle w:val="BlockText-Plain"/>
              <w:jc w:val="center"/>
              <w:rPr>
                <w:rFonts w:cs="Arial"/>
              </w:rPr>
            </w:pPr>
            <w:r w:rsidRPr="00C9343F">
              <w:rPr>
                <w:rFonts w:cs="Arial"/>
              </w:rPr>
              <w:t>6.</w:t>
            </w:r>
          </w:p>
        </w:tc>
        <w:tc>
          <w:tcPr>
            <w:tcW w:w="8375" w:type="dxa"/>
            <w:gridSpan w:val="3"/>
          </w:tcPr>
          <w:p w14:paraId="19D45402" w14:textId="77777777" w:rsidR="00112F50" w:rsidRPr="00C9343F" w:rsidRDefault="00112F50" w:rsidP="00F66D98">
            <w:pPr>
              <w:pStyle w:val="BlockText-Plain"/>
            </w:pPr>
            <w:r w:rsidRPr="00C9343F">
              <w:t>Subsections 7 to 9 apply to a member in the Navy who holds a rank between Lieutenant and Captain and who meets both of the following.</w:t>
            </w:r>
          </w:p>
        </w:tc>
      </w:tr>
      <w:tr w:rsidR="00112F50" w:rsidRPr="00C9343F" w14:paraId="370D1C79" w14:textId="77777777" w:rsidTr="00F945FD">
        <w:trPr>
          <w:cantSplit/>
        </w:trPr>
        <w:tc>
          <w:tcPr>
            <w:tcW w:w="991" w:type="dxa"/>
          </w:tcPr>
          <w:p w14:paraId="138A44ED" w14:textId="77777777" w:rsidR="00112F50" w:rsidRPr="00C9343F" w:rsidRDefault="00112F50" w:rsidP="00F66D98">
            <w:pPr>
              <w:pStyle w:val="BlockText-Plain"/>
            </w:pPr>
          </w:p>
        </w:tc>
        <w:tc>
          <w:tcPr>
            <w:tcW w:w="573" w:type="dxa"/>
          </w:tcPr>
          <w:p w14:paraId="3A82F7DD" w14:textId="77777777" w:rsidR="00112F50" w:rsidRPr="00C9343F" w:rsidRDefault="00112F50" w:rsidP="007114B1">
            <w:pPr>
              <w:pStyle w:val="BlockText-Plain"/>
              <w:jc w:val="center"/>
            </w:pPr>
            <w:r w:rsidRPr="00C9343F">
              <w:t>a.</w:t>
            </w:r>
          </w:p>
        </w:tc>
        <w:tc>
          <w:tcPr>
            <w:tcW w:w="7802" w:type="dxa"/>
            <w:gridSpan w:val="2"/>
          </w:tcPr>
          <w:p w14:paraId="4D6BAE5E" w14:textId="77777777" w:rsidR="00112F50" w:rsidRPr="00C9343F" w:rsidRDefault="00112F50" w:rsidP="00F66D98">
            <w:pPr>
              <w:pStyle w:val="BlockText-Plain"/>
              <w:rPr>
                <w:lang w:eastAsia="en-US"/>
              </w:rPr>
            </w:pPr>
            <w:r w:rsidRPr="00C9343F">
              <w:rPr>
                <w:lang w:eastAsia="en-US"/>
              </w:rPr>
              <w:t xml:space="preserve">The member is </w:t>
            </w:r>
            <w:r w:rsidRPr="00C9343F">
              <w:t>in a Pilot or Maritime Aviation Warfare Officer employment category.</w:t>
            </w:r>
          </w:p>
        </w:tc>
      </w:tr>
      <w:tr w:rsidR="00112F50" w:rsidRPr="00C9343F" w14:paraId="08AE4564" w14:textId="77777777" w:rsidTr="00F945FD">
        <w:trPr>
          <w:cantSplit/>
        </w:trPr>
        <w:tc>
          <w:tcPr>
            <w:tcW w:w="991" w:type="dxa"/>
          </w:tcPr>
          <w:p w14:paraId="0D0A1D03" w14:textId="77777777" w:rsidR="00112F50" w:rsidRPr="00C9343F" w:rsidRDefault="00112F50" w:rsidP="00F66D98">
            <w:pPr>
              <w:pStyle w:val="BlockText-Plain"/>
            </w:pPr>
          </w:p>
        </w:tc>
        <w:tc>
          <w:tcPr>
            <w:tcW w:w="573" w:type="dxa"/>
          </w:tcPr>
          <w:p w14:paraId="5807A167" w14:textId="77777777" w:rsidR="00112F50" w:rsidRPr="00C9343F" w:rsidRDefault="00112F50" w:rsidP="007114B1">
            <w:pPr>
              <w:pStyle w:val="BlockText-Plain"/>
              <w:jc w:val="center"/>
            </w:pPr>
            <w:r w:rsidRPr="00C9343F">
              <w:t>b.</w:t>
            </w:r>
          </w:p>
        </w:tc>
        <w:tc>
          <w:tcPr>
            <w:tcW w:w="7802" w:type="dxa"/>
            <w:gridSpan w:val="2"/>
          </w:tcPr>
          <w:p w14:paraId="37C7D7CB" w14:textId="09F1FEAF" w:rsidR="00112F50" w:rsidRPr="00C9343F" w:rsidRDefault="00112F50" w:rsidP="00F66D98">
            <w:pPr>
              <w:pStyle w:val="BlockText-Plain"/>
              <w:rPr>
                <w:lang w:eastAsia="en-US"/>
              </w:rPr>
            </w:pPr>
            <w:r w:rsidRPr="00C9343F">
              <w:t xml:space="preserve">The Director </w:t>
            </w:r>
            <w:r w:rsidR="00A179F1" w:rsidRPr="00C9343F">
              <w:t>Navy Career Performance Support</w:t>
            </w:r>
            <w:r w:rsidRPr="00C9343F">
              <w:t xml:space="preserve"> decides that this subsection applies to the member.</w:t>
            </w:r>
          </w:p>
        </w:tc>
      </w:tr>
      <w:tr w:rsidR="00112F50" w:rsidRPr="00C9343F" w14:paraId="337694ED" w14:textId="77777777" w:rsidTr="00F945FD">
        <w:tc>
          <w:tcPr>
            <w:tcW w:w="991" w:type="dxa"/>
          </w:tcPr>
          <w:p w14:paraId="20A8BB1D" w14:textId="77777777" w:rsidR="00112F50" w:rsidRPr="00C9343F" w:rsidRDefault="00112F50" w:rsidP="00F66D98">
            <w:pPr>
              <w:pStyle w:val="BlockText-Plain"/>
              <w:jc w:val="center"/>
              <w:rPr>
                <w:rFonts w:cs="Arial"/>
              </w:rPr>
            </w:pPr>
            <w:r w:rsidRPr="00C9343F">
              <w:rPr>
                <w:rFonts w:cs="Arial"/>
              </w:rPr>
              <w:lastRenderedPageBreak/>
              <w:t>7.</w:t>
            </w:r>
          </w:p>
        </w:tc>
        <w:tc>
          <w:tcPr>
            <w:tcW w:w="8375" w:type="dxa"/>
            <w:gridSpan w:val="3"/>
          </w:tcPr>
          <w:p w14:paraId="041EFA57" w14:textId="77777777" w:rsidR="00112F50" w:rsidRPr="00C9343F" w:rsidRDefault="00112F50" w:rsidP="00F66D98">
            <w:pPr>
              <w:pStyle w:val="BlockText-Plain"/>
              <w:rPr>
                <w:lang w:eastAsia="en-US"/>
              </w:rPr>
            </w:pPr>
            <w:r w:rsidRPr="00C9343F">
              <w:t xml:space="preserve">A member who holds the rank of Lieutenant has an Officer Aviation increment </w:t>
            </w:r>
            <w:r w:rsidRPr="00C9343F">
              <w:rPr>
                <w:lang w:eastAsia="en-US"/>
              </w:rPr>
              <w:t xml:space="preserve">that corresponds to the member's years of experience, after completing 12 months experience after operational flying training, as provided in Annex B.3.A Part 1 of DFRT Determination No. 2 of 2017, </w:t>
            </w:r>
            <w:r w:rsidRPr="00C9343F">
              <w:rPr>
                <w:i/>
                <w:lang w:eastAsia="en-US"/>
              </w:rPr>
              <w:t>Salaries</w:t>
            </w:r>
            <w:r w:rsidRPr="00C9343F">
              <w:rPr>
                <w:lang w:eastAsia="en-US"/>
              </w:rPr>
              <w:t>.</w:t>
            </w:r>
          </w:p>
        </w:tc>
      </w:tr>
      <w:tr w:rsidR="00112F50" w:rsidRPr="00C9343F" w14:paraId="62D5DED3" w14:textId="77777777" w:rsidTr="00F945FD">
        <w:tc>
          <w:tcPr>
            <w:tcW w:w="991" w:type="dxa"/>
          </w:tcPr>
          <w:p w14:paraId="673C2036" w14:textId="77777777" w:rsidR="00112F50" w:rsidRPr="00C9343F" w:rsidRDefault="00112F50" w:rsidP="00F66D98">
            <w:pPr>
              <w:pStyle w:val="BlockText-Plain"/>
              <w:jc w:val="center"/>
              <w:rPr>
                <w:rFonts w:cs="Arial"/>
              </w:rPr>
            </w:pPr>
            <w:r w:rsidRPr="00C9343F">
              <w:rPr>
                <w:rFonts w:cs="Arial"/>
              </w:rPr>
              <w:t>8.</w:t>
            </w:r>
          </w:p>
        </w:tc>
        <w:tc>
          <w:tcPr>
            <w:tcW w:w="8375" w:type="dxa"/>
            <w:gridSpan w:val="3"/>
          </w:tcPr>
          <w:p w14:paraId="08ACA8D6" w14:textId="77777777" w:rsidR="00112F50" w:rsidRPr="00C9343F" w:rsidRDefault="00112F50" w:rsidP="00F66D98">
            <w:pPr>
              <w:pStyle w:val="BlockText-Plain"/>
            </w:pPr>
            <w:r w:rsidRPr="00C9343F">
              <w:t xml:space="preserve">A member who holds the rank of Lieutenant Commander has an Officer Aviation increment </w:t>
            </w:r>
            <w:r w:rsidRPr="00C9343F">
              <w:rPr>
                <w:lang w:eastAsia="en-US"/>
              </w:rPr>
              <w:t xml:space="preserve">that corresponds to the member's years in rank as provided in Annex B.3.A Part 1 of DFRT Determination No. 2 of 2017, </w:t>
            </w:r>
            <w:r w:rsidRPr="00C9343F">
              <w:rPr>
                <w:i/>
                <w:lang w:eastAsia="en-US"/>
              </w:rPr>
              <w:t>Salaries</w:t>
            </w:r>
            <w:r w:rsidRPr="00C9343F">
              <w:rPr>
                <w:lang w:eastAsia="en-US"/>
              </w:rPr>
              <w:t>.</w:t>
            </w:r>
          </w:p>
        </w:tc>
      </w:tr>
      <w:tr w:rsidR="00112F50" w:rsidRPr="00C9343F" w14:paraId="18E39D59" w14:textId="77777777" w:rsidTr="00F945FD">
        <w:tc>
          <w:tcPr>
            <w:tcW w:w="991" w:type="dxa"/>
          </w:tcPr>
          <w:p w14:paraId="41D230A0" w14:textId="77777777" w:rsidR="00112F50" w:rsidRPr="00C9343F" w:rsidRDefault="00112F50" w:rsidP="00F66D98">
            <w:pPr>
              <w:pStyle w:val="BlockText-Plain"/>
              <w:jc w:val="center"/>
              <w:rPr>
                <w:rFonts w:cs="Arial"/>
              </w:rPr>
            </w:pPr>
            <w:r w:rsidRPr="00C9343F">
              <w:rPr>
                <w:rFonts w:cs="Arial"/>
              </w:rPr>
              <w:t>9.</w:t>
            </w:r>
          </w:p>
        </w:tc>
        <w:tc>
          <w:tcPr>
            <w:tcW w:w="8375" w:type="dxa"/>
            <w:gridSpan w:val="3"/>
          </w:tcPr>
          <w:p w14:paraId="37A03A26" w14:textId="77777777" w:rsidR="00112F50" w:rsidRPr="00C9343F" w:rsidRDefault="00112F50" w:rsidP="00F66D98">
            <w:pPr>
              <w:pStyle w:val="BlockText-Plain"/>
              <w:rPr>
                <w:lang w:eastAsia="en-US"/>
              </w:rPr>
            </w:pPr>
            <w:r w:rsidRPr="00C9343F">
              <w:t xml:space="preserve">A member who holds the rank of Commander </w:t>
            </w:r>
            <w:r w:rsidRPr="00C9343F">
              <w:rPr>
                <w:lang w:eastAsia="en-US"/>
              </w:rPr>
              <w:t xml:space="preserve">on 1 July 2019 the member has an </w:t>
            </w:r>
            <w:r w:rsidRPr="00C9343F">
              <w:t xml:space="preserve">Officer Aviation increment between OA27 and OA29 </w:t>
            </w:r>
            <w:r w:rsidRPr="00C9343F">
              <w:rPr>
                <w:lang w:eastAsia="en-US"/>
              </w:rPr>
              <w:t>that has a corresponding salary that is equal to or next higher than the rate of salary on the day immediately before they enter the Officer Aviation Pay Structure.</w:t>
            </w:r>
          </w:p>
        </w:tc>
      </w:tr>
      <w:tr w:rsidR="00112F50" w:rsidRPr="00C9343F" w14:paraId="4395F716" w14:textId="77777777" w:rsidTr="00F945FD">
        <w:tc>
          <w:tcPr>
            <w:tcW w:w="991" w:type="dxa"/>
          </w:tcPr>
          <w:p w14:paraId="6F181521" w14:textId="77777777" w:rsidR="00112F50" w:rsidRPr="00C9343F" w:rsidRDefault="00112F50" w:rsidP="00F66D98">
            <w:pPr>
              <w:pStyle w:val="BlockText-Plain"/>
              <w:jc w:val="center"/>
              <w:rPr>
                <w:rFonts w:cs="Arial"/>
              </w:rPr>
            </w:pPr>
            <w:r w:rsidRPr="00C9343F">
              <w:rPr>
                <w:rFonts w:cs="Arial"/>
              </w:rPr>
              <w:t>10.</w:t>
            </w:r>
          </w:p>
        </w:tc>
        <w:tc>
          <w:tcPr>
            <w:tcW w:w="8375" w:type="dxa"/>
            <w:gridSpan w:val="3"/>
          </w:tcPr>
          <w:p w14:paraId="09EF7CDE" w14:textId="77777777" w:rsidR="00112F50" w:rsidRPr="00C9343F" w:rsidRDefault="00112F50" w:rsidP="00F66D98">
            <w:pPr>
              <w:pStyle w:val="BlockText-Plain"/>
            </w:pPr>
            <w:r w:rsidRPr="00C9343F">
              <w:t xml:space="preserve">A member who holds the rank of Captain </w:t>
            </w:r>
            <w:r w:rsidRPr="00C9343F">
              <w:rPr>
                <w:lang w:eastAsia="en-US"/>
              </w:rPr>
              <w:t xml:space="preserve">on 1 July 2019 the member has an </w:t>
            </w:r>
            <w:r w:rsidRPr="00C9343F">
              <w:t xml:space="preserve">Officer Aviation increment between OA35 and OA37 </w:t>
            </w:r>
            <w:r w:rsidRPr="00C9343F">
              <w:rPr>
                <w:lang w:eastAsia="en-US"/>
              </w:rPr>
              <w:t>that has a corresponding salary that is equal to or next higher than the rate of salary on the day immediately before they enter the Officer Aviation Pay Structure.</w:t>
            </w:r>
          </w:p>
        </w:tc>
      </w:tr>
    </w:tbl>
    <w:p w14:paraId="6B34E7CC" w14:textId="7BFB6FB8" w:rsidR="00083B82" w:rsidRPr="00C9343F" w:rsidRDefault="00083B82" w:rsidP="00F66D98">
      <w:pPr>
        <w:spacing w:before="360" w:after="120"/>
        <w:rPr>
          <w:b/>
        </w:rPr>
      </w:pPr>
      <w:r w:rsidRPr="00C9343F">
        <w:rPr>
          <w:b/>
        </w:rPr>
        <w:t>3.2.47H</w:t>
      </w:r>
      <w:r w:rsidR="00D94006" w:rsidRPr="00C9343F">
        <w:rPr>
          <w:b/>
        </w:rPr>
        <w:t>    </w:t>
      </w:r>
      <w:r w:rsidRPr="00C9343F">
        <w:rPr>
          <w:b/>
        </w:rPr>
        <w:t>Entry placement – Army Aviation Officers – Generalist pathway</w:t>
      </w:r>
    </w:p>
    <w:tbl>
      <w:tblPr>
        <w:tblW w:w="9366" w:type="dxa"/>
        <w:tblInd w:w="108" w:type="dxa"/>
        <w:tblLayout w:type="fixed"/>
        <w:tblLook w:val="0000" w:firstRow="0" w:lastRow="0" w:firstColumn="0" w:lastColumn="0" w:noHBand="0" w:noVBand="0"/>
      </w:tblPr>
      <w:tblGrid>
        <w:gridCol w:w="993"/>
        <w:gridCol w:w="567"/>
        <w:gridCol w:w="567"/>
        <w:gridCol w:w="7239"/>
      </w:tblGrid>
      <w:tr w:rsidR="00083B82" w:rsidRPr="00C9343F" w14:paraId="3C270A7D" w14:textId="77777777" w:rsidTr="00F945FD">
        <w:tc>
          <w:tcPr>
            <w:tcW w:w="993" w:type="dxa"/>
          </w:tcPr>
          <w:p w14:paraId="67AD7105" w14:textId="77777777" w:rsidR="00083B82" w:rsidRPr="00C9343F" w:rsidRDefault="00083B82" w:rsidP="00F66D98">
            <w:pPr>
              <w:pStyle w:val="BlockText-Plain"/>
              <w:keepNext/>
              <w:jc w:val="center"/>
              <w:rPr>
                <w:rFonts w:cs="Arial"/>
              </w:rPr>
            </w:pPr>
            <w:r w:rsidRPr="00C9343F">
              <w:rPr>
                <w:rFonts w:cs="Arial"/>
              </w:rPr>
              <w:t>1.</w:t>
            </w:r>
          </w:p>
        </w:tc>
        <w:tc>
          <w:tcPr>
            <w:tcW w:w="8373" w:type="dxa"/>
            <w:gridSpan w:val="3"/>
          </w:tcPr>
          <w:p w14:paraId="03D5CD06" w14:textId="77777777" w:rsidR="00083B82" w:rsidRPr="00C9343F" w:rsidRDefault="00083B82" w:rsidP="00F66D98">
            <w:pPr>
              <w:pStyle w:val="BlockText-Plain"/>
              <w:keepNext/>
            </w:pPr>
            <w:r w:rsidRPr="00C9343F">
              <w:t>If this section applies, the member is placed in the Generalist Pathway and the Rotary Wing Pilot competency stream.</w:t>
            </w:r>
          </w:p>
        </w:tc>
      </w:tr>
      <w:tr w:rsidR="00083B82" w:rsidRPr="00C9343F" w14:paraId="627DB2C7"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40CA36CD" w14:textId="77777777" w:rsidR="00083B82" w:rsidRPr="00C9343F" w:rsidRDefault="00083B82" w:rsidP="00F66D98">
            <w:pPr>
              <w:pStyle w:val="BlockText-Plain"/>
              <w:jc w:val="center"/>
              <w:rPr>
                <w:lang w:eastAsia="en-US"/>
              </w:rPr>
            </w:pPr>
            <w:r w:rsidRPr="00C9343F">
              <w:rPr>
                <w:lang w:eastAsia="en-US"/>
              </w:rPr>
              <w:t>2.</w:t>
            </w:r>
          </w:p>
        </w:tc>
        <w:tc>
          <w:tcPr>
            <w:tcW w:w="8373" w:type="dxa"/>
            <w:gridSpan w:val="3"/>
            <w:tcMar>
              <w:top w:w="0" w:type="dxa"/>
              <w:left w:w="108" w:type="dxa"/>
              <w:bottom w:w="0" w:type="dxa"/>
              <w:right w:w="108" w:type="dxa"/>
            </w:tcMar>
          </w:tcPr>
          <w:p w14:paraId="28A524B3" w14:textId="77777777" w:rsidR="00083B82" w:rsidRPr="00C9343F" w:rsidRDefault="00083B82" w:rsidP="00F66D98">
            <w:pPr>
              <w:pStyle w:val="BlockText-Plain"/>
              <w:rPr>
                <w:lang w:eastAsia="en-US"/>
              </w:rPr>
            </w:pPr>
            <w:r w:rsidRPr="00C9343F">
              <w:rPr>
                <w:lang w:eastAsia="en-US"/>
              </w:rPr>
              <w:t>A member has an Officer Aviation increment OA1 on the day they meet both of the following.</w:t>
            </w:r>
          </w:p>
        </w:tc>
      </w:tr>
      <w:tr w:rsidR="00083B82" w:rsidRPr="00C9343F" w14:paraId="1E39EC92"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0B406EA3"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41E11DBC"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hideMark/>
          </w:tcPr>
          <w:p w14:paraId="743E89D0" w14:textId="77777777" w:rsidR="00083B82" w:rsidRPr="00C9343F" w:rsidRDefault="00083B82" w:rsidP="00F66D98">
            <w:pPr>
              <w:pStyle w:val="BlockText-Plain"/>
              <w:rPr>
                <w:lang w:eastAsia="en-US"/>
              </w:rPr>
            </w:pPr>
            <w:r w:rsidRPr="00C9343F">
              <w:rPr>
                <w:lang w:eastAsia="en-US"/>
              </w:rPr>
              <w:t>The member completes the First Appointment Course.</w:t>
            </w:r>
          </w:p>
        </w:tc>
      </w:tr>
      <w:tr w:rsidR="00083B82" w:rsidRPr="00C9343F" w14:paraId="081DEE42"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2F356832"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2EEB00C2"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Mar>
              <w:top w:w="0" w:type="dxa"/>
              <w:left w:w="108" w:type="dxa"/>
              <w:bottom w:w="0" w:type="dxa"/>
              <w:right w:w="108" w:type="dxa"/>
            </w:tcMar>
          </w:tcPr>
          <w:p w14:paraId="0888EDF8" w14:textId="77777777" w:rsidR="00083B82" w:rsidRPr="00C9343F" w:rsidRDefault="00083B82" w:rsidP="00F66D98">
            <w:pPr>
              <w:pStyle w:val="BlockText-Plain"/>
              <w:rPr>
                <w:lang w:eastAsia="en-US"/>
              </w:rPr>
            </w:pPr>
            <w:r w:rsidRPr="00C9343F">
              <w:rPr>
                <w:lang w:eastAsia="en-US"/>
              </w:rPr>
              <w:t>The member is promoted to the rank of Lieutenant or Second Lieutenant.</w:t>
            </w:r>
          </w:p>
        </w:tc>
      </w:tr>
      <w:tr w:rsidR="00083B82" w:rsidRPr="00C9343F" w14:paraId="0BA45619"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7F49FF10" w14:textId="77777777" w:rsidR="00083B82" w:rsidRPr="00C9343F" w:rsidRDefault="00083B82" w:rsidP="00F66D98">
            <w:pPr>
              <w:pStyle w:val="BlockText-Plain"/>
              <w:jc w:val="center"/>
              <w:rPr>
                <w:lang w:eastAsia="en-US"/>
              </w:rPr>
            </w:pPr>
            <w:r w:rsidRPr="00C9343F">
              <w:rPr>
                <w:lang w:eastAsia="en-US"/>
              </w:rPr>
              <w:t>3.</w:t>
            </w:r>
          </w:p>
        </w:tc>
        <w:tc>
          <w:tcPr>
            <w:tcW w:w="8373" w:type="dxa"/>
            <w:gridSpan w:val="3"/>
            <w:tcMar>
              <w:top w:w="0" w:type="dxa"/>
              <w:left w:w="108" w:type="dxa"/>
              <w:bottom w:w="0" w:type="dxa"/>
              <w:right w:w="108" w:type="dxa"/>
            </w:tcMar>
          </w:tcPr>
          <w:p w14:paraId="54CB05A4" w14:textId="77777777" w:rsidR="00083B82" w:rsidRPr="00C9343F" w:rsidRDefault="00083B82" w:rsidP="00F66D98">
            <w:pPr>
              <w:pStyle w:val="BlockText-Plain"/>
              <w:rPr>
                <w:lang w:eastAsia="en-US"/>
              </w:rPr>
            </w:pPr>
            <w:r w:rsidRPr="00C9343F">
              <w:rPr>
                <w:lang w:eastAsia="en-US"/>
              </w:rPr>
              <w:t>A direct entry member has an Officer Aviation increment OA0 on the day they meet both of the following.</w:t>
            </w:r>
          </w:p>
        </w:tc>
      </w:tr>
      <w:tr w:rsidR="00083B82" w:rsidRPr="00C9343F" w14:paraId="6FF229A7"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3A87B7AD"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039E4357"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hideMark/>
          </w:tcPr>
          <w:p w14:paraId="698A0BC3" w14:textId="77777777" w:rsidR="00083B82" w:rsidRPr="00C9343F" w:rsidRDefault="00083B82" w:rsidP="00F66D98">
            <w:pPr>
              <w:pStyle w:val="BlockText-Plain"/>
              <w:rPr>
                <w:lang w:eastAsia="en-US"/>
              </w:rPr>
            </w:pPr>
            <w:r w:rsidRPr="00C9343F">
              <w:rPr>
                <w:lang w:eastAsia="en-US"/>
              </w:rPr>
              <w:t>The member completes the First Appointment Course.</w:t>
            </w:r>
          </w:p>
        </w:tc>
      </w:tr>
      <w:tr w:rsidR="00083B82" w:rsidRPr="00C9343F" w14:paraId="6C6BC99C"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3834E880"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60C841A7"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Mar>
              <w:top w:w="0" w:type="dxa"/>
              <w:left w:w="108" w:type="dxa"/>
              <w:bottom w:w="0" w:type="dxa"/>
              <w:right w:w="108" w:type="dxa"/>
            </w:tcMar>
          </w:tcPr>
          <w:p w14:paraId="7D8B849F" w14:textId="77777777" w:rsidR="00083B82" w:rsidRPr="00C9343F" w:rsidRDefault="00083B82" w:rsidP="00F66D98">
            <w:pPr>
              <w:pStyle w:val="BlockText-Plain"/>
              <w:rPr>
                <w:lang w:eastAsia="en-US"/>
              </w:rPr>
            </w:pPr>
            <w:r w:rsidRPr="00C9343F">
              <w:rPr>
                <w:lang w:eastAsia="en-US"/>
              </w:rPr>
              <w:t>The member is promoted to the rank of Lieutenant or Second Lieutenant.</w:t>
            </w:r>
          </w:p>
        </w:tc>
      </w:tr>
      <w:tr w:rsidR="00083B82" w:rsidRPr="00C9343F" w14:paraId="43EE49B9"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7E225DA1" w14:textId="77777777" w:rsidR="00083B82" w:rsidRPr="00C9343F" w:rsidRDefault="00083B82" w:rsidP="00F66D98">
            <w:pPr>
              <w:pStyle w:val="BlockText-Plain"/>
              <w:jc w:val="center"/>
              <w:rPr>
                <w:lang w:eastAsia="en-US"/>
              </w:rPr>
            </w:pPr>
            <w:r w:rsidRPr="00C9343F">
              <w:rPr>
                <w:lang w:eastAsia="en-US"/>
              </w:rPr>
              <w:t>4.</w:t>
            </w:r>
          </w:p>
        </w:tc>
        <w:tc>
          <w:tcPr>
            <w:tcW w:w="8373" w:type="dxa"/>
            <w:gridSpan w:val="3"/>
            <w:tcMar>
              <w:top w:w="0" w:type="dxa"/>
              <w:left w:w="108" w:type="dxa"/>
              <w:bottom w:w="0" w:type="dxa"/>
              <w:right w:w="108" w:type="dxa"/>
            </w:tcMar>
          </w:tcPr>
          <w:p w14:paraId="076EE25A" w14:textId="77777777" w:rsidR="00083B82" w:rsidRPr="00C9343F" w:rsidRDefault="00083B82" w:rsidP="00F66D98">
            <w:pPr>
              <w:pStyle w:val="BlockText-Plain"/>
              <w:rPr>
                <w:lang w:eastAsia="en-US"/>
              </w:rPr>
            </w:pPr>
            <w:r w:rsidRPr="00C9343F">
              <w:rPr>
                <w:lang w:eastAsia="en-US"/>
              </w:rPr>
              <w:t>A member in the Army Aviation Corps has an Officer Aviation increment between OA1 and OA4, that corresponds to the member's years in rank as a Second Lieutenant, on the day they meet all of the following.</w:t>
            </w:r>
          </w:p>
        </w:tc>
      </w:tr>
      <w:tr w:rsidR="00083B82" w:rsidRPr="00C9343F" w14:paraId="49718468"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278F0C6F"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35DCCA14"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tcPr>
          <w:p w14:paraId="72412D3D" w14:textId="77777777" w:rsidR="00083B82" w:rsidRPr="00C9343F" w:rsidRDefault="00083B82" w:rsidP="00F66D98">
            <w:pPr>
              <w:pStyle w:val="BlockText-Plain"/>
              <w:rPr>
                <w:lang w:eastAsia="en-US"/>
              </w:rPr>
            </w:pPr>
            <w:r w:rsidRPr="00C9343F">
              <w:rPr>
                <w:lang w:eastAsia="en-US"/>
              </w:rPr>
              <w:t>The member is an Army Aviation Specialist Service Officer undertaking the Regimental Officers Basic Course – Program (aviation) on 30 June 2019.</w:t>
            </w:r>
          </w:p>
        </w:tc>
      </w:tr>
      <w:tr w:rsidR="00083B82" w:rsidRPr="00C9343F" w14:paraId="43E77783"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22F15E61"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20BE657D"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Mar>
              <w:top w:w="0" w:type="dxa"/>
              <w:left w:w="108" w:type="dxa"/>
              <w:bottom w:w="0" w:type="dxa"/>
              <w:right w:w="108" w:type="dxa"/>
            </w:tcMar>
          </w:tcPr>
          <w:p w14:paraId="4348335E" w14:textId="77777777" w:rsidR="00083B82" w:rsidRPr="00C9343F" w:rsidRDefault="00083B82" w:rsidP="00F66D98">
            <w:pPr>
              <w:pStyle w:val="BlockText-Plain"/>
              <w:rPr>
                <w:lang w:eastAsia="en-US"/>
              </w:rPr>
            </w:pPr>
            <w:r w:rsidRPr="00C9343F">
              <w:rPr>
                <w:lang w:eastAsia="en-US"/>
              </w:rPr>
              <w:t>The member is promoted to the rank of Lieutenant.</w:t>
            </w:r>
          </w:p>
        </w:tc>
      </w:tr>
      <w:tr w:rsidR="00083B82" w:rsidRPr="00C9343F" w14:paraId="75B221D4"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21E0B8AE"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4519A7C1"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Mar>
              <w:top w:w="0" w:type="dxa"/>
              <w:left w:w="108" w:type="dxa"/>
              <w:bottom w:w="0" w:type="dxa"/>
              <w:right w:w="108" w:type="dxa"/>
            </w:tcMar>
          </w:tcPr>
          <w:p w14:paraId="044567F7" w14:textId="77777777" w:rsidR="00083B82" w:rsidRPr="00C9343F" w:rsidRDefault="00083B82" w:rsidP="00F66D98">
            <w:pPr>
              <w:pStyle w:val="BlockText-Plain"/>
              <w:rPr>
                <w:lang w:eastAsia="en-US"/>
              </w:rPr>
            </w:pPr>
            <w:r w:rsidRPr="00C9343F">
              <w:rPr>
                <w:lang w:eastAsia="en-US"/>
              </w:rPr>
              <w:t>The member completes the Regimental Officers Basic Course – Program (aviation).</w:t>
            </w:r>
          </w:p>
        </w:tc>
      </w:tr>
      <w:tr w:rsidR="00083B82" w:rsidRPr="00C9343F" w14:paraId="6A959D7D"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4DC8BD92" w14:textId="77777777" w:rsidR="00083B82" w:rsidRPr="00C9343F" w:rsidRDefault="00083B82" w:rsidP="00F66D98">
            <w:pPr>
              <w:pStyle w:val="BlockText-Plain"/>
              <w:jc w:val="center"/>
              <w:rPr>
                <w:lang w:eastAsia="en-US"/>
              </w:rPr>
            </w:pPr>
            <w:r w:rsidRPr="00C9343F">
              <w:rPr>
                <w:lang w:eastAsia="en-US"/>
              </w:rPr>
              <w:t>5.</w:t>
            </w:r>
          </w:p>
        </w:tc>
        <w:tc>
          <w:tcPr>
            <w:tcW w:w="8373" w:type="dxa"/>
            <w:gridSpan w:val="3"/>
            <w:tcMar>
              <w:top w:w="0" w:type="dxa"/>
              <w:left w:w="108" w:type="dxa"/>
              <w:bottom w:w="0" w:type="dxa"/>
              <w:right w:w="108" w:type="dxa"/>
            </w:tcMar>
          </w:tcPr>
          <w:p w14:paraId="291D781C" w14:textId="77777777" w:rsidR="00083B82" w:rsidRPr="00C9343F" w:rsidRDefault="00083B82" w:rsidP="00F66D98">
            <w:pPr>
              <w:pStyle w:val="BlockText-Plain"/>
              <w:rPr>
                <w:lang w:eastAsia="en-US"/>
              </w:rPr>
            </w:pPr>
            <w:r w:rsidRPr="00C9343F">
              <w:rPr>
                <w:lang w:eastAsia="en-US"/>
              </w:rPr>
              <w:t>Subsection 6 applies to a member in the Army Aviation Corps who meets all of the following on the day immediately before their transfer to the Officer Aviation Pay Structure.</w:t>
            </w:r>
          </w:p>
        </w:tc>
      </w:tr>
      <w:tr w:rsidR="00083B82" w:rsidRPr="00C9343F" w14:paraId="62B3391E"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08C7C404"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72B78DBD"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tcPr>
          <w:p w14:paraId="06C58606" w14:textId="77777777" w:rsidR="00083B82" w:rsidRPr="00C9343F" w:rsidRDefault="00083B82" w:rsidP="00F66D98">
            <w:pPr>
              <w:pStyle w:val="BlockText-Plain"/>
              <w:rPr>
                <w:lang w:eastAsia="en-US"/>
              </w:rPr>
            </w:pPr>
            <w:r w:rsidRPr="00C9343F">
              <w:rPr>
                <w:lang w:eastAsia="en-US"/>
              </w:rPr>
              <w:t>The member is in a Pilot employment category.</w:t>
            </w:r>
          </w:p>
        </w:tc>
      </w:tr>
      <w:tr w:rsidR="00083B82" w:rsidRPr="00C9343F" w14:paraId="59A33145" w14:textId="77777777" w:rsidTr="00F945FD">
        <w:tblPrEx>
          <w:tblCellMar>
            <w:left w:w="0" w:type="dxa"/>
            <w:right w:w="0" w:type="dxa"/>
          </w:tblCellMar>
          <w:tblLook w:val="04A0" w:firstRow="1" w:lastRow="0" w:firstColumn="1" w:lastColumn="0" w:noHBand="0" w:noVBand="1"/>
        </w:tblPrEx>
        <w:trPr>
          <w:cantSplit/>
        </w:trPr>
        <w:tc>
          <w:tcPr>
            <w:tcW w:w="993" w:type="dxa"/>
            <w:shd w:val="clear" w:color="auto" w:fill="auto"/>
            <w:tcMar>
              <w:top w:w="0" w:type="dxa"/>
              <w:left w:w="108" w:type="dxa"/>
              <w:bottom w:w="0" w:type="dxa"/>
              <w:right w:w="108" w:type="dxa"/>
            </w:tcMar>
          </w:tcPr>
          <w:p w14:paraId="10A322CC" w14:textId="77777777" w:rsidR="00083B82" w:rsidRPr="00C9343F" w:rsidRDefault="00083B82" w:rsidP="00F66D98">
            <w:pPr>
              <w:pStyle w:val="BlockText-Plain"/>
              <w:rPr>
                <w:lang w:eastAsia="en-US"/>
              </w:rPr>
            </w:pPr>
          </w:p>
        </w:tc>
        <w:tc>
          <w:tcPr>
            <w:tcW w:w="567" w:type="dxa"/>
            <w:shd w:val="clear" w:color="auto" w:fill="auto"/>
            <w:tcMar>
              <w:top w:w="0" w:type="dxa"/>
              <w:left w:w="108" w:type="dxa"/>
              <w:bottom w:w="0" w:type="dxa"/>
              <w:right w:w="108" w:type="dxa"/>
            </w:tcMar>
          </w:tcPr>
          <w:p w14:paraId="5D7A98FD"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shd w:val="clear" w:color="auto" w:fill="auto"/>
            <w:tcMar>
              <w:top w:w="0" w:type="dxa"/>
              <w:left w:w="108" w:type="dxa"/>
              <w:bottom w:w="0" w:type="dxa"/>
              <w:right w:w="108" w:type="dxa"/>
            </w:tcMar>
          </w:tcPr>
          <w:p w14:paraId="434C1A8B" w14:textId="77777777" w:rsidR="00083B82" w:rsidRPr="00C9343F" w:rsidRDefault="00083B82" w:rsidP="00F66D98">
            <w:pPr>
              <w:pStyle w:val="BlockText-Plain"/>
              <w:rPr>
                <w:lang w:eastAsia="en-US"/>
              </w:rPr>
            </w:pPr>
            <w:r w:rsidRPr="00C9343F">
              <w:rPr>
                <w:lang w:eastAsia="en-US"/>
              </w:rPr>
              <w:t>The member is in the generalist stream of the Army Aviation Officer Employment Specification.</w:t>
            </w:r>
          </w:p>
        </w:tc>
      </w:tr>
      <w:tr w:rsidR="00083B82" w:rsidRPr="00C9343F" w14:paraId="1042704E"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64A5F7AF"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4E1BE9B0"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Mar>
              <w:top w:w="0" w:type="dxa"/>
              <w:left w:w="108" w:type="dxa"/>
              <w:bottom w:w="0" w:type="dxa"/>
              <w:right w:w="108" w:type="dxa"/>
            </w:tcMar>
            <w:hideMark/>
          </w:tcPr>
          <w:p w14:paraId="1FE0DB1B" w14:textId="77777777" w:rsidR="00083B82" w:rsidRPr="00C9343F" w:rsidRDefault="00083B82" w:rsidP="00F66D98">
            <w:pPr>
              <w:pStyle w:val="BlockText-Plain"/>
              <w:rPr>
                <w:lang w:eastAsia="en-US"/>
              </w:rPr>
            </w:pPr>
            <w:r w:rsidRPr="00C9343F">
              <w:rPr>
                <w:lang w:eastAsia="en-US"/>
              </w:rPr>
              <w:t>The member is promoted to the rank of Lieutenant.</w:t>
            </w:r>
          </w:p>
        </w:tc>
      </w:tr>
      <w:tr w:rsidR="00083B82" w:rsidRPr="00C9343F" w14:paraId="1AD388F9"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5FDB1D7A"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7406B38C" w14:textId="77777777" w:rsidR="00083B82" w:rsidRPr="00C9343F" w:rsidRDefault="00083B82" w:rsidP="007114B1">
            <w:pPr>
              <w:pStyle w:val="BlockText-Plain"/>
              <w:jc w:val="center"/>
              <w:rPr>
                <w:lang w:eastAsia="en-US"/>
              </w:rPr>
            </w:pPr>
            <w:r w:rsidRPr="00C9343F">
              <w:rPr>
                <w:lang w:eastAsia="en-US"/>
              </w:rPr>
              <w:t>d.</w:t>
            </w:r>
          </w:p>
        </w:tc>
        <w:tc>
          <w:tcPr>
            <w:tcW w:w="7806" w:type="dxa"/>
            <w:gridSpan w:val="2"/>
            <w:tcMar>
              <w:top w:w="0" w:type="dxa"/>
              <w:left w:w="108" w:type="dxa"/>
              <w:bottom w:w="0" w:type="dxa"/>
              <w:right w:w="108" w:type="dxa"/>
            </w:tcMar>
          </w:tcPr>
          <w:p w14:paraId="40230715" w14:textId="77777777" w:rsidR="00083B82" w:rsidRPr="00C9343F" w:rsidRDefault="00083B82" w:rsidP="00F66D98">
            <w:pPr>
              <w:pStyle w:val="BlockText-Plain"/>
              <w:rPr>
                <w:lang w:eastAsia="en-US"/>
              </w:rPr>
            </w:pPr>
            <w:r w:rsidRPr="00C9343F">
              <w:rPr>
                <w:lang w:eastAsia="en-US"/>
              </w:rPr>
              <w:t>The member has completed the Regimental Officers Basic Course – Program (aviation).</w:t>
            </w:r>
          </w:p>
        </w:tc>
      </w:tr>
      <w:tr w:rsidR="00083B82" w:rsidRPr="00C9343F" w14:paraId="1F6E6BE4"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403A71DA" w14:textId="77777777" w:rsidR="00083B82" w:rsidRPr="00C9343F" w:rsidRDefault="00083B82" w:rsidP="00F66D98">
            <w:pPr>
              <w:pStyle w:val="BlockText-Plain"/>
              <w:jc w:val="center"/>
              <w:rPr>
                <w:lang w:eastAsia="en-US"/>
              </w:rPr>
            </w:pPr>
            <w:r w:rsidRPr="00C9343F">
              <w:rPr>
                <w:lang w:eastAsia="en-US"/>
              </w:rPr>
              <w:t>6.</w:t>
            </w:r>
          </w:p>
        </w:tc>
        <w:tc>
          <w:tcPr>
            <w:tcW w:w="8373" w:type="dxa"/>
            <w:gridSpan w:val="3"/>
            <w:tcMar>
              <w:top w:w="0" w:type="dxa"/>
              <w:left w:w="108" w:type="dxa"/>
              <w:bottom w:w="0" w:type="dxa"/>
              <w:right w:w="108" w:type="dxa"/>
            </w:tcMar>
          </w:tcPr>
          <w:p w14:paraId="1D2E9748" w14:textId="77777777" w:rsidR="00083B82" w:rsidRPr="00C9343F" w:rsidRDefault="00083B82" w:rsidP="00F66D98">
            <w:pPr>
              <w:pStyle w:val="BlockText-Plain"/>
              <w:rPr>
                <w:lang w:eastAsia="en-US"/>
              </w:rPr>
            </w:pPr>
            <w:r w:rsidRPr="00C9343F">
              <w:rPr>
                <w:lang w:eastAsia="en-US"/>
              </w:rPr>
              <w:t>The member has the higher of the following Officer Aviation increments.</w:t>
            </w:r>
          </w:p>
        </w:tc>
      </w:tr>
      <w:tr w:rsidR="00083B82" w:rsidRPr="00C9343F" w14:paraId="6BCC0EDC"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6A2DCF49"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7A760BF7"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hideMark/>
          </w:tcPr>
          <w:p w14:paraId="1DB60AE1" w14:textId="77777777" w:rsidR="00083B82" w:rsidRPr="00C9343F" w:rsidRDefault="00083B82" w:rsidP="00F66D98">
            <w:pPr>
              <w:pStyle w:val="BlockText-Plain"/>
              <w:rPr>
                <w:lang w:eastAsia="en-US"/>
              </w:rPr>
            </w:pPr>
            <w:r w:rsidRPr="00C9343F">
              <w:rPr>
                <w:lang w:eastAsia="en-US"/>
              </w:rPr>
              <w:t xml:space="preserve">The Officer Aviation increment that corresponds to the member's years in rank under Annex B.3.D of DFRT Determination No. 2 of 2017, </w:t>
            </w:r>
            <w:r w:rsidRPr="00C9343F">
              <w:rPr>
                <w:i/>
                <w:lang w:eastAsia="en-US"/>
              </w:rPr>
              <w:t>Salaries</w:t>
            </w:r>
            <w:r w:rsidRPr="00C9343F">
              <w:rPr>
                <w:lang w:eastAsia="en-US"/>
              </w:rPr>
              <w:t>.</w:t>
            </w:r>
          </w:p>
        </w:tc>
      </w:tr>
      <w:tr w:rsidR="00083B82" w:rsidRPr="00C9343F" w14:paraId="376EBBB8"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0E6305CF"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07E2A1A8"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Mar>
              <w:top w:w="0" w:type="dxa"/>
              <w:left w:w="108" w:type="dxa"/>
              <w:bottom w:w="0" w:type="dxa"/>
              <w:right w:w="108" w:type="dxa"/>
            </w:tcMar>
          </w:tcPr>
          <w:p w14:paraId="1C605A23" w14:textId="77777777" w:rsidR="00083B82" w:rsidRPr="00C9343F" w:rsidRDefault="00083B82" w:rsidP="00F66D98">
            <w:pPr>
              <w:pStyle w:val="BlockText-Plain"/>
              <w:rPr>
                <w:lang w:eastAsia="en-US"/>
              </w:rPr>
            </w:pPr>
            <w:r w:rsidRPr="00C9343F">
              <w:rPr>
                <w:lang w:eastAsia="en-US"/>
              </w:rPr>
              <w:t>The Officer Aviation increment that has a corresponding rate of salary that is equal to the rate payable immediately before the member's transfer into Officer Aviation Pay Structure, or the next above.</w:t>
            </w:r>
          </w:p>
        </w:tc>
      </w:tr>
      <w:tr w:rsidR="00083B82" w:rsidRPr="00C9343F" w14:paraId="079A183B"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2E2454DE" w14:textId="77777777" w:rsidR="00083B82" w:rsidRPr="00C9343F" w:rsidRDefault="00083B82" w:rsidP="00F66D98">
            <w:pPr>
              <w:pStyle w:val="BlockText-Plain"/>
              <w:jc w:val="center"/>
              <w:rPr>
                <w:lang w:eastAsia="en-US"/>
              </w:rPr>
            </w:pPr>
            <w:r w:rsidRPr="00C9343F">
              <w:rPr>
                <w:lang w:eastAsia="en-US"/>
              </w:rPr>
              <w:t>7.</w:t>
            </w:r>
          </w:p>
        </w:tc>
        <w:tc>
          <w:tcPr>
            <w:tcW w:w="8373" w:type="dxa"/>
            <w:gridSpan w:val="3"/>
            <w:tcMar>
              <w:top w:w="0" w:type="dxa"/>
              <w:left w:w="108" w:type="dxa"/>
              <w:bottom w:w="0" w:type="dxa"/>
              <w:right w:w="108" w:type="dxa"/>
            </w:tcMar>
          </w:tcPr>
          <w:p w14:paraId="42D88604" w14:textId="77777777" w:rsidR="00083B82" w:rsidRPr="00C9343F" w:rsidRDefault="00083B82" w:rsidP="00F66D98">
            <w:pPr>
              <w:pStyle w:val="BlockText-Plain"/>
              <w:rPr>
                <w:lang w:eastAsia="en-US"/>
              </w:rPr>
            </w:pPr>
            <w:r w:rsidRPr="00C9343F">
              <w:rPr>
                <w:lang w:eastAsia="en-US"/>
              </w:rPr>
              <w:t>Subsection 8 applies to a member in the Army Aviation Corps who meets all of the following on the day immediately before their transfer to the Officer Aviation Pay Structure.</w:t>
            </w:r>
          </w:p>
        </w:tc>
      </w:tr>
      <w:tr w:rsidR="00083B82" w:rsidRPr="00C9343F" w14:paraId="0D68DE49"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3DA03B91"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471A02FD"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hideMark/>
          </w:tcPr>
          <w:p w14:paraId="4BF19188" w14:textId="77777777" w:rsidR="00083B82" w:rsidRPr="00C9343F" w:rsidRDefault="00083B82" w:rsidP="00F66D98">
            <w:pPr>
              <w:pStyle w:val="BlockText-Plain"/>
              <w:rPr>
                <w:lang w:eastAsia="en-US"/>
              </w:rPr>
            </w:pPr>
            <w:r w:rsidRPr="00C9343F">
              <w:rPr>
                <w:lang w:eastAsia="en-US"/>
              </w:rPr>
              <w:t>The member is promoted to a rank between Captain and Colonel.</w:t>
            </w:r>
          </w:p>
        </w:tc>
      </w:tr>
      <w:tr w:rsidR="00083B82" w:rsidRPr="00C9343F" w14:paraId="663B5F0E"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0B243BC3"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081565E2"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Mar>
              <w:top w:w="0" w:type="dxa"/>
              <w:left w:w="108" w:type="dxa"/>
              <w:bottom w:w="0" w:type="dxa"/>
              <w:right w:w="108" w:type="dxa"/>
            </w:tcMar>
          </w:tcPr>
          <w:p w14:paraId="37F251DD" w14:textId="77777777" w:rsidR="00083B82" w:rsidRPr="00C9343F" w:rsidRDefault="00083B82" w:rsidP="00F66D98">
            <w:pPr>
              <w:pStyle w:val="BlockText-Plain"/>
              <w:rPr>
                <w:lang w:eastAsia="en-US"/>
              </w:rPr>
            </w:pPr>
            <w:r w:rsidRPr="00C9343F">
              <w:rPr>
                <w:lang w:eastAsia="en-US"/>
              </w:rPr>
              <w:t>The member is in a Pilot employment category.</w:t>
            </w:r>
          </w:p>
        </w:tc>
      </w:tr>
      <w:tr w:rsidR="00083B82" w:rsidRPr="00C9343F" w14:paraId="179D98F0"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0EBA78C7"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22B811DB"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Mar>
              <w:top w:w="0" w:type="dxa"/>
              <w:left w:w="108" w:type="dxa"/>
              <w:bottom w:w="0" w:type="dxa"/>
              <w:right w:w="108" w:type="dxa"/>
            </w:tcMar>
          </w:tcPr>
          <w:p w14:paraId="0A91D4CE" w14:textId="77777777" w:rsidR="00083B82" w:rsidRPr="00C9343F" w:rsidRDefault="00083B82" w:rsidP="00F66D98">
            <w:pPr>
              <w:pStyle w:val="BlockText-Plain"/>
              <w:rPr>
                <w:lang w:eastAsia="en-US"/>
              </w:rPr>
            </w:pPr>
            <w:r w:rsidRPr="00C9343F">
              <w:rPr>
                <w:lang w:eastAsia="en-US"/>
              </w:rPr>
              <w:t>The member has not held an aviation troop command, sub-unit command or unit command appointment.</w:t>
            </w:r>
          </w:p>
        </w:tc>
      </w:tr>
      <w:tr w:rsidR="00083B82" w:rsidRPr="00C9343F" w14:paraId="2973A7EE"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1400E836"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01D91BDD" w14:textId="77777777" w:rsidR="00083B82" w:rsidRPr="00C9343F" w:rsidRDefault="00083B82" w:rsidP="007114B1">
            <w:pPr>
              <w:pStyle w:val="BlockText-Plain"/>
              <w:jc w:val="center"/>
              <w:rPr>
                <w:lang w:eastAsia="en-US"/>
              </w:rPr>
            </w:pPr>
            <w:r w:rsidRPr="00C9343F">
              <w:rPr>
                <w:lang w:eastAsia="en-US"/>
              </w:rPr>
              <w:t>d.</w:t>
            </w:r>
          </w:p>
        </w:tc>
        <w:tc>
          <w:tcPr>
            <w:tcW w:w="7806" w:type="dxa"/>
            <w:gridSpan w:val="2"/>
            <w:tcMar>
              <w:top w:w="0" w:type="dxa"/>
              <w:left w:w="108" w:type="dxa"/>
              <w:bottom w:w="0" w:type="dxa"/>
              <w:right w:w="108" w:type="dxa"/>
            </w:tcMar>
          </w:tcPr>
          <w:p w14:paraId="010EA243" w14:textId="77777777" w:rsidR="00083B82" w:rsidRPr="00C9343F" w:rsidRDefault="00083B82" w:rsidP="00F66D98">
            <w:pPr>
              <w:pStyle w:val="BlockText-Plain"/>
              <w:rPr>
                <w:lang w:eastAsia="en-US"/>
              </w:rPr>
            </w:pPr>
            <w:r w:rsidRPr="00C9343F">
              <w:rPr>
                <w:lang w:eastAsia="en-US"/>
              </w:rPr>
              <w:t>The member is in the generalist stream of the Army Aviation Officer Employment Specification.</w:t>
            </w:r>
          </w:p>
        </w:tc>
      </w:tr>
      <w:tr w:rsidR="00083B82" w:rsidRPr="00C9343F" w14:paraId="5C37A5EE"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54FE19CA" w14:textId="77777777" w:rsidR="00083B82" w:rsidRPr="00C9343F" w:rsidRDefault="00083B82" w:rsidP="00F66D98">
            <w:pPr>
              <w:pStyle w:val="BlockText-Plain"/>
              <w:jc w:val="center"/>
              <w:rPr>
                <w:lang w:eastAsia="en-US"/>
              </w:rPr>
            </w:pPr>
            <w:r w:rsidRPr="00C9343F">
              <w:rPr>
                <w:lang w:eastAsia="en-US"/>
              </w:rPr>
              <w:t>8.</w:t>
            </w:r>
          </w:p>
        </w:tc>
        <w:tc>
          <w:tcPr>
            <w:tcW w:w="8373" w:type="dxa"/>
            <w:gridSpan w:val="3"/>
            <w:tcMar>
              <w:top w:w="0" w:type="dxa"/>
              <w:left w:w="108" w:type="dxa"/>
              <w:bottom w:w="0" w:type="dxa"/>
              <w:right w:w="108" w:type="dxa"/>
            </w:tcMar>
          </w:tcPr>
          <w:p w14:paraId="33303A41" w14:textId="77777777" w:rsidR="00083B82" w:rsidRPr="00C9343F" w:rsidRDefault="00083B82" w:rsidP="00F66D98">
            <w:pPr>
              <w:pStyle w:val="BlockText-Plain"/>
              <w:rPr>
                <w:lang w:eastAsia="en-US"/>
              </w:rPr>
            </w:pPr>
            <w:r w:rsidRPr="00C9343F">
              <w:rPr>
                <w:lang w:eastAsia="en-US"/>
              </w:rPr>
              <w:t>The member has the relevant of the following Officer Aviation increments.</w:t>
            </w:r>
          </w:p>
        </w:tc>
      </w:tr>
      <w:tr w:rsidR="00083B82" w:rsidRPr="00C9343F" w14:paraId="5FEBC80E"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5DE57EE4"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4841CC17"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hideMark/>
          </w:tcPr>
          <w:p w14:paraId="1F3F7157" w14:textId="77777777" w:rsidR="00083B82" w:rsidRPr="00C9343F" w:rsidRDefault="00083B82" w:rsidP="00F66D98">
            <w:pPr>
              <w:pStyle w:val="BlockText-Plain"/>
              <w:rPr>
                <w:lang w:eastAsia="en-US"/>
              </w:rPr>
            </w:pPr>
            <w:r w:rsidRPr="00C9343F">
              <w:rPr>
                <w:lang w:eastAsia="en-US"/>
              </w:rPr>
              <w:t>For a member promoted to the rank of Captain — the member has Officer Aviation increment OA8.</w:t>
            </w:r>
          </w:p>
        </w:tc>
      </w:tr>
      <w:tr w:rsidR="00083B82" w:rsidRPr="00C9343F" w14:paraId="6051C59F"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7366BCCA"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47658D50"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Mar>
              <w:top w:w="0" w:type="dxa"/>
              <w:left w:w="108" w:type="dxa"/>
              <w:bottom w:w="0" w:type="dxa"/>
              <w:right w:w="108" w:type="dxa"/>
            </w:tcMar>
          </w:tcPr>
          <w:p w14:paraId="1DEB20B0" w14:textId="77777777" w:rsidR="00083B82" w:rsidRPr="00C9343F" w:rsidRDefault="00083B82" w:rsidP="00F66D98">
            <w:pPr>
              <w:pStyle w:val="BlockText-Plain"/>
              <w:rPr>
                <w:lang w:eastAsia="en-US"/>
              </w:rPr>
            </w:pPr>
            <w:r w:rsidRPr="00C9343F">
              <w:rPr>
                <w:lang w:eastAsia="en-US"/>
              </w:rPr>
              <w:t>For a member promoted to the rank of Major — the member has Officer Aviation increment OA21.</w:t>
            </w:r>
          </w:p>
        </w:tc>
      </w:tr>
      <w:tr w:rsidR="00083B82" w:rsidRPr="00C9343F" w14:paraId="7F23DCE6"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3C173BC1"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625C3088"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Mar>
              <w:top w:w="0" w:type="dxa"/>
              <w:left w:w="108" w:type="dxa"/>
              <w:bottom w:w="0" w:type="dxa"/>
              <w:right w:w="108" w:type="dxa"/>
            </w:tcMar>
          </w:tcPr>
          <w:p w14:paraId="05BEADF2" w14:textId="77777777" w:rsidR="00083B82" w:rsidRPr="00C9343F" w:rsidRDefault="00083B82" w:rsidP="00F66D98">
            <w:pPr>
              <w:pStyle w:val="BlockText-Plain"/>
              <w:rPr>
                <w:lang w:eastAsia="en-US"/>
              </w:rPr>
            </w:pPr>
            <w:r w:rsidRPr="00C9343F">
              <w:rPr>
                <w:lang w:eastAsia="en-US"/>
              </w:rPr>
              <w:t>For a member promoted to the rank of Lieutenant Colonel — the member has Officer Aviation increment OA27.</w:t>
            </w:r>
          </w:p>
        </w:tc>
      </w:tr>
      <w:tr w:rsidR="00083B82" w:rsidRPr="00C9343F" w14:paraId="351C94DA"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1DDE6868"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78581334" w14:textId="77777777" w:rsidR="00083B82" w:rsidRPr="00C9343F" w:rsidRDefault="00083B82" w:rsidP="007114B1">
            <w:pPr>
              <w:pStyle w:val="BlockText-Plain"/>
              <w:jc w:val="center"/>
              <w:rPr>
                <w:lang w:eastAsia="en-US"/>
              </w:rPr>
            </w:pPr>
            <w:r w:rsidRPr="00C9343F">
              <w:rPr>
                <w:lang w:eastAsia="en-US"/>
              </w:rPr>
              <w:t>d.</w:t>
            </w:r>
          </w:p>
        </w:tc>
        <w:tc>
          <w:tcPr>
            <w:tcW w:w="7806" w:type="dxa"/>
            <w:gridSpan w:val="2"/>
            <w:tcMar>
              <w:top w:w="0" w:type="dxa"/>
              <w:left w:w="108" w:type="dxa"/>
              <w:bottom w:w="0" w:type="dxa"/>
              <w:right w:w="108" w:type="dxa"/>
            </w:tcMar>
          </w:tcPr>
          <w:p w14:paraId="65E59F49" w14:textId="77777777" w:rsidR="00083B82" w:rsidRPr="00C9343F" w:rsidRDefault="00083B82" w:rsidP="00F66D98">
            <w:pPr>
              <w:pStyle w:val="BlockText-Plain"/>
              <w:rPr>
                <w:lang w:eastAsia="en-US"/>
              </w:rPr>
            </w:pPr>
            <w:r w:rsidRPr="00C9343F">
              <w:rPr>
                <w:lang w:eastAsia="en-US"/>
              </w:rPr>
              <w:t>For a member promoted to the rank of Colonel — the member has Officer Aviation increment OA35.</w:t>
            </w:r>
          </w:p>
        </w:tc>
      </w:tr>
      <w:tr w:rsidR="00083B82" w:rsidRPr="00C9343F" w14:paraId="4ACF32AC"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2487472A" w14:textId="77777777" w:rsidR="00083B82" w:rsidRPr="00C9343F" w:rsidRDefault="00083B82" w:rsidP="00F66D98">
            <w:pPr>
              <w:pStyle w:val="BlockText-Plain"/>
              <w:jc w:val="center"/>
              <w:rPr>
                <w:lang w:eastAsia="en-US"/>
              </w:rPr>
            </w:pPr>
            <w:r w:rsidRPr="00C9343F">
              <w:rPr>
                <w:lang w:eastAsia="en-US"/>
              </w:rPr>
              <w:t>9.</w:t>
            </w:r>
          </w:p>
        </w:tc>
        <w:tc>
          <w:tcPr>
            <w:tcW w:w="8373" w:type="dxa"/>
            <w:gridSpan w:val="3"/>
            <w:tcMar>
              <w:top w:w="0" w:type="dxa"/>
              <w:left w:w="108" w:type="dxa"/>
              <w:bottom w:w="0" w:type="dxa"/>
              <w:right w:w="108" w:type="dxa"/>
            </w:tcMar>
          </w:tcPr>
          <w:p w14:paraId="74C1D32C" w14:textId="77777777" w:rsidR="00083B82" w:rsidRPr="00C9343F" w:rsidRDefault="00083B82" w:rsidP="00F66D98">
            <w:pPr>
              <w:pStyle w:val="BlockText-Plain"/>
              <w:rPr>
                <w:lang w:eastAsia="en-US"/>
              </w:rPr>
            </w:pPr>
            <w:r w:rsidRPr="00C9343F">
              <w:rPr>
                <w:lang w:eastAsia="en-US"/>
              </w:rPr>
              <w:t>Subsections 10, 11 and 12 apply to a member in the Army who meets all of the following on the day immediately before their transfer to the Officer Aviation Pay Structure.</w:t>
            </w:r>
          </w:p>
        </w:tc>
      </w:tr>
      <w:tr w:rsidR="00083B82" w:rsidRPr="00C9343F" w14:paraId="4106B643"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09D7DBB6"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391485D2"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hideMark/>
          </w:tcPr>
          <w:p w14:paraId="635EA5AC" w14:textId="77777777" w:rsidR="00083B82" w:rsidRPr="00C9343F" w:rsidRDefault="00083B82" w:rsidP="00F66D98">
            <w:pPr>
              <w:pStyle w:val="BlockText-Plain"/>
              <w:rPr>
                <w:lang w:eastAsia="en-US"/>
              </w:rPr>
            </w:pPr>
            <w:r w:rsidRPr="00C9343F">
              <w:rPr>
                <w:lang w:eastAsia="en-US"/>
              </w:rPr>
              <w:t>The member holds a rank between Captain and Colonel.</w:t>
            </w:r>
          </w:p>
        </w:tc>
      </w:tr>
      <w:tr w:rsidR="00083B82" w:rsidRPr="00C9343F" w14:paraId="3AC81960"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398B0F11"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26CDDA24"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Mar>
              <w:top w:w="0" w:type="dxa"/>
              <w:left w:w="108" w:type="dxa"/>
              <w:bottom w:w="0" w:type="dxa"/>
              <w:right w:w="108" w:type="dxa"/>
            </w:tcMar>
          </w:tcPr>
          <w:p w14:paraId="42365E2F" w14:textId="77777777" w:rsidR="00083B82" w:rsidRPr="00C9343F" w:rsidRDefault="00083B82" w:rsidP="00F66D98">
            <w:pPr>
              <w:pStyle w:val="BlockText-Plain"/>
              <w:rPr>
                <w:lang w:eastAsia="en-US"/>
              </w:rPr>
            </w:pPr>
            <w:r w:rsidRPr="00C9343F">
              <w:rPr>
                <w:lang w:eastAsia="en-US"/>
              </w:rPr>
              <w:t>The member is in a Pilot employment category.</w:t>
            </w:r>
          </w:p>
        </w:tc>
      </w:tr>
      <w:tr w:rsidR="00083B82" w:rsidRPr="00C9343F" w14:paraId="5B8BBBF4"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29824BB9"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069FB581"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Mar>
              <w:top w:w="0" w:type="dxa"/>
              <w:left w:w="108" w:type="dxa"/>
              <w:bottom w:w="0" w:type="dxa"/>
              <w:right w:w="108" w:type="dxa"/>
            </w:tcMar>
          </w:tcPr>
          <w:p w14:paraId="3802B94E" w14:textId="77777777" w:rsidR="00083B82" w:rsidRPr="00C9343F" w:rsidRDefault="00083B82" w:rsidP="00F66D98">
            <w:pPr>
              <w:pStyle w:val="BlockText-Plain"/>
              <w:rPr>
                <w:lang w:eastAsia="en-US"/>
              </w:rPr>
            </w:pPr>
            <w:r w:rsidRPr="00C9343F">
              <w:rPr>
                <w:lang w:eastAsia="en-US"/>
              </w:rPr>
              <w:t>The member is in the generalist stream of the Army Aviation Officer Employment Specification.</w:t>
            </w:r>
          </w:p>
        </w:tc>
      </w:tr>
      <w:tr w:rsidR="00083B82" w:rsidRPr="00C9343F" w14:paraId="2E725092"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1AB65895"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607116E8" w14:textId="77777777" w:rsidR="00083B82" w:rsidRPr="00C9343F" w:rsidRDefault="00083B82" w:rsidP="007114B1">
            <w:pPr>
              <w:pStyle w:val="BlockText-Plain"/>
              <w:jc w:val="center"/>
              <w:rPr>
                <w:lang w:eastAsia="en-US"/>
              </w:rPr>
            </w:pPr>
            <w:r w:rsidRPr="00C9343F">
              <w:rPr>
                <w:lang w:eastAsia="en-US"/>
              </w:rPr>
              <w:t>d.</w:t>
            </w:r>
          </w:p>
        </w:tc>
        <w:tc>
          <w:tcPr>
            <w:tcW w:w="7806" w:type="dxa"/>
            <w:gridSpan w:val="2"/>
            <w:tcMar>
              <w:top w:w="0" w:type="dxa"/>
              <w:left w:w="108" w:type="dxa"/>
              <w:bottom w:w="0" w:type="dxa"/>
              <w:right w:w="108" w:type="dxa"/>
            </w:tcMar>
          </w:tcPr>
          <w:p w14:paraId="6D88A6C2" w14:textId="77777777" w:rsidR="00083B82" w:rsidRPr="00C9343F" w:rsidRDefault="00083B82" w:rsidP="00F66D98">
            <w:pPr>
              <w:pStyle w:val="BlockText-Plain"/>
              <w:rPr>
                <w:lang w:eastAsia="en-US"/>
              </w:rPr>
            </w:pPr>
            <w:r w:rsidRPr="00C9343F">
              <w:rPr>
                <w:lang w:eastAsia="en-US"/>
              </w:rPr>
              <w:t>The member's rate of salary calculated under subsections 10, 11 or 12 is equal to, or higher than, the member's salary immediately before transfer into Officer Aviation Pay Structure.</w:t>
            </w:r>
          </w:p>
        </w:tc>
      </w:tr>
      <w:tr w:rsidR="00083B82" w:rsidRPr="00C9343F" w14:paraId="2C43B38E"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7289C0AF" w14:textId="77777777" w:rsidR="00083B82" w:rsidRPr="00C9343F" w:rsidRDefault="00083B82" w:rsidP="00F66D98">
            <w:pPr>
              <w:pStyle w:val="BlockText-Plain"/>
              <w:jc w:val="center"/>
              <w:rPr>
                <w:lang w:eastAsia="en-US"/>
              </w:rPr>
            </w:pPr>
            <w:r w:rsidRPr="00C9343F">
              <w:rPr>
                <w:lang w:eastAsia="en-US"/>
              </w:rPr>
              <w:t>10.</w:t>
            </w:r>
          </w:p>
        </w:tc>
        <w:tc>
          <w:tcPr>
            <w:tcW w:w="8373" w:type="dxa"/>
            <w:gridSpan w:val="3"/>
            <w:tcMar>
              <w:top w:w="0" w:type="dxa"/>
              <w:left w:w="108" w:type="dxa"/>
              <w:bottom w:w="0" w:type="dxa"/>
              <w:right w:w="108" w:type="dxa"/>
            </w:tcMar>
          </w:tcPr>
          <w:p w14:paraId="29B1FD00" w14:textId="77777777" w:rsidR="00083B82" w:rsidRPr="00C9343F" w:rsidRDefault="00083B82" w:rsidP="00F66D98">
            <w:pPr>
              <w:pStyle w:val="BlockText-Plain"/>
              <w:rPr>
                <w:lang w:eastAsia="en-US"/>
              </w:rPr>
            </w:pPr>
            <w:r w:rsidRPr="00C9343F">
              <w:rPr>
                <w:lang w:eastAsia="en-US"/>
              </w:rPr>
              <w:t>For a member without aviation troop command, sub-unit command or unit command, the member has the relevant of the following Officer Aviation increments.</w:t>
            </w:r>
          </w:p>
        </w:tc>
      </w:tr>
      <w:tr w:rsidR="00083B82" w:rsidRPr="00C9343F" w14:paraId="2D3F41F4"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3C4C1E29"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4F2DE0FD"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hideMark/>
          </w:tcPr>
          <w:p w14:paraId="2E1D1870" w14:textId="77777777" w:rsidR="00083B82" w:rsidRPr="00C9343F" w:rsidRDefault="00083B82" w:rsidP="00F66D98">
            <w:pPr>
              <w:pStyle w:val="BlockText-Plain"/>
              <w:rPr>
                <w:lang w:eastAsia="en-US"/>
              </w:rPr>
            </w:pPr>
            <w:r w:rsidRPr="00C9343F">
              <w:rPr>
                <w:lang w:eastAsia="en-US"/>
              </w:rPr>
              <w:t xml:space="preserve">For a member at the rank of Captain — the member has an Officer Aviation increment that corresponds with the member's years in rank in Annex B.3.D of DFRT Determination No. 2 of 2017, </w:t>
            </w:r>
            <w:r w:rsidRPr="00C9343F">
              <w:rPr>
                <w:i/>
                <w:lang w:eastAsia="en-US"/>
              </w:rPr>
              <w:t>Salaries,</w:t>
            </w:r>
            <w:r w:rsidRPr="00C9343F">
              <w:rPr>
                <w:lang w:eastAsia="en-US"/>
              </w:rPr>
              <w:t xml:space="preserve"> after the completion of the Regimental Officers Basic Course – Program (aviation), up to a maximum Officer Aviation increment of OA17.</w:t>
            </w:r>
          </w:p>
        </w:tc>
      </w:tr>
      <w:tr w:rsidR="00083B82" w:rsidRPr="00C9343F" w14:paraId="4CC876C1"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6ED1E922"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05E99FBC"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Mar>
              <w:top w:w="0" w:type="dxa"/>
              <w:left w:w="108" w:type="dxa"/>
              <w:bottom w:w="0" w:type="dxa"/>
              <w:right w:w="108" w:type="dxa"/>
            </w:tcMar>
          </w:tcPr>
          <w:p w14:paraId="6EA1B5CD" w14:textId="77777777" w:rsidR="00083B82" w:rsidRPr="00C9343F" w:rsidRDefault="00083B82" w:rsidP="00F66D98">
            <w:pPr>
              <w:pStyle w:val="BlockText-Plain"/>
              <w:rPr>
                <w:lang w:eastAsia="en-US"/>
              </w:rPr>
            </w:pPr>
            <w:r w:rsidRPr="00C9343F">
              <w:rPr>
                <w:lang w:eastAsia="en-US"/>
              </w:rPr>
              <w:t xml:space="preserve">For a member at the rank of Major — the member has an Officer Aviation increment that corresponds to the member's years in rank in Annex B.3.D of DFRT Determination No. 2 of 2017, </w:t>
            </w:r>
            <w:r w:rsidRPr="00C9343F">
              <w:rPr>
                <w:i/>
                <w:lang w:eastAsia="en-US"/>
              </w:rPr>
              <w:t>Salaries</w:t>
            </w:r>
            <w:r w:rsidRPr="00C9343F">
              <w:rPr>
                <w:lang w:eastAsia="en-US"/>
              </w:rPr>
              <w:t>, up to a maximum of Officer Aviation increment OA23.</w:t>
            </w:r>
          </w:p>
        </w:tc>
      </w:tr>
      <w:tr w:rsidR="00083B82" w:rsidRPr="00C9343F" w14:paraId="3A93709F"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41809890"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7D69ACF7"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Mar>
              <w:top w:w="0" w:type="dxa"/>
              <w:left w:w="108" w:type="dxa"/>
              <w:bottom w:w="0" w:type="dxa"/>
              <w:right w:w="108" w:type="dxa"/>
            </w:tcMar>
          </w:tcPr>
          <w:p w14:paraId="5A1D8C12" w14:textId="77777777" w:rsidR="00083B82" w:rsidRPr="00C9343F" w:rsidRDefault="00083B82" w:rsidP="00F66D98">
            <w:pPr>
              <w:pStyle w:val="BlockText-Plain"/>
              <w:rPr>
                <w:lang w:eastAsia="en-US"/>
              </w:rPr>
            </w:pPr>
            <w:r w:rsidRPr="00C9343F">
              <w:rPr>
                <w:lang w:eastAsia="en-US"/>
              </w:rPr>
              <w:t xml:space="preserve">For a member at the rank of Lieutenant Colonel — the member has an Officer Aviation increment that corresponds to the member's years in rank in Annex B.3.D of DFRT Determination No. 2 of 2017, </w:t>
            </w:r>
            <w:r w:rsidRPr="00C9343F">
              <w:rPr>
                <w:i/>
                <w:lang w:eastAsia="en-US"/>
              </w:rPr>
              <w:t>Salaries</w:t>
            </w:r>
            <w:r w:rsidRPr="00C9343F">
              <w:rPr>
                <w:lang w:eastAsia="en-US"/>
              </w:rPr>
              <w:t>, up to a maximum of Officer Aviation increment OA28.</w:t>
            </w:r>
          </w:p>
        </w:tc>
      </w:tr>
      <w:tr w:rsidR="00083B82" w:rsidRPr="00C9343F" w14:paraId="235783CD"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455454AF" w14:textId="77777777" w:rsidR="00083B82" w:rsidRPr="00C9343F" w:rsidRDefault="00083B82" w:rsidP="00F66D98">
            <w:pPr>
              <w:pStyle w:val="BlockText-Plain"/>
              <w:jc w:val="center"/>
              <w:rPr>
                <w:lang w:eastAsia="en-US"/>
              </w:rPr>
            </w:pPr>
            <w:r w:rsidRPr="00C9343F">
              <w:rPr>
                <w:lang w:eastAsia="en-US"/>
              </w:rPr>
              <w:lastRenderedPageBreak/>
              <w:t>11.</w:t>
            </w:r>
          </w:p>
        </w:tc>
        <w:tc>
          <w:tcPr>
            <w:tcW w:w="8373" w:type="dxa"/>
            <w:gridSpan w:val="3"/>
            <w:tcMar>
              <w:top w:w="0" w:type="dxa"/>
              <w:left w:w="108" w:type="dxa"/>
              <w:bottom w:w="0" w:type="dxa"/>
              <w:right w:w="108" w:type="dxa"/>
            </w:tcMar>
          </w:tcPr>
          <w:p w14:paraId="4F419E02" w14:textId="77777777" w:rsidR="00083B82" w:rsidRPr="00C9343F" w:rsidRDefault="00083B82" w:rsidP="00F66D98">
            <w:pPr>
              <w:pStyle w:val="BlockText-Plain"/>
              <w:rPr>
                <w:lang w:eastAsia="en-US"/>
              </w:rPr>
            </w:pPr>
            <w:r w:rsidRPr="00C9343F">
              <w:rPr>
                <w:lang w:eastAsia="en-US"/>
              </w:rPr>
              <w:t>For a member with aviation troop command, sub-unit command or unit command, the member has the relevant of the following Officer Aviation increments.</w:t>
            </w:r>
          </w:p>
        </w:tc>
      </w:tr>
      <w:tr w:rsidR="00083B82" w:rsidRPr="00C9343F" w14:paraId="1F79F9E8"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6F68177A"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07599285"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Mar>
              <w:top w:w="0" w:type="dxa"/>
              <w:left w:w="108" w:type="dxa"/>
              <w:bottom w:w="0" w:type="dxa"/>
              <w:right w:w="108" w:type="dxa"/>
            </w:tcMar>
          </w:tcPr>
          <w:p w14:paraId="12569AB6" w14:textId="77777777" w:rsidR="00083B82" w:rsidRPr="00C9343F" w:rsidRDefault="00083B82" w:rsidP="00F66D98">
            <w:pPr>
              <w:pStyle w:val="BlockText-Plain"/>
              <w:rPr>
                <w:lang w:eastAsia="en-US"/>
              </w:rPr>
            </w:pPr>
            <w:r w:rsidRPr="00C9343F">
              <w:rPr>
                <w:lang w:eastAsia="en-US"/>
              </w:rPr>
              <w:t>For a member at the rank of Captain who holds, or has previously held, aviation troop command and who has completed six or more years at rank — the member has Officer Aviation increment OA19.</w:t>
            </w:r>
          </w:p>
        </w:tc>
      </w:tr>
      <w:tr w:rsidR="00083B82" w:rsidRPr="00C9343F" w14:paraId="51A87D45"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2574FF31"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146EC056"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Mar>
              <w:top w:w="0" w:type="dxa"/>
              <w:left w:w="108" w:type="dxa"/>
              <w:bottom w:w="0" w:type="dxa"/>
              <w:right w:w="108" w:type="dxa"/>
            </w:tcMar>
          </w:tcPr>
          <w:p w14:paraId="77D56C4B" w14:textId="77777777" w:rsidR="00083B82" w:rsidRPr="00C9343F" w:rsidRDefault="00083B82" w:rsidP="00F66D98">
            <w:pPr>
              <w:pStyle w:val="BlockText-Plain"/>
              <w:rPr>
                <w:lang w:eastAsia="en-US"/>
              </w:rPr>
            </w:pPr>
            <w:r w:rsidRPr="00C9343F">
              <w:rPr>
                <w:lang w:eastAsia="en-US"/>
              </w:rPr>
              <w:t>For a member at the rank of Major who holds, or has previously held, aviation sub-unit command the member has the relevant of the following Officer Aviation increments.</w:t>
            </w:r>
          </w:p>
        </w:tc>
      </w:tr>
      <w:tr w:rsidR="00083B82" w:rsidRPr="00C9343F" w14:paraId="1C4042D0" w14:textId="77777777" w:rsidTr="00F945FD">
        <w:tblPrEx>
          <w:tblLook w:val="04A0" w:firstRow="1" w:lastRow="0" w:firstColumn="1" w:lastColumn="0" w:noHBand="0" w:noVBand="1"/>
        </w:tblPrEx>
        <w:trPr>
          <w:cantSplit/>
        </w:trPr>
        <w:tc>
          <w:tcPr>
            <w:tcW w:w="1560" w:type="dxa"/>
            <w:gridSpan w:val="2"/>
          </w:tcPr>
          <w:p w14:paraId="47DA9C01" w14:textId="77777777" w:rsidR="00083B82" w:rsidRPr="00C9343F" w:rsidRDefault="00083B82" w:rsidP="00F66D98">
            <w:pPr>
              <w:pStyle w:val="BlockText-Plain"/>
              <w:spacing w:line="276" w:lineRule="auto"/>
              <w:rPr>
                <w:lang w:eastAsia="en-US"/>
              </w:rPr>
            </w:pPr>
          </w:p>
        </w:tc>
        <w:tc>
          <w:tcPr>
            <w:tcW w:w="567" w:type="dxa"/>
            <w:hideMark/>
          </w:tcPr>
          <w:p w14:paraId="289FA755" w14:textId="77777777" w:rsidR="00083B82" w:rsidRPr="00C9343F" w:rsidRDefault="00083B82" w:rsidP="00F66D98">
            <w:pPr>
              <w:pStyle w:val="BlockText-Plain"/>
              <w:rPr>
                <w:lang w:eastAsia="en-US"/>
              </w:rPr>
            </w:pPr>
            <w:r w:rsidRPr="00C9343F">
              <w:rPr>
                <w:lang w:eastAsia="en-US"/>
              </w:rPr>
              <w:t>i.</w:t>
            </w:r>
          </w:p>
        </w:tc>
        <w:tc>
          <w:tcPr>
            <w:tcW w:w="7239" w:type="dxa"/>
            <w:hideMark/>
          </w:tcPr>
          <w:p w14:paraId="0FE340F9" w14:textId="77777777" w:rsidR="00083B82" w:rsidRPr="00C9343F" w:rsidRDefault="00083B82" w:rsidP="00F66D98">
            <w:pPr>
              <w:pStyle w:val="BlockText-Plain"/>
              <w:rPr>
                <w:lang w:eastAsia="en-US"/>
              </w:rPr>
            </w:pPr>
            <w:r w:rsidRPr="00C9343F">
              <w:rPr>
                <w:lang w:eastAsia="en-US"/>
              </w:rPr>
              <w:t>If the member has held, or previously held, the aviation sub-unit command appointment for less than 12 months — the member has Officer Aviation increment OA24.</w:t>
            </w:r>
          </w:p>
        </w:tc>
      </w:tr>
      <w:tr w:rsidR="00083B82" w:rsidRPr="00C9343F" w14:paraId="06144F4A" w14:textId="77777777" w:rsidTr="00F945FD">
        <w:tblPrEx>
          <w:tblLook w:val="04A0" w:firstRow="1" w:lastRow="0" w:firstColumn="1" w:lastColumn="0" w:noHBand="0" w:noVBand="1"/>
        </w:tblPrEx>
        <w:trPr>
          <w:cantSplit/>
        </w:trPr>
        <w:tc>
          <w:tcPr>
            <w:tcW w:w="1560" w:type="dxa"/>
            <w:gridSpan w:val="2"/>
          </w:tcPr>
          <w:p w14:paraId="684FDB6F" w14:textId="77777777" w:rsidR="00083B82" w:rsidRPr="00C9343F" w:rsidRDefault="00083B82" w:rsidP="00F66D98">
            <w:pPr>
              <w:pStyle w:val="BlockText-Plain"/>
              <w:spacing w:line="276" w:lineRule="auto"/>
              <w:rPr>
                <w:lang w:eastAsia="en-US"/>
              </w:rPr>
            </w:pPr>
          </w:p>
        </w:tc>
        <w:tc>
          <w:tcPr>
            <w:tcW w:w="567" w:type="dxa"/>
          </w:tcPr>
          <w:p w14:paraId="5AA2222A" w14:textId="77777777" w:rsidR="00083B82" w:rsidRPr="00C9343F" w:rsidRDefault="00083B82" w:rsidP="00F66D98">
            <w:pPr>
              <w:pStyle w:val="BlockText-Plain"/>
              <w:rPr>
                <w:lang w:eastAsia="en-US"/>
              </w:rPr>
            </w:pPr>
            <w:r w:rsidRPr="00C9343F">
              <w:rPr>
                <w:lang w:eastAsia="en-US"/>
              </w:rPr>
              <w:t>ii.</w:t>
            </w:r>
          </w:p>
        </w:tc>
        <w:tc>
          <w:tcPr>
            <w:tcW w:w="7239" w:type="dxa"/>
          </w:tcPr>
          <w:p w14:paraId="1905943B" w14:textId="77777777" w:rsidR="00083B82" w:rsidRPr="00C9343F" w:rsidRDefault="00083B82" w:rsidP="00F66D98">
            <w:pPr>
              <w:pStyle w:val="BlockText-Plain"/>
              <w:rPr>
                <w:lang w:eastAsia="en-US"/>
              </w:rPr>
            </w:pPr>
            <w:r w:rsidRPr="00C9343F">
              <w:rPr>
                <w:lang w:eastAsia="en-US"/>
              </w:rPr>
              <w:t>If the member has held, or previously held, the aviation sub-unit command appointment for 12 months or more — the member has Officer Aviation increment OA25.</w:t>
            </w:r>
          </w:p>
        </w:tc>
      </w:tr>
      <w:tr w:rsidR="00083B82" w:rsidRPr="00C9343F" w14:paraId="0D6CAEC5" w14:textId="77777777" w:rsidTr="00F945FD">
        <w:tblPrEx>
          <w:tblCellMar>
            <w:left w:w="0" w:type="dxa"/>
            <w:right w:w="0" w:type="dxa"/>
          </w:tblCellMar>
          <w:tblLook w:val="04A0" w:firstRow="1" w:lastRow="0" w:firstColumn="1" w:lastColumn="0" w:noHBand="0" w:noVBand="1"/>
        </w:tblPrEx>
        <w:trPr>
          <w:cantSplit/>
        </w:trPr>
        <w:tc>
          <w:tcPr>
            <w:tcW w:w="993" w:type="dxa"/>
            <w:tcMar>
              <w:top w:w="0" w:type="dxa"/>
              <w:left w:w="108" w:type="dxa"/>
              <w:bottom w:w="0" w:type="dxa"/>
              <w:right w:w="108" w:type="dxa"/>
            </w:tcMar>
          </w:tcPr>
          <w:p w14:paraId="543271AB"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2E3F9845"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Mar>
              <w:top w:w="0" w:type="dxa"/>
              <w:left w:w="108" w:type="dxa"/>
              <w:bottom w:w="0" w:type="dxa"/>
              <w:right w:w="108" w:type="dxa"/>
            </w:tcMar>
          </w:tcPr>
          <w:p w14:paraId="58C15F2A" w14:textId="77777777" w:rsidR="00083B82" w:rsidRPr="00C9343F" w:rsidRDefault="00083B82" w:rsidP="00F66D98">
            <w:pPr>
              <w:pStyle w:val="BlockText-Plain"/>
              <w:rPr>
                <w:lang w:eastAsia="en-US"/>
              </w:rPr>
            </w:pPr>
            <w:r w:rsidRPr="00C9343F">
              <w:rPr>
                <w:lang w:eastAsia="en-US"/>
              </w:rPr>
              <w:t>For a member at the rank of Lieutenant Colonel who holds, or has previously held, Aviation unit command the member has the relevant of the following Officer Aviation increments.</w:t>
            </w:r>
          </w:p>
        </w:tc>
      </w:tr>
      <w:tr w:rsidR="00083B82" w:rsidRPr="00C9343F" w14:paraId="033679F4" w14:textId="77777777" w:rsidTr="00F945FD">
        <w:tblPrEx>
          <w:tblLook w:val="04A0" w:firstRow="1" w:lastRow="0" w:firstColumn="1" w:lastColumn="0" w:noHBand="0" w:noVBand="1"/>
        </w:tblPrEx>
        <w:trPr>
          <w:cantSplit/>
        </w:trPr>
        <w:tc>
          <w:tcPr>
            <w:tcW w:w="1560" w:type="dxa"/>
            <w:gridSpan w:val="2"/>
          </w:tcPr>
          <w:p w14:paraId="1D796D3F" w14:textId="77777777" w:rsidR="00083B82" w:rsidRPr="00C9343F" w:rsidRDefault="00083B82" w:rsidP="00F66D98">
            <w:pPr>
              <w:pStyle w:val="BlockText-Plain"/>
              <w:spacing w:line="276" w:lineRule="auto"/>
              <w:rPr>
                <w:lang w:eastAsia="en-US"/>
              </w:rPr>
            </w:pPr>
          </w:p>
        </w:tc>
        <w:tc>
          <w:tcPr>
            <w:tcW w:w="567" w:type="dxa"/>
            <w:hideMark/>
          </w:tcPr>
          <w:p w14:paraId="5660CDC5" w14:textId="77777777" w:rsidR="00083B82" w:rsidRPr="00C9343F" w:rsidRDefault="00083B82" w:rsidP="00F66D98">
            <w:pPr>
              <w:pStyle w:val="BlockText-Plain"/>
              <w:rPr>
                <w:lang w:eastAsia="en-US"/>
              </w:rPr>
            </w:pPr>
            <w:r w:rsidRPr="00C9343F">
              <w:rPr>
                <w:lang w:eastAsia="en-US"/>
              </w:rPr>
              <w:t>i.</w:t>
            </w:r>
          </w:p>
        </w:tc>
        <w:tc>
          <w:tcPr>
            <w:tcW w:w="7239" w:type="dxa"/>
            <w:hideMark/>
          </w:tcPr>
          <w:p w14:paraId="5AC2EE22" w14:textId="77777777" w:rsidR="00083B82" w:rsidRPr="00C9343F" w:rsidRDefault="00083B82" w:rsidP="00F66D98">
            <w:pPr>
              <w:pStyle w:val="BlockText-Plain"/>
              <w:rPr>
                <w:lang w:eastAsia="en-US"/>
              </w:rPr>
            </w:pPr>
            <w:r w:rsidRPr="00C9343F">
              <w:rPr>
                <w:lang w:eastAsia="en-US"/>
              </w:rPr>
              <w:t>If the member has held, or previously held, the aviation unit command appointment for less than 12 months — the member has Officer Aviation increment OA29.</w:t>
            </w:r>
          </w:p>
        </w:tc>
      </w:tr>
      <w:tr w:rsidR="00083B82" w:rsidRPr="00C9343F" w14:paraId="00A4F074" w14:textId="77777777" w:rsidTr="00F945FD">
        <w:tblPrEx>
          <w:tblLook w:val="04A0" w:firstRow="1" w:lastRow="0" w:firstColumn="1" w:lastColumn="0" w:noHBand="0" w:noVBand="1"/>
        </w:tblPrEx>
        <w:trPr>
          <w:cantSplit/>
        </w:trPr>
        <w:tc>
          <w:tcPr>
            <w:tcW w:w="1560" w:type="dxa"/>
            <w:gridSpan w:val="2"/>
          </w:tcPr>
          <w:p w14:paraId="5BF132D2" w14:textId="77777777" w:rsidR="00083B82" w:rsidRPr="00C9343F" w:rsidRDefault="00083B82" w:rsidP="00F66D98">
            <w:pPr>
              <w:pStyle w:val="BlockText-Plain"/>
              <w:spacing w:line="276" w:lineRule="auto"/>
              <w:rPr>
                <w:lang w:eastAsia="en-US"/>
              </w:rPr>
            </w:pPr>
          </w:p>
        </w:tc>
        <w:tc>
          <w:tcPr>
            <w:tcW w:w="567" w:type="dxa"/>
          </w:tcPr>
          <w:p w14:paraId="4F37906F" w14:textId="77777777" w:rsidR="00083B82" w:rsidRPr="00C9343F" w:rsidRDefault="00083B82" w:rsidP="00F66D98">
            <w:pPr>
              <w:pStyle w:val="BlockText-Plain"/>
              <w:rPr>
                <w:lang w:eastAsia="en-US"/>
              </w:rPr>
            </w:pPr>
            <w:r w:rsidRPr="00C9343F">
              <w:rPr>
                <w:lang w:eastAsia="en-US"/>
              </w:rPr>
              <w:t>ii.</w:t>
            </w:r>
          </w:p>
        </w:tc>
        <w:tc>
          <w:tcPr>
            <w:tcW w:w="7239" w:type="dxa"/>
          </w:tcPr>
          <w:p w14:paraId="21ACE39E" w14:textId="77777777" w:rsidR="00083B82" w:rsidRPr="00C9343F" w:rsidRDefault="00083B82" w:rsidP="00F66D98">
            <w:pPr>
              <w:pStyle w:val="BlockText-Plain"/>
              <w:rPr>
                <w:lang w:eastAsia="en-US"/>
              </w:rPr>
            </w:pPr>
            <w:r w:rsidRPr="00C9343F">
              <w:rPr>
                <w:lang w:eastAsia="en-US"/>
              </w:rPr>
              <w:t>If the member has held, or previously held, the aviation unit command appointment for 12 months or more — the member has Officer Aviation increment OA30.</w:t>
            </w:r>
          </w:p>
        </w:tc>
      </w:tr>
      <w:tr w:rsidR="00083B82" w:rsidRPr="00C9343F" w14:paraId="497340F2" w14:textId="77777777" w:rsidTr="00F945FD">
        <w:tblPrEx>
          <w:tblCellMar>
            <w:left w:w="0" w:type="dxa"/>
            <w:right w:w="0" w:type="dxa"/>
          </w:tblCellMar>
          <w:tblLook w:val="04A0" w:firstRow="1" w:lastRow="0" w:firstColumn="1" w:lastColumn="0" w:noHBand="0" w:noVBand="1"/>
        </w:tblPrEx>
        <w:tc>
          <w:tcPr>
            <w:tcW w:w="993" w:type="dxa"/>
            <w:tcMar>
              <w:top w:w="0" w:type="dxa"/>
              <w:left w:w="108" w:type="dxa"/>
              <w:bottom w:w="0" w:type="dxa"/>
              <w:right w:w="108" w:type="dxa"/>
            </w:tcMar>
          </w:tcPr>
          <w:p w14:paraId="52A953A1" w14:textId="77777777" w:rsidR="00083B82" w:rsidRPr="00C9343F" w:rsidRDefault="00083B82" w:rsidP="00F66D98">
            <w:pPr>
              <w:pStyle w:val="BlockText-Plain"/>
              <w:jc w:val="center"/>
              <w:rPr>
                <w:lang w:eastAsia="en-US"/>
              </w:rPr>
            </w:pPr>
            <w:r w:rsidRPr="00C9343F">
              <w:rPr>
                <w:lang w:eastAsia="en-US"/>
              </w:rPr>
              <w:t>12.</w:t>
            </w:r>
          </w:p>
        </w:tc>
        <w:tc>
          <w:tcPr>
            <w:tcW w:w="8373" w:type="dxa"/>
            <w:gridSpan w:val="3"/>
            <w:tcMar>
              <w:top w:w="0" w:type="dxa"/>
              <w:left w:w="108" w:type="dxa"/>
              <w:bottom w:w="0" w:type="dxa"/>
              <w:right w:w="108" w:type="dxa"/>
            </w:tcMar>
          </w:tcPr>
          <w:p w14:paraId="44FA17E3" w14:textId="77777777" w:rsidR="00083B82" w:rsidRPr="00C9343F" w:rsidRDefault="00083B82" w:rsidP="00F66D98">
            <w:pPr>
              <w:pStyle w:val="BlockText-Plain"/>
              <w:rPr>
                <w:lang w:eastAsia="en-US"/>
              </w:rPr>
            </w:pPr>
            <w:r w:rsidRPr="00C9343F">
              <w:rPr>
                <w:lang w:eastAsia="en-US"/>
              </w:rPr>
              <w:t xml:space="preserve">For a member at the rank of Colonel — the member has the Officer Aviation increment that corresponds to the member's years in rank in Annex B.3.D of DFRT Determination No. 2 of 2017, </w:t>
            </w:r>
            <w:r w:rsidRPr="00C9343F">
              <w:rPr>
                <w:i/>
                <w:lang w:eastAsia="en-US"/>
              </w:rPr>
              <w:t>Salaries</w:t>
            </w:r>
            <w:r w:rsidRPr="00C9343F">
              <w:rPr>
                <w:lang w:eastAsia="en-US"/>
              </w:rPr>
              <w:t>.</w:t>
            </w:r>
          </w:p>
        </w:tc>
      </w:tr>
    </w:tbl>
    <w:p w14:paraId="658F69D1" w14:textId="54F37970" w:rsidR="00083B82" w:rsidRPr="00C9343F" w:rsidRDefault="00083B82" w:rsidP="00F66D98">
      <w:pPr>
        <w:spacing w:before="360" w:after="120"/>
        <w:rPr>
          <w:b/>
        </w:rPr>
      </w:pPr>
      <w:r w:rsidRPr="00C9343F">
        <w:rPr>
          <w:b/>
        </w:rPr>
        <w:t>3.2.47I</w:t>
      </w:r>
      <w:r w:rsidR="00D94006" w:rsidRPr="00C9343F">
        <w:rPr>
          <w:b/>
        </w:rPr>
        <w:t>    </w:t>
      </w:r>
      <w:r w:rsidRPr="00C9343F">
        <w:rPr>
          <w:b/>
        </w:rPr>
        <w:t>Entry placement – Army Aviation Officers – Specialist pathway without previous command appointment</w:t>
      </w:r>
    </w:p>
    <w:tbl>
      <w:tblPr>
        <w:tblW w:w="9365" w:type="dxa"/>
        <w:tblInd w:w="108" w:type="dxa"/>
        <w:tblCellMar>
          <w:left w:w="0" w:type="dxa"/>
          <w:right w:w="0" w:type="dxa"/>
        </w:tblCellMar>
        <w:tblLook w:val="04A0" w:firstRow="1" w:lastRow="0" w:firstColumn="1" w:lastColumn="0" w:noHBand="0" w:noVBand="1"/>
      </w:tblPr>
      <w:tblGrid>
        <w:gridCol w:w="993"/>
        <w:gridCol w:w="573"/>
        <w:gridCol w:w="567"/>
        <w:gridCol w:w="7232"/>
      </w:tblGrid>
      <w:tr w:rsidR="00083B82" w:rsidRPr="00C9343F" w14:paraId="384A4904" w14:textId="77777777" w:rsidTr="00F945FD">
        <w:tc>
          <w:tcPr>
            <w:tcW w:w="993" w:type="dxa"/>
            <w:tcMar>
              <w:top w:w="0" w:type="dxa"/>
              <w:left w:w="108" w:type="dxa"/>
              <w:bottom w:w="0" w:type="dxa"/>
              <w:right w:w="108" w:type="dxa"/>
            </w:tcMar>
          </w:tcPr>
          <w:p w14:paraId="49DB51F7" w14:textId="77777777" w:rsidR="00083B82" w:rsidRPr="00C9343F" w:rsidRDefault="00083B82" w:rsidP="00F66D98">
            <w:pPr>
              <w:pStyle w:val="BlockText-Plain"/>
              <w:jc w:val="center"/>
              <w:rPr>
                <w:lang w:eastAsia="en-US"/>
              </w:rPr>
            </w:pPr>
            <w:r w:rsidRPr="00C9343F">
              <w:rPr>
                <w:lang w:eastAsia="en-US"/>
              </w:rPr>
              <w:t>1.</w:t>
            </w:r>
          </w:p>
        </w:tc>
        <w:tc>
          <w:tcPr>
            <w:tcW w:w="8372" w:type="dxa"/>
            <w:gridSpan w:val="3"/>
            <w:tcMar>
              <w:top w:w="0" w:type="dxa"/>
              <w:left w:w="108" w:type="dxa"/>
              <w:bottom w:w="0" w:type="dxa"/>
              <w:right w:w="108" w:type="dxa"/>
            </w:tcMar>
          </w:tcPr>
          <w:p w14:paraId="7DE43ECD" w14:textId="77777777" w:rsidR="00083B82" w:rsidRPr="00C9343F" w:rsidRDefault="00083B82" w:rsidP="00F66D98">
            <w:pPr>
              <w:pStyle w:val="BlockText-Plain"/>
              <w:rPr>
                <w:lang w:eastAsia="en-US"/>
              </w:rPr>
            </w:pPr>
            <w:r w:rsidRPr="00C9343F">
              <w:rPr>
                <w:lang w:eastAsia="en-US"/>
              </w:rPr>
              <w:t xml:space="preserve">If this section applies, the </w:t>
            </w:r>
            <w:r w:rsidRPr="00C9343F">
              <w:t>member is placed in the Specialist Pathway and the Rotary Wing Pilot competency stream.</w:t>
            </w:r>
          </w:p>
        </w:tc>
      </w:tr>
      <w:tr w:rsidR="00083B82" w:rsidRPr="00C9343F" w14:paraId="6A9842D9" w14:textId="77777777" w:rsidTr="00F945FD">
        <w:tc>
          <w:tcPr>
            <w:tcW w:w="993" w:type="dxa"/>
            <w:tcMar>
              <w:top w:w="0" w:type="dxa"/>
              <w:left w:w="108" w:type="dxa"/>
              <w:bottom w:w="0" w:type="dxa"/>
              <w:right w:w="108" w:type="dxa"/>
            </w:tcMar>
          </w:tcPr>
          <w:p w14:paraId="14DFF2C0" w14:textId="77777777" w:rsidR="00083B82" w:rsidRPr="00C9343F" w:rsidRDefault="00083B82" w:rsidP="00F66D98">
            <w:pPr>
              <w:pStyle w:val="BlockText-Plain"/>
              <w:jc w:val="center"/>
              <w:rPr>
                <w:lang w:eastAsia="en-US"/>
              </w:rPr>
            </w:pPr>
            <w:r w:rsidRPr="00C9343F">
              <w:rPr>
                <w:lang w:eastAsia="en-US"/>
              </w:rPr>
              <w:t>2.</w:t>
            </w:r>
          </w:p>
        </w:tc>
        <w:tc>
          <w:tcPr>
            <w:tcW w:w="8372" w:type="dxa"/>
            <w:gridSpan w:val="3"/>
            <w:tcMar>
              <w:top w:w="0" w:type="dxa"/>
              <w:left w:w="108" w:type="dxa"/>
              <w:bottom w:w="0" w:type="dxa"/>
              <w:right w:w="108" w:type="dxa"/>
            </w:tcMar>
          </w:tcPr>
          <w:p w14:paraId="6E70707C" w14:textId="77777777" w:rsidR="00083B82" w:rsidRPr="00C9343F" w:rsidRDefault="00083B82" w:rsidP="00F66D98">
            <w:pPr>
              <w:pStyle w:val="BlockText-Plain"/>
              <w:rPr>
                <w:lang w:eastAsia="en-US"/>
              </w:rPr>
            </w:pPr>
            <w:r w:rsidRPr="00C9343F">
              <w:rPr>
                <w:lang w:eastAsia="en-US"/>
              </w:rPr>
              <w:t>This section applies to a member in the Army who meets all of the following.</w:t>
            </w:r>
          </w:p>
        </w:tc>
      </w:tr>
      <w:tr w:rsidR="00083B82" w:rsidRPr="00C9343F" w14:paraId="61B8BC15" w14:textId="77777777" w:rsidTr="00F945FD">
        <w:trPr>
          <w:cantSplit/>
        </w:trPr>
        <w:tc>
          <w:tcPr>
            <w:tcW w:w="993" w:type="dxa"/>
            <w:tcMar>
              <w:top w:w="0" w:type="dxa"/>
              <w:left w:w="108" w:type="dxa"/>
              <w:bottom w:w="0" w:type="dxa"/>
              <w:right w:w="108" w:type="dxa"/>
            </w:tcMar>
          </w:tcPr>
          <w:p w14:paraId="6E497E22"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1478CF7F" w14:textId="77777777" w:rsidR="00083B82" w:rsidRPr="00C9343F" w:rsidRDefault="00083B82" w:rsidP="007114B1">
            <w:pPr>
              <w:pStyle w:val="BlockText-Plain"/>
              <w:jc w:val="center"/>
              <w:rPr>
                <w:lang w:eastAsia="en-US"/>
              </w:rPr>
            </w:pPr>
            <w:r w:rsidRPr="00C9343F">
              <w:rPr>
                <w:lang w:eastAsia="en-US"/>
              </w:rPr>
              <w:t>a.</w:t>
            </w:r>
          </w:p>
        </w:tc>
        <w:tc>
          <w:tcPr>
            <w:tcW w:w="7799" w:type="dxa"/>
            <w:gridSpan w:val="2"/>
            <w:tcMar>
              <w:top w:w="0" w:type="dxa"/>
              <w:left w:w="108" w:type="dxa"/>
              <w:bottom w:w="0" w:type="dxa"/>
              <w:right w:w="108" w:type="dxa"/>
            </w:tcMar>
          </w:tcPr>
          <w:p w14:paraId="79BCF966" w14:textId="77777777" w:rsidR="00083B82" w:rsidRPr="00C9343F" w:rsidRDefault="00083B82" w:rsidP="00F66D98">
            <w:pPr>
              <w:pStyle w:val="BlockText-Plain"/>
              <w:rPr>
                <w:lang w:eastAsia="en-US"/>
              </w:rPr>
            </w:pPr>
            <w:r w:rsidRPr="00C9343F">
              <w:rPr>
                <w:lang w:eastAsia="en-US"/>
              </w:rPr>
              <w:t>The member meets one of the following.</w:t>
            </w:r>
          </w:p>
        </w:tc>
      </w:tr>
      <w:tr w:rsidR="00083B82" w:rsidRPr="00C9343F" w14:paraId="1C546B4A"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07145F8D" w14:textId="77777777" w:rsidR="00083B82" w:rsidRPr="00C9343F" w:rsidRDefault="00083B82" w:rsidP="00F66D98">
            <w:pPr>
              <w:pStyle w:val="BlockText-Plain"/>
            </w:pPr>
          </w:p>
        </w:tc>
        <w:tc>
          <w:tcPr>
            <w:tcW w:w="567" w:type="dxa"/>
          </w:tcPr>
          <w:p w14:paraId="33A2699B" w14:textId="77777777" w:rsidR="00083B82" w:rsidRPr="00C9343F" w:rsidRDefault="00083B82" w:rsidP="00F66D98">
            <w:pPr>
              <w:pStyle w:val="BlockText-Plain"/>
            </w:pPr>
            <w:r w:rsidRPr="00C9343F">
              <w:t>i.</w:t>
            </w:r>
          </w:p>
        </w:tc>
        <w:tc>
          <w:tcPr>
            <w:tcW w:w="7232" w:type="dxa"/>
          </w:tcPr>
          <w:p w14:paraId="78BA40CA" w14:textId="77777777" w:rsidR="00083B82" w:rsidRPr="00C9343F" w:rsidRDefault="00083B82" w:rsidP="00F66D98">
            <w:pPr>
              <w:pStyle w:val="BlockText-Plain"/>
              <w:rPr>
                <w:lang w:eastAsia="en-US"/>
              </w:rPr>
            </w:pPr>
            <w:r w:rsidRPr="00C9343F">
              <w:rPr>
                <w:lang w:eastAsia="en-US"/>
              </w:rPr>
              <w:t>The member is a Captain who has held the rank of Captain for five years or more.</w:t>
            </w:r>
          </w:p>
        </w:tc>
      </w:tr>
      <w:tr w:rsidR="00083B82" w:rsidRPr="00C9343F" w14:paraId="3A532D62"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6DA4AA8E" w14:textId="77777777" w:rsidR="00083B82" w:rsidRPr="00C9343F" w:rsidRDefault="00083B82" w:rsidP="00F66D98">
            <w:pPr>
              <w:pStyle w:val="BlockText-Plain"/>
            </w:pPr>
          </w:p>
        </w:tc>
        <w:tc>
          <w:tcPr>
            <w:tcW w:w="567" w:type="dxa"/>
          </w:tcPr>
          <w:p w14:paraId="612FFE06" w14:textId="77777777" w:rsidR="00083B82" w:rsidRPr="00C9343F" w:rsidRDefault="00083B82" w:rsidP="00F66D98">
            <w:pPr>
              <w:pStyle w:val="BlockText-Plain"/>
            </w:pPr>
            <w:r w:rsidRPr="00C9343F">
              <w:t>ii.</w:t>
            </w:r>
          </w:p>
        </w:tc>
        <w:tc>
          <w:tcPr>
            <w:tcW w:w="7232" w:type="dxa"/>
          </w:tcPr>
          <w:p w14:paraId="09311083" w14:textId="77777777" w:rsidR="00083B82" w:rsidRPr="00C9343F" w:rsidRDefault="00083B82" w:rsidP="00F66D98">
            <w:pPr>
              <w:pStyle w:val="BlockText-Plain"/>
              <w:rPr>
                <w:lang w:eastAsia="en-US"/>
              </w:rPr>
            </w:pPr>
            <w:r w:rsidRPr="00C9343F">
              <w:rPr>
                <w:lang w:eastAsia="en-US"/>
              </w:rPr>
              <w:t>The member holds the rank of Major or Lieutenant Colonel.</w:t>
            </w:r>
          </w:p>
        </w:tc>
      </w:tr>
      <w:tr w:rsidR="00083B82" w:rsidRPr="00C9343F" w14:paraId="547CCA89" w14:textId="77777777" w:rsidTr="00F945FD">
        <w:trPr>
          <w:cantSplit/>
        </w:trPr>
        <w:tc>
          <w:tcPr>
            <w:tcW w:w="993" w:type="dxa"/>
            <w:tcMar>
              <w:top w:w="0" w:type="dxa"/>
              <w:left w:w="108" w:type="dxa"/>
              <w:bottom w:w="0" w:type="dxa"/>
              <w:right w:w="108" w:type="dxa"/>
            </w:tcMar>
          </w:tcPr>
          <w:p w14:paraId="2400E07F"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50B11E16" w14:textId="77777777" w:rsidR="00083B82" w:rsidRPr="00C9343F" w:rsidRDefault="00083B82" w:rsidP="007114B1">
            <w:pPr>
              <w:pStyle w:val="BlockText-Plain"/>
              <w:jc w:val="center"/>
              <w:rPr>
                <w:lang w:eastAsia="en-US"/>
              </w:rPr>
            </w:pPr>
            <w:r w:rsidRPr="00C9343F">
              <w:rPr>
                <w:lang w:eastAsia="en-US"/>
              </w:rPr>
              <w:t>b.</w:t>
            </w:r>
          </w:p>
        </w:tc>
        <w:tc>
          <w:tcPr>
            <w:tcW w:w="7799" w:type="dxa"/>
            <w:gridSpan w:val="2"/>
            <w:tcMar>
              <w:top w:w="0" w:type="dxa"/>
              <w:left w:w="108" w:type="dxa"/>
              <w:bottom w:w="0" w:type="dxa"/>
              <w:right w:w="108" w:type="dxa"/>
            </w:tcMar>
          </w:tcPr>
          <w:p w14:paraId="35DC0371" w14:textId="77777777" w:rsidR="00083B82" w:rsidRPr="00C9343F" w:rsidRDefault="00083B82" w:rsidP="00F66D98">
            <w:pPr>
              <w:pStyle w:val="BlockText-Plain"/>
              <w:rPr>
                <w:lang w:eastAsia="en-US"/>
              </w:rPr>
            </w:pPr>
            <w:r w:rsidRPr="00C9343F">
              <w:rPr>
                <w:lang w:eastAsia="en-US"/>
              </w:rPr>
              <w:t>The member is one of the following.</w:t>
            </w:r>
          </w:p>
        </w:tc>
      </w:tr>
      <w:tr w:rsidR="00083B82" w:rsidRPr="00C9343F" w14:paraId="45CC0FAD" w14:textId="77777777" w:rsidTr="00F945FD">
        <w:tblPrEx>
          <w:tblCellMar>
            <w:left w:w="108" w:type="dxa"/>
            <w:right w:w="108" w:type="dxa"/>
          </w:tblCellMar>
          <w:tblLook w:val="0000" w:firstRow="0" w:lastRow="0" w:firstColumn="0" w:lastColumn="0" w:noHBand="0" w:noVBand="0"/>
        </w:tblPrEx>
        <w:trPr>
          <w:cantSplit/>
        </w:trPr>
        <w:tc>
          <w:tcPr>
            <w:tcW w:w="1565" w:type="dxa"/>
            <w:gridSpan w:val="2"/>
          </w:tcPr>
          <w:p w14:paraId="5272C45B" w14:textId="77777777" w:rsidR="00083B82" w:rsidRPr="00C9343F" w:rsidRDefault="00083B82" w:rsidP="00F66D98">
            <w:pPr>
              <w:pStyle w:val="BlockText-Plain"/>
            </w:pPr>
          </w:p>
        </w:tc>
        <w:tc>
          <w:tcPr>
            <w:tcW w:w="567" w:type="dxa"/>
          </w:tcPr>
          <w:p w14:paraId="17E3C80E" w14:textId="77777777" w:rsidR="00083B82" w:rsidRPr="00C9343F" w:rsidRDefault="00083B82" w:rsidP="00F66D98">
            <w:pPr>
              <w:pStyle w:val="BlockText-Plain"/>
            </w:pPr>
            <w:r w:rsidRPr="00C9343F">
              <w:t>i.</w:t>
            </w:r>
          </w:p>
        </w:tc>
        <w:tc>
          <w:tcPr>
            <w:tcW w:w="7233" w:type="dxa"/>
          </w:tcPr>
          <w:p w14:paraId="187E7144" w14:textId="77777777" w:rsidR="00083B82" w:rsidRPr="00C9343F" w:rsidRDefault="00083B82" w:rsidP="00F66D98">
            <w:pPr>
              <w:pStyle w:val="BlockText-Plain"/>
              <w:rPr>
                <w:lang w:eastAsia="en-US"/>
              </w:rPr>
            </w:pPr>
            <w:r w:rsidRPr="00C9343F">
              <w:rPr>
                <w:lang w:eastAsia="en-US"/>
              </w:rPr>
              <w:t xml:space="preserve">The member is in the Pilot – Competency Progression employment category under </w:t>
            </w:r>
            <w:r w:rsidRPr="00C9343F">
              <w:t xml:space="preserve">Schedule B.3 </w:t>
            </w:r>
            <w:r w:rsidRPr="00C9343F">
              <w:rPr>
                <w:lang w:eastAsia="en-US"/>
              </w:rPr>
              <w:t xml:space="preserve">Part 2 </w:t>
            </w:r>
            <w:r w:rsidRPr="00C9343F">
              <w:t xml:space="preserve">of </w:t>
            </w:r>
            <w:r w:rsidRPr="00C9343F">
              <w:rPr>
                <w:lang w:eastAsia="en-US"/>
              </w:rPr>
              <w:t xml:space="preserve">DFRT Determination No. 2 of 2017, </w:t>
            </w:r>
            <w:r w:rsidRPr="00C9343F">
              <w:rPr>
                <w:i/>
                <w:lang w:eastAsia="en-US"/>
              </w:rPr>
              <w:t>Salaries</w:t>
            </w:r>
            <w:r w:rsidRPr="00C9343F">
              <w:t>.</w:t>
            </w:r>
          </w:p>
        </w:tc>
      </w:tr>
      <w:tr w:rsidR="00083B82" w:rsidRPr="00C9343F" w14:paraId="40541E6F" w14:textId="77777777" w:rsidTr="00F945FD">
        <w:tblPrEx>
          <w:tblCellMar>
            <w:left w:w="108" w:type="dxa"/>
            <w:right w:w="108" w:type="dxa"/>
          </w:tblCellMar>
          <w:tblLook w:val="0000" w:firstRow="0" w:lastRow="0" w:firstColumn="0" w:lastColumn="0" w:noHBand="0" w:noVBand="0"/>
        </w:tblPrEx>
        <w:trPr>
          <w:cantSplit/>
        </w:trPr>
        <w:tc>
          <w:tcPr>
            <w:tcW w:w="1565" w:type="dxa"/>
            <w:gridSpan w:val="2"/>
          </w:tcPr>
          <w:p w14:paraId="40822EBF" w14:textId="77777777" w:rsidR="00083B82" w:rsidRPr="00C9343F" w:rsidRDefault="00083B82" w:rsidP="00F66D98">
            <w:pPr>
              <w:pStyle w:val="BlockText-Plain"/>
            </w:pPr>
          </w:p>
        </w:tc>
        <w:tc>
          <w:tcPr>
            <w:tcW w:w="567" w:type="dxa"/>
          </w:tcPr>
          <w:p w14:paraId="5D48397D" w14:textId="77777777" w:rsidR="00083B82" w:rsidRPr="00C9343F" w:rsidRDefault="00083B82" w:rsidP="00F66D98">
            <w:pPr>
              <w:pStyle w:val="BlockText-Plain"/>
            </w:pPr>
            <w:r w:rsidRPr="00C9343F">
              <w:t>ii.</w:t>
            </w:r>
          </w:p>
        </w:tc>
        <w:tc>
          <w:tcPr>
            <w:tcW w:w="7233" w:type="dxa"/>
          </w:tcPr>
          <w:p w14:paraId="36D26407" w14:textId="77777777" w:rsidR="00083B82" w:rsidRPr="00C9343F" w:rsidRDefault="00083B82" w:rsidP="00F66D98">
            <w:pPr>
              <w:pStyle w:val="BlockText-Plain"/>
              <w:rPr>
                <w:lang w:eastAsia="en-US"/>
              </w:rPr>
            </w:pPr>
            <w:r w:rsidRPr="00C9343F">
              <w:rPr>
                <w:lang w:eastAsia="en-US"/>
              </w:rPr>
              <w:t xml:space="preserve">The member is in the Pilot – Time Based Progression employment category under </w:t>
            </w:r>
            <w:r w:rsidRPr="00C9343F">
              <w:t xml:space="preserve">Schedule B.3 </w:t>
            </w:r>
            <w:r w:rsidRPr="00C9343F">
              <w:rPr>
                <w:lang w:eastAsia="en-US"/>
              </w:rPr>
              <w:t xml:space="preserve">Part 2 </w:t>
            </w:r>
            <w:r w:rsidRPr="00C9343F">
              <w:t xml:space="preserve">of </w:t>
            </w:r>
            <w:r w:rsidRPr="00C9343F">
              <w:rPr>
                <w:lang w:eastAsia="en-US"/>
              </w:rPr>
              <w:t xml:space="preserve">DFRT Determination No. 2 of 2017, </w:t>
            </w:r>
            <w:r w:rsidRPr="00C9343F">
              <w:rPr>
                <w:i/>
                <w:lang w:eastAsia="en-US"/>
              </w:rPr>
              <w:t>Salaries</w:t>
            </w:r>
            <w:r w:rsidRPr="00C9343F">
              <w:rPr>
                <w:lang w:eastAsia="en-US"/>
              </w:rPr>
              <w:t>, and agrees to transfer to the Officer Aviation Pay Structure</w:t>
            </w:r>
            <w:r w:rsidRPr="00C9343F">
              <w:t>.</w:t>
            </w:r>
          </w:p>
        </w:tc>
      </w:tr>
      <w:tr w:rsidR="00083B82" w:rsidRPr="00C9343F" w14:paraId="0D7B9A13" w14:textId="77777777" w:rsidTr="00F945FD">
        <w:trPr>
          <w:cantSplit/>
        </w:trPr>
        <w:tc>
          <w:tcPr>
            <w:tcW w:w="993" w:type="dxa"/>
            <w:tcMar>
              <w:top w:w="0" w:type="dxa"/>
              <w:left w:w="108" w:type="dxa"/>
              <w:bottom w:w="0" w:type="dxa"/>
              <w:right w:w="108" w:type="dxa"/>
            </w:tcMar>
          </w:tcPr>
          <w:p w14:paraId="76206382" w14:textId="77777777" w:rsidR="00083B82" w:rsidRPr="00C9343F" w:rsidRDefault="00083B82" w:rsidP="00F66D98">
            <w:pPr>
              <w:pStyle w:val="BlockText-Plain"/>
              <w:rPr>
                <w:b/>
                <w:lang w:eastAsia="en-US"/>
              </w:rPr>
            </w:pPr>
          </w:p>
        </w:tc>
        <w:tc>
          <w:tcPr>
            <w:tcW w:w="573" w:type="dxa"/>
            <w:tcMar>
              <w:top w:w="0" w:type="dxa"/>
              <w:left w:w="108" w:type="dxa"/>
              <w:bottom w:w="0" w:type="dxa"/>
              <w:right w:w="108" w:type="dxa"/>
            </w:tcMar>
          </w:tcPr>
          <w:p w14:paraId="5396749A" w14:textId="77777777" w:rsidR="00083B82" w:rsidRPr="00C9343F" w:rsidRDefault="00083B82" w:rsidP="007114B1">
            <w:pPr>
              <w:pStyle w:val="BlockText-Plain"/>
              <w:jc w:val="center"/>
              <w:rPr>
                <w:lang w:eastAsia="en-US"/>
              </w:rPr>
            </w:pPr>
            <w:r w:rsidRPr="00C9343F">
              <w:rPr>
                <w:lang w:eastAsia="en-US"/>
              </w:rPr>
              <w:t>c.</w:t>
            </w:r>
          </w:p>
        </w:tc>
        <w:tc>
          <w:tcPr>
            <w:tcW w:w="7799" w:type="dxa"/>
            <w:gridSpan w:val="2"/>
            <w:tcMar>
              <w:top w:w="0" w:type="dxa"/>
              <w:left w:w="108" w:type="dxa"/>
              <w:bottom w:w="0" w:type="dxa"/>
              <w:right w:w="108" w:type="dxa"/>
            </w:tcMar>
          </w:tcPr>
          <w:p w14:paraId="4E0413E2" w14:textId="77777777" w:rsidR="00083B82" w:rsidRPr="00C9343F" w:rsidRDefault="00083B82" w:rsidP="00F66D98">
            <w:pPr>
              <w:pStyle w:val="BlockText-Plain"/>
              <w:rPr>
                <w:lang w:eastAsia="en-US"/>
              </w:rPr>
            </w:pPr>
            <w:r w:rsidRPr="00C9343F">
              <w:rPr>
                <w:lang w:eastAsia="en-US"/>
              </w:rPr>
              <w:t>The member meets either of the following.</w:t>
            </w:r>
          </w:p>
        </w:tc>
      </w:tr>
      <w:tr w:rsidR="00083B82" w:rsidRPr="00C9343F" w14:paraId="1EFD598B" w14:textId="77777777" w:rsidTr="00F945FD">
        <w:tblPrEx>
          <w:tblCellMar>
            <w:left w:w="108" w:type="dxa"/>
            <w:right w:w="108" w:type="dxa"/>
          </w:tblCellMar>
        </w:tblPrEx>
        <w:trPr>
          <w:cantSplit/>
        </w:trPr>
        <w:tc>
          <w:tcPr>
            <w:tcW w:w="1566" w:type="dxa"/>
            <w:gridSpan w:val="2"/>
          </w:tcPr>
          <w:p w14:paraId="59D27DA1" w14:textId="77777777" w:rsidR="00083B82" w:rsidRPr="00C9343F" w:rsidRDefault="00083B82" w:rsidP="00F66D98">
            <w:pPr>
              <w:pStyle w:val="BlockText-Plain"/>
              <w:spacing w:line="276" w:lineRule="auto"/>
              <w:rPr>
                <w:lang w:eastAsia="en-US"/>
              </w:rPr>
            </w:pPr>
          </w:p>
        </w:tc>
        <w:tc>
          <w:tcPr>
            <w:tcW w:w="567" w:type="dxa"/>
          </w:tcPr>
          <w:p w14:paraId="7B2A6233" w14:textId="77777777" w:rsidR="00083B82" w:rsidRPr="00C9343F" w:rsidRDefault="00083B82" w:rsidP="00F66D98">
            <w:pPr>
              <w:pStyle w:val="BlockText-Plain"/>
              <w:rPr>
                <w:lang w:eastAsia="en-US"/>
              </w:rPr>
            </w:pPr>
            <w:r w:rsidRPr="00C9343F">
              <w:rPr>
                <w:lang w:eastAsia="en-US"/>
              </w:rPr>
              <w:t>i.</w:t>
            </w:r>
          </w:p>
        </w:tc>
        <w:tc>
          <w:tcPr>
            <w:tcW w:w="7232" w:type="dxa"/>
          </w:tcPr>
          <w:p w14:paraId="24064121" w14:textId="77777777" w:rsidR="00083B82" w:rsidRPr="00C9343F" w:rsidRDefault="00083B82" w:rsidP="00F66D98">
            <w:pPr>
              <w:pStyle w:val="BlockText-Plain"/>
              <w:rPr>
                <w:lang w:eastAsia="en-US"/>
              </w:rPr>
            </w:pPr>
            <w:r w:rsidRPr="00C9343F">
              <w:rPr>
                <w:lang w:eastAsia="en-US"/>
              </w:rPr>
              <w:t>The member is a qualified test pilot or flight instructor.</w:t>
            </w:r>
          </w:p>
        </w:tc>
      </w:tr>
      <w:tr w:rsidR="00083B82" w:rsidRPr="00C9343F" w14:paraId="7EBB705E" w14:textId="77777777" w:rsidTr="00F945FD">
        <w:tblPrEx>
          <w:tblCellMar>
            <w:left w:w="108" w:type="dxa"/>
            <w:right w:w="108" w:type="dxa"/>
          </w:tblCellMar>
        </w:tblPrEx>
        <w:trPr>
          <w:cantSplit/>
        </w:trPr>
        <w:tc>
          <w:tcPr>
            <w:tcW w:w="1566" w:type="dxa"/>
            <w:gridSpan w:val="2"/>
          </w:tcPr>
          <w:p w14:paraId="7860F911" w14:textId="77777777" w:rsidR="00083B82" w:rsidRPr="00C9343F" w:rsidRDefault="00083B82" w:rsidP="00F66D98">
            <w:pPr>
              <w:pStyle w:val="BlockText-Plain"/>
              <w:spacing w:line="276" w:lineRule="auto"/>
              <w:rPr>
                <w:lang w:eastAsia="en-US"/>
              </w:rPr>
            </w:pPr>
          </w:p>
        </w:tc>
        <w:tc>
          <w:tcPr>
            <w:tcW w:w="567" w:type="dxa"/>
          </w:tcPr>
          <w:p w14:paraId="3B3FFDA2" w14:textId="77777777" w:rsidR="00083B82" w:rsidRPr="00C9343F" w:rsidRDefault="00083B82" w:rsidP="00F66D98">
            <w:pPr>
              <w:pStyle w:val="BlockText-Plain"/>
              <w:rPr>
                <w:lang w:eastAsia="en-US"/>
              </w:rPr>
            </w:pPr>
            <w:r w:rsidRPr="00C9343F">
              <w:rPr>
                <w:lang w:eastAsia="en-US"/>
              </w:rPr>
              <w:t>ii.</w:t>
            </w:r>
          </w:p>
        </w:tc>
        <w:tc>
          <w:tcPr>
            <w:tcW w:w="7232" w:type="dxa"/>
          </w:tcPr>
          <w:p w14:paraId="20F1FE74" w14:textId="77777777" w:rsidR="00083B82" w:rsidRPr="00C9343F" w:rsidRDefault="00083B82" w:rsidP="00F66D98">
            <w:pPr>
              <w:pStyle w:val="BlockText-Plain"/>
              <w:rPr>
                <w:lang w:eastAsia="en-US"/>
              </w:rPr>
            </w:pPr>
            <w:r w:rsidRPr="00C9343F">
              <w:rPr>
                <w:lang w:eastAsia="en-US"/>
              </w:rPr>
              <w:t>The member has been selected by the Personnel Capability Management Board as a regimental pilot.</w:t>
            </w:r>
          </w:p>
        </w:tc>
      </w:tr>
      <w:tr w:rsidR="00083B82" w:rsidRPr="00C9343F" w14:paraId="2638FFBD" w14:textId="77777777" w:rsidTr="00F945FD">
        <w:trPr>
          <w:cantSplit/>
        </w:trPr>
        <w:tc>
          <w:tcPr>
            <w:tcW w:w="993" w:type="dxa"/>
            <w:tcMar>
              <w:top w:w="0" w:type="dxa"/>
              <w:left w:w="108" w:type="dxa"/>
              <w:bottom w:w="0" w:type="dxa"/>
              <w:right w:w="108" w:type="dxa"/>
            </w:tcMar>
          </w:tcPr>
          <w:p w14:paraId="77D2CA3E"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6CA5B5B7" w14:textId="77777777" w:rsidR="00083B82" w:rsidRPr="00C9343F" w:rsidRDefault="00083B82" w:rsidP="007114B1">
            <w:pPr>
              <w:pStyle w:val="BlockText-Plain"/>
              <w:jc w:val="center"/>
              <w:rPr>
                <w:lang w:eastAsia="en-US"/>
              </w:rPr>
            </w:pPr>
            <w:r w:rsidRPr="00C9343F">
              <w:rPr>
                <w:lang w:eastAsia="en-US"/>
              </w:rPr>
              <w:t>d.</w:t>
            </w:r>
          </w:p>
        </w:tc>
        <w:tc>
          <w:tcPr>
            <w:tcW w:w="7799" w:type="dxa"/>
            <w:gridSpan w:val="2"/>
            <w:tcMar>
              <w:top w:w="0" w:type="dxa"/>
              <w:left w:w="108" w:type="dxa"/>
              <w:bottom w:w="0" w:type="dxa"/>
              <w:right w:w="108" w:type="dxa"/>
            </w:tcMar>
          </w:tcPr>
          <w:p w14:paraId="2C391DCD" w14:textId="77777777" w:rsidR="00083B82" w:rsidRPr="00C9343F" w:rsidRDefault="00083B82" w:rsidP="00F66D98">
            <w:pPr>
              <w:pStyle w:val="BlockText-Plain"/>
              <w:rPr>
                <w:lang w:eastAsia="en-US"/>
              </w:rPr>
            </w:pPr>
            <w:r w:rsidRPr="00C9343F">
              <w:rPr>
                <w:lang w:eastAsia="en-US"/>
              </w:rPr>
              <w:t>The member meets either of the following.</w:t>
            </w:r>
          </w:p>
        </w:tc>
      </w:tr>
      <w:tr w:rsidR="00083B82" w:rsidRPr="00C9343F" w14:paraId="59BE132A"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73B7CD53" w14:textId="77777777" w:rsidR="00083B82" w:rsidRPr="00C9343F" w:rsidRDefault="00083B82" w:rsidP="00F66D98">
            <w:pPr>
              <w:pStyle w:val="BlockText-Plain"/>
            </w:pPr>
          </w:p>
        </w:tc>
        <w:tc>
          <w:tcPr>
            <w:tcW w:w="567" w:type="dxa"/>
          </w:tcPr>
          <w:p w14:paraId="6D4CD6EB" w14:textId="77777777" w:rsidR="00083B82" w:rsidRPr="00C9343F" w:rsidRDefault="00083B82" w:rsidP="00F66D98">
            <w:pPr>
              <w:pStyle w:val="BlockText-Plain"/>
            </w:pPr>
            <w:r w:rsidRPr="00C9343F">
              <w:t>i.</w:t>
            </w:r>
          </w:p>
        </w:tc>
        <w:tc>
          <w:tcPr>
            <w:tcW w:w="7232" w:type="dxa"/>
          </w:tcPr>
          <w:p w14:paraId="37DDF99F" w14:textId="77777777" w:rsidR="00083B82" w:rsidRPr="00C9343F" w:rsidRDefault="00083B82" w:rsidP="00F66D98">
            <w:pPr>
              <w:pStyle w:val="BlockText-Plain"/>
              <w:rPr>
                <w:lang w:eastAsia="en-US"/>
              </w:rPr>
            </w:pPr>
            <w:r w:rsidRPr="00C9343F">
              <w:rPr>
                <w:lang w:eastAsia="en-US"/>
              </w:rPr>
              <w:t>The member has not held a troop command, sub-unit command or unit command appointment.</w:t>
            </w:r>
          </w:p>
        </w:tc>
      </w:tr>
      <w:tr w:rsidR="00083B82" w:rsidRPr="00C9343F" w14:paraId="1F501649"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6BF21A42" w14:textId="77777777" w:rsidR="00083B82" w:rsidRPr="00C9343F" w:rsidRDefault="00083B82" w:rsidP="00F66D98">
            <w:pPr>
              <w:pStyle w:val="BlockText-Plain"/>
            </w:pPr>
          </w:p>
        </w:tc>
        <w:tc>
          <w:tcPr>
            <w:tcW w:w="567" w:type="dxa"/>
          </w:tcPr>
          <w:p w14:paraId="41E63450" w14:textId="77777777" w:rsidR="00083B82" w:rsidRPr="00C9343F" w:rsidRDefault="00083B82" w:rsidP="00F66D98">
            <w:pPr>
              <w:pStyle w:val="BlockText-Plain"/>
            </w:pPr>
            <w:r w:rsidRPr="00C9343F">
              <w:t>ii.</w:t>
            </w:r>
          </w:p>
        </w:tc>
        <w:tc>
          <w:tcPr>
            <w:tcW w:w="7232" w:type="dxa"/>
          </w:tcPr>
          <w:p w14:paraId="3771AEEA" w14:textId="77777777" w:rsidR="00083B82" w:rsidRPr="00C9343F" w:rsidRDefault="00083B82" w:rsidP="00F66D98">
            <w:pPr>
              <w:pStyle w:val="BlockText-Plain"/>
              <w:rPr>
                <w:lang w:eastAsia="en-US"/>
              </w:rPr>
            </w:pPr>
            <w:r w:rsidRPr="00C9343F">
              <w:rPr>
                <w:lang w:eastAsia="en-US"/>
              </w:rPr>
              <w:t>The member held the rank of Captain for less than six years and held a troop command appointment in the generalist stream of the Army Aviation Officer Employment Specification.</w:t>
            </w:r>
          </w:p>
        </w:tc>
      </w:tr>
      <w:tr w:rsidR="00083B82" w:rsidRPr="00C9343F" w14:paraId="26FFCFD5" w14:textId="77777777" w:rsidTr="00F945FD">
        <w:trPr>
          <w:cantSplit/>
        </w:trPr>
        <w:tc>
          <w:tcPr>
            <w:tcW w:w="993" w:type="dxa"/>
            <w:tcMar>
              <w:top w:w="0" w:type="dxa"/>
              <w:left w:w="108" w:type="dxa"/>
              <w:bottom w:w="0" w:type="dxa"/>
              <w:right w:w="108" w:type="dxa"/>
            </w:tcMar>
          </w:tcPr>
          <w:p w14:paraId="5E73A8BD"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161D39AC" w14:textId="62E50767" w:rsidR="00083B82" w:rsidRPr="00C9343F" w:rsidRDefault="00083B82" w:rsidP="007114B1">
            <w:pPr>
              <w:pStyle w:val="BlockText-Plain"/>
              <w:jc w:val="center"/>
              <w:rPr>
                <w:lang w:eastAsia="en-US"/>
              </w:rPr>
            </w:pPr>
            <w:r w:rsidRPr="00C9343F">
              <w:rPr>
                <w:lang w:eastAsia="en-US"/>
              </w:rPr>
              <w:t>e.</w:t>
            </w:r>
          </w:p>
        </w:tc>
        <w:tc>
          <w:tcPr>
            <w:tcW w:w="7799" w:type="dxa"/>
            <w:gridSpan w:val="2"/>
            <w:tcMar>
              <w:top w:w="0" w:type="dxa"/>
              <w:left w:w="108" w:type="dxa"/>
              <w:bottom w:w="0" w:type="dxa"/>
              <w:right w:w="108" w:type="dxa"/>
            </w:tcMar>
          </w:tcPr>
          <w:p w14:paraId="7A3A3B3F" w14:textId="77777777" w:rsidR="00083B82" w:rsidRPr="00C9343F" w:rsidRDefault="00083B82" w:rsidP="00F66D98">
            <w:pPr>
              <w:pStyle w:val="BlockText-Plain"/>
              <w:rPr>
                <w:lang w:eastAsia="en-US"/>
              </w:rPr>
            </w:pPr>
            <w:r w:rsidRPr="00C9343F">
              <w:rPr>
                <w:lang w:eastAsia="en-US"/>
              </w:rPr>
              <w:t>The member is in the specialist stream of the Army Aviation Officer Employment Specification.</w:t>
            </w:r>
          </w:p>
        </w:tc>
      </w:tr>
      <w:tr w:rsidR="00083B82" w:rsidRPr="00C9343F" w14:paraId="090593D0" w14:textId="77777777" w:rsidTr="00F945FD">
        <w:trPr>
          <w:cantSplit/>
        </w:trPr>
        <w:tc>
          <w:tcPr>
            <w:tcW w:w="993" w:type="dxa"/>
            <w:tcMar>
              <w:top w:w="0" w:type="dxa"/>
              <w:left w:w="108" w:type="dxa"/>
              <w:bottom w:w="0" w:type="dxa"/>
              <w:right w:w="108" w:type="dxa"/>
            </w:tcMar>
          </w:tcPr>
          <w:p w14:paraId="3ED4E03E"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07AB7767" w14:textId="77777777" w:rsidR="00083B82" w:rsidRPr="00C9343F" w:rsidRDefault="00083B82" w:rsidP="007114B1">
            <w:pPr>
              <w:pStyle w:val="BlockText-Plain"/>
              <w:jc w:val="center"/>
              <w:rPr>
                <w:lang w:eastAsia="en-US"/>
              </w:rPr>
            </w:pPr>
            <w:r w:rsidRPr="00C9343F">
              <w:rPr>
                <w:lang w:eastAsia="en-US"/>
              </w:rPr>
              <w:t>f.</w:t>
            </w:r>
          </w:p>
        </w:tc>
        <w:tc>
          <w:tcPr>
            <w:tcW w:w="7799" w:type="dxa"/>
            <w:gridSpan w:val="2"/>
            <w:tcMar>
              <w:top w:w="0" w:type="dxa"/>
              <w:left w:w="108" w:type="dxa"/>
              <w:bottom w:w="0" w:type="dxa"/>
              <w:right w:w="108" w:type="dxa"/>
            </w:tcMar>
          </w:tcPr>
          <w:p w14:paraId="58106BD4" w14:textId="77777777" w:rsidR="00083B82" w:rsidRPr="00C9343F" w:rsidRDefault="00083B82" w:rsidP="00F66D98">
            <w:pPr>
              <w:pStyle w:val="BlockText-Plain"/>
              <w:rPr>
                <w:lang w:eastAsia="en-US"/>
              </w:rPr>
            </w:pPr>
            <w:r w:rsidRPr="00C9343F">
              <w:rPr>
                <w:lang w:eastAsia="en-US"/>
              </w:rPr>
              <w:t>The member's rate of salary for the relevant Officer Aviation increment as calculated in the applicable of subsections 3 to 7, is equal to or greater than the member's rate of salary immediately before their transfer into the Officer Aviation Pay Structure.</w:t>
            </w:r>
          </w:p>
        </w:tc>
      </w:tr>
      <w:tr w:rsidR="00083B82" w:rsidRPr="00C9343F" w14:paraId="1374944B" w14:textId="77777777" w:rsidTr="00F945FD">
        <w:tc>
          <w:tcPr>
            <w:tcW w:w="993" w:type="dxa"/>
            <w:tcMar>
              <w:top w:w="0" w:type="dxa"/>
              <w:left w:w="108" w:type="dxa"/>
              <w:bottom w:w="0" w:type="dxa"/>
              <w:right w:w="108" w:type="dxa"/>
            </w:tcMar>
          </w:tcPr>
          <w:p w14:paraId="36044657" w14:textId="77777777" w:rsidR="00083B82" w:rsidRPr="00C9343F" w:rsidRDefault="00083B82" w:rsidP="00F66D98">
            <w:pPr>
              <w:pStyle w:val="BlockText-Plain"/>
              <w:jc w:val="center"/>
              <w:rPr>
                <w:lang w:eastAsia="en-US"/>
              </w:rPr>
            </w:pPr>
            <w:r w:rsidRPr="00C9343F">
              <w:rPr>
                <w:lang w:eastAsia="en-US"/>
              </w:rPr>
              <w:t>3.</w:t>
            </w:r>
          </w:p>
        </w:tc>
        <w:tc>
          <w:tcPr>
            <w:tcW w:w="8372" w:type="dxa"/>
            <w:gridSpan w:val="3"/>
            <w:tcMar>
              <w:top w:w="0" w:type="dxa"/>
              <w:left w:w="108" w:type="dxa"/>
              <w:bottom w:w="0" w:type="dxa"/>
              <w:right w:w="108" w:type="dxa"/>
            </w:tcMar>
          </w:tcPr>
          <w:p w14:paraId="5D0B3EC9" w14:textId="77777777" w:rsidR="00083B82" w:rsidRPr="00C9343F" w:rsidRDefault="00083B82" w:rsidP="00F66D98">
            <w:pPr>
              <w:pStyle w:val="BlockText-Plain"/>
              <w:rPr>
                <w:lang w:eastAsia="en-US"/>
              </w:rPr>
            </w:pPr>
            <w:r w:rsidRPr="00C9343F">
              <w:rPr>
                <w:lang w:eastAsia="en-US"/>
              </w:rPr>
              <w:t>For a member who has held the rank of Captain for five years or more, the Officer Aviation increment is either of the following.</w:t>
            </w:r>
          </w:p>
        </w:tc>
      </w:tr>
      <w:tr w:rsidR="00083B82" w:rsidRPr="00C9343F" w14:paraId="32ADDFB6" w14:textId="77777777" w:rsidTr="00F945FD">
        <w:trPr>
          <w:cantSplit/>
        </w:trPr>
        <w:tc>
          <w:tcPr>
            <w:tcW w:w="993" w:type="dxa"/>
            <w:tcMar>
              <w:top w:w="0" w:type="dxa"/>
              <w:left w:w="108" w:type="dxa"/>
              <w:bottom w:w="0" w:type="dxa"/>
              <w:right w:w="108" w:type="dxa"/>
            </w:tcMar>
          </w:tcPr>
          <w:p w14:paraId="7A69AA9A"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42C2E057" w14:textId="77777777" w:rsidR="00083B82" w:rsidRPr="00C9343F" w:rsidRDefault="00083B82" w:rsidP="007114B1">
            <w:pPr>
              <w:pStyle w:val="BlockText-Plain"/>
              <w:jc w:val="center"/>
              <w:rPr>
                <w:lang w:eastAsia="en-US"/>
              </w:rPr>
            </w:pPr>
            <w:r w:rsidRPr="00C9343F">
              <w:rPr>
                <w:lang w:eastAsia="en-US"/>
              </w:rPr>
              <w:t>a.</w:t>
            </w:r>
          </w:p>
        </w:tc>
        <w:tc>
          <w:tcPr>
            <w:tcW w:w="7799" w:type="dxa"/>
            <w:gridSpan w:val="2"/>
            <w:tcMar>
              <w:top w:w="0" w:type="dxa"/>
              <w:left w:w="108" w:type="dxa"/>
              <w:bottom w:w="0" w:type="dxa"/>
              <w:right w:w="108" w:type="dxa"/>
            </w:tcMar>
          </w:tcPr>
          <w:p w14:paraId="49252FF7" w14:textId="77777777" w:rsidR="00083B82" w:rsidRPr="00C9343F" w:rsidRDefault="00083B82" w:rsidP="00F66D98">
            <w:pPr>
              <w:pStyle w:val="BlockText-Plain"/>
              <w:rPr>
                <w:lang w:eastAsia="en-US"/>
              </w:rPr>
            </w:pPr>
            <w:r w:rsidRPr="00C9343F">
              <w:rPr>
                <w:lang w:eastAsia="en-US"/>
              </w:rPr>
              <w:t>If the member has less than 12 months experience as a test pilot, flight instructor or regimental pilot — the member has Officer Aviation increment OA17.</w:t>
            </w:r>
          </w:p>
        </w:tc>
      </w:tr>
      <w:tr w:rsidR="00083B82" w:rsidRPr="00C9343F" w14:paraId="340329F2" w14:textId="77777777" w:rsidTr="00F945FD">
        <w:trPr>
          <w:cantSplit/>
        </w:trPr>
        <w:tc>
          <w:tcPr>
            <w:tcW w:w="993" w:type="dxa"/>
            <w:tcMar>
              <w:top w:w="0" w:type="dxa"/>
              <w:left w:w="108" w:type="dxa"/>
              <w:bottom w:w="0" w:type="dxa"/>
              <w:right w:w="108" w:type="dxa"/>
            </w:tcMar>
          </w:tcPr>
          <w:p w14:paraId="536C1FCF"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760D281B" w14:textId="77777777" w:rsidR="00083B82" w:rsidRPr="00C9343F" w:rsidRDefault="00083B82" w:rsidP="007114B1">
            <w:pPr>
              <w:pStyle w:val="BlockText-Plain"/>
              <w:jc w:val="center"/>
              <w:rPr>
                <w:lang w:eastAsia="en-US"/>
              </w:rPr>
            </w:pPr>
            <w:r w:rsidRPr="00C9343F">
              <w:rPr>
                <w:lang w:eastAsia="en-US"/>
              </w:rPr>
              <w:t>b.</w:t>
            </w:r>
          </w:p>
        </w:tc>
        <w:tc>
          <w:tcPr>
            <w:tcW w:w="7799" w:type="dxa"/>
            <w:gridSpan w:val="2"/>
            <w:tcMar>
              <w:top w:w="0" w:type="dxa"/>
              <w:left w:w="108" w:type="dxa"/>
              <w:bottom w:w="0" w:type="dxa"/>
              <w:right w:w="108" w:type="dxa"/>
            </w:tcMar>
          </w:tcPr>
          <w:p w14:paraId="71C880D4" w14:textId="77777777" w:rsidR="00083B82" w:rsidRPr="00C9343F" w:rsidRDefault="00083B82" w:rsidP="00F66D98">
            <w:pPr>
              <w:pStyle w:val="BlockText-Plain"/>
              <w:rPr>
                <w:lang w:eastAsia="en-US"/>
              </w:rPr>
            </w:pPr>
            <w:r w:rsidRPr="00C9343F">
              <w:rPr>
                <w:lang w:eastAsia="en-US"/>
              </w:rPr>
              <w:t>If the member has 12 months or more experience as a test pilot, flight instructor or regimental pilot — the member will advance one increment from Officer Aviation increment OA17 for each 12 months completed as a Captain after their sixth year, up to a maximum of OA23.</w:t>
            </w:r>
          </w:p>
        </w:tc>
      </w:tr>
      <w:tr w:rsidR="00083B82" w:rsidRPr="00C9343F" w14:paraId="533DB5ED" w14:textId="77777777" w:rsidTr="00F945FD">
        <w:tc>
          <w:tcPr>
            <w:tcW w:w="993" w:type="dxa"/>
            <w:tcMar>
              <w:top w:w="0" w:type="dxa"/>
              <w:left w:w="108" w:type="dxa"/>
              <w:bottom w:w="0" w:type="dxa"/>
              <w:right w:w="108" w:type="dxa"/>
            </w:tcMar>
          </w:tcPr>
          <w:p w14:paraId="786CF629" w14:textId="77777777" w:rsidR="00083B82" w:rsidRPr="00C9343F" w:rsidRDefault="00083B82" w:rsidP="00F66D98">
            <w:pPr>
              <w:pStyle w:val="BlockText-Plain"/>
              <w:jc w:val="center"/>
              <w:rPr>
                <w:lang w:eastAsia="en-US"/>
              </w:rPr>
            </w:pPr>
            <w:r w:rsidRPr="00C9343F">
              <w:rPr>
                <w:lang w:eastAsia="en-US"/>
              </w:rPr>
              <w:t>4.</w:t>
            </w:r>
          </w:p>
        </w:tc>
        <w:tc>
          <w:tcPr>
            <w:tcW w:w="8372" w:type="dxa"/>
            <w:gridSpan w:val="3"/>
            <w:tcMar>
              <w:top w:w="0" w:type="dxa"/>
              <w:left w:w="108" w:type="dxa"/>
              <w:bottom w:w="0" w:type="dxa"/>
              <w:right w:w="108" w:type="dxa"/>
            </w:tcMar>
          </w:tcPr>
          <w:p w14:paraId="072C8D84" w14:textId="77777777" w:rsidR="00083B82" w:rsidRPr="00C9343F" w:rsidRDefault="00083B82" w:rsidP="00F66D98">
            <w:pPr>
              <w:pStyle w:val="BlockText-Plain"/>
              <w:rPr>
                <w:lang w:eastAsia="en-US"/>
              </w:rPr>
            </w:pPr>
            <w:r w:rsidRPr="00C9343F">
              <w:rPr>
                <w:lang w:eastAsia="en-US"/>
              </w:rPr>
              <w:t>For a member who holds the rank of Major and qualified as a test pilot or flight instructor or was selected as a regimental pilot when they held the rank of Captain, the Officer Aviation increment is calculated below, up to the maximum of OA28.</w:t>
            </w:r>
          </w:p>
        </w:tc>
      </w:tr>
      <w:tr w:rsidR="00083B82" w:rsidRPr="00C9343F" w14:paraId="029DBD63" w14:textId="77777777" w:rsidTr="00F945FD">
        <w:trPr>
          <w:cantSplit/>
        </w:trPr>
        <w:tc>
          <w:tcPr>
            <w:tcW w:w="993" w:type="dxa"/>
            <w:tcMar>
              <w:top w:w="0" w:type="dxa"/>
              <w:left w:w="108" w:type="dxa"/>
              <w:bottom w:w="0" w:type="dxa"/>
              <w:right w:w="108" w:type="dxa"/>
            </w:tcMar>
          </w:tcPr>
          <w:p w14:paraId="01792F0D"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210EB30E" w14:textId="77777777" w:rsidR="00083B82" w:rsidRPr="00C9343F" w:rsidRDefault="00083B82" w:rsidP="007114B1">
            <w:pPr>
              <w:pStyle w:val="BlockText-Plain"/>
              <w:jc w:val="center"/>
              <w:rPr>
                <w:lang w:eastAsia="en-US"/>
              </w:rPr>
            </w:pPr>
            <w:r w:rsidRPr="00C9343F">
              <w:rPr>
                <w:lang w:eastAsia="en-US"/>
              </w:rPr>
              <w:t>a.</w:t>
            </w:r>
          </w:p>
        </w:tc>
        <w:tc>
          <w:tcPr>
            <w:tcW w:w="7799" w:type="dxa"/>
            <w:gridSpan w:val="2"/>
            <w:tcMar>
              <w:top w:w="0" w:type="dxa"/>
              <w:left w:w="108" w:type="dxa"/>
              <w:bottom w:w="0" w:type="dxa"/>
              <w:right w:w="108" w:type="dxa"/>
            </w:tcMar>
          </w:tcPr>
          <w:p w14:paraId="4BF7F5CE" w14:textId="77777777" w:rsidR="00083B82" w:rsidRPr="00C9343F" w:rsidRDefault="00083B82" w:rsidP="00F66D98">
            <w:pPr>
              <w:pStyle w:val="BlockText-Plain"/>
              <w:rPr>
                <w:lang w:eastAsia="en-US"/>
              </w:rPr>
            </w:pPr>
            <w:r w:rsidRPr="00C9343F">
              <w:rPr>
                <w:lang w:eastAsia="en-US"/>
              </w:rPr>
              <w:t>The member's Officer Aviation increment calculated under paragraph 3.b.</w:t>
            </w:r>
          </w:p>
        </w:tc>
      </w:tr>
      <w:tr w:rsidR="00083B82" w:rsidRPr="00C9343F" w14:paraId="0A1FC51A" w14:textId="77777777" w:rsidTr="00F945FD">
        <w:tblPrEx>
          <w:tblCellMar>
            <w:left w:w="108" w:type="dxa"/>
            <w:right w:w="108" w:type="dxa"/>
          </w:tblCellMar>
        </w:tblPrEx>
        <w:trPr>
          <w:cantSplit/>
        </w:trPr>
        <w:tc>
          <w:tcPr>
            <w:tcW w:w="993" w:type="dxa"/>
          </w:tcPr>
          <w:p w14:paraId="78773D27" w14:textId="77777777" w:rsidR="00083B82" w:rsidRPr="00C9343F" w:rsidRDefault="00083B82" w:rsidP="00F66D98">
            <w:pPr>
              <w:pStyle w:val="BlockText-Plain"/>
              <w:spacing w:line="276" w:lineRule="auto"/>
              <w:rPr>
                <w:lang w:eastAsia="en-US"/>
              </w:rPr>
            </w:pPr>
          </w:p>
        </w:tc>
        <w:tc>
          <w:tcPr>
            <w:tcW w:w="573" w:type="dxa"/>
          </w:tcPr>
          <w:p w14:paraId="1171F83C" w14:textId="77777777" w:rsidR="00083B82" w:rsidRPr="00C9343F" w:rsidRDefault="00083B82" w:rsidP="007114B1">
            <w:pPr>
              <w:pStyle w:val="BlockText-Plain"/>
              <w:jc w:val="center"/>
              <w:rPr>
                <w:lang w:eastAsia="en-US"/>
              </w:rPr>
            </w:pPr>
            <w:r w:rsidRPr="00C9343F">
              <w:rPr>
                <w:lang w:eastAsia="en-US"/>
              </w:rPr>
              <w:t>b.</w:t>
            </w:r>
          </w:p>
        </w:tc>
        <w:tc>
          <w:tcPr>
            <w:tcW w:w="7799" w:type="dxa"/>
            <w:gridSpan w:val="2"/>
          </w:tcPr>
          <w:p w14:paraId="5C4CD1F7" w14:textId="77777777" w:rsidR="00083B82" w:rsidRPr="00C9343F" w:rsidRDefault="00083B82" w:rsidP="00F66D98">
            <w:pPr>
              <w:pStyle w:val="BlockText-Plain"/>
              <w:rPr>
                <w:lang w:eastAsia="en-US"/>
              </w:rPr>
            </w:pPr>
            <w:r w:rsidRPr="00C9343F">
              <w:rPr>
                <w:lang w:eastAsia="en-US"/>
              </w:rPr>
              <w:t>For the member’s promotion to the rank of Major, the relevant of the following applies.</w:t>
            </w:r>
          </w:p>
        </w:tc>
      </w:tr>
      <w:tr w:rsidR="00083B82" w:rsidRPr="00C9343F" w14:paraId="162C03F6"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7FD93E26" w14:textId="77777777" w:rsidR="00083B82" w:rsidRPr="00C9343F" w:rsidRDefault="00083B82" w:rsidP="00F66D98">
            <w:pPr>
              <w:pStyle w:val="BlockText-Plain"/>
            </w:pPr>
          </w:p>
        </w:tc>
        <w:tc>
          <w:tcPr>
            <w:tcW w:w="567" w:type="dxa"/>
          </w:tcPr>
          <w:p w14:paraId="4C32317D" w14:textId="77777777" w:rsidR="00083B82" w:rsidRPr="00C9343F" w:rsidRDefault="00083B82" w:rsidP="00F66D98">
            <w:pPr>
              <w:pStyle w:val="BlockText-Plain"/>
            </w:pPr>
            <w:r w:rsidRPr="00C9343F">
              <w:t>i.</w:t>
            </w:r>
          </w:p>
        </w:tc>
        <w:tc>
          <w:tcPr>
            <w:tcW w:w="7232" w:type="dxa"/>
          </w:tcPr>
          <w:p w14:paraId="3CA161A6" w14:textId="77777777" w:rsidR="00083B82" w:rsidRPr="00C9343F" w:rsidRDefault="00083B82" w:rsidP="00F66D98">
            <w:pPr>
              <w:pStyle w:val="BlockText-Plain"/>
              <w:rPr>
                <w:lang w:eastAsia="en-US"/>
              </w:rPr>
            </w:pPr>
            <w:r w:rsidRPr="00C9343F">
              <w:rPr>
                <w:lang w:eastAsia="en-US"/>
              </w:rPr>
              <w:t xml:space="preserve">If the member’s Officer Aviation increment under paragraph a. is below OA21 </w:t>
            </w:r>
            <w:r w:rsidRPr="00C9343F">
              <w:t xml:space="preserve">— </w:t>
            </w:r>
            <w:r w:rsidRPr="00C9343F">
              <w:rPr>
                <w:lang w:eastAsia="en-US"/>
              </w:rPr>
              <w:t>the member's Officer Aviation increment is OA21.</w:t>
            </w:r>
          </w:p>
        </w:tc>
      </w:tr>
      <w:tr w:rsidR="00083B82" w:rsidRPr="00C9343F" w14:paraId="4738D314"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31A0A200" w14:textId="77777777" w:rsidR="00083B82" w:rsidRPr="00C9343F" w:rsidRDefault="00083B82" w:rsidP="00F66D98">
            <w:pPr>
              <w:pStyle w:val="BlockText-Plain"/>
            </w:pPr>
          </w:p>
        </w:tc>
        <w:tc>
          <w:tcPr>
            <w:tcW w:w="567" w:type="dxa"/>
          </w:tcPr>
          <w:p w14:paraId="7A73A53A" w14:textId="77777777" w:rsidR="00083B82" w:rsidRPr="00C9343F" w:rsidRDefault="00083B82" w:rsidP="00F66D98">
            <w:pPr>
              <w:pStyle w:val="BlockText-Plain"/>
            </w:pPr>
            <w:r w:rsidRPr="00C9343F">
              <w:t>ii.</w:t>
            </w:r>
          </w:p>
        </w:tc>
        <w:tc>
          <w:tcPr>
            <w:tcW w:w="7232" w:type="dxa"/>
          </w:tcPr>
          <w:p w14:paraId="419689FF" w14:textId="77777777" w:rsidR="00083B82" w:rsidRPr="00C9343F" w:rsidRDefault="00083B82" w:rsidP="00F66D98">
            <w:pPr>
              <w:pStyle w:val="BlockText-Plain"/>
              <w:rPr>
                <w:lang w:eastAsia="en-US"/>
              </w:rPr>
            </w:pPr>
            <w:r w:rsidRPr="00C9343F">
              <w:rPr>
                <w:lang w:eastAsia="en-US"/>
              </w:rPr>
              <w:t xml:space="preserve">If the member's Officer Aviation increment under paragraph a. is OA21 or above </w:t>
            </w:r>
            <w:r w:rsidRPr="00C9343F">
              <w:t>—</w:t>
            </w:r>
            <w:r w:rsidRPr="00C9343F">
              <w:rPr>
                <w:lang w:eastAsia="en-US"/>
              </w:rPr>
              <w:t xml:space="preserve"> the member's Officer Aviation increment is increased by one increment.</w:t>
            </w:r>
          </w:p>
        </w:tc>
      </w:tr>
      <w:tr w:rsidR="00083B82" w:rsidRPr="00C9343F" w14:paraId="2BC3C17E" w14:textId="77777777" w:rsidTr="00F945FD">
        <w:tblPrEx>
          <w:tblCellMar>
            <w:left w:w="108" w:type="dxa"/>
            <w:right w:w="108" w:type="dxa"/>
          </w:tblCellMar>
        </w:tblPrEx>
        <w:trPr>
          <w:cantSplit/>
        </w:trPr>
        <w:tc>
          <w:tcPr>
            <w:tcW w:w="993" w:type="dxa"/>
          </w:tcPr>
          <w:p w14:paraId="6A067F21" w14:textId="77777777" w:rsidR="00083B82" w:rsidRPr="00C9343F" w:rsidRDefault="00083B82" w:rsidP="00F66D98">
            <w:pPr>
              <w:pStyle w:val="BlockText-Plain"/>
              <w:spacing w:line="276" w:lineRule="auto"/>
              <w:rPr>
                <w:lang w:eastAsia="en-US"/>
              </w:rPr>
            </w:pPr>
          </w:p>
        </w:tc>
        <w:tc>
          <w:tcPr>
            <w:tcW w:w="573" w:type="dxa"/>
          </w:tcPr>
          <w:p w14:paraId="1647FF2A" w14:textId="77777777" w:rsidR="00083B82" w:rsidRPr="00C9343F" w:rsidRDefault="00083B82" w:rsidP="007114B1">
            <w:pPr>
              <w:pStyle w:val="BlockText-Plain"/>
              <w:jc w:val="center"/>
              <w:rPr>
                <w:lang w:eastAsia="en-US"/>
              </w:rPr>
            </w:pPr>
            <w:r w:rsidRPr="00C9343F">
              <w:rPr>
                <w:lang w:eastAsia="en-US"/>
              </w:rPr>
              <w:t>c.</w:t>
            </w:r>
          </w:p>
        </w:tc>
        <w:tc>
          <w:tcPr>
            <w:tcW w:w="7799" w:type="dxa"/>
            <w:gridSpan w:val="2"/>
          </w:tcPr>
          <w:p w14:paraId="6314B07E" w14:textId="77777777" w:rsidR="00083B82" w:rsidRPr="00C9343F" w:rsidRDefault="00083B82" w:rsidP="00F66D98">
            <w:pPr>
              <w:pStyle w:val="BlockText-Plain"/>
              <w:rPr>
                <w:lang w:eastAsia="en-US"/>
              </w:rPr>
            </w:pPr>
            <w:r w:rsidRPr="00C9343F">
              <w:rPr>
                <w:lang w:eastAsia="en-US"/>
              </w:rPr>
              <w:t>The member's Officer Aviation increment under paragraph b. is increased by one increment, up to the maximum of OA28, for each 12 months completed at the rank of Major.</w:t>
            </w:r>
          </w:p>
        </w:tc>
      </w:tr>
      <w:tr w:rsidR="00083B82" w:rsidRPr="00C9343F" w14:paraId="2084B8E0" w14:textId="77777777" w:rsidTr="00F945FD">
        <w:tc>
          <w:tcPr>
            <w:tcW w:w="993" w:type="dxa"/>
            <w:tcMar>
              <w:top w:w="0" w:type="dxa"/>
              <w:left w:w="108" w:type="dxa"/>
              <w:bottom w:w="0" w:type="dxa"/>
              <w:right w:w="108" w:type="dxa"/>
            </w:tcMar>
          </w:tcPr>
          <w:p w14:paraId="0FE2D1F2" w14:textId="77777777" w:rsidR="00083B82" w:rsidRPr="00C9343F" w:rsidRDefault="00083B82" w:rsidP="00F66D98">
            <w:pPr>
              <w:pStyle w:val="BlockText-Plain"/>
              <w:jc w:val="center"/>
              <w:rPr>
                <w:lang w:eastAsia="en-US"/>
              </w:rPr>
            </w:pPr>
            <w:r w:rsidRPr="00C9343F">
              <w:rPr>
                <w:lang w:eastAsia="en-US"/>
              </w:rPr>
              <w:t>5.</w:t>
            </w:r>
          </w:p>
        </w:tc>
        <w:tc>
          <w:tcPr>
            <w:tcW w:w="8372" w:type="dxa"/>
            <w:gridSpan w:val="3"/>
            <w:tcMar>
              <w:top w:w="0" w:type="dxa"/>
              <w:left w:w="108" w:type="dxa"/>
              <w:bottom w:w="0" w:type="dxa"/>
              <w:right w:w="108" w:type="dxa"/>
            </w:tcMar>
          </w:tcPr>
          <w:p w14:paraId="0B9CFC38" w14:textId="77777777" w:rsidR="00083B82" w:rsidRPr="00C9343F" w:rsidRDefault="00083B82" w:rsidP="00F66D98">
            <w:pPr>
              <w:pStyle w:val="BlockText-Plain"/>
              <w:rPr>
                <w:lang w:eastAsia="en-US"/>
              </w:rPr>
            </w:pPr>
            <w:r w:rsidRPr="00C9343F">
              <w:t>For a member who holds the rank of Major and who qualified as a test pilot or flight instructor while holding the rank of Major, the member's Officer Aviation increment is calculated using the applicable of the following</w:t>
            </w:r>
            <w:r w:rsidRPr="00C9343F">
              <w:rPr>
                <w:lang w:eastAsia="en-US"/>
              </w:rPr>
              <w:t>.</w:t>
            </w:r>
          </w:p>
        </w:tc>
      </w:tr>
      <w:tr w:rsidR="00083B82" w:rsidRPr="00C9343F" w14:paraId="6453F1D4" w14:textId="77777777" w:rsidTr="00F945FD">
        <w:tblPrEx>
          <w:tblCellMar>
            <w:left w:w="108" w:type="dxa"/>
            <w:right w:w="108" w:type="dxa"/>
          </w:tblCellMar>
          <w:tblLook w:val="0000" w:firstRow="0" w:lastRow="0" w:firstColumn="0" w:lastColumn="0" w:noHBand="0" w:noVBand="0"/>
        </w:tblPrEx>
        <w:trPr>
          <w:cantSplit/>
        </w:trPr>
        <w:tc>
          <w:tcPr>
            <w:tcW w:w="993" w:type="dxa"/>
          </w:tcPr>
          <w:p w14:paraId="1EB53C9F" w14:textId="77777777" w:rsidR="00083B82" w:rsidRPr="00C9343F" w:rsidRDefault="00083B82" w:rsidP="00F66D98">
            <w:pPr>
              <w:pStyle w:val="BlockText-Plain"/>
            </w:pPr>
          </w:p>
        </w:tc>
        <w:tc>
          <w:tcPr>
            <w:tcW w:w="573" w:type="dxa"/>
          </w:tcPr>
          <w:p w14:paraId="29E37209" w14:textId="77777777" w:rsidR="00083B82" w:rsidRPr="00C9343F" w:rsidRDefault="00083B82" w:rsidP="007114B1">
            <w:pPr>
              <w:pStyle w:val="BlockText-Plain"/>
              <w:jc w:val="center"/>
            </w:pPr>
            <w:r w:rsidRPr="00C9343F">
              <w:t>a.</w:t>
            </w:r>
          </w:p>
        </w:tc>
        <w:tc>
          <w:tcPr>
            <w:tcW w:w="7799" w:type="dxa"/>
            <w:gridSpan w:val="2"/>
          </w:tcPr>
          <w:p w14:paraId="159A87AF" w14:textId="77777777" w:rsidR="00083B82" w:rsidRPr="00C9343F" w:rsidRDefault="00083B82" w:rsidP="00F66D98">
            <w:pPr>
              <w:pStyle w:val="BlockText-Plain"/>
              <w:rPr>
                <w:lang w:eastAsia="en-US"/>
              </w:rPr>
            </w:pPr>
            <w:r w:rsidRPr="00C9343F">
              <w:t xml:space="preserve">If the member qualified within their first three years at the rank of Major — the member’s Officer </w:t>
            </w:r>
            <w:r w:rsidRPr="00C9343F">
              <w:rPr>
                <w:lang w:eastAsia="en-US"/>
              </w:rPr>
              <w:t>Aviation increment is increased by one increment from OA21, up to the maximum of OA28, for each 12 months completed at the rank of Major.</w:t>
            </w:r>
          </w:p>
        </w:tc>
      </w:tr>
      <w:tr w:rsidR="00083B82" w:rsidRPr="00C9343F" w14:paraId="6BA938AF" w14:textId="77777777" w:rsidTr="00F945FD">
        <w:tblPrEx>
          <w:tblCellMar>
            <w:left w:w="108" w:type="dxa"/>
            <w:right w:w="108" w:type="dxa"/>
          </w:tblCellMar>
          <w:tblLook w:val="0000" w:firstRow="0" w:lastRow="0" w:firstColumn="0" w:lastColumn="0" w:noHBand="0" w:noVBand="0"/>
        </w:tblPrEx>
        <w:trPr>
          <w:cantSplit/>
        </w:trPr>
        <w:tc>
          <w:tcPr>
            <w:tcW w:w="993" w:type="dxa"/>
          </w:tcPr>
          <w:p w14:paraId="03714722" w14:textId="77777777" w:rsidR="00083B82" w:rsidRPr="00C9343F" w:rsidRDefault="00083B82" w:rsidP="00F66D98">
            <w:pPr>
              <w:pStyle w:val="BlockText-Plain"/>
            </w:pPr>
          </w:p>
        </w:tc>
        <w:tc>
          <w:tcPr>
            <w:tcW w:w="573" w:type="dxa"/>
          </w:tcPr>
          <w:p w14:paraId="2BC29328" w14:textId="77777777" w:rsidR="00083B82" w:rsidRPr="00C9343F" w:rsidRDefault="00083B82" w:rsidP="007114B1">
            <w:pPr>
              <w:pStyle w:val="BlockText-Plain"/>
              <w:jc w:val="center"/>
            </w:pPr>
            <w:r w:rsidRPr="00C9343F">
              <w:t>b.</w:t>
            </w:r>
          </w:p>
        </w:tc>
        <w:tc>
          <w:tcPr>
            <w:tcW w:w="7799" w:type="dxa"/>
            <w:gridSpan w:val="2"/>
          </w:tcPr>
          <w:p w14:paraId="62943B06" w14:textId="77777777" w:rsidR="00083B82" w:rsidRPr="00C9343F" w:rsidRDefault="00083B82" w:rsidP="00F66D98">
            <w:pPr>
              <w:pStyle w:val="BlockText-Plain"/>
            </w:pPr>
            <w:r w:rsidRPr="00C9343F">
              <w:t xml:space="preserve">If the member qualified in or after their fourth year at the rank of Major — the member’s Officer </w:t>
            </w:r>
            <w:r w:rsidRPr="00C9343F">
              <w:rPr>
                <w:lang w:eastAsia="en-US"/>
              </w:rPr>
              <w:t>Aviation increment is increased by one increment from OA23, up to the maximum of OA28, for each 12 months completed after they qualified.</w:t>
            </w:r>
          </w:p>
        </w:tc>
      </w:tr>
      <w:tr w:rsidR="00083B82" w:rsidRPr="00C9343F" w14:paraId="43CD58BA" w14:textId="77777777" w:rsidTr="00F945FD">
        <w:tc>
          <w:tcPr>
            <w:tcW w:w="993" w:type="dxa"/>
            <w:tcMar>
              <w:top w:w="0" w:type="dxa"/>
              <w:left w:w="108" w:type="dxa"/>
              <w:bottom w:w="0" w:type="dxa"/>
              <w:right w:w="108" w:type="dxa"/>
            </w:tcMar>
          </w:tcPr>
          <w:p w14:paraId="55F073CE" w14:textId="77777777" w:rsidR="00083B82" w:rsidRPr="00C9343F" w:rsidRDefault="00083B82" w:rsidP="00F66D98">
            <w:pPr>
              <w:pStyle w:val="BlockText-Plain"/>
              <w:keepNext/>
              <w:keepLines/>
              <w:jc w:val="center"/>
              <w:rPr>
                <w:lang w:eastAsia="en-US"/>
              </w:rPr>
            </w:pPr>
            <w:r w:rsidRPr="00C9343F">
              <w:rPr>
                <w:lang w:eastAsia="en-US"/>
              </w:rPr>
              <w:t>6.</w:t>
            </w:r>
          </w:p>
        </w:tc>
        <w:tc>
          <w:tcPr>
            <w:tcW w:w="8372" w:type="dxa"/>
            <w:gridSpan w:val="3"/>
            <w:tcMar>
              <w:top w:w="0" w:type="dxa"/>
              <w:left w:w="108" w:type="dxa"/>
              <w:bottom w:w="0" w:type="dxa"/>
              <w:right w:w="108" w:type="dxa"/>
            </w:tcMar>
          </w:tcPr>
          <w:p w14:paraId="049784C6" w14:textId="77777777" w:rsidR="00083B82" w:rsidRPr="00C9343F" w:rsidRDefault="00083B82" w:rsidP="00F66D98">
            <w:pPr>
              <w:pStyle w:val="BlockText-Plain"/>
              <w:keepNext/>
              <w:keepLines/>
              <w:rPr>
                <w:lang w:eastAsia="en-US"/>
              </w:rPr>
            </w:pPr>
            <w:r w:rsidRPr="00C9343F">
              <w:t>For a member who holds the rank of Lieutenant Colonel and qualified as a test pilot or flight instructor when they held the rank of Captain has</w:t>
            </w:r>
            <w:r w:rsidRPr="00C9343F">
              <w:rPr>
                <w:lang w:eastAsia="en-US"/>
              </w:rPr>
              <w:t xml:space="preserve"> the Officer Aviation increment calculated using all of the following</w:t>
            </w:r>
            <w:r w:rsidRPr="00C9343F">
              <w:t xml:space="preserve">. </w:t>
            </w:r>
          </w:p>
        </w:tc>
      </w:tr>
      <w:tr w:rsidR="00083B82" w:rsidRPr="00C9343F" w14:paraId="4F1FF9CE" w14:textId="77777777" w:rsidTr="00F945FD">
        <w:trPr>
          <w:cantSplit/>
        </w:trPr>
        <w:tc>
          <w:tcPr>
            <w:tcW w:w="993" w:type="dxa"/>
            <w:tcMar>
              <w:top w:w="0" w:type="dxa"/>
              <w:left w:w="108" w:type="dxa"/>
              <w:bottom w:w="0" w:type="dxa"/>
              <w:right w:w="108" w:type="dxa"/>
            </w:tcMar>
          </w:tcPr>
          <w:p w14:paraId="37D1A546"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00BE2FC5" w14:textId="77777777" w:rsidR="00083B82" w:rsidRPr="00C9343F" w:rsidRDefault="00083B82" w:rsidP="007114B1">
            <w:pPr>
              <w:pStyle w:val="BlockText-Plain"/>
              <w:jc w:val="center"/>
              <w:rPr>
                <w:lang w:eastAsia="en-US"/>
              </w:rPr>
            </w:pPr>
            <w:r w:rsidRPr="00C9343F">
              <w:rPr>
                <w:lang w:eastAsia="en-US"/>
              </w:rPr>
              <w:t>a.</w:t>
            </w:r>
          </w:p>
        </w:tc>
        <w:tc>
          <w:tcPr>
            <w:tcW w:w="7799" w:type="dxa"/>
            <w:gridSpan w:val="2"/>
            <w:tcMar>
              <w:top w:w="0" w:type="dxa"/>
              <w:left w:w="108" w:type="dxa"/>
              <w:bottom w:w="0" w:type="dxa"/>
              <w:right w:w="108" w:type="dxa"/>
            </w:tcMar>
          </w:tcPr>
          <w:p w14:paraId="1B3B5B08" w14:textId="77777777" w:rsidR="00083B82" w:rsidRPr="00C9343F" w:rsidRDefault="00083B82" w:rsidP="00F66D98">
            <w:pPr>
              <w:pStyle w:val="BlockText-Plain"/>
              <w:rPr>
                <w:lang w:eastAsia="en-US"/>
              </w:rPr>
            </w:pPr>
            <w:r w:rsidRPr="00C9343F">
              <w:rPr>
                <w:lang w:eastAsia="en-US"/>
              </w:rPr>
              <w:t>The member's Officer Aviation increment calculated for a Major under subsection 4.</w:t>
            </w:r>
          </w:p>
        </w:tc>
      </w:tr>
      <w:tr w:rsidR="00083B82" w:rsidRPr="00C9343F" w14:paraId="1ADD00A0" w14:textId="77777777" w:rsidTr="00F945FD">
        <w:tblPrEx>
          <w:tblCellMar>
            <w:left w:w="108" w:type="dxa"/>
            <w:right w:w="108" w:type="dxa"/>
          </w:tblCellMar>
        </w:tblPrEx>
        <w:trPr>
          <w:cantSplit/>
        </w:trPr>
        <w:tc>
          <w:tcPr>
            <w:tcW w:w="993" w:type="dxa"/>
          </w:tcPr>
          <w:p w14:paraId="18BF2626" w14:textId="77777777" w:rsidR="00083B82" w:rsidRPr="00C9343F" w:rsidRDefault="00083B82" w:rsidP="00F66D98">
            <w:pPr>
              <w:pStyle w:val="BlockText-Plain"/>
              <w:spacing w:line="276" w:lineRule="auto"/>
              <w:rPr>
                <w:lang w:eastAsia="en-US"/>
              </w:rPr>
            </w:pPr>
          </w:p>
        </w:tc>
        <w:tc>
          <w:tcPr>
            <w:tcW w:w="573" w:type="dxa"/>
          </w:tcPr>
          <w:p w14:paraId="7827348D" w14:textId="77777777" w:rsidR="00083B82" w:rsidRPr="00C9343F" w:rsidRDefault="00083B82" w:rsidP="007114B1">
            <w:pPr>
              <w:pStyle w:val="BlockText-Plain"/>
              <w:jc w:val="center"/>
              <w:rPr>
                <w:lang w:eastAsia="en-US"/>
              </w:rPr>
            </w:pPr>
            <w:r w:rsidRPr="00C9343F">
              <w:rPr>
                <w:lang w:eastAsia="en-US"/>
              </w:rPr>
              <w:t>b.</w:t>
            </w:r>
          </w:p>
        </w:tc>
        <w:tc>
          <w:tcPr>
            <w:tcW w:w="7799" w:type="dxa"/>
            <w:gridSpan w:val="2"/>
          </w:tcPr>
          <w:p w14:paraId="131800A2" w14:textId="77777777" w:rsidR="00083B82" w:rsidRPr="00C9343F" w:rsidRDefault="00083B82" w:rsidP="00F66D98">
            <w:pPr>
              <w:pStyle w:val="BlockText-Plain"/>
              <w:rPr>
                <w:lang w:eastAsia="en-US"/>
              </w:rPr>
            </w:pPr>
            <w:r w:rsidRPr="00C9343F">
              <w:rPr>
                <w:lang w:eastAsia="en-US"/>
              </w:rPr>
              <w:t>For the member’s promotion to the rank of Lieutenant Colonel, the relevant of the following applies.</w:t>
            </w:r>
          </w:p>
        </w:tc>
      </w:tr>
      <w:tr w:rsidR="00083B82" w:rsidRPr="00C9343F" w14:paraId="78BB2445"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2B6DAF53" w14:textId="77777777" w:rsidR="00083B82" w:rsidRPr="00C9343F" w:rsidRDefault="00083B82" w:rsidP="00F66D98">
            <w:pPr>
              <w:pStyle w:val="BlockText-Plain"/>
            </w:pPr>
          </w:p>
        </w:tc>
        <w:tc>
          <w:tcPr>
            <w:tcW w:w="567" w:type="dxa"/>
          </w:tcPr>
          <w:p w14:paraId="29EBDBA5" w14:textId="77777777" w:rsidR="00083B82" w:rsidRPr="00C9343F" w:rsidRDefault="00083B82" w:rsidP="00F66D98">
            <w:pPr>
              <w:pStyle w:val="BlockText-Plain"/>
            </w:pPr>
            <w:r w:rsidRPr="00C9343F">
              <w:t>i.</w:t>
            </w:r>
          </w:p>
        </w:tc>
        <w:tc>
          <w:tcPr>
            <w:tcW w:w="7232" w:type="dxa"/>
          </w:tcPr>
          <w:p w14:paraId="58561046" w14:textId="77777777" w:rsidR="00083B82" w:rsidRPr="00C9343F" w:rsidRDefault="00083B82" w:rsidP="00F66D98">
            <w:pPr>
              <w:pStyle w:val="BlockText-Plain"/>
              <w:rPr>
                <w:lang w:eastAsia="en-US"/>
              </w:rPr>
            </w:pPr>
            <w:r w:rsidRPr="00C9343F">
              <w:rPr>
                <w:lang w:eastAsia="en-US"/>
              </w:rPr>
              <w:t xml:space="preserve">If the member’s Officer Aviation increment under paragraph a. is below OA27 </w:t>
            </w:r>
            <w:r w:rsidRPr="00C9343F">
              <w:t xml:space="preserve">— </w:t>
            </w:r>
            <w:r w:rsidRPr="00C9343F">
              <w:rPr>
                <w:lang w:eastAsia="en-US"/>
              </w:rPr>
              <w:t>the member's Officer Aviation increment is OA27.</w:t>
            </w:r>
          </w:p>
        </w:tc>
      </w:tr>
      <w:tr w:rsidR="00083B82" w:rsidRPr="00C9343F" w14:paraId="54774E0D"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3E6B58E9" w14:textId="77777777" w:rsidR="00083B82" w:rsidRPr="00C9343F" w:rsidRDefault="00083B82" w:rsidP="00F66D98">
            <w:pPr>
              <w:pStyle w:val="BlockText-Plain"/>
            </w:pPr>
          </w:p>
        </w:tc>
        <w:tc>
          <w:tcPr>
            <w:tcW w:w="567" w:type="dxa"/>
          </w:tcPr>
          <w:p w14:paraId="373EC793" w14:textId="77777777" w:rsidR="00083B82" w:rsidRPr="00C9343F" w:rsidRDefault="00083B82" w:rsidP="00F66D98">
            <w:pPr>
              <w:pStyle w:val="BlockText-Plain"/>
            </w:pPr>
            <w:r w:rsidRPr="00C9343F">
              <w:t>ii.</w:t>
            </w:r>
          </w:p>
        </w:tc>
        <w:tc>
          <w:tcPr>
            <w:tcW w:w="7232" w:type="dxa"/>
          </w:tcPr>
          <w:p w14:paraId="7E7B1F93" w14:textId="77777777" w:rsidR="00083B82" w:rsidRPr="00C9343F" w:rsidRDefault="00083B82" w:rsidP="00F66D98">
            <w:pPr>
              <w:pStyle w:val="BlockText-Plain"/>
              <w:rPr>
                <w:lang w:eastAsia="en-US"/>
              </w:rPr>
            </w:pPr>
            <w:r w:rsidRPr="00C9343F">
              <w:rPr>
                <w:lang w:eastAsia="en-US"/>
              </w:rPr>
              <w:t xml:space="preserve">If the member's Officer Aviation increment under paragraph a. is OA27 or above </w:t>
            </w:r>
            <w:r w:rsidRPr="00C9343F">
              <w:t>—</w:t>
            </w:r>
            <w:r w:rsidRPr="00C9343F">
              <w:rPr>
                <w:lang w:eastAsia="en-US"/>
              </w:rPr>
              <w:t xml:space="preserve"> the member's Officer Aviation increment is increased by one increment.</w:t>
            </w:r>
          </w:p>
        </w:tc>
      </w:tr>
      <w:tr w:rsidR="00083B82" w:rsidRPr="00C9343F" w14:paraId="71CF976A" w14:textId="77777777" w:rsidTr="00F945FD">
        <w:tblPrEx>
          <w:tblCellMar>
            <w:left w:w="108" w:type="dxa"/>
            <w:right w:w="108" w:type="dxa"/>
          </w:tblCellMar>
        </w:tblPrEx>
        <w:trPr>
          <w:cantSplit/>
        </w:trPr>
        <w:tc>
          <w:tcPr>
            <w:tcW w:w="993" w:type="dxa"/>
          </w:tcPr>
          <w:p w14:paraId="7FFA281A" w14:textId="77777777" w:rsidR="00083B82" w:rsidRPr="00C9343F" w:rsidRDefault="00083B82" w:rsidP="00F66D98">
            <w:pPr>
              <w:pStyle w:val="BlockText-Plain"/>
              <w:spacing w:line="276" w:lineRule="auto"/>
              <w:rPr>
                <w:lang w:eastAsia="en-US"/>
              </w:rPr>
            </w:pPr>
          </w:p>
        </w:tc>
        <w:tc>
          <w:tcPr>
            <w:tcW w:w="573" w:type="dxa"/>
          </w:tcPr>
          <w:p w14:paraId="3AE1766A" w14:textId="77777777" w:rsidR="00083B82" w:rsidRPr="00C9343F" w:rsidRDefault="00083B82" w:rsidP="007114B1">
            <w:pPr>
              <w:pStyle w:val="BlockText-Plain"/>
              <w:jc w:val="center"/>
              <w:rPr>
                <w:lang w:eastAsia="en-US"/>
              </w:rPr>
            </w:pPr>
            <w:r w:rsidRPr="00C9343F">
              <w:rPr>
                <w:lang w:eastAsia="en-US"/>
              </w:rPr>
              <w:t>c.</w:t>
            </w:r>
          </w:p>
        </w:tc>
        <w:tc>
          <w:tcPr>
            <w:tcW w:w="7799" w:type="dxa"/>
            <w:gridSpan w:val="2"/>
          </w:tcPr>
          <w:p w14:paraId="76889BD8" w14:textId="77777777" w:rsidR="00083B82" w:rsidRPr="00C9343F" w:rsidRDefault="00083B82" w:rsidP="00F66D98">
            <w:pPr>
              <w:pStyle w:val="BlockText-Plain"/>
              <w:rPr>
                <w:lang w:eastAsia="en-US"/>
              </w:rPr>
            </w:pPr>
            <w:r w:rsidRPr="00C9343F">
              <w:rPr>
                <w:lang w:eastAsia="en-US"/>
              </w:rPr>
              <w:t>The member’s Officer Aviation increment under paragraph b. is increased by one increment, up to the maximum of OA30, for each 12 months completed at the rank of Lieutenant Colonel.</w:t>
            </w:r>
          </w:p>
        </w:tc>
      </w:tr>
      <w:tr w:rsidR="00083B82" w:rsidRPr="00C9343F" w14:paraId="0CB4A765" w14:textId="77777777" w:rsidTr="00F945FD">
        <w:tc>
          <w:tcPr>
            <w:tcW w:w="993" w:type="dxa"/>
            <w:tcMar>
              <w:top w:w="0" w:type="dxa"/>
              <w:left w:w="108" w:type="dxa"/>
              <w:bottom w:w="0" w:type="dxa"/>
              <w:right w:w="108" w:type="dxa"/>
            </w:tcMar>
          </w:tcPr>
          <w:p w14:paraId="43F0B7B7" w14:textId="77777777" w:rsidR="00083B82" w:rsidRPr="00C9343F" w:rsidRDefault="00083B82" w:rsidP="00F66D98">
            <w:pPr>
              <w:pStyle w:val="BlockText-Plain"/>
              <w:jc w:val="center"/>
              <w:rPr>
                <w:lang w:eastAsia="en-US"/>
              </w:rPr>
            </w:pPr>
            <w:r w:rsidRPr="00C9343F">
              <w:rPr>
                <w:lang w:eastAsia="en-US"/>
              </w:rPr>
              <w:t>7.</w:t>
            </w:r>
          </w:p>
        </w:tc>
        <w:tc>
          <w:tcPr>
            <w:tcW w:w="8372" w:type="dxa"/>
            <w:gridSpan w:val="3"/>
            <w:tcMar>
              <w:top w:w="0" w:type="dxa"/>
              <w:left w:w="108" w:type="dxa"/>
              <w:bottom w:w="0" w:type="dxa"/>
              <w:right w:w="108" w:type="dxa"/>
            </w:tcMar>
          </w:tcPr>
          <w:p w14:paraId="04C4CB37" w14:textId="77777777" w:rsidR="00083B82" w:rsidRPr="00C9343F" w:rsidRDefault="00083B82" w:rsidP="00F66D98">
            <w:pPr>
              <w:pStyle w:val="BlockText-Plain"/>
              <w:rPr>
                <w:lang w:eastAsia="en-US"/>
              </w:rPr>
            </w:pPr>
            <w:r w:rsidRPr="00C9343F">
              <w:t>For a member who holds the rank of Lieutenant Colonel and qualified as a test pilot or flight instructor when they held the rank of Major has</w:t>
            </w:r>
            <w:r w:rsidRPr="00C9343F">
              <w:rPr>
                <w:lang w:eastAsia="en-US"/>
              </w:rPr>
              <w:t xml:space="preserve"> the Officer Aviation increment calculated using all of the following</w:t>
            </w:r>
            <w:r w:rsidRPr="00C9343F">
              <w:t>.</w:t>
            </w:r>
          </w:p>
        </w:tc>
      </w:tr>
      <w:tr w:rsidR="00083B82" w:rsidRPr="00C9343F" w14:paraId="51F1A591" w14:textId="77777777" w:rsidTr="00F945FD">
        <w:tblPrEx>
          <w:tblCellMar>
            <w:left w:w="108" w:type="dxa"/>
            <w:right w:w="108" w:type="dxa"/>
          </w:tblCellMar>
          <w:tblLook w:val="0000" w:firstRow="0" w:lastRow="0" w:firstColumn="0" w:lastColumn="0" w:noHBand="0" w:noVBand="0"/>
        </w:tblPrEx>
        <w:trPr>
          <w:cantSplit/>
        </w:trPr>
        <w:tc>
          <w:tcPr>
            <w:tcW w:w="993" w:type="dxa"/>
          </w:tcPr>
          <w:p w14:paraId="098679D4" w14:textId="77777777" w:rsidR="00083B82" w:rsidRPr="00C9343F" w:rsidRDefault="00083B82" w:rsidP="00F66D98">
            <w:pPr>
              <w:pStyle w:val="BlockText-Plain"/>
            </w:pPr>
          </w:p>
        </w:tc>
        <w:tc>
          <w:tcPr>
            <w:tcW w:w="573" w:type="dxa"/>
          </w:tcPr>
          <w:p w14:paraId="06FC6CF8" w14:textId="77777777" w:rsidR="00083B82" w:rsidRPr="00C9343F" w:rsidRDefault="00083B82" w:rsidP="007114B1">
            <w:pPr>
              <w:pStyle w:val="BlockText-Plain"/>
              <w:jc w:val="center"/>
            </w:pPr>
            <w:r w:rsidRPr="00C9343F">
              <w:t>a.</w:t>
            </w:r>
          </w:p>
        </w:tc>
        <w:tc>
          <w:tcPr>
            <w:tcW w:w="7799" w:type="dxa"/>
            <w:gridSpan w:val="2"/>
          </w:tcPr>
          <w:p w14:paraId="1CED2D5A" w14:textId="77777777" w:rsidR="00083B82" w:rsidRPr="00C9343F" w:rsidRDefault="00083B82" w:rsidP="00F66D98">
            <w:pPr>
              <w:pStyle w:val="BlockText-Plain"/>
              <w:rPr>
                <w:lang w:eastAsia="en-US"/>
              </w:rPr>
            </w:pPr>
            <w:r w:rsidRPr="00C9343F">
              <w:rPr>
                <w:lang w:eastAsia="en-US"/>
              </w:rPr>
              <w:t>The member's Officer Aviation increment for the rank of Major is the relevant of the following.</w:t>
            </w:r>
          </w:p>
        </w:tc>
      </w:tr>
      <w:tr w:rsidR="00083B82" w:rsidRPr="00C9343F" w14:paraId="6054D88B"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3E699DA4" w14:textId="77777777" w:rsidR="00083B82" w:rsidRPr="00C9343F" w:rsidRDefault="00083B82" w:rsidP="00F66D98">
            <w:pPr>
              <w:pStyle w:val="BlockText-Plain"/>
            </w:pPr>
          </w:p>
        </w:tc>
        <w:tc>
          <w:tcPr>
            <w:tcW w:w="567" w:type="dxa"/>
          </w:tcPr>
          <w:p w14:paraId="74D180FB" w14:textId="77777777" w:rsidR="00083B82" w:rsidRPr="00C9343F" w:rsidRDefault="00083B82" w:rsidP="00F66D98">
            <w:pPr>
              <w:pStyle w:val="BlockText-Plain"/>
            </w:pPr>
            <w:r w:rsidRPr="00C9343F">
              <w:t>i.</w:t>
            </w:r>
          </w:p>
        </w:tc>
        <w:tc>
          <w:tcPr>
            <w:tcW w:w="7232" w:type="dxa"/>
          </w:tcPr>
          <w:p w14:paraId="244E064F" w14:textId="77777777" w:rsidR="00083B82" w:rsidRPr="00C9343F" w:rsidRDefault="00083B82" w:rsidP="00F66D98">
            <w:pPr>
              <w:pStyle w:val="BlockText-Plain"/>
              <w:rPr>
                <w:lang w:eastAsia="en-US"/>
              </w:rPr>
            </w:pPr>
            <w:r w:rsidRPr="00C9343F">
              <w:rPr>
                <w:lang w:eastAsia="en-US"/>
              </w:rPr>
              <w:t xml:space="preserve">If the member qualified within the first three years at the rank of Major </w:t>
            </w:r>
            <w:r w:rsidRPr="00C9343F">
              <w:t xml:space="preserve">— </w:t>
            </w:r>
            <w:r w:rsidRPr="00C9343F">
              <w:rPr>
                <w:lang w:eastAsia="en-US"/>
              </w:rPr>
              <w:t>the member’s Officer Aviation increment is increased by one increment from OA21 for each 12 months completed at the rank of Major, up to the maximum of OA28.</w:t>
            </w:r>
          </w:p>
        </w:tc>
      </w:tr>
      <w:tr w:rsidR="00083B82" w:rsidRPr="00C9343F" w14:paraId="5F2435D7"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32043027" w14:textId="77777777" w:rsidR="00083B82" w:rsidRPr="00C9343F" w:rsidRDefault="00083B82" w:rsidP="00F66D98">
            <w:pPr>
              <w:pStyle w:val="BlockText-Plain"/>
            </w:pPr>
          </w:p>
        </w:tc>
        <w:tc>
          <w:tcPr>
            <w:tcW w:w="567" w:type="dxa"/>
          </w:tcPr>
          <w:p w14:paraId="65B811F8" w14:textId="77777777" w:rsidR="00083B82" w:rsidRPr="00C9343F" w:rsidRDefault="00083B82" w:rsidP="00F66D98">
            <w:pPr>
              <w:pStyle w:val="BlockText-Plain"/>
            </w:pPr>
            <w:r w:rsidRPr="00C9343F">
              <w:t>ii.</w:t>
            </w:r>
          </w:p>
        </w:tc>
        <w:tc>
          <w:tcPr>
            <w:tcW w:w="7232" w:type="dxa"/>
          </w:tcPr>
          <w:p w14:paraId="61965413" w14:textId="77777777" w:rsidR="00083B82" w:rsidRPr="00C9343F" w:rsidRDefault="00083B82" w:rsidP="00F66D98">
            <w:pPr>
              <w:pStyle w:val="BlockText-Plain"/>
              <w:rPr>
                <w:lang w:eastAsia="en-US"/>
              </w:rPr>
            </w:pPr>
            <w:r w:rsidRPr="00C9343F">
              <w:rPr>
                <w:lang w:eastAsia="en-US"/>
              </w:rPr>
              <w:t xml:space="preserve">If the member qualified in or after their fourth year at the rank of Major </w:t>
            </w:r>
            <w:r w:rsidRPr="00C9343F">
              <w:t xml:space="preserve">— the member's Officer Aviation increment is </w:t>
            </w:r>
            <w:r w:rsidRPr="00C9343F">
              <w:rPr>
                <w:lang w:eastAsia="en-US"/>
              </w:rPr>
              <w:t>increased by one increment from OA23 for each 12 months completed after they qualified, up to the maximum of OA28.</w:t>
            </w:r>
          </w:p>
        </w:tc>
      </w:tr>
      <w:tr w:rsidR="00083B82" w:rsidRPr="00C9343F" w14:paraId="16215964" w14:textId="77777777" w:rsidTr="00F945FD">
        <w:tblPrEx>
          <w:tblCellMar>
            <w:left w:w="108" w:type="dxa"/>
            <w:right w:w="108" w:type="dxa"/>
          </w:tblCellMar>
          <w:tblLook w:val="0000" w:firstRow="0" w:lastRow="0" w:firstColumn="0" w:lastColumn="0" w:noHBand="0" w:noVBand="0"/>
        </w:tblPrEx>
        <w:trPr>
          <w:cantSplit/>
        </w:trPr>
        <w:tc>
          <w:tcPr>
            <w:tcW w:w="993" w:type="dxa"/>
          </w:tcPr>
          <w:p w14:paraId="0B326A40" w14:textId="77777777" w:rsidR="00083B82" w:rsidRPr="00C9343F" w:rsidRDefault="00083B82" w:rsidP="00F66D98">
            <w:pPr>
              <w:pStyle w:val="BlockText-Plain"/>
            </w:pPr>
          </w:p>
        </w:tc>
        <w:tc>
          <w:tcPr>
            <w:tcW w:w="573" w:type="dxa"/>
          </w:tcPr>
          <w:p w14:paraId="2822D75E" w14:textId="77777777" w:rsidR="00083B82" w:rsidRPr="00C9343F" w:rsidRDefault="00083B82" w:rsidP="007114B1">
            <w:pPr>
              <w:pStyle w:val="BlockText-Plain"/>
              <w:jc w:val="center"/>
            </w:pPr>
            <w:r w:rsidRPr="00C9343F">
              <w:t>b.</w:t>
            </w:r>
          </w:p>
        </w:tc>
        <w:tc>
          <w:tcPr>
            <w:tcW w:w="7799" w:type="dxa"/>
            <w:gridSpan w:val="2"/>
          </w:tcPr>
          <w:p w14:paraId="5BACFAE0" w14:textId="77777777" w:rsidR="00083B82" w:rsidRPr="00C9343F" w:rsidRDefault="00083B82" w:rsidP="00F66D98">
            <w:pPr>
              <w:pStyle w:val="BlockText-Plain"/>
              <w:rPr>
                <w:lang w:eastAsia="en-US"/>
              </w:rPr>
            </w:pPr>
            <w:r w:rsidRPr="00C9343F">
              <w:rPr>
                <w:lang w:eastAsia="en-US"/>
              </w:rPr>
              <w:t>For the member’s promotion to the rank of Lieutenant Colonel, the member’s Officer Aviation increment under paragraph a. is increased by one increment.</w:t>
            </w:r>
          </w:p>
        </w:tc>
      </w:tr>
      <w:tr w:rsidR="00083B82" w:rsidRPr="00C9343F" w14:paraId="37B4BC58" w14:textId="77777777" w:rsidTr="00F945FD">
        <w:tblPrEx>
          <w:tblCellMar>
            <w:left w:w="108" w:type="dxa"/>
            <w:right w:w="108" w:type="dxa"/>
          </w:tblCellMar>
          <w:tblLook w:val="0000" w:firstRow="0" w:lastRow="0" w:firstColumn="0" w:lastColumn="0" w:noHBand="0" w:noVBand="0"/>
        </w:tblPrEx>
        <w:trPr>
          <w:cantSplit/>
        </w:trPr>
        <w:tc>
          <w:tcPr>
            <w:tcW w:w="993" w:type="dxa"/>
          </w:tcPr>
          <w:p w14:paraId="186F0807" w14:textId="77777777" w:rsidR="00083B82" w:rsidRPr="00C9343F" w:rsidRDefault="00083B82" w:rsidP="00F66D98">
            <w:pPr>
              <w:pStyle w:val="BlockText-Plain"/>
            </w:pPr>
          </w:p>
        </w:tc>
        <w:tc>
          <w:tcPr>
            <w:tcW w:w="573" w:type="dxa"/>
          </w:tcPr>
          <w:p w14:paraId="7693BEF2" w14:textId="77777777" w:rsidR="00083B82" w:rsidRPr="00C9343F" w:rsidRDefault="00083B82" w:rsidP="007114B1">
            <w:pPr>
              <w:pStyle w:val="BlockText-Plain"/>
              <w:jc w:val="center"/>
            </w:pPr>
            <w:r w:rsidRPr="00C9343F">
              <w:t>c.</w:t>
            </w:r>
          </w:p>
        </w:tc>
        <w:tc>
          <w:tcPr>
            <w:tcW w:w="7799" w:type="dxa"/>
            <w:gridSpan w:val="2"/>
          </w:tcPr>
          <w:p w14:paraId="1D1131EB" w14:textId="77777777" w:rsidR="00083B82" w:rsidRPr="00C9343F" w:rsidRDefault="00083B82" w:rsidP="00F66D98">
            <w:pPr>
              <w:pStyle w:val="BlockText-Plain"/>
              <w:rPr>
                <w:lang w:eastAsia="en-US"/>
              </w:rPr>
            </w:pPr>
            <w:r w:rsidRPr="00C9343F">
              <w:rPr>
                <w:lang w:eastAsia="en-US"/>
              </w:rPr>
              <w:t>The member’s Officer Aviation increment under paragraph b. is increased by one increment, up to the maximum of OA30, for each 12 months completed at the rank of Lieutenant Colonel.</w:t>
            </w:r>
          </w:p>
        </w:tc>
      </w:tr>
    </w:tbl>
    <w:p w14:paraId="2BAA49BF" w14:textId="155EA87E" w:rsidR="00083B82" w:rsidRPr="00C9343F" w:rsidRDefault="00083B82" w:rsidP="00F66D98">
      <w:pPr>
        <w:spacing w:before="360" w:after="120"/>
        <w:rPr>
          <w:b/>
        </w:rPr>
      </w:pPr>
      <w:r w:rsidRPr="00C9343F">
        <w:rPr>
          <w:b/>
        </w:rPr>
        <w:t>3.2.47J</w:t>
      </w:r>
      <w:r w:rsidR="00D94006" w:rsidRPr="00C9343F">
        <w:rPr>
          <w:b/>
        </w:rPr>
        <w:t>    </w:t>
      </w:r>
      <w:r w:rsidRPr="00C9343F">
        <w:rPr>
          <w:b/>
        </w:rPr>
        <w:t>Entry placement – Army Aviation Officers – Specialist pathway with previous command appointment</w:t>
      </w:r>
    </w:p>
    <w:tbl>
      <w:tblPr>
        <w:tblW w:w="9365" w:type="dxa"/>
        <w:tblInd w:w="108" w:type="dxa"/>
        <w:tblCellMar>
          <w:left w:w="0" w:type="dxa"/>
          <w:right w:w="0" w:type="dxa"/>
        </w:tblCellMar>
        <w:tblLook w:val="04A0" w:firstRow="1" w:lastRow="0" w:firstColumn="1" w:lastColumn="0" w:noHBand="0" w:noVBand="1"/>
      </w:tblPr>
      <w:tblGrid>
        <w:gridCol w:w="993"/>
        <w:gridCol w:w="573"/>
        <w:gridCol w:w="567"/>
        <w:gridCol w:w="7232"/>
      </w:tblGrid>
      <w:tr w:rsidR="00083B82" w:rsidRPr="00C9343F" w14:paraId="1E293000" w14:textId="77777777" w:rsidTr="00F945FD">
        <w:tc>
          <w:tcPr>
            <w:tcW w:w="993" w:type="dxa"/>
            <w:tcMar>
              <w:top w:w="0" w:type="dxa"/>
              <w:left w:w="108" w:type="dxa"/>
              <w:bottom w:w="0" w:type="dxa"/>
              <w:right w:w="108" w:type="dxa"/>
            </w:tcMar>
          </w:tcPr>
          <w:p w14:paraId="3EDBECB1" w14:textId="77777777" w:rsidR="00083B82" w:rsidRPr="00C9343F" w:rsidRDefault="00083B82" w:rsidP="00F66D98">
            <w:pPr>
              <w:pStyle w:val="BlockText-Plain"/>
              <w:jc w:val="center"/>
              <w:rPr>
                <w:lang w:eastAsia="en-US"/>
              </w:rPr>
            </w:pPr>
            <w:r w:rsidRPr="00C9343F">
              <w:rPr>
                <w:lang w:eastAsia="en-US"/>
              </w:rPr>
              <w:t>1.</w:t>
            </w:r>
          </w:p>
        </w:tc>
        <w:tc>
          <w:tcPr>
            <w:tcW w:w="8372" w:type="dxa"/>
            <w:gridSpan w:val="3"/>
            <w:tcMar>
              <w:top w:w="0" w:type="dxa"/>
              <w:left w:w="108" w:type="dxa"/>
              <w:bottom w:w="0" w:type="dxa"/>
              <w:right w:w="108" w:type="dxa"/>
            </w:tcMar>
          </w:tcPr>
          <w:p w14:paraId="16142702" w14:textId="77777777" w:rsidR="00083B82" w:rsidRPr="00C9343F" w:rsidRDefault="00083B82" w:rsidP="00F66D98">
            <w:pPr>
              <w:pStyle w:val="BlockText-Plain"/>
              <w:rPr>
                <w:lang w:eastAsia="en-US"/>
              </w:rPr>
            </w:pPr>
            <w:r w:rsidRPr="00C9343F">
              <w:rPr>
                <w:lang w:eastAsia="en-US"/>
              </w:rPr>
              <w:t>For the purpose of this section, anniversary occurs every 12 months after the member's most recent promotion date.</w:t>
            </w:r>
          </w:p>
        </w:tc>
      </w:tr>
      <w:tr w:rsidR="00083B82" w:rsidRPr="00C9343F" w14:paraId="75ABC097" w14:textId="77777777" w:rsidTr="00F945FD">
        <w:tc>
          <w:tcPr>
            <w:tcW w:w="993" w:type="dxa"/>
            <w:tcMar>
              <w:top w:w="0" w:type="dxa"/>
              <w:left w:w="108" w:type="dxa"/>
              <w:bottom w:w="0" w:type="dxa"/>
              <w:right w:w="108" w:type="dxa"/>
            </w:tcMar>
          </w:tcPr>
          <w:p w14:paraId="2D233349" w14:textId="77777777" w:rsidR="00083B82" w:rsidRPr="00C9343F" w:rsidRDefault="00083B82" w:rsidP="00F66D98">
            <w:pPr>
              <w:pStyle w:val="BlockText-Plain"/>
              <w:jc w:val="center"/>
              <w:rPr>
                <w:lang w:eastAsia="en-US"/>
              </w:rPr>
            </w:pPr>
            <w:r w:rsidRPr="00C9343F">
              <w:rPr>
                <w:lang w:eastAsia="en-US"/>
              </w:rPr>
              <w:t>2.</w:t>
            </w:r>
          </w:p>
        </w:tc>
        <w:tc>
          <w:tcPr>
            <w:tcW w:w="8372" w:type="dxa"/>
            <w:gridSpan w:val="3"/>
            <w:tcMar>
              <w:top w:w="0" w:type="dxa"/>
              <w:left w:w="108" w:type="dxa"/>
              <w:bottom w:w="0" w:type="dxa"/>
              <w:right w:w="108" w:type="dxa"/>
            </w:tcMar>
          </w:tcPr>
          <w:p w14:paraId="3A7355B4" w14:textId="77777777" w:rsidR="00083B82" w:rsidRPr="00C9343F" w:rsidRDefault="00083B82" w:rsidP="00F66D98">
            <w:pPr>
              <w:pStyle w:val="BlockText-Plain"/>
              <w:rPr>
                <w:lang w:eastAsia="en-US"/>
              </w:rPr>
            </w:pPr>
            <w:r w:rsidRPr="00C9343F">
              <w:rPr>
                <w:lang w:eastAsia="en-US"/>
              </w:rPr>
              <w:t xml:space="preserve">If this section applies to a member, the </w:t>
            </w:r>
            <w:r w:rsidRPr="00C9343F">
              <w:t>member is placed in the Specialist Pathway and the Rotary Wing Pilot competency stream.</w:t>
            </w:r>
          </w:p>
        </w:tc>
      </w:tr>
      <w:tr w:rsidR="00083B82" w:rsidRPr="00C9343F" w14:paraId="38296A15" w14:textId="77777777" w:rsidTr="00F945FD">
        <w:tc>
          <w:tcPr>
            <w:tcW w:w="993" w:type="dxa"/>
            <w:tcMar>
              <w:top w:w="0" w:type="dxa"/>
              <w:left w:w="108" w:type="dxa"/>
              <w:bottom w:w="0" w:type="dxa"/>
              <w:right w:w="108" w:type="dxa"/>
            </w:tcMar>
          </w:tcPr>
          <w:p w14:paraId="590857C4" w14:textId="77777777" w:rsidR="00083B82" w:rsidRPr="00C9343F" w:rsidRDefault="00083B82" w:rsidP="00F66D98">
            <w:pPr>
              <w:pStyle w:val="BlockText-Plain"/>
              <w:jc w:val="center"/>
              <w:rPr>
                <w:lang w:eastAsia="en-US"/>
              </w:rPr>
            </w:pPr>
            <w:r w:rsidRPr="00C9343F">
              <w:rPr>
                <w:lang w:eastAsia="en-US"/>
              </w:rPr>
              <w:t>3.</w:t>
            </w:r>
          </w:p>
        </w:tc>
        <w:tc>
          <w:tcPr>
            <w:tcW w:w="8372" w:type="dxa"/>
            <w:gridSpan w:val="3"/>
            <w:tcMar>
              <w:top w:w="0" w:type="dxa"/>
              <w:left w:w="108" w:type="dxa"/>
              <w:bottom w:w="0" w:type="dxa"/>
              <w:right w:w="108" w:type="dxa"/>
            </w:tcMar>
          </w:tcPr>
          <w:p w14:paraId="301BDE3C" w14:textId="77777777" w:rsidR="00083B82" w:rsidRPr="00C9343F" w:rsidRDefault="00083B82" w:rsidP="00F66D98">
            <w:pPr>
              <w:pStyle w:val="BlockText-Plain"/>
              <w:rPr>
                <w:lang w:eastAsia="en-US"/>
              </w:rPr>
            </w:pPr>
            <w:r w:rsidRPr="00C9343F">
              <w:rPr>
                <w:lang w:eastAsia="en-US"/>
              </w:rPr>
              <w:t>This section applies to a member in the Army who meets all of the following on the day immediately before their transfer to the Officer Aviation Pay Structure.</w:t>
            </w:r>
          </w:p>
        </w:tc>
      </w:tr>
      <w:tr w:rsidR="00083B82" w:rsidRPr="00C9343F" w14:paraId="37A4E277" w14:textId="77777777" w:rsidTr="00F945FD">
        <w:trPr>
          <w:cantSplit/>
        </w:trPr>
        <w:tc>
          <w:tcPr>
            <w:tcW w:w="993" w:type="dxa"/>
            <w:tcMar>
              <w:top w:w="0" w:type="dxa"/>
              <w:left w:w="108" w:type="dxa"/>
              <w:bottom w:w="0" w:type="dxa"/>
              <w:right w:w="108" w:type="dxa"/>
            </w:tcMar>
          </w:tcPr>
          <w:p w14:paraId="27D769A4"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0DFC9365" w14:textId="77777777" w:rsidR="00083B82" w:rsidRPr="00C9343F" w:rsidRDefault="00083B82" w:rsidP="007114B1">
            <w:pPr>
              <w:pStyle w:val="BlockText-Plain"/>
              <w:jc w:val="center"/>
              <w:rPr>
                <w:lang w:eastAsia="en-US"/>
              </w:rPr>
            </w:pPr>
            <w:r w:rsidRPr="00C9343F">
              <w:rPr>
                <w:lang w:eastAsia="en-US"/>
              </w:rPr>
              <w:t>a.</w:t>
            </w:r>
          </w:p>
        </w:tc>
        <w:tc>
          <w:tcPr>
            <w:tcW w:w="7799" w:type="dxa"/>
            <w:gridSpan w:val="2"/>
            <w:tcMar>
              <w:top w:w="0" w:type="dxa"/>
              <w:left w:w="108" w:type="dxa"/>
              <w:bottom w:w="0" w:type="dxa"/>
              <w:right w:w="108" w:type="dxa"/>
            </w:tcMar>
          </w:tcPr>
          <w:p w14:paraId="2DAF42DD" w14:textId="77777777" w:rsidR="00083B82" w:rsidRPr="00C9343F" w:rsidRDefault="00083B82" w:rsidP="00F66D98">
            <w:pPr>
              <w:pStyle w:val="BlockText-Plain"/>
              <w:rPr>
                <w:lang w:eastAsia="en-US"/>
              </w:rPr>
            </w:pPr>
            <w:r w:rsidRPr="00C9343F">
              <w:rPr>
                <w:lang w:eastAsia="en-US"/>
              </w:rPr>
              <w:t>The member holds a rank between Captain and Lieutenant Colonel.</w:t>
            </w:r>
          </w:p>
        </w:tc>
      </w:tr>
      <w:tr w:rsidR="00083B82" w:rsidRPr="00C9343F" w14:paraId="561906B4" w14:textId="77777777" w:rsidTr="00F945FD">
        <w:trPr>
          <w:cantSplit/>
        </w:trPr>
        <w:tc>
          <w:tcPr>
            <w:tcW w:w="993" w:type="dxa"/>
            <w:tcMar>
              <w:top w:w="0" w:type="dxa"/>
              <w:left w:w="108" w:type="dxa"/>
              <w:bottom w:w="0" w:type="dxa"/>
              <w:right w:w="108" w:type="dxa"/>
            </w:tcMar>
          </w:tcPr>
          <w:p w14:paraId="4B90C253"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0B7BD4DB" w14:textId="77777777" w:rsidR="00083B82" w:rsidRPr="00C9343F" w:rsidRDefault="00083B82" w:rsidP="007114B1">
            <w:pPr>
              <w:pStyle w:val="BlockText-Plain"/>
              <w:jc w:val="center"/>
              <w:rPr>
                <w:lang w:eastAsia="en-US"/>
              </w:rPr>
            </w:pPr>
            <w:r w:rsidRPr="00C9343F">
              <w:rPr>
                <w:lang w:eastAsia="en-US"/>
              </w:rPr>
              <w:t>b.</w:t>
            </w:r>
          </w:p>
        </w:tc>
        <w:tc>
          <w:tcPr>
            <w:tcW w:w="7799" w:type="dxa"/>
            <w:gridSpan w:val="2"/>
            <w:tcMar>
              <w:top w:w="0" w:type="dxa"/>
              <w:left w:w="108" w:type="dxa"/>
              <w:bottom w:w="0" w:type="dxa"/>
              <w:right w:w="108" w:type="dxa"/>
            </w:tcMar>
          </w:tcPr>
          <w:p w14:paraId="28A17BD9" w14:textId="77777777" w:rsidR="00083B82" w:rsidRPr="00C9343F" w:rsidRDefault="00083B82" w:rsidP="00F66D98">
            <w:pPr>
              <w:pStyle w:val="BlockText-Plain"/>
              <w:rPr>
                <w:lang w:eastAsia="en-US"/>
              </w:rPr>
            </w:pPr>
            <w:r w:rsidRPr="00C9343F">
              <w:rPr>
                <w:lang w:eastAsia="en-US"/>
              </w:rPr>
              <w:t>The member is one of the following.</w:t>
            </w:r>
          </w:p>
        </w:tc>
      </w:tr>
      <w:tr w:rsidR="00083B82" w:rsidRPr="00C9343F" w14:paraId="425A6EE1"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1922FD30" w14:textId="77777777" w:rsidR="00083B82" w:rsidRPr="00C9343F" w:rsidRDefault="00083B82" w:rsidP="00F66D98">
            <w:pPr>
              <w:pStyle w:val="BlockText-Plain"/>
            </w:pPr>
          </w:p>
        </w:tc>
        <w:tc>
          <w:tcPr>
            <w:tcW w:w="567" w:type="dxa"/>
          </w:tcPr>
          <w:p w14:paraId="6E57CD16" w14:textId="77777777" w:rsidR="00083B82" w:rsidRPr="00C9343F" w:rsidRDefault="00083B82" w:rsidP="00F66D98">
            <w:pPr>
              <w:pStyle w:val="BlockText-Plain"/>
            </w:pPr>
            <w:r w:rsidRPr="00C9343F">
              <w:t>i.</w:t>
            </w:r>
          </w:p>
        </w:tc>
        <w:tc>
          <w:tcPr>
            <w:tcW w:w="7232" w:type="dxa"/>
          </w:tcPr>
          <w:p w14:paraId="3963BD1A" w14:textId="77777777" w:rsidR="00083B82" w:rsidRPr="00C9343F" w:rsidRDefault="00083B82" w:rsidP="00F66D98">
            <w:pPr>
              <w:pStyle w:val="BlockText-Plain"/>
              <w:rPr>
                <w:lang w:eastAsia="en-US"/>
              </w:rPr>
            </w:pPr>
            <w:r w:rsidRPr="00C9343F">
              <w:rPr>
                <w:lang w:eastAsia="en-US"/>
              </w:rPr>
              <w:t xml:space="preserve">The member is in the Pilot – Competency Progression employment category under </w:t>
            </w:r>
            <w:r w:rsidRPr="00C9343F">
              <w:t xml:space="preserve">Schedule B.3 </w:t>
            </w:r>
            <w:r w:rsidRPr="00C9343F">
              <w:rPr>
                <w:lang w:eastAsia="en-US"/>
              </w:rPr>
              <w:t xml:space="preserve">Part 2 </w:t>
            </w:r>
            <w:r w:rsidRPr="00C9343F">
              <w:t xml:space="preserve">of </w:t>
            </w:r>
            <w:r w:rsidRPr="00C9343F">
              <w:rPr>
                <w:lang w:eastAsia="en-US"/>
              </w:rPr>
              <w:t xml:space="preserve">DFRT Determination No. 2 of 2017, </w:t>
            </w:r>
            <w:r w:rsidRPr="00C9343F">
              <w:rPr>
                <w:i/>
                <w:lang w:eastAsia="en-US"/>
              </w:rPr>
              <w:t>Salaries</w:t>
            </w:r>
            <w:r w:rsidRPr="00C9343F">
              <w:t>.</w:t>
            </w:r>
          </w:p>
        </w:tc>
      </w:tr>
      <w:tr w:rsidR="00083B82" w:rsidRPr="00C9343F" w14:paraId="7902D9C4"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225C7ED0" w14:textId="77777777" w:rsidR="00083B82" w:rsidRPr="00C9343F" w:rsidRDefault="00083B82" w:rsidP="00F66D98">
            <w:pPr>
              <w:pStyle w:val="BlockText-Plain"/>
            </w:pPr>
          </w:p>
        </w:tc>
        <w:tc>
          <w:tcPr>
            <w:tcW w:w="567" w:type="dxa"/>
          </w:tcPr>
          <w:p w14:paraId="5179B991" w14:textId="77777777" w:rsidR="00083B82" w:rsidRPr="00C9343F" w:rsidRDefault="00083B82" w:rsidP="00F66D98">
            <w:pPr>
              <w:pStyle w:val="BlockText-Plain"/>
            </w:pPr>
            <w:r w:rsidRPr="00C9343F">
              <w:t>ii.</w:t>
            </w:r>
          </w:p>
        </w:tc>
        <w:tc>
          <w:tcPr>
            <w:tcW w:w="7232" w:type="dxa"/>
          </w:tcPr>
          <w:p w14:paraId="45D0DEDF" w14:textId="77777777" w:rsidR="00083B82" w:rsidRPr="00C9343F" w:rsidRDefault="00083B82" w:rsidP="00F66D98">
            <w:pPr>
              <w:pStyle w:val="BlockText-Plain"/>
              <w:rPr>
                <w:lang w:eastAsia="en-US"/>
              </w:rPr>
            </w:pPr>
            <w:r w:rsidRPr="00C9343F">
              <w:rPr>
                <w:lang w:eastAsia="en-US"/>
              </w:rPr>
              <w:t xml:space="preserve">The member is in the Pilot – Time Based Progression employment category under </w:t>
            </w:r>
            <w:r w:rsidRPr="00C9343F">
              <w:t xml:space="preserve">Schedule B.3 </w:t>
            </w:r>
            <w:r w:rsidRPr="00C9343F">
              <w:rPr>
                <w:lang w:eastAsia="en-US"/>
              </w:rPr>
              <w:t xml:space="preserve">Part 2 </w:t>
            </w:r>
            <w:r w:rsidRPr="00C9343F">
              <w:t xml:space="preserve">of </w:t>
            </w:r>
            <w:r w:rsidRPr="00C9343F">
              <w:rPr>
                <w:lang w:eastAsia="en-US"/>
              </w:rPr>
              <w:t xml:space="preserve">DFRT Determination No. 2 of 2017, </w:t>
            </w:r>
            <w:r w:rsidRPr="00C9343F">
              <w:rPr>
                <w:i/>
                <w:lang w:eastAsia="en-US"/>
              </w:rPr>
              <w:t>Salaries</w:t>
            </w:r>
            <w:r w:rsidRPr="00C9343F">
              <w:rPr>
                <w:lang w:eastAsia="en-US"/>
              </w:rPr>
              <w:t>, and agrees to transfer to the Officer Aviation Pay Structure</w:t>
            </w:r>
            <w:r w:rsidRPr="00C9343F">
              <w:t>.</w:t>
            </w:r>
          </w:p>
        </w:tc>
      </w:tr>
      <w:tr w:rsidR="00083B82" w:rsidRPr="00C9343F" w14:paraId="45C3A432" w14:textId="77777777" w:rsidTr="00F945FD">
        <w:trPr>
          <w:cantSplit/>
        </w:trPr>
        <w:tc>
          <w:tcPr>
            <w:tcW w:w="993" w:type="dxa"/>
            <w:tcMar>
              <w:top w:w="0" w:type="dxa"/>
              <w:left w:w="108" w:type="dxa"/>
              <w:bottom w:w="0" w:type="dxa"/>
              <w:right w:w="108" w:type="dxa"/>
            </w:tcMar>
          </w:tcPr>
          <w:p w14:paraId="7D691C5A"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4471951E" w14:textId="77777777" w:rsidR="00083B82" w:rsidRPr="00C9343F" w:rsidRDefault="00083B82" w:rsidP="007114B1">
            <w:pPr>
              <w:pStyle w:val="BlockText-Plain"/>
              <w:jc w:val="center"/>
              <w:rPr>
                <w:lang w:eastAsia="en-US"/>
              </w:rPr>
            </w:pPr>
            <w:r w:rsidRPr="00C9343F">
              <w:rPr>
                <w:lang w:eastAsia="en-US"/>
              </w:rPr>
              <w:t>c.</w:t>
            </w:r>
          </w:p>
        </w:tc>
        <w:tc>
          <w:tcPr>
            <w:tcW w:w="7799" w:type="dxa"/>
            <w:gridSpan w:val="2"/>
            <w:tcMar>
              <w:top w:w="0" w:type="dxa"/>
              <w:left w:w="108" w:type="dxa"/>
              <w:bottom w:w="0" w:type="dxa"/>
              <w:right w:w="108" w:type="dxa"/>
            </w:tcMar>
          </w:tcPr>
          <w:p w14:paraId="54727371" w14:textId="77777777" w:rsidR="00083B82" w:rsidRPr="00C9343F" w:rsidRDefault="00083B82" w:rsidP="00F66D98">
            <w:pPr>
              <w:pStyle w:val="BlockText-Plain"/>
              <w:rPr>
                <w:lang w:eastAsia="en-US"/>
              </w:rPr>
            </w:pPr>
            <w:r w:rsidRPr="00C9343F">
              <w:rPr>
                <w:lang w:eastAsia="en-US"/>
              </w:rPr>
              <w:t>The member meets either of the following.</w:t>
            </w:r>
          </w:p>
        </w:tc>
      </w:tr>
      <w:tr w:rsidR="00083B82" w:rsidRPr="00C9343F" w14:paraId="16A580D7" w14:textId="77777777" w:rsidTr="00F945FD">
        <w:tblPrEx>
          <w:tblCellMar>
            <w:left w:w="108" w:type="dxa"/>
            <w:right w:w="108" w:type="dxa"/>
          </w:tblCellMar>
        </w:tblPrEx>
        <w:trPr>
          <w:cantSplit/>
        </w:trPr>
        <w:tc>
          <w:tcPr>
            <w:tcW w:w="1566" w:type="dxa"/>
            <w:gridSpan w:val="2"/>
          </w:tcPr>
          <w:p w14:paraId="7D7EEC73" w14:textId="77777777" w:rsidR="00083B82" w:rsidRPr="00C9343F" w:rsidRDefault="00083B82" w:rsidP="00F66D98">
            <w:pPr>
              <w:pStyle w:val="BlockText-Plain"/>
              <w:spacing w:line="276" w:lineRule="auto"/>
              <w:rPr>
                <w:lang w:eastAsia="en-US"/>
              </w:rPr>
            </w:pPr>
          </w:p>
        </w:tc>
        <w:tc>
          <w:tcPr>
            <w:tcW w:w="567" w:type="dxa"/>
          </w:tcPr>
          <w:p w14:paraId="0941F343" w14:textId="77777777" w:rsidR="00083B82" w:rsidRPr="00C9343F" w:rsidRDefault="00083B82" w:rsidP="00E62EB5">
            <w:pPr>
              <w:pStyle w:val="BlockText-Plain"/>
              <w:rPr>
                <w:lang w:eastAsia="en-US"/>
              </w:rPr>
            </w:pPr>
            <w:r w:rsidRPr="00C9343F">
              <w:rPr>
                <w:lang w:eastAsia="en-US"/>
              </w:rPr>
              <w:t>i.</w:t>
            </w:r>
          </w:p>
        </w:tc>
        <w:tc>
          <w:tcPr>
            <w:tcW w:w="7232" w:type="dxa"/>
          </w:tcPr>
          <w:p w14:paraId="421E1201" w14:textId="77777777" w:rsidR="00083B82" w:rsidRPr="00C9343F" w:rsidRDefault="00083B82" w:rsidP="00F66D98">
            <w:pPr>
              <w:pStyle w:val="BlockText-Plain"/>
              <w:rPr>
                <w:lang w:eastAsia="en-US"/>
              </w:rPr>
            </w:pPr>
            <w:r w:rsidRPr="00C9343F">
              <w:rPr>
                <w:lang w:eastAsia="en-US"/>
              </w:rPr>
              <w:t>The member is a qualified test pilot or flight instructor.</w:t>
            </w:r>
          </w:p>
        </w:tc>
      </w:tr>
      <w:tr w:rsidR="00083B82" w:rsidRPr="00C9343F" w14:paraId="3C0BE607" w14:textId="77777777" w:rsidTr="00F945FD">
        <w:tblPrEx>
          <w:tblCellMar>
            <w:left w:w="108" w:type="dxa"/>
            <w:right w:w="108" w:type="dxa"/>
          </w:tblCellMar>
        </w:tblPrEx>
        <w:trPr>
          <w:cantSplit/>
        </w:trPr>
        <w:tc>
          <w:tcPr>
            <w:tcW w:w="1566" w:type="dxa"/>
            <w:gridSpan w:val="2"/>
          </w:tcPr>
          <w:p w14:paraId="664C6EBA" w14:textId="77777777" w:rsidR="00083B82" w:rsidRPr="00C9343F" w:rsidRDefault="00083B82" w:rsidP="00F66D98">
            <w:pPr>
              <w:pStyle w:val="BlockText-Plain"/>
              <w:spacing w:line="276" w:lineRule="auto"/>
              <w:rPr>
                <w:lang w:eastAsia="en-US"/>
              </w:rPr>
            </w:pPr>
          </w:p>
        </w:tc>
        <w:tc>
          <w:tcPr>
            <w:tcW w:w="567" w:type="dxa"/>
          </w:tcPr>
          <w:p w14:paraId="1D40BF5F" w14:textId="77777777" w:rsidR="00083B82" w:rsidRPr="00C9343F" w:rsidRDefault="00083B82" w:rsidP="00E62EB5">
            <w:pPr>
              <w:pStyle w:val="BlockText-Plain"/>
              <w:rPr>
                <w:lang w:eastAsia="en-US"/>
              </w:rPr>
            </w:pPr>
            <w:r w:rsidRPr="00C9343F">
              <w:rPr>
                <w:lang w:eastAsia="en-US"/>
              </w:rPr>
              <w:t>ii.</w:t>
            </w:r>
          </w:p>
        </w:tc>
        <w:tc>
          <w:tcPr>
            <w:tcW w:w="7232" w:type="dxa"/>
          </w:tcPr>
          <w:p w14:paraId="57FA6545" w14:textId="77777777" w:rsidR="00083B82" w:rsidRPr="00C9343F" w:rsidRDefault="00083B82" w:rsidP="00F66D98">
            <w:pPr>
              <w:pStyle w:val="BlockText-Plain"/>
              <w:rPr>
                <w:lang w:eastAsia="en-US"/>
              </w:rPr>
            </w:pPr>
            <w:r w:rsidRPr="00C9343F">
              <w:rPr>
                <w:lang w:eastAsia="en-US"/>
              </w:rPr>
              <w:t>The member has been selected by the Personnel Capability Management Board as a regimental pilot.</w:t>
            </w:r>
          </w:p>
        </w:tc>
      </w:tr>
      <w:tr w:rsidR="00083B82" w:rsidRPr="00C9343F" w14:paraId="4B7A5A66" w14:textId="77777777" w:rsidTr="00F945FD">
        <w:trPr>
          <w:cantSplit/>
        </w:trPr>
        <w:tc>
          <w:tcPr>
            <w:tcW w:w="993" w:type="dxa"/>
            <w:tcMar>
              <w:top w:w="0" w:type="dxa"/>
              <w:left w:w="108" w:type="dxa"/>
              <w:bottom w:w="0" w:type="dxa"/>
              <w:right w:w="108" w:type="dxa"/>
            </w:tcMar>
          </w:tcPr>
          <w:p w14:paraId="2F846BD7"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0629F405" w14:textId="77777777" w:rsidR="00083B82" w:rsidRPr="00C9343F" w:rsidRDefault="00083B82" w:rsidP="007114B1">
            <w:pPr>
              <w:pStyle w:val="BlockText-Plain"/>
              <w:jc w:val="center"/>
              <w:rPr>
                <w:lang w:eastAsia="en-US"/>
              </w:rPr>
            </w:pPr>
            <w:r w:rsidRPr="00C9343F">
              <w:rPr>
                <w:lang w:eastAsia="en-US"/>
              </w:rPr>
              <w:t>d.</w:t>
            </w:r>
          </w:p>
        </w:tc>
        <w:tc>
          <w:tcPr>
            <w:tcW w:w="7799" w:type="dxa"/>
            <w:gridSpan w:val="2"/>
            <w:tcMar>
              <w:top w:w="0" w:type="dxa"/>
              <w:left w:w="108" w:type="dxa"/>
              <w:bottom w:w="0" w:type="dxa"/>
              <w:right w:w="108" w:type="dxa"/>
            </w:tcMar>
          </w:tcPr>
          <w:p w14:paraId="12832049" w14:textId="77777777" w:rsidR="00083B82" w:rsidRPr="00C9343F" w:rsidRDefault="00083B82" w:rsidP="00F66D98">
            <w:pPr>
              <w:pStyle w:val="BlockText-Plain"/>
              <w:rPr>
                <w:lang w:eastAsia="en-US"/>
              </w:rPr>
            </w:pPr>
            <w:r w:rsidRPr="00C9343F">
              <w:rPr>
                <w:lang w:eastAsia="en-US"/>
              </w:rPr>
              <w:t>The member has held one of the following appointments in the generalist stream of the Army Aviation Officer Employment Specification.</w:t>
            </w:r>
          </w:p>
        </w:tc>
      </w:tr>
      <w:tr w:rsidR="00083B82" w:rsidRPr="00C9343F" w14:paraId="15BCF637"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2FEAD8A4" w14:textId="77777777" w:rsidR="00083B82" w:rsidRPr="00C9343F" w:rsidRDefault="00083B82" w:rsidP="00F66D98">
            <w:pPr>
              <w:pStyle w:val="BlockText-Plain"/>
            </w:pPr>
          </w:p>
        </w:tc>
        <w:tc>
          <w:tcPr>
            <w:tcW w:w="567" w:type="dxa"/>
          </w:tcPr>
          <w:p w14:paraId="5F85E065" w14:textId="77777777" w:rsidR="00083B82" w:rsidRPr="00C9343F" w:rsidRDefault="00083B82" w:rsidP="00F66D98">
            <w:pPr>
              <w:pStyle w:val="BlockText-Plain"/>
            </w:pPr>
            <w:r w:rsidRPr="00C9343F">
              <w:t>i.</w:t>
            </w:r>
          </w:p>
        </w:tc>
        <w:tc>
          <w:tcPr>
            <w:tcW w:w="7232" w:type="dxa"/>
          </w:tcPr>
          <w:p w14:paraId="2DFE7436" w14:textId="77777777" w:rsidR="00083B82" w:rsidRPr="00C9343F" w:rsidRDefault="00083B82" w:rsidP="00F66D98">
            <w:pPr>
              <w:pStyle w:val="BlockText-Plain"/>
              <w:rPr>
                <w:lang w:eastAsia="en-US"/>
              </w:rPr>
            </w:pPr>
            <w:r w:rsidRPr="00C9343F">
              <w:rPr>
                <w:lang w:eastAsia="en-US"/>
              </w:rPr>
              <w:t xml:space="preserve">Aviation troop command for 12 months or more. </w:t>
            </w:r>
          </w:p>
        </w:tc>
      </w:tr>
      <w:tr w:rsidR="00083B82" w:rsidRPr="00C9343F" w14:paraId="0876155A"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0D3E511C" w14:textId="77777777" w:rsidR="00083B82" w:rsidRPr="00C9343F" w:rsidRDefault="00083B82" w:rsidP="00F66D98">
            <w:pPr>
              <w:pStyle w:val="BlockText-Plain"/>
            </w:pPr>
          </w:p>
        </w:tc>
        <w:tc>
          <w:tcPr>
            <w:tcW w:w="567" w:type="dxa"/>
          </w:tcPr>
          <w:p w14:paraId="2ABA4A55" w14:textId="77777777" w:rsidR="00083B82" w:rsidRPr="00C9343F" w:rsidRDefault="00083B82" w:rsidP="00F66D98">
            <w:pPr>
              <w:pStyle w:val="BlockText-Plain"/>
            </w:pPr>
            <w:r w:rsidRPr="00C9343F">
              <w:t>ii.</w:t>
            </w:r>
          </w:p>
        </w:tc>
        <w:tc>
          <w:tcPr>
            <w:tcW w:w="7232" w:type="dxa"/>
          </w:tcPr>
          <w:p w14:paraId="47C26A55" w14:textId="77777777" w:rsidR="00083B82" w:rsidRPr="00C9343F" w:rsidRDefault="00083B82" w:rsidP="00F66D98">
            <w:pPr>
              <w:pStyle w:val="BlockText-Plain"/>
              <w:rPr>
                <w:lang w:eastAsia="en-US"/>
              </w:rPr>
            </w:pPr>
            <w:r w:rsidRPr="00C9343F">
              <w:rPr>
                <w:lang w:eastAsia="en-US"/>
              </w:rPr>
              <w:t>Aviation sub-unit command.</w:t>
            </w:r>
          </w:p>
        </w:tc>
      </w:tr>
      <w:tr w:rsidR="00083B82" w:rsidRPr="00C9343F" w14:paraId="156AA951" w14:textId="77777777" w:rsidTr="00F945FD">
        <w:tblPrEx>
          <w:tblCellMar>
            <w:left w:w="108" w:type="dxa"/>
            <w:right w:w="108" w:type="dxa"/>
          </w:tblCellMar>
          <w:tblLook w:val="0000" w:firstRow="0" w:lastRow="0" w:firstColumn="0" w:lastColumn="0" w:noHBand="0" w:noVBand="0"/>
        </w:tblPrEx>
        <w:trPr>
          <w:cantSplit/>
        </w:trPr>
        <w:tc>
          <w:tcPr>
            <w:tcW w:w="1566" w:type="dxa"/>
            <w:gridSpan w:val="2"/>
          </w:tcPr>
          <w:p w14:paraId="351DC256" w14:textId="77777777" w:rsidR="00083B82" w:rsidRPr="00C9343F" w:rsidRDefault="00083B82" w:rsidP="00F66D98">
            <w:pPr>
              <w:pStyle w:val="BlockText-Plain"/>
            </w:pPr>
          </w:p>
        </w:tc>
        <w:tc>
          <w:tcPr>
            <w:tcW w:w="567" w:type="dxa"/>
          </w:tcPr>
          <w:p w14:paraId="51B53043" w14:textId="77777777" w:rsidR="00083B82" w:rsidRPr="00C9343F" w:rsidRDefault="00083B82" w:rsidP="00F66D98">
            <w:pPr>
              <w:pStyle w:val="BlockText-Plain"/>
            </w:pPr>
            <w:r w:rsidRPr="00C9343F">
              <w:t>iii.</w:t>
            </w:r>
          </w:p>
        </w:tc>
        <w:tc>
          <w:tcPr>
            <w:tcW w:w="7232" w:type="dxa"/>
          </w:tcPr>
          <w:p w14:paraId="2F095E12" w14:textId="77777777" w:rsidR="00083B82" w:rsidRPr="00C9343F" w:rsidRDefault="00083B82" w:rsidP="00F66D98">
            <w:pPr>
              <w:pStyle w:val="BlockText-Plain"/>
              <w:rPr>
                <w:lang w:eastAsia="en-US"/>
              </w:rPr>
            </w:pPr>
            <w:r w:rsidRPr="00C9343F">
              <w:rPr>
                <w:lang w:eastAsia="en-US"/>
              </w:rPr>
              <w:t>Aviation unit command.</w:t>
            </w:r>
          </w:p>
        </w:tc>
      </w:tr>
      <w:tr w:rsidR="00083B82" w:rsidRPr="00C9343F" w14:paraId="7CCF2B3D" w14:textId="77777777" w:rsidTr="00F945FD">
        <w:trPr>
          <w:cantSplit/>
        </w:trPr>
        <w:tc>
          <w:tcPr>
            <w:tcW w:w="993" w:type="dxa"/>
            <w:tcMar>
              <w:top w:w="0" w:type="dxa"/>
              <w:left w:w="108" w:type="dxa"/>
              <w:bottom w:w="0" w:type="dxa"/>
              <w:right w:w="108" w:type="dxa"/>
            </w:tcMar>
          </w:tcPr>
          <w:p w14:paraId="37EE348F"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48632B43" w14:textId="15975351" w:rsidR="00083B82" w:rsidRPr="00C9343F" w:rsidRDefault="00083B82" w:rsidP="007114B1">
            <w:pPr>
              <w:pStyle w:val="BlockText-Plain"/>
              <w:jc w:val="center"/>
              <w:rPr>
                <w:lang w:eastAsia="en-US"/>
              </w:rPr>
            </w:pPr>
            <w:r w:rsidRPr="00C9343F">
              <w:rPr>
                <w:lang w:eastAsia="en-US"/>
              </w:rPr>
              <w:t>e.</w:t>
            </w:r>
          </w:p>
        </w:tc>
        <w:tc>
          <w:tcPr>
            <w:tcW w:w="7799" w:type="dxa"/>
            <w:gridSpan w:val="2"/>
            <w:tcMar>
              <w:top w:w="0" w:type="dxa"/>
              <w:left w:w="108" w:type="dxa"/>
              <w:bottom w:w="0" w:type="dxa"/>
              <w:right w:w="108" w:type="dxa"/>
            </w:tcMar>
          </w:tcPr>
          <w:p w14:paraId="1F7F96F6" w14:textId="77777777" w:rsidR="00083B82" w:rsidRPr="00C9343F" w:rsidRDefault="00083B82" w:rsidP="00F66D98">
            <w:pPr>
              <w:pStyle w:val="BlockText-Plain"/>
              <w:rPr>
                <w:lang w:eastAsia="en-US"/>
              </w:rPr>
            </w:pPr>
            <w:r w:rsidRPr="00C9343F">
              <w:rPr>
                <w:lang w:eastAsia="en-US"/>
              </w:rPr>
              <w:t>The member is in the specialist stream of the Army Aviation Officer Employment Specification.</w:t>
            </w:r>
          </w:p>
        </w:tc>
      </w:tr>
      <w:tr w:rsidR="00083B82" w:rsidRPr="00C9343F" w14:paraId="19BD97C9" w14:textId="77777777" w:rsidTr="00F945FD">
        <w:trPr>
          <w:cantSplit/>
        </w:trPr>
        <w:tc>
          <w:tcPr>
            <w:tcW w:w="993" w:type="dxa"/>
            <w:tcMar>
              <w:top w:w="0" w:type="dxa"/>
              <w:left w:w="108" w:type="dxa"/>
              <w:bottom w:w="0" w:type="dxa"/>
              <w:right w:w="108" w:type="dxa"/>
            </w:tcMar>
          </w:tcPr>
          <w:p w14:paraId="32BAB521"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3FC3711B" w14:textId="77777777" w:rsidR="00083B82" w:rsidRPr="00C9343F" w:rsidRDefault="00083B82" w:rsidP="007114B1">
            <w:pPr>
              <w:pStyle w:val="BlockText-Plain"/>
              <w:jc w:val="center"/>
              <w:rPr>
                <w:lang w:eastAsia="en-US"/>
              </w:rPr>
            </w:pPr>
            <w:r w:rsidRPr="00C9343F">
              <w:rPr>
                <w:lang w:eastAsia="en-US"/>
              </w:rPr>
              <w:t>f.</w:t>
            </w:r>
          </w:p>
        </w:tc>
        <w:tc>
          <w:tcPr>
            <w:tcW w:w="7799" w:type="dxa"/>
            <w:gridSpan w:val="2"/>
            <w:tcMar>
              <w:top w:w="0" w:type="dxa"/>
              <w:left w:w="108" w:type="dxa"/>
              <w:bottom w:w="0" w:type="dxa"/>
              <w:right w:w="108" w:type="dxa"/>
            </w:tcMar>
          </w:tcPr>
          <w:p w14:paraId="47D6E28A" w14:textId="77777777" w:rsidR="00083B82" w:rsidRPr="00C9343F" w:rsidRDefault="00083B82" w:rsidP="00F66D98">
            <w:pPr>
              <w:pStyle w:val="BlockText-Plain"/>
              <w:rPr>
                <w:lang w:eastAsia="en-US"/>
              </w:rPr>
            </w:pPr>
            <w:r w:rsidRPr="00C9343F">
              <w:rPr>
                <w:lang w:eastAsia="en-US"/>
              </w:rPr>
              <w:t>The member's rate of salary for the relevant Officer Aviation increment, as calculated in the applicable of subsections 4 to 7, is equal to or greater than the member's rate of salary immediately before their transfer into the Officer Aviation Pay Structure.</w:t>
            </w:r>
          </w:p>
        </w:tc>
      </w:tr>
      <w:tr w:rsidR="00083B82" w:rsidRPr="00C9343F" w14:paraId="691C51E3" w14:textId="77777777" w:rsidTr="00F945FD">
        <w:tc>
          <w:tcPr>
            <w:tcW w:w="993" w:type="dxa"/>
            <w:tcMar>
              <w:top w:w="0" w:type="dxa"/>
              <w:left w:w="108" w:type="dxa"/>
              <w:bottom w:w="0" w:type="dxa"/>
              <w:right w:w="108" w:type="dxa"/>
            </w:tcMar>
          </w:tcPr>
          <w:p w14:paraId="1974B0B8" w14:textId="77777777" w:rsidR="00083B82" w:rsidRPr="00C9343F" w:rsidRDefault="00083B82" w:rsidP="00F66D98">
            <w:pPr>
              <w:pStyle w:val="BlockText-Plain"/>
              <w:jc w:val="center"/>
              <w:rPr>
                <w:lang w:eastAsia="en-US"/>
              </w:rPr>
            </w:pPr>
            <w:r w:rsidRPr="00C9343F">
              <w:rPr>
                <w:lang w:eastAsia="en-US"/>
              </w:rPr>
              <w:t>4.</w:t>
            </w:r>
          </w:p>
        </w:tc>
        <w:tc>
          <w:tcPr>
            <w:tcW w:w="8372" w:type="dxa"/>
            <w:gridSpan w:val="3"/>
            <w:tcMar>
              <w:top w:w="0" w:type="dxa"/>
              <w:left w:w="108" w:type="dxa"/>
              <w:bottom w:w="0" w:type="dxa"/>
              <w:right w:w="108" w:type="dxa"/>
            </w:tcMar>
          </w:tcPr>
          <w:p w14:paraId="2CAC4D40" w14:textId="77777777" w:rsidR="00083B82" w:rsidRPr="00C9343F" w:rsidRDefault="00083B82" w:rsidP="00F66D98">
            <w:pPr>
              <w:pStyle w:val="BlockText-Plain"/>
              <w:rPr>
                <w:lang w:eastAsia="en-US"/>
              </w:rPr>
            </w:pPr>
            <w:r w:rsidRPr="00C9343F">
              <w:rPr>
                <w:lang w:eastAsia="en-US"/>
              </w:rPr>
              <w:t>Subsection 5 applies to a member who meets all of the following conditions.</w:t>
            </w:r>
          </w:p>
        </w:tc>
      </w:tr>
      <w:tr w:rsidR="00083B82" w:rsidRPr="00C9343F" w14:paraId="78AC3007" w14:textId="77777777" w:rsidTr="00F945FD">
        <w:trPr>
          <w:cantSplit/>
        </w:trPr>
        <w:tc>
          <w:tcPr>
            <w:tcW w:w="993" w:type="dxa"/>
            <w:tcMar>
              <w:top w:w="0" w:type="dxa"/>
              <w:left w:w="108" w:type="dxa"/>
              <w:bottom w:w="0" w:type="dxa"/>
              <w:right w:w="108" w:type="dxa"/>
            </w:tcMar>
          </w:tcPr>
          <w:p w14:paraId="7E7E4FCC"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4EC8393F" w14:textId="77777777" w:rsidR="00083B82" w:rsidRPr="00C9343F" w:rsidRDefault="00083B82" w:rsidP="007114B1">
            <w:pPr>
              <w:pStyle w:val="BlockText-Plain"/>
              <w:jc w:val="center"/>
              <w:rPr>
                <w:lang w:eastAsia="en-US"/>
              </w:rPr>
            </w:pPr>
            <w:r w:rsidRPr="00C9343F">
              <w:rPr>
                <w:lang w:eastAsia="en-US"/>
              </w:rPr>
              <w:t>a.</w:t>
            </w:r>
          </w:p>
        </w:tc>
        <w:tc>
          <w:tcPr>
            <w:tcW w:w="7799" w:type="dxa"/>
            <w:gridSpan w:val="2"/>
            <w:tcMar>
              <w:top w:w="0" w:type="dxa"/>
              <w:left w:w="108" w:type="dxa"/>
              <w:bottom w:w="0" w:type="dxa"/>
              <w:right w:w="108" w:type="dxa"/>
            </w:tcMar>
          </w:tcPr>
          <w:p w14:paraId="724914B4" w14:textId="77777777" w:rsidR="00083B82" w:rsidRPr="00C9343F" w:rsidRDefault="00083B82" w:rsidP="00F66D98">
            <w:pPr>
              <w:pStyle w:val="BlockText-Plain"/>
              <w:rPr>
                <w:lang w:eastAsia="en-US"/>
              </w:rPr>
            </w:pPr>
            <w:r w:rsidRPr="00C9343F">
              <w:rPr>
                <w:lang w:eastAsia="en-US"/>
              </w:rPr>
              <w:t>The member has held the rank of Captain for six or more years.</w:t>
            </w:r>
          </w:p>
        </w:tc>
      </w:tr>
      <w:tr w:rsidR="00083B82" w:rsidRPr="00C9343F" w14:paraId="75E18FCC" w14:textId="77777777" w:rsidTr="00F945FD">
        <w:trPr>
          <w:cantSplit/>
        </w:trPr>
        <w:tc>
          <w:tcPr>
            <w:tcW w:w="993" w:type="dxa"/>
            <w:tcMar>
              <w:top w:w="0" w:type="dxa"/>
              <w:left w:w="108" w:type="dxa"/>
              <w:bottom w:w="0" w:type="dxa"/>
              <w:right w:w="108" w:type="dxa"/>
            </w:tcMar>
          </w:tcPr>
          <w:p w14:paraId="00BB7974"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332F02D3" w14:textId="77777777" w:rsidR="00083B82" w:rsidRPr="00C9343F" w:rsidRDefault="00083B82" w:rsidP="007114B1">
            <w:pPr>
              <w:pStyle w:val="BlockText-Plain"/>
              <w:jc w:val="center"/>
              <w:rPr>
                <w:lang w:eastAsia="en-US"/>
              </w:rPr>
            </w:pPr>
            <w:r w:rsidRPr="00C9343F">
              <w:rPr>
                <w:lang w:eastAsia="en-US"/>
              </w:rPr>
              <w:t>b.</w:t>
            </w:r>
          </w:p>
        </w:tc>
        <w:tc>
          <w:tcPr>
            <w:tcW w:w="7799" w:type="dxa"/>
            <w:gridSpan w:val="2"/>
            <w:tcMar>
              <w:top w:w="0" w:type="dxa"/>
              <w:left w:w="108" w:type="dxa"/>
              <w:bottom w:w="0" w:type="dxa"/>
              <w:right w:w="108" w:type="dxa"/>
            </w:tcMar>
          </w:tcPr>
          <w:p w14:paraId="2D8C2E86" w14:textId="77777777" w:rsidR="00083B82" w:rsidRPr="00C9343F" w:rsidRDefault="00083B82" w:rsidP="00F66D98">
            <w:pPr>
              <w:pStyle w:val="BlockText-Plain"/>
              <w:rPr>
                <w:lang w:eastAsia="en-US"/>
              </w:rPr>
            </w:pPr>
            <w:r w:rsidRPr="00C9343F">
              <w:rPr>
                <w:lang w:eastAsia="en-US"/>
              </w:rPr>
              <w:t>The member has held an aviation troop command appointment.</w:t>
            </w:r>
          </w:p>
        </w:tc>
      </w:tr>
      <w:tr w:rsidR="00083B82" w:rsidRPr="00C9343F" w14:paraId="0047B9B4" w14:textId="77777777" w:rsidTr="00F945FD">
        <w:trPr>
          <w:cantSplit/>
        </w:trPr>
        <w:tc>
          <w:tcPr>
            <w:tcW w:w="993" w:type="dxa"/>
            <w:tcMar>
              <w:top w:w="0" w:type="dxa"/>
              <w:left w:w="108" w:type="dxa"/>
              <w:bottom w:w="0" w:type="dxa"/>
              <w:right w:w="108" w:type="dxa"/>
            </w:tcMar>
          </w:tcPr>
          <w:p w14:paraId="695687BF"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37A28B92" w14:textId="77777777" w:rsidR="00083B82" w:rsidRPr="00C9343F" w:rsidRDefault="00083B82" w:rsidP="007114B1">
            <w:pPr>
              <w:pStyle w:val="BlockText-Plain"/>
              <w:jc w:val="center"/>
              <w:rPr>
                <w:lang w:eastAsia="en-US"/>
              </w:rPr>
            </w:pPr>
            <w:r w:rsidRPr="00C9343F">
              <w:rPr>
                <w:lang w:eastAsia="en-US"/>
              </w:rPr>
              <w:t>c.</w:t>
            </w:r>
          </w:p>
        </w:tc>
        <w:tc>
          <w:tcPr>
            <w:tcW w:w="7799" w:type="dxa"/>
            <w:gridSpan w:val="2"/>
            <w:tcMar>
              <w:top w:w="0" w:type="dxa"/>
              <w:left w:w="108" w:type="dxa"/>
              <w:bottom w:w="0" w:type="dxa"/>
              <w:right w:w="108" w:type="dxa"/>
            </w:tcMar>
          </w:tcPr>
          <w:p w14:paraId="71D12A11" w14:textId="77777777" w:rsidR="00083B82" w:rsidRPr="00C9343F" w:rsidRDefault="00083B82" w:rsidP="00F66D98">
            <w:pPr>
              <w:pStyle w:val="BlockText-Plain"/>
              <w:rPr>
                <w:lang w:eastAsia="en-US"/>
              </w:rPr>
            </w:pPr>
            <w:r w:rsidRPr="00C9343F">
              <w:rPr>
                <w:lang w:eastAsia="en-US"/>
              </w:rPr>
              <w:t>The member qualified as a test pilot or flight instructor or was selected as a regimental pilot after they met the conditions in paragraphs a. and b.</w:t>
            </w:r>
          </w:p>
        </w:tc>
      </w:tr>
      <w:tr w:rsidR="00083B82" w:rsidRPr="00C9343F" w14:paraId="76C30BCE" w14:textId="77777777" w:rsidTr="00F945FD">
        <w:tc>
          <w:tcPr>
            <w:tcW w:w="993" w:type="dxa"/>
            <w:tcMar>
              <w:top w:w="0" w:type="dxa"/>
              <w:left w:w="108" w:type="dxa"/>
              <w:bottom w:w="0" w:type="dxa"/>
              <w:right w:w="108" w:type="dxa"/>
            </w:tcMar>
          </w:tcPr>
          <w:p w14:paraId="5AABD4AD" w14:textId="77777777" w:rsidR="00083B82" w:rsidRPr="00C9343F" w:rsidRDefault="00083B82" w:rsidP="00F66D98">
            <w:pPr>
              <w:pStyle w:val="BlockText-Plain"/>
              <w:jc w:val="center"/>
              <w:rPr>
                <w:lang w:eastAsia="en-US"/>
              </w:rPr>
            </w:pPr>
            <w:r w:rsidRPr="00C9343F">
              <w:rPr>
                <w:lang w:eastAsia="en-US"/>
              </w:rPr>
              <w:t>5.</w:t>
            </w:r>
          </w:p>
        </w:tc>
        <w:tc>
          <w:tcPr>
            <w:tcW w:w="8372" w:type="dxa"/>
            <w:gridSpan w:val="3"/>
            <w:tcMar>
              <w:top w:w="0" w:type="dxa"/>
              <w:left w:w="108" w:type="dxa"/>
              <w:bottom w:w="0" w:type="dxa"/>
              <w:right w:w="108" w:type="dxa"/>
            </w:tcMar>
          </w:tcPr>
          <w:p w14:paraId="0D0AEA16" w14:textId="77777777" w:rsidR="00083B82" w:rsidRPr="00C9343F" w:rsidRDefault="00083B82" w:rsidP="00F66D98">
            <w:pPr>
              <w:pStyle w:val="BlockText-Plain"/>
              <w:rPr>
                <w:lang w:eastAsia="en-US"/>
              </w:rPr>
            </w:pPr>
            <w:r w:rsidRPr="00C9343F">
              <w:rPr>
                <w:lang w:eastAsia="en-US"/>
              </w:rPr>
              <w:t>The relevant of the following Officer Aviation increments applies to the member.</w:t>
            </w:r>
          </w:p>
        </w:tc>
      </w:tr>
      <w:tr w:rsidR="00083B82" w:rsidRPr="00C9343F" w14:paraId="48D3E2BD" w14:textId="77777777" w:rsidTr="00F945FD">
        <w:trPr>
          <w:cantSplit/>
        </w:trPr>
        <w:tc>
          <w:tcPr>
            <w:tcW w:w="993" w:type="dxa"/>
            <w:tcMar>
              <w:top w:w="0" w:type="dxa"/>
              <w:left w:w="108" w:type="dxa"/>
              <w:bottom w:w="0" w:type="dxa"/>
              <w:right w:w="108" w:type="dxa"/>
            </w:tcMar>
          </w:tcPr>
          <w:p w14:paraId="33A8D86B"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6F836100" w14:textId="77777777" w:rsidR="00083B82" w:rsidRPr="00C9343F" w:rsidRDefault="00083B82" w:rsidP="007114B1">
            <w:pPr>
              <w:pStyle w:val="BlockText-Plain"/>
              <w:jc w:val="center"/>
              <w:rPr>
                <w:lang w:eastAsia="en-US"/>
              </w:rPr>
            </w:pPr>
            <w:r w:rsidRPr="00C9343F">
              <w:rPr>
                <w:lang w:eastAsia="en-US"/>
              </w:rPr>
              <w:t>a.</w:t>
            </w:r>
          </w:p>
        </w:tc>
        <w:tc>
          <w:tcPr>
            <w:tcW w:w="7799" w:type="dxa"/>
            <w:gridSpan w:val="2"/>
            <w:tcMar>
              <w:top w:w="0" w:type="dxa"/>
              <w:left w:w="108" w:type="dxa"/>
              <w:bottom w:w="0" w:type="dxa"/>
              <w:right w:w="108" w:type="dxa"/>
            </w:tcMar>
          </w:tcPr>
          <w:p w14:paraId="1E2D3EEE" w14:textId="77777777" w:rsidR="00083B82" w:rsidRPr="00C9343F" w:rsidRDefault="00083B82" w:rsidP="00F66D98">
            <w:pPr>
              <w:pStyle w:val="BlockText-Plain"/>
              <w:rPr>
                <w:lang w:eastAsia="en-US"/>
              </w:rPr>
            </w:pPr>
            <w:r w:rsidRPr="00C9343F">
              <w:rPr>
                <w:lang w:eastAsia="en-US"/>
              </w:rPr>
              <w:t>If the member has less than 12 months experience as a test pilot, flight instructor or regimental pilot — the member has Officer Aviation increment OA19.</w:t>
            </w:r>
          </w:p>
        </w:tc>
      </w:tr>
      <w:tr w:rsidR="00083B82" w:rsidRPr="00C9343F" w14:paraId="61F97FBB" w14:textId="77777777" w:rsidTr="00F945FD">
        <w:trPr>
          <w:cantSplit/>
        </w:trPr>
        <w:tc>
          <w:tcPr>
            <w:tcW w:w="993" w:type="dxa"/>
            <w:tcMar>
              <w:top w:w="0" w:type="dxa"/>
              <w:left w:w="108" w:type="dxa"/>
              <w:bottom w:w="0" w:type="dxa"/>
              <w:right w:w="108" w:type="dxa"/>
            </w:tcMar>
          </w:tcPr>
          <w:p w14:paraId="03AE41EF"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4F24160F" w14:textId="77777777" w:rsidR="00083B82" w:rsidRPr="00C9343F" w:rsidRDefault="00083B82" w:rsidP="007114B1">
            <w:pPr>
              <w:pStyle w:val="BlockText-Plain"/>
              <w:jc w:val="center"/>
              <w:rPr>
                <w:lang w:eastAsia="en-US"/>
              </w:rPr>
            </w:pPr>
            <w:r w:rsidRPr="00C9343F">
              <w:rPr>
                <w:lang w:eastAsia="en-US"/>
              </w:rPr>
              <w:t>b.</w:t>
            </w:r>
          </w:p>
        </w:tc>
        <w:tc>
          <w:tcPr>
            <w:tcW w:w="7799" w:type="dxa"/>
            <w:gridSpan w:val="2"/>
            <w:tcMar>
              <w:top w:w="0" w:type="dxa"/>
              <w:left w:w="108" w:type="dxa"/>
              <w:bottom w:w="0" w:type="dxa"/>
              <w:right w:w="108" w:type="dxa"/>
            </w:tcMar>
          </w:tcPr>
          <w:p w14:paraId="366F2C0B" w14:textId="77777777" w:rsidR="00083B82" w:rsidRPr="00C9343F" w:rsidRDefault="00083B82" w:rsidP="00F66D98">
            <w:pPr>
              <w:pStyle w:val="BlockText-Plain"/>
            </w:pPr>
            <w:r w:rsidRPr="00C9343F">
              <w:rPr>
                <w:lang w:eastAsia="en-US"/>
              </w:rPr>
              <w:t>If the member has 12 months or more experience as a test pilot, flight instructor or regimental pilot, their Officer Aviation increment increases by one increment from Officer Aviation increment OA19, up to the maximum increment of OA23, each anniversary after qualifying as a test pilot, flying instructor or regimental pilot.</w:t>
            </w:r>
          </w:p>
        </w:tc>
      </w:tr>
      <w:tr w:rsidR="00083B82" w:rsidRPr="00C9343F" w14:paraId="6DAE2152" w14:textId="77777777" w:rsidTr="00F945FD">
        <w:tc>
          <w:tcPr>
            <w:tcW w:w="993" w:type="dxa"/>
            <w:tcMar>
              <w:top w:w="0" w:type="dxa"/>
              <w:left w:w="108" w:type="dxa"/>
              <w:bottom w:w="0" w:type="dxa"/>
              <w:right w:w="108" w:type="dxa"/>
            </w:tcMar>
          </w:tcPr>
          <w:p w14:paraId="3BA60BB1" w14:textId="77777777" w:rsidR="00083B82" w:rsidRPr="00C9343F" w:rsidRDefault="00083B82" w:rsidP="00F66D98">
            <w:pPr>
              <w:pStyle w:val="BlockText-Plain"/>
              <w:jc w:val="center"/>
              <w:rPr>
                <w:lang w:eastAsia="en-US"/>
              </w:rPr>
            </w:pPr>
            <w:r w:rsidRPr="00C9343F">
              <w:rPr>
                <w:lang w:eastAsia="en-US"/>
              </w:rPr>
              <w:t>6.</w:t>
            </w:r>
          </w:p>
        </w:tc>
        <w:tc>
          <w:tcPr>
            <w:tcW w:w="8372" w:type="dxa"/>
            <w:gridSpan w:val="3"/>
            <w:tcMar>
              <w:top w:w="0" w:type="dxa"/>
              <w:left w:w="108" w:type="dxa"/>
              <w:bottom w:w="0" w:type="dxa"/>
              <w:right w:w="108" w:type="dxa"/>
            </w:tcMar>
          </w:tcPr>
          <w:p w14:paraId="6C1B4836" w14:textId="77777777" w:rsidR="00083B82" w:rsidRPr="00C9343F" w:rsidRDefault="00083B82" w:rsidP="00F66D98">
            <w:pPr>
              <w:pStyle w:val="BlockText-Plain"/>
              <w:rPr>
                <w:lang w:eastAsia="en-US"/>
              </w:rPr>
            </w:pPr>
            <w:r w:rsidRPr="00C9343F">
              <w:rPr>
                <w:lang w:eastAsia="en-US"/>
              </w:rPr>
              <w:t>For a member who holds the rank of Major the relevant of the following increments applies.</w:t>
            </w:r>
          </w:p>
        </w:tc>
      </w:tr>
      <w:tr w:rsidR="00083B82" w:rsidRPr="00C9343F" w14:paraId="3F13EA01" w14:textId="77777777" w:rsidTr="00F945FD">
        <w:trPr>
          <w:cantSplit/>
        </w:trPr>
        <w:tc>
          <w:tcPr>
            <w:tcW w:w="993" w:type="dxa"/>
            <w:tcMar>
              <w:top w:w="0" w:type="dxa"/>
              <w:left w:w="108" w:type="dxa"/>
              <w:bottom w:w="0" w:type="dxa"/>
              <w:right w:w="108" w:type="dxa"/>
            </w:tcMar>
          </w:tcPr>
          <w:p w14:paraId="4C414199"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7E7E5954" w14:textId="77777777" w:rsidR="00083B82" w:rsidRPr="00C9343F" w:rsidRDefault="00083B82" w:rsidP="007114B1">
            <w:pPr>
              <w:pStyle w:val="BlockText-Plain"/>
              <w:jc w:val="center"/>
              <w:rPr>
                <w:lang w:eastAsia="en-US"/>
              </w:rPr>
            </w:pPr>
            <w:r w:rsidRPr="00C9343F">
              <w:rPr>
                <w:lang w:eastAsia="en-US"/>
              </w:rPr>
              <w:t>a.</w:t>
            </w:r>
          </w:p>
        </w:tc>
        <w:tc>
          <w:tcPr>
            <w:tcW w:w="7799" w:type="dxa"/>
            <w:gridSpan w:val="2"/>
            <w:tcMar>
              <w:top w:w="0" w:type="dxa"/>
              <w:left w:w="108" w:type="dxa"/>
              <w:bottom w:w="0" w:type="dxa"/>
              <w:right w:w="108" w:type="dxa"/>
            </w:tcMar>
          </w:tcPr>
          <w:p w14:paraId="5035E80C" w14:textId="77777777" w:rsidR="00083B82" w:rsidRPr="00C9343F" w:rsidRDefault="00083B82" w:rsidP="00F66D98">
            <w:pPr>
              <w:pStyle w:val="BlockText-Plain"/>
              <w:rPr>
                <w:lang w:eastAsia="en-US"/>
              </w:rPr>
            </w:pPr>
            <w:r w:rsidRPr="00C9343F">
              <w:rPr>
                <w:lang w:eastAsia="en-US"/>
              </w:rPr>
              <w:t>If the member has less than 12 months experience as a test pilot or flight instructor — the member has Officer Aviation increment OA24.</w:t>
            </w:r>
          </w:p>
        </w:tc>
      </w:tr>
      <w:tr w:rsidR="00083B82" w:rsidRPr="00C9343F" w14:paraId="59240E8A" w14:textId="77777777" w:rsidTr="00F945FD">
        <w:trPr>
          <w:cantSplit/>
        </w:trPr>
        <w:tc>
          <w:tcPr>
            <w:tcW w:w="993" w:type="dxa"/>
            <w:tcMar>
              <w:top w:w="0" w:type="dxa"/>
              <w:left w:w="108" w:type="dxa"/>
              <w:bottom w:w="0" w:type="dxa"/>
              <w:right w:w="108" w:type="dxa"/>
            </w:tcMar>
          </w:tcPr>
          <w:p w14:paraId="7A04F370"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2AFC100B" w14:textId="77777777" w:rsidR="00083B82" w:rsidRPr="00C9343F" w:rsidRDefault="00083B82" w:rsidP="007114B1">
            <w:pPr>
              <w:pStyle w:val="BlockText-Plain"/>
              <w:jc w:val="center"/>
              <w:rPr>
                <w:lang w:eastAsia="en-US"/>
              </w:rPr>
            </w:pPr>
            <w:r w:rsidRPr="00C9343F">
              <w:rPr>
                <w:lang w:eastAsia="en-US"/>
              </w:rPr>
              <w:t>b.</w:t>
            </w:r>
          </w:p>
        </w:tc>
        <w:tc>
          <w:tcPr>
            <w:tcW w:w="7799" w:type="dxa"/>
            <w:gridSpan w:val="2"/>
            <w:tcMar>
              <w:top w:w="0" w:type="dxa"/>
              <w:left w:w="108" w:type="dxa"/>
              <w:bottom w:w="0" w:type="dxa"/>
              <w:right w:w="108" w:type="dxa"/>
            </w:tcMar>
          </w:tcPr>
          <w:p w14:paraId="23002F51" w14:textId="77777777" w:rsidR="00083B82" w:rsidRPr="00C9343F" w:rsidRDefault="00083B82" w:rsidP="00F66D98">
            <w:pPr>
              <w:pStyle w:val="BlockText-Plain"/>
              <w:rPr>
                <w:lang w:eastAsia="en-US"/>
              </w:rPr>
            </w:pPr>
            <w:r w:rsidRPr="00C9343F">
              <w:rPr>
                <w:lang w:eastAsia="en-US"/>
              </w:rPr>
              <w:t>If the member has 12 months or more experience as a test pilot or flight instructor their Officer Aviation increment increases by one increment from Officer Aviation increment OA24 for each 12 months after the member's anniversary, up to the maximum increment of OA28.</w:t>
            </w:r>
          </w:p>
        </w:tc>
      </w:tr>
      <w:tr w:rsidR="00083B82" w:rsidRPr="00C9343F" w14:paraId="0CC77845" w14:textId="77777777" w:rsidTr="00F945FD">
        <w:tc>
          <w:tcPr>
            <w:tcW w:w="993" w:type="dxa"/>
            <w:tcMar>
              <w:top w:w="0" w:type="dxa"/>
              <w:left w:w="108" w:type="dxa"/>
              <w:bottom w:w="0" w:type="dxa"/>
              <w:right w:w="108" w:type="dxa"/>
            </w:tcMar>
          </w:tcPr>
          <w:p w14:paraId="574EB559" w14:textId="77777777" w:rsidR="00083B82" w:rsidRPr="00C9343F" w:rsidRDefault="00083B82" w:rsidP="00F66D98">
            <w:pPr>
              <w:pStyle w:val="BlockText-Plain"/>
              <w:jc w:val="center"/>
              <w:rPr>
                <w:lang w:eastAsia="en-US"/>
              </w:rPr>
            </w:pPr>
            <w:r w:rsidRPr="00C9343F">
              <w:rPr>
                <w:lang w:eastAsia="en-US"/>
              </w:rPr>
              <w:t>7.</w:t>
            </w:r>
          </w:p>
        </w:tc>
        <w:tc>
          <w:tcPr>
            <w:tcW w:w="8372" w:type="dxa"/>
            <w:gridSpan w:val="3"/>
            <w:tcMar>
              <w:top w:w="0" w:type="dxa"/>
              <w:left w:w="108" w:type="dxa"/>
              <w:bottom w:w="0" w:type="dxa"/>
              <w:right w:w="108" w:type="dxa"/>
            </w:tcMar>
          </w:tcPr>
          <w:p w14:paraId="019002C9" w14:textId="77777777" w:rsidR="00083B82" w:rsidRPr="00C9343F" w:rsidRDefault="00083B82" w:rsidP="00F66D98">
            <w:pPr>
              <w:pStyle w:val="BlockText-Plain"/>
              <w:rPr>
                <w:lang w:eastAsia="en-US"/>
              </w:rPr>
            </w:pPr>
            <w:r w:rsidRPr="00C9343F">
              <w:rPr>
                <w:lang w:eastAsia="en-US"/>
              </w:rPr>
              <w:t>For a member who holds the rank of Lieutenant Colonel the relevant of the following increments applies.</w:t>
            </w:r>
          </w:p>
        </w:tc>
      </w:tr>
      <w:tr w:rsidR="00083B82" w:rsidRPr="00C9343F" w14:paraId="31BBE3E8" w14:textId="77777777" w:rsidTr="00F945FD">
        <w:trPr>
          <w:cantSplit/>
        </w:trPr>
        <w:tc>
          <w:tcPr>
            <w:tcW w:w="993" w:type="dxa"/>
            <w:tcMar>
              <w:top w:w="0" w:type="dxa"/>
              <w:left w:w="108" w:type="dxa"/>
              <w:bottom w:w="0" w:type="dxa"/>
              <w:right w:w="108" w:type="dxa"/>
            </w:tcMar>
          </w:tcPr>
          <w:p w14:paraId="5B5D98BA"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30B8FC9D" w14:textId="77777777" w:rsidR="00083B82" w:rsidRPr="00C9343F" w:rsidRDefault="00083B82" w:rsidP="007114B1">
            <w:pPr>
              <w:pStyle w:val="BlockText-Plain"/>
              <w:jc w:val="center"/>
              <w:rPr>
                <w:lang w:eastAsia="en-US"/>
              </w:rPr>
            </w:pPr>
            <w:r w:rsidRPr="00C9343F">
              <w:rPr>
                <w:lang w:eastAsia="en-US"/>
              </w:rPr>
              <w:t>a.</w:t>
            </w:r>
          </w:p>
        </w:tc>
        <w:tc>
          <w:tcPr>
            <w:tcW w:w="7799" w:type="dxa"/>
            <w:gridSpan w:val="2"/>
            <w:tcMar>
              <w:top w:w="0" w:type="dxa"/>
              <w:left w:w="108" w:type="dxa"/>
              <w:bottom w:w="0" w:type="dxa"/>
              <w:right w:w="108" w:type="dxa"/>
            </w:tcMar>
          </w:tcPr>
          <w:p w14:paraId="43BFD785" w14:textId="77777777" w:rsidR="00083B82" w:rsidRPr="00C9343F" w:rsidRDefault="00083B82" w:rsidP="00F66D98">
            <w:pPr>
              <w:pStyle w:val="BlockText-Plain"/>
              <w:rPr>
                <w:lang w:eastAsia="en-US"/>
              </w:rPr>
            </w:pPr>
            <w:r w:rsidRPr="00C9343F">
              <w:rPr>
                <w:lang w:eastAsia="en-US"/>
              </w:rPr>
              <w:t>If the member has less than 12 months experience as a test pilot or flight instructor — the member has Officer Aviation increment OA29.</w:t>
            </w:r>
          </w:p>
        </w:tc>
      </w:tr>
      <w:tr w:rsidR="00083B82" w:rsidRPr="00C9343F" w14:paraId="4E66440B" w14:textId="77777777" w:rsidTr="00F945FD">
        <w:trPr>
          <w:cantSplit/>
        </w:trPr>
        <w:tc>
          <w:tcPr>
            <w:tcW w:w="993" w:type="dxa"/>
            <w:tcMar>
              <w:top w:w="0" w:type="dxa"/>
              <w:left w:w="108" w:type="dxa"/>
              <w:bottom w:w="0" w:type="dxa"/>
              <w:right w:w="108" w:type="dxa"/>
            </w:tcMar>
          </w:tcPr>
          <w:p w14:paraId="102305EA" w14:textId="77777777" w:rsidR="00083B82" w:rsidRPr="00C9343F" w:rsidRDefault="00083B82" w:rsidP="00F66D98">
            <w:pPr>
              <w:pStyle w:val="BlockText-Plain"/>
              <w:rPr>
                <w:lang w:eastAsia="en-US"/>
              </w:rPr>
            </w:pPr>
          </w:p>
        </w:tc>
        <w:tc>
          <w:tcPr>
            <w:tcW w:w="573" w:type="dxa"/>
            <w:tcMar>
              <w:top w:w="0" w:type="dxa"/>
              <w:left w:w="108" w:type="dxa"/>
              <w:bottom w:w="0" w:type="dxa"/>
              <w:right w:w="108" w:type="dxa"/>
            </w:tcMar>
          </w:tcPr>
          <w:p w14:paraId="2AA69230" w14:textId="77777777" w:rsidR="00083B82" w:rsidRPr="00C9343F" w:rsidRDefault="00083B82" w:rsidP="007114B1">
            <w:pPr>
              <w:pStyle w:val="BlockText-Plain"/>
              <w:jc w:val="center"/>
              <w:rPr>
                <w:lang w:eastAsia="en-US"/>
              </w:rPr>
            </w:pPr>
            <w:r w:rsidRPr="00C9343F">
              <w:rPr>
                <w:lang w:eastAsia="en-US"/>
              </w:rPr>
              <w:t>b.</w:t>
            </w:r>
          </w:p>
        </w:tc>
        <w:tc>
          <w:tcPr>
            <w:tcW w:w="7799" w:type="dxa"/>
            <w:gridSpan w:val="2"/>
            <w:tcMar>
              <w:top w:w="0" w:type="dxa"/>
              <w:left w:w="108" w:type="dxa"/>
              <w:bottom w:w="0" w:type="dxa"/>
              <w:right w:w="108" w:type="dxa"/>
            </w:tcMar>
          </w:tcPr>
          <w:p w14:paraId="53430D68" w14:textId="77777777" w:rsidR="00083B82" w:rsidRPr="00C9343F" w:rsidRDefault="00083B82" w:rsidP="00F66D98">
            <w:pPr>
              <w:pStyle w:val="BlockText-Plain"/>
              <w:rPr>
                <w:lang w:eastAsia="en-US"/>
              </w:rPr>
            </w:pPr>
            <w:r w:rsidRPr="00C9343F">
              <w:rPr>
                <w:lang w:eastAsia="en-US"/>
              </w:rPr>
              <w:t>If the member has 12 months or more experience as a test pilot or flight instructor — the member has Officer Aviation increment OA30.</w:t>
            </w:r>
          </w:p>
        </w:tc>
      </w:tr>
    </w:tbl>
    <w:p w14:paraId="444D3E1A" w14:textId="2AAAC806" w:rsidR="00083B82" w:rsidRPr="00C9343F" w:rsidRDefault="00083B82" w:rsidP="00F66D98">
      <w:pPr>
        <w:pStyle w:val="Heading5"/>
      </w:pPr>
      <w:bookmarkStart w:id="505" w:name="_Toc105053715"/>
      <w:r w:rsidRPr="00C9343F">
        <w:t>3.2.47K</w:t>
      </w:r>
      <w:r w:rsidR="00D94006" w:rsidRPr="00C9343F">
        <w:t>    </w:t>
      </w:r>
      <w:r w:rsidRPr="00C9343F">
        <w:t>Entry placement – member in the Air Force who is not an aviation specialist</w:t>
      </w:r>
      <w:bookmarkEnd w:id="505"/>
      <w:r w:rsidRPr="00C9343F">
        <w:t xml:space="preserve"> </w:t>
      </w:r>
    </w:p>
    <w:tbl>
      <w:tblPr>
        <w:tblW w:w="9366" w:type="dxa"/>
        <w:tblInd w:w="108" w:type="dxa"/>
        <w:tblLayout w:type="fixed"/>
        <w:tblLook w:val="04A0" w:firstRow="1" w:lastRow="0" w:firstColumn="1" w:lastColumn="0" w:noHBand="0" w:noVBand="1"/>
      </w:tblPr>
      <w:tblGrid>
        <w:gridCol w:w="992"/>
        <w:gridCol w:w="574"/>
        <w:gridCol w:w="567"/>
        <w:gridCol w:w="7233"/>
      </w:tblGrid>
      <w:tr w:rsidR="00083B82" w:rsidRPr="00C9343F" w14:paraId="01675A90" w14:textId="77777777" w:rsidTr="00F945FD">
        <w:tc>
          <w:tcPr>
            <w:tcW w:w="992" w:type="dxa"/>
            <w:hideMark/>
          </w:tcPr>
          <w:p w14:paraId="625438B2" w14:textId="77777777" w:rsidR="00083B82" w:rsidRPr="00C9343F" w:rsidRDefault="00083B82" w:rsidP="00F66D98">
            <w:pPr>
              <w:pStyle w:val="BlockText-Plain"/>
              <w:spacing w:line="276" w:lineRule="auto"/>
              <w:jc w:val="center"/>
              <w:rPr>
                <w:lang w:eastAsia="en-US"/>
              </w:rPr>
            </w:pPr>
            <w:r w:rsidRPr="00C9343F">
              <w:rPr>
                <w:lang w:eastAsia="en-US"/>
              </w:rPr>
              <w:t>1.</w:t>
            </w:r>
          </w:p>
        </w:tc>
        <w:tc>
          <w:tcPr>
            <w:tcW w:w="8374" w:type="dxa"/>
            <w:gridSpan w:val="3"/>
            <w:hideMark/>
          </w:tcPr>
          <w:p w14:paraId="540FE8EB" w14:textId="77777777" w:rsidR="00083B82" w:rsidRPr="00C9343F" w:rsidRDefault="00083B82" w:rsidP="00F66D98">
            <w:pPr>
              <w:pStyle w:val="BlockText-Plain"/>
              <w:rPr>
                <w:lang w:eastAsia="en-US"/>
              </w:rPr>
            </w:pPr>
            <w:r w:rsidRPr="00C9343F">
              <w:rPr>
                <w:lang w:eastAsia="en-US"/>
              </w:rPr>
              <w:t xml:space="preserve">This section applies to a member in the Air Force who is not an aviation specialist and any of subsections 3 to 6 applies to them. </w:t>
            </w:r>
          </w:p>
        </w:tc>
      </w:tr>
      <w:tr w:rsidR="00083B82" w:rsidRPr="00C9343F" w14:paraId="65C3D8EB" w14:textId="77777777" w:rsidTr="00F945FD">
        <w:tc>
          <w:tcPr>
            <w:tcW w:w="992" w:type="dxa"/>
          </w:tcPr>
          <w:p w14:paraId="7509FBF5" w14:textId="77777777" w:rsidR="00083B82" w:rsidRPr="00C9343F" w:rsidRDefault="00083B82" w:rsidP="00F66D98">
            <w:pPr>
              <w:pStyle w:val="BlockText-Plain"/>
              <w:keepNext/>
              <w:keepLines/>
              <w:spacing w:line="276" w:lineRule="auto"/>
              <w:jc w:val="center"/>
              <w:rPr>
                <w:lang w:eastAsia="en-US"/>
              </w:rPr>
            </w:pPr>
            <w:r w:rsidRPr="00C9343F">
              <w:rPr>
                <w:lang w:eastAsia="en-US"/>
              </w:rPr>
              <w:t>2.</w:t>
            </w:r>
          </w:p>
        </w:tc>
        <w:tc>
          <w:tcPr>
            <w:tcW w:w="8374" w:type="dxa"/>
            <w:gridSpan w:val="3"/>
          </w:tcPr>
          <w:p w14:paraId="1B13E84F" w14:textId="77777777" w:rsidR="00083B82" w:rsidRPr="00C9343F" w:rsidRDefault="00083B82" w:rsidP="00F66D98">
            <w:pPr>
              <w:pStyle w:val="BlockText-Plain"/>
              <w:keepNext/>
              <w:keepLines/>
              <w:rPr>
                <w:lang w:eastAsia="en-US"/>
              </w:rPr>
            </w:pPr>
            <w:r w:rsidRPr="00C9343F">
              <w:rPr>
                <w:lang w:eastAsia="en-US"/>
              </w:rPr>
              <w:t>On the day after the applicable of subsections 3 to 6 applies, the following apply</w:t>
            </w:r>
          </w:p>
        </w:tc>
      </w:tr>
      <w:tr w:rsidR="00083B82" w:rsidRPr="00C9343F" w14:paraId="676EB7A5" w14:textId="77777777" w:rsidTr="00F945FD">
        <w:trPr>
          <w:cantSplit/>
        </w:trPr>
        <w:tc>
          <w:tcPr>
            <w:tcW w:w="992" w:type="dxa"/>
          </w:tcPr>
          <w:p w14:paraId="25658E62" w14:textId="77777777" w:rsidR="00083B82" w:rsidRPr="00C9343F" w:rsidRDefault="00083B82" w:rsidP="00F66D98">
            <w:pPr>
              <w:pStyle w:val="BlockText-Plain"/>
              <w:rPr>
                <w:lang w:eastAsia="en-US"/>
              </w:rPr>
            </w:pPr>
          </w:p>
        </w:tc>
        <w:tc>
          <w:tcPr>
            <w:tcW w:w="574" w:type="dxa"/>
          </w:tcPr>
          <w:p w14:paraId="4414055E" w14:textId="77777777" w:rsidR="00083B82" w:rsidRPr="00C9343F" w:rsidRDefault="00083B82" w:rsidP="007114B1">
            <w:pPr>
              <w:pStyle w:val="BlockText-Plain"/>
              <w:jc w:val="center"/>
              <w:rPr>
                <w:lang w:eastAsia="en-US"/>
              </w:rPr>
            </w:pPr>
            <w:r w:rsidRPr="00C9343F">
              <w:rPr>
                <w:lang w:eastAsia="en-US"/>
              </w:rPr>
              <w:t>a.</w:t>
            </w:r>
          </w:p>
        </w:tc>
        <w:tc>
          <w:tcPr>
            <w:tcW w:w="7800" w:type="dxa"/>
            <w:gridSpan w:val="2"/>
          </w:tcPr>
          <w:p w14:paraId="4F1EB0BA" w14:textId="77777777" w:rsidR="00083B82" w:rsidRPr="00C9343F" w:rsidRDefault="00083B82" w:rsidP="00F66D98">
            <w:pPr>
              <w:pStyle w:val="BlockText-Plain"/>
              <w:rPr>
                <w:lang w:eastAsia="en-US"/>
              </w:rPr>
            </w:pPr>
            <w:r w:rsidRPr="00C9343F">
              <w:rPr>
                <w:lang w:eastAsia="en-US"/>
              </w:rPr>
              <w:t>The member is placed in the relevant pathway and competency stream.</w:t>
            </w:r>
          </w:p>
        </w:tc>
      </w:tr>
      <w:tr w:rsidR="00083B82" w:rsidRPr="00C9343F" w14:paraId="3CD5B488" w14:textId="77777777" w:rsidTr="00F945FD">
        <w:trPr>
          <w:cantSplit/>
        </w:trPr>
        <w:tc>
          <w:tcPr>
            <w:tcW w:w="992" w:type="dxa"/>
          </w:tcPr>
          <w:p w14:paraId="1D881A3F" w14:textId="77777777" w:rsidR="00083B82" w:rsidRPr="00C9343F" w:rsidRDefault="00083B82" w:rsidP="00F66D98">
            <w:pPr>
              <w:pStyle w:val="BlockText-Plain"/>
              <w:rPr>
                <w:lang w:eastAsia="en-US"/>
              </w:rPr>
            </w:pPr>
          </w:p>
        </w:tc>
        <w:tc>
          <w:tcPr>
            <w:tcW w:w="574" w:type="dxa"/>
          </w:tcPr>
          <w:p w14:paraId="0963AC8B" w14:textId="77777777" w:rsidR="00083B82" w:rsidRPr="00C9343F" w:rsidRDefault="00083B82" w:rsidP="007114B1">
            <w:pPr>
              <w:pStyle w:val="BlockText-Plain"/>
              <w:jc w:val="center"/>
              <w:rPr>
                <w:lang w:eastAsia="en-US"/>
              </w:rPr>
            </w:pPr>
            <w:r w:rsidRPr="00C9343F">
              <w:rPr>
                <w:lang w:eastAsia="en-US"/>
              </w:rPr>
              <w:t>b.</w:t>
            </w:r>
          </w:p>
        </w:tc>
        <w:tc>
          <w:tcPr>
            <w:tcW w:w="7800" w:type="dxa"/>
            <w:gridSpan w:val="2"/>
          </w:tcPr>
          <w:p w14:paraId="4FDF192D" w14:textId="77777777" w:rsidR="00083B82" w:rsidRPr="00C9343F" w:rsidRDefault="00083B82" w:rsidP="00F66D98">
            <w:pPr>
              <w:pStyle w:val="BlockText-Plain"/>
              <w:rPr>
                <w:lang w:eastAsia="en-US"/>
              </w:rPr>
            </w:pPr>
            <w:r w:rsidRPr="00C9343F">
              <w:rPr>
                <w:lang w:eastAsia="en-US"/>
              </w:rPr>
              <w:t xml:space="preserve">The member has an Officer Aviation increment in the relevant of the following that has a corresponding </w:t>
            </w:r>
            <w:r w:rsidRPr="00C9343F">
              <w:rPr>
                <w:rFonts w:cs="Arial"/>
                <w:lang w:eastAsia="en-US"/>
              </w:rPr>
              <w:t>salary that is equal to, or greater than, the rate of salary payable to the officer immediately before their placement.</w:t>
            </w:r>
          </w:p>
        </w:tc>
      </w:tr>
      <w:tr w:rsidR="00083B82" w:rsidRPr="00C9343F" w14:paraId="0B0A54EC" w14:textId="77777777" w:rsidTr="00F945FD">
        <w:tblPrEx>
          <w:tblLook w:val="0000" w:firstRow="0" w:lastRow="0" w:firstColumn="0" w:lastColumn="0" w:noHBand="0" w:noVBand="0"/>
        </w:tblPrEx>
        <w:trPr>
          <w:cantSplit/>
        </w:trPr>
        <w:tc>
          <w:tcPr>
            <w:tcW w:w="1566" w:type="dxa"/>
            <w:gridSpan w:val="2"/>
          </w:tcPr>
          <w:p w14:paraId="6D7B8F6F" w14:textId="77777777" w:rsidR="00083B82" w:rsidRPr="00C9343F" w:rsidRDefault="00083B82" w:rsidP="00F66D98">
            <w:pPr>
              <w:pStyle w:val="BlockText-Plain"/>
            </w:pPr>
          </w:p>
        </w:tc>
        <w:tc>
          <w:tcPr>
            <w:tcW w:w="567" w:type="dxa"/>
          </w:tcPr>
          <w:p w14:paraId="383A80D9" w14:textId="77777777" w:rsidR="00083B82" w:rsidRPr="00C9343F" w:rsidRDefault="00083B82" w:rsidP="00F66D98">
            <w:pPr>
              <w:pStyle w:val="BlockText-Plain"/>
            </w:pPr>
            <w:r w:rsidRPr="00C9343F">
              <w:t>i.</w:t>
            </w:r>
          </w:p>
        </w:tc>
        <w:tc>
          <w:tcPr>
            <w:tcW w:w="7233" w:type="dxa"/>
          </w:tcPr>
          <w:p w14:paraId="376DD17C" w14:textId="77777777" w:rsidR="00083B82" w:rsidRPr="00C9343F" w:rsidRDefault="00083B82" w:rsidP="00F66D98">
            <w:pPr>
              <w:pStyle w:val="BlockText-Plain"/>
              <w:rPr>
                <w:lang w:eastAsia="en-US"/>
              </w:rPr>
            </w:pPr>
            <w:r w:rsidRPr="00C9343F">
              <w:rPr>
                <w:lang w:eastAsia="en-US"/>
              </w:rPr>
              <w:t xml:space="preserve">For a member of the Permanent Forces </w:t>
            </w:r>
            <w:r w:rsidRPr="00C9343F">
              <w:rPr>
                <w:rFonts w:cs="Arial"/>
                <w:lang w:eastAsia="en-US"/>
              </w:rPr>
              <w:t>—</w:t>
            </w:r>
            <w:r w:rsidRPr="00C9343F">
              <w:rPr>
                <w:lang w:eastAsia="en-US"/>
              </w:rPr>
              <w:t xml:space="preserve"> </w:t>
            </w:r>
            <w:r w:rsidRPr="00C9343F">
              <w:rPr>
                <w:rFonts w:cs="Arial"/>
                <w:lang w:eastAsia="en-US"/>
              </w:rPr>
              <w:t xml:space="preserve">DFRT Determination No. 2 of 2017, </w:t>
            </w:r>
            <w:r w:rsidRPr="00C9343F">
              <w:rPr>
                <w:rFonts w:cs="Arial"/>
                <w:i/>
                <w:lang w:eastAsia="en-US"/>
              </w:rPr>
              <w:t>Salaries,</w:t>
            </w:r>
            <w:r w:rsidRPr="00C9343F">
              <w:rPr>
                <w:lang w:eastAsia="en-US"/>
              </w:rPr>
              <w:t xml:space="preserve"> Schedule B.14 Part 3.</w:t>
            </w:r>
          </w:p>
        </w:tc>
      </w:tr>
      <w:tr w:rsidR="00083B82" w:rsidRPr="00C9343F" w14:paraId="1C336AB5" w14:textId="77777777" w:rsidTr="00F945FD">
        <w:tblPrEx>
          <w:tblLook w:val="0000" w:firstRow="0" w:lastRow="0" w:firstColumn="0" w:lastColumn="0" w:noHBand="0" w:noVBand="0"/>
        </w:tblPrEx>
        <w:trPr>
          <w:cantSplit/>
        </w:trPr>
        <w:tc>
          <w:tcPr>
            <w:tcW w:w="1566" w:type="dxa"/>
            <w:gridSpan w:val="2"/>
          </w:tcPr>
          <w:p w14:paraId="2668912A" w14:textId="77777777" w:rsidR="00083B82" w:rsidRPr="00C9343F" w:rsidRDefault="00083B82" w:rsidP="00F66D98">
            <w:pPr>
              <w:pStyle w:val="BlockText-Plain"/>
            </w:pPr>
          </w:p>
        </w:tc>
        <w:tc>
          <w:tcPr>
            <w:tcW w:w="567" w:type="dxa"/>
          </w:tcPr>
          <w:p w14:paraId="1495D147" w14:textId="77777777" w:rsidR="00083B82" w:rsidRPr="00C9343F" w:rsidRDefault="00083B82" w:rsidP="00F66D98">
            <w:pPr>
              <w:pStyle w:val="BlockText-Plain"/>
            </w:pPr>
            <w:r w:rsidRPr="00C9343F">
              <w:t>ii.</w:t>
            </w:r>
          </w:p>
        </w:tc>
        <w:tc>
          <w:tcPr>
            <w:tcW w:w="7233" w:type="dxa"/>
          </w:tcPr>
          <w:p w14:paraId="528A3C2D" w14:textId="77777777" w:rsidR="00083B82" w:rsidRPr="00C9343F" w:rsidRDefault="00083B82" w:rsidP="00F66D98">
            <w:pPr>
              <w:pStyle w:val="BlockText-Plain"/>
              <w:rPr>
                <w:lang w:eastAsia="en-US"/>
              </w:rPr>
            </w:pPr>
            <w:r w:rsidRPr="00C9343F">
              <w:rPr>
                <w:lang w:eastAsia="en-US"/>
              </w:rPr>
              <w:t xml:space="preserve">For a member of the Reserves </w:t>
            </w:r>
            <w:r w:rsidRPr="00C9343F">
              <w:rPr>
                <w:rFonts w:cs="Arial"/>
                <w:lang w:eastAsia="en-US"/>
              </w:rPr>
              <w:t>—</w:t>
            </w:r>
            <w:r w:rsidRPr="00C9343F">
              <w:rPr>
                <w:lang w:eastAsia="en-US"/>
              </w:rPr>
              <w:t xml:space="preserve"> </w:t>
            </w:r>
            <w:r w:rsidRPr="00C9343F">
              <w:rPr>
                <w:rFonts w:cs="Arial"/>
                <w:lang w:eastAsia="en-US"/>
              </w:rPr>
              <w:t xml:space="preserve">DFRT Determination No. 2 of 2017, </w:t>
            </w:r>
            <w:r w:rsidRPr="00C9343F">
              <w:rPr>
                <w:rFonts w:cs="Arial"/>
                <w:i/>
                <w:lang w:eastAsia="en-US"/>
              </w:rPr>
              <w:t>Salaries,</w:t>
            </w:r>
            <w:r w:rsidRPr="00C9343F">
              <w:rPr>
                <w:lang w:eastAsia="en-US"/>
              </w:rPr>
              <w:t xml:space="preserve"> Schedule B.14 Part 4.</w:t>
            </w:r>
          </w:p>
        </w:tc>
      </w:tr>
      <w:tr w:rsidR="00083B82" w:rsidRPr="00C9343F" w14:paraId="7BF2F22D" w14:textId="77777777" w:rsidTr="00F945FD">
        <w:tc>
          <w:tcPr>
            <w:tcW w:w="992" w:type="dxa"/>
            <w:hideMark/>
          </w:tcPr>
          <w:p w14:paraId="7B916BDB" w14:textId="77777777" w:rsidR="00083B82" w:rsidRPr="00C9343F" w:rsidRDefault="00083B82" w:rsidP="00F66D98">
            <w:pPr>
              <w:pStyle w:val="BlockText-Plain"/>
              <w:spacing w:line="276" w:lineRule="auto"/>
              <w:jc w:val="center"/>
              <w:rPr>
                <w:lang w:eastAsia="en-US"/>
              </w:rPr>
            </w:pPr>
            <w:r w:rsidRPr="00C9343F">
              <w:rPr>
                <w:lang w:eastAsia="en-US"/>
              </w:rPr>
              <w:t>3.</w:t>
            </w:r>
          </w:p>
        </w:tc>
        <w:tc>
          <w:tcPr>
            <w:tcW w:w="8374" w:type="dxa"/>
            <w:gridSpan w:val="3"/>
            <w:hideMark/>
          </w:tcPr>
          <w:p w14:paraId="14E3A30D" w14:textId="77777777" w:rsidR="00083B82" w:rsidRPr="00C9343F" w:rsidRDefault="00083B82" w:rsidP="00F66D98">
            <w:pPr>
              <w:pStyle w:val="BlockText-Plain"/>
              <w:rPr>
                <w:lang w:eastAsia="en-US"/>
              </w:rPr>
            </w:pPr>
            <w:r w:rsidRPr="00C9343F">
              <w:rPr>
                <w:lang w:eastAsia="en-US"/>
              </w:rPr>
              <w:t>A member in an air traffic control employment category becomes an Officer Aviation member on the day after they meet both of the following.</w:t>
            </w:r>
          </w:p>
        </w:tc>
      </w:tr>
      <w:tr w:rsidR="00083B82" w:rsidRPr="00C9343F" w14:paraId="2CF2CD70" w14:textId="77777777" w:rsidTr="00F945FD">
        <w:tblPrEx>
          <w:tblLook w:val="0000" w:firstRow="0" w:lastRow="0" w:firstColumn="0" w:lastColumn="0" w:noHBand="0" w:noVBand="0"/>
        </w:tblPrEx>
        <w:trPr>
          <w:cantSplit/>
        </w:trPr>
        <w:tc>
          <w:tcPr>
            <w:tcW w:w="992" w:type="dxa"/>
          </w:tcPr>
          <w:p w14:paraId="32419AFD" w14:textId="77777777" w:rsidR="00083B82" w:rsidRPr="00C9343F" w:rsidRDefault="00083B82" w:rsidP="00F66D98">
            <w:pPr>
              <w:pStyle w:val="BlockText-Plain"/>
            </w:pPr>
          </w:p>
        </w:tc>
        <w:tc>
          <w:tcPr>
            <w:tcW w:w="574" w:type="dxa"/>
          </w:tcPr>
          <w:p w14:paraId="19E3B274" w14:textId="77777777" w:rsidR="00083B82" w:rsidRPr="00C9343F" w:rsidRDefault="00083B82" w:rsidP="007114B1">
            <w:pPr>
              <w:pStyle w:val="BlockText-Plain"/>
              <w:jc w:val="center"/>
            </w:pPr>
            <w:r w:rsidRPr="00C9343F">
              <w:t>a.</w:t>
            </w:r>
          </w:p>
        </w:tc>
        <w:tc>
          <w:tcPr>
            <w:tcW w:w="7800" w:type="dxa"/>
            <w:gridSpan w:val="2"/>
          </w:tcPr>
          <w:p w14:paraId="4F41DE1D" w14:textId="77777777" w:rsidR="00083B82" w:rsidRPr="00C9343F" w:rsidRDefault="00083B82" w:rsidP="00F66D98">
            <w:pPr>
              <w:pStyle w:val="BlockText-Plain"/>
              <w:rPr>
                <w:lang w:eastAsia="en-US"/>
              </w:rPr>
            </w:pPr>
            <w:r w:rsidRPr="00C9343F">
              <w:t xml:space="preserve">The member has been promoted </w:t>
            </w:r>
            <w:r w:rsidRPr="00C9343F">
              <w:rPr>
                <w:iCs/>
              </w:rPr>
              <w:t>under paragraph 13(1)(a) of the Defence Regulation</w:t>
            </w:r>
            <w:r w:rsidRPr="00C9343F">
              <w:rPr>
                <w:i/>
                <w:iCs/>
              </w:rPr>
              <w:t xml:space="preserve"> </w:t>
            </w:r>
            <w:r w:rsidRPr="00C9343F">
              <w:t>to</w:t>
            </w:r>
            <w:r w:rsidRPr="00C9343F">
              <w:rPr>
                <w:lang w:eastAsia="en-US"/>
              </w:rPr>
              <w:t xml:space="preserve"> a rank between Flight Lieutenant and Group Captain.</w:t>
            </w:r>
          </w:p>
        </w:tc>
      </w:tr>
      <w:tr w:rsidR="00083B82" w:rsidRPr="00C9343F" w14:paraId="7BEDA111" w14:textId="77777777" w:rsidTr="00F945FD">
        <w:tblPrEx>
          <w:tblLook w:val="0000" w:firstRow="0" w:lastRow="0" w:firstColumn="0" w:lastColumn="0" w:noHBand="0" w:noVBand="0"/>
        </w:tblPrEx>
        <w:trPr>
          <w:cantSplit/>
        </w:trPr>
        <w:tc>
          <w:tcPr>
            <w:tcW w:w="992" w:type="dxa"/>
          </w:tcPr>
          <w:p w14:paraId="79BFFF6D" w14:textId="77777777" w:rsidR="00083B82" w:rsidRPr="00C9343F" w:rsidRDefault="00083B82" w:rsidP="00F66D98">
            <w:pPr>
              <w:pStyle w:val="BlockText-Plain"/>
            </w:pPr>
          </w:p>
        </w:tc>
        <w:tc>
          <w:tcPr>
            <w:tcW w:w="574" w:type="dxa"/>
          </w:tcPr>
          <w:p w14:paraId="55B6EC36" w14:textId="77777777" w:rsidR="00083B82" w:rsidRPr="00C9343F" w:rsidRDefault="00083B82" w:rsidP="007114B1">
            <w:pPr>
              <w:pStyle w:val="BlockText-Plain"/>
              <w:jc w:val="center"/>
            </w:pPr>
            <w:r w:rsidRPr="00C9343F">
              <w:t>b.</w:t>
            </w:r>
          </w:p>
        </w:tc>
        <w:tc>
          <w:tcPr>
            <w:tcW w:w="7800" w:type="dxa"/>
            <w:gridSpan w:val="2"/>
          </w:tcPr>
          <w:p w14:paraId="6590B7F2" w14:textId="77777777" w:rsidR="00083B82" w:rsidRPr="00C9343F" w:rsidRDefault="00083B82" w:rsidP="00F66D98">
            <w:pPr>
              <w:pStyle w:val="BlockText-Plain"/>
            </w:pPr>
            <w:r w:rsidRPr="00C9343F">
              <w:t xml:space="preserve">The member has </w:t>
            </w:r>
            <w:r w:rsidRPr="00C9343F">
              <w:rPr>
                <w:lang w:eastAsia="en-US"/>
              </w:rPr>
              <w:t>completed their initial minimum period of service or return of service obligation that was applied for their initial air traffic control training.</w:t>
            </w:r>
          </w:p>
        </w:tc>
      </w:tr>
      <w:tr w:rsidR="00083B82" w:rsidRPr="00C9343F" w14:paraId="4254A5BF" w14:textId="77777777" w:rsidTr="00F945FD">
        <w:tc>
          <w:tcPr>
            <w:tcW w:w="992" w:type="dxa"/>
          </w:tcPr>
          <w:p w14:paraId="6649076E" w14:textId="77777777" w:rsidR="00083B82" w:rsidRPr="00C9343F" w:rsidRDefault="00083B82" w:rsidP="00F66D98">
            <w:pPr>
              <w:pStyle w:val="BlockText-Plain"/>
              <w:spacing w:line="276" w:lineRule="auto"/>
              <w:jc w:val="center"/>
              <w:rPr>
                <w:lang w:eastAsia="en-US"/>
              </w:rPr>
            </w:pPr>
            <w:r w:rsidRPr="00C9343F">
              <w:rPr>
                <w:lang w:eastAsia="en-US"/>
              </w:rPr>
              <w:t>4.</w:t>
            </w:r>
          </w:p>
        </w:tc>
        <w:tc>
          <w:tcPr>
            <w:tcW w:w="8374" w:type="dxa"/>
            <w:gridSpan w:val="3"/>
          </w:tcPr>
          <w:p w14:paraId="1AAEE35A" w14:textId="77777777" w:rsidR="00083B82" w:rsidRPr="00C9343F" w:rsidRDefault="00083B82" w:rsidP="00F66D98">
            <w:pPr>
              <w:pStyle w:val="BlockText-Plain"/>
              <w:rPr>
                <w:lang w:eastAsia="en-US"/>
              </w:rPr>
            </w:pPr>
            <w:r w:rsidRPr="00C9343F">
              <w:rPr>
                <w:lang w:eastAsia="en-US"/>
              </w:rPr>
              <w:t>Subsections 5 and 6 apply to a member in any of the following employment categories.</w:t>
            </w:r>
          </w:p>
        </w:tc>
      </w:tr>
      <w:tr w:rsidR="00083B82" w:rsidRPr="00C9343F" w14:paraId="7443819B" w14:textId="77777777" w:rsidTr="00F945FD">
        <w:tblPrEx>
          <w:tblLook w:val="0000" w:firstRow="0" w:lastRow="0" w:firstColumn="0" w:lastColumn="0" w:noHBand="0" w:noVBand="0"/>
        </w:tblPrEx>
        <w:trPr>
          <w:cantSplit/>
        </w:trPr>
        <w:tc>
          <w:tcPr>
            <w:tcW w:w="992" w:type="dxa"/>
          </w:tcPr>
          <w:p w14:paraId="4467771D" w14:textId="77777777" w:rsidR="00083B82" w:rsidRPr="00C9343F" w:rsidRDefault="00083B82" w:rsidP="00F66D98">
            <w:pPr>
              <w:pStyle w:val="BlockText-Plain"/>
            </w:pPr>
          </w:p>
        </w:tc>
        <w:tc>
          <w:tcPr>
            <w:tcW w:w="574" w:type="dxa"/>
          </w:tcPr>
          <w:p w14:paraId="50516E7F" w14:textId="77777777" w:rsidR="00083B82" w:rsidRPr="00C9343F" w:rsidRDefault="00083B82" w:rsidP="007114B1">
            <w:pPr>
              <w:pStyle w:val="BlockText-Plain"/>
              <w:jc w:val="center"/>
            </w:pPr>
            <w:r w:rsidRPr="00C9343F">
              <w:t>a.</w:t>
            </w:r>
          </w:p>
        </w:tc>
        <w:tc>
          <w:tcPr>
            <w:tcW w:w="7800" w:type="dxa"/>
            <w:gridSpan w:val="2"/>
          </w:tcPr>
          <w:p w14:paraId="5F08EB9B" w14:textId="77777777" w:rsidR="00083B82" w:rsidRPr="00C9343F" w:rsidRDefault="00083B82" w:rsidP="00F66D98">
            <w:pPr>
              <w:pStyle w:val="BlockText-Plain"/>
              <w:rPr>
                <w:lang w:eastAsia="en-US"/>
              </w:rPr>
            </w:pPr>
            <w:r w:rsidRPr="00C9343F">
              <w:t>Air Battle Management.</w:t>
            </w:r>
          </w:p>
        </w:tc>
      </w:tr>
      <w:tr w:rsidR="00083B82" w:rsidRPr="00C9343F" w14:paraId="240262D5" w14:textId="77777777" w:rsidTr="00F945FD">
        <w:tblPrEx>
          <w:tblLook w:val="0000" w:firstRow="0" w:lastRow="0" w:firstColumn="0" w:lastColumn="0" w:noHBand="0" w:noVBand="0"/>
        </w:tblPrEx>
        <w:trPr>
          <w:cantSplit/>
        </w:trPr>
        <w:tc>
          <w:tcPr>
            <w:tcW w:w="992" w:type="dxa"/>
          </w:tcPr>
          <w:p w14:paraId="5CD01184" w14:textId="77777777" w:rsidR="00083B82" w:rsidRPr="00C9343F" w:rsidRDefault="00083B82" w:rsidP="00F66D98">
            <w:pPr>
              <w:pStyle w:val="BlockText-Plain"/>
            </w:pPr>
          </w:p>
        </w:tc>
        <w:tc>
          <w:tcPr>
            <w:tcW w:w="574" w:type="dxa"/>
          </w:tcPr>
          <w:p w14:paraId="353CD8AF" w14:textId="77777777" w:rsidR="00083B82" w:rsidRPr="00C9343F" w:rsidRDefault="00083B82" w:rsidP="007114B1">
            <w:pPr>
              <w:pStyle w:val="BlockText-Plain"/>
              <w:jc w:val="center"/>
            </w:pPr>
            <w:r w:rsidRPr="00C9343F">
              <w:t>b.</w:t>
            </w:r>
          </w:p>
        </w:tc>
        <w:tc>
          <w:tcPr>
            <w:tcW w:w="7800" w:type="dxa"/>
            <w:gridSpan w:val="2"/>
          </w:tcPr>
          <w:p w14:paraId="7A518258" w14:textId="77777777" w:rsidR="00083B82" w:rsidRPr="00C9343F" w:rsidRDefault="00083B82" w:rsidP="00F66D98">
            <w:pPr>
              <w:pStyle w:val="BlockText-Plain"/>
            </w:pPr>
            <w:r w:rsidRPr="00C9343F">
              <w:t>Airborne Electronics Officer.</w:t>
            </w:r>
          </w:p>
        </w:tc>
      </w:tr>
      <w:tr w:rsidR="00083B82" w:rsidRPr="00C9343F" w14:paraId="743E8EA8" w14:textId="77777777" w:rsidTr="00F945FD">
        <w:tblPrEx>
          <w:tblLook w:val="0000" w:firstRow="0" w:lastRow="0" w:firstColumn="0" w:lastColumn="0" w:noHBand="0" w:noVBand="0"/>
        </w:tblPrEx>
        <w:trPr>
          <w:cantSplit/>
        </w:trPr>
        <w:tc>
          <w:tcPr>
            <w:tcW w:w="992" w:type="dxa"/>
          </w:tcPr>
          <w:p w14:paraId="0A963869" w14:textId="77777777" w:rsidR="00083B82" w:rsidRPr="00C9343F" w:rsidRDefault="00083B82" w:rsidP="00F66D98">
            <w:pPr>
              <w:pStyle w:val="BlockText-Plain"/>
            </w:pPr>
          </w:p>
        </w:tc>
        <w:tc>
          <w:tcPr>
            <w:tcW w:w="574" w:type="dxa"/>
          </w:tcPr>
          <w:p w14:paraId="3FFEBC02" w14:textId="77777777" w:rsidR="00083B82" w:rsidRPr="00C9343F" w:rsidRDefault="00083B82" w:rsidP="007114B1">
            <w:pPr>
              <w:pStyle w:val="BlockText-Plain"/>
              <w:jc w:val="center"/>
            </w:pPr>
            <w:r w:rsidRPr="00C9343F">
              <w:t>c.</w:t>
            </w:r>
          </w:p>
        </w:tc>
        <w:tc>
          <w:tcPr>
            <w:tcW w:w="7800" w:type="dxa"/>
            <w:gridSpan w:val="2"/>
          </w:tcPr>
          <w:p w14:paraId="2A7F647B" w14:textId="77777777" w:rsidR="00083B82" w:rsidRPr="00C9343F" w:rsidRDefault="00083B82" w:rsidP="00F66D98">
            <w:pPr>
              <w:pStyle w:val="BlockText-Plain"/>
            </w:pPr>
            <w:r w:rsidRPr="00C9343F">
              <w:t>Air Mobility Officer.</w:t>
            </w:r>
          </w:p>
        </w:tc>
      </w:tr>
      <w:tr w:rsidR="00083B82" w:rsidRPr="00C9343F" w14:paraId="4036C8B9" w14:textId="77777777" w:rsidTr="00F945FD">
        <w:tblPrEx>
          <w:tblLook w:val="0000" w:firstRow="0" w:lastRow="0" w:firstColumn="0" w:lastColumn="0" w:noHBand="0" w:noVBand="0"/>
        </w:tblPrEx>
        <w:trPr>
          <w:cantSplit/>
        </w:trPr>
        <w:tc>
          <w:tcPr>
            <w:tcW w:w="992" w:type="dxa"/>
          </w:tcPr>
          <w:p w14:paraId="1EF3CA47" w14:textId="77777777" w:rsidR="00083B82" w:rsidRPr="00C9343F" w:rsidRDefault="00083B82" w:rsidP="00F66D98">
            <w:pPr>
              <w:pStyle w:val="BlockText-Plain"/>
            </w:pPr>
          </w:p>
        </w:tc>
        <w:tc>
          <w:tcPr>
            <w:tcW w:w="574" w:type="dxa"/>
          </w:tcPr>
          <w:p w14:paraId="09A3DA64" w14:textId="77777777" w:rsidR="00083B82" w:rsidRPr="00C9343F" w:rsidRDefault="00083B82" w:rsidP="007114B1">
            <w:pPr>
              <w:pStyle w:val="BlockText-Plain"/>
              <w:jc w:val="center"/>
            </w:pPr>
            <w:r w:rsidRPr="00C9343F">
              <w:t>d.</w:t>
            </w:r>
          </w:p>
        </w:tc>
        <w:tc>
          <w:tcPr>
            <w:tcW w:w="7800" w:type="dxa"/>
            <w:gridSpan w:val="2"/>
          </w:tcPr>
          <w:p w14:paraId="6DFDE493" w14:textId="77777777" w:rsidR="00083B82" w:rsidRPr="00C9343F" w:rsidRDefault="00083B82" w:rsidP="00F66D98">
            <w:pPr>
              <w:pStyle w:val="BlockText-Plain"/>
            </w:pPr>
            <w:r w:rsidRPr="00C9343F">
              <w:t>Fast Jet Pilot.</w:t>
            </w:r>
          </w:p>
        </w:tc>
      </w:tr>
      <w:tr w:rsidR="00083B82" w:rsidRPr="00C9343F" w14:paraId="65514474" w14:textId="77777777" w:rsidTr="00F945FD">
        <w:tblPrEx>
          <w:tblLook w:val="0000" w:firstRow="0" w:lastRow="0" w:firstColumn="0" w:lastColumn="0" w:noHBand="0" w:noVBand="0"/>
        </w:tblPrEx>
        <w:trPr>
          <w:cantSplit/>
        </w:trPr>
        <w:tc>
          <w:tcPr>
            <w:tcW w:w="992" w:type="dxa"/>
          </w:tcPr>
          <w:p w14:paraId="10BF3BA6" w14:textId="77777777" w:rsidR="00083B82" w:rsidRPr="00C9343F" w:rsidRDefault="00083B82" w:rsidP="00F66D98">
            <w:pPr>
              <w:pStyle w:val="BlockText-Plain"/>
            </w:pPr>
          </w:p>
        </w:tc>
        <w:tc>
          <w:tcPr>
            <w:tcW w:w="574" w:type="dxa"/>
          </w:tcPr>
          <w:p w14:paraId="13600C00" w14:textId="77777777" w:rsidR="00083B82" w:rsidRPr="00C9343F" w:rsidRDefault="00083B82" w:rsidP="007114B1">
            <w:pPr>
              <w:pStyle w:val="BlockText-Plain"/>
              <w:jc w:val="center"/>
            </w:pPr>
            <w:r w:rsidRPr="00C9343F">
              <w:t>e.</w:t>
            </w:r>
          </w:p>
        </w:tc>
        <w:tc>
          <w:tcPr>
            <w:tcW w:w="7800" w:type="dxa"/>
            <w:gridSpan w:val="2"/>
          </w:tcPr>
          <w:p w14:paraId="66B9146B" w14:textId="77777777" w:rsidR="00083B82" w:rsidRPr="00C9343F" w:rsidRDefault="00083B82" w:rsidP="00F66D98">
            <w:pPr>
              <w:pStyle w:val="BlockText-Plain"/>
            </w:pPr>
            <w:r w:rsidRPr="00C9343F">
              <w:t>Fixed Wing Pilot.</w:t>
            </w:r>
          </w:p>
        </w:tc>
      </w:tr>
      <w:tr w:rsidR="00083B82" w:rsidRPr="00C9343F" w14:paraId="075BE085" w14:textId="77777777" w:rsidTr="00F945FD">
        <w:tblPrEx>
          <w:tblLook w:val="0000" w:firstRow="0" w:lastRow="0" w:firstColumn="0" w:lastColumn="0" w:noHBand="0" w:noVBand="0"/>
        </w:tblPrEx>
        <w:trPr>
          <w:cantSplit/>
        </w:trPr>
        <w:tc>
          <w:tcPr>
            <w:tcW w:w="992" w:type="dxa"/>
          </w:tcPr>
          <w:p w14:paraId="79BC1272" w14:textId="77777777" w:rsidR="00083B82" w:rsidRPr="00C9343F" w:rsidRDefault="00083B82" w:rsidP="00F66D98">
            <w:pPr>
              <w:pStyle w:val="BlockText-Plain"/>
            </w:pPr>
          </w:p>
        </w:tc>
        <w:tc>
          <w:tcPr>
            <w:tcW w:w="574" w:type="dxa"/>
          </w:tcPr>
          <w:p w14:paraId="3F1C865E" w14:textId="77777777" w:rsidR="00083B82" w:rsidRPr="00C9343F" w:rsidRDefault="00083B82" w:rsidP="007114B1">
            <w:pPr>
              <w:pStyle w:val="BlockText-Plain"/>
              <w:jc w:val="center"/>
            </w:pPr>
            <w:r w:rsidRPr="00C9343F">
              <w:t>f.</w:t>
            </w:r>
          </w:p>
        </w:tc>
        <w:tc>
          <w:tcPr>
            <w:tcW w:w="7800" w:type="dxa"/>
            <w:gridSpan w:val="2"/>
          </w:tcPr>
          <w:p w14:paraId="445B8DCE" w14:textId="77777777" w:rsidR="00083B82" w:rsidRPr="00C9343F" w:rsidRDefault="00083B82" w:rsidP="00F66D98">
            <w:pPr>
              <w:pStyle w:val="BlockText-Plain"/>
            </w:pPr>
            <w:r w:rsidRPr="00C9343F">
              <w:t>Maritime Patrol and Response Officer.</w:t>
            </w:r>
          </w:p>
        </w:tc>
      </w:tr>
      <w:tr w:rsidR="00083B82" w:rsidRPr="00C9343F" w14:paraId="76E0906F" w14:textId="77777777" w:rsidTr="00F945FD">
        <w:tblPrEx>
          <w:tblLook w:val="0000" w:firstRow="0" w:lastRow="0" w:firstColumn="0" w:lastColumn="0" w:noHBand="0" w:noVBand="0"/>
        </w:tblPrEx>
        <w:trPr>
          <w:cantSplit/>
        </w:trPr>
        <w:tc>
          <w:tcPr>
            <w:tcW w:w="992" w:type="dxa"/>
          </w:tcPr>
          <w:p w14:paraId="6AC10922" w14:textId="77777777" w:rsidR="00083B82" w:rsidRPr="00C9343F" w:rsidRDefault="00083B82" w:rsidP="00F66D98">
            <w:pPr>
              <w:pStyle w:val="BlockText-Plain"/>
            </w:pPr>
          </w:p>
        </w:tc>
        <w:tc>
          <w:tcPr>
            <w:tcW w:w="574" w:type="dxa"/>
          </w:tcPr>
          <w:p w14:paraId="0A884DBF" w14:textId="77777777" w:rsidR="00083B82" w:rsidRPr="00C9343F" w:rsidRDefault="00083B82" w:rsidP="007114B1">
            <w:pPr>
              <w:pStyle w:val="BlockText-Plain"/>
              <w:jc w:val="center"/>
            </w:pPr>
            <w:r w:rsidRPr="00C9343F">
              <w:t>g.</w:t>
            </w:r>
          </w:p>
        </w:tc>
        <w:tc>
          <w:tcPr>
            <w:tcW w:w="7800" w:type="dxa"/>
            <w:gridSpan w:val="2"/>
          </w:tcPr>
          <w:p w14:paraId="2A1B5D8C" w14:textId="77777777" w:rsidR="00083B82" w:rsidRPr="00C9343F" w:rsidRDefault="00083B82" w:rsidP="00F66D98">
            <w:pPr>
              <w:pStyle w:val="BlockText-Plain"/>
            </w:pPr>
            <w:r w:rsidRPr="00C9343F">
              <w:t>Weapons Systems Officer.</w:t>
            </w:r>
          </w:p>
        </w:tc>
      </w:tr>
      <w:tr w:rsidR="00083B82" w:rsidRPr="00C9343F" w14:paraId="3A8C9414" w14:textId="77777777" w:rsidTr="00F945FD">
        <w:tc>
          <w:tcPr>
            <w:tcW w:w="992" w:type="dxa"/>
          </w:tcPr>
          <w:p w14:paraId="2011E498" w14:textId="77777777" w:rsidR="00083B82" w:rsidRPr="00C9343F" w:rsidRDefault="00083B82" w:rsidP="00F66D98">
            <w:pPr>
              <w:pStyle w:val="BlockText-Plain"/>
              <w:spacing w:line="276" w:lineRule="auto"/>
              <w:jc w:val="center"/>
              <w:rPr>
                <w:lang w:eastAsia="en-US"/>
              </w:rPr>
            </w:pPr>
            <w:r w:rsidRPr="00C9343F">
              <w:rPr>
                <w:lang w:eastAsia="en-US"/>
              </w:rPr>
              <w:t>5.</w:t>
            </w:r>
          </w:p>
        </w:tc>
        <w:tc>
          <w:tcPr>
            <w:tcW w:w="8374" w:type="dxa"/>
            <w:gridSpan w:val="3"/>
          </w:tcPr>
          <w:p w14:paraId="697B4ED8" w14:textId="77777777" w:rsidR="00083B82" w:rsidRPr="00C9343F" w:rsidRDefault="00083B82" w:rsidP="00F66D98">
            <w:pPr>
              <w:pStyle w:val="BlockText-Plain"/>
            </w:pPr>
            <w:r w:rsidRPr="00C9343F">
              <w:t>A member who holds an employment category listed in subsection 4</w:t>
            </w:r>
            <w:r w:rsidRPr="00C9343F">
              <w:rPr>
                <w:lang w:eastAsia="en-US"/>
              </w:rPr>
              <w:t xml:space="preserve"> becomes an Officer Aviation member on the day after they meet both of the following.</w:t>
            </w:r>
          </w:p>
        </w:tc>
      </w:tr>
      <w:tr w:rsidR="00083B82" w:rsidRPr="00C9343F" w14:paraId="52170DAE" w14:textId="77777777" w:rsidTr="00F945FD">
        <w:tblPrEx>
          <w:tblLook w:val="0000" w:firstRow="0" w:lastRow="0" w:firstColumn="0" w:lastColumn="0" w:noHBand="0" w:noVBand="0"/>
        </w:tblPrEx>
        <w:trPr>
          <w:cantSplit/>
        </w:trPr>
        <w:tc>
          <w:tcPr>
            <w:tcW w:w="992" w:type="dxa"/>
          </w:tcPr>
          <w:p w14:paraId="3E19946A" w14:textId="77777777" w:rsidR="00083B82" w:rsidRPr="00C9343F" w:rsidRDefault="00083B82" w:rsidP="00F66D98">
            <w:pPr>
              <w:pStyle w:val="BlockText-Plain"/>
            </w:pPr>
            <w:r w:rsidRPr="00C9343F">
              <w:rPr>
                <w:sz w:val="22"/>
              </w:rPr>
              <w:br w:type="page"/>
            </w:r>
          </w:p>
        </w:tc>
        <w:tc>
          <w:tcPr>
            <w:tcW w:w="574" w:type="dxa"/>
          </w:tcPr>
          <w:p w14:paraId="765F757B" w14:textId="77777777" w:rsidR="00083B82" w:rsidRPr="00C9343F" w:rsidRDefault="00083B82" w:rsidP="007114B1">
            <w:pPr>
              <w:pStyle w:val="BlockText-Plain"/>
              <w:jc w:val="center"/>
            </w:pPr>
            <w:r w:rsidRPr="00C9343F">
              <w:t>a.</w:t>
            </w:r>
          </w:p>
        </w:tc>
        <w:tc>
          <w:tcPr>
            <w:tcW w:w="7800" w:type="dxa"/>
            <w:gridSpan w:val="2"/>
          </w:tcPr>
          <w:p w14:paraId="472ADAC2" w14:textId="77777777" w:rsidR="00083B82" w:rsidRPr="00C9343F" w:rsidRDefault="00083B82" w:rsidP="00F66D98">
            <w:pPr>
              <w:pStyle w:val="BlockText-Plain"/>
            </w:pPr>
            <w:r w:rsidRPr="00C9343F">
              <w:t>The member has been promoted</w:t>
            </w:r>
            <w:r w:rsidRPr="00C9343F">
              <w:rPr>
                <w:iCs/>
              </w:rPr>
              <w:t xml:space="preserve"> under paragraph 13(1)(a) of the Defence Regulation</w:t>
            </w:r>
            <w:r w:rsidRPr="00C9343F">
              <w:rPr>
                <w:i/>
                <w:iCs/>
              </w:rPr>
              <w:t xml:space="preserve"> </w:t>
            </w:r>
            <w:r w:rsidRPr="00C9343F">
              <w:t xml:space="preserve">to </w:t>
            </w:r>
            <w:r w:rsidRPr="00C9343F">
              <w:rPr>
                <w:lang w:eastAsia="en-US"/>
              </w:rPr>
              <w:t>a rank between Flight Lieutenant and Group Captain.</w:t>
            </w:r>
          </w:p>
        </w:tc>
      </w:tr>
      <w:tr w:rsidR="00083B82" w:rsidRPr="00C9343F" w14:paraId="3D8BE20F" w14:textId="77777777" w:rsidTr="00F945FD">
        <w:tblPrEx>
          <w:tblLook w:val="0000" w:firstRow="0" w:lastRow="0" w:firstColumn="0" w:lastColumn="0" w:noHBand="0" w:noVBand="0"/>
        </w:tblPrEx>
        <w:trPr>
          <w:cantSplit/>
        </w:trPr>
        <w:tc>
          <w:tcPr>
            <w:tcW w:w="992" w:type="dxa"/>
          </w:tcPr>
          <w:p w14:paraId="5974B7CF" w14:textId="77777777" w:rsidR="00083B82" w:rsidRPr="00C9343F" w:rsidRDefault="00083B82" w:rsidP="00F66D98">
            <w:pPr>
              <w:pStyle w:val="BlockText-Plain"/>
              <w:rPr>
                <w:sz w:val="22"/>
              </w:rPr>
            </w:pPr>
          </w:p>
        </w:tc>
        <w:tc>
          <w:tcPr>
            <w:tcW w:w="574" w:type="dxa"/>
          </w:tcPr>
          <w:p w14:paraId="6DBC53BE" w14:textId="77777777" w:rsidR="00083B82" w:rsidRPr="00C9343F" w:rsidRDefault="00083B82" w:rsidP="007114B1">
            <w:pPr>
              <w:pStyle w:val="BlockText-Plain"/>
              <w:jc w:val="center"/>
            </w:pPr>
            <w:r w:rsidRPr="00C9343F">
              <w:t>b.</w:t>
            </w:r>
          </w:p>
        </w:tc>
        <w:tc>
          <w:tcPr>
            <w:tcW w:w="7800" w:type="dxa"/>
            <w:gridSpan w:val="2"/>
          </w:tcPr>
          <w:p w14:paraId="6CE58E2A" w14:textId="77777777" w:rsidR="00083B82" w:rsidRPr="00C9343F" w:rsidRDefault="00083B82" w:rsidP="00F66D98">
            <w:pPr>
              <w:pStyle w:val="BlockText-Plain"/>
            </w:pPr>
            <w:r w:rsidRPr="00C9343F">
              <w:t>The member meets the conditions for a relevant item in the table below.</w:t>
            </w:r>
          </w:p>
        </w:tc>
      </w:tr>
    </w:tbl>
    <w:p w14:paraId="3A6C3C94" w14:textId="77777777" w:rsidR="00083B82" w:rsidRPr="00C9343F" w:rsidRDefault="00083B82" w:rsidP="00F66D98"/>
    <w:tbl>
      <w:tblPr>
        <w:tblW w:w="8363" w:type="dxa"/>
        <w:tblInd w:w="1049" w:type="dxa"/>
        <w:tblLayout w:type="fixed"/>
        <w:tblCellMar>
          <w:left w:w="56" w:type="dxa"/>
          <w:right w:w="56" w:type="dxa"/>
        </w:tblCellMar>
        <w:tblLook w:val="0000" w:firstRow="0" w:lastRow="0" w:firstColumn="0" w:lastColumn="0" w:noHBand="0" w:noVBand="0"/>
      </w:tblPr>
      <w:tblGrid>
        <w:gridCol w:w="1134"/>
        <w:gridCol w:w="1559"/>
        <w:gridCol w:w="2693"/>
        <w:gridCol w:w="2977"/>
      </w:tblGrid>
      <w:tr w:rsidR="00083B82" w:rsidRPr="00C9343F" w14:paraId="778C5AC2" w14:textId="77777777" w:rsidTr="00F945FD">
        <w:trPr>
          <w:cantSplit/>
        </w:trPr>
        <w:tc>
          <w:tcPr>
            <w:tcW w:w="1134" w:type="dxa"/>
            <w:tcBorders>
              <w:top w:val="single" w:sz="6" w:space="0" w:color="auto"/>
              <w:left w:val="single" w:sz="6" w:space="0" w:color="auto"/>
              <w:bottom w:val="single" w:sz="6" w:space="0" w:color="auto"/>
              <w:right w:val="single" w:sz="6" w:space="0" w:color="auto"/>
            </w:tcBorders>
          </w:tcPr>
          <w:p w14:paraId="655CDF84" w14:textId="77777777" w:rsidR="00083B82" w:rsidRPr="00C9343F" w:rsidRDefault="00083B82" w:rsidP="00F66D98">
            <w:pPr>
              <w:pStyle w:val="TableHeaderArial"/>
            </w:pPr>
            <w:r w:rsidRPr="00C9343F">
              <w:br w:type="page"/>
              <w:t>Column 1</w:t>
            </w:r>
          </w:p>
          <w:p w14:paraId="36F7BE6B" w14:textId="77777777" w:rsidR="00083B82" w:rsidRPr="00C9343F" w:rsidRDefault="00083B82" w:rsidP="00F66D98">
            <w:pPr>
              <w:pStyle w:val="TableHeaderArial"/>
            </w:pPr>
            <w:r w:rsidRPr="00C9343F">
              <w:t>Item</w:t>
            </w:r>
          </w:p>
        </w:tc>
        <w:tc>
          <w:tcPr>
            <w:tcW w:w="1559" w:type="dxa"/>
            <w:tcBorders>
              <w:top w:val="single" w:sz="6" w:space="0" w:color="auto"/>
              <w:left w:val="single" w:sz="6" w:space="0" w:color="auto"/>
              <w:bottom w:val="single" w:sz="6" w:space="0" w:color="auto"/>
              <w:right w:val="single" w:sz="6" w:space="0" w:color="auto"/>
            </w:tcBorders>
          </w:tcPr>
          <w:p w14:paraId="5950E530" w14:textId="77777777" w:rsidR="00083B82" w:rsidRPr="00C9343F" w:rsidRDefault="00083B82" w:rsidP="00F66D98">
            <w:pPr>
              <w:pStyle w:val="TableHeaderArial"/>
            </w:pPr>
            <w:r w:rsidRPr="00C9343F">
              <w:t>Column 2</w:t>
            </w:r>
          </w:p>
          <w:p w14:paraId="0F7545DF" w14:textId="4AD296E5" w:rsidR="00083B82" w:rsidRPr="00C9343F" w:rsidRDefault="00083B82" w:rsidP="00F66D98">
            <w:pPr>
              <w:pStyle w:val="TableHeaderArial"/>
            </w:pPr>
            <w:r w:rsidRPr="00C9343F">
              <w:t>An officer who is promoted to the rank of</w:t>
            </w:r>
            <w:r w:rsidR="00D94006" w:rsidRPr="00C9343F">
              <w:t>    </w:t>
            </w:r>
          </w:p>
        </w:tc>
        <w:tc>
          <w:tcPr>
            <w:tcW w:w="2693" w:type="dxa"/>
            <w:tcBorders>
              <w:top w:val="single" w:sz="6" w:space="0" w:color="auto"/>
              <w:left w:val="single" w:sz="6" w:space="0" w:color="auto"/>
              <w:bottom w:val="single" w:sz="6" w:space="0" w:color="auto"/>
              <w:right w:val="single" w:sz="6" w:space="0" w:color="auto"/>
            </w:tcBorders>
          </w:tcPr>
          <w:p w14:paraId="210630EA" w14:textId="77777777" w:rsidR="00083B82" w:rsidRPr="00C9343F" w:rsidRDefault="00083B82" w:rsidP="00F66D98">
            <w:pPr>
              <w:pStyle w:val="TableHeaderArial"/>
            </w:pPr>
            <w:r w:rsidRPr="00C9343F">
              <w:t>Column 3</w:t>
            </w:r>
          </w:p>
          <w:p w14:paraId="058F3DA1" w14:textId="20D8C4DA" w:rsidR="00083B82" w:rsidRPr="00C9343F" w:rsidRDefault="00083B82" w:rsidP="00F66D98">
            <w:pPr>
              <w:pStyle w:val="TableHeaderArial"/>
            </w:pPr>
            <w:r w:rsidRPr="00C9343F">
              <w:t xml:space="preserve">and who is paid at this increment in Schedule B.3 of DFRT Determination </w:t>
            </w:r>
            <w:r w:rsidRPr="00C9343F">
              <w:br/>
              <w:t>No. 2 of 2017, Salaries</w:t>
            </w:r>
            <w:r w:rsidR="00D94006" w:rsidRPr="00C9343F">
              <w:t>    </w:t>
            </w:r>
          </w:p>
        </w:tc>
        <w:tc>
          <w:tcPr>
            <w:tcW w:w="2977" w:type="dxa"/>
            <w:tcBorders>
              <w:top w:val="single" w:sz="6" w:space="0" w:color="auto"/>
              <w:left w:val="single" w:sz="6" w:space="0" w:color="auto"/>
              <w:bottom w:val="single" w:sz="6" w:space="0" w:color="auto"/>
              <w:right w:val="single" w:sz="6" w:space="0" w:color="auto"/>
            </w:tcBorders>
          </w:tcPr>
          <w:p w14:paraId="633BFAF0" w14:textId="77777777" w:rsidR="00083B82" w:rsidRPr="00C9343F" w:rsidRDefault="00083B82" w:rsidP="00F66D98">
            <w:pPr>
              <w:pStyle w:val="TableHeaderArial"/>
            </w:pPr>
            <w:r w:rsidRPr="00C9343F">
              <w:t>Column 4</w:t>
            </w:r>
          </w:p>
          <w:p w14:paraId="0F16C4E6" w14:textId="77777777" w:rsidR="00083B82" w:rsidRPr="00C9343F" w:rsidRDefault="00083B82" w:rsidP="00F66D98">
            <w:pPr>
              <w:pStyle w:val="TableHeaderArial"/>
            </w:pPr>
            <w:r w:rsidRPr="00C9343F">
              <w:t xml:space="preserve">and is in either of the following relevant pay grades in Part 4 of Schedule B.2 of DFRT Determination </w:t>
            </w:r>
            <w:r w:rsidRPr="00C9343F">
              <w:br/>
              <w:t>No. 2 of 2017, Salaries.</w:t>
            </w:r>
          </w:p>
        </w:tc>
      </w:tr>
      <w:tr w:rsidR="00083B82" w:rsidRPr="00C9343F" w14:paraId="57B0335A" w14:textId="77777777" w:rsidTr="00F945FD">
        <w:trPr>
          <w:cantSplit/>
          <w:trHeight w:val="135"/>
        </w:trPr>
        <w:tc>
          <w:tcPr>
            <w:tcW w:w="1134" w:type="dxa"/>
            <w:tcBorders>
              <w:top w:val="single" w:sz="6" w:space="0" w:color="auto"/>
              <w:left w:val="single" w:sz="6" w:space="0" w:color="auto"/>
              <w:bottom w:val="single" w:sz="6" w:space="0" w:color="auto"/>
              <w:right w:val="single" w:sz="6" w:space="0" w:color="auto"/>
            </w:tcBorders>
          </w:tcPr>
          <w:p w14:paraId="5E82AEF3" w14:textId="77777777" w:rsidR="00083B82" w:rsidRPr="00C9343F" w:rsidRDefault="00083B82" w:rsidP="00F66D98">
            <w:pPr>
              <w:pStyle w:val="TableTextArial-left"/>
              <w:keepNext/>
              <w:keepLines/>
              <w:spacing w:before="0" w:after="120"/>
              <w:jc w:val="center"/>
            </w:pPr>
            <w:r w:rsidRPr="00C9343F">
              <w:t>1.</w:t>
            </w:r>
          </w:p>
        </w:tc>
        <w:tc>
          <w:tcPr>
            <w:tcW w:w="1559" w:type="dxa"/>
            <w:tcBorders>
              <w:top w:val="single" w:sz="6" w:space="0" w:color="auto"/>
              <w:left w:val="single" w:sz="6" w:space="0" w:color="auto"/>
              <w:bottom w:val="single" w:sz="6" w:space="0" w:color="auto"/>
              <w:right w:val="single" w:sz="6" w:space="0" w:color="auto"/>
            </w:tcBorders>
          </w:tcPr>
          <w:p w14:paraId="567E7E76" w14:textId="77777777" w:rsidR="00083B82" w:rsidRPr="00C9343F" w:rsidRDefault="00083B82" w:rsidP="00F66D98">
            <w:pPr>
              <w:pStyle w:val="TableTextArial-left"/>
              <w:keepNext/>
              <w:keepLines/>
              <w:spacing w:before="0" w:after="120"/>
            </w:pPr>
            <w:r w:rsidRPr="00C9343F">
              <w:t>Flight Lieutenant</w:t>
            </w:r>
          </w:p>
        </w:tc>
        <w:tc>
          <w:tcPr>
            <w:tcW w:w="2693" w:type="dxa"/>
            <w:tcBorders>
              <w:top w:val="single" w:sz="6" w:space="0" w:color="auto"/>
              <w:left w:val="single" w:sz="6" w:space="0" w:color="auto"/>
              <w:bottom w:val="single" w:sz="6" w:space="0" w:color="auto"/>
              <w:right w:val="single" w:sz="6" w:space="0" w:color="auto"/>
            </w:tcBorders>
          </w:tcPr>
          <w:p w14:paraId="4DC65B12" w14:textId="77777777" w:rsidR="00083B82" w:rsidRPr="00C9343F" w:rsidRDefault="00083B82" w:rsidP="00F66D98">
            <w:pPr>
              <w:pStyle w:val="TableTextArial-left"/>
              <w:keepNext/>
              <w:keepLines/>
              <w:spacing w:before="0" w:after="120"/>
              <w:jc w:val="center"/>
            </w:pPr>
            <w:r w:rsidRPr="00C9343F">
              <w:t>O3 – 5</w:t>
            </w:r>
          </w:p>
        </w:tc>
        <w:tc>
          <w:tcPr>
            <w:tcW w:w="2977" w:type="dxa"/>
            <w:vMerge w:val="restart"/>
            <w:tcBorders>
              <w:top w:val="single" w:sz="6" w:space="0" w:color="auto"/>
              <w:left w:val="single" w:sz="6" w:space="0" w:color="auto"/>
              <w:right w:val="single" w:sz="6" w:space="0" w:color="auto"/>
            </w:tcBorders>
          </w:tcPr>
          <w:p w14:paraId="4DA09216" w14:textId="77777777" w:rsidR="00083B82" w:rsidRPr="00C9343F" w:rsidRDefault="00083B82" w:rsidP="00F66D98">
            <w:pPr>
              <w:pStyle w:val="TableTextArial-left"/>
              <w:keepNext/>
              <w:keepLines/>
              <w:spacing w:before="0" w:after="120"/>
              <w:ind w:left="352" w:hanging="352"/>
            </w:pPr>
            <w:r w:rsidRPr="00C9343F">
              <w:t>a.</w:t>
            </w:r>
            <w:r w:rsidRPr="00C9343F">
              <w:tab/>
              <w:t xml:space="preserve">For legacy employment categories </w:t>
            </w:r>
            <w:r w:rsidRPr="00C9343F">
              <w:rPr>
                <w:rFonts w:cs="Arial"/>
              </w:rPr>
              <w:t>—</w:t>
            </w:r>
            <w:r w:rsidRPr="00C9343F">
              <w:t xml:space="preserve"> pay grade 10.</w:t>
            </w:r>
          </w:p>
          <w:p w14:paraId="43E8DE98" w14:textId="77777777" w:rsidR="00083B82" w:rsidRPr="00C9343F" w:rsidRDefault="00083B82" w:rsidP="00F66D98">
            <w:pPr>
              <w:pStyle w:val="TableTextArial-left"/>
              <w:keepNext/>
              <w:keepLines/>
              <w:spacing w:before="0" w:after="120"/>
              <w:ind w:left="352" w:hanging="352"/>
            </w:pPr>
            <w:r w:rsidRPr="00C9343F">
              <w:t>b.</w:t>
            </w:r>
            <w:r w:rsidRPr="00C9343F">
              <w:tab/>
              <w:t xml:space="preserve">For competency progression employment categories </w:t>
            </w:r>
            <w:r w:rsidRPr="00C9343F">
              <w:rPr>
                <w:rFonts w:cs="Arial"/>
              </w:rPr>
              <w:t>—</w:t>
            </w:r>
            <w:r w:rsidRPr="00C9343F">
              <w:t xml:space="preserve"> between pay grade 5 and pay grade 9, inclusive.</w:t>
            </w:r>
          </w:p>
        </w:tc>
      </w:tr>
      <w:tr w:rsidR="00083B82" w:rsidRPr="00C9343F" w14:paraId="39E00580" w14:textId="77777777" w:rsidTr="00F945FD">
        <w:trPr>
          <w:cantSplit/>
          <w:trHeight w:val="135"/>
        </w:trPr>
        <w:tc>
          <w:tcPr>
            <w:tcW w:w="1134" w:type="dxa"/>
            <w:tcBorders>
              <w:top w:val="single" w:sz="6" w:space="0" w:color="auto"/>
              <w:left w:val="single" w:sz="6" w:space="0" w:color="auto"/>
              <w:bottom w:val="single" w:sz="6" w:space="0" w:color="auto"/>
              <w:right w:val="single" w:sz="6" w:space="0" w:color="auto"/>
            </w:tcBorders>
          </w:tcPr>
          <w:p w14:paraId="1DAEDE23" w14:textId="77777777" w:rsidR="00083B82" w:rsidRPr="00C9343F" w:rsidRDefault="00083B82" w:rsidP="00F66D98">
            <w:pPr>
              <w:pStyle w:val="TableTextArial-left"/>
              <w:keepNext/>
              <w:keepLines/>
              <w:spacing w:before="0" w:after="120"/>
              <w:jc w:val="center"/>
            </w:pPr>
            <w:r w:rsidRPr="00C9343F">
              <w:t>2.</w:t>
            </w:r>
          </w:p>
        </w:tc>
        <w:tc>
          <w:tcPr>
            <w:tcW w:w="1559" w:type="dxa"/>
            <w:tcBorders>
              <w:top w:val="single" w:sz="6" w:space="0" w:color="auto"/>
              <w:left w:val="single" w:sz="6" w:space="0" w:color="auto"/>
              <w:bottom w:val="single" w:sz="6" w:space="0" w:color="auto"/>
              <w:right w:val="single" w:sz="6" w:space="0" w:color="auto"/>
            </w:tcBorders>
          </w:tcPr>
          <w:p w14:paraId="588CA168" w14:textId="77777777" w:rsidR="00083B82" w:rsidRPr="00C9343F" w:rsidRDefault="00083B82" w:rsidP="00F66D98">
            <w:pPr>
              <w:pStyle w:val="TableTextArial-left"/>
              <w:keepNext/>
              <w:keepLines/>
              <w:spacing w:before="0" w:after="120"/>
            </w:pPr>
            <w:r w:rsidRPr="00C9343F">
              <w:t>Squadron Leader</w:t>
            </w:r>
          </w:p>
        </w:tc>
        <w:tc>
          <w:tcPr>
            <w:tcW w:w="2693" w:type="dxa"/>
            <w:tcBorders>
              <w:top w:val="single" w:sz="6" w:space="0" w:color="auto"/>
              <w:left w:val="single" w:sz="6" w:space="0" w:color="auto"/>
              <w:bottom w:val="single" w:sz="6" w:space="0" w:color="auto"/>
              <w:right w:val="single" w:sz="6" w:space="0" w:color="auto"/>
            </w:tcBorders>
          </w:tcPr>
          <w:p w14:paraId="2618F191" w14:textId="77777777" w:rsidR="00083B82" w:rsidRPr="00C9343F" w:rsidRDefault="00083B82" w:rsidP="00F66D98">
            <w:pPr>
              <w:pStyle w:val="TableTextArial-left"/>
              <w:keepNext/>
              <w:keepLines/>
              <w:spacing w:before="0" w:after="120"/>
              <w:jc w:val="center"/>
            </w:pPr>
            <w:r w:rsidRPr="00C9343F">
              <w:t>O4 – 2</w:t>
            </w:r>
          </w:p>
        </w:tc>
        <w:tc>
          <w:tcPr>
            <w:tcW w:w="2977" w:type="dxa"/>
            <w:vMerge/>
            <w:tcBorders>
              <w:left w:val="single" w:sz="6" w:space="0" w:color="auto"/>
              <w:right w:val="single" w:sz="6" w:space="0" w:color="auto"/>
            </w:tcBorders>
          </w:tcPr>
          <w:p w14:paraId="25F818E6" w14:textId="77777777" w:rsidR="00083B82" w:rsidRPr="00C9343F" w:rsidRDefault="00083B82" w:rsidP="00F66D98">
            <w:pPr>
              <w:pStyle w:val="TableTextArial-left"/>
              <w:keepNext/>
              <w:keepLines/>
              <w:spacing w:before="0" w:after="120"/>
              <w:ind w:left="352" w:hanging="352"/>
            </w:pPr>
          </w:p>
        </w:tc>
      </w:tr>
      <w:tr w:rsidR="00083B82" w:rsidRPr="00C9343F" w14:paraId="4B8B3C60" w14:textId="77777777" w:rsidTr="00F945FD">
        <w:trPr>
          <w:cantSplit/>
          <w:trHeight w:val="135"/>
        </w:trPr>
        <w:tc>
          <w:tcPr>
            <w:tcW w:w="1134" w:type="dxa"/>
            <w:tcBorders>
              <w:top w:val="single" w:sz="6" w:space="0" w:color="auto"/>
              <w:left w:val="single" w:sz="6" w:space="0" w:color="auto"/>
              <w:bottom w:val="single" w:sz="6" w:space="0" w:color="auto"/>
              <w:right w:val="single" w:sz="6" w:space="0" w:color="auto"/>
            </w:tcBorders>
          </w:tcPr>
          <w:p w14:paraId="623FC016" w14:textId="77777777" w:rsidR="00083B82" w:rsidRPr="00C9343F" w:rsidRDefault="00083B82" w:rsidP="00F66D98">
            <w:pPr>
              <w:pStyle w:val="TableTextArial-left"/>
              <w:keepNext/>
              <w:keepLines/>
              <w:spacing w:before="0" w:after="120"/>
              <w:jc w:val="center"/>
            </w:pPr>
            <w:r w:rsidRPr="00C9343F">
              <w:t>3.</w:t>
            </w:r>
          </w:p>
        </w:tc>
        <w:tc>
          <w:tcPr>
            <w:tcW w:w="1559" w:type="dxa"/>
            <w:tcBorders>
              <w:top w:val="single" w:sz="6" w:space="0" w:color="auto"/>
              <w:left w:val="single" w:sz="6" w:space="0" w:color="auto"/>
              <w:bottom w:val="single" w:sz="6" w:space="0" w:color="auto"/>
              <w:right w:val="single" w:sz="6" w:space="0" w:color="auto"/>
            </w:tcBorders>
          </w:tcPr>
          <w:p w14:paraId="42B8FBDC" w14:textId="77777777" w:rsidR="00083B82" w:rsidRPr="00C9343F" w:rsidRDefault="00083B82" w:rsidP="00F66D98">
            <w:pPr>
              <w:pStyle w:val="TableTextArial-left"/>
              <w:keepNext/>
              <w:keepLines/>
              <w:spacing w:before="0" w:after="120"/>
            </w:pPr>
            <w:r w:rsidRPr="00C9343F">
              <w:t>Wing Commander</w:t>
            </w:r>
          </w:p>
        </w:tc>
        <w:tc>
          <w:tcPr>
            <w:tcW w:w="2693" w:type="dxa"/>
            <w:tcBorders>
              <w:top w:val="single" w:sz="6" w:space="0" w:color="auto"/>
              <w:left w:val="single" w:sz="6" w:space="0" w:color="auto"/>
              <w:bottom w:val="single" w:sz="6" w:space="0" w:color="auto"/>
              <w:right w:val="single" w:sz="6" w:space="0" w:color="auto"/>
            </w:tcBorders>
          </w:tcPr>
          <w:p w14:paraId="4DA30807" w14:textId="77777777" w:rsidR="00083B82" w:rsidRPr="00C9343F" w:rsidRDefault="00083B82" w:rsidP="00F66D98">
            <w:pPr>
              <w:pStyle w:val="TableTextArial-left"/>
              <w:keepNext/>
              <w:keepLines/>
              <w:spacing w:before="0" w:after="120"/>
              <w:jc w:val="center"/>
            </w:pPr>
            <w:r w:rsidRPr="00C9343F">
              <w:t>O5 – 1</w:t>
            </w:r>
          </w:p>
        </w:tc>
        <w:tc>
          <w:tcPr>
            <w:tcW w:w="2977" w:type="dxa"/>
            <w:vMerge/>
            <w:tcBorders>
              <w:left w:val="single" w:sz="6" w:space="0" w:color="auto"/>
              <w:right w:val="single" w:sz="6" w:space="0" w:color="auto"/>
            </w:tcBorders>
          </w:tcPr>
          <w:p w14:paraId="0277DDF9" w14:textId="77777777" w:rsidR="00083B82" w:rsidRPr="00C9343F" w:rsidRDefault="00083B82" w:rsidP="00F66D98">
            <w:pPr>
              <w:pStyle w:val="TableTextArial-left"/>
              <w:keepNext/>
              <w:keepLines/>
              <w:spacing w:before="0" w:after="120"/>
              <w:ind w:left="352" w:hanging="352"/>
            </w:pPr>
          </w:p>
        </w:tc>
      </w:tr>
      <w:tr w:rsidR="00083B82" w:rsidRPr="00C9343F" w14:paraId="07801E45" w14:textId="77777777" w:rsidTr="00F945FD">
        <w:trPr>
          <w:cantSplit/>
          <w:trHeight w:val="135"/>
        </w:trPr>
        <w:tc>
          <w:tcPr>
            <w:tcW w:w="1134" w:type="dxa"/>
            <w:tcBorders>
              <w:top w:val="single" w:sz="6" w:space="0" w:color="auto"/>
              <w:left w:val="single" w:sz="6" w:space="0" w:color="auto"/>
              <w:bottom w:val="single" w:sz="6" w:space="0" w:color="auto"/>
              <w:right w:val="single" w:sz="6" w:space="0" w:color="auto"/>
            </w:tcBorders>
          </w:tcPr>
          <w:p w14:paraId="3797FB15" w14:textId="77777777" w:rsidR="00083B82" w:rsidRPr="00C9343F" w:rsidRDefault="00083B82" w:rsidP="00F66D98">
            <w:pPr>
              <w:pStyle w:val="TableTextArial-left"/>
              <w:keepNext/>
              <w:keepLines/>
              <w:spacing w:before="0" w:after="120"/>
              <w:jc w:val="center"/>
            </w:pPr>
            <w:r w:rsidRPr="00C9343F">
              <w:t>4.</w:t>
            </w:r>
          </w:p>
        </w:tc>
        <w:tc>
          <w:tcPr>
            <w:tcW w:w="1559" w:type="dxa"/>
            <w:tcBorders>
              <w:top w:val="single" w:sz="6" w:space="0" w:color="auto"/>
              <w:left w:val="single" w:sz="6" w:space="0" w:color="auto"/>
              <w:bottom w:val="single" w:sz="6" w:space="0" w:color="auto"/>
              <w:right w:val="single" w:sz="6" w:space="0" w:color="auto"/>
            </w:tcBorders>
          </w:tcPr>
          <w:p w14:paraId="5C8814B1" w14:textId="77777777" w:rsidR="00083B82" w:rsidRPr="00C9343F" w:rsidRDefault="00083B82" w:rsidP="00F66D98">
            <w:pPr>
              <w:pStyle w:val="TableTextArial-left"/>
              <w:keepNext/>
              <w:keepLines/>
              <w:spacing w:before="0" w:after="120"/>
            </w:pPr>
            <w:r w:rsidRPr="00C9343F">
              <w:t>Group Captain</w:t>
            </w:r>
          </w:p>
        </w:tc>
        <w:tc>
          <w:tcPr>
            <w:tcW w:w="2693" w:type="dxa"/>
            <w:tcBorders>
              <w:top w:val="single" w:sz="6" w:space="0" w:color="auto"/>
              <w:left w:val="single" w:sz="6" w:space="0" w:color="auto"/>
              <w:bottom w:val="single" w:sz="6" w:space="0" w:color="auto"/>
              <w:right w:val="single" w:sz="6" w:space="0" w:color="auto"/>
            </w:tcBorders>
          </w:tcPr>
          <w:p w14:paraId="6B8EAFC0" w14:textId="77777777" w:rsidR="00083B82" w:rsidRPr="00C9343F" w:rsidRDefault="00083B82" w:rsidP="00F66D98">
            <w:pPr>
              <w:pStyle w:val="TableTextArial-left"/>
              <w:keepNext/>
              <w:keepLines/>
              <w:spacing w:before="0" w:after="120"/>
              <w:jc w:val="center"/>
            </w:pPr>
            <w:r w:rsidRPr="00C9343F">
              <w:t>O6 – 1</w:t>
            </w:r>
          </w:p>
        </w:tc>
        <w:tc>
          <w:tcPr>
            <w:tcW w:w="2977" w:type="dxa"/>
            <w:vMerge/>
            <w:tcBorders>
              <w:left w:val="single" w:sz="6" w:space="0" w:color="auto"/>
              <w:bottom w:val="single" w:sz="6" w:space="0" w:color="auto"/>
              <w:right w:val="single" w:sz="6" w:space="0" w:color="auto"/>
            </w:tcBorders>
          </w:tcPr>
          <w:p w14:paraId="5BF956B4" w14:textId="77777777" w:rsidR="00083B82" w:rsidRPr="00C9343F" w:rsidRDefault="00083B82" w:rsidP="00F66D98">
            <w:pPr>
              <w:pStyle w:val="TableTextArial-left"/>
              <w:keepNext/>
              <w:keepLines/>
              <w:spacing w:before="0" w:after="120"/>
              <w:ind w:left="352" w:hanging="352"/>
            </w:pPr>
          </w:p>
        </w:tc>
      </w:tr>
    </w:tbl>
    <w:p w14:paraId="5915FF9A" w14:textId="77777777" w:rsidR="00083B82" w:rsidRPr="00C9343F" w:rsidRDefault="00083B82" w:rsidP="00F66D98"/>
    <w:tbl>
      <w:tblPr>
        <w:tblW w:w="9361" w:type="dxa"/>
        <w:tblInd w:w="113" w:type="dxa"/>
        <w:tblLayout w:type="fixed"/>
        <w:tblLook w:val="0000" w:firstRow="0" w:lastRow="0" w:firstColumn="0" w:lastColumn="0" w:noHBand="0" w:noVBand="0"/>
      </w:tblPr>
      <w:tblGrid>
        <w:gridCol w:w="992"/>
        <w:gridCol w:w="567"/>
        <w:gridCol w:w="7802"/>
      </w:tblGrid>
      <w:tr w:rsidR="00083B82" w:rsidRPr="00C9343F" w14:paraId="15037F13" w14:textId="77777777" w:rsidTr="00F945FD">
        <w:trPr>
          <w:cantSplit/>
        </w:trPr>
        <w:tc>
          <w:tcPr>
            <w:tcW w:w="992" w:type="dxa"/>
          </w:tcPr>
          <w:p w14:paraId="3BFB9C2D" w14:textId="77777777" w:rsidR="00083B82" w:rsidRPr="00C9343F" w:rsidRDefault="00083B82" w:rsidP="00F66D98">
            <w:pPr>
              <w:pStyle w:val="BlockText-Plain"/>
              <w:rPr>
                <w:sz w:val="22"/>
              </w:rPr>
            </w:pPr>
          </w:p>
        </w:tc>
        <w:tc>
          <w:tcPr>
            <w:tcW w:w="8369" w:type="dxa"/>
            <w:gridSpan w:val="2"/>
          </w:tcPr>
          <w:p w14:paraId="3EA32D09" w14:textId="77777777" w:rsidR="00083B82" w:rsidRPr="00C9343F" w:rsidRDefault="00083B82" w:rsidP="00F66D98">
            <w:pPr>
              <w:pStyle w:val="BlockText-Plain"/>
            </w:pPr>
            <w:r w:rsidRPr="00C9343F">
              <w:rPr>
                <w:b/>
                <w:bCs/>
                <w:lang w:eastAsia="en-US"/>
              </w:rPr>
              <w:t>Exception:</w:t>
            </w:r>
            <w:r w:rsidRPr="00C9343F">
              <w:rPr>
                <w:lang w:eastAsia="en-US"/>
              </w:rPr>
              <w:t xml:space="preserve"> A member who meets all of the following.</w:t>
            </w:r>
          </w:p>
        </w:tc>
      </w:tr>
      <w:tr w:rsidR="00083B82" w:rsidRPr="00C9343F" w14:paraId="65C6935A" w14:textId="77777777" w:rsidTr="00F945FD">
        <w:trPr>
          <w:cantSplit/>
        </w:trPr>
        <w:tc>
          <w:tcPr>
            <w:tcW w:w="992" w:type="dxa"/>
          </w:tcPr>
          <w:p w14:paraId="422EB659" w14:textId="77777777" w:rsidR="00083B82" w:rsidRPr="00C9343F" w:rsidRDefault="00083B82" w:rsidP="00F66D98">
            <w:pPr>
              <w:pStyle w:val="BlockText-Plain"/>
              <w:rPr>
                <w:sz w:val="22"/>
              </w:rPr>
            </w:pPr>
          </w:p>
        </w:tc>
        <w:tc>
          <w:tcPr>
            <w:tcW w:w="567" w:type="dxa"/>
          </w:tcPr>
          <w:p w14:paraId="151641E3" w14:textId="77777777" w:rsidR="00083B82" w:rsidRPr="00C9343F" w:rsidRDefault="00083B82" w:rsidP="007114B1">
            <w:pPr>
              <w:pStyle w:val="BlockText-Plain"/>
              <w:jc w:val="center"/>
            </w:pPr>
            <w:r w:rsidRPr="00C9343F">
              <w:t>a.</w:t>
            </w:r>
          </w:p>
        </w:tc>
        <w:tc>
          <w:tcPr>
            <w:tcW w:w="7802" w:type="dxa"/>
          </w:tcPr>
          <w:p w14:paraId="11EA54DE" w14:textId="77777777" w:rsidR="00083B82" w:rsidRPr="00C9343F" w:rsidRDefault="00083B82" w:rsidP="00F66D98">
            <w:pPr>
              <w:pStyle w:val="BlockText-Plain"/>
              <w:rPr>
                <w:b/>
                <w:bCs/>
                <w:lang w:eastAsia="en-US"/>
              </w:rPr>
            </w:pPr>
            <w:r w:rsidRPr="00C9343F">
              <w:rPr>
                <w:lang w:eastAsia="en-US"/>
              </w:rPr>
              <w:t>The member is not in an air traffic control employment category.</w:t>
            </w:r>
          </w:p>
        </w:tc>
      </w:tr>
      <w:tr w:rsidR="00083B82" w:rsidRPr="00C9343F" w14:paraId="2E155137" w14:textId="77777777" w:rsidTr="00F945FD">
        <w:trPr>
          <w:cantSplit/>
        </w:trPr>
        <w:tc>
          <w:tcPr>
            <w:tcW w:w="992" w:type="dxa"/>
          </w:tcPr>
          <w:p w14:paraId="0E0FC136" w14:textId="77777777" w:rsidR="00083B82" w:rsidRPr="00C9343F" w:rsidRDefault="00083B82" w:rsidP="00F66D98">
            <w:pPr>
              <w:pStyle w:val="BlockText-Plain"/>
              <w:rPr>
                <w:sz w:val="22"/>
              </w:rPr>
            </w:pPr>
          </w:p>
        </w:tc>
        <w:tc>
          <w:tcPr>
            <w:tcW w:w="567" w:type="dxa"/>
          </w:tcPr>
          <w:p w14:paraId="0D73DC1C" w14:textId="77777777" w:rsidR="00083B82" w:rsidRPr="00C9343F" w:rsidRDefault="00083B82" w:rsidP="007114B1">
            <w:pPr>
              <w:pStyle w:val="BlockText-Plain"/>
              <w:jc w:val="center"/>
            </w:pPr>
            <w:r w:rsidRPr="00C9343F">
              <w:t>b.</w:t>
            </w:r>
          </w:p>
        </w:tc>
        <w:tc>
          <w:tcPr>
            <w:tcW w:w="7802" w:type="dxa"/>
          </w:tcPr>
          <w:p w14:paraId="30CFC715" w14:textId="77777777" w:rsidR="00083B82" w:rsidRPr="00C9343F" w:rsidRDefault="00083B82" w:rsidP="00F66D98">
            <w:pPr>
              <w:pStyle w:val="BlockText-Plain"/>
              <w:rPr>
                <w:lang w:eastAsia="en-US"/>
              </w:rPr>
            </w:pPr>
            <w:r w:rsidRPr="00C9343F">
              <w:rPr>
                <w:lang w:eastAsia="en-US"/>
              </w:rPr>
              <w:t>The member has been promoted from Flight Lieutenant to Squadron Leader.</w:t>
            </w:r>
          </w:p>
        </w:tc>
      </w:tr>
      <w:tr w:rsidR="00083B82" w:rsidRPr="00C9343F" w14:paraId="703830E0" w14:textId="77777777" w:rsidTr="00F945FD">
        <w:trPr>
          <w:cantSplit/>
        </w:trPr>
        <w:tc>
          <w:tcPr>
            <w:tcW w:w="992" w:type="dxa"/>
          </w:tcPr>
          <w:p w14:paraId="02D963A1" w14:textId="77777777" w:rsidR="00083B82" w:rsidRPr="00C9343F" w:rsidRDefault="00083B82" w:rsidP="00F66D98">
            <w:pPr>
              <w:pStyle w:val="BlockText-Plain"/>
              <w:rPr>
                <w:sz w:val="22"/>
              </w:rPr>
            </w:pPr>
          </w:p>
        </w:tc>
        <w:tc>
          <w:tcPr>
            <w:tcW w:w="567" w:type="dxa"/>
          </w:tcPr>
          <w:p w14:paraId="68CFD740" w14:textId="77777777" w:rsidR="00083B82" w:rsidRPr="00C9343F" w:rsidRDefault="00083B82" w:rsidP="007114B1">
            <w:pPr>
              <w:pStyle w:val="BlockText-Plain"/>
              <w:jc w:val="center"/>
            </w:pPr>
            <w:r w:rsidRPr="00C9343F">
              <w:t>c.</w:t>
            </w:r>
          </w:p>
        </w:tc>
        <w:tc>
          <w:tcPr>
            <w:tcW w:w="7802" w:type="dxa"/>
          </w:tcPr>
          <w:p w14:paraId="0881A233" w14:textId="77777777" w:rsidR="00083B82" w:rsidRPr="00C9343F" w:rsidRDefault="00083B82" w:rsidP="00F66D98">
            <w:pPr>
              <w:pStyle w:val="BlockText-Plain"/>
              <w:rPr>
                <w:lang w:eastAsia="en-US"/>
              </w:rPr>
            </w:pPr>
            <w:r w:rsidRPr="00C9343F">
              <w:rPr>
                <w:lang w:eastAsia="en-US"/>
              </w:rPr>
              <w:t xml:space="preserve">The member was paid an increment between O3 – 0 and O3 – 4, inclusive, in Schedule B.3 of DFRT Determination No. 2 of 2017, </w:t>
            </w:r>
            <w:r w:rsidRPr="00C9343F">
              <w:rPr>
                <w:i/>
                <w:iCs/>
                <w:lang w:eastAsia="en-US"/>
              </w:rPr>
              <w:t>Salaries</w:t>
            </w:r>
            <w:r w:rsidRPr="00C9343F">
              <w:rPr>
                <w:iCs/>
                <w:lang w:eastAsia="en-US"/>
              </w:rPr>
              <w:t>,</w:t>
            </w:r>
            <w:r w:rsidRPr="00C9343F">
              <w:rPr>
                <w:i/>
                <w:iCs/>
                <w:lang w:eastAsia="en-US"/>
              </w:rPr>
              <w:t xml:space="preserve"> </w:t>
            </w:r>
            <w:r w:rsidRPr="00C9343F">
              <w:rPr>
                <w:lang w:eastAsia="en-US"/>
              </w:rPr>
              <w:t>immediately before being promoted to Squadron Leader.</w:t>
            </w:r>
          </w:p>
        </w:tc>
      </w:tr>
      <w:tr w:rsidR="00083B82" w:rsidRPr="00C9343F" w14:paraId="3DCD53DF" w14:textId="77777777" w:rsidTr="00F945FD">
        <w:trPr>
          <w:cantSplit/>
        </w:trPr>
        <w:tc>
          <w:tcPr>
            <w:tcW w:w="992" w:type="dxa"/>
          </w:tcPr>
          <w:p w14:paraId="36B803FA" w14:textId="77777777" w:rsidR="00083B82" w:rsidRPr="00C9343F" w:rsidRDefault="00083B82" w:rsidP="00F66D98">
            <w:pPr>
              <w:pStyle w:val="BlockText-Plain"/>
              <w:rPr>
                <w:sz w:val="22"/>
              </w:rPr>
            </w:pPr>
          </w:p>
        </w:tc>
        <w:tc>
          <w:tcPr>
            <w:tcW w:w="567" w:type="dxa"/>
          </w:tcPr>
          <w:p w14:paraId="4C7D5860" w14:textId="77777777" w:rsidR="00083B82" w:rsidRPr="00C9343F" w:rsidRDefault="00083B82" w:rsidP="007114B1">
            <w:pPr>
              <w:pStyle w:val="BlockText-Plain"/>
              <w:jc w:val="center"/>
            </w:pPr>
            <w:r w:rsidRPr="00C9343F">
              <w:t>d.</w:t>
            </w:r>
          </w:p>
        </w:tc>
        <w:tc>
          <w:tcPr>
            <w:tcW w:w="7802" w:type="dxa"/>
          </w:tcPr>
          <w:p w14:paraId="7FB42A72" w14:textId="77777777" w:rsidR="00083B82" w:rsidRPr="00C9343F" w:rsidRDefault="00083B82" w:rsidP="00F66D98">
            <w:pPr>
              <w:pStyle w:val="BlockText-Plain"/>
              <w:rPr>
                <w:lang w:eastAsia="en-US"/>
              </w:rPr>
            </w:pPr>
            <w:r w:rsidRPr="00C9343F">
              <w:rPr>
                <w:lang w:eastAsia="en-US"/>
              </w:rPr>
              <w:t xml:space="preserve">The member is in a competency progression employment category between pay grade 5 and pay grade 9, inclusive, in Part 4 of Schedule B.2 of DFRT Determination No. 2 of 2017, </w:t>
            </w:r>
            <w:r w:rsidRPr="00C9343F">
              <w:rPr>
                <w:i/>
                <w:iCs/>
                <w:lang w:eastAsia="en-US"/>
              </w:rPr>
              <w:t>Salaries.</w:t>
            </w:r>
          </w:p>
        </w:tc>
      </w:tr>
      <w:tr w:rsidR="00083B82" w:rsidRPr="00C9343F" w14:paraId="603C2170" w14:textId="77777777" w:rsidTr="00F945FD">
        <w:trPr>
          <w:cantSplit/>
        </w:trPr>
        <w:tc>
          <w:tcPr>
            <w:tcW w:w="992" w:type="dxa"/>
          </w:tcPr>
          <w:p w14:paraId="0917609D" w14:textId="77777777" w:rsidR="00083B82" w:rsidRPr="00C9343F" w:rsidRDefault="00083B82" w:rsidP="00F66D98">
            <w:pPr>
              <w:pStyle w:val="BlockText-Plain"/>
              <w:spacing w:line="276" w:lineRule="auto"/>
              <w:jc w:val="center"/>
            </w:pPr>
            <w:r w:rsidRPr="00C9343F">
              <w:t>6.</w:t>
            </w:r>
          </w:p>
        </w:tc>
        <w:tc>
          <w:tcPr>
            <w:tcW w:w="8369" w:type="dxa"/>
            <w:gridSpan w:val="2"/>
          </w:tcPr>
          <w:p w14:paraId="60E22F44" w14:textId="77777777" w:rsidR="00083B82" w:rsidRPr="00C9343F" w:rsidRDefault="00083B82" w:rsidP="00F66D98">
            <w:pPr>
              <w:pStyle w:val="BlockText-Plain"/>
            </w:pPr>
            <w:r w:rsidRPr="00C9343F">
              <w:rPr>
                <w:lang w:eastAsia="en-US"/>
              </w:rPr>
              <w:t>A member in an employment category listed in subsection 4, or in an air traffic control employment category, who meets either of the following.</w:t>
            </w:r>
          </w:p>
        </w:tc>
      </w:tr>
      <w:tr w:rsidR="00083B82" w:rsidRPr="00C9343F" w14:paraId="38D9F950" w14:textId="77777777" w:rsidTr="00F945FD">
        <w:tblPrEx>
          <w:tblLook w:val="04A0" w:firstRow="1" w:lastRow="0" w:firstColumn="1" w:lastColumn="0" w:noHBand="0" w:noVBand="1"/>
        </w:tblPrEx>
        <w:trPr>
          <w:cantSplit/>
        </w:trPr>
        <w:tc>
          <w:tcPr>
            <w:tcW w:w="992" w:type="dxa"/>
          </w:tcPr>
          <w:p w14:paraId="7DDBA871" w14:textId="77777777" w:rsidR="00083B82" w:rsidRPr="00C9343F" w:rsidRDefault="00083B82" w:rsidP="00F66D98">
            <w:pPr>
              <w:spacing w:after="200" w:line="276" w:lineRule="auto"/>
            </w:pPr>
            <w:r w:rsidRPr="00C9343F">
              <w:br w:type="page"/>
            </w:r>
          </w:p>
        </w:tc>
        <w:tc>
          <w:tcPr>
            <w:tcW w:w="567" w:type="dxa"/>
          </w:tcPr>
          <w:p w14:paraId="6ED9E053" w14:textId="77777777" w:rsidR="00083B82" w:rsidRPr="00C9343F" w:rsidRDefault="00083B82" w:rsidP="007114B1">
            <w:pPr>
              <w:pStyle w:val="BlockText-Plain"/>
              <w:spacing w:line="276" w:lineRule="auto"/>
              <w:jc w:val="center"/>
              <w:rPr>
                <w:lang w:eastAsia="en-US"/>
              </w:rPr>
            </w:pPr>
            <w:r w:rsidRPr="00C9343F">
              <w:rPr>
                <w:lang w:eastAsia="en-US"/>
              </w:rPr>
              <w:t>a.</w:t>
            </w:r>
          </w:p>
        </w:tc>
        <w:tc>
          <w:tcPr>
            <w:tcW w:w="7802" w:type="dxa"/>
          </w:tcPr>
          <w:p w14:paraId="377FB1EF" w14:textId="77777777" w:rsidR="00083B82" w:rsidRPr="00C9343F" w:rsidRDefault="00083B82" w:rsidP="00F66D98">
            <w:pPr>
              <w:pStyle w:val="BlockText-Plain"/>
              <w:rPr>
                <w:lang w:eastAsia="en-US"/>
              </w:rPr>
            </w:pPr>
            <w:r w:rsidRPr="00C9343F">
              <w:rPr>
                <w:lang w:eastAsia="en-US"/>
              </w:rPr>
              <w:t xml:space="preserve">The member is paid at increment O3 – 3 </w:t>
            </w:r>
            <w:r w:rsidRPr="00C9343F">
              <w:t xml:space="preserve">in Schedule B.4 of DFRT Determination No. 2 of 2017, </w:t>
            </w:r>
            <w:r w:rsidRPr="00C9343F">
              <w:rPr>
                <w:i/>
              </w:rPr>
              <w:t>Salaries</w:t>
            </w:r>
            <w:r w:rsidRPr="00C9343F">
              <w:t>.</w:t>
            </w:r>
          </w:p>
        </w:tc>
      </w:tr>
      <w:tr w:rsidR="00083B82" w:rsidRPr="00C9343F" w14:paraId="08FF68C2" w14:textId="77777777" w:rsidTr="00F945FD">
        <w:tblPrEx>
          <w:tblLook w:val="04A0" w:firstRow="1" w:lastRow="0" w:firstColumn="1" w:lastColumn="0" w:noHBand="0" w:noVBand="1"/>
        </w:tblPrEx>
        <w:trPr>
          <w:cantSplit/>
        </w:trPr>
        <w:tc>
          <w:tcPr>
            <w:tcW w:w="992" w:type="dxa"/>
          </w:tcPr>
          <w:p w14:paraId="1D3E4396" w14:textId="77777777" w:rsidR="00083B82" w:rsidRPr="00C9343F" w:rsidRDefault="00083B82" w:rsidP="00F66D98">
            <w:pPr>
              <w:spacing w:after="200" w:line="276" w:lineRule="auto"/>
            </w:pPr>
          </w:p>
        </w:tc>
        <w:tc>
          <w:tcPr>
            <w:tcW w:w="567" w:type="dxa"/>
          </w:tcPr>
          <w:p w14:paraId="78B39CF1" w14:textId="77777777" w:rsidR="00083B82" w:rsidRPr="00C9343F" w:rsidRDefault="00083B82" w:rsidP="007114B1">
            <w:pPr>
              <w:pStyle w:val="BlockText-Plain"/>
              <w:spacing w:line="276" w:lineRule="auto"/>
              <w:jc w:val="center"/>
              <w:rPr>
                <w:lang w:eastAsia="en-US"/>
              </w:rPr>
            </w:pPr>
            <w:r w:rsidRPr="00C9343F">
              <w:rPr>
                <w:lang w:eastAsia="en-US"/>
              </w:rPr>
              <w:t>b.</w:t>
            </w:r>
          </w:p>
        </w:tc>
        <w:tc>
          <w:tcPr>
            <w:tcW w:w="7802" w:type="dxa"/>
          </w:tcPr>
          <w:p w14:paraId="1D98C662" w14:textId="77777777" w:rsidR="00083B82" w:rsidRPr="00C9343F" w:rsidRDefault="00083B82" w:rsidP="00F66D98">
            <w:pPr>
              <w:pStyle w:val="BlockText-Plain"/>
              <w:rPr>
                <w:lang w:eastAsia="en-US"/>
              </w:rPr>
            </w:pPr>
            <w:r w:rsidRPr="00C9343F">
              <w:t xml:space="preserve">The member’s rate of salary is administered by table item 1.c, 2.a.ii, or 2.b.ii in section B.2.5 of DFRT Determination No. 2 of 2017, </w:t>
            </w:r>
            <w:r w:rsidRPr="00C9343F">
              <w:rPr>
                <w:i/>
              </w:rPr>
              <w:t>Salaries</w:t>
            </w:r>
            <w:r w:rsidRPr="00C9343F">
              <w:t xml:space="preserve">, and the member’s salary under Schedule B.14, Part 3 or Part 4, of DFRT Determination No. 2 of 2017, </w:t>
            </w:r>
            <w:r w:rsidRPr="00C9343F">
              <w:rPr>
                <w:i/>
              </w:rPr>
              <w:t>Salaries</w:t>
            </w:r>
            <w:r w:rsidRPr="00C9343F">
              <w:t xml:space="preserve">, that </w:t>
            </w:r>
            <w:r w:rsidRPr="00C9343F">
              <w:rPr>
                <w:lang w:eastAsia="en-US"/>
              </w:rPr>
              <w:t>corresponds to the member’s rank, pathway, competency stream and increment would be equal to or greater than the rate of salary than that determined by any of the table items, as adjusted from time to time.</w:t>
            </w:r>
          </w:p>
        </w:tc>
      </w:tr>
      <w:tr w:rsidR="00083B82" w:rsidRPr="00C9343F" w14:paraId="50307110" w14:textId="77777777" w:rsidTr="00F945FD">
        <w:trPr>
          <w:cantSplit/>
        </w:trPr>
        <w:tc>
          <w:tcPr>
            <w:tcW w:w="992" w:type="dxa"/>
          </w:tcPr>
          <w:p w14:paraId="49629512" w14:textId="77777777" w:rsidR="00083B82" w:rsidRPr="00C9343F" w:rsidRDefault="00083B82" w:rsidP="00F66D98">
            <w:pPr>
              <w:pStyle w:val="BlockText-Plain"/>
              <w:spacing w:line="276" w:lineRule="auto"/>
              <w:jc w:val="center"/>
            </w:pPr>
            <w:r w:rsidRPr="00C9343F">
              <w:t>7.</w:t>
            </w:r>
          </w:p>
        </w:tc>
        <w:tc>
          <w:tcPr>
            <w:tcW w:w="8369" w:type="dxa"/>
            <w:gridSpan w:val="2"/>
          </w:tcPr>
          <w:p w14:paraId="65FDAF06" w14:textId="77777777" w:rsidR="00083B82" w:rsidRPr="00C9343F" w:rsidRDefault="00083B82" w:rsidP="00F66D98">
            <w:pPr>
              <w:pStyle w:val="BlockText-Plain"/>
            </w:pPr>
            <w:r w:rsidRPr="00C9343F">
              <w:rPr>
                <w:lang w:eastAsia="en-US"/>
              </w:rPr>
              <w:t>Despite subsection 3 to 6, the CDF may decide to transfer a member to the Officer Aviation Pay Structure at any time before the member meets the relevant conditions.</w:t>
            </w:r>
          </w:p>
        </w:tc>
      </w:tr>
    </w:tbl>
    <w:p w14:paraId="6D6E64A0" w14:textId="7BCCC83E" w:rsidR="00083B82" w:rsidRPr="00C9343F" w:rsidRDefault="00083B82" w:rsidP="00F66D98">
      <w:pPr>
        <w:pStyle w:val="Heading5"/>
      </w:pPr>
      <w:bookmarkStart w:id="506" w:name="_Toc105053716"/>
      <w:r w:rsidRPr="00C9343F">
        <w:t>3.2.47L</w:t>
      </w:r>
      <w:r w:rsidR="00D94006" w:rsidRPr="00C9343F">
        <w:t>    </w:t>
      </w:r>
      <w:r w:rsidRPr="00C9343F">
        <w:t>Entry placement – Officer transferring from other salary structures</w:t>
      </w:r>
      <w:bookmarkEnd w:id="506"/>
    </w:p>
    <w:tbl>
      <w:tblPr>
        <w:tblW w:w="9366" w:type="dxa"/>
        <w:tblInd w:w="108" w:type="dxa"/>
        <w:tblCellMar>
          <w:left w:w="0" w:type="dxa"/>
          <w:right w:w="0" w:type="dxa"/>
        </w:tblCellMar>
        <w:tblLook w:val="04A0" w:firstRow="1" w:lastRow="0" w:firstColumn="1" w:lastColumn="0" w:noHBand="0" w:noVBand="1"/>
      </w:tblPr>
      <w:tblGrid>
        <w:gridCol w:w="993"/>
        <w:gridCol w:w="573"/>
        <w:gridCol w:w="7800"/>
      </w:tblGrid>
      <w:tr w:rsidR="00083B82" w:rsidRPr="00C9343F" w14:paraId="4646337D" w14:textId="77777777" w:rsidTr="00F945FD">
        <w:tc>
          <w:tcPr>
            <w:tcW w:w="993" w:type="dxa"/>
            <w:tcMar>
              <w:top w:w="0" w:type="dxa"/>
              <w:left w:w="108" w:type="dxa"/>
              <w:bottom w:w="0" w:type="dxa"/>
              <w:right w:w="108" w:type="dxa"/>
            </w:tcMar>
          </w:tcPr>
          <w:p w14:paraId="3F174AF5" w14:textId="77777777" w:rsidR="00083B82" w:rsidRPr="00C9343F" w:rsidRDefault="00083B82" w:rsidP="00F66D98">
            <w:pPr>
              <w:pStyle w:val="BlockText-Plain"/>
              <w:jc w:val="center"/>
              <w:rPr>
                <w:lang w:eastAsia="en-US"/>
              </w:rPr>
            </w:pPr>
            <w:r w:rsidRPr="00C9343F">
              <w:rPr>
                <w:lang w:eastAsia="en-US"/>
              </w:rPr>
              <w:t>1.</w:t>
            </w:r>
          </w:p>
        </w:tc>
        <w:tc>
          <w:tcPr>
            <w:tcW w:w="8373" w:type="dxa"/>
            <w:gridSpan w:val="2"/>
            <w:tcMar>
              <w:top w:w="0" w:type="dxa"/>
              <w:left w:w="108" w:type="dxa"/>
              <w:bottom w:w="0" w:type="dxa"/>
              <w:right w:w="108" w:type="dxa"/>
            </w:tcMar>
          </w:tcPr>
          <w:p w14:paraId="7BA36427" w14:textId="77777777" w:rsidR="00083B82" w:rsidRPr="00C9343F" w:rsidRDefault="00083B82" w:rsidP="00F66D98">
            <w:pPr>
              <w:pStyle w:val="BlockText-Plain"/>
              <w:rPr>
                <w:lang w:eastAsia="en-US"/>
              </w:rPr>
            </w:pPr>
            <w:r w:rsidRPr="00C9343F">
              <w:rPr>
                <w:lang w:eastAsia="en-US"/>
              </w:rPr>
              <w:t>This section does not apply to a member transferring into Officer Aviation Pay Structure from the salary structure for aviation specialists.</w:t>
            </w:r>
          </w:p>
        </w:tc>
      </w:tr>
      <w:tr w:rsidR="00083B82" w:rsidRPr="00C9343F" w14:paraId="2461E880" w14:textId="77777777" w:rsidTr="00F945FD">
        <w:tc>
          <w:tcPr>
            <w:tcW w:w="993" w:type="dxa"/>
            <w:tcMar>
              <w:top w:w="0" w:type="dxa"/>
              <w:left w:w="108" w:type="dxa"/>
              <w:bottom w:w="0" w:type="dxa"/>
              <w:right w:w="108" w:type="dxa"/>
            </w:tcMar>
          </w:tcPr>
          <w:p w14:paraId="0E321E0D" w14:textId="77777777" w:rsidR="00083B82" w:rsidRPr="00C9343F" w:rsidRDefault="00083B82" w:rsidP="00F66D98">
            <w:pPr>
              <w:pStyle w:val="BlockText-Plain"/>
              <w:jc w:val="center"/>
              <w:rPr>
                <w:lang w:eastAsia="en-US"/>
              </w:rPr>
            </w:pPr>
            <w:r w:rsidRPr="00C9343F">
              <w:rPr>
                <w:lang w:eastAsia="en-US"/>
              </w:rPr>
              <w:t>2.</w:t>
            </w:r>
          </w:p>
        </w:tc>
        <w:tc>
          <w:tcPr>
            <w:tcW w:w="8373" w:type="dxa"/>
            <w:gridSpan w:val="2"/>
            <w:tcMar>
              <w:top w:w="0" w:type="dxa"/>
              <w:left w:w="108" w:type="dxa"/>
              <w:bottom w:w="0" w:type="dxa"/>
              <w:right w:w="108" w:type="dxa"/>
            </w:tcMar>
          </w:tcPr>
          <w:p w14:paraId="33B791D2" w14:textId="77777777" w:rsidR="00083B82" w:rsidRPr="00C9343F" w:rsidRDefault="00083B82" w:rsidP="00F66D98">
            <w:pPr>
              <w:pStyle w:val="BlockText-Plain"/>
              <w:rPr>
                <w:lang w:eastAsia="en-US"/>
              </w:rPr>
            </w:pPr>
            <w:r w:rsidRPr="00C9343F">
              <w:rPr>
                <w:lang w:eastAsia="en-US"/>
              </w:rPr>
              <w:t>An officer of the Navy is placed in the Command Pathway, Rotary Wing Pilot competency stream at Officer Aviation increment OA9 on the day that the member meets both of the following.</w:t>
            </w:r>
          </w:p>
        </w:tc>
      </w:tr>
      <w:tr w:rsidR="00083B82" w:rsidRPr="00C9343F" w14:paraId="7CDDCE33" w14:textId="77777777" w:rsidTr="00F945FD">
        <w:tblPrEx>
          <w:tblCellMar>
            <w:left w:w="108" w:type="dxa"/>
            <w:right w:w="108" w:type="dxa"/>
          </w:tblCellMar>
          <w:tblLook w:val="0000" w:firstRow="0" w:lastRow="0" w:firstColumn="0" w:lastColumn="0" w:noHBand="0" w:noVBand="0"/>
        </w:tblPrEx>
        <w:trPr>
          <w:cantSplit/>
        </w:trPr>
        <w:tc>
          <w:tcPr>
            <w:tcW w:w="993" w:type="dxa"/>
          </w:tcPr>
          <w:p w14:paraId="5B214DB7" w14:textId="77777777" w:rsidR="00083B82" w:rsidRPr="00C9343F" w:rsidRDefault="00083B82" w:rsidP="00F66D98">
            <w:pPr>
              <w:pStyle w:val="BlockText-Plain"/>
            </w:pPr>
          </w:p>
        </w:tc>
        <w:tc>
          <w:tcPr>
            <w:tcW w:w="573" w:type="dxa"/>
          </w:tcPr>
          <w:p w14:paraId="27AF4FCE" w14:textId="77777777" w:rsidR="00083B82" w:rsidRPr="00C9343F" w:rsidRDefault="00083B82" w:rsidP="007114B1">
            <w:pPr>
              <w:pStyle w:val="BlockText-Plain"/>
              <w:jc w:val="center"/>
            </w:pPr>
            <w:r w:rsidRPr="00C9343F">
              <w:t>a.</w:t>
            </w:r>
          </w:p>
        </w:tc>
        <w:tc>
          <w:tcPr>
            <w:tcW w:w="7800" w:type="dxa"/>
          </w:tcPr>
          <w:p w14:paraId="0B956203" w14:textId="77777777" w:rsidR="00083B82" w:rsidRPr="00C9343F" w:rsidRDefault="00083B82" w:rsidP="00F66D98">
            <w:pPr>
              <w:pStyle w:val="BlockText-Plain"/>
            </w:pPr>
            <w:r w:rsidRPr="00C9343F">
              <w:rPr>
                <w:lang w:eastAsia="en-US"/>
              </w:rPr>
              <w:t>The member has completed operational flying training as a pilot on a military aircraft.</w:t>
            </w:r>
          </w:p>
        </w:tc>
      </w:tr>
      <w:tr w:rsidR="00083B82" w:rsidRPr="00C9343F" w14:paraId="72D1F962" w14:textId="77777777" w:rsidTr="00F945FD">
        <w:tblPrEx>
          <w:tblCellMar>
            <w:left w:w="108" w:type="dxa"/>
            <w:right w:w="108" w:type="dxa"/>
          </w:tblCellMar>
          <w:tblLook w:val="0000" w:firstRow="0" w:lastRow="0" w:firstColumn="0" w:lastColumn="0" w:noHBand="0" w:noVBand="0"/>
        </w:tblPrEx>
        <w:trPr>
          <w:cantSplit/>
        </w:trPr>
        <w:tc>
          <w:tcPr>
            <w:tcW w:w="993" w:type="dxa"/>
          </w:tcPr>
          <w:p w14:paraId="643C74CF" w14:textId="77777777" w:rsidR="00083B82" w:rsidRPr="00C9343F" w:rsidRDefault="00083B82" w:rsidP="00F66D98">
            <w:pPr>
              <w:pStyle w:val="BlockText-Plain"/>
            </w:pPr>
          </w:p>
        </w:tc>
        <w:tc>
          <w:tcPr>
            <w:tcW w:w="573" w:type="dxa"/>
          </w:tcPr>
          <w:p w14:paraId="7E5A13D2" w14:textId="77777777" w:rsidR="00083B82" w:rsidRPr="00C9343F" w:rsidRDefault="00083B82" w:rsidP="007114B1">
            <w:pPr>
              <w:pStyle w:val="BlockText-Plain"/>
              <w:jc w:val="center"/>
            </w:pPr>
            <w:r w:rsidRPr="00C9343F">
              <w:t>b.</w:t>
            </w:r>
          </w:p>
        </w:tc>
        <w:tc>
          <w:tcPr>
            <w:tcW w:w="7800" w:type="dxa"/>
          </w:tcPr>
          <w:p w14:paraId="60B74B56" w14:textId="77777777" w:rsidR="00083B82" w:rsidRPr="00C9343F" w:rsidRDefault="00083B82" w:rsidP="00F66D98">
            <w:pPr>
              <w:pStyle w:val="BlockText-Plain"/>
              <w:rPr>
                <w:lang w:eastAsia="en-US"/>
              </w:rPr>
            </w:pPr>
            <w:r w:rsidRPr="00C9343F">
              <w:rPr>
                <w:lang w:eastAsia="en-US"/>
              </w:rPr>
              <w:t>The member has 12 months experience on the aircraft following operational flying training.</w:t>
            </w:r>
          </w:p>
        </w:tc>
      </w:tr>
      <w:tr w:rsidR="00083B82" w:rsidRPr="00C9343F" w14:paraId="6BD10886" w14:textId="77777777" w:rsidTr="00F945FD">
        <w:tc>
          <w:tcPr>
            <w:tcW w:w="993" w:type="dxa"/>
            <w:tcMar>
              <w:top w:w="0" w:type="dxa"/>
              <w:left w:w="108" w:type="dxa"/>
              <w:bottom w:w="0" w:type="dxa"/>
              <w:right w:w="108" w:type="dxa"/>
            </w:tcMar>
          </w:tcPr>
          <w:p w14:paraId="7C5907F4" w14:textId="77777777" w:rsidR="00083B82" w:rsidRPr="00C9343F" w:rsidRDefault="00083B82" w:rsidP="00F66D98">
            <w:pPr>
              <w:pStyle w:val="BlockText-Plain"/>
              <w:jc w:val="center"/>
              <w:rPr>
                <w:lang w:eastAsia="en-US"/>
              </w:rPr>
            </w:pPr>
            <w:r w:rsidRPr="00C9343F">
              <w:rPr>
                <w:lang w:eastAsia="en-US"/>
              </w:rPr>
              <w:t>3.</w:t>
            </w:r>
          </w:p>
        </w:tc>
        <w:tc>
          <w:tcPr>
            <w:tcW w:w="8373" w:type="dxa"/>
            <w:gridSpan w:val="2"/>
            <w:tcMar>
              <w:top w:w="0" w:type="dxa"/>
              <w:left w:w="108" w:type="dxa"/>
              <w:bottom w:w="0" w:type="dxa"/>
              <w:right w:w="108" w:type="dxa"/>
            </w:tcMar>
          </w:tcPr>
          <w:p w14:paraId="7E931672" w14:textId="77777777" w:rsidR="00083B82" w:rsidRPr="00C9343F" w:rsidRDefault="00083B82" w:rsidP="00F66D98">
            <w:pPr>
              <w:pStyle w:val="BlockText-Plain"/>
              <w:rPr>
                <w:lang w:eastAsia="en-US"/>
              </w:rPr>
            </w:pPr>
            <w:r w:rsidRPr="00C9343F">
              <w:rPr>
                <w:lang w:eastAsia="en-US"/>
              </w:rPr>
              <w:t>An officer of the Navy is placed in the Command Pathway, Aviation Warfare Officer competency stream at Officer Aviation increment OA8 on the day that the member meets both of the following.</w:t>
            </w:r>
          </w:p>
        </w:tc>
      </w:tr>
      <w:tr w:rsidR="00083B82" w:rsidRPr="00C9343F" w14:paraId="74401C2B" w14:textId="77777777" w:rsidTr="00F945FD">
        <w:tblPrEx>
          <w:tblCellMar>
            <w:left w:w="108" w:type="dxa"/>
            <w:right w:w="108" w:type="dxa"/>
          </w:tblCellMar>
          <w:tblLook w:val="0000" w:firstRow="0" w:lastRow="0" w:firstColumn="0" w:lastColumn="0" w:noHBand="0" w:noVBand="0"/>
        </w:tblPrEx>
        <w:trPr>
          <w:cantSplit/>
        </w:trPr>
        <w:tc>
          <w:tcPr>
            <w:tcW w:w="993" w:type="dxa"/>
          </w:tcPr>
          <w:p w14:paraId="4D40F949" w14:textId="77777777" w:rsidR="00083B82" w:rsidRPr="00C9343F" w:rsidRDefault="00083B82" w:rsidP="00F66D98">
            <w:pPr>
              <w:pStyle w:val="BlockText-Plain"/>
            </w:pPr>
          </w:p>
        </w:tc>
        <w:tc>
          <w:tcPr>
            <w:tcW w:w="573" w:type="dxa"/>
          </w:tcPr>
          <w:p w14:paraId="50A8420E" w14:textId="77777777" w:rsidR="00083B82" w:rsidRPr="00C9343F" w:rsidRDefault="00083B82" w:rsidP="007114B1">
            <w:pPr>
              <w:pStyle w:val="BlockText-Plain"/>
              <w:jc w:val="center"/>
            </w:pPr>
            <w:r w:rsidRPr="00C9343F">
              <w:t>a.</w:t>
            </w:r>
          </w:p>
        </w:tc>
        <w:tc>
          <w:tcPr>
            <w:tcW w:w="7800" w:type="dxa"/>
          </w:tcPr>
          <w:p w14:paraId="61FAF970" w14:textId="77777777" w:rsidR="00083B82" w:rsidRPr="00C9343F" w:rsidRDefault="00083B82" w:rsidP="00F66D98">
            <w:pPr>
              <w:pStyle w:val="BlockText-Plain"/>
            </w:pPr>
            <w:r w:rsidRPr="00C9343F">
              <w:rPr>
                <w:lang w:eastAsia="en-US"/>
              </w:rPr>
              <w:t>The member has completed operational flying training as an aviation warfare officer on a military aircraft.</w:t>
            </w:r>
          </w:p>
        </w:tc>
      </w:tr>
      <w:tr w:rsidR="00083B82" w:rsidRPr="00C9343F" w14:paraId="4972FDCA" w14:textId="77777777" w:rsidTr="00F945FD">
        <w:tblPrEx>
          <w:tblCellMar>
            <w:left w:w="108" w:type="dxa"/>
            <w:right w:w="108" w:type="dxa"/>
          </w:tblCellMar>
          <w:tblLook w:val="0000" w:firstRow="0" w:lastRow="0" w:firstColumn="0" w:lastColumn="0" w:noHBand="0" w:noVBand="0"/>
        </w:tblPrEx>
        <w:trPr>
          <w:cantSplit/>
        </w:trPr>
        <w:tc>
          <w:tcPr>
            <w:tcW w:w="993" w:type="dxa"/>
          </w:tcPr>
          <w:p w14:paraId="5A859FB2" w14:textId="77777777" w:rsidR="00083B82" w:rsidRPr="00C9343F" w:rsidRDefault="00083B82" w:rsidP="00F66D98">
            <w:pPr>
              <w:pStyle w:val="BlockText-Plain"/>
            </w:pPr>
          </w:p>
        </w:tc>
        <w:tc>
          <w:tcPr>
            <w:tcW w:w="573" w:type="dxa"/>
          </w:tcPr>
          <w:p w14:paraId="534C5617" w14:textId="77777777" w:rsidR="00083B82" w:rsidRPr="00C9343F" w:rsidRDefault="00083B82" w:rsidP="007114B1">
            <w:pPr>
              <w:pStyle w:val="BlockText-Plain"/>
              <w:jc w:val="center"/>
            </w:pPr>
            <w:r w:rsidRPr="00C9343F">
              <w:t>b.</w:t>
            </w:r>
          </w:p>
        </w:tc>
        <w:tc>
          <w:tcPr>
            <w:tcW w:w="7800" w:type="dxa"/>
          </w:tcPr>
          <w:p w14:paraId="328F95CF" w14:textId="77777777" w:rsidR="00083B82" w:rsidRPr="00C9343F" w:rsidRDefault="00083B82" w:rsidP="00F66D98">
            <w:pPr>
              <w:pStyle w:val="BlockText-Plain"/>
              <w:rPr>
                <w:lang w:eastAsia="en-US"/>
              </w:rPr>
            </w:pPr>
            <w:r w:rsidRPr="00C9343F">
              <w:rPr>
                <w:lang w:eastAsia="en-US"/>
              </w:rPr>
              <w:t>The member has 12 months experience on the aircraft following operational flying training.</w:t>
            </w:r>
          </w:p>
        </w:tc>
      </w:tr>
      <w:tr w:rsidR="008234B1" w:rsidRPr="00C9343F" w14:paraId="1D408F81" w14:textId="77777777" w:rsidTr="00F945FD">
        <w:tc>
          <w:tcPr>
            <w:tcW w:w="993" w:type="dxa"/>
            <w:tcMar>
              <w:top w:w="0" w:type="dxa"/>
              <w:left w:w="108" w:type="dxa"/>
              <w:bottom w:w="0" w:type="dxa"/>
              <w:right w:w="108" w:type="dxa"/>
            </w:tcMar>
          </w:tcPr>
          <w:p w14:paraId="1AD3D329" w14:textId="16C618FA" w:rsidR="008234B1" w:rsidRPr="00C9343F" w:rsidRDefault="008234B1" w:rsidP="00F66D98">
            <w:pPr>
              <w:pStyle w:val="Sectiontext0"/>
              <w:jc w:val="center"/>
              <w:rPr>
                <w:lang w:eastAsia="en-US"/>
              </w:rPr>
            </w:pPr>
            <w:r w:rsidRPr="00C9343F">
              <w:rPr>
                <w:lang w:eastAsia="en-US"/>
              </w:rPr>
              <w:t>3A.</w:t>
            </w:r>
          </w:p>
        </w:tc>
        <w:tc>
          <w:tcPr>
            <w:tcW w:w="8373" w:type="dxa"/>
            <w:gridSpan w:val="2"/>
            <w:tcMar>
              <w:top w:w="0" w:type="dxa"/>
              <w:left w:w="108" w:type="dxa"/>
              <w:bottom w:w="0" w:type="dxa"/>
              <w:right w:w="108" w:type="dxa"/>
            </w:tcMar>
          </w:tcPr>
          <w:p w14:paraId="4B588058" w14:textId="04D81985" w:rsidR="008234B1" w:rsidRPr="00C9343F" w:rsidRDefault="008234B1" w:rsidP="00F66D98">
            <w:pPr>
              <w:pStyle w:val="Sectiontext0"/>
              <w:rPr>
                <w:lang w:eastAsia="en-US"/>
              </w:rPr>
            </w:pPr>
            <w:r w:rsidRPr="00C9343F">
              <w:rPr>
                <w:iCs/>
              </w:rPr>
              <w:t>An officer in the Navy is placed in the Command Pathway, Remote Pilot Warfare Officer competency stream at Officer Aviation increment OA6 on the day the member has completed remote pilot warfare officer training.</w:t>
            </w:r>
          </w:p>
        </w:tc>
      </w:tr>
      <w:tr w:rsidR="00083B82" w:rsidRPr="00C9343F" w14:paraId="3AC0A5B7" w14:textId="77777777" w:rsidTr="00F945FD">
        <w:tc>
          <w:tcPr>
            <w:tcW w:w="993" w:type="dxa"/>
            <w:tcMar>
              <w:top w:w="0" w:type="dxa"/>
              <w:left w:w="108" w:type="dxa"/>
              <w:bottom w:w="0" w:type="dxa"/>
              <w:right w:w="108" w:type="dxa"/>
            </w:tcMar>
          </w:tcPr>
          <w:p w14:paraId="5B7F152F" w14:textId="77777777" w:rsidR="00083B82" w:rsidRPr="00C9343F" w:rsidRDefault="00083B82" w:rsidP="00F66D98">
            <w:pPr>
              <w:pStyle w:val="BlockText-Plain"/>
              <w:keepLines/>
              <w:jc w:val="center"/>
              <w:rPr>
                <w:lang w:eastAsia="en-US"/>
              </w:rPr>
            </w:pPr>
            <w:r w:rsidRPr="00C9343F">
              <w:rPr>
                <w:lang w:eastAsia="en-US"/>
              </w:rPr>
              <w:t>4.</w:t>
            </w:r>
          </w:p>
        </w:tc>
        <w:tc>
          <w:tcPr>
            <w:tcW w:w="8373" w:type="dxa"/>
            <w:gridSpan w:val="2"/>
            <w:tcMar>
              <w:top w:w="0" w:type="dxa"/>
              <w:left w:w="108" w:type="dxa"/>
              <w:bottom w:w="0" w:type="dxa"/>
              <w:right w:w="108" w:type="dxa"/>
            </w:tcMar>
          </w:tcPr>
          <w:p w14:paraId="355C8E02" w14:textId="77777777" w:rsidR="00083B82" w:rsidRPr="00C9343F" w:rsidRDefault="00083B82" w:rsidP="00F66D98">
            <w:pPr>
              <w:pStyle w:val="BlockText-Plain"/>
              <w:keepLines/>
              <w:rPr>
                <w:lang w:eastAsia="en-US"/>
              </w:rPr>
            </w:pPr>
            <w:r w:rsidRPr="00C9343F">
              <w:rPr>
                <w:lang w:eastAsia="en-US"/>
              </w:rPr>
              <w:t xml:space="preserve">An officer of the Army who holds the rank of Lieutenant is placed in the Generalist Pathway, Rotary Wing Pilot competency stream at the relevant of the following Officer Aviation increments on the day that the member completes the Regimental Officers Basic Course – Program (aviation). </w:t>
            </w:r>
          </w:p>
        </w:tc>
      </w:tr>
      <w:tr w:rsidR="00083B82" w:rsidRPr="00C9343F" w14:paraId="308C0089" w14:textId="77777777" w:rsidTr="00F945FD">
        <w:tblPrEx>
          <w:tblCellMar>
            <w:left w:w="108" w:type="dxa"/>
            <w:right w:w="108" w:type="dxa"/>
          </w:tblCellMar>
          <w:tblLook w:val="0000" w:firstRow="0" w:lastRow="0" w:firstColumn="0" w:lastColumn="0" w:noHBand="0" w:noVBand="0"/>
        </w:tblPrEx>
        <w:trPr>
          <w:cantSplit/>
        </w:trPr>
        <w:tc>
          <w:tcPr>
            <w:tcW w:w="993" w:type="dxa"/>
          </w:tcPr>
          <w:p w14:paraId="0BA21FCC" w14:textId="77777777" w:rsidR="00083B82" w:rsidRPr="00C9343F" w:rsidRDefault="00083B82" w:rsidP="00F66D98">
            <w:pPr>
              <w:pStyle w:val="BlockText-Plain"/>
            </w:pPr>
          </w:p>
        </w:tc>
        <w:tc>
          <w:tcPr>
            <w:tcW w:w="573" w:type="dxa"/>
          </w:tcPr>
          <w:p w14:paraId="65AA7F11" w14:textId="77777777" w:rsidR="00083B82" w:rsidRPr="00C9343F" w:rsidRDefault="00083B82" w:rsidP="007114B1">
            <w:pPr>
              <w:pStyle w:val="BlockText-Plain"/>
              <w:jc w:val="center"/>
            </w:pPr>
            <w:r w:rsidRPr="00C9343F">
              <w:t>a.</w:t>
            </w:r>
          </w:p>
        </w:tc>
        <w:tc>
          <w:tcPr>
            <w:tcW w:w="7800" w:type="dxa"/>
          </w:tcPr>
          <w:p w14:paraId="58D9A496" w14:textId="77777777" w:rsidR="00083B82" w:rsidRPr="00C9343F" w:rsidRDefault="00083B82" w:rsidP="00F66D98">
            <w:pPr>
              <w:pStyle w:val="BlockText-Plain"/>
            </w:pPr>
            <w:r w:rsidRPr="00C9343F">
              <w:rPr>
                <w:lang w:eastAsia="en-US"/>
              </w:rPr>
              <w:t>If the member has less than 12 months experience as a Lieutenant — the member's Officer Aviation increment is OA1.</w:t>
            </w:r>
          </w:p>
        </w:tc>
      </w:tr>
      <w:tr w:rsidR="00083B82" w:rsidRPr="00C9343F" w14:paraId="1716EB48" w14:textId="77777777" w:rsidTr="00F945FD">
        <w:tblPrEx>
          <w:tblCellMar>
            <w:left w:w="108" w:type="dxa"/>
            <w:right w:w="108" w:type="dxa"/>
          </w:tblCellMar>
          <w:tblLook w:val="0000" w:firstRow="0" w:lastRow="0" w:firstColumn="0" w:lastColumn="0" w:noHBand="0" w:noVBand="0"/>
        </w:tblPrEx>
        <w:trPr>
          <w:cantSplit/>
        </w:trPr>
        <w:tc>
          <w:tcPr>
            <w:tcW w:w="993" w:type="dxa"/>
          </w:tcPr>
          <w:p w14:paraId="05FD4CC8" w14:textId="77777777" w:rsidR="00083B82" w:rsidRPr="00C9343F" w:rsidRDefault="00083B82" w:rsidP="00F66D98">
            <w:pPr>
              <w:pStyle w:val="BlockText-Plain"/>
            </w:pPr>
          </w:p>
        </w:tc>
        <w:tc>
          <w:tcPr>
            <w:tcW w:w="573" w:type="dxa"/>
          </w:tcPr>
          <w:p w14:paraId="6177534B" w14:textId="77777777" w:rsidR="00083B82" w:rsidRPr="00C9343F" w:rsidRDefault="00083B82" w:rsidP="007114B1">
            <w:pPr>
              <w:pStyle w:val="BlockText-Plain"/>
              <w:jc w:val="center"/>
            </w:pPr>
            <w:r w:rsidRPr="00C9343F">
              <w:t>b.</w:t>
            </w:r>
          </w:p>
        </w:tc>
        <w:tc>
          <w:tcPr>
            <w:tcW w:w="7800" w:type="dxa"/>
          </w:tcPr>
          <w:p w14:paraId="39C35EC1" w14:textId="77777777" w:rsidR="00083B82" w:rsidRPr="00C9343F" w:rsidRDefault="00083B82" w:rsidP="00F66D98">
            <w:pPr>
              <w:pStyle w:val="BlockText-Plain"/>
              <w:rPr>
                <w:lang w:eastAsia="en-US"/>
              </w:rPr>
            </w:pPr>
            <w:r w:rsidRPr="00C9343F">
              <w:rPr>
                <w:lang w:eastAsia="en-US"/>
              </w:rPr>
              <w:t>If the member has 12 months or more experience as a Lieutenant — the member's Officer Aviation increment of OA1 is increased by one for each 12 months completed as Lieutenant, up to a maximum increment of OA4.</w:t>
            </w:r>
          </w:p>
        </w:tc>
      </w:tr>
      <w:tr w:rsidR="00083B82" w:rsidRPr="00C9343F" w14:paraId="7E63A58A" w14:textId="77777777" w:rsidTr="00F945FD">
        <w:tc>
          <w:tcPr>
            <w:tcW w:w="993" w:type="dxa"/>
            <w:tcMar>
              <w:top w:w="0" w:type="dxa"/>
              <w:left w:w="108" w:type="dxa"/>
              <w:bottom w:w="0" w:type="dxa"/>
              <w:right w:w="108" w:type="dxa"/>
            </w:tcMar>
          </w:tcPr>
          <w:p w14:paraId="654CE279" w14:textId="77777777" w:rsidR="00083B82" w:rsidRPr="00C9343F" w:rsidRDefault="00083B82" w:rsidP="00F66D98">
            <w:pPr>
              <w:pStyle w:val="BlockText-Plain"/>
              <w:jc w:val="center"/>
              <w:rPr>
                <w:lang w:eastAsia="en-US"/>
              </w:rPr>
            </w:pPr>
            <w:r w:rsidRPr="00C9343F">
              <w:rPr>
                <w:lang w:eastAsia="en-US"/>
              </w:rPr>
              <w:t>5.</w:t>
            </w:r>
          </w:p>
        </w:tc>
        <w:tc>
          <w:tcPr>
            <w:tcW w:w="8373" w:type="dxa"/>
            <w:gridSpan w:val="2"/>
            <w:tcMar>
              <w:top w:w="0" w:type="dxa"/>
              <w:left w:w="108" w:type="dxa"/>
              <w:bottom w:w="0" w:type="dxa"/>
              <w:right w:w="108" w:type="dxa"/>
            </w:tcMar>
          </w:tcPr>
          <w:p w14:paraId="51993A6F" w14:textId="77777777" w:rsidR="00083B82" w:rsidRPr="00C9343F" w:rsidRDefault="00083B82" w:rsidP="00F66D98">
            <w:pPr>
              <w:pStyle w:val="BlockText-Plain"/>
              <w:rPr>
                <w:lang w:eastAsia="en-US"/>
              </w:rPr>
            </w:pPr>
            <w:r w:rsidRPr="00C9343F">
              <w:rPr>
                <w:lang w:eastAsia="en-US"/>
              </w:rPr>
              <w:t xml:space="preserve">An officer of the Army who holds the rank of Captain or above is placed in the Generalist Pathway, Rotary Wing Pilot competency stream at the relevant of the following Officer Aviation increments on the day that the member completes the Regimental Officers Basic Course – Program (aviation). </w:t>
            </w:r>
          </w:p>
        </w:tc>
      </w:tr>
      <w:tr w:rsidR="00083B82" w:rsidRPr="00C9343F" w14:paraId="18A193E6" w14:textId="77777777" w:rsidTr="00F945FD">
        <w:tblPrEx>
          <w:tblCellMar>
            <w:left w:w="108" w:type="dxa"/>
            <w:right w:w="108" w:type="dxa"/>
          </w:tblCellMar>
          <w:tblLook w:val="0000" w:firstRow="0" w:lastRow="0" w:firstColumn="0" w:lastColumn="0" w:noHBand="0" w:noVBand="0"/>
        </w:tblPrEx>
        <w:trPr>
          <w:cantSplit/>
        </w:trPr>
        <w:tc>
          <w:tcPr>
            <w:tcW w:w="993" w:type="dxa"/>
          </w:tcPr>
          <w:p w14:paraId="4FD28A94" w14:textId="77777777" w:rsidR="00083B82" w:rsidRPr="00C9343F" w:rsidRDefault="00083B82" w:rsidP="00F66D98">
            <w:pPr>
              <w:pStyle w:val="BlockText-Plain"/>
            </w:pPr>
          </w:p>
        </w:tc>
        <w:tc>
          <w:tcPr>
            <w:tcW w:w="573" w:type="dxa"/>
          </w:tcPr>
          <w:p w14:paraId="5B1B3BE3" w14:textId="77777777" w:rsidR="00083B82" w:rsidRPr="00C9343F" w:rsidRDefault="00083B82" w:rsidP="007114B1">
            <w:pPr>
              <w:pStyle w:val="BlockText-Plain"/>
              <w:jc w:val="center"/>
            </w:pPr>
            <w:r w:rsidRPr="00C9343F">
              <w:t>a.</w:t>
            </w:r>
          </w:p>
        </w:tc>
        <w:tc>
          <w:tcPr>
            <w:tcW w:w="7800" w:type="dxa"/>
          </w:tcPr>
          <w:p w14:paraId="3ED5516D" w14:textId="77777777" w:rsidR="00083B82" w:rsidRPr="00C9343F" w:rsidRDefault="00083B82" w:rsidP="00F66D98">
            <w:pPr>
              <w:pStyle w:val="BlockText-Plain"/>
            </w:pPr>
            <w:r w:rsidRPr="00C9343F">
              <w:rPr>
                <w:lang w:eastAsia="en-US"/>
              </w:rPr>
              <w:t>If the member has less than 12 months experience as an aviation officer — the member's Officer Aviation increment is the minimum increment for their rank.</w:t>
            </w:r>
          </w:p>
        </w:tc>
      </w:tr>
      <w:tr w:rsidR="00083B82" w:rsidRPr="00C9343F" w14:paraId="14962E13" w14:textId="77777777" w:rsidTr="00F945FD">
        <w:tblPrEx>
          <w:tblCellMar>
            <w:left w:w="108" w:type="dxa"/>
            <w:right w:w="108" w:type="dxa"/>
          </w:tblCellMar>
          <w:tblLook w:val="0000" w:firstRow="0" w:lastRow="0" w:firstColumn="0" w:lastColumn="0" w:noHBand="0" w:noVBand="0"/>
        </w:tblPrEx>
        <w:trPr>
          <w:cantSplit/>
        </w:trPr>
        <w:tc>
          <w:tcPr>
            <w:tcW w:w="993" w:type="dxa"/>
          </w:tcPr>
          <w:p w14:paraId="09B3951B" w14:textId="77777777" w:rsidR="00083B82" w:rsidRPr="00C9343F" w:rsidRDefault="00083B82" w:rsidP="00F66D98">
            <w:pPr>
              <w:pStyle w:val="BlockText-Plain"/>
            </w:pPr>
          </w:p>
        </w:tc>
        <w:tc>
          <w:tcPr>
            <w:tcW w:w="573" w:type="dxa"/>
          </w:tcPr>
          <w:p w14:paraId="496BE947" w14:textId="77777777" w:rsidR="00083B82" w:rsidRPr="00C9343F" w:rsidRDefault="00083B82" w:rsidP="007114B1">
            <w:pPr>
              <w:pStyle w:val="BlockText-Plain"/>
              <w:jc w:val="center"/>
            </w:pPr>
            <w:r w:rsidRPr="00C9343F">
              <w:t>b.</w:t>
            </w:r>
          </w:p>
        </w:tc>
        <w:tc>
          <w:tcPr>
            <w:tcW w:w="7800" w:type="dxa"/>
          </w:tcPr>
          <w:p w14:paraId="4BE112AC" w14:textId="77777777" w:rsidR="00083B82" w:rsidRPr="00C9343F" w:rsidRDefault="00083B82" w:rsidP="00F66D98">
            <w:pPr>
              <w:pStyle w:val="BlockText-Plain"/>
              <w:rPr>
                <w:lang w:eastAsia="en-US"/>
              </w:rPr>
            </w:pPr>
            <w:r w:rsidRPr="00C9343F">
              <w:rPr>
                <w:lang w:eastAsia="en-US"/>
              </w:rPr>
              <w:t xml:space="preserve">If the member has 12 months or more experience as an aviation officer — the member's Officer Aviation increment is the minimum increment for their rank that is increased by one increment as set out in Annex B.3.D of DFRT Determination No. 2 of 2017, </w:t>
            </w:r>
            <w:r w:rsidRPr="00C9343F">
              <w:rPr>
                <w:i/>
                <w:lang w:eastAsia="en-US"/>
              </w:rPr>
              <w:t>Salaries,</w:t>
            </w:r>
            <w:r w:rsidRPr="00C9343F">
              <w:rPr>
                <w:lang w:eastAsia="en-US"/>
              </w:rPr>
              <w:t xml:space="preserve"> for each 12 months completed as an aviation officer, up to the maximum increment for their rank but not including the command increment levels.</w:t>
            </w:r>
          </w:p>
        </w:tc>
      </w:tr>
      <w:tr w:rsidR="00083B82" w:rsidRPr="00C9343F" w14:paraId="797D915B" w14:textId="77777777" w:rsidTr="00F945FD">
        <w:tc>
          <w:tcPr>
            <w:tcW w:w="993" w:type="dxa"/>
            <w:tcMar>
              <w:top w:w="0" w:type="dxa"/>
              <w:left w:w="108" w:type="dxa"/>
              <w:bottom w:w="0" w:type="dxa"/>
              <w:right w:w="108" w:type="dxa"/>
            </w:tcMar>
          </w:tcPr>
          <w:p w14:paraId="60723D5B" w14:textId="77777777" w:rsidR="00083B82" w:rsidRPr="00C9343F" w:rsidRDefault="00083B82" w:rsidP="00F66D98">
            <w:pPr>
              <w:pStyle w:val="BlockText-Plain"/>
              <w:jc w:val="center"/>
              <w:rPr>
                <w:lang w:eastAsia="en-US"/>
              </w:rPr>
            </w:pPr>
            <w:r w:rsidRPr="00C9343F">
              <w:rPr>
                <w:lang w:eastAsia="en-US"/>
              </w:rPr>
              <w:t>6.</w:t>
            </w:r>
          </w:p>
        </w:tc>
        <w:tc>
          <w:tcPr>
            <w:tcW w:w="8373" w:type="dxa"/>
            <w:gridSpan w:val="2"/>
            <w:tcMar>
              <w:top w:w="0" w:type="dxa"/>
              <w:left w:w="108" w:type="dxa"/>
              <w:bottom w:w="0" w:type="dxa"/>
              <w:right w:w="108" w:type="dxa"/>
            </w:tcMar>
          </w:tcPr>
          <w:p w14:paraId="19A8BD94" w14:textId="77777777" w:rsidR="00083B82" w:rsidRPr="00C9343F" w:rsidRDefault="00083B82" w:rsidP="00F66D98">
            <w:pPr>
              <w:pStyle w:val="BlockText-Plain"/>
              <w:rPr>
                <w:lang w:eastAsia="en-US"/>
              </w:rPr>
            </w:pPr>
            <w:r w:rsidRPr="00C9343F">
              <w:rPr>
                <w:lang w:eastAsia="en-US"/>
              </w:rPr>
              <w:t>An officer of the Air Force who transfers from an employment category is not specified in section 3.2.47K or from the air traffic control employment category is placed in the Command Pathway, the relevant competency stream for their qualifications and the minimum Officer Aviation increment for their rank on the day they are awarded a Category D qualification or Air Traffic Controller primary endorsement.</w:t>
            </w:r>
          </w:p>
        </w:tc>
      </w:tr>
      <w:tr w:rsidR="00083B82" w:rsidRPr="00C9343F" w14:paraId="5C1001F1" w14:textId="77777777" w:rsidTr="00F945FD">
        <w:tc>
          <w:tcPr>
            <w:tcW w:w="993" w:type="dxa"/>
            <w:tcMar>
              <w:top w:w="0" w:type="dxa"/>
              <w:left w:w="108" w:type="dxa"/>
              <w:bottom w:w="0" w:type="dxa"/>
              <w:right w:w="108" w:type="dxa"/>
            </w:tcMar>
          </w:tcPr>
          <w:p w14:paraId="613E51E8" w14:textId="77777777" w:rsidR="00083B82" w:rsidRPr="00C9343F" w:rsidRDefault="00083B82" w:rsidP="00F66D98">
            <w:pPr>
              <w:pStyle w:val="BlockText-Plain"/>
              <w:jc w:val="center"/>
              <w:rPr>
                <w:lang w:eastAsia="en-US"/>
              </w:rPr>
            </w:pPr>
            <w:r w:rsidRPr="00C9343F">
              <w:rPr>
                <w:lang w:eastAsia="en-US"/>
              </w:rPr>
              <w:t>7.</w:t>
            </w:r>
          </w:p>
        </w:tc>
        <w:tc>
          <w:tcPr>
            <w:tcW w:w="8373" w:type="dxa"/>
            <w:gridSpan w:val="2"/>
            <w:tcMar>
              <w:top w:w="0" w:type="dxa"/>
              <w:left w:w="108" w:type="dxa"/>
              <w:bottom w:w="0" w:type="dxa"/>
              <w:right w:w="108" w:type="dxa"/>
            </w:tcMar>
          </w:tcPr>
          <w:p w14:paraId="2ED9293E" w14:textId="77777777" w:rsidR="00083B82" w:rsidRPr="00C9343F" w:rsidRDefault="00083B82" w:rsidP="00F66D98">
            <w:pPr>
              <w:pStyle w:val="BlockText-Plain"/>
              <w:rPr>
                <w:lang w:eastAsia="en-US"/>
              </w:rPr>
            </w:pPr>
            <w:r w:rsidRPr="00C9343F">
              <w:rPr>
                <w:lang w:eastAsia="en-US"/>
              </w:rPr>
              <w:t xml:space="preserve">Subsection 8 applies to an officer who meets both of the following on the day immediately before their transfer into Officer Aviation Pay Structure. </w:t>
            </w:r>
          </w:p>
        </w:tc>
      </w:tr>
      <w:tr w:rsidR="00083B82" w:rsidRPr="00C9343F" w14:paraId="3F22D4D6" w14:textId="77777777" w:rsidTr="00F945FD">
        <w:tblPrEx>
          <w:tblCellMar>
            <w:left w:w="108" w:type="dxa"/>
            <w:right w:w="108" w:type="dxa"/>
          </w:tblCellMar>
          <w:tblLook w:val="0000" w:firstRow="0" w:lastRow="0" w:firstColumn="0" w:lastColumn="0" w:noHBand="0" w:noVBand="0"/>
        </w:tblPrEx>
        <w:trPr>
          <w:cantSplit/>
        </w:trPr>
        <w:tc>
          <w:tcPr>
            <w:tcW w:w="993" w:type="dxa"/>
          </w:tcPr>
          <w:p w14:paraId="6D277342" w14:textId="77777777" w:rsidR="00083B82" w:rsidRPr="00C9343F" w:rsidRDefault="00083B82" w:rsidP="00F66D98">
            <w:pPr>
              <w:pStyle w:val="BlockText-Plain"/>
            </w:pPr>
          </w:p>
        </w:tc>
        <w:tc>
          <w:tcPr>
            <w:tcW w:w="573" w:type="dxa"/>
          </w:tcPr>
          <w:p w14:paraId="1D7D9CB8" w14:textId="77777777" w:rsidR="00083B82" w:rsidRPr="00C9343F" w:rsidRDefault="00083B82" w:rsidP="007114B1">
            <w:pPr>
              <w:pStyle w:val="BlockText-Plain"/>
              <w:jc w:val="center"/>
            </w:pPr>
            <w:r w:rsidRPr="00C9343F">
              <w:t>a.</w:t>
            </w:r>
          </w:p>
        </w:tc>
        <w:tc>
          <w:tcPr>
            <w:tcW w:w="7800" w:type="dxa"/>
          </w:tcPr>
          <w:p w14:paraId="76F20E7D" w14:textId="77777777" w:rsidR="00083B82" w:rsidRPr="00C9343F" w:rsidRDefault="00083B82" w:rsidP="00F66D98">
            <w:pPr>
              <w:pStyle w:val="BlockText-Plain"/>
            </w:pPr>
            <w:r w:rsidRPr="00C9343F">
              <w:rPr>
                <w:lang w:eastAsia="en-US"/>
              </w:rPr>
              <w:t xml:space="preserve">Their rate of salary was administered by section B.2.5 table item 1.c, 2.a.ii or 2.b.ii of DFRT Determination No. 2 of 2017, </w:t>
            </w:r>
            <w:r w:rsidRPr="00C9343F">
              <w:rPr>
                <w:i/>
                <w:lang w:eastAsia="en-US"/>
              </w:rPr>
              <w:t>Salaries.</w:t>
            </w:r>
          </w:p>
        </w:tc>
      </w:tr>
      <w:tr w:rsidR="00083B82" w:rsidRPr="00C9343F" w14:paraId="0BD46826" w14:textId="77777777" w:rsidTr="00F945FD">
        <w:tblPrEx>
          <w:tblCellMar>
            <w:left w:w="108" w:type="dxa"/>
            <w:right w:w="108" w:type="dxa"/>
          </w:tblCellMar>
          <w:tblLook w:val="0000" w:firstRow="0" w:lastRow="0" w:firstColumn="0" w:lastColumn="0" w:noHBand="0" w:noVBand="0"/>
        </w:tblPrEx>
        <w:trPr>
          <w:cantSplit/>
        </w:trPr>
        <w:tc>
          <w:tcPr>
            <w:tcW w:w="993" w:type="dxa"/>
          </w:tcPr>
          <w:p w14:paraId="364BE04C" w14:textId="77777777" w:rsidR="00083B82" w:rsidRPr="00C9343F" w:rsidRDefault="00083B82" w:rsidP="00F66D98">
            <w:pPr>
              <w:pStyle w:val="BlockText-Plain"/>
            </w:pPr>
          </w:p>
        </w:tc>
        <w:tc>
          <w:tcPr>
            <w:tcW w:w="573" w:type="dxa"/>
          </w:tcPr>
          <w:p w14:paraId="17E89330" w14:textId="77777777" w:rsidR="00083B82" w:rsidRPr="00C9343F" w:rsidRDefault="00083B82" w:rsidP="007114B1">
            <w:pPr>
              <w:pStyle w:val="BlockText-Plain"/>
              <w:jc w:val="center"/>
            </w:pPr>
            <w:r w:rsidRPr="00C9343F">
              <w:t>b.</w:t>
            </w:r>
          </w:p>
        </w:tc>
        <w:tc>
          <w:tcPr>
            <w:tcW w:w="7800" w:type="dxa"/>
          </w:tcPr>
          <w:p w14:paraId="5063482B" w14:textId="77777777" w:rsidR="00083B82" w:rsidRPr="00C9343F" w:rsidRDefault="00083B82" w:rsidP="00F66D98">
            <w:pPr>
              <w:pStyle w:val="BlockText-Plain"/>
              <w:rPr>
                <w:lang w:eastAsia="en-US"/>
              </w:rPr>
            </w:pPr>
            <w:r w:rsidRPr="00C9343F">
              <w:rPr>
                <w:lang w:eastAsia="en-US"/>
              </w:rPr>
              <w:t>Their rate of salary immediately before their transfer is higher than the rate of salary payable for the member's Officer Aviation increment for their rank pathway and competency stream</w:t>
            </w:r>
          </w:p>
        </w:tc>
      </w:tr>
      <w:tr w:rsidR="00083B82" w:rsidRPr="00C9343F" w14:paraId="4BC65E70" w14:textId="77777777" w:rsidTr="00F945FD">
        <w:tc>
          <w:tcPr>
            <w:tcW w:w="993" w:type="dxa"/>
            <w:tcMar>
              <w:top w:w="0" w:type="dxa"/>
              <w:left w:w="108" w:type="dxa"/>
              <w:bottom w:w="0" w:type="dxa"/>
              <w:right w:w="108" w:type="dxa"/>
            </w:tcMar>
          </w:tcPr>
          <w:p w14:paraId="6EAC3B11" w14:textId="77777777" w:rsidR="00083B82" w:rsidRPr="00C9343F" w:rsidRDefault="00083B82" w:rsidP="00F66D98">
            <w:pPr>
              <w:pStyle w:val="BlockText-Plain"/>
              <w:jc w:val="center"/>
              <w:rPr>
                <w:lang w:eastAsia="en-US"/>
              </w:rPr>
            </w:pPr>
            <w:r w:rsidRPr="00C9343F">
              <w:rPr>
                <w:lang w:eastAsia="en-US"/>
              </w:rPr>
              <w:t>8.</w:t>
            </w:r>
          </w:p>
        </w:tc>
        <w:tc>
          <w:tcPr>
            <w:tcW w:w="8373" w:type="dxa"/>
            <w:gridSpan w:val="2"/>
            <w:tcMar>
              <w:top w:w="0" w:type="dxa"/>
              <w:left w:w="108" w:type="dxa"/>
              <w:bottom w:w="0" w:type="dxa"/>
              <w:right w:w="108" w:type="dxa"/>
            </w:tcMar>
          </w:tcPr>
          <w:p w14:paraId="6062DD08" w14:textId="77777777" w:rsidR="00083B82" w:rsidRPr="00C9343F" w:rsidRDefault="00083B82" w:rsidP="00F66D98">
            <w:pPr>
              <w:pStyle w:val="BlockText-Plain"/>
              <w:rPr>
                <w:lang w:eastAsia="en-US"/>
              </w:rPr>
            </w:pPr>
            <w:r w:rsidRPr="00C9343F">
              <w:rPr>
                <w:lang w:eastAsia="en-US"/>
              </w:rPr>
              <w:t>The member retains the rate of salary payable immediately before the transfer until the salary payable for the member's Officer Aviation increment for their rank, pathway and competency stream is equal to or greater than the retained rate of salary.</w:t>
            </w:r>
          </w:p>
        </w:tc>
      </w:tr>
    </w:tbl>
    <w:p w14:paraId="1421C30F" w14:textId="70222EBB" w:rsidR="00083B82" w:rsidRPr="00C9343F" w:rsidDel="00EE3F3F" w:rsidRDefault="00083B82" w:rsidP="00F66D98">
      <w:pPr>
        <w:pStyle w:val="Heading5"/>
      </w:pPr>
      <w:bookmarkStart w:id="507" w:name="_Toc105053717"/>
      <w:r w:rsidRPr="00C9343F" w:rsidDel="00EE3F3F">
        <w:t>3.2.47</w:t>
      </w:r>
      <w:r w:rsidRPr="00C9343F">
        <w:t>M</w:t>
      </w:r>
      <w:r w:rsidR="00D94006" w:rsidRPr="00C9343F">
        <w:t>    </w:t>
      </w:r>
      <w:r w:rsidRPr="00C9343F">
        <w:t>Entry</w:t>
      </w:r>
      <w:r w:rsidRPr="00C9343F" w:rsidDel="00EE3F3F">
        <w:t xml:space="preserve"> placement – CDF discretions</w:t>
      </w:r>
      <w:bookmarkEnd w:id="507"/>
      <w:r w:rsidRPr="00C9343F" w:rsidDel="00EE3F3F">
        <w:t xml:space="preserve"> </w:t>
      </w:r>
    </w:p>
    <w:tbl>
      <w:tblPr>
        <w:tblW w:w="9360" w:type="dxa"/>
        <w:tblInd w:w="113" w:type="dxa"/>
        <w:tblCellMar>
          <w:left w:w="0" w:type="dxa"/>
          <w:right w:w="0" w:type="dxa"/>
        </w:tblCellMar>
        <w:tblLook w:val="04A0" w:firstRow="1" w:lastRow="0" w:firstColumn="1" w:lastColumn="0" w:noHBand="0" w:noVBand="1"/>
      </w:tblPr>
      <w:tblGrid>
        <w:gridCol w:w="992"/>
        <w:gridCol w:w="567"/>
        <w:gridCol w:w="7801"/>
      </w:tblGrid>
      <w:tr w:rsidR="00083B82" w:rsidRPr="00C9343F" w:rsidDel="00EE3F3F" w14:paraId="4A01BF6F" w14:textId="77777777" w:rsidTr="00F945FD">
        <w:tc>
          <w:tcPr>
            <w:tcW w:w="992" w:type="dxa"/>
            <w:tcMar>
              <w:top w:w="0" w:type="dxa"/>
              <w:left w:w="108" w:type="dxa"/>
              <w:bottom w:w="0" w:type="dxa"/>
              <w:right w:w="108" w:type="dxa"/>
            </w:tcMar>
          </w:tcPr>
          <w:p w14:paraId="6E44DE27" w14:textId="77777777" w:rsidR="00083B82" w:rsidRPr="00C9343F" w:rsidDel="00EE3F3F" w:rsidRDefault="00083B82" w:rsidP="00F66D98">
            <w:pPr>
              <w:pStyle w:val="BlockText-Plain"/>
              <w:keepNext/>
              <w:keepLines/>
              <w:jc w:val="center"/>
              <w:rPr>
                <w:lang w:eastAsia="en-US"/>
              </w:rPr>
            </w:pPr>
            <w:r w:rsidRPr="00C9343F" w:rsidDel="00EE3F3F">
              <w:rPr>
                <w:lang w:eastAsia="en-US"/>
              </w:rPr>
              <w:t>1.</w:t>
            </w:r>
          </w:p>
        </w:tc>
        <w:tc>
          <w:tcPr>
            <w:tcW w:w="8368" w:type="dxa"/>
            <w:gridSpan w:val="2"/>
            <w:tcMar>
              <w:top w:w="0" w:type="dxa"/>
              <w:left w:w="108" w:type="dxa"/>
              <w:bottom w:w="0" w:type="dxa"/>
              <w:right w:w="108" w:type="dxa"/>
            </w:tcMar>
          </w:tcPr>
          <w:p w14:paraId="630B77DA" w14:textId="77777777" w:rsidR="00083B82" w:rsidRPr="00C9343F" w:rsidDel="00EE3F3F" w:rsidRDefault="00083B82" w:rsidP="00F66D98">
            <w:pPr>
              <w:pStyle w:val="BlockText-Plain"/>
              <w:keepNext/>
              <w:keepLines/>
              <w:rPr>
                <w:lang w:eastAsia="en-US"/>
              </w:rPr>
            </w:pPr>
            <w:r w:rsidRPr="00C9343F" w:rsidDel="00EE3F3F">
              <w:rPr>
                <w:lang w:eastAsia="en-US"/>
              </w:rPr>
              <w:t>This section does not apply to an Officer Cadet.</w:t>
            </w:r>
          </w:p>
        </w:tc>
      </w:tr>
      <w:tr w:rsidR="00083B82" w:rsidRPr="00C9343F" w:rsidDel="00EE3F3F" w14:paraId="3F458227" w14:textId="77777777" w:rsidTr="00F945FD">
        <w:tc>
          <w:tcPr>
            <w:tcW w:w="992" w:type="dxa"/>
            <w:tcMar>
              <w:top w:w="0" w:type="dxa"/>
              <w:left w:w="108" w:type="dxa"/>
              <w:bottom w:w="0" w:type="dxa"/>
              <w:right w:w="108" w:type="dxa"/>
            </w:tcMar>
            <w:hideMark/>
          </w:tcPr>
          <w:p w14:paraId="4019EBFA" w14:textId="77777777" w:rsidR="00083B82" w:rsidRPr="00C9343F" w:rsidDel="00EE3F3F" w:rsidRDefault="00083B82" w:rsidP="00F66D98">
            <w:pPr>
              <w:pStyle w:val="BlockText-Plain"/>
              <w:jc w:val="center"/>
              <w:rPr>
                <w:lang w:eastAsia="en-US"/>
              </w:rPr>
            </w:pPr>
            <w:r w:rsidRPr="00C9343F" w:rsidDel="00EE3F3F">
              <w:rPr>
                <w:lang w:eastAsia="en-US"/>
              </w:rPr>
              <w:t>2.</w:t>
            </w:r>
          </w:p>
        </w:tc>
        <w:tc>
          <w:tcPr>
            <w:tcW w:w="8368" w:type="dxa"/>
            <w:gridSpan w:val="2"/>
            <w:tcMar>
              <w:top w:w="0" w:type="dxa"/>
              <w:left w:w="108" w:type="dxa"/>
              <w:bottom w:w="0" w:type="dxa"/>
              <w:right w:w="108" w:type="dxa"/>
            </w:tcMar>
            <w:hideMark/>
          </w:tcPr>
          <w:p w14:paraId="3D7EA9D1" w14:textId="77777777" w:rsidR="00083B82" w:rsidRPr="00C9343F" w:rsidDel="00EE3F3F" w:rsidRDefault="00083B82" w:rsidP="00F66D98">
            <w:pPr>
              <w:pStyle w:val="BlockText-Plain"/>
              <w:rPr>
                <w:lang w:eastAsia="en-US"/>
              </w:rPr>
            </w:pPr>
            <w:r w:rsidRPr="00C9343F">
              <w:rPr>
                <w:lang w:eastAsia="en-US"/>
              </w:rPr>
              <w:t xml:space="preserve">When a member enters the Officer Aviation Pay Structure the CDF may decide to place the member </w:t>
            </w:r>
            <w:r w:rsidRPr="00C9343F" w:rsidDel="00EE3F3F">
              <w:rPr>
                <w:lang w:eastAsia="en-US"/>
              </w:rPr>
              <w:t xml:space="preserve">on an Officer Aviation </w:t>
            </w:r>
            <w:r w:rsidRPr="00C9343F" w:rsidDel="00EE3F3F">
              <w:rPr>
                <w:rFonts w:cs="Arial"/>
                <w:lang w:eastAsia="en-US"/>
              </w:rPr>
              <w:t>increment</w:t>
            </w:r>
            <w:r w:rsidRPr="00C9343F" w:rsidDel="00EE3F3F">
              <w:rPr>
                <w:lang w:eastAsia="en-US"/>
              </w:rPr>
              <w:t xml:space="preserve"> that is between the </w:t>
            </w:r>
            <w:r w:rsidRPr="00C9343F">
              <w:rPr>
                <w:lang w:eastAsia="en-US"/>
              </w:rPr>
              <w:t>minimum and maximum</w:t>
            </w:r>
            <w:r w:rsidRPr="00C9343F" w:rsidDel="00EE3F3F">
              <w:rPr>
                <w:lang w:eastAsia="en-US"/>
              </w:rPr>
              <w:t xml:space="preserve"> Officer Aviation </w:t>
            </w:r>
            <w:r w:rsidRPr="00C9343F" w:rsidDel="00EE3F3F">
              <w:rPr>
                <w:rFonts w:cs="Arial"/>
                <w:lang w:eastAsia="en-US"/>
              </w:rPr>
              <w:t>increment</w:t>
            </w:r>
            <w:r w:rsidRPr="00C9343F" w:rsidDel="00EE3F3F">
              <w:rPr>
                <w:lang w:eastAsia="en-US"/>
              </w:rPr>
              <w:t xml:space="preserve"> for the member’s rank, pathway and competency stream.</w:t>
            </w:r>
          </w:p>
        </w:tc>
      </w:tr>
      <w:tr w:rsidR="00083B82" w:rsidRPr="00C9343F" w:rsidDel="00EE3F3F" w14:paraId="6A0D17E3" w14:textId="77777777" w:rsidTr="00F945FD">
        <w:tc>
          <w:tcPr>
            <w:tcW w:w="992" w:type="dxa"/>
            <w:tcMar>
              <w:top w:w="0" w:type="dxa"/>
              <w:left w:w="108" w:type="dxa"/>
              <w:bottom w:w="0" w:type="dxa"/>
              <w:right w:w="108" w:type="dxa"/>
            </w:tcMar>
            <w:hideMark/>
          </w:tcPr>
          <w:p w14:paraId="689EFA17" w14:textId="77777777" w:rsidR="00083B82" w:rsidRPr="00C9343F" w:rsidDel="00EE3F3F" w:rsidRDefault="00083B82" w:rsidP="00F66D98">
            <w:pPr>
              <w:pStyle w:val="BlockText-Plain"/>
              <w:jc w:val="center"/>
              <w:rPr>
                <w:lang w:eastAsia="en-US"/>
              </w:rPr>
            </w:pPr>
            <w:r w:rsidRPr="00C9343F" w:rsidDel="00EE3F3F">
              <w:rPr>
                <w:lang w:eastAsia="en-US"/>
              </w:rPr>
              <w:t>3.</w:t>
            </w:r>
          </w:p>
        </w:tc>
        <w:tc>
          <w:tcPr>
            <w:tcW w:w="8368" w:type="dxa"/>
            <w:gridSpan w:val="2"/>
            <w:tcMar>
              <w:top w:w="0" w:type="dxa"/>
              <w:left w:w="108" w:type="dxa"/>
              <w:bottom w:w="0" w:type="dxa"/>
              <w:right w:w="108" w:type="dxa"/>
            </w:tcMar>
            <w:hideMark/>
          </w:tcPr>
          <w:p w14:paraId="35ED4216" w14:textId="77777777" w:rsidR="00083B82" w:rsidRPr="00C9343F" w:rsidDel="00EE3F3F" w:rsidRDefault="00083B82" w:rsidP="00F66D98">
            <w:pPr>
              <w:pStyle w:val="BlockText-Plain"/>
              <w:rPr>
                <w:lang w:eastAsia="en-US"/>
              </w:rPr>
            </w:pPr>
            <w:r w:rsidRPr="00C9343F" w:rsidDel="00EE3F3F">
              <w:rPr>
                <w:lang w:eastAsia="en-US"/>
              </w:rPr>
              <w:t xml:space="preserve">The CDF must </w:t>
            </w:r>
            <w:r w:rsidRPr="00C9343F">
              <w:rPr>
                <w:lang w:eastAsia="en-US"/>
              </w:rPr>
              <w:t>consider the following</w:t>
            </w:r>
            <w:r w:rsidRPr="00C9343F" w:rsidDel="00EE3F3F">
              <w:rPr>
                <w:lang w:eastAsia="en-US"/>
              </w:rPr>
              <w:t xml:space="preserve"> when making a decision under subsection 2.</w:t>
            </w:r>
          </w:p>
        </w:tc>
      </w:tr>
      <w:tr w:rsidR="00083B82" w:rsidRPr="00C9343F" w:rsidDel="00EE3F3F" w14:paraId="1B60D17B" w14:textId="77777777" w:rsidTr="00F945FD">
        <w:trPr>
          <w:cantSplit/>
        </w:trPr>
        <w:tc>
          <w:tcPr>
            <w:tcW w:w="992" w:type="dxa"/>
            <w:tcMar>
              <w:top w:w="0" w:type="dxa"/>
              <w:left w:w="108" w:type="dxa"/>
              <w:bottom w:w="0" w:type="dxa"/>
              <w:right w:w="108" w:type="dxa"/>
            </w:tcMar>
          </w:tcPr>
          <w:p w14:paraId="135A4DC3" w14:textId="77777777" w:rsidR="00083B82" w:rsidRPr="00C9343F" w:rsidDel="00EE3F3F" w:rsidRDefault="00083B82" w:rsidP="00F66D98">
            <w:pPr>
              <w:pStyle w:val="BlockText-Plain"/>
              <w:rPr>
                <w:lang w:eastAsia="en-US"/>
              </w:rPr>
            </w:pPr>
          </w:p>
        </w:tc>
        <w:tc>
          <w:tcPr>
            <w:tcW w:w="567" w:type="dxa"/>
            <w:tcMar>
              <w:top w:w="0" w:type="dxa"/>
              <w:left w:w="108" w:type="dxa"/>
              <w:bottom w:w="0" w:type="dxa"/>
              <w:right w:w="108" w:type="dxa"/>
            </w:tcMar>
          </w:tcPr>
          <w:p w14:paraId="0A65F3B5" w14:textId="77777777" w:rsidR="00083B82" w:rsidRPr="00C9343F" w:rsidDel="00EE3F3F" w:rsidRDefault="00083B82" w:rsidP="007114B1">
            <w:pPr>
              <w:pStyle w:val="BlockText-Plain"/>
              <w:jc w:val="center"/>
              <w:rPr>
                <w:lang w:eastAsia="en-US"/>
              </w:rPr>
            </w:pPr>
            <w:r w:rsidRPr="00C9343F" w:rsidDel="00EE3F3F">
              <w:rPr>
                <w:lang w:eastAsia="en-US"/>
              </w:rPr>
              <w:t>a.</w:t>
            </w:r>
          </w:p>
        </w:tc>
        <w:tc>
          <w:tcPr>
            <w:tcW w:w="7801" w:type="dxa"/>
            <w:tcMar>
              <w:top w:w="0" w:type="dxa"/>
              <w:left w:w="108" w:type="dxa"/>
              <w:bottom w:w="0" w:type="dxa"/>
              <w:right w:w="108" w:type="dxa"/>
            </w:tcMar>
          </w:tcPr>
          <w:p w14:paraId="04430D45" w14:textId="77777777" w:rsidR="00083B82" w:rsidRPr="00C9343F" w:rsidDel="00EE3F3F" w:rsidRDefault="00083B82" w:rsidP="00F66D98">
            <w:pPr>
              <w:pStyle w:val="BlockText-Plain"/>
              <w:rPr>
                <w:lang w:eastAsia="en-US"/>
              </w:rPr>
            </w:pPr>
            <w:r w:rsidRPr="00C9343F" w:rsidDel="00EE3F3F">
              <w:rPr>
                <w:lang w:eastAsia="en-US"/>
              </w:rPr>
              <w:t>The member’s experience, qualifications and skills.</w:t>
            </w:r>
          </w:p>
        </w:tc>
      </w:tr>
      <w:tr w:rsidR="00083B82" w:rsidRPr="00C9343F" w:rsidDel="00EE3F3F" w14:paraId="78C03AAE" w14:textId="77777777" w:rsidTr="00F945FD">
        <w:trPr>
          <w:cantSplit/>
        </w:trPr>
        <w:tc>
          <w:tcPr>
            <w:tcW w:w="992" w:type="dxa"/>
            <w:tcMar>
              <w:top w:w="0" w:type="dxa"/>
              <w:left w:w="108" w:type="dxa"/>
              <w:bottom w:w="0" w:type="dxa"/>
              <w:right w:w="108" w:type="dxa"/>
            </w:tcMar>
          </w:tcPr>
          <w:p w14:paraId="6C51251C" w14:textId="77777777" w:rsidR="00083B82" w:rsidRPr="00C9343F" w:rsidDel="00EE3F3F" w:rsidRDefault="00083B82" w:rsidP="00F66D98">
            <w:pPr>
              <w:pStyle w:val="BlockText-Plain"/>
              <w:rPr>
                <w:lang w:eastAsia="en-US"/>
              </w:rPr>
            </w:pPr>
          </w:p>
        </w:tc>
        <w:tc>
          <w:tcPr>
            <w:tcW w:w="567" w:type="dxa"/>
            <w:tcMar>
              <w:top w:w="0" w:type="dxa"/>
              <w:left w:w="108" w:type="dxa"/>
              <w:bottom w:w="0" w:type="dxa"/>
              <w:right w:w="108" w:type="dxa"/>
            </w:tcMar>
            <w:hideMark/>
          </w:tcPr>
          <w:p w14:paraId="0009A3AE" w14:textId="77777777" w:rsidR="00083B82" w:rsidRPr="00C9343F" w:rsidDel="00EE3F3F" w:rsidRDefault="00083B82" w:rsidP="007114B1">
            <w:pPr>
              <w:pStyle w:val="BlockText-Plain"/>
              <w:jc w:val="center"/>
              <w:rPr>
                <w:lang w:eastAsia="en-US"/>
              </w:rPr>
            </w:pPr>
            <w:r w:rsidRPr="00C9343F" w:rsidDel="00EE3F3F">
              <w:rPr>
                <w:lang w:eastAsia="en-US"/>
              </w:rPr>
              <w:t>b.</w:t>
            </w:r>
          </w:p>
        </w:tc>
        <w:tc>
          <w:tcPr>
            <w:tcW w:w="7801" w:type="dxa"/>
            <w:tcMar>
              <w:top w:w="0" w:type="dxa"/>
              <w:left w:w="108" w:type="dxa"/>
              <w:bottom w:w="0" w:type="dxa"/>
              <w:right w:w="108" w:type="dxa"/>
            </w:tcMar>
            <w:hideMark/>
          </w:tcPr>
          <w:p w14:paraId="0CD8EB1C" w14:textId="77777777" w:rsidR="00083B82" w:rsidRPr="00C9343F" w:rsidDel="00EE3F3F" w:rsidRDefault="00083B82" w:rsidP="00F66D98">
            <w:pPr>
              <w:pStyle w:val="BlockText-Plain"/>
              <w:rPr>
                <w:lang w:eastAsia="en-US"/>
              </w:rPr>
            </w:pPr>
            <w:r w:rsidRPr="00C9343F" w:rsidDel="00EE3F3F">
              <w:rPr>
                <w:lang w:eastAsia="en-US"/>
              </w:rPr>
              <w:t>The member’s previous relevant military service</w:t>
            </w:r>
            <w:r w:rsidRPr="00C9343F" w:rsidDel="00EE3F3F">
              <w:rPr>
                <w:i/>
                <w:lang w:eastAsia="en-US"/>
              </w:rPr>
              <w:t>.</w:t>
            </w:r>
          </w:p>
        </w:tc>
      </w:tr>
      <w:tr w:rsidR="00083B82" w:rsidRPr="00C9343F" w:rsidDel="00EE3F3F" w14:paraId="512A9DDF" w14:textId="77777777" w:rsidTr="00F945FD">
        <w:trPr>
          <w:cantSplit/>
        </w:trPr>
        <w:tc>
          <w:tcPr>
            <w:tcW w:w="992" w:type="dxa"/>
            <w:tcMar>
              <w:top w:w="0" w:type="dxa"/>
              <w:left w:w="108" w:type="dxa"/>
              <w:bottom w:w="0" w:type="dxa"/>
              <w:right w:w="108" w:type="dxa"/>
            </w:tcMar>
          </w:tcPr>
          <w:p w14:paraId="019824D6" w14:textId="77777777" w:rsidR="00083B82" w:rsidRPr="00C9343F" w:rsidDel="00EE3F3F" w:rsidRDefault="00083B82" w:rsidP="00F66D98">
            <w:pPr>
              <w:pStyle w:val="BlockText-Plain"/>
              <w:rPr>
                <w:lang w:eastAsia="en-US"/>
              </w:rPr>
            </w:pPr>
          </w:p>
        </w:tc>
        <w:tc>
          <w:tcPr>
            <w:tcW w:w="567" w:type="dxa"/>
            <w:tcMar>
              <w:top w:w="0" w:type="dxa"/>
              <w:left w:w="108" w:type="dxa"/>
              <w:bottom w:w="0" w:type="dxa"/>
              <w:right w:w="108" w:type="dxa"/>
            </w:tcMar>
            <w:hideMark/>
          </w:tcPr>
          <w:p w14:paraId="44C9DE50" w14:textId="77777777" w:rsidR="00083B82" w:rsidRPr="00C9343F" w:rsidDel="00EE3F3F" w:rsidRDefault="00083B82" w:rsidP="007114B1">
            <w:pPr>
              <w:pStyle w:val="BlockText-Plain"/>
              <w:jc w:val="center"/>
              <w:rPr>
                <w:lang w:eastAsia="en-US"/>
              </w:rPr>
            </w:pPr>
            <w:r w:rsidRPr="00C9343F" w:rsidDel="00EE3F3F">
              <w:rPr>
                <w:lang w:eastAsia="en-US"/>
              </w:rPr>
              <w:t>c.</w:t>
            </w:r>
          </w:p>
        </w:tc>
        <w:tc>
          <w:tcPr>
            <w:tcW w:w="7801" w:type="dxa"/>
            <w:tcMar>
              <w:top w:w="0" w:type="dxa"/>
              <w:left w:w="108" w:type="dxa"/>
              <w:bottom w:w="0" w:type="dxa"/>
              <w:right w:w="108" w:type="dxa"/>
            </w:tcMar>
            <w:hideMark/>
          </w:tcPr>
          <w:p w14:paraId="0F62823A" w14:textId="77777777" w:rsidR="00083B82" w:rsidRPr="00C9343F" w:rsidDel="00EE3F3F" w:rsidRDefault="00083B82" w:rsidP="00F66D98">
            <w:pPr>
              <w:pStyle w:val="BlockText-Plain"/>
              <w:rPr>
                <w:lang w:eastAsia="en-US"/>
              </w:rPr>
            </w:pPr>
            <w:r w:rsidRPr="00C9343F" w:rsidDel="00EE3F3F">
              <w:rPr>
                <w:lang w:eastAsia="en-US"/>
              </w:rPr>
              <w:t>The Officer Aviation increment the member would otherwise have been placed on in the Officer Aviation Pay Structure.</w:t>
            </w:r>
          </w:p>
        </w:tc>
      </w:tr>
      <w:tr w:rsidR="00083B82" w:rsidRPr="00C9343F" w:rsidDel="00EE3F3F" w14:paraId="05C280AD" w14:textId="77777777" w:rsidTr="00F945FD">
        <w:trPr>
          <w:cantSplit/>
        </w:trPr>
        <w:tc>
          <w:tcPr>
            <w:tcW w:w="992" w:type="dxa"/>
            <w:tcMar>
              <w:top w:w="0" w:type="dxa"/>
              <w:left w:w="108" w:type="dxa"/>
              <w:bottom w:w="0" w:type="dxa"/>
              <w:right w:w="108" w:type="dxa"/>
            </w:tcMar>
          </w:tcPr>
          <w:p w14:paraId="6AF753B1" w14:textId="77777777" w:rsidR="00083B82" w:rsidRPr="00C9343F" w:rsidDel="00EE3F3F" w:rsidRDefault="00083B82" w:rsidP="00F66D98">
            <w:pPr>
              <w:pStyle w:val="BlockText-Plain"/>
              <w:rPr>
                <w:lang w:eastAsia="en-US"/>
              </w:rPr>
            </w:pPr>
          </w:p>
        </w:tc>
        <w:tc>
          <w:tcPr>
            <w:tcW w:w="567" w:type="dxa"/>
            <w:tcMar>
              <w:top w:w="0" w:type="dxa"/>
              <w:left w:w="108" w:type="dxa"/>
              <w:bottom w:w="0" w:type="dxa"/>
              <w:right w:w="108" w:type="dxa"/>
            </w:tcMar>
            <w:hideMark/>
          </w:tcPr>
          <w:p w14:paraId="2D52ABC8" w14:textId="77777777" w:rsidR="00083B82" w:rsidRPr="00C9343F" w:rsidDel="00EE3F3F" w:rsidRDefault="00083B82" w:rsidP="007114B1">
            <w:pPr>
              <w:pStyle w:val="BlockText-Plain"/>
              <w:jc w:val="center"/>
              <w:rPr>
                <w:lang w:eastAsia="en-US"/>
              </w:rPr>
            </w:pPr>
            <w:r w:rsidRPr="00C9343F" w:rsidDel="00EE3F3F">
              <w:rPr>
                <w:lang w:eastAsia="en-US"/>
              </w:rPr>
              <w:t>d.</w:t>
            </w:r>
          </w:p>
        </w:tc>
        <w:tc>
          <w:tcPr>
            <w:tcW w:w="7801" w:type="dxa"/>
            <w:tcMar>
              <w:top w:w="0" w:type="dxa"/>
              <w:left w:w="108" w:type="dxa"/>
              <w:bottom w:w="0" w:type="dxa"/>
              <w:right w:w="108" w:type="dxa"/>
            </w:tcMar>
            <w:hideMark/>
          </w:tcPr>
          <w:p w14:paraId="5794E282" w14:textId="77777777" w:rsidR="00083B82" w:rsidRPr="00C9343F" w:rsidDel="00EE3F3F" w:rsidRDefault="00083B82" w:rsidP="00F66D98">
            <w:pPr>
              <w:pStyle w:val="BlockText-Plain"/>
              <w:rPr>
                <w:lang w:eastAsia="en-US"/>
              </w:rPr>
            </w:pPr>
            <w:r w:rsidRPr="00C9343F" w:rsidDel="00EE3F3F">
              <w:rPr>
                <w:lang w:eastAsia="en-US"/>
              </w:rPr>
              <w:t>If an officer is reappointed — whether the qualifications, skills or training requirements for the rank have changed since the member last served.</w:t>
            </w:r>
          </w:p>
        </w:tc>
      </w:tr>
      <w:tr w:rsidR="00083B82" w:rsidRPr="00C9343F" w:rsidDel="00EE3F3F" w14:paraId="2706864B" w14:textId="77777777" w:rsidTr="00F945FD">
        <w:trPr>
          <w:cantSplit/>
        </w:trPr>
        <w:tc>
          <w:tcPr>
            <w:tcW w:w="992" w:type="dxa"/>
            <w:tcMar>
              <w:top w:w="0" w:type="dxa"/>
              <w:left w:w="108" w:type="dxa"/>
              <w:bottom w:w="0" w:type="dxa"/>
              <w:right w:w="108" w:type="dxa"/>
            </w:tcMar>
          </w:tcPr>
          <w:p w14:paraId="11CF3276" w14:textId="77777777" w:rsidR="00083B82" w:rsidRPr="00C9343F" w:rsidDel="00EE3F3F" w:rsidRDefault="00083B82" w:rsidP="00F66D98">
            <w:pPr>
              <w:pStyle w:val="BlockText-Plain"/>
              <w:rPr>
                <w:lang w:eastAsia="en-US"/>
              </w:rPr>
            </w:pPr>
          </w:p>
        </w:tc>
        <w:tc>
          <w:tcPr>
            <w:tcW w:w="567" w:type="dxa"/>
            <w:tcMar>
              <w:top w:w="0" w:type="dxa"/>
              <w:left w:w="108" w:type="dxa"/>
              <w:bottom w:w="0" w:type="dxa"/>
              <w:right w:w="108" w:type="dxa"/>
            </w:tcMar>
            <w:hideMark/>
          </w:tcPr>
          <w:p w14:paraId="54CF8287" w14:textId="77777777" w:rsidR="00083B82" w:rsidRPr="00C9343F" w:rsidDel="00EE3F3F" w:rsidRDefault="00083B82" w:rsidP="007114B1">
            <w:pPr>
              <w:pStyle w:val="BlockText-Plain"/>
              <w:jc w:val="center"/>
              <w:rPr>
                <w:lang w:eastAsia="en-US"/>
              </w:rPr>
            </w:pPr>
            <w:r w:rsidRPr="00C9343F" w:rsidDel="00EE3F3F">
              <w:rPr>
                <w:lang w:eastAsia="en-US"/>
              </w:rPr>
              <w:t>e.</w:t>
            </w:r>
          </w:p>
        </w:tc>
        <w:tc>
          <w:tcPr>
            <w:tcW w:w="7801" w:type="dxa"/>
            <w:tcMar>
              <w:top w:w="0" w:type="dxa"/>
              <w:left w:w="108" w:type="dxa"/>
              <w:bottom w:w="0" w:type="dxa"/>
              <w:right w:w="108" w:type="dxa"/>
            </w:tcMar>
            <w:hideMark/>
          </w:tcPr>
          <w:p w14:paraId="37CF4E95" w14:textId="77777777" w:rsidR="00083B82" w:rsidRPr="00C9343F" w:rsidDel="00EE3F3F" w:rsidRDefault="00083B82" w:rsidP="00F66D98">
            <w:pPr>
              <w:pStyle w:val="BlockText-Plain"/>
              <w:rPr>
                <w:lang w:eastAsia="en-US"/>
              </w:rPr>
            </w:pPr>
            <w:r w:rsidRPr="00C9343F" w:rsidDel="00EE3F3F">
              <w:rPr>
                <w:lang w:eastAsia="en-US"/>
              </w:rPr>
              <w:t>If a member was reduced in rank — the reason for the reduction in rank.</w:t>
            </w:r>
          </w:p>
        </w:tc>
      </w:tr>
      <w:tr w:rsidR="00083B82" w:rsidRPr="00C9343F" w:rsidDel="00EE3F3F" w14:paraId="2438E8AF" w14:textId="77777777" w:rsidTr="00F945FD">
        <w:trPr>
          <w:cantSplit/>
        </w:trPr>
        <w:tc>
          <w:tcPr>
            <w:tcW w:w="992" w:type="dxa"/>
            <w:tcMar>
              <w:top w:w="0" w:type="dxa"/>
              <w:left w:w="108" w:type="dxa"/>
              <w:bottom w:w="0" w:type="dxa"/>
              <w:right w:w="108" w:type="dxa"/>
            </w:tcMar>
          </w:tcPr>
          <w:p w14:paraId="405AAEC2" w14:textId="77777777" w:rsidR="00083B82" w:rsidRPr="00C9343F" w:rsidDel="00EE3F3F" w:rsidRDefault="00083B82" w:rsidP="00F66D98">
            <w:pPr>
              <w:pStyle w:val="BlockText-Plain"/>
              <w:rPr>
                <w:lang w:eastAsia="en-US"/>
              </w:rPr>
            </w:pPr>
          </w:p>
        </w:tc>
        <w:tc>
          <w:tcPr>
            <w:tcW w:w="567" w:type="dxa"/>
            <w:tcMar>
              <w:top w:w="0" w:type="dxa"/>
              <w:left w:w="108" w:type="dxa"/>
              <w:bottom w:w="0" w:type="dxa"/>
              <w:right w:w="108" w:type="dxa"/>
            </w:tcMar>
            <w:hideMark/>
          </w:tcPr>
          <w:p w14:paraId="71EF1533" w14:textId="77777777" w:rsidR="00083B82" w:rsidRPr="00C9343F" w:rsidDel="00EE3F3F" w:rsidRDefault="00083B82" w:rsidP="007114B1">
            <w:pPr>
              <w:pStyle w:val="BlockText-Plain"/>
              <w:jc w:val="center"/>
              <w:rPr>
                <w:lang w:eastAsia="en-US"/>
              </w:rPr>
            </w:pPr>
            <w:r w:rsidRPr="00C9343F" w:rsidDel="00EE3F3F">
              <w:rPr>
                <w:lang w:eastAsia="en-US"/>
              </w:rPr>
              <w:t>f.</w:t>
            </w:r>
          </w:p>
        </w:tc>
        <w:tc>
          <w:tcPr>
            <w:tcW w:w="7801" w:type="dxa"/>
            <w:tcMar>
              <w:top w:w="0" w:type="dxa"/>
              <w:left w:w="108" w:type="dxa"/>
              <w:bottom w:w="0" w:type="dxa"/>
              <w:right w:w="108" w:type="dxa"/>
            </w:tcMar>
            <w:hideMark/>
          </w:tcPr>
          <w:p w14:paraId="7C0D45BA" w14:textId="77777777" w:rsidR="00083B82" w:rsidRPr="00C9343F" w:rsidDel="00EE3F3F" w:rsidRDefault="00083B82" w:rsidP="00F66D98">
            <w:pPr>
              <w:pStyle w:val="BlockText-Plain"/>
              <w:rPr>
                <w:lang w:eastAsia="en-US"/>
              </w:rPr>
            </w:pPr>
            <w:r w:rsidRPr="00C9343F" w:rsidDel="00EE3F3F">
              <w:rPr>
                <w:lang w:eastAsia="en-US"/>
              </w:rPr>
              <w:t>If a member was reduced in rank and is later promoted to the rank they held previously before the reduction in rank — the periods of the member's service at the higher rank.</w:t>
            </w:r>
          </w:p>
        </w:tc>
      </w:tr>
      <w:tr w:rsidR="00083B82" w:rsidRPr="00C9343F" w:rsidDel="00EE3F3F" w14:paraId="5EE1FEB2" w14:textId="77777777" w:rsidTr="00F945FD">
        <w:trPr>
          <w:cantSplit/>
        </w:trPr>
        <w:tc>
          <w:tcPr>
            <w:tcW w:w="992" w:type="dxa"/>
            <w:tcMar>
              <w:top w:w="0" w:type="dxa"/>
              <w:left w:w="108" w:type="dxa"/>
              <w:bottom w:w="0" w:type="dxa"/>
              <w:right w:w="108" w:type="dxa"/>
            </w:tcMar>
          </w:tcPr>
          <w:p w14:paraId="36433BA5" w14:textId="77777777" w:rsidR="00083B82" w:rsidRPr="00C9343F" w:rsidDel="00EE3F3F" w:rsidRDefault="00083B82" w:rsidP="00F66D98">
            <w:pPr>
              <w:pStyle w:val="BlockText-Plain"/>
              <w:rPr>
                <w:lang w:eastAsia="en-US"/>
              </w:rPr>
            </w:pPr>
          </w:p>
        </w:tc>
        <w:tc>
          <w:tcPr>
            <w:tcW w:w="567" w:type="dxa"/>
            <w:tcMar>
              <w:top w:w="0" w:type="dxa"/>
              <w:left w:w="108" w:type="dxa"/>
              <w:bottom w:w="0" w:type="dxa"/>
              <w:right w:w="108" w:type="dxa"/>
            </w:tcMar>
            <w:hideMark/>
          </w:tcPr>
          <w:p w14:paraId="4C53FA03" w14:textId="77777777" w:rsidR="00083B82" w:rsidRPr="00C9343F" w:rsidDel="00EE3F3F" w:rsidRDefault="00083B82" w:rsidP="007114B1">
            <w:pPr>
              <w:pStyle w:val="BlockText-Plain"/>
              <w:jc w:val="center"/>
              <w:rPr>
                <w:lang w:eastAsia="en-US"/>
              </w:rPr>
            </w:pPr>
            <w:r w:rsidRPr="00C9343F" w:rsidDel="00EE3F3F">
              <w:rPr>
                <w:lang w:eastAsia="en-US"/>
              </w:rPr>
              <w:t>g.</w:t>
            </w:r>
          </w:p>
        </w:tc>
        <w:tc>
          <w:tcPr>
            <w:tcW w:w="7801" w:type="dxa"/>
            <w:tcMar>
              <w:top w:w="0" w:type="dxa"/>
              <w:left w:w="108" w:type="dxa"/>
              <w:bottom w:w="0" w:type="dxa"/>
              <w:right w:w="108" w:type="dxa"/>
            </w:tcMar>
            <w:hideMark/>
          </w:tcPr>
          <w:p w14:paraId="4CAB3375" w14:textId="77777777" w:rsidR="00083B82" w:rsidRPr="00C9343F" w:rsidDel="00EE3F3F" w:rsidRDefault="00083B82" w:rsidP="00F66D98">
            <w:pPr>
              <w:pStyle w:val="BlockText-Plain"/>
              <w:rPr>
                <w:lang w:eastAsia="en-US"/>
              </w:rPr>
            </w:pPr>
            <w:r w:rsidRPr="00C9343F" w:rsidDel="00EE3F3F">
              <w:rPr>
                <w:lang w:eastAsia="en-US"/>
              </w:rPr>
              <w:t xml:space="preserve">Any other matters relevant to the periods of service for increment advancement. </w:t>
            </w:r>
          </w:p>
        </w:tc>
      </w:tr>
    </w:tbl>
    <w:p w14:paraId="1EF4E1C9" w14:textId="1BD513DA" w:rsidR="00083B82" w:rsidRPr="00C9343F" w:rsidRDefault="00083B82" w:rsidP="00F66D98">
      <w:pPr>
        <w:pStyle w:val="Heading5"/>
      </w:pPr>
      <w:bookmarkStart w:id="508" w:name="_Toc105053718"/>
      <w:r w:rsidRPr="00C9343F">
        <w:t>3.2.47N</w:t>
      </w:r>
      <w:r w:rsidR="00D94006" w:rsidRPr="00C9343F">
        <w:t>    </w:t>
      </w:r>
      <w:r w:rsidRPr="00C9343F">
        <w:t>Increment placement – Navy Sub Lieutenant and Lieutenant</w:t>
      </w:r>
      <w:bookmarkEnd w:id="508"/>
    </w:p>
    <w:tbl>
      <w:tblPr>
        <w:tblW w:w="9366" w:type="dxa"/>
        <w:tblInd w:w="108" w:type="dxa"/>
        <w:tblLayout w:type="fixed"/>
        <w:tblLook w:val="04A0" w:firstRow="1" w:lastRow="0" w:firstColumn="1" w:lastColumn="0" w:noHBand="0" w:noVBand="1"/>
      </w:tblPr>
      <w:tblGrid>
        <w:gridCol w:w="992"/>
        <w:gridCol w:w="567"/>
        <w:gridCol w:w="564"/>
        <w:gridCol w:w="7243"/>
      </w:tblGrid>
      <w:tr w:rsidR="00873405" w:rsidRPr="00C9343F" w14:paraId="27323E13" w14:textId="77777777" w:rsidTr="00AC270A">
        <w:trPr>
          <w:cantSplit/>
        </w:trPr>
        <w:tc>
          <w:tcPr>
            <w:tcW w:w="992" w:type="dxa"/>
          </w:tcPr>
          <w:p w14:paraId="7243B850" w14:textId="32107785" w:rsidR="00873405" w:rsidRPr="00C9343F" w:rsidRDefault="00873405" w:rsidP="00F66D98">
            <w:pPr>
              <w:pStyle w:val="Sectiontext0"/>
              <w:jc w:val="center"/>
              <w:rPr>
                <w:lang w:eastAsia="en-US"/>
              </w:rPr>
            </w:pPr>
            <w:r w:rsidRPr="00C9343F">
              <w:rPr>
                <w:lang w:eastAsia="en-US"/>
              </w:rPr>
              <w:t>1A.</w:t>
            </w:r>
          </w:p>
        </w:tc>
        <w:tc>
          <w:tcPr>
            <w:tcW w:w="8374" w:type="dxa"/>
            <w:gridSpan w:val="3"/>
          </w:tcPr>
          <w:p w14:paraId="2B02D857" w14:textId="3966A68E" w:rsidR="00873405" w:rsidRPr="00C9343F" w:rsidRDefault="00873405" w:rsidP="00F66D98">
            <w:pPr>
              <w:pStyle w:val="Sectiontext0"/>
              <w:rPr>
                <w:lang w:eastAsia="en-US"/>
              </w:rPr>
            </w:pPr>
            <w:r w:rsidRPr="00C9343F">
              <w:rPr>
                <w:iCs/>
              </w:rPr>
              <w:t>This section applies to a member in the Navy at the rank of Sub Lieutenant or Lieutenant.</w:t>
            </w:r>
          </w:p>
        </w:tc>
      </w:tr>
      <w:tr w:rsidR="00873405" w:rsidRPr="00C9343F" w14:paraId="73B5FBB4" w14:textId="77777777" w:rsidTr="00AC270A">
        <w:trPr>
          <w:cantSplit/>
        </w:trPr>
        <w:tc>
          <w:tcPr>
            <w:tcW w:w="992" w:type="dxa"/>
          </w:tcPr>
          <w:p w14:paraId="33869DCF" w14:textId="77777777" w:rsidR="00873405" w:rsidRPr="00C9343F" w:rsidRDefault="00873405" w:rsidP="00F66D98">
            <w:pPr>
              <w:pStyle w:val="BlockText-Plain"/>
              <w:spacing w:line="276" w:lineRule="auto"/>
              <w:jc w:val="center"/>
              <w:rPr>
                <w:lang w:eastAsia="en-US"/>
              </w:rPr>
            </w:pPr>
            <w:r w:rsidRPr="00C9343F">
              <w:rPr>
                <w:lang w:eastAsia="en-US"/>
              </w:rPr>
              <w:t>1.</w:t>
            </w:r>
          </w:p>
        </w:tc>
        <w:tc>
          <w:tcPr>
            <w:tcW w:w="8374" w:type="dxa"/>
            <w:gridSpan w:val="3"/>
          </w:tcPr>
          <w:p w14:paraId="4E60D41B" w14:textId="773049E3" w:rsidR="00873405" w:rsidRPr="00C9343F" w:rsidRDefault="00873405" w:rsidP="00F66D98">
            <w:pPr>
              <w:pStyle w:val="BlockText-Plain"/>
              <w:rPr>
                <w:lang w:eastAsia="en-US"/>
              </w:rPr>
            </w:pPr>
            <w:r w:rsidRPr="00C9343F">
              <w:rPr>
                <w:lang w:eastAsia="en-US"/>
              </w:rPr>
              <w:t>A member in the Rotary Wing Pilot competency stream has Officer Aviation increment OA9 on the day they meet both of the following.</w:t>
            </w:r>
          </w:p>
        </w:tc>
      </w:tr>
      <w:tr w:rsidR="00873405" w:rsidRPr="00C9343F" w14:paraId="0C4B030B" w14:textId="77777777" w:rsidTr="00AC270A">
        <w:trPr>
          <w:cantSplit/>
        </w:trPr>
        <w:tc>
          <w:tcPr>
            <w:tcW w:w="992" w:type="dxa"/>
          </w:tcPr>
          <w:p w14:paraId="278617D0" w14:textId="77777777" w:rsidR="00873405" w:rsidRPr="00C9343F" w:rsidRDefault="00873405" w:rsidP="00F66D98">
            <w:pPr>
              <w:pStyle w:val="BlockText-Plain"/>
              <w:rPr>
                <w:lang w:eastAsia="en-US"/>
              </w:rPr>
            </w:pPr>
          </w:p>
        </w:tc>
        <w:tc>
          <w:tcPr>
            <w:tcW w:w="567" w:type="dxa"/>
          </w:tcPr>
          <w:p w14:paraId="5E4C3DEF" w14:textId="77777777" w:rsidR="00873405" w:rsidRPr="00C9343F" w:rsidRDefault="00873405" w:rsidP="007114B1">
            <w:pPr>
              <w:pStyle w:val="BlockText-Plain"/>
              <w:jc w:val="center"/>
              <w:rPr>
                <w:lang w:eastAsia="en-US"/>
              </w:rPr>
            </w:pPr>
            <w:r w:rsidRPr="00C9343F">
              <w:rPr>
                <w:lang w:eastAsia="en-US"/>
              </w:rPr>
              <w:t>a.</w:t>
            </w:r>
          </w:p>
        </w:tc>
        <w:tc>
          <w:tcPr>
            <w:tcW w:w="7807" w:type="dxa"/>
            <w:gridSpan w:val="2"/>
          </w:tcPr>
          <w:p w14:paraId="2DF0DC95" w14:textId="77777777" w:rsidR="00873405" w:rsidRPr="00C9343F" w:rsidRDefault="00873405" w:rsidP="00F66D98">
            <w:pPr>
              <w:pStyle w:val="BlockText-Plain"/>
              <w:rPr>
                <w:lang w:eastAsia="en-US"/>
              </w:rPr>
            </w:pPr>
            <w:r w:rsidRPr="00C9343F">
              <w:rPr>
                <w:lang w:eastAsia="en-US"/>
              </w:rPr>
              <w:t>The member has completed operational flying training as a pilot on a military aircraft.</w:t>
            </w:r>
          </w:p>
        </w:tc>
      </w:tr>
      <w:tr w:rsidR="00873405" w:rsidRPr="00C9343F" w14:paraId="6FD5DB40" w14:textId="77777777" w:rsidTr="00AC270A">
        <w:trPr>
          <w:cantSplit/>
        </w:trPr>
        <w:tc>
          <w:tcPr>
            <w:tcW w:w="992" w:type="dxa"/>
          </w:tcPr>
          <w:p w14:paraId="34C07857" w14:textId="77777777" w:rsidR="00873405" w:rsidRPr="00C9343F" w:rsidRDefault="00873405" w:rsidP="00F66D98">
            <w:pPr>
              <w:pStyle w:val="BlockText-Plain"/>
              <w:rPr>
                <w:lang w:eastAsia="en-US"/>
              </w:rPr>
            </w:pPr>
          </w:p>
        </w:tc>
        <w:tc>
          <w:tcPr>
            <w:tcW w:w="567" w:type="dxa"/>
          </w:tcPr>
          <w:p w14:paraId="56D5760C" w14:textId="77777777" w:rsidR="00873405" w:rsidRPr="00C9343F" w:rsidRDefault="00873405" w:rsidP="007114B1">
            <w:pPr>
              <w:pStyle w:val="BlockText-Plain"/>
              <w:jc w:val="center"/>
              <w:rPr>
                <w:lang w:eastAsia="en-US"/>
              </w:rPr>
            </w:pPr>
            <w:r w:rsidRPr="00C9343F">
              <w:rPr>
                <w:lang w:eastAsia="en-US"/>
              </w:rPr>
              <w:t>b.</w:t>
            </w:r>
          </w:p>
        </w:tc>
        <w:tc>
          <w:tcPr>
            <w:tcW w:w="7807" w:type="dxa"/>
            <w:gridSpan w:val="2"/>
          </w:tcPr>
          <w:p w14:paraId="561E9F65" w14:textId="77777777" w:rsidR="00873405" w:rsidRPr="00C9343F" w:rsidRDefault="00873405" w:rsidP="00F66D98">
            <w:pPr>
              <w:pStyle w:val="BlockText-Plain"/>
              <w:rPr>
                <w:lang w:eastAsia="en-US"/>
              </w:rPr>
            </w:pPr>
            <w:r w:rsidRPr="00C9343F">
              <w:rPr>
                <w:lang w:eastAsia="en-US"/>
              </w:rPr>
              <w:t>The member has 12 months experience as a pilot on the military aircraft following operational flying training.</w:t>
            </w:r>
          </w:p>
        </w:tc>
      </w:tr>
      <w:tr w:rsidR="00873405" w:rsidRPr="00C9343F" w14:paraId="0460245C" w14:textId="77777777" w:rsidTr="00AC270A">
        <w:trPr>
          <w:cantSplit/>
        </w:trPr>
        <w:tc>
          <w:tcPr>
            <w:tcW w:w="992" w:type="dxa"/>
          </w:tcPr>
          <w:p w14:paraId="7A492639" w14:textId="77777777" w:rsidR="00873405" w:rsidRPr="00C9343F" w:rsidRDefault="00873405" w:rsidP="00F66D98">
            <w:pPr>
              <w:pStyle w:val="BlockText-Plain"/>
              <w:spacing w:line="276" w:lineRule="auto"/>
              <w:jc w:val="center"/>
              <w:rPr>
                <w:lang w:eastAsia="en-US"/>
              </w:rPr>
            </w:pPr>
            <w:r w:rsidRPr="00C9343F">
              <w:rPr>
                <w:lang w:eastAsia="en-US"/>
              </w:rPr>
              <w:t>2.</w:t>
            </w:r>
          </w:p>
        </w:tc>
        <w:tc>
          <w:tcPr>
            <w:tcW w:w="8374" w:type="dxa"/>
            <w:gridSpan w:val="3"/>
          </w:tcPr>
          <w:p w14:paraId="634C6233" w14:textId="0DB821D6" w:rsidR="00873405" w:rsidRPr="00C9343F" w:rsidRDefault="00873405" w:rsidP="00F66D98">
            <w:pPr>
              <w:pStyle w:val="BlockText-Plain"/>
              <w:rPr>
                <w:lang w:eastAsia="en-US"/>
              </w:rPr>
            </w:pPr>
            <w:r w:rsidRPr="00C9343F">
              <w:rPr>
                <w:lang w:eastAsia="en-US"/>
              </w:rPr>
              <w:t>A member in the Aviation Warfare Officer competency stream has Officer Aviation increment OA8 on the day they meet both of the following.</w:t>
            </w:r>
          </w:p>
        </w:tc>
      </w:tr>
      <w:tr w:rsidR="00873405" w:rsidRPr="00C9343F" w14:paraId="0BDF805A" w14:textId="77777777" w:rsidTr="00AC270A">
        <w:trPr>
          <w:cantSplit/>
        </w:trPr>
        <w:tc>
          <w:tcPr>
            <w:tcW w:w="992" w:type="dxa"/>
          </w:tcPr>
          <w:p w14:paraId="775F8B20" w14:textId="77777777" w:rsidR="00873405" w:rsidRPr="00C9343F" w:rsidRDefault="00873405" w:rsidP="00F66D98">
            <w:pPr>
              <w:pStyle w:val="BlockText-Plain"/>
              <w:rPr>
                <w:lang w:eastAsia="en-US"/>
              </w:rPr>
            </w:pPr>
          </w:p>
        </w:tc>
        <w:tc>
          <w:tcPr>
            <w:tcW w:w="567" w:type="dxa"/>
          </w:tcPr>
          <w:p w14:paraId="27694330" w14:textId="77777777" w:rsidR="00873405" w:rsidRPr="00C9343F" w:rsidRDefault="00873405" w:rsidP="007114B1">
            <w:pPr>
              <w:pStyle w:val="BlockText-Plain"/>
              <w:jc w:val="center"/>
              <w:rPr>
                <w:lang w:eastAsia="en-US"/>
              </w:rPr>
            </w:pPr>
            <w:r w:rsidRPr="00C9343F">
              <w:rPr>
                <w:lang w:eastAsia="en-US"/>
              </w:rPr>
              <w:t>a.</w:t>
            </w:r>
          </w:p>
        </w:tc>
        <w:tc>
          <w:tcPr>
            <w:tcW w:w="7807" w:type="dxa"/>
            <w:gridSpan w:val="2"/>
          </w:tcPr>
          <w:p w14:paraId="0C4345F5" w14:textId="77777777" w:rsidR="00873405" w:rsidRPr="00C9343F" w:rsidRDefault="00873405" w:rsidP="00F66D98">
            <w:pPr>
              <w:pStyle w:val="BlockText-Plain"/>
              <w:rPr>
                <w:lang w:eastAsia="en-US"/>
              </w:rPr>
            </w:pPr>
            <w:r w:rsidRPr="00C9343F">
              <w:rPr>
                <w:lang w:eastAsia="en-US"/>
              </w:rPr>
              <w:t>The member has completed operational flying training as an aviation warfare officer on a military aircraft.</w:t>
            </w:r>
          </w:p>
        </w:tc>
      </w:tr>
      <w:tr w:rsidR="00873405" w:rsidRPr="00C9343F" w14:paraId="202D4A1A" w14:textId="77777777" w:rsidTr="00AC270A">
        <w:trPr>
          <w:cantSplit/>
        </w:trPr>
        <w:tc>
          <w:tcPr>
            <w:tcW w:w="992" w:type="dxa"/>
          </w:tcPr>
          <w:p w14:paraId="184BC6F4" w14:textId="77777777" w:rsidR="00873405" w:rsidRPr="00C9343F" w:rsidRDefault="00873405" w:rsidP="00F66D98">
            <w:pPr>
              <w:pStyle w:val="BlockText-Plain"/>
              <w:rPr>
                <w:lang w:eastAsia="en-US"/>
              </w:rPr>
            </w:pPr>
          </w:p>
        </w:tc>
        <w:tc>
          <w:tcPr>
            <w:tcW w:w="567" w:type="dxa"/>
          </w:tcPr>
          <w:p w14:paraId="2E1C3258" w14:textId="77777777" w:rsidR="00873405" w:rsidRPr="00C9343F" w:rsidRDefault="00873405" w:rsidP="007114B1">
            <w:pPr>
              <w:pStyle w:val="BlockText-Plain"/>
              <w:jc w:val="center"/>
              <w:rPr>
                <w:lang w:eastAsia="en-US"/>
              </w:rPr>
            </w:pPr>
            <w:r w:rsidRPr="00C9343F">
              <w:rPr>
                <w:lang w:eastAsia="en-US"/>
              </w:rPr>
              <w:t>b.</w:t>
            </w:r>
          </w:p>
        </w:tc>
        <w:tc>
          <w:tcPr>
            <w:tcW w:w="7807" w:type="dxa"/>
            <w:gridSpan w:val="2"/>
          </w:tcPr>
          <w:p w14:paraId="0AC41A30" w14:textId="77777777" w:rsidR="00873405" w:rsidRPr="00C9343F" w:rsidRDefault="00873405" w:rsidP="00F66D98">
            <w:pPr>
              <w:pStyle w:val="BlockText-Plain"/>
              <w:rPr>
                <w:lang w:eastAsia="en-US"/>
              </w:rPr>
            </w:pPr>
            <w:r w:rsidRPr="00C9343F">
              <w:rPr>
                <w:lang w:eastAsia="en-US"/>
              </w:rPr>
              <w:t>The member has 12 months experience as an aviation warfare officer on the military aircraft following operational flying training.</w:t>
            </w:r>
          </w:p>
        </w:tc>
      </w:tr>
      <w:tr w:rsidR="00AC270A" w:rsidRPr="00C9343F" w14:paraId="61303538" w14:textId="77777777" w:rsidTr="00AC270A">
        <w:trPr>
          <w:cantSplit/>
        </w:trPr>
        <w:tc>
          <w:tcPr>
            <w:tcW w:w="992" w:type="dxa"/>
          </w:tcPr>
          <w:p w14:paraId="6EBA86C4" w14:textId="5596AF5B" w:rsidR="00AC270A" w:rsidRPr="00C9343F" w:rsidRDefault="00AC270A" w:rsidP="00F66D98">
            <w:pPr>
              <w:pStyle w:val="BlockText-Plain"/>
              <w:spacing w:line="276" w:lineRule="auto"/>
              <w:jc w:val="center"/>
              <w:rPr>
                <w:lang w:eastAsia="en-US"/>
              </w:rPr>
            </w:pPr>
            <w:r w:rsidRPr="00C9343F">
              <w:rPr>
                <w:lang w:eastAsia="en-US"/>
              </w:rPr>
              <w:t>3.</w:t>
            </w:r>
          </w:p>
        </w:tc>
        <w:tc>
          <w:tcPr>
            <w:tcW w:w="8374" w:type="dxa"/>
            <w:gridSpan w:val="3"/>
          </w:tcPr>
          <w:p w14:paraId="04D1016C" w14:textId="67A8CC94" w:rsidR="00AC270A" w:rsidRPr="00C9343F" w:rsidRDefault="00AC270A" w:rsidP="00F66D98">
            <w:pPr>
              <w:pStyle w:val="Sectiontext0"/>
              <w:rPr>
                <w:lang w:eastAsia="en-US"/>
              </w:rPr>
            </w:pPr>
            <w:r w:rsidRPr="00C9343F">
              <w:t>A member in the Remote Pilot Warfare Officer competency stream has an Officer Aviation increment of OA6 on the day they meet both of the following.</w:t>
            </w:r>
          </w:p>
        </w:tc>
      </w:tr>
      <w:tr w:rsidR="00AC270A" w:rsidRPr="00C9343F" w14:paraId="2424C4A0" w14:textId="77777777" w:rsidTr="00AC270A">
        <w:trPr>
          <w:cantSplit/>
        </w:trPr>
        <w:tc>
          <w:tcPr>
            <w:tcW w:w="992" w:type="dxa"/>
          </w:tcPr>
          <w:p w14:paraId="11768CE6" w14:textId="22BE7F3B" w:rsidR="00AC270A" w:rsidRPr="00C9343F" w:rsidRDefault="00AC270A" w:rsidP="00F66D98">
            <w:pPr>
              <w:pStyle w:val="BlockText-Plain"/>
              <w:rPr>
                <w:lang w:eastAsia="en-US"/>
              </w:rPr>
            </w:pPr>
          </w:p>
        </w:tc>
        <w:tc>
          <w:tcPr>
            <w:tcW w:w="567" w:type="dxa"/>
          </w:tcPr>
          <w:p w14:paraId="0C080815" w14:textId="77777777" w:rsidR="00AC270A" w:rsidRPr="00C9343F" w:rsidRDefault="00AC270A" w:rsidP="007114B1">
            <w:pPr>
              <w:pStyle w:val="Sectiontext0"/>
              <w:jc w:val="center"/>
              <w:rPr>
                <w:lang w:eastAsia="en-US"/>
              </w:rPr>
            </w:pPr>
            <w:r w:rsidRPr="00C9343F">
              <w:rPr>
                <w:lang w:eastAsia="en-US"/>
              </w:rPr>
              <w:t>a.</w:t>
            </w:r>
          </w:p>
        </w:tc>
        <w:tc>
          <w:tcPr>
            <w:tcW w:w="7807" w:type="dxa"/>
            <w:gridSpan w:val="2"/>
          </w:tcPr>
          <w:p w14:paraId="2B2ACDC5" w14:textId="5A73ACF1" w:rsidR="00AC270A" w:rsidRPr="00C9343F" w:rsidRDefault="00AC270A" w:rsidP="00F66D98">
            <w:pPr>
              <w:pStyle w:val="BlockText-Plain"/>
              <w:rPr>
                <w:lang w:eastAsia="en-US"/>
              </w:rPr>
            </w:pPr>
            <w:r w:rsidRPr="00C9343F">
              <w:t>The member has completed remote pilot warfare officer training.</w:t>
            </w:r>
          </w:p>
        </w:tc>
      </w:tr>
      <w:tr w:rsidR="00AC270A" w:rsidRPr="00C9343F" w14:paraId="209CBA31" w14:textId="77777777" w:rsidTr="00AC270A">
        <w:trPr>
          <w:cantSplit/>
        </w:trPr>
        <w:tc>
          <w:tcPr>
            <w:tcW w:w="992" w:type="dxa"/>
          </w:tcPr>
          <w:p w14:paraId="31980199" w14:textId="163DC322" w:rsidR="00AC270A" w:rsidRPr="00C9343F" w:rsidRDefault="00AC270A" w:rsidP="00F66D98">
            <w:pPr>
              <w:pStyle w:val="BlockText-Plain"/>
              <w:rPr>
                <w:lang w:eastAsia="en-US"/>
              </w:rPr>
            </w:pPr>
          </w:p>
        </w:tc>
        <w:tc>
          <w:tcPr>
            <w:tcW w:w="567" w:type="dxa"/>
          </w:tcPr>
          <w:p w14:paraId="2F820B65" w14:textId="77777777" w:rsidR="00AC270A" w:rsidRPr="00C9343F" w:rsidRDefault="00AC270A" w:rsidP="007114B1">
            <w:pPr>
              <w:pStyle w:val="Sectiontext0"/>
              <w:jc w:val="center"/>
              <w:rPr>
                <w:lang w:eastAsia="en-US"/>
              </w:rPr>
            </w:pPr>
            <w:r w:rsidRPr="00C9343F">
              <w:rPr>
                <w:lang w:eastAsia="en-US"/>
              </w:rPr>
              <w:t>b.</w:t>
            </w:r>
          </w:p>
        </w:tc>
        <w:tc>
          <w:tcPr>
            <w:tcW w:w="7807" w:type="dxa"/>
            <w:gridSpan w:val="2"/>
          </w:tcPr>
          <w:p w14:paraId="2AFC001A" w14:textId="2B37C999" w:rsidR="00AC270A" w:rsidRPr="00C9343F" w:rsidRDefault="00AC270A" w:rsidP="00F66D98">
            <w:pPr>
              <w:pStyle w:val="BlockText-Plain"/>
              <w:rPr>
                <w:lang w:eastAsia="en-US"/>
              </w:rPr>
            </w:pPr>
            <w:r w:rsidRPr="00C9343F">
              <w:t>The member has completed 4 ½ years of service since one of the following.</w:t>
            </w:r>
          </w:p>
        </w:tc>
      </w:tr>
      <w:tr w:rsidR="00AC270A" w:rsidRPr="00C9343F" w14:paraId="3A9610D0" w14:textId="77777777" w:rsidTr="00AC270A">
        <w:trPr>
          <w:cantSplit/>
        </w:trPr>
        <w:tc>
          <w:tcPr>
            <w:tcW w:w="992" w:type="dxa"/>
          </w:tcPr>
          <w:p w14:paraId="507DF2E7" w14:textId="05EF7682" w:rsidR="00AC270A" w:rsidRPr="00C9343F" w:rsidRDefault="00AC270A" w:rsidP="00F66D98">
            <w:pPr>
              <w:pStyle w:val="BlockText-Plain"/>
              <w:spacing w:line="276" w:lineRule="auto"/>
              <w:rPr>
                <w:lang w:eastAsia="en-US"/>
              </w:rPr>
            </w:pPr>
          </w:p>
        </w:tc>
        <w:tc>
          <w:tcPr>
            <w:tcW w:w="567" w:type="dxa"/>
          </w:tcPr>
          <w:p w14:paraId="0ADC7817" w14:textId="77777777" w:rsidR="00AC270A" w:rsidRPr="00C9343F" w:rsidRDefault="00AC270A" w:rsidP="00F66D98">
            <w:pPr>
              <w:pStyle w:val="BlockText-Plain"/>
              <w:rPr>
                <w:lang w:eastAsia="en-US"/>
              </w:rPr>
            </w:pPr>
          </w:p>
        </w:tc>
        <w:tc>
          <w:tcPr>
            <w:tcW w:w="564" w:type="dxa"/>
          </w:tcPr>
          <w:p w14:paraId="46F7BA9C" w14:textId="77777777" w:rsidR="00AC270A" w:rsidRPr="00C9343F" w:rsidRDefault="00AC270A" w:rsidP="00F66D98">
            <w:pPr>
              <w:pStyle w:val="Sectiontext0"/>
              <w:rPr>
                <w:lang w:eastAsia="en-US"/>
              </w:rPr>
            </w:pPr>
            <w:r w:rsidRPr="00C9343F">
              <w:rPr>
                <w:lang w:eastAsia="en-US"/>
              </w:rPr>
              <w:t>i.</w:t>
            </w:r>
          </w:p>
        </w:tc>
        <w:tc>
          <w:tcPr>
            <w:tcW w:w="7243" w:type="dxa"/>
          </w:tcPr>
          <w:p w14:paraId="28BECB9D" w14:textId="2EC991E9" w:rsidR="00AC270A" w:rsidRPr="00C9343F" w:rsidRDefault="00AC270A" w:rsidP="00F66D98">
            <w:pPr>
              <w:pStyle w:val="BlockText-Plain"/>
              <w:rPr>
                <w:lang w:eastAsia="en-US"/>
              </w:rPr>
            </w:pPr>
            <w:r w:rsidRPr="00C9343F">
              <w:t>The member graduated from the Australian Defence Force Academy.</w:t>
            </w:r>
          </w:p>
        </w:tc>
      </w:tr>
      <w:tr w:rsidR="00AC270A" w:rsidRPr="00C9343F" w14:paraId="0BB56F57" w14:textId="77777777" w:rsidTr="00AC270A">
        <w:trPr>
          <w:cantSplit/>
        </w:trPr>
        <w:tc>
          <w:tcPr>
            <w:tcW w:w="992" w:type="dxa"/>
          </w:tcPr>
          <w:p w14:paraId="2A0FE00B" w14:textId="192B5787" w:rsidR="00AC270A" w:rsidRPr="00C9343F" w:rsidRDefault="00AC270A" w:rsidP="00F66D98">
            <w:pPr>
              <w:pStyle w:val="BlockText-Plain"/>
              <w:spacing w:line="276" w:lineRule="auto"/>
              <w:rPr>
                <w:lang w:eastAsia="en-US"/>
              </w:rPr>
            </w:pPr>
          </w:p>
        </w:tc>
        <w:tc>
          <w:tcPr>
            <w:tcW w:w="567" w:type="dxa"/>
          </w:tcPr>
          <w:p w14:paraId="3E12CFBA" w14:textId="77777777" w:rsidR="00AC270A" w:rsidRPr="00C9343F" w:rsidRDefault="00AC270A" w:rsidP="00F66D98">
            <w:pPr>
              <w:pStyle w:val="BlockText-Plain"/>
              <w:rPr>
                <w:lang w:eastAsia="en-US"/>
              </w:rPr>
            </w:pPr>
          </w:p>
        </w:tc>
        <w:tc>
          <w:tcPr>
            <w:tcW w:w="564" w:type="dxa"/>
          </w:tcPr>
          <w:p w14:paraId="72B7E237" w14:textId="77777777" w:rsidR="00AC270A" w:rsidRPr="00C9343F" w:rsidRDefault="00AC270A" w:rsidP="00F66D98">
            <w:pPr>
              <w:pStyle w:val="Sectiontext0"/>
              <w:rPr>
                <w:lang w:eastAsia="en-US"/>
              </w:rPr>
            </w:pPr>
            <w:r w:rsidRPr="00C9343F">
              <w:rPr>
                <w:lang w:eastAsia="en-US"/>
              </w:rPr>
              <w:t>ii.</w:t>
            </w:r>
          </w:p>
        </w:tc>
        <w:tc>
          <w:tcPr>
            <w:tcW w:w="7243" w:type="dxa"/>
          </w:tcPr>
          <w:p w14:paraId="136E5B68" w14:textId="718868DA" w:rsidR="00AC270A" w:rsidRPr="00C9343F" w:rsidRDefault="00AC270A" w:rsidP="00F66D98">
            <w:pPr>
              <w:pStyle w:val="BlockText-Plain"/>
              <w:rPr>
                <w:lang w:eastAsia="en-US"/>
              </w:rPr>
            </w:pPr>
            <w:r w:rsidRPr="00C9343F">
              <w:t>The member was a direct entry officer — the member completed officer training.</w:t>
            </w:r>
          </w:p>
        </w:tc>
      </w:tr>
    </w:tbl>
    <w:p w14:paraId="048096CC" w14:textId="25CAECC0" w:rsidR="00083B82" w:rsidRPr="00C9343F" w:rsidRDefault="00083B82" w:rsidP="00F66D98">
      <w:pPr>
        <w:pStyle w:val="Heading5"/>
      </w:pPr>
      <w:bookmarkStart w:id="509" w:name="_Toc105053719"/>
      <w:r w:rsidRPr="00C9343F">
        <w:t>3.2.47O</w:t>
      </w:r>
      <w:r w:rsidR="00D94006" w:rsidRPr="00C9343F">
        <w:t>    </w:t>
      </w:r>
      <w:r w:rsidRPr="00C9343F">
        <w:t>Increment on promotion</w:t>
      </w:r>
      <w:bookmarkEnd w:id="509"/>
      <w:r w:rsidRPr="00C9343F">
        <w:t xml:space="preserve"> </w:t>
      </w:r>
    </w:p>
    <w:tbl>
      <w:tblPr>
        <w:tblW w:w="9365" w:type="dxa"/>
        <w:tblInd w:w="108" w:type="dxa"/>
        <w:tblLayout w:type="fixed"/>
        <w:tblLook w:val="04A0" w:firstRow="1" w:lastRow="0" w:firstColumn="1" w:lastColumn="0" w:noHBand="0" w:noVBand="1"/>
      </w:tblPr>
      <w:tblGrid>
        <w:gridCol w:w="992"/>
        <w:gridCol w:w="567"/>
        <w:gridCol w:w="564"/>
        <w:gridCol w:w="7242"/>
      </w:tblGrid>
      <w:tr w:rsidR="00083B82" w:rsidRPr="00C9343F" w14:paraId="78208DA3" w14:textId="77777777" w:rsidTr="00F945FD">
        <w:trPr>
          <w:cantSplit/>
        </w:trPr>
        <w:tc>
          <w:tcPr>
            <w:tcW w:w="992" w:type="dxa"/>
          </w:tcPr>
          <w:p w14:paraId="5425D14C" w14:textId="77777777" w:rsidR="00083B82" w:rsidRPr="00C9343F" w:rsidRDefault="00083B82" w:rsidP="00F66D98">
            <w:pPr>
              <w:pStyle w:val="BlockText-Plain"/>
              <w:spacing w:line="276" w:lineRule="auto"/>
              <w:jc w:val="center"/>
              <w:rPr>
                <w:lang w:eastAsia="en-US"/>
              </w:rPr>
            </w:pPr>
            <w:r w:rsidRPr="00C9343F">
              <w:rPr>
                <w:lang w:eastAsia="en-US"/>
              </w:rPr>
              <w:t>1.</w:t>
            </w:r>
          </w:p>
        </w:tc>
        <w:tc>
          <w:tcPr>
            <w:tcW w:w="8373" w:type="dxa"/>
            <w:gridSpan w:val="3"/>
          </w:tcPr>
          <w:p w14:paraId="49DB2B7F" w14:textId="77777777" w:rsidR="00083B82" w:rsidRPr="00C9343F" w:rsidRDefault="00083B82" w:rsidP="00F66D98">
            <w:pPr>
              <w:pStyle w:val="BlockText-Plain"/>
              <w:rPr>
                <w:lang w:eastAsia="en-US"/>
              </w:rPr>
            </w:pPr>
            <w:r w:rsidRPr="00C9343F">
              <w:rPr>
                <w:lang w:eastAsia="en-US"/>
              </w:rPr>
              <w:t xml:space="preserve">This section does not apply to the following members. </w:t>
            </w:r>
          </w:p>
        </w:tc>
      </w:tr>
      <w:tr w:rsidR="00083B82" w:rsidRPr="00C9343F" w14:paraId="2176C80D" w14:textId="77777777" w:rsidTr="00F945FD">
        <w:trPr>
          <w:cantSplit/>
        </w:trPr>
        <w:tc>
          <w:tcPr>
            <w:tcW w:w="992" w:type="dxa"/>
          </w:tcPr>
          <w:p w14:paraId="13E692A4" w14:textId="77777777" w:rsidR="00083B82" w:rsidRPr="00C9343F" w:rsidRDefault="00083B82" w:rsidP="00F66D98">
            <w:pPr>
              <w:pStyle w:val="BlockText-Plain"/>
              <w:spacing w:line="276" w:lineRule="auto"/>
              <w:rPr>
                <w:lang w:eastAsia="en-US"/>
              </w:rPr>
            </w:pPr>
          </w:p>
        </w:tc>
        <w:tc>
          <w:tcPr>
            <w:tcW w:w="567" w:type="dxa"/>
            <w:hideMark/>
          </w:tcPr>
          <w:p w14:paraId="0F944AC3"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Pr>
          <w:p w14:paraId="4704E29F" w14:textId="77777777" w:rsidR="00083B82" w:rsidRPr="00C9343F" w:rsidRDefault="00083B82" w:rsidP="00F66D98">
            <w:pPr>
              <w:pStyle w:val="BlockText-Plain"/>
              <w:rPr>
                <w:lang w:eastAsia="en-US"/>
              </w:rPr>
            </w:pPr>
            <w:r w:rsidRPr="00C9343F">
              <w:rPr>
                <w:lang w:eastAsia="en-US"/>
              </w:rPr>
              <w:t>A member in the Navy who is promoted to Acting Sub Lieutenant, Sub Lieutenant or Lieutenant.</w:t>
            </w:r>
          </w:p>
        </w:tc>
      </w:tr>
      <w:tr w:rsidR="00083B82" w:rsidRPr="00C9343F" w14:paraId="14A145A4" w14:textId="77777777" w:rsidTr="00F945FD">
        <w:trPr>
          <w:cantSplit/>
        </w:trPr>
        <w:tc>
          <w:tcPr>
            <w:tcW w:w="992" w:type="dxa"/>
          </w:tcPr>
          <w:p w14:paraId="64E56FD7" w14:textId="77777777" w:rsidR="00083B82" w:rsidRPr="00C9343F" w:rsidRDefault="00083B82" w:rsidP="00F66D98">
            <w:pPr>
              <w:pStyle w:val="BlockText-Plain"/>
              <w:spacing w:line="276" w:lineRule="auto"/>
              <w:rPr>
                <w:lang w:eastAsia="en-US"/>
              </w:rPr>
            </w:pPr>
          </w:p>
        </w:tc>
        <w:tc>
          <w:tcPr>
            <w:tcW w:w="567" w:type="dxa"/>
          </w:tcPr>
          <w:p w14:paraId="51007222"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Pr>
          <w:p w14:paraId="192752D4" w14:textId="77777777" w:rsidR="00083B82" w:rsidRPr="00C9343F" w:rsidRDefault="00083B82" w:rsidP="00F66D98">
            <w:pPr>
              <w:pStyle w:val="BlockText-Plain"/>
              <w:rPr>
                <w:lang w:eastAsia="en-US"/>
              </w:rPr>
            </w:pPr>
            <w:r w:rsidRPr="00C9343F">
              <w:rPr>
                <w:lang w:eastAsia="en-US"/>
              </w:rPr>
              <w:t>A member in the Army who is promoted to Second Lieutenant or Lieutenant.</w:t>
            </w:r>
          </w:p>
        </w:tc>
      </w:tr>
      <w:tr w:rsidR="00083B82" w:rsidRPr="00C9343F" w14:paraId="4EDF9F10" w14:textId="77777777" w:rsidTr="00F945FD">
        <w:trPr>
          <w:cantSplit/>
        </w:trPr>
        <w:tc>
          <w:tcPr>
            <w:tcW w:w="992" w:type="dxa"/>
          </w:tcPr>
          <w:p w14:paraId="09F96804" w14:textId="77777777" w:rsidR="00083B82" w:rsidRPr="00C9343F" w:rsidRDefault="00083B82" w:rsidP="00F66D98">
            <w:pPr>
              <w:pStyle w:val="BlockText-Plain"/>
              <w:spacing w:line="276" w:lineRule="auto"/>
              <w:rPr>
                <w:lang w:eastAsia="en-US"/>
              </w:rPr>
            </w:pPr>
          </w:p>
        </w:tc>
        <w:tc>
          <w:tcPr>
            <w:tcW w:w="567" w:type="dxa"/>
          </w:tcPr>
          <w:p w14:paraId="40182736"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Pr>
          <w:p w14:paraId="79A52093" w14:textId="77777777" w:rsidR="00083B82" w:rsidRPr="00C9343F" w:rsidRDefault="00083B82" w:rsidP="00F66D98">
            <w:pPr>
              <w:pStyle w:val="BlockText-Plain"/>
              <w:rPr>
                <w:lang w:eastAsia="en-US"/>
              </w:rPr>
            </w:pPr>
            <w:r w:rsidRPr="00C9343F">
              <w:rPr>
                <w:lang w:eastAsia="en-US"/>
              </w:rPr>
              <w:t>A member in the Air Force who is promoted to Pilot Officer or Flying Officer.</w:t>
            </w:r>
          </w:p>
        </w:tc>
      </w:tr>
      <w:tr w:rsidR="00083B82" w:rsidRPr="00C9343F" w14:paraId="7A884C66" w14:textId="77777777" w:rsidTr="00F945FD">
        <w:tc>
          <w:tcPr>
            <w:tcW w:w="992" w:type="dxa"/>
            <w:hideMark/>
          </w:tcPr>
          <w:p w14:paraId="73E605CC" w14:textId="77777777" w:rsidR="00083B82" w:rsidRPr="00C9343F" w:rsidRDefault="00083B82" w:rsidP="00F66D98">
            <w:pPr>
              <w:pStyle w:val="BlockText-Plain"/>
              <w:spacing w:line="276" w:lineRule="auto"/>
              <w:jc w:val="center"/>
              <w:rPr>
                <w:lang w:eastAsia="en-US"/>
              </w:rPr>
            </w:pPr>
            <w:r w:rsidRPr="00C9343F">
              <w:rPr>
                <w:lang w:eastAsia="en-US"/>
              </w:rPr>
              <w:t>2.</w:t>
            </w:r>
          </w:p>
        </w:tc>
        <w:tc>
          <w:tcPr>
            <w:tcW w:w="8373" w:type="dxa"/>
            <w:gridSpan w:val="3"/>
            <w:hideMark/>
          </w:tcPr>
          <w:p w14:paraId="5A794CE8" w14:textId="77777777" w:rsidR="00083B82" w:rsidRPr="00C9343F" w:rsidRDefault="00083B82" w:rsidP="00F66D98">
            <w:pPr>
              <w:pStyle w:val="BlockText-Plain"/>
              <w:rPr>
                <w:lang w:eastAsia="en-US"/>
              </w:rPr>
            </w:pPr>
            <w:r w:rsidRPr="00C9343F">
              <w:rPr>
                <w:lang w:eastAsia="en-US"/>
              </w:rPr>
              <w:t>On the day that an</w:t>
            </w:r>
            <w:r w:rsidRPr="00C9343F">
              <w:rPr>
                <w:rFonts w:cs="Arial"/>
                <w:lang w:eastAsia="en-US"/>
              </w:rPr>
              <w:t xml:space="preserve"> </w:t>
            </w:r>
            <w:r w:rsidRPr="00C9343F">
              <w:rPr>
                <w:lang w:eastAsia="en-US"/>
              </w:rPr>
              <w:t xml:space="preserve">Officer Aviation member is promoted, the member has the lowest Officer Aviation increment for their rank, pathway and competency stream. </w:t>
            </w:r>
          </w:p>
        </w:tc>
      </w:tr>
      <w:tr w:rsidR="00083B82" w:rsidRPr="00C9343F" w14:paraId="288DC76C" w14:textId="77777777" w:rsidTr="00F945FD">
        <w:tc>
          <w:tcPr>
            <w:tcW w:w="992" w:type="dxa"/>
          </w:tcPr>
          <w:p w14:paraId="59E7E960" w14:textId="77777777" w:rsidR="00083B82" w:rsidRPr="00C9343F" w:rsidRDefault="00083B82" w:rsidP="00F66D98">
            <w:pPr>
              <w:pStyle w:val="BlockText-Plain"/>
              <w:spacing w:line="276" w:lineRule="auto"/>
              <w:jc w:val="center"/>
              <w:rPr>
                <w:lang w:eastAsia="en-US"/>
              </w:rPr>
            </w:pPr>
            <w:r w:rsidRPr="00C9343F">
              <w:rPr>
                <w:lang w:eastAsia="en-US"/>
              </w:rPr>
              <w:t xml:space="preserve">3. </w:t>
            </w:r>
          </w:p>
        </w:tc>
        <w:tc>
          <w:tcPr>
            <w:tcW w:w="8373" w:type="dxa"/>
            <w:gridSpan w:val="3"/>
          </w:tcPr>
          <w:p w14:paraId="30F0FFB0" w14:textId="77777777" w:rsidR="00083B82" w:rsidRPr="00C9343F" w:rsidRDefault="00083B82" w:rsidP="00F66D98">
            <w:pPr>
              <w:pStyle w:val="BlockText-Plain"/>
              <w:rPr>
                <w:lang w:eastAsia="en-US"/>
              </w:rPr>
            </w:pPr>
            <w:r w:rsidRPr="00C9343F">
              <w:rPr>
                <w:lang w:eastAsia="en-US"/>
              </w:rPr>
              <w:t>Despite subsection 2, the member may be placed on a higher Officer Aviation increment for their rank, pathway and competency stream that is decided by the CDF when the member has a period of service that meets all of the following.</w:t>
            </w:r>
          </w:p>
        </w:tc>
      </w:tr>
      <w:tr w:rsidR="00083B82" w:rsidRPr="00C9343F" w14:paraId="1349DA00" w14:textId="77777777" w:rsidTr="00F945FD">
        <w:trPr>
          <w:cantSplit/>
        </w:trPr>
        <w:tc>
          <w:tcPr>
            <w:tcW w:w="992" w:type="dxa"/>
          </w:tcPr>
          <w:p w14:paraId="622854D2" w14:textId="77777777" w:rsidR="00083B82" w:rsidRPr="00C9343F" w:rsidRDefault="00083B82" w:rsidP="00F66D98">
            <w:pPr>
              <w:pStyle w:val="BlockText-Plain"/>
              <w:spacing w:line="276" w:lineRule="auto"/>
              <w:rPr>
                <w:lang w:eastAsia="en-US"/>
              </w:rPr>
            </w:pPr>
          </w:p>
        </w:tc>
        <w:tc>
          <w:tcPr>
            <w:tcW w:w="567" w:type="dxa"/>
            <w:hideMark/>
          </w:tcPr>
          <w:p w14:paraId="404AED48"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hideMark/>
          </w:tcPr>
          <w:p w14:paraId="157DB9B4" w14:textId="77777777" w:rsidR="00083B82" w:rsidRPr="00C9343F" w:rsidRDefault="00083B82" w:rsidP="00F66D98">
            <w:pPr>
              <w:pStyle w:val="BlockText-Plain"/>
              <w:rPr>
                <w:lang w:eastAsia="en-US"/>
              </w:rPr>
            </w:pPr>
            <w:r w:rsidRPr="00C9343F">
              <w:rPr>
                <w:lang w:eastAsia="en-US"/>
              </w:rPr>
              <w:t>The service was performed by the member at the rank the member is promoted to, or a higher rank.</w:t>
            </w:r>
          </w:p>
        </w:tc>
      </w:tr>
      <w:tr w:rsidR="00083B82" w:rsidRPr="00C9343F" w14:paraId="5C4DB132" w14:textId="77777777" w:rsidTr="00F945FD">
        <w:trPr>
          <w:cantSplit/>
        </w:trPr>
        <w:tc>
          <w:tcPr>
            <w:tcW w:w="992" w:type="dxa"/>
          </w:tcPr>
          <w:p w14:paraId="133D00E7" w14:textId="77777777" w:rsidR="00083B82" w:rsidRPr="00C9343F" w:rsidRDefault="00083B82" w:rsidP="00F66D98">
            <w:pPr>
              <w:pStyle w:val="BlockText-Plain"/>
              <w:spacing w:line="276" w:lineRule="auto"/>
              <w:rPr>
                <w:lang w:eastAsia="en-US"/>
              </w:rPr>
            </w:pPr>
          </w:p>
        </w:tc>
        <w:tc>
          <w:tcPr>
            <w:tcW w:w="567" w:type="dxa"/>
          </w:tcPr>
          <w:p w14:paraId="26585BA9"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Pr>
          <w:p w14:paraId="26C12FA6" w14:textId="77777777" w:rsidR="00083B82" w:rsidRPr="00C9343F" w:rsidRDefault="00083B82" w:rsidP="00F66D98">
            <w:pPr>
              <w:pStyle w:val="BlockText-Plain"/>
              <w:rPr>
                <w:lang w:eastAsia="en-US"/>
              </w:rPr>
            </w:pPr>
            <w:r w:rsidRPr="00C9343F">
              <w:rPr>
                <w:lang w:eastAsia="en-US"/>
              </w:rPr>
              <w:t>The service was performed by the member at the standard of competence expected for the member's pathway and competency stream for the rank the member is promoted to, or a higher rank.</w:t>
            </w:r>
          </w:p>
        </w:tc>
      </w:tr>
      <w:tr w:rsidR="00083B82" w:rsidRPr="00C9343F" w14:paraId="5028E045" w14:textId="77777777" w:rsidTr="00F945FD">
        <w:trPr>
          <w:cantSplit/>
        </w:trPr>
        <w:tc>
          <w:tcPr>
            <w:tcW w:w="992" w:type="dxa"/>
          </w:tcPr>
          <w:p w14:paraId="2B93A65A" w14:textId="77777777" w:rsidR="00083B82" w:rsidRPr="00C9343F" w:rsidRDefault="00083B82" w:rsidP="00F66D98">
            <w:pPr>
              <w:pStyle w:val="BlockText-Plain"/>
              <w:spacing w:line="276" w:lineRule="auto"/>
              <w:rPr>
                <w:lang w:eastAsia="en-US"/>
              </w:rPr>
            </w:pPr>
          </w:p>
        </w:tc>
        <w:tc>
          <w:tcPr>
            <w:tcW w:w="567" w:type="dxa"/>
            <w:hideMark/>
          </w:tcPr>
          <w:p w14:paraId="5A61A6B5"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hideMark/>
          </w:tcPr>
          <w:p w14:paraId="6F4549B0" w14:textId="77777777" w:rsidR="00083B82" w:rsidRPr="00C9343F" w:rsidRDefault="00083B82" w:rsidP="00F66D98">
            <w:pPr>
              <w:pStyle w:val="BlockText-Plain"/>
              <w:rPr>
                <w:lang w:eastAsia="en-US"/>
              </w:rPr>
            </w:pPr>
            <w:r w:rsidRPr="00C9343F">
              <w:rPr>
                <w:lang w:eastAsia="en-US"/>
              </w:rPr>
              <w:t>The service was performed by the member was for either of the following.</w:t>
            </w:r>
          </w:p>
        </w:tc>
      </w:tr>
      <w:tr w:rsidR="00083B82" w:rsidRPr="00C9343F" w14:paraId="29413927" w14:textId="77777777" w:rsidTr="00F945FD">
        <w:trPr>
          <w:cantSplit/>
        </w:trPr>
        <w:tc>
          <w:tcPr>
            <w:tcW w:w="992" w:type="dxa"/>
          </w:tcPr>
          <w:p w14:paraId="4B30904E" w14:textId="77777777" w:rsidR="00083B82" w:rsidRPr="00C9343F" w:rsidRDefault="00083B82" w:rsidP="00F66D98">
            <w:pPr>
              <w:pStyle w:val="BlockText-Plain"/>
              <w:spacing w:line="276" w:lineRule="auto"/>
              <w:rPr>
                <w:lang w:eastAsia="en-US"/>
              </w:rPr>
            </w:pPr>
          </w:p>
        </w:tc>
        <w:tc>
          <w:tcPr>
            <w:tcW w:w="567" w:type="dxa"/>
          </w:tcPr>
          <w:p w14:paraId="211CE6FD" w14:textId="77777777" w:rsidR="00083B82" w:rsidRPr="00C9343F" w:rsidRDefault="00083B82" w:rsidP="00F66D98">
            <w:pPr>
              <w:pStyle w:val="BlockText-Plain"/>
              <w:rPr>
                <w:lang w:eastAsia="en-US"/>
              </w:rPr>
            </w:pPr>
          </w:p>
        </w:tc>
        <w:tc>
          <w:tcPr>
            <w:tcW w:w="564" w:type="dxa"/>
          </w:tcPr>
          <w:p w14:paraId="6CD64BE7" w14:textId="77777777" w:rsidR="00083B82" w:rsidRPr="00C9343F" w:rsidRDefault="00083B82" w:rsidP="007114B1">
            <w:pPr>
              <w:pStyle w:val="BlockText-Plain"/>
              <w:rPr>
                <w:lang w:eastAsia="en-US"/>
              </w:rPr>
            </w:pPr>
            <w:r w:rsidRPr="00C9343F">
              <w:rPr>
                <w:lang w:eastAsia="en-US"/>
              </w:rPr>
              <w:t>i.</w:t>
            </w:r>
          </w:p>
        </w:tc>
        <w:tc>
          <w:tcPr>
            <w:tcW w:w="7242" w:type="dxa"/>
          </w:tcPr>
          <w:p w14:paraId="742ACE82" w14:textId="77777777" w:rsidR="00083B82" w:rsidRPr="00C9343F" w:rsidRDefault="00083B82" w:rsidP="00F66D98">
            <w:pPr>
              <w:pStyle w:val="BlockText-Plain"/>
              <w:rPr>
                <w:lang w:eastAsia="en-US"/>
              </w:rPr>
            </w:pPr>
            <w:r w:rsidRPr="00C9343F">
              <w:rPr>
                <w:lang w:eastAsia="en-US"/>
              </w:rPr>
              <w:t>For a member in the Navy or Air Force — the service is performed for a cumulative period of at least 12 months and the CDF is satisfied it is relevant to the member's ability to contribute to capability at the rank to which the member is promoted.</w:t>
            </w:r>
          </w:p>
        </w:tc>
      </w:tr>
      <w:tr w:rsidR="00083B82" w:rsidRPr="00C9343F" w14:paraId="32994986" w14:textId="77777777" w:rsidTr="00F945FD">
        <w:trPr>
          <w:cantSplit/>
        </w:trPr>
        <w:tc>
          <w:tcPr>
            <w:tcW w:w="992" w:type="dxa"/>
          </w:tcPr>
          <w:p w14:paraId="463A649C" w14:textId="77777777" w:rsidR="00083B82" w:rsidRPr="00C9343F" w:rsidRDefault="00083B82" w:rsidP="00F66D98">
            <w:pPr>
              <w:pStyle w:val="BlockText-Plain"/>
              <w:spacing w:line="276" w:lineRule="auto"/>
              <w:rPr>
                <w:lang w:eastAsia="en-US"/>
              </w:rPr>
            </w:pPr>
          </w:p>
        </w:tc>
        <w:tc>
          <w:tcPr>
            <w:tcW w:w="567" w:type="dxa"/>
          </w:tcPr>
          <w:p w14:paraId="49328D89" w14:textId="77777777" w:rsidR="00083B82" w:rsidRPr="00C9343F" w:rsidRDefault="00083B82" w:rsidP="00F66D98">
            <w:pPr>
              <w:pStyle w:val="BlockText-Plain"/>
              <w:rPr>
                <w:lang w:eastAsia="en-US"/>
              </w:rPr>
            </w:pPr>
          </w:p>
        </w:tc>
        <w:tc>
          <w:tcPr>
            <w:tcW w:w="564" w:type="dxa"/>
          </w:tcPr>
          <w:p w14:paraId="336CAAF2" w14:textId="77777777" w:rsidR="00083B82" w:rsidRPr="00C9343F" w:rsidRDefault="00083B82" w:rsidP="007114B1">
            <w:pPr>
              <w:pStyle w:val="BlockText-Plain"/>
              <w:rPr>
                <w:lang w:eastAsia="en-US"/>
              </w:rPr>
            </w:pPr>
            <w:r w:rsidRPr="00C9343F">
              <w:rPr>
                <w:lang w:eastAsia="en-US"/>
              </w:rPr>
              <w:t>ii.</w:t>
            </w:r>
          </w:p>
        </w:tc>
        <w:tc>
          <w:tcPr>
            <w:tcW w:w="7242" w:type="dxa"/>
          </w:tcPr>
          <w:p w14:paraId="6AE6C826" w14:textId="77777777" w:rsidR="00083B82" w:rsidRPr="00C9343F" w:rsidRDefault="00083B82" w:rsidP="00F66D98">
            <w:pPr>
              <w:pStyle w:val="BlockText-Plain"/>
              <w:rPr>
                <w:lang w:eastAsia="en-US"/>
              </w:rPr>
            </w:pPr>
            <w:r w:rsidRPr="00C9343F">
              <w:rPr>
                <w:lang w:eastAsia="en-US"/>
              </w:rPr>
              <w:t>For a member of the Army— the service was performed at the rank the member is promoted to or at a higher rank for a continuous period of at least 12 months.</w:t>
            </w:r>
          </w:p>
        </w:tc>
      </w:tr>
      <w:tr w:rsidR="00083B82" w:rsidRPr="00C9343F" w14:paraId="01D50AED" w14:textId="77777777" w:rsidTr="00F945FD">
        <w:trPr>
          <w:cantSplit/>
        </w:trPr>
        <w:tc>
          <w:tcPr>
            <w:tcW w:w="992" w:type="dxa"/>
          </w:tcPr>
          <w:p w14:paraId="3DA66CED" w14:textId="77777777" w:rsidR="00083B82" w:rsidRPr="00C9343F" w:rsidRDefault="00083B82" w:rsidP="00F66D98">
            <w:pPr>
              <w:pStyle w:val="BlockText-Plain"/>
              <w:spacing w:line="276" w:lineRule="auto"/>
              <w:jc w:val="center"/>
              <w:rPr>
                <w:lang w:eastAsia="en-US"/>
              </w:rPr>
            </w:pPr>
            <w:r w:rsidRPr="00C9343F">
              <w:rPr>
                <w:lang w:eastAsia="en-US"/>
              </w:rPr>
              <w:t>4.</w:t>
            </w:r>
          </w:p>
        </w:tc>
        <w:tc>
          <w:tcPr>
            <w:tcW w:w="8373" w:type="dxa"/>
            <w:gridSpan w:val="3"/>
          </w:tcPr>
          <w:p w14:paraId="34AD925F" w14:textId="77777777" w:rsidR="00083B82" w:rsidRPr="00C9343F" w:rsidRDefault="00083B82" w:rsidP="00F66D98">
            <w:pPr>
              <w:pStyle w:val="BlockText-Plain"/>
              <w:rPr>
                <w:lang w:eastAsia="en-US"/>
              </w:rPr>
            </w:pPr>
            <w:r w:rsidRPr="00C9343F">
              <w:rPr>
                <w:lang w:eastAsia="en-US"/>
              </w:rPr>
              <w:t>On the day that a member in the Army Specialist Pathway is promoted, the relevant of the following applies.</w:t>
            </w:r>
          </w:p>
        </w:tc>
      </w:tr>
      <w:tr w:rsidR="00083B82" w:rsidRPr="00C9343F" w14:paraId="2359CAF1" w14:textId="77777777" w:rsidTr="00F945FD">
        <w:trPr>
          <w:cantSplit/>
        </w:trPr>
        <w:tc>
          <w:tcPr>
            <w:tcW w:w="992" w:type="dxa"/>
          </w:tcPr>
          <w:p w14:paraId="6510D35A" w14:textId="77777777" w:rsidR="00083B82" w:rsidRPr="00C9343F" w:rsidRDefault="00083B82" w:rsidP="00F66D98">
            <w:pPr>
              <w:pStyle w:val="BlockText-Plain"/>
              <w:spacing w:line="276" w:lineRule="auto"/>
              <w:rPr>
                <w:lang w:eastAsia="en-US"/>
              </w:rPr>
            </w:pPr>
          </w:p>
        </w:tc>
        <w:tc>
          <w:tcPr>
            <w:tcW w:w="567" w:type="dxa"/>
          </w:tcPr>
          <w:p w14:paraId="518918CF"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tcPr>
          <w:p w14:paraId="1389AA5F" w14:textId="77777777" w:rsidR="00083B82" w:rsidRPr="00C9343F" w:rsidRDefault="00083B82" w:rsidP="00F66D98">
            <w:pPr>
              <w:pStyle w:val="BlockText-Plain"/>
              <w:rPr>
                <w:lang w:eastAsia="en-US"/>
              </w:rPr>
            </w:pPr>
            <w:r w:rsidRPr="00C9343F">
              <w:rPr>
                <w:lang w:eastAsia="en-US"/>
              </w:rPr>
              <w:t>If the member is promoted to a rank below Colonel and their increment before the promotion is below the lowest increment for their promoted rank — the member has the minimum Officer Aviation increment for their promoted rank.</w:t>
            </w:r>
          </w:p>
        </w:tc>
      </w:tr>
      <w:tr w:rsidR="00083B82" w:rsidRPr="00C9343F" w14:paraId="28838F33" w14:textId="77777777" w:rsidTr="00F945FD">
        <w:trPr>
          <w:cantSplit/>
        </w:trPr>
        <w:tc>
          <w:tcPr>
            <w:tcW w:w="992" w:type="dxa"/>
          </w:tcPr>
          <w:p w14:paraId="46CB3D84" w14:textId="77777777" w:rsidR="00083B82" w:rsidRPr="00C9343F" w:rsidRDefault="00083B82" w:rsidP="00F66D98">
            <w:pPr>
              <w:pStyle w:val="BlockText-Plain"/>
              <w:spacing w:line="276" w:lineRule="auto"/>
              <w:rPr>
                <w:lang w:eastAsia="en-US"/>
              </w:rPr>
            </w:pPr>
          </w:p>
        </w:tc>
        <w:tc>
          <w:tcPr>
            <w:tcW w:w="567" w:type="dxa"/>
          </w:tcPr>
          <w:p w14:paraId="7E03D31B"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Pr>
          <w:p w14:paraId="73C6B10F" w14:textId="77777777" w:rsidR="00083B82" w:rsidRPr="00C9343F" w:rsidRDefault="00083B82" w:rsidP="00F66D98">
            <w:pPr>
              <w:pStyle w:val="BlockText-Plain"/>
              <w:rPr>
                <w:lang w:eastAsia="en-US"/>
              </w:rPr>
            </w:pPr>
            <w:r w:rsidRPr="00C9343F">
              <w:rPr>
                <w:lang w:eastAsia="en-US"/>
              </w:rPr>
              <w:t>If the member is promoted to a rank below Colonel and their increment before the promotion is equal to or above the lowest increment for their promoted rank — the member has an Officer Aviation increment that is one above the increment they held before their promotion.</w:t>
            </w:r>
          </w:p>
        </w:tc>
      </w:tr>
      <w:tr w:rsidR="00083B82" w:rsidRPr="00C9343F" w14:paraId="165A3ECA" w14:textId="77777777" w:rsidTr="00F945FD">
        <w:trPr>
          <w:cantSplit/>
        </w:trPr>
        <w:tc>
          <w:tcPr>
            <w:tcW w:w="992" w:type="dxa"/>
          </w:tcPr>
          <w:p w14:paraId="5A197004" w14:textId="77777777" w:rsidR="00083B82" w:rsidRPr="00C9343F" w:rsidRDefault="00083B82" w:rsidP="00F66D98">
            <w:pPr>
              <w:pStyle w:val="BlockText-Plain"/>
              <w:spacing w:line="276" w:lineRule="auto"/>
              <w:rPr>
                <w:lang w:eastAsia="en-US"/>
              </w:rPr>
            </w:pPr>
          </w:p>
        </w:tc>
        <w:tc>
          <w:tcPr>
            <w:tcW w:w="567" w:type="dxa"/>
          </w:tcPr>
          <w:p w14:paraId="1CEB3727"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Pr>
          <w:p w14:paraId="06AF83A7" w14:textId="77777777" w:rsidR="00083B82" w:rsidRPr="00C9343F" w:rsidRDefault="00083B82" w:rsidP="00F66D98">
            <w:pPr>
              <w:pStyle w:val="BlockText-Plain"/>
              <w:rPr>
                <w:lang w:eastAsia="en-US"/>
              </w:rPr>
            </w:pPr>
            <w:r w:rsidRPr="00C9343F">
              <w:rPr>
                <w:lang w:eastAsia="en-US"/>
              </w:rPr>
              <w:t>If the member is promoted to Colonel — the member is transferred to the Generalist pathway and placed on Officer Aviation increment OA35.</w:t>
            </w:r>
          </w:p>
        </w:tc>
      </w:tr>
    </w:tbl>
    <w:p w14:paraId="1F2789CD" w14:textId="26750869" w:rsidR="00083B82" w:rsidRPr="00C9343F" w:rsidRDefault="00083B82" w:rsidP="00F66D98">
      <w:pPr>
        <w:pStyle w:val="Heading5"/>
      </w:pPr>
      <w:bookmarkStart w:id="510" w:name="_Toc105053720"/>
      <w:r w:rsidRPr="00C9343F">
        <w:t>3.2.47P</w:t>
      </w:r>
      <w:r w:rsidR="00D94006" w:rsidRPr="00C9343F">
        <w:t>    </w:t>
      </w:r>
      <w:r w:rsidRPr="00C9343F">
        <w:t>Increment on Command appointment – Navy and Army</w:t>
      </w:r>
      <w:bookmarkEnd w:id="510"/>
      <w:r w:rsidRPr="00C9343F">
        <w:t xml:space="preserve"> </w:t>
      </w:r>
    </w:p>
    <w:tbl>
      <w:tblPr>
        <w:tblW w:w="9365" w:type="dxa"/>
        <w:tblInd w:w="108" w:type="dxa"/>
        <w:tblLayout w:type="fixed"/>
        <w:tblLook w:val="04A0" w:firstRow="1" w:lastRow="0" w:firstColumn="1" w:lastColumn="0" w:noHBand="0" w:noVBand="1"/>
      </w:tblPr>
      <w:tblGrid>
        <w:gridCol w:w="992"/>
        <w:gridCol w:w="567"/>
        <w:gridCol w:w="6"/>
        <w:gridCol w:w="558"/>
        <w:gridCol w:w="7242"/>
      </w:tblGrid>
      <w:tr w:rsidR="00083B82" w:rsidRPr="00C9343F" w14:paraId="0DE85381" w14:textId="77777777" w:rsidTr="00F945FD">
        <w:trPr>
          <w:cantSplit/>
        </w:trPr>
        <w:tc>
          <w:tcPr>
            <w:tcW w:w="992" w:type="dxa"/>
          </w:tcPr>
          <w:p w14:paraId="4ADE3CB6" w14:textId="77777777" w:rsidR="00083B82" w:rsidRPr="00C9343F" w:rsidRDefault="00083B82" w:rsidP="00F66D98">
            <w:pPr>
              <w:pStyle w:val="BlockText-Plain"/>
              <w:spacing w:line="276" w:lineRule="auto"/>
              <w:jc w:val="center"/>
              <w:rPr>
                <w:lang w:eastAsia="en-US"/>
              </w:rPr>
            </w:pPr>
            <w:r w:rsidRPr="00C9343F">
              <w:rPr>
                <w:lang w:eastAsia="en-US"/>
              </w:rPr>
              <w:t>1.</w:t>
            </w:r>
          </w:p>
        </w:tc>
        <w:tc>
          <w:tcPr>
            <w:tcW w:w="8373" w:type="dxa"/>
            <w:gridSpan w:val="4"/>
          </w:tcPr>
          <w:p w14:paraId="4ACBF7A5" w14:textId="69DB6782" w:rsidR="00083B82" w:rsidRPr="00C9343F" w:rsidRDefault="00083B82" w:rsidP="00F66D98">
            <w:pPr>
              <w:pStyle w:val="BlockText-Plain"/>
              <w:rPr>
                <w:lang w:eastAsia="en-US"/>
              </w:rPr>
            </w:pPr>
            <w:r w:rsidRPr="00C9343F">
              <w:rPr>
                <w:lang w:eastAsia="en-US"/>
              </w:rPr>
              <w:t xml:space="preserve">A member of the Navy </w:t>
            </w:r>
            <w:r w:rsidR="004439C0" w:rsidRPr="00C9343F">
              <w:rPr>
                <w:lang w:eastAsia="en-US"/>
              </w:rPr>
              <w:t xml:space="preserve">in the Rotary Wing Pilot competency stream or the Aviation Warfare Officer competency stream </w:t>
            </w:r>
            <w:r w:rsidRPr="00C9343F">
              <w:rPr>
                <w:lang w:eastAsia="en-US"/>
              </w:rPr>
              <w:t>has Officer Aviation increment OA29 on the day that they meet all of the following.</w:t>
            </w:r>
          </w:p>
        </w:tc>
      </w:tr>
      <w:tr w:rsidR="00083B82" w:rsidRPr="00C9343F" w14:paraId="1144183B" w14:textId="77777777" w:rsidTr="00F945FD">
        <w:tblPrEx>
          <w:tblLook w:val="0000" w:firstRow="0" w:lastRow="0" w:firstColumn="0" w:lastColumn="0" w:noHBand="0" w:noVBand="0"/>
        </w:tblPrEx>
        <w:trPr>
          <w:cantSplit/>
        </w:trPr>
        <w:tc>
          <w:tcPr>
            <w:tcW w:w="992" w:type="dxa"/>
          </w:tcPr>
          <w:p w14:paraId="24D8382F" w14:textId="77777777" w:rsidR="00083B82" w:rsidRPr="00C9343F" w:rsidRDefault="00083B82" w:rsidP="00F66D98">
            <w:pPr>
              <w:pStyle w:val="BlockText-Plain"/>
            </w:pPr>
          </w:p>
        </w:tc>
        <w:tc>
          <w:tcPr>
            <w:tcW w:w="573" w:type="dxa"/>
            <w:gridSpan w:val="2"/>
          </w:tcPr>
          <w:p w14:paraId="15F01F05" w14:textId="77777777" w:rsidR="00083B82" w:rsidRPr="00C9343F" w:rsidRDefault="00083B82" w:rsidP="007114B1">
            <w:pPr>
              <w:pStyle w:val="BlockText-Plain"/>
              <w:jc w:val="center"/>
            </w:pPr>
            <w:r w:rsidRPr="00C9343F">
              <w:t>a.</w:t>
            </w:r>
          </w:p>
        </w:tc>
        <w:tc>
          <w:tcPr>
            <w:tcW w:w="7800" w:type="dxa"/>
            <w:gridSpan w:val="2"/>
          </w:tcPr>
          <w:p w14:paraId="37E2C248" w14:textId="77777777" w:rsidR="00083B82" w:rsidRPr="00C9343F" w:rsidRDefault="00083B82" w:rsidP="00F66D98">
            <w:pPr>
              <w:pStyle w:val="BlockText-Plain"/>
            </w:pPr>
            <w:r w:rsidRPr="00C9343F">
              <w:rPr>
                <w:lang w:eastAsia="en-US"/>
              </w:rPr>
              <w:t>The member holds the rank of Commander.</w:t>
            </w:r>
          </w:p>
        </w:tc>
      </w:tr>
      <w:tr w:rsidR="00083B82" w:rsidRPr="00C9343F" w14:paraId="4A019D78" w14:textId="77777777" w:rsidTr="00F945FD">
        <w:tblPrEx>
          <w:tblLook w:val="0000" w:firstRow="0" w:lastRow="0" w:firstColumn="0" w:lastColumn="0" w:noHBand="0" w:noVBand="0"/>
        </w:tblPrEx>
        <w:trPr>
          <w:cantSplit/>
        </w:trPr>
        <w:tc>
          <w:tcPr>
            <w:tcW w:w="992" w:type="dxa"/>
          </w:tcPr>
          <w:p w14:paraId="7C623B43" w14:textId="77777777" w:rsidR="00083B82" w:rsidRPr="00C9343F" w:rsidRDefault="00083B82" w:rsidP="00F66D98">
            <w:pPr>
              <w:pStyle w:val="BlockText-Plain"/>
            </w:pPr>
          </w:p>
        </w:tc>
        <w:tc>
          <w:tcPr>
            <w:tcW w:w="573" w:type="dxa"/>
            <w:gridSpan w:val="2"/>
          </w:tcPr>
          <w:p w14:paraId="5F888382" w14:textId="77777777" w:rsidR="00083B82" w:rsidRPr="00C9343F" w:rsidRDefault="00083B82" w:rsidP="007114B1">
            <w:pPr>
              <w:pStyle w:val="BlockText-Plain"/>
              <w:jc w:val="center"/>
            </w:pPr>
            <w:r w:rsidRPr="00C9343F">
              <w:t>b.</w:t>
            </w:r>
          </w:p>
        </w:tc>
        <w:tc>
          <w:tcPr>
            <w:tcW w:w="7800" w:type="dxa"/>
            <w:gridSpan w:val="2"/>
          </w:tcPr>
          <w:p w14:paraId="1329E9F8" w14:textId="77777777" w:rsidR="00083B82" w:rsidRPr="00C9343F" w:rsidRDefault="00083B82" w:rsidP="00F66D98">
            <w:pPr>
              <w:pStyle w:val="BlockText-Plain"/>
              <w:rPr>
                <w:lang w:eastAsia="en-US"/>
              </w:rPr>
            </w:pPr>
            <w:r w:rsidRPr="00C9343F">
              <w:rPr>
                <w:lang w:eastAsia="en-US"/>
              </w:rPr>
              <w:t>The member is in the Command Pathway.</w:t>
            </w:r>
          </w:p>
        </w:tc>
      </w:tr>
      <w:tr w:rsidR="00083B82" w:rsidRPr="00C9343F" w14:paraId="3DE6AB70" w14:textId="77777777" w:rsidTr="00F945FD">
        <w:tblPrEx>
          <w:tblLook w:val="0000" w:firstRow="0" w:lastRow="0" w:firstColumn="0" w:lastColumn="0" w:noHBand="0" w:noVBand="0"/>
        </w:tblPrEx>
        <w:trPr>
          <w:cantSplit/>
        </w:trPr>
        <w:tc>
          <w:tcPr>
            <w:tcW w:w="992" w:type="dxa"/>
          </w:tcPr>
          <w:p w14:paraId="3B02DE49" w14:textId="77777777" w:rsidR="00083B82" w:rsidRPr="00C9343F" w:rsidRDefault="00083B82" w:rsidP="00F66D98">
            <w:pPr>
              <w:pStyle w:val="BlockText-Plain"/>
            </w:pPr>
          </w:p>
        </w:tc>
        <w:tc>
          <w:tcPr>
            <w:tcW w:w="573" w:type="dxa"/>
            <w:gridSpan w:val="2"/>
          </w:tcPr>
          <w:p w14:paraId="78165A40" w14:textId="77777777" w:rsidR="00083B82" w:rsidRPr="00C9343F" w:rsidRDefault="00083B82" w:rsidP="007114B1">
            <w:pPr>
              <w:pStyle w:val="BlockText-Plain"/>
              <w:jc w:val="center"/>
            </w:pPr>
            <w:r w:rsidRPr="00C9343F">
              <w:t>c.</w:t>
            </w:r>
          </w:p>
        </w:tc>
        <w:tc>
          <w:tcPr>
            <w:tcW w:w="7800" w:type="dxa"/>
            <w:gridSpan w:val="2"/>
          </w:tcPr>
          <w:p w14:paraId="0C915140" w14:textId="77777777" w:rsidR="00083B82" w:rsidRPr="00C9343F" w:rsidRDefault="00083B82" w:rsidP="00F66D98">
            <w:pPr>
              <w:pStyle w:val="BlockText-Plain"/>
              <w:rPr>
                <w:lang w:eastAsia="en-US"/>
              </w:rPr>
            </w:pPr>
            <w:r w:rsidRPr="00C9343F">
              <w:rPr>
                <w:lang w:eastAsia="en-US"/>
              </w:rPr>
              <w:t>The member is Aviation Command qualified.</w:t>
            </w:r>
          </w:p>
        </w:tc>
      </w:tr>
      <w:tr w:rsidR="00083B82" w:rsidRPr="00C9343F" w14:paraId="02D22B0A" w14:textId="77777777" w:rsidTr="00F945FD">
        <w:tblPrEx>
          <w:tblLook w:val="0000" w:firstRow="0" w:lastRow="0" w:firstColumn="0" w:lastColumn="0" w:noHBand="0" w:noVBand="0"/>
        </w:tblPrEx>
        <w:trPr>
          <w:cantSplit/>
        </w:trPr>
        <w:tc>
          <w:tcPr>
            <w:tcW w:w="992" w:type="dxa"/>
          </w:tcPr>
          <w:p w14:paraId="554BC173" w14:textId="77777777" w:rsidR="00083B82" w:rsidRPr="00C9343F" w:rsidRDefault="00083B82" w:rsidP="00F66D98">
            <w:pPr>
              <w:pStyle w:val="BlockText-Plain"/>
            </w:pPr>
          </w:p>
        </w:tc>
        <w:tc>
          <w:tcPr>
            <w:tcW w:w="573" w:type="dxa"/>
            <w:gridSpan w:val="2"/>
          </w:tcPr>
          <w:p w14:paraId="564949D8" w14:textId="77777777" w:rsidR="00083B82" w:rsidRPr="00C9343F" w:rsidRDefault="00083B82" w:rsidP="007114B1">
            <w:pPr>
              <w:pStyle w:val="BlockText-Plain"/>
              <w:jc w:val="center"/>
            </w:pPr>
            <w:r w:rsidRPr="00C9343F">
              <w:t>d.</w:t>
            </w:r>
          </w:p>
        </w:tc>
        <w:tc>
          <w:tcPr>
            <w:tcW w:w="7800" w:type="dxa"/>
            <w:gridSpan w:val="2"/>
          </w:tcPr>
          <w:p w14:paraId="54A2C0FA" w14:textId="77777777" w:rsidR="00083B82" w:rsidRPr="00C9343F" w:rsidRDefault="00083B82" w:rsidP="00F66D98">
            <w:pPr>
              <w:pStyle w:val="BlockText-Plain"/>
              <w:rPr>
                <w:lang w:eastAsia="en-US"/>
              </w:rPr>
            </w:pPr>
            <w:r w:rsidRPr="00C9343F">
              <w:rPr>
                <w:lang w:eastAsia="en-US"/>
              </w:rPr>
              <w:t>The member holds a Command appointment.</w:t>
            </w:r>
          </w:p>
        </w:tc>
      </w:tr>
      <w:tr w:rsidR="00EF3625" w:rsidRPr="00C9343F" w14:paraId="18C407BA" w14:textId="77777777" w:rsidTr="00F945FD">
        <w:tblPrEx>
          <w:tblLook w:val="0000" w:firstRow="0" w:lastRow="0" w:firstColumn="0" w:lastColumn="0" w:noHBand="0" w:noVBand="0"/>
        </w:tblPrEx>
        <w:tc>
          <w:tcPr>
            <w:tcW w:w="992" w:type="dxa"/>
          </w:tcPr>
          <w:p w14:paraId="316C5703" w14:textId="62321999" w:rsidR="00EF3625" w:rsidRPr="00C9343F" w:rsidRDefault="00EF3625" w:rsidP="00F66D98">
            <w:pPr>
              <w:pStyle w:val="BlockText-Plain"/>
              <w:jc w:val="center"/>
            </w:pPr>
            <w:r w:rsidRPr="00C9343F">
              <w:t>1A.</w:t>
            </w:r>
          </w:p>
        </w:tc>
        <w:tc>
          <w:tcPr>
            <w:tcW w:w="8373" w:type="dxa"/>
            <w:gridSpan w:val="4"/>
          </w:tcPr>
          <w:p w14:paraId="2452D50D" w14:textId="61DD2284" w:rsidR="00EF3625" w:rsidRPr="00C9343F" w:rsidRDefault="00EF3625" w:rsidP="00F66D98">
            <w:pPr>
              <w:pStyle w:val="Sectiontext0"/>
            </w:pPr>
            <w:r w:rsidRPr="00C9343F">
              <w:t>A member of the Navy in the Remote Pilot Warfare Officer competency stream has Officer Aviation increment OA25 on the day that they meet all of the following.</w:t>
            </w:r>
          </w:p>
        </w:tc>
      </w:tr>
      <w:tr w:rsidR="00EF3625" w:rsidRPr="00C9343F" w14:paraId="71B53319" w14:textId="77777777" w:rsidTr="000560BD">
        <w:tblPrEx>
          <w:tblLook w:val="0000" w:firstRow="0" w:lastRow="0" w:firstColumn="0" w:lastColumn="0" w:noHBand="0" w:noVBand="0"/>
        </w:tblPrEx>
        <w:trPr>
          <w:cantSplit/>
        </w:trPr>
        <w:tc>
          <w:tcPr>
            <w:tcW w:w="992" w:type="dxa"/>
          </w:tcPr>
          <w:p w14:paraId="30455D4E" w14:textId="11908154" w:rsidR="00EF3625" w:rsidRPr="00C9343F" w:rsidRDefault="00EF3625" w:rsidP="00F66D98">
            <w:pPr>
              <w:pStyle w:val="Sectiontext0"/>
            </w:pPr>
          </w:p>
        </w:tc>
        <w:tc>
          <w:tcPr>
            <w:tcW w:w="573" w:type="dxa"/>
            <w:gridSpan w:val="2"/>
          </w:tcPr>
          <w:p w14:paraId="7019452A" w14:textId="77777777" w:rsidR="00EF3625" w:rsidRPr="00C9343F" w:rsidRDefault="00EF3625" w:rsidP="007114B1">
            <w:pPr>
              <w:pStyle w:val="Sectiontext0"/>
              <w:jc w:val="center"/>
            </w:pPr>
            <w:r w:rsidRPr="00C9343F">
              <w:t>a.</w:t>
            </w:r>
          </w:p>
        </w:tc>
        <w:tc>
          <w:tcPr>
            <w:tcW w:w="7800" w:type="dxa"/>
            <w:gridSpan w:val="2"/>
          </w:tcPr>
          <w:p w14:paraId="147F4636" w14:textId="7188361A" w:rsidR="00EF3625" w:rsidRPr="00C9343F" w:rsidRDefault="00EF3625" w:rsidP="00F66D98">
            <w:pPr>
              <w:pStyle w:val="Sectiontext0"/>
            </w:pPr>
            <w:r w:rsidRPr="00C9343F">
              <w:t>The member holds the rank of Commander.</w:t>
            </w:r>
          </w:p>
        </w:tc>
      </w:tr>
      <w:tr w:rsidR="00EF3625" w:rsidRPr="00C9343F" w14:paraId="188A198F" w14:textId="77777777" w:rsidTr="000560BD">
        <w:tblPrEx>
          <w:tblLook w:val="0000" w:firstRow="0" w:lastRow="0" w:firstColumn="0" w:lastColumn="0" w:noHBand="0" w:noVBand="0"/>
        </w:tblPrEx>
        <w:trPr>
          <w:cantSplit/>
        </w:trPr>
        <w:tc>
          <w:tcPr>
            <w:tcW w:w="992" w:type="dxa"/>
          </w:tcPr>
          <w:p w14:paraId="4F7629BC" w14:textId="1D4169E5" w:rsidR="00EF3625" w:rsidRPr="00C9343F" w:rsidRDefault="00EF3625" w:rsidP="00F66D98">
            <w:pPr>
              <w:pStyle w:val="Sectiontext0"/>
            </w:pPr>
          </w:p>
        </w:tc>
        <w:tc>
          <w:tcPr>
            <w:tcW w:w="573" w:type="dxa"/>
            <w:gridSpan w:val="2"/>
          </w:tcPr>
          <w:p w14:paraId="032C019E" w14:textId="77777777" w:rsidR="00EF3625" w:rsidRPr="00C9343F" w:rsidRDefault="00EF3625" w:rsidP="007114B1">
            <w:pPr>
              <w:pStyle w:val="Sectiontext0"/>
              <w:jc w:val="center"/>
            </w:pPr>
            <w:r w:rsidRPr="00C9343F">
              <w:t>b.</w:t>
            </w:r>
          </w:p>
        </w:tc>
        <w:tc>
          <w:tcPr>
            <w:tcW w:w="7800" w:type="dxa"/>
            <w:gridSpan w:val="2"/>
          </w:tcPr>
          <w:p w14:paraId="4A46C897" w14:textId="69D7F791" w:rsidR="00EF3625" w:rsidRPr="00C9343F" w:rsidRDefault="00EF3625" w:rsidP="00F66D98">
            <w:pPr>
              <w:pStyle w:val="Sectiontext0"/>
              <w:rPr>
                <w:lang w:eastAsia="en-US"/>
              </w:rPr>
            </w:pPr>
            <w:r w:rsidRPr="00C9343F">
              <w:t>The member is in the Command Pathway.</w:t>
            </w:r>
          </w:p>
        </w:tc>
      </w:tr>
      <w:tr w:rsidR="00EF3625" w:rsidRPr="00C9343F" w14:paraId="682DCB3F" w14:textId="77777777" w:rsidTr="000560BD">
        <w:tblPrEx>
          <w:tblLook w:val="0000" w:firstRow="0" w:lastRow="0" w:firstColumn="0" w:lastColumn="0" w:noHBand="0" w:noVBand="0"/>
        </w:tblPrEx>
        <w:trPr>
          <w:cantSplit/>
        </w:trPr>
        <w:tc>
          <w:tcPr>
            <w:tcW w:w="992" w:type="dxa"/>
          </w:tcPr>
          <w:p w14:paraId="05033F1F" w14:textId="020DE35C" w:rsidR="00EF3625" w:rsidRPr="00C9343F" w:rsidRDefault="00EF3625" w:rsidP="00F66D98">
            <w:pPr>
              <w:pStyle w:val="Sectiontext0"/>
            </w:pPr>
          </w:p>
        </w:tc>
        <w:tc>
          <w:tcPr>
            <w:tcW w:w="573" w:type="dxa"/>
            <w:gridSpan w:val="2"/>
          </w:tcPr>
          <w:p w14:paraId="68993644" w14:textId="77777777" w:rsidR="00EF3625" w:rsidRPr="00C9343F" w:rsidRDefault="00EF3625" w:rsidP="007114B1">
            <w:pPr>
              <w:pStyle w:val="Sectiontext0"/>
              <w:jc w:val="center"/>
            </w:pPr>
            <w:r w:rsidRPr="00C9343F">
              <w:t>c.</w:t>
            </w:r>
          </w:p>
        </w:tc>
        <w:tc>
          <w:tcPr>
            <w:tcW w:w="7800" w:type="dxa"/>
            <w:gridSpan w:val="2"/>
          </w:tcPr>
          <w:p w14:paraId="58C3BCC6" w14:textId="561BC2D2" w:rsidR="00EF3625" w:rsidRPr="00C9343F" w:rsidRDefault="00EF3625" w:rsidP="00F66D98">
            <w:pPr>
              <w:pStyle w:val="Sectiontext0"/>
              <w:rPr>
                <w:lang w:eastAsia="en-US"/>
              </w:rPr>
            </w:pPr>
            <w:r w:rsidRPr="00C9343F">
              <w:t>The member is Command qualified.</w:t>
            </w:r>
          </w:p>
        </w:tc>
      </w:tr>
      <w:tr w:rsidR="00EF3625" w:rsidRPr="00C9343F" w14:paraId="6F99A26D" w14:textId="77777777" w:rsidTr="000560BD">
        <w:tblPrEx>
          <w:tblLook w:val="0000" w:firstRow="0" w:lastRow="0" w:firstColumn="0" w:lastColumn="0" w:noHBand="0" w:noVBand="0"/>
        </w:tblPrEx>
        <w:trPr>
          <w:cantSplit/>
        </w:trPr>
        <w:tc>
          <w:tcPr>
            <w:tcW w:w="992" w:type="dxa"/>
          </w:tcPr>
          <w:p w14:paraId="3FDB2F7D" w14:textId="17A5FE5C" w:rsidR="00EF3625" w:rsidRPr="00C9343F" w:rsidRDefault="00EF3625" w:rsidP="00F66D98">
            <w:pPr>
              <w:pStyle w:val="Sectiontext0"/>
            </w:pPr>
          </w:p>
        </w:tc>
        <w:tc>
          <w:tcPr>
            <w:tcW w:w="573" w:type="dxa"/>
            <w:gridSpan w:val="2"/>
          </w:tcPr>
          <w:p w14:paraId="56B9B510" w14:textId="77777777" w:rsidR="00EF3625" w:rsidRPr="00C9343F" w:rsidRDefault="00EF3625" w:rsidP="007114B1">
            <w:pPr>
              <w:pStyle w:val="Sectiontext0"/>
              <w:jc w:val="center"/>
            </w:pPr>
            <w:r w:rsidRPr="00C9343F">
              <w:t>d.</w:t>
            </w:r>
          </w:p>
        </w:tc>
        <w:tc>
          <w:tcPr>
            <w:tcW w:w="7800" w:type="dxa"/>
            <w:gridSpan w:val="2"/>
          </w:tcPr>
          <w:p w14:paraId="2D63FACF" w14:textId="2CCB8B26" w:rsidR="00EF3625" w:rsidRPr="00C9343F" w:rsidRDefault="00EF3625" w:rsidP="00F66D98">
            <w:pPr>
              <w:pStyle w:val="Sectiontext0"/>
              <w:rPr>
                <w:lang w:eastAsia="en-US"/>
              </w:rPr>
            </w:pPr>
            <w:r w:rsidRPr="00C9343F">
              <w:t>The member holds a Command appointment.</w:t>
            </w:r>
          </w:p>
        </w:tc>
      </w:tr>
      <w:tr w:rsidR="00EF3625" w:rsidRPr="00C9343F" w14:paraId="3184F547" w14:textId="77777777" w:rsidTr="00F945FD">
        <w:tblPrEx>
          <w:tblLook w:val="0000" w:firstRow="0" w:lastRow="0" w:firstColumn="0" w:lastColumn="0" w:noHBand="0" w:noVBand="0"/>
        </w:tblPrEx>
        <w:tc>
          <w:tcPr>
            <w:tcW w:w="992" w:type="dxa"/>
          </w:tcPr>
          <w:p w14:paraId="53C9C78B" w14:textId="77777777" w:rsidR="00EF3625" w:rsidRPr="00C9343F" w:rsidRDefault="00EF3625" w:rsidP="00F66D98">
            <w:pPr>
              <w:pStyle w:val="BlockText-Plain"/>
              <w:jc w:val="center"/>
            </w:pPr>
            <w:r w:rsidRPr="00C9343F">
              <w:t>2.</w:t>
            </w:r>
          </w:p>
        </w:tc>
        <w:tc>
          <w:tcPr>
            <w:tcW w:w="8373" w:type="dxa"/>
            <w:gridSpan w:val="4"/>
          </w:tcPr>
          <w:p w14:paraId="7EF90014" w14:textId="77777777" w:rsidR="00EF3625" w:rsidRPr="00C9343F" w:rsidRDefault="00EF3625" w:rsidP="00F66D98">
            <w:pPr>
              <w:pStyle w:val="BlockText-Plain"/>
            </w:pPr>
            <w:r w:rsidRPr="00C9343F">
              <w:t>Subsection 3 applies to a member in the Army who meets all of the following.</w:t>
            </w:r>
          </w:p>
        </w:tc>
      </w:tr>
      <w:tr w:rsidR="00EF3625" w:rsidRPr="00C9343F" w14:paraId="798C0DAF" w14:textId="77777777" w:rsidTr="00F945FD">
        <w:tblPrEx>
          <w:tblLook w:val="0000" w:firstRow="0" w:lastRow="0" w:firstColumn="0" w:lastColumn="0" w:noHBand="0" w:noVBand="0"/>
        </w:tblPrEx>
        <w:trPr>
          <w:cantSplit/>
        </w:trPr>
        <w:tc>
          <w:tcPr>
            <w:tcW w:w="992" w:type="dxa"/>
          </w:tcPr>
          <w:p w14:paraId="54C281EE" w14:textId="77777777" w:rsidR="00EF3625" w:rsidRPr="00C9343F" w:rsidRDefault="00EF3625" w:rsidP="00F66D98">
            <w:pPr>
              <w:pStyle w:val="BlockText-Plain"/>
            </w:pPr>
          </w:p>
        </w:tc>
        <w:tc>
          <w:tcPr>
            <w:tcW w:w="567" w:type="dxa"/>
          </w:tcPr>
          <w:p w14:paraId="44FF58D5" w14:textId="77777777" w:rsidR="00EF3625" w:rsidRPr="00C9343F" w:rsidRDefault="00EF3625" w:rsidP="007114B1">
            <w:pPr>
              <w:pStyle w:val="BlockText-Plain"/>
              <w:jc w:val="center"/>
            </w:pPr>
            <w:r w:rsidRPr="00C9343F">
              <w:t>a.</w:t>
            </w:r>
          </w:p>
        </w:tc>
        <w:tc>
          <w:tcPr>
            <w:tcW w:w="7806" w:type="dxa"/>
            <w:gridSpan w:val="3"/>
          </w:tcPr>
          <w:p w14:paraId="12FFC743" w14:textId="77777777" w:rsidR="00EF3625" w:rsidRPr="00C9343F" w:rsidRDefault="00EF3625" w:rsidP="00F66D98">
            <w:pPr>
              <w:pStyle w:val="BlockText-Plain"/>
            </w:pPr>
            <w:r w:rsidRPr="00C9343F">
              <w:t>The member is one of the following.</w:t>
            </w:r>
          </w:p>
        </w:tc>
      </w:tr>
      <w:tr w:rsidR="00EF3625" w:rsidRPr="00C9343F" w14:paraId="2ECAE79E" w14:textId="77777777" w:rsidTr="00F945FD">
        <w:trPr>
          <w:cantSplit/>
        </w:trPr>
        <w:tc>
          <w:tcPr>
            <w:tcW w:w="992" w:type="dxa"/>
          </w:tcPr>
          <w:p w14:paraId="0CF5E332" w14:textId="77777777" w:rsidR="00EF3625" w:rsidRPr="00C9343F" w:rsidRDefault="00EF3625" w:rsidP="00F66D98">
            <w:pPr>
              <w:pStyle w:val="BlockText-Plain"/>
              <w:spacing w:line="276" w:lineRule="auto"/>
              <w:rPr>
                <w:lang w:eastAsia="en-US"/>
              </w:rPr>
            </w:pPr>
          </w:p>
        </w:tc>
        <w:tc>
          <w:tcPr>
            <w:tcW w:w="567" w:type="dxa"/>
          </w:tcPr>
          <w:p w14:paraId="5019A8F0" w14:textId="77777777" w:rsidR="00EF3625" w:rsidRPr="00C9343F" w:rsidRDefault="00EF3625" w:rsidP="00F66D98">
            <w:pPr>
              <w:pStyle w:val="BlockText-Plain"/>
              <w:rPr>
                <w:lang w:eastAsia="en-US"/>
              </w:rPr>
            </w:pPr>
          </w:p>
        </w:tc>
        <w:tc>
          <w:tcPr>
            <w:tcW w:w="564" w:type="dxa"/>
            <w:gridSpan w:val="2"/>
          </w:tcPr>
          <w:p w14:paraId="0372ECBD" w14:textId="77777777" w:rsidR="00EF3625" w:rsidRPr="00C9343F" w:rsidRDefault="00EF3625" w:rsidP="00E62EB5">
            <w:pPr>
              <w:pStyle w:val="BlockText-Plain"/>
              <w:rPr>
                <w:lang w:eastAsia="en-US"/>
              </w:rPr>
            </w:pPr>
            <w:r w:rsidRPr="00C9343F">
              <w:rPr>
                <w:lang w:eastAsia="en-US"/>
              </w:rPr>
              <w:t>i.</w:t>
            </w:r>
          </w:p>
        </w:tc>
        <w:tc>
          <w:tcPr>
            <w:tcW w:w="7242" w:type="dxa"/>
          </w:tcPr>
          <w:p w14:paraId="6AF0B133" w14:textId="77777777" w:rsidR="00EF3625" w:rsidRPr="00C9343F" w:rsidRDefault="00EF3625" w:rsidP="00F66D98">
            <w:pPr>
              <w:pStyle w:val="BlockText-Plain"/>
              <w:rPr>
                <w:lang w:eastAsia="en-US"/>
              </w:rPr>
            </w:pPr>
            <w:r w:rsidRPr="00C9343F">
              <w:rPr>
                <w:lang w:eastAsia="en-US"/>
              </w:rPr>
              <w:t>The member is a Captain and has held the rank six or more years.</w:t>
            </w:r>
            <w:r w:rsidRPr="00C9343F">
              <w:t xml:space="preserve"> </w:t>
            </w:r>
          </w:p>
        </w:tc>
      </w:tr>
      <w:tr w:rsidR="00EF3625" w:rsidRPr="00C9343F" w14:paraId="52EFCAC1" w14:textId="77777777" w:rsidTr="00F945FD">
        <w:trPr>
          <w:cantSplit/>
        </w:trPr>
        <w:tc>
          <w:tcPr>
            <w:tcW w:w="992" w:type="dxa"/>
          </w:tcPr>
          <w:p w14:paraId="39245611" w14:textId="77777777" w:rsidR="00EF3625" w:rsidRPr="00C9343F" w:rsidRDefault="00EF3625" w:rsidP="00F66D98">
            <w:pPr>
              <w:pStyle w:val="BlockText-Plain"/>
              <w:spacing w:line="276" w:lineRule="auto"/>
              <w:rPr>
                <w:lang w:eastAsia="en-US"/>
              </w:rPr>
            </w:pPr>
          </w:p>
        </w:tc>
        <w:tc>
          <w:tcPr>
            <w:tcW w:w="567" w:type="dxa"/>
          </w:tcPr>
          <w:p w14:paraId="42069075" w14:textId="77777777" w:rsidR="00EF3625" w:rsidRPr="00C9343F" w:rsidRDefault="00EF3625" w:rsidP="00F66D98">
            <w:pPr>
              <w:pStyle w:val="BlockText-Plain"/>
              <w:rPr>
                <w:lang w:eastAsia="en-US"/>
              </w:rPr>
            </w:pPr>
          </w:p>
        </w:tc>
        <w:tc>
          <w:tcPr>
            <w:tcW w:w="564" w:type="dxa"/>
            <w:gridSpan w:val="2"/>
          </w:tcPr>
          <w:p w14:paraId="10E0C0E2" w14:textId="77777777" w:rsidR="00EF3625" w:rsidRPr="00C9343F" w:rsidRDefault="00EF3625" w:rsidP="00E62EB5">
            <w:pPr>
              <w:pStyle w:val="BlockText-Plain"/>
              <w:rPr>
                <w:lang w:eastAsia="en-US"/>
              </w:rPr>
            </w:pPr>
            <w:r w:rsidRPr="00C9343F">
              <w:rPr>
                <w:lang w:eastAsia="en-US"/>
              </w:rPr>
              <w:t>ii.</w:t>
            </w:r>
          </w:p>
        </w:tc>
        <w:tc>
          <w:tcPr>
            <w:tcW w:w="7242" w:type="dxa"/>
          </w:tcPr>
          <w:p w14:paraId="1954528E" w14:textId="77777777" w:rsidR="00EF3625" w:rsidRPr="00C9343F" w:rsidRDefault="00EF3625" w:rsidP="00F66D98">
            <w:pPr>
              <w:pStyle w:val="BlockText-Plain"/>
              <w:rPr>
                <w:lang w:eastAsia="en-US"/>
              </w:rPr>
            </w:pPr>
            <w:r w:rsidRPr="00C9343F">
              <w:rPr>
                <w:lang w:eastAsia="en-US"/>
              </w:rPr>
              <w:t>The member holds the rank of Major or Lieutenant Colonel.</w:t>
            </w:r>
          </w:p>
        </w:tc>
      </w:tr>
      <w:tr w:rsidR="00EF3625" w:rsidRPr="00C9343F" w14:paraId="701D90CD" w14:textId="77777777" w:rsidTr="00F945FD">
        <w:tblPrEx>
          <w:tblLook w:val="0000" w:firstRow="0" w:lastRow="0" w:firstColumn="0" w:lastColumn="0" w:noHBand="0" w:noVBand="0"/>
        </w:tblPrEx>
        <w:trPr>
          <w:cantSplit/>
        </w:trPr>
        <w:tc>
          <w:tcPr>
            <w:tcW w:w="992" w:type="dxa"/>
          </w:tcPr>
          <w:p w14:paraId="54423EA8" w14:textId="77777777" w:rsidR="00EF3625" w:rsidRPr="00C9343F" w:rsidRDefault="00EF3625" w:rsidP="00F66D98">
            <w:pPr>
              <w:pStyle w:val="BlockText-Plain"/>
            </w:pPr>
          </w:p>
        </w:tc>
        <w:tc>
          <w:tcPr>
            <w:tcW w:w="567" w:type="dxa"/>
          </w:tcPr>
          <w:p w14:paraId="0C6A8621" w14:textId="77777777" w:rsidR="00EF3625" w:rsidRPr="00C9343F" w:rsidRDefault="00EF3625" w:rsidP="007114B1">
            <w:pPr>
              <w:pStyle w:val="BlockText-Plain"/>
              <w:jc w:val="center"/>
            </w:pPr>
            <w:r w:rsidRPr="00C9343F">
              <w:t>b.</w:t>
            </w:r>
          </w:p>
        </w:tc>
        <w:tc>
          <w:tcPr>
            <w:tcW w:w="7806" w:type="dxa"/>
            <w:gridSpan w:val="3"/>
          </w:tcPr>
          <w:p w14:paraId="6DA86452" w14:textId="77777777" w:rsidR="00EF3625" w:rsidRPr="00C9343F" w:rsidDel="003068B1" w:rsidRDefault="00EF3625" w:rsidP="00F66D98">
            <w:pPr>
              <w:pStyle w:val="BlockText-Plain"/>
            </w:pPr>
            <w:r w:rsidRPr="00C9343F">
              <w:t>The member is in the Generalist Pathway.</w:t>
            </w:r>
          </w:p>
        </w:tc>
      </w:tr>
      <w:tr w:rsidR="00EF3625" w:rsidRPr="00C9343F" w14:paraId="04D22638" w14:textId="77777777" w:rsidTr="00F945FD">
        <w:tblPrEx>
          <w:tblLook w:val="0000" w:firstRow="0" w:lastRow="0" w:firstColumn="0" w:lastColumn="0" w:noHBand="0" w:noVBand="0"/>
        </w:tblPrEx>
        <w:trPr>
          <w:cantSplit/>
        </w:trPr>
        <w:tc>
          <w:tcPr>
            <w:tcW w:w="992" w:type="dxa"/>
          </w:tcPr>
          <w:p w14:paraId="394901C8" w14:textId="77777777" w:rsidR="00EF3625" w:rsidRPr="00C9343F" w:rsidRDefault="00EF3625" w:rsidP="00F66D98">
            <w:pPr>
              <w:pStyle w:val="BlockText-Plain"/>
            </w:pPr>
          </w:p>
        </w:tc>
        <w:tc>
          <w:tcPr>
            <w:tcW w:w="567" w:type="dxa"/>
          </w:tcPr>
          <w:p w14:paraId="40D6327E" w14:textId="77777777" w:rsidR="00EF3625" w:rsidRPr="00C9343F" w:rsidRDefault="00EF3625" w:rsidP="007114B1">
            <w:pPr>
              <w:pStyle w:val="BlockText-Plain"/>
              <w:jc w:val="center"/>
            </w:pPr>
            <w:r w:rsidRPr="00C9343F">
              <w:t>c.</w:t>
            </w:r>
          </w:p>
        </w:tc>
        <w:tc>
          <w:tcPr>
            <w:tcW w:w="7806" w:type="dxa"/>
            <w:gridSpan w:val="3"/>
          </w:tcPr>
          <w:p w14:paraId="745BE7A2" w14:textId="77777777" w:rsidR="00EF3625" w:rsidRPr="00C9343F" w:rsidRDefault="00EF3625" w:rsidP="00F66D98">
            <w:pPr>
              <w:pStyle w:val="BlockText-Plain"/>
            </w:pPr>
            <w:r w:rsidRPr="00C9343F">
              <w:t>The member has graduated from the Regimental Officer Basic Course – Program (aviation).</w:t>
            </w:r>
          </w:p>
        </w:tc>
      </w:tr>
      <w:tr w:rsidR="00EF3625" w:rsidRPr="00C9343F" w14:paraId="26DA3208" w14:textId="77777777" w:rsidTr="00F945FD">
        <w:tblPrEx>
          <w:tblLook w:val="0000" w:firstRow="0" w:lastRow="0" w:firstColumn="0" w:lastColumn="0" w:noHBand="0" w:noVBand="0"/>
        </w:tblPrEx>
        <w:trPr>
          <w:cantSplit/>
        </w:trPr>
        <w:tc>
          <w:tcPr>
            <w:tcW w:w="992" w:type="dxa"/>
          </w:tcPr>
          <w:p w14:paraId="0D10E945" w14:textId="77777777" w:rsidR="00EF3625" w:rsidRPr="00C9343F" w:rsidRDefault="00EF3625" w:rsidP="00F66D98">
            <w:pPr>
              <w:pStyle w:val="BlockText-Plain"/>
            </w:pPr>
          </w:p>
        </w:tc>
        <w:tc>
          <w:tcPr>
            <w:tcW w:w="567" w:type="dxa"/>
          </w:tcPr>
          <w:p w14:paraId="5CD1B503" w14:textId="77777777" w:rsidR="00EF3625" w:rsidRPr="00C9343F" w:rsidRDefault="00EF3625" w:rsidP="007114B1">
            <w:pPr>
              <w:pStyle w:val="BlockText-Plain"/>
              <w:jc w:val="center"/>
            </w:pPr>
            <w:r w:rsidRPr="00C9343F">
              <w:t>d.</w:t>
            </w:r>
          </w:p>
        </w:tc>
        <w:tc>
          <w:tcPr>
            <w:tcW w:w="7806" w:type="dxa"/>
            <w:gridSpan w:val="3"/>
          </w:tcPr>
          <w:p w14:paraId="741A0FB9" w14:textId="77777777" w:rsidR="00EF3625" w:rsidRPr="00C9343F" w:rsidRDefault="00EF3625" w:rsidP="00F66D98">
            <w:pPr>
              <w:pStyle w:val="BlockText-Plain"/>
            </w:pPr>
            <w:r w:rsidRPr="00C9343F">
              <w:t>The member holds an aviation troop command, sub-unit command or unit command appointment.</w:t>
            </w:r>
          </w:p>
        </w:tc>
      </w:tr>
      <w:tr w:rsidR="00EF3625" w:rsidRPr="00C9343F" w14:paraId="659574A3" w14:textId="77777777" w:rsidTr="00F945FD">
        <w:tblPrEx>
          <w:tblLook w:val="0000" w:firstRow="0" w:lastRow="0" w:firstColumn="0" w:lastColumn="0" w:noHBand="0" w:noVBand="0"/>
        </w:tblPrEx>
        <w:tc>
          <w:tcPr>
            <w:tcW w:w="992" w:type="dxa"/>
          </w:tcPr>
          <w:p w14:paraId="1BBE2045" w14:textId="77777777" w:rsidR="00EF3625" w:rsidRPr="00C9343F" w:rsidRDefault="00EF3625" w:rsidP="00F66D98">
            <w:pPr>
              <w:pStyle w:val="BlockText-Plain"/>
              <w:jc w:val="center"/>
            </w:pPr>
            <w:r w:rsidRPr="00C9343F">
              <w:t>3.</w:t>
            </w:r>
          </w:p>
        </w:tc>
        <w:tc>
          <w:tcPr>
            <w:tcW w:w="8373" w:type="dxa"/>
            <w:gridSpan w:val="4"/>
          </w:tcPr>
          <w:p w14:paraId="67E8B5DB" w14:textId="77777777" w:rsidR="00EF3625" w:rsidRPr="00C9343F" w:rsidRDefault="00EF3625" w:rsidP="00F66D98">
            <w:pPr>
              <w:pStyle w:val="BlockText-Plain"/>
            </w:pPr>
            <w:r w:rsidRPr="00C9343F">
              <w:t>The member has the relevant of the following Officer Aviation increments.</w:t>
            </w:r>
          </w:p>
        </w:tc>
      </w:tr>
      <w:tr w:rsidR="00EF3625" w:rsidRPr="00C9343F" w14:paraId="56CB628F" w14:textId="77777777" w:rsidTr="00F945FD">
        <w:tblPrEx>
          <w:tblLook w:val="0000" w:firstRow="0" w:lastRow="0" w:firstColumn="0" w:lastColumn="0" w:noHBand="0" w:noVBand="0"/>
        </w:tblPrEx>
        <w:trPr>
          <w:cantSplit/>
        </w:trPr>
        <w:tc>
          <w:tcPr>
            <w:tcW w:w="992" w:type="dxa"/>
          </w:tcPr>
          <w:p w14:paraId="31A88880" w14:textId="77777777" w:rsidR="00EF3625" w:rsidRPr="00C9343F" w:rsidRDefault="00EF3625" w:rsidP="00F66D98">
            <w:pPr>
              <w:pStyle w:val="BlockText-Plain"/>
            </w:pPr>
          </w:p>
        </w:tc>
        <w:tc>
          <w:tcPr>
            <w:tcW w:w="567" w:type="dxa"/>
          </w:tcPr>
          <w:p w14:paraId="298976EF" w14:textId="77777777" w:rsidR="00EF3625" w:rsidRPr="00C9343F" w:rsidRDefault="00EF3625" w:rsidP="007114B1">
            <w:pPr>
              <w:pStyle w:val="BlockText-Plain"/>
              <w:jc w:val="center"/>
            </w:pPr>
            <w:r w:rsidRPr="00C9343F">
              <w:t>a.</w:t>
            </w:r>
          </w:p>
        </w:tc>
        <w:tc>
          <w:tcPr>
            <w:tcW w:w="7806" w:type="dxa"/>
            <w:gridSpan w:val="3"/>
          </w:tcPr>
          <w:p w14:paraId="19A47FE6" w14:textId="77777777" w:rsidR="00EF3625" w:rsidRPr="00C9343F" w:rsidRDefault="00EF3625" w:rsidP="00F66D98">
            <w:pPr>
              <w:pStyle w:val="BlockText-Plain"/>
            </w:pPr>
            <w:r w:rsidRPr="00C9343F">
              <w:t xml:space="preserve">A member holding the rank of Captain </w:t>
            </w:r>
            <w:r w:rsidRPr="00C9343F">
              <w:rPr>
                <w:lang w:eastAsia="en-US"/>
              </w:rPr>
              <w:t xml:space="preserve">— </w:t>
            </w:r>
            <w:r w:rsidRPr="00C9343F">
              <w:t>the member's Officer Aviation increment is OA19.</w:t>
            </w:r>
          </w:p>
        </w:tc>
      </w:tr>
      <w:tr w:rsidR="00EF3625" w:rsidRPr="00C9343F" w14:paraId="65DABE7B" w14:textId="77777777" w:rsidTr="00F945FD">
        <w:tblPrEx>
          <w:tblLook w:val="0000" w:firstRow="0" w:lastRow="0" w:firstColumn="0" w:lastColumn="0" w:noHBand="0" w:noVBand="0"/>
        </w:tblPrEx>
        <w:trPr>
          <w:cantSplit/>
        </w:trPr>
        <w:tc>
          <w:tcPr>
            <w:tcW w:w="992" w:type="dxa"/>
          </w:tcPr>
          <w:p w14:paraId="5390F724" w14:textId="77777777" w:rsidR="00EF3625" w:rsidRPr="00C9343F" w:rsidRDefault="00EF3625" w:rsidP="00F66D98">
            <w:pPr>
              <w:pStyle w:val="BlockText-Plain"/>
            </w:pPr>
          </w:p>
        </w:tc>
        <w:tc>
          <w:tcPr>
            <w:tcW w:w="567" w:type="dxa"/>
          </w:tcPr>
          <w:p w14:paraId="7B660F32" w14:textId="77777777" w:rsidR="00EF3625" w:rsidRPr="00C9343F" w:rsidRDefault="00EF3625" w:rsidP="007114B1">
            <w:pPr>
              <w:pStyle w:val="BlockText-Plain"/>
              <w:jc w:val="center"/>
            </w:pPr>
            <w:r w:rsidRPr="00C9343F">
              <w:t>b.</w:t>
            </w:r>
          </w:p>
        </w:tc>
        <w:tc>
          <w:tcPr>
            <w:tcW w:w="7806" w:type="dxa"/>
            <w:gridSpan w:val="3"/>
          </w:tcPr>
          <w:p w14:paraId="1561D951" w14:textId="77777777" w:rsidR="00EF3625" w:rsidRPr="00C9343F" w:rsidRDefault="00EF3625" w:rsidP="00F66D98">
            <w:pPr>
              <w:pStyle w:val="BlockText-Plain"/>
            </w:pPr>
            <w:r w:rsidRPr="00C9343F">
              <w:t>A member holding the rank of Major has the Officer Aviation increment OA24.</w:t>
            </w:r>
          </w:p>
        </w:tc>
      </w:tr>
      <w:tr w:rsidR="00EF3625" w:rsidRPr="00C9343F" w14:paraId="47353ACC" w14:textId="77777777" w:rsidTr="00F945FD">
        <w:tblPrEx>
          <w:tblLook w:val="0000" w:firstRow="0" w:lastRow="0" w:firstColumn="0" w:lastColumn="0" w:noHBand="0" w:noVBand="0"/>
        </w:tblPrEx>
        <w:trPr>
          <w:cantSplit/>
        </w:trPr>
        <w:tc>
          <w:tcPr>
            <w:tcW w:w="992" w:type="dxa"/>
          </w:tcPr>
          <w:p w14:paraId="13CA6E85" w14:textId="77777777" w:rsidR="00EF3625" w:rsidRPr="00C9343F" w:rsidRDefault="00EF3625" w:rsidP="00F66D98">
            <w:pPr>
              <w:pStyle w:val="BlockText-Plain"/>
            </w:pPr>
          </w:p>
        </w:tc>
        <w:tc>
          <w:tcPr>
            <w:tcW w:w="567" w:type="dxa"/>
          </w:tcPr>
          <w:p w14:paraId="57FEA521" w14:textId="77777777" w:rsidR="00EF3625" w:rsidRPr="00C9343F" w:rsidRDefault="00EF3625" w:rsidP="007114B1">
            <w:pPr>
              <w:pStyle w:val="BlockText-Plain"/>
              <w:jc w:val="center"/>
            </w:pPr>
            <w:r w:rsidRPr="00C9343F">
              <w:t>c.</w:t>
            </w:r>
          </w:p>
        </w:tc>
        <w:tc>
          <w:tcPr>
            <w:tcW w:w="7806" w:type="dxa"/>
            <w:gridSpan w:val="3"/>
          </w:tcPr>
          <w:p w14:paraId="5F11C165" w14:textId="77777777" w:rsidR="00EF3625" w:rsidRPr="00C9343F" w:rsidRDefault="00EF3625" w:rsidP="00F66D98">
            <w:pPr>
              <w:pStyle w:val="BlockText-Plain"/>
            </w:pPr>
            <w:r w:rsidRPr="00C9343F">
              <w:t>A member holding the rank of Lieutenant Colonel has the Officer Aviation increment OA29.</w:t>
            </w:r>
          </w:p>
        </w:tc>
      </w:tr>
    </w:tbl>
    <w:p w14:paraId="601D8EA8" w14:textId="1D698F42" w:rsidR="00083B82" w:rsidRPr="00C9343F" w:rsidRDefault="00083B82" w:rsidP="00F66D98">
      <w:pPr>
        <w:pStyle w:val="Heading5"/>
      </w:pPr>
      <w:bookmarkStart w:id="511" w:name="_Toc105053721"/>
      <w:r w:rsidRPr="00C9343F">
        <w:t>3.2.47Q</w:t>
      </w:r>
      <w:r w:rsidR="00D94006" w:rsidRPr="00C9343F">
        <w:t>    </w:t>
      </w:r>
      <w:r w:rsidRPr="00C9343F">
        <w:t>Increment on rank reduction</w:t>
      </w:r>
      <w:bookmarkEnd w:id="511"/>
      <w:r w:rsidRPr="00C9343F">
        <w:t xml:space="preserve"> </w:t>
      </w:r>
    </w:p>
    <w:tbl>
      <w:tblPr>
        <w:tblW w:w="9360" w:type="dxa"/>
        <w:tblInd w:w="113" w:type="dxa"/>
        <w:tblLayout w:type="fixed"/>
        <w:tblLook w:val="04A0" w:firstRow="1" w:lastRow="0" w:firstColumn="1" w:lastColumn="0" w:noHBand="0" w:noVBand="1"/>
      </w:tblPr>
      <w:tblGrid>
        <w:gridCol w:w="992"/>
        <w:gridCol w:w="567"/>
        <w:gridCol w:w="7801"/>
      </w:tblGrid>
      <w:tr w:rsidR="00083B82" w:rsidRPr="00C9343F" w14:paraId="53E96690" w14:textId="77777777" w:rsidTr="00F945FD">
        <w:tc>
          <w:tcPr>
            <w:tcW w:w="992" w:type="dxa"/>
            <w:hideMark/>
          </w:tcPr>
          <w:p w14:paraId="68F6A81B" w14:textId="77777777" w:rsidR="00083B82" w:rsidRPr="00C9343F" w:rsidRDefault="00083B82" w:rsidP="00F66D98">
            <w:pPr>
              <w:pStyle w:val="BlockText-Plain"/>
              <w:keepNext/>
              <w:keepLines/>
              <w:jc w:val="center"/>
              <w:rPr>
                <w:lang w:eastAsia="en-US"/>
              </w:rPr>
            </w:pPr>
            <w:r w:rsidRPr="00C9343F">
              <w:rPr>
                <w:lang w:eastAsia="en-US"/>
              </w:rPr>
              <w:t>1.</w:t>
            </w:r>
          </w:p>
        </w:tc>
        <w:tc>
          <w:tcPr>
            <w:tcW w:w="8368" w:type="dxa"/>
            <w:gridSpan w:val="2"/>
            <w:hideMark/>
          </w:tcPr>
          <w:p w14:paraId="599C1549" w14:textId="77777777" w:rsidR="00083B82" w:rsidRPr="00C9343F" w:rsidRDefault="00083B82" w:rsidP="00F66D98">
            <w:pPr>
              <w:pStyle w:val="BlockText-Plain"/>
              <w:keepNext/>
              <w:keepLines/>
              <w:rPr>
                <w:lang w:eastAsia="en-US"/>
              </w:rPr>
            </w:pPr>
            <w:r w:rsidRPr="00C9343F">
              <w:rPr>
                <w:lang w:eastAsia="en-US"/>
              </w:rPr>
              <w:t>On the day that an Officer Aviation member is reduced in rank for a reason under the following, the CDF may decide the member's Officer Aviation increment for the lower rank, within the member’s pathway and competency stream.</w:t>
            </w:r>
          </w:p>
        </w:tc>
      </w:tr>
      <w:tr w:rsidR="00083B82" w:rsidRPr="00C9343F" w14:paraId="1D612132" w14:textId="77777777" w:rsidTr="00F945FD">
        <w:trPr>
          <w:cantSplit/>
        </w:trPr>
        <w:tc>
          <w:tcPr>
            <w:tcW w:w="992" w:type="dxa"/>
          </w:tcPr>
          <w:p w14:paraId="3C10825F" w14:textId="77777777" w:rsidR="00083B82" w:rsidRPr="00C9343F" w:rsidRDefault="00083B82" w:rsidP="00F66D98">
            <w:pPr>
              <w:pStyle w:val="BlockText-Plain"/>
              <w:keepNext/>
              <w:keepLines/>
              <w:rPr>
                <w:lang w:eastAsia="en-US"/>
              </w:rPr>
            </w:pPr>
          </w:p>
        </w:tc>
        <w:tc>
          <w:tcPr>
            <w:tcW w:w="567" w:type="dxa"/>
            <w:hideMark/>
          </w:tcPr>
          <w:p w14:paraId="60664B1B" w14:textId="77777777" w:rsidR="00083B82" w:rsidRPr="00C9343F" w:rsidRDefault="00083B82" w:rsidP="007114B1">
            <w:pPr>
              <w:pStyle w:val="BlockText-Plain"/>
              <w:keepNext/>
              <w:keepLines/>
              <w:jc w:val="center"/>
              <w:rPr>
                <w:lang w:eastAsia="en-US"/>
              </w:rPr>
            </w:pPr>
            <w:r w:rsidRPr="00C9343F">
              <w:rPr>
                <w:lang w:eastAsia="en-US"/>
              </w:rPr>
              <w:t>a.</w:t>
            </w:r>
          </w:p>
        </w:tc>
        <w:tc>
          <w:tcPr>
            <w:tcW w:w="7801" w:type="dxa"/>
            <w:hideMark/>
          </w:tcPr>
          <w:p w14:paraId="4F5C276B" w14:textId="77777777" w:rsidR="00083B82" w:rsidRPr="00C9343F" w:rsidRDefault="00083B82" w:rsidP="00F66D98">
            <w:pPr>
              <w:pStyle w:val="BlockText-Plain"/>
              <w:keepNext/>
              <w:keepLines/>
              <w:rPr>
                <w:lang w:eastAsia="en-US"/>
              </w:rPr>
            </w:pPr>
            <w:r w:rsidRPr="00C9343F">
              <w:rPr>
                <w:lang w:eastAsia="en-US"/>
              </w:rPr>
              <w:t>For a member in the Navy or Army — subsection 14(1) of the Defence Regulation.</w:t>
            </w:r>
          </w:p>
        </w:tc>
      </w:tr>
      <w:tr w:rsidR="00083B82" w:rsidRPr="00C9343F" w14:paraId="062F763A" w14:textId="77777777" w:rsidTr="00F945FD">
        <w:trPr>
          <w:cantSplit/>
        </w:trPr>
        <w:tc>
          <w:tcPr>
            <w:tcW w:w="992" w:type="dxa"/>
          </w:tcPr>
          <w:p w14:paraId="32432F2A" w14:textId="77777777" w:rsidR="00083B82" w:rsidRPr="00C9343F" w:rsidRDefault="00083B82" w:rsidP="00F66D98">
            <w:pPr>
              <w:pStyle w:val="BlockText-Plain"/>
              <w:keepNext/>
              <w:keepLines/>
              <w:rPr>
                <w:lang w:eastAsia="en-US"/>
              </w:rPr>
            </w:pPr>
          </w:p>
        </w:tc>
        <w:tc>
          <w:tcPr>
            <w:tcW w:w="567" w:type="dxa"/>
          </w:tcPr>
          <w:p w14:paraId="56753A58" w14:textId="77777777" w:rsidR="00083B82" w:rsidRPr="00C9343F" w:rsidRDefault="00083B82" w:rsidP="007114B1">
            <w:pPr>
              <w:pStyle w:val="BlockText-Plain"/>
              <w:keepNext/>
              <w:keepLines/>
              <w:jc w:val="center"/>
              <w:rPr>
                <w:lang w:eastAsia="en-US"/>
              </w:rPr>
            </w:pPr>
            <w:r w:rsidRPr="00C9343F">
              <w:rPr>
                <w:lang w:eastAsia="en-US"/>
              </w:rPr>
              <w:t>b.</w:t>
            </w:r>
          </w:p>
        </w:tc>
        <w:tc>
          <w:tcPr>
            <w:tcW w:w="7801" w:type="dxa"/>
          </w:tcPr>
          <w:p w14:paraId="6A4C24DF" w14:textId="77777777" w:rsidR="00083B82" w:rsidRPr="00C9343F" w:rsidRDefault="00083B82" w:rsidP="00F66D98">
            <w:pPr>
              <w:pStyle w:val="BlockText-Plain"/>
              <w:keepNext/>
              <w:keepLines/>
              <w:rPr>
                <w:lang w:eastAsia="en-US"/>
              </w:rPr>
            </w:pPr>
            <w:r w:rsidRPr="00C9343F">
              <w:rPr>
                <w:lang w:eastAsia="en-US"/>
              </w:rPr>
              <w:t>For a member in the Air Force — paragraph 14(1)(a), (b) or (c) of the Defence Regulation.</w:t>
            </w:r>
          </w:p>
        </w:tc>
      </w:tr>
      <w:tr w:rsidR="00083B82" w:rsidRPr="00C9343F" w14:paraId="730D1757" w14:textId="77777777" w:rsidTr="00F945FD">
        <w:tc>
          <w:tcPr>
            <w:tcW w:w="992" w:type="dxa"/>
          </w:tcPr>
          <w:p w14:paraId="65D7422B" w14:textId="77777777" w:rsidR="00083B82" w:rsidRPr="00C9343F" w:rsidRDefault="00083B82" w:rsidP="00F66D98">
            <w:pPr>
              <w:pStyle w:val="BlockText-Plain"/>
              <w:jc w:val="center"/>
              <w:rPr>
                <w:lang w:eastAsia="en-US"/>
              </w:rPr>
            </w:pPr>
            <w:r w:rsidRPr="00C9343F">
              <w:rPr>
                <w:lang w:eastAsia="en-US"/>
              </w:rPr>
              <w:t>2.</w:t>
            </w:r>
          </w:p>
        </w:tc>
        <w:tc>
          <w:tcPr>
            <w:tcW w:w="8368" w:type="dxa"/>
            <w:gridSpan w:val="2"/>
          </w:tcPr>
          <w:p w14:paraId="0E12672E" w14:textId="77777777" w:rsidR="00083B82" w:rsidRPr="00C9343F" w:rsidRDefault="00083B82" w:rsidP="00F66D98">
            <w:pPr>
              <w:pStyle w:val="BlockText-Plain"/>
              <w:rPr>
                <w:lang w:eastAsia="en-US"/>
              </w:rPr>
            </w:pPr>
            <w:r w:rsidRPr="00C9343F">
              <w:rPr>
                <w:lang w:eastAsia="en-US"/>
              </w:rPr>
              <w:t xml:space="preserve">The CDF must take the following into consideration when making a decision under subsection 1. </w:t>
            </w:r>
          </w:p>
        </w:tc>
      </w:tr>
      <w:tr w:rsidR="00083B82" w:rsidRPr="00C9343F" w14:paraId="2D84F130" w14:textId="77777777" w:rsidTr="00F945FD">
        <w:trPr>
          <w:cantSplit/>
        </w:trPr>
        <w:tc>
          <w:tcPr>
            <w:tcW w:w="992" w:type="dxa"/>
          </w:tcPr>
          <w:p w14:paraId="58455752" w14:textId="77777777" w:rsidR="00083B82" w:rsidRPr="00C9343F" w:rsidRDefault="00083B82" w:rsidP="00F66D98">
            <w:pPr>
              <w:pStyle w:val="BlockText-Plain"/>
              <w:rPr>
                <w:lang w:eastAsia="en-US"/>
              </w:rPr>
            </w:pPr>
          </w:p>
        </w:tc>
        <w:tc>
          <w:tcPr>
            <w:tcW w:w="567" w:type="dxa"/>
            <w:hideMark/>
          </w:tcPr>
          <w:p w14:paraId="7733C239" w14:textId="77777777" w:rsidR="00083B82" w:rsidRPr="00C9343F" w:rsidRDefault="00083B82" w:rsidP="007114B1">
            <w:pPr>
              <w:pStyle w:val="BlockText-Plain"/>
              <w:jc w:val="center"/>
              <w:rPr>
                <w:lang w:eastAsia="en-US"/>
              </w:rPr>
            </w:pPr>
            <w:r w:rsidRPr="00C9343F">
              <w:rPr>
                <w:lang w:eastAsia="en-US"/>
              </w:rPr>
              <w:t>a.</w:t>
            </w:r>
          </w:p>
        </w:tc>
        <w:tc>
          <w:tcPr>
            <w:tcW w:w="7801" w:type="dxa"/>
            <w:hideMark/>
          </w:tcPr>
          <w:p w14:paraId="17AEF1F5" w14:textId="77777777" w:rsidR="00083B82" w:rsidRPr="00C9343F" w:rsidRDefault="00083B82" w:rsidP="00F66D98">
            <w:pPr>
              <w:pStyle w:val="BlockText-Plain"/>
              <w:rPr>
                <w:lang w:eastAsia="en-US"/>
              </w:rPr>
            </w:pPr>
            <w:r w:rsidRPr="00C9343F">
              <w:rPr>
                <w:lang w:eastAsia="en-US"/>
              </w:rPr>
              <w:t>The member’s previous service at the lower rank.</w:t>
            </w:r>
          </w:p>
        </w:tc>
      </w:tr>
      <w:tr w:rsidR="00083B82" w:rsidRPr="00C9343F" w14:paraId="518E2C1F" w14:textId="77777777" w:rsidTr="00F945FD">
        <w:trPr>
          <w:cantSplit/>
        </w:trPr>
        <w:tc>
          <w:tcPr>
            <w:tcW w:w="992" w:type="dxa"/>
          </w:tcPr>
          <w:p w14:paraId="60258638" w14:textId="77777777" w:rsidR="00083B82" w:rsidRPr="00C9343F" w:rsidRDefault="00083B82" w:rsidP="00F66D98">
            <w:pPr>
              <w:pStyle w:val="BlockText-Plain"/>
              <w:rPr>
                <w:lang w:eastAsia="en-US"/>
              </w:rPr>
            </w:pPr>
          </w:p>
        </w:tc>
        <w:tc>
          <w:tcPr>
            <w:tcW w:w="567" w:type="dxa"/>
            <w:hideMark/>
          </w:tcPr>
          <w:p w14:paraId="1A9AECA3" w14:textId="77777777" w:rsidR="00083B82" w:rsidRPr="00C9343F" w:rsidRDefault="00083B82" w:rsidP="007114B1">
            <w:pPr>
              <w:pStyle w:val="BlockText-Plain"/>
              <w:jc w:val="center"/>
              <w:rPr>
                <w:lang w:eastAsia="en-US"/>
              </w:rPr>
            </w:pPr>
            <w:r w:rsidRPr="00C9343F">
              <w:rPr>
                <w:lang w:eastAsia="en-US"/>
              </w:rPr>
              <w:t>b.</w:t>
            </w:r>
          </w:p>
        </w:tc>
        <w:tc>
          <w:tcPr>
            <w:tcW w:w="7801" w:type="dxa"/>
            <w:hideMark/>
          </w:tcPr>
          <w:p w14:paraId="4474D7F8" w14:textId="77777777" w:rsidR="00083B82" w:rsidRPr="00C9343F" w:rsidRDefault="00083B82" w:rsidP="00F66D98">
            <w:pPr>
              <w:pStyle w:val="BlockText-Plain"/>
              <w:rPr>
                <w:lang w:eastAsia="en-US"/>
              </w:rPr>
            </w:pPr>
            <w:r w:rsidRPr="00C9343F">
              <w:rPr>
                <w:lang w:eastAsia="en-US"/>
              </w:rPr>
              <w:t>The member’s relevant service in the higher rank.</w:t>
            </w:r>
          </w:p>
        </w:tc>
      </w:tr>
      <w:tr w:rsidR="00083B82" w:rsidRPr="00C9343F" w14:paraId="2FC1C9C3" w14:textId="77777777" w:rsidTr="00F945FD">
        <w:trPr>
          <w:cantSplit/>
        </w:trPr>
        <w:tc>
          <w:tcPr>
            <w:tcW w:w="992" w:type="dxa"/>
          </w:tcPr>
          <w:p w14:paraId="563F71BC" w14:textId="77777777" w:rsidR="00083B82" w:rsidRPr="00C9343F" w:rsidRDefault="00083B82" w:rsidP="00F66D98">
            <w:pPr>
              <w:pStyle w:val="BlockText-Plain"/>
              <w:rPr>
                <w:lang w:eastAsia="en-US"/>
              </w:rPr>
            </w:pPr>
          </w:p>
        </w:tc>
        <w:tc>
          <w:tcPr>
            <w:tcW w:w="567" w:type="dxa"/>
            <w:hideMark/>
          </w:tcPr>
          <w:p w14:paraId="5AFB1648" w14:textId="77777777" w:rsidR="00083B82" w:rsidRPr="00C9343F" w:rsidRDefault="00083B82" w:rsidP="007114B1">
            <w:pPr>
              <w:pStyle w:val="BlockText-Plain"/>
              <w:jc w:val="center"/>
              <w:rPr>
                <w:lang w:eastAsia="en-US"/>
              </w:rPr>
            </w:pPr>
            <w:r w:rsidRPr="00C9343F">
              <w:rPr>
                <w:lang w:eastAsia="en-US"/>
              </w:rPr>
              <w:t>c.</w:t>
            </w:r>
          </w:p>
        </w:tc>
        <w:tc>
          <w:tcPr>
            <w:tcW w:w="7801" w:type="dxa"/>
            <w:hideMark/>
          </w:tcPr>
          <w:p w14:paraId="6D92B1F4" w14:textId="77777777" w:rsidR="00083B82" w:rsidRPr="00C9343F" w:rsidRDefault="00083B82" w:rsidP="00F66D98">
            <w:pPr>
              <w:pStyle w:val="BlockText-Plain"/>
              <w:rPr>
                <w:lang w:eastAsia="en-US"/>
              </w:rPr>
            </w:pPr>
            <w:r w:rsidRPr="00C9343F">
              <w:rPr>
                <w:lang w:eastAsia="en-US"/>
              </w:rPr>
              <w:t>The circumstances of the reduction in rank.</w:t>
            </w:r>
          </w:p>
        </w:tc>
      </w:tr>
      <w:tr w:rsidR="00F56703" w:rsidRPr="00C9343F" w14:paraId="2DB1C45F" w14:textId="77777777" w:rsidTr="00F945FD">
        <w:tc>
          <w:tcPr>
            <w:tcW w:w="992" w:type="dxa"/>
          </w:tcPr>
          <w:p w14:paraId="38661BE0" w14:textId="7A84D993" w:rsidR="00F56703" w:rsidRPr="00C9343F" w:rsidRDefault="00F56703" w:rsidP="00F66D98">
            <w:pPr>
              <w:pStyle w:val="BlockText-Plain"/>
              <w:jc w:val="center"/>
              <w:rPr>
                <w:lang w:eastAsia="en-US"/>
              </w:rPr>
            </w:pPr>
            <w:r w:rsidRPr="00C9343F">
              <w:t>3.</w:t>
            </w:r>
          </w:p>
        </w:tc>
        <w:tc>
          <w:tcPr>
            <w:tcW w:w="8368" w:type="dxa"/>
            <w:gridSpan w:val="2"/>
          </w:tcPr>
          <w:p w14:paraId="404838A4" w14:textId="57FAB197" w:rsidR="00F56703" w:rsidRPr="00C9343F" w:rsidRDefault="00F56703" w:rsidP="00F66D98">
            <w:pPr>
              <w:pStyle w:val="BlockText-Plain"/>
              <w:rPr>
                <w:lang w:eastAsia="en-US"/>
              </w:rPr>
            </w:pPr>
            <w:r w:rsidRPr="00C9343F">
              <w:rPr>
                <w:iCs/>
              </w:rPr>
              <w:t>To avoid doubt, if an Officer Aviation member in the Air Force has their rank reduced under paragraph 14(1)(d) of the Defence Regulation, the member continues to hold the Officer Aviation increment the member held immediately before the reduction in rank.</w:t>
            </w:r>
          </w:p>
        </w:tc>
      </w:tr>
    </w:tbl>
    <w:p w14:paraId="17C72D5B" w14:textId="483EC258" w:rsidR="00083B82" w:rsidRPr="00C9343F" w:rsidRDefault="00083B82" w:rsidP="00F66D98">
      <w:pPr>
        <w:pStyle w:val="Heading5"/>
      </w:pPr>
      <w:bookmarkStart w:id="512" w:name="_Toc105053722"/>
      <w:r w:rsidRPr="00C9343F">
        <w:t>3.2.47R</w:t>
      </w:r>
      <w:r w:rsidR="00D94006" w:rsidRPr="00C9343F">
        <w:t>    </w:t>
      </w:r>
      <w:r w:rsidRPr="00C9343F">
        <w:t>Increment on loss of Command appointment</w:t>
      </w:r>
      <w:bookmarkEnd w:id="512"/>
    </w:p>
    <w:tbl>
      <w:tblPr>
        <w:tblW w:w="9365" w:type="dxa"/>
        <w:tblInd w:w="108" w:type="dxa"/>
        <w:tblLayout w:type="fixed"/>
        <w:tblLook w:val="04A0" w:firstRow="1" w:lastRow="0" w:firstColumn="1" w:lastColumn="0" w:noHBand="0" w:noVBand="1"/>
      </w:tblPr>
      <w:tblGrid>
        <w:gridCol w:w="992"/>
        <w:gridCol w:w="567"/>
        <w:gridCol w:w="567"/>
        <w:gridCol w:w="7239"/>
      </w:tblGrid>
      <w:tr w:rsidR="00083B82" w:rsidRPr="00C9343F" w14:paraId="02F8C0E4" w14:textId="77777777" w:rsidTr="00F945FD">
        <w:tc>
          <w:tcPr>
            <w:tcW w:w="992" w:type="dxa"/>
            <w:hideMark/>
          </w:tcPr>
          <w:p w14:paraId="4F23C26A" w14:textId="77777777" w:rsidR="00083B82" w:rsidRPr="00C9343F" w:rsidRDefault="00083B82" w:rsidP="00F66D98">
            <w:pPr>
              <w:pStyle w:val="BlockText-Plain"/>
              <w:jc w:val="center"/>
              <w:rPr>
                <w:lang w:eastAsia="en-US"/>
              </w:rPr>
            </w:pPr>
            <w:r w:rsidRPr="00C9343F">
              <w:rPr>
                <w:lang w:eastAsia="en-US"/>
              </w:rPr>
              <w:t>1.</w:t>
            </w:r>
          </w:p>
        </w:tc>
        <w:tc>
          <w:tcPr>
            <w:tcW w:w="8373" w:type="dxa"/>
            <w:gridSpan w:val="3"/>
            <w:hideMark/>
          </w:tcPr>
          <w:p w14:paraId="29E64BDA" w14:textId="77777777" w:rsidR="00083B82" w:rsidRPr="00C9343F" w:rsidRDefault="00083B82" w:rsidP="00F66D98">
            <w:pPr>
              <w:pStyle w:val="BlockText-Plain"/>
              <w:rPr>
                <w:lang w:eastAsia="en-US"/>
              </w:rPr>
            </w:pPr>
            <w:r w:rsidRPr="00C9343F">
              <w:rPr>
                <w:lang w:eastAsia="en-US"/>
              </w:rPr>
              <w:t>On the day that a Navy or Army Officer Aviation member loses their Command appointment for one of the following reasons, the CDF may decide the member's Officer Aviation increment within the increment range for the member's rank, pathway and competency stream, excluding the command increment levels.</w:t>
            </w:r>
          </w:p>
        </w:tc>
      </w:tr>
      <w:tr w:rsidR="00083B82" w:rsidRPr="00C9343F" w14:paraId="6EFB1BD8" w14:textId="77777777" w:rsidTr="00F945FD">
        <w:trPr>
          <w:cantSplit/>
        </w:trPr>
        <w:tc>
          <w:tcPr>
            <w:tcW w:w="992" w:type="dxa"/>
          </w:tcPr>
          <w:p w14:paraId="1C0CA460" w14:textId="77777777" w:rsidR="00083B82" w:rsidRPr="00C9343F" w:rsidRDefault="00083B82" w:rsidP="00F66D98">
            <w:pPr>
              <w:pStyle w:val="BlockText-Plain"/>
              <w:rPr>
                <w:lang w:eastAsia="en-US"/>
              </w:rPr>
            </w:pPr>
          </w:p>
        </w:tc>
        <w:tc>
          <w:tcPr>
            <w:tcW w:w="567" w:type="dxa"/>
            <w:hideMark/>
          </w:tcPr>
          <w:p w14:paraId="2C0ABD89"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hideMark/>
          </w:tcPr>
          <w:p w14:paraId="33160644" w14:textId="77777777" w:rsidR="00083B82" w:rsidRPr="00C9343F" w:rsidRDefault="00083B82" w:rsidP="00F66D98">
            <w:pPr>
              <w:pStyle w:val="BlockText-Plain"/>
              <w:rPr>
                <w:lang w:eastAsia="en-US"/>
              </w:rPr>
            </w:pPr>
            <w:r w:rsidRPr="00C9343F">
              <w:rPr>
                <w:lang w:eastAsia="en-US"/>
              </w:rPr>
              <w:t>The member was imposed with a censure or formal warning.</w:t>
            </w:r>
          </w:p>
        </w:tc>
      </w:tr>
      <w:tr w:rsidR="00083B82" w:rsidRPr="00C9343F" w14:paraId="31B198BF" w14:textId="77777777" w:rsidTr="00F945FD">
        <w:trPr>
          <w:cantSplit/>
        </w:trPr>
        <w:tc>
          <w:tcPr>
            <w:tcW w:w="992" w:type="dxa"/>
          </w:tcPr>
          <w:p w14:paraId="32680FB3" w14:textId="77777777" w:rsidR="00083B82" w:rsidRPr="00C9343F" w:rsidRDefault="00083B82" w:rsidP="00F66D98">
            <w:pPr>
              <w:pStyle w:val="BlockText-Plain"/>
              <w:rPr>
                <w:lang w:eastAsia="en-US"/>
              </w:rPr>
            </w:pPr>
          </w:p>
        </w:tc>
        <w:tc>
          <w:tcPr>
            <w:tcW w:w="567" w:type="dxa"/>
          </w:tcPr>
          <w:p w14:paraId="5D2F24F6"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tcPr>
          <w:p w14:paraId="74A9D086" w14:textId="77777777" w:rsidR="00083B82" w:rsidRPr="00C9343F" w:rsidRDefault="00083B82" w:rsidP="00F66D98">
            <w:pPr>
              <w:pStyle w:val="BlockText-Plain"/>
              <w:rPr>
                <w:lang w:eastAsia="en-US"/>
              </w:rPr>
            </w:pPr>
            <w:r w:rsidRPr="00C9343F">
              <w:rPr>
                <w:lang w:eastAsia="en-US"/>
              </w:rPr>
              <w:t>The member was convicted of either of the following.</w:t>
            </w:r>
          </w:p>
        </w:tc>
      </w:tr>
      <w:tr w:rsidR="00083B82" w:rsidRPr="00C9343F" w14:paraId="3A76DFA2" w14:textId="77777777" w:rsidTr="00F945FD">
        <w:trPr>
          <w:cantSplit/>
        </w:trPr>
        <w:tc>
          <w:tcPr>
            <w:tcW w:w="1559" w:type="dxa"/>
            <w:gridSpan w:val="2"/>
          </w:tcPr>
          <w:p w14:paraId="053D98CE" w14:textId="77777777" w:rsidR="00083B82" w:rsidRPr="00C9343F" w:rsidRDefault="00083B82" w:rsidP="00F66D98">
            <w:pPr>
              <w:pStyle w:val="BlockText-Plain"/>
              <w:spacing w:line="276" w:lineRule="auto"/>
              <w:rPr>
                <w:lang w:eastAsia="en-US"/>
              </w:rPr>
            </w:pPr>
          </w:p>
        </w:tc>
        <w:tc>
          <w:tcPr>
            <w:tcW w:w="567" w:type="dxa"/>
            <w:hideMark/>
          </w:tcPr>
          <w:p w14:paraId="271BB9E7" w14:textId="77777777" w:rsidR="00083B82" w:rsidRPr="00C9343F" w:rsidRDefault="00083B82" w:rsidP="007114B1">
            <w:pPr>
              <w:pStyle w:val="BlockText-Plain"/>
              <w:rPr>
                <w:lang w:eastAsia="en-US"/>
              </w:rPr>
            </w:pPr>
            <w:r w:rsidRPr="00C9343F">
              <w:rPr>
                <w:lang w:eastAsia="en-US"/>
              </w:rPr>
              <w:t>i.</w:t>
            </w:r>
          </w:p>
        </w:tc>
        <w:tc>
          <w:tcPr>
            <w:tcW w:w="7239" w:type="dxa"/>
            <w:hideMark/>
          </w:tcPr>
          <w:p w14:paraId="6DB7AD0E" w14:textId="77777777" w:rsidR="00083B82" w:rsidRPr="00C9343F" w:rsidRDefault="00083B82" w:rsidP="00F66D98">
            <w:pPr>
              <w:pStyle w:val="BlockText-Plain"/>
              <w:rPr>
                <w:i/>
                <w:lang w:eastAsia="en-US"/>
              </w:rPr>
            </w:pPr>
            <w:r w:rsidRPr="00C9343F">
              <w:rPr>
                <w:lang w:eastAsia="en-US"/>
              </w:rPr>
              <w:t xml:space="preserve">An offence under the </w:t>
            </w:r>
            <w:r w:rsidRPr="00C9343F">
              <w:rPr>
                <w:i/>
                <w:lang w:eastAsia="en-US"/>
              </w:rPr>
              <w:t>Defence Force Discipline Act 1982.</w:t>
            </w:r>
          </w:p>
        </w:tc>
      </w:tr>
      <w:tr w:rsidR="00083B82" w:rsidRPr="00C9343F" w14:paraId="2958C862" w14:textId="77777777" w:rsidTr="00F945FD">
        <w:trPr>
          <w:cantSplit/>
        </w:trPr>
        <w:tc>
          <w:tcPr>
            <w:tcW w:w="1559" w:type="dxa"/>
            <w:gridSpan w:val="2"/>
          </w:tcPr>
          <w:p w14:paraId="7D6E12E7" w14:textId="77777777" w:rsidR="00083B82" w:rsidRPr="00C9343F" w:rsidRDefault="00083B82" w:rsidP="00F66D98">
            <w:pPr>
              <w:pStyle w:val="BlockText-Plain"/>
              <w:spacing w:line="276" w:lineRule="auto"/>
              <w:rPr>
                <w:lang w:eastAsia="en-US"/>
              </w:rPr>
            </w:pPr>
          </w:p>
        </w:tc>
        <w:tc>
          <w:tcPr>
            <w:tcW w:w="567" w:type="dxa"/>
          </w:tcPr>
          <w:p w14:paraId="02D82BF2" w14:textId="77777777" w:rsidR="00083B82" w:rsidRPr="00C9343F" w:rsidRDefault="00083B82" w:rsidP="007114B1">
            <w:pPr>
              <w:pStyle w:val="BlockText-Plain"/>
              <w:rPr>
                <w:lang w:eastAsia="en-US"/>
              </w:rPr>
            </w:pPr>
            <w:r w:rsidRPr="00C9343F">
              <w:rPr>
                <w:lang w:eastAsia="en-US"/>
              </w:rPr>
              <w:t>ii.</w:t>
            </w:r>
          </w:p>
        </w:tc>
        <w:tc>
          <w:tcPr>
            <w:tcW w:w="7239" w:type="dxa"/>
          </w:tcPr>
          <w:p w14:paraId="3A1A987D" w14:textId="77777777" w:rsidR="00083B82" w:rsidRPr="00C9343F" w:rsidRDefault="00083B82" w:rsidP="00F66D98">
            <w:pPr>
              <w:pStyle w:val="BlockText-Plain"/>
              <w:rPr>
                <w:lang w:eastAsia="en-US"/>
              </w:rPr>
            </w:pPr>
            <w:r w:rsidRPr="00C9343F">
              <w:rPr>
                <w:lang w:eastAsia="en-US"/>
              </w:rPr>
              <w:t>A civilian criminal offence.</w:t>
            </w:r>
          </w:p>
        </w:tc>
      </w:tr>
      <w:tr w:rsidR="00083B82" w:rsidRPr="00C9343F" w14:paraId="2A161F37" w14:textId="77777777" w:rsidTr="00F945FD">
        <w:trPr>
          <w:cantSplit/>
        </w:trPr>
        <w:tc>
          <w:tcPr>
            <w:tcW w:w="992" w:type="dxa"/>
          </w:tcPr>
          <w:p w14:paraId="4E0C2155" w14:textId="77777777" w:rsidR="00083B82" w:rsidRPr="00C9343F" w:rsidRDefault="00083B82" w:rsidP="00F66D98">
            <w:pPr>
              <w:pStyle w:val="BlockText-Plain"/>
              <w:rPr>
                <w:lang w:eastAsia="en-US"/>
              </w:rPr>
            </w:pPr>
          </w:p>
        </w:tc>
        <w:tc>
          <w:tcPr>
            <w:tcW w:w="567" w:type="dxa"/>
          </w:tcPr>
          <w:p w14:paraId="42678987" w14:textId="77777777" w:rsidR="00083B82" w:rsidRPr="00C9343F" w:rsidRDefault="00083B82" w:rsidP="007114B1">
            <w:pPr>
              <w:pStyle w:val="BlockText-Plain"/>
              <w:jc w:val="center"/>
              <w:rPr>
                <w:lang w:eastAsia="en-US"/>
              </w:rPr>
            </w:pPr>
            <w:r w:rsidRPr="00C9343F">
              <w:rPr>
                <w:lang w:eastAsia="en-US"/>
              </w:rPr>
              <w:t>c.</w:t>
            </w:r>
          </w:p>
        </w:tc>
        <w:tc>
          <w:tcPr>
            <w:tcW w:w="7806" w:type="dxa"/>
            <w:gridSpan w:val="2"/>
          </w:tcPr>
          <w:p w14:paraId="1913DD1B" w14:textId="77777777" w:rsidR="00083B82" w:rsidRPr="00C9343F" w:rsidRDefault="00083B82" w:rsidP="00F66D98">
            <w:pPr>
              <w:pStyle w:val="BlockText-Plain"/>
              <w:rPr>
                <w:lang w:eastAsia="en-US"/>
              </w:rPr>
            </w:pPr>
            <w:r w:rsidRPr="00C9343F">
              <w:rPr>
                <w:lang w:eastAsia="en-US"/>
              </w:rPr>
              <w:t>The member was suspended from duty.</w:t>
            </w:r>
          </w:p>
        </w:tc>
      </w:tr>
      <w:tr w:rsidR="00083B82" w:rsidRPr="00C9343F" w14:paraId="10774B13" w14:textId="77777777" w:rsidTr="00F945FD">
        <w:tc>
          <w:tcPr>
            <w:tcW w:w="992" w:type="dxa"/>
          </w:tcPr>
          <w:p w14:paraId="2DB8429E" w14:textId="77777777" w:rsidR="00083B82" w:rsidRPr="00C9343F" w:rsidRDefault="00083B82" w:rsidP="00F66D98">
            <w:pPr>
              <w:pStyle w:val="BlockText-Plain"/>
              <w:jc w:val="center"/>
              <w:rPr>
                <w:lang w:eastAsia="en-US"/>
              </w:rPr>
            </w:pPr>
            <w:r w:rsidRPr="00C9343F">
              <w:rPr>
                <w:lang w:eastAsia="en-US"/>
              </w:rPr>
              <w:t>2.</w:t>
            </w:r>
          </w:p>
        </w:tc>
        <w:tc>
          <w:tcPr>
            <w:tcW w:w="8373" w:type="dxa"/>
            <w:gridSpan w:val="3"/>
          </w:tcPr>
          <w:p w14:paraId="10E085BD" w14:textId="77777777" w:rsidR="00083B82" w:rsidRPr="00C9343F" w:rsidRDefault="00083B82" w:rsidP="00F66D98">
            <w:pPr>
              <w:pStyle w:val="BlockText-Plain"/>
              <w:rPr>
                <w:lang w:eastAsia="en-US"/>
              </w:rPr>
            </w:pPr>
            <w:r w:rsidRPr="00C9343F">
              <w:rPr>
                <w:lang w:eastAsia="en-US"/>
              </w:rPr>
              <w:t xml:space="preserve">The CDF must take the following into consideration when making a decision under subsection 1. </w:t>
            </w:r>
          </w:p>
        </w:tc>
      </w:tr>
      <w:tr w:rsidR="00083B82" w:rsidRPr="00C9343F" w14:paraId="288A14DE" w14:textId="77777777" w:rsidTr="00F945FD">
        <w:trPr>
          <w:cantSplit/>
        </w:trPr>
        <w:tc>
          <w:tcPr>
            <w:tcW w:w="992" w:type="dxa"/>
          </w:tcPr>
          <w:p w14:paraId="4B87E035" w14:textId="77777777" w:rsidR="00083B82" w:rsidRPr="00C9343F" w:rsidRDefault="00083B82" w:rsidP="00F66D98">
            <w:pPr>
              <w:pStyle w:val="BlockText-Plain"/>
              <w:rPr>
                <w:lang w:eastAsia="en-US"/>
              </w:rPr>
            </w:pPr>
          </w:p>
        </w:tc>
        <w:tc>
          <w:tcPr>
            <w:tcW w:w="567" w:type="dxa"/>
            <w:hideMark/>
          </w:tcPr>
          <w:p w14:paraId="36B135F5" w14:textId="77777777" w:rsidR="00083B82" w:rsidRPr="00C9343F" w:rsidRDefault="00083B82" w:rsidP="007114B1">
            <w:pPr>
              <w:pStyle w:val="BlockText-Plain"/>
              <w:jc w:val="center"/>
              <w:rPr>
                <w:lang w:eastAsia="en-US"/>
              </w:rPr>
            </w:pPr>
            <w:r w:rsidRPr="00C9343F">
              <w:rPr>
                <w:lang w:eastAsia="en-US"/>
              </w:rPr>
              <w:t>a.</w:t>
            </w:r>
          </w:p>
        </w:tc>
        <w:tc>
          <w:tcPr>
            <w:tcW w:w="7806" w:type="dxa"/>
            <w:gridSpan w:val="2"/>
            <w:hideMark/>
          </w:tcPr>
          <w:p w14:paraId="476FD6A3" w14:textId="77777777" w:rsidR="00083B82" w:rsidRPr="00C9343F" w:rsidRDefault="00083B82" w:rsidP="00F66D98">
            <w:pPr>
              <w:pStyle w:val="BlockText-Plain"/>
              <w:rPr>
                <w:lang w:eastAsia="en-US"/>
              </w:rPr>
            </w:pPr>
            <w:r w:rsidRPr="00C9343F">
              <w:rPr>
                <w:lang w:eastAsia="en-US"/>
              </w:rPr>
              <w:t>The member’s previous service.</w:t>
            </w:r>
          </w:p>
        </w:tc>
      </w:tr>
      <w:tr w:rsidR="00083B82" w:rsidRPr="00C9343F" w14:paraId="305C9410" w14:textId="77777777" w:rsidTr="00F945FD">
        <w:trPr>
          <w:cantSplit/>
        </w:trPr>
        <w:tc>
          <w:tcPr>
            <w:tcW w:w="992" w:type="dxa"/>
          </w:tcPr>
          <w:p w14:paraId="544F4078" w14:textId="77777777" w:rsidR="00083B82" w:rsidRPr="00C9343F" w:rsidRDefault="00083B82" w:rsidP="00F66D98">
            <w:pPr>
              <w:pStyle w:val="BlockText-Plain"/>
              <w:rPr>
                <w:lang w:eastAsia="en-US"/>
              </w:rPr>
            </w:pPr>
          </w:p>
        </w:tc>
        <w:tc>
          <w:tcPr>
            <w:tcW w:w="567" w:type="dxa"/>
            <w:hideMark/>
          </w:tcPr>
          <w:p w14:paraId="7F6921CB" w14:textId="77777777" w:rsidR="00083B82" w:rsidRPr="00C9343F" w:rsidRDefault="00083B82" w:rsidP="007114B1">
            <w:pPr>
              <w:pStyle w:val="BlockText-Plain"/>
              <w:jc w:val="center"/>
              <w:rPr>
                <w:lang w:eastAsia="en-US"/>
              </w:rPr>
            </w:pPr>
            <w:r w:rsidRPr="00C9343F">
              <w:rPr>
                <w:lang w:eastAsia="en-US"/>
              </w:rPr>
              <w:t>b.</w:t>
            </w:r>
          </w:p>
        </w:tc>
        <w:tc>
          <w:tcPr>
            <w:tcW w:w="7806" w:type="dxa"/>
            <w:gridSpan w:val="2"/>
            <w:hideMark/>
          </w:tcPr>
          <w:p w14:paraId="7F425FA7" w14:textId="77777777" w:rsidR="00083B82" w:rsidRPr="00C9343F" w:rsidRDefault="00083B82" w:rsidP="00F66D98">
            <w:pPr>
              <w:pStyle w:val="BlockText-Plain"/>
              <w:rPr>
                <w:lang w:eastAsia="en-US"/>
              </w:rPr>
            </w:pPr>
            <w:r w:rsidRPr="00C9343F">
              <w:rPr>
                <w:lang w:eastAsia="en-US"/>
              </w:rPr>
              <w:t>The circumstances of the loss of the command appointment.</w:t>
            </w:r>
          </w:p>
        </w:tc>
      </w:tr>
    </w:tbl>
    <w:p w14:paraId="6AA8F02B" w14:textId="19C91575" w:rsidR="00083B82" w:rsidRPr="00C9343F" w:rsidRDefault="00083B82" w:rsidP="00F66D98">
      <w:pPr>
        <w:pStyle w:val="Heading5"/>
      </w:pPr>
      <w:bookmarkStart w:id="513" w:name="_Toc105053723"/>
      <w:r w:rsidRPr="00C9343F">
        <w:lastRenderedPageBreak/>
        <w:t>3.2.47S</w:t>
      </w:r>
      <w:r w:rsidR="00D94006" w:rsidRPr="00C9343F">
        <w:t>    </w:t>
      </w:r>
      <w:r w:rsidRPr="00C9343F">
        <w:t>Increment advancement</w:t>
      </w:r>
      <w:bookmarkEnd w:id="513"/>
      <w:r w:rsidRPr="00C9343F">
        <w:t xml:space="preserve"> </w:t>
      </w:r>
    </w:p>
    <w:tbl>
      <w:tblPr>
        <w:tblW w:w="9366" w:type="dxa"/>
        <w:tblInd w:w="108" w:type="dxa"/>
        <w:tblLayout w:type="fixed"/>
        <w:tblLook w:val="04A0" w:firstRow="1" w:lastRow="0" w:firstColumn="1" w:lastColumn="0" w:noHBand="0" w:noVBand="1"/>
      </w:tblPr>
      <w:tblGrid>
        <w:gridCol w:w="992"/>
        <w:gridCol w:w="567"/>
        <w:gridCol w:w="567"/>
        <w:gridCol w:w="7240"/>
      </w:tblGrid>
      <w:tr w:rsidR="00083B82" w:rsidRPr="00C9343F" w14:paraId="73785137" w14:textId="77777777" w:rsidTr="00F945FD">
        <w:trPr>
          <w:cantSplit/>
        </w:trPr>
        <w:tc>
          <w:tcPr>
            <w:tcW w:w="992" w:type="dxa"/>
          </w:tcPr>
          <w:p w14:paraId="6E1290F6" w14:textId="77777777" w:rsidR="00083B82" w:rsidRPr="00C9343F" w:rsidRDefault="00083B82" w:rsidP="00F66D98">
            <w:pPr>
              <w:pStyle w:val="BlockText-Plain"/>
              <w:spacing w:line="276" w:lineRule="auto"/>
              <w:jc w:val="center"/>
              <w:rPr>
                <w:lang w:eastAsia="en-US"/>
              </w:rPr>
            </w:pPr>
            <w:r w:rsidRPr="00C9343F">
              <w:rPr>
                <w:lang w:eastAsia="en-US"/>
              </w:rPr>
              <w:t>1.</w:t>
            </w:r>
          </w:p>
        </w:tc>
        <w:tc>
          <w:tcPr>
            <w:tcW w:w="8374" w:type="dxa"/>
            <w:gridSpan w:val="3"/>
            <w:hideMark/>
          </w:tcPr>
          <w:p w14:paraId="59502A6C" w14:textId="77777777" w:rsidR="00083B82" w:rsidRPr="00C9343F" w:rsidRDefault="00083B82" w:rsidP="00F66D98">
            <w:pPr>
              <w:pStyle w:val="BlockText-Plain"/>
              <w:rPr>
                <w:lang w:eastAsia="en-US"/>
              </w:rPr>
            </w:pPr>
            <w:r w:rsidRPr="00C9343F">
              <w:rPr>
                <w:lang w:eastAsia="en-US"/>
              </w:rPr>
              <w:t>For the purposes of subsections 3 and 4, the advancement period is any of the following periods of service.</w:t>
            </w:r>
          </w:p>
        </w:tc>
      </w:tr>
      <w:tr w:rsidR="00083B82" w:rsidRPr="00C9343F" w14:paraId="1F233A78" w14:textId="77777777" w:rsidTr="00F945FD">
        <w:trPr>
          <w:cantSplit/>
        </w:trPr>
        <w:tc>
          <w:tcPr>
            <w:tcW w:w="992" w:type="dxa"/>
          </w:tcPr>
          <w:p w14:paraId="69D09EF8" w14:textId="77777777" w:rsidR="00083B82" w:rsidRPr="00C9343F" w:rsidRDefault="00083B82" w:rsidP="00F66D98">
            <w:pPr>
              <w:pStyle w:val="BlockText-Plain"/>
              <w:spacing w:line="276" w:lineRule="auto"/>
              <w:rPr>
                <w:lang w:eastAsia="en-US"/>
              </w:rPr>
            </w:pPr>
          </w:p>
        </w:tc>
        <w:tc>
          <w:tcPr>
            <w:tcW w:w="567" w:type="dxa"/>
            <w:hideMark/>
          </w:tcPr>
          <w:p w14:paraId="036F70D5" w14:textId="77777777" w:rsidR="00083B82" w:rsidRPr="00C9343F" w:rsidRDefault="00083B82" w:rsidP="007114B1">
            <w:pPr>
              <w:pStyle w:val="BlockText-Plain"/>
              <w:spacing w:line="276" w:lineRule="auto"/>
              <w:jc w:val="center"/>
              <w:rPr>
                <w:lang w:eastAsia="en-US"/>
              </w:rPr>
            </w:pPr>
            <w:r w:rsidRPr="00C9343F">
              <w:rPr>
                <w:lang w:eastAsia="en-US"/>
              </w:rPr>
              <w:t>a.</w:t>
            </w:r>
          </w:p>
        </w:tc>
        <w:tc>
          <w:tcPr>
            <w:tcW w:w="7807" w:type="dxa"/>
            <w:gridSpan w:val="2"/>
            <w:hideMark/>
          </w:tcPr>
          <w:p w14:paraId="65483B99" w14:textId="77777777" w:rsidR="00083B82" w:rsidRPr="00C9343F" w:rsidRDefault="00083B82" w:rsidP="00F66D98">
            <w:pPr>
              <w:pStyle w:val="BlockText-Plain"/>
              <w:rPr>
                <w:lang w:eastAsia="en-US"/>
              </w:rPr>
            </w:pPr>
            <w:r w:rsidRPr="00C9343F">
              <w:rPr>
                <w:lang w:eastAsia="en-US"/>
              </w:rPr>
              <w:t xml:space="preserve">For a member in the Permanent Forces </w:t>
            </w:r>
            <w:r w:rsidRPr="00C9343F">
              <w:rPr>
                <w:rFonts w:cs="Arial"/>
                <w:lang w:eastAsia="en-US"/>
              </w:rPr>
              <w:t>—</w:t>
            </w:r>
            <w:r w:rsidRPr="00C9343F">
              <w:rPr>
                <w:lang w:eastAsia="en-US"/>
              </w:rPr>
              <w:t xml:space="preserve"> 12 months of service.</w:t>
            </w:r>
          </w:p>
        </w:tc>
      </w:tr>
      <w:tr w:rsidR="00083B82" w:rsidRPr="00C9343F" w14:paraId="40669ECC" w14:textId="77777777" w:rsidTr="00F945FD">
        <w:trPr>
          <w:cantSplit/>
        </w:trPr>
        <w:tc>
          <w:tcPr>
            <w:tcW w:w="992" w:type="dxa"/>
          </w:tcPr>
          <w:p w14:paraId="2586D7ED" w14:textId="77777777" w:rsidR="00083B82" w:rsidRPr="00C9343F" w:rsidRDefault="00083B82" w:rsidP="00F66D98">
            <w:pPr>
              <w:pStyle w:val="BlockText-Plain"/>
              <w:spacing w:line="276" w:lineRule="auto"/>
              <w:rPr>
                <w:lang w:eastAsia="en-US"/>
              </w:rPr>
            </w:pPr>
          </w:p>
        </w:tc>
        <w:tc>
          <w:tcPr>
            <w:tcW w:w="567" w:type="dxa"/>
          </w:tcPr>
          <w:p w14:paraId="411659C4" w14:textId="77777777" w:rsidR="00083B82" w:rsidRPr="00C9343F" w:rsidRDefault="00083B82" w:rsidP="007114B1">
            <w:pPr>
              <w:pStyle w:val="BlockText-Plain"/>
              <w:spacing w:line="276" w:lineRule="auto"/>
              <w:jc w:val="center"/>
              <w:rPr>
                <w:lang w:eastAsia="en-US"/>
              </w:rPr>
            </w:pPr>
            <w:r w:rsidRPr="00C9343F">
              <w:rPr>
                <w:lang w:eastAsia="en-US"/>
              </w:rPr>
              <w:t>b.</w:t>
            </w:r>
          </w:p>
        </w:tc>
        <w:tc>
          <w:tcPr>
            <w:tcW w:w="7807" w:type="dxa"/>
            <w:gridSpan w:val="2"/>
          </w:tcPr>
          <w:p w14:paraId="117E96A9" w14:textId="77777777" w:rsidR="00083B82" w:rsidRPr="00C9343F" w:rsidRDefault="00083B82" w:rsidP="00F66D98">
            <w:pPr>
              <w:pStyle w:val="BlockText-Plain"/>
              <w:rPr>
                <w:lang w:eastAsia="en-US"/>
              </w:rPr>
            </w:pPr>
            <w:r w:rsidRPr="00C9343F">
              <w:rPr>
                <w:lang w:eastAsia="en-US"/>
              </w:rPr>
              <w:t xml:space="preserve">For a member in the Reserves (providing Reserve service and continuous full-time service) </w:t>
            </w:r>
            <w:r w:rsidRPr="00C9343F">
              <w:rPr>
                <w:rFonts w:cs="Arial"/>
                <w:lang w:eastAsia="en-US"/>
              </w:rPr>
              <w:t>—</w:t>
            </w:r>
            <w:r w:rsidRPr="00C9343F">
              <w:rPr>
                <w:lang w:eastAsia="en-US"/>
              </w:rPr>
              <w:t xml:space="preserve"> 20 or more days of Reserve service in a 12 month period.</w:t>
            </w:r>
          </w:p>
        </w:tc>
      </w:tr>
      <w:tr w:rsidR="00083B82" w:rsidRPr="00C9343F" w14:paraId="5C3F976D" w14:textId="77777777" w:rsidTr="00F945FD">
        <w:trPr>
          <w:cantSplit/>
        </w:trPr>
        <w:tc>
          <w:tcPr>
            <w:tcW w:w="992" w:type="dxa"/>
          </w:tcPr>
          <w:p w14:paraId="3BE6C3F0" w14:textId="77777777" w:rsidR="00083B82" w:rsidRPr="00C9343F" w:rsidRDefault="00083B82" w:rsidP="00F66D98">
            <w:pPr>
              <w:pStyle w:val="BlockText-Plain"/>
              <w:spacing w:line="276" w:lineRule="auto"/>
              <w:rPr>
                <w:lang w:eastAsia="en-US"/>
              </w:rPr>
            </w:pPr>
          </w:p>
        </w:tc>
        <w:tc>
          <w:tcPr>
            <w:tcW w:w="567" w:type="dxa"/>
          </w:tcPr>
          <w:p w14:paraId="1EF7A123" w14:textId="77777777" w:rsidR="00083B82" w:rsidRPr="00C9343F" w:rsidRDefault="00083B82" w:rsidP="007114B1">
            <w:pPr>
              <w:pStyle w:val="BlockText-Plain"/>
              <w:spacing w:line="276" w:lineRule="auto"/>
              <w:jc w:val="center"/>
              <w:rPr>
                <w:lang w:eastAsia="en-US"/>
              </w:rPr>
            </w:pPr>
            <w:r w:rsidRPr="00C9343F">
              <w:rPr>
                <w:lang w:eastAsia="en-US"/>
              </w:rPr>
              <w:t>c.</w:t>
            </w:r>
          </w:p>
        </w:tc>
        <w:tc>
          <w:tcPr>
            <w:tcW w:w="7807" w:type="dxa"/>
            <w:gridSpan w:val="2"/>
          </w:tcPr>
          <w:p w14:paraId="1CED721E" w14:textId="50D2993D" w:rsidR="00083B82" w:rsidRPr="00C9343F" w:rsidRDefault="00083B82" w:rsidP="00F66D98">
            <w:pPr>
              <w:pStyle w:val="BlockText-Plain"/>
              <w:rPr>
                <w:lang w:eastAsia="en-US"/>
              </w:rPr>
            </w:pPr>
            <w:r w:rsidRPr="00C9343F">
              <w:rPr>
                <w:lang w:eastAsia="en-US"/>
              </w:rPr>
              <w:t xml:space="preserve">For a member who served in both the Permanent Forces and </w:t>
            </w:r>
            <w:r w:rsidR="00111F99" w:rsidRPr="00C9343F">
              <w:rPr>
                <w:lang w:eastAsia="en-US"/>
              </w:rPr>
              <w:t xml:space="preserve">the </w:t>
            </w:r>
            <w:r w:rsidRPr="00C9343F">
              <w:rPr>
                <w:lang w:eastAsia="en-US"/>
              </w:rPr>
              <w:t xml:space="preserve">Reserves </w:t>
            </w:r>
            <w:r w:rsidRPr="00C9343F">
              <w:rPr>
                <w:rFonts w:cs="Arial"/>
                <w:lang w:eastAsia="en-US"/>
              </w:rPr>
              <w:t>—</w:t>
            </w:r>
            <w:r w:rsidRPr="00C9343F">
              <w:rPr>
                <w:lang w:eastAsia="en-US"/>
              </w:rPr>
              <w:t xml:space="preserve"> 20 days of service in a 12 month period.</w:t>
            </w:r>
          </w:p>
        </w:tc>
      </w:tr>
      <w:tr w:rsidR="00083B82" w:rsidRPr="00C9343F" w14:paraId="5F099C17" w14:textId="77777777" w:rsidTr="00F945FD">
        <w:trPr>
          <w:cantSplit/>
        </w:trPr>
        <w:tc>
          <w:tcPr>
            <w:tcW w:w="992" w:type="dxa"/>
          </w:tcPr>
          <w:p w14:paraId="0EA12916" w14:textId="77777777" w:rsidR="00083B82" w:rsidRPr="00C9343F" w:rsidRDefault="00083B82" w:rsidP="00F66D98">
            <w:pPr>
              <w:pStyle w:val="BlockText-Plain"/>
              <w:spacing w:line="276" w:lineRule="auto"/>
              <w:rPr>
                <w:lang w:eastAsia="en-US"/>
              </w:rPr>
            </w:pPr>
          </w:p>
        </w:tc>
        <w:tc>
          <w:tcPr>
            <w:tcW w:w="8374" w:type="dxa"/>
            <w:gridSpan w:val="3"/>
          </w:tcPr>
          <w:p w14:paraId="57B1E777" w14:textId="77777777" w:rsidR="00083B82" w:rsidRPr="00C9343F" w:rsidRDefault="00083B82" w:rsidP="00F66D98">
            <w:pPr>
              <w:pStyle w:val="BlockText-Plain"/>
              <w:rPr>
                <w:lang w:eastAsia="en-US"/>
              </w:rPr>
            </w:pPr>
            <w:r w:rsidRPr="00C9343F">
              <w:rPr>
                <w:b/>
                <w:lang w:eastAsia="en-US"/>
              </w:rPr>
              <w:t xml:space="preserve">Notes: </w:t>
            </w:r>
            <w:r w:rsidRPr="00C9343F">
              <w:rPr>
                <w:b/>
                <w:lang w:eastAsia="en-US"/>
              </w:rPr>
              <w:br/>
            </w:r>
            <w:r w:rsidRPr="00C9343F">
              <w:rPr>
                <w:lang w:eastAsia="en-US"/>
              </w:rPr>
              <w:t xml:space="preserve">1. The advancement period commences on the later of one of the dates set out in paragraph 4.b. </w:t>
            </w:r>
            <w:r w:rsidRPr="00C9343F">
              <w:rPr>
                <w:lang w:eastAsia="en-US"/>
              </w:rPr>
              <w:br/>
              <w:t xml:space="preserve">2. A day of Reserve service is calculated based on the proportion of the daily rate the member is paid for the duty under section A.1.5 of DFRT Determination No. 2 of 2017, </w:t>
            </w:r>
            <w:r w:rsidRPr="00C9343F">
              <w:rPr>
                <w:i/>
                <w:lang w:eastAsia="en-US"/>
              </w:rPr>
              <w:t>Salaries</w:t>
            </w:r>
            <w:r w:rsidRPr="00C9343F">
              <w:rPr>
                <w:lang w:eastAsia="en-US"/>
              </w:rPr>
              <w:t>.</w:t>
            </w:r>
          </w:p>
        </w:tc>
      </w:tr>
      <w:tr w:rsidR="00083B82" w:rsidRPr="00C9343F" w14:paraId="5F9DC36D" w14:textId="77777777" w:rsidTr="00F945FD">
        <w:trPr>
          <w:cantSplit/>
        </w:trPr>
        <w:tc>
          <w:tcPr>
            <w:tcW w:w="992" w:type="dxa"/>
          </w:tcPr>
          <w:p w14:paraId="0EB612B9" w14:textId="77777777" w:rsidR="00083B82" w:rsidRPr="00C9343F" w:rsidRDefault="00083B82" w:rsidP="00F66D98">
            <w:pPr>
              <w:pStyle w:val="BlockText-Plain"/>
              <w:spacing w:line="276" w:lineRule="auto"/>
              <w:jc w:val="center"/>
              <w:rPr>
                <w:lang w:eastAsia="en-US"/>
              </w:rPr>
            </w:pPr>
            <w:r w:rsidRPr="00C9343F">
              <w:rPr>
                <w:lang w:eastAsia="en-US"/>
              </w:rPr>
              <w:t>2.</w:t>
            </w:r>
          </w:p>
        </w:tc>
        <w:tc>
          <w:tcPr>
            <w:tcW w:w="8374" w:type="dxa"/>
            <w:gridSpan w:val="3"/>
          </w:tcPr>
          <w:p w14:paraId="79F8FA0D" w14:textId="77777777" w:rsidR="00083B82" w:rsidRPr="00C9343F" w:rsidRDefault="00083B82" w:rsidP="00F66D98">
            <w:pPr>
              <w:pStyle w:val="BlockText-Plain"/>
              <w:rPr>
                <w:lang w:eastAsia="en-US"/>
              </w:rPr>
            </w:pPr>
            <w:r w:rsidRPr="00C9343F">
              <w:rPr>
                <w:lang w:eastAsia="en-US"/>
              </w:rPr>
              <w:t>For the purpose of calculating the advancement period under subsection 1, the advancement period is extended by any period when the member is on leave without pay or is absent without leave.</w:t>
            </w:r>
          </w:p>
        </w:tc>
      </w:tr>
      <w:tr w:rsidR="00083B82" w:rsidRPr="00C9343F" w14:paraId="0DC26211" w14:textId="77777777" w:rsidTr="00F945FD">
        <w:tc>
          <w:tcPr>
            <w:tcW w:w="992" w:type="dxa"/>
            <w:hideMark/>
          </w:tcPr>
          <w:p w14:paraId="425F0C6E" w14:textId="77777777" w:rsidR="00083B82" w:rsidRPr="00C9343F" w:rsidRDefault="00083B82" w:rsidP="00F66D98">
            <w:pPr>
              <w:pStyle w:val="BlockText-Plain"/>
              <w:keepNext/>
              <w:keepLines/>
              <w:spacing w:line="276" w:lineRule="auto"/>
              <w:jc w:val="center"/>
              <w:rPr>
                <w:lang w:eastAsia="en-US"/>
              </w:rPr>
            </w:pPr>
            <w:r w:rsidRPr="00C9343F">
              <w:rPr>
                <w:lang w:eastAsia="en-US"/>
              </w:rPr>
              <w:t>3.</w:t>
            </w:r>
          </w:p>
        </w:tc>
        <w:tc>
          <w:tcPr>
            <w:tcW w:w="8374" w:type="dxa"/>
            <w:gridSpan w:val="3"/>
            <w:hideMark/>
          </w:tcPr>
          <w:p w14:paraId="536CBE03" w14:textId="77777777" w:rsidR="00083B82" w:rsidRPr="00C9343F" w:rsidRDefault="00083B82" w:rsidP="00F66D98">
            <w:pPr>
              <w:pStyle w:val="BlockText-Plain"/>
              <w:keepNext/>
              <w:keepLines/>
              <w:rPr>
                <w:lang w:eastAsia="en-US"/>
              </w:rPr>
            </w:pPr>
            <w:r w:rsidRPr="00C9343F">
              <w:rPr>
                <w:lang w:eastAsia="en-US"/>
              </w:rPr>
              <w:t>A member whose Officer Aviation increment is below the top increment for the member's rank, pathway and competency stream will advance to the next Officer Aviation increment within the member’s rank, pathway and competency stream at the end of the advancement period when one of the following is met.</w:t>
            </w:r>
          </w:p>
        </w:tc>
      </w:tr>
      <w:tr w:rsidR="00083B82" w:rsidRPr="00C9343F" w14:paraId="6B049568" w14:textId="77777777" w:rsidTr="00F945FD">
        <w:trPr>
          <w:cantSplit/>
        </w:trPr>
        <w:tc>
          <w:tcPr>
            <w:tcW w:w="992" w:type="dxa"/>
          </w:tcPr>
          <w:p w14:paraId="7538EC02" w14:textId="77777777" w:rsidR="00083B82" w:rsidRPr="00C9343F" w:rsidRDefault="00083B82" w:rsidP="00F66D98">
            <w:pPr>
              <w:pStyle w:val="BlockText-Plain"/>
              <w:spacing w:line="276" w:lineRule="auto"/>
              <w:rPr>
                <w:lang w:eastAsia="en-US"/>
              </w:rPr>
            </w:pPr>
          </w:p>
        </w:tc>
        <w:tc>
          <w:tcPr>
            <w:tcW w:w="567" w:type="dxa"/>
            <w:hideMark/>
          </w:tcPr>
          <w:p w14:paraId="23C2EDA8" w14:textId="77777777" w:rsidR="00083B82" w:rsidRPr="00C9343F" w:rsidRDefault="00083B82" w:rsidP="007114B1">
            <w:pPr>
              <w:pStyle w:val="BlockText-Plain"/>
              <w:spacing w:line="276" w:lineRule="auto"/>
              <w:jc w:val="center"/>
              <w:rPr>
                <w:lang w:eastAsia="en-US"/>
              </w:rPr>
            </w:pPr>
            <w:r w:rsidRPr="00C9343F">
              <w:rPr>
                <w:lang w:eastAsia="en-US"/>
              </w:rPr>
              <w:t>a.</w:t>
            </w:r>
          </w:p>
        </w:tc>
        <w:tc>
          <w:tcPr>
            <w:tcW w:w="7807" w:type="dxa"/>
            <w:gridSpan w:val="2"/>
            <w:hideMark/>
          </w:tcPr>
          <w:p w14:paraId="08241349" w14:textId="77777777" w:rsidR="00083B82" w:rsidRPr="00C9343F" w:rsidRDefault="00083B82" w:rsidP="00F66D98">
            <w:pPr>
              <w:pStyle w:val="BlockText-Plain"/>
              <w:rPr>
                <w:lang w:eastAsia="en-US"/>
              </w:rPr>
            </w:pPr>
            <w:r w:rsidRPr="00C9343F">
              <w:rPr>
                <w:lang w:eastAsia="en-US"/>
              </w:rPr>
              <w:t>Unless one of paragraphs b to d applies, the member has performed their duties at the standard of competence for the member’s rank, pathway and competency stream for 12 months commencing on the later of the following dates.</w:t>
            </w:r>
          </w:p>
        </w:tc>
      </w:tr>
      <w:tr w:rsidR="00083B82" w:rsidRPr="00C9343F" w14:paraId="21F1BC11" w14:textId="77777777" w:rsidTr="00F945FD">
        <w:trPr>
          <w:cantSplit/>
        </w:trPr>
        <w:tc>
          <w:tcPr>
            <w:tcW w:w="1559" w:type="dxa"/>
            <w:gridSpan w:val="2"/>
          </w:tcPr>
          <w:p w14:paraId="29E4B855" w14:textId="77777777" w:rsidR="00083B82" w:rsidRPr="00C9343F" w:rsidRDefault="00083B82" w:rsidP="00F66D98">
            <w:pPr>
              <w:pStyle w:val="BlockText-Plain"/>
              <w:spacing w:line="276" w:lineRule="auto"/>
              <w:rPr>
                <w:lang w:eastAsia="en-US"/>
              </w:rPr>
            </w:pPr>
          </w:p>
        </w:tc>
        <w:tc>
          <w:tcPr>
            <w:tcW w:w="567" w:type="dxa"/>
            <w:hideMark/>
          </w:tcPr>
          <w:p w14:paraId="468070F7" w14:textId="77777777" w:rsidR="00083B82" w:rsidRPr="00C9343F" w:rsidRDefault="00083B82" w:rsidP="007114B1">
            <w:pPr>
              <w:pStyle w:val="BlockText-Plain"/>
              <w:rPr>
                <w:lang w:eastAsia="en-US"/>
              </w:rPr>
            </w:pPr>
            <w:r w:rsidRPr="00C9343F">
              <w:rPr>
                <w:lang w:eastAsia="en-US"/>
              </w:rPr>
              <w:t>i.</w:t>
            </w:r>
          </w:p>
        </w:tc>
        <w:tc>
          <w:tcPr>
            <w:tcW w:w="7240" w:type="dxa"/>
            <w:hideMark/>
          </w:tcPr>
          <w:p w14:paraId="487A96A3" w14:textId="77777777" w:rsidR="00083B82" w:rsidRPr="00C9343F" w:rsidRDefault="00083B82" w:rsidP="00F66D98">
            <w:pPr>
              <w:pStyle w:val="BlockText-Plain"/>
              <w:rPr>
                <w:lang w:eastAsia="en-US"/>
              </w:rPr>
            </w:pPr>
            <w:r w:rsidRPr="00C9343F">
              <w:rPr>
                <w:lang w:eastAsia="en-US"/>
              </w:rPr>
              <w:t>The day of the member's appointment as an officer.</w:t>
            </w:r>
          </w:p>
        </w:tc>
      </w:tr>
      <w:tr w:rsidR="00083B82" w:rsidRPr="00C9343F" w14:paraId="7A59DCD8" w14:textId="77777777" w:rsidTr="00F945FD">
        <w:trPr>
          <w:cantSplit/>
        </w:trPr>
        <w:tc>
          <w:tcPr>
            <w:tcW w:w="1559" w:type="dxa"/>
            <w:gridSpan w:val="2"/>
          </w:tcPr>
          <w:p w14:paraId="51C88B47" w14:textId="77777777" w:rsidR="00083B82" w:rsidRPr="00C9343F" w:rsidRDefault="00083B82" w:rsidP="00F66D98">
            <w:pPr>
              <w:pStyle w:val="BlockText-Plain"/>
              <w:spacing w:line="276" w:lineRule="auto"/>
              <w:rPr>
                <w:lang w:eastAsia="en-US"/>
              </w:rPr>
            </w:pPr>
          </w:p>
        </w:tc>
        <w:tc>
          <w:tcPr>
            <w:tcW w:w="567" w:type="dxa"/>
          </w:tcPr>
          <w:p w14:paraId="1593F7FD" w14:textId="77777777" w:rsidR="00083B82" w:rsidRPr="00C9343F" w:rsidRDefault="00083B82" w:rsidP="007114B1">
            <w:pPr>
              <w:pStyle w:val="BlockText-Plain"/>
              <w:rPr>
                <w:lang w:eastAsia="en-US"/>
              </w:rPr>
            </w:pPr>
            <w:r w:rsidRPr="00C9343F">
              <w:rPr>
                <w:lang w:eastAsia="en-US"/>
              </w:rPr>
              <w:t>ii.</w:t>
            </w:r>
          </w:p>
        </w:tc>
        <w:tc>
          <w:tcPr>
            <w:tcW w:w="7240" w:type="dxa"/>
          </w:tcPr>
          <w:p w14:paraId="689D6C8A" w14:textId="77777777" w:rsidR="00083B82" w:rsidRPr="00C9343F" w:rsidRDefault="00083B82" w:rsidP="00F66D98">
            <w:pPr>
              <w:pStyle w:val="BlockText-Plain"/>
              <w:rPr>
                <w:lang w:eastAsia="en-US"/>
              </w:rPr>
            </w:pPr>
            <w:r w:rsidRPr="00C9343F">
              <w:rPr>
                <w:lang w:eastAsia="en-US"/>
              </w:rPr>
              <w:t>The day of the member's most recent promotion.</w:t>
            </w:r>
          </w:p>
        </w:tc>
      </w:tr>
      <w:tr w:rsidR="00083B82" w:rsidRPr="00C9343F" w14:paraId="6A3A9E45" w14:textId="77777777" w:rsidTr="00F945FD">
        <w:trPr>
          <w:cantSplit/>
        </w:trPr>
        <w:tc>
          <w:tcPr>
            <w:tcW w:w="1559" w:type="dxa"/>
            <w:gridSpan w:val="2"/>
          </w:tcPr>
          <w:p w14:paraId="647A4E31" w14:textId="77777777" w:rsidR="00083B82" w:rsidRPr="00C9343F" w:rsidRDefault="00083B82" w:rsidP="00F66D98">
            <w:pPr>
              <w:pStyle w:val="BlockText-Plain"/>
              <w:spacing w:line="276" w:lineRule="auto"/>
              <w:rPr>
                <w:lang w:eastAsia="en-US"/>
              </w:rPr>
            </w:pPr>
          </w:p>
        </w:tc>
        <w:tc>
          <w:tcPr>
            <w:tcW w:w="567" w:type="dxa"/>
          </w:tcPr>
          <w:p w14:paraId="4316943A" w14:textId="77777777" w:rsidR="00083B82" w:rsidRPr="00C9343F" w:rsidRDefault="00083B82" w:rsidP="007114B1">
            <w:pPr>
              <w:pStyle w:val="BlockText-Plain"/>
              <w:rPr>
                <w:lang w:eastAsia="en-US"/>
              </w:rPr>
            </w:pPr>
            <w:r w:rsidRPr="00C9343F">
              <w:rPr>
                <w:lang w:eastAsia="en-US"/>
              </w:rPr>
              <w:t>iii.</w:t>
            </w:r>
          </w:p>
        </w:tc>
        <w:tc>
          <w:tcPr>
            <w:tcW w:w="7240" w:type="dxa"/>
          </w:tcPr>
          <w:p w14:paraId="54415A86" w14:textId="77777777" w:rsidR="00083B82" w:rsidRPr="00C9343F" w:rsidRDefault="00083B82" w:rsidP="00F66D98">
            <w:pPr>
              <w:pStyle w:val="BlockText-Plain"/>
              <w:rPr>
                <w:lang w:eastAsia="en-US"/>
              </w:rPr>
            </w:pPr>
            <w:r w:rsidRPr="00C9343F">
              <w:rPr>
                <w:lang w:eastAsia="en-US"/>
              </w:rPr>
              <w:t>The day of the member's last increment advancement in the Officer Aviation Pay Structure.</w:t>
            </w:r>
          </w:p>
        </w:tc>
      </w:tr>
      <w:tr w:rsidR="00083B82" w:rsidRPr="00C9343F" w14:paraId="750DA15B" w14:textId="77777777" w:rsidTr="00F945FD">
        <w:trPr>
          <w:cantSplit/>
        </w:trPr>
        <w:tc>
          <w:tcPr>
            <w:tcW w:w="992" w:type="dxa"/>
          </w:tcPr>
          <w:p w14:paraId="65D6A3DE" w14:textId="77777777" w:rsidR="00083B82" w:rsidRPr="00C9343F" w:rsidRDefault="00083B82" w:rsidP="00F66D98">
            <w:pPr>
              <w:pStyle w:val="BlockText-Plain"/>
              <w:spacing w:line="276" w:lineRule="auto"/>
              <w:rPr>
                <w:lang w:eastAsia="en-US"/>
              </w:rPr>
            </w:pPr>
          </w:p>
        </w:tc>
        <w:tc>
          <w:tcPr>
            <w:tcW w:w="567" w:type="dxa"/>
            <w:hideMark/>
          </w:tcPr>
          <w:p w14:paraId="76595D94" w14:textId="77777777" w:rsidR="00083B82" w:rsidRPr="00C9343F" w:rsidRDefault="00083B82" w:rsidP="007114B1">
            <w:pPr>
              <w:pStyle w:val="BlockText-Plain"/>
              <w:spacing w:line="276" w:lineRule="auto"/>
              <w:jc w:val="center"/>
              <w:rPr>
                <w:lang w:eastAsia="en-US"/>
              </w:rPr>
            </w:pPr>
            <w:r w:rsidRPr="00C9343F">
              <w:rPr>
                <w:lang w:eastAsia="en-US"/>
              </w:rPr>
              <w:t>b.</w:t>
            </w:r>
          </w:p>
        </w:tc>
        <w:tc>
          <w:tcPr>
            <w:tcW w:w="7807" w:type="dxa"/>
            <w:gridSpan w:val="2"/>
          </w:tcPr>
          <w:p w14:paraId="5D67E01D" w14:textId="77777777" w:rsidR="00083B82" w:rsidRPr="00C9343F" w:rsidRDefault="00083B82" w:rsidP="00F66D98">
            <w:pPr>
              <w:pStyle w:val="BlockText-Plain"/>
              <w:rPr>
                <w:lang w:eastAsia="en-US"/>
              </w:rPr>
            </w:pPr>
            <w:r w:rsidRPr="00C9343F">
              <w:rPr>
                <w:lang w:eastAsia="en-US"/>
              </w:rPr>
              <w:t xml:space="preserve">The member is in the Navy at the rank of Sub Lieutenant or Lieutenant and has completed both of the following on or after 1 July 2019 and has performed their duties for 12 months at the standard of competence for their rank, pathway and competency stream commencing on the day they completed both of the following. </w:t>
            </w:r>
          </w:p>
        </w:tc>
      </w:tr>
      <w:tr w:rsidR="00083B82" w:rsidRPr="00C9343F" w14:paraId="2C8284CE" w14:textId="77777777" w:rsidTr="00F945FD">
        <w:trPr>
          <w:cantSplit/>
        </w:trPr>
        <w:tc>
          <w:tcPr>
            <w:tcW w:w="1559" w:type="dxa"/>
            <w:gridSpan w:val="2"/>
          </w:tcPr>
          <w:p w14:paraId="26F424AF" w14:textId="77777777" w:rsidR="00083B82" w:rsidRPr="00C9343F" w:rsidRDefault="00083B82" w:rsidP="00F66D98">
            <w:pPr>
              <w:pStyle w:val="BlockText-Plain"/>
              <w:spacing w:line="276" w:lineRule="auto"/>
              <w:rPr>
                <w:lang w:eastAsia="en-US"/>
              </w:rPr>
            </w:pPr>
          </w:p>
        </w:tc>
        <w:tc>
          <w:tcPr>
            <w:tcW w:w="567" w:type="dxa"/>
            <w:hideMark/>
          </w:tcPr>
          <w:p w14:paraId="7F301487" w14:textId="77777777" w:rsidR="00083B82" w:rsidRPr="00C9343F" w:rsidRDefault="00083B82" w:rsidP="007114B1">
            <w:pPr>
              <w:pStyle w:val="BlockText-Plain"/>
              <w:rPr>
                <w:lang w:eastAsia="en-US"/>
              </w:rPr>
            </w:pPr>
            <w:r w:rsidRPr="00C9343F">
              <w:rPr>
                <w:lang w:eastAsia="en-US"/>
              </w:rPr>
              <w:t>i.</w:t>
            </w:r>
          </w:p>
        </w:tc>
        <w:tc>
          <w:tcPr>
            <w:tcW w:w="7240" w:type="dxa"/>
          </w:tcPr>
          <w:p w14:paraId="72907FC4" w14:textId="77777777" w:rsidR="00083B82" w:rsidRPr="00C9343F" w:rsidRDefault="00083B82" w:rsidP="00F66D98">
            <w:pPr>
              <w:pStyle w:val="BlockText-Plain"/>
              <w:rPr>
                <w:lang w:eastAsia="en-US"/>
              </w:rPr>
            </w:pPr>
            <w:r w:rsidRPr="00C9343F">
              <w:rPr>
                <w:lang w:eastAsia="en-US"/>
              </w:rPr>
              <w:t>Operational flying training on a military aircraft.</w:t>
            </w:r>
          </w:p>
        </w:tc>
      </w:tr>
      <w:tr w:rsidR="00083B82" w:rsidRPr="00C9343F" w14:paraId="11BFD99E" w14:textId="77777777" w:rsidTr="00F945FD">
        <w:trPr>
          <w:cantSplit/>
        </w:trPr>
        <w:tc>
          <w:tcPr>
            <w:tcW w:w="1559" w:type="dxa"/>
            <w:gridSpan w:val="2"/>
          </w:tcPr>
          <w:p w14:paraId="262D9D64" w14:textId="77777777" w:rsidR="00083B82" w:rsidRPr="00C9343F" w:rsidRDefault="00083B82" w:rsidP="00F66D98">
            <w:pPr>
              <w:pStyle w:val="BlockText-Plain"/>
              <w:spacing w:line="276" w:lineRule="auto"/>
              <w:rPr>
                <w:lang w:eastAsia="en-US"/>
              </w:rPr>
            </w:pPr>
          </w:p>
        </w:tc>
        <w:tc>
          <w:tcPr>
            <w:tcW w:w="567" w:type="dxa"/>
          </w:tcPr>
          <w:p w14:paraId="3EFBD4E7" w14:textId="77777777" w:rsidR="00083B82" w:rsidRPr="00C9343F" w:rsidRDefault="00083B82" w:rsidP="007114B1">
            <w:pPr>
              <w:pStyle w:val="BlockText-Plain"/>
              <w:rPr>
                <w:lang w:eastAsia="en-US"/>
              </w:rPr>
            </w:pPr>
            <w:r w:rsidRPr="00C9343F">
              <w:rPr>
                <w:lang w:eastAsia="en-US"/>
              </w:rPr>
              <w:t>ii.</w:t>
            </w:r>
          </w:p>
        </w:tc>
        <w:tc>
          <w:tcPr>
            <w:tcW w:w="7240" w:type="dxa"/>
          </w:tcPr>
          <w:p w14:paraId="5E237802" w14:textId="77777777" w:rsidR="00083B82" w:rsidRPr="00C9343F" w:rsidRDefault="00083B82" w:rsidP="00F66D98">
            <w:pPr>
              <w:pStyle w:val="BlockText-Plain"/>
              <w:rPr>
                <w:lang w:eastAsia="en-US"/>
              </w:rPr>
            </w:pPr>
            <w:r w:rsidRPr="00C9343F">
              <w:rPr>
                <w:lang w:eastAsia="en-US"/>
              </w:rPr>
              <w:t>12 months experience on the aircraft following operation training.</w:t>
            </w:r>
          </w:p>
        </w:tc>
      </w:tr>
      <w:tr w:rsidR="00100DD1" w:rsidRPr="00C9343F" w14:paraId="3F0A75DA" w14:textId="77777777" w:rsidTr="00F945FD">
        <w:trPr>
          <w:cantSplit/>
        </w:trPr>
        <w:tc>
          <w:tcPr>
            <w:tcW w:w="992" w:type="dxa"/>
          </w:tcPr>
          <w:p w14:paraId="241A4D5B" w14:textId="77777777" w:rsidR="00100DD1" w:rsidRPr="00C9343F" w:rsidRDefault="00100DD1" w:rsidP="00F66D98">
            <w:pPr>
              <w:pStyle w:val="BlockText-Plain"/>
              <w:rPr>
                <w:lang w:eastAsia="en-US"/>
              </w:rPr>
            </w:pPr>
          </w:p>
        </w:tc>
        <w:tc>
          <w:tcPr>
            <w:tcW w:w="567" w:type="dxa"/>
          </w:tcPr>
          <w:p w14:paraId="20165C46" w14:textId="5EF1FF36" w:rsidR="00100DD1" w:rsidRPr="00C9343F" w:rsidRDefault="00100DD1" w:rsidP="007114B1">
            <w:pPr>
              <w:pStyle w:val="BlockText-Plain"/>
              <w:jc w:val="center"/>
              <w:rPr>
                <w:lang w:eastAsia="en-US"/>
              </w:rPr>
            </w:pPr>
            <w:r w:rsidRPr="00C9343F">
              <w:rPr>
                <w:lang w:eastAsia="en-US"/>
              </w:rPr>
              <w:t>ba.</w:t>
            </w:r>
          </w:p>
        </w:tc>
        <w:tc>
          <w:tcPr>
            <w:tcW w:w="7807" w:type="dxa"/>
            <w:gridSpan w:val="2"/>
          </w:tcPr>
          <w:p w14:paraId="14DEB675" w14:textId="55FB5005" w:rsidR="00100DD1" w:rsidRPr="00C9343F" w:rsidRDefault="00100DD1" w:rsidP="00F66D98">
            <w:pPr>
              <w:pStyle w:val="Sectiontext0"/>
              <w:rPr>
                <w:lang w:eastAsia="en-US"/>
              </w:rPr>
            </w:pPr>
            <w:r w:rsidRPr="00C9343F">
              <w:t>The member is in the Navy at the rank of Sub Lieutenant or Lieutenant and performed their duties for 12 months at the standard of competence for their rank, pathway and competency stream commencing on the day they meet both of the following.</w:t>
            </w:r>
          </w:p>
        </w:tc>
      </w:tr>
      <w:tr w:rsidR="00100DD1" w:rsidRPr="00C9343F" w14:paraId="480CA5DA" w14:textId="77777777" w:rsidTr="000560BD">
        <w:trPr>
          <w:cantSplit/>
        </w:trPr>
        <w:tc>
          <w:tcPr>
            <w:tcW w:w="1559" w:type="dxa"/>
            <w:gridSpan w:val="2"/>
          </w:tcPr>
          <w:p w14:paraId="03ABFFB5" w14:textId="39F39213" w:rsidR="00100DD1" w:rsidRPr="00C9343F" w:rsidRDefault="00100DD1" w:rsidP="00F66D98">
            <w:pPr>
              <w:pStyle w:val="Sectiontext0"/>
              <w:rPr>
                <w:lang w:eastAsia="en-US"/>
              </w:rPr>
            </w:pPr>
          </w:p>
        </w:tc>
        <w:tc>
          <w:tcPr>
            <w:tcW w:w="567" w:type="dxa"/>
            <w:hideMark/>
          </w:tcPr>
          <w:p w14:paraId="787D7D6B" w14:textId="77777777" w:rsidR="00100DD1" w:rsidRPr="00C9343F" w:rsidRDefault="00100DD1" w:rsidP="007114B1">
            <w:pPr>
              <w:pStyle w:val="Sectiontext0"/>
              <w:rPr>
                <w:lang w:eastAsia="en-US"/>
              </w:rPr>
            </w:pPr>
            <w:r w:rsidRPr="00C9343F">
              <w:rPr>
                <w:lang w:eastAsia="en-US"/>
              </w:rPr>
              <w:t>i.</w:t>
            </w:r>
          </w:p>
        </w:tc>
        <w:tc>
          <w:tcPr>
            <w:tcW w:w="7240" w:type="dxa"/>
          </w:tcPr>
          <w:p w14:paraId="01417AB2" w14:textId="0602F166" w:rsidR="00100DD1" w:rsidRPr="00C9343F" w:rsidRDefault="00100DD1" w:rsidP="00F66D98">
            <w:pPr>
              <w:pStyle w:val="Sectiontext0"/>
              <w:rPr>
                <w:lang w:eastAsia="en-US"/>
              </w:rPr>
            </w:pPr>
            <w:r w:rsidRPr="00C9343F">
              <w:t>The member completed remote pilot warfare officer training.</w:t>
            </w:r>
          </w:p>
        </w:tc>
      </w:tr>
      <w:tr w:rsidR="00100DD1" w:rsidRPr="00C9343F" w14:paraId="6DE98AD8" w14:textId="77777777" w:rsidTr="000560BD">
        <w:trPr>
          <w:cantSplit/>
        </w:trPr>
        <w:tc>
          <w:tcPr>
            <w:tcW w:w="1559" w:type="dxa"/>
            <w:gridSpan w:val="2"/>
          </w:tcPr>
          <w:p w14:paraId="284375F6" w14:textId="2F310113" w:rsidR="00100DD1" w:rsidRPr="00C9343F" w:rsidRDefault="00100DD1" w:rsidP="00F66D98">
            <w:pPr>
              <w:pStyle w:val="Sectiontext0"/>
              <w:rPr>
                <w:lang w:eastAsia="en-US"/>
              </w:rPr>
            </w:pPr>
          </w:p>
        </w:tc>
        <w:tc>
          <w:tcPr>
            <w:tcW w:w="567" w:type="dxa"/>
          </w:tcPr>
          <w:p w14:paraId="3F113489" w14:textId="77777777" w:rsidR="00100DD1" w:rsidRPr="00C9343F" w:rsidRDefault="00100DD1" w:rsidP="007114B1">
            <w:pPr>
              <w:pStyle w:val="Sectiontext0"/>
              <w:rPr>
                <w:lang w:eastAsia="en-US"/>
              </w:rPr>
            </w:pPr>
            <w:r w:rsidRPr="00C9343F">
              <w:rPr>
                <w:lang w:eastAsia="en-US"/>
              </w:rPr>
              <w:t>ii.</w:t>
            </w:r>
          </w:p>
        </w:tc>
        <w:tc>
          <w:tcPr>
            <w:tcW w:w="7240" w:type="dxa"/>
          </w:tcPr>
          <w:p w14:paraId="12194144" w14:textId="43B5C41A" w:rsidR="00100DD1" w:rsidRPr="00C9343F" w:rsidRDefault="00100DD1" w:rsidP="00F66D98">
            <w:pPr>
              <w:pStyle w:val="Sectiontext0"/>
              <w:rPr>
                <w:lang w:eastAsia="en-US"/>
              </w:rPr>
            </w:pPr>
            <w:r w:rsidRPr="00C9343F">
              <w:t>The member has completed 4 ½ years of service since either graduating from the Australian Defence Force Academy or, if the member is a direct entry officer, completing officer training.</w:t>
            </w:r>
          </w:p>
        </w:tc>
      </w:tr>
      <w:tr w:rsidR="00083B82" w:rsidRPr="00C9343F" w14:paraId="4EFAEE49" w14:textId="77777777" w:rsidTr="00F945FD">
        <w:trPr>
          <w:cantSplit/>
        </w:trPr>
        <w:tc>
          <w:tcPr>
            <w:tcW w:w="992" w:type="dxa"/>
          </w:tcPr>
          <w:p w14:paraId="080C43AA" w14:textId="77777777" w:rsidR="00083B82" w:rsidRPr="00C9343F" w:rsidRDefault="00083B82" w:rsidP="00F66D98">
            <w:pPr>
              <w:pStyle w:val="BlockText-Plain"/>
              <w:rPr>
                <w:lang w:eastAsia="en-US"/>
              </w:rPr>
            </w:pPr>
          </w:p>
        </w:tc>
        <w:tc>
          <w:tcPr>
            <w:tcW w:w="567" w:type="dxa"/>
          </w:tcPr>
          <w:p w14:paraId="598C8C40" w14:textId="77777777" w:rsidR="00083B82" w:rsidRPr="00C9343F" w:rsidRDefault="00083B82" w:rsidP="007114B1">
            <w:pPr>
              <w:pStyle w:val="BlockText-Plain"/>
              <w:jc w:val="center"/>
              <w:rPr>
                <w:lang w:eastAsia="en-US"/>
              </w:rPr>
            </w:pPr>
            <w:r w:rsidRPr="00C9343F">
              <w:rPr>
                <w:lang w:eastAsia="en-US"/>
              </w:rPr>
              <w:t>c.</w:t>
            </w:r>
          </w:p>
        </w:tc>
        <w:tc>
          <w:tcPr>
            <w:tcW w:w="7807" w:type="dxa"/>
            <w:gridSpan w:val="2"/>
          </w:tcPr>
          <w:p w14:paraId="7FED55A1" w14:textId="77777777" w:rsidR="00083B82" w:rsidRPr="00C9343F" w:rsidRDefault="00083B82" w:rsidP="00F66D98">
            <w:pPr>
              <w:pStyle w:val="BlockText-Plain"/>
              <w:rPr>
                <w:lang w:eastAsia="en-US"/>
              </w:rPr>
            </w:pPr>
            <w:r w:rsidRPr="00C9343F">
              <w:rPr>
                <w:lang w:eastAsia="en-US"/>
              </w:rPr>
              <w:t>The member is in the Navy Command pathway or the Army Generalist pathway with a command appointment and has performed their duties at the standard of competence for their rank, pathway and competency stream for 12 months commencing from the date of the member's command appointment.</w:t>
            </w:r>
          </w:p>
        </w:tc>
      </w:tr>
      <w:tr w:rsidR="00083B82" w:rsidRPr="00C9343F" w14:paraId="0AD502A3" w14:textId="77777777" w:rsidTr="00F945FD">
        <w:trPr>
          <w:cantSplit/>
        </w:trPr>
        <w:tc>
          <w:tcPr>
            <w:tcW w:w="992" w:type="dxa"/>
          </w:tcPr>
          <w:p w14:paraId="0B943679" w14:textId="77777777" w:rsidR="00083B82" w:rsidRPr="00C9343F" w:rsidRDefault="00083B82" w:rsidP="00F66D98">
            <w:pPr>
              <w:pStyle w:val="BlockText-Plain"/>
              <w:rPr>
                <w:lang w:eastAsia="en-US"/>
              </w:rPr>
            </w:pPr>
          </w:p>
        </w:tc>
        <w:tc>
          <w:tcPr>
            <w:tcW w:w="567" w:type="dxa"/>
          </w:tcPr>
          <w:p w14:paraId="4FFA6C2A" w14:textId="77777777" w:rsidR="00083B82" w:rsidRPr="00C9343F" w:rsidRDefault="00083B82" w:rsidP="007114B1">
            <w:pPr>
              <w:pStyle w:val="BlockText-Plain"/>
              <w:jc w:val="center"/>
              <w:rPr>
                <w:lang w:eastAsia="en-US"/>
              </w:rPr>
            </w:pPr>
            <w:r w:rsidRPr="00C9343F">
              <w:rPr>
                <w:lang w:eastAsia="en-US"/>
              </w:rPr>
              <w:t>d.</w:t>
            </w:r>
          </w:p>
        </w:tc>
        <w:tc>
          <w:tcPr>
            <w:tcW w:w="7807" w:type="dxa"/>
            <w:gridSpan w:val="2"/>
          </w:tcPr>
          <w:p w14:paraId="5514678A" w14:textId="77777777" w:rsidR="00083B82" w:rsidRPr="00C9343F" w:rsidRDefault="00083B82" w:rsidP="00F66D98">
            <w:pPr>
              <w:pStyle w:val="BlockText-Plain"/>
              <w:rPr>
                <w:lang w:eastAsia="en-US"/>
              </w:rPr>
            </w:pPr>
            <w:r w:rsidRPr="00C9343F">
              <w:rPr>
                <w:lang w:eastAsia="en-US"/>
              </w:rPr>
              <w:t>The member is in the Air Force in the Specialist pathway and has performed their duties at the standard of competence for their rank, pathway and competency stream for 12 months commencing from the date of the member's transfer to the Specialist pathway.</w:t>
            </w:r>
          </w:p>
        </w:tc>
      </w:tr>
      <w:tr w:rsidR="00083B82" w:rsidRPr="00C9343F" w14:paraId="42E0AF1A" w14:textId="77777777" w:rsidTr="00F945FD">
        <w:trPr>
          <w:cantSplit/>
        </w:trPr>
        <w:tc>
          <w:tcPr>
            <w:tcW w:w="992" w:type="dxa"/>
          </w:tcPr>
          <w:p w14:paraId="28D2D11A" w14:textId="77777777" w:rsidR="00083B82" w:rsidRPr="00C9343F" w:rsidRDefault="00083B82" w:rsidP="00F66D98">
            <w:pPr>
              <w:pStyle w:val="BlockText-Plain"/>
              <w:rPr>
                <w:lang w:eastAsia="en-US"/>
              </w:rPr>
            </w:pPr>
          </w:p>
        </w:tc>
        <w:tc>
          <w:tcPr>
            <w:tcW w:w="567" w:type="dxa"/>
          </w:tcPr>
          <w:p w14:paraId="3AAC9A87" w14:textId="77777777" w:rsidR="00083B82" w:rsidRPr="00C9343F" w:rsidRDefault="00083B82" w:rsidP="007114B1">
            <w:pPr>
              <w:pStyle w:val="BlockText-Plain"/>
              <w:jc w:val="center"/>
              <w:rPr>
                <w:lang w:eastAsia="en-US"/>
              </w:rPr>
            </w:pPr>
            <w:r w:rsidRPr="00C9343F">
              <w:rPr>
                <w:lang w:eastAsia="en-US"/>
              </w:rPr>
              <w:t>e.</w:t>
            </w:r>
          </w:p>
        </w:tc>
        <w:tc>
          <w:tcPr>
            <w:tcW w:w="7807" w:type="dxa"/>
            <w:gridSpan w:val="2"/>
          </w:tcPr>
          <w:p w14:paraId="0AB0FCD8" w14:textId="77777777" w:rsidR="00083B82" w:rsidRPr="00C9343F" w:rsidRDefault="00083B82" w:rsidP="00F66D98">
            <w:pPr>
              <w:pStyle w:val="BlockText-Plain"/>
              <w:rPr>
                <w:lang w:eastAsia="en-US"/>
              </w:rPr>
            </w:pPr>
            <w:r w:rsidRPr="00C9343F">
              <w:rPr>
                <w:lang w:eastAsia="en-US"/>
              </w:rPr>
              <w:t xml:space="preserve">The member is in the Air Force and holds the rank of either Pilot Officer or Flying Officer and has performed their duties at the standard of competence for their rank, pathway and competency stream for 12 months commencing on either of the following days. </w:t>
            </w:r>
          </w:p>
        </w:tc>
      </w:tr>
      <w:tr w:rsidR="00083B82" w:rsidRPr="00C9343F" w14:paraId="6E6246C4" w14:textId="77777777" w:rsidTr="00F945FD">
        <w:trPr>
          <w:cantSplit/>
        </w:trPr>
        <w:tc>
          <w:tcPr>
            <w:tcW w:w="1559" w:type="dxa"/>
            <w:gridSpan w:val="2"/>
          </w:tcPr>
          <w:p w14:paraId="40AA60F8" w14:textId="77777777" w:rsidR="00083B82" w:rsidRPr="00C9343F" w:rsidRDefault="00083B82" w:rsidP="00F66D98">
            <w:pPr>
              <w:pStyle w:val="BlockText-Plain"/>
              <w:spacing w:line="276" w:lineRule="auto"/>
              <w:rPr>
                <w:lang w:eastAsia="en-US"/>
              </w:rPr>
            </w:pPr>
          </w:p>
        </w:tc>
        <w:tc>
          <w:tcPr>
            <w:tcW w:w="567" w:type="dxa"/>
            <w:hideMark/>
          </w:tcPr>
          <w:p w14:paraId="6356F2D7" w14:textId="77777777" w:rsidR="00083B82" w:rsidRPr="00C9343F" w:rsidRDefault="00083B82" w:rsidP="007114B1">
            <w:pPr>
              <w:pStyle w:val="BlockText-Plain"/>
              <w:rPr>
                <w:lang w:eastAsia="en-US"/>
              </w:rPr>
            </w:pPr>
            <w:r w:rsidRPr="00C9343F">
              <w:rPr>
                <w:lang w:eastAsia="en-US"/>
              </w:rPr>
              <w:t>i.</w:t>
            </w:r>
          </w:p>
        </w:tc>
        <w:tc>
          <w:tcPr>
            <w:tcW w:w="7240" w:type="dxa"/>
          </w:tcPr>
          <w:p w14:paraId="19AF1FC3" w14:textId="77777777" w:rsidR="00083B82" w:rsidRPr="00C9343F" w:rsidRDefault="00083B82" w:rsidP="00F66D98">
            <w:pPr>
              <w:pStyle w:val="BlockText-Plain"/>
              <w:rPr>
                <w:lang w:eastAsia="en-US"/>
              </w:rPr>
            </w:pPr>
            <w:r w:rsidRPr="00C9343F">
              <w:rPr>
                <w:lang w:eastAsia="en-US"/>
              </w:rPr>
              <w:t>The day they entered the Officer Aviation Pay Structure.</w:t>
            </w:r>
          </w:p>
        </w:tc>
      </w:tr>
      <w:tr w:rsidR="00083B82" w:rsidRPr="00C9343F" w14:paraId="73144336" w14:textId="77777777" w:rsidTr="00F945FD">
        <w:trPr>
          <w:cantSplit/>
        </w:trPr>
        <w:tc>
          <w:tcPr>
            <w:tcW w:w="1559" w:type="dxa"/>
            <w:gridSpan w:val="2"/>
          </w:tcPr>
          <w:p w14:paraId="4B41BF9E" w14:textId="77777777" w:rsidR="00083B82" w:rsidRPr="00C9343F" w:rsidRDefault="00083B82" w:rsidP="00F66D98">
            <w:pPr>
              <w:pStyle w:val="BlockText-Plain"/>
              <w:spacing w:line="276" w:lineRule="auto"/>
              <w:rPr>
                <w:lang w:eastAsia="en-US"/>
              </w:rPr>
            </w:pPr>
          </w:p>
        </w:tc>
        <w:tc>
          <w:tcPr>
            <w:tcW w:w="567" w:type="dxa"/>
          </w:tcPr>
          <w:p w14:paraId="3460F853" w14:textId="77777777" w:rsidR="00083B82" w:rsidRPr="00C9343F" w:rsidRDefault="00083B82" w:rsidP="007114B1">
            <w:pPr>
              <w:pStyle w:val="BlockText-Plain"/>
              <w:rPr>
                <w:lang w:eastAsia="en-US"/>
              </w:rPr>
            </w:pPr>
            <w:r w:rsidRPr="00C9343F">
              <w:rPr>
                <w:lang w:eastAsia="en-US"/>
              </w:rPr>
              <w:t>ii.</w:t>
            </w:r>
          </w:p>
        </w:tc>
        <w:tc>
          <w:tcPr>
            <w:tcW w:w="7240" w:type="dxa"/>
          </w:tcPr>
          <w:p w14:paraId="07235F86" w14:textId="77777777" w:rsidR="00083B82" w:rsidRPr="00C9343F" w:rsidRDefault="00083B82" w:rsidP="00F66D98">
            <w:pPr>
              <w:pStyle w:val="BlockText-Plain"/>
              <w:rPr>
                <w:lang w:eastAsia="en-US"/>
              </w:rPr>
            </w:pPr>
            <w:r w:rsidRPr="00C9343F">
              <w:rPr>
                <w:lang w:eastAsia="en-US"/>
              </w:rPr>
              <w:t>The day of their last increment advancement in the Officer Aviation Pay Structure.</w:t>
            </w:r>
          </w:p>
        </w:tc>
      </w:tr>
      <w:tr w:rsidR="00083B82" w:rsidRPr="00C9343F" w14:paraId="64A8BDF6" w14:textId="77777777" w:rsidTr="00F945FD">
        <w:tblPrEx>
          <w:tblLook w:val="0000" w:firstRow="0" w:lastRow="0" w:firstColumn="0" w:lastColumn="0" w:noHBand="0" w:noVBand="0"/>
        </w:tblPrEx>
        <w:tc>
          <w:tcPr>
            <w:tcW w:w="992" w:type="dxa"/>
          </w:tcPr>
          <w:p w14:paraId="6B635CE9" w14:textId="77777777" w:rsidR="00083B82" w:rsidRPr="00C9343F" w:rsidRDefault="00083B82" w:rsidP="00F66D98">
            <w:pPr>
              <w:pStyle w:val="BlockText-Plain"/>
              <w:keepNext/>
              <w:keepLines/>
              <w:jc w:val="center"/>
            </w:pPr>
          </w:p>
        </w:tc>
        <w:tc>
          <w:tcPr>
            <w:tcW w:w="8374" w:type="dxa"/>
            <w:gridSpan w:val="3"/>
          </w:tcPr>
          <w:p w14:paraId="5DF03EDE" w14:textId="77777777" w:rsidR="00083B82" w:rsidRPr="00C9343F" w:rsidRDefault="00083B82" w:rsidP="00F66D98">
            <w:pPr>
              <w:pStyle w:val="BlockText-Plain"/>
              <w:keepNext/>
              <w:keepLines/>
              <w:rPr>
                <w:lang w:eastAsia="en-US"/>
              </w:rPr>
            </w:pPr>
            <w:r w:rsidRPr="00C9343F">
              <w:rPr>
                <w:b/>
              </w:rPr>
              <w:t xml:space="preserve">Note: </w:t>
            </w:r>
            <w:r w:rsidRPr="00C9343F">
              <w:t xml:space="preserve">Subsections B.3.8.5 and B.3.8.6 of </w:t>
            </w:r>
            <w:r w:rsidRPr="00C9343F">
              <w:rPr>
                <w:lang w:eastAsia="en-US"/>
              </w:rPr>
              <w:t xml:space="preserve">DFRT Determination No. 2 of 2017, </w:t>
            </w:r>
            <w:r w:rsidRPr="00C9343F">
              <w:rPr>
                <w:i/>
                <w:lang w:eastAsia="en-US"/>
              </w:rPr>
              <w:t>Salaries,</w:t>
            </w:r>
            <w:r w:rsidRPr="00C9343F">
              <w:rPr>
                <w:lang w:eastAsia="en-US"/>
              </w:rPr>
              <w:t xml:space="preserve"> limit the increment range for the following members and must be read in conjunction with these provisions.</w:t>
            </w:r>
            <w:r w:rsidRPr="00C9343F">
              <w:rPr>
                <w:lang w:eastAsia="en-US"/>
              </w:rPr>
              <w:br/>
              <w:t>1. A member in the Navy in the Command Pathway.</w:t>
            </w:r>
            <w:r w:rsidRPr="00C9343F">
              <w:rPr>
                <w:lang w:eastAsia="en-US"/>
              </w:rPr>
              <w:br/>
              <w:t>2. A member in the Army in the Generalist Pathway.</w:t>
            </w:r>
          </w:p>
        </w:tc>
      </w:tr>
      <w:tr w:rsidR="00083B82" w:rsidRPr="00C9343F" w14:paraId="5E5B9EFB" w14:textId="77777777" w:rsidTr="00F945FD">
        <w:tc>
          <w:tcPr>
            <w:tcW w:w="992" w:type="dxa"/>
            <w:hideMark/>
          </w:tcPr>
          <w:p w14:paraId="388C751D" w14:textId="77777777" w:rsidR="00083B82" w:rsidRPr="00C9343F" w:rsidRDefault="00083B82" w:rsidP="00F66D98">
            <w:pPr>
              <w:pStyle w:val="BlockText-Plain"/>
              <w:spacing w:line="276" w:lineRule="auto"/>
              <w:jc w:val="center"/>
              <w:rPr>
                <w:lang w:eastAsia="en-US"/>
              </w:rPr>
            </w:pPr>
            <w:r w:rsidRPr="00C9343F">
              <w:rPr>
                <w:lang w:eastAsia="en-US"/>
              </w:rPr>
              <w:t>4.</w:t>
            </w:r>
          </w:p>
        </w:tc>
        <w:tc>
          <w:tcPr>
            <w:tcW w:w="8374" w:type="dxa"/>
            <w:gridSpan w:val="3"/>
            <w:hideMark/>
          </w:tcPr>
          <w:p w14:paraId="7F759ED7" w14:textId="77777777" w:rsidR="00083B82" w:rsidRPr="00C9343F" w:rsidRDefault="00083B82" w:rsidP="00F66D98">
            <w:pPr>
              <w:pStyle w:val="BlockText-Plain"/>
              <w:rPr>
                <w:lang w:eastAsia="en-US"/>
              </w:rPr>
            </w:pPr>
            <w:r w:rsidRPr="00C9343F">
              <w:rPr>
                <w:lang w:eastAsia="en-US"/>
              </w:rPr>
              <w:t>Despite subsection 3, if the member did not perform their duties at the standard of competence under paragraph 3.b and did not advance to the next Officer Aviation increment the following apply.</w:t>
            </w:r>
          </w:p>
        </w:tc>
      </w:tr>
      <w:tr w:rsidR="00083B82" w:rsidRPr="00C9343F" w14:paraId="1ADFA842" w14:textId="77777777" w:rsidTr="00F945FD">
        <w:trPr>
          <w:cantSplit/>
        </w:trPr>
        <w:tc>
          <w:tcPr>
            <w:tcW w:w="992" w:type="dxa"/>
          </w:tcPr>
          <w:p w14:paraId="7BEEED34" w14:textId="77777777" w:rsidR="00083B82" w:rsidRPr="00C9343F" w:rsidRDefault="00083B82" w:rsidP="00F66D98">
            <w:pPr>
              <w:pStyle w:val="BlockText-Plain"/>
              <w:spacing w:line="276" w:lineRule="auto"/>
              <w:rPr>
                <w:lang w:eastAsia="en-US"/>
              </w:rPr>
            </w:pPr>
          </w:p>
        </w:tc>
        <w:tc>
          <w:tcPr>
            <w:tcW w:w="567" w:type="dxa"/>
            <w:hideMark/>
          </w:tcPr>
          <w:p w14:paraId="180EE4EB" w14:textId="77777777" w:rsidR="00083B82" w:rsidRPr="00C9343F" w:rsidRDefault="00083B82" w:rsidP="007114B1">
            <w:pPr>
              <w:pStyle w:val="BlockText-Plain"/>
              <w:spacing w:line="276" w:lineRule="auto"/>
              <w:jc w:val="center"/>
              <w:rPr>
                <w:lang w:eastAsia="en-US"/>
              </w:rPr>
            </w:pPr>
            <w:r w:rsidRPr="00C9343F">
              <w:rPr>
                <w:lang w:eastAsia="en-US"/>
              </w:rPr>
              <w:t>a.</w:t>
            </w:r>
          </w:p>
        </w:tc>
        <w:tc>
          <w:tcPr>
            <w:tcW w:w="7807" w:type="dxa"/>
            <w:gridSpan w:val="2"/>
            <w:hideMark/>
          </w:tcPr>
          <w:p w14:paraId="0E70DD1F" w14:textId="77777777" w:rsidR="00083B82" w:rsidRPr="00C9343F" w:rsidRDefault="00083B82" w:rsidP="00F66D98">
            <w:pPr>
              <w:pStyle w:val="BlockText-Plain"/>
              <w:rPr>
                <w:lang w:eastAsia="en-US"/>
              </w:rPr>
            </w:pPr>
            <w:r w:rsidRPr="00C9343F">
              <w:rPr>
                <w:lang w:eastAsia="en-US"/>
              </w:rPr>
              <w:t xml:space="preserve">If the member performed their duties at the standard of competence during the four months immediately after the advancement period, the member is eligible for increment advancement for the 12 months under subsection 3. </w:t>
            </w:r>
          </w:p>
        </w:tc>
      </w:tr>
      <w:tr w:rsidR="00083B82" w:rsidRPr="00C9343F" w14:paraId="19C3961B" w14:textId="77777777" w:rsidTr="00F945FD">
        <w:trPr>
          <w:cantSplit/>
        </w:trPr>
        <w:tc>
          <w:tcPr>
            <w:tcW w:w="992" w:type="dxa"/>
          </w:tcPr>
          <w:p w14:paraId="1146B615" w14:textId="77777777" w:rsidR="00083B82" w:rsidRPr="00C9343F" w:rsidRDefault="00083B82" w:rsidP="00F66D98">
            <w:pPr>
              <w:pStyle w:val="BlockText-Plain"/>
              <w:spacing w:line="276" w:lineRule="auto"/>
              <w:rPr>
                <w:lang w:eastAsia="en-US"/>
              </w:rPr>
            </w:pPr>
          </w:p>
        </w:tc>
        <w:tc>
          <w:tcPr>
            <w:tcW w:w="567" w:type="dxa"/>
          </w:tcPr>
          <w:p w14:paraId="60C40FC1" w14:textId="77777777" w:rsidR="00083B82" w:rsidRPr="00C9343F" w:rsidRDefault="00083B82" w:rsidP="007114B1">
            <w:pPr>
              <w:pStyle w:val="BlockText-Plain"/>
              <w:spacing w:line="276" w:lineRule="auto"/>
              <w:jc w:val="center"/>
              <w:rPr>
                <w:lang w:eastAsia="en-US"/>
              </w:rPr>
            </w:pPr>
            <w:r w:rsidRPr="00C9343F">
              <w:rPr>
                <w:lang w:eastAsia="en-US"/>
              </w:rPr>
              <w:t>b.</w:t>
            </w:r>
          </w:p>
        </w:tc>
        <w:tc>
          <w:tcPr>
            <w:tcW w:w="7807" w:type="dxa"/>
            <w:gridSpan w:val="2"/>
          </w:tcPr>
          <w:p w14:paraId="5C9D4DEE" w14:textId="77777777" w:rsidR="00083B82" w:rsidRPr="00C9343F" w:rsidRDefault="00083B82" w:rsidP="00F66D98">
            <w:pPr>
              <w:pStyle w:val="BlockText-Plain"/>
              <w:rPr>
                <w:lang w:eastAsia="en-US"/>
              </w:rPr>
            </w:pPr>
            <w:r w:rsidRPr="00C9343F">
              <w:rPr>
                <w:lang w:eastAsia="en-US"/>
              </w:rPr>
              <w:t xml:space="preserve">If the member did not perform their duties at the standard of competence during the four months immediately after the advancement period both of the following apply. </w:t>
            </w:r>
          </w:p>
        </w:tc>
      </w:tr>
      <w:tr w:rsidR="00083B82" w:rsidRPr="00C9343F" w14:paraId="6A6E0CC5" w14:textId="77777777" w:rsidTr="00F945FD">
        <w:trPr>
          <w:cantSplit/>
        </w:trPr>
        <w:tc>
          <w:tcPr>
            <w:tcW w:w="1559" w:type="dxa"/>
            <w:gridSpan w:val="2"/>
          </w:tcPr>
          <w:p w14:paraId="7F6239D6" w14:textId="77777777" w:rsidR="00083B82" w:rsidRPr="00C9343F" w:rsidRDefault="00083B82" w:rsidP="00F66D98">
            <w:pPr>
              <w:pStyle w:val="BlockText-Plain"/>
              <w:spacing w:line="276" w:lineRule="auto"/>
              <w:rPr>
                <w:lang w:eastAsia="en-US"/>
              </w:rPr>
            </w:pPr>
          </w:p>
        </w:tc>
        <w:tc>
          <w:tcPr>
            <w:tcW w:w="567" w:type="dxa"/>
            <w:hideMark/>
          </w:tcPr>
          <w:p w14:paraId="7651B123" w14:textId="77777777" w:rsidR="00083B82" w:rsidRPr="00C9343F" w:rsidRDefault="00083B82" w:rsidP="007114B1">
            <w:pPr>
              <w:pStyle w:val="BlockText-Plain"/>
              <w:rPr>
                <w:lang w:eastAsia="en-US"/>
              </w:rPr>
            </w:pPr>
            <w:r w:rsidRPr="00C9343F">
              <w:rPr>
                <w:lang w:eastAsia="en-US"/>
              </w:rPr>
              <w:t>i.</w:t>
            </w:r>
          </w:p>
        </w:tc>
        <w:tc>
          <w:tcPr>
            <w:tcW w:w="7240" w:type="dxa"/>
            <w:hideMark/>
          </w:tcPr>
          <w:p w14:paraId="37058938" w14:textId="77777777" w:rsidR="00083B82" w:rsidRPr="00C9343F" w:rsidRDefault="00083B82" w:rsidP="00F66D98">
            <w:pPr>
              <w:pStyle w:val="BlockText-Plain"/>
              <w:rPr>
                <w:lang w:eastAsia="en-US"/>
              </w:rPr>
            </w:pPr>
            <w:r w:rsidRPr="00C9343F">
              <w:rPr>
                <w:lang w:eastAsia="en-US"/>
              </w:rPr>
              <w:t>The member is not eligible for increment advancement for the advancement period.</w:t>
            </w:r>
          </w:p>
        </w:tc>
      </w:tr>
      <w:tr w:rsidR="00083B82" w:rsidRPr="00C9343F" w14:paraId="7D38804C" w14:textId="77777777" w:rsidTr="00F945FD">
        <w:trPr>
          <w:cantSplit/>
        </w:trPr>
        <w:tc>
          <w:tcPr>
            <w:tcW w:w="1559" w:type="dxa"/>
            <w:gridSpan w:val="2"/>
          </w:tcPr>
          <w:p w14:paraId="1AECE332" w14:textId="77777777" w:rsidR="00083B82" w:rsidRPr="00C9343F" w:rsidRDefault="00083B82" w:rsidP="00F66D98">
            <w:pPr>
              <w:pStyle w:val="BlockText-Plain"/>
              <w:spacing w:line="276" w:lineRule="auto"/>
              <w:rPr>
                <w:lang w:eastAsia="en-US"/>
              </w:rPr>
            </w:pPr>
          </w:p>
        </w:tc>
        <w:tc>
          <w:tcPr>
            <w:tcW w:w="567" w:type="dxa"/>
          </w:tcPr>
          <w:p w14:paraId="0CD4B1C9" w14:textId="77777777" w:rsidR="00083B82" w:rsidRPr="00C9343F" w:rsidRDefault="00083B82" w:rsidP="007114B1">
            <w:pPr>
              <w:pStyle w:val="BlockText-Plain"/>
              <w:rPr>
                <w:lang w:eastAsia="en-US"/>
              </w:rPr>
            </w:pPr>
            <w:r w:rsidRPr="00C9343F">
              <w:rPr>
                <w:lang w:eastAsia="en-US"/>
              </w:rPr>
              <w:t>ii.</w:t>
            </w:r>
          </w:p>
        </w:tc>
        <w:tc>
          <w:tcPr>
            <w:tcW w:w="7240" w:type="dxa"/>
          </w:tcPr>
          <w:p w14:paraId="56B51D79" w14:textId="77777777" w:rsidR="00083B82" w:rsidRPr="00C9343F" w:rsidRDefault="00083B82" w:rsidP="00F66D98">
            <w:pPr>
              <w:pStyle w:val="BlockText-Plain"/>
              <w:rPr>
                <w:lang w:eastAsia="en-US"/>
              </w:rPr>
            </w:pPr>
            <w:r w:rsidRPr="00C9343F">
              <w:rPr>
                <w:lang w:eastAsia="en-US"/>
              </w:rPr>
              <w:t>The member's next advancement period commences from when paragraph 3.b would have applied.</w:t>
            </w:r>
          </w:p>
        </w:tc>
      </w:tr>
      <w:tr w:rsidR="00083B82" w:rsidRPr="00C9343F" w14:paraId="2E4E273C" w14:textId="77777777" w:rsidTr="00F945FD">
        <w:tblPrEx>
          <w:tblCellMar>
            <w:left w:w="0" w:type="dxa"/>
            <w:right w:w="0" w:type="dxa"/>
          </w:tblCellMar>
        </w:tblPrEx>
        <w:tc>
          <w:tcPr>
            <w:tcW w:w="992" w:type="dxa"/>
            <w:tcMar>
              <w:top w:w="0" w:type="dxa"/>
              <w:left w:w="108" w:type="dxa"/>
              <w:bottom w:w="0" w:type="dxa"/>
              <w:right w:w="108" w:type="dxa"/>
            </w:tcMar>
          </w:tcPr>
          <w:p w14:paraId="7B9EDF8A" w14:textId="77777777" w:rsidR="00083B82" w:rsidRPr="00C9343F" w:rsidRDefault="00083B82" w:rsidP="00F66D98">
            <w:pPr>
              <w:pStyle w:val="BlockText-Plain"/>
              <w:jc w:val="center"/>
              <w:rPr>
                <w:lang w:eastAsia="en-US"/>
              </w:rPr>
            </w:pPr>
            <w:r w:rsidRPr="00C9343F">
              <w:rPr>
                <w:lang w:eastAsia="en-US"/>
              </w:rPr>
              <w:t>5.</w:t>
            </w:r>
          </w:p>
        </w:tc>
        <w:tc>
          <w:tcPr>
            <w:tcW w:w="8374" w:type="dxa"/>
            <w:gridSpan w:val="3"/>
            <w:tcMar>
              <w:top w:w="0" w:type="dxa"/>
              <w:left w:w="108" w:type="dxa"/>
              <w:bottom w:w="0" w:type="dxa"/>
              <w:right w:w="108" w:type="dxa"/>
            </w:tcMar>
          </w:tcPr>
          <w:p w14:paraId="18F29BC2" w14:textId="77777777" w:rsidR="00083B82" w:rsidRPr="00C9343F" w:rsidRDefault="00083B82" w:rsidP="00F66D98">
            <w:pPr>
              <w:pStyle w:val="BlockText-Plain"/>
              <w:rPr>
                <w:lang w:eastAsia="en-US"/>
              </w:rPr>
            </w:pPr>
            <w:r w:rsidRPr="00C9343F">
              <w:rPr>
                <w:lang w:eastAsia="en-US"/>
              </w:rPr>
              <w:t xml:space="preserve">Despite subsection 3, if a member transferred to the Air Force under section 3.2.47T and their Officer Aviation increment is above the minimum for the member's Air Force rank, pathway and competency stream under paragraph 3.2.47T.3.b, the member is not eligible for increment advancement until the earlier of the following. </w:t>
            </w:r>
          </w:p>
        </w:tc>
      </w:tr>
      <w:tr w:rsidR="00083B82" w:rsidRPr="00C9343F" w14:paraId="224EDBF0"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074406C3"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57C411C6" w14:textId="77777777" w:rsidR="00083B82" w:rsidRPr="00C9343F" w:rsidRDefault="00083B82" w:rsidP="007114B1">
            <w:pPr>
              <w:pStyle w:val="BlockText-Plain"/>
              <w:jc w:val="center"/>
              <w:rPr>
                <w:lang w:eastAsia="en-US"/>
              </w:rPr>
            </w:pPr>
            <w:r w:rsidRPr="00C9343F">
              <w:rPr>
                <w:lang w:eastAsia="en-US"/>
              </w:rPr>
              <w:t>a.</w:t>
            </w:r>
          </w:p>
        </w:tc>
        <w:tc>
          <w:tcPr>
            <w:tcW w:w="7807" w:type="dxa"/>
            <w:gridSpan w:val="2"/>
            <w:tcMar>
              <w:top w:w="0" w:type="dxa"/>
              <w:left w:w="108" w:type="dxa"/>
              <w:bottom w:w="0" w:type="dxa"/>
              <w:right w:w="108" w:type="dxa"/>
            </w:tcMar>
            <w:hideMark/>
          </w:tcPr>
          <w:p w14:paraId="17EAB5D8" w14:textId="77777777" w:rsidR="00083B82" w:rsidRPr="00C9343F" w:rsidRDefault="00083B82" w:rsidP="00F66D98">
            <w:pPr>
              <w:pStyle w:val="BlockText-Plain"/>
              <w:rPr>
                <w:lang w:eastAsia="en-US"/>
              </w:rPr>
            </w:pPr>
            <w:r w:rsidRPr="00C9343F">
              <w:rPr>
                <w:lang w:eastAsia="en-US"/>
              </w:rPr>
              <w:t>The member's years of experience at their Air Force rank in the gaining pathway or competency stream corresponds to an Officer Aviation increment that is higher than the member's increment under paragraph 3.2.47T.3.b.</w:t>
            </w:r>
          </w:p>
        </w:tc>
      </w:tr>
      <w:tr w:rsidR="00083B82" w:rsidRPr="00C9343F" w14:paraId="7C32D88B"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46585011"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450479C3" w14:textId="77777777" w:rsidR="00083B82" w:rsidRPr="00C9343F" w:rsidRDefault="00083B82" w:rsidP="007114B1">
            <w:pPr>
              <w:pStyle w:val="BlockText-Plain"/>
              <w:jc w:val="center"/>
              <w:rPr>
                <w:lang w:eastAsia="en-US"/>
              </w:rPr>
            </w:pPr>
            <w:r w:rsidRPr="00C9343F">
              <w:rPr>
                <w:lang w:eastAsia="en-US"/>
              </w:rPr>
              <w:t>b.</w:t>
            </w:r>
          </w:p>
        </w:tc>
        <w:tc>
          <w:tcPr>
            <w:tcW w:w="7807" w:type="dxa"/>
            <w:gridSpan w:val="2"/>
            <w:tcMar>
              <w:top w:w="0" w:type="dxa"/>
              <w:left w:w="108" w:type="dxa"/>
              <w:bottom w:w="0" w:type="dxa"/>
              <w:right w:w="108" w:type="dxa"/>
            </w:tcMar>
          </w:tcPr>
          <w:p w14:paraId="57C002A8" w14:textId="77777777" w:rsidR="00083B82" w:rsidRPr="00C9343F" w:rsidRDefault="00083B82" w:rsidP="00F66D98">
            <w:pPr>
              <w:pStyle w:val="BlockText-Plain"/>
              <w:rPr>
                <w:lang w:eastAsia="en-US"/>
              </w:rPr>
            </w:pPr>
            <w:r w:rsidRPr="00C9343F">
              <w:rPr>
                <w:lang w:eastAsia="en-US"/>
              </w:rPr>
              <w:t>The member is promoted.</w:t>
            </w:r>
          </w:p>
        </w:tc>
      </w:tr>
      <w:tr w:rsidR="00083B82" w:rsidRPr="00C9343F" w14:paraId="67DEF7C5" w14:textId="77777777" w:rsidTr="00F945FD">
        <w:tblPrEx>
          <w:tblCellMar>
            <w:left w:w="0" w:type="dxa"/>
            <w:right w:w="0" w:type="dxa"/>
          </w:tblCellMar>
        </w:tblPrEx>
        <w:tc>
          <w:tcPr>
            <w:tcW w:w="992" w:type="dxa"/>
            <w:tcMar>
              <w:top w:w="0" w:type="dxa"/>
              <w:left w:w="108" w:type="dxa"/>
              <w:bottom w:w="0" w:type="dxa"/>
              <w:right w:w="108" w:type="dxa"/>
            </w:tcMar>
          </w:tcPr>
          <w:p w14:paraId="45AA53D1" w14:textId="77777777" w:rsidR="00083B82" w:rsidRPr="00C9343F" w:rsidRDefault="00083B82" w:rsidP="00F66D98">
            <w:pPr>
              <w:pStyle w:val="BlockText-Plain"/>
              <w:jc w:val="center"/>
              <w:rPr>
                <w:lang w:eastAsia="en-US"/>
              </w:rPr>
            </w:pPr>
            <w:r w:rsidRPr="00C9343F">
              <w:rPr>
                <w:lang w:eastAsia="en-US"/>
              </w:rPr>
              <w:t>6.</w:t>
            </w:r>
          </w:p>
        </w:tc>
        <w:tc>
          <w:tcPr>
            <w:tcW w:w="8374" w:type="dxa"/>
            <w:gridSpan w:val="3"/>
            <w:tcMar>
              <w:top w:w="0" w:type="dxa"/>
              <w:left w:w="108" w:type="dxa"/>
              <w:bottom w:w="0" w:type="dxa"/>
              <w:right w:w="108" w:type="dxa"/>
            </w:tcMar>
          </w:tcPr>
          <w:p w14:paraId="325E5490" w14:textId="4D780A0F" w:rsidR="00083B82" w:rsidRPr="00C9343F" w:rsidRDefault="00083B82" w:rsidP="00F66D98">
            <w:pPr>
              <w:pStyle w:val="BlockText-Plain"/>
              <w:rPr>
                <w:lang w:eastAsia="en-US"/>
              </w:rPr>
            </w:pPr>
            <w:r w:rsidRPr="00C9343F">
              <w:rPr>
                <w:lang w:eastAsia="en-US"/>
              </w:rPr>
              <w:t xml:space="preserve">Subsection 7 </w:t>
            </w:r>
            <w:r w:rsidR="00E11B41" w:rsidRPr="00C9343F">
              <w:rPr>
                <w:lang w:eastAsia="en-US"/>
              </w:rPr>
              <w:t xml:space="preserve">applies to a member in </w:t>
            </w:r>
            <w:r w:rsidRPr="00C9343F">
              <w:rPr>
                <w:lang w:eastAsia="en-US"/>
              </w:rPr>
              <w:t xml:space="preserve">the Air Force in either of the following. </w:t>
            </w:r>
          </w:p>
        </w:tc>
      </w:tr>
      <w:tr w:rsidR="00083B82" w:rsidRPr="00C9343F" w14:paraId="1244CA37"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6FD42A23"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39617E4C" w14:textId="77777777" w:rsidR="00083B82" w:rsidRPr="00C9343F" w:rsidRDefault="00083B82" w:rsidP="007114B1">
            <w:pPr>
              <w:pStyle w:val="BlockText-Plain"/>
              <w:jc w:val="center"/>
              <w:rPr>
                <w:lang w:eastAsia="en-US"/>
              </w:rPr>
            </w:pPr>
            <w:r w:rsidRPr="00C9343F">
              <w:rPr>
                <w:lang w:eastAsia="en-US"/>
              </w:rPr>
              <w:t>a.</w:t>
            </w:r>
          </w:p>
        </w:tc>
        <w:tc>
          <w:tcPr>
            <w:tcW w:w="7807" w:type="dxa"/>
            <w:gridSpan w:val="2"/>
            <w:tcMar>
              <w:top w:w="0" w:type="dxa"/>
              <w:left w:w="108" w:type="dxa"/>
              <w:bottom w:w="0" w:type="dxa"/>
              <w:right w:w="108" w:type="dxa"/>
            </w:tcMar>
          </w:tcPr>
          <w:p w14:paraId="6C36ED91" w14:textId="77777777" w:rsidR="00083B82" w:rsidRPr="00C9343F" w:rsidRDefault="00083B82" w:rsidP="00F66D98">
            <w:pPr>
              <w:pStyle w:val="BlockText-Plain"/>
              <w:rPr>
                <w:lang w:eastAsia="en-US"/>
              </w:rPr>
            </w:pPr>
            <w:r w:rsidRPr="00C9343F">
              <w:rPr>
                <w:lang w:eastAsia="en-US"/>
              </w:rPr>
              <w:t>The member transferred between pathways or competency streams under section 3.2.47U and their Officer Aviation increment is above the minimum for the gaining pathway and competency stream under paragraph 3.2.47U.2.b.</w:t>
            </w:r>
          </w:p>
        </w:tc>
      </w:tr>
      <w:tr w:rsidR="00083B82" w:rsidRPr="00C9343F" w14:paraId="6FF6A9EF"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740E613D"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66B56961" w14:textId="77777777" w:rsidR="00083B82" w:rsidRPr="00C9343F" w:rsidRDefault="00083B82" w:rsidP="007114B1">
            <w:pPr>
              <w:pStyle w:val="BlockText-Plain"/>
              <w:jc w:val="center"/>
              <w:rPr>
                <w:lang w:eastAsia="en-US"/>
              </w:rPr>
            </w:pPr>
            <w:r w:rsidRPr="00C9343F">
              <w:rPr>
                <w:lang w:eastAsia="en-US"/>
              </w:rPr>
              <w:t>b.</w:t>
            </w:r>
          </w:p>
        </w:tc>
        <w:tc>
          <w:tcPr>
            <w:tcW w:w="7807" w:type="dxa"/>
            <w:gridSpan w:val="2"/>
            <w:tcMar>
              <w:top w:w="0" w:type="dxa"/>
              <w:left w:w="108" w:type="dxa"/>
              <w:bottom w:w="0" w:type="dxa"/>
              <w:right w:w="108" w:type="dxa"/>
            </w:tcMar>
          </w:tcPr>
          <w:p w14:paraId="589890C5" w14:textId="77777777" w:rsidR="00083B82" w:rsidRPr="00C9343F" w:rsidRDefault="00083B82" w:rsidP="00F66D98">
            <w:pPr>
              <w:pStyle w:val="BlockText-Plain"/>
              <w:rPr>
                <w:lang w:eastAsia="en-US"/>
              </w:rPr>
            </w:pPr>
            <w:r w:rsidRPr="00C9343F">
              <w:rPr>
                <w:lang w:eastAsia="en-US"/>
              </w:rPr>
              <w:t>The member became an Officer Aviation member under section 3.2.47K and the member's Officer Aviation increment under paragraph 3.2.47.2.c is above the minimum for their rank, pathway and competency stream.</w:t>
            </w:r>
          </w:p>
        </w:tc>
      </w:tr>
      <w:tr w:rsidR="00083B82" w:rsidRPr="00C9343F" w14:paraId="40FFE9B3" w14:textId="77777777" w:rsidTr="00F945FD">
        <w:tblPrEx>
          <w:tblCellMar>
            <w:left w:w="0" w:type="dxa"/>
            <w:right w:w="0" w:type="dxa"/>
          </w:tblCellMar>
        </w:tblPrEx>
        <w:tc>
          <w:tcPr>
            <w:tcW w:w="992" w:type="dxa"/>
            <w:tcMar>
              <w:top w:w="0" w:type="dxa"/>
              <w:left w:w="108" w:type="dxa"/>
              <w:bottom w:w="0" w:type="dxa"/>
              <w:right w:w="108" w:type="dxa"/>
            </w:tcMar>
          </w:tcPr>
          <w:p w14:paraId="64E223E4" w14:textId="77777777" w:rsidR="00083B82" w:rsidRPr="00C9343F" w:rsidRDefault="00083B82" w:rsidP="00F66D98">
            <w:pPr>
              <w:pStyle w:val="BlockText-Plain"/>
              <w:jc w:val="center"/>
              <w:rPr>
                <w:lang w:eastAsia="en-US"/>
              </w:rPr>
            </w:pPr>
            <w:r w:rsidRPr="00C9343F">
              <w:rPr>
                <w:lang w:eastAsia="en-US"/>
              </w:rPr>
              <w:t>7.</w:t>
            </w:r>
          </w:p>
        </w:tc>
        <w:tc>
          <w:tcPr>
            <w:tcW w:w="8374" w:type="dxa"/>
            <w:gridSpan w:val="3"/>
            <w:tcMar>
              <w:top w:w="0" w:type="dxa"/>
              <w:left w:w="108" w:type="dxa"/>
              <w:bottom w:w="0" w:type="dxa"/>
              <w:right w:w="108" w:type="dxa"/>
            </w:tcMar>
          </w:tcPr>
          <w:p w14:paraId="5287DB96" w14:textId="77777777" w:rsidR="00083B82" w:rsidRPr="00C9343F" w:rsidRDefault="00083B82" w:rsidP="00F66D98">
            <w:pPr>
              <w:pStyle w:val="BlockText-Plain"/>
              <w:rPr>
                <w:lang w:eastAsia="en-US"/>
              </w:rPr>
            </w:pPr>
            <w:r w:rsidRPr="00C9343F">
              <w:rPr>
                <w:lang w:eastAsia="en-US"/>
              </w:rPr>
              <w:t>Despite subsection 3, the member is not eligible for increment advancement until the member's years of experience for the rank, gaining pathway or competency stream corresponds to an Officer Aviation increment that is higher than the member's increment under one of the following.</w:t>
            </w:r>
          </w:p>
        </w:tc>
      </w:tr>
      <w:tr w:rsidR="00083B82" w:rsidRPr="00C9343F" w14:paraId="663B9C74"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34B55A8F"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2C5FF452" w14:textId="77777777" w:rsidR="00083B82" w:rsidRPr="00C9343F" w:rsidRDefault="00083B82" w:rsidP="007114B1">
            <w:pPr>
              <w:pStyle w:val="BlockText-Plain"/>
              <w:jc w:val="center"/>
              <w:rPr>
                <w:lang w:eastAsia="en-US"/>
              </w:rPr>
            </w:pPr>
            <w:r w:rsidRPr="00C9343F">
              <w:rPr>
                <w:lang w:eastAsia="en-US"/>
              </w:rPr>
              <w:t>a.</w:t>
            </w:r>
          </w:p>
        </w:tc>
        <w:tc>
          <w:tcPr>
            <w:tcW w:w="7807" w:type="dxa"/>
            <w:gridSpan w:val="2"/>
            <w:tcMar>
              <w:top w:w="0" w:type="dxa"/>
              <w:left w:w="108" w:type="dxa"/>
              <w:bottom w:w="0" w:type="dxa"/>
              <w:right w:w="108" w:type="dxa"/>
            </w:tcMar>
          </w:tcPr>
          <w:p w14:paraId="782CB57E" w14:textId="77777777" w:rsidR="00083B82" w:rsidRPr="00C9343F" w:rsidRDefault="00083B82" w:rsidP="00F66D98">
            <w:pPr>
              <w:pStyle w:val="BlockText-Plain"/>
              <w:rPr>
                <w:lang w:eastAsia="en-US"/>
              </w:rPr>
            </w:pPr>
            <w:r w:rsidRPr="00C9343F">
              <w:rPr>
                <w:lang w:eastAsia="en-US"/>
              </w:rPr>
              <w:t>A member in the Air Force who was not an aviation specialist when they transferred into the Officer Aviation Pay Structure under paragraph 3.2.47K.2.b.</w:t>
            </w:r>
          </w:p>
        </w:tc>
      </w:tr>
      <w:tr w:rsidR="00083B82" w:rsidRPr="00C9343F" w14:paraId="212DC1B3"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17EE0DBF"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229218AD" w14:textId="77777777" w:rsidR="00083B82" w:rsidRPr="00C9343F" w:rsidRDefault="00083B82" w:rsidP="007114B1">
            <w:pPr>
              <w:pStyle w:val="BlockText-Plain"/>
              <w:jc w:val="center"/>
              <w:rPr>
                <w:lang w:eastAsia="en-US"/>
              </w:rPr>
            </w:pPr>
            <w:r w:rsidRPr="00C9343F">
              <w:rPr>
                <w:lang w:eastAsia="en-US"/>
              </w:rPr>
              <w:t>b.</w:t>
            </w:r>
          </w:p>
        </w:tc>
        <w:tc>
          <w:tcPr>
            <w:tcW w:w="7807" w:type="dxa"/>
            <w:gridSpan w:val="2"/>
            <w:tcMar>
              <w:top w:w="0" w:type="dxa"/>
              <w:left w:w="108" w:type="dxa"/>
              <w:bottom w:w="0" w:type="dxa"/>
              <w:right w:w="108" w:type="dxa"/>
            </w:tcMar>
          </w:tcPr>
          <w:p w14:paraId="59C978D7" w14:textId="77777777" w:rsidR="00083B82" w:rsidRPr="00C9343F" w:rsidRDefault="00083B82" w:rsidP="00F66D98">
            <w:pPr>
              <w:pStyle w:val="BlockText-Plain"/>
              <w:rPr>
                <w:lang w:eastAsia="en-US"/>
              </w:rPr>
            </w:pPr>
            <w:r w:rsidRPr="00C9343F">
              <w:rPr>
                <w:lang w:eastAsia="en-US"/>
              </w:rPr>
              <w:t>The member was one of the following before they transferred into the Officer Aviation Pay Structure under section 3.2.47M.</w:t>
            </w:r>
          </w:p>
        </w:tc>
      </w:tr>
      <w:tr w:rsidR="00083B82" w:rsidRPr="00C9343F" w14:paraId="326CDAFB" w14:textId="77777777" w:rsidTr="00F945FD">
        <w:trPr>
          <w:cantSplit/>
        </w:trPr>
        <w:tc>
          <w:tcPr>
            <w:tcW w:w="1559" w:type="dxa"/>
            <w:gridSpan w:val="2"/>
          </w:tcPr>
          <w:p w14:paraId="736CB196" w14:textId="77777777" w:rsidR="00083B82" w:rsidRPr="00C9343F" w:rsidRDefault="00083B82" w:rsidP="00F66D98">
            <w:pPr>
              <w:pStyle w:val="BlockText-Plain"/>
              <w:spacing w:line="276" w:lineRule="auto"/>
              <w:rPr>
                <w:lang w:eastAsia="en-US"/>
              </w:rPr>
            </w:pPr>
          </w:p>
        </w:tc>
        <w:tc>
          <w:tcPr>
            <w:tcW w:w="567" w:type="dxa"/>
            <w:hideMark/>
          </w:tcPr>
          <w:p w14:paraId="2BE5C539" w14:textId="77777777" w:rsidR="00083B82" w:rsidRPr="00C9343F" w:rsidRDefault="00083B82" w:rsidP="007114B1">
            <w:pPr>
              <w:pStyle w:val="BlockText-Plain"/>
              <w:rPr>
                <w:lang w:eastAsia="en-US"/>
              </w:rPr>
            </w:pPr>
            <w:r w:rsidRPr="00C9343F">
              <w:rPr>
                <w:lang w:eastAsia="en-US"/>
              </w:rPr>
              <w:t>i.</w:t>
            </w:r>
          </w:p>
        </w:tc>
        <w:tc>
          <w:tcPr>
            <w:tcW w:w="7240" w:type="dxa"/>
            <w:hideMark/>
          </w:tcPr>
          <w:p w14:paraId="28CBEDC1" w14:textId="77777777" w:rsidR="00083B82" w:rsidRPr="00C9343F" w:rsidRDefault="00083B82" w:rsidP="00F66D98">
            <w:pPr>
              <w:pStyle w:val="BlockText-Plain"/>
              <w:rPr>
                <w:lang w:eastAsia="en-US"/>
              </w:rPr>
            </w:pPr>
            <w:r w:rsidRPr="00C9343F">
              <w:rPr>
                <w:lang w:eastAsia="en-US"/>
              </w:rPr>
              <w:t>The member was a member of a foreign military force.</w:t>
            </w:r>
          </w:p>
        </w:tc>
      </w:tr>
      <w:tr w:rsidR="00083B82" w:rsidRPr="00C9343F" w14:paraId="721DE957" w14:textId="77777777" w:rsidTr="00F945FD">
        <w:trPr>
          <w:cantSplit/>
        </w:trPr>
        <w:tc>
          <w:tcPr>
            <w:tcW w:w="1559" w:type="dxa"/>
            <w:gridSpan w:val="2"/>
          </w:tcPr>
          <w:p w14:paraId="1519AF2B" w14:textId="77777777" w:rsidR="00083B82" w:rsidRPr="00C9343F" w:rsidRDefault="00083B82" w:rsidP="00F66D98">
            <w:pPr>
              <w:pStyle w:val="BlockText-Plain"/>
              <w:spacing w:line="276" w:lineRule="auto"/>
              <w:rPr>
                <w:lang w:eastAsia="en-US"/>
              </w:rPr>
            </w:pPr>
          </w:p>
        </w:tc>
        <w:tc>
          <w:tcPr>
            <w:tcW w:w="567" w:type="dxa"/>
          </w:tcPr>
          <w:p w14:paraId="1561D240" w14:textId="77777777" w:rsidR="00083B82" w:rsidRPr="00C9343F" w:rsidRDefault="00083B82" w:rsidP="007114B1">
            <w:pPr>
              <w:pStyle w:val="BlockText-Plain"/>
              <w:rPr>
                <w:lang w:eastAsia="en-US"/>
              </w:rPr>
            </w:pPr>
            <w:r w:rsidRPr="00C9343F">
              <w:rPr>
                <w:lang w:eastAsia="en-US"/>
              </w:rPr>
              <w:t>ii.</w:t>
            </w:r>
          </w:p>
        </w:tc>
        <w:tc>
          <w:tcPr>
            <w:tcW w:w="7240" w:type="dxa"/>
          </w:tcPr>
          <w:p w14:paraId="64CB9B9E" w14:textId="77777777" w:rsidR="00083B82" w:rsidRPr="00C9343F" w:rsidRDefault="00083B82" w:rsidP="00F66D98">
            <w:pPr>
              <w:pStyle w:val="BlockText-Plain"/>
              <w:rPr>
                <w:lang w:eastAsia="en-US"/>
              </w:rPr>
            </w:pPr>
            <w:r w:rsidRPr="00C9343F">
              <w:rPr>
                <w:lang w:eastAsia="en-US"/>
              </w:rPr>
              <w:t>The member transferred from another arm of the Defence Force under section 15 of the Regulation and was not an Officer Aviation member before their transfer.</w:t>
            </w:r>
          </w:p>
        </w:tc>
      </w:tr>
      <w:tr w:rsidR="00083B82" w:rsidRPr="00C9343F" w14:paraId="727FBDF2"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008DB2DC"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tcPr>
          <w:p w14:paraId="571345F6" w14:textId="77777777" w:rsidR="00083B82" w:rsidRPr="00C9343F" w:rsidRDefault="00083B82" w:rsidP="007114B1">
            <w:pPr>
              <w:pStyle w:val="BlockText-Plain"/>
              <w:jc w:val="center"/>
              <w:rPr>
                <w:lang w:eastAsia="en-US"/>
              </w:rPr>
            </w:pPr>
            <w:r w:rsidRPr="00C9343F">
              <w:rPr>
                <w:lang w:eastAsia="en-US"/>
              </w:rPr>
              <w:t>c.</w:t>
            </w:r>
          </w:p>
        </w:tc>
        <w:tc>
          <w:tcPr>
            <w:tcW w:w="7807" w:type="dxa"/>
            <w:gridSpan w:val="2"/>
            <w:tcMar>
              <w:top w:w="0" w:type="dxa"/>
              <w:left w:w="108" w:type="dxa"/>
              <w:bottom w:w="0" w:type="dxa"/>
              <w:right w:w="108" w:type="dxa"/>
            </w:tcMar>
          </w:tcPr>
          <w:p w14:paraId="196FD65F" w14:textId="77777777" w:rsidR="00083B82" w:rsidRPr="00C9343F" w:rsidRDefault="00083B82" w:rsidP="00F66D98">
            <w:pPr>
              <w:pStyle w:val="BlockText-Plain"/>
              <w:rPr>
                <w:lang w:eastAsia="en-US"/>
              </w:rPr>
            </w:pPr>
            <w:r w:rsidRPr="00C9343F">
              <w:rPr>
                <w:lang w:eastAsia="en-US"/>
              </w:rPr>
              <w:t>The member transferred between pathways or competency streams and has an Officer Aviation increment above the minimum increment under paragraph 3.2.47U.2.b.</w:t>
            </w:r>
          </w:p>
        </w:tc>
      </w:tr>
      <w:tr w:rsidR="00083B82" w:rsidRPr="00C9343F" w14:paraId="54A1E49A" w14:textId="77777777" w:rsidTr="00F945FD">
        <w:tblPrEx>
          <w:tblCellMar>
            <w:left w:w="0" w:type="dxa"/>
            <w:right w:w="0" w:type="dxa"/>
          </w:tblCellMar>
        </w:tblPrEx>
        <w:tc>
          <w:tcPr>
            <w:tcW w:w="992" w:type="dxa"/>
            <w:tcMar>
              <w:top w:w="0" w:type="dxa"/>
              <w:left w:w="108" w:type="dxa"/>
              <w:bottom w:w="0" w:type="dxa"/>
              <w:right w:w="108" w:type="dxa"/>
            </w:tcMar>
          </w:tcPr>
          <w:p w14:paraId="29A6D90A" w14:textId="77777777" w:rsidR="00083B82" w:rsidRPr="00C9343F" w:rsidRDefault="00083B82" w:rsidP="00F66D98">
            <w:pPr>
              <w:pStyle w:val="BlockText-Plain"/>
              <w:jc w:val="center"/>
              <w:rPr>
                <w:lang w:eastAsia="en-US"/>
              </w:rPr>
            </w:pPr>
            <w:r w:rsidRPr="00C9343F">
              <w:rPr>
                <w:lang w:eastAsia="en-US"/>
              </w:rPr>
              <w:t>8.</w:t>
            </w:r>
          </w:p>
        </w:tc>
        <w:tc>
          <w:tcPr>
            <w:tcW w:w="8374" w:type="dxa"/>
            <w:gridSpan w:val="3"/>
            <w:tcMar>
              <w:top w:w="0" w:type="dxa"/>
              <w:left w:w="108" w:type="dxa"/>
              <w:bottom w:w="0" w:type="dxa"/>
              <w:right w:w="108" w:type="dxa"/>
            </w:tcMar>
          </w:tcPr>
          <w:p w14:paraId="00E10C4F" w14:textId="77777777" w:rsidR="00083B82" w:rsidRPr="00C9343F" w:rsidRDefault="00083B82" w:rsidP="00F66D98">
            <w:pPr>
              <w:pStyle w:val="BlockText-Plain"/>
              <w:rPr>
                <w:lang w:eastAsia="en-US"/>
              </w:rPr>
            </w:pPr>
            <w:r w:rsidRPr="00C9343F">
              <w:rPr>
                <w:lang w:eastAsia="en-US"/>
              </w:rPr>
              <w:t>An Officer Aviation member may not receive more than one increment advancement under this section in any 12 month period.</w:t>
            </w:r>
          </w:p>
        </w:tc>
      </w:tr>
    </w:tbl>
    <w:p w14:paraId="61CBC0BC" w14:textId="70C84306" w:rsidR="00083B82" w:rsidRPr="00C9343F" w:rsidRDefault="00083B82" w:rsidP="00F66D98">
      <w:pPr>
        <w:pStyle w:val="Heading5"/>
      </w:pPr>
      <w:bookmarkStart w:id="514" w:name="_Toc105053724"/>
      <w:r w:rsidRPr="00C9343F">
        <w:t>3.2.47T</w:t>
      </w:r>
      <w:r w:rsidR="00D94006" w:rsidRPr="00C9343F">
        <w:t>    </w:t>
      </w:r>
      <w:r w:rsidRPr="00C9343F">
        <w:t>Increment on transfer between Services</w:t>
      </w:r>
      <w:bookmarkEnd w:id="514"/>
      <w:r w:rsidRPr="00C9343F">
        <w:t xml:space="preserve"> </w:t>
      </w:r>
    </w:p>
    <w:tbl>
      <w:tblPr>
        <w:tblW w:w="9365" w:type="dxa"/>
        <w:tblInd w:w="108" w:type="dxa"/>
        <w:tblLayout w:type="fixed"/>
        <w:tblLook w:val="04A0" w:firstRow="1" w:lastRow="0" w:firstColumn="1" w:lastColumn="0" w:noHBand="0" w:noVBand="1"/>
      </w:tblPr>
      <w:tblGrid>
        <w:gridCol w:w="992"/>
        <w:gridCol w:w="567"/>
        <w:gridCol w:w="7806"/>
      </w:tblGrid>
      <w:tr w:rsidR="00083B82" w:rsidRPr="00C9343F" w14:paraId="4D20F2F5" w14:textId="77777777" w:rsidTr="00F945FD">
        <w:tc>
          <w:tcPr>
            <w:tcW w:w="992" w:type="dxa"/>
          </w:tcPr>
          <w:p w14:paraId="60ADDAF7" w14:textId="77777777" w:rsidR="00083B82" w:rsidRPr="00C9343F" w:rsidRDefault="00083B82" w:rsidP="00F66D98">
            <w:pPr>
              <w:pStyle w:val="BlockText-Plain"/>
              <w:spacing w:line="276" w:lineRule="auto"/>
              <w:jc w:val="center"/>
              <w:rPr>
                <w:lang w:eastAsia="en-US"/>
              </w:rPr>
            </w:pPr>
            <w:r w:rsidRPr="00C9343F">
              <w:rPr>
                <w:lang w:eastAsia="en-US"/>
              </w:rPr>
              <w:t>1.</w:t>
            </w:r>
          </w:p>
        </w:tc>
        <w:tc>
          <w:tcPr>
            <w:tcW w:w="8373" w:type="dxa"/>
            <w:gridSpan w:val="2"/>
          </w:tcPr>
          <w:p w14:paraId="08B61A70" w14:textId="77777777" w:rsidR="00083B82" w:rsidRPr="00C9343F" w:rsidRDefault="00083B82" w:rsidP="00F66D98">
            <w:pPr>
              <w:pStyle w:val="BlockText-Plain"/>
              <w:rPr>
                <w:lang w:eastAsia="en-US"/>
              </w:rPr>
            </w:pPr>
            <w:r w:rsidRPr="00C9343F">
              <w:rPr>
                <w:lang w:eastAsia="en-US"/>
              </w:rPr>
              <w:t>This section applies to an Officer Aviation member who transfers to another Service under section 15 of the Regulation as an Officer Aviation member.</w:t>
            </w:r>
          </w:p>
        </w:tc>
      </w:tr>
      <w:tr w:rsidR="00083B82" w:rsidRPr="00C9343F" w14:paraId="2994BF66" w14:textId="77777777" w:rsidTr="00F945FD">
        <w:tc>
          <w:tcPr>
            <w:tcW w:w="992" w:type="dxa"/>
            <w:hideMark/>
          </w:tcPr>
          <w:p w14:paraId="04158AA8" w14:textId="77777777" w:rsidR="00083B82" w:rsidRPr="00C9343F" w:rsidRDefault="00083B82" w:rsidP="00F66D98">
            <w:pPr>
              <w:pStyle w:val="BlockText-Plain"/>
              <w:spacing w:line="276" w:lineRule="auto"/>
              <w:jc w:val="center"/>
              <w:rPr>
                <w:lang w:eastAsia="en-US"/>
              </w:rPr>
            </w:pPr>
            <w:r w:rsidRPr="00C9343F">
              <w:rPr>
                <w:lang w:eastAsia="en-US"/>
              </w:rPr>
              <w:t xml:space="preserve">2. </w:t>
            </w:r>
          </w:p>
        </w:tc>
        <w:tc>
          <w:tcPr>
            <w:tcW w:w="8373" w:type="dxa"/>
            <w:gridSpan w:val="2"/>
            <w:hideMark/>
          </w:tcPr>
          <w:p w14:paraId="497506DA" w14:textId="77777777" w:rsidR="00083B82" w:rsidRPr="00C9343F" w:rsidRDefault="00083B82" w:rsidP="00F66D98">
            <w:pPr>
              <w:pStyle w:val="BlockText-Plain"/>
              <w:rPr>
                <w:lang w:eastAsia="en-US"/>
              </w:rPr>
            </w:pPr>
            <w:r w:rsidRPr="00C9343F">
              <w:rPr>
                <w:lang w:eastAsia="en-US"/>
              </w:rPr>
              <w:t>The member’s Officer Aviation increment is the same as they held immediately before they transferred until they have completed the applicable of the following for their gaining Service, pathway and competency stream.</w:t>
            </w:r>
          </w:p>
        </w:tc>
      </w:tr>
      <w:tr w:rsidR="00083B82" w:rsidRPr="00C9343F" w14:paraId="6A0DE7ED" w14:textId="77777777" w:rsidTr="00F945FD">
        <w:trPr>
          <w:cantSplit/>
        </w:trPr>
        <w:tc>
          <w:tcPr>
            <w:tcW w:w="992" w:type="dxa"/>
          </w:tcPr>
          <w:p w14:paraId="4A7F7C9A" w14:textId="77777777" w:rsidR="00083B82" w:rsidRPr="00C9343F" w:rsidRDefault="00083B82" w:rsidP="00F66D98">
            <w:pPr>
              <w:pStyle w:val="BlockText-Plain"/>
              <w:spacing w:line="276" w:lineRule="auto"/>
              <w:rPr>
                <w:lang w:eastAsia="en-US"/>
              </w:rPr>
            </w:pPr>
          </w:p>
        </w:tc>
        <w:tc>
          <w:tcPr>
            <w:tcW w:w="567" w:type="dxa"/>
            <w:hideMark/>
          </w:tcPr>
          <w:p w14:paraId="17DC03E7" w14:textId="77777777" w:rsidR="00083B82" w:rsidRPr="00C9343F" w:rsidRDefault="00083B82" w:rsidP="007114B1">
            <w:pPr>
              <w:pStyle w:val="BlockText-Plain"/>
              <w:spacing w:line="276" w:lineRule="auto"/>
              <w:jc w:val="center"/>
              <w:rPr>
                <w:lang w:eastAsia="en-US"/>
              </w:rPr>
            </w:pPr>
            <w:r w:rsidRPr="00C9343F">
              <w:rPr>
                <w:lang w:eastAsia="en-US"/>
              </w:rPr>
              <w:t>a.</w:t>
            </w:r>
          </w:p>
        </w:tc>
        <w:tc>
          <w:tcPr>
            <w:tcW w:w="7806" w:type="dxa"/>
            <w:hideMark/>
          </w:tcPr>
          <w:p w14:paraId="6E8E743B" w14:textId="77777777" w:rsidR="00083B82" w:rsidRPr="00C9343F" w:rsidRDefault="00083B82" w:rsidP="00F66D98">
            <w:pPr>
              <w:pStyle w:val="BlockText-Plain"/>
              <w:spacing w:line="276" w:lineRule="auto"/>
              <w:rPr>
                <w:lang w:eastAsia="en-US"/>
              </w:rPr>
            </w:pPr>
            <w:r w:rsidRPr="00C9343F">
              <w:rPr>
                <w:lang w:eastAsia="en-US"/>
              </w:rPr>
              <w:t>For a member transferring to Navy or Army — platform type conversion training.</w:t>
            </w:r>
          </w:p>
        </w:tc>
      </w:tr>
      <w:tr w:rsidR="00083B82" w:rsidRPr="00C9343F" w14:paraId="14A011BB" w14:textId="77777777" w:rsidTr="00F945FD">
        <w:trPr>
          <w:cantSplit/>
        </w:trPr>
        <w:tc>
          <w:tcPr>
            <w:tcW w:w="992" w:type="dxa"/>
          </w:tcPr>
          <w:p w14:paraId="32876FE7" w14:textId="77777777" w:rsidR="00083B82" w:rsidRPr="00C9343F" w:rsidRDefault="00083B82" w:rsidP="00F66D98">
            <w:pPr>
              <w:pStyle w:val="BlockText-Plain"/>
              <w:spacing w:line="276" w:lineRule="auto"/>
              <w:rPr>
                <w:lang w:eastAsia="en-US"/>
              </w:rPr>
            </w:pPr>
          </w:p>
        </w:tc>
        <w:tc>
          <w:tcPr>
            <w:tcW w:w="567" w:type="dxa"/>
          </w:tcPr>
          <w:p w14:paraId="10DCAD9D" w14:textId="77777777" w:rsidR="00083B82" w:rsidRPr="00C9343F" w:rsidRDefault="00083B82" w:rsidP="007114B1">
            <w:pPr>
              <w:pStyle w:val="BlockText-Plain"/>
              <w:spacing w:line="276" w:lineRule="auto"/>
              <w:jc w:val="center"/>
              <w:rPr>
                <w:lang w:eastAsia="en-US"/>
              </w:rPr>
            </w:pPr>
            <w:r w:rsidRPr="00C9343F">
              <w:rPr>
                <w:lang w:eastAsia="en-US"/>
              </w:rPr>
              <w:t>b.</w:t>
            </w:r>
          </w:p>
        </w:tc>
        <w:tc>
          <w:tcPr>
            <w:tcW w:w="7806" w:type="dxa"/>
          </w:tcPr>
          <w:p w14:paraId="7CFD1874" w14:textId="77777777" w:rsidR="00083B82" w:rsidRPr="00C9343F" w:rsidRDefault="00083B82" w:rsidP="00F66D98">
            <w:pPr>
              <w:pStyle w:val="BlockText-Plain"/>
              <w:spacing w:line="276" w:lineRule="auto"/>
              <w:rPr>
                <w:lang w:eastAsia="en-US"/>
              </w:rPr>
            </w:pPr>
            <w:r w:rsidRPr="00C9343F">
              <w:rPr>
                <w:lang w:eastAsia="en-US"/>
              </w:rPr>
              <w:t>For a member transferring to Air Force — training for Category D qualification or Air Traffic Controller primary endorsement.</w:t>
            </w:r>
          </w:p>
        </w:tc>
      </w:tr>
      <w:tr w:rsidR="00083B82" w:rsidRPr="00C9343F" w14:paraId="2D227801" w14:textId="77777777" w:rsidTr="00F945FD">
        <w:tc>
          <w:tcPr>
            <w:tcW w:w="992" w:type="dxa"/>
          </w:tcPr>
          <w:p w14:paraId="5BD4E283" w14:textId="77777777" w:rsidR="00083B82" w:rsidRPr="00C9343F" w:rsidRDefault="00083B82" w:rsidP="00F66D98">
            <w:pPr>
              <w:pStyle w:val="BlockText-Plain"/>
              <w:spacing w:line="276" w:lineRule="auto"/>
              <w:jc w:val="center"/>
              <w:rPr>
                <w:lang w:eastAsia="en-US"/>
              </w:rPr>
            </w:pPr>
            <w:r w:rsidRPr="00C9343F">
              <w:rPr>
                <w:lang w:eastAsia="en-US"/>
              </w:rPr>
              <w:t>3.</w:t>
            </w:r>
          </w:p>
        </w:tc>
        <w:tc>
          <w:tcPr>
            <w:tcW w:w="8373" w:type="dxa"/>
            <w:gridSpan w:val="2"/>
          </w:tcPr>
          <w:p w14:paraId="1102A28B" w14:textId="77777777" w:rsidR="00083B82" w:rsidRPr="00C9343F" w:rsidRDefault="00083B82" w:rsidP="00F66D98">
            <w:pPr>
              <w:pStyle w:val="BlockText-Plain"/>
              <w:rPr>
                <w:lang w:eastAsia="en-US"/>
              </w:rPr>
            </w:pPr>
            <w:r w:rsidRPr="00C9343F">
              <w:rPr>
                <w:lang w:eastAsia="en-US"/>
              </w:rPr>
              <w:t>For a member transferring to Navy or Air Force, on the completion of the applicable training in subsection 2, the following apply.</w:t>
            </w:r>
          </w:p>
        </w:tc>
      </w:tr>
      <w:tr w:rsidR="00083B82" w:rsidRPr="00C9343F" w14:paraId="7F28D077"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1E62791C" w14:textId="77777777" w:rsidR="00083B82" w:rsidRPr="00C9343F" w:rsidRDefault="00083B82" w:rsidP="00F66D98">
            <w:pPr>
              <w:spacing w:after="200"/>
            </w:pPr>
          </w:p>
        </w:tc>
        <w:tc>
          <w:tcPr>
            <w:tcW w:w="567" w:type="dxa"/>
            <w:tcMar>
              <w:top w:w="0" w:type="dxa"/>
              <w:left w:w="108" w:type="dxa"/>
              <w:bottom w:w="0" w:type="dxa"/>
              <w:right w:w="108" w:type="dxa"/>
            </w:tcMar>
          </w:tcPr>
          <w:p w14:paraId="42CCEA3C" w14:textId="77777777" w:rsidR="00083B82" w:rsidRPr="00C9343F" w:rsidRDefault="00083B82" w:rsidP="007114B1">
            <w:pPr>
              <w:pStyle w:val="BlockText-Plain"/>
              <w:jc w:val="center"/>
              <w:rPr>
                <w:lang w:eastAsia="en-US"/>
              </w:rPr>
            </w:pPr>
            <w:r w:rsidRPr="00C9343F">
              <w:rPr>
                <w:lang w:eastAsia="en-US"/>
              </w:rPr>
              <w:t>a.</w:t>
            </w:r>
          </w:p>
        </w:tc>
        <w:tc>
          <w:tcPr>
            <w:tcW w:w="7806" w:type="dxa"/>
            <w:tcMar>
              <w:top w:w="0" w:type="dxa"/>
              <w:left w:w="108" w:type="dxa"/>
              <w:bottom w:w="0" w:type="dxa"/>
              <w:right w:w="108" w:type="dxa"/>
            </w:tcMar>
          </w:tcPr>
          <w:p w14:paraId="4A42C914" w14:textId="77777777" w:rsidR="00083B82" w:rsidRPr="00C9343F" w:rsidRDefault="00083B82" w:rsidP="00F66D98">
            <w:pPr>
              <w:pStyle w:val="BlockText-Plain"/>
              <w:rPr>
                <w:lang w:eastAsia="en-US"/>
              </w:rPr>
            </w:pPr>
            <w:r w:rsidRPr="00C9343F">
              <w:rPr>
                <w:lang w:eastAsia="en-US"/>
              </w:rPr>
              <w:t>If the member’s Officer Aviation increment is below or equal to the minimum increment for their rank, gaining pathway and competency stream, their Officer Aviation increment is the minimum increment for their rank, pathway and competency stream.</w:t>
            </w:r>
          </w:p>
        </w:tc>
      </w:tr>
      <w:tr w:rsidR="00083B82" w:rsidRPr="00C9343F" w14:paraId="04956296"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5BD25B04" w14:textId="77777777" w:rsidR="00083B82" w:rsidRPr="00C9343F" w:rsidRDefault="00083B82" w:rsidP="00F66D98">
            <w:pPr>
              <w:spacing w:after="200"/>
            </w:pPr>
          </w:p>
        </w:tc>
        <w:tc>
          <w:tcPr>
            <w:tcW w:w="567" w:type="dxa"/>
            <w:tcMar>
              <w:top w:w="0" w:type="dxa"/>
              <w:left w:w="108" w:type="dxa"/>
              <w:bottom w:w="0" w:type="dxa"/>
              <w:right w:w="108" w:type="dxa"/>
            </w:tcMar>
          </w:tcPr>
          <w:p w14:paraId="2FFA96F9" w14:textId="77777777" w:rsidR="00083B82" w:rsidRPr="00C9343F" w:rsidRDefault="00083B82" w:rsidP="007114B1">
            <w:pPr>
              <w:pStyle w:val="BlockText-Plain"/>
              <w:jc w:val="center"/>
              <w:rPr>
                <w:lang w:eastAsia="en-US"/>
              </w:rPr>
            </w:pPr>
            <w:r w:rsidRPr="00C9343F">
              <w:rPr>
                <w:lang w:eastAsia="en-US"/>
              </w:rPr>
              <w:t>b.</w:t>
            </w:r>
          </w:p>
        </w:tc>
        <w:tc>
          <w:tcPr>
            <w:tcW w:w="7806" w:type="dxa"/>
            <w:tcMar>
              <w:top w:w="0" w:type="dxa"/>
              <w:left w:w="108" w:type="dxa"/>
              <w:bottom w:w="0" w:type="dxa"/>
              <w:right w:w="108" w:type="dxa"/>
            </w:tcMar>
          </w:tcPr>
          <w:p w14:paraId="3B7EA539" w14:textId="77777777" w:rsidR="00083B82" w:rsidRPr="00C9343F" w:rsidRDefault="00083B82" w:rsidP="00F66D98">
            <w:pPr>
              <w:pStyle w:val="BlockText-Plain"/>
              <w:rPr>
                <w:lang w:eastAsia="en-US"/>
              </w:rPr>
            </w:pPr>
            <w:r w:rsidRPr="00C9343F">
              <w:rPr>
                <w:lang w:eastAsia="en-US"/>
              </w:rPr>
              <w:t>If the member's Officer Aviation increment before transfer is above the minimum increment for their rank, gaining pathway and competency stream, their Officer Aviation increment remains the same.</w:t>
            </w:r>
          </w:p>
        </w:tc>
      </w:tr>
      <w:tr w:rsidR="00083B82" w:rsidRPr="00C9343F" w14:paraId="0C7FBC13"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71F3D707" w14:textId="77777777" w:rsidR="00083B82" w:rsidRPr="00C9343F" w:rsidRDefault="00083B82" w:rsidP="00F66D98">
            <w:pPr>
              <w:spacing w:after="200"/>
            </w:pPr>
          </w:p>
        </w:tc>
        <w:tc>
          <w:tcPr>
            <w:tcW w:w="567" w:type="dxa"/>
            <w:tcMar>
              <w:top w:w="0" w:type="dxa"/>
              <w:left w:w="108" w:type="dxa"/>
              <w:bottom w:w="0" w:type="dxa"/>
              <w:right w:w="108" w:type="dxa"/>
            </w:tcMar>
          </w:tcPr>
          <w:p w14:paraId="328D0CC6" w14:textId="77777777" w:rsidR="00083B82" w:rsidRPr="00C9343F" w:rsidRDefault="00083B82" w:rsidP="007114B1">
            <w:pPr>
              <w:pStyle w:val="BlockText-Plain"/>
              <w:jc w:val="center"/>
              <w:rPr>
                <w:lang w:eastAsia="en-US"/>
              </w:rPr>
            </w:pPr>
            <w:r w:rsidRPr="00C9343F">
              <w:rPr>
                <w:lang w:eastAsia="en-US"/>
              </w:rPr>
              <w:t>c.</w:t>
            </w:r>
          </w:p>
        </w:tc>
        <w:tc>
          <w:tcPr>
            <w:tcW w:w="7806" w:type="dxa"/>
            <w:tcMar>
              <w:top w:w="0" w:type="dxa"/>
              <w:left w:w="108" w:type="dxa"/>
              <w:bottom w:w="0" w:type="dxa"/>
              <w:right w:w="108" w:type="dxa"/>
            </w:tcMar>
          </w:tcPr>
          <w:p w14:paraId="682FCAB0" w14:textId="77777777" w:rsidR="00083B82" w:rsidRPr="00C9343F" w:rsidRDefault="00083B82" w:rsidP="00F66D98">
            <w:pPr>
              <w:pStyle w:val="BlockText-Plain"/>
              <w:rPr>
                <w:lang w:eastAsia="en-US"/>
              </w:rPr>
            </w:pPr>
            <w:r w:rsidRPr="00C9343F">
              <w:rPr>
                <w:lang w:eastAsia="en-US"/>
              </w:rPr>
              <w:t>If the member's Officer Aviation increment is above the maximum increment for their rank, gaining pathway and competency stream, their Officer Aviation increment is the maximum increment for their rank, gaining pathway and competency stream.</w:t>
            </w:r>
          </w:p>
        </w:tc>
      </w:tr>
      <w:tr w:rsidR="00083B82" w:rsidRPr="00C9343F" w14:paraId="0CDEC5E2" w14:textId="77777777" w:rsidTr="00F945FD">
        <w:tblPrEx>
          <w:tblCellMar>
            <w:left w:w="0" w:type="dxa"/>
            <w:right w:w="0" w:type="dxa"/>
          </w:tblCellMar>
        </w:tblPrEx>
        <w:tc>
          <w:tcPr>
            <w:tcW w:w="992" w:type="dxa"/>
            <w:tcMar>
              <w:top w:w="0" w:type="dxa"/>
              <w:left w:w="108" w:type="dxa"/>
              <w:bottom w:w="0" w:type="dxa"/>
              <w:right w:w="108" w:type="dxa"/>
            </w:tcMar>
          </w:tcPr>
          <w:p w14:paraId="1B5EDB3A" w14:textId="77777777" w:rsidR="00083B82" w:rsidRPr="00C9343F" w:rsidRDefault="00083B82" w:rsidP="00F66D98">
            <w:pPr>
              <w:pStyle w:val="BlockText-Plain"/>
              <w:jc w:val="center"/>
              <w:rPr>
                <w:lang w:eastAsia="en-US"/>
              </w:rPr>
            </w:pPr>
            <w:r w:rsidRPr="00C9343F">
              <w:rPr>
                <w:lang w:eastAsia="en-US"/>
              </w:rPr>
              <w:t>4.</w:t>
            </w:r>
          </w:p>
        </w:tc>
        <w:tc>
          <w:tcPr>
            <w:tcW w:w="8373" w:type="dxa"/>
            <w:gridSpan w:val="2"/>
            <w:tcMar>
              <w:top w:w="0" w:type="dxa"/>
              <w:left w:w="108" w:type="dxa"/>
              <w:bottom w:w="0" w:type="dxa"/>
              <w:right w:w="108" w:type="dxa"/>
            </w:tcMar>
          </w:tcPr>
          <w:p w14:paraId="210D0DFF" w14:textId="77777777" w:rsidR="00083B82" w:rsidRPr="00C9343F" w:rsidRDefault="00083B82" w:rsidP="00F66D98">
            <w:pPr>
              <w:pStyle w:val="BlockText-Plain"/>
              <w:rPr>
                <w:b/>
                <w:lang w:eastAsia="en-US"/>
              </w:rPr>
            </w:pPr>
            <w:r w:rsidRPr="00C9343F">
              <w:rPr>
                <w:lang w:eastAsia="en-US"/>
              </w:rPr>
              <w:t>Despite paragraph 3.a, a member who transfers to Navy or Air Force may have an Officer Aviation increment above the minimum increment for their rank, pathway and competency stream that is decided by the CDF, taking into consideration the following.</w:t>
            </w:r>
          </w:p>
        </w:tc>
      </w:tr>
      <w:tr w:rsidR="00083B82" w:rsidRPr="00C9343F" w14:paraId="635E7F96"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595A2533" w14:textId="77777777" w:rsidR="00083B82" w:rsidRPr="00C9343F" w:rsidRDefault="00083B82" w:rsidP="00F66D98">
            <w:pPr>
              <w:spacing w:after="200"/>
            </w:pPr>
          </w:p>
        </w:tc>
        <w:tc>
          <w:tcPr>
            <w:tcW w:w="567" w:type="dxa"/>
            <w:tcMar>
              <w:top w:w="0" w:type="dxa"/>
              <w:left w:w="108" w:type="dxa"/>
              <w:bottom w:w="0" w:type="dxa"/>
              <w:right w:w="108" w:type="dxa"/>
            </w:tcMar>
          </w:tcPr>
          <w:p w14:paraId="7251F4E9" w14:textId="77777777" w:rsidR="00083B82" w:rsidRPr="00C9343F" w:rsidRDefault="00083B82" w:rsidP="007114B1">
            <w:pPr>
              <w:pStyle w:val="BlockText-Plain"/>
              <w:jc w:val="center"/>
              <w:rPr>
                <w:lang w:eastAsia="en-US"/>
              </w:rPr>
            </w:pPr>
            <w:r w:rsidRPr="00C9343F">
              <w:rPr>
                <w:lang w:eastAsia="en-US"/>
              </w:rPr>
              <w:t>a.</w:t>
            </w:r>
          </w:p>
        </w:tc>
        <w:tc>
          <w:tcPr>
            <w:tcW w:w="7806" w:type="dxa"/>
            <w:tcMar>
              <w:top w:w="0" w:type="dxa"/>
              <w:left w:w="108" w:type="dxa"/>
              <w:bottom w:w="0" w:type="dxa"/>
              <w:right w:w="108" w:type="dxa"/>
            </w:tcMar>
          </w:tcPr>
          <w:p w14:paraId="4D2D7140" w14:textId="77777777" w:rsidR="00083B82" w:rsidRPr="00C9343F" w:rsidRDefault="00083B82" w:rsidP="00F66D98">
            <w:pPr>
              <w:pStyle w:val="BlockText-Plain"/>
              <w:rPr>
                <w:lang w:eastAsia="en-US"/>
              </w:rPr>
            </w:pPr>
            <w:r w:rsidRPr="00C9343F">
              <w:rPr>
                <w:lang w:eastAsia="en-US"/>
              </w:rPr>
              <w:t>The member’s experience, qualifications and skills.</w:t>
            </w:r>
          </w:p>
        </w:tc>
      </w:tr>
      <w:tr w:rsidR="00083B82" w:rsidRPr="00C9343F" w14:paraId="402553DB"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3B518771"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41C5CDBF" w14:textId="77777777" w:rsidR="00083B82" w:rsidRPr="00C9343F" w:rsidRDefault="00083B82" w:rsidP="007114B1">
            <w:pPr>
              <w:pStyle w:val="BlockText-Plain"/>
              <w:jc w:val="center"/>
              <w:rPr>
                <w:lang w:eastAsia="en-US"/>
              </w:rPr>
            </w:pPr>
            <w:r w:rsidRPr="00C9343F">
              <w:rPr>
                <w:lang w:eastAsia="en-US"/>
              </w:rPr>
              <w:t>b.</w:t>
            </w:r>
          </w:p>
        </w:tc>
        <w:tc>
          <w:tcPr>
            <w:tcW w:w="7806" w:type="dxa"/>
            <w:tcMar>
              <w:top w:w="0" w:type="dxa"/>
              <w:left w:w="108" w:type="dxa"/>
              <w:bottom w:w="0" w:type="dxa"/>
              <w:right w:w="108" w:type="dxa"/>
            </w:tcMar>
            <w:hideMark/>
          </w:tcPr>
          <w:p w14:paraId="5C72EE1A" w14:textId="77777777" w:rsidR="00083B82" w:rsidRPr="00C9343F" w:rsidRDefault="00083B82" w:rsidP="00F66D98">
            <w:pPr>
              <w:pStyle w:val="BlockText-Plain"/>
              <w:rPr>
                <w:lang w:eastAsia="en-US"/>
              </w:rPr>
            </w:pPr>
            <w:r w:rsidRPr="00C9343F">
              <w:rPr>
                <w:lang w:eastAsia="en-US"/>
              </w:rPr>
              <w:t>The member’s previous relevant military service</w:t>
            </w:r>
            <w:r w:rsidRPr="00C9343F">
              <w:rPr>
                <w:i/>
                <w:lang w:eastAsia="en-US"/>
              </w:rPr>
              <w:t>.</w:t>
            </w:r>
          </w:p>
        </w:tc>
      </w:tr>
      <w:tr w:rsidR="00083B82" w:rsidRPr="00C9343F" w14:paraId="2D1F4CB8" w14:textId="77777777" w:rsidTr="00F945FD">
        <w:tblPrEx>
          <w:tblCellMar>
            <w:left w:w="0" w:type="dxa"/>
            <w:right w:w="0" w:type="dxa"/>
          </w:tblCellMar>
        </w:tblPrEx>
        <w:trPr>
          <w:cantSplit/>
        </w:trPr>
        <w:tc>
          <w:tcPr>
            <w:tcW w:w="992" w:type="dxa"/>
            <w:tcMar>
              <w:top w:w="0" w:type="dxa"/>
              <w:left w:w="108" w:type="dxa"/>
              <w:bottom w:w="0" w:type="dxa"/>
              <w:right w:w="108" w:type="dxa"/>
            </w:tcMar>
          </w:tcPr>
          <w:p w14:paraId="730ECE6C"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1A120B95" w14:textId="77777777" w:rsidR="00083B82" w:rsidRPr="00C9343F" w:rsidRDefault="00083B82" w:rsidP="007114B1">
            <w:pPr>
              <w:pStyle w:val="BlockText-Plain"/>
              <w:jc w:val="center"/>
              <w:rPr>
                <w:lang w:eastAsia="en-US"/>
              </w:rPr>
            </w:pPr>
            <w:r w:rsidRPr="00C9343F">
              <w:rPr>
                <w:lang w:eastAsia="en-US"/>
              </w:rPr>
              <w:t>c.</w:t>
            </w:r>
          </w:p>
        </w:tc>
        <w:tc>
          <w:tcPr>
            <w:tcW w:w="7806" w:type="dxa"/>
            <w:tcMar>
              <w:top w:w="0" w:type="dxa"/>
              <w:left w:w="108" w:type="dxa"/>
              <w:bottom w:w="0" w:type="dxa"/>
              <w:right w:w="108" w:type="dxa"/>
            </w:tcMar>
            <w:hideMark/>
          </w:tcPr>
          <w:p w14:paraId="415320D4" w14:textId="77777777" w:rsidR="00083B82" w:rsidRPr="00C9343F" w:rsidRDefault="00083B82" w:rsidP="00F66D98">
            <w:pPr>
              <w:pStyle w:val="BlockText-Plain"/>
              <w:rPr>
                <w:lang w:eastAsia="en-US"/>
              </w:rPr>
            </w:pPr>
            <w:r w:rsidRPr="00C9343F">
              <w:rPr>
                <w:lang w:eastAsia="en-US"/>
              </w:rPr>
              <w:t xml:space="preserve">Any other matters relevant to the periods of service for increment placement. </w:t>
            </w:r>
          </w:p>
        </w:tc>
      </w:tr>
      <w:tr w:rsidR="00083B82" w:rsidRPr="00C9343F" w14:paraId="158B8364" w14:textId="77777777" w:rsidTr="00F945FD">
        <w:tc>
          <w:tcPr>
            <w:tcW w:w="992" w:type="dxa"/>
          </w:tcPr>
          <w:p w14:paraId="24CEF14F" w14:textId="77777777" w:rsidR="00083B82" w:rsidRPr="00C9343F" w:rsidRDefault="00083B82" w:rsidP="00F66D98">
            <w:pPr>
              <w:pStyle w:val="BlockText-Plain"/>
              <w:spacing w:line="276" w:lineRule="auto"/>
              <w:jc w:val="center"/>
              <w:rPr>
                <w:lang w:eastAsia="en-US"/>
              </w:rPr>
            </w:pPr>
            <w:r w:rsidRPr="00C9343F">
              <w:rPr>
                <w:lang w:eastAsia="en-US"/>
              </w:rPr>
              <w:t>5.</w:t>
            </w:r>
          </w:p>
        </w:tc>
        <w:tc>
          <w:tcPr>
            <w:tcW w:w="8373" w:type="dxa"/>
            <w:gridSpan w:val="2"/>
          </w:tcPr>
          <w:p w14:paraId="320C1B99" w14:textId="77777777" w:rsidR="00083B82" w:rsidRPr="00C9343F" w:rsidRDefault="00083B82" w:rsidP="00F66D98">
            <w:pPr>
              <w:pStyle w:val="BlockText-Plain"/>
              <w:rPr>
                <w:lang w:eastAsia="en-US"/>
              </w:rPr>
            </w:pPr>
            <w:r w:rsidRPr="00C9343F">
              <w:rPr>
                <w:lang w:eastAsia="en-US"/>
              </w:rPr>
              <w:t>For a member who transfers to Army, on the completion of type conversion training under paragraph 2.a, the member has an Officer Aviation increment for their pathway and competency stream that is decided by the CDF, having regard to the following.</w:t>
            </w:r>
          </w:p>
        </w:tc>
      </w:tr>
      <w:tr w:rsidR="00083B82" w:rsidRPr="00C9343F" w14:paraId="70B9E124" w14:textId="77777777" w:rsidTr="00F945FD">
        <w:trPr>
          <w:cantSplit/>
        </w:trPr>
        <w:tc>
          <w:tcPr>
            <w:tcW w:w="992" w:type="dxa"/>
          </w:tcPr>
          <w:p w14:paraId="243C5FC2" w14:textId="77777777" w:rsidR="00083B82" w:rsidRPr="00C9343F" w:rsidRDefault="00083B82" w:rsidP="00F66D98">
            <w:pPr>
              <w:pStyle w:val="BlockText-Plain"/>
              <w:spacing w:line="276" w:lineRule="auto"/>
              <w:rPr>
                <w:lang w:eastAsia="en-US"/>
              </w:rPr>
            </w:pPr>
          </w:p>
        </w:tc>
        <w:tc>
          <w:tcPr>
            <w:tcW w:w="567" w:type="dxa"/>
            <w:hideMark/>
          </w:tcPr>
          <w:p w14:paraId="3B325371" w14:textId="77777777" w:rsidR="00083B82" w:rsidRPr="00C9343F" w:rsidRDefault="00083B82" w:rsidP="007114B1">
            <w:pPr>
              <w:pStyle w:val="BlockText-Plain"/>
              <w:spacing w:line="276" w:lineRule="auto"/>
              <w:jc w:val="center"/>
              <w:rPr>
                <w:lang w:eastAsia="en-US"/>
              </w:rPr>
            </w:pPr>
            <w:r w:rsidRPr="00C9343F">
              <w:rPr>
                <w:lang w:eastAsia="en-US"/>
              </w:rPr>
              <w:t>a.</w:t>
            </w:r>
          </w:p>
        </w:tc>
        <w:tc>
          <w:tcPr>
            <w:tcW w:w="7806" w:type="dxa"/>
            <w:hideMark/>
          </w:tcPr>
          <w:p w14:paraId="14B7F836" w14:textId="77777777" w:rsidR="00083B82" w:rsidRPr="00C9343F" w:rsidRDefault="00083B82" w:rsidP="00F66D98">
            <w:pPr>
              <w:pStyle w:val="BlockText-Plain"/>
              <w:spacing w:line="276" w:lineRule="auto"/>
              <w:rPr>
                <w:lang w:eastAsia="en-US"/>
              </w:rPr>
            </w:pPr>
            <w:r w:rsidRPr="00C9343F">
              <w:rPr>
                <w:lang w:eastAsia="en-US"/>
              </w:rPr>
              <w:t>The member’s rank.</w:t>
            </w:r>
          </w:p>
        </w:tc>
      </w:tr>
      <w:tr w:rsidR="00083B82" w:rsidRPr="00C9343F" w14:paraId="751F7DB2" w14:textId="77777777" w:rsidTr="00F945FD">
        <w:trPr>
          <w:cantSplit/>
        </w:trPr>
        <w:tc>
          <w:tcPr>
            <w:tcW w:w="992" w:type="dxa"/>
          </w:tcPr>
          <w:p w14:paraId="25FF24C1" w14:textId="77777777" w:rsidR="00083B82" w:rsidRPr="00C9343F" w:rsidRDefault="00083B82" w:rsidP="00F66D98">
            <w:pPr>
              <w:pStyle w:val="BlockText-Plain"/>
              <w:spacing w:line="276" w:lineRule="auto"/>
              <w:rPr>
                <w:lang w:eastAsia="en-US"/>
              </w:rPr>
            </w:pPr>
          </w:p>
        </w:tc>
        <w:tc>
          <w:tcPr>
            <w:tcW w:w="567" w:type="dxa"/>
          </w:tcPr>
          <w:p w14:paraId="4831D18F" w14:textId="77777777" w:rsidR="00083B82" w:rsidRPr="00C9343F" w:rsidRDefault="00083B82" w:rsidP="007114B1">
            <w:pPr>
              <w:pStyle w:val="BlockText-Plain"/>
              <w:spacing w:line="276" w:lineRule="auto"/>
              <w:jc w:val="center"/>
              <w:rPr>
                <w:lang w:eastAsia="en-US"/>
              </w:rPr>
            </w:pPr>
            <w:r w:rsidRPr="00C9343F">
              <w:rPr>
                <w:lang w:eastAsia="en-US"/>
              </w:rPr>
              <w:t>b.</w:t>
            </w:r>
          </w:p>
        </w:tc>
        <w:tc>
          <w:tcPr>
            <w:tcW w:w="7806" w:type="dxa"/>
          </w:tcPr>
          <w:p w14:paraId="3A4145CC" w14:textId="77777777" w:rsidR="00083B82" w:rsidRPr="00C9343F" w:rsidRDefault="00083B82" w:rsidP="00F66D98">
            <w:pPr>
              <w:pStyle w:val="BlockText-Plain"/>
              <w:spacing w:line="276" w:lineRule="auto"/>
              <w:rPr>
                <w:lang w:eastAsia="en-US"/>
              </w:rPr>
            </w:pPr>
            <w:r w:rsidRPr="00C9343F">
              <w:rPr>
                <w:lang w:eastAsia="en-US"/>
              </w:rPr>
              <w:t>The number of years the member was in their previous Service.</w:t>
            </w:r>
          </w:p>
        </w:tc>
      </w:tr>
      <w:tr w:rsidR="00083B82" w:rsidRPr="00C9343F" w14:paraId="0C777FC7" w14:textId="77777777" w:rsidTr="00F945FD">
        <w:trPr>
          <w:cantSplit/>
        </w:trPr>
        <w:tc>
          <w:tcPr>
            <w:tcW w:w="992" w:type="dxa"/>
          </w:tcPr>
          <w:p w14:paraId="542606A8" w14:textId="77777777" w:rsidR="00083B82" w:rsidRPr="00C9343F" w:rsidRDefault="00083B82" w:rsidP="00F66D98">
            <w:pPr>
              <w:pStyle w:val="BlockText-Plain"/>
              <w:spacing w:line="276" w:lineRule="auto"/>
              <w:rPr>
                <w:lang w:eastAsia="en-US"/>
              </w:rPr>
            </w:pPr>
          </w:p>
        </w:tc>
        <w:tc>
          <w:tcPr>
            <w:tcW w:w="567" w:type="dxa"/>
          </w:tcPr>
          <w:p w14:paraId="51DA3193" w14:textId="77777777" w:rsidR="00083B82" w:rsidRPr="00C9343F" w:rsidRDefault="00083B82" w:rsidP="007114B1">
            <w:pPr>
              <w:pStyle w:val="BlockText-Plain"/>
              <w:spacing w:line="276" w:lineRule="auto"/>
              <w:jc w:val="center"/>
              <w:rPr>
                <w:lang w:eastAsia="en-US"/>
              </w:rPr>
            </w:pPr>
            <w:r w:rsidRPr="00C9343F">
              <w:rPr>
                <w:lang w:eastAsia="en-US"/>
              </w:rPr>
              <w:t>c.</w:t>
            </w:r>
          </w:p>
        </w:tc>
        <w:tc>
          <w:tcPr>
            <w:tcW w:w="7806" w:type="dxa"/>
          </w:tcPr>
          <w:p w14:paraId="3AACA660" w14:textId="77777777" w:rsidR="00083B82" w:rsidRPr="00C9343F" w:rsidDel="001F2CD1" w:rsidRDefault="00083B82" w:rsidP="00F66D98">
            <w:pPr>
              <w:pStyle w:val="BlockText-Plain"/>
              <w:spacing w:line="276" w:lineRule="auto"/>
              <w:rPr>
                <w:lang w:eastAsia="en-US"/>
              </w:rPr>
            </w:pPr>
            <w:r w:rsidRPr="00C9343F">
              <w:rPr>
                <w:lang w:eastAsia="en-US"/>
              </w:rPr>
              <w:t>The member's qualifications and experience.</w:t>
            </w:r>
          </w:p>
        </w:tc>
      </w:tr>
    </w:tbl>
    <w:p w14:paraId="5F6DB308" w14:textId="6A8B581D" w:rsidR="00083B82" w:rsidRPr="00C9343F" w:rsidRDefault="00083B82" w:rsidP="00F66D98">
      <w:pPr>
        <w:pStyle w:val="Heading5"/>
      </w:pPr>
      <w:bookmarkStart w:id="515" w:name="_Toc105053725"/>
      <w:r w:rsidRPr="00C9343F">
        <w:t>3.2.47U</w:t>
      </w:r>
      <w:r w:rsidR="00D94006" w:rsidRPr="00C9343F">
        <w:t>    </w:t>
      </w:r>
      <w:r w:rsidRPr="00C9343F">
        <w:t>Increment on transfer between pathways and competency streams</w:t>
      </w:r>
      <w:bookmarkEnd w:id="515"/>
      <w:r w:rsidRPr="00C9343F">
        <w:t xml:space="preserve"> </w:t>
      </w:r>
    </w:p>
    <w:tbl>
      <w:tblPr>
        <w:tblW w:w="9366" w:type="dxa"/>
        <w:tblInd w:w="108" w:type="dxa"/>
        <w:tblLayout w:type="fixed"/>
        <w:tblLook w:val="04A0" w:firstRow="1" w:lastRow="0" w:firstColumn="1" w:lastColumn="0" w:noHBand="0" w:noVBand="1"/>
      </w:tblPr>
      <w:tblGrid>
        <w:gridCol w:w="992"/>
        <w:gridCol w:w="567"/>
        <w:gridCol w:w="567"/>
        <w:gridCol w:w="7240"/>
      </w:tblGrid>
      <w:tr w:rsidR="00083B82" w:rsidRPr="00C9343F" w14:paraId="79615B39" w14:textId="77777777" w:rsidTr="001A0534">
        <w:trPr>
          <w:cantSplit/>
        </w:trPr>
        <w:tc>
          <w:tcPr>
            <w:tcW w:w="992" w:type="dxa"/>
          </w:tcPr>
          <w:p w14:paraId="0E7A2D86" w14:textId="77777777" w:rsidR="00083B82" w:rsidRPr="00C9343F" w:rsidRDefault="00083B82" w:rsidP="00F66D98">
            <w:pPr>
              <w:pStyle w:val="BlockText-Plain"/>
              <w:spacing w:line="276" w:lineRule="auto"/>
              <w:jc w:val="center"/>
              <w:rPr>
                <w:lang w:eastAsia="en-US"/>
              </w:rPr>
            </w:pPr>
            <w:r w:rsidRPr="00C9343F">
              <w:rPr>
                <w:lang w:eastAsia="en-US"/>
              </w:rPr>
              <w:t>1.</w:t>
            </w:r>
          </w:p>
        </w:tc>
        <w:tc>
          <w:tcPr>
            <w:tcW w:w="8374" w:type="dxa"/>
            <w:gridSpan w:val="3"/>
          </w:tcPr>
          <w:p w14:paraId="00312B93" w14:textId="77777777" w:rsidR="00083B82" w:rsidRPr="00C9343F" w:rsidRDefault="00083B82" w:rsidP="00F66D98">
            <w:pPr>
              <w:pStyle w:val="BlockText-Plain"/>
              <w:rPr>
                <w:lang w:eastAsia="en-US"/>
              </w:rPr>
            </w:pPr>
            <w:r w:rsidRPr="00C9343F">
              <w:rPr>
                <w:lang w:eastAsia="en-US"/>
              </w:rPr>
              <w:t>This section does not apply to a member in the Army to whom section 3.2.47V applies.</w:t>
            </w:r>
          </w:p>
        </w:tc>
      </w:tr>
      <w:tr w:rsidR="00083B82" w:rsidRPr="00C9343F" w14:paraId="21444FD1" w14:textId="77777777" w:rsidTr="001A0534">
        <w:tc>
          <w:tcPr>
            <w:tcW w:w="992" w:type="dxa"/>
            <w:hideMark/>
          </w:tcPr>
          <w:p w14:paraId="26F59C16" w14:textId="77777777" w:rsidR="00083B82" w:rsidRPr="00C9343F" w:rsidRDefault="00083B82" w:rsidP="00F66D98">
            <w:pPr>
              <w:pStyle w:val="BlockText-Plain"/>
              <w:jc w:val="center"/>
              <w:rPr>
                <w:lang w:eastAsia="en-US"/>
              </w:rPr>
            </w:pPr>
            <w:r w:rsidRPr="00C9343F">
              <w:rPr>
                <w:lang w:eastAsia="en-US"/>
              </w:rPr>
              <w:t>2.</w:t>
            </w:r>
          </w:p>
        </w:tc>
        <w:tc>
          <w:tcPr>
            <w:tcW w:w="8374" w:type="dxa"/>
            <w:gridSpan w:val="3"/>
            <w:hideMark/>
          </w:tcPr>
          <w:p w14:paraId="3771BBF4" w14:textId="77777777" w:rsidR="00083B82" w:rsidRPr="00C9343F" w:rsidRDefault="00083B82" w:rsidP="00F66D98">
            <w:pPr>
              <w:pStyle w:val="BlockText-Plain"/>
              <w:rPr>
                <w:lang w:eastAsia="en-US"/>
              </w:rPr>
            </w:pPr>
            <w:r w:rsidRPr="00C9343F">
              <w:rPr>
                <w:lang w:eastAsia="en-US"/>
              </w:rPr>
              <w:t>On the day that an Officer Aviation member transfers to a different pathway or competency stream within their Service either of the following apply.</w:t>
            </w:r>
          </w:p>
        </w:tc>
      </w:tr>
      <w:tr w:rsidR="00083B82" w:rsidRPr="00C9343F" w14:paraId="66F55284"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54B6C60A" w14:textId="77777777" w:rsidR="00083B82" w:rsidRPr="00C9343F" w:rsidRDefault="00083B82" w:rsidP="00F66D98">
            <w:pPr>
              <w:spacing w:after="200"/>
            </w:pPr>
          </w:p>
        </w:tc>
        <w:tc>
          <w:tcPr>
            <w:tcW w:w="567" w:type="dxa"/>
            <w:tcMar>
              <w:top w:w="0" w:type="dxa"/>
              <w:left w:w="108" w:type="dxa"/>
              <w:bottom w:w="0" w:type="dxa"/>
              <w:right w:w="108" w:type="dxa"/>
            </w:tcMar>
          </w:tcPr>
          <w:p w14:paraId="02D8418E" w14:textId="77777777" w:rsidR="00083B82" w:rsidRPr="00C9343F" w:rsidRDefault="00083B82" w:rsidP="007114B1">
            <w:pPr>
              <w:pStyle w:val="BlockText-Plain"/>
              <w:jc w:val="center"/>
              <w:rPr>
                <w:lang w:eastAsia="en-US"/>
              </w:rPr>
            </w:pPr>
            <w:r w:rsidRPr="00C9343F">
              <w:rPr>
                <w:lang w:eastAsia="en-US"/>
              </w:rPr>
              <w:t>a.</w:t>
            </w:r>
          </w:p>
        </w:tc>
        <w:tc>
          <w:tcPr>
            <w:tcW w:w="7807" w:type="dxa"/>
            <w:gridSpan w:val="2"/>
            <w:tcMar>
              <w:top w:w="0" w:type="dxa"/>
              <w:left w:w="108" w:type="dxa"/>
              <w:bottom w:w="0" w:type="dxa"/>
              <w:right w:w="108" w:type="dxa"/>
            </w:tcMar>
          </w:tcPr>
          <w:p w14:paraId="3D57A8D9" w14:textId="77777777" w:rsidR="00083B82" w:rsidRPr="00C9343F" w:rsidRDefault="00083B82" w:rsidP="00F66D98">
            <w:pPr>
              <w:pStyle w:val="BlockText-Plain"/>
              <w:rPr>
                <w:lang w:eastAsia="en-US"/>
              </w:rPr>
            </w:pPr>
            <w:r w:rsidRPr="00C9343F">
              <w:rPr>
                <w:lang w:eastAsia="en-US"/>
              </w:rPr>
              <w:t>If the member’s Officer Aviation increment is below or equal to the minimum increment for the gaining pathway and competency stream, their Officer Aviation increment is the minimum increment for their rank, pathway and competency stream.</w:t>
            </w:r>
          </w:p>
        </w:tc>
      </w:tr>
      <w:tr w:rsidR="00083B82" w:rsidRPr="00C9343F" w14:paraId="3401150E"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6C6B7FF2" w14:textId="77777777" w:rsidR="00083B82" w:rsidRPr="00C9343F" w:rsidRDefault="00083B82" w:rsidP="00F66D98">
            <w:pPr>
              <w:spacing w:after="200"/>
            </w:pPr>
          </w:p>
        </w:tc>
        <w:tc>
          <w:tcPr>
            <w:tcW w:w="567" w:type="dxa"/>
            <w:tcMar>
              <w:top w:w="0" w:type="dxa"/>
              <w:left w:w="108" w:type="dxa"/>
              <w:bottom w:w="0" w:type="dxa"/>
              <w:right w:w="108" w:type="dxa"/>
            </w:tcMar>
          </w:tcPr>
          <w:p w14:paraId="731859A0" w14:textId="77777777" w:rsidR="00083B82" w:rsidRPr="00C9343F" w:rsidRDefault="00083B82" w:rsidP="007114B1">
            <w:pPr>
              <w:pStyle w:val="BlockText-Plain"/>
              <w:jc w:val="center"/>
              <w:rPr>
                <w:lang w:eastAsia="en-US"/>
              </w:rPr>
            </w:pPr>
            <w:r w:rsidRPr="00C9343F">
              <w:rPr>
                <w:lang w:eastAsia="en-US"/>
              </w:rPr>
              <w:t>b.</w:t>
            </w:r>
          </w:p>
        </w:tc>
        <w:tc>
          <w:tcPr>
            <w:tcW w:w="7807" w:type="dxa"/>
            <w:gridSpan w:val="2"/>
            <w:tcMar>
              <w:top w:w="0" w:type="dxa"/>
              <w:left w:w="108" w:type="dxa"/>
              <w:bottom w:w="0" w:type="dxa"/>
              <w:right w:w="108" w:type="dxa"/>
            </w:tcMar>
          </w:tcPr>
          <w:p w14:paraId="083352ED" w14:textId="77777777" w:rsidR="00083B82" w:rsidRPr="00C9343F" w:rsidRDefault="00083B82" w:rsidP="00F66D98">
            <w:pPr>
              <w:pStyle w:val="BlockText-Plain"/>
              <w:rPr>
                <w:lang w:eastAsia="en-US"/>
              </w:rPr>
            </w:pPr>
            <w:r w:rsidRPr="00C9343F">
              <w:rPr>
                <w:lang w:eastAsia="en-US"/>
              </w:rPr>
              <w:t>If the member's Officer Aviation increment before transfer is above the minimum increment for the gaining pathway and competency stream, the member continues to hold their Officer Aviation increment.</w:t>
            </w:r>
          </w:p>
        </w:tc>
      </w:tr>
      <w:tr w:rsidR="00083B82" w:rsidRPr="00C9343F" w14:paraId="7C0378A5"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28919474" w14:textId="77777777" w:rsidR="00083B82" w:rsidRPr="00C9343F" w:rsidRDefault="00083B82" w:rsidP="00F66D98">
            <w:pPr>
              <w:spacing w:after="200"/>
            </w:pPr>
          </w:p>
        </w:tc>
        <w:tc>
          <w:tcPr>
            <w:tcW w:w="567" w:type="dxa"/>
            <w:tcMar>
              <w:top w:w="0" w:type="dxa"/>
              <w:left w:w="108" w:type="dxa"/>
              <w:bottom w:w="0" w:type="dxa"/>
              <w:right w:w="108" w:type="dxa"/>
            </w:tcMar>
          </w:tcPr>
          <w:p w14:paraId="73F8DBDD" w14:textId="77777777" w:rsidR="00083B82" w:rsidRPr="00C9343F" w:rsidRDefault="00083B82" w:rsidP="007114B1">
            <w:pPr>
              <w:pStyle w:val="BlockText-Plain"/>
              <w:jc w:val="center"/>
              <w:rPr>
                <w:lang w:eastAsia="en-US"/>
              </w:rPr>
            </w:pPr>
            <w:r w:rsidRPr="00C9343F">
              <w:rPr>
                <w:lang w:eastAsia="en-US"/>
              </w:rPr>
              <w:t>c.</w:t>
            </w:r>
          </w:p>
        </w:tc>
        <w:tc>
          <w:tcPr>
            <w:tcW w:w="7807" w:type="dxa"/>
            <w:gridSpan w:val="2"/>
            <w:tcMar>
              <w:top w:w="0" w:type="dxa"/>
              <w:left w:w="108" w:type="dxa"/>
              <w:bottom w:w="0" w:type="dxa"/>
              <w:right w:w="108" w:type="dxa"/>
            </w:tcMar>
          </w:tcPr>
          <w:p w14:paraId="2D179031" w14:textId="77777777" w:rsidR="00083B82" w:rsidRPr="00C9343F" w:rsidRDefault="00083B82" w:rsidP="00F66D98">
            <w:pPr>
              <w:pStyle w:val="BlockText-Plain"/>
              <w:rPr>
                <w:lang w:eastAsia="en-US"/>
              </w:rPr>
            </w:pPr>
            <w:r w:rsidRPr="00C9343F">
              <w:rPr>
                <w:lang w:eastAsia="en-US"/>
              </w:rPr>
              <w:t>If the member's Officer Aviation increment is equal to or above the maximum increment for the member's rank, gaining pathway and competency stream, one of the following apply.</w:t>
            </w:r>
          </w:p>
        </w:tc>
      </w:tr>
      <w:tr w:rsidR="00083B82" w:rsidRPr="00C9343F" w14:paraId="70020116" w14:textId="77777777" w:rsidTr="001A0534">
        <w:trPr>
          <w:cantSplit/>
        </w:trPr>
        <w:tc>
          <w:tcPr>
            <w:tcW w:w="1559" w:type="dxa"/>
            <w:gridSpan w:val="2"/>
          </w:tcPr>
          <w:p w14:paraId="2C3851C5" w14:textId="77777777" w:rsidR="00083B82" w:rsidRPr="00C9343F" w:rsidRDefault="00083B82" w:rsidP="00F66D98">
            <w:pPr>
              <w:pStyle w:val="BlockText-Plain"/>
              <w:spacing w:line="276" w:lineRule="auto"/>
              <w:rPr>
                <w:lang w:eastAsia="en-US"/>
              </w:rPr>
            </w:pPr>
          </w:p>
        </w:tc>
        <w:tc>
          <w:tcPr>
            <w:tcW w:w="567" w:type="dxa"/>
            <w:hideMark/>
          </w:tcPr>
          <w:p w14:paraId="07A5C7EA" w14:textId="77777777" w:rsidR="00083B82" w:rsidRPr="00C9343F" w:rsidRDefault="00083B82" w:rsidP="007114B1">
            <w:pPr>
              <w:pStyle w:val="BlockText-Plain"/>
              <w:rPr>
                <w:lang w:eastAsia="en-US"/>
              </w:rPr>
            </w:pPr>
            <w:r w:rsidRPr="00C9343F">
              <w:rPr>
                <w:lang w:eastAsia="en-US"/>
              </w:rPr>
              <w:t>i.</w:t>
            </w:r>
          </w:p>
        </w:tc>
        <w:tc>
          <w:tcPr>
            <w:tcW w:w="7240" w:type="dxa"/>
          </w:tcPr>
          <w:p w14:paraId="7DF30B36" w14:textId="77777777" w:rsidR="00083B82" w:rsidRPr="00C9343F" w:rsidRDefault="00083B82" w:rsidP="00F66D98">
            <w:pPr>
              <w:pStyle w:val="BlockText-Plain"/>
              <w:rPr>
                <w:lang w:eastAsia="en-US"/>
              </w:rPr>
            </w:pPr>
            <w:r w:rsidRPr="00C9343F">
              <w:rPr>
                <w:lang w:eastAsia="en-US"/>
              </w:rPr>
              <w:t>For a member in the Navy — the member has the highest Officer Aviation increment for their rank, gaining pathway and competency stream.</w:t>
            </w:r>
          </w:p>
        </w:tc>
      </w:tr>
      <w:tr w:rsidR="00083B82" w:rsidRPr="00C9343F" w14:paraId="4BD62F3A" w14:textId="77777777" w:rsidTr="001A0534">
        <w:trPr>
          <w:cantSplit/>
        </w:trPr>
        <w:tc>
          <w:tcPr>
            <w:tcW w:w="1559" w:type="dxa"/>
            <w:gridSpan w:val="2"/>
          </w:tcPr>
          <w:p w14:paraId="17F0AD8B" w14:textId="77777777" w:rsidR="00083B82" w:rsidRPr="00C9343F" w:rsidRDefault="00083B82" w:rsidP="00F66D98">
            <w:pPr>
              <w:pStyle w:val="BlockText-Plain"/>
              <w:spacing w:line="276" w:lineRule="auto"/>
              <w:rPr>
                <w:lang w:eastAsia="en-US"/>
              </w:rPr>
            </w:pPr>
          </w:p>
        </w:tc>
        <w:tc>
          <w:tcPr>
            <w:tcW w:w="567" w:type="dxa"/>
          </w:tcPr>
          <w:p w14:paraId="073E6D6A" w14:textId="77777777" w:rsidR="00083B82" w:rsidRPr="00C9343F" w:rsidRDefault="00083B82" w:rsidP="007114B1">
            <w:pPr>
              <w:pStyle w:val="BlockText-Plain"/>
              <w:rPr>
                <w:lang w:eastAsia="en-US"/>
              </w:rPr>
            </w:pPr>
            <w:r w:rsidRPr="00C9343F">
              <w:rPr>
                <w:lang w:eastAsia="en-US"/>
              </w:rPr>
              <w:t>ii.</w:t>
            </w:r>
          </w:p>
        </w:tc>
        <w:tc>
          <w:tcPr>
            <w:tcW w:w="7240" w:type="dxa"/>
          </w:tcPr>
          <w:p w14:paraId="00F82CAA" w14:textId="77777777" w:rsidR="00083B82" w:rsidRPr="00C9343F" w:rsidRDefault="00083B82" w:rsidP="00F66D98">
            <w:pPr>
              <w:pStyle w:val="BlockText-Plain"/>
              <w:rPr>
                <w:lang w:eastAsia="en-US"/>
              </w:rPr>
            </w:pPr>
            <w:r w:rsidRPr="00C9343F">
              <w:rPr>
                <w:lang w:eastAsia="en-US"/>
              </w:rPr>
              <w:t>For a member in the Army or Air Force — The member continues to hold their Officer Aviation increment.</w:t>
            </w:r>
          </w:p>
        </w:tc>
      </w:tr>
      <w:tr w:rsidR="00083B82" w:rsidRPr="00C9343F" w14:paraId="7797C65A" w14:textId="77777777" w:rsidTr="001A0534">
        <w:tblPrEx>
          <w:tblCellMar>
            <w:left w:w="0" w:type="dxa"/>
            <w:right w:w="0" w:type="dxa"/>
          </w:tblCellMar>
        </w:tblPrEx>
        <w:tc>
          <w:tcPr>
            <w:tcW w:w="992" w:type="dxa"/>
            <w:tcMar>
              <w:top w:w="0" w:type="dxa"/>
              <w:left w:w="108" w:type="dxa"/>
              <w:bottom w:w="0" w:type="dxa"/>
              <w:right w:w="108" w:type="dxa"/>
            </w:tcMar>
          </w:tcPr>
          <w:p w14:paraId="72DEAA1F" w14:textId="77777777" w:rsidR="00083B82" w:rsidRPr="00C9343F" w:rsidRDefault="00083B82" w:rsidP="00F66D98">
            <w:pPr>
              <w:pStyle w:val="BlockText-Plain"/>
              <w:jc w:val="center"/>
              <w:rPr>
                <w:lang w:eastAsia="en-US"/>
              </w:rPr>
            </w:pPr>
            <w:r w:rsidRPr="00C9343F">
              <w:rPr>
                <w:lang w:eastAsia="en-US"/>
              </w:rPr>
              <w:t>3.</w:t>
            </w:r>
          </w:p>
        </w:tc>
        <w:tc>
          <w:tcPr>
            <w:tcW w:w="8374" w:type="dxa"/>
            <w:gridSpan w:val="3"/>
            <w:tcMar>
              <w:top w:w="0" w:type="dxa"/>
              <w:left w:w="108" w:type="dxa"/>
              <w:bottom w:w="0" w:type="dxa"/>
              <w:right w:w="108" w:type="dxa"/>
            </w:tcMar>
          </w:tcPr>
          <w:p w14:paraId="63315BB3" w14:textId="77777777" w:rsidR="00083B82" w:rsidRPr="00C9343F" w:rsidRDefault="00083B82" w:rsidP="00F66D98">
            <w:pPr>
              <w:pStyle w:val="BlockText-Plain"/>
              <w:rPr>
                <w:b/>
                <w:lang w:eastAsia="en-US"/>
              </w:rPr>
            </w:pPr>
            <w:r w:rsidRPr="00C9343F">
              <w:rPr>
                <w:lang w:eastAsia="en-US"/>
              </w:rPr>
              <w:t>Despite paragraph 2.a, a member may have an Officer Aviation increment above the minimum increment for their rank, pathway and competency stream that is decided by the CDF, taking into consideration the following.</w:t>
            </w:r>
          </w:p>
        </w:tc>
      </w:tr>
      <w:tr w:rsidR="00083B82" w:rsidRPr="00C9343F" w14:paraId="070D9C62"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14A17338" w14:textId="77777777" w:rsidR="00083B82" w:rsidRPr="00C9343F" w:rsidRDefault="00083B82" w:rsidP="00F66D98">
            <w:pPr>
              <w:spacing w:after="200"/>
            </w:pPr>
          </w:p>
        </w:tc>
        <w:tc>
          <w:tcPr>
            <w:tcW w:w="567" w:type="dxa"/>
            <w:tcMar>
              <w:top w:w="0" w:type="dxa"/>
              <w:left w:w="108" w:type="dxa"/>
              <w:bottom w:w="0" w:type="dxa"/>
              <w:right w:w="108" w:type="dxa"/>
            </w:tcMar>
          </w:tcPr>
          <w:p w14:paraId="10CDDD06" w14:textId="77777777" w:rsidR="00083B82" w:rsidRPr="00C9343F" w:rsidRDefault="00083B82" w:rsidP="007114B1">
            <w:pPr>
              <w:pStyle w:val="BlockText-Plain"/>
              <w:jc w:val="center"/>
              <w:rPr>
                <w:lang w:eastAsia="en-US"/>
              </w:rPr>
            </w:pPr>
            <w:r w:rsidRPr="00C9343F">
              <w:rPr>
                <w:lang w:eastAsia="en-US"/>
              </w:rPr>
              <w:t>a.</w:t>
            </w:r>
          </w:p>
        </w:tc>
        <w:tc>
          <w:tcPr>
            <w:tcW w:w="7807" w:type="dxa"/>
            <w:gridSpan w:val="2"/>
            <w:tcMar>
              <w:top w:w="0" w:type="dxa"/>
              <w:left w:w="108" w:type="dxa"/>
              <w:bottom w:w="0" w:type="dxa"/>
              <w:right w:w="108" w:type="dxa"/>
            </w:tcMar>
          </w:tcPr>
          <w:p w14:paraId="44A4F311" w14:textId="77777777" w:rsidR="00083B82" w:rsidRPr="00C9343F" w:rsidRDefault="00083B82" w:rsidP="00F66D98">
            <w:pPr>
              <w:pStyle w:val="BlockText-Plain"/>
              <w:rPr>
                <w:lang w:eastAsia="en-US"/>
              </w:rPr>
            </w:pPr>
            <w:r w:rsidRPr="00C9343F">
              <w:rPr>
                <w:lang w:eastAsia="en-US"/>
              </w:rPr>
              <w:t>The member’s experience, qualifications and skills.</w:t>
            </w:r>
          </w:p>
        </w:tc>
      </w:tr>
      <w:tr w:rsidR="00083B82" w:rsidRPr="00C9343F" w14:paraId="2620670D"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303520D6"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0139854B" w14:textId="77777777" w:rsidR="00083B82" w:rsidRPr="00C9343F" w:rsidRDefault="00083B82" w:rsidP="007114B1">
            <w:pPr>
              <w:pStyle w:val="BlockText-Plain"/>
              <w:jc w:val="center"/>
              <w:rPr>
                <w:lang w:eastAsia="en-US"/>
              </w:rPr>
            </w:pPr>
            <w:r w:rsidRPr="00C9343F">
              <w:rPr>
                <w:lang w:eastAsia="en-US"/>
              </w:rPr>
              <w:t>b.</w:t>
            </w:r>
          </w:p>
        </w:tc>
        <w:tc>
          <w:tcPr>
            <w:tcW w:w="7807" w:type="dxa"/>
            <w:gridSpan w:val="2"/>
            <w:tcMar>
              <w:top w:w="0" w:type="dxa"/>
              <w:left w:w="108" w:type="dxa"/>
              <w:bottom w:w="0" w:type="dxa"/>
              <w:right w:w="108" w:type="dxa"/>
            </w:tcMar>
            <w:hideMark/>
          </w:tcPr>
          <w:p w14:paraId="16BB2FAB" w14:textId="77777777" w:rsidR="00083B82" w:rsidRPr="00C9343F" w:rsidRDefault="00083B82" w:rsidP="00F66D98">
            <w:pPr>
              <w:pStyle w:val="BlockText-Plain"/>
              <w:rPr>
                <w:lang w:eastAsia="en-US"/>
              </w:rPr>
            </w:pPr>
            <w:r w:rsidRPr="00C9343F">
              <w:rPr>
                <w:lang w:eastAsia="en-US"/>
              </w:rPr>
              <w:t>The member’s previous relevant military service</w:t>
            </w:r>
            <w:r w:rsidRPr="00C9343F">
              <w:rPr>
                <w:i/>
                <w:lang w:eastAsia="en-US"/>
              </w:rPr>
              <w:t>.</w:t>
            </w:r>
          </w:p>
        </w:tc>
      </w:tr>
      <w:tr w:rsidR="00083B82" w:rsidRPr="00C9343F" w14:paraId="23B833E2"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441E17FB" w14:textId="77777777" w:rsidR="00083B82" w:rsidRPr="00C9343F" w:rsidRDefault="00083B82" w:rsidP="00F66D98">
            <w:pPr>
              <w:pStyle w:val="BlockText-Plain"/>
              <w:rPr>
                <w:lang w:eastAsia="en-US"/>
              </w:rPr>
            </w:pPr>
          </w:p>
        </w:tc>
        <w:tc>
          <w:tcPr>
            <w:tcW w:w="567" w:type="dxa"/>
            <w:tcMar>
              <w:top w:w="0" w:type="dxa"/>
              <w:left w:w="108" w:type="dxa"/>
              <w:bottom w:w="0" w:type="dxa"/>
              <w:right w:w="108" w:type="dxa"/>
            </w:tcMar>
            <w:hideMark/>
          </w:tcPr>
          <w:p w14:paraId="518AC77F" w14:textId="77777777" w:rsidR="00083B82" w:rsidRPr="00C9343F" w:rsidRDefault="00083B82" w:rsidP="007114B1">
            <w:pPr>
              <w:pStyle w:val="BlockText-Plain"/>
              <w:jc w:val="center"/>
              <w:rPr>
                <w:lang w:eastAsia="en-US"/>
              </w:rPr>
            </w:pPr>
            <w:r w:rsidRPr="00C9343F">
              <w:rPr>
                <w:lang w:eastAsia="en-US"/>
              </w:rPr>
              <w:t>c.</w:t>
            </w:r>
          </w:p>
        </w:tc>
        <w:tc>
          <w:tcPr>
            <w:tcW w:w="7807" w:type="dxa"/>
            <w:gridSpan w:val="2"/>
            <w:tcMar>
              <w:top w:w="0" w:type="dxa"/>
              <w:left w:w="108" w:type="dxa"/>
              <w:bottom w:w="0" w:type="dxa"/>
              <w:right w:w="108" w:type="dxa"/>
            </w:tcMar>
            <w:hideMark/>
          </w:tcPr>
          <w:p w14:paraId="5414240F" w14:textId="77777777" w:rsidR="00083B82" w:rsidRPr="00C9343F" w:rsidRDefault="00083B82" w:rsidP="00F66D98">
            <w:pPr>
              <w:pStyle w:val="BlockText-Plain"/>
              <w:rPr>
                <w:lang w:eastAsia="en-US"/>
              </w:rPr>
            </w:pPr>
            <w:r w:rsidRPr="00C9343F">
              <w:rPr>
                <w:lang w:eastAsia="en-US"/>
              </w:rPr>
              <w:t xml:space="preserve">Any other matters relevant to the periods of service for increment placement. </w:t>
            </w:r>
          </w:p>
        </w:tc>
      </w:tr>
      <w:tr w:rsidR="001A0534" w:rsidRPr="00C9343F" w14:paraId="16361BA0"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06B18B36" w14:textId="12A16673" w:rsidR="001A0534" w:rsidRPr="00C9343F" w:rsidRDefault="001A0534" w:rsidP="00F66D98">
            <w:pPr>
              <w:pStyle w:val="BlockText-Plain"/>
              <w:jc w:val="center"/>
              <w:rPr>
                <w:lang w:eastAsia="en-US"/>
              </w:rPr>
            </w:pPr>
            <w:r w:rsidRPr="00C9343F">
              <w:rPr>
                <w:lang w:eastAsia="en-US"/>
              </w:rPr>
              <w:t>4.</w:t>
            </w:r>
          </w:p>
        </w:tc>
        <w:tc>
          <w:tcPr>
            <w:tcW w:w="8374" w:type="dxa"/>
            <w:gridSpan w:val="3"/>
            <w:tcMar>
              <w:top w:w="0" w:type="dxa"/>
              <w:left w:w="108" w:type="dxa"/>
              <w:bottom w:w="0" w:type="dxa"/>
              <w:right w:w="108" w:type="dxa"/>
            </w:tcMar>
          </w:tcPr>
          <w:p w14:paraId="112A1361" w14:textId="5D72A7EF" w:rsidR="001A0534" w:rsidRPr="00C9343F" w:rsidRDefault="001A0534" w:rsidP="00F66D98">
            <w:pPr>
              <w:pStyle w:val="Sectiontext0"/>
              <w:rPr>
                <w:lang w:eastAsia="en-US"/>
              </w:rPr>
            </w:pPr>
            <w:r w:rsidRPr="00C9343F">
              <w:t xml:space="preserve">Despite paragraph 2.c, a member in the Navy who meets all of the following continues to hold the Officer Aviation increment they held immediately before the transfer if the increment is equal to or higher than the maximum increment for the member’s rank, pathway and Remote Pilot Warfare Officer competency stream. </w:t>
            </w:r>
          </w:p>
        </w:tc>
      </w:tr>
      <w:tr w:rsidR="001A0534" w:rsidRPr="00C9343F" w14:paraId="5152BA5D"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7CDFE0E5" w14:textId="73D56AE4" w:rsidR="001A0534" w:rsidRPr="00C9343F" w:rsidRDefault="001A0534" w:rsidP="00F66D98">
            <w:pPr>
              <w:pStyle w:val="BlockText-Plain"/>
              <w:rPr>
                <w:lang w:eastAsia="en-US"/>
              </w:rPr>
            </w:pPr>
          </w:p>
        </w:tc>
        <w:tc>
          <w:tcPr>
            <w:tcW w:w="567" w:type="dxa"/>
            <w:tcMar>
              <w:top w:w="0" w:type="dxa"/>
              <w:left w:w="108" w:type="dxa"/>
              <w:bottom w:w="0" w:type="dxa"/>
              <w:right w:w="108" w:type="dxa"/>
            </w:tcMar>
          </w:tcPr>
          <w:p w14:paraId="33C3BEE2" w14:textId="2B4FF0C3" w:rsidR="001A0534" w:rsidRPr="00C9343F" w:rsidRDefault="001A0534" w:rsidP="007114B1">
            <w:pPr>
              <w:pStyle w:val="BlockText-Plain"/>
              <w:jc w:val="center"/>
              <w:rPr>
                <w:lang w:eastAsia="en-US"/>
              </w:rPr>
            </w:pPr>
            <w:r w:rsidRPr="00C9343F">
              <w:rPr>
                <w:lang w:eastAsia="en-US"/>
              </w:rPr>
              <w:t>a.</w:t>
            </w:r>
          </w:p>
        </w:tc>
        <w:tc>
          <w:tcPr>
            <w:tcW w:w="7807" w:type="dxa"/>
            <w:gridSpan w:val="2"/>
            <w:tcMar>
              <w:top w:w="0" w:type="dxa"/>
              <w:left w:w="108" w:type="dxa"/>
              <w:bottom w:w="0" w:type="dxa"/>
              <w:right w:w="108" w:type="dxa"/>
            </w:tcMar>
          </w:tcPr>
          <w:p w14:paraId="777EAA28" w14:textId="2A1AC620" w:rsidR="001A0534" w:rsidRPr="00C9343F" w:rsidRDefault="001A0534" w:rsidP="00F66D98">
            <w:pPr>
              <w:pStyle w:val="BlockText-Plain"/>
              <w:rPr>
                <w:lang w:eastAsia="en-US"/>
              </w:rPr>
            </w:pPr>
            <w:r w:rsidRPr="00C9343F">
              <w:rPr>
                <w:iCs/>
              </w:rPr>
              <w:t xml:space="preserve">The member transfers from </w:t>
            </w:r>
            <w:r w:rsidRPr="00C9343F">
              <w:rPr>
                <w:rFonts w:cs="Arial"/>
                <w:lang w:eastAsia="en-US"/>
              </w:rPr>
              <w:t>the Command Pathway</w:t>
            </w:r>
            <w:r w:rsidRPr="00C9343F">
              <w:rPr>
                <w:iCs/>
              </w:rPr>
              <w:t xml:space="preserve"> of one of the following.</w:t>
            </w:r>
          </w:p>
        </w:tc>
      </w:tr>
      <w:tr w:rsidR="001A0534" w:rsidRPr="00C9343F" w14:paraId="2881D623" w14:textId="77777777" w:rsidTr="001A0534">
        <w:tc>
          <w:tcPr>
            <w:tcW w:w="992" w:type="dxa"/>
          </w:tcPr>
          <w:p w14:paraId="21EF6742" w14:textId="77777777" w:rsidR="001A0534" w:rsidRPr="00C9343F" w:rsidRDefault="001A0534" w:rsidP="00F66D98">
            <w:pPr>
              <w:pStyle w:val="Sectiontext0"/>
              <w:jc w:val="center"/>
              <w:rPr>
                <w:lang w:eastAsia="en-US"/>
              </w:rPr>
            </w:pPr>
          </w:p>
        </w:tc>
        <w:tc>
          <w:tcPr>
            <w:tcW w:w="567" w:type="dxa"/>
          </w:tcPr>
          <w:p w14:paraId="78591F5F" w14:textId="77777777" w:rsidR="001A0534" w:rsidRPr="00C9343F" w:rsidRDefault="001A0534" w:rsidP="00F66D98">
            <w:pPr>
              <w:pStyle w:val="Sectiontext0"/>
              <w:rPr>
                <w:rFonts w:cs="Arial"/>
                <w:iCs/>
                <w:lang w:eastAsia="en-US"/>
              </w:rPr>
            </w:pPr>
          </w:p>
        </w:tc>
        <w:tc>
          <w:tcPr>
            <w:tcW w:w="567" w:type="dxa"/>
            <w:hideMark/>
          </w:tcPr>
          <w:p w14:paraId="0E157BE5" w14:textId="77777777" w:rsidR="001A0534" w:rsidRPr="00C9343F" w:rsidRDefault="001A0534" w:rsidP="007114B1">
            <w:pPr>
              <w:pStyle w:val="Sectiontext0"/>
              <w:jc w:val="both"/>
              <w:rPr>
                <w:rFonts w:cs="Arial"/>
                <w:iCs/>
                <w:lang w:eastAsia="en-US"/>
              </w:rPr>
            </w:pPr>
            <w:r w:rsidRPr="00C9343F">
              <w:rPr>
                <w:rFonts w:cs="Arial"/>
                <w:iCs/>
                <w:lang w:eastAsia="en-US"/>
              </w:rPr>
              <w:t>i.</w:t>
            </w:r>
          </w:p>
        </w:tc>
        <w:tc>
          <w:tcPr>
            <w:tcW w:w="7240" w:type="dxa"/>
          </w:tcPr>
          <w:p w14:paraId="693EC7BF" w14:textId="77777777" w:rsidR="001A0534" w:rsidRPr="00C9343F" w:rsidRDefault="001A0534" w:rsidP="00F66D98">
            <w:pPr>
              <w:pStyle w:val="Sectiontext0"/>
              <w:rPr>
                <w:rFonts w:cs="Arial"/>
                <w:iCs/>
                <w:lang w:eastAsia="en-US"/>
              </w:rPr>
            </w:pPr>
            <w:r w:rsidRPr="00C9343F">
              <w:rPr>
                <w:iCs/>
              </w:rPr>
              <w:t>The Rotary Wing Pilot competency stream.</w:t>
            </w:r>
          </w:p>
        </w:tc>
      </w:tr>
      <w:tr w:rsidR="001A0534" w:rsidRPr="00C9343F" w14:paraId="5A808D35" w14:textId="77777777" w:rsidTr="001A0534">
        <w:tc>
          <w:tcPr>
            <w:tcW w:w="992" w:type="dxa"/>
          </w:tcPr>
          <w:p w14:paraId="1800B7D6" w14:textId="77777777" w:rsidR="001A0534" w:rsidRPr="00C9343F" w:rsidRDefault="001A0534" w:rsidP="00F66D98">
            <w:pPr>
              <w:pStyle w:val="Sectiontext0"/>
              <w:jc w:val="center"/>
              <w:rPr>
                <w:lang w:eastAsia="en-US"/>
              </w:rPr>
            </w:pPr>
          </w:p>
        </w:tc>
        <w:tc>
          <w:tcPr>
            <w:tcW w:w="567" w:type="dxa"/>
          </w:tcPr>
          <w:p w14:paraId="6E994C47" w14:textId="77777777" w:rsidR="001A0534" w:rsidRPr="00C9343F" w:rsidRDefault="001A0534" w:rsidP="00F66D98">
            <w:pPr>
              <w:pStyle w:val="Sectiontext0"/>
              <w:rPr>
                <w:rFonts w:cs="Arial"/>
                <w:iCs/>
                <w:lang w:eastAsia="en-US"/>
              </w:rPr>
            </w:pPr>
          </w:p>
        </w:tc>
        <w:tc>
          <w:tcPr>
            <w:tcW w:w="567" w:type="dxa"/>
          </w:tcPr>
          <w:p w14:paraId="0A104133" w14:textId="77777777" w:rsidR="001A0534" w:rsidRPr="00C9343F" w:rsidRDefault="001A0534" w:rsidP="007114B1">
            <w:pPr>
              <w:pStyle w:val="Sectiontext0"/>
              <w:jc w:val="both"/>
              <w:rPr>
                <w:rFonts w:cs="Arial"/>
                <w:iCs/>
                <w:lang w:eastAsia="en-US"/>
              </w:rPr>
            </w:pPr>
            <w:r w:rsidRPr="00C9343F">
              <w:rPr>
                <w:rFonts w:cs="Arial"/>
                <w:iCs/>
                <w:lang w:eastAsia="en-US"/>
              </w:rPr>
              <w:t>ii.</w:t>
            </w:r>
          </w:p>
        </w:tc>
        <w:tc>
          <w:tcPr>
            <w:tcW w:w="7240" w:type="dxa"/>
          </w:tcPr>
          <w:p w14:paraId="2CA1E951" w14:textId="77777777" w:rsidR="001A0534" w:rsidRPr="00C9343F" w:rsidRDefault="001A0534" w:rsidP="00F66D98">
            <w:pPr>
              <w:pStyle w:val="Sectiontext0"/>
              <w:rPr>
                <w:iCs/>
              </w:rPr>
            </w:pPr>
            <w:r w:rsidRPr="00C9343F">
              <w:rPr>
                <w:iCs/>
              </w:rPr>
              <w:t>The Aviation Warfare Officer competency stream.</w:t>
            </w:r>
          </w:p>
        </w:tc>
      </w:tr>
      <w:tr w:rsidR="001A0534" w:rsidRPr="00C9343F" w14:paraId="295B30AE"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6BB50340" w14:textId="5C028173" w:rsidR="001A0534" w:rsidRPr="00C9343F" w:rsidRDefault="001A0534" w:rsidP="00F66D98">
            <w:pPr>
              <w:pStyle w:val="BlockText-Plain"/>
              <w:rPr>
                <w:lang w:eastAsia="en-US"/>
              </w:rPr>
            </w:pPr>
          </w:p>
        </w:tc>
        <w:tc>
          <w:tcPr>
            <w:tcW w:w="567" w:type="dxa"/>
            <w:tcMar>
              <w:top w:w="0" w:type="dxa"/>
              <w:left w:w="108" w:type="dxa"/>
              <w:bottom w:w="0" w:type="dxa"/>
              <w:right w:w="108" w:type="dxa"/>
            </w:tcMar>
          </w:tcPr>
          <w:p w14:paraId="1A4AADC8" w14:textId="40E55782" w:rsidR="001A0534" w:rsidRPr="00C9343F" w:rsidRDefault="001A0534" w:rsidP="007114B1">
            <w:pPr>
              <w:pStyle w:val="Sectiontext0"/>
              <w:jc w:val="center"/>
              <w:rPr>
                <w:lang w:eastAsia="en-US"/>
              </w:rPr>
            </w:pPr>
            <w:r w:rsidRPr="00C9343F">
              <w:rPr>
                <w:lang w:eastAsia="en-US"/>
              </w:rPr>
              <w:t>b.</w:t>
            </w:r>
          </w:p>
        </w:tc>
        <w:tc>
          <w:tcPr>
            <w:tcW w:w="7807" w:type="dxa"/>
            <w:gridSpan w:val="2"/>
            <w:tcMar>
              <w:top w:w="0" w:type="dxa"/>
              <w:left w:w="108" w:type="dxa"/>
              <w:bottom w:w="0" w:type="dxa"/>
              <w:right w:w="108" w:type="dxa"/>
            </w:tcMar>
          </w:tcPr>
          <w:p w14:paraId="3DF98B20" w14:textId="002D116F" w:rsidR="001A0534" w:rsidRPr="00C9343F" w:rsidRDefault="001A0534" w:rsidP="00F66D98">
            <w:pPr>
              <w:pStyle w:val="Sectiontext0"/>
              <w:rPr>
                <w:lang w:eastAsia="en-US"/>
              </w:rPr>
            </w:pPr>
            <w:r w:rsidRPr="00C9343F">
              <w:rPr>
                <w:iCs/>
              </w:rPr>
              <w:t>The member transfers to the Command Pathway of the Remote Pilot Warfare Officer competency stream.</w:t>
            </w:r>
          </w:p>
        </w:tc>
      </w:tr>
      <w:tr w:rsidR="001A0534" w:rsidRPr="00C9343F" w14:paraId="6BF6306D" w14:textId="77777777" w:rsidTr="001A0534">
        <w:tblPrEx>
          <w:tblCellMar>
            <w:left w:w="0" w:type="dxa"/>
            <w:right w:w="0" w:type="dxa"/>
          </w:tblCellMar>
        </w:tblPrEx>
        <w:trPr>
          <w:cantSplit/>
        </w:trPr>
        <w:tc>
          <w:tcPr>
            <w:tcW w:w="992" w:type="dxa"/>
            <w:tcMar>
              <w:top w:w="0" w:type="dxa"/>
              <w:left w:w="108" w:type="dxa"/>
              <w:bottom w:w="0" w:type="dxa"/>
              <w:right w:w="108" w:type="dxa"/>
            </w:tcMar>
          </w:tcPr>
          <w:p w14:paraId="182C1061" w14:textId="68723375" w:rsidR="001A0534" w:rsidRPr="00C9343F" w:rsidRDefault="001A0534" w:rsidP="00F66D98">
            <w:pPr>
              <w:pStyle w:val="Sectiontext0"/>
              <w:rPr>
                <w:lang w:eastAsia="en-US"/>
              </w:rPr>
            </w:pPr>
          </w:p>
        </w:tc>
        <w:tc>
          <w:tcPr>
            <w:tcW w:w="567" w:type="dxa"/>
            <w:tcMar>
              <w:top w:w="0" w:type="dxa"/>
              <w:left w:w="108" w:type="dxa"/>
              <w:bottom w:w="0" w:type="dxa"/>
              <w:right w:w="108" w:type="dxa"/>
            </w:tcMar>
          </w:tcPr>
          <w:p w14:paraId="6D7D0D89" w14:textId="18BEE1B8" w:rsidR="001A0534" w:rsidRPr="00C9343F" w:rsidRDefault="001A0534" w:rsidP="007114B1">
            <w:pPr>
              <w:pStyle w:val="Sectiontext0"/>
              <w:jc w:val="center"/>
              <w:rPr>
                <w:lang w:eastAsia="en-US"/>
              </w:rPr>
            </w:pPr>
            <w:r w:rsidRPr="00C9343F">
              <w:rPr>
                <w:lang w:eastAsia="en-US"/>
              </w:rPr>
              <w:t>c.</w:t>
            </w:r>
          </w:p>
        </w:tc>
        <w:tc>
          <w:tcPr>
            <w:tcW w:w="7807" w:type="dxa"/>
            <w:gridSpan w:val="2"/>
            <w:tcMar>
              <w:top w:w="0" w:type="dxa"/>
              <w:left w:w="108" w:type="dxa"/>
              <w:bottom w:w="0" w:type="dxa"/>
              <w:right w:w="108" w:type="dxa"/>
            </w:tcMar>
          </w:tcPr>
          <w:p w14:paraId="717D38BA" w14:textId="03BC4365" w:rsidR="001A0534" w:rsidRPr="00C9343F" w:rsidRDefault="001A0534" w:rsidP="00F66D98">
            <w:pPr>
              <w:pStyle w:val="Sectiontext0"/>
              <w:rPr>
                <w:lang w:eastAsia="en-US"/>
              </w:rPr>
            </w:pPr>
            <w:r w:rsidRPr="00C9343F">
              <w:rPr>
                <w:iCs/>
              </w:rPr>
              <w:t>The transfer is for medical reasons.</w:t>
            </w:r>
          </w:p>
        </w:tc>
      </w:tr>
    </w:tbl>
    <w:p w14:paraId="6CAB362C" w14:textId="71E0ECE4" w:rsidR="00083B82" w:rsidRPr="00C9343F" w:rsidRDefault="00083B82" w:rsidP="00F66D98">
      <w:pPr>
        <w:spacing w:before="360" w:after="120"/>
        <w:rPr>
          <w:b/>
        </w:rPr>
      </w:pPr>
      <w:r w:rsidRPr="00C9343F">
        <w:rPr>
          <w:b/>
        </w:rPr>
        <w:t>3.2.47V</w:t>
      </w:r>
      <w:r w:rsidR="00D94006" w:rsidRPr="00C9343F">
        <w:rPr>
          <w:b/>
        </w:rPr>
        <w:t>    </w:t>
      </w:r>
      <w:r w:rsidRPr="00C9343F">
        <w:rPr>
          <w:b/>
        </w:rPr>
        <w:t>Increment on transfer between Army Generalist and Specialist pathways on promotion</w:t>
      </w:r>
    </w:p>
    <w:tbl>
      <w:tblPr>
        <w:tblW w:w="9360" w:type="dxa"/>
        <w:tblInd w:w="113" w:type="dxa"/>
        <w:tblLayout w:type="fixed"/>
        <w:tblLook w:val="04A0" w:firstRow="1" w:lastRow="0" w:firstColumn="1" w:lastColumn="0" w:noHBand="0" w:noVBand="1"/>
      </w:tblPr>
      <w:tblGrid>
        <w:gridCol w:w="992"/>
        <w:gridCol w:w="567"/>
        <w:gridCol w:w="7801"/>
      </w:tblGrid>
      <w:tr w:rsidR="00083B82" w:rsidRPr="00C9343F" w14:paraId="6976F687" w14:textId="77777777" w:rsidTr="00F945FD">
        <w:tc>
          <w:tcPr>
            <w:tcW w:w="992" w:type="dxa"/>
            <w:hideMark/>
          </w:tcPr>
          <w:p w14:paraId="7F4A245A" w14:textId="77777777" w:rsidR="00083B82" w:rsidRPr="00C9343F" w:rsidRDefault="00083B82" w:rsidP="00F66D98">
            <w:pPr>
              <w:pStyle w:val="BlockText-Plain"/>
              <w:spacing w:line="276" w:lineRule="auto"/>
              <w:jc w:val="center"/>
              <w:rPr>
                <w:lang w:eastAsia="en-US"/>
              </w:rPr>
            </w:pPr>
            <w:r w:rsidRPr="00C9343F">
              <w:rPr>
                <w:lang w:eastAsia="en-US"/>
              </w:rPr>
              <w:t>1.</w:t>
            </w:r>
          </w:p>
        </w:tc>
        <w:tc>
          <w:tcPr>
            <w:tcW w:w="8368" w:type="dxa"/>
            <w:gridSpan w:val="2"/>
          </w:tcPr>
          <w:p w14:paraId="5A617FF6" w14:textId="77777777" w:rsidR="00083B82" w:rsidRPr="00C9343F" w:rsidRDefault="00083B82" w:rsidP="00F66D98">
            <w:pPr>
              <w:pStyle w:val="BlockText-Plain"/>
              <w:rPr>
                <w:lang w:eastAsia="en-US"/>
              </w:rPr>
            </w:pPr>
            <w:r w:rsidRPr="00C9343F">
              <w:rPr>
                <w:lang w:eastAsia="en-US"/>
              </w:rPr>
              <w:t>On the day that a member in the Army transfers from the Generalist Pathway to the Specialist Pathway on promotion, the member has the higher of the following increments.</w:t>
            </w:r>
          </w:p>
        </w:tc>
      </w:tr>
      <w:tr w:rsidR="00083B82" w:rsidRPr="00C9343F" w14:paraId="2EC5C873" w14:textId="77777777" w:rsidTr="00F945FD">
        <w:trPr>
          <w:cantSplit/>
        </w:trPr>
        <w:tc>
          <w:tcPr>
            <w:tcW w:w="992" w:type="dxa"/>
          </w:tcPr>
          <w:p w14:paraId="13DC840B" w14:textId="77777777" w:rsidR="00083B82" w:rsidRPr="00C9343F" w:rsidRDefault="00083B82" w:rsidP="00F66D98">
            <w:pPr>
              <w:pStyle w:val="BlockText-Plain"/>
              <w:rPr>
                <w:lang w:eastAsia="en-US"/>
              </w:rPr>
            </w:pPr>
          </w:p>
        </w:tc>
        <w:tc>
          <w:tcPr>
            <w:tcW w:w="567" w:type="dxa"/>
            <w:hideMark/>
          </w:tcPr>
          <w:p w14:paraId="0DC25C29" w14:textId="77777777" w:rsidR="00083B82" w:rsidRPr="00C9343F" w:rsidRDefault="00083B82" w:rsidP="007114B1">
            <w:pPr>
              <w:pStyle w:val="BlockText-Plain"/>
              <w:jc w:val="center"/>
              <w:rPr>
                <w:lang w:eastAsia="en-US"/>
              </w:rPr>
            </w:pPr>
            <w:r w:rsidRPr="00C9343F">
              <w:rPr>
                <w:lang w:eastAsia="en-US"/>
              </w:rPr>
              <w:t>a.</w:t>
            </w:r>
          </w:p>
        </w:tc>
        <w:tc>
          <w:tcPr>
            <w:tcW w:w="7801" w:type="dxa"/>
          </w:tcPr>
          <w:p w14:paraId="74565347" w14:textId="77777777" w:rsidR="00083B82" w:rsidRPr="00C9343F" w:rsidRDefault="00083B82" w:rsidP="00F66D98">
            <w:pPr>
              <w:pStyle w:val="BlockText-Plain"/>
              <w:rPr>
                <w:lang w:eastAsia="en-US"/>
              </w:rPr>
            </w:pPr>
            <w:r w:rsidRPr="00C9343F">
              <w:rPr>
                <w:lang w:eastAsia="en-US"/>
              </w:rPr>
              <w:t>The minimum Officer Aviation increment for the member's new rank in the Specialist Pathway.</w:t>
            </w:r>
          </w:p>
        </w:tc>
      </w:tr>
      <w:tr w:rsidR="00083B82" w:rsidRPr="00C9343F" w14:paraId="4DCB578A" w14:textId="77777777" w:rsidTr="00F945FD">
        <w:trPr>
          <w:cantSplit/>
        </w:trPr>
        <w:tc>
          <w:tcPr>
            <w:tcW w:w="992" w:type="dxa"/>
          </w:tcPr>
          <w:p w14:paraId="74A7AEC7" w14:textId="77777777" w:rsidR="00083B82" w:rsidRPr="00C9343F" w:rsidRDefault="00083B82" w:rsidP="00F66D98">
            <w:pPr>
              <w:pStyle w:val="BlockText-Plain"/>
              <w:rPr>
                <w:lang w:eastAsia="en-US"/>
              </w:rPr>
            </w:pPr>
          </w:p>
        </w:tc>
        <w:tc>
          <w:tcPr>
            <w:tcW w:w="567" w:type="dxa"/>
            <w:hideMark/>
          </w:tcPr>
          <w:p w14:paraId="5FE901AD" w14:textId="77777777" w:rsidR="00083B82" w:rsidRPr="00C9343F" w:rsidRDefault="00083B82" w:rsidP="007114B1">
            <w:pPr>
              <w:pStyle w:val="BlockText-Plain"/>
              <w:jc w:val="center"/>
              <w:rPr>
                <w:lang w:eastAsia="en-US"/>
              </w:rPr>
            </w:pPr>
            <w:r w:rsidRPr="00C9343F">
              <w:rPr>
                <w:lang w:eastAsia="en-US"/>
              </w:rPr>
              <w:t>b.</w:t>
            </w:r>
          </w:p>
        </w:tc>
        <w:tc>
          <w:tcPr>
            <w:tcW w:w="7801" w:type="dxa"/>
            <w:hideMark/>
          </w:tcPr>
          <w:p w14:paraId="08F22D95" w14:textId="77777777" w:rsidR="00083B82" w:rsidRPr="00C9343F" w:rsidRDefault="00083B82" w:rsidP="00F66D98">
            <w:pPr>
              <w:pStyle w:val="BlockText-Plain"/>
              <w:rPr>
                <w:lang w:eastAsia="en-US"/>
              </w:rPr>
            </w:pPr>
            <w:r w:rsidRPr="00C9343F">
              <w:rPr>
                <w:lang w:eastAsia="en-US"/>
              </w:rPr>
              <w:t>One increment above the member's Officer Aviation increment they held immediately before their transfer.</w:t>
            </w:r>
          </w:p>
        </w:tc>
      </w:tr>
      <w:tr w:rsidR="00083B82" w:rsidRPr="00C9343F" w14:paraId="134E4E19" w14:textId="77777777" w:rsidTr="00F945FD">
        <w:tc>
          <w:tcPr>
            <w:tcW w:w="992" w:type="dxa"/>
            <w:hideMark/>
          </w:tcPr>
          <w:p w14:paraId="0CEA1BA2" w14:textId="77777777" w:rsidR="00083B82" w:rsidRPr="00C9343F" w:rsidRDefault="00083B82" w:rsidP="00F66D98">
            <w:pPr>
              <w:pStyle w:val="BlockText-Plain"/>
              <w:keepNext/>
              <w:keepLines/>
              <w:spacing w:line="276" w:lineRule="auto"/>
              <w:jc w:val="center"/>
              <w:rPr>
                <w:lang w:eastAsia="en-US"/>
              </w:rPr>
            </w:pPr>
            <w:r w:rsidRPr="00C9343F">
              <w:rPr>
                <w:lang w:eastAsia="en-US"/>
              </w:rPr>
              <w:t>2.</w:t>
            </w:r>
          </w:p>
        </w:tc>
        <w:tc>
          <w:tcPr>
            <w:tcW w:w="8368" w:type="dxa"/>
            <w:gridSpan w:val="2"/>
          </w:tcPr>
          <w:p w14:paraId="0C32C8CE" w14:textId="77777777" w:rsidR="00083B82" w:rsidRPr="00C9343F" w:rsidRDefault="00083B82" w:rsidP="00F66D98">
            <w:pPr>
              <w:pStyle w:val="BlockText-Plain"/>
              <w:keepNext/>
              <w:keepLines/>
              <w:rPr>
                <w:lang w:eastAsia="en-US"/>
              </w:rPr>
            </w:pPr>
            <w:r w:rsidRPr="00C9343F">
              <w:rPr>
                <w:lang w:eastAsia="en-US"/>
              </w:rPr>
              <w:t>On the day that a member in the Army transfers from the Specialist Pathway to the Generalist Pathway on promotion and appointment to an aviation sub-unit command or a unit command, subsections 3.2.47P.2 and 3.2.47P.3 apply.</w:t>
            </w:r>
          </w:p>
        </w:tc>
      </w:tr>
    </w:tbl>
    <w:p w14:paraId="0AE594B2" w14:textId="02147C7F" w:rsidR="005F44BC" w:rsidRPr="00C9343F" w:rsidRDefault="005F44BC" w:rsidP="00C35AD4">
      <w:pPr>
        <w:pStyle w:val="Heading4"/>
        <w:pageBreakBefore/>
      </w:pPr>
      <w:bookmarkStart w:id="516" w:name="_Toc105053726"/>
      <w:r w:rsidRPr="00C9343F">
        <w:lastRenderedPageBreak/>
        <w:t>Division 5: Salary non-reduction provisions</w:t>
      </w:r>
      <w:bookmarkEnd w:id="516"/>
    </w:p>
    <w:p w14:paraId="2486336D" w14:textId="05BE82CC" w:rsidR="005F44BC" w:rsidRPr="00C9343F" w:rsidRDefault="005F44BC" w:rsidP="00F66D98">
      <w:pPr>
        <w:pStyle w:val="Heading5"/>
        <w:rPr>
          <w:color w:val="000000"/>
        </w:rPr>
      </w:pPr>
      <w:bookmarkStart w:id="517" w:name="_Toc105053727"/>
      <w:r w:rsidRPr="00C9343F">
        <w:rPr>
          <w:color w:val="000000"/>
        </w:rPr>
        <w:t>3.2.48</w:t>
      </w:r>
      <w:r w:rsidR="00D94006" w:rsidRPr="00C9343F">
        <w:rPr>
          <w:color w:val="000000"/>
        </w:rPr>
        <w:t>    </w:t>
      </w:r>
      <w:r w:rsidRPr="00C9343F">
        <w:rPr>
          <w:color w:val="000000"/>
        </w:rPr>
        <w:t>Purpose</w:t>
      </w:r>
      <w:bookmarkEnd w:id="517"/>
    </w:p>
    <w:tbl>
      <w:tblPr>
        <w:tblW w:w="9355" w:type="dxa"/>
        <w:tblInd w:w="113" w:type="dxa"/>
        <w:tblLayout w:type="fixed"/>
        <w:tblLook w:val="0000" w:firstRow="0" w:lastRow="0" w:firstColumn="0" w:lastColumn="0" w:noHBand="0" w:noVBand="0"/>
      </w:tblPr>
      <w:tblGrid>
        <w:gridCol w:w="992"/>
        <w:gridCol w:w="8363"/>
      </w:tblGrid>
      <w:tr w:rsidR="005F44BC" w:rsidRPr="00C9343F" w14:paraId="7383F9AA" w14:textId="77777777" w:rsidTr="0055302B">
        <w:tc>
          <w:tcPr>
            <w:tcW w:w="992" w:type="dxa"/>
          </w:tcPr>
          <w:p w14:paraId="4B6FB05E" w14:textId="77777777" w:rsidR="005F44BC" w:rsidRPr="00C9343F" w:rsidRDefault="005F44BC" w:rsidP="00F66D98">
            <w:pPr>
              <w:pStyle w:val="BlockText-Plain"/>
              <w:jc w:val="center"/>
            </w:pPr>
          </w:p>
        </w:tc>
        <w:tc>
          <w:tcPr>
            <w:tcW w:w="8363" w:type="dxa"/>
          </w:tcPr>
          <w:p w14:paraId="16CDE2D6" w14:textId="77777777" w:rsidR="005F44BC" w:rsidRPr="00C9343F" w:rsidRDefault="005F44BC" w:rsidP="00F66D98">
            <w:pPr>
              <w:pStyle w:val="BlockText-Plain"/>
            </w:pPr>
            <w:r w:rsidRPr="00C9343F">
              <w:t>This Division sets out the way a member's salary rate can be preserved for a period when it would otherwise be reduced.</w:t>
            </w:r>
          </w:p>
        </w:tc>
      </w:tr>
    </w:tbl>
    <w:p w14:paraId="13AD2B52" w14:textId="1EBCF4DD" w:rsidR="0055302B" w:rsidRPr="00C9343F" w:rsidRDefault="0055302B" w:rsidP="00F66D98">
      <w:pPr>
        <w:pStyle w:val="Heading5"/>
        <w:rPr>
          <w:color w:val="000000"/>
        </w:rPr>
      </w:pPr>
      <w:bookmarkStart w:id="518" w:name="_Toc105053728"/>
      <w:r w:rsidRPr="00C9343F">
        <w:rPr>
          <w:color w:val="000000"/>
        </w:rPr>
        <w:t>3.2.49</w:t>
      </w:r>
      <w:r w:rsidR="00D94006" w:rsidRPr="00C9343F">
        <w:rPr>
          <w:color w:val="000000"/>
        </w:rPr>
        <w:t>    </w:t>
      </w:r>
      <w:r w:rsidRPr="00C9343F">
        <w:rPr>
          <w:color w:val="000000"/>
        </w:rPr>
        <w:t>Definitions</w:t>
      </w:r>
      <w:bookmarkEnd w:id="518"/>
    </w:p>
    <w:tbl>
      <w:tblPr>
        <w:tblW w:w="9360" w:type="dxa"/>
        <w:tblInd w:w="113" w:type="dxa"/>
        <w:tblLayout w:type="fixed"/>
        <w:tblLook w:val="04A0" w:firstRow="1" w:lastRow="0" w:firstColumn="1" w:lastColumn="0" w:noHBand="0" w:noVBand="1"/>
      </w:tblPr>
      <w:tblGrid>
        <w:gridCol w:w="992"/>
        <w:gridCol w:w="563"/>
        <w:gridCol w:w="7805"/>
      </w:tblGrid>
      <w:tr w:rsidR="0055302B" w:rsidRPr="00C9343F" w14:paraId="52D0633A" w14:textId="77777777" w:rsidTr="0055302B">
        <w:tc>
          <w:tcPr>
            <w:tcW w:w="992" w:type="dxa"/>
          </w:tcPr>
          <w:p w14:paraId="7563978B" w14:textId="77777777" w:rsidR="0055302B" w:rsidRPr="00C9343F" w:rsidRDefault="0055302B" w:rsidP="00F66D98">
            <w:pPr>
              <w:pStyle w:val="Sectiontext0"/>
              <w:jc w:val="center"/>
            </w:pPr>
          </w:p>
        </w:tc>
        <w:tc>
          <w:tcPr>
            <w:tcW w:w="8367" w:type="dxa"/>
            <w:gridSpan w:val="2"/>
            <w:hideMark/>
          </w:tcPr>
          <w:p w14:paraId="08B99687" w14:textId="77777777" w:rsidR="0055302B" w:rsidRPr="00C9343F" w:rsidRDefault="0055302B" w:rsidP="00F66D98">
            <w:pPr>
              <w:pStyle w:val="Sectiontext0"/>
              <w:rPr>
                <w:lang w:eastAsia="en-US"/>
              </w:rPr>
            </w:pPr>
            <w:r w:rsidRPr="00C9343F">
              <w:rPr>
                <w:lang w:eastAsia="en-US"/>
              </w:rPr>
              <w:t>In this Division the following apply.</w:t>
            </w:r>
          </w:p>
        </w:tc>
      </w:tr>
      <w:tr w:rsidR="0055302B" w:rsidRPr="00C9343F" w14:paraId="5DAF690E" w14:textId="77777777" w:rsidTr="0055302B">
        <w:tc>
          <w:tcPr>
            <w:tcW w:w="992" w:type="dxa"/>
          </w:tcPr>
          <w:p w14:paraId="1F7B8C07" w14:textId="77777777" w:rsidR="0055302B" w:rsidRPr="00C9343F" w:rsidRDefault="0055302B" w:rsidP="00F66D98">
            <w:pPr>
              <w:pStyle w:val="Sectiontext0"/>
              <w:jc w:val="center"/>
              <w:rPr>
                <w:lang w:eastAsia="en-US"/>
              </w:rPr>
            </w:pPr>
          </w:p>
        </w:tc>
        <w:tc>
          <w:tcPr>
            <w:tcW w:w="8367" w:type="dxa"/>
            <w:gridSpan w:val="2"/>
            <w:hideMark/>
          </w:tcPr>
          <w:p w14:paraId="61B7A7DB" w14:textId="77777777" w:rsidR="0055302B" w:rsidRPr="00C9343F" w:rsidRDefault="0055302B" w:rsidP="00F66D98">
            <w:pPr>
              <w:pStyle w:val="Sectiontext0"/>
              <w:rPr>
                <w:lang w:eastAsia="en-US"/>
              </w:rPr>
            </w:pPr>
            <w:r w:rsidRPr="00C9343F">
              <w:rPr>
                <w:rFonts w:cstheme="majorBidi"/>
                <w:b/>
              </w:rPr>
              <w:t>Relevant employment category</w:t>
            </w:r>
            <w:r w:rsidRPr="00C9343F">
              <w:rPr>
                <w:rFonts w:cstheme="majorBidi"/>
              </w:rPr>
              <w:t xml:space="preserve"> means an employment category listed in column B of tables in the following Annexes.</w:t>
            </w:r>
          </w:p>
        </w:tc>
      </w:tr>
      <w:tr w:rsidR="0055302B" w:rsidRPr="00C9343F" w14:paraId="2A6E5CDA" w14:textId="77777777" w:rsidTr="0055302B">
        <w:tc>
          <w:tcPr>
            <w:tcW w:w="992" w:type="dxa"/>
          </w:tcPr>
          <w:p w14:paraId="2D5E1887" w14:textId="77777777" w:rsidR="0055302B" w:rsidRPr="00C9343F" w:rsidRDefault="0055302B" w:rsidP="00F66D98">
            <w:pPr>
              <w:pStyle w:val="Sectiontext0"/>
              <w:jc w:val="center"/>
              <w:rPr>
                <w:lang w:eastAsia="en-US"/>
              </w:rPr>
            </w:pPr>
          </w:p>
        </w:tc>
        <w:tc>
          <w:tcPr>
            <w:tcW w:w="563" w:type="dxa"/>
            <w:hideMark/>
          </w:tcPr>
          <w:p w14:paraId="0DDFAFBD" w14:textId="77777777" w:rsidR="0055302B" w:rsidRPr="00C9343F" w:rsidRDefault="0055302B" w:rsidP="00F66D98">
            <w:pPr>
              <w:pStyle w:val="Sectiontext0"/>
              <w:jc w:val="center"/>
              <w:rPr>
                <w:rFonts w:cs="Arial"/>
                <w:lang w:eastAsia="en-US"/>
              </w:rPr>
            </w:pPr>
            <w:r w:rsidRPr="00C9343F">
              <w:rPr>
                <w:rFonts w:cs="Arial"/>
                <w:lang w:eastAsia="en-US"/>
              </w:rPr>
              <w:t>a.</w:t>
            </w:r>
          </w:p>
        </w:tc>
        <w:tc>
          <w:tcPr>
            <w:tcW w:w="7804" w:type="dxa"/>
            <w:hideMark/>
          </w:tcPr>
          <w:p w14:paraId="59659E14" w14:textId="77777777" w:rsidR="0055302B" w:rsidRPr="00C9343F" w:rsidRDefault="0055302B" w:rsidP="00F66D98">
            <w:pPr>
              <w:pStyle w:val="Sectiontext0"/>
            </w:pPr>
            <w:r w:rsidRPr="00C9343F">
              <w:rPr>
                <w:rFonts w:cs="Arial"/>
              </w:rPr>
              <w:t xml:space="preserve">Annex 3.2.B </w:t>
            </w:r>
            <w:r w:rsidRPr="00C9343F">
              <w:t>– Salary non-reduction – members with the rank of Warrant Officer Class 1 or lower.</w:t>
            </w:r>
          </w:p>
        </w:tc>
      </w:tr>
      <w:tr w:rsidR="0055302B" w:rsidRPr="00C9343F" w14:paraId="6007AE3B" w14:textId="77777777" w:rsidTr="0055302B">
        <w:tc>
          <w:tcPr>
            <w:tcW w:w="992" w:type="dxa"/>
          </w:tcPr>
          <w:p w14:paraId="66ECED23" w14:textId="77777777" w:rsidR="0055302B" w:rsidRPr="00C9343F" w:rsidRDefault="0055302B" w:rsidP="00F66D98">
            <w:pPr>
              <w:pStyle w:val="Sectiontext0"/>
              <w:jc w:val="center"/>
              <w:rPr>
                <w:lang w:eastAsia="en-US"/>
              </w:rPr>
            </w:pPr>
          </w:p>
        </w:tc>
        <w:tc>
          <w:tcPr>
            <w:tcW w:w="563" w:type="dxa"/>
            <w:hideMark/>
          </w:tcPr>
          <w:p w14:paraId="2A523EAB" w14:textId="77777777" w:rsidR="0055302B" w:rsidRPr="00C9343F" w:rsidRDefault="0055302B" w:rsidP="00F66D98">
            <w:pPr>
              <w:pStyle w:val="Sectiontext0"/>
              <w:jc w:val="center"/>
              <w:rPr>
                <w:rFonts w:cs="Arial"/>
                <w:lang w:eastAsia="en-US"/>
              </w:rPr>
            </w:pPr>
            <w:r w:rsidRPr="00C9343F">
              <w:rPr>
                <w:rFonts w:cs="Arial"/>
                <w:lang w:eastAsia="en-US"/>
              </w:rPr>
              <w:t>b.</w:t>
            </w:r>
          </w:p>
        </w:tc>
        <w:tc>
          <w:tcPr>
            <w:tcW w:w="7804" w:type="dxa"/>
            <w:hideMark/>
          </w:tcPr>
          <w:p w14:paraId="303AEFA1" w14:textId="77777777" w:rsidR="0055302B" w:rsidRPr="00C9343F" w:rsidRDefault="0055302B" w:rsidP="00F66D98">
            <w:pPr>
              <w:pStyle w:val="Sectiontext0"/>
            </w:pPr>
            <w:r w:rsidRPr="00C9343F">
              <w:rPr>
                <w:rFonts w:cs="Arial"/>
              </w:rPr>
              <w:t xml:space="preserve">Annex 3.2.D </w:t>
            </w:r>
            <w:r w:rsidRPr="00C9343F">
              <w:t>– Salary non-reduction – Officers.</w:t>
            </w:r>
          </w:p>
        </w:tc>
      </w:tr>
    </w:tbl>
    <w:p w14:paraId="71E88A57" w14:textId="554967F7" w:rsidR="005F44BC" w:rsidRPr="00C9343F" w:rsidRDefault="005F44BC" w:rsidP="00F66D98">
      <w:pPr>
        <w:pStyle w:val="Heading5"/>
        <w:rPr>
          <w:color w:val="000000"/>
        </w:rPr>
      </w:pPr>
      <w:bookmarkStart w:id="519" w:name="_Toc105053729"/>
      <w:r w:rsidRPr="00C9343F">
        <w:rPr>
          <w:color w:val="000000"/>
        </w:rPr>
        <w:t>3.2.50</w:t>
      </w:r>
      <w:r w:rsidR="00D94006" w:rsidRPr="00C9343F">
        <w:rPr>
          <w:color w:val="000000"/>
        </w:rPr>
        <w:t>    </w:t>
      </w:r>
      <w:r w:rsidRPr="00C9343F">
        <w:rPr>
          <w:color w:val="000000"/>
        </w:rPr>
        <w:t>Member this Division applies to</w:t>
      </w:r>
      <w:bookmarkEnd w:id="519"/>
    </w:p>
    <w:tbl>
      <w:tblPr>
        <w:tblW w:w="9359" w:type="dxa"/>
        <w:tblInd w:w="113" w:type="dxa"/>
        <w:tblLayout w:type="fixed"/>
        <w:tblLook w:val="0000" w:firstRow="0" w:lastRow="0" w:firstColumn="0" w:lastColumn="0" w:noHBand="0" w:noVBand="0"/>
      </w:tblPr>
      <w:tblGrid>
        <w:gridCol w:w="992"/>
        <w:gridCol w:w="567"/>
        <w:gridCol w:w="567"/>
        <w:gridCol w:w="7233"/>
      </w:tblGrid>
      <w:tr w:rsidR="005F44BC" w:rsidRPr="00C9343F" w14:paraId="4479F20F" w14:textId="77777777" w:rsidTr="00AA3C6C">
        <w:tc>
          <w:tcPr>
            <w:tcW w:w="992" w:type="dxa"/>
          </w:tcPr>
          <w:p w14:paraId="011030C2" w14:textId="77777777" w:rsidR="005F44BC" w:rsidRPr="00C9343F" w:rsidRDefault="005F44BC" w:rsidP="00F66D98">
            <w:pPr>
              <w:pStyle w:val="BlockText-Plain"/>
              <w:jc w:val="center"/>
              <w:rPr>
                <w:color w:val="000000"/>
              </w:rPr>
            </w:pPr>
          </w:p>
        </w:tc>
        <w:tc>
          <w:tcPr>
            <w:tcW w:w="8367" w:type="dxa"/>
            <w:gridSpan w:val="3"/>
          </w:tcPr>
          <w:p w14:paraId="652B2D69" w14:textId="63CDA85F" w:rsidR="005F44BC" w:rsidRPr="00C9343F" w:rsidRDefault="005F44BC" w:rsidP="00F66D98">
            <w:pPr>
              <w:pStyle w:val="BlockText-Plain"/>
              <w:rPr>
                <w:color w:val="000000"/>
              </w:rPr>
            </w:pPr>
            <w:r w:rsidRPr="00C9343F">
              <w:rPr>
                <w:rFonts w:cs="Arial"/>
                <w:color w:val="000000"/>
              </w:rPr>
              <w:t xml:space="preserve">This Division applies to a member whose salary would </w:t>
            </w:r>
            <w:r w:rsidR="00723D3E" w:rsidRPr="00C9343F">
              <w:rPr>
                <w:rFonts w:cs="Arial"/>
                <w:color w:val="000000"/>
              </w:rPr>
              <w:t>be</w:t>
            </w:r>
            <w:r w:rsidRPr="00C9343F">
              <w:rPr>
                <w:rFonts w:cs="Arial"/>
                <w:color w:val="000000"/>
              </w:rPr>
              <w:t xml:space="preserve"> reduce</w:t>
            </w:r>
            <w:r w:rsidR="00723D3E" w:rsidRPr="00C9343F">
              <w:rPr>
                <w:rFonts w:cs="Arial"/>
                <w:color w:val="000000"/>
              </w:rPr>
              <w:t>d</w:t>
            </w:r>
            <w:r w:rsidRPr="00C9343F">
              <w:rPr>
                <w:rFonts w:cs="Arial"/>
                <w:color w:val="000000"/>
              </w:rPr>
              <w:t xml:space="preserve"> in one of the following circumstances.</w:t>
            </w:r>
          </w:p>
        </w:tc>
      </w:tr>
      <w:tr w:rsidR="005F44BC" w:rsidRPr="00C9343F" w14:paraId="1CE63B96" w14:textId="77777777" w:rsidTr="00AA3C6C">
        <w:trPr>
          <w:cantSplit/>
        </w:trPr>
        <w:tc>
          <w:tcPr>
            <w:tcW w:w="992" w:type="dxa"/>
          </w:tcPr>
          <w:p w14:paraId="1547F162" w14:textId="77777777" w:rsidR="005F44BC" w:rsidRPr="00C9343F" w:rsidRDefault="005F44BC" w:rsidP="00F66D98">
            <w:pPr>
              <w:pStyle w:val="BlockText-Plain"/>
              <w:rPr>
                <w:color w:val="000000"/>
              </w:rPr>
            </w:pPr>
          </w:p>
        </w:tc>
        <w:tc>
          <w:tcPr>
            <w:tcW w:w="567" w:type="dxa"/>
          </w:tcPr>
          <w:p w14:paraId="0403FE78" w14:textId="77777777" w:rsidR="005F44BC" w:rsidRPr="00C9343F" w:rsidRDefault="005F44BC" w:rsidP="007114B1">
            <w:pPr>
              <w:pStyle w:val="BlockText-Plain"/>
              <w:jc w:val="center"/>
              <w:rPr>
                <w:color w:val="000000"/>
              </w:rPr>
            </w:pPr>
            <w:r w:rsidRPr="00C9343F">
              <w:rPr>
                <w:color w:val="000000"/>
              </w:rPr>
              <w:t>a.</w:t>
            </w:r>
          </w:p>
        </w:tc>
        <w:tc>
          <w:tcPr>
            <w:tcW w:w="7800" w:type="dxa"/>
            <w:gridSpan w:val="2"/>
          </w:tcPr>
          <w:p w14:paraId="2845E81C" w14:textId="77777777" w:rsidR="005F44BC" w:rsidRPr="00C9343F" w:rsidRDefault="005F44BC" w:rsidP="00F66D98">
            <w:pPr>
              <w:pStyle w:val="BlockText-Plain"/>
              <w:rPr>
                <w:color w:val="000000"/>
              </w:rPr>
            </w:pPr>
            <w:r w:rsidRPr="00C9343F">
              <w:rPr>
                <w:rFonts w:cs="Arial"/>
                <w:color w:val="000000"/>
              </w:rPr>
              <w:t>The member's Service transfers them from one employment category to another employment category.</w:t>
            </w:r>
          </w:p>
        </w:tc>
      </w:tr>
      <w:tr w:rsidR="005F44BC" w:rsidRPr="00C9343F" w14:paraId="3D39D7DB" w14:textId="77777777" w:rsidTr="00AA3C6C">
        <w:trPr>
          <w:cantSplit/>
        </w:trPr>
        <w:tc>
          <w:tcPr>
            <w:tcW w:w="992" w:type="dxa"/>
          </w:tcPr>
          <w:p w14:paraId="4788B2EC" w14:textId="77777777" w:rsidR="005F44BC" w:rsidRPr="00C9343F" w:rsidRDefault="005F44BC" w:rsidP="00F66D98">
            <w:pPr>
              <w:pStyle w:val="BlockText-Plain"/>
              <w:rPr>
                <w:color w:val="000000"/>
              </w:rPr>
            </w:pPr>
          </w:p>
        </w:tc>
        <w:tc>
          <w:tcPr>
            <w:tcW w:w="567" w:type="dxa"/>
          </w:tcPr>
          <w:p w14:paraId="6244E1DF" w14:textId="77777777" w:rsidR="005F44BC" w:rsidRPr="00C9343F" w:rsidRDefault="005F44BC" w:rsidP="007114B1">
            <w:pPr>
              <w:pStyle w:val="BlockText-Plain"/>
              <w:jc w:val="center"/>
              <w:rPr>
                <w:color w:val="000000"/>
              </w:rPr>
            </w:pPr>
            <w:r w:rsidRPr="00C9343F">
              <w:rPr>
                <w:color w:val="000000"/>
              </w:rPr>
              <w:t>b.</w:t>
            </w:r>
          </w:p>
        </w:tc>
        <w:tc>
          <w:tcPr>
            <w:tcW w:w="7800" w:type="dxa"/>
            <w:gridSpan w:val="2"/>
          </w:tcPr>
          <w:p w14:paraId="079A1590" w14:textId="77777777" w:rsidR="005F44BC" w:rsidRPr="00C9343F" w:rsidRDefault="005F44BC" w:rsidP="00F66D98">
            <w:pPr>
              <w:pStyle w:val="BlockText-Plain"/>
              <w:rPr>
                <w:color w:val="000000"/>
              </w:rPr>
            </w:pPr>
            <w:r w:rsidRPr="00C9343F">
              <w:rPr>
                <w:rFonts w:cs="Arial"/>
                <w:color w:val="000000"/>
              </w:rPr>
              <w:t>The employment category the member holds is transferred to a lower pay grade by the DFRT.</w:t>
            </w:r>
          </w:p>
        </w:tc>
      </w:tr>
      <w:tr w:rsidR="005F44BC" w:rsidRPr="00C9343F" w14:paraId="7D896029" w14:textId="77777777" w:rsidTr="00AA3C6C">
        <w:trPr>
          <w:cantSplit/>
        </w:trPr>
        <w:tc>
          <w:tcPr>
            <w:tcW w:w="992" w:type="dxa"/>
          </w:tcPr>
          <w:p w14:paraId="6F1ABC48" w14:textId="77777777" w:rsidR="005F44BC" w:rsidRPr="00C9343F" w:rsidRDefault="005F44BC" w:rsidP="00F66D98">
            <w:pPr>
              <w:pStyle w:val="BlockText-Plain"/>
              <w:rPr>
                <w:color w:val="000000"/>
              </w:rPr>
            </w:pPr>
          </w:p>
        </w:tc>
        <w:tc>
          <w:tcPr>
            <w:tcW w:w="567" w:type="dxa"/>
          </w:tcPr>
          <w:p w14:paraId="6FB5FA2F" w14:textId="77777777" w:rsidR="005F44BC" w:rsidRPr="00C9343F" w:rsidRDefault="005F44BC" w:rsidP="007114B1">
            <w:pPr>
              <w:pStyle w:val="BlockText-Plain"/>
              <w:jc w:val="center"/>
              <w:rPr>
                <w:color w:val="000000"/>
              </w:rPr>
            </w:pPr>
            <w:r w:rsidRPr="00C9343F">
              <w:rPr>
                <w:color w:val="000000"/>
              </w:rPr>
              <w:t>c.</w:t>
            </w:r>
          </w:p>
        </w:tc>
        <w:tc>
          <w:tcPr>
            <w:tcW w:w="7800" w:type="dxa"/>
            <w:gridSpan w:val="2"/>
          </w:tcPr>
          <w:p w14:paraId="334BC9CC" w14:textId="77777777" w:rsidR="005F44BC" w:rsidRPr="00C9343F" w:rsidRDefault="005F44BC" w:rsidP="00F66D98">
            <w:pPr>
              <w:pStyle w:val="BlockText-Plain"/>
              <w:rPr>
                <w:color w:val="000000"/>
              </w:rPr>
            </w:pPr>
            <w:r w:rsidRPr="00C9343F">
              <w:rPr>
                <w:rFonts w:cs="Arial"/>
                <w:color w:val="000000"/>
              </w:rPr>
              <w:t>The employment category the member holds is restructured.</w:t>
            </w:r>
          </w:p>
        </w:tc>
      </w:tr>
      <w:tr w:rsidR="005F44BC" w:rsidRPr="00C9343F" w14:paraId="59ABAB36" w14:textId="77777777" w:rsidTr="00AA3C6C">
        <w:trPr>
          <w:cantSplit/>
        </w:trPr>
        <w:tc>
          <w:tcPr>
            <w:tcW w:w="992" w:type="dxa"/>
          </w:tcPr>
          <w:p w14:paraId="1A3B08EC" w14:textId="77777777" w:rsidR="005F44BC" w:rsidRPr="00C9343F" w:rsidRDefault="005F44BC" w:rsidP="00F66D98">
            <w:pPr>
              <w:pStyle w:val="BlockText-Plain"/>
              <w:rPr>
                <w:color w:val="000000"/>
              </w:rPr>
            </w:pPr>
          </w:p>
        </w:tc>
        <w:tc>
          <w:tcPr>
            <w:tcW w:w="567" w:type="dxa"/>
          </w:tcPr>
          <w:p w14:paraId="65D1FB4E" w14:textId="77777777" w:rsidR="005F44BC" w:rsidRPr="00C9343F" w:rsidRDefault="005F44BC" w:rsidP="007114B1">
            <w:pPr>
              <w:pStyle w:val="BlockText-Plain"/>
              <w:jc w:val="center"/>
              <w:rPr>
                <w:color w:val="000000"/>
              </w:rPr>
            </w:pPr>
            <w:r w:rsidRPr="00C9343F">
              <w:rPr>
                <w:color w:val="000000"/>
              </w:rPr>
              <w:t>d.</w:t>
            </w:r>
          </w:p>
        </w:tc>
        <w:tc>
          <w:tcPr>
            <w:tcW w:w="7800" w:type="dxa"/>
            <w:gridSpan w:val="2"/>
          </w:tcPr>
          <w:p w14:paraId="43A2DAAB" w14:textId="77777777" w:rsidR="005F44BC" w:rsidRPr="00C9343F" w:rsidRDefault="005F44BC" w:rsidP="00F66D98">
            <w:pPr>
              <w:pStyle w:val="BlockText-Plain"/>
              <w:rPr>
                <w:rFonts w:cs="Arial"/>
                <w:color w:val="000000"/>
              </w:rPr>
            </w:pPr>
            <w:r w:rsidRPr="00C9343F">
              <w:t>The specialist career structure that the member is paid under is restructured.</w:t>
            </w:r>
          </w:p>
        </w:tc>
      </w:tr>
      <w:tr w:rsidR="005F44BC" w:rsidRPr="00C9343F" w14:paraId="2F2342D8" w14:textId="77777777" w:rsidTr="00AA3C6C">
        <w:trPr>
          <w:cantSplit/>
        </w:trPr>
        <w:tc>
          <w:tcPr>
            <w:tcW w:w="992" w:type="dxa"/>
          </w:tcPr>
          <w:p w14:paraId="29D40F55" w14:textId="77777777" w:rsidR="005F44BC" w:rsidRPr="00C9343F" w:rsidRDefault="005F44BC" w:rsidP="00F66D98">
            <w:pPr>
              <w:pStyle w:val="BlockText-Plain"/>
              <w:rPr>
                <w:color w:val="000000"/>
              </w:rPr>
            </w:pPr>
          </w:p>
        </w:tc>
        <w:tc>
          <w:tcPr>
            <w:tcW w:w="567" w:type="dxa"/>
          </w:tcPr>
          <w:p w14:paraId="475D0C1E" w14:textId="77777777" w:rsidR="005F44BC" w:rsidRPr="00C9343F" w:rsidRDefault="005F44BC" w:rsidP="007114B1">
            <w:pPr>
              <w:pStyle w:val="BlockText-Plain"/>
              <w:jc w:val="center"/>
              <w:rPr>
                <w:color w:val="000000"/>
              </w:rPr>
            </w:pPr>
            <w:r w:rsidRPr="00C9343F">
              <w:rPr>
                <w:color w:val="000000"/>
              </w:rPr>
              <w:t>e.</w:t>
            </w:r>
          </w:p>
        </w:tc>
        <w:tc>
          <w:tcPr>
            <w:tcW w:w="7800" w:type="dxa"/>
            <w:gridSpan w:val="2"/>
          </w:tcPr>
          <w:p w14:paraId="57A6A560" w14:textId="77777777" w:rsidR="005F44BC" w:rsidRPr="00C9343F" w:rsidRDefault="005F44BC" w:rsidP="00F66D98">
            <w:pPr>
              <w:pStyle w:val="BlockText-Plain"/>
            </w:pPr>
            <w:r w:rsidRPr="00C9343F">
              <w:t>The member is promoted from the rank of Colonel to Brigadier, and the member was formerly in any of the following classes.</w:t>
            </w:r>
          </w:p>
        </w:tc>
      </w:tr>
      <w:tr w:rsidR="005F44BC" w:rsidRPr="00C9343F" w14:paraId="0ED0A8CE" w14:textId="77777777" w:rsidTr="00AA3C6C">
        <w:trPr>
          <w:cantSplit/>
        </w:trPr>
        <w:tc>
          <w:tcPr>
            <w:tcW w:w="1559" w:type="dxa"/>
            <w:gridSpan w:val="2"/>
          </w:tcPr>
          <w:p w14:paraId="76C832AE" w14:textId="77777777" w:rsidR="005F44BC" w:rsidRPr="00C9343F" w:rsidRDefault="005F44BC" w:rsidP="00F66D98">
            <w:pPr>
              <w:pStyle w:val="BlockText-Plain"/>
            </w:pPr>
          </w:p>
        </w:tc>
        <w:tc>
          <w:tcPr>
            <w:tcW w:w="567" w:type="dxa"/>
          </w:tcPr>
          <w:p w14:paraId="794D31B9" w14:textId="77777777" w:rsidR="005F44BC" w:rsidRPr="00C9343F" w:rsidRDefault="005F44BC" w:rsidP="007114B1">
            <w:pPr>
              <w:pStyle w:val="BlockText-Plain"/>
            </w:pPr>
            <w:r w:rsidRPr="00C9343F">
              <w:t>i.</w:t>
            </w:r>
          </w:p>
        </w:tc>
        <w:tc>
          <w:tcPr>
            <w:tcW w:w="7233" w:type="dxa"/>
          </w:tcPr>
          <w:p w14:paraId="4B01601A" w14:textId="32A1A1B9" w:rsidR="005F44BC" w:rsidRPr="00C9343F" w:rsidRDefault="005F44BC" w:rsidP="00F66D98">
            <w:pPr>
              <w:pStyle w:val="BlockText-Plain"/>
            </w:pPr>
            <w:r w:rsidRPr="00C9343F">
              <w:t xml:space="preserve">The member was formerly paid a salary for pay grade 9 or 10, derived from Part 1 or 2 of Schedule B.3 of DFRT Determination No. </w:t>
            </w:r>
            <w:r w:rsidR="002A2A83" w:rsidRPr="00C9343F">
              <w:t>2 of 2017</w:t>
            </w:r>
            <w:r w:rsidRPr="00C9343F">
              <w:t xml:space="preserve">, </w:t>
            </w:r>
            <w:r w:rsidRPr="00C9343F">
              <w:rPr>
                <w:i/>
              </w:rPr>
              <w:t>Salaries</w:t>
            </w:r>
            <w:r w:rsidRPr="00C9343F">
              <w:t>.</w:t>
            </w:r>
          </w:p>
        </w:tc>
      </w:tr>
      <w:tr w:rsidR="005F44BC" w:rsidRPr="00C9343F" w14:paraId="00D518A8" w14:textId="77777777" w:rsidTr="00AA3C6C">
        <w:trPr>
          <w:cantSplit/>
        </w:trPr>
        <w:tc>
          <w:tcPr>
            <w:tcW w:w="1559" w:type="dxa"/>
            <w:gridSpan w:val="2"/>
          </w:tcPr>
          <w:p w14:paraId="75E894C4" w14:textId="77777777" w:rsidR="005F44BC" w:rsidRPr="00C9343F" w:rsidRDefault="005F44BC" w:rsidP="00F66D98">
            <w:pPr>
              <w:pStyle w:val="BlockText-Plain"/>
            </w:pPr>
          </w:p>
        </w:tc>
        <w:tc>
          <w:tcPr>
            <w:tcW w:w="567" w:type="dxa"/>
          </w:tcPr>
          <w:p w14:paraId="76A00A4D" w14:textId="77777777" w:rsidR="005F44BC" w:rsidRPr="00C9343F" w:rsidRDefault="005F44BC" w:rsidP="007114B1">
            <w:pPr>
              <w:pStyle w:val="BlockText-Plain"/>
            </w:pPr>
            <w:r w:rsidRPr="00C9343F">
              <w:t>ii.</w:t>
            </w:r>
          </w:p>
        </w:tc>
        <w:tc>
          <w:tcPr>
            <w:tcW w:w="7233" w:type="dxa"/>
          </w:tcPr>
          <w:p w14:paraId="5827903B" w14:textId="0D061958" w:rsidR="005F44BC" w:rsidRPr="00C9343F" w:rsidRDefault="005F44BC" w:rsidP="00F66D98">
            <w:pPr>
              <w:pStyle w:val="BlockText-Plain"/>
            </w:pPr>
            <w:r w:rsidRPr="00C9343F">
              <w:t xml:space="preserve">The member's salary was formerly derived from Schedule B.6 of DFRT Determination No. </w:t>
            </w:r>
            <w:r w:rsidR="002A2A83" w:rsidRPr="00C9343F">
              <w:t>2 of 2017</w:t>
            </w:r>
            <w:r w:rsidRPr="00C9343F">
              <w:t xml:space="preserve">, </w:t>
            </w:r>
            <w:r w:rsidRPr="00C9343F">
              <w:rPr>
                <w:i/>
              </w:rPr>
              <w:t>Salaries</w:t>
            </w:r>
            <w:r w:rsidRPr="00C9343F">
              <w:t>.</w:t>
            </w:r>
          </w:p>
        </w:tc>
      </w:tr>
      <w:tr w:rsidR="005F44BC" w:rsidRPr="00C9343F" w14:paraId="0EED03C6" w14:textId="77777777" w:rsidTr="00AA3C6C">
        <w:trPr>
          <w:cantSplit/>
        </w:trPr>
        <w:tc>
          <w:tcPr>
            <w:tcW w:w="1559" w:type="dxa"/>
            <w:gridSpan w:val="2"/>
          </w:tcPr>
          <w:p w14:paraId="0A1F83C1" w14:textId="77777777" w:rsidR="005F44BC" w:rsidRPr="00C9343F" w:rsidRDefault="005F44BC" w:rsidP="00F66D98">
            <w:pPr>
              <w:pStyle w:val="BlockText-Plain"/>
            </w:pPr>
          </w:p>
        </w:tc>
        <w:tc>
          <w:tcPr>
            <w:tcW w:w="567" w:type="dxa"/>
          </w:tcPr>
          <w:p w14:paraId="760E48B8" w14:textId="77777777" w:rsidR="005F44BC" w:rsidRPr="00C9343F" w:rsidRDefault="005F44BC" w:rsidP="007114B1">
            <w:pPr>
              <w:pStyle w:val="BlockText-Plain"/>
            </w:pPr>
            <w:r w:rsidRPr="00C9343F">
              <w:t>iii.</w:t>
            </w:r>
          </w:p>
        </w:tc>
        <w:tc>
          <w:tcPr>
            <w:tcW w:w="7233" w:type="dxa"/>
          </w:tcPr>
          <w:p w14:paraId="733D3A28" w14:textId="0CA8207A" w:rsidR="005F44BC" w:rsidRPr="00C9343F" w:rsidRDefault="005F44BC" w:rsidP="00F66D98">
            <w:pPr>
              <w:pStyle w:val="BlockText-Plain"/>
            </w:pPr>
            <w:r w:rsidRPr="00C9343F">
              <w:t xml:space="preserve">The member's salary was formerly derived from Schedule B.7 of DFRT Determination No. </w:t>
            </w:r>
            <w:r w:rsidR="002A2A83" w:rsidRPr="00C9343F">
              <w:t>2 of 2017</w:t>
            </w:r>
            <w:r w:rsidRPr="00C9343F">
              <w:t xml:space="preserve">, </w:t>
            </w:r>
            <w:r w:rsidRPr="00C9343F">
              <w:rPr>
                <w:i/>
              </w:rPr>
              <w:t>Salaries</w:t>
            </w:r>
            <w:r w:rsidRPr="00C9343F">
              <w:t>.</w:t>
            </w:r>
          </w:p>
        </w:tc>
      </w:tr>
      <w:tr w:rsidR="005F44BC" w:rsidRPr="00C9343F" w14:paraId="030CFAFB" w14:textId="77777777" w:rsidTr="00AA3C6C">
        <w:trPr>
          <w:cantSplit/>
        </w:trPr>
        <w:tc>
          <w:tcPr>
            <w:tcW w:w="1559" w:type="dxa"/>
            <w:gridSpan w:val="2"/>
          </w:tcPr>
          <w:p w14:paraId="35B6847E" w14:textId="77777777" w:rsidR="005F44BC" w:rsidRPr="00C9343F" w:rsidRDefault="005F44BC" w:rsidP="00F66D98">
            <w:pPr>
              <w:pStyle w:val="BlockText-Plain"/>
            </w:pPr>
          </w:p>
        </w:tc>
        <w:tc>
          <w:tcPr>
            <w:tcW w:w="567" w:type="dxa"/>
          </w:tcPr>
          <w:p w14:paraId="3605AD24" w14:textId="77777777" w:rsidR="005F44BC" w:rsidRPr="00C9343F" w:rsidRDefault="005F44BC" w:rsidP="007114B1">
            <w:pPr>
              <w:pStyle w:val="BlockText-Plain"/>
            </w:pPr>
            <w:r w:rsidRPr="00C9343F">
              <w:t>iv.</w:t>
            </w:r>
          </w:p>
        </w:tc>
        <w:tc>
          <w:tcPr>
            <w:tcW w:w="7233" w:type="dxa"/>
          </w:tcPr>
          <w:p w14:paraId="5301B1C0" w14:textId="2624BEDF" w:rsidR="005F44BC" w:rsidRPr="00C9343F" w:rsidRDefault="005F44BC" w:rsidP="00F66D98">
            <w:pPr>
              <w:pStyle w:val="BlockText-Plain"/>
            </w:pPr>
            <w:r w:rsidRPr="00C9343F">
              <w:t xml:space="preserve">The member's salary was formerly derived from Schedule B.8 of DFRT Determination No. </w:t>
            </w:r>
            <w:r w:rsidR="002A2A83" w:rsidRPr="00C9343F">
              <w:t>2 of 2017</w:t>
            </w:r>
            <w:r w:rsidRPr="00C9343F">
              <w:t xml:space="preserve">, </w:t>
            </w:r>
            <w:r w:rsidRPr="00C9343F">
              <w:rPr>
                <w:i/>
              </w:rPr>
              <w:t>Salaries</w:t>
            </w:r>
            <w:r w:rsidRPr="00C9343F">
              <w:t>.</w:t>
            </w:r>
          </w:p>
        </w:tc>
      </w:tr>
    </w:tbl>
    <w:p w14:paraId="5ED9EB23" w14:textId="74D6F223" w:rsidR="005F44BC" w:rsidRPr="00C9343F" w:rsidRDefault="005F44BC" w:rsidP="00F66D98">
      <w:pPr>
        <w:pStyle w:val="Heading5"/>
      </w:pPr>
      <w:bookmarkStart w:id="520" w:name="_Toc105053730"/>
      <w:r w:rsidRPr="00C9343F">
        <w:t>3.2.51</w:t>
      </w:r>
      <w:r w:rsidR="00D94006" w:rsidRPr="00C9343F">
        <w:t>    </w:t>
      </w:r>
      <w:r w:rsidRPr="00C9343F">
        <w:t>Member this Division does not apply to</w:t>
      </w:r>
      <w:bookmarkEnd w:id="520"/>
    </w:p>
    <w:tbl>
      <w:tblPr>
        <w:tblW w:w="9359" w:type="dxa"/>
        <w:tblInd w:w="113" w:type="dxa"/>
        <w:tblLayout w:type="fixed"/>
        <w:tblLook w:val="0000" w:firstRow="0" w:lastRow="0" w:firstColumn="0" w:lastColumn="0" w:noHBand="0" w:noVBand="0"/>
      </w:tblPr>
      <w:tblGrid>
        <w:gridCol w:w="1003"/>
        <w:gridCol w:w="556"/>
        <w:gridCol w:w="7800"/>
      </w:tblGrid>
      <w:tr w:rsidR="005F44BC" w:rsidRPr="00C9343F" w14:paraId="69396437" w14:textId="77777777" w:rsidTr="00AA3C6C">
        <w:tc>
          <w:tcPr>
            <w:tcW w:w="1003" w:type="dxa"/>
          </w:tcPr>
          <w:p w14:paraId="691E88C9" w14:textId="77777777" w:rsidR="005F44BC" w:rsidRPr="00C9343F" w:rsidRDefault="005F44BC" w:rsidP="00F66D98">
            <w:pPr>
              <w:pStyle w:val="BlockText-Plain"/>
              <w:jc w:val="center"/>
              <w:rPr>
                <w:color w:val="000000"/>
              </w:rPr>
            </w:pPr>
          </w:p>
        </w:tc>
        <w:tc>
          <w:tcPr>
            <w:tcW w:w="8356" w:type="dxa"/>
            <w:gridSpan w:val="2"/>
          </w:tcPr>
          <w:p w14:paraId="53727683" w14:textId="77777777" w:rsidR="005F44BC" w:rsidRPr="00C9343F" w:rsidRDefault="005F44BC" w:rsidP="00F66D98">
            <w:pPr>
              <w:pStyle w:val="BlockText-Plain"/>
              <w:rPr>
                <w:color w:val="000000"/>
              </w:rPr>
            </w:pPr>
            <w:r w:rsidRPr="00C9343F">
              <w:rPr>
                <w:rFonts w:cs="Arial"/>
                <w:color w:val="000000"/>
              </w:rPr>
              <w:t>This Division does not apply to a member whose salary would reduce in any of the following circumstances.</w:t>
            </w:r>
          </w:p>
        </w:tc>
      </w:tr>
      <w:tr w:rsidR="005F44BC" w:rsidRPr="00C9343F" w14:paraId="0A5AB8A4" w14:textId="77777777" w:rsidTr="00AA3C6C">
        <w:trPr>
          <w:cantSplit/>
        </w:trPr>
        <w:tc>
          <w:tcPr>
            <w:tcW w:w="1003" w:type="dxa"/>
          </w:tcPr>
          <w:p w14:paraId="59C69002" w14:textId="77777777" w:rsidR="005F44BC" w:rsidRPr="00C9343F" w:rsidRDefault="005F44BC" w:rsidP="00F66D98">
            <w:pPr>
              <w:pStyle w:val="BlockText-Plain"/>
              <w:rPr>
                <w:color w:val="000000"/>
              </w:rPr>
            </w:pPr>
          </w:p>
        </w:tc>
        <w:tc>
          <w:tcPr>
            <w:tcW w:w="556" w:type="dxa"/>
          </w:tcPr>
          <w:p w14:paraId="318F8A7F" w14:textId="77777777" w:rsidR="005F44BC" w:rsidRPr="00C9343F" w:rsidRDefault="005F44BC" w:rsidP="007114B1">
            <w:pPr>
              <w:pStyle w:val="BlockText-Plain"/>
              <w:jc w:val="center"/>
              <w:rPr>
                <w:color w:val="000000"/>
              </w:rPr>
            </w:pPr>
            <w:r w:rsidRPr="00C9343F">
              <w:rPr>
                <w:color w:val="000000"/>
              </w:rPr>
              <w:t>a.</w:t>
            </w:r>
          </w:p>
        </w:tc>
        <w:tc>
          <w:tcPr>
            <w:tcW w:w="7800" w:type="dxa"/>
          </w:tcPr>
          <w:p w14:paraId="6AC107F2" w14:textId="77777777" w:rsidR="005F44BC" w:rsidRPr="00C9343F" w:rsidRDefault="005F44BC" w:rsidP="00F66D98">
            <w:pPr>
              <w:pStyle w:val="BlockText-Plain"/>
              <w:rPr>
                <w:color w:val="000000"/>
              </w:rPr>
            </w:pPr>
            <w:r w:rsidRPr="00C9343F">
              <w:rPr>
                <w:rFonts w:cs="Arial"/>
                <w:color w:val="000000"/>
              </w:rPr>
              <w:t>The member's performance of duty is not satisfactory.</w:t>
            </w:r>
          </w:p>
        </w:tc>
      </w:tr>
      <w:tr w:rsidR="005F44BC" w:rsidRPr="00C9343F" w14:paraId="1C10157E" w14:textId="77777777" w:rsidTr="00AA3C6C">
        <w:trPr>
          <w:cantSplit/>
        </w:trPr>
        <w:tc>
          <w:tcPr>
            <w:tcW w:w="1003" w:type="dxa"/>
          </w:tcPr>
          <w:p w14:paraId="556A2A5E" w14:textId="77777777" w:rsidR="005F44BC" w:rsidRPr="00C9343F" w:rsidRDefault="005F44BC" w:rsidP="00F66D98">
            <w:pPr>
              <w:pStyle w:val="BlockText-Plain"/>
              <w:rPr>
                <w:color w:val="000000"/>
              </w:rPr>
            </w:pPr>
          </w:p>
        </w:tc>
        <w:tc>
          <w:tcPr>
            <w:tcW w:w="556" w:type="dxa"/>
          </w:tcPr>
          <w:p w14:paraId="64E83A3A" w14:textId="77777777" w:rsidR="005F44BC" w:rsidRPr="00C9343F" w:rsidRDefault="005F44BC" w:rsidP="007114B1">
            <w:pPr>
              <w:pStyle w:val="BlockText-Plain"/>
              <w:jc w:val="center"/>
              <w:rPr>
                <w:color w:val="000000"/>
              </w:rPr>
            </w:pPr>
            <w:r w:rsidRPr="00C9343F">
              <w:rPr>
                <w:color w:val="000000"/>
              </w:rPr>
              <w:t>b.</w:t>
            </w:r>
          </w:p>
        </w:tc>
        <w:tc>
          <w:tcPr>
            <w:tcW w:w="7800" w:type="dxa"/>
          </w:tcPr>
          <w:p w14:paraId="3C0EBA5B" w14:textId="77777777" w:rsidR="005F44BC" w:rsidRPr="00C9343F" w:rsidRDefault="005F44BC" w:rsidP="00F66D98">
            <w:pPr>
              <w:pStyle w:val="BlockText-Plain"/>
              <w:rPr>
                <w:color w:val="000000"/>
              </w:rPr>
            </w:pPr>
            <w:r w:rsidRPr="00C9343F">
              <w:rPr>
                <w:rFonts w:cs="Arial"/>
                <w:color w:val="000000"/>
              </w:rPr>
              <w:t>The member is subject to disciplinary action.</w:t>
            </w:r>
          </w:p>
        </w:tc>
      </w:tr>
      <w:tr w:rsidR="005F44BC" w:rsidRPr="00C9343F" w14:paraId="26790AF2" w14:textId="77777777" w:rsidTr="00AA3C6C">
        <w:trPr>
          <w:cantSplit/>
        </w:trPr>
        <w:tc>
          <w:tcPr>
            <w:tcW w:w="1003" w:type="dxa"/>
          </w:tcPr>
          <w:p w14:paraId="301553D9" w14:textId="77777777" w:rsidR="005F44BC" w:rsidRPr="00C9343F" w:rsidRDefault="005F44BC" w:rsidP="00F66D98">
            <w:pPr>
              <w:pStyle w:val="BlockText-Plain"/>
              <w:rPr>
                <w:color w:val="000000"/>
              </w:rPr>
            </w:pPr>
          </w:p>
        </w:tc>
        <w:tc>
          <w:tcPr>
            <w:tcW w:w="556" w:type="dxa"/>
          </w:tcPr>
          <w:p w14:paraId="3D3E73D7" w14:textId="77777777" w:rsidR="005F44BC" w:rsidRPr="00C9343F" w:rsidRDefault="005F44BC" w:rsidP="007114B1">
            <w:pPr>
              <w:pStyle w:val="BlockText-Plain"/>
              <w:jc w:val="center"/>
              <w:rPr>
                <w:color w:val="000000"/>
              </w:rPr>
            </w:pPr>
            <w:r w:rsidRPr="00C9343F">
              <w:rPr>
                <w:color w:val="000000"/>
              </w:rPr>
              <w:t>c.</w:t>
            </w:r>
          </w:p>
        </w:tc>
        <w:tc>
          <w:tcPr>
            <w:tcW w:w="7800" w:type="dxa"/>
          </w:tcPr>
          <w:p w14:paraId="1FEEC7F0" w14:textId="77777777" w:rsidR="005F44BC" w:rsidRPr="00C9343F" w:rsidRDefault="005F44BC" w:rsidP="00F66D98">
            <w:pPr>
              <w:pStyle w:val="BlockText-Plain"/>
              <w:rPr>
                <w:color w:val="000000"/>
              </w:rPr>
            </w:pPr>
            <w:r w:rsidRPr="00C9343F">
              <w:rPr>
                <w:rFonts w:cs="Arial"/>
                <w:color w:val="000000"/>
              </w:rPr>
              <w:t>The member is subject to administrative sanction.</w:t>
            </w:r>
          </w:p>
        </w:tc>
      </w:tr>
      <w:tr w:rsidR="005F44BC" w:rsidRPr="00C9343F" w14:paraId="089B3149" w14:textId="77777777" w:rsidTr="00AA3C6C">
        <w:trPr>
          <w:cantSplit/>
        </w:trPr>
        <w:tc>
          <w:tcPr>
            <w:tcW w:w="1003" w:type="dxa"/>
          </w:tcPr>
          <w:p w14:paraId="0CA5A7B4" w14:textId="77777777" w:rsidR="005F44BC" w:rsidRPr="00C9343F" w:rsidRDefault="005F44BC" w:rsidP="00F66D98">
            <w:pPr>
              <w:pStyle w:val="BlockText-Plain"/>
              <w:rPr>
                <w:color w:val="000000"/>
              </w:rPr>
            </w:pPr>
          </w:p>
        </w:tc>
        <w:tc>
          <w:tcPr>
            <w:tcW w:w="556" w:type="dxa"/>
          </w:tcPr>
          <w:p w14:paraId="4A1F6A4C" w14:textId="77777777" w:rsidR="005F44BC" w:rsidRPr="00C9343F" w:rsidRDefault="005F44BC" w:rsidP="007114B1">
            <w:pPr>
              <w:pStyle w:val="BlockText-Plain"/>
              <w:jc w:val="center"/>
              <w:rPr>
                <w:color w:val="000000"/>
              </w:rPr>
            </w:pPr>
            <w:r w:rsidRPr="00C9343F">
              <w:rPr>
                <w:color w:val="000000"/>
              </w:rPr>
              <w:t>d.</w:t>
            </w:r>
          </w:p>
        </w:tc>
        <w:tc>
          <w:tcPr>
            <w:tcW w:w="7800" w:type="dxa"/>
          </w:tcPr>
          <w:p w14:paraId="323DD182" w14:textId="77777777" w:rsidR="005F44BC" w:rsidRPr="00C9343F" w:rsidRDefault="005F44BC" w:rsidP="00F66D98">
            <w:pPr>
              <w:pStyle w:val="BlockText-Plain"/>
              <w:rPr>
                <w:rFonts w:cs="Arial"/>
                <w:color w:val="000000"/>
              </w:rPr>
            </w:pPr>
            <w:r w:rsidRPr="00C9343F">
              <w:rPr>
                <w:rFonts w:cs="Arial"/>
                <w:color w:val="000000"/>
              </w:rPr>
              <w:t>The member chooses to transfer to another employment category.</w:t>
            </w:r>
          </w:p>
        </w:tc>
      </w:tr>
      <w:tr w:rsidR="005F44BC" w:rsidRPr="00C9343F" w14:paraId="0D0D9668" w14:textId="77777777" w:rsidTr="00AA3C6C">
        <w:trPr>
          <w:cantSplit/>
        </w:trPr>
        <w:tc>
          <w:tcPr>
            <w:tcW w:w="1003" w:type="dxa"/>
          </w:tcPr>
          <w:p w14:paraId="38B00FB3" w14:textId="77777777" w:rsidR="005F44BC" w:rsidRPr="00C9343F" w:rsidRDefault="005F44BC" w:rsidP="00F66D98">
            <w:pPr>
              <w:pStyle w:val="BlockText-Plain"/>
              <w:rPr>
                <w:color w:val="000000"/>
              </w:rPr>
            </w:pPr>
          </w:p>
        </w:tc>
        <w:tc>
          <w:tcPr>
            <w:tcW w:w="556" w:type="dxa"/>
          </w:tcPr>
          <w:p w14:paraId="5557294E" w14:textId="77777777" w:rsidR="005F44BC" w:rsidRPr="00C9343F" w:rsidRDefault="005F44BC" w:rsidP="007114B1">
            <w:pPr>
              <w:pStyle w:val="BlockText-Plain"/>
              <w:jc w:val="center"/>
              <w:rPr>
                <w:color w:val="000000"/>
              </w:rPr>
            </w:pPr>
            <w:r w:rsidRPr="00C9343F">
              <w:rPr>
                <w:color w:val="000000"/>
              </w:rPr>
              <w:t>e.</w:t>
            </w:r>
          </w:p>
        </w:tc>
        <w:tc>
          <w:tcPr>
            <w:tcW w:w="7800" w:type="dxa"/>
          </w:tcPr>
          <w:p w14:paraId="0BD88907" w14:textId="77777777" w:rsidR="005F44BC" w:rsidRPr="00C9343F" w:rsidRDefault="005F44BC" w:rsidP="00F66D98">
            <w:pPr>
              <w:pStyle w:val="BlockText-Plain"/>
              <w:rPr>
                <w:rFonts w:cs="Arial"/>
                <w:color w:val="000000"/>
              </w:rPr>
            </w:pPr>
            <w:r w:rsidRPr="00C9343F">
              <w:t>The member is reduced in rank.</w:t>
            </w:r>
          </w:p>
        </w:tc>
      </w:tr>
      <w:tr w:rsidR="005F44BC" w:rsidRPr="00C9343F" w14:paraId="55C61863" w14:textId="77777777" w:rsidTr="00AA3C6C">
        <w:trPr>
          <w:cantSplit/>
        </w:trPr>
        <w:tc>
          <w:tcPr>
            <w:tcW w:w="1003" w:type="dxa"/>
          </w:tcPr>
          <w:p w14:paraId="5D4FC47C" w14:textId="77777777" w:rsidR="005F44BC" w:rsidRPr="00C9343F" w:rsidRDefault="005F44BC" w:rsidP="00F66D98">
            <w:pPr>
              <w:pStyle w:val="BlockText-Plain"/>
              <w:rPr>
                <w:color w:val="000000"/>
              </w:rPr>
            </w:pPr>
          </w:p>
        </w:tc>
        <w:tc>
          <w:tcPr>
            <w:tcW w:w="556" w:type="dxa"/>
          </w:tcPr>
          <w:p w14:paraId="5831A56F" w14:textId="77777777" w:rsidR="005F44BC" w:rsidRPr="00C9343F" w:rsidRDefault="005F44BC" w:rsidP="007114B1">
            <w:pPr>
              <w:pStyle w:val="BlockText-Plain"/>
              <w:jc w:val="center"/>
              <w:rPr>
                <w:color w:val="000000"/>
              </w:rPr>
            </w:pPr>
            <w:r w:rsidRPr="00C9343F">
              <w:rPr>
                <w:color w:val="000000"/>
              </w:rPr>
              <w:t>f.</w:t>
            </w:r>
          </w:p>
        </w:tc>
        <w:tc>
          <w:tcPr>
            <w:tcW w:w="7800" w:type="dxa"/>
          </w:tcPr>
          <w:p w14:paraId="03A46BBE" w14:textId="77777777" w:rsidR="005F44BC" w:rsidRPr="00C9343F" w:rsidRDefault="005F44BC" w:rsidP="00F66D98">
            <w:pPr>
              <w:pStyle w:val="BlockText-Plain"/>
            </w:pPr>
            <w:r w:rsidRPr="00C9343F">
              <w:t>The member ceases to hold a competency that exists under the specialist career structure, for which salary was previously payable to the member.</w:t>
            </w:r>
          </w:p>
        </w:tc>
      </w:tr>
      <w:tr w:rsidR="005F44BC" w:rsidRPr="00C9343F" w14:paraId="79B4E5A9" w14:textId="77777777" w:rsidTr="00AA3C6C">
        <w:trPr>
          <w:cantSplit/>
        </w:trPr>
        <w:tc>
          <w:tcPr>
            <w:tcW w:w="1003" w:type="dxa"/>
          </w:tcPr>
          <w:p w14:paraId="2BA268EE" w14:textId="77777777" w:rsidR="005F44BC" w:rsidRPr="00C9343F" w:rsidRDefault="005F44BC" w:rsidP="00F66D98">
            <w:pPr>
              <w:pStyle w:val="BlockText-Plain"/>
              <w:rPr>
                <w:color w:val="000000"/>
              </w:rPr>
            </w:pPr>
          </w:p>
        </w:tc>
        <w:tc>
          <w:tcPr>
            <w:tcW w:w="556" w:type="dxa"/>
          </w:tcPr>
          <w:p w14:paraId="10A03992" w14:textId="77777777" w:rsidR="005F44BC" w:rsidRPr="00C9343F" w:rsidRDefault="005F44BC" w:rsidP="007114B1">
            <w:pPr>
              <w:pStyle w:val="BlockText-Plain"/>
              <w:jc w:val="center"/>
              <w:rPr>
                <w:color w:val="000000"/>
              </w:rPr>
            </w:pPr>
            <w:r w:rsidRPr="00C9343F">
              <w:rPr>
                <w:color w:val="000000"/>
              </w:rPr>
              <w:t>g.</w:t>
            </w:r>
          </w:p>
        </w:tc>
        <w:tc>
          <w:tcPr>
            <w:tcW w:w="7800" w:type="dxa"/>
          </w:tcPr>
          <w:p w14:paraId="6DCD57F9" w14:textId="77777777" w:rsidR="005F44BC" w:rsidRPr="00C9343F" w:rsidRDefault="005F44BC" w:rsidP="00F66D98">
            <w:pPr>
              <w:pStyle w:val="BlockText-Plain"/>
            </w:pPr>
            <w:r w:rsidRPr="00C9343F">
              <w:t>The Defence Force Remuneration Tribunal has determined a transitional salary structure for the member that would provide salary non-reduction for the member.</w:t>
            </w:r>
          </w:p>
        </w:tc>
      </w:tr>
      <w:tr w:rsidR="00723D3E" w:rsidRPr="00C9343F" w14:paraId="50EFCB6C" w14:textId="77777777" w:rsidTr="00AA3C6C">
        <w:trPr>
          <w:cantSplit/>
        </w:trPr>
        <w:tc>
          <w:tcPr>
            <w:tcW w:w="1003" w:type="dxa"/>
          </w:tcPr>
          <w:p w14:paraId="17983F4B" w14:textId="77777777" w:rsidR="00723D3E" w:rsidRPr="00C9343F" w:rsidRDefault="00723D3E" w:rsidP="00F66D98">
            <w:pPr>
              <w:pStyle w:val="BlockText-Plain"/>
              <w:rPr>
                <w:color w:val="000000"/>
              </w:rPr>
            </w:pPr>
          </w:p>
        </w:tc>
        <w:tc>
          <w:tcPr>
            <w:tcW w:w="556" w:type="dxa"/>
          </w:tcPr>
          <w:p w14:paraId="46C0EE3F" w14:textId="2B924367" w:rsidR="00723D3E" w:rsidRPr="00C9343F" w:rsidRDefault="00723D3E" w:rsidP="007114B1">
            <w:pPr>
              <w:pStyle w:val="BlockText-Plain"/>
              <w:jc w:val="center"/>
              <w:rPr>
                <w:color w:val="000000"/>
              </w:rPr>
            </w:pPr>
            <w:r w:rsidRPr="00C9343F">
              <w:rPr>
                <w:rFonts w:cs="Arial"/>
                <w:lang w:eastAsia="en-US"/>
              </w:rPr>
              <w:t>h.</w:t>
            </w:r>
          </w:p>
        </w:tc>
        <w:tc>
          <w:tcPr>
            <w:tcW w:w="7800" w:type="dxa"/>
          </w:tcPr>
          <w:p w14:paraId="7280C418" w14:textId="25308FDA" w:rsidR="00723D3E" w:rsidRPr="00C9343F" w:rsidRDefault="00723D3E" w:rsidP="00F66D98">
            <w:pPr>
              <w:pStyle w:val="BlockText-Plain"/>
            </w:pPr>
            <w:r w:rsidRPr="00C9343F">
              <w:rPr>
                <w:rFonts w:cs="Arial"/>
                <w:lang w:eastAsia="en-US"/>
              </w:rPr>
              <w:t>An Other Rank member on appointment and commissioning.</w:t>
            </w:r>
          </w:p>
        </w:tc>
      </w:tr>
    </w:tbl>
    <w:p w14:paraId="2BDB8E7D" w14:textId="2366D1F5" w:rsidR="005F44BC" w:rsidRPr="00C9343F" w:rsidRDefault="005F44BC" w:rsidP="00F66D98">
      <w:pPr>
        <w:pStyle w:val="Heading5"/>
        <w:rPr>
          <w:color w:val="000000"/>
        </w:rPr>
      </w:pPr>
      <w:bookmarkStart w:id="521" w:name="_Toc105053731"/>
      <w:r w:rsidRPr="00C9343F">
        <w:rPr>
          <w:color w:val="000000"/>
        </w:rPr>
        <w:t>3.2.52</w:t>
      </w:r>
      <w:r w:rsidR="00D94006" w:rsidRPr="00C9343F">
        <w:rPr>
          <w:color w:val="000000"/>
        </w:rPr>
        <w:t>    </w:t>
      </w:r>
      <w:r w:rsidRPr="00C9343F">
        <w:rPr>
          <w:color w:val="000000"/>
        </w:rPr>
        <w:t>Salary non-reduction period</w:t>
      </w:r>
      <w:bookmarkEnd w:id="521"/>
    </w:p>
    <w:tbl>
      <w:tblPr>
        <w:tblW w:w="9363" w:type="dxa"/>
        <w:tblInd w:w="5" w:type="dxa"/>
        <w:tblLayout w:type="fixed"/>
        <w:tblLook w:val="01E0" w:firstRow="1" w:lastRow="1" w:firstColumn="1" w:lastColumn="1" w:noHBand="0" w:noVBand="0"/>
      </w:tblPr>
      <w:tblGrid>
        <w:gridCol w:w="992"/>
        <w:gridCol w:w="567"/>
        <w:gridCol w:w="7804"/>
      </w:tblGrid>
      <w:tr w:rsidR="005F44BC" w:rsidRPr="00C9343F" w14:paraId="48C91F3E" w14:textId="77777777" w:rsidTr="00D81CEA">
        <w:tc>
          <w:tcPr>
            <w:tcW w:w="992" w:type="dxa"/>
            <w:shd w:val="clear" w:color="auto" w:fill="auto"/>
          </w:tcPr>
          <w:p w14:paraId="20F62243" w14:textId="77777777" w:rsidR="005F44BC" w:rsidRPr="00C9343F" w:rsidRDefault="005F44BC" w:rsidP="00F66D98">
            <w:pPr>
              <w:pStyle w:val="BlockText-Plain"/>
              <w:jc w:val="center"/>
            </w:pPr>
            <w:r w:rsidRPr="00C9343F">
              <w:t>1.</w:t>
            </w:r>
          </w:p>
        </w:tc>
        <w:tc>
          <w:tcPr>
            <w:tcW w:w="8371" w:type="dxa"/>
            <w:gridSpan w:val="2"/>
            <w:shd w:val="clear" w:color="auto" w:fill="auto"/>
          </w:tcPr>
          <w:p w14:paraId="1D8D1772" w14:textId="77777777" w:rsidR="005F44BC" w:rsidRPr="00C9343F" w:rsidRDefault="005F44BC" w:rsidP="00F66D98">
            <w:pPr>
              <w:pStyle w:val="BlockText-Plain"/>
            </w:pPr>
            <w:r w:rsidRPr="00C9343F">
              <w:t>Salary is payable to a member at the rate of salary payable to them immediately before they became eligible under this Division, for a period set out in subsection 3. This is known as a salary non-reduction period.</w:t>
            </w:r>
          </w:p>
        </w:tc>
      </w:tr>
      <w:tr w:rsidR="005F44BC" w:rsidRPr="00C9343F" w14:paraId="5E95A27B" w14:textId="77777777" w:rsidTr="00D81CEA">
        <w:tc>
          <w:tcPr>
            <w:tcW w:w="992" w:type="dxa"/>
            <w:shd w:val="clear" w:color="auto" w:fill="auto"/>
          </w:tcPr>
          <w:p w14:paraId="66C07B84" w14:textId="77777777" w:rsidR="005F44BC" w:rsidRPr="00C9343F" w:rsidRDefault="005F44BC" w:rsidP="00F66D98">
            <w:pPr>
              <w:pStyle w:val="BlockText-Plain"/>
              <w:jc w:val="center"/>
            </w:pPr>
            <w:r w:rsidRPr="00C9343F">
              <w:t>2.</w:t>
            </w:r>
          </w:p>
        </w:tc>
        <w:tc>
          <w:tcPr>
            <w:tcW w:w="8371" w:type="dxa"/>
            <w:gridSpan w:val="2"/>
            <w:shd w:val="clear" w:color="auto" w:fill="auto"/>
          </w:tcPr>
          <w:p w14:paraId="014F69AC" w14:textId="77777777" w:rsidR="005F44BC" w:rsidRPr="00C9343F" w:rsidRDefault="005F44BC" w:rsidP="00F66D98">
            <w:pPr>
              <w:pStyle w:val="BlockText-Plain"/>
            </w:pPr>
            <w:r w:rsidRPr="00C9343F">
              <w:t>A member's non-reduction salary rate may be adjusted in accordance with the following conditions if applicable.</w:t>
            </w:r>
          </w:p>
        </w:tc>
      </w:tr>
      <w:tr w:rsidR="005F44BC" w:rsidRPr="00C9343F" w14:paraId="14CCE327" w14:textId="77777777" w:rsidTr="00D81CEA">
        <w:tc>
          <w:tcPr>
            <w:tcW w:w="992" w:type="dxa"/>
            <w:shd w:val="clear" w:color="auto" w:fill="auto"/>
          </w:tcPr>
          <w:p w14:paraId="2D872EF7" w14:textId="77777777" w:rsidR="005F44BC" w:rsidRPr="00C9343F" w:rsidRDefault="005F44BC" w:rsidP="00F66D98">
            <w:pPr>
              <w:pStyle w:val="BlockText-Plain"/>
            </w:pPr>
          </w:p>
        </w:tc>
        <w:tc>
          <w:tcPr>
            <w:tcW w:w="567" w:type="dxa"/>
            <w:shd w:val="clear" w:color="auto" w:fill="auto"/>
          </w:tcPr>
          <w:p w14:paraId="36217659" w14:textId="77777777" w:rsidR="005F44BC" w:rsidRPr="00C9343F" w:rsidRDefault="005F44BC" w:rsidP="007114B1">
            <w:pPr>
              <w:pStyle w:val="BlockText-Plain"/>
              <w:jc w:val="center"/>
            </w:pPr>
            <w:r w:rsidRPr="00C9343F">
              <w:t>a.</w:t>
            </w:r>
          </w:p>
        </w:tc>
        <w:tc>
          <w:tcPr>
            <w:tcW w:w="7804" w:type="dxa"/>
            <w:shd w:val="clear" w:color="auto" w:fill="auto"/>
          </w:tcPr>
          <w:p w14:paraId="3CC60C26" w14:textId="77777777" w:rsidR="005F44BC" w:rsidRPr="00C9343F" w:rsidRDefault="005F44BC" w:rsidP="00F66D98">
            <w:pPr>
              <w:pStyle w:val="BlockText-Plain"/>
            </w:pPr>
            <w:r w:rsidRPr="00C9343F">
              <w:t>The member may continue to be paid an annual increment of salary. The incremental rate is payable as if the pay grade or specialist career structure for which the member's salary non-reduction is payable had continued to operate.</w:t>
            </w:r>
          </w:p>
        </w:tc>
      </w:tr>
      <w:tr w:rsidR="005F44BC" w:rsidRPr="00C9343F" w14:paraId="3E3E5544" w14:textId="77777777" w:rsidTr="00D81CEA">
        <w:tc>
          <w:tcPr>
            <w:tcW w:w="992" w:type="dxa"/>
            <w:shd w:val="clear" w:color="auto" w:fill="auto"/>
          </w:tcPr>
          <w:p w14:paraId="1332FE60" w14:textId="77777777" w:rsidR="005F44BC" w:rsidRPr="00C9343F" w:rsidRDefault="005F44BC" w:rsidP="00F66D98">
            <w:pPr>
              <w:pStyle w:val="BlockText-Plain"/>
            </w:pPr>
          </w:p>
        </w:tc>
        <w:tc>
          <w:tcPr>
            <w:tcW w:w="567" w:type="dxa"/>
            <w:shd w:val="clear" w:color="auto" w:fill="auto"/>
          </w:tcPr>
          <w:p w14:paraId="26556CFD" w14:textId="77777777" w:rsidR="005F44BC" w:rsidRPr="00C9343F" w:rsidRDefault="005F44BC" w:rsidP="007114B1">
            <w:pPr>
              <w:pStyle w:val="BlockText-Plain"/>
              <w:jc w:val="center"/>
            </w:pPr>
            <w:r w:rsidRPr="00C9343F">
              <w:t>b.</w:t>
            </w:r>
          </w:p>
        </w:tc>
        <w:tc>
          <w:tcPr>
            <w:tcW w:w="7804" w:type="dxa"/>
            <w:shd w:val="clear" w:color="auto" w:fill="auto"/>
          </w:tcPr>
          <w:p w14:paraId="3642DDA8" w14:textId="77777777" w:rsidR="005F44BC" w:rsidRPr="00C9343F" w:rsidRDefault="005F44BC" w:rsidP="00F66D98">
            <w:pPr>
              <w:pStyle w:val="BlockText-Plain"/>
            </w:pPr>
            <w:r w:rsidRPr="00C9343F">
              <w:t>The preserved rate (if applicable) payable to the member is adjusted in the same proportion as any general salary increase determined from time to time for the ADF by the Defence Force Remuneration Tribunal.</w:t>
            </w:r>
          </w:p>
        </w:tc>
      </w:tr>
      <w:tr w:rsidR="005F44BC" w:rsidRPr="00C9343F" w14:paraId="793C05AE" w14:textId="77777777" w:rsidTr="00D81CEA">
        <w:tc>
          <w:tcPr>
            <w:tcW w:w="992" w:type="dxa"/>
            <w:shd w:val="clear" w:color="auto" w:fill="auto"/>
          </w:tcPr>
          <w:p w14:paraId="33F5AF32" w14:textId="77777777" w:rsidR="005F44BC" w:rsidRPr="00C9343F" w:rsidRDefault="005F44BC" w:rsidP="00F66D98">
            <w:pPr>
              <w:pStyle w:val="BlockText-Plain"/>
            </w:pPr>
          </w:p>
        </w:tc>
        <w:tc>
          <w:tcPr>
            <w:tcW w:w="567" w:type="dxa"/>
            <w:shd w:val="clear" w:color="auto" w:fill="auto"/>
          </w:tcPr>
          <w:p w14:paraId="734EE59B" w14:textId="77777777" w:rsidR="005F44BC" w:rsidRPr="00C9343F" w:rsidRDefault="005F44BC" w:rsidP="007114B1">
            <w:pPr>
              <w:pStyle w:val="BlockText-Plain"/>
              <w:jc w:val="center"/>
            </w:pPr>
            <w:r w:rsidRPr="00C9343F">
              <w:t>c.</w:t>
            </w:r>
          </w:p>
        </w:tc>
        <w:tc>
          <w:tcPr>
            <w:tcW w:w="7804" w:type="dxa"/>
            <w:shd w:val="clear" w:color="auto" w:fill="auto"/>
          </w:tcPr>
          <w:p w14:paraId="34CB6059" w14:textId="77777777" w:rsidR="005F44BC" w:rsidRPr="00C9343F" w:rsidRDefault="005F44BC" w:rsidP="00F66D98">
            <w:pPr>
              <w:pStyle w:val="BlockText-Plain"/>
            </w:pPr>
            <w:r w:rsidRPr="00C9343F">
              <w:t>A specialist officer may be taken to continue to hold a salary under a scale of rates that has previously been preserved for the specialty, if express transition or conversion arrangements are not made for the officer.</w:t>
            </w:r>
          </w:p>
        </w:tc>
      </w:tr>
      <w:tr w:rsidR="00245DCD" w:rsidRPr="00C9343F" w14:paraId="3789CFD0" w14:textId="77777777" w:rsidTr="00245DCD">
        <w:tc>
          <w:tcPr>
            <w:tcW w:w="992" w:type="dxa"/>
            <w:shd w:val="clear" w:color="auto" w:fill="auto"/>
          </w:tcPr>
          <w:p w14:paraId="0EB2CBC4" w14:textId="77777777" w:rsidR="00245DCD" w:rsidRPr="00C9343F" w:rsidRDefault="00245DCD" w:rsidP="00F66D98">
            <w:pPr>
              <w:pStyle w:val="BlockText-Plain"/>
              <w:jc w:val="center"/>
            </w:pPr>
            <w:r w:rsidRPr="00C9343F">
              <w:t>3.</w:t>
            </w:r>
          </w:p>
        </w:tc>
        <w:tc>
          <w:tcPr>
            <w:tcW w:w="8371" w:type="dxa"/>
            <w:gridSpan w:val="2"/>
            <w:shd w:val="clear" w:color="auto" w:fill="auto"/>
          </w:tcPr>
          <w:p w14:paraId="7C3FD2E0" w14:textId="77777777" w:rsidR="00245DCD" w:rsidRPr="00C9343F" w:rsidRDefault="00245DCD" w:rsidP="00F66D98">
            <w:pPr>
              <w:pStyle w:val="BlockText-Plain"/>
            </w:pPr>
            <w:r w:rsidRPr="00C9343F">
              <w:t>For subsection 1, the salary non-reduction period applies to a member who meets the conditions in column A of the following table for the period starting on the date in column B and ending on the date in column C.</w:t>
            </w:r>
          </w:p>
        </w:tc>
      </w:tr>
    </w:tbl>
    <w:p w14:paraId="3CF642E4" w14:textId="77777777" w:rsidR="005F44BC" w:rsidRPr="00C9343F" w:rsidRDefault="005F44BC" w:rsidP="00F66D98"/>
    <w:tbl>
      <w:tblPr>
        <w:tblW w:w="8221"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8"/>
        <w:gridCol w:w="2861"/>
        <w:gridCol w:w="2268"/>
        <w:gridCol w:w="417"/>
        <w:gridCol w:w="8"/>
        <w:gridCol w:w="1959"/>
      </w:tblGrid>
      <w:tr w:rsidR="00245DCD" w:rsidRPr="00C9343F" w14:paraId="18CF373A" w14:textId="77777777" w:rsidTr="00245DCD">
        <w:tc>
          <w:tcPr>
            <w:tcW w:w="708" w:type="dxa"/>
            <w:shd w:val="clear" w:color="auto" w:fill="auto"/>
          </w:tcPr>
          <w:p w14:paraId="4E7106FC" w14:textId="77777777" w:rsidR="00245DCD" w:rsidRPr="00C9343F" w:rsidRDefault="00245DCD" w:rsidP="00F66D98">
            <w:pPr>
              <w:keepNext/>
              <w:rPr>
                <w:rFonts w:cs="Arial"/>
                <w:b/>
                <w:sz w:val="20"/>
              </w:rPr>
            </w:pPr>
            <w:r w:rsidRPr="00C9343F">
              <w:rPr>
                <w:rFonts w:cs="Arial"/>
                <w:b/>
                <w:sz w:val="20"/>
              </w:rPr>
              <w:t>Item</w:t>
            </w:r>
          </w:p>
        </w:tc>
        <w:tc>
          <w:tcPr>
            <w:tcW w:w="2861" w:type="dxa"/>
            <w:shd w:val="clear" w:color="auto" w:fill="auto"/>
          </w:tcPr>
          <w:p w14:paraId="6125C970" w14:textId="77777777" w:rsidR="00245DCD" w:rsidRPr="00C9343F" w:rsidRDefault="00245DCD" w:rsidP="00F66D98">
            <w:pPr>
              <w:keepNext/>
              <w:jc w:val="center"/>
              <w:rPr>
                <w:rFonts w:cs="Arial"/>
                <w:b/>
                <w:sz w:val="20"/>
              </w:rPr>
            </w:pPr>
            <w:r w:rsidRPr="00C9343F">
              <w:rPr>
                <w:rFonts w:cs="Arial"/>
                <w:b/>
                <w:sz w:val="20"/>
              </w:rPr>
              <w:t>Column A</w:t>
            </w:r>
          </w:p>
          <w:p w14:paraId="01ADAA01" w14:textId="77777777" w:rsidR="00245DCD" w:rsidRPr="00C9343F" w:rsidRDefault="00245DCD" w:rsidP="00F66D98">
            <w:pPr>
              <w:keepNext/>
              <w:jc w:val="center"/>
              <w:rPr>
                <w:rFonts w:cs="Arial"/>
                <w:b/>
                <w:sz w:val="20"/>
              </w:rPr>
            </w:pPr>
            <w:r w:rsidRPr="00C9343F">
              <w:rPr>
                <w:rFonts w:cs="Arial"/>
                <w:b/>
                <w:sz w:val="20"/>
              </w:rPr>
              <w:t>Conditions</w:t>
            </w:r>
          </w:p>
        </w:tc>
        <w:tc>
          <w:tcPr>
            <w:tcW w:w="2268" w:type="dxa"/>
            <w:shd w:val="clear" w:color="auto" w:fill="auto"/>
          </w:tcPr>
          <w:p w14:paraId="7E5F9372" w14:textId="77777777" w:rsidR="00245DCD" w:rsidRPr="00C9343F" w:rsidRDefault="00245DCD" w:rsidP="00F66D98">
            <w:pPr>
              <w:keepNext/>
              <w:jc w:val="center"/>
              <w:rPr>
                <w:rFonts w:cs="Arial"/>
                <w:b/>
                <w:sz w:val="20"/>
              </w:rPr>
            </w:pPr>
            <w:r w:rsidRPr="00C9343F">
              <w:rPr>
                <w:rFonts w:cs="Arial"/>
                <w:b/>
                <w:sz w:val="20"/>
              </w:rPr>
              <w:t>Column B</w:t>
            </w:r>
          </w:p>
          <w:p w14:paraId="33A86744" w14:textId="77777777" w:rsidR="00245DCD" w:rsidRPr="00C9343F" w:rsidRDefault="00245DCD" w:rsidP="00F66D98">
            <w:pPr>
              <w:keepNext/>
              <w:jc w:val="center"/>
              <w:rPr>
                <w:rFonts w:cs="Arial"/>
                <w:b/>
                <w:sz w:val="20"/>
              </w:rPr>
            </w:pPr>
            <w:r w:rsidRPr="00C9343F">
              <w:rPr>
                <w:rFonts w:cs="Arial"/>
                <w:b/>
                <w:sz w:val="20"/>
              </w:rPr>
              <w:t>Start date</w:t>
            </w:r>
          </w:p>
        </w:tc>
        <w:tc>
          <w:tcPr>
            <w:tcW w:w="2384" w:type="dxa"/>
            <w:gridSpan w:val="3"/>
            <w:shd w:val="clear" w:color="auto" w:fill="auto"/>
          </w:tcPr>
          <w:p w14:paraId="5E8E6701" w14:textId="77777777" w:rsidR="00245DCD" w:rsidRPr="00C9343F" w:rsidRDefault="00245DCD" w:rsidP="00F66D98">
            <w:pPr>
              <w:keepNext/>
              <w:jc w:val="center"/>
              <w:rPr>
                <w:rFonts w:cs="Arial"/>
                <w:b/>
                <w:sz w:val="20"/>
              </w:rPr>
            </w:pPr>
            <w:r w:rsidRPr="00C9343F">
              <w:rPr>
                <w:rFonts w:cs="Arial"/>
                <w:b/>
                <w:sz w:val="20"/>
              </w:rPr>
              <w:t>Column C</w:t>
            </w:r>
          </w:p>
          <w:p w14:paraId="18128043" w14:textId="77777777" w:rsidR="00245DCD" w:rsidRPr="00C9343F" w:rsidRDefault="00245DCD" w:rsidP="00F66D98">
            <w:pPr>
              <w:keepNext/>
              <w:jc w:val="center"/>
              <w:rPr>
                <w:rFonts w:cs="Arial"/>
                <w:b/>
                <w:sz w:val="20"/>
              </w:rPr>
            </w:pPr>
            <w:r w:rsidRPr="00C9343F">
              <w:rPr>
                <w:rFonts w:cs="Arial"/>
                <w:b/>
                <w:sz w:val="20"/>
              </w:rPr>
              <w:t>End date</w:t>
            </w:r>
          </w:p>
        </w:tc>
      </w:tr>
      <w:tr w:rsidR="00245DCD" w:rsidRPr="00C9343F" w14:paraId="3884ABBA" w14:textId="77777777" w:rsidTr="00245DCD">
        <w:trPr>
          <w:trHeight w:val="435"/>
        </w:trPr>
        <w:tc>
          <w:tcPr>
            <w:tcW w:w="708" w:type="dxa"/>
            <w:vMerge w:val="restart"/>
            <w:shd w:val="clear" w:color="auto" w:fill="auto"/>
          </w:tcPr>
          <w:p w14:paraId="608657FA" w14:textId="77777777" w:rsidR="00245DCD" w:rsidRPr="00C9343F" w:rsidRDefault="00245DCD" w:rsidP="00F66D98">
            <w:pPr>
              <w:keepNext/>
              <w:jc w:val="center"/>
              <w:rPr>
                <w:rFonts w:cs="Arial"/>
                <w:sz w:val="20"/>
              </w:rPr>
            </w:pPr>
            <w:r w:rsidRPr="00C9343F">
              <w:rPr>
                <w:rFonts w:cs="Arial"/>
                <w:sz w:val="20"/>
              </w:rPr>
              <w:t>1.</w:t>
            </w:r>
          </w:p>
        </w:tc>
        <w:tc>
          <w:tcPr>
            <w:tcW w:w="2861" w:type="dxa"/>
            <w:vMerge w:val="restart"/>
            <w:shd w:val="clear" w:color="auto" w:fill="auto"/>
          </w:tcPr>
          <w:p w14:paraId="1CE9FC98" w14:textId="77777777" w:rsidR="00245DCD" w:rsidRPr="00C9343F" w:rsidRDefault="00245DCD" w:rsidP="00F66D98">
            <w:pPr>
              <w:keepNext/>
              <w:rPr>
                <w:rFonts w:cs="Arial"/>
                <w:sz w:val="20"/>
              </w:rPr>
            </w:pPr>
            <w:r w:rsidRPr="00C9343F">
              <w:rPr>
                <w:rFonts w:cs="Arial"/>
                <w:sz w:val="20"/>
              </w:rPr>
              <w:t>A Warrant Officer Class 1 or lower who is in a pay grade in column A of Part 1 or Part 2 of Annex 3.2.B and holds a relevant employment category and meets any conditions specified for that category in column B.</w:t>
            </w:r>
          </w:p>
        </w:tc>
        <w:tc>
          <w:tcPr>
            <w:tcW w:w="2268" w:type="dxa"/>
            <w:vMerge w:val="restart"/>
            <w:shd w:val="clear" w:color="auto" w:fill="auto"/>
          </w:tcPr>
          <w:p w14:paraId="578C26D6" w14:textId="77777777" w:rsidR="00245DCD" w:rsidRPr="00C9343F" w:rsidRDefault="00245DCD" w:rsidP="00F66D98">
            <w:pPr>
              <w:keepNext/>
              <w:rPr>
                <w:rFonts w:cs="Arial"/>
                <w:sz w:val="20"/>
              </w:rPr>
            </w:pPr>
            <w:r w:rsidRPr="00C9343F">
              <w:rPr>
                <w:rFonts w:cs="Arial"/>
                <w:sz w:val="20"/>
              </w:rPr>
              <w:t>The date listed in column C of the relevant Part of Annex 3.2.B.</w:t>
            </w:r>
          </w:p>
        </w:tc>
        <w:tc>
          <w:tcPr>
            <w:tcW w:w="2384" w:type="dxa"/>
            <w:gridSpan w:val="3"/>
            <w:tcBorders>
              <w:bottom w:val="nil"/>
            </w:tcBorders>
            <w:shd w:val="clear" w:color="auto" w:fill="auto"/>
          </w:tcPr>
          <w:p w14:paraId="36BAD4DB" w14:textId="77777777" w:rsidR="00245DCD" w:rsidRPr="00C9343F" w:rsidRDefault="00245DCD" w:rsidP="00F66D98">
            <w:pPr>
              <w:keepNext/>
              <w:rPr>
                <w:rFonts w:cs="Arial"/>
                <w:sz w:val="20"/>
              </w:rPr>
            </w:pPr>
            <w:r w:rsidRPr="00C9343F">
              <w:rPr>
                <w:rFonts w:cs="Arial"/>
                <w:sz w:val="20"/>
              </w:rPr>
              <w:t xml:space="preserve">The earlier of the following. </w:t>
            </w:r>
          </w:p>
        </w:tc>
      </w:tr>
      <w:tr w:rsidR="00245DCD" w:rsidRPr="00C9343F" w14:paraId="4696AB87" w14:textId="77777777" w:rsidTr="00245DCD">
        <w:trPr>
          <w:trHeight w:val="525"/>
        </w:trPr>
        <w:tc>
          <w:tcPr>
            <w:tcW w:w="708" w:type="dxa"/>
            <w:vMerge/>
            <w:shd w:val="clear" w:color="auto" w:fill="auto"/>
          </w:tcPr>
          <w:p w14:paraId="54BCD410" w14:textId="77777777" w:rsidR="00245DCD" w:rsidRPr="00C9343F" w:rsidRDefault="00245DCD" w:rsidP="00F66D98">
            <w:pPr>
              <w:keepNext/>
              <w:jc w:val="center"/>
              <w:rPr>
                <w:rFonts w:cs="Arial"/>
                <w:sz w:val="20"/>
              </w:rPr>
            </w:pPr>
          </w:p>
        </w:tc>
        <w:tc>
          <w:tcPr>
            <w:tcW w:w="2861" w:type="dxa"/>
            <w:vMerge/>
            <w:shd w:val="clear" w:color="auto" w:fill="auto"/>
          </w:tcPr>
          <w:p w14:paraId="6B204D51" w14:textId="77777777" w:rsidR="00245DCD" w:rsidRPr="00C9343F" w:rsidRDefault="00245DCD" w:rsidP="00F66D98">
            <w:pPr>
              <w:keepNext/>
              <w:rPr>
                <w:rFonts w:cs="Arial"/>
                <w:sz w:val="20"/>
              </w:rPr>
            </w:pPr>
          </w:p>
        </w:tc>
        <w:tc>
          <w:tcPr>
            <w:tcW w:w="2268" w:type="dxa"/>
            <w:vMerge/>
            <w:tcBorders>
              <w:right w:val="single" w:sz="4" w:space="0" w:color="auto"/>
            </w:tcBorders>
            <w:shd w:val="clear" w:color="auto" w:fill="auto"/>
          </w:tcPr>
          <w:p w14:paraId="5142FEA8" w14:textId="77777777" w:rsidR="00245DCD" w:rsidRPr="00C9343F" w:rsidRDefault="00245DCD" w:rsidP="00F66D98">
            <w:pPr>
              <w:keepNext/>
              <w:rPr>
                <w:rFonts w:cs="Arial"/>
                <w:sz w:val="20"/>
              </w:rPr>
            </w:pPr>
          </w:p>
        </w:tc>
        <w:tc>
          <w:tcPr>
            <w:tcW w:w="417" w:type="dxa"/>
            <w:tcBorders>
              <w:top w:val="nil"/>
              <w:left w:val="single" w:sz="4" w:space="0" w:color="auto"/>
              <w:bottom w:val="nil"/>
              <w:right w:val="nil"/>
            </w:tcBorders>
            <w:shd w:val="clear" w:color="auto" w:fill="auto"/>
          </w:tcPr>
          <w:p w14:paraId="123051F8" w14:textId="77777777" w:rsidR="00245DCD" w:rsidRPr="00C9343F" w:rsidRDefault="00245DCD" w:rsidP="00F66D98">
            <w:pPr>
              <w:keepNext/>
              <w:rPr>
                <w:rFonts w:cs="Arial"/>
                <w:sz w:val="20"/>
              </w:rPr>
            </w:pPr>
            <w:r w:rsidRPr="00C9343F">
              <w:rPr>
                <w:rFonts w:cs="Arial"/>
                <w:sz w:val="20"/>
              </w:rPr>
              <w:t>a.</w:t>
            </w:r>
          </w:p>
        </w:tc>
        <w:tc>
          <w:tcPr>
            <w:tcW w:w="1967" w:type="dxa"/>
            <w:gridSpan w:val="2"/>
            <w:tcBorders>
              <w:top w:val="nil"/>
              <w:left w:val="nil"/>
              <w:bottom w:val="nil"/>
              <w:right w:val="single" w:sz="4" w:space="0" w:color="auto"/>
            </w:tcBorders>
            <w:shd w:val="clear" w:color="auto" w:fill="auto"/>
          </w:tcPr>
          <w:p w14:paraId="62C54FE3" w14:textId="77777777" w:rsidR="00245DCD" w:rsidRPr="00C9343F" w:rsidRDefault="00245DCD" w:rsidP="00F66D98">
            <w:pPr>
              <w:keepNext/>
              <w:rPr>
                <w:rFonts w:cs="Arial"/>
                <w:sz w:val="20"/>
              </w:rPr>
            </w:pPr>
            <w:r w:rsidRPr="00C9343F">
              <w:rPr>
                <w:rFonts w:cs="Arial"/>
                <w:sz w:val="20"/>
              </w:rPr>
              <w:t>The date listed in column D of the relevant Part of Annex 3.2.B.</w:t>
            </w:r>
          </w:p>
        </w:tc>
      </w:tr>
      <w:tr w:rsidR="00245DCD" w:rsidRPr="00C9343F" w14:paraId="527B4EEC" w14:textId="77777777" w:rsidTr="00245DCD">
        <w:trPr>
          <w:trHeight w:val="525"/>
        </w:trPr>
        <w:tc>
          <w:tcPr>
            <w:tcW w:w="708" w:type="dxa"/>
            <w:vMerge/>
            <w:shd w:val="clear" w:color="auto" w:fill="auto"/>
          </w:tcPr>
          <w:p w14:paraId="1D3F41BF" w14:textId="77777777" w:rsidR="00245DCD" w:rsidRPr="00C9343F" w:rsidRDefault="00245DCD" w:rsidP="00F66D98">
            <w:pPr>
              <w:keepNext/>
              <w:jc w:val="center"/>
              <w:rPr>
                <w:rFonts w:cs="Arial"/>
                <w:sz w:val="20"/>
              </w:rPr>
            </w:pPr>
          </w:p>
        </w:tc>
        <w:tc>
          <w:tcPr>
            <w:tcW w:w="2861" w:type="dxa"/>
            <w:vMerge/>
            <w:shd w:val="clear" w:color="auto" w:fill="auto"/>
          </w:tcPr>
          <w:p w14:paraId="1EC9FEDA" w14:textId="77777777" w:rsidR="00245DCD" w:rsidRPr="00C9343F" w:rsidRDefault="00245DCD" w:rsidP="00F66D98">
            <w:pPr>
              <w:keepNext/>
              <w:rPr>
                <w:rFonts w:cs="Arial"/>
                <w:sz w:val="20"/>
              </w:rPr>
            </w:pPr>
          </w:p>
        </w:tc>
        <w:tc>
          <w:tcPr>
            <w:tcW w:w="2268" w:type="dxa"/>
            <w:vMerge/>
            <w:tcBorders>
              <w:right w:val="single" w:sz="4" w:space="0" w:color="auto"/>
            </w:tcBorders>
            <w:shd w:val="clear" w:color="auto" w:fill="auto"/>
          </w:tcPr>
          <w:p w14:paraId="4642A917" w14:textId="77777777" w:rsidR="00245DCD" w:rsidRPr="00C9343F" w:rsidRDefault="00245DCD" w:rsidP="00F66D98">
            <w:pPr>
              <w:keepNext/>
              <w:rPr>
                <w:rFonts w:cs="Arial"/>
                <w:sz w:val="20"/>
              </w:rPr>
            </w:pPr>
          </w:p>
        </w:tc>
        <w:tc>
          <w:tcPr>
            <w:tcW w:w="417" w:type="dxa"/>
            <w:tcBorders>
              <w:top w:val="nil"/>
              <w:left w:val="single" w:sz="4" w:space="0" w:color="auto"/>
              <w:bottom w:val="single" w:sz="4" w:space="0" w:color="auto"/>
              <w:right w:val="nil"/>
            </w:tcBorders>
            <w:shd w:val="clear" w:color="auto" w:fill="auto"/>
          </w:tcPr>
          <w:p w14:paraId="065DC488" w14:textId="77777777" w:rsidR="00245DCD" w:rsidRPr="00C9343F" w:rsidRDefault="00245DCD" w:rsidP="00F66D98">
            <w:pPr>
              <w:keepNext/>
              <w:rPr>
                <w:rFonts w:cs="Arial"/>
                <w:sz w:val="20"/>
              </w:rPr>
            </w:pPr>
            <w:r w:rsidRPr="00C9343F">
              <w:rPr>
                <w:rFonts w:cs="Arial"/>
                <w:sz w:val="20"/>
              </w:rPr>
              <w:t>b.</w:t>
            </w:r>
          </w:p>
        </w:tc>
        <w:tc>
          <w:tcPr>
            <w:tcW w:w="1967" w:type="dxa"/>
            <w:gridSpan w:val="2"/>
            <w:tcBorders>
              <w:top w:val="nil"/>
              <w:left w:val="nil"/>
              <w:bottom w:val="single" w:sz="4" w:space="0" w:color="auto"/>
              <w:right w:val="single" w:sz="4" w:space="0" w:color="auto"/>
            </w:tcBorders>
            <w:shd w:val="clear" w:color="auto" w:fill="auto"/>
          </w:tcPr>
          <w:p w14:paraId="56493B78" w14:textId="77777777" w:rsidR="00245DCD" w:rsidRPr="00C9343F" w:rsidRDefault="00245DCD" w:rsidP="00F66D98">
            <w:pPr>
              <w:keepNext/>
              <w:rPr>
                <w:rFonts w:cs="Arial"/>
                <w:sz w:val="20"/>
              </w:rPr>
            </w:pPr>
            <w:r w:rsidRPr="00C9343F">
              <w:rPr>
                <w:rFonts w:cs="Arial"/>
                <w:sz w:val="20"/>
              </w:rPr>
              <w:t>The day the member ceases to meet a condition specified for the relevant category.</w:t>
            </w:r>
          </w:p>
        </w:tc>
      </w:tr>
      <w:tr w:rsidR="00245DCD" w:rsidRPr="00C9343F" w14:paraId="0A1A6AAC" w14:textId="77777777" w:rsidTr="00245DCD">
        <w:tc>
          <w:tcPr>
            <w:tcW w:w="708" w:type="dxa"/>
            <w:shd w:val="clear" w:color="auto" w:fill="auto"/>
          </w:tcPr>
          <w:p w14:paraId="5F8F95E4" w14:textId="77777777" w:rsidR="00245DCD" w:rsidRPr="00C9343F" w:rsidRDefault="00245DCD" w:rsidP="00F66D98">
            <w:pPr>
              <w:jc w:val="center"/>
              <w:rPr>
                <w:rFonts w:cs="Arial"/>
                <w:sz w:val="20"/>
              </w:rPr>
            </w:pPr>
            <w:r w:rsidRPr="00C9343F">
              <w:rPr>
                <w:rFonts w:cs="Arial"/>
                <w:sz w:val="20"/>
              </w:rPr>
              <w:t>3.</w:t>
            </w:r>
          </w:p>
        </w:tc>
        <w:tc>
          <w:tcPr>
            <w:tcW w:w="2861" w:type="dxa"/>
            <w:shd w:val="clear" w:color="auto" w:fill="auto"/>
          </w:tcPr>
          <w:p w14:paraId="227623B9" w14:textId="77777777" w:rsidR="00245DCD" w:rsidRPr="00C9343F" w:rsidRDefault="00245DCD" w:rsidP="00F66D98">
            <w:pPr>
              <w:rPr>
                <w:rFonts w:cs="Arial"/>
                <w:sz w:val="20"/>
              </w:rPr>
            </w:pPr>
            <w:r w:rsidRPr="00C9343F">
              <w:rPr>
                <w:rFonts w:cs="Arial"/>
                <w:sz w:val="20"/>
              </w:rPr>
              <w:t>An officer who is in a pay grade in column A of Annex 3.2.D and holds a relevant employment category in column B.</w:t>
            </w:r>
          </w:p>
        </w:tc>
        <w:tc>
          <w:tcPr>
            <w:tcW w:w="2268" w:type="dxa"/>
            <w:shd w:val="clear" w:color="auto" w:fill="auto"/>
          </w:tcPr>
          <w:p w14:paraId="29452628" w14:textId="77777777" w:rsidR="00245DCD" w:rsidRPr="00C9343F" w:rsidRDefault="00245DCD" w:rsidP="00F66D98">
            <w:pPr>
              <w:rPr>
                <w:rFonts w:cs="Arial"/>
                <w:sz w:val="20"/>
              </w:rPr>
            </w:pPr>
            <w:r w:rsidRPr="00C9343F">
              <w:rPr>
                <w:rFonts w:cs="Arial"/>
                <w:sz w:val="20"/>
              </w:rPr>
              <w:t>The date listed in column C of Annex 3.2.D.</w:t>
            </w:r>
          </w:p>
        </w:tc>
        <w:tc>
          <w:tcPr>
            <w:tcW w:w="2384" w:type="dxa"/>
            <w:gridSpan w:val="3"/>
            <w:tcBorders>
              <w:bottom w:val="single" w:sz="6" w:space="0" w:color="auto"/>
            </w:tcBorders>
            <w:shd w:val="clear" w:color="auto" w:fill="auto"/>
          </w:tcPr>
          <w:p w14:paraId="5CD59DFA" w14:textId="77777777" w:rsidR="00245DCD" w:rsidRPr="00C9343F" w:rsidRDefault="00245DCD" w:rsidP="00F66D98">
            <w:pPr>
              <w:rPr>
                <w:rFonts w:cs="Arial"/>
                <w:sz w:val="20"/>
              </w:rPr>
            </w:pPr>
            <w:r w:rsidRPr="00C9343F">
              <w:rPr>
                <w:rFonts w:cs="Arial"/>
                <w:sz w:val="20"/>
              </w:rPr>
              <w:t>The date listed in column D of Annex 3.2.D.</w:t>
            </w:r>
          </w:p>
        </w:tc>
      </w:tr>
      <w:tr w:rsidR="00245DCD" w:rsidRPr="00C9343F" w14:paraId="1E24663A" w14:textId="77777777" w:rsidTr="00245DCD">
        <w:trPr>
          <w:trHeight w:val="517"/>
        </w:trPr>
        <w:tc>
          <w:tcPr>
            <w:tcW w:w="708" w:type="dxa"/>
            <w:vMerge w:val="restart"/>
            <w:shd w:val="clear" w:color="auto" w:fill="auto"/>
          </w:tcPr>
          <w:p w14:paraId="327AFCB6" w14:textId="77777777" w:rsidR="00245DCD" w:rsidRPr="00C9343F" w:rsidRDefault="00245DCD" w:rsidP="00F66D98">
            <w:pPr>
              <w:jc w:val="center"/>
              <w:rPr>
                <w:rFonts w:cs="Arial"/>
                <w:sz w:val="20"/>
              </w:rPr>
            </w:pPr>
            <w:r w:rsidRPr="00C9343F">
              <w:rPr>
                <w:rFonts w:cs="Arial"/>
                <w:sz w:val="20"/>
              </w:rPr>
              <w:t>4.</w:t>
            </w:r>
          </w:p>
        </w:tc>
        <w:tc>
          <w:tcPr>
            <w:tcW w:w="2861" w:type="dxa"/>
            <w:vMerge w:val="restart"/>
            <w:shd w:val="clear" w:color="auto" w:fill="auto"/>
          </w:tcPr>
          <w:p w14:paraId="333D9CBF" w14:textId="77777777" w:rsidR="00245DCD" w:rsidRPr="00C9343F" w:rsidRDefault="00245DCD" w:rsidP="00F66D98">
            <w:pPr>
              <w:rPr>
                <w:rFonts w:cs="Arial"/>
                <w:sz w:val="20"/>
              </w:rPr>
            </w:pPr>
            <w:r w:rsidRPr="00C9343F">
              <w:rPr>
                <w:rFonts w:cs="Arial"/>
                <w:sz w:val="20"/>
              </w:rPr>
              <w:t>Not described in table item 1, 2 or 3.</w:t>
            </w:r>
          </w:p>
        </w:tc>
        <w:tc>
          <w:tcPr>
            <w:tcW w:w="2268" w:type="dxa"/>
            <w:vMerge w:val="restart"/>
            <w:shd w:val="clear" w:color="auto" w:fill="auto"/>
          </w:tcPr>
          <w:p w14:paraId="5DB321ED" w14:textId="77777777" w:rsidR="00245DCD" w:rsidRPr="00C9343F" w:rsidRDefault="00245DCD" w:rsidP="00F66D98">
            <w:pPr>
              <w:rPr>
                <w:rFonts w:cs="Arial"/>
                <w:sz w:val="20"/>
              </w:rPr>
            </w:pPr>
            <w:r w:rsidRPr="00C9343F">
              <w:rPr>
                <w:rFonts w:cs="Arial"/>
                <w:sz w:val="20"/>
              </w:rPr>
              <w:t>The day the member becomes eligible under section 3.2.50.</w:t>
            </w:r>
          </w:p>
        </w:tc>
        <w:tc>
          <w:tcPr>
            <w:tcW w:w="2384" w:type="dxa"/>
            <w:gridSpan w:val="3"/>
            <w:tcBorders>
              <w:bottom w:val="nil"/>
            </w:tcBorders>
            <w:shd w:val="clear" w:color="auto" w:fill="auto"/>
          </w:tcPr>
          <w:p w14:paraId="3C29796F" w14:textId="77777777" w:rsidR="00245DCD" w:rsidRPr="00C9343F" w:rsidRDefault="00245DCD" w:rsidP="00F66D98">
            <w:pPr>
              <w:rPr>
                <w:rFonts w:cs="Arial"/>
                <w:sz w:val="20"/>
              </w:rPr>
            </w:pPr>
            <w:r w:rsidRPr="00C9343F">
              <w:rPr>
                <w:rFonts w:cs="Arial"/>
                <w:sz w:val="20"/>
              </w:rPr>
              <w:t>The later of the following days.</w:t>
            </w:r>
          </w:p>
        </w:tc>
      </w:tr>
      <w:tr w:rsidR="00245DCD" w:rsidRPr="00C9343F" w14:paraId="4D9CEF00" w14:textId="77777777" w:rsidTr="00245DCD">
        <w:trPr>
          <w:trHeight w:val="233"/>
        </w:trPr>
        <w:tc>
          <w:tcPr>
            <w:tcW w:w="708" w:type="dxa"/>
            <w:vMerge/>
            <w:shd w:val="clear" w:color="auto" w:fill="auto"/>
          </w:tcPr>
          <w:p w14:paraId="75727CCF" w14:textId="77777777" w:rsidR="00245DCD" w:rsidRPr="00C9343F" w:rsidRDefault="00245DCD" w:rsidP="00F66D98">
            <w:pPr>
              <w:jc w:val="center"/>
              <w:rPr>
                <w:rFonts w:cs="Arial"/>
                <w:sz w:val="20"/>
              </w:rPr>
            </w:pPr>
          </w:p>
        </w:tc>
        <w:tc>
          <w:tcPr>
            <w:tcW w:w="2861" w:type="dxa"/>
            <w:vMerge/>
            <w:shd w:val="clear" w:color="auto" w:fill="auto"/>
          </w:tcPr>
          <w:p w14:paraId="442B04D0" w14:textId="77777777" w:rsidR="00245DCD" w:rsidRPr="00C9343F" w:rsidRDefault="00245DCD" w:rsidP="00F66D98">
            <w:pPr>
              <w:rPr>
                <w:rFonts w:cs="Arial"/>
                <w:sz w:val="20"/>
              </w:rPr>
            </w:pPr>
          </w:p>
        </w:tc>
        <w:tc>
          <w:tcPr>
            <w:tcW w:w="2268" w:type="dxa"/>
            <w:vMerge/>
            <w:shd w:val="clear" w:color="auto" w:fill="auto"/>
          </w:tcPr>
          <w:p w14:paraId="416483E4" w14:textId="77777777" w:rsidR="00245DCD" w:rsidRPr="00C9343F" w:rsidRDefault="00245DCD" w:rsidP="00F66D98">
            <w:pPr>
              <w:rPr>
                <w:rFonts w:cs="Arial"/>
                <w:sz w:val="20"/>
              </w:rPr>
            </w:pPr>
          </w:p>
        </w:tc>
        <w:tc>
          <w:tcPr>
            <w:tcW w:w="425" w:type="dxa"/>
            <w:gridSpan w:val="2"/>
            <w:tcBorders>
              <w:top w:val="nil"/>
              <w:bottom w:val="nil"/>
              <w:right w:val="nil"/>
            </w:tcBorders>
            <w:shd w:val="clear" w:color="auto" w:fill="auto"/>
          </w:tcPr>
          <w:p w14:paraId="4824A3FC" w14:textId="77777777" w:rsidR="00245DCD" w:rsidRPr="00C9343F" w:rsidRDefault="00245DCD" w:rsidP="00F66D98">
            <w:pPr>
              <w:rPr>
                <w:rFonts w:cs="Arial"/>
                <w:sz w:val="20"/>
              </w:rPr>
            </w:pPr>
            <w:r w:rsidRPr="00C9343F">
              <w:rPr>
                <w:rFonts w:cs="Arial"/>
                <w:sz w:val="20"/>
              </w:rPr>
              <w:t>a.</w:t>
            </w:r>
          </w:p>
        </w:tc>
        <w:tc>
          <w:tcPr>
            <w:tcW w:w="1959" w:type="dxa"/>
            <w:tcBorders>
              <w:top w:val="nil"/>
              <w:left w:val="nil"/>
              <w:bottom w:val="nil"/>
            </w:tcBorders>
            <w:shd w:val="clear" w:color="auto" w:fill="auto"/>
          </w:tcPr>
          <w:p w14:paraId="40B3D270" w14:textId="77777777" w:rsidR="00245DCD" w:rsidRPr="00C9343F" w:rsidRDefault="00245DCD" w:rsidP="00F66D98">
            <w:pPr>
              <w:rPr>
                <w:rFonts w:cs="Arial"/>
                <w:sz w:val="20"/>
              </w:rPr>
            </w:pPr>
            <w:r w:rsidRPr="00C9343F">
              <w:rPr>
                <w:rFonts w:cs="Arial"/>
                <w:sz w:val="20"/>
              </w:rPr>
              <w:t>After 18 months.</w:t>
            </w:r>
          </w:p>
        </w:tc>
      </w:tr>
      <w:tr w:rsidR="00245DCD" w:rsidRPr="00C9343F" w14:paraId="026A006C" w14:textId="77777777" w:rsidTr="00245DCD">
        <w:trPr>
          <w:trHeight w:val="870"/>
        </w:trPr>
        <w:tc>
          <w:tcPr>
            <w:tcW w:w="708" w:type="dxa"/>
            <w:vMerge/>
            <w:shd w:val="clear" w:color="auto" w:fill="auto"/>
          </w:tcPr>
          <w:p w14:paraId="1889A473" w14:textId="77777777" w:rsidR="00245DCD" w:rsidRPr="00C9343F" w:rsidRDefault="00245DCD" w:rsidP="00F66D98">
            <w:pPr>
              <w:jc w:val="center"/>
              <w:rPr>
                <w:rFonts w:cs="Arial"/>
                <w:sz w:val="20"/>
              </w:rPr>
            </w:pPr>
          </w:p>
        </w:tc>
        <w:tc>
          <w:tcPr>
            <w:tcW w:w="2861" w:type="dxa"/>
            <w:vMerge/>
            <w:shd w:val="clear" w:color="auto" w:fill="auto"/>
          </w:tcPr>
          <w:p w14:paraId="73769442" w14:textId="77777777" w:rsidR="00245DCD" w:rsidRPr="00C9343F" w:rsidRDefault="00245DCD" w:rsidP="00F66D98">
            <w:pPr>
              <w:rPr>
                <w:rFonts w:cs="Arial"/>
                <w:sz w:val="20"/>
              </w:rPr>
            </w:pPr>
          </w:p>
        </w:tc>
        <w:tc>
          <w:tcPr>
            <w:tcW w:w="2268" w:type="dxa"/>
            <w:vMerge/>
            <w:shd w:val="clear" w:color="auto" w:fill="auto"/>
          </w:tcPr>
          <w:p w14:paraId="2722A8EE" w14:textId="77777777" w:rsidR="00245DCD" w:rsidRPr="00C9343F" w:rsidRDefault="00245DCD" w:rsidP="00F66D98">
            <w:pPr>
              <w:rPr>
                <w:rFonts w:cs="Arial"/>
                <w:sz w:val="20"/>
              </w:rPr>
            </w:pPr>
          </w:p>
        </w:tc>
        <w:tc>
          <w:tcPr>
            <w:tcW w:w="425" w:type="dxa"/>
            <w:gridSpan w:val="2"/>
            <w:tcBorders>
              <w:top w:val="nil"/>
              <w:right w:val="nil"/>
            </w:tcBorders>
            <w:shd w:val="clear" w:color="auto" w:fill="auto"/>
          </w:tcPr>
          <w:p w14:paraId="77B77D29" w14:textId="77777777" w:rsidR="00245DCD" w:rsidRPr="00C9343F" w:rsidRDefault="00245DCD" w:rsidP="00F66D98">
            <w:pPr>
              <w:rPr>
                <w:rFonts w:cs="Arial"/>
                <w:sz w:val="20"/>
              </w:rPr>
            </w:pPr>
            <w:r w:rsidRPr="00C9343F">
              <w:rPr>
                <w:rFonts w:cs="Arial"/>
                <w:sz w:val="20"/>
              </w:rPr>
              <w:t>b.</w:t>
            </w:r>
          </w:p>
        </w:tc>
        <w:tc>
          <w:tcPr>
            <w:tcW w:w="1959" w:type="dxa"/>
            <w:tcBorders>
              <w:top w:val="nil"/>
              <w:left w:val="nil"/>
            </w:tcBorders>
            <w:shd w:val="clear" w:color="auto" w:fill="auto"/>
          </w:tcPr>
          <w:p w14:paraId="554991C4" w14:textId="77777777" w:rsidR="00245DCD" w:rsidRPr="00C9343F" w:rsidRDefault="00245DCD" w:rsidP="00F66D98">
            <w:pPr>
              <w:rPr>
                <w:rFonts w:cs="Arial"/>
                <w:sz w:val="20"/>
              </w:rPr>
            </w:pPr>
            <w:r w:rsidRPr="00C9343F">
              <w:rPr>
                <w:rFonts w:cs="Arial"/>
                <w:sz w:val="20"/>
              </w:rPr>
              <w:t>A day later than 18 months decided by the CDF.</w:t>
            </w:r>
          </w:p>
        </w:tc>
      </w:tr>
    </w:tbl>
    <w:p w14:paraId="379ED825" w14:textId="77777777" w:rsidR="00245DCD" w:rsidRPr="00C9343F" w:rsidRDefault="00245DCD" w:rsidP="00F66D98"/>
    <w:tbl>
      <w:tblPr>
        <w:tblW w:w="9253" w:type="dxa"/>
        <w:tblInd w:w="108" w:type="dxa"/>
        <w:tblLayout w:type="fixed"/>
        <w:tblLook w:val="0000" w:firstRow="0" w:lastRow="0" w:firstColumn="0" w:lastColumn="0" w:noHBand="0" w:noVBand="0"/>
      </w:tblPr>
      <w:tblGrid>
        <w:gridCol w:w="992"/>
        <w:gridCol w:w="8261"/>
      </w:tblGrid>
      <w:tr w:rsidR="005F44BC" w:rsidRPr="00C9343F" w14:paraId="23D224DD" w14:textId="77777777" w:rsidTr="001667EE">
        <w:tc>
          <w:tcPr>
            <w:tcW w:w="992" w:type="dxa"/>
          </w:tcPr>
          <w:p w14:paraId="63D6E406" w14:textId="77777777" w:rsidR="005F44BC" w:rsidRPr="00C9343F" w:rsidRDefault="005F44BC" w:rsidP="00F66D98">
            <w:pPr>
              <w:pStyle w:val="BlockText-Plain"/>
              <w:jc w:val="center"/>
            </w:pPr>
            <w:r w:rsidRPr="00C9343F">
              <w:t>4.</w:t>
            </w:r>
          </w:p>
        </w:tc>
        <w:tc>
          <w:tcPr>
            <w:tcW w:w="8261" w:type="dxa"/>
          </w:tcPr>
          <w:p w14:paraId="45F6B031" w14:textId="77777777" w:rsidR="005F44BC" w:rsidRPr="00C9343F" w:rsidRDefault="005F44BC" w:rsidP="00F66D98">
            <w:pPr>
              <w:pStyle w:val="BlockText-Plain"/>
            </w:pPr>
            <w:r w:rsidRPr="00C9343F">
              <w:t xml:space="preserve">A member's salary non-reduction period ends if the salary payable to the member under schedule B.3, B.10 or B.12 of DFRT Determination No. </w:t>
            </w:r>
            <w:r w:rsidR="002A2A83" w:rsidRPr="00C9343F">
              <w:t>2 of 2017</w:t>
            </w:r>
            <w:r w:rsidRPr="00C9343F">
              <w:t xml:space="preserve">, </w:t>
            </w:r>
            <w:r w:rsidRPr="00C9343F">
              <w:rPr>
                <w:i/>
              </w:rPr>
              <w:t>Salaries</w:t>
            </w:r>
            <w:r w:rsidRPr="00C9343F">
              <w:t xml:space="preserve">, increases to a rate higher than the rate that is payable to the member under subsection 1. </w:t>
            </w:r>
          </w:p>
        </w:tc>
      </w:tr>
    </w:tbl>
    <w:p w14:paraId="5782A77F" w14:textId="26658DFC" w:rsidR="00F276F4" w:rsidRPr="00C9343F" w:rsidRDefault="00F276F4" w:rsidP="00F66D98">
      <w:pPr>
        <w:pStyle w:val="Heading5"/>
      </w:pPr>
      <w:bookmarkStart w:id="522" w:name="_Toc105053732"/>
      <w:r w:rsidRPr="00C9343F">
        <w:t>3.2.52A</w:t>
      </w:r>
      <w:r w:rsidR="00D94006" w:rsidRPr="00C9343F">
        <w:t>    </w:t>
      </w:r>
      <w:r w:rsidRPr="00C9343F">
        <w:t>Salary non-reduction – Air Force Flight Test Engineer</w:t>
      </w:r>
      <w:bookmarkEnd w:id="522"/>
    </w:p>
    <w:tbl>
      <w:tblPr>
        <w:tblW w:w="9360" w:type="dxa"/>
        <w:tblInd w:w="113" w:type="dxa"/>
        <w:tblLayout w:type="fixed"/>
        <w:tblLook w:val="04A0" w:firstRow="1" w:lastRow="0" w:firstColumn="1" w:lastColumn="0" w:noHBand="0" w:noVBand="1"/>
      </w:tblPr>
      <w:tblGrid>
        <w:gridCol w:w="992"/>
        <w:gridCol w:w="563"/>
        <w:gridCol w:w="567"/>
        <w:gridCol w:w="7238"/>
      </w:tblGrid>
      <w:tr w:rsidR="00F276F4" w:rsidRPr="00C9343F" w14:paraId="158921B2" w14:textId="77777777" w:rsidTr="00F014D0">
        <w:tc>
          <w:tcPr>
            <w:tcW w:w="992" w:type="dxa"/>
            <w:hideMark/>
          </w:tcPr>
          <w:p w14:paraId="4A60A806" w14:textId="77777777" w:rsidR="00F276F4" w:rsidRPr="00C9343F" w:rsidRDefault="00F276F4" w:rsidP="00F66D98">
            <w:pPr>
              <w:pStyle w:val="Sectiontext0"/>
              <w:spacing w:line="256" w:lineRule="auto"/>
              <w:jc w:val="center"/>
              <w:rPr>
                <w:lang w:eastAsia="en-US"/>
              </w:rPr>
            </w:pPr>
            <w:r w:rsidRPr="00C9343F">
              <w:rPr>
                <w:lang w:eastAsia="en-US"/>
              </w:rPr>
              <w:t>1.</w:t>
            </w:r>
          </w:p>
        </w:tc>
        <w:tc>
          <w:tcPr>
            <w:tcW w:w="8368" w:type="dxa"/>
            <w:gridSpan w:val="3"/>
            <w:hideMark/>
          </w:tcPr>
          <w:p w14:paraId="791AD5CD" w14:textId="77777777" w:rsidR="00F276F4" w:rsidRPr="00C9343F" w:rsidRDefault="00F276F4" w:rsidP="00F66D98">
            <w:pPr>
              <w:pStyle w:val="Sectiontext0"/>
              <w:spacing w:line="256" w:lineRule="auto"/>
              <w:rPr>
                <w:rFonts w:eastAsia="Arial" w:cs="Arial"/>
                <w:lang w:eastAsia="en-US"/>
              </w:rPr>
            </w:pPr>
            <w:r w:rsidRPr="00C9343F">
              <w:rPr>
                <w:rFonts w:eastAsia="Arial" w:cs="Arial"/>
              </w:rPr>
              <w:t xml:space="preserve">A member of the Air Force who was in pay grade 7 on 3 May 2006 is eligible for the rate of salary that was payable to them immediately before this Division applied to them if they meet all of the following. </w:t>
            </w:r>
          </w:p>
        </w:tc>
      </w:tr>
      <w:tr w:rsidR="00F276F4" w:rsidRPr="00C9343F" w14:paraId="6E8984D2" w14:textId="77777777" w:rsidTr="00F014D0">
        <w:tc>
          <w:tcPr>
            <w:tcW w:w="992" w:type="dxa"/>
          </w:tcPr>
          <w:p w14:paraId="48DE65D5" w14:textId="77777777" w:rsidR="00F276F4" w:rsidRPr="00C9343F" w:rsidRDefault="00F276F4" w:rsidP="00F66D98">
            <w:pPr>
              <w:pStyle w:val="Sectiontext0"/>
              <w:spacing w:line="256" w:lineRule="auto"/>
              <w:jc w:val="center"/>
              <w:rPr>
                <w:lang w:eastAsia="en-US"/>
              </w:rPr>
            </w:pPr>
          </w:p>
        </w:tc>
        <w:tc>
          <w:tcPr>
            <w:tcW w:w="563" w:type="dxa"/>
            <w:hideMark/>
          </w:tcPr>
          <w:p w14:paraId="16F570C0" w14:textId="77777777" w:rsidR="00F276F4" w:rsidRPr="00C9343F" w:rsidRDefault="00F276F4" w:rsidP="007114B1">
            <w:pPr>
              <w:pStyle w:val="Sectiontext0"/>
              <w:spacing w:line="256" w:lineRule="auto"/>
              <w:jc w:val="center"/>
              <w:rPr>
                <w:rFonts w:cs="Arial"/>
                <w:lang w:eastAsia="en-US"/>
              </w:rPr>
            </w:pPr>
            <w:r w:rsidRPr="00C9343F">
              <w:rPr>
                <w:rFonts w:cs="Arial"/>
                <w:lang w:eastAsia="en-US"/>
              </w:rPr>
              <w:t>a.</w:t>
            </w:r>
          </w:p>
        </w:tc>
        <w:tc>
          <w:tcPr>
            <w:tcW w:w="7805" w:type="dxa"/>
            <w:gridSpan w:val="2"/>
            <w:hideMark/>
          </w:tcPr>
          <w:p w14:paraId="60F33D74" w14:textId="77777777" w:rsidR="00F276F4" w:rsidRPr="00C9343F" w:rsidRDefault="00F276F4" w:rsidP="00F66D98">
            <w:pPr>
              <w:pStyle w:val="Sectiontext0"/>
              <w:spacing w:line="256" w:lineRule="auto"/>
              <w:rPr>
                <w:rFonts w:cs="Arial"/>
                <w:lang w:eastAsia="en-US"/>
              </w:rPr>
            </w:pPr>
            <w:r w:rsidRPr="00C9343F">
              <w:rPr>
                <w:rFonts w:cs="Arial"/>
                <w:lang w:eastAsia="en-US"/>
              </w:rPr>
              <w:t>The member holds the rank of Squadron Leader.</w:t>
            </w:r>
          </w:p>
        </w:tc>
      </w:tr>
      <w:tr w:rsidR="00F276F4" w:rsidRPr="00C9343F" w14:paraId="3A4CB255" w14:textId="77777777" w:rsidTr="00F014D0">
        <w:tc>
          <w:tcPr>
            <w:tcW w:w="992" w:type="dxa"/>
          </w:tcPr>
          <w:p w14:paraId="2CB96BE5" w14:textId="77777777" w:rsidR="00F276F4" w:rsidRPr="00C9343F" w:rsidRDefault="00F276F4" w:rsidP="00F66D98">
            <w:pPr>
              <w:pStyle w:val="Sectiontext0"/>
              <w:spacing w:line="256" w:lineRule="auto"/>
              <w:jc w:val="center"/>
              <w:rPr>
                <w:lang w:eastAsia="en-US"/>
              </w:rPr>
            </w:pPr>
          </w:p>
        </w:tc>
        <w:tc>
          <w:tcPr>
            <w:tcW w:w="563" w:type="dxa"/>
            <w:hideMark/>
          </w:tcPr>
          <w:p w14:paraId="606CF08E" w14:textId="77777777" w:rsidR="00F276F4" w:rsidRPr="00C9343F" w:rsidRDefault="00F276F4" w:rsidP="007114B1">
            <w:pPr>
              <w:pStyle w:val="Sectiontext0"/>
              <w:spacing w:line="256" w:lineRule="auto"/>
              <w:jc w:val="center"/>
              <w:rPr>
                <w:rFonts w:cs="Arial"/>
                <w:lang w:eastAsia="en-US"/>
              </w:rPr>
            </w:pPr>
            <w:r w:rsidRPr="00C9343F">
              <w:rPr>
                <w:rFonts w:cs="Arial"/>
                <w:lang w:eastAsia="en-US"/>
              </w:rPr>
              <w:t>b.</w:t>
            </w:r>
          </w:p>
        </w:tc>
        <w:tc>
          <w:tcPr>
            <w:tcW w:w="7805" w:type="dxa"/>
            <w:gridSpan w:val="2"/>
            <w:hideMark/>
          </w:tcPr>
          <w:p w14:paraId="4E55528C" w14:textId="77777777" w:rsidR="00F276F4" w:rsidRPr="00C9343F" w:rsidRDefault="00F276F4" w:rsidP="00F66D98">
            <w:pPr>
              <w:pStyle w:val="Sectiontext0"/>
              <w:spacing w:line="256" w:lineRule="auto"/>
              <w:rPr>
                <w:rFonts w:cs="Arial"/>
                <w:lang w:eastAsia="en-US"/>
              </w:rPr>
            </w:pPr>
            <w:r w:rsidRPr="00C9343F">
              <w:rPr>
                <w:rFonts w:cs="Arial"/>
                <w:lang w:eastAsia="en-US"/>
              </w:rPr>
              <w:t>They are an Aeronautical Engineer with Flight Test Engineer qualifications.</w:t>
            </w:r>
          </w:p>
        </w:tc>
      </w:tr>
      <w:tr w:rsidR="00F276F4" w:rsidRPr="00C9343F" w14:paraId="4D384EA9" w14:textId="77777777" w:rsidTr="00F014D0">
        <w:tc>
          <w:tcPr>
            <w:tcW w:w="992" w:type="dxa"/>
          </w:tcPr>
          <w:p w14:paraId="2B6228D1" w14:textId="77777777" w:rsidR="00F276F4" w:rsidRPr="00C9343F" w:rsidRDefault="00F276F4" w:rsidP="00F66D98">
            <w:pPr>
              <w:pStyle w:val="Sectiontext0"/>
              <w:spacing w:line="256" w:lineRule="auto"/>
              <w:jc w:val="center"/>
              <w:rPr>
                <w:lang w:eastAsia="en-US"/>
              </w:rPr>
            </w:pPr>
          </w:p>
        </w:tc>
        <w:tc>
          <w:tcPr>
            <w:tcW w:w="563" w:type="dxa"/>
            <w:hideMark/>
          </w:tcPr>
          <w:p w14:paraId="6FC4ADC5" w14:textId="77777777" w:rsidR="00F276F4" w:rsidRPr="00C9343F" w:rsidRDefault="00F276F4" w:rsidP="007114B1">
            <w:pPr>
              <w:pStyle w:val="Sectiontext0"/>
              <w:spacing w:line="256" w:lineRule="auto"/>
              <w:jc w:val="center"/>
              <w:rPr>
                <w:rFonts w:cs="Arial"/>
                <w:lang w:eastAsia="en-US"/>
              </w:rPr>
            </w:pPr>
            <w:r w:rsidRPr="00C9343F">
              <w:rPr>
                <w:rFonts w:cs="Arial"/>
                <w:lang w:eastAsia="en-US"/>
              </w:rPr>
              <w:t>c.</w:t>
            </w:r>
          </w:p>
        </w:tc>
        <w:tc>
          <w:tcPr>
            <w:tcW w:w="7805" w:type="dxa"/>
            <w:gridSpan w:val="2"/>
            <w:hideMark/>
          </w:tcPr>
          <w:p w14:paraId="674B4238" w14:textId="77777777" w:rsidR="00F276F4" w:rsidRPr="00C9343F" w:rsidRDefault="00F276F4" w:rsidP="00F66D98">
            <w:pPr>
              <w:pStyle w:val="Sectiontext0"/>
              <w:spacing w:line="256" w:lineRule="auto"/>
              <w:rPr>
                <w:rFonts w:cs="Arial"/>
                <w:lang w:eastAsia="en-US"/>
              </w:rPr>
            </w:pPr>
            <w:r w:rsidRPr="00C9343F">
              <w:rPr>
                <w:rFonts w:cs="Arial"/>
                <w:lang w:eastAsia="en-US"/>
              </w:rPr>
              <w:t xml:space="preserve">They are posted to or are in a designated flying position or flying-related position.  </w:t>
            </w:r>
          </w:p>
        </w:tc>
      </w:tr>
      <w:tr w:rsidR="00F276F4" w:rsidRPr="00C9343F" w14:paraId="2456095A" w14:textId="77777777" w:rsidTr="00F014D0">
        <w:tc>
          <w:tcPr>
            <w:tcW w:w="992" w:type="dxa"/>
            <w:hideMark/>
          </w:tcPr>
          <w:p w14:paraId="042E8DF4" w14:textId="77777777" w:rsidR="00F276F4" w:rsidRPr="00C9343F" w:rsidRDefault="00F276F4" w:rsidP="00F66D98">
            <w:pPr>
              <w:pStyle w:val="Sectiontext0"/>
              <w:spacing w:line="256" w:lineRule="auto"/>
              <w:jc w:val="center"/>
            </w:pPr>
            <w:r w:rsidRPr="00C9343F">
              <w:t>2.</w:t>
            </w:r>
          </w:p>
        </w:tc>
        <w:tc>
          <w:tcPr>
            <w:tcW w:w="8368" w:type="dxa"/>
            <w:gridSpan w:val="3"/>
            <w:hideMark/>
          </w:tcPr>
          <w:p w14:paraId="090873FB" w14:textId="77777777" w:rsidR="00F276F4" w:rsidRPr="00C9343F" w:rsidRDefault="00F276F4" w:rsidP="00F66D98">
            <w:pPr>
              <w:pStyle w:val="Sectiontext0"/>
              <w:spacing w:line="256" w:lineRule="auto"/>
            </w:pPr>
            <w:r w:rsidRPr="00C9343F">
              <w:t>The member’s salary non-reduction period ends on the earlier of the following.</w:t>
            </w:r>
          </w:p>
        </w:tc>
      </w:tr>
      <w:tr w:rsidR="00F276F4" w:rsidRPr="00C9343F" w14:paraId="1DC1EF32" w14:textId="77777777" w:rsidTr="00F014D0">
        <w:tc>
          <w:tcPr>
            <w:tcW w:w="992" w:type="dxa"/>
          </w:tcPr>
          <w:p w14:paraId="13B178C5" w14:textId="77777777" w:rsidR="00F276F4" w:rsidRPr="00C9343F" w:rsidRDefault="00F276F4" w:rsidP="00F66D98">
            <w:pPr>
              <w:pStyle w:val="Sectiontext0"/>
              <w:spacing w:line="256" w:lineRule="auto"/>
              <w:jc w:val="center"/>
              <w:rPr>
                <w:lang w:eastAsia="en-US"/>
              </w:rPr>
            </w:pPr>
          </w:p>
        </w:tc>
        <w:tc>
          <w:tcPr>
            <w:tcW w:w="563" w:type="dxa"/>
            <w:hideMark/>
          </w:tcPr>
          <w:p w14:paraId="1A72E474" w14:textId="77777777" w:rsidR="00F276F4" w:rsidRPr="00C9343F" w:rsidRDefault="00F276F4" w:rsidP="007114B1">
            <w:pPr>
              <w:pStyle w:val="Sectiontext0"/>
              <w:spacing w:line="256" w:lineRule="auto"/>
              <w:jc w:val="center"/>
              <w:rPr>
                <w:rFonts w:cs="Arial"/>
                <w:lang w:eastAsia="en-US"/>
              </w:rPr>
            </w:pPr>
            <w:r w:rsidRPr="00C9343F">
              <w:rPr>
                <w:rFonts w:cs="Arial"/>
                <w:lang w:eastAsia="en-US"/>
              </w:rPr>
              <w:t>a.</w:t>
            </w:r>
          </w:p>
        </w:tc>
        <w:tc>
          <w:tcPr>
            <w:tcW w:w="7805" w:type="dxa"/>
            <w:gridSpan w:val="2"/>
            <w:hideMark/>
          </w:tcPr>
          <w:p w14:paraId="44B2E32C" w14:textId="77777777" w:rsidR="00F276F4" w:rsidRPr="00C9343F" w:rsidRDefault="00F276F4" w:rsidP="00F66D98">
            <w:pPr>
              <w:pStyle w:val="Sectiontext0"/>
              <w:spacing w:line="256" w:lineRule="auto"/>
              <w:rPr>
                <w:rFonts w:cs="Arial"/>
                <w:lang w:eastAsia="en-US"/>
              </w:rPr>
            </w:pPr>
            <w:r w:rsidRPr="00C9343F">
              <w:rPr>
                <w:lang w:eastAsia="en-US"/>
              </w:rPr>
              <w:t>Three years after the day the member ceases to be employed as a Flight Test Engineer in a designated flying position or flying-related position.</w:t>
            </w:r>
          </w:p>
        </w:tc>
      </w:tr>
      <w:tr w:rsidR="00F276F4" w:rsidRPr="00C9343F" w14:paraId="6F97CA52" w14:textId="77777777" w:rsidTr="00F014D0">
        <w:tc>
          <w:tcPr>
            <w:tcW w:w="992" w:type="dxa"/>
          </w:tcPr>
          <w:p w14:paraId="34020D55" w14:textId="77777777" w:rsidR="00F276F4" w:rsidRPr="00C9343F" w:rsidRDefault="00F276F4" w:rsidP="00F66D98">
            <w:pPr>
              <w:pStyle w:val="Sectiontext0"/>
              <w:spacing w:line="256" w:lineRule="auto"/>
              <w:jc w:val="center"/>
              <w:rPr>
                <w:lang w:eastAsia="en-US"/>
              </w:rPr>
            </w:pPr>
          </w:p>
        </w:tc>
        <w:tc>
          <w:tcPr>
            <w:tcW w:w="563" w:type="dxa"/>
            <w:hideMark/>
          </w:tcPr>
          <w:p w14:paraId="4DC64A3F" w14:textId="77777777" w:rsidR="00F276F4" w:rsidRPr="00C9343F" w:rsidRDefault="00F276F4" w:rsidP="007114B1">
            <w:pPr>
              <w:pStyle w:val="Sectiontext0"/>
              <w:spacing w:line="256" w:lineRule="auto"/>
              <w:jc w:val="center"/>
              <w:rPr>
                <w:rFonts w:cs="Arial"/>
                <w:lang w:eastAsia="en-US"/>
              </w:rPr>
            </w:pPr>
            <w:r w:rsidRPr="00C9343F">
              <w:rPr>
                <w:rFonts w:cs="Arial"/>
                <w:lang w:eastAsia="en-US"/>
              </w:rPr>
              <w:t>b.</w:t>
            </w:r>
          </w:p>
        </w:tc>
        <w:tc>
          <w:tcPr>
            <w:tcW w:w="7805" w:type="dxa"/>
            <w:gridSpan w:val="2"/>
            <w:hideMark/>
          </w:tcPr>
          <w:p w14:paraId="4B1B40F5" w14:textId="77777777" w:rsidR="00F276F4" w:rsidRPr="00C9343F" w:rsidRDefault="00F276F4" w:rsidP="00F66D98">
            <w:pPr>
              <w:pStyle w:val="Sectiontext0"/>
              <w:spacing w:line="256" w:lineRule="auto"/>
              <w:rPr>
                <w:rFonts w:cs="Arial"/>
                <w:lang w:eastAsia="en-US"/>
              </w:rPr>
            </w:pPr>
            <w:r w:rsidRPr="00C9343F">
              <w:rPr>
                <w:rFonts w:cs="Arial"/>
                <w:lang w:eastAsia="en-US"/>
              </w:rPr>
              <w:t xml:space="preserve">The day the member ceases to be qualified for a designated flying position or flying-related position. </w:t>
            </w:r>
          </w:p>
        </w:tc>
      </w:tr>
      <w:tr w:rsidR="00F276F4" w:rsidRPr="00C9343F" w14:paraId="44E9EFD4" w14:textId="77777777" w:rsidTr="00F014D0">
        <w:tc>
          <w:tcPr>
            <w:tcW w:w="992" w:type="dxa"/>
          </w:tcPr>
          <w:p w14:paraId="2D39AB65" w14:textId="77777777" w:rsidR="00F276F4" w:rsidRPr="00C9343F" w:rsidRDefault="00F276F4" w:rsidP="00F66D98">
            <w:pPr>
              <w:pStyle w:val="Sectiontext0"/>
              <w:spacing w:line="256" w:lineRule="auto"/>
              <w:jc w:val="center"/>
              <w:rPr>
                <w:lang w:eastAsia="en-US"/>
              </w:rPr>
            </w:pPr>
          </w:p>
        </w:tc>
        <w:tc>
          <w:tcPr>
            <w:tcW w:w="563" w:type="dxa"/>
            <w:hideMark/>
          </w:tcPr>
          <w:p w14:paraId="1871020F" w14:textId="77777777" w:rsidR="00F276F4" w:rsidRPr="00C9343F" w:rsidRDefault="00F276F4" w:rsidP="007114B1">
            <w:pPr>
              <w:pStyle w:val="Sectiontext0"/>
              <w:spacing w:line="256" w:lineRule="auto"/>
              <w:jc w:val="center"/>
              <w:rPr>
                <w:rFonts w:cs="Arial"/>
                <w:lang w:eastAsia="en-US"/>
              </w:rPr>
            </w:pPr>
            <w:r w:rsidRPr="00C9343F">
              <w:rPr>
                <w:rFonts w:cs="Arial"/>
                <w:lang w:eastAsia="en-US"/>
              </w:rPr>
              <w:t>c.</w:t>
            </w:r>
          </w:p>
        </w:tc>
        <w:tc>
          <w:tcPr>
            <w:tcW w:w="7805" w:type="dxa"/>
            <w:gridSpan w:val="2"/>
            <w:hideMark/>
          </w:tcPr>
          <w:p w14:paraId="4268AE0D" w14:textId="77777777" w:rsidR="00F276F4" w:rsidRPr="00C9343F" w:rsidRDefault="00F276F4" w:rsidP="00F66D98">
            <w:pPr>
              <w:pStyle w:val="Sectiontext0"/>
              <w:spacing w:line="256" w:lineRule="auto"/>
              <w:rPr>
                <w:rFonts w:cs="Arial"/>
                <w:lang w:eastAsia="en-US"/>
              </w:rPr>
            </w:pPr>
            <w:r w:rsidRPr="00C9343F">
              <w:rPr>
                <w:rFonts w:cs="Arial"/>
                <w:lang w:eastAsia="en-US"/>
              </w:rPr>
              <w:t>The day the member’s liability to fly has been withdrawn.</w:t>
            </w:r>
          </w:p>
        </w:tc>
      </w:tr>
      <w:tr w:rsidR="00F276F4" w:rsidRPr="00C9343F" w14:paraId="2B560403" w14:textId="77777777" w:rsidTr="00F014D0">
        <w:tc>
          <w:tcPr>
            <w:tcW w:w="992" w:type="dxa"/>
          </w:tcPr>
          <w:p w14:paraId="5DA28050" w14:textId="77777777" w:rsidR="00F276F4" w:rsidRPr="00C9343F" w:rsidRDefault="00F276F4" w:rsidP="00F66D98">
            <w:pPr>
              <w:pStyle w:val="Sectiontext0"/>
              <w:spacing w:line="256" w:lineRule="auto"/>
              <w:jc w:val="center"/>
              <w:rPr>
                <w:lang w:eastAsia="en-US"/>
              </w:rPr>
            </w:pPr>
          </w:p>
        </w:tc>
        <w:tc>
          <w:tcPr>
            <w:tcW w:w="563" w:type="dxa"/>
            <w:hideMark/>
          </w:tcPr>
          <w:p w14:paraId="3E217745" w14:textId="77777777" w:rsidR="00F276F4" w:rsidRPr="00C9343F" w:rsidRDefault="00F276F4" w:rsidP="007114B1">
            <w:pPr>
              <w:pStyle w:val="Sectiontext0"/>
              <w:spacing w:line="256" w:lineRule="auto"/>
              <w:jc w:val="center"/>
              <w:rPr>
                <w:rFonts w:cs="Arial"/>
                <w:lang w:eastAsia="en-US"/>
              </w:rPr>
            </w:pPr>
            <w:r w:rsidRPr="00C9343F">
              <w:rPr>
                <w:rFonts w:cs="Arial"/>
                <w:lang w:eastAsia="en-US"/>
              </w:rPr>
              <w:t>d.</w:t>
            </w:r>
          </w:p>
        </w:tc>
        <w:tc>
          <w:tcPr>
            <w:tcW w:w="7805" w:type="dxa"/>
            <w:gridSpan w:val="2"/>
            <w:hideMark/>
          </w:tcPr>
          <w:p w14:paraId="24E975B9" w14:textId="77777777" w:rsidR="00F276F4" w:rsidRPr="00C9343F" w:rsidRDefault="00F276F4" w:rsidP="00F66D98">
            <w:pPr>
              <w:pStyle w:val="Sectiontext0"/>
              <w:spacing w:line="256" w:lineRule="auto"/>
              <w:rPr>
                <w:rFonts w:cs="Arial"/>
                <w:lang w:eastAsia="en-US"/>
              </w:rPr>
            </w:pPr>
            <w:r w:rsidRPr="00C9343F">
              <w:rPr>
                <w:rFonts w:cs="Arial"/>
                <w:lang w:eastAsia="en-US"/>
              </w:rPr>
              <w:t>The day the earlier of any of the following occurs.</w:t>
            </w:r>
          </w:p>
        </w:tc>
      </w:tr>
      <w:tr w:rsidR="00F276F4" w:rsidRPr="00C9343F" w14:paraId="597725E0" w14:textId="77777777" w:rsidTr="007D31DE">
        <w:tc>
          <w:tcPr>
            <w:tcW w:w="992" w:type="dxa"/>
          </w:tcPr>
          <w:p w14:paraId="1DE4BDB6" w14:textId="77777777" w:rsidR="00F276F4" w:rsidRPr="00C9343F" w:rsidRDefault="00F276F4" w:rsidP="00F66D98">
            <w:pPr>
              <w:pStyle w:val="Sectiontext0"/>
              <w:spacing w:line="256" w:lineRule="auto"/>
              <w:jc w:val="center"/>
              <w:rPr>
                <w:lang w:eastAsia="en-US"/>
              </w:rPr>
            </w:pPr>
          </w:p>
        </w:tc>
        <w:tc>
          <w:tcPr>
            <w:tcW w:w="563" w:type="dxa"/>
          </w:tcPr>
          <w:p w14:paraId="6B4EA1B1" w14:textId="77777777" w:rsidR="00F276F4" w:rsidRPr="00C9343F" w:rsidRDefault="00F276F4" w:rsidP="00F66D98">
            <w:pPr>
              <w:pStyle w:val="Sectiontext0"/>
              <w:spacing w:line="256" w:lineRule="auto"/>
              <w:rPr>
                <w:rFonts w:cs="Arial"/>
                <w:iCs/>
                <w:lang w:eastAsia="en-US"/>
              </w:rPr>
            </w:pPr>
          </w:p>
        </w:tc>
        <w:tc>
          <w:tcPr>
            <w:tcW w:w="567" w:type="dxa"/>
            <w:hideMark/>
          </w:tcPr>
          <w:p w14:paraId="429DF471" w14:textId="77777777" w:rsidR="00F276F4" w:rsidRPr="00C9343F" w:rsidRDefault="00F276F4" w:rsidP="007114B1">
            <w:pPr>
              <w:pStyle w:val="Sectiontext0"/>
              <w:spacing w:line="256" w:lineRule="auto"/>
              <w:rPr>
                <w:rFonts w:cs="Arial"/>
                <w:iCs/>
                <w:lang w:eastAsia="en-US"/>
              </w:rPr>
            </w:pPr>
            <w:r w:rsidRPr="00C9343F">
              <w:rPr>
                <w:rFonts w:cs="Arial"/>
                <w:iCs/>
                <w:lang w:eastAsia="en-US"/>
              </w:rPr>
              <w:t>i.</w:t>
            </w:r>
          </w:p>
        </w:tc>
        <w:tc>
          <w:tcPr>
            <w:tcW w:w="7238" w:type="dxa"/>
            <w:hideMark/>
          </w:tcPr>
          <w:p w14:paraId="40B777AE" w14:textId="77777777" w:rsidR="00F276F4" w:rsidRPr="00C9343F" w:rsidRDefault="00F276F4" w:rsidP="00F66D98">
            <w:pPr>
              <w:pStyle w:val="Sectiontext0"/>
              <w:spacing w:line="256" w:lineRule="auto"/>
              <w:rPr>
                <w:rFonts w:cs="Arial"/>
                <w:iCs/>
                <w:lang w:eastAsia="en-US"/>
              </w:rPr>
            </w:pPr>
            <w:r w:rsidRPr="00C9343F">
              <w:rPr>
                <w:rFonts w:cs="Arial"/>
                <w:iCs/>
                <w:lang w:eastAsia="en-US"/>
              </w:rPr>
              <w:t>The member is promoted to Wing Commander.</w:t>
            </w:r>
          </w:p>
        </w:tc>
      </w:tr>
      <w:tr w:rsidR="00F276F4" w:rsidRPr="00C9343F" w14:paraId="045600E8" w14:textId="77777777" w:rsidTr="007D31DE">
        <w:tc>
          <w:tcPr>
            <w:tcW w:w="992" w:type="dxa"/>
          </w:tcPr>
          <w:p w14:paraId="4AF4F025" w14:textId="77777777" w:rsidR="00F276F4" w:rsidRPr="00C9343F" w:rsidRDefault="00F276F4" w:rsidP="00F66D98">
            <w:pPr>
              <w:pStyle w:val="Sectiontext0"/>
              <w:spacing w:line="256" w:lineRule="auto"/>
              <w:jc w:val="center"/>
              <w:rPr>
                <w:lang w:eastAsia="en-US"/>
              </w:rPr>
            </w:pPr>
          </w:p>
        </w:tc>
        <w:tc>
          <w:tcPr>
            <w:tcW w:w="563" w:type="dxa"/>
          </w:tcPr>
          <w:p w14:paraId="31AD9941" w14:textId="77777777" w:rsidR="00F276F4" w:rsidRPr="00C9343F" w:rsidRDefault="00F276F4" w:rsidP="00F66D98">
            <w:pPr>
              <w:pStyle w:val="Sectiontext0"/>
              <w:spacing w:line="256" w:lineRule="auto"/>
              <w:rPr>
                <w:lang w:eastAsia="en-US"/>
              </w:rPr>
            </w:pPr>
          </w:p>
        </w:tc>
        <w:tc>
          <w:tcPr>
            <w:tcW w:w="567" w:type="dxa"/>
            <w:hideMark/>
          </w:tcPr>
          <w:p w14:paraId="6BDD15F9" w14:textId="77777777" w:rsidR="00F276F4" w:rsidRPr="00C9343F" w:rsidRDefault="00F276F4" w:rsidP="007114B1">
            <w:pPr>
              <w:pStyle w:val="Sectiontext0"/>
              <w:spacing w:line="256" w:lineRule="auto"/>
              <w:rPr>
                <w:lang w:eastAsia="en-US"/>
              </w:rPr>
            </w:pPr>
            <w:r w:rsidRPr="00C9343F">
              <w:rPr>
                <w:lang w:eastAsia="en-US"/>
              </w:rPr>
              <w:t>ii.</w:t>
            </w:r>
          </w:p>
        </w:tc>
        <w:tc>
          <w:tcPr>
            <w:tcW w:w="7238" w:type="dxa"/>
            <w:hideMark/>
          </w:tcPr>
          <w:p w14:paraId="1BA0D69D" w14:textId="01FF31F4" w:rsidR="00F276F4" w:rsidRPr="00C9343F" w:rsidRDefault="00F276F4" w:rsidP="00F66D98">
            <w:pPr>
              <w:pStyle w:val="Sectiontext0"/>
              <w:spacing w:line="256" w:lineRule="auto"/>
              <w:rPr>
                <w:lang w:eastAsia="en-US"/>
              </w:rPr>
            </w:pPr>
            <w:r w:rsidRPr="00C9343F">
              <w:rPr>
                <w:lang w:eastAsia="en-US"/>
              </w:rPr>
              <w:t>The member’s service in the Permanent Force</w:t>
            </w:r>
            <w:r w:rsidR="00E92E04" w:rsidRPr="00C9343F">
              <w:rPr>
                <w:lang w:eastAsia="en-US"/>
              </w:rPr>
              <w:t>s</w:t>
            </w:r>
            <w:r w:rsidRPr="00C9343F">
              <w:rPr>
                <w:lang w:eastAsia="en-US"/>
              </w:rPr>
              <w:t xml:space="preserve"> ends.</w:t>
            </w:r>
          </w:p>
        </w:tc>
      </w:tr>
    </w:tbl>
    <w:p w14:paraId="726D7CC6" w14:textId="60CE1108" w:rsidR="005F44BC" w:rsidRPr="00C9343F" w:rsidRDefault="005F44BC" w:rsidP="00F66D98">
      <w:pPr>
        <w:pStyle w:val="Heading5"/>
        <w:rPr>
          <w:color w:val="000000"/>
        </w:rPr>
      </w:pPr>
      <w:bookmarkStart w:id="523" w:name="_Toc105053733"/>
      <w:r w:rsidRPr="00C9343F">
        <w:rPr>
          <w:color w:val="000000"/>
        </w:rPr>
        <w:t>3.2.53</w:t>
      </w:r>
      <w:r w:rsidR="00D94006" w:rsidRPr="00C9343F">
        <w:rPr>
          <w:color w:val="000000"/>
        </w:rPr>
        <w:t>    </w:t>
      </w:r>
      <w:r w:rsidRPr="00C9343F">
        <w:rPr>
          <w:color w:val="000000"/>
        </w:rPr>
        <w:t>Service during salary non-reduction period to count for certain purposes</w:t>
      </w:r>
      <w:bookmarkEnd w:id="523"/>
    </w:p>
    <w:tbl>
      <w:tblPr>
        <w:tblW w:w="0" w:type="auto"/>
        <w:tblInd w:w="113" w:type="dxa"/>
        <w:tblLayout w:type="fixed"/>
        <w:tblLook w:val="0000" w:firstRow="0" w:lastRow="0" w:firstColumn="0" w:lastColumn="0" w:noHBand="0" w:noVBand="0"/>
      </w:tblPr>
      <w:tblGrid>
        <w:gridCol w:w="992"/>
        <w:gridCol w:w="8363"/>
      </w:tblGrid>
      <w:tr w:rsidR="005F44BC" w:rsidRPr="00C9343F" w14:paraId="41C1FFEC" w14:textId="77777777" w:rsidTr="005F44BC">
        <w:tc>
          <w:tcPr>
            <w:tcW w:w="992" w:type="dxa"/>
          </w:tcPr>
          <w:p w14:paraId="6D58B67B" w14:textId="77777777" w:rsidR="005F44BC" w:rsidRPr="00C9343F" w:rsidRDefault="005F44BC" w:rsidP="00F66D98">
            <w:pPr>
              <w:pStyle w:val="BlockText-Plain"/>
              <w:jc w:val="center"/>
              <w:rPr>
                <w:color w:val="000000"/>
              </w:rPr>
            </w:pPr>
            <w:r w:rsidRPr="00C9343F">
              <w:rPr>
                <w:color w:val="000000"/>
              </w:rPr>
              <w:t>1.</w:t>
            </w:r>
          </w:p>
        </w:tc>
        <w:tc>
          <w:tcPr>
            <w:tcW w:w="8363" w:type="dxa"/>
          </w:tcPr>
          <w:p w14:paraId="7F5D84F1" w14:textId="77777777" w:rsidR="005F44BC" w:rsidRPr="00C9343F" w:rsidRDefault="005F44BC" w:rsidP="00F66D98">
            <w:pPr>
              <w:pStyle w:val="BlockText-Plain"/>
              <w:rPr>
                <w:rFonts w:cs="Arial"/>
                <w:color w:val="000000"/>
              </w:rPr>
            </w:pPr>
            <w:r w:rsidRPr="00C9343F">
              <w:rPr>
                <w:rFonts w:cs="Arial"/>
                <w:color w:val="000000"/>
              </w:rPr>
              <w:t>The member's service during a period of salary non-reduction is to be treated as service for determining rank and incremental advancement.</w:t>
            </w:r>
          </w:p>
        </w:tc>
      </w:tr>
      <w:tr w:rsidR="005F44BC" w:rsidRPr="00C9343F" w14:paraId="6F4D8AA5" w14:textId="77777777" w:rsidTr="005F44BC">
        <w:tc>
          <w:tcPr>
            <w:tcW w:w="992" w:type="dxa"/>
          </w:tcPr>
          <w:p w14:paraId="4A83C9A4" w14:textId="77777777" w:rsidR="005F44BC" w:rsidRPr="00C9343F" w:rsidRDefault="005F44BC" w:rsidP="00F66D98">
            <w:pPr>
              <w:pStyle w:val="BlockText-Plain"/>
              <w:jc w:val="center"/>
              <w:rPr>
                <w:color w:val="000000"/>
              </w:rPr>
            </w:pPr>
            <w:r w:rsidRPr="00C9343F">
              <w:rPr>
                <w:color w:val="000000"/>
              </w:rPr>
              <w:t>2.</w:t>
            </w:r>
          </w:p>
        </w:tc>
        <w:tc>
          <w:tcPr>
            <w:tcW w:w="8363" w:type="dxa"/>
          </w:tcPr>
          <w:p w14:paraId="483D3600" w14:textId="3C27CFC3" w:rsidR="005F44BC" w:rsidRPr="00C9343F" w:rsidRDefault="005F44BC" w:rsidP="00F66D98">
            <w:pPr>
              <w:pStyle w:val="BlockText-Plain"/>
              <w:rPr>
                <w:rFonts w:cs="Arial"/>
              </w:rPr>
            </w:pPr>
            <w:r w:rsidRPr="00C9343F">
              <w:rPr>
                <w:rFonts w:cs="Arial"/>
                <w:color w:val="000000"/>
              </w:rPr>
              <w:t>This section does not apply if the member’s rank or pay grade has been reduced for reasons other than those listed in</w:t>
            </w:r>
            <w:r w:rsidRPr="00C9343F">
              <w:rPr>
                <w:rFonts w:cs="Arial"/>
              </w:rPr>
              <w:t xml:space="preserve"> section 3.2.50.</w:t>
            </w:r>
          </w:p>
        </w:tc>
      </w:tr>
    </w:tbl>
    <w:p w14:paraId="0CCCC452" w14:textId="7965E0E9" w:rsidR="005F44BC" w:rsidRPr="00C9343F" w:rsidRDefault="005F44BC" w:rsidP="00F66D98">
      <w:pPr>
        <w:pStyle w:val="Heading5"/>
        <w:rPr>
          <w:color w:val="000000"/>
        </w:rPr>
      </w:pPr>
      <w:bookmarkStart w:id="524" w:name="_Toc105053734"/>
      <w:r w:rsidRPr="00C9343F">
        <w:rPr>
          <w:color w:val="000000"/>
        </w:rPr>
        <w:t>3.2.55</w:t>
      </w:r>
      <w:r w:rsidR="00D94006" w:rsidRPr="00C9343F">
        <w:rPr>
          <w:color w:val="000000"/>
        </w:rPr>
        <w:t>    </w:t>
      </w:r>
      <w:r w:rsidRPr="00C9343F">
        <w:rPr>
          <w:color w:val="000000"/>
        </w:rPr>
        <w:t>Retention of pay grade</w:t>
      </w:r>
      <w:bookmarkEnd w:id="524"/>
    </w:p>
    <w:tbl>
      <w:tblPr>
        <w:tblW w:w="9359" w:type="dxa"/>
        <w:tblInd w:w="113" w:type="dxa"/>
        <w:tblLayout w:type="fixed"/>
        <w:tblLook w:val="0000" w:firstRow="0" w:lastRow="0" w:firstColumn="0" w:lastColumn="0" w:noHBand="0" w:noVBand="0"/>
      </w:tblPr>
      <w:tblGrid>
        <w:gridCol w:w="992"/>
        <w:gridCol w:w="567"/>
        <w:gridCol w:w="567"/>
        <w:gridCol w:w="7233"/>
      </w:tblGrid>
      <w:tr w:rsidR="005F44BC" w:rsidRPr="00C9343F" w14:paraId="262439BC" w14:textId="77777777" w:rsidTr="005F44BC">
        <w:tc>
          <w:tcPr>
            <w:tcW w:w="992" w:type="dxa"/>
          </w:tcPr>
          <w:p w14:paraId="26943251" w14:textId="77777777" w:rsidR="005F44BC" w:rsidRPr="00C9343F" w:rsidRDefault="005F44BC" w:rsidP="00F66D98">
            <w:pPr>
              <w:pStyle w:val="BlockText-Plain"/>
              <w:jc w:val="center"/>
              <w:rPr>
                <w:color w:val="000000"/>
              </w:rPr>
            </w:pPr>
          </w:p>
        </w:tc>
        <w:tc>
          <w:tcPr>
            <w:tcW w:w="8367" w:type="dxa"/>
            <w:gridSpan w:val="3"/>
          </w:tcPr>
          <w:p w14:paraId="1E5B0D91" w14:textId="77777777" w:rsidR="005F44BC" w:rsidRPr="00C9343F" w:rsidRDefault="005F44BC" w:rsidP="00F66D98">
            <w:pPr>
              <w:pStyle w:val="BlockText-Plain"/>
              <w:rPr>
                <w:color w:val="000000"/>
              </w:rPr>
            </w:pPr>
            <w:r w:rsidRPr="00C9343F">
              <w:rPr>
                <w:rFonts w:cs="Arial"/>
                <w:color w:val="000000"/>
                <w:szCs w:val="24"/>
              </w:rPr>
              <w:t>A member who ceases to be eligible for a pay grade may continue to be paid, at the rate applicable for the member’s rank and increment in that pay grade, if all of the following circumstances are met.</w:t>
            </w:r>
          </w:p>
        </w:tc>
      </w:tr>
      <w:tr w:rsidR="005F44BC" w:rsidRPr="00C9343F" w14:paraId="5BC99A0C" w14:textId="77777777" w:rsidTr="005F44BC">
        <w:trPr>
          <w:cantSplit/>
        </w:trPr>
        <w:tc>
          <w:tcPr>
            <w:tcW w:w="992" w:type="dxa"/>
          </w:tcPr>
          <w:p w14:paraId="56C7B4C4" w14:textId="77777777" w:rsidR="005F44BC" w:rsidRPr="00C9343F" w:rsidRDefault="005F44BC" w:rsidP="00F66D98">
            <w:pPr>
              <w:pStyle w:val="BlockText-Plain"/>
              <w:rPr>
                <w:color w:val="000000"/>
              </w:rPr>
            </w:pPr>
          </w:p>
        </w:tc>
        <w:tc>
          <w:tcPr>
            <w:tcW w:w="567" w:type="dxa"/>
          </w:tcPr>
          <w:p w14:paraId="466EAA61" w14:textId="77777777" w:rsidR="005F44BC" w:rsidRPr="00C9343F" w:rsidRDefault="005F44BC" w:rsidP="007114B1">
            <w:pPr>
              <w:pStyle w:val="BlockText-Plain"/>
              <w:jc w:val="center"/>
              <w:rPr>
                <w:color w:val="000000"/>
              </w:rPr>
            </w:pPr>
            <w:r w:rsidRPr="00C9343F">
              <w:rPr>
                <w:color w:val="000000"/>
              </w:rPr>
              <w:t>a.</w:t>
            </w:r>
          </w:p>
        </w:tc>
        <w:tc>
          <w:tcPr>
            <w:tcW w:w="7800" w:type="dxa"/>
            <w:gridSpan w:val="2"/>
          </w:tcPr>
          <w:p w14:paraId="1E8B29A6" w14:textId="77777777" w:rsidR="005F44BC" w:rsidRPr="00C9343F" w:rsidRDefault="005F44BC" w:rsidP="00F66D98">
            <w:pPr>
              <w:pStyle w:val="BlockText-Plain"/>
              <w:rPr>
                <w:color w:val="000000"/>
              </w:rPr>
            </w:pPr>
            <w:r w:rsidRPr="00C9343F">
              <w:rPr>
                <w:rFonts w:cs="Arial"/>
                <w:color w:val="000000"/>
                <w:szCs w:val="24"/>
              </w:rPr>
              <w:t>The CDF determines the member remains liable to serve in the employment</w:t>
            </w:r>
            <w:r w:rsidRPr="00C9343F">
              <w:rPr>
                <w:rFonts w:cs="Arial"/>
                <w:b/>
                <w:i/>
                <w:color w:val="000000"/>
                <w:szCs w:val="24"/>
              </w:rPr>
              <w:t xml:space="preserve"> </w:t>
            </w:r>
            <w:r w:rsidRPr="00C9343F">
              <w:rPr>
                <w:rFonts w:cs="Arial"/>
                <w:color w:val="000000"/>
                <w:szCs w:val="24"/>
              </w:rPr>
              <w:t>category and (if relevant) the classification that the pay grade related to.</w:t>
            </w:r>
          </w:p>
        </w:tc>
      </w:tr>
      <w:tr w:rsidR="005F44BC" w:rsidRPr="00C9343F" w14:paraId="5B5DE9D0" w14:textId="77777777" w:rsidTr="005F44BC">
        <w:trPr>
          <w:cantSplit/>
        </w:trPr>
        <w:tc>
          <w:tcPr>
            <w:tcW w:w="992" w:type="dxa"/>
          </w:tcPr>
          <w:p w14:paraId="6027A8E8" w14:textId="77777777" w:rsidR="005F44BC" w:rsidRPr="00C9343F" w:rsidRDefault="005F44BC" w:rsidP="00F66D98">
            <w:pPr>
              <w:pStyle w:val="BlockText-Plain"/>
              <w:rPr>
                <w:color w:val="000000"/>
              </w:rPr>
            </w:pPr>
          </w:p>
        </w:tc>
        <w:tc>
          <w:tcPr>
            <w:tcW w:w="567" w:type="dxa"/>
          </w:tcPr>
          <w:p w14:paraId="6C87B15B" w14:textId="77777777" w:rsidR="005F44BC" w:rsidRPr="00C9343F" w:rsidRDefault="005F44BC" w:rsidP="007114B1">
            <w:pPr>
              <w:pStyle w:val="BlockText-Plain"/>
              <w:jc w:val="center"/>
              <w:rPr>
                <w:color w:val="000000"/>
              </w:rPr>
            </w:pPr>
            <w:r w:rsidRPr="00C9343F">
              <w:rPr>
                <w:color w:val="000000"/>
              </w:rPr>
              <w:t>b.</w:t>
            </w:r>
          </w:p>
        </w:tc>
        <w:tc>
          <w:tcPr>
            <w:tcW w:w="7800" w:type="dxa"/>
            <w:gridSpan w:val="2"/>
          </w:tcPr>
          <w:p w14:paraId="2CABF189" w14:textId="77777777" w:rsidR="005F44BC" w:rsidRPr="00C9343F" w:rsidRDefault="005F44BC" w:rsidP="00F66D98">
            <w:pPr>
              <w:pStyle w:val="BlockText-Plain"/>
              <w:rPr>
                <w:color w:val="000000"/>
              </w:rPr>
            </w:pPr>
            <w:r w:rsidRPr="00C9343F">
              <w:rPr>
                <w:rFonts w:cs="Arial"/>
                <w:color w:val="000000"/>
                <w:szCs w:val="24"/>
              </w:rPr>
              <w:t>The CDF approves the payment at that pay grade if it is reasonable having regard to the following.</w:t>
            </w:r>
          </w:p>
        </w:tc>
      </w:tr>
      <w:tr w:rsidR="005F44BC" w:rsidRPr="00C9343F" w14:paraId="1C4F0872" w14:textId="77777777" w:rsidTr="005F44BC">
        <w:trPr>
          <w:cantSplit/>
        </w:trPr>
        <w:tc>
          <w:tcPr>
            <w:tcW w:w="1559" w:type="dxa"/>
            <w:gridSpan w:val="2"/>
          </w:tcPr>
          <w:p w14:paraId="3CDFB09F" w14:textId="77777777" w:rsidR="005F44BC" w:rsidRPr="00C9343F" w:rsidRDefault="005F44BC" w:rsidP="00F66D98">
            <w:pPr>
              <w:pStyle w:val="BlockText-Plain"/>
              <w:rPr>
                <w:color w:val="000000"/>
              </w:rPr>
            </w:pPr>
          </w:p>
        </w:tc>
        <w:tc>
          <w:tcPr>
            <w:tcW w:w="567" w:type="dxa"/>
          </w:tcPr>
          <w:p w14:paraId="6C87985A" w14:textId="77777777" w:rsidR="005F44BC" w:rsidRPr="00C9343F" w:rsidRDefault="005F44BC" w:rsidP="007114B1">
            <w:pPr>
              <w:pStyle w:val="BlockText-Plain"/>
              <w:rPr>
                <w:color w:val="000000"/>
              </w:rPr>
            </w:pPr>
            <w:r w:rsidRPr="00C9343F">
              <w:rPr>
                <w:color w:val="000000"/>
              </w:rPr>
              <w:t>i.</w:t>
            </w:r>
          </w:p>
        </w:tc>
        <w:tc>
          <w:tcPr>
            <w:tcW w:w="7233" w:type="dxa"/>
          </w:tcPr>
          <w:p w14:paraId="28ECB7AC" w14:textId="77777777" w:rsidR="005F44BC" w:rsidRPr="00C9343F" w:rsidRDefault="005F44BC" w:rsidP="00F66D98">
            <w:pPr>
              <w:pStyle w:val="BlockText-Plain"/>
              <w:rPr>
                <w:rFonts w:cs="Arial"/>
                <w:color w:val="000000"/>
                <w:szCs w:val="24"/>
              </w:rPr>
            </w:pPr>
            <w:r w:rsidRPr="00C9343F">
              <w:rPr>
                <w:rFonts w:cs="Arial"/>
                <w:color w:val="000000"/>
                <w:szCs w:val="24"/>
              </w:rPr>
              <w:t>For an</w:t>
            </w:r>
            <w:r w:rsidR="00F276F4" w:rsidRPr="00C9343F">
              <w:rPr>
                <w:rFonts w:cs="Arial"/>
                <w:color w:val="000000"/>
                <w:szCs w:val="24"/>
              </w:rPr>
              <w:t xml:space="preserve"> </w:t>
            </w:r>
            <w:r w:rsidRPr="00C9343F">
              <w:rPr>
                <w:rFonts w:cs="Arial"/>
                <w:color w:val="000000"/>
                <w:szCs w:val="24"/>
              </w:rPr>
              <w:t>other rank member – whether the member holds qualifications otherwise required for payment at that pay grade, for a period of up to three years.</w:t>
            </w:r>
          </w:p>
        </w:tc>
      </w:tr>
      <w:tr w:rsidR="005F44BC" w:rsidRPr="00C9343F" w14:paraId="66740178" w14:textId="77777777" w:rsidTr="005F44BC">
        <w:trPr>
          <w:cantSplit/>
        </w:trPr>
        <w:tc>
          <w:tcPr>
            <w:tcW w:w="1559" w:type="dxa"/>
            <w:gridSpan w:val="2"/>
          </w:tcPr>
          <w:p w14:paraId="1F03B16B" w14:textId="77777777" w:rsidR="005F44BC" w:rsidRPr="00C9343F" w:rsidRDefault="005F44BC" w:rsidP="00F66D98">
            <w:pPr>
              <w:pStyle w:val="BlockText-Plain"/>
              <w:rPr>
                <w:color w:val="000000"/>
              </w:rPr>
            </w:pPr>
          </w:p>
        </w:tc>
        <w:tc>
          <w:tcPr>
            <w:tcW w:w="567" w:type="dxa"/>
          </w:tcPr>
          <w:p w14:paraId="6BBA0B98" w14:textId="77777777" w:rsidR="005F44BC" w:rsidRPr="00C9343F" w:rsidRDefault="005F44BC" w:rsidP="007114B1">
            <w:pPr>
              <w:pStyle w:val="BlockText-Plain"/>
              <w:rPr>
                <w:color w:val="000000"/>
              </w:rPr>
            </w:pPr>
            <w:r w:rsidRPr="00C9343F">
              <w:rPr>
                <w:color w:val="000000"/>
              </w:rPr>
              <w:t>ii.</w:t>
            </w:r>
          </w:p>
        </w:tc>
        <w:tc>
          <w:tcPr>
            <w:tcW w:w="7233" w:type="dxa"/>
          </w:tcPr>
          <w:p w14:paraId="5B5BA91F" w14:textId="77777777" w:rsidR="005F44BC" w:rsidRPr="00C9343F" w:rsidRDefault="005F44BC" w:rsidP="00F66D98">
            <w:pPr>
              <w:pStyle w:val="BlockText-Plain"/>
              <w:rPr>
                <w:rFonts w:cs="Arial"/>
                <w:color w:val="000000"/>
                <w:szCs w:val="24"/>
              </w:rPr>
            </w:pPr>
            <w:r w:rsidRPr="00C9343F">
              <w:rPr>
                <w:rFonts w:cs="Arial"/>
                <w:color w:val="000000"/>
                <w:szCs w:val="24"/>
              </w:rPr>
              <w:t xml:space="preserve">For a Warrant Officer Class 1 – any relevant instruction or direction made under </w:t>
            </w:r>
            <w:r w:rsidR="00C42D78" w:rsidRPr="00C9343F">
              <w:t>sections 9 and 10</w:t>
            </w:r>
            <w:r w:rsidRPr="00C9343F">
              <w:rPr>
                <w:rFonts w:cs="Arial"/>
                <w:color w:val="000000"/>
                <w:szCs w:val="24"/>
              </w:rPr>
              <w:t xml:space="preserve"> of the </w:t>
            </w:r>
            <w:r w:rsidRPr="00C9343F">
              <w:rPr>
                <w:rFonts w:cs="Arial"/>
                <w:i/>
                <w:color w:val="000000"/>
                <w:szCs w:val="24"/>
              </w:rPr>
              <w:t>Defence Act 1903</w:t>
            </w:r>
            <w:r w:rsidRPr="00C9343F">
              <w:rPr>
                <w:rFonts w:cs="Arial"/>
                <w:color w:val="000000"/>
              </w:rPr>
              <w:t>.</w:t>
            </w:r>
          </w:p>
        </w:tc>
      </w:tr>
      <w:tr w:rsidR="005F44BC" w:rsidRPr="00C9343F" w14:paraId="0C41C693" w14:textId="77777777" w:rsidTr="005F44BC">
        <w:trPr>
          <w:cantSplit/>
        </w:trPr>
        <w:tc>
          <w:tcPr>
            <w:tcW w:w="1559" w:type="dxa"/>
            <w:gridSpan w:val="2"/>
          </w:tcPr>
          <w:p w14:paraId="0B69586D" w14:textId="77777777" w:rsidR="005F44BC" w:rsidRPr="00C9343F" w:rsidRDefault="005F44BC" w:rsidP="00F66D98">
            <w:pPr>
              <w:pStyle w:val="BlockText-Plain"/>
            </w:pPr>
          </w:p>
        </w:tc>
        <w:tc>
          <w:tcPr>
            <w:tcW w:w="567" w:type="dxa"/>
          </w:tcPr>
          <w:p w14:paraId="6371FC6D" w14:textId="77777777" w:rsidR="005F44BC" w:rsidRPr="00C9343F" w:rsidRDefault="005F44BC" w:rsidP="007114B1">
            <w:pPr>
              <w:pStyle w:val="BlockText-Plain"/>
            </w:pPr>
            <w:r w:rsidRPr="00C9343F">
              <w:t>iii.</w:t>
            </w:r>
          </w:p>
        </w:tc>
        <w:tc>
          <w:tcPr>
            <w:tcW w:w="7233" w:type="dxa"/>
          </w:tcPr>
          <w:p w14:paraId="26EDCF98" w14:textId="77777777" w:rsidR="005F44BC" w:rsidRPr="00C9343F" w:rsidRDefault="005F44BC" w:rsidP="00F66D98">
            <w:pPr>
              <w:pStyle w:val="BlockText-Plain"/>
              <w:rPr>
                <w:rFonts w:cs="Arial"/>
              </w:rPr>
            </w:pPr>
            <w:r w:rsidRPr="00C9343F">
              <w:rPr>
                <w:rFonts w:cs="Arial"/>
                <w:szCs w:val="24"/>
              </w:rPr>
              <w:t xml:space="preserve">For an officer – any relevant instruction or direction made under </w:t>
            </w:r>
            <w:r w:rsidR="00C42D78" w:rsidRPr="00C9343F">
              <w:t>sections 9 and 10</w:t>
            </w:r>
            <w:r w:rsidRPr="00C9343F">
              <w:rPr>
                <w:rFonts w:cs="Arial"/>
                <w:szCs w:val="24"/>
              </w:rPr>
              <w:t xml:space="preserve"> of the </w:t>
            </w:r>
            <w:r w:rsidRPr="00C9343F">
              <w:rPr>
                <w:rFonts w:cs="Arial"/>
                <w:i/>
                <w:szCs w:val="24"/>
              </w:rPr>
              <w:t>Defence Act 1903</w:t>
            </w:r>
            <w:r w:rsidRPr="00C9343F">
              <w:rPr>
                <w:rFonts w:cs="Arial"/>
              </w:rPr>
              <w:t>.</w:t>
            </w:r>
          </w:p>
        </w:tc>
      </w:tr>
    </w:tbl>
    <w:p w14:paraId="526BAC66" w14:textId="05DBD90C" w:rsidR="005F44BC" w:rsidRPr="00C9343F" w:rsidRDefault="005F44BC" w:rsidP="00F66D98">
      <w:pPr>
        <w:pStyle w:val="Heading5"/>
      </w:pPr>
      <w:bookmarkStart w:id="525" w:name="_Toc105053735"/>
      <w:r w:rsidRPr="00C9343F">
        <w:t>3.2.56</w:t>
      </w:r>
      <w:r w:rsidR="00D94006" w:rsidRPr="00C9343F">
        <w:t>    </w:t>
      </w:r>
      <w:r w:rsidRPr="00C9343F">
        <w:t>Non-reduction supplement for Other Rank members</w:t>
      </w:r>
      <w:bookmarkEnd w:id="525"/>
    </w:p>
    <w:tbl>
      <w:tblPr>
        <w:tblW w:w="9359" w:type="dxa"/>
        <w:tblInd w:w="113" w:type="dxa"/>
        <w:tblLayout w:type="fixed"/>
        <w:tblLook w:val="0000" w:firstRow="0" w:lastRow="0" w:firstColumn="0" w:lastColumn="0" w:noHBand="0" w:noVBand="0"/>
      </w:tblPr>
      <w:tblGrid>
        <w:gridCol w:w="992"/>
        <w:gridCol w:w="567"/>
        <w:gridCol w:w="7800"/>
      </w:tblGrid>
      <w:tr w:rsidR="005F44BC" w:rsidRPr="00C9343F" w14:paraId="66AD0986" w14:textId="77777777" w:rsidTr="001D66A8">
        <w:tc>
          <w:tcPr>
            <w:tcW w:w="992" w:type="dxa"/>
          </w:tcPr>
          <w:p w14:paraId="07C1AB56" w14:textId="77777777" w:rsidR="005F44BC" w:rsidRPr="00C9343F" w:rsidRDefault="005F44BC" w:rsidP="00F66D98">
            <w:pPr>
              <w:pStyle w:val="BlockText-Plain"/>
              <w:jc w:val="center"/>
            </w:pPr>
            <w:r w:rsidRPr="00C9343F">
              <w:t>1.</w:t>
            </w:r>
          </w:p>
        </w:tc>
        <w:tc>
          <w:tcPr>
            <w:tcW w:w="8367" w:type="dxa"/>
            <w:gridSpan w:val="2"/>
          </w:tcPr>
          <w:p w14:paraId="2BD6B366" w14:textId="77777777" w:rsidR="005F44BC" w:rsidRPr="00C9343F" w:rsidRDefault="005F44BC" w:rsidP="00F66D98">
            <w:pPr>
              <w:pStyle w:val="BlockText-Plain"/>
            </w:pPr>
            <w:r w:rsidRPr="00C9343F">
              <w:t>A non-reduction supplement is to be paid to a member who meets both the following conditions.</w:t>
            </w:r>
          </w:p>
        </w:tc>
      </w:tr>
      <w:tr w:rsidR="005F44BC" w:rsidRPr="00C9343F" w14:paraId="17433640" w14:textId="77777777" w:rsidTr="001D66A8">
        <w:trPr>
          <w:cantSplit/>
        </w:trPr>
        <w:tc>
          <w:tcPr>
            <w:tcW w:w="992" w:type="dxa"/>
          </w:tcPr>
          <w:p w14:paraId="17533FBC" w14:textId="77777777" w:rsidR="005F44BC" w:rsidRPr="00C9343F" w:rsidRDefault="005F44BC" w:rsidP="00F66D98">
            <w:pPr>
              <w:pStyle w:val="BlockText-Plain"/>
            </w:pPr>
          </w:p>
        </w:tc>
        <w:tc>
          <w:tcPr>
            <w:tcW w:w="567" w:type="dxa"/>
          </w:tcPr>
          <w:p w14:paraId="6FC0D1E8" w14:textId="77777777" w:rsidR="005F44BC" w:rsidRPr="00C9343F" w:rsidRDefault="005F44BC" w:rsidP="007114B1">
            <w:pPr>
              <w:pStyle w:val="BlockText-Plain"/>
              <w:jc w:val="center"/>
            </w:pPr>
            <w:r w:rsidRPr="00C9343F">
              <w:t>a.</w:t>
            </w:r>
          </w:p>
        </w:tc>
        <w:tc>
          <w:tcPr>
            <w:tcW w:w="7800" w:type="dxa"/>
          </w:tcPr>
          <w:p w14:paraId="53419D7A" w14:textId="77777777" w:rsidR="005F44BC" w:rsidRPr="00C9343F" w:rsidRDefault="005F44BC" w:rsidP="00F66D98">
            <w:pPr>
              <w:pStyle w:val="BlockText-Plain"/>
            </w:pPr>
            <w:r w:rsidRPr="00C9343F">
              <w:t xml:space="preserve">On any day after 23 December 2008 and before 1 July 2009, the member is paid salary at a rate higher than that payable under schedule B.10 or B.12 of DFRT Determination No. </w:t>
            </w:r>
            <w:r w:rsidR="002A2A83" w:rsidRPr="00C9343F">
              <w:t>2 of 2017</w:t>
            </w:r>
            <w:r w:rsidRPr="00C9343F">
              <w:t xml:space="preserve">, </w:t>
            </w:r>
            <w:r w:rsidRPr="00C9343F">
              <w:rPr>
                <w:i/>
              </w:rPr>
              <w:t>Salaries</w:t>
            </w:r>
            <w:r w:rsidRPr="00C9343F">
              <w:t>, as amended from time to time.</w:t>
            </w:r>
          </w:p>
        </w:tc>
      </w:tr>
      <w:tr w:rsidR="005F44BC" w:rsidRPr="00C9343F" w14:paraId="4B248CC8" w14:textId="77777777" w:rsidTr="001D66A8">
        <w:trPr>
          <w:cantSplit/>
        </w:trPr>
        <w:tc>
          <w:tcPr>
            <w:tcW w:w="992" w:type="dxa"/>
          </w:tcPr>
          <w:p w14:paraId="0885026E" w14:textId="77777777" w:rsidR="005F44BC" w:rsidRPr="00C9343F" w:rsidRDefault="005F44BC" w:rsidP="00F66D98">
            <w:pPr>
              <w:pStyle w:val="BlockText-Plain"/>
            </w:pPr>
          </w:p>
        </w:tc>
        <w:tc>
          <w:tcPr>
            <w:tcW w:w="567" w:type="dxa"/>
          </w:tcPr>
          <w:p w14:paraId="71BAECE1" w14:textId="77777777" w:rsidR="005F44BC" w:rsidRPr="00C9343F" w:rsidRDefault="005F44BC" w:rsidP="007114B1">
            <w:pPr>
              <w:pStyle w:val="BlockText-Plain"/>
              <w:jc w:val="center"/>
            </w:pPr>
            <w:r w:rsidRPr="00C9343F">
              <w:t>b.</w:t>
            </w:r>
          </w:p>
        </w:tc>
        <w:tc>
          <w:tcPr>
            <w:tcW w:w="7800" w:type="dxa"/>
          </w:tcPr>
          <w:p w14:paraId="2B1E7969" w14:textId="77777777" w:rsidR="005F44BC" w:rsidRPr="00C9343F" w:rsidRDefault="005F44BC" w:rsidP="00F66D98">
            <w:pPr>
              <w:pStyle w:val="BlockText-Plain"/>
            </w:pPr>
            <w:r w:rsidRPr="00C9343F">
              <w:t xml:space="preserve">The higher rate represents a rank increment or pay grade and employment category combination that ceased to exist in DFRT Determination No. </w:t>
            </w:r>
            <w:r w:rsidR="002A2A83" w:rsidRPr="00C9343F">
              <w:t>2 of 2017</w:t>
            </w:r>
            <w:r w:rsidRPr="00C9343F">
              <w:t xml:space="preserve">, </w:t>
            </w:r>
            <w:r w:rsidRPr="00C9343F">
              <w:rPr>
                <w:i/>
              </w:rPr>
              <w:t>Salaries</w:t>
            </w:r>
            <w:r w:rsidRPr="00C9343F">
              <w:t>, on 24 December 2008.</w:t>
            </w:r>
          </w:p>
        </w:tc>
      </w:tr>
      <w:tr w:rsidR="005F44BC" w:rsidRPr="00C9343F" w14:paraId="07545764" w14:textId="77777777" w:rsidTr="001D66A8">
        <w:tc>
          <w:tcPr>
            <w:tcW w:w="992" w:type="dxa"/>
          </w:tcPr>
          <w:p w14:paraId="5439B41D" w14:textId="77777777" w:rsidR="005F44BC" w:rsidRPr="00C9343F" w:rsidRDefault="005F44BC" w:rsidP="00F66D98">
            <w:pPr>
              <w:pStyle w:val="BlockText-Plain"/>
              <w:jc w:val="center"/>
            </w:pPr>
            <w:r w:rsidRPr="00C9343F">
              <w:t>2.</w:t>
            </w:r>
          </w:p>
        </w:tc>
        <w:tc>
          <w:tcPr>
            <w:tcW w:w="8367" w:type="dxa"/>
            <w:gridSpan w:val="2"/>
          </w:tcPr>
          <w:p w14:paraId="44BFA61C" w14:textId="77777777" w:rsidR="005F44BC" w:rsidRPr="00C9343F" w:rsidRDefault="005F44BC" w:rsidP="00F66D98">
            <w:pPr>
              <w:pStyle w:val="BlockText-Plain"/>
            </w:pPr>
            <w:r w:rsidRPr="00C9343F">
              <w:t xml:space="preserve">The rate of non-reduction supplement is the difference between the rate described in paragraph 1.a and the rate payable to the member under DFRT Determination No. </w:t>
            </w:r>
            <w:r w:rsidR="002A2A83" w:rsidRPr="00C9343F">
              <w:t>2 of 2017</w:t>
            </w:r>
            <w:r w:rsidRPr="00C9343F">
              <w:t xml:space="preserve">, </w:t>
            </w:r>
            <w:r w:rsidRPr="00C9343F">
              <w:rPr>
                <w:i/>
              </w:rPr>
              <w:t>Salaries</w:t>
            </w:r>
            <w:r w:rsidRPr="00C9343F">
              <w:t>, paid to the member as both the following amounts.</w:t>
            </w:r>
          </w:p>
        </w:tc>
      </w:tr>
      <w:tr w:rsidR="005F44BC" w:rsidRPr="00C9343F" w14:paraId="2E4B8E3C" w14:textId="77777777" w:rsidTr="001D66A8">
        <w:trPr>
          <w:cantSplit/>
        </w:trPr>
        <w:tc>
          <w:tcPr>
            <w:tcW w:w="992" w:type="dxa"/>
          </w:tcPr>
          <w:p w14:paraId="49A95B4A" w14:textId="77777777" w:rsidR="005F44BC" w:rsidRPr="00C9343F" w:rsidRDefault="005F44BC" w:rsidP="00F66D98">
            <w:pPr>
              <w:pStyle w:val="BlockText-Plain"/>
            </w:pPr>
          </w:p>
        </w:tc>
        <w:tc>
          <w:tcPr>
            <w:tcW w:w="567" w:type="dxa"/>
          </w:tcPr>
          <w:p w14:paraId="011FF60F" w14:textId="77777777" w:rsidR="005F44BC" w:rsidRPr="00C9343F" w:rsidRDefault="005F44BC" w:rsidP="007114B1">
            <w:pPr>
              <w:pStyle w:val="BlockText-Plain"/>
              <w:jc w:val="center"/>
            </w:pPr>
            <w:r w:rsidRPr="00C9343F">
              <w:t>a.</w:t>
            </w:r>
          </w:p>
        </w:tc>
        <w:tc>
          <w:tcPr>
            <w:tcW w:w="7800" w:type="dxa"/>
          </w:tcPr>
          <w:p w14:paraId="422F5E90" w14:textId="77777777" w:rsidR="005F44BC" w:rsidRPr="00C9343F" w:rsidRDefault="005F44BC" w:rsidP="00F66D98">
            <w:pPr>
              <w:pStyle w:val="BlockText-Plain"/>
            </w:pPr>
            <w:r w:rsidRPr="00C9343F">
              <w:t>A one-off payment for the period 24 December 2008 to 27 February 2009.</w:t>
            </w:r>
          </w:p>
        </w:tc>
      </w:tr>
      <w:tr w:rsidR="005F44BC" w:rsidRPr="00C9343F" w14:paraId="01FD6C6A" w14:textId="77777777" w:rsidTr="001D66A8">
        <w:trPr>
          <w:cantSplit/>
        </w:trPr>
        <w:tc>
          <w:tcPr>
            <w:tcW w:w="992" w:type="dxa"/>
          </w:tcPr>
          <w:p w14:paraId="239C6386" w14:textId="77777777" w:rsidR="005F44BC" w:rsidRPr="00C9343F" w:rsidRDefault="005F44BC" w:rsidP="00F66D98">
            <w:pPr>
              <w:pStyle w:val="BlockText-Plain"/>
            </w:pPr>
          </w:p>
        </w:tc>
        <w:tc>
          <w:tcPr>
            <w:tcW w:w="567" w:type="dxa"/>
          </w:tcPr>
          <w:p w14:paraId="41A2C959" w14:textId="77777777" w:rsidR="005F44BC" w:rsidRPr="00C9343F" w:rsidRDefault="005F44BC" w:rsidP="007114B1">
            <w:pPr>
              <w:pStyle w:val="BlockText-Plain"/>
              <w:jc w:val="center"/>
            </w:pPr>
            <w:r w:rsidRPr="00C9343F">
              <w:t>b.</w:t>
            </w:r>
          </w:p>
        </w:tc>
        <w:tc>
          <w:tcPr>
            <w:tcW w:w="7800" w:type="dxa"/>
          </w:tcPr>
          <w:p w14:paraId="1D13219E" w14:textId="77777777" w:rsidR="005F44BC" w:rsidRPr="00C9343F" w:rsidRDefault="005F44BC" w:rsidP="00F66D98">
            <w:pPr>
              <w:pStyle w:val="BlockText-Plain"/>
            </w:pPr>
            <w:r w:rsidRPr="00C9343F">
              <w:t>A fortnightly payment.</w:t>
            </w:r>
          </w:p>
        </w:tc>
      </w:tr>
      <w:tr w:rsidR="005F44BC" w:rsidRPr="00C9343F" w14:paraId="30EBEF51" w14:textId="77777777" w:rsidTr="001D66A8">
        <w:tc>
          <w:tcPr>
            <w:tcW w:w="992" w:type="dxa"/>
          </w:tcPr>
          <w:p w14:paraId="7234D2F4" w14:textId="77777777" w:rsidR="005F44BC" w:rsidRPr="00C9343F" w:rsidRDefault="005F44BC" w:rsidP="00F66D98">
            <w:pPr>
              <w:pStyle w:val="BlockText-Plain"/>
              <w:jc w:val="center"/>
            </w:pPr>
            <w:r w:rsidRPr="00C9343F">
              <w:t>3.</w:t>
            </w:r>
          </w:p>
        </w:tc>
        <w:tc>
          <w:tcPr>
            <w:tcW w:w="8367" w:type="dxa"/>
            <w:gridSpan w:val="2"/>
          </w:tcPr>
          <w:p w14:paraId="6F8DE08A" w14:textId="77777777" w:rsidR="005F44BC" w:rsidRPr="00C9343F" w:rsidRDefault="005F44BC" w:rsidP="00F66D98">
            <w:pPr>
              <w:pStyle w:val="BlockText-Plain"/>
            </w:pPr>
            <w:r w:rsidRPr="00C9343F">
              <w:t>This section ceases to apply to a member from the earliest of the following days.</w:t>
            </w:r>
          </w:p>
        </w:tc>
      </w:tr>
      <w:tr w:rsidR="005F44BC" w:rsidRPr="00C9343F" w14:paraId="5BC0A259" w14:textId="77777777" w:rsidTr="001D66A8">
        <w:trPr>
          <w:cantSplit/>
        </w:trPr>
        <w:tc>
          <w:tcPr>
            <w:tcW w:w="992" w:type="dxa"/>
          </w:tcPr>
          <w:p w14:paraId="6648C087" w14:textId="77777777" w:rsidR="005F44BC" w:rsidRPr="00C9343F" w:rsidRDefault="005F44BC" w:rsidP="00F66D98">
            <w:pPr>
              <w:pStyle w:val="BlockText-Plain"/>
            </w:pPr>
          </w:p>
        </w:tc>
        <w:tc>
          <w:tcPr>
            <w:tcW w:w="567" w:type="dxa"/>
          </w:tcPr>
          <w:p w14:paraId="100EED89" w14:textId="77777777" w:rsidR="005F44BC" w:rsidRPr="00C9343F" w:rsidRDefault="005F44BC" w:rsidP="007114B1">
            <w:pPr>
              <w:pStyle w:val="BlockText-Plain"/>
              <w:jc w:val="center"/>
            </w:pPr>
            <w:r w:rsidRPr="00C9343F">
              <w:t>a.</w:t>
            </w:r>
          </w:p>
        </w:tc>
        <w:tc>
          <w:tcPr>
            <w:tcW w:w="7800" w:type="dxa"/>
          </w:tcPr>
          <w:p w14:paraId="27BB693A" w14:textId="77777777" w:rsidR="005F44BC" w:rsidRPr="00C9343F" w:rsidRDefault="005F44BC" w:rsidP="00F66D98">
            <w:pPr>
              <w:pStyle w:val="BlockText-Plain"/>
            </w:pPr>
            <w:r w:rsidRPr="00C9343F">
              <w:t xml:space="preserve">The day that the rate of salary payable to the member under DFRT Determination </w:t>
            </w:r>
            <w:r w:rsidR="002A2A83" w:rsidRPr="00C9343F">
              <w:t>No. 2 of 2017</w:t>
            </w:r>
            <w:r w:rsidRPr="00C9343F">
              <w:t xml:space="preserve">, </w:t>
            </w:r>
            <w:r w:rsidRPr="00C9343F">
              <w:rPr>
                <w:i/>
              </w:rPr>
              <w:t>Salaries</w:t>
            </w:r>
            <w:r w:rsidRPr="00C9343F">
              <w:t>, as amended from time to time, is equal to or higher than the rate of salary payable under this section.</w:t>
            </w:r>
          </w:p>
        </w:tc>
      </w:tr>
      <w:tr w:rsidR="005F44BC" w:rsidRPr="00C9343F" w14:paraId="59017D84" w14:textId="77777777" w:rsidTr="001D66A8">
        <w:trPr>
          <w:cantSplit/>
        </w:trPr>
        <w:tc>
          <w:tcPr>
            <w:tcW w:w="992" w:type="dxa"/>
          </w:tcPr>
          <w:p w14:paraId="082106BA" w14:textId="77777777" w:rsidR="005F44BC" w:rsidRPr="00C9343F" w:rsidRDefault="005F44BC" w:rsidP="00F66D98">
            <w:pPr>
              <w:pStyle w:val="BlockText-Plain"/>
            </w:pPr>
          </w:p>
        </w:tc>
        <w:tc>
          <w:tcPr>
            <w:tcW w:w="567" w:type="dxa"/>
          </w:tcPr>
          <w:p w14:paraId="760BD19A" w14:textId="77777777" w:rsidR="005F44BC" w:rsidRPr="00C9343F" w:rsidRDefault="005F44BC" w:rsidP="007114B1">
            <w:pPr>
              <w:pStyle w:val="BlockText-Plain"/>
              <w:jc w:val="center"/>
            </w:pPr>
            <w:r w:rsidRPr="00C9343F">
              <w:t>b.</w:t>
            </w:r>
          </w:p>
        </w:tc>
        <w:tc>
          <w:tcPr>
            <w:tcW w:w="7800" w:type="dxa"/>
          </w:tcPr>
          <w:p w14:paraId="29526535" w14:textId="487AF893" w:rsidR="005F44BC" w:rsidRPr="00C9343F" w:rsidRDefault="005F44BC" w:rsidP="00F66D98">
            <w:pPr>
              <w:pStyle w:val="BlockText-Plain"/>
            </w:pPr>
            <w:r w:rsidRPr="00C9343F">
              <w:t>The day that there is a subsequent change of circumstances of the member that would end or vary the entitlement to the rank and pay grade on which the non-reduction supplement was based.</w:t>
            </w:r>
          </w:p>
        </w:tc>
      </w:tr>
      <w:tr w:rsidR="005F44BC" w:rsidRPr="00C9343F" w14:paraId="3068424E" w14:textId="77777777" w:rsidTr="001D66A8">
        <w:trPr>
          <w:cantSplit/>
        </w:trPr>
        <w:tc>
          <w:tcPr>
            <w:tcW w:w="992" w:type="dxa"/>
          </w:tcPr>
          <w:p w14:paraId="293913EF" w14:textId="77777777" w:rsidR="005F44BC" w:rsidRPr="00C9343F" w:rsidRDefault="005F44BC" w:rsidP="00F66D98">
            <w:pPr>
              <w:pStyle w:val="BlockText-Plain"/>
            </w:pPr>
          </w:p>
        </w:tc>
        <w:tc>
          <w:tcPr>
            <w:tcW w:w="567" w:type="dxa"/>
          </w:tcPr>
          <w:p w14:paraId="0DBE8FA5" w14:textId="77777777" w:rsidR="005F44BC" w:rsidRPr="00C9343F" w:rsidRDefault="005F44BC" w:rsidP="007114B1">
            <w:pPr>
              <w:pStyle w:val="BlockText-Plain"/>
              <w:jc w:val="center"/>
            </w:pPr>
            <w:r w:rsidRPr="00C9343F">
              <w:t>c.</w:t>
            </w:r>
          </w:p>
        </w:tc>
        <w:tc>
          <w:tcPr>
            <w:tcW w:w="7800" w:type="dxa"/>
          </w:tcPr>
          <w:p w14:paraId="62995BEB" w14:textId="77777777" w:rsidR="005F44BC" w:rsidRPr="00C9343F" w:rsidRDefault="005F44BC" w:rsidP="00F66D98">
            <w:pPr>
              <w:pStyle w:val="BlockText-Plain"/>
            </w:pPr>
            <w:r w:rsidRPr="00C9343F">
              <w:t>The day the amount is replaced under a new Workplace Remuneration Arrangement by determination of the DFRT.</w:t>
            </w:r>
          </w:p>
        </w:tc>
      </w:tr>
    </w:tbl>
    <w:p w14:paraId="794B3830" w14:textId="406ACA2B" w:rsidR="001D66A8" w:rsidRPr="00C9343F" w:rsidRDefault="001D66A8" w:rsidP="00F66D98">
      <w:pPr>
        <w:pStyle w:val="Heading5"/>
      </w:pPr>
      <w:bookmarkStart w:id="526" w:name="_Toc105053736"/>
      <w:r w:rsidRPr="00C9343F">
        <w:t>3.2.57</w:t>
      </w:r>
      <w:r w:rsidR="00D94006" w:rsidRPr="00C9343F">
        <w:t>    </w:t>
      </w:r>
      <w:r w:rsidRPr="00C9343F">
        <w:t>Non-reduction supplement for Other Rank members of the Reserves</w:t>
      </w:r>
      <w:bookmarkEnd w:id="526"/>
    </w:p>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03EB1DAE" w14:textId="77777777" w:rsidTr="005F44BC">
        <w:tc>
          <w:tcPr>
            <w:tcW w:w="992" w:type="dxa"/>
          </w:tcPr>
          <w:p w14:paraId="4CCDE986" w14:textId="77777777" w:rsidR="005F44BC" w:rsidRPr="00C9343F" w:rsidRDefault="005F44BC" w:rsidP="00F66D98">
            <w:pPr>
              <w:pStyle w:val="BlockText-Plain"/>
              <w:jc w:val="center"/>
            </w:pPr>
            <w:r w:rsidRPr="00C9343F">
              <w:t>1.</w:t>
            </w:r>
          </w:p>
        </w:tc>
        <w:tc>
          <w:tcPr>
            <w:tcW w:w="8363" w:type="dxa"/>
            <w:gridSpan w:val="2"/>
          </w:tcPr>
          <w:p w14:paraId="128498EB" w14:textId="77777777" w:rsidR="005F44BC" w:rsidRPr="00C9343F" w:rsidRDefault="005F44BC" w:rsidP="00F66D98">
            <w:pPr>
              <w:pStyle w:val="BlockText-Plain"/>
            </w:pPr>
            <w:r w:rsidRPr="00C9343F">
              <w:t>A non-reduction supplement is to be paid to a member of the Reserves who meets both the following conditions.</w:t>
            </w:r>
          </w:p>
        </w:tc>
      </w:tr>
      <w:tr w:rsidR="005F44BC" w:rsidRPr="00C9343F" w14:paraId="70908B5A" w14:textId="77777777" w:rsidTr="005F44BC">
        <w:trPr>
          <w:cantSplit/>
        </w:trPr>
        <w:tc>
          <w:tcPr>
            <w:tcW w:w="992" w:type="dxa"/>
          </w:tcPr>
          <w:p w14:paraId="6DDE596D" w14:textId="77777777" w:rsidR="005F44BC" w:rsidRPr="00C9343F" w:rsidRDefault="005F44BC" w:rsidP="00F66D98">
            <w:pPr>
              <w:pStyle w:val="BlockText-Plain"/>
            </w:pPr>
          </w:p>
        </w:tc>
        <w:tc>
          <w:tcPr>
            <w:tcW w:w="567" w:type="dxa"/>
          </w:tcPr>
          <w:p w14:paraId="061993CD" w14:textId="77777777" w:rsidR="005F44BC" w:rsidRPr="00C9343F" w:rsidRDefault="005F44BC" w:rsidP="007114B1">
            <w:pPr>
              <w:pStyle w:val="BlockText-Plain"/>
              <w:jc w:val="center"/>
            </w:pPr>
            <w:r w:rsidRPr="00C9343F">
              <w:t>a.</w:t>
            </w:r>
          </w:p>
        </w:tc>
        <w:tc>
          <w:tcPr>
            <w:tcW w:w="7796" w:type="dxa"/>
          </w:tcPr>
          <w:p w14:paraId="44970466" w14:textId="48F903CF" w:rsidR="005F44BC" w:rsidRPr="00C9343F" w:rsidRDefault="005F44BC" w:rsidP="00F66D98">
            <w:pPr>
              <w:pStyle w:val="BlockText-Plain"/>
            </w:pPr>
            <w:r w:rsidRPr="00C9343F">
              <w:t xml:space="preserve">On any day after 23 December 2008 and before 30 September 2009, the member is paid salary at a daily rate higher than that payable to the member under schedule B.10 or B.12 of DFRT Determination No. </w:t>
            </w:r>
            <w:r w:rsidR="002A2A83" w:rsidRPr="00C9343F">
              <w:t>2 of 2017</w:t>
            </w:r>
            <w:r w:rsidRPr="00C9343F">
              <w:t xml:space="preserve">, </w:t>
            </w:r>
            <w:r w:rsidRPr="00C9343F">
              <w:rPr>
                <w:i/>
              </w:rPr>
              <w:t>Salaries</w:t>
            </w:r>
            <w:r w:rsidRPr="00C9343F">
              <w:t>, as amended from time to time.</w:t>
            </w:r>
          </w:p>
        </w:tc>
      </w:tr>
      <w:tr w:rsidR="005F44BC" w:rsidRPr="00C9343F" w14:paraId="7D76F3B2" w14:textId="77777777" w:rsidTr="005F44BC">
        <w:trPr>
          <w:cantSplit/>
        </w:trPr>
        <w:tc>
          <w:tcPr>
            <w:tcW w:w="992" w:type="dxa"/>
          </w:tcPr>
          <w:p w14:paraId="743EF4C7" w14:textId="77777777" w:rsidR="005F44BC" w:rsidRPr="00C9343F" w:rsidRDefault="005F44BC" w:rsidP="00F66D98">
            <w:pPr>
              <w:pStyle w:val="BlockText-Plain"/>
            </w:pPr>
          </w:p>
        </w:tc>
        <w:tc>
          <w:tcPr>
            <w:tcW w:w="567" w:type="dxa"/>
          </w:tcPr>
          <w:p w14:paraId="2E416484" w14:textId="77777777" w:rsidR="005F44BC" w:rsidRPr="00C9343F" w:rsidRDefault="005F44BC" w:rsidP="007114B1">
            <w:pPr>
              <w:pStyle w:val="BlockText-Plain"/>
              <w:jc w:val="center"/>
            </w:pPr>
            <w:r w:rsidRPr="00C9343F">
              <w:t>b.</w:t>
            </w:r>
          </w:p>
        </w:tc>
        <w:tc>
          <w:tcPr>
            <w:tcW w:w="7796" w:type="dxa"/>
          </w:tcPr>
          <w:p w14:paraId="1DB9D6ED" w14:textId="77777777" w:rsidR="005F44BC" w:rsidRPr="00C9343F" w:rsidRDefault="005F44BC" w:rsidP="00F66D98">
            <w:pPr>
              <w:pStyle w:val="BlockText-Plain"/>
            </w:pPr>
            <w:r w:rsidRPr="00C9343F">
              <w:t xml:space="preserve">The higher rate represents a rank increment or pay grade and employment category combination that ceased to exist in DFRT Determination No. </w:t>
            </w:r>
            <w:r w:rsidR="002A2A83" w:rsidRPr="00C9343F">
              <w:t>2 of 2017</w:t>
            </w:r>
            <w:r w:rsidRPr="00C9343F">
              <w:t xml:space="preserve">, </w:t>
            </w:r>
            <w:r w:rsidRPr="00C9343F">
              <w:rPr>
                <w:i/>
              </w:rPr>
              <w:t>Salaries</w:t>
            </w:r>
            <w:r w:rsidRPr="00C9343F">
              <w:t>, on 24 December 2008.</w:t>
            </w:r>
          </w:p>
        </w:tc>
      </w:tr>
      <w:tr w:rsidR="005F44BC" w:rsidRPr="00C9343F" w14:paraId="3312EA46" w14:textId="77777777" w:rsidTr="005F44BC">
        <w:tc>
          <w:tcPr>
            <w:tcW w:w="992" w:type="dxa"/>
          </w:tcPr>
          <w:p w14:paraId="576FFD4E" w14:textId="77777777" w:rsidR="005F44BC" w:rsidRPr="00C9343F" w:rsidRDefault="005F44BC" w:rsidP="00F66D98">
            <w:pPr>
              <w:pStyle w:val="BlockText-Plain"/>
              <w:jc w:val="center"/>
            </w:pPr>
            <w:r w:rsidRPr="00C9343F">
              <w:lastRenderedPageBreak/>
              <w:t>2.</w:t>
            </w:r>
          </w:p>
        </w:tc>
        <w:tc>
          <w:tcPr>
            <w:tcW w:w="8363" w:type="dxa"/>
            <w:gridSpan w:val="2"/>
          </w:tcPr>
          <w:p w14:paraId="7E558D19" w14:textId="77777777" w:rsidR="005F44BC" w:rsidRPr="00C9343F" w:rsidRDefault="005F44BC" w:rsidP="00F66D98">
            <w:pPr>
              <w:pStyle w:val="BlockText-Plain"/>
            </w:pPr>
            <w:r w:rsidRPr="00C9343F">
              <w:t xml:space="preserve">The rate of non-reduction supplement is the difference between the daily rate described in paragraph 1.a and the daily rate payable to the member under DFRT Determination No. </w:t>
            </w:r>
            <w:r w:rsidR="002A2A83" w:rsidRPr="00C9343F">
              <w:t>2 of 2017</w:t>
            </w:r>
            <w:r w:rsidRPr="00C9343F">
              <w:t xml:space="preserve">, </w:t>
            </w:r>
            <w:r w:rsidRPr="00C9343F">
              <w:rPr>
                <w:i/>
              </w:rPr>
              <w:t>Salaries</w:t>
            </w:r>
            <w:r w:rsidRPr="00C9343F">
              <w:t>.</w:t>
            </w:r>
          </w:p>
        </w:tc>
      </w:tr>
      <w:tr w:rsidR="005F44BC" w:rsidRPr="00C9343F" w14:paraId="4EF18742" w14:textId="77777777" w:rsidTr="005F44BC">
        <w:tc>
          <w:tcPr>
            <w:tcW w:w="992" w:type="dxa"/>
          </w:tcPr>
          <w:p w14:paraId="77B2525F" w14:textId="77777777" w:rsidR="005F44BC" w:rsidRPr="00C9343F" w:rsidRDefault="005F44BC" w:rsidP="00F66D98">
            <w:pPr>
              <w:pStyle w:val="BlockText-Plain"/>
              <w:jc w:val="center"/>
            </w:pPr>
            <w:r w:rsidRPr="00C9343F">
              <w:t>3.</w:t>
            </w:r>
          </w:p>
        </w:tc>
        <w:tc>
          <w:tcPr>
            <w:tcW w:w="8363" w:type="dxa"/>
            <w:gridSpan w:val="2"/>
          </w:tcPr>
          <w:p w14:paraId="0F0F09A4" w14:textId="77777777" w:rsidR="005F44BC" w:rsidRPr="00C9343F" w:rsidRDefault="005F44BC" w:rsidP="00F66D98">
            <w:pPr>
              <w:pStyle w:val="BlockText-Plain"/>
            </w:pPr>
            <w:r w:rsidRPr="00C9343F">
              <w:t>This section ceases to apply to a member from the earliest of the following days.</w:t>
            </w:r>
          </w:p>
        </w:tc>
      </w:tr>
      <w:tr w:rsidR="005F44BC" w:rsidRPr="00C9343F" w14:paraId="736B7082" w14:textId="77777777" w:rsidTr="005F44BC">
        <w:trPr>
          <w:cantSplit/>
        </w:trPr>
        <w:tc>
          <w:tcPr>
            <w:tcW w:w="992" w:type="dxa"/>
          </w:tcPr>
          <w:p w14:paraId="22DECF09" w14:textId="77777777" w:rsidR="005F44BC" w:rsidRPr="00C9343F" w:rsidRDefault="005F44BC" w:rsidP="00F66D98">
            <w:pPr>
              <w:pStyle w:val="BlockText-Plain"/>
            </w:pPr>
          </w:p>
        </w:tc>
        <w:tc>
          <w:tcPr>
            <w:tcW w:w="567" w:type="dxa"/>
          </w:tcPr>
          <w:p w14:paraId="58B960DD" w14:textId="77777777" w:rsidR="005F44BC" w:rsidRPr="00C9343F" w:rsidRDefault="005F44BC" w:rsidP="00F66D98">
            <w:pPr>
              <w:pStyle w:val="BlockText-Plain"/>
              <w:jc w:val="center"/>
            </w:pPr>
            <w:r w:rsidRPr="00C9343F">
              <w:t>a.</w:t>
            </w:r>
          </w:p>
        </w:tc>
        <w:tc>
          <w:tcPr>
            <w:tcW w:w="7796" w:type="dxa"/>
          </w:tcPr>
          <w:p w14:paraId="5AC5DAE5" w14:textId="77777777" w:rsidR="005F44BC" w:rsidRPr="00C9343F" w:rsidRDefault="005F44BC" w:rsidP="00F66D98">
            <w:pPr>
              <w:pStyle w:val="BlockText-Plain"/>
            </w:pPr>
            <w:r w:rsidRPr="00C9343F">
              <w:t xml:space="preserve">The day that the rate of salary payable to the member under DFRT Determination No. </w:t>
            </w:r>
            <w:r w:rsidR="002A2A83" w:rsidRPr="00C9343F">
              <w:t>2 of 2017</w:t>
            </w:r>
            <w:r w:rsidRPr="00C9343F">
              <w:t xml:space="preserve">, </w:t>
            </w:r>
            <w:r w:rsidRPr="00C9343F">
              <w:rPr>
                <w:i/>
              </w:rPr>
              <w:t>Salaries</w:t>
            </w:r>
            <w:r w:rsidRPr="00C9343F">
              <w:t>, as amended from time to time, is equal to or higher than the rate of salary payable under this section.</w:t>
            </w:r>
          </w:p>
        </w:tc>
      </w:tr>
      <w:tr w:rsidR="005F44BC" w:rsidRPr="00C9343F" w14:paraId="503DF362" w14:textId="77777777" w:rsidTr="005F44BC">
        <w:trPr>
          <w:cantSplit/>
        </w:trPr>
        <w:tc>
          <w:tcPr>
            <w:tcW w:w="992" w:type="dxa"/>
          </w:tcPr>
          <w:p w14:paraId="7BC82BF3" w14:textId="77777777" w:rsidR="005F44BC" w:rsidRPr="00C9343F" w:rsidRDefault="005F44BC" w:rsidP="00F66D98">
            <w:pPr>
              <w:pStyle w:val="BlockText-Plain"/>
            </w:pPr>
          </w:p>
        </w:tc>
        <w:tc>
          <w:tcPr>
            <w:tcW w:w="567" w:type="dxa"/>
          </w:tcPr>
          <w:p w14:paraId="494B0BE1" w14:textId="77777777" w:rsidR="005F44BC" w:rsidRPr="00C9343F" w:rsidRDefault="005F44BC" w:rsidP="00F66D98">
            <w:pPr>
              <w:pStyle w:val="BlockText-Plain"/>
              <w:jc w:val="center"/>
            </w:pPr>
            <w:r w:rsidRPr="00C9343F">
              <w:t>b.</w:t>
            </w:r>
          </w:p>
        </w:tc>
        <w:tc>
          <w:tcPr>
            <w:tcW w:w="7796" w:type="dxa"/>
          </w:tcPr>
          <w:p w14:paraId="0A53E9D3" w14:textId="2B24ADA6" w:rsidR="005F44BC" w:rsidRPr="00C9343F" w:rsidRDefault="005F44BC" w:rsidP="00F66D98">
            <w:pPr>
              <w:pStyle w:val="BlockText-Plain"/>
            </w:pPr>
            <w:r w:rsidRPr="00C9343F">
              <w:t>The day that there is a subsequent change of circumstances of the member that would end or vary the entitlement to the rank and pay grade on which the non-reduction supplement was based.</w:t>
            </w:r>
          </w:p>
        </w:tc>
      </w:tr>
      <w:tr w:rsidR="005F44BC" w:rsidRPr="00C9343F" w14:paraId="5292270F" w14:textId="77777777" w:rsidTr="005F44BC">
        <w:trPr>
          <w:cantSplit/>
        </w:trPr>
        <w:tc>
          <w:tcPr>
            <w:tcW w:w="992" w:type="dxa"/>
          </w:tcPr>
          <w:p w14:paraId="73AEC520" w14:textId="77777777" w:rsidR="005F44BC" w:rsidRPr="00C9343F" w:rsidRDefault="005F44BC" w:rsidP="00F66D98">
            <w:pPr>
              <w:pStyle w:val="BlockText-Plain"/>
            </w:pPr>
          </w:p>
        </w:tc>
        <w:tc>
          <w:tcPr>
            <w:tcW w:w="567" w:type="dxa"/>
          </w:tcPr>
          <w:p w14:paraId="12CD4441" w14:textId="77777777" w:rsidR="005F44BC" w:rsidRPr="00C9343F" w:rsidRDefault="005F44BC" w:rsidP="00F66D98">
            <w:pPr>
              <w:pStyle w:val="BlockText-Plain"/>
              <w:jc w:val="center"/>
            </w:pPr>
            <w:r w:rsidRPr="00C9343F">
              <w:t>c.</w:t>
            </w:r>
          </w:p>
        </w:tc>
        <w:tc>
          <w:tcPr>
            <w:tcW w:w="7796" w:type="dxa"/>
          </w:tcPr>
          <w:p w14:paraId="67C02D2E" w14:textId="77777777" w:rsidR="005F44BC" w:rsidRPr="00C9343F" w:rsidRDefault="005F44BC" w:rsidP="00F66D98">
            <w:pPr>
              <w:pStyle w:val="BlockText-Plain"/>
            </w:pPr>
            <w:r w:rsidRPr="00C9343F">
              <w:t>The day the amount is replaced under a new Workplace Remuneration Arrangement by determination of the DFRT.</w:t>
            </w:r>
          </w:p>
        </w:tc>
      </w:tr>
    </w:tbl>
    <w:p w14:paraId="4BF15320" w14:textId="53E9F1B1" w:rsidR="005F44BC" w:rsidRPr="00C9343F" w:rsidRDefault="005F44BC" w:rsidP="00F66D98">
      <w:pPr>
        <w:pStyle w:val="Heading5"/>
      </w:pPr>
      <w:bookmarkStart w:id="527" w:name="_Toc105053737"/>
      <w:r w:rsidRPr="00C9343F">
        <w:t>3.2.58</w:t>
      </w:r>
      <w:r w:rsidR="00D94006" w:rsidRPr="00C9343F">
        <w:t>    </w:t>
      </w:r>
      <w:r w:rsidRPr="00C9343F">
        <w:t>Movements between Reserve service and continuous full-time service</w:t>
      </w:r>
      <w:bookmarkEnd w:id="527"/>
    </w:p>
    <w:tbl>
      <w:tblPr>
        <w:tblW w:w="9355" w:type="dxa"/>
        <w:tblInd w:w="113" w:type="dxa"/>
        <w:tblLayout w:type="fixed"/>
        <w:tblLook w:val="0000" w:firstRow="0" w:lastRow="0" w:firstColumn="0" w:lastColumn="0" w:noHBand="0" w:noVBand="0"/>
      </w:tblPr>
      <w:tblGrid>
        <w:gridCol w:w="992"/>
        <w:gridCol w:w="8363"/>
      </w:tblGrid>
      <w:tr w:rsidR="005F44BC" w:rsidRPr="00C9343F" w14:paraId="1D416932" w14:textId="77777777" w:rsidTr="008F02BA">
        <w:tc>
          <w:tcPr>
            <w:tcW w:w="992" w:type="dxa"/>
          </w:tcPr>
          <w:p w14:paraId="040EC2F4" w14:textId="77777777" w:rsidR="005F44BC" w:rsidRPr="00C9343F" w:rsidRDefault="005F44BC" w:rsidP="00F66D98">
            <w:pPr>
              <w:pStyle w:val="BlockText-Plain"/>
              <w:jc w:val="center"/>
            </w:pPr>
            <w:r w:rsidRPr="00C9343F">
              <w:t>1.</w:t>
            </w:r>
          </w:p>
        </w:tc>
        <w:tc>
          <w:tcPr>
            <w:tcW w:w="8363" w:type="dxa"/>
          </w:tcPr>
          <w:p w14:paraId="4559B354" w14:textId="77777777" w:rsidR="005F44BC" w:rsidRPr="00C9343F" w:rsidRDefault="00843B1B" w:rsidP="00F66D98">
            <w:pPr>
              <w:pStyle w:val="BlockText-Plain"/>
            </w:pPr>
            <w:r w:rsidRPr="00C9343F">
              <w:rPr>
                <w:color w:val="000000"/>
              </w:rPr>
              <w:t>This section applies to a member in receipt of a non-reduction supplement who moves between Reserve service and continuous full-time service.</w:t>
            </w:r>
          </w:p>
        </w:tc>
      </w:tr>
      <w:tr w:rsidR="005F44BC" w:rsidRPr="00C9343F" w14:paraId="425D720E" w14:textId="77777777" w:rsidTr="008F02BA">
        <w:tc>
          <w:tcPr>
            <w:tcW w:w="992" w:type="dxa"/>
          </w:tcPr>
          <w:p w14:paraId="716D682C" w14:textId="77777777" w:rsidR="005F44BC" w:rsidRPr="00C9343F" w:rsidRDefault="005F44BC" w:rsidP="00F66D98">
            <w:pPr>
              <w:pStyle w:val="BlockText-Plain"/>
              <w:jc w:val="center"/>
            </w:pPr>
            <w:r w:rsidRPr="00C9343F">
              <w:t>2.</w:t>
            </w:r>
          </w:p>
        </w:tc>
        <w:tc>
          <w:tcPr>
            <w:tcW w:w="8363" w:type="dxa"/>
          </w:tcPr>
          <w:p w14:paraId="0D4244FE" w14:textId="77777777" w:rsidR="005F44BC" w:rsidRPr="00C9343F" w:rsidRDefault="008976D0" w:rsidP="00F66D98">
            <w:pPr>
              <w:pStyle w:val="BlockText-Plain"/>
            </w:pPr>
            <w:r w:rsidRPr="00C9343F">
              <w:rPr>
                <w:rFonts w:cs="Arial"/>
                <w:color w:val="000000"/>
                <w:shd w:val="clear" w:color="auto" w:fill="FFFFFF"/>
              </w:rPr>
              <w:t>For a period of continuous full-time service the member is to be paid the non-reduction supplement at the same rate payable under section 3.2.56.</w:t>
            </w:r>
          </w:p>
        </w:tc>
      </w:tr>
      <w:tr w:rsidR="005F44BC" w:rsidRPr="00C9343F" w14:paraId="6026C2F0" w14:textId="77777777" w:rsidTr="008F02BA">
        <w:tc>
          <w:tcPr>
            <w:tcW w:w="992" w:type="dxa"/>
          </w:tcPr>
          <w:p w14:paraId="15ED5C41" w14:textId="77777777" w:rsidR="005F44BC" w:rsidRPr="00C9343F" w:rsidRDefault="005F44BC" w:rsidP="00F66D98">
            <w:pPr>
              <w:pStyle w:val="BlockText-Plain"/>
              <w:jc w:val="center"/>
            </w:pPr>
            <w:r w:rsidRPr="00C9343F">
              <w:t>3.</w:t>
            </w:r>
          </w:p>
        </w:tc>
        <w:tc>
          <w:tcPr>
            <w:tcW w:w="8363" w:type="dxa"/>
          </w:tcPr>
          <w:p w14:paraId="4DF8E2EF" w14:textId="77777777" w:rsidR="005F44BC" w:rsidRPr="00C9343F" w:rsidRDefault="00843B1B" w:rsidP="00F66D98">
            <w:pPr>
              <w:pStyle w:val="BlockText-Plain"/>
            </w:pPr>
            <w:r w:rsidRPr="00C9343F">
              <w:rPr>
                <w:color w:val="000000"/>
              </w:rPr>
              <w:t>For the period of Reserve service, the member is to be paid the non-reduction supplement at a daily rate worked out under section 3.2.57.</w:t>
            </w:r>
          </w:p>
        </w:tc>
      </w:tr>
    </w:tbl>
    <w:p w14:paraId="13127591" w14:textId="350932C8" w:rsidR="008F02BA" w:rsidRPr="00C9343F" w:rsidRDefault="008F02BA" w:rsidP="00F66D98">
      <w:pPr>
        <w:pStyle w:val="Heading5"/>
      </w:pPr>
      <w:bookmarkStart w:id="528" w:name="_Toc105053738"/>
      <w:r w:rsidRPr="00C9343F">
        <w:t>3.2.59</w:t>
      </w:r>
      <w:r w:rsidR="00D94006" w:rsidRPr="00C9343F">
        <w:t>    </w:t>
      </w:r>
      <w:r w:rsidRPr="00C9343F">
        <w:t>Member on salary non-reduction or salary preservation on 13 May 2021</w:t>
      </w:r>
      <w:bookmarkEnd w:id="528"/>
    </w:p>
    <w:tbl>
      <w:tblPr>
        <w:tblW w:w="9359" w:type="dxa"/>
        <w:tblInd w:w="113" w:type="dxa"/>
        <w:tblLayout w:type="fixed"/>
        <w:tblLook w:val="0000" w:firstRow="0" w:lastRow="0" w:firstColumn="0" w:lastColumn="0" w:noHBand="0" w:noVBand="0"/>
      </w:tblPr>
      <w:tblGrid>
        <w:gridCol w:w="992"/>
        <w:gridCol w:w="596"/>
        <w:gridCol w:w="567"/>
        <w:gridCol w:w="7204"/>
      </w:tblGrid>
      <w:tr w:rsidR="008F02BA" w:rsidRPr="00C9343F" w14:paraId="6679314A" w14:textId="77777777" w:rsidTr="0027112A">
        <w:tc>
          <w:tcPr>
            <w:tcW w:w="992" w:type="dxa"/>
          </w:tcPr>
          <w:p w14:paraId="4634EB2E" w14:textId="77777777" w:rsidR="008F02BA" w:rsidRPr="00C9343F" w:rsidRDefault="008F02BA" w:rsidP="00F66D98">
            <w:pPr>
              <w:pStyle w:val="Sectiontext0"/>
              <w:jc w:val="center"/>
            </w:pPr>
            <w:r w:rsidRPr="00C9343F">
              <w:t>1.</w:t>
            </w:r>
          </w:p>
        </w:tc>
        <w:tc>
          <w:tcPr>
            <w:tcW w:w="8367" w:type="dxa"/>
            <w:gridSpan w:val="3"/>
          </w:tcPr>
          <w:p w14:paraId="772F23B1" w14:textId="4DB0F0B1" w:rsidR="008F02BA" w:rsidRPr="00C9343F" w:rsidRDefault="00A179F1" w:rsidP="00F66D98">
            <w:pPr>
              <w:pStyle w:val="Sectiontext0"/>
            </w:pPr>
            <w:r w:rsidRPr="00C9343F">
              <w:rPr>
                <w:iCs/>
              </w:rPr>
              <w:t>This section applies to a member if all of the following apply on 13 May 2021.</w:t>
            </w:r>
          </w:p>
        </w:tc>
      </w:tr>
      <w:tr w:rsidR="008F02BA" w:rsidRPr="00C9343F" w14:paraId="61454AF1" w14:textId="77777777" w:rsidTr="0027112A">
        <w:tc>
          <w:tcPr>
            <w:tcW w:w="992" w:type="dxa"/>
          </w:tcPr>
          <w:p w14:paraId="5264C49D" w14:textId="77777777" w:rsidR="008F02BA" w:rsidRPr="00C9343F" w:rsidRDefault="008F02BA" w:rsidP="00F66D98">
            <w:pPr>
              <w:pStyle w:val="Sectiontext0"/>
              <w:jc w:val="center"/>
            </w:pPr>
          </w:p>
        </w:tc>
        <w:tc>
          <w:tcPr>
            <w:tcW w:w="596" w:type="dxa"/>
          </w:tcPr>
          <w:p w14:paraId="7ED7A7FA" w14:textId="77777777" w:rsidR="008F02BA" w:rsidRPr="00C9343F" w:rsidRDefault="008F02BA" w:rsidP="00F66D98">
            <w:pPr>
              <w:pStyle w:val="Sectiontext0"/>
              <w:jc w:val="center"/>
            </w:pPr>
            <w:r w:rsidRPr="00C9343F">
              <w:t>a.</w:t>
            </w:r>
          </w:p>
        </w:tc>
        <w:tc>
          <w:tcPr>
            <w:tcW w:w="7771" w:type="dxa"/>
            <w:gridSpan w:val="2"/>
          </w:tcPr>
          <w:p w14:paraId="32542612" w14:textId="77777777" w:rsidR="008F02BA" w:rsidRPr="00C9343F" w:rsidRDefault="008F02BA" w:rsidP="00F66D98">
            <w:pPr>
              <w:pStyle w:val="Sectiontext0"/>
            </w:pPr>
            <w:r w:rsidRPr="00C9343F">
              <w:t>The member was on one of the following.</w:t>
            </w:r>
          </w:p>
        </w:tc>
      </w:tr>
      <w:tr w:rsidR="00A179F1" w:rsidRPr="00C9343F" w14:paraId="2599C5D2" w14:textId="77777777" w:rsidTr="0027112A">
        <w:tc>
          <w:tcPr>
            <w:tcW w:w="992" w:type="dxa"/>
          </w:tcPr>
          <w:p w14:paraId="3A58E78D" w14:textId="77777777" w:rsidR="00A179F1" w:rsidRPr="00C9343F" w:rsidRDefault="00A179F1" w:rsidP="00F66D98">
            <w:pPr>
              <w:pStyle w:val="Sectiontext0"/>
              <w:jc w:val="center"/>
            </w:pPr>
          </w:p>
        </w:tc>
        <w:tc>
          <w:tcPr>
            <w:tcW w:w="596" w:type="dxa"/>
          </w:tcPr>
          <w:p w14:paraId="7FB7EA8E" w14:textId="77777777" w:rsidR="00A179F1" w:rsidRPr="00C9343F" w:rsidRDefault="00A179F1" w:rsidP="00F66D98">
            <w:pPr>
              <w:pStyle w:val="Sectiontext0"/>
              <w:jc w:val="center"/>
            </w:pPr>
          </w:p>
        </w:tc>
        <w:tc>
          <w:tcPr>
            <w:tcW w:w="567" w:type="dxa"/>
          </w:tcPr>
          <w:p w14:paraId="4DAE3DB9" w14:textId="77777777" w:rsidR="00A179F1" w:rsidRPr="00C9343F" w:rsidRDefault="00A179F1" w:rsidP="00F66D98">
            <w:pPr>
              <w:pStyle w:val="Sectiontext0"/>
            </w:pPr>
            <w:r w:rsidRPr="00C9343F">
              <w:t>i.</w:t>
            </w:r>
          </w:p>
        </w:tc>
        <w:tc>
          <w:tcPr>
            <w:tcW w:w="7204" w:type="dxa"/>
          </w:tcPr>
          <w:p w14:paraId="3082D107" w14:textId="23F9983E" w:rsidR="00A179F1" w:rsidRPr="00C9343F" w:rsidRDefault="00A179F1" w:rsidP="00F66D98">
            <w:pPr>
              <w:pStyle w:val="Sectiontext0"/>
            </w:pPr>
            <w:r w:rsidRPr="00C9343F">
              <w:t>A salary non-reduction provision under this Division.</w:t>
            </w:r>
          </w:p>
        </w:tc>
      </w:tr>
      <w:tr w:rsidR="00A179F1" w:rsidRPr="00C9343F" w14:paraId="024F50AB" w14:textId="77777777" w:rsidTr="0027112A">
        <w:tc>
          <w:tcPr>
            <w:tcW w:w="992" w:type="dxa"/>
          </w:tcPr>
          <w:p w14:paraId="1746DFAF" w14:textId="77777777" w:rsidR="00A179F1" w:rsidRPr="00C9343F" w:rsidRDefault="00A179F1" w:rsidP="00F66D98">
            <w:pPr>
              <w:pStyle w:val="Sectiontext0"/>
              <w:jc w:val="center"/>
            </w:pPr>
          </w:p>
        </w:tc>
        <w:tc>
          <w:tcPr>
            <w:tcW w:w="596" w:type="dxa"/>
          </w:tcPr>
          <w:p w14:paraId="1500009D" w14:textId="77777777" w:rsidR="00A179F1" w:rsidRPr="00C9343F" w:rsidRDefault="00A179F1" w:rsidP="00F66D98">
            <w:pPr>
              <w:pStyle w:val="Sectiontext0"/>
              <w:jc w:val="center"/>
            </w:pPr>
          </w:p>
        </w:tc>
        <w:tc>
          <w:tcPr>
            <w:tcW w:w="567" w:type="dxa"/>
          </w:tcPr>
          <w:p w14:paraId="3C2437D0" w14:textId="77777777" w:rsidR="00A179F1" w:rsidRPr="00C9343F" w:rsidRDefault="00A179F1" w:rsidP="00F66D98">
            <w:pPr>
              <w:pStyle w:val="Sectiontext0"/>
            </w:pPr>
            <w:r w:rsidRPr="00C9343F">
              <w:t>ii.</w:t>
            </w:r>
          </w:p>
        </w:tc>
        <w:tc>
          <w:tcPr>
            <w:tcW w:w="7204" w:type="dxa"/>
          </w:tcPr>
          <w:p w14:paraId="547E09EB" w14:textId="21D770B5" w:rsidR="00A179F1" w:rsidRPr="00C9343F" w:rsidRDefault="00A179F1" w:rsidP="00F66D98">
            <w:pPr>
              <w:pStyle w:val="Sectiontext0"/>
            </w:pPr>
            <w:r w:rsidRPr="00C9343F">
              <w:t xml:space="preserve">A salary preservation provision under Part C of DFRT Determination No. 2 of 2017, </w:t>
            </w:r>
            <w:r w:rsidRPr="00C9343F">
              <w:rPr>
                <w:i/>
                <w:iCs/>
              </w:rPr>
              <w:t>Salaries</w:t>
            </w:r>
            <w:r w:rsidRPr="00C9343F">
              <w:t>.</w:t>
            </w:r>
          </w:p>
        </w:tc>
      </w:tr>
      <w:tr w:rsidR="008F02BA" w:rsidRPr="00C9343F" w14:paraId="797DA1C6" w14:textId="77777777" w:rsidTr="0027112A">
        <w:tc>
          <w:tcPr>
            <w:tcW w:w="992" w:type="dxa"/>
          </w:tcPr>
          <w:p w14:paraId="37D670DC" w14:textId="77777777" w:rsidR="008F02BA" w:rsidRPr="00C9343F" w:rsidRDefault="008F02BA" w:rsidP="00F66D98">
            <w:pPr>
              <w:pStyle w:val="Sectiontext0"/>
              <w:jc w:val="center"/>
            </w:pPr>
          </w:p>
        </w:tc>
        <w:tc>
          <w:tcPr>
            <w:tcW w:w="596" w:type="dxa"/>
          </w:tcPr>
          <w:p w14:paraId="38B47F5E" w14:textId="77777777" w:rsidR="008F02BA" w:rsidRPr="00C9343F" w:rsidRDefault="008F02BA" w:rsidP="00F66D98">
            <w:pPr>
              <w:pStyle w:val="Sectiontext0"/>
              <w:jc w:val="center"/>
            </w:pPr>
            <w:r w:rsidRPr="00C9343F">
              <w:t>b.</w:t>
            </w:r>
          </w:p>
        </w:tc>
        <w:tc>
          <w:tcPr>
            <w:tcW w:w="7771" w:type="dxa"/>
            <w:gridSpan w:val="2"/>
          </w:tcPr>
          <w:p w14:paraId="7F8702A6" w14:textId="0178FCA9" w:rsidR="008F02BA" w:rsidRPr="00C9343F" w:rsidRDefault="00A179F1" w:rsidP="00F66D98">
            <w:pPr>
              <w:pStyle w:val="Sectiontext0"/>
            </w:pPr>
            <w:r w:rsidRPr="00C9343F">
              <w:t>The member’s salary on 13 May 2021 is less than the sum of the following on 12 May 2021.</w:t>
            </w:r>
          </w:p>
        </w:tc>
      </w:tr>
      <w:tr w:rsidR="00A179F1" w:rsidRPr="00C9343F" w14:paraId="0C83217D" w14:textId="77777777" w:rsidTr="0027112A">
        <w:tc>
          <w:tcPr>
            <w:tcW w:w="992" w:type="dxa"/>
          </w:tcPr>
          <w:p w14:paraId="63B4125A" w14:textId="77777777" w:rsidR="00A179F1" w:rsidRPr="00C9343F" w:rsidRDefault="00A179F1" w:rsidP="00F66D98">
            <w:pPr>
              <w:pStyle w:val="Sectiontext0"/>
              <w:jc w:val="center"/>
            </w:pPr>
          </w:p>
        </w:tc>
        <w:tc>
          <w:tcPr>
            <w:tcW w:w="596" w:type="dxa"/>
          </w:tcPr>
          <w:p w14:paraId="0E30F66B" w14:textId="77777777" w:rsidR="00A179F1" w:rsidRPr="00C9343F" w:rsidRDefault="00A179F1" w:rsidP="00F66D98">
            <w:pPr>
              <w:pStyle w:val="Sectiontext0"/>
              <w:jc w:val="center"/>
            </w:pPr>
          </w:p>
        </w:tc>
        <w:tc>
          <w:tcPr>
            <w:tcW w:w="567" w:type="dxa"/>
          </w:tcPr>
          <w:p w14:paraId="076A13AF" w14:textId="77777777" w:rsidR="00A179F1" w:rsidRPr="00C9343F" w:rsidRDefault="00A179F1" w:rsidP="00F66D98">
            <w:pPr>
              <w:pStyle w:val="Sectiontext0"/>
            </w:pPr>
            <w:r w:rsidRPr="00C9343F">
              <w:t>i.</w:t>
            </w:r>
          </w:p>
        </w:tc>
        <w:tc>
          <w:tcPr>
            <w:tcW w:w="7204" w:type="dxa"/>
          </w:tcPr>
          <w:p w14:paraId="0B81C584" w14:textId="10EE4BBC" w:rsidR="00A179F1" w:rsidRPr="00C9343F" w:rsidRDefault="00A179F1" w:rsidP="00F66D98">
            <w:pPr>
              <w:pStyle w:val="Sectiontext0"/>
            </w:pPr>
            <w:r w:rsidRPr="00C9343F">
              <w:t>The member’s salary payable under the non-reduction or salary preservation provision.</w:t>
            </w:r>
          </w:p>
        </w:tc>
      </w:tr>
      <w:tr w:rsidR="00A179F1" w:rsidRPr="00C9343F" w14:paraId="08D2AF8E" w14:textId="77777777" w:rsidTr="0027112A">
        <w:tc>
          <w:tcPr>
            <w:tcW w:w="992" w:type="dxa"/>
          </w:tcPr>
          <w:p w14:paraId="1DA8654B" w14:textId="77777777" w:rsidR="00A179F1" w:rsidRPr="00C9343F" w:rsidRDefault="00A179F1" w:rsidP="00F66D98">
            <w:pPr>
              <w:pStyle w:val="Sectiontext0"/>
              <w:jc w:val="center"/>
            </w:pPr>
          </w:p>
        </w:tc>
        <w:tc>
          <w:tcPr>
            <w:tcW w:w="596" w:type="dxa"/>
          </w:tcPr>
          <w:p w14:paraId="6042C084" w14:textId="77777777" w:rsidR="00A179F1" w:rsidRPr="00C9343F" w:rsidRDefault="00A179F1" w:rsidP="00F66D98">
            <w:pPr>
              <w:pStyle w:val="Sectiontext0"/>
              <w:jc w:val="center"/>
            </w:pPr>
          </w:p>
        </w:tc>
        <w:tc>
          <w:tcPr>
            <w:tcW w:w="567" w:type="dxa"/>
          </w:tcPr>
          <w:p w14:paraId="7BE072B9" w14:textId="77777777" w:rsidR="00A179F1" w:rsidRPr="00C9343F" w:rsidRDefault="00A179F1" w:rsidP="00F66D98">
            <w:pPr>
              <w:pStyle w:val="Sectiontext0"/>
            </w:pPr>
            <w:r w:rsidRPr="00C9343F">
              <w:t>ii.</w:t>
            </w:r>
          </w:p>
        </w:tc>
        <w:tc>
          <w:tcPr>
            <w:tcW w:w="7204" w:type="dxa"/>
          </w:tcPr>
          <w:p w14:paraId="6C9E1D30" w14:textId="399DAC32" w:rsidR="00A179F1" w:rsidRPr="00C9343F" w:rsidRDefault="00A179F1" w:rsidP="00F66D98">
            <w:pPr>
              <w:pStyle w:val="Sectiontext0"/>
            </w:pPr>
            <w:r w:rsidRPr="00C9343F">
              <w:t xml:space="preserve">Service allowance payable under Division B.2 of DFRT Determination No. 11 of 2013, </w:t>
            </w:r>
            <w:r w:rsidRPr="00C9343F">
              <w:rPr>
                <w:i/>
                <w:iCs/>
              </w:rPr>
              <w:t>ADF allowances</w:t>
            </w:r>
            <w:r w:rsidRPr="00C9343F">
              <w:t>, on 12 May 2021.</w:t>
            </w:r>
          </w:p>
        </w:tc>
      </w:tr>
      <w:tr w:rsidR="00A179F1" w:rsidRPr="00C9343F" w14:paraId="747D580C" w14:textId="77777777" w:rsidTr="0027112A">
        <w:tc>
          <w:tcPr>
            <w:tcW w:w="992" w:type="dxa"/>
          </w:tcPr>
          <w:p w14:paraId="15A58A78" w14:textId="77777777" w:rsidR="00A179F1" w:rsidRPr="00C9343F" w:rsidRDefault="00A179F1" w:rsidP="00F66D98">
            <w:pPr>
              <w:pStyle w:val="Sectiontext0"/>
              <w:jc w:val="center"/>
            </w:pPr>
          </w:p>
        </w:tc>
        <w:tc>
          <w:tcPr>
            <w:tcW w:w="596" w:type="dxa"/>
          </w:tcPr>
          <w:p w14:paraId="0ABDD3B2" w14:textId="77777777" w:rsidR="00A179F1" w:rsidRPr="00C9343F" w:rsidRDefault="00A179F1" w:rsidP="00F66D98">
            <w:pPr>
              <w:pStyle w:val="Sectiontext0"/>
              <w:jc w:val="center"/>
            </w:pPr>
          </w:p>
        </w:tc>
        <w:tc>
          <w:tcPr>
            <w:tcW w:w="567" w:type="dxa"/>
          </w:tcPr>
          <w:p w14:paraId="2F6F0CB0" w14:textId="77777777" w:rsidR="00A179F1" w:rsidRPr="00C9343F" w:rsidRDefault="00A179F1" w:rsidP="00F66D98">
            <w:pPr>
              <w:pStyle w:val="Sectiontext0"/>
            </w:pPr>
            <w:r w:rsidRPr="00C9343F">
              <w:t>iii.</w:t>
            </w:r>
          </w:p>
        </w:tc>
        <w:tc>
          <w:tcPr>
            <w:tcW w:w="7204" w:type="dxa"/>
          </w:tcPr>
          <w:p w14:paraId="5246782E" w14:textId="6CAB3A2A" w:rsidR="00A179F1" w:rsidRPr="00C9343F" w:rsidRDefault="00A179F1" w:rsidP="00F66D98">
            <w:pPr>
              <w:pStyle w:val="Sectiontext0"/>
            </w:pPr>
            <w:r w:rsidRPr="00C9343F">
              <w:t>Uniform allowance payable to the member under Chapter 10 Part 1, on 12 May 2021.</w:t>
            </w:r>
          </w:p>
        </w:tc>
      </w:tr>
      <w:tr w:rsidR="008F02BA" w:rsidRPr="00C9343F" w14:paraId="3C711827" w14:textId="77777777" w:rsidTr="0027112A">
        <w:tc>
          <w:tcPr>
            <w:tcW w:w="992" w:type="dxa"/>
          </w:tcPr>
          <w:p w14:paraId="07A7AE50" w14:textId="77777777" w:rsidR="008F02BA" w:rsidRPr="00C9343F" w:rsidRDefault="008F02BA" w:rsidP="00F66D98">
            <w:pPr>
              <w:pStyle w:val="Sectiontext0"/>
              <w:jc w:val="center"/>
            </w:pPr>
            <w:r w:rsidRPr="00C9343F">
              <w:t>2.</w:t>
            </w:r>
          </w:p>
        </w:tc>
        <w:tc>
          <w:tcPr>
            <w:tcW w:w="8367" w:type="dxa"/>
            <w:gridSpan w:val="3"/>
          </w:tcPr>
          <w:p w14:paraId="46D6E08B" w14:textId="77777777" w:rsidR="008F02BA" w:rsidRPr="00C9343F" w:rsidRDefault="008F02BA" w:rsidP="00F66D98">
            <w:pPr>
              <w:pStyle w:val="Sectiontext0"/>
            </w:pPr>
            <w:r w:rsidRPr="00C9343F">
              <w:t>The member is to be paid a fortnightly allowance calculated using the following.</w:t>
            </w:r>
          </w:p>
        </w:tc>
      </w:tr>
      <w:tr w:rsidR="008F02BA" w:rsidRPr="00C9343F" w14:paraId="6084BDD7" w14:textId="77777777" w:rsidTr="0027112A">
        <w:tc>
          <w:tcPr>
            <w:tcW w:w="992" w:type="dxa"/>
          </w:tcPr>
          <w:p w14:paraId="59B859F9" w14:textId="77777777" w:rsidR="008F02BA" w:rsidRPr="00C9343F" w:rsidRDefault="008F02BA" w:rsidP="00F66D98">
            <w:pPr>
              <w:pStyle w:val="Sectiontext0"/>
              <w:jc w:val="center"/>
            </w:pPr>
          </w:p>
        </w:tc>
        <w:tc>
          <w:tcPr>
            <w:tcW w:w="8367" w:type="dxa"/>
            <w:gridSpan w:val="3"/>
          </w:tcPr>
          <w:p w14:paraId="10607C14" w14:textId="77777777" w:rsidR="008F02BA" w:rsidRPr="00C9343F" w:rsidRDefault="008F02BA" w:rsidP="00F66D98">
            <w:pPr>
              <w:pStyle w:val="Sectiontext0"/>
              <w:rPr>
                <w:b/>
              </w:rPr>
            </w:pPr>
            <m:oMathPara>
              <m:oMath>
                <m:r>
                  <m:rPr>
                    <m:sty m:val="bi"/>
                  </m:rPr>
                  <w:rPr>
                    <w:rFonts w:ascii="Cambria Math" w:hAnsi="Cambria Math"/>
                  </w:rPr>
                  <m:t>allowance payable=</m:t>
                </m:r>
                <m:d>
                  <m:dPr>
                    <m:ctrlPr>
                      <w:rPr>
                        <w:rFonts w:ascii="Cambria Math" w:hAnsi="Cambria Math"/>
                        <w:b/>
                        <w:i/>
                      </w:rPr>
                    </m:ctrlPr>
                  </m:dPr>
                  <m:e>
                    <m:r>
                      <m:rPr>
                        <m:sty m:val="bi"/>
                      </m:rPr>
                      <w:rPr>
                        <w:rFonts w:ascii="Cambria Math" w:hAnsi="Cambria Math"/>
                      </w:rPr>
                      <m:t>A+B+C</m:t>
                    </m:r>
                  </m:e>
                </m:d>
                <m:r>
                  <m:rPr>
                    <m:sty m:val="bi"/>
                  </m:rPr>
                  <w:rPr>
                    <w:rFonts w:ascii="Cambria Math" w:hAnsi="Cambria Math"/>
                  </w:rPr>
                  <m:t>-D</m:t>
                </m:r>
              </m:oMath>
            </m:oMathPara>
          </w:p>
        </w:tc>
      </w:tr>
      <w:tr w:rsidR="008F02BA" w:rsidRPr="00C9343F" w14:paraId="64CFA2E0" w14:textId="77777777" w:rsidTr="0027112A">
        <w:tc>
          <w:tcPr>
            <w:tcW w:w="992" w:type="dxa"/>
          </w:tcPr>
          <w:p w14:paraId="5F73D23F" w14:textId="77777777" w:rsidR="008F02BA" w:rsidRPr="00C9343F" w:rsidRDefault="008F02BA" w:rsidP="00F66D98">
            <w:pPr>
              <w:pStyle w:val="Sectiontext0"/>
              <w:jc w:val="center"/>
            </w:pPr>
          </w:p>
        </w:tc>
        <w:tc>
          <w:tcPr>
            <w:tcW w:w="8367" w:type="dxa"/>
            <w:gridSpan w:val="3"/>
          </w:tcPr>
          <w:p w14:paraId="79559F5D" w14:textId="77777777" w:rsidR="008F02BA" w:rsidRPr="00C9343F" w:rsidRDefault="008F02BA" w:rsidP="00F66D98">
            <w:pPr>
              <w:pStyle w:val="Sectiontext0"/>
            </w:pPr>
            <w:r w:rsidRPr="00C9343F">
              <w:t>Where:</w:t>
            </w:r>
          </w:p>
        </w:tc>
      </w:tr>
      <w:tr w:rsidR="008F02BA" w:rsidRPr="00C9343F" w14:paraId="03F459EB" w14:textId="77777777" w:rsidTr="0027112A">
        <w:tc>
          <w:tcPr>
            <w:tcW w:w="992" w:type="dxa"/>
          </w:tcPr>
          <w:p w14:paraId="0CA86164" w14:textId="77777777" w:rsidR="008F02BA" w:rsidRPr="00C9343F" w:rsidRDefault="008F02BA" w:rsidP="00F66D98">
            <w:pPr>
              <w:pStyle w:val="Sectiontext0"/>
              <w:jc w:val="center"/>
            </w:pPr>
          </w:p>
        </w:tc>
        <w:tc>
          <w:tcPr>
            <w:tcW w:w="596" w:type="dxa"/>
          </w:tcPr>
          <w:p w14:paraId="32ACF007" w14:textId="77777777" w:rsidR="008F02BA" w:rsidRPr="00C9343F" w:rsidRDefault="008F02BA" w:rsidP="00F66D98">
            <w:pPr>
              <w:pStyle w:val="Sectiontext0"/>
              <w:jc w:val="center"/>
              <w:rPr>
                <w:b/>
              </w:rPr>
            </w:pPr>
            <w:r w:rsidRPr="00C9343F">
              <w:rPr>
                <w:b/>
              </w:rPr>
              <w:t>A</w:t>
            </w:r>
          </w:p>
        </w:tc>
        <w:tc>
          <w:tcPr>
            <w:tcW w:w="7771" w:type="dxa"/>
            <w:gridSpan w:val="2"/>
          </w:tcPr>
          <w:p w14:paraId="2F8106F3" w14:textId="77777777" w:rsidR="008F02BA" w:rsidRPr="00C9343F" w:rsidRDefault="008F02BA" w:rsidP="00F66D98">
            <w:pPr>
              <w:pStyle w:val="Sectiontext0"/>
            </w:pPr>
            <w:r w:rsidRPr="00C9343F">
              <w:t>is the member's fortnightly salary payable under the non-reduction or salary preservation provision, on 12 May 2021.</w:t>
            </w:r>
          </w:p>
        </w:tc>
      </w:tr>
      <w:tr w:rsidR="008F02BA" w:rsidRPr="00C9343F" w14:paraId="7A9FCF01" w14:textId="77777777" w:rsidTr="0027112A">
        <w:tc>
          <w:tcPr>
            <w:tcW w:w="992" w:type="dxa"/>
          </w:tcPr>
          <w:p w14:paraId="502A4458" w14:textId="77777777" w:rsidR="008F02BA" w:rsidRPr="00C9343F" w:rsidRDefault="008F02BA" w:rsidP="00F66D98">
            <w:pPr>
              <w:pStyle w:val="Sectiontext0"/>
              <w:jc w:val="center"/>
            </w:pPr>
          </w:p>
        </w:tc>
        <w:tc>
          <w:tcPr>
            <w:tcW w:w="596" w:type="dxa"/>
          </w:tcPr>
          <w:p w14:paraId="008CB1C0" w14:textId="77777777" w:rsidR="008F02BA" w:rsidRPr="00C9343F" w:rsidRDefault="008F02BA" w:rsidP="00F66D98">
            <w:pPr>
              <w:pStyle w:val="Sectiontext0"/>
              <w:jc w:val="center"/>
              <w:rPr>
                <w:b/>
              </w:rPr>
            </w:pPr>
            <w:r w:rsidRPr="00C9343F">
              <w:rPr>
                <w:b/>
              </w:rPr>
              <w:t>B</w:t>
            </w:r>
          </w:p>
        </w:tc>
        <w:tc>
          <w:tcPr>
            <w:tcW w:w="7771" w:type="dxa"/>
            <w:gridSpan w:val="2"/>
          </w:tcPr>
          <w:p w14:paraId="308BB4B2" w14:textId="77777777" w:rsidR="008F02BA" w:rsidRPr="00C9343F" w:rsidRDefault="008F02BA" w:rsidP="00F66D98">
            <w:pPr>
              <w:pStyle w:val="Sectiontext0"/>
            </w:pPr>
            <w:r w:rsidRPr="00C9343F">
              <w:t>is the member's fortnightly Service allowance payable on 12 May 2021.</w:t>
            </w:r>
          </w:p>
        </w:tc>
      </w:tr>
      <w:tr w:rsidR="008F02BA" w:rsidRPr="00C9343F" w14:paraId="1BF39E8E" w14:textId="77777777" w:rsidTr="0027112A">
        <w:tc>
          <w:tcPr>
            <w:tcW w:w="992" w:type="dxa"/>
          </w:tcPr>
          <w:p w14:paraId="5FD5437F" w14:textId="77777777" w:rsidR="008F02BA" w:rsidRPr="00C9343F" w:rsidRDefault="008F02BA" w:rsidP="00F66D98">
            <w:pPr>
              <w:pStyle w:val="Sectiontext0"/>
              <w:jc w:val="center"/>
            </w:pPr>
          </w:p>
        </w:tc>
        <w:tc>
          <w:tcPr>
            <w:tcW w:w="596" w:type="dxa"/>
          </w:tcPr>
          <w:p w14:paraId="138B578D" w14:textId="77777777" w:rsidR="008F02BA" w:rsidRPr="00C9343F" w:rsidRDefault="008F02BA" w:rsidP="00F66D98">
            <w:pPr>
              <w:pStyle w:val="Sectiontext0"/>
              <w:jc w:val="center"/>
              <w:rPr>
                <w:b/>
              </w:rPr>
            </w:pPr>
            <w:r w:rsidRPr="00C9343F">
              <w:rPr>
                <w:b/>
              </w:rPr>
              <w:t>C</w:t>
            </w:r>
          </w:p>
        </w:tc>
        <w:tc>
          <w:tcPr>
            <w:tcW w:w="7771" w:type="dxa"/>
            <w:gridSpan w:val="2"/>
          </w:tcPr>
          <w:p w14:paraId="63AA6BBA" w14:textId="77777777" w:rsidR="008F02BA" w:rsidRPr="00C9343F" w:rsidRDefault="008F02BA" w:rsidP="00F66D98">
            <w:pPr>
              <w:pStyle w:val="Sectiontext0"/>
            </w:pPr>
            <w:r w:rsidRPr="00C9343F">
              <w:t>is the fortnightly amount of uniform allowance payable to the member on 12 May 2021.</w:t>
            </w:r>
          </w:p>
        </w:tc>
      </w:tr>
      <w:tr w:rsidR="008F02BA" w:rsidRPr="00C9343F" w14:paraId="2DADD78D" w14:textId="77777777" w:rsidTr="0027112A">
        <w:tc>
          <w:tcPr>
            <w:tcW w:w="992" w:type="dxa"/>
          </w:tcPr>
          <w:p w14:paraId="6C167B36" w14:textId="77777777" w:rsidR="008F02BA" w:rsidRPr="00C9343F" w:rsidRDefault="008F02BA" w:rsidP="00F66D98">
            <w:pPr>
              <w:pStyle w:val="Sectiontext0"/>
              <w:jc w:val="center"/>
            </w:pPr>
          </w:p>
        </w:tc>
        <w:tc>
          <w:tcPr>
            <w:tcW w:w="596" w:type="dxa"/>
          </w:tcPr>
          <w:p w14:paraId="3581A75A" w14:textId="77777777" w:rsidR="008F02BA" w:rsidRPr="00C9343F" w:rsidRDefault="008F02BA" w:rsidP="00F66D98">
            <w:pPr>
              <w:pStyle w:val="Sectiontext0"/>
              <w:jc w:val="center"/>
              <w:rPr>
                <w:b/>
              </w:rPr>
            </w:pPr>
            <w:r w:rsidRPr="00C9343F">
              <w:rPr>
                <w:b/>
              </w:rPr>
              <w:t>D</w:t>
            </w:r>
          </w:p>
        </w:tc>
        <w:tc>
          <w:tcPr>
            <w:tcW w:w="7771" w:type="dxa"/>
            <w:gridSpan w:val="2"/>
          </w:tcPr>
          <w:p w14:paraId="49FDEE5A" w14:textId="77777777" w:rsidR="008F02BA" w:rsidRPr="00C9343F" w:rsidRDefault="008F02BA" w:rsidP="00F66D98">
            <w:pPr>
              <w:pStyle w:val="Sectiontext0"/>
            </w:pPr>
            <w:r w:rsidRPr="00C9343F">
              <w:t>is the fortnightly salary payable to the member from 13 May 2021.</w:t>
            </w:r>
          </w:p>
        </w:tc>
      </w:tr>
      <w:tr w:rsidR="008F02BA" w:rsidRPr="00C9343F" w14:paraId="681A5015" w14:textId="77777777" w:rsidTr="0027112A">
        <w:tc>
          <w:tcPr>
            <w:tcW w:w="992" w:type="dxa"/>
          </w:tcPr>
          <w:p w14:paraId="0133026F" w14:textId="77777777" w:rsidR="008F02BA" w:rsidRPr="00C9343F" w:rsidRDefault="008F02BA" w:rsidP="00F66D98">
            <w:pPr>
              <w:pStyle w:val="Sectiontext0"/>
              <w:jc w:val="center"/>
            </w:pPr>
            <w:r w:rsidRPr="00C9343F">
              <w:t>3.</w:t>
            </w:r>
          </w:p>
        </w:tc>
        <w:tc>
          <w:tcPr>
            <w:tcW w:w="8367" w:type="dxa"/>
            <w:gridSpan w:val="3"/>
          </w:tcPr>
          <w:p w14:paraId="1CF1175F" w14:textId="77777777" w:rsidR="008F02BA" w:rsidRPr="00C9343F" w:rsidRDefault="008F02BA" w:rsidP="00F66D98">
            <w:pPr>
              <w:pStyle w:val="Sectiontext0"/>
            </w:pPr>
            <w:r w:rsidRPr="00C9343F">
              <w:t xml:space="preserve">The salary and service allowance rates under paragraph 1.b and subsection 2 are adjusted by the same proportion as any general salary increase applicable to members of the ADF. </w:t>
            </w:r>
          </w:p>
        </w:tc>
      </w:tr>
      <w:tr w:rsidR="008F02BA" w:rsidRPr="00C9343F" w14:paraId="1349B69D" w14:textId="77777777" w:rsidTr="0027112A">
        <w:tc>
          <w:tcPr>
            <w:tcW w:w="992" w:type="dxa"/>
          </w:tcPr>
          <w:p w14:paraId="547F204A" w14:textId="77777777" w:rsidR="008F02BA" w:rsidRPr="00C9343F" w:rsidRDefault="008F02BA" w:rsidP="00F66D98">
            <w:pPr>
              <w:pStyle w:val="Sectiontext0"/>
              <w:jc w:val="center"/>
            </w:pPr>
            <w:r w:rsidRPr="00C9343F">
              <w:t>4.</w:t>
            </w:r>
          </w:p>
        </w:tc>
        <w:tc>
          <w:tcPr>
            <w:tcW w:w="8367" w:type="dxa"/>
            <w:gridSpan w:val="3"/>
          </w:tcPr>
          <w:p w14:paraId="2C069332" w14:textId="77777777" w:rsidR="008F02BA" w:rsidRPr="00C9343F" w:rsidRDefault="008F02BA" w:rsidP="00F66D98">
            <w:pPr>
              <w:pStyle w:val="Sectiontext0"/>
            </w:pPr>
            <w:r w:rsidRPr="00C9343F">
              <w:t xml:space="preserve">This section ceases to apply on the day the member ceases to be eligible for salary non-reduction or salary preservation. </w:t>
            </w:r>
          </w:p>
        </w:tc>
      </w:tr>
    </w:tbl>
    <w:p w14:paraId="0DEF6986" w14:textId="77777777" w:rsidR="008F02BA" w:rsidRPr="00C9343F" w:rsidRDefault="008F02BA" w:rsidP="00F66D98"/>
    <w:p w14:paraId="7AE7E9FF" w14:textId="77777777" w:rsidR="005F44BC" w:rsidRPr="00C9343F" w:rsidRDefault="005F44BC" w:rsidP="00F66D98">
      <w:pPr>
        <w:pStyle w:val="Heading5"/>
        <w:sectPr w:rsidR="005F44BC" w:rsidRPr="00C9343F" w:rsidSect="00C0188F">
          <w:pgSz w:w="11906" w:h="16838" w:code="9"/>
          <w:pgMar w:top="1134" w:right="1134" w:bottom="992" w:left="1418" w:header="720" w:footer="720" w:gutter="0"/>
          <w:cols w:space="720"/>
        </w:sectPr>
      </w:pPr>
    </w:p>
    <w:p w14:paraId="23375847" w14:textId="77777777" w:rsidR="00C30410" w:rsidRPr="00C9343F" w:rsidRDefault="00C30410" w:rsidP="00F66D98">
      <w:pPr>
        <w:pStyle w:val="Heading4"/>
      </w:pPr>
      <w:bookmarkStart w:id="529" w:name="_Toc105053739"/>
      <w:bookmarkStart w:id="530" w:name="bk1258033245Salarynonreductionforamembe"/>
      <w:r w:rsidRPr="00C9343F">
        <w:lastRenderedPageBreak/>
        <w:t>Annex 3.2.B: Salary non-reduction – members with the rank of Warrant Officer Class 1 or lower</w:t>
      </w:r>
      <w:bookmarkEnd w:id="529"/>
    </w:p>
    <w:p w14:paraId="1D4257E3" w14:textId="06675DB1" w:rsidR="00C30410" w:rsidRPr="00C9343F" w:rsidRDefault="00C30410" w:rsidP="00F66D98">
      <w:pPr>
        <w:pStyle w:val="Heading5"/>
      </w:pPr>
      <w:bookmarkStart w:id="531" w:name="_Toc105053740"/>
      <w:r w:rsidRPr="00C9343F">
        <w:t>Part 1: Members with the rank of Warrant Officer Class 1</w:t>
      </w:r>
      <w:bookmarkEnd w:id="531"/>
    </w:p>
    <w:tbl>
      <w:tblPr>
        <w:tblW w:w="5140" w:type="pct"/>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66"/>
        <w:gridCol w:w="1484"/>
        <w:gridCol w:w="3003"/>
        <w:gridCol w:w="2125"/>
        <w:gridCol w:w="2221"/>
      </w:tblGrid>
      <w:tr w:rsidR="00191F5D" w:rsidRPr="00C9343F" w14:paraId="51D66E01" w14:textId="77777777" w:rsidTr="006E5056">
        <w:tc>
          <w:tcPr>
            <w:tcW w:w="399" w:type="pct"/>
            <w:tcBorders>
              <w:top w:val="single" w:sz="6" w:space="0" w:color="auto"/>
              <w:left w:val="single" w:sz="6" w:space="0" w:color="auto"/>
              <w:bottom w:val="single" w:sz="6" w:space="0" w:color="auto"/>
              <w:right w:val="single" w:sz="6" w:space="0" w:color="auto"/>
            </w:tcBorders>
            <w:hideMark/>
          </w:tcPr>
          <w:p w14:paraId="7FFB1188" w14:textId="77777777" w:rsidR="00191F5D" w:rsidRPr="00C9343F" w:rsidRDefault="00191F5D" w:rsidP="00F66D98">
            <w:pPr>
              <w:spacing w:before="20" w:line="254" w:lineRule="auto"/>
              <w:jc w:val="center"/>
              <w:rPr>
                <w:rFonts w:cs="Arial"/>
                <w:b/>
                <w:color w:val="000000"/>
                <w:sz w:val="20"/>
                <w:szCs w:val="22"/>
              </w:rPr>
            </w:pPr>
            <w:r w:rsidRPr="00C9343F">
              <w:rPr>
                <w:rFonts w:cs="Arial"/>
                <w:b/>
                <w:bCs/>
                <w:color w:val="000000"/>
                <w:sz w:val="20"/>
              </w:rPr>
              <w:t>Item</w:t>
            </w:r>
          </w:p>
        </w:tc>
        <w:tc>
          <w:tcPr>
            <w:tcW w:w="773" w:type="pct"/>
            <w:tcBorders>
              <w:top w:val="single" w:sz="6" w:space="0" w:color="auto"/>
              <w:left w:val="single" w:sz="6" w:space="0" w:color="auto"/>
              <w:bottom w:val="single" w:sz="6" w:space="0" w:color="auto"/>
              <w:right w:val="single" w:sz="6" w:space="0" w:color="auto"/>
            </w:tcBorders>
            <w:hideMark/>
          </w:tcPr>
          <w:p w14:paraId="5DDC8F0E" w14:textId="77777777" w:rsidR="00191F5D" w:rsidRPr="00C9343F" w:rsidRDefault="00191F5D" w:rsidP="00F66D98">
            <w:pPr>
              <w:spacing w:before="20" w:line="254" w:lineRule="auto"/>
              <w:jc w:val="center"/>
              <w:rPr>
                <w:rFonts w:cstheme="minorBidi"/>
                <w:b/>
                <w:color w:val="000000"/>
                <w:sz w:val="20"/>
              </w:rPr>
            </w:pPr>
            <w:r w:rsidRPr="00C9343F">
              <w:rPr>
                <w:rFonts w:cs="Arial"/>
                <w:b/>
                <w:bCs/>
                <w:color w:val="000000"/>
                <w:sz w:val="20"/>
              </w:rPr>
              <w:t>Column A</w:t>
            </w:r>
          </w:p>
          <w:p w14:paraId="716907A4" w14:textId="77777777" w:rsidR="00191F5D" w:rsidRPr="00C9343F" w:rsidRDefault="00191F5D" w:rsidP="00F66D98">
            <w:pPr>
              <w:spacing w:before="20" w:line="254" w:lineRule="auto"/>
              <w:jc w:val="center"/>
              <w:rPr>
                <w:b/>
                <w:color w:val="000000"/>
                <w:sz w:val="20"/>
              </w:rPr>
            </w:pPr>
            <w:r w:rsidRPr="00C9343F">
              <w:rPr>
                <w:rFonts w:cs="Arial"/>
                <w:b/>
                <w:bCs/>
                <w:color w:val="000000"/>
                <w:sz w:val="20"/>
              </w:rPr>
              <w:t>Pay Grade</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5570C92" w14:textId="77777777" w:rsidR="00191F5D" w:rsidRPr="00C9343F" w:rsidRDefault="00191F5D" w:rsidP="00F66D98">
            <w:pPr>
              <w:spacing w:before="20" w:line="254" w:lineRule="auto"/>
              <w:jc w:val="center"/>
              <w:rPr>
                <w:rFonts w:cs="Arial"/>
                <w:sz w:val="20"/>
              </w:rPr>
            </w:pPr>
            <w:r w:rsidRPr="00C9343F">
              <w:rPr>
                <w:rFonts w:cs="Arial"/>
                <w:b/>
                <w:bCs/>
                <w:color w:val="000000"/>
                <w:sz w:val="20"/>
              </w:rPr>
              <w:t>Column B</w:t>
            </w:r>
          </w:p>
          <w:p w14:paraId="578A2FC1" w14:textId="77777777" w:rsidR="00191F5D" w:rsidRPr="00C9343F" w:rsidRDefault="00191F5D" w:rsidP="00F66D98">
            <w:pPr>
              <w:spacing w:before="20" w:after="120" w:line="254" w:lineRule="auto"/>
              <w:jc w:val="center"/>
              <w:rPr>
                <w:rFonts w:cs="Arial"/>
                <w:b/>
                <w:color w:val="000000"/>
                <w:sz w:val="20"/>
                <w:szCs w:val="22"/>
              </w:rPr>
            </w:pPr>
            <w:r w:rsidRPr="00C9343F">
              <w:rPr>
                <w:rFonts w:cs="Arial"/>
                <w:b/>
                <w:bCs/>
                <w:color w:val="000000"/>
                <w:sz w:val="20"/>
              </w:rPr>
              <w:t>Employment category and conditions (if any)</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B56DC79" w14:textId="77777777" w:rsidR="00191F5D" w:rsidRPr="00C9343F" w:rsidRDefault="00191F5D" w:rsidP="00F66D98">
            <w:pPr>
              <w:spacing w:before="20" w:line="254" w:lineRule="auto"/>
              <w:jc w:val="center"/>
              <w:rPr>
                <w:rFonts w:cs="Arial"/>
                <w:sz w:val="20"/>
              </w:rPr>
            </w:pPr>
            <w:r w:rsidRPr="00C9343F">
              <w:rPr>
                <w:rFonts w:cs="Arial"/>
                <w:b/>
                <w:bCs/>
                <w:color w:val="000000"/>
                <w:sz w:val="20"/>
              </w:rPr>
              <w:t>Column C</w:t>
            </w:r>
          </w:p>
          <w:p w14:paraId="7E54F43B" w14:textId="77777777" w:rsidR="00191F5D" w:rsidRPr="00C9343F" w:rsidRDefault="00191F5D" w:rsidP="00F66D98">
            <w:pPr>
              <w:spacing w:before="20" w:after="120" w:line="254" w:lineRule="auto"/>
              <w:jc w:val="center"/>
              <w:rPr>
                <w:rFonts w:cs="Arial"/>
                <w:sz w:val="20"/>
              </w:rPr>
            </w:pPr>
            <w:r w:rsidRPr="00C9343F">
              <w:rPr>
                <w:rFonts w:cs="Arial"/>
                <w:b/>
                <w:bCs/>
                <w:color w:val="000000"/>
                <w:sz w:val="20"/>
              </w:rPr>
              <w:t>Start date</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2A7964" w14:textId="77777777" w:rsidR="00191F5D" w:rsidRPr="00C9343F" w:rsidRDefault="00191F5D" w:rsidP="00F66D98">
            <w:pPr>
              <w:spacing w:before="20" w:line="254" w:lineRule="auto"/>
              <w:jc w:val="center"/>
              <w:rPr>
                <w:rFonts w:cs="Arial"/>
                <w:sz w:val="20"/>
              </w:rPr>
            </w:pPr>
            <w:r w:rsidRPr="00C9343F">
              <w:rPr>
                <w:rFonts w:cs="Arial"/>
                <w:b/>
                <w:bCs/>
                <w:color w:val="000000"/>
                <w:sz w:val="20"/>
              </w:rPr>
              <w:t>Column D</w:t>
            </w:r>
          </w:p>
          <w:p w14:paraId="247FB1D8" w14:textId="77777777" w:rsidR="00191F5D" w:rsidRPr="00C9343F" w:rsidRDefault="00191F5D" w:rsidP="00F66D98">
            <w:pPr>
              <w:spacing w:before="20" w:after="120" w:line="254" w:lineRule="auto"/>
              <w:jc w:val="center"/>
              <w:rPr>
                <w:rFonts w:cs="Arial"/>
                <w:sz w:val="20"/>
              </w:rPr>
            </w:pPr>
            <w:r w:rsidRPr="00C9343F">
              <w:rPr>
                <w:rFonts w:cs="Arial"/>
                <w:b/>
                <w:bCs/>
                <w:color w:val="000000"/>
                <w:sz w:val="20"/>
              </w:rPr>
              <w:t>End date</w:t>
            </w:r>
          </w:p>
        </w:tc>
      </w:tr>
      <w:tr w:rsidR="00191F5D" w:rsidRPr="00C9343F" w14:paraId="6B8C237C" w14:textId="77777777" w:rsidTr="006E5056">
        <w:tc>
          <w:tcPr>
            <w:tcW w:w="399" w:type="pct"/>
            <w:tcBorders>
              <w:top w:val="single" w:sz="6" w:space="0" w:color="auto"/>
              <w:left w:val="single" w:sz="6" w:space="0" w:color="auto"/>
              <w:bottom w:val="single" w:sz="6" w:space="0" w:color="auto"/>
              <w:right w:val="single" w:sz="6" w:space="0" w:color="auto"/>
            </w:tcBorders>
          </w:tcPr>
          <w:p w14:paraId="400323DA" w14:textId="77777777" w:rsidR="00191F5D" w:rsidRPr="00C9343F" w:rsidRDefault="00191F5D" w:rsidP="00F66D98">
            <w:pPr>
              <w:spacing w:beforeLines="20" w:before="48" w:after="120" w:line="254" w:lineRule="auto"/>
              <w:jc w:val="center"/>
              <w:rPr>
                <w:rFonts w:cs="Arial"/>
                <w:b/>
                <w:bCs/>
                <w:sz w:val="20"/>
              </w:rPr>
            </w:pPr>
          </w:p>
        </w:tc>
        <w:tc>
          <w:tcPr>
            <w:tcW w:w="4601" w:type="pct"/>
            <w:gridSpan w:val="4"/>
            <w:tcBorders>
              <w:top w:val="single" w:sz="6" w:space="0" w:color="auto"/>
              <w:left w:val="single" w:sz="6" w:space="0" w:color="auto"/>
              <w:bottom w:val="single" w:sz="6" w:space="0" w:color="auto"/>
              <w:right w:val="single" w:sz="6" w:space="0" w:color="auto"/>
            </w:tcBorders>
            <w:hideMark/>
          </w:tcPr>
          <w:p w14:paraId="538334C4" w14:textId="77777777" w:rsidR="00191F5D" w:rsidRPr="00C9343F" w:rsidRDefault="00191F5D" w:rsidP="00F66D98">
            <w:pPr>
              <w:spacing w:beforeLines="20" w:before="48" w:after="120" w:line="180" w:lineRule="atLeast"/>
              <w:ind w:left="50"/>
              <w:rPr>
                <w:rFonts w:cs="Arial"/>
                <w:sz w:val="20"/>
              </w:rPr>
            </w:pPr>
            <w:r w:rsidRPr="00C9343F">
              <w:rPr>
                <w:rFonts w:cs="Arial"/>
                <w:b/>
                <w:bCs/>
                <w:sz w:val="20"/>
              </w:rPr>
              <w:t>NAVY</w:t>
            </w:r>
          </w:p>
        </w:tc>
      </w:tr>
      <w:tr w:rsidR="00191F5D" w:rsidRPr="00C9343F" w14:paraId="3B1C6B8C" w14:textId="77777777" w:rsidTr="006E5056">
        <w:tc>
          <w:tcPr>
            <w:tcW w:w="399" w:type="pct"/>
            <w:tcBorders>
              <w:top w:val="single" w:sz="6" w:space="0" w:color="auto"/>
              <w:left w:val="single" w:sz="6" w:space="0" w:color="auto"/>
              <w:bottom w:val="single" w:sz="6" w:space="0" w:color="auto"/>
              <w:right w:val="single" w:sz="6" w:space="0" w:color="auto"/>
            </w:tcBorders>
            <w:hideMark/>
          </w:tcPr>
          <w:p w14:paraId="7A3A358B" w14:textId="77777777" w:rsidR="00191F5D" w:rsidRPr="00C9343F" w:rsidRDefault="00191F5D" w:rsidP="00F66D98">
            <w:pPr>
              <w:spacing w:before="100" w:beforeAutospacing="1" w:after="120" w:line="254" w:lineRule="auto"/>
              <w:jc w:val="center"/>
              <w:rPr>
                <w:rFonts w:cs="Arial"/>
                <w:sz w:val="20"/>
              </w:rPr>
            </w:pPr>
            <w:r w:rsidRPr="00C9343F">
              <w:rPr>
                <w:rFonts w:cs="Arial"/>
                <w:sz w:val="20"/>
              </w:rPr>
              <w:t>1AA.</w:t>
            </w:r>
          </w:p>
        </w:tc>
        <w:tc>
          <w:tcPr>
            <w:tcW w:w="773" w:type="pct"/>
            <w:tcBorders>
              <w:top w:val="single" w:sz="6" w:space="0" w:color="auto"/>
              <w:left w:val="single" w:sz="6" w:space="0" w:color="auto"/>
              <w:bottom w:val="single" w:sz="6" w:space="0" w:color="auto"/>
              <w:right w:val="single" w:sz="6" w:space="0" w:color="auto"/>
            </w:tcBorders>
            <w:hideMark/>
          </w:tcPr>
          <w:p w14:paraId="26250C1C" w14:textId="77777777" w:rsidR="00191F5D" w:rsidRPr="00C9343F" w:rsidRDefault="00191F5D" w:rsidP="00F66D98">
            <w:pPr>
              <w:spacing w:before="100" w:beforeAutospacing="1" w:after="120" w:line="254" w:lineRule="auto"/>
              <w:ind w:left="67"/>
              <w:rPr>
                <w:rFonts w:cs="Arial"/>
                <w:sz w:val="20"/>
              </w:rPr>
            </w:pPr>
            <w:r w:rsidRPr="00C9343F">
              <w:rPr>
                <w:rFonts w:cs="Arial"/>
                <w:sz w:val="20"/>
              </w:rPr>
              <w:t>Pay grade 6</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64E5653" w14:textId="77777777" w:rsidR="00191F5D" w:rsidRPr="00C9343F" w:rsidRDefault="00191F5D" w:rsidP="00F66D98">
            <w:pPr>
              <w:spacing w:before="100" w:beforeAutospacing="1" w:after="120" w:line="254" w:lineRule="auto"/>
              <w:rPr>
                <w:rFonts w:cs="Arial"/>
                <w:sz w:val="20"/>
              </w:rPr>
            </w:pPr>
            <w:r w:rsidRPr="00C9343F">
              <w:rPr>
                <w:rFonts w:cs="Arial"/>
                <w:sz w:val="20"/>
              </w:rPr>
              <w:t>Communications and Information Systems — Communications Grade 5 —Tier A</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652AB49" w14:textId="77777777" w:rsidR="00191F5D" w:rsidRPr="00C9343F" w:rsidRDefault="00191F5D" w:rsidP="00F66D98">
            <w:pPr>
              <w:spacing w:before="100" w:beforeAutospacing="1" w:after="120" w:line="254" w:lineRule="auto"/>
              <w:rPr>
                <w:rFonts w:cs="Arial"/>
                <w:sz w:val="20"/>
              </w:rPr>
            </w:pPr>
            <w:r w:rsidRPr="00C9343F">
              <w:rPr>
                <w:rFonts w:cs="Arial"/>
                <w:sz w:val="20"/>
              </w:rPr>
              <w:t>1 July 2021</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81D02F" w14:textId="77777777" w:rsidR="00191F5D" w:rsidRPr="00C9343F" w:rsidRDefault="00191F5D" w:rsidP="00F66D98">
            <w:pPr>
              <w:spacing w:before="100" w:beforeAutospacing="1" w:after="120" w:line="254" w:lineRule="auto"/>
              <w:rPr>
                <w:rFonts w:cs="Arial"/>
                <w:sz w:val="20"/>
              </w:rPr>
            </w:pPr>
            <w:r w:rsidRPr="00C9343F">
              <w:rPr>
                <w:rFonts w:cs="Arial"/>
                <w:sz w:val="20"/>
              </w:rPr>
              <w:t>1 July 2026</w:t>
            </w:r>
          </w:p>
        </w:tc>
      </w:tr>
      <w:tr w:rsidR="00C30410" w:rsidRPr="00C9343F" w14:paraId="3E2B3817" w14:textId="77777777" w:rsidTr="00AA3C6C">
        <w:tc>
          <w:tcPr>
            <w:tcW w:w="399" w:type="pct"/>
            <w:tcBorders>
              <w:top w:val="single" w:sz="6" w:space="0" w:color="auto"/>
              <w:left w:val="single" w:sz="6" w:space="0" w:color="auto"/>
              <w:bottom w:val="single" w:sz="6" w:space="0" w:color="auto"/>
              <w:right w:val="single" w:sz="6" w:space="0" w:color="auto"/>
            </w:tcBorders>
          </w:tcPr>
          <w:p w14:paraId="54805ECF" w14:textId="77777777" w:rsidR="00C30410" w:rsidRPr="00C9343F" w:rsidRDefault="00C30410" w:rsidP="00F66D98">
            <w:pPr>
              <w:keepLines w:val="0"/>
              <w:rPr>
                <w:rFonts w:cs="Arial"/>
                <w:b/>
                <w:bCs/>
                <w:sz w:val="20"/>
              </w:rPr>
            </w:pPr>
          </w:p>
        </w:tc>
        <w:tc>
          <w:tcPr>
            <w:tcW w:w="4601" w:type="pct"/>
            <w:gridSpan w:val="4"/>
            <w:tcBorders>
              <w:top w:val="single" w:sz="6" w:space="0" w:color="auto"/>
              <w:left w:val="single" w:sz="6" w:space="0" w:color="auto"/>
              <w:bottom w:val="single" w:sz="6" w:space="0" w:color="auto"/>
              <w:right w:val="single" w:sz="6" w:space="0" w:color="auto"/>
            </w:tcBorders>
            <w:hideMark/>
          </w:tcPr>
          <w:p w14:paraId="5BC20AF5" w14:textId="77777777" w:rsidR="00C30410" w:rsidRPr="00C9343F" w:rsidRDefault="00C30410" w:rsidP="00F66D98">
            <w:pPr>
              <w:spacing w:beforeLines="20" w:before="48" w:after="120" w:line="180" w:lineRule="atLeast"/>
              <w:ind w:left="50"/>
              <w:rPr>
                <w:rFonts w:cs="Arial"/>
                <w:sz w:val="20"/>
              </w:rPr>
            </w:pPr>
            <w:r w:rsidRPr="00C9343F">
              <w:rPr>
                <w:rFonts w:cs="Arial"/>
                <w:b/>
                <w:bCs/>
                <w:sz w:val="20"/>
              </w:rPr>
              <w:t>ARMY</w:t>
            </w:r>
          </w:p>
        </w:tc>
      </w:tr>
      <w:tr w:rsidR="0057048C" w:rsidRPr="00C9343F" w14:paraId="093F0A28"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1B139117" w14:textId="77777777" w:rsidR="00C30410" w:rsidRPr="00C9343F" w:rsidRDefault="00C30410" w:rsidP="00F66D98">
            <w:pPr>
              <w:spacing w:before="100" w:beforeAutospacing="1" w:after="120" w:line="254" w:lineRule="auto"/>
              <w:jc w:val="center"/>
              <w:rPr>
                <w:sz w:val="20"/>
              </w:rPr>
            </w:pPr>
            <w:r w:rsidRPr="00C9343F">
              <w:rPr>
                <w:rFonts w:cs="Arial"/>
                <w:sz w:val="20"/>
              </w:rPr>
              <w:t>1.</w:t>
            </w:r>
          </w:p>
        </w:tc>
        <w:tc>
          <w:tcPr>
            <w:tcW w:w="773" w:type="pct"/>
            <w:tcBorders>
              <w:top w:val="single" w:sz="6" w:space="0" w:color="auto"/>
              <w:left w:val="single" w:sz="6" w:space="0" w:color="auto"/>
              <w:bottom w:val="single" w:sz="6" w:space="0" w:color="auto"/>
              <w:right w:val="single" w:sz="6" w:space="0" w:color="auto"/>
            </w:tcBorders>
            <w:hideMark/>
          </w:tcPr>
          <w:p w14:paraId="58B1E4D0" w14:textId="088A14D7" w:rsidR="00C30410" w:rsidRPr="00C9343F" w:rsidRDefault="00C30410" w:rsidP="00F66D98">
            <w:pPr>
              <w:spacing w:before="100" w:beforeAutospacing="1" w:after="120" w:line="254" w:lineRule="auto"/>
              <w:ind w:left="67"/>
              <w:rPr>
                <w:sz w:val="20"/>
              </w:rPr>
            </w:pPr>
            <w:r w:rsidRPr="00C9343F">
              <w:rPr>
                <w:rFonts w:cs="Arial"/>
                <w:sz w:val="20"/>
              </w:rPr>
              <w:t xml:space="preserve">Pay </w:t>
            </w:r>
            <w:r w:rsidR="00005BF6" w:rsidRPr="00C9343F">
              <w:rPr>
                <w:rFonts w:cs="Arial"/>
                <w:sz w:val="20"/>
              </w:rPr>
              <w:t xml:space="preserve">grade </w:t>
            </w:r>
            <w:r w:rsidRPr="00C9343F">
              <w:rPr>
                <w:rFonts w:cs="Arial"/>
                <w:sz w:val="20"/>
              </w:rPr>
              <w:t>4</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A3E803" w14:textId="77777777" w:rsidR="00C30410" w:rsidRPr="00C9343F" w:rsidRDefault="00C30410" w:rsidP="00F66D98">
            <w:pPr>
              <w:spacing w:before="100" w:beforeAutospacing="1" w:after="120" w:line="254" w:lineRule="auto"/>
              <w:rPr>
                <w:sz w:val="20"/>
              </w:rPr>
            </w:pPr>
            <w:r w:rsidRPr="00C9343F">
              <w:rPr>
                <w:rFonts w:cs="Arial"/>
                <w:sz w:val="20"/>
              </w:rPr>
              <w:t>Musician Grade 2</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089CE0" w14:textId="77777777" w:rsidR="00C30410" w:rsidRPr="00C9343F" w:rsidRDefault="00C30410" w:rsidP="00F66D98">
            <w:pPr>
              <w:spacing w:before="100" w:beforeAutospacing="1" w:after="120" w:line="254" w:lineRule="auto"/>
              <w:rPr>
                <w:sz w:val="20"/>
              </w:rPr>
            </w:pPr>
            <w:r w:rsidRPr="00C9343F">
              <w:rPr>
                <w:rFonts w:cs="Arial"/>
                <w:sz w:val="20"/>
              </w:rPr>
              <w:t>7 March 2019</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776F26C" w14:textId="77777777" w:rsidR="00C30410" w:rsidRPr="00C9343F" w:rsidRDefault="00C30410" w:rsidP="00F66D98">
            <w:pPr>
              <w:spacing w:before="100" w:beforeAutospacing="1" w:after="120" w:line="254" w:lineRule="auto"/>
              <w:rPr>
                <w:sz w:val="20"/>
              </w:rPr>
            </w:pPr>
            <w:r w:rsidRPr="00C9343F">
              <w:rPr>
                <w:rFonts w:cs="Arial"/>
                <w:sz w:val="20"/>
              </w:rPr>
              <w:t>7 March 2024</w:t>
            </w:r>
          </w:p>
        </w:tc>
      </w:tr>
      <w:tr w:rsidR="002D52F9" w:rsidRPr="00C9343F" w14:paraId="6DEE9B1A" w14:textId="77777777" w:rsidTr="00AA3C6C">
        <w:tc>
          <w:tcPr>
            <w:tcW w:w="399" w:type="pct"/>
            <w:tcBorders>
              <w:top w:val="single" w:sz="6" w:space="0" w:color="auto"/>
              <w:left w:val="single" w:sz="6" w:space="0" w:color="auto"/>
              <w:bottom w:val="single" w:sz="6" w:space="0" w:color="auto"/>
              <w:right w:val="single" w:sz="6" w:space="0" w:color="auto"/>
            </w:tcBorders>
          </w:tcPr>
          <w:p w14:paraId="7A787256" w14:textId="5CD4909B" w:rsidR="002D52F9" w:rsidRPr="00C9343F" w:rsidRDefault="002D52F9" w:rsidP="00F66D98">
            <w:pPr>
              <w:spacing w:before="100" w:beforeAutospacing="1" w:after="120" w:line="254" w:lineRule="auto"/>
              <w:jc w:val="center"/>
              <w:rPr>
                <w:rFonts w:cs="Arial"/>
                <w:sz w:val="20"/>
              </w:rPr>
            </w:pPr>
            <w:r w:rsidRPr="00C9343F">
              <w:rPr>
                <w:rFonts w:cs="Arial"/>
                <w:sz w:val="20"/>
              </w:rPr>
              <w:t>1A.</w:t>
            </w:r>
          </w:p>
        </w:tc>
        <w:tc>
          <w:tcPr>
            <w:tcW w:w="773" w:type="pct"/>
            <w:tcBorders>
              <w:top w:val="single" w:sz="6" w:space="0" w:color="auto"/>
              <w:left w:val="single" w:sz="6" w:space="0" w:color="auto"/>
              <w:bottom w:val="single" w:sz="6" w:space="0" w:color="auto"/>
              <w:right w:val="single" w:sz="6" w:space="0" w:color="auto"/>
            </w:tcBorders>
          </w:tcPr>
          <w:p w14:paraId="79C7383D" w14:textId="7254A65E" w:rsidR="002D52F9" w:rsidRPr="00C9343F" w:rsidRDefault="002D52F9" w:rsidP="00F66D98">
            <w:pPr>
              <w:spacing w:before="100" w:beforeAutospacing="1" w:after="120" w:line="254" w:lineRule="auto"/>
              <w:ind w:left="67"/>
              <w:rPr>
                <w:rFonts w:cs="Arial"/>
                <w:sz w:val="20"/>
              </w:rPr>
            </w:pPr>
            <w:r w:rsidRPr="00C9343F">
              <w:rPr>
                <w:rFonts w:cs="Arial"/>
                <w:sz w:val="20"/>
              </w:rPr>
              <w:t>Pay grade 5</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AC564AF" w14:textId="4A3F2A06" w:rsidR="002D52F9" w:rsidRPr="00C9343F" w:rsidRDefault="002D52F9" w:rsidP="00F66D98">
            <w:pPr>
              <w:spacing w:before="100" w:beforeAutospacing="1" w:after="120" w:line="254" w:lineRule="auto"/>
              <w:rPr>
                <w:rFonts w:cs="Arial"/>
                <w:sz w:val="20"/>
              </w:rPr>
            </w:pPr>
            <w:r w:rsidRPr="00C9343F">
              <w:rPr>
                <w:rFonts w:cs="Arial"/>
                <w:sz w:val="20"/>
              </w:rPr>
              <w:t>Examiner Psychological Tier A</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1B47666" w14:textId="039EE10B" w:rsidR="002D52F9" w:rsidRPr="00C9343F" w:rsidRDefault="002D52F9" w:rsidP="00F66D98">
            <w:pPr>
              <w:spacing w:before="100" w:beforeAutospacing="1" w:after="120" w:line="254" w:lineRule="auto"/>
              <w:rPr>
                <w:rFonts w:cs="Arial"/>
                <w:sz w:val="20"/>
              </w:rPr>
            </w:pPr>
            <w:r w:rsidRPr="00C9343F">
              <w:rPr>
                <w:rFonts w:cs="Arial"/>
                <w:sz w:val="20"/>
              </w:rPr>
              <w:t>1 July 2021</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32F0563" w14:textId="46400D97" w:rsidR="002D52F9" w:rsidRPr="00C9343F" w:rsidRDefault="002D52F9" w:rsidP="00F66D98">
            <w:pPr>
              <w:spacing w:before="100" w:beforeAutospacing="1" w:after="120" w:line="254" w:lineRule="auto"/>
              <w:rPr>
                <w:rFonts w:cs="Arial"/>
                <w:sz w:val="20"/>
              </w:rPr>
            </w:pPr>
            <w:r w:rsidRPr="00C9343F">
              <w:rPr>
                <w:rFonts w:cs="Arial"/>
                <w:sz w:val="20"/>
              </w:rPr>
              <w:t>30 June 2026</w:t>
            </w:r>
          </w:p>
        </w:tc>
      </w:tr>
      <w:tr w:rsidR="0057048C" w:rsidRPr="00C9343F" w14:paraId="3A4E64AD"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527549BE" w14:textId="77777777" w:rsidR="00C30410" w:rsidRPr="00C9343F" w:rsidRDefault="00C30410" w:rsidP="00F66D98">
            <w:pPr>
              <w:spacing w:before="100" w:beforeAutospacing="1" w:after="120" w:line="254" w:lineRule="auto"/>
              <w:jc w:val="center"/>
              <w:rPr>
                <w:sz w:val="20"/>
              </w:rPr>
            </w:pPr>
            <w:r w:rsidRPr="00C9343F">
              <w:rPr>
                <w:rFonts w:cs="Arial"/>
                <w:sz w:val="20"/>
              </w:rPr>
              <w:t>2.</w:t>
            </w:r>
          </w:p>
        </w:tc>
        <w:tc>
          <w:tcPr>
            <w:tcW w:w="773" w:type="pct"/>
            <w:tcBorders>
              <w:top w:val="single" w:sz="6" w:space="0" w:color="auto"/>
              <w:left w:val="single" w:sz="6" w:space="0" w:color="auto"/>
              <w:bottom w:val="single" w:sz="6" w:space="0" w:color="auto"/>
              <w:right w:val="single" w:sz="6" w:space="0" w:color="auto"/>
            </w:tcBorders>
            <w:hideMark/>
          </w:tcPr>
          <w:p w14:paraId="789AD41D" w14:textId="115F3F7C" w:rsidR="00C30410" w:rsidRPr="00C9343F" w:rsidRDefault="00C30410" w:rsidP="00F66D98">
            <w:pPr>
              <w:spacing w:before="100" w:beforeAutospacing="1" w:after="120" w:line="254" w:lineRule="auto"/>
              <w:ind w:left="67"/>
              <w:rPr>
                <w:sz w:val="20"/>
              </w:rPr>
            </w:pPr>
            <w:r w:rsidRPr="00C9343F">
              <w:rPr>
                <w:rFonts w:cs="Arial"/>
                <w:sz w:val="20"/>
              </w:rPr>
              <w:t xml:space="preserve">Pay </w:t>
            </w:r>
            <w:r w:rsidR="00005BF6" w:rsidRPr="00C9343F">
              <w:rPr>
                <w:rFonts w:cs="Arial"/>
                <w:sz w:val="20"/>
              </w:rPr>
              <w:t xml:space="preserve">grade </w:t>
            </w:r>
            <w:r w:rsidRPr="00C9343F">
              <w:rPr>
                <w:rFonts w:cs="Arial"/>
                <w:sz w:val="20"/>
              </w:rPr>
              <w:t>5</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6C8516C" w14:textId="77777777" w:rsidR="00C30410" w:rsidRPr="00C9343F" w:rsidRDefault="00C30410" w:rsidP="00F66D98">
            <w:pPr>
              <w:spacing w:before="100" w:beforeAutospacing="1" w:after="120" w:line="254" w:lineRule="auto"/>
              <w:rPr>
                <w:sz w:val="20"/>
              </w:rPr>
            </w:pPr>
            <w:r w:rsidRPr="00C9343F">
              <w:rPr>
                <w:rFonts w:cs="Arial"/>
                <w:sz w:val="20"/>
              </w:rPr>
              <w:t>Musician Grade 3</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DE883DD" w14:textId="77777777" w:rsidR="00C30410" w:rsidRPr="00C9343F" w:rsidRDefault="00C30410" w:rsidP="00F66D98">
            <w:pPr>
              <w:spacing w:before="100" w:beforeAutospacing="1" w:after="120" w:line="254" w:lineRule="auto"/>
              <w:rPr>
                <w:sz w:val="20"/>
              </w:rPr>
            </w:pPr>
            <w:r w:rsidRPr="00C9343F">
              <w:rPr>
                <w:rFonts w:cs="Arial"/>
                <w:sz w:val="20"/>
              </w:rPr>
              <w:t>7 March 2019</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C1770C7" w14:textId="77777777" w:rsidR="00C30410" w:rsidRPr="00C9343F" w:rsidRDefault="00C30410" w:rsidP="00F66D98">
            <w:pPr>
              <w:spacing w:before="100" w:beforeAutospacing="1" w:after="120" w:line="254" w:lineRule="auto"/>
              <w:rPr>
                <w:sz w:val="20"/>
              </w:rPr>
            </w:pPr>
            <w:r w:rsidRPr="00C9343F">
              <w:rPr>
                <w:rFonts w:cs="Arial"/>
                <w:sz w:val="20"/>
              </w:rPr>
              <w:t>7 March 2024</w:t>
            </w:r>
          </w:p>
        </w:tc>
      </w:tr>
      <w:tr w:rsidR="0057048C" w:rsidRPr="00C9343F" w14:paraId="3ECFF36B"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6C790747" w14:textId="77777777" w:rsidR="00C30410" w:rsidRPr="00C9343F" w:rsidRDefault="00C30410" w:rsidP="00F66D98">
            <w:pPr>
              <w:spacing w:before="100" w:beforeAutospacing="1" w:after="120" w:line="254" w:lineRule="auto"/>
              <w:jc w:val="center"/>
              <w:rPr>
                <w:sz w:val="20"/>
              </w:rPr>
            </w:pPr>
            <w:r w:rsidRPr="00C9343F">
              <w:rPr>
                <w:rFonts w:cs="Arial"/>
                <w:sz w:val="20"/>
              </w:rPr>
              <w:t>3.</w:t>
            </w:r>
          </w:p>
        </w:tc>
        <w:tc>
          <w:tcPr>
            <w:tcW w:w="773" w:type="pct"/>
            <w:tcBorders>
              <w:top w:val="single" w:sz="6" w:space="0" w:color="auto"/>
              <w:left w:val="single" w:sz="6" w:space="0" w:color="auto"/>
              <w:bottom w:val="single" w:sz="6" w:space="0" w:color="auto"/>
              <w:right w:val="single" w:sz="6" w:space="0" w:color="auto"/>
            </w:tcBorders>
            <w:hideMark/>
          </w:tcPr>
          <w:p w14:paraId="7A19251A" w14:textId="31780F06" w:rsidR="00C30410" w:rsidRPr="00C9343F" w:rsidRDefault="00C30410" w:rsidP="00F66D98">
            <w:pPr>
              <w:spacing w:before="100" w:beforeAutospacing="1" w:after="120" w:line="254" w:lineRule="auto"/>
              <w:ind w:left="67"/>
              <w:rPr>
                <w:sz w:val="20"/>
              </w:rPr>
            </w:pPr>
            <w:r w:rsidRPr="00C9343F">
              <w:rPr>
                <w:rFonts w:cs="Arial"/>
                <w:sz w:val="20"/>
              </w:rPr>
              <w:t xml:space="preserve">Pay </w:t>
            </w:r>
            <w:r w:rsidR="00005BF6" w:rsidRPr="00C9343F">
              <w:rPr>
                <w:rFonts w:cs="Arial"/>
                <w:sz w:val="20"/>
              </w:rPr>
              <w:t xml:space="preserve">grade </w:t>
            </w:r>
            <w:r w:rsidRPr="00C9343F">
              <w:rPr>
                <w:rFonts w:cs="Arial"/>
                <w:sz w:val="20"/>
              </w:rPr>
              <w:t>5</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B14F75" w14:textId="77777777" w:rsidR="00C30410" w:rsidRPr="00C9343F" w:rsidRDefault="00C30410" w:rsidP="00F66D98">
            <w:pPr>
              <w:spacing w:before="100" w:beforeAutospacing="1" w:after="120" w:line="254" w:lineRule="auto"/>
              <w:rPr>
                <w:sz w:val="20"/>
              </w:rPr>
            </w:pPr>
            <w:r w:rsidRPr="00C9343F">
              <w:rPr>
                <w:rFonts w:cs="Arial"/>
                <w:sz w:val="20"/>
              </w:rPr>
              <w:t>Pipe Major</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A41FC77" w14:textId="77777777" w:rsidR="00C30410" w:rsidRPr="00C9343F" w:rsidRDefault="00C30410" w:rsidP="00F66D98">
            <w:pPr>
              <w:spacing w:before="100" w:beforeAutospacing="1" w:after="120" w:line="254" w:lineRule="auto"/>
              <w:rPr>
                <w:sz w:val="20"/>
              </w:rPr>
            </w:pPr>
            <w:r w:rsidRPr="00C9343F">
              <w:rPr>
                <w:rFonts w:cs="Arial"/>
                <w:sz w:val="20"/>
              </w:rPr>
              <w:t>7 March 2019</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07F4D93" w14:textId="77777777" w:rsidR="00C30410" w:rsidRPr="00C9343F" w:rsidRDefault="00C30410" w:rsidP="00F66D98">
            <w:pPr>
              <w:spacing w:before="100" w:beforeAutospacing="1" w:after="120" w:line="254" w:lineRule="auto"/>
              <w:rPr>
                <w:sz w:val="20"/>
              </w:rPr>
            </w:pPr>
            <w:r w:rsidRPr="00C9343F">
              <w:rPr>
                <w:rFonts w:cs="Arial"/>
                <w:sz w:val="20"/>
              </w:rPr>
              <w:t>7 March 2024</w:t>
            </w:r>
          </w:p>
        </w:tc>
      </w:tr>
      <w:tr w:rsidR="0057048C" w:rsidRPr="00C9343F" w14:paraId="04E3EC5A"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4ABA22BE" w14:textId="77777777" w:rsidR="00C30410" w:rsidRPr="00C9343F" w:rsidRDefault="00C30410" w:rsidP="00F66D98">
            <w:pPr>
              <w:spacing w:before="100" w:beforeAutospacing="1" w:after="120" w:line="254" w:lineRule="auto"/>
              <w:jc w:val="center"/>
              <w:rPr>
                <w:rFonts w:cs="Arial"/>
                <w:sz w:val="20"/>
                <w:szCs w:val="22"/>
              </w:rPr>
            </w:pPr>
            <w:r w:rsidRPr="00C9343F">
              <w:rPr>
                <w:rFonts w:cs="Arial"/>
                <w:sz w:val="20"/>
              </w:rPr>
              <w:t>4.</w:t>
            </w:r>
          </w:p>
        </w:tc>
        <w:tc>
          <w:tcPr>
            <w:tcW w:w="773" w:type="pct"/>
            <w:tcBorders>
              <w:top w:val="single" w:sz="6" w:space="0" w:color="auto"/>
              <w:left w:val="single" w:sz="6" w:space="0" w:color="auto"/>
              <w:bottom w:val="single" w:sz="6" w:space="0" w:color="auto"/>
              <w:right w:val="single" w:sz="6" w:space="0" w:color="auto"/>
            </w:tcBorders>
            <w:hideMark/>
          </w:tcPr>
          <w:p w14:paraId="61D3A8D1" w14:textId="4BB2F6C4" w:rsidR="00C30410" w:rsidRPr="00C9343F" w:rsidRDefault="00C30410" w:rsidP="00F66D98">
            <w:pPr>
              <w:spacing w:before="100" w:beforeAutospacing="1" w:after="120" w:line="254" w:lineRule="auto"/>
              <w:ind w:left="67"/>
              <w:rPr>
                <w:rFonts w:cs="Arial"/>
                <w:sz w:val="20"/>
              </w:rPr>
            </w:pPr>
            <w:r w:rsidRPr="00C9343F">
              <w:rPr>
                <w:rFonts w:cs="Arial"/>
                <w:sz w:val="20"/>
              </w:rPr>
              <w:t xml:space="preserve">Pay </w:t>
            </w:r>
            <w:r w:rsidR="00005BF6" w:rsidRPr="00C9343F">
              <w:rPr>
                <w:rFonts w:cs="Arial"/>
                <w:sz w:val="20"/>
              </w:rPr>
              <w:t xml:space="preserve">grade </w:t>
            </w:r>
            <w:r w:rsidRPr="00C9343F">
              <w:rPr>
                <w:rFonts w:cs="Arial"/>
                <w:sz w:val="20"/>
              </w:rPr>
              <w:t>6</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00032F2" w14:textId="4DC23A3D" w:rsidR="00C30410" w:rsidRPr="00C9343F" w:rsidRDefault="002D52F9" w:rsidP="00F66D98">
            <w:pPr>
              <w:spacing w:before="100" w:beforeAutospacing="1" w:after="120" w:line="254" w:lineRule="auto"/>
              <w:rPr>
                <w:rFonts w:cs="Arial"/>
                <w:sz w:val="20"/>
              </w:rPr>
            </w:pPr>
            <w:r w:rsidRPr="00C9343F">
              <w:rPr>
                <w:rFonts w:cs="Arial"/>
                <w:sz w:val="20"/>
              </w:rPr>
              <w:t>Examiner Psychological Tier B</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AF194B" w14:textId="47679CC6" w:rsidR="00C30410" w:rsidRPr="00C9343F" w:rsidRDefault="002D52F9" w:rsidP="00F66D98">
            <w:pPr>
              <w:spacing w:before="100" w:beforeAutospacing="1" w:after="120" w:line="254" w:lineRule="auto"/>
              <w:rPr>
                <w:rFonts w:cs="Arial"/>
                <w:sz w:val="20"/>
              </w:rPr>
            </w:pPr>
            <w:r w:rsidRPr="00C9343F">
              <w:rPr>
                <w:rFonts w:cs="Arial"/>
                <w:sz w:val="20"/>
              </w:rPr>
              <w:t>1 July 2021</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6A58F8" w14:textId="2CA72BF1" w:rsidR="00C30410" w:rsidRPr="00C9343F" w:rsidRDefault="002D52F9" w:rsidP="00F66D98">
            <w:pPr>
              <w:spacing w:before="100" w:beforeAutospacing="1" w:after="120" w:line="254" w:lineRule="auto"/>
              <w:rPr>
                <w:rFonts w:cs="Arial"/>
                <w:sz w:val="20"/>
              </w:rPr>
            </w:pPr>
            <w:r w:rsidRPr="00C9343F">
              <w:rPr>
                <w:rFonts w:cs="Arial"/>
                <w:sz w:val="20"/>
              </w:rPr>
              <w:t>30 June 2026</w:t>
            </w:r>
          </w:p>
        </w:tc>
      </w:tr>
      <w:tr w:rsidR="0057048C" w:rsidRPr="00C9343F" w14:paraId="3917B276"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36EEEC66" w14:textId="77777777" w:rsidR="00C30410" w:rsidRPr="00C9343F" w:rsidRDefault="00C30410" w:rsidP="00F66D98">
            <w:pPr>
              <w:spacing w:before="100" w:beforeAutospacing="1" w:after="120" w:line="254" w:lineRule="auto"/>
              <w:jc w:val="center"/>
              <w:rPr>
                <w:sz w:val="20"/>
              </w:rPr>
            </w:pPr>
            <w:r w:rsidRPr="00C9343F">
              <w:rPr>
                <w:rFonts w:cs="Arial"/>
                <w:sz w:val="20"/>
              </w:rPr>
              <w:t>5.</w:t>
            </w:r>
          </w:p>
        </w:tc>
        <w:tc>
          <w:tcPr>
            <w:tcW w:w="773" w:type="pct"/>
            <w:tcBorders>
              <w:top w:val="single" w:sz="6" w:space="0" w:color="auto"/>
              <w:left w:val="single" w:sz="6" w:space="0" w:color="auto"/>
              <w:bottom w:val="single" w:sz="6" w:space="0" w:color="auto"/>
              <w:right w:val="single" w:sz="6" w:space="0" w:color="auto"/>
            </w:tcBorders>
            <w:hideMark/>
          </w:tcPr>
          <w:p w14:paraId="06EFC546" w14:textId="695A42F0" w:rsidR="00C30410" w:rsidRPr="00C9343F" w:rsidRDefault="00C30410" w:rsidP="00F66D98">
            <w:pPr>
              <w:spacing w:before="100" w:beforeAutospacing="1" w:after="120" w:line="254" w:lineRule="auto"/>
              <w:ind w:left="67"/>
              <w:rPr>
                <w:sz w:val="20"/>
              </w:rPr>
            </w:pPr>
            <w:r w:rsidRPr="00C9343F">
              <w:rPr>
                <w:rFonts w:cs="Arial"/>
                <w:bCs/>
                <w:sz w:val="20"/>
              </w:rPr>
              <w:t xml:space="preserve">Pay </w:t>
            </w:r>
            <w:r w:rsidR="00005BF6" w:rsidRPr="00C9343F">
              <w:rPr>
                <w:rFonts w:cs="Arial"/>
                <w:sz w:val="20"/>
              </w:rPr>
              <w:t xml:space="preserve">grade </w:t>
            </w:r>
            <w:r w:rsidRPr="00C9343F">
              <w:rPr>
                <w:rFonts w:cs="Arial"/>
                <w:bCs/>
                <w:sz w:val="20"/>
              </w:rPr>
              <w:t>6</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76FB518" w14:textId="77777777" w:rsidR="00C30410" w:rsidRPr="00C9343F" w:rsidRDefault="00C30410" w:rsidP="00F66D98">
            <w:pPr>
              <w:spacing w:before="100" w:beforeAutospacing="1" w:after="120" w:line="254" w:lineRule="auto"/>
              <w:rPr>
                <w:sz w:val="20"/>
              </w:rPr>
            </w:pPr>
            <w:r w:rsidRPr="00C9343F">
              <w:rPr>
                <w:rFonts w:cs="Arial"/>
                <w:sz w:val="20"/>
              </w:rPr>
              <w:t>Musician Grade 3</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3832911" w14:textId="77777777" w:rsidR="00C30410" w:rsidRPr="00C9343F" w:rsidRDefault="00C30410" w:rsidP="00F66D98">
            <w:pPr>
              <w:spacing w:before="100" w:beforeAutospacing="1" w:after="120" w:line="254" w:lineRule="auto"/>
              <w:rPr>
                <w:sz w:val="20"/>
              </w:rPr>
            </w:pPr>
            <w:r w:rsidRPr="00C9343F">
              <w:rPr>
                <w:rFonts w:cs="Arial"/>
                <w:sz w:val="20"/>
              </w:rPr>
              <w:t>7 March 2019</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9CB58B9" w14:textId="77777777" w:rsidR="00C30410" w:rsidRPr="00C9343F" w:rsidRDefault="00C30410" w:rsidP="00F66D98">
            <w:pPr>
              <w:spacing w:before="100" w:beforeAutospacing="1" w:after="120" w:line="254" w:lineRule="auto"/>
              <w:rPr>
                <w:sz w:val="20"/>
              </w:rPr>
            </w:pPr>
            <w:r w:rsidRPr="00C9343F">
              <w:rPr>
                <w:rFonts w:cs="Arial"/>
                <w:sz w:val="20"/>
              </w:rPr>
              <w:t>7 March 2024</w:t>
            </w:r>
          </w:p>
        </w:tc>
      </w:tr>
      <w:tr w:rsidR="0057048C" w:rsidRPr="00C9343F" w14:paraId="38225040"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746D1DEA" w14:textId="77777777" w:rsidR="00C30410" w:rsidRPr="00C9343F" w:rsidRDefault="00C30410" w:rsidP="00F66D98">
            <w:pPr>
              <w:spacing w:before="100" w:beforeAutospacing="1" w:after="120" w:line="254" w:lineRule="auto"/>
              <w:jc w:val="center"/>
              <w:rPr>
                <w:sz w:val="20"/>
              </w:rPr>
            </w:pPr>
            <w:r w:rsidRPr="00C9343F">
              <w:rPr>
                <w:rFonts w:cs="Arial"/>
                <w:sz w:val="20"/>
              </w:rPr>
              <w:t>8.</w:t>
            </w:r>
          </w:p>
        </w:tc>
        <w:tc>
          <w:tcPr>
            <w:tcW w:w="773" w:type="pct"/>
            <w:tcBorders>
              <w:top w:val="single" w:sz="6" w:space="0" w:color="auto"/>
              <w:left w:val="single" w:sz="6" w:space="0" w:color="auto"/>
              <w:bottom w:val="single" w:sz="6" w:space="0" w:color="auto"/>
              <w:right w:val="single" w:sz="6" w:space="0" w:color="auto"/>
            </w:tcBorders>
            <w:hideMark/>
          </w:tcPr>
          <w:p w14:paraId="19219917" w14:textId="69190770" w:rsidR="00C30410" w:rsidRPr="00C9343F" w:rsidRDefault="00C30410" w:rsidP="00F66D98">
            <w:pPr>
              <w:spacing w:before="100" w:beforeAutospacing="1" w:after="120" w:line="254" w:lineRule="auto"/>
              <w:ind w:left="67"/>
              <w:rPr>
                <w:sz w:val="20"/>
              </w:rPr>
            </w:pPr>
            <w:r w:rsidRPr="00C9343F">
              <w:rPr>
                <w:rFonts w:cs="Arial"/>
                <w:bCs/>
                <w:sz w:val="20"/>
              </w:rPr>
              <w:t xml:space="preserve">Pay </w:t>
            </w:r>
            <w:r w:rsidR="00005BF6" w:rsidRPr="00C9343F">
              <w:rPr>
                <w:rFonts w:cs="Arial"/>
                <w:sz w:val="20"/>
              </w:rPr>
              <w:t xml:space="preserve">grade </w:t>
            </w:r>
            <w:r w:rsidRPr="00C9343F">
              <w:rPr>
                <w:rFonts w:cs="Arial"/>
                <w:bCs/>
                <w:sz w:val="20"/>
              </w:rPr>
              <w:t>8</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8FABD3B" w14:textId="77777777" w:rsidR="00C30410" w:rsidRPr="00C9343F" w:rsidRDefault="00C30410" w:rsidP="00F66D98">
            <w:pPr>
              <w:spacing w:before="100" w:beforeAutospacing="1" w:after="120" w:line="254" w:lineRule="auto"/>
              <w:rPr>
                <w:sz w:val="20"/>
              </w:rPr>
            </w:pPr>
            <w:r w:rsidRPr="00C9343F">
              <w:rPr>
                <w:rFonts w:cs="Arial"/>
                <w:sz w:val="20"/>
              </w:rPr>
              <w:t>Musician Grade 3</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63A4AEB" w14:textId="77777777" w:rsidR="00C30410" w:rsidRPr="00C9343F" w:rsidRDefault="00C30410" w:rsidP="00F66D98">
            <w:pPr>
              <w:spacing w:before="100" w:beforeAutospacing="1" w:after="120" w:line="254" w:lineRule="auto"/>
              <w:rPr>
                <w:sz w:val="20"/>
              </w:rPr>
            </w:pPr>
            <w:r w:rsidRPr="00C9343F">
              <w:rPr>
                <w:rFonts w:cs="Arial"/>
                <w:sz w:val="20"/>
              </w:rPr>
              <w:t>7 March 2019</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58BB9E" w14:textId="77777777" w:rsidR="00C30410" w:rsidRPr="00C9343F" w:rsidRDefault="00C30410" w:rsidP="00F66D98">
            <w:pPr>
              <w:spacing w:before="100" w:beforeAutospacing="1" w:after="120" w:line="254" w:lineRule="auto"/>
              <w:rPr>
                <w:sz w:val="20"/>
              </w:rPr>
            </w:pPr>
            <w:r w:rsidRPr="00C9343F">
              <w:rPr>
                <w:rFonts w:cs="Arial"/>
                <w:sz w:val="20"/>
              </w:rPr>
              <w:t>7 March 2024</w:t>
            </w:r>
          </w:p>
        </w:tc>
      </w:tr>
      <w:tr w:rsidR="00C30410" w:rsidRPr="00C9343F" w14:paraId="235D5BFE" w14:textId="77777777" w:rsidTr="00AA3C6C">
        <w:tc>
          <w:tcPr>
            <w:tcW w:w="399" w:type="pct"/>
            <w:tcBorders>
              <w:top w:val="single" w:sz="6" w:space="0" w:color="auto"/>
              <w:left w:val="single" w:sz="6" w:space="0" w:color="auto"/>
              <w:bottom w:val="single" w:sz="6" w:space="0" w:color="auto"/>
              <w:right w:val="single" w:sz="6" w:space="0" w:color="auto"/>
            </w:tcBorders>
          </w:tcPr>
          <w:p w14:paraId="176D7567" w14:textId="77777777" w:rsidR="00C30410" w:rsidRPr="00C9343F" w:rsidRDefault="00C30410" w:rsidP="00F66D98">
            <w:pPr>
              <w:spacing w:beforeLines="20" w:before="48" w:after="120" w:line="254" w:lineRule="auto"/>
              <w:jc w:val="center"/>
              <w:rPr>
                <w:rFonts w:cs="Arial"/>
                <w:b/>
                <w:bCs/>
                <w:color w:val="000000"/>
                <w:sz w:val="20"/>
              </w:rPr>
            </w:pPr>
          </w:p>
        </w:tc>
        <w:tc>
          <w:tcPr>
            <w:tcW w:w="4601" w:type="pct"/>
            <w:gridSpan w:val="4"/>
            <w:tcBorders>
              <w:top w:val="single" w:sz="6" w:space="0" w:color="auto"/>
              <w:left w:val="single" w:sz="6" w:space="0" w:color="auto"/>
              <w:bottom w:val="single" w:sz="6" w:space="0" w:color="auto"/>
              <w:right w:val="single" w:sz="6" w:space="0" w:color="auto"/>
            </w:tcBorders>
            <w:hideMark/>
          </w:tcPr>
          <w:p w14:paraId="5D3DB533" w14:textId="77777777" w:rsidR="00C30410" w:rsidRPr="00C9343F" w:rsidRDefault="00C30410" w:rsidP="00F66D98">
            <w:pPr>
              <w:spacing w:beforeLines="20" w:before="48" w:after="120" w:line="180" w:lineRule="atLeast"/>
              <w:ind w:left="55"/>
              <w:rPr>
                <w:rFonts w:cs="Arial"/>
                <w:sz w:val="20"/>
              </w:rPr>
            </w:pPr>
            <w:r w:rsidRPr="00C9343F">
              <w:rPr>
                <w:rFonts w:cs="Arial"/>
                <w:b/>
                <w:bCs/>
                <w:color w:val="000000"/>
                <w:sz w:val="20"/>
              </w:rPr>
              <w:t>AIR FORCE</w:t>
            </w:r>
          </w:p>
        </w:tc>
      </w:tr>
      <w:tr w:rsidR="0006723F" w:rsidRPr="00C9343F" w14:paraId="603A334C"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4F9ED96B" w14:textId="2E21587B" w:rsidR="0006723F" w:rsidRPr="00C9343F" w:rsidRDefault="0006723F" w:rsidP="0006723F">
            <w:pPr>
              <w:spacing w:beforeLines="20" w:before="48" w:after="120" w:line="254" w:lineRule="auto"/>
              <w:jc w:val="center"/>
              <w:rPr>
                <w:rFonts w:cs="Arial"/>
                <w:color w:val="000000"/>
                <w:sz w:val="20"/>
                <w:szCs w:val="22"/>
              </w:rPr>
            </w:pPr>
            <w:r w:rsidRPr="00C9343F">
              <w:rPr>
                <w:sz w:val="20"/>
              </w:rPr>
              <w:t>9.</w:t>
            </w:r>
          </w:p>
        </w:tc>
        <w:tc>
          <w:tcPr>
            <w:tcW w:w="773" w:type="pct"/>
            <w:tcBorders>
              <w:top w:val="single" w:sz="6" w:space="0" w:color="auto"/>
              <w:left w:val="single" w:sz="6" w:space="0" w:color="auto"/>
              <w:bottom w:val="single" w:sz="6" w:space="0" w:color="auto"/>
              <w:right w:val="single" w:sz="6" w:space="0" w:color="auto"/>
            </w:tcBorders>
            <w:hideMark/>
          </w:tcPr>
          <w:p w14:paraId="1C07B5EA" w14:textId="144954E9" w:rsidR="0006723F" w:rsidRPr="00C9343F" w:rsidRDefault="0006723F" w:rsidP="0006723F">
            <w:pPr>
              <w:spacing w:beforeLines="20" w:before="48" w:after="120" w:line="254" w:lineRule="auto"/>
              <w:ind w:left="81"/>
              <w:rPr>
                <w:rFonts w:cs="Arial"/>
                <w:sz w:val="20"/>
                <w:szCs w:val="22"/>
              </w:rPr>
            </w:pPr>
            <w:r w:rsidRPr="00C9343F">
              <w:rPr>
                <w:sz w:val="20"/>
              </w:rPr>
              <w:t>Pay Grade 5</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EDA95E4" w14:textId="5D16DEFF" w:rsidR="0006723F" w:rsidRPr="00C9343F" w:rsidRDefault="0006723F" w:rsidP="0006723F">
            <w:pPr>
              <w:spacing w:beforeLines="20" w:before="48" w:after="120" w:line="254" w:lineRule="auto"/>
              <w:rPr>
                <w:rFonts w:cs="Arial"/>
                <w:color w:val="000000"/>
                <w:sz w:val="20"/>
                <w:szCs w:val="22"/>
              </w:rPr>
            </w:pPr>
            <w:r w:rsidRPr="00C9343F">
              <w:rPr>
                <w:sz w:val="20"/>
              </w:rPr>
              <w:t>Flight Engineer on pay grade 5 the day prior to remuster to another Airmen Aircrew mustering.</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2B53B65" w14:textId="449C02BE" w:rsidR="0006723F" w:rsidRPr="00C9343F" w:rsidRDefault="0006723F" w:rsidP="0006723F">
            <w:pPr>
              <w:spacing w:beforeLines="20" w:before="48" w:after="120" w:line="254" w:lineRule="auto"/>
              <w:rPr>
                <w:rFonts w:cs="Arial"/>
                <w:sz w:val="20"/>
              </w:rPr>
            </w:pPr>
            <w:r w:rsidRPr="00C9343F">
              <w:rPr>
                <w:sz w:val="20"/>
              </w:rPr>
              <w:t>Date of remuster to another Airmen Aircrew mustering.</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DB47D5E" w14:textId="231565D3" w:rsidR="0006723F" w:rsidRPr="00C9343F" w:rsidRDefault="0006723F" w:rsidP="0006723F">
            <w:pPr>
              <w:spacing w:beforeLines="20" w:before="48" w:after="120" w:line="254" w:lineRule="auto"/>
              <w:rPr>
                <w:rFonts w:cs="Arial"/>
                <w:sz w:val="20"/>
              </w:rPr>
            </w:pPr>
            <w:r w:rsidRPr="00C9343F">
              <w:rPr>
                <w:sz w:val="20"/>
              </w:rPr>
              <w:t>The day five years from the date of remuster to another Airmen Aircrew mustering.</w:t>
            </w:r>
          </w:p>
        </w:tc>
      </w:tr>
      <w:tr w:rsidR="0057048C" w:rsidRPr="00C9343F" w14:paraId="47E5A8B6"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33CED4A2" w14:textId="77777777" w:rsidR="00C30410" w:rsidRPr="00C9343F" w:rsidRDefault="00C30410" w:rsidP="00F66D98">
            <w:pPr>
              <w:spacing w:beforeLines="20" w:before="48" w:after="120" w:line="254" w:lineRule="auto"/>
              <w:jc w:val="center"/>
              <w:rPr>
                <w:color w:val="000000"/>
                <w:sz w:val="20"/>
              </w:rPr>
            </w:pPr>
            <w:r w:rsidRPr="00C9343F">
              <w:rPr>
                <w:rFonts w:cs="Arial"/>
                <w:color w:val="000000"/>
                <w:sz w:val="20"/>
              </w:rPr>
              <w:t>10.</w:t>
            </w:r>
          </w:p>
        </w:tc>
        <w:tc>
          <w:tcPr>
            <w:tcW w:w="773" w:type="pct"/>
            <w:tcBorders>
              <w:top w:val="single" w:sz="6" w:space="0" w:color="auto"/>
              <w:left w:val="single" w:sz="6" w:space="0" w:color="auto"/>
              <w:bottom w:val="single" w:sz="6" w:space="0" w:color="auto"/>
              <w:right w:val="single" w:sz="6" w:space="0" w:color="auto"/>
            </w:tcBorders>
            <w:hideMark/>
          </w:tcPr>
          <w:p w14:paraId="20C02584" w14:textId="700B3FBA" w:rsidR="00C30410" w:rsidRPr="00C9343F" w:rsidRDefault="00C30410" w:rsidP="00F66D98">
            <w:pPr>
              <w:spacing w:beforeLines="20" w:before="48" w:after="120" w:line="254" w:lineRule="auto"/>
              <w:ind w:left="81"/>
              <w:rPr>
                <w:sz w:val="20"/>
              </w:rPr>
            </w:pPr>
            <w:r w:rsidRPr="00C9343F">
              <w:rPr>
                <w:rFonts w:cs="Arial"/>
                <w:bCs/>
                <w:sz w:val="20"/>
              </w:rPr>
              <w:t xml:space="preserve">Pay </w:t>
            </w:r>
            <w:r w:rsidR="00005BF6" w:rsidRPr="00C9343F">
              <w:rPr>
                <w:rFonts w:cs="Arial"/>
                <w:sz w:val="20"/>
              </w:rPr>
              <w:t xml:space="preserve">grade </w:t>
            </w:r>
            <w:r w:rsidRPr="00C9343F">
              <w:rPr>
                <w:rFonts w:cs="Arial"/>
                <w:bCs/>
                <w:sz w:val="20"/>
              </w:rPr>
              <w:t>5</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66C0A8E" w14:textId="77777777" w:rsidR="00C30410" w:rsidRPr="00C9343F" w:rsidRDefault="00C30410" w:rsidP="00F66D98">
            <w:pPr>
              <w:spacing w:beforeLines="20" w:before="48" w:after="120" w:line="254" w:lineRule="auto"/>
              <w:rPr>
                <w:rFonts w:cs="Arial"/>
                <w:sz w:val="20"/>
                <w:szCs w:val="22"/>
              </w:rPr>
            </w:pPr>
            <w:r w:rsidRPr="00C9343F">
              <w:rPr>
                <w:rFonts w:cs="Arial"/>
                <w:sz w:val="20"/>
              </w:rPr>
              <w:t xml:space="preserve">Network Technician employment category remustered from a Communications and Information Systems Controller employment category on pay grade 5 between </w:t>
            </w:r>
            <w:r w:rsidRPr="00C9343F">
              <w:rPr>
                <w:rFonts w:cs="Arial"/>
                <w:color w:val="000000"/>
                <w:sz w:val="20"/>
              </w:rPr>
              <w:t>25 June 2020 to 24 June 2025.</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DD95A4" w14:textId="77777777" w:rsidR="00C30410" w:rsidRPr="00C9343F" w:rsidRDefault="00C30410" w:rsidP="00F66D98">
            <w:pPr>
              <w:spacing w:beforeLines="20" w:before="48" w:after="120" w:line="254" w:lineRule="auto"/>
              <w:rPr>
                <w:rFonts w:cs="Arial"/>
                <w:sz w:val="20"/>
                <w:szCs w:val="22"/>
              </w:rPr>
            </w:pPr>
            <w:r w:rsidRPr="00C9343F">
              <w:rPr>
                <w:rFonts w:cs="Arial"/>
                <w:color w:val="000000"/>
                <w:sz w:val="20"/>
              </w:rPr>
              <w:t xml:space="preserve">The day of remuster to the Network Technician employment category. </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4C2AD4A" w14:textId="77777777" w:rsidR="00C30410" w:rsidRPr="00C9343F" w:rsidRDefault="00C30410" w:rsidP="00F66D98">
            <w:pPr>
              <w:spacing w:beforeLines="20" w:before="48" w:after="120" w:line="254" w:lineRule="auto"/>
              <w:rPr>
                <w:rFonts w:cs="Arial"/>
                <w:sz w:val="20"/>
                <w:szCs w:val="22"/>
              </w:rPr>
            </w:pPr>
            <w:r w:rsidRPr="00C9343F">
              <w:rPr>
                <w:rFonts w:cs="Arial"/>
                <w:sz w:val="20"/>
              </w:rPr>
              <w:t xml:space="preserve">The day five years after the day of remuster </w:t>
            </w:r>
            <w:r w:rsidRPr="00C9343F">
              <w:rPr>
                <w:rFonts w:cs="Arial"/>
                <w:color w:val="000000"/>
                <w:sz w:val="20"/>
              </w:rPr>
              <w:t>the Network Technician employment category.</w:t>
            </w:r>
          </w:p>
          <w:p w14:paraId="7B7EBB55" w14:textId="77777777" w:rsidR="00C30410" w:rsidRPr="00C9343F" w:rsidRDefault="00C30410" w:rsidP="00F66D98">
            <w:pPr>
              <w:spacing w:beforeLines="20" w:before="48" w:after="120" w:line="254" w:lineRule="auto"/>
              <w:rPr>
                <w:rFonts w:cs="Arial"/>
                <w:sz w:val="20"/>
                <w:szCs w:val="22"/>
              </w:rPr>
            </w:pPr>
          </w:p>
        </w:tc>
      </w:tr>
      <w:tr w:rsidR="00FB68C2" w:rsidRPr="00C9343F" w14:paraId="5E21A528"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50861945" w14:textId="1A5865CE" w:rsidR="00FB68C2" w:rsidRPr="00C9343F" w:rsidRDefault="00FB68C2" w:rsidP="00FB68C2">
            <w:pPr>
              <w:spacing w:beforeLines="20" w:before="48" w:after="120" w:line="254" w:lineRule="auto"/>
              <w:jc w:val="center"/>
              <w:rPr>
                <w:color w:val="000000"/>
                <w:sz w:val="20"/>
              </w:rPr>
            </w:pPr>
            <w:r w:rsidRPr="00C9343F">
              <w:rPr>
                <w:sz w:val="20"/>
              </w:rPr>
              <w:t>11.</w:t>
            </w:r>
          </w:p>
        </w:tc>
        <w:tc>
          <w:tcPr>
            <w:tcW w:w="773" w:type="pct"/>
            <w:tcBorders>
              <w:top w:val="single" w:sz="6" w:space="0" w:color="auto"/>
              <w:left w:val="single" w:sz="6" w:space="0" w:color="auto"/>
              <w:bottom w:val="single" w:sz="6" w:space="0" w:color="auto"/>
              <w:right w:val="single" w:sz="6" w:space="0" w:color="auto"/>
            </w:tcBorders>
            <w:hideMark/>
          </w:tcPr>
          <w:p w14:paraId="43844D06" w14:textId="3E43893A" w:rsidR="00FB68C2" w:rsidRPr="00C9343F" w:rsidRDefault="00FB68C2" w:rsidP="00FB68C2">
            <w:pPr>
              <w:spacing w:beforeLines="20" w:before="48" w:after="120" w:line="254" w:lineRule="auto"/>
              <w:ind w:left="81"/>
              <w:rPr>
                <w:sz w:val="20"/>
              </w:rPr>
            </w:pPr>
            <w:r w:rsidRPr="00C9343F">
              <w:rPr>
                <w:sz w:val="20"/>
              </w:rPr>
              <w:t>Pay Grade 6</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58BBAAB" w14:textId="0346EF4F" w:rsidR="00FB68C2" w:rsidRPr="00C9343F" w:rsidRDefault="00FB68C2" w:rsidP="00FB68C2">
            <w:pPr>
              <w:spacing w:beforeLines="20" w:before="48" w:after="120" w:line="254" w:lineRule="auto"/>
              <w:rPr>
                <w:rFonts w:cs="Arial"/>
                <w:color w:val="000000"/>
                <w:sz w:val="20"/>
                <w:szCs w:val="22"/>
              </w:rPr>
            </w:pPr>
            <w:r w:rsidRPr="00C9343F">
              <w:rPr>
                <w:sz w:val="20"/>
              </w:rPr>
              <w:t>Flight engineer on pay grade 6 the day prior to remuster to another Airmen Aircrew mustering.</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8503A5" w14:textId="016DF799" w:rsidR="00FB68C2" w:rsidRPr="00C9343F" w:rsidRDefault="00FB68C2" w:rsidP="00FB68C2">
            <w:pPr>
              <w:spacing w:beforeLines="20" w:before="48" w:after="120" w:line="254" w:lineRule="auto"/>
              <w:rPr>
                <w:rFonts w:cs="Arial"/>
                <w:sz w:val="20"/>
                <w:szCs w:val="22"/>
              </w:rPr>
            </w:pPr>
            <w:r w:rsidRPr="00C9343F">
              <w:rPr>
                <w:sz w:val="20"/>
              </w:rPr>
              <w:t>Date of remuster to another Airmen Aircrew mustering.</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5E99C65" w14:textId="57D2260B" w:rsidR="00FB68C2" w:rsidRPr="00C9343F" w:rsidRDefault="00FB68C2" w:rsidP="00FB68C2">
            <w:pPr>
              <w:spacing w:beforeLines="20" w:before="48" w:after="120" w:line="254" w:lineRule="auto"/>
              <w:rPr>
                <w:rFonts w:cs="Arial"/>
                <w:sz w:val="20"/>
                <w:szCs w:val="22"/>
              </w:rPr>
            </w:pPr>
            <w:r w:rsidRPr="00C9343F">
              <w:rPr>
                <w:sz w:val="20"/>
              </w:rPr>
              <w:t>The day five years from the date of remuster to another Airmen Aircrew mustering.</w:t>
            </w:r>
          </w:p>
        </w:tc>
      </w:tr>
      <w:tr w:rsidR="0057048C" w:rsidRPr="00C9343F" w14:paraId="4FF672E4"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4BC9E0E6" w14:textId="77777777" w:rsidR="00C30410" w:rsidRPr="00C9343F" w:rsidRDefault="00C30410" w:rsidP="00F66D98">
            <w:pPr>
              <w:spacing w:beforeLines="20" w:before="48" w:after="120" w:line="254" w:lineRule="auto"/>
              <w:jc w:val="center"/>
              <w:rPr>
                <w:color w:val="000000"/>
                <w:sz w:val="20"/>
              </w:rPr>
            </w:pPr>
            <w:r w:rsidRPr="00C9343F">
              <w:rPr>
                <w:rFonts w:cs="Arial"/>
                <w:color w:val="000000"/>
                <w:sz w:val="20"/>
              </w:rPr>
              <w:t>12.</w:t>
            </w:r>
          </w:p>
        </w:tc>
        <w:tc>
          <w:tcPr>
            <w:tcW w:w="773" w:type="pct"/>
            <w:tcBorders>
              <w:top w:val="single" w:sz="6" w:space="0" w:color="auto"/>
              <w:left w:val="single" w:sz="6" w:space="0" w:color="auto"/>
              <w:bottom w:val="single" w:sz="6" w:space="0" w:color="auto"/>
              <w:right w:val="single" w:sz="6" w:space="0" w:color="auto"/>
            </w:tcBorders>
            <w:hideMark/>
          </w:tcPr>
          <w:p w14:paraId="1AC5AA94" w14:textId="266BE457" w:rsidR="00C30410" w:rsidRPr="00C9343F" w:rsidRDefault="00C30410" w:rsidP="00F66D98">
            <w:pPr>
              <w:spacing w:beforeLines="20" w:before="48" w:after="120" w:line="254" w:lineRule="auto"/>
              <w:ind w:left="81"/>
              <w:rPr>
                <w:rFonts w:cs="Arial"/>
                <w:bCs/>
                <w:color w:val="000000"/>
                <w:sz w:val="20"/>
              </w:rPr>
            </w:pPr>
            <w:r w:rsidRPr="00C9343F">
              <w:rPr>
                <w:rFonts w:cs="Arial"/>
                <w:bCs/>
                <w:sz w:val="20"/>
              </w:rPr>
              <w:t xml:space="preserve">Pay </w:t>
            </w:r>
            <w:r w:rsidR="00005BF6" w:rsidRPr="00C9343F">
              <w:rPr>
                <w:rFonts w:cs="Arial"/>
                <w:sz w:val="20"/>
              </w:rPr>
              <w:t xml:space="preserve">grade </w:t>
            </w:r>
            <w:r w:rsidRPr="00C9343F">
              <w:rPr>
                <w:rFonts w:cs="Arial"/>
                <w:bCs/>
                <w:sz w:val="20"/>
              </w:rPr>
              <w:t>6</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C2DAD22" w14:textId="77777777" w:rsidR="00C30410" w:rsidRPr="00C9343F" w:rsidRDefault="00C30410" w:rsidP="00F66D98">
            <w:pPr>
              <w:spacing w:beforeLines="20" w:before="48" w:after="120" w:line="254" w:lineRule="auto"/>
              <w:rPr>
                <w:rFonts w:cs="Arial"/>
                <w:sz w:val="20"/>
                <w:szCs w:val="22"/>
              </w:rPr>
            </w:pPr>
            <w:r w:rsidRPr="00C9343F">
              <w:rPr>
                <w:rFonts w:cs="Arial"/>
                <w:sz w:val="20"/>
              </w:rPr>
              <w:t xml:space="preserve">Network Technician employment category remustered from a Communications and Information Systems Controller employment category on pay grade 6 between </w:t>
            </w:r>
            <w:r w:rsidRPr="00C9343F">
              <w:rPr>
                <w:rFonts w:cs="Arial"/>
                <w:color w:val="000000"/>
                <w:sz w:val="20"/>
              </w:rPr>
              <w:t>25 June 2020 to 24 June 2025.</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F57C21F" w14:textId="77777777" w:rsidR="00C30410" w:rsidRPr="00C9343F" w:rsidRDefault="00C30410" w:rsidP="00F66D98">
            <w:pPr>
              <w:spacing w:beforeLines="20" w:before="48" w:after="120" w:line="254" w:lineRule="auto"/>
              <w:rPr>
                <w:rFonts w:cs="Arial"/>
                <w:sz w:val="20"/>
                <w:szCs w:val="22"/>
              </w:rPr>
            </w:pPr>
            <w:r w:rsidRPr="00C9343F">
              <w:rPr>
                <w:rFonts w:cs="Arial"/>
                <w:color w:val="000000"/>
                <w:sz w:val="20"/>
              </w:rPr>
              <w:t>The day of remuster to the Network Technician employment category.</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4BF1820" w14:textId="77777777" w:rsidR="00C30410" w:rsidRPr="00C9343F" w:rsidRDefault="00C30410" w:rsidP="00F66D98">
            <w:pPr>
              <w:spacing w:beforeLines="20" w:before="48" w:after="120" w:line="254" w:lineRule="auto"/>
              <w:rPr>
                <w:rFonts w:cs="Arial"/>
                <w:sz w:val="20"/>
                <w:szCs w:val="22"/>
              </w:rPr>
            </w:pPr>
            <w:r w:rsidRPr="00C9343F">
              <w:rPr>
                <w:rFonts w:cs="Arial"/>
                <w:sz w:val="20"/>
              </w:rPr>
              <w:t xml:space="preserve">The day five years after the day of remuster to </w:t>
            </w:r>
            <w:r w:rsidRPr="00C9343F">
              <w:rPr>
                <w:rFonts w:cs="Arial"/>
                <w:color w:val="000000"/>
                <w:sz w:val="20"/>
              </w:rPr>
              <w:t>the Network Technician employment category.</w:t>
            </w:r>
          </w:p>
          <w:p w14:paraId="020D36A8" w14:textId="77777777" w:rsidR="00C30410" w:rsidRPr="00C9343F" w:rsidRDefault="00C30410" w:rsidP="00F66D98">
            <w:pPr>
              <w:spacing w:beforeLines="20" w:before="48" w:after="120" w:line="254" w:lineRule="auto"/>
              <w:rPr>
                <w:rFonts w:cs="Arial"/>
                <w:sz w:val="20"/>
                <w:szCs w:val="22"/>
              </w:rPr>
            </w:pPr>
          </w:p>
        </w:tc>
      </w:tr>
      <w:tr w:rsidR="0057048C" w:rsidRPr="00C9343F" w14:paraId="6D573544"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3CA286F2" w14:textId="77777777" w:rsidR="00C30410" w:rsidRPr="00C9343F" w:rsidRDefault="00C30410" w:rsidP="00F66D98">
            <w:pPr>
              <w:spacing w:beforeLines="20" w:before="48" w:after="120" w:line="254" w:lineRule="auto"/>
              <w:jc w:val="center"/>
              <w:rPr>
                <w:rFonts w:cs="Arial"/>
                <w:color w:val="000000"/>
                <w:sz w:val="20"/>
                <w:szCs w:val="22"/>
              </w:rPr>
            </w:pPr>
            <w:r w:rsidRPr="00C9343F">
              <w:rPr>
                <w:rFonts w:cs="Arial"/>
                <w:color w:val="000000"/>
                <w:sz w:val="20"/>
              </w:rPr>
              <w:lastRenderedPageBreak/>
              <w:t>13.</w:t>
            </w:r>
          </w:p>
        </w:tc>
        <w:tc>
          <w:tcPr>
            <w:tcW w:w="773" w:type="pct"/>
            <w:tcBorders>
              <w:top w:val="single" w:sz="6" w:space="0" w:color="auto"/>
              <w:left w:val="single" w:sz="6" w:space="0" w:color="auto"/>
              <w:bottom w:val="single" w:sz="6" w:space="0" w:color="auto"/>
              <w:right w:val="single" w:sz="6" w:space="0" w:color="auto"/>
            </w:tcBorders>
            <w:hideMark/>
          </w:tcPr>
          <w:p w14:paraId="421FD4E5" w14:textId="6616D05C" w:rsidR="00C30410" w:rsidRPr="00C9343F" w:rsidRDefault="00C30410" w:rsidP="00F66D98">
            <w:pPr>
              <w:spacing w:beforeLines="20" w:before="48" w:after="120" w:line="254" w:lineRule="auto"/>
              <w:ind w:left="81"/>
              <w:rPr>
                <w:sz w:val="20"/>
              </w:rPr>
            </w:pPr>
            <w:r w:rsidRPr="00C9343F">
              <w:rPr>
                <w:rFonts w:cs="Arial"/>
                <w:bCs/>
                <w:sz w:val="20"/>
              </w:rPr>
              <w:t xml:space="preserve">Pay </w:t>
            </w:r>
            <w:r w:rsidR="00005BF6" w:rsidRPr="00C9343F">
              <w:rPr>
                <w:rFonts w:cs="Arial"/>
                <w:sz w:val="20"/>
              </w:rPr>
              <w:t xml:space="preserve">grade </w:t>
            </w:r>
            <w:r w:rsidRPr="00C9343F">
              <w:rPr>
                <w:rFonts w:cs="Arial"/>
                <w:bCs/>
                <w:sz w:val="20"/>
              </w:rPr>
              <w:t>6</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A372D02" w14:textId="77777777" w:rsidR="00C30410" w:rsidRPr="00C9343F" w:rsidRDefault="00C30410" w:rsidP="00F66D98">
            <w:pPr>
              <w:spacing w:beforeLines="20" w:before="48" w:after="120" w:line="254" w:lineRule="auto"/>
              <w:rPr>
                <w:rFonts w:cs="Arial"/>
                <w:sz w:val="20"/>
                <w:szCs w:val="22"/>
              </w:rPr>
            </w:pPr>
            <w:r w:rsidRPr="00C9343F">
              <w:rPr>
                <w:rFonts w:cs="Arial"/>
                <w:sz w:val="20"/>
              </w:rPr>
              <w:t xml:space="preserve">Network Technician employment category remustered from a Communications Electronic employment category on pay grade 6 between </w:t>
            </w:r>
            <w:r w:rsidRPr="00C9343F">
              <w:rPr>
                <w:rFonts w:cs="Arial"/>
                <w:color w:val="000000"/>
                <w:sz w:val="20"/>
              </w:rPr>
              <w:t>25 June 2020 to 24 June 2025.</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1C67B13" w14:textId="77777777" w:rsidR="00C30410" w:rsidRPr="00C9343F" w:rsidRDefault="00C30410" w:rsidP="00F66D98">
            <w:pPr>
              <w:spacing w:beforeLines="20" w:before="48" w:after="120" w:line="254" w:lineRule="auto"/>
              <w:rPr>
                <w:rFonts w:cs="Arial"/>
                <w:color w:val="000000"/>
                <w:sz w:val="20"/>
              </w:rPr>
            </w:pPr>
            <w:r w:rsidRPr="00C9343F">
              <w:rPr>
                <w:rFonts w:cs="Arial"/>
                <w:color w:val="000000"/>
                <w:sz w:val="20"/>
              </w:rPr>
              <w:t>The day of remuster to the Network Technician employment category.</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66C371C" w14:textId="77777777" w:rsidR="00C30410" w:rsidRPr="00C9343F" w:rsidRDefault="00C30410" w:rsidP="00F66D98">
            <w:pPr>
              <w:spacing w:beforeLines="20" w:before="48" w:after="120" w:line="254" w:lineRule="auto"/>
              <w:rPr>
                <w:rFonts w:cs="Arial"/>
                <w:sz w:val="20"/>
                <w:szCs w:val="22"/>
              </w:rPr>
            </w:pPr>
            <w:r w:rsidRPr="00C9343F">
              <w:rPr>
                <w:rFonts w:cs="Arial"/>
                <w:sz w:val="20"/>
              </w:rPr>
              <w:t xml:space="preserve">The day five years after the day of remuster to </w:t>
            </w:r>
            <w:r w:rsidRPr="00C9343F">
              <w:rPr>
                <w:rFonts w:cs="Arial"/>
                <w:color w:val="000000"/>
                <w:sz w:val="20"/>
              </w:rPr>
              <w:t>the Network Technician employment category.</w:t>
            </w:r>
          </w:p>
          <w:p w14:paraId="008AF149" w14:textId="77777777" w:rsidR="00C30410" w:rsidRPr="00C9343F" w:rsidRDefault="00C30410" w:rsidP="00F66D98">
            <w:pPr>
              <w:spacing w:beforeLines="20" w:before="48" w:after="120" w:line="254" w:lineRule="auto"/>
              <w:rPr>
                <w:rFonts w:cs="Arial"/>
                <w:color w:val="000000"/>
                <w:sz w:val="20"/>
              </w:rPr>
            </w:pPr>
          </w:p>
        </w:tc>
      </w:tr>
      <w:tr w:rsidR="00F00AD9" w:rsidRPr="00C9343F" w14:paraId="44A23025" w14:textId="77777777" w:rsidTr="00AA3C6C">
        <w:tc>
          <w:tcPr>
            <w:tcW w:w="399" w:type="pct"/>
            <w:tcBorders>
              <w:top w:val="single" w:sz="6" w:space="0" w:color="auto"/>
              <w:left w:val="single" w:sz="6" w:space="0" w:color="auto"/>
              <w:bottom w:val="nil"/>
              <w:right w:val="single" w:sz="6" w:space="0" w:color="auto"/>
            </w:tcBorders>
            <w:hideMark/>
          </w:tcPr>
          <w:p w14:paraId="45A350F0" w14:textId="37A7D3B8" w:rsidR="00F00AD9" w:rsidRPr="00C9343F" w:rsidRDefault="00F00AD9" w:rsidP="00F00AD9">
            <w:pPr>
              <w:spacing w:beforeLines="20" w:before="48" w:after="120" w:line="254" w:lineRule="auto"/>
              <w:jc w:val="center"/>
              <w:rPr>
                <w:rFonts w:cs="Arial"/>
                <w:color w:val="000000"/>
                <w:sz w:val="20"/>
                <w:szCs w:val="22"/>
              </w:rPr>
            </w:pPr>
            <w:r w:rsidRPr="00C9343F">
              <w:rPr>
                <w:sz w:val="20"/>
              </w:rPr>
              <w:t>14.</w:t>
            </w:r>
          </w:p>
        </w:tc>
        <w:tc>
          <w:tcPr>
            <w:tcW w:w="773" w:type="pct"/>
            <w:tcBorders>
              <w:top w:val="single" w:sz="6" w:space="0" w:color="auto"/>
              <w:left w:val="single" w:sz="6" w:space="0" w:color="auto"/>
              <w:bottom w:val="nil"/>
              <w:right w:val="single" w:sz="6" w:space="0" w:color="auto"/>
            </w:tcBorders>
            <w:hideMark/>
          </w:tcPr>
          <w:p w14:paraId="2564E779" w14:textId="7C0E78E9" w:rsidR="00F00AD9" w:rsidRPr="00C9343F" w:rsidRDefault="00F00AD9" w:rsidP="00F00AD9">
            <w:pPr>
              <w:spacing w:beforeLines="20" w:before="48" w:after="120" w:line="254" w:lineRule="auto"/>
              <w:ind w:left="109"/>
              <w:rPr>
                <w:rFonts w:cs="Arial"/>
                <w:sz w:val="20"/>
                <w:szCs w:val="22"/>
              </w:rPr>
            </w:pPr>
            <w:r w:rsidRPr="00C9343F">
              <w:rPr>
                <w:sz w:val="20"/>
              </w:rPr>
              <w:t>Pay Grade 7</w:t>
            </w:r>
          </w:p>
        </w:tc>
        <w:tc>
          <w:tcPr>
            <w:tcW w:w="1564" w:type="pct"/>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2B10D018" w14:textId="7BAA3862" w:rsidR="00F00AD9" w:rsidRPr="00C9343F" w:rsidRDefault="00F00AD9" w:rsidP="00F00AD9">
            <w:pPr>
              <w:spacing w:beforeLines="20" w:before="48" w:after="120" w:line="254" w:lineRule="auto"/>
              <w:rPr>
                <w:rFonts w:cs="Arial"/>
                <w:color w:val="000000"/>
                <w:sz w:val="20"/>
                <w:szCs w:val="22"/>
              </w:rPr>
            </w:pPr>
            <w:r w:rsidRPr="00C9343F">
              <w:rPr>
                <w:sz w:val="20"/>
              </w:rPr>
              <w:t>Flight Engineer on pay grade 7 the day prior to remuster to another Airmen Aircrew mustering.</w:t>
            </w:r>
          </w:p>
        </w:tc>
        <w:tc>
          <w:tcPr>
            <w:tcW w:w="1107" w:type="pct"/>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3F0BF8F8" w14:textId="367B60C6" w:rsidR="00F00AD9" w:rsidRPr="00C9343F" w:rsidRDefault="00F00AD9" w:rsidP="00F00AD9">
            <w:pPr>
              <w:spacing w:beforeLines="20" w:before="48" w:after="120" w:line="254" w:lineRule="auto"/>
              <w:rPr>
                <w:rFonts w:cs="Arial"/>
                <w:sz w:val="20"/>
              </w:rPr>
            </w:pPr>
            <w:r w:rsidRPr="00C9343F">
              <w:rPr>
                <w:sz w:val="20"/>
              </w:rPr>
              <w:t>Date of remuster to another Airmen Aircrew mustering.</w:t>
            </w:r>
          </w:p>
        </w:tc>
        <w:tc>
          <w:tcPr>
            <w:tcW w:w="1157" w:type="pct"/>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495B0A2D" w14:textId="43D1827E" w:rsidR="00F00AD9" w:rsidRPr="00C9343F" w:rsidRDefault="00F00AD9" w:rsidP="00F00AD9">
            <w:pPr>
              <w:spacing w:beforeLines="20" w:before="48" w:after="120" w:line="254" w:lineRule="auto"/>
              <w:rPr>
                <w:rFonts w:cs="Arial"/>
                <w:sz w:val="20"/>
              </w:rPr>
            </w:pPr>
            <w:r w:rsidRPr="00C9343F">
              <w:rPr>
                <w:sz w:val="20"/>
              </w:rPr>
              <w:t>The day five years from the date of remuster to another Airmen Aircrew mustering.</w:t>
            </w:r>
          </w:p>
        </w:tc>
      </w:tr>
      <w:tr w:rsidR="0057048C" w:rsidRPr="00C9343F" w14:paraId="08FF3FA7"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1D1DE671" w14:textId="77777777" w:rsidR="00C30410" w:rsidRPr="00C9343F" w:rsidRDefault="00C30410" w:rsidP="00F66D98">
            <w:pPr>
              <w:spacing w:beforeLines="20" w:before="48" w:after="120" w:line="254" w:lineRule="auto"/>
              <w:jc w:val="center"/>
              <w:rPr>
                <w:rFonts w:cs="Arial"/>
                <w:color w:val="000000"/>
                <w:sz w:val="20"/>
                <w:szCs w:val="22"/>
              </w:rPr>
            </w:pPr>
            <w:r w:rsidRPr="00C9343F">
              <w:rPr>
                <w:rFonts w:cs="Arial"/>
                <w:color w:val="000000"/>
                <w:sz w:val="20"/>
              </w:rPr>
              <w:t>15.</w:t>
            </w:r>
          </w:p>
        </w:tc>
        <w:tc>
          <w:tcPr>
            <w:tcW w:w="773" w:type="pct"/>
            <w:tcBorders>
              <w:top w:val="single" w:sz="6" w:space="0" w:color="auto"/>
              <w:left w:val="single" w:sz="6" w:space="0" w:color="auto"/>
              <w:bottom w:val="single" w:sz="6" w:space="0" w:color="auto"/>
              <w:right w:val="single" w:sz="6" w:space="0" w:color="auto"/>
            </w:tcBorders>
            <w:hideMark/>
          </w:tcPr>
          <w:p w14:paraId="1F1E3F37" w14:textId="251F77BA" w:rsidR="00C30410" w:rsidRPr="00C9343F" w:rsidRDefault="00C30410" w:rsidP="00F66D98">
            <w:pPr>
              <w:spacing w:beforeLines="20" w:before="48" w:after="120" w:line="254" w:lineRule="auto"/>
              <w:ind w:left="109"/>
              <w:rPr>
                <w:rFonts w:cs="Arial"/>
                <w:bCs/>
                <w:color w:val="000000"/>
                <w:sz w:val="20"/>
              </w:rPr>
            </w:pPr>
            <w:r w:rsidRPr="00C9343F">
              <w:rPr>
                <w:rFonts w:cs="Arial"/>
                <w:bCs/>
                <w:sz w:val="20"/>
              </w:rPr>
              <w:t xml:space="preserve">Pay </w:t>
            </w:r>
            <w:r w:rsidR="00005BF6" w:rsidRPr="00C9343F">
              <w:rPr>
                <w:rFonts w:cs="Arial"/>
                <w:sz w:val="20"/>
              </w:rPr>
              <w:t xml:space="preserve">grade </w:t>
            </w:r>
            <w:r w:rsidRPr="00C9343F">
              <w:rPr>
                <w:rFonts w:cs="Arial"/>
                <w:bCs/>
                <w:sz w:val="20"/>
              </w:rPr>
              <w:t>7</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66BE35D" w14:textId="77777777" w:rsidR="00C30410" w:rsidRPr="00C9343F" w:rsidRDefault="00C30410" w:rsidP="00F66D98">
            <w:pPr>
              <w:spacing w:beforeLines="20" w:before="48" w:after="120" w:line="254" w:lineRule="auto"/>
              <w:rPr>
                <w:rFonts w:cs="Arial"/>
                <w:sz w:val="20"/>
                <w:szCs w:val="22"/>
              </w:rPr>
            </w:pPr>
            <w:r w:rsidRPr="00C9343F">
              <w:rPr>
                <w:rFonts w:cs="Arial"/>
                <w:sz w:val="20"/>
              </w:rPr>
              <w:t xml:space="preserve">Network Technician employment category remustered from a Communications Electronic employment category on pay grade 7 between </w:t>
            </w:r>
            <w:r w:rsidRPr="00C9343F">
              <w:rPr>
                <w:rFonts w:cs="Arial"/>
                <w:color w:val="000000"/>
                <w:sz w:val="20"/>
              </w:rPr>
              <w:t>25 June 2020 to 24 June 2025.</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3FE6470" w14:textId="77777777" w:rsidR="00C30410" w:rsidRPr="00C9343F" w:rsidRDefault="00C30410" w:rsidP="00F66D98">
            <w:pPr>
              <w:spacing w:beforeLines="20" w:before="48" w:after="120" w:line="254" w:lineRule="auto"/>
              <w:rPr>
                <w:rFonts w:cs="Arial"/>
                <w:color w:val="000000"/>
                <w:sz w:val="20"/>
              </w:rPr>
            </w:pPr>
            <w:r w:rsidRPr="00C9343F">
              <w:rPr>
                <w:rFonts w:cs="Arial"/>
                <w:color w:val="000000"/>
                <w:sz w:val="20"/>
              </w:rPr>
              <w:t>The day of remuster to the Network Technician employment category.</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1600DFA" w14:textId="77777777" w:rsidR="00C30410" w:rsidRPr="00C9343F" w:rsidRDefault="00C30410" w:rsidP="00F66D98">
            <w:pPr>
              <w:spacing w:beforeLines="20" w:before="48" w:after="120" w:line="254" w:lineRule="auto"/>
              <w:rPr>
                <w:rFonts w:cs="Arial"/>
                <w:sz w:val="20"/>
                <w:szCs w:val="22"/>
              </w:rPr>
            </w:pPr>
            <w:r w:rsidRPr="00C9343F">
              <w:rPr>
                <w:rFonts w:cs="Arial"/>
                <w:sz w:val="20"/>
              </w:rPr>
              <w:t xml:space="preserve">The day five years after the day of remuster to </w:t>
            </w:r>
            <w:r w:rsidRPr="00C9343F">
              <w:rPr>
                <w:rFonts w:cs="Arial"/>
                <w:color w:val="000000"/>
                <w:sz w:val="20"/>
              </w:rPr>
              <w:t>the Network Technician employment category.</w:t>
            </w:r>
          </w:p>
          <w:p w14:paraId="3D05223C" w14:textId="77777777" w:rsidR="00C30410" w:rsidRPr="00C9343F" w:rsidRDefault="00C30410" w:rsidP="00F66D98">
            <w:pPr>
              <w:spacing w:beforeLines="20" w:before="48" w:after="120" w:line="254" w:lineRule="auto"/>
              <w:rPr>
                <w:rFonts w:cs="Arial"/>
                <w:color w:val="000000"/>
                <w:sz w:val="20"/>
              </w:rPr>
            </w:pPr>
          </w:p>
        </w:tc>
      </w:tr>
      <w:tr w:rsidR="001348D1" w:rsidRPr="00C9343F" w14:paraId="7AEAAE0B" w14:textId="77777777" w:rsidTr="00AA3C6C">
        <w:tc>
          <w:tcPr>
            <w:tcW w:w="399" w:type="pct"/>
            <w:tcBorders>
              <w:top w:val="single" w:sz="6" w:space="0" w:color="auto"/>
              <w:left w:val="single" w:sz="6" w:space="0" w:color="auto"/>
              <w:bottom w:val="single" w:sz="6" w:space="0" w:color="auto"/>
              <w:right w:val="single" w:sz="6" w:space="0" w:color="auto"/>
            </w:tcBorders>
            <w:hideMark/>
          </w:tcPr>
          <w:p w14:paraId="433993B4" w14:textId="70A70519" w:rsidR="001348D1" w:rsidRPr="00C9343F" w:rsidRDefault="001348D1" w:rsidP="001348D1">
            <w:pPr>
              <w:spacing w:beforeLines="20" w:before="48" w:after="120" w:line="254" w:lineRule="auto"/>
              <w:jc w:val="center"/>
              <w:rPr>
                <w:rFonts w:cs="Arial"/>
                <w:color w:val="000000"/>
                <w:sz w:val="20"/>
                <w:szCs w:val="22"/>
              </w:rPr>
            </w:pPr>
            <w:r w:rsidRPr="00C9343F">
              <w:rPr>
                <w:sz w:val="20"/>
              </w:rPr>
              <w:t>16.</w:t>
            </w:r>
          </w:p>
        </w:tc>
        <w:tc>
          <w:tcPr>
            <w:tcW w:w="773" w:type="pct"/>
            <w:tcBorders>
              <w:top w:val="single" w:sz="6" w:space="0" w:color="auto"/>
              <w:left w:val="single" w:sz="6" w:space="0" w:color="auto"/>
              <w:bottom w:val="single" w:sz="6" w:space="0" w:color="auto"/>
              <w:right w:val="single" w:sz="6" w:space="0" w:color="auto"/>
            </w:tcBorders>
            <w:hideMark/>
          </w:tcPr>
          <w:p w14:paraId="12E43669" w14:textId="652242E4" w:rsidR="001348D1" w:rsidRPr="00C9343F" w:rsidRDefault="001348D1" w:rsidP="001348D1">
            <w:pPr>
              <w:spacing w:beforeLines="20" w:before="48" w:after="120" w:line="254" w:lineRule="auto"/>
              <w:ind w:left="109"/>
              <w:rPr>
                <w:rFonts w:cs="Arial"/>
                <w:sz w:val="20"/>
                <w:szCs w:val="22"/>
              </w:rPr>
            </w:pPr>
            <w:r w:rsidRPr="00C9343F">
              <w:rPr>
                <w:sz w:val="20"/>
              </w:rPr>
              <w:t>Pay Grade 8</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80821B3" w14:textId="3FDF7B75" w:rsidR="001348D1" w:rsidRPr="00C9343F" w:rsidRDefault="001348D1" w:rsidP="001348D1">
            <w:pPr>
              <w:spacing w:beforeLines="20" w:before="48" w:after="120" w:line="254" w:lineRule="auto"/>
              <w:rPr>
                <w:rFonts w:cs="Arial"/>
                <w:color w:val="000000"/>
                <w:sz w:val="20"/>
                <w:szCs w:val="22"/>
              </w:rPr>
            </w:pPr>
            <w:r w:rsidRPr="00C9343F">
              <w:rPr>
                <w:sz w:val="20"/>
              </w:rPr>
              <w:t>Flight Engineer on pay grade 8 the day prior to remuster to another Airmen Aircrew mustering.</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01BBC6" w14:textId="42C59701" w:rsidR="001348D1" w:rsidRPr="00C9343F" w:rsidRDefault="001348D1" w:rsidP="001348D1">
            <w:pPr>
              <w:spacing w:beforeLines="20" w:before="48" w:after="120" w:line="254" w:lineRule="auto"/>
              <w:rPr>
                <w:rFonts w:cs="Arial"/>
                <w:sz w:val="20"/>
              </w:rPr>
            </w:pPr>
            <w:r w:rsidRPr="00C9343F">
              <w:rPr>
                <w:sz w:val="20"/>
              </w:rPr>
              <w:t>Date of remuster to another Airmen Aircrew mustering.</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8D7C6A" w14:textId="54749FAA" w:rsidR="001348D1" w:rsidRPr="00C9343F" w:rsidRDefault="001348D1" w:rsidP="001348D1">
            <w:pPr>
              <w:spacing w:beforeLines="20" w:before="48" w:after="120" w:line="254" w:lineRule="auto"/>
              <w:rPr>
                <w:rFonts w:cs="Arial"/>
                <w:sz w:val="20"/>
              </w:rPr>
            </w:pPr>
            <w:r w:rsidRPr="00C9343F">
              <w:rPr>
                <w:sz w:val="20"/>
              </w:rPr>
              <w:t>The day five years from the date of remuster to another Airmen Aircrew mustering.</w:t>
            </w:r>
          </w:p>
        </w:tc>
      </w:tr>
      <w:tr w:rsidR="0057048C" w:rsidRPr="00C9343F" w14:paraId="1CB4A87F" w14:textId="77777777" w:rsidTr="00AA3C6C">
        <w:trPr>
          <w:cantSplit/>
        </w:trPr>
        <w:tc>
          <w:tcPr>
            <w:tcW w:w="399" w:type="pct"/>
            <w:tcBorders>
              <w:top w:val="single" w:sz="6" w:space="0" w:color="auto"/>
              <w:left w:val="single" w:sz="6" w:space="0" w:color="auto"/>
              <w:bottom w:val="single" w:sz="6" w:space="0" w:color="auto"/>
              <w:right w:val="single" w:sz="6" w:space="0" w:color="auto"/>
            </w:tcBorders>
            <w:hideMark/>
          </w:tcPr>
          <w:p w14:paraId="1823DD66" w14:textId="77777777" w:rsidR="00C30410" w:rsidRPr="00C9343F" w:rsidRDefault="00C30410" w:rsidP="00F66D98">
            <w:pPr>
              <w:spacing w:beforeLines="20" w:before="48" w:after="120" w:line="254" w:lineRule="auto"/>
              <w:jc w:val="center"/>
              <w:rPr>
                <w:rFonts w:cs="Arial"/>
                <w:color w:val="000000"/>
                <w:sz w:val="20"/>
                <w:szCs w:val="22"/>
              </w:rPr>
            </w:pPr>
            <w:r w:rsidRPr="00C9343F">
              <w:rPr>
                <w:rFonts w:cs="Arial"/>
                <w:color w:val="000000"/>
                <w:sz w:val="20"/>
              </w:rPr>
              <w:t>17.</w:t>
            </w:r>
          </w:p>
        </w:tc>
        <w:tc>
          <w:tcPr>
            <w:tcW w:w="773" w:type="pct"/>
            <w:tcBorders>
              <w:top w:val="single" w:sz="6" w:space="0" w:color="auto"/>
              <w:left w:val="single" w:sz="6" w:space="0" w:color="auto"/>
              <w:bottom w:val="single" w:sz="6" w:space="0" w:color="auto"/>
              <w:right w:val="single" w:sz="6" w:space="0" w:color="auto"/>
            </w:tcBorders>
            <w:hideMark/>
          </w:tcPr>
          <w:p w14:paraId="32F16035" w14:textId="2F648B1E" w:rsidR="00C30410" w:rsidRPr="00C9343F" w:rsidRDefault="00C30410" w:rsidP="00F66D98">
            <w:pPr>
              <w:spacing w:beforeLines="20" w:before="48" w:after="120" w:line="254" w:lineRule="auto"/>
              <w:ind w:left="109"/>
              <w:rPr>
                <w:sz w:val="20"/>
              </w:rPr>
            </w:pPr>
            <w:r w:rsidRPr="00C9343F">
              <w:rPr>
                <w:rFonts w:cs="Arial"/>
                <w:bCs/>
                <w:sz w:val="20"/>
              </w:rPr>
              <w:t xml:space="preserve">Pay </w:t>
            </w:r>
            <w:r w:rsidR="00005BF6" w:rsidRPr="00C9343F">
              <w:rPr>
                <w:rFonts w:cs="Arial"/>
                <w:sz w:val="20"/>
              </w:rPr>
              <w:t xml:space="preserve">grade </w:t>
            </w:r>
            <w:r w:rsidRPr="00C9343F">
              <w:rPr>
                <w:rFonts w:cs="Arial"/>
                <w:bCs/>
                <w:sz w:val="20"/>
              </w:rPr>
              <w:t>8</w:t>
            </w:r>
          </w:p>
        </w:tc>
        <w:tc>
          <w:tcPr>
            <w:tcW w:w="1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1049609" w14:textId="77777777" w:rsidR="00C30410" w:rsidRPr="00C9343F" w:rsidRDefault="00C30410" w:rsidP="00F66D98">
            <w:pPr>
              <w:spacing w:beforeLines="20" w:before="48" w:after="120" w:line="254" w:lineRule="auto"/>
              <w:rPr>
                <w:rFonts w:cs="Arial"/>
                <w:sz w:val="20"/>
                <w:szCs w:val="22"/>
              </w:rPr>
            </w:pPr>
            <w:r w:rsidRPr="00C9343F">
              <w:rPr>
                <w:rFonts w:cs="Arial"/>
                <w:sz w:val="20"/>
              </w:rPr>
              <w:t xml:space="preserve">Network Technician employment category remustered from a Communications Electronic employment category on pay grade 8 between </w:t>
            </w:r>
            <w:r w:rsidRPr="00C9343F">
              <w:rPr>
                <w:rFonts w:cs="Arial"/>
                <w:color w:val="000000"/>
                <w:sz w:val="20"/>
              </w:rPr>
              <w:t>25 June 2020 to 24 June 2025.</w:t>
            </w:r>
          </w:p>
        </w:tc>
        <w:tc>
          <w:tcPr>
            <w:tcW w:w="11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7FCCDBB" w14:textId="77777777" w:rsidR="00C30410" w:rsidRPr="00C9343F" w:rsidRDefault="00C30410" w:rsidP="00F66D98">
            <w:pPr>
              <w:spacing w:beforeLines="20" w:before="48" w:after="120" w:line="254" w:lineRule="auto"/>
              <w:rPr>
                <w:rFonts w:cs="Arial"/>
                <w:sz w:val="20"/>
                <w:szCs w:val="22"/>
              </w:rPr>
            </w:pPr>
            <w:r w:rsidRPr="00C9343F">
              <w:rPr>
                <w:rFonts w:cs="Arial"/>
                <w:color w:val="000000"/>
                <w:sz w:val="20"/>
              </w:rPr>
              <w:t>The day of remuster to the Network Technician employment category.</w:t>
            </w:r>
          </w:p>
        </w:tc>
        <w:tc>
          <w:tcPr>
            <w:tcW w:w="115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86D5F85" w14:textId="77777777" w:rsidR="00C30410" w:rsidRPr="00C9343F" w:rsidRDefault="00C30410" w:rsidP="00F66D98">
            <w:pPr>
              <w:spacing w:beforeLines="20" w:before="48" w:after="120" w:line="254" w:lineRule="auto"/>
              <w:rPr>
                <w:rFonts w:cs="Arial"/>
                <w:sz w:val="20"/>
                <w:szCs w:val="22"/>
              </w:rPr>
            </w:pPr>
            <w:r w:rsidRPr="00C9343F">
              <w:rPr>
                <w:rFonts w:cs="Arial"/>
                <w:sz w:val="20"/>
              </w:rPr>
              <w:t>The day five years after the day of remuster to</w:t>
            </w:r>
            <w:r w:rsidRPr="00C9343F">
              <w:rPr>
                <w:rFonts w:cs="Arial"/>
                <w:color w:val="000000"/>
                <w:sz w:val="20"/>
              </w:rPr>
              <w:t xml:space="preserve"> the Network Technician employment category.</w:t>
            </w:r>
          </w:p>
          <w:p w14:paraId="36F629F7" w14:textId="77777777" w:rsidR="00C30410" w:rsidRPr="00C9343F" w:rsidRDefault="00C30410" w:rsidP="00F66D98">
            <w:pPr>
              <w:spacing w:beforeLines="20" w:before="48" w:after="120" w:line="254" w:lineRule="auto"/>
              <w:rPr>
                <w:rFonts w:cs="Arial"/>
                <w:sz w:val="20"/>
                <w:szCs w:val="22"/>
              </w:rPr>
            </w:pPr>
          </w:p>
        </w:tc>
      </w:tr>
    </w:tbl>
    <w:p w14:paraId="59B0D9B7" w14:textId="77777777" w:rsidR="00C30410" w:rsidRPr="00C9343F" w:rsidRDefault="00C30410" w:rsidP="00F66D98">
      <w:pPr>
        <w:pStyle w:val="Heading5"/>
        <w:rPr>
          <w:rFonts w:cstheme="majorBidi"/>
        </w:rPr>
      </w:pPr>
      <w:bookmarkStart w:id="532" w:name="_Toc105053741"/>
      <w:r w:rsidRPr="00C9343F">
        <w:t>Part 2: Members with the rank of Warrant Officer Class 2 or lower</w:t>
      </w:r>
      <w:bookmarkEnd w:id="532"/>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530"/>
        <w:gridCol w:w="2970"/>
        <w:gridCol w:w="2160"/>
        <w:gridCol w:w="2160"/>
      </w:tblGrid>
      <w:tr w:rsidR="0092435B" w:rsidRPr="00C9343F" w14:paraId="7C351E0A" w14:textId="77777777" w:rsidTr="00372A02">
        <w:trPr>
          <w:trHeight w:val="781"/>
        </w:trPr>
        <w:tc>
          <w:tcPr>
            <w:tcW w:w="720" w:type="dxa"/>
            <w:hideMark/>
          </w:tcPr>
          <w:p w14:paraId="709D298E" w14:textId="77777777" w:rsidR="00C30410" w:rsidRPr="00C9343F" w:rsidRDefault="00C30410" w:rsidP="00F66D98">
            <w:pPr>
              <w:spacing w:before="20" w:line="254" w:lineRule="auto"/>
              <w:jc w:val="center"/>
              <w:rPr>
                <w:b/>
                <w:color w:val="000000"/>
                <w:sz w:val="20"/>
              </w:rPr>
            </w:pPr>
            <w:r w:rsidRPr="00C9343F">
              <w:rPr>
                <w:rFonts w:cs="Arial"/>
                <w:b/>
                <w:bCs/>
                <w:color w:val="000000"/>
                <w:sz w:val="20"/>
              </w:rPr>
              <w:t>Item</w:t>
            </w:r>
          </w:p>
        </w:tc>
        <w:tc>
          <w:tcPr>
            <w:tcW w:w="1530" w:type="dxa"/>
            <w:hideMark/>
          </w:tcPr>
          <w:p w14:paraId="585011E3" w14:textId="77777777" w:rsidR="00C30410" w:rsidRPr="00C9343F" w:rsidRDefault="00C30410" w:rsidP="00F66D98">
            <w:pPr>
              <w:spacing w:before="20" w:line="254" w:lineRule="auto"/>
              <w:jc w:val="center"/>
              <w:rPr>
                <w:rFonts w:cstheme="minorBidi"/>
                <w:b/>
                <w:color w:val="000000"/>
                <w:sz w:val="20"/>
              </w:rPr>
            </w:pPr>
            <w:r w:rsidRPr="00C9343F">
              <w:rPr>
                <w:rFonts w:cs="Arial"/>
                <w:b/>
                <w:bCs/>
                <w:color w:val="000000"/>
                <w:sz w:val="20"/>
              </w:rPr>
              <w:t>Column A</w:t>
            </w:r>
          </w:p>
          <w:p w14:paraId="12CB217C" w14:textId="77777777" w:rsidR="00C30410" w:rsidRPr="00C9343F" w:rsidRDefault="00C30410" w:rsidP="00F66D98">
            <w:pPr>
              <w:spacing w:before="20" w:line="254" w:lineRule="auto"/>
              <w:jc w:val="center"/>
              <w:rPr>
                <w:b/>
                <w:color w:val="000000"/>
                <w:sz w:val="20"/>
              </w:rPr>
            </w:pPr>
            <w:r w:rsidRPr="00C9343F">
              <w:rPr>
                <w:rFonts w:cs="Arial"/>
                <w:b/>
                <w:bCs/>
                <w:color w:val="000000"/>
                <w:sz w:val="20"/>
              </w:rPr>
              <w:t>Pay grade</w:t>
            </w:r>
          </w:p>
        </w:tc>
        <w:tc>
          <w:tcPr>
            <w:tcW w:w="2970" w:type="dxa"/>
            <w:hideMark/>
          </w:tcPr>
          <w:p w14:paraId="15D05ABB" w14:textId="77777777" w:rsidR="00C30410" w:rsidRPr="00C9343F" w:rsidRDefault="00C30410" w:rsidP="00F66D98">
            <w:pPr>
              <w:spacing w:before="20" w:line="254" w:lineRule="auto"/>
              <w:jc w:val="center"/>
              <w:rPr>
                <w:rFonts w:cstheme="minorBidi"/>
                <w:b/>
                <w:color w:val="000000"/>
                <w:sz w:val="20"/>
              </w:rPr>
            </w:pPr>
            <w:r w:rsidRPr="00C9343F">
              <w:rPr>
                <w:rFonts w:cs="Arial"/>
                <w:b/>
                <w:bCs/>
                <w:color w:val="000000"/>
                <w:sz w:val="20"/>
              </w:rPr>
              <w:t>Column B</w:t>
            </w:r>
          </w:p>
          <w:p w14:paraId="753572C0" w14:textId="77777777" w:rsidR="00C30410" w:rsidRPr="00C9343F" w:rsidRDefault="00C30410" w:rsidP="00F66D98">
            <w:pPr>
              <w:spacing w:before="20" w:line="254" w:lineRule="auto"/>
              <w:jc w:val="center"/>
              <w:rPr>
                <w:b/>
                <w:color w:val="000000"/>
                <w:sz w:val="20"/>
              </w:rPr>
            </w:pPr>
            <w:r w:rsidRPr="00C9343F">
              <w:rPr>
                <w:rFonts w:cs="Arial"/>
                <w:b/>
                <w:bCs/>
                <w:color w:val="000000"/>
                <w:sz w:val="20"/>
              </w:rPr>
              <w:t>Employment category and conditions (if any)</w:t>
            </w:r>
          </w:p>
        </w:tc>
        <w:tc>
          <w:tcPr>
            <w:tcW w:w="2160" w:type="dxa"/>
            <w:hideMark/>
          </w:tcPr>
          <w:p w14:paraId="1E802025" w14:textId="77777777" w:rsidR="00C30410" w:rsidRPr="00C9343F" w:rsidRDefault="00C30410" w:rsidP="00F66D98">
            <w:pPr>
              <w:spacing w:before="20" w:line="254" w:lineRule="auto"/>
              <w:jc w:val="center"/>
              <w:rPr>
                <w:rFonts w:cstheme="minorBidi"/>
                <w:b/>
                <w:color w:val="000000"/>
                <w:sz w:val="20"/>
              </w:rPr>
            </w:pPr>
            <w:r w:rsidRPr="00C9343F">
              <w:rPr>
                <w:rFonts w:cs="Arial"/>
                <w:b/>
                <w:bCs/>
                <w:color w:val="000000"/>
                <w:sz w:val="20"/>
              </w:rPr>
              <w:t>Column C</w:t>
            </w:r>
          </w:p>
          <w:p w14:paraId="345DF09A" w14:textId="77777777" w:rsidR="00C30410" w:rsidRPr="00C9343F" w:rsidRDefault="00C30410" w:rsidP="00F66D98">
            <w:pPr>
              <w:spacing w:before="20" w:line="254" w:lineRule="auto"/>
              <w:jc w:val="center"/>
              <w:rPr>
                <w:b/>
                <w:color w:val="000000"/>
                <w:sz w:val="20"/>
              </w:rPr>
            </w:pPr>
            <w:r w:rsidRPr="00C9343F">
              <w:rPr>
                <w:rFonts w:cs="Arial"/>
                <w:b/>
                <w:bCs/>
                <w:color w:val="000000"/>
                <w:sz w:val="20"/>
              </w:rPr>
              <w:t>Start date</w:t>
            </w:r>
          </w:p>
        </w:tc>
        <w:tc>
          <w:tcPr>
            <w:tcW w:w="2160" w:type="dxa"/>
            <w:hideMark/>
          </w:tcPr>
          <w:p w14:paraId="12E41086" w14:textId="77777777" w:rsidR="00C30410" w:rsidRPr="00C9343F" w:rsidRDefault="00C30410" w:rsidP="00F66D98">
            <w:pPr>
              <w:spacing w:before="20" w:line="254" w:lineRule="auto"/>
              <w:jc w:val="center"/>
              <w:rPr>
                <w:rFonts w:cstheme="minorBidi"/>
                <w:b/>
                <w:color w:val="000000"/>
                <w:sz w:val="20"/>
              </w:rPr>
            </w:pPr>
            <w:r w:rsidRPr="00C9343F">
              <w:rPr>
                <w:rFonts w:cs="Arial"/>
                <w:b/>
                <w:bCs/>
                <w:color w:val="000000"/>
                <w:sz w:val="20"/>
              </w:rPr>
              <w:t>Column D</w:t>
            </w:r>
          </w:p>
          <w:p w14:paraId="525AB095" w14:textId="77777777" w:rsidR="00C30410" w:rsidRPr="00C9343F" w:rsidRDefault="00C30410" w:rsidP="00F66D98">
            <w:pPr>
              <w:spacing w:before="20" w:line="254" w:lineRule="auto"/>
              <w:jc w:val="center"/>
              <w:rPr>
                <w:b/>
                <w:color w:val="000000"/>
                <w:sz w:val="20"/>
              </w:rPr>
            </w:pPr>
            <w:r w:rsidRPr="00C9343F">
              <w:rPr>
                <w:rFonts w:cs="Arial"/>
                <w:b/>
                <w:bCs/>
                <w:color w:val="000000"/>
                <w:sz w:val="20"/>
              </w:rPr>
              <w:t>End date</w:t>
            </w:r>
          </w:p>
        </w:tc>
      </w:tr>
      <w:tr w:rsidR="00C30410" w:rsidRPr="00C9343F" w14:paraId="1957C185" w14:textId="77777777" w:rsidTr="00372A02">
        <w:trPr>
          <w:trHeight w:val="20"/>
        </w:trPr>
        <w:tc>
          <w:tcPr>
            <w:tcW w:w="720" w:type="dxa"/>
          </w:tcPr>
          <w:p w14:paraId="1CCE64A4" w14:textId="77777777" w:rsidR="00C30410" w:rsidRPr="00C9343F" w:rsidRDefault="00C30410" w:rsidP="00F66D98">
            <w:pPr>
              <w:spacing w:beforeLines="20" w:before="48" w:after="120" w:line="254" w:lineRule="auto"/>
              <w:jc w:val="center"/>
              <w:rPr>
                <w:rFonts w:cs="Arial"/>
                <w:sz w:val="20"/>
              </w:rPr>
            </w:pPr>
          </w:p>
        </w:tc>
        <w:tc>
          <w:tcPr>
            <w:tcW w:w="8820" w:type="dxa"/>
            <w:gridSpan w:val="4"/>
            <w:hideMark/>
          </w:tcPr>
          <w:p w14:paraId="34F7968F" w14:textId="77777777" w:rsidR="00C30410" w:rsidRPr="00C9343F" w:rsidRDefault="00C30410" w:rsidP="00F66D98">
            <w:pPr>
              <w:spacing w:beforeLines="20" w:before="48" w:after="120" w:line="254" w:lineRule="auto"/>
              <w:rPr>
                <w:rFonts w:cs="Arial"/>
                <w:sz w:val="20"/>
              </w:rPr>
            </w:pPr>
            <w:r w:rsidRPr="00C9343F">
              <w:rPr>
                <w:rFonts w:cs="Arial"/>
                <w:b/>
                <w:sz w:val="20"/>
              </w:rPr>
              <w:t>NAVY</w:t>
            </w:r>
          </w:p>
        </w:tc>
      </w:tr>
      <w:tr w:rsidR="0092435B" w:rsidRPr="00C9343F" w14:paraId="36B31A0F" w14:textId="77777777" w:rsidTr="00372A02">
        <w:trPr>
          <w:trHeight w:val="20"/>
        </w:trPr>
        <w:tc>
          <w:tcPr>
            <w:tcW w:w="720" w:type="dxa"/>
            <w:hideMark/>
          </w:tcPr>
          <w:p w14:paraId="56A7CF6D" w14:textId="77777777" w:rsidR="00C30410" w:rsidRPr="00C9343F" w:rsidRDefault="00C30410" w:rsidP="00F66D98">
            <w:pPr>
              <w:spacing w:beforeLines="20" w:before="48" w:after="120" w:line="254" w:lineRule="auto"/>
              <w:jc w:val="center"/>
              <w:rPr>
                <w:rFonts w:cs="Arial"/>
                <w:sz w:val="20"/>
              </w:rPr>
            </w:pPr>
            <w:r w:rsidRPr="00C9343F">
              <w:rPr>
                <w:rFonts w:cs="Arial"/>
                <w:sz w:val="20"/>
              </w:rPr>
              <w:t>1.</w:t>
            </w:r>
          </w:p>
        </w:tc>
        <w:tc>
          <w:tcPr>
            <w:tcW w:w="1530" w:type="dxa"/>
            <w:hideMark/>
          </w:tcPr>
          <w:p w14:paraId="7ECD66B4" w14:textId="77777777" w:rsidR="00C30410" w:rsidRPr="00C9343F" w:rsidRDefault="00C30410" w:rsidP="00F66D98">
            <w:pPr>
              <w:spacing w:beforeLines="20" w:before="48" w:after="120" w:line="254" w:lineRule="auto"/>
              <w:rPr>
                <w:rFonts w:cs="Arial"/>
                <w:sz w:val="20"/>
              </w:rPr>
            </w:pPr>
            <w:r w:rsidRPr="00C9343F">
              <w:rPr>
                <w:rFonts w:cs="Arial"/>
                <w:sz w:val="20"/>
              </w:rPr>
              <w:t>Pay grade 3</w:t>
            </w:r>
          </w:p>
        </w:tc>
        <w:tc>
          <w:tcPr>
            <w:tcW w:w="2970" w:type="dxa"/>
            <w:hideMark/>
          </w:tcPr>
          <w:p w14:paraId="28EA0CFD" w14:textId="77777777" w:rsidR="00C30410" w:rsidRPr="00C9343F" w:rsidRDefault="00C30410" w:rsidP="00F66D98">
            <w:pPr>
              <w:spacing w:beforeLines="20" w:before="48" w:after="120" w:line="254" w:lineRule="auto"/>
              <w:rPr>
                <w:rFonts w:cs="Arial"/>
                <w:sz w:val="20"/>
              </w:rPr>
            </w:pPr>
            <w:r w:rsidRPr="00C9343F">
              <w:rPr>
                <w:rFonts w:cs="Arial"/>
                <w:sz w:val="20"/>
              </w:rPr>
              <w:t>Maritime Logistics Personnel Operations – Grade 2</w:t>
            </w:r>
          </w:p>
        </w:tc>
        <w:tc>
          <w:tcPr>
            <w:tcW w:w="2160" w:type="dxa"/>
            <w:hideMark/>
          </w:tcPr>
          <w:p w14:paraId="36011AA8" w14:textId="77777777" w:rsidR="00C30410" w:rsidRPr="00C9343F" w:rsidRDefault="00C30410" w:rsidP="00F66D98">
            <w:pPr>
              <w:spacing w:beforeLines="20" w:before="48" w:after="120" w:line="254" w:lineRule="auto"/>
              <w:rPr>
                <w:rFonts w:cs="Arial"/>
                <w:sz w:val="20"/>
              </w:rPr>
            </w:pPr>
            <w:r w:rsidRPr="00C9343F">
              <w:rPr>
                <w:rFonts w:cs="Arial"/>
                <w:sz w:val="20"/>
              </w:rPr>
              <w:t>8 March 2018</w:t>
            </w:r>
          </w:p>
        </w:tc>
        <w:tc>
          <w:tcPr>
            <w:tcW w:w="2160" w:type="dxa"/>
            <w:hideMark/>
          </w:tcPr>
          <w:p w14:paraId="63686337" w14:textId="65F0B9C0" w:rsidR="00C30410" w:rsidRPr="00C9343F" w:rsidRDefault="00C30410" w:rsidP="00F66D98">
            <w:pPr>
              <w:spacing w:beforeLines="20" w:before="48" w:after="120" w:line="254" w:lineRule="auto"/>
              <w:rPr>
                <w:rFonts w:cs="Arial"/>
                <w:sz w:val="20"/>
              </w:rPr>
            </w:pPr>
            <w:r w:rsidRPr="00C9343F">
              <w:rPr>
                <w:rFonts w:cs="Arial"/>
                <w:sz w:val="20"/>
              </w:rPr>
              <w:t>7 March 202</w:t>
            </w:r>
            <w:r w:rsidR="009637CD" w:rsidRPr="00C9343F">
              <w:rPr>
                <w:rFonts w:cs="Arial"/>
                <w:sz w:val="20"/>
              </w:rPr>
              <w:t>3</w:t>
            </w:r>
          </w:p>
        </w:tc>
      </w:tr>
      <w:tr w:rsidR="00191F5D" w:rsidRPr="00C9343F" w14:paraId="34ACCA1A" w14:textId="77777777" w:rsidTr="00372A02">
        <w:trPr>
          <w:trHeight w:val="20"/>
        </w:trPr>
        <w:tc>
          <w:tcPr>
            <w:tcW w:w="720" w:type="dxa"/>
          </w:tcPr>
          <w:p w14:paraId="02803DCE" w14:textId="5EA7D8F5" w:rsidR="00191F5D" w:rsidRPr="00C9343F" w:rsidRDefault="00191F5D" w:rsidP="00F66D98">
            <w:pPr>
              <w:spacing w:beforeLines="20" w:before="48" w:after="120" w:line="254" w:lineRule="auto"/>
              <w:jc w:val="center"/>
              <w:rPr>
                <w:rFonts w:cs="Arial"/>
                <w:sz w:val="20"/>
              </w:rPr>
            </w:pPr>
            <w:r w:rsidRPr="00C9343F">
              <w:rPr>
                <w:rFonts w:cs="Arial"/>
                <w:sz w:val="20"/>
              </w:rPr>
              <w:t>1A.</w:t>
            </w:r>
          </w:p>
        </w:tc>
        <w:tc>
          <w:tcPr>
            <w:tcW w:w="1530" w:type="dxa"/>
          </w:tcPr>
          <w:p w14:paraId="0CCFC641" w14:textId="683B06D1" w:rsidR="00191F5D" w:rsidRPr="00C9343F" w:rsidRDefault="00191F5D" w:rsidP="00F66D98">
            <w:pPr>
              <w:spacing w:beforeLines="20" w:before="48" w:after="120" w:line="254" w:lineRule="auto"/>
              <w:rPr>
                <w:rFonts w:cs="Arial"/>
                <w:sz w:val="20"/>
              </w:rPr>
            </w:pPr>
            <w:r w:rsidRPr="00C9343F">
              <w:rPr>
                <w:rFonts w:cs="Arial"/>
                <w:sz w:val="20"/>
              </w:rPr>
              <w:t>Pay grade 5</w:t>
            </w:r>
          </w:p>
        </w:tc>
        <w:tc>
          <w:tcPr>
            <w:tcW w:w="2970" w:type="dxa"/>
          </w:tcPr>
          <w:p w14:paraId="19F56ADC" w14:textId="3B817BA2" w:rsidR="00191F5D" w:rsidRPr="00C9343F" w:rsidRDefault="00191F5D" w:rsidP="00F66D98">
            <w:pPr>
              <w:spacing w:beforeLines="20" w:before="48" w:after="120" w:line="254" w:lineRule="auto"/>
              <w:rPr>
                <w:rFonts w:cs="Arial"/>
                <w:sz w:val="20"/>
              </w:rPr>
            </w:pPr>
            <w:r w:rsidRPr="00C9343F">
              <w:rPr>
                <w:rFonts w:cs="Arial"/>
                <w:sz w:val="20"/>
              </w:rPr>
              <w:t>Communications and Information Systems —Communications Grade 4</w:t>
            </w:r>
          </w:p>
        </w:tc>
        <w:tc>
          <w:tcPr>
            <w:tcW w:w="2160" w:type="dxa"/>
          </w:tcPr>
          <w:p w14:paraId="771129B7" w14:textId="7170CB6B" w:rsidR="00191F5D" w:rsidRPr="00C9343F" w:rsidRDefault="00191F5D" w:rsidP="00F66D98">
            <w:pPr>
              <w:spacing w:beforeLines="20" w:before="48" w:after="120" w:line="254" w:lineRule="auto"/>
              <w:rPr>
                <w:rFonts w:cs="Arial"/>
                <w:sz w:val="20"/>
              </w:rPr>
            </w:pPr>
            <w:r w:rsidRPr="00C9343F">
              <w:rPr>
                <w:rFonts w:cs="Arial"/>
                <w:sz w:val="20"/>
              </w:rPr>
              <w:t>1 July 2021</w:t>
            </w:r>
          </w:p>
        </w:tc>
        <w:tc>
          <w:tcPr>
            <w:tcW w:w="2160" w:type="dxa"/>
          </w:tcPr>
          <w:p w14:paraId="687A3E16" w14:textId="0F38B259" w:rsidR="00191F5D" w:rsidRPr="00C9343F" w:rsidRDefault="00191F5D" w:rsidP="00F66D98">
            <w:pPr>
              <w:spacing w:beforeLines="20" w:before="48" w:after="120" w:line="254" w:lineRule="auto"/>
              <w:rPr>
                <w:rFonts w:cs="Arial"/>
                <w:sz w:val="20"/>
              </w:rPr>
            </w:pPr>
            <w:r w:rsidRPr="00C9343F">
              <w:rPr>
                <w:rFonts w:cs="Arial"/>
                <w:sz w:val="20"/>
              </w:rPr>
              <w:t>1 July 2026</w:t>
            </w:r>
          </w:p>
        </w:tc>
      </w:tr>
      <w:tr w:rsidR="00191F5D" w:rsidRPr="00C9343F" w14:paraId="7505920A" w14:textId="77777777" w:rsidTr="00372A02">
        <w:trPr>
          <w:trHeight w:val="20"/>
        </w:trPr>
        <w:tc>
          <w:tcPr>
            <w:tcW w:w="720" w:type="dxa"/>
          </w:tcPr>
          <w:p w14:paraId="5094FE57" w14:textId="0D1EB828" w:rsidR="00191F5D" w:rsidRPr="00C9343F" w:rsidRDefault="00191F5D" w:rsidP="00F66D98">
            <w:pPr>
              <w:spacing w:beforeLines="20" w:before="48" w:after="120" w:line="254" w:lineRule="auto"/>
              <w:jc w:val="center"/>
              <w:rPr>
                <w:rFonts w:cs="Arial"/>
                <w:sz w:val="20"/>
              </w:rPr>
            </w:pPr>
            <w:r w:rsidRPr="00C9343F">
              <w:rPr>
                <w:rFonts w:cs="Arial"/>
                <w:sz w:val="20"/>
              </w:rPr>
              <w:t>1B.</w:t>
            </w:r>
          </w:p>
        </w:tc>
        <w:tc>
          <w:tcPr>
            <w:tcW w:w="1530" w:type="dxa"/>
          </w:tcPr>
          <w:p w14:paraId="7EEE38F3" w14:textId="6E8B965E" w:rsidR="00191F5D" w:rsidRPr="00C9343F" w:rsidRDefault="00191F5D" w:rsidP="00F66D98">
            <w:pPr>
              <w:spacing w:beforeLines="20" w:before="48" w:after="120" w:line="254" w:lineRule="auto"/>
              <w:rPr>
                <w:rFonts w:cs="Arial"/>
                <w:sz w:val="20"/>
              </w:rPr>
            </w:pPr>
            <w:r w:rsidRPr="00C9343F">
              <w:rPr>
                <w:rFonts w:cs="Arial"/>
                <w:sz w:val="20"/>
              </w:rPr>
              <w:t>Pay grade 5</w:t>
            </w:r>
          </w:p>
        </w:tc>
        <w:tc>
          <w:tcPr>
            <w:tcW w:w="2970" w:type="dxa"/>
          </w:tcPr>
          <w:p w14:paraId="140BD152" w14:textId="7C148B0E" w:rsidR="00191F5D" w:rsidRPr="00C9343F" w:rsidRDefault="00191F5D" w:rsidP="00F66D98">
            <w:pPr>
              <w:spacing w:beforeLines="20" w:before="48" w:after="120" w:line="254" w:lineRule="auto"/>
              <w:rPr>
                <w:rFonts w:cs="Arial"/>
                <w:sz w:val="20"/>
              </w:rPr>
            </w:pPr>
            <w:r w:rsidRPr="00C9343F">
              <w:rPr>
                <w:rFonts w:cs="Arial"/>
                <w:sz w:val="20"/>
              </w:rPr>
              <w:t>Communications and Information Systems —Information Grade 4</w:t>
            </w:r>
          </w:p>
        </w:tc>
        <w:tc>
          <w:tcPr>
            <w:tcW w:w="2160" w:type="dxa"/>
          </w:tcPr>
          <w:p w14:paraId="2469E0D3" w14:textId="3B27A27B" w:rsidR="00191F5D" w:rsidRPr="00C9343F" w:rsidRDefault="00191F5D" w:rsidP="00F66D98">
            <w:pPr>
              <w:spacing w:beforeLines="20" w:before="48" w:after="120" w:line="254" w:lineRule="auto"/>
              <w:rPr>
                <w:rFonts w:cs="Arial"/>
                <w:sz w:val="20"/>
              </w:rPr>
            </w:pPr>
            <w:r w:rsidRPr="00C9343F">
              <w:rPr>
                <w:rFonts w:cs="Arial"/>
                <w:sz w:val="20"/>
              </w:rPr>
              <w:t>1 July 2021</w:t>
            </w:r>
          </w:p>
        </w:tc>
        <w:tc>
          <w:tcPr>
            <w:tcW w:w="2160" w:type="dxa"/>
          </w:tcPr>
          <w:p w14:paraId="0CE2D4AC" w14:textId="7A910F0A" w:rsidR="00191F5D" w:rsidRPr="00C9343F" w:rsidRDefault="00191F5D" w:rsidP="00F66D98">
            <w:pPr>
              <w:spacing w:beforeLines="20" w:before="48" w:after="120" w:line="254" w:lineRule="auto"/>
              <w:rPr>
                <w:rFonts w:cs="Arial"/>
                <w:sz w:val="20"/>
              </w:rPr>
            </w:pPr>
            <w:r w:rsidRPr="00C9343F">
              <w:rPr>
                <w:rFonts w:cs="Arial"/>
                <w:sz w:val="20"/>
              </w:rPr>
              <w:t>1 July 2026</w:t>
            </w:r>
          </w:p>
        </w:tc>
      </w:tr>
      <w:tr w:rsidR="00191F5D" w:rsidRPr="00C9343F" w14:paraId="20933CC8" w14:textId="77777777" w:rsidTr="00372A02">
        <w:trPr>
          <w:trHeight w:val="20"/>
        </w:trPr>
        <w:tc>
          <w:tcPr>
            <w:tcW w:w="720" w:type="dxa"/>
          </w:tcPr>
          <w:p w14:paraId="5CD9DB1B" w14:textId="29FAE1FA" w:rsidR="00191F5D" w:rsidRPr="00C9343F" w:rsidRDefault="00191F5D" w:rsidP="00F66D98">
            <w:pPr>
              <w:spacing w:beforeLines="20" w:before="48" w:after="120" w:line="254" w:lineRule="auto"/>
              <w:jc w:val="center"/>
              <w:rPr>
                <w:rFonts w:cs="Arial"/>
                <w:sz w:val="20"/>
              </w:rPr>
            </w:pPr>
            <w:r w:rsidRPr="00C9343F">
              <w:rPr>
                <w:rFonts w:cs="Arial"/>
                <w:sz w:val="20"/>
              </w:rPr>
              <w:t>1C.</w:t>
            </w:r>
          </w:p>
        </w:tc>
        <w:tc>
          <w:tcPr>
            <w:tcW w:w="1530" w:type="dxa"/>
          </w:tcPr>
          <w:p w14:paraId="2CB786A2" w14:textId="18BC0AAA" w:rsidR="00191F5D" w:rsidRPr="00C9343F" w:rsidRDefault="00191F5D" w:rsidP="00F66D98">
            <w:pPr>
              <w:spacing w:beforeLines="20" w:before="48" w:after="120" w:line="254" w:lineRule="auto"/>
              <w:rPr>
                <w:rFonts w:cs="Arial"/>
                <w:sz w:val="20"/>
              </w:rPr>
            </w:pPr>
            <w:r w:rsidRPr="00C9343F">
              <w:rPr>
                <w:rFonts w:cs="Arial"/>
                <w:sz w:val="20"/>
              </w:rPr>
              <w:t>Pay grade 6</w:t>
            </w:r>
          </w:p>
        </w:tc>
        <w:tc>
          <w:tcPr>
            <w:tcW w:w="2970" w:type="dxa"/>
          </w:tcPr>
          <w:p w14:paraId="17B4B6F1" w14:textId="00F1E33E" w:rsidR="00191F5D" w:rsidRPr="00C9343F" w:rsidRDefault="00191F5D" w:rsidP="00F66D98">
            <w:pPr>
              <w:spacing w:beforeLines="20" w:before="48" w:after="120" w:line="254" w:lineRule="auto"/>
              <w:rPr>
                <w:rFonts w:cs="Arial"/>
                <w:sz w:val="20"/>
              </w:rPr>
            </w:pPr>
            <w:r w:rsidRPr="00C9343F">
              <w:rPr>
                <w:rFonts w:cs="Arial"/>
                <w:sz w:val="20"/>
              </w:rPr>
              <w:t>Communications and Information Systems —Communications Grade 5</w:t>
            </w:r>
          </w:p>
        </w:tc>
        <w:tc>
          <w:tcPr>
            <w:tcW w:w="2160" w:type="dxa"/>
          </w:tcPr>
          <w:p w14:paraId="0ADAF6F9" w14:textId="5AA77FF0" w:rsidR="00191F5D" w:rsidRPr="00C9343F" w:rsidRDefault="00191F5D" w:rsidP="00F66D98">
            <w:pPr>
              <w:spacing w:beforeLines="20" w:before="48" w:after="120" w:line="254" w:lineRule="auto"/>
              <w:rPr>
                <w:rFonts w:cs="Arial"/>
                <w:sz w:val="20"/>
              </w:rPr>
            </w:pPr>
            <w:r w:rsidRPr="00C9343F">
              <w:rPr>
                <w:rFonts w:cs="Arial"/>
                <w:sz w:val="20"/>
              </w:rPr>
              <w:t>1 July 2021</w:t>
            </w:r>
          </w:p>
        </w:tc>
        <w:tc>
          <w:tcPr>
            <w:tcW w:w="2160" w:type="dxa"/>
          </w:tcPr>
          <w:p w14:paraId="0D416382" w14:textId="66E3FFCA" w:rsidR="00191F5D" w:rsidRPr="00C9343F" w:rsidRDefault="00191F5D" w:rsidP="00F66D98">
            <w:pPr>
              <w:spacing w:beforeLines="20" w:before="48" w:after="120" w:line="254" w:lineRule="auto"/>
              <w:rPr>
                <w:rFonts w:cs="Arial"/>
                <w:sz w:val="20"/>
              </w:rPr>
            </w:pPr>
            <w:r w:rsidRPr="00C9343F">
              <w:rPr>
                <w:rFonts w:cs="Arial"/>
                <w:sz w:val="20"/>
              </w:rPr>
              <w:t>1 July 2026</w:t>
            </w:r>
          </w:p>
        </w:tc>
      </w:tr>
      <w:tr w:rsidR="00191F5D" w:rsidRPr="00C9343F" w14:paraId="7DC91DCD" w14:textId="77777777" w:rsidTr="00372A02">
        <w:trPr>
          <w:trHeight w:val="20"/>
        </w:trPr>
        <w:tc>
          <w:tcPr>
            <w:tcW w:w="720" w:type="dxa"/>
          </w:tcPr>
          <w:p w14:paraId="6299D954" w14:textId="53D8D960" w:rsidR="00191F5D" w:rsidRPr="00C9343F" w:rsidRDefault="00191F5D" w:rsidP="00F66D98">
            <w:pPr>
              <w:spacing w:beforeLines="20" w:before="48" w:after="120" w:line="254" w:lineRule="auto"/>
              <w:jc w:val="center"/>
              <w:rPr>
                <w:rFonts w:cs="Arial"/>
                <w:sz w:val="20"/>
              </w:rPr>
            </w:pPr>
            <w:r w:rsidRPr="00C9343F">
              <w:rPr>
                <w:rFonts w:cs="Arial"/>
                <w:sz w:val="20"/>
              </w:rPr>
              <w:t>1D.</w:t>
            </w:r>
          </w:p>
        </w:tc>
        <w:tc>
          <w:tcPr>
            <w:tcW w:w="1530" w:type="dxa"/>
          </w:tcPr>
          <w:p w14:paraId="43334F78" w14:textId="41180E6B" w:rsidR="00191F5D" w:rsidRPr="00C9343F" w:rsidRDefault="00191F5D" w:rsidP="00F66D98">
            <w:pPr>
              <w:spacing w:beforeLines="20" w:before="48" w:after="120" w:line="254" w:lineRule="auto"/>
              <w:rPr>
                <w:rFonts w:cs="Arial"/>
                <w:sz w:val="20"/>
              </w:rPr>
            </w:pPr>
            <w:r w:rsidRPr="00C9343F">
              <w:rPr>
                <w:rFonts w:cs="Arial"/>
                <w:sz w:val="20"/>
              </w:rPr>
              <w:t>Pay grade 6</w:t>
            </w:r>
          </w:p>
        </w:tc>
        <w:tc>
          <w:tcPr>
            <w:tcW w:w="2970" w:type="dxa"/>
          </w:tcPr>
          <w:p w14:paraId="227C9446" w14:textId="52EDF0D8" w:rsidR="00191F5D" w:rsidRPr="00C9343F" w:rsidRDefault="00191F5D" w:rsidP="00F66D98">
            <w:pPr>
              <w:spacing w:beforeLines="20" w:before="48" w:after="120" w:line="254" w:lineRule="auto"/>
              <w:rPr>
                <w:rFonts w:cs="Arial"/>
                <w:sz w:val="20"/>
              </w:rPr>
            </w:pPr>
            <w:r w:rsidRPr="00C9343F">
              <w:rPr>
                <w:rFonts w:cs="Arial"/>
                <w:sz w:val="20"/>
              </w:rPr>
              <w:t>Communications and Information Systems —Information Grade 5</w:t>
            </w:r>
          </w:p>
        </w:tc>
        <w:tc>
          <w:tcPr>
            <w:tcW w:w="2160" w:type="dxa"/>
          </w:tcPr>
          <w:p w14:paraId="20510791" w14:textId="0D3D5D5F" w:rsidR="00191F5D" w:rsidRPr="00C9343F" w:rsidRDefault="00191F5D" w:rsidP="00F66D98">
            <w:pPr>
              <w:spacing w:beforeLines="20" w:before="48" w:after="120" w:line="254" w:lineRule="auto"/>
              <w:rPr>
                <w:rFonts w:cs="Arial"/>
                <w:sz w:val="20"/>
              </w:rPr>
            </w:pPr>
            <w:r w:rsidRPr="00C9343F">
              <w:rPr>
                <w:rFonts w:cs="Arial"/>
                <w:sz w:val="20"/>
              </w:rPr>
              <w:t>1 July 2021</w:t>
            </w:r>
          </w:p>
        </w:tc>
        <w:tc>
          <w:tcPr>
            <w:tcW w:w="2160" w:type="dxa"/>
          </w:tcPr>
          <w:p w14:paraId="5F9BF9C0" w14:textId="0633C342" w:rsidR="00191F5D" w:rsidRPr="00C9343F" w:rsidRDefault="00191F5D" w:rsidP="00F66D98">
            <w:pPr>
              <w:spacing w:beforeLines="20" w:before="48" w:after="120" w:line="254" w:lineRule="auto"/>
              <w:rPr>
                <w:rFonts w:cs="Arial"/>
                <w:sz w:val="20"/>
              </w:rPr>
            </w:pPr>
            <w:r w:rsidRPr="00C9343F">
              <w:rPr>
                <w:rFonts w:cs="Arial"/>
                <w:sz w:val="20"/>
              </w:rPr>
              <w:t>1 July 2026</w:t>
            </w:r>
          </w:p>
        </w:tc>
      </w:tr>
      <w:tr w:rsidR="00191F5D" w:rsidRPr="00C9343F" w14:paraId="289CB1EC" w14:textId="77777777" w:rsidTr="00372A02">
        <w:trPr>
          <w:trHeight w:val="20"/>
        </w:trPr>
        <w:tc>
          <w:tcPr>
            <w:tcW w:w="720" w:type="dxa"/>
            <w:hideMark/>
          </w:tcPr>
          <w:p w14:paraId="0FFB8C91" w14:textId="77777777" w:rsidR="00191F5D" w:rsidRPr="00C9343F" w:rsidRDefault="00191F5D" w:rsidP="00F66D98">
            <w:pPr>
              <w:spacing w:beforeLines="20" w:before="48" w:after="120" w:line="254" w:lineRule="auto"/>
              <w:jc w:val="center"/>
              <w:rPr>
                <w:rFonts w:cs="Arial"/>
                <w:color w:val="000000"/>
                <w:sz w:val="20"/>
                <w:szCs w:val="22"/>
              </w:rPr>
            </w:pPr>
            <w:r w:rsidRPr="00C9343F">
              <w:rPr>
                <w:rFonts w:cs="Arial"/>
                <w:sz w:val="20"/>
              </w:rPr>
              <w:t>2</w:t>
            </w:r>
            <w:r w:rsidRPr="00C9343F">
              <w:rPr>
                <w:rFonts w:cs="Arial"/>
                <w:color w:val="000000"/>
                <w:sz w:val="20"/>
              </w:rPr>
              <w:t>.</w:t>
            </w:r>
          </w:p>
        </w:tc>
        <w:tc>
          <w:tcPr>
            <w:tcW w:w="1530" w:type="dxa"/>
            <w:hideMark/>
          </w:tcPr>
          <w:p w14:paraId="404C455B" w14:textId="77777777" w:rsidR="00191F5D" w:rsidRPr="00C9343F" w:rsidRDefault="00191F5D" w:rsidP="00F66D98">
            <w:pPr>
              <w:spacing w:beforeLines="20" w:before="48" w:after="120" w:line="254" w:lineRule="auto"/>
              <w:rPr>
                <w:rFonts w:cs="Arial"/>
                <w:sz w:val="20"/>
              </w:rPr>
            </w:pPr>
            <w:r w:rsidRPr="00C9343F">
              <w:rPr>
                <w:rFonts w:cs="Arial"/>
                <w:sz w:val="20"/>
              </w:rPr>
              <w:t>Pay grade 8</w:t>
            </w:r>
          </w:p>
        </w:tc>
        <w:tc>
          <w:tcPr>
            <w:tcW w:w="2970" w:type="dxa"/>
            <w:hideMark/>
          </w:tcPr>
          <w:p w14:paraId="490D941E" w14:textId="0FB6A171" w:rsidR="00191F5D" w:rsidRPr="00C9343F" w:rsidRDefault="00191F5D" w:rsidP="00F66D98">
            <w:pPr>
              <w:spacing w:beforeLines="20" w:before="48" w:after="120" w:line="254" w:lineRule="auto"/>
              <w:rPr>
                <w:rFonts w:cs="Arial"/>
                <w:color w:val="000000"/>
                <w:sz w:val="20"/>
                <w:szCs w:val="22"/>
              </w:rPr>
            </w:pPr>
            <w:r w:rsidRPr="00C9343F">
              <w:rPr>
                <w:rFonts w:cs="Arial"/>
                <w:sz w:val="20"/>
              </w:rPr>
              <w:t>Electronic</w:t>
            </w:r>
            <w:r w:rsidRPr="00C9343F">
              <w:rPr>
                <w:rFonts w:cs="Arial"/>
                <w:color w:val="000000"/>
                <w:sz w:val="20"/>
              </w:rPr>
              <w:t xml:space="preserve"> Warfare Submarines – SM Skill Grade 2</w:t>
            </w:r>
          </w:p>
        </w:tc>
        <w:tc>
          <w:tcPr>
            <w:tcW w:w="2160" w:type="dxa"/>
            <w:hideMark/>
          </w:tcPr>
          <w:p w14:paraId="28F8177F" w14:textId="77777777" w:rsidR="00191F5D" w:rsidRPr="00C9343F" w:rsidRDefault="00191F5D" w:rsidP="00F66D98">
            <w:pPr>
              <w:spacing w:beforeLines="20" w:before="48" w:after="120" w:line="254" w:lineRule="auto"/>
              <w:rPr>
                <w:rFonts w:cs="Arial"/>
                <w:sz w:val="20"/>
              </w:rPr>
            </w:pPr>
            <w:r w:rsidRPr="00C9343F">
              <w:rPr>
                <w:rFonts w:cs="Arial"/>
                <w:sz w:val="20"/>
              </w:rPr>
              <w:t>24 January 2019</w:t>
            </w:r>
          </w:p>
        </w:tc>
        <w:tc>
          <w:tcPr>
            <w:tcW w:w="2160" w:type="dxa"/>
            <w:hideMark/>
          </w:tcPr>
          <w:p w14:paraId="50AA1962" w14:textId="08640359" w:rsidR="00191F5D" w:rsidRPr="00C9343F" w:rsidRDefault="00191F5D" w:rsidP="00F66D98">
            <w:pPr>
              <w:spacing w:beforeLines="20" w:before="48" w:after="120" w:line="254" w:lineRule="auto"/>
              <w:rPr>
                <w:rFonts w:cs="Arial"/>
                <w:sz w:val="20"/>
              </w:rPr>
            </w:pPr>
            <w:r w:rsidRPr="00C9343F">
              <w:rPr>
                <w:rFonts w:cs="Arial"/>
                <w:sz w:val="20"/>
              </w:rPr>
              <w:t>23 January 2024</w:t>
            </w:r>
          </w:p>
        </w:tc>
      </w:tr>
      <w:tr w:rsidR="00191F5D" w:rsidRPr="00C9343F" w14:paraId="39A91087" w14:textId="77777777" w:rsidTr="00372A02">
        <w:trPr>
          <w:cantSplit/>
          <w:trHeight w:val="316"/>
        </w:trPr>
        <w:tc>
          <w:tcPr>
            <w:tcW w:w="720" w:type="dxa"/>
            <w:vAlign w:val="center"/>
          </w:tcPr>
          <w:p w14:paraId="1E62851A" w14:textId="77777777" w:rsidR="00191F5D" w:rsidRPr="00C9343F" w:rsidRDefault="00191F5D" w:rsidP="00F66D98">
            <w:pPr>
              <w:spacing w:beforeLines="20" w:before="48" w:after="120" w:line="254" w:lineRule="auto"/>
              <w:jc w:val="center"/>
              <w:rPr>
                <w:rFonts w:cs="Arial"/>
                <w:sz w:val="20"/>
              </w:rPr>
            </w:pPr>
          </w:p>
        </w:tc>
        <w:tc>
          <w:tcPr>
            <w:tcW w:w="8820" w:type="dxa"/>
            <w:gridSpan w:val="4"/>
            <w:hideMark/>
          </w:tcPr>
          <w:p w14:paraId="4498EC2B" w14:textId="77777777" w:rsidR="00191F5D" w:rsidRPr="00C9343F" w:rsidRDefault="00191F5D" w:rsidP="00F66D98">
            <w:pPr>
              <w:spacing w:beforeLines="20" w:before="48" w:after="120" w:line="254" w:lineRule="auto"/>
              <w:rPr>
                <w:rFonts w:cs="Arial"/>
                <w:sz w:val="20"/>
              </w:rPr>
            </w:pPr>
            <w:r w:rsidRPr="00C9343F">
              <w:rPr>
                <w:rFonts w:cs="Arial"/>
                <w:b/>
                <w:sz w:val="20"/>
              </w:rPr>
              <w:t>ARMY</w:t>
            </w:r>
          </w:p>
        </w:tc>
      </w:tr>
      <w:tr w:rsidR="00191F5D" w:rsidRPr="00C9343F" w14:paraId="67896FF1" w14:textId="77777777" w:rsidTr="00372A02">
        <w:trPr>
          <w:trHeight w:val="270"/>
        </w:trPr>
        <w:tc>
          <w:tcPr>
            <w:tcW w:w="720" w:type="dxa"/>
            <w:hideMark/>
          </w:tcPr>
          <w:p w14:paraId="5983EFC8" w14:textId="77777777" w:rsidR="00191F5D" w:rsidRPr="00C9343F" w:rsidRDefault="00191F5D" w:rsidP="00F66D98">
            <w:pPr>
              <w:spacing w:before="100" w:beforeAutospacing="1" w:after="120" w:line="254" w:lineRule="auto"/>
              <w:jc w:val="center"/>
              <w:rPr>
                <w:sz w:val="20"/>
              </w:rPr>
            </w:pPr>
            <w:r w:rsidRPr="00C9343F">
              <w:rPr>
                <w:rFonts w:cs="Arial"/>
                <w:sz w:val="20"/>
              </w:rPr>
              <w:lastRenderedPageBreak/>
              <w:t>4.</w:t>
            </w:r>
          </w:p>
        </w:tc>
        <w:tc>
          <w:tcPr>
            <w:tcW w:w="1530" w:type="dxa"/>
            <w:hideMark/>
          </w:tcPr>
          <w:p w14:paraId="3592A32C" w14:textId="77777777" w:rsidR="00191F5D" w:rsidRPr="00C9343F" w:rsidRDefault="00191F5D" w:rsidP="00F66D98">
            <w:pPr>
              <w:spacing w:before="100" w:beforeAutospacing="1" w:after="120" w:line="254" w:lineRule="auto"/>
              <w:rPr>
                <w:sz w:val="20"/>
              </w:rPr>
            </w:pPr>
            <w:r w:rsidRPr="00C9343F">
              <w:rPr>
                <w:rFonts w:cs="Arial"/>
                <w:sz w:val="20"/>
              </w:rPr>
              <w:t>Pay grade 3</w:t>
            </w:r>
          </w:p>
        </w:tc>
        <w:tc>
          <w:tcPr>
            <w:tcW w:w="2970" w:type="dxa"/>
            <w:hideMark/>
          </w:tcPr>
          <w:p w14:paraId="558AAED1" w14:textId="77777777" w:rsidR="00191F5D" w:rsidRPr="00C9343F" w:rsidRDefault="00191F5D" w:rsidP="00F66D98">
            <w:pPr>
              <w:spacing w:before="100" w:beforeAutospacing="1" w:after="120" w:line="254" w:lineRule="auto"/>
              <w:rPr>
                <w:sz w:val="20"/>
              </w:rPr>
            </w:pPr>
            <w:r w:rsidRPr="00C9343F">
              <w:rPr>
                <w:rFonts w:cs="Arial"/>
                <w:sz w:val="20"/>
              </w:rPr>
              <w:t>Musician Grade 1</w:t>
            </w:r>
          </w:p>
        </w:tc>
        <w:tc>
          <w:tcPr>
            <w:tcW w:w="2160" w:type="dxa"/>
            <w:hideMark/>
          </w:tcPr>
          <w:p w14:paraId="44616DFA" w14:textId="77777777" w:rsidR="00191F5D" w:rsidRPr="00C9343F" w:rsidRDefault="00191F5D" w:rsidP="00F66D98">
            <w:pPr>
              <w:spacing w:before="100" w:beforeAutospacing="1" w:after="120" w:line="254" w:lineRule="auto"/>
              <w:rPr>
                <w:sz w:val="20"/>
              </w:rPr>
            </w:pPr>
            <w:r w:rsidRPr="00C9343F">
              <w:rPr>
                <w:rFonts w:cs="Arial"/>
                <w:sz w:val="20"/>
              </w:rPr>
              <w:t>7 March 2019</w:t>
            </w:r>
          </w:p>
        </w:tc>
        <w:tc>
          <w:tcPr>
            <w:tcW w:w="2160" w:type="dxa"/>
            <w:hideMark/>
          </w:tcPr>
          <w:p w14:paraId="68C4F8CB" w14:textId="77777777" w:rsidR="00191F5D" w:rsidRPr="00C9343F" w:rsidRDefault="00191F5D" w:rsidP="00F66D98">
            <w:pPr>
              <w:spacing w:before="100" w:beforeAutospacing="1" w:after="120" w:line="254" w:lineRule="auto"/>
              <w:rPr>
                <w:sz w:val="20"/>
              </w:rPr>
            </w:pPr>
            <w:r w:rsidRPr="00C9343F">
              <w:rPr>
                <w:rFonts w:cs="Arial"/>
                <w:sz w:val="20"/>
              </w:rPr>
              <w:t>7 March 2024</w:t>
            </w:r>
          </w:p>
        </w:tc>
      </w:tr>
      <w:tr w:rsidR="00191F5D" w:rsidRPr="00C9343F" w14:paraId="4B741DEF" w14:textId="77777777" w:rsidTr="00372A02">
        <w:trPr>
          <w:trHeight w:val="270"/>
        </w:trPr>
        <w:tc>
          <w:tcPr>
            <w:tcW w:w="720" w:type="dxa"/>
            <w:hideMark/>
          </w:tcPr>
          <w:p w14:paraId="7F273405" w14:textId="77777777" w:rsidR="00191F5D" w:rsidRPr="00C9343F" w:rsidRDefault="00191F5D" w:rsidP="00F66D98">
            <w:pPr>
              <w:spacing w:before="100" w:beforeAutospacing="1" w:after="120" w:line="254" w:lineRule="auto"/>
              <w:jc w:val="center"/>
              <w:rPr>
                <w:sz w:val="20"/>
              </w:rPr>
            </w:pPr>
            <w:r w:rsidRPr="00C9343F">
              <w:rPr>
                <w:rFonts w:cs="Arial"/>
                <w:sz w:val="20"/>
              </w:rPr>
              <w:t>8.</w:t>
            </w:r>
          </w:p>
        </w:tc>
        <w:tc>
          <w:tcPr>
            <w:tcW w:w="1530" w:type="dxa"/>
            <w:hideMark/>
          </w:tcPr>
          <w:p w14:paraId="1E03A632" w14:textId="77777777" w:rsidR="00191F5D" w:rsidRPr="00C9343F" w:rsidRDefault="00191F5D" w:rsidP="00F66D98">
            <w:pPr>
              <w:spacing w:before="100" w:beforeAutospacing="1" w:after="120" w:line="254" w:lineRule="auto"/>
              <w:rPr>
                <w:sz w:val="20"/>
              </w:rPr>
            </w:pPr>
            <w:r w:rsidRPr="00C9343F">
              <w:rPr>
                <w:rFonts w:cs="Arial"/>
                <w:sz w:val="20"/>
              </w:rPr>
              <w:t>Pay grade 3</w:t>
            </w:r>
          </w:p>
        </w:tc>
        <w:tc>
          <w:tcPr>
            <w:tcW w:w="2970" w:type="dxa"/>
            <w:hideMark/>
          </w:tcPr>
          <w:p w14:paraId="0D0B98D2" w14:textId="77777777" w:rsidR="00191F5D" w:rsidRPr="00C9343F" w:rsidRDefault="00191F5D" w:rsidP="00F66D98">
            <w:pPr>
              <w:spacing w:before="100" w:beforeAutospacing="1" w:after="120" w:line="254" w:lineRule="auto"/>
              <w:rPr>
                <w:sz w:val="20"/>
              </w:rPr>
            </w:pPr>
            <w:r w:rsidRPr="00C9343F">
              <w:rPr>
                <w:rFonts w:cs="Arial"/>
                <w:sz w:val="20"/>
              </w:rPr>
              <w:t>Piper Drummer and Bugler Grade 1</w:t>
            </w:r>
          </w:p>
        </w:tc>
        <w:tc>
          <w:tcPr>
            <w:tcW w:w="2160" w:type="dxa"/>
            <w:hideMark/>
          </w:tcPr>
          <w:p w14:paraId="10F25CCD" w14:textId="77777777" w:rsidR="00191F5D" w:rsidRPr="00C9343F" w:rsidRDefault="00191F5D" w:rsidP="00F66D98">
            <w:pPr>
              <w:spacing w:before="100" w:beforeAutospacing="1" w:after="120" w:line="254" w:lineRule="auto"/>
              <w:rPr>
                <w:sz w:val="20"/>
              </w:rPr>
            </w:pPr>
            <w:r w:rsidRPr="00C9343F">
              <w:rPr>
                <w:rFonts w:cs="Arial"/>
                <w:sz w:val="20"/>
              </w:rPr>
              <w:t>7 March 2019</w:t>
            </w:r>
          </w:p>
        </w:tc>
        <w:tc>
          <w:tcPr>
            <w:tcW w:w="2160" w:type="dxa"/>
            <w:hideMark/>
          </w:tcPr>
          <w:p w14:paraId="3CDED3E7" w14:textId="77777777" w:rsidR="00191F5D" w:rsidRPr="00C9343F" w:rsidRDefault="00191F5D" w:rsidP="00F66D98">
            <w:pPr>
              <w:spacing w:before="100" w:beforeAutospacing="1" w:after="120" w:line="254" w:lineRule="auto"/>
              <w:rPr>
                <w:sz w:val="20"/>
              </w:rPr>
            </w:pPr>
            <w:r w:rsidRPr="00C9343F">
              <w:rPr>
                <w:rFonts w:cs="Arial"/>
                <w:sz w:val="20"/>
              </w:rPr>
              <w:t>7 March 2024</w:t>
            </w:r>
          </w:p>
        </w:tc>
      </w:tr>
      <w:tr w:rsidR="00191F5D" w:rsidRPr="00C9343F" w14:paraId="476DE6CB" w14:textId="77777777" w:rsidTr="00372A02">
        <w:trPr>
          <w:trHeight w:val="270"/>
        </w:trPr>
        <w:tc>
          <w:tcPr>
            <w:tcW w:w="720" w:type="dxa"/>
          </w:tcPr>
          <w:p w14:paraId="39C2AC73" w14:textId="66B95346" w:rsidR="00191F5D" w:rsidRPr="00C9343F" w:rsidRDefault="00191F5D" w:rsidP="00F66D98">
            <w:pPr>
              <w:spacing w:before="100" w:beforeAutospacing="1" w:after="120" w:line="254" w:lineRule="auto"/>
              <w:jc w:val="center"/>
              <w:rPr>
                <w:rFonts w:cs="Arial"/>
                <w:sz w:val="20"/>
              </w:rPr>
            </w:pPr>
            <w:r w:rsidRPr="00C9343F">
              <w:rPr>
                <w:rFonts w:cs="Arial"/>
                <w:sz w:val="20"/>
              </w:rPr>
              <w:t>8A.</w:t>
            </w:r>
          </w:p>
        </w:tc>
        <w:tc>
          <w:tcPr>
            <w:tcW w:w="1530" w:type="dxa"/>
          </w:tcPr>
          <w:p w14:paraId="7C5E840D" w14:textId="6EBC97BE" w:rsidR="00191F5D" w:rsidRPr="00C9343F" w:rsidRDefault="00191F5D" w:rsidP="00F66D98">
            <w:pPr>
              <w:spacing w:before="100" w:beforeAutospacing="1" w:after="120" w:line="254" w:lineRule="auto"/>
              <w:rPr>
                <w:rFonts w:cs="Arial"/>
                <w:sz w:val="20"/>
              </w:rPr>
            </w:pPr>
            <w:r w:rsidRPr="00C9343F">
              <w:rPr>
                <w:rFonts w:cs="Arial"/>
                <w:sz w:val="20"/>
              </w:rPr>
              <w:t>Pay grade 3</w:t>
            </w:r>
          </w:p>
        </w:tc>
        <w:tc>
          <w:tcPr>
            <w:tcW w:w="2970" w:type="dxa"/>
          </w:tcPr>
          <w:p w14:paraId="50FCE37A" w14:textId="541642C4" w:rsidR="00191F5D" w:rsidRPr="00C9343F" w:rsidRDefault="00191F5D" w:rsidP="00F66D98">
            <w:pPr>
              <w:spacing w:before="100" w:beforeAutospacing="1" w:after="120" w:line="254" w:lineRule="auto"/>
              <w:rPr>
                <w:rFonts w:cs="Arial"/>
                <w:sz w:val="20"/>
              </w:rPr>
            </w:pPr>
            <w:r w:rsidRPr="00C9343F">
              <w:rPr>
                <w:rFonts w:cs="Arial"/>
                <w:sz w:val="20"/>
              </w:rPr>
              <w:t>Supervisor Section Supply Chain (Privates who are not yet Private (Proficient)), and have not completed the 40M Driver course, including tactical component</w:t>
            </w:r>
          </w:p>
        </w:tc>
        <w:tc>
          <w:tcPr>
            <w:tcW w:w="2160" w:type="dxa"/>
          </w:tcPr>
          <w:p w14:paraId="10AFA9CC" w14:textId="750C4506" w:rsidR="00191F5D" w:rsidRPr="00C9343F" w:rsidRDefault="00191F5D" w:rsidP="00F66D98">
            <w:pPr>
              <w:spacing w:before="100" w:beforeAutospacing="1" w:after="120" w:line="254" w:lineRule="auto"/>
              <w:rPr>
                <w:rFonts w:cs="Arial"/>
                <w:sz w:val="20"/>
              </w:rPr>
            </w:pPr>
            <w:r w:rsidRPr="00C9343F">
              <w:rPr>
                <w:rFonts w:cs="Arial"/>
                <w:sz w:val="20"/>
              </w:rPr>
              <w:t>7 January 2021</w:t>
            </w:r>
          </w:p>
        </w:tc>
        <w:tc>
          <w:tcPr>
            <w:tcW w:w="2160" w:type="dxa"/>
          </w:tcPr>
          <w:p w14:paraId="3E11AEDB" w14:textId="72C0DFA1" w:rsidR="00191F5D" w:rsidRPr="00C9343F" w:rsidRDefault="00191F5D" w:rsidP="00F66D98">
            <w:pPr>
              <w:spacing w:before="100" w:beforeAutospacing="1" w:after="120" w:line="254" w:lineRule="auto"/>
              <w:rPr>
                <w:rFonts w:cs="Arial"/>
                <w:sz w:val="20"/>
              </w:rPr>
            </w:pPr>
            <w:r w:rsidRPr="00C9343F">
              <w:rPr>
                <w:rFonts w:cs="Arial"/>
                <w:sz w:val="20"/>
              </w:rPr>
              <w:t>6 January 2023</w:t>
            </w:r>
          </w:p>
        </w:tc>
      </w:tr>
      <w:tr w:rsidR="00191F5D" w:rsidRPr="00C9343F" w14:paraId="7DB3546F" w14:textId="77777777" w:rsidTr="00372A02">
        <w:trPr>
          <w:trHeight w:val="270"/>
        </w:trPr>
        <w:tc>
          <w:tcPr>
            <w:tcW w:w="720" w:type="dxa"/>
          </w:tcPr>
          <w:p w14:paraId="4847A828" w14:textId="6C50056B" w:rsidR="00191F5D" w:rsidRPr="00C9343F" w:rsidRDefault="00191F5D" w:rsidP="00F66D98">
            <w:pPr>
              <w:spacing w:before="100" w:beforeAutospacing="1" w:after="120" w:line="254" w:lineRule="auto"/>
              <w:jc w:val="center"/>
              <w:rPr>
                <w:rFonts w:cs="Arial"/>
                <w:sz w:val="20"/>
              </w:rPr>
            </w:pPr>
            <w:r w:rsidRPr="00C9343F">
              <w:rPr>
                <w:rFonts w:cs="Arial"/>
                <w:sz w:val="20"/>
              </w:rPr>
              <w:t>8B.</w:t>
            </w:r>
          </w:p>
        </w:tc>
        <w:tc>
          <w:tcPr>
            <w:tcW w:w="1530" w:type="dxa"/>
          </w:tcPr>
          <w:p w14:paraId="000AEFBC" w14:textId="54ECC34B" w:rsidR="00191F5D" w:rsidRPr="00C9343F" w:rsidRDefault="00191F5D" w:rsidP="00F66D98">
            <w:pPr>
              <w:spacing w:before="100" w:beforeAutospacing="1" w:after="120" w:line="254" w:lineRule="auto"/>
              <w:rPr>
                <w:rFonts w:cs="Arial"/>
                <w:sz w:val="20"/>
              </w:rPr>
            </w:pPr>
            <w:r w:rsidRPr="00C9343F">
              <w:rPr>
                <w:rFonts w:cs="Arial"/>
                <w:sz w:val="20"/>
              </w:rPr>
              <w:t>Pay grade 3</w:t>
            </w:r>
          </w:p>
        </w:tc>
        <w:tc>
          <w:tcPr>
            <w:tcW w:w="2970" w:type="dxa"/>
          </w:tcPr>
          <w:p w14:paraId="3E9BB3AC" w14:textId="1A0D03F8" w:rsidR="00191F5D" w:rsidRPr="00C9343F" w:rsidRDefault="00191F5D" w:rsidP="00F66D98">
            <w:pPr>
              <w:spacing w:before="100" w:beforeAutospacing="1" w:after="120" w:line="254" w:lineRule="auto"/>
              <w:rPr>
                <w:rFonts w:cs="Arial"/>
                <w:sz w:val="20"/>
              </w:rPr>
            </w:pPr>
            <w:r w:rsidRPr="00C9343F">
              <w:rPr>
                <w:rFonts w:cs="Arial"/>
                <w:sz w:val="20"/>
              </w:rPr>
              <w:t>Supervisor Section Supply Chain (Corporal) who have not completed the Mounted Leader Course</w:t>
            </w:r>
          </w:p>
        </w:tc>
        <w:tc>
          <w:tcPr>
            <w:tcW w:w="2160" w:type="dxa"/>
          </w:tcPr>
          <w:p w14:paraId="7648A60C" w14:textId="005DEDE8" w:rsidR="00191F5D" w:rsidRPr="00C9343F" w:rsidRDefault="00191F5D" w:rsidP="00F66D98">
            <w:pPr>
              <w:spacing w:before="100" w:beforeAutospacing="1" w:after="120" w:line="254" w:lineRule="auto"/>
              <w:rPr>
                <w:rFonts w:cs="Arial"/>
                <w:sz w:val="20"/>
              </w:rPr>
            </w:pPr>
            <w:r w:rsidRPr="00C9343F">
              <w:rPr>
                <w:rFonts w:cs="Arial"/>
                <w:sz w:val="20"/>
              </w:rPr>
              <w:t>7 January 2021</w:t>
            </w:r>
          </w:p>
        </w:tc>
        <w:tc>
          <w:tcPr>
            <w:tcW w:w="2160" w:type="dxa"/>
          </w:tcPr>
          <w:p w14:paraId="5C171CA9" w14:textId="2E7C8239" w:rsidR="00191F5D" w:rsidRPr="00C9343F" w:rsidRDefault="00191F5D" w:rsidP="00F66D98">
            <w:pPr>
              <w:spacing w:before="100" w:beforeAutospacing="1" w:after="120" w:line="254" w:lineRule="auto"/>
              <w:rPr>
                <w:rFonts w:cs="Arial"/>
                <w:sz w:val="20"/>
              </w:rPr>
            </w:pPr>
            <w:r w:rsidRPr="00C9343F">
              <w:rPr>
                <w:rFonts w:cs="Arial"/>
                <w:sz w:val="20"/>
              </w:rPr>
              <w:t>6 January 2023</w:t>
            </w:r>
          </w:p>
        </w:tc>
      </w:tr>
      <w:tr w:rsidR="00191F5D" w:rsidRPr="00C9343F" w14:paraId="1A913BE0" w14:textId="77777777" w:rsidTr="00372A02">
        <w:trPr>
          <w:trHeight w:val="270"/>
        </w:trPr>
        <w:tc>
          <w:tcPr>
            <w:tcW w:w="720" w:type="dxa"/>
          </w:tcPr>
          <w:p w14:paraId="26DF52D3" w14:textId="799C8D3C" w:rsidR="00191F5D" w:rsidRPr="00C9343F" w:rsidRDefault="00191F5D" w:rsidP="00F66D98">
            <w:pPr>
              <w:spacing w:before="100" w:beforeAutospacing="1" w:after="120" w:line="254" w:lineRule="auto"/>
              <w:jc w:val="center"/>
              <w:rPr>
                <w:rFonts w:cs="Arial"/>
                <w:sz w:val="20"/>
              </w:rPr>
            </w:pPr>
            <w:r w:rsidRPr="00C9343F">
              <w:rPr>
                <w:rFonts w:cs="Arial"/>
                <w:sz w:val="20"/>
              </w:rPr>
              <w:t>8C.</w:t>
            </w:r>
          </w:p>
        </w:tc>
        <w:tc>
          <w:tcPr>
            <w:tcW w:w="1530" w:type="dxa"/>
          </w:tcPr>
          <w:p w14:paraId="607925B8" w14:textId="05E33ECC" w:rsidR="00191F5D" w:rsidRPr="00C9343F" w:rsidRDefault="00191F5D" w:rsidP="00F66D98">
            <w:pPr>
              <w:spacing w:before="100" w:beforeAutospacing="1" w:after="120" w:line="254" w:lineRule="auto"/>
              <w:rPr>
                <w:rFonts w:cs="Arial"/>
                <w:sz w:val="20"/>
              </w:rPr>
            </w:pPr>
            <w:r w:rsidRPr="00C9343F">
              <w:rPr>
                <w:rFonts w:cs="Arial"/>
                <w:sz w:val="20"/>
              </w:rPr>
              <w:t>Pay grade 3</w:t>
            </w:r>
          </w:p>
        </w:tc>
        <w:tc>
          <w:tcPr>
            <w:tcW w:w="2970" w:type="dxa"/>
          </w:tcPr>
          <w:p w14:paraId="22A8DF1C" w14:textId="79ECBF4B" w:rsidR="00191F5D" w:rsidRPr="00C9343F" w:rsidRDefault="00191F5D" w:rsidP="00F66D98">
            <w:pPr>
              <w:spacing w:before="100" w:beforeAutospacing="1" w:after="120" w:line="254" w:lineRule="auto"/>
              <w:rPr>
                <w:rFonts w:cs="Arial"/>
                <w:sz w:val="20"/>
              </w:rPr>
            </w:pPr>
            <w:r w:rsidRPr="00C9343F">
              <w:rPr>
                <w:rFonts w:cs="Arial"/>
                <w:sz w:val="20"/>
              </w:rPr>
              <w:t>Unit Quartermaster Advanced (Privates who are not yet Private (Proficient)), and have not completed the 40M Driver course, including tactical component</w:t>
            </w:r>
          </w:p>
        </w:tc>
        <w:tc>
          <w:tcPr>
            <w:tcW w:w="2160" w:type="dxa"/>
          </w:tcPr>
          <w:p w14:paraId="4383F1CA" w14:textId="0A73A061" w:rsidR="00191F5D" w:rsidRPr="00C9343F" w:rsidRDefault="00191F5D" w:rsidP="00F66D98">
            <w:pPr>
              <w:spacing w:before="100" w:beforeAutospacing="1" w:after="120" w:line="254" w:lineRule="auto"/>
              <w:rPr>
                <w:rFonts w:cs="Arial"/>
                <w:sz w:val="20"/>
              </w:rPr>
            </w:pPr>
            <w:r w:rsidRPr="00C9343F">
              <w:rPr>
                <w:rFonts w:cs="Arial"/>
                <w:sz w:val="20"/>
              </w:rPr>
              <w:t>7 January 2021</w:t>
            </w:r>
          </w:p>
        </w:tc>
        <w:tc>
          <w:tcPr>
            <w:tcW w:w="2160" w:type="dxa"/>
          </w:tcPr>
          <w:p w14:paraId="37DFAA33" w14:textId="10DC4DBB" w:rsidR="00191F5D" w:rsidRPr="00C9343F" w:rsidRDefault="00191F5D" w:rsidP="00F66D98">
            <w:pPr>
              <w:spacing w:before="100" w:beforeAutospacing="1" w:after="120" w:line="254" w:lineRule="auto"/>
              <w:rPr>
                <w:rFonts w:cs="Arial"/>
                <w:sz w:val="20"/>
              </w:rPr>
            </w:pPr>
            <w:r w:rsidRPr="00C9343F">
              <w:rPr>
                <w:rFonts w:cs="Arial"/>
                <w:sz w:val="20"/>
              </w:rPr>
              <w:t>6 January 2023</w:t>
            </w:r>
          </w:p>
        </w:tc>
      </w:tr>
      <w:tr w:rsidR="00191F5D" w:rsidRPr="00C9343F" w14:paraId="69A08578" w14:textId="77777777" w:rsidTr="00372A02">
        <w:trPr>
          <w:trHeight w:val="270"/>
        </w:trPr>
        <w:tc>
          <w:tcPr>
            <w:tcW w:w="720" w:type="dxa"/>
          </w:tcPr>
          <w:p w14:paraId="24781AC9" w14:textId="6E9EC404" w:rsidR="00191F5D" w:rsidRPr="00C9343F" w:rsidRDefault="00191F5D" w:rsidP="00F66D98">
            <w:pPr>
              <w:spacing w:before="100" w:beforeAutospacing="1" w:after="120" w:line="254" w:lineRule="auto"/>
              <w:jc w:val="center"/>
              <w:rPr>
                <w:rFonts w:cs="Arial"/>
                <w:sz w:val="20"/>
              </w:rPr>
            </w:pPr>
            <w:r w:rsidRPr="00C9343F">
              <w:rPr>
                <w:rFonts w:cs="Arial"/>
                <w:sz w:val="20"/>
              </w:rPr>
              <w:t>8D.</w:t>
            </w:r>
          </w:p>
        </w:tc>
        <w:tc>
          <w:tcPr>
            <w:tcW w:w="1530" w:type="dxa"/>
          </w:tcPr>
          <w:p w14:paraId="2EA85DE6" w14:textId="5BD2B96C" w:rsidR="00191F5D" w:rsidRPr="00C9343F" w:rsidRDefault="00191F5D" w:rsidP="00F66D98">
            <w:pPr>
              <w:spacing w:before="100" w:beforeAutospacing="1" w:after="120" w:line="254" w:lineRule="auto"/>
              <w:rPr>
                <w:rFonts w:cs="Arial"/>
                <w:sz w:val="20"/>
              </w:rPr>
            </w:pPr>
            <w:r w:rsidRPr="00C9343F">
              <w:rPr>
                <w:rFonts w:cs="Arial"/>
                <w:sz w:val="20"/>
              </w:rPr>
              <w:t>Pay grade 3</w:t>
            </w:r>
          </w:p>
        </w:tc>
        <w:tc>
          <w:tcPr>
            <w:tcW w:w="2970" w:type="dxa"/>
          </w:tcPr>
          <w:p w14:paraId="0C2701F8" w14:textId="3E205AB2" w:rsidR="00191F5D" w:rsidRPr="00C9343F" w:rsidRDefault="00191F5D" w:rsidP="00F66D98">
            <w:pPr>
              <w:spacing w:before="100" w:beforeAutospacing="1" w:after="120" w:line="254" w:lineRule="auto"/>
              <w:rPr>
                <w:rFonts w:cs="Arial"/>
                <w:sz w:val="20"/>
              </w:rPr>
            </w:pPr>
            <w:r w:rsidRPr="00C9343F">
              <w:rPr>
                <w:rFonts w:cs="Arial"/>
                <w:sz w:val="20"/>
              </w:rPr>
              <w:t>Unit Quartermaster Advanced (Corporal) who have not completed the Mounted Leader Course</w:t>
            </w:r>
          </w:p>
        </w:tc>
        <w:tc>
          <w:tcPr>
            <w:tcW w:w="2160" w:type="dxa"/>
          </w:tcPr>
          <w:p w14:paraId="4F835086" w14:textId="7A443F2B" w:rsidR="00191F5D" w:rsidRPr="00C9343F" w:rsidRDefault="00191F5D" w:rsidP="00F66D98">
            <w:pPr>
              <w:spacing w:before="100" w:beforeAutospacing="1" w:after="120" w:line="254" w:lineRule="auto"/>
              <w:rPr>
                <w:rFonts w:cs="Arial"/>
                <w:sz w:val="20"/>
              </w:rPr>
            </w:pPr>
            <w:r w:rsidRPr="00C9343F">
              <w:rPr>
                <w:rFonts w:cs="Arial"/>
                <w:sz w:val="20"/>
              </w:rPr>
              <w:t>7 January 2021</w:t>
            </w:r>
          </w:p>
        </w:tc>
        <w:tc>
          <w:tcPr>
            <w:tcW w:w="2160" w:type="dxa"/>
          </w:tcPr>
          <w:p w14:paraId="7BB4FED1" w14:textId="27385307" w:rsidR="00191F5D" w:rsidRPr="00C9343F" w:rsidRDefault="00191F5D" w:rsidP="00F66D98">
            <w:pPr>
              <w:spacing w:before="100" w:beforeAutospacing="1" w:after="120" w:line="254" w:lineRule="auto"/>
              <w:rPr>
                <w:rFonts w:cs="Arial"/>
                <w:sz w:val="20"/>
              </w:rPr>
            </w:pPr>
            <w:r w:rsidRPr="00C9343F">
              <w:rPr>
                <w:rFonts w:cs="Arial"/>
                <w:sz w:val="20"/>
              </w:rPr>
              <w:t>6 January 2023</w:t>
            </w:r>
          </w:p>
        </w:tc>
      </w:tr>
      <w:tr w:rsidR="00191F5D" w:rsidRPr="00C9343F" w14:paraId="2C0D677E" w14:textId="77777777" w:rsidTr="00372A02">
        <w:trPr>
          <w:trHeight w:val="270"/>
        </w:trPr>
        <w:tc>
          <w:tcPr>
            <w:tcW w:w="720" w:type="dxa"/>
            <w:hideMark/>
          </w:tcPr>
          <w:p w14:paraId="40AD2B92" w14:textId="77777777" w:rsidR="00191F5D" w:rsidRPr="00C9343F" w:rsidRDefault="00191F5D" w:rsidP="00F66D98">
            <w:pPr>
              <w:spacing w:before="100" w:beforeAutospacing="1" w:after="120" w:line="254" w:lineRule="auto"/>
              <w:jc w:val="center"/>
              <w:rPr>
                <w:sz w:val="20"/>
              </w:rPr>
            </w:pPr>
            <w:r w:rsidRPr="00C9343F">
              <w:rPr>
                <w:rFonts w:cs="Arial"/>
                <w:sz w:val="20"/>
              </w:rPr>
              <w:t>9.</w:t>
            </w:r>
          </w:p>
        </w:tc>
        <w:tc>
          <w:tcPr>
            <w:tcW w:w="1530" w:type="dxa"/>
            <w:hideMark/>
          </w:tcPr>
          <w:p w14:paraId="4E6D6065" w14:textId="77777777" w:rsidR="00191F5D" w:rsidRPr="00C9343F" w:rsidRDefault="00191F5D" w:rsidP="00F66D98">
            <w:pPr>
              <w:spacing w:before="100" w:beforeAutospacing="1" w:after="120" w:line="254" w:lineRule="auto"/>
              <w:rPr>
                <w:sz w:val="20"/>
              </w:rPr>
            </w:pPr>
            <w:r w:rsidRPr="00C9343F">
              <w:rPr>
                <w:rFonts w:cs="Arial"/>
                <w:sz w:val="20"/>
              </w:rPr>
              <w:t>Pay grade 4</w:t>
            </w:r>
          </w:p>
        </w:tc>
        <w:tc>
          <w:tcPr>
            <w:tcW w:w="2970" w:type="dxa"/>
            <w:hideMark/>
          </w:tcPr>
          <w:p w14:paraId="5517F328" w14:textId="77777777" w:rsidR="00191F5D" w:rsidRPr="00C9343F" w:rsidRDefault="00191F5D" w:rsidP="00F66D98">
            <w:pPr>
              <w:spacing w:before="100" w:beforeAutospacing="1" w:after="120" w:line="254" w:lineRule="auto"/>
              <w:rPr>
                <w:sz w:val="20"/>
              </w:rPr>
            </w:pPr>
            <w:r w:rsidRPr="00C9343F">
              <w:rPr>
                <w:rFonts w:cs="Arial"/>
                <w:sz w:val="20"/>
              </w:rPr>
              <w:t>Carpenter Grade 2</w:t>
            </w:r>
          </w:p>
        </w:tc>
        <w:tc>
          <w:tcPr>
            <w:tcW w:w="2160" w:type="dxa"/>
            <w:hideMark/>
          </w:tcPr>
          <w:p w14:paraId="12D83806" w14:textId="77777777" w:rsidR="00191F5D" w:rsidRPr="00C9343F" w:rsidRDefault="00191F5D" w:rsidP="00F66D98">
            <w:pPr>
              <w:spacing w:before="100" w:beforeAutospacing="1" w:after="120" w:line="254" w:lineRule="auto"/>
              <w:rPr>
                <w:sz w:val="20"/>
              </w:rPr>
            </w:pPr>
            <w:r w:rsidRPr="00C9343F">
              <w:rPr>
                <w:rFonts w:cs="Arial"/>
                <w:sz w:val="20"/>
              </w:rPr>
              <w:t>28 November 2019</w:t>
            </w:r>
          </w:p>
        </w:tc>
        <w:tc>
          <w:tcPr>
            <w:tcW w:w="2160" w:type="dxa"/>
            <w:hideMark/>
          </w:tcPr>
          <w:p w14:paraId="0BEA06A4" w14:textId="77777777" w:rsidR="00191F5D" w:rsidRPr="00C9343F" w:rsidRDefault="00191F5D" w:rsidP="00F66D98">
            <w:pPr>
              <w:spacing w:before="100" w:beforeAutospacing="1" w:after="120" w:line="254" w:lineRule="auto"/>
              <w:rPr>
                <w:sz w:val="20"/>
              </w:rPr>
            </w:pPr>
            <w:r w:rsidRPr="00C9343F">
              <w:rPr>
                <w:rFonts w:cs="Arial"/>
                <w:sz w:val="20"/>
              </w:rPr>
              <w:t>27 November 2024</w:t>
            </w:r>
          </w:p>
        </w:tc>
      </w:tr>
      <w:tr w:rsidR="00191F5D" w:rsidRPr="00C9343F" w14:paraId="491F648C" w14:textId="77777777" w:rsidTr="00372A02">
        <w:trPr>
          <w:trHeight w:val="270"/>
        </w:trPr>
        <w:tc>
          <w:tcPr>
            <w:tcW w:w="720" w:type="dxa"/>
            <w:hideMark/>
          </w:tcPr>
          <w:p w14:paraId="1948232B" w14:textId="77777777" w:rsidR="00191F5D" w:rsidRPr="00C9343F" w:rsidRDefault="00191F5D" w:rsidP="00F66D98">
            <w:pPr>
              <w:spacing w:before="100" w:beforeAutospacing="1" w:after="120" w:line="254" w:lineRule="auto"/>
              <w:jc w:val="center"/>
              <w:rPr>
                <w:sz w:val="20"/>
              </w:rPr>
            </w:pPr>
            <w:r w:rsidRPr="00C9343F">
              <w:rPr>
                <w:rFonts w:cs="Arial"/>
                <w:sz w:val="20"/>
              </w:rPr>
              <w:t>10.</w:t>
            </w:r>
          </w:p>
        </w:tc>
        <w:tc>
          <w:tcPr>
            <w:tcW w:w="1530" w:type="dxa"/>
            <w:hideMark/>
          </w:tcPr>
          <w:p w14:paraId="7F79ECA7" w14:textId="77777777" w:rsidR="00191F5D" w:rsidRPr="00C9343F" w:rsidRDefault="00191F5D" w:rsidP="00F66D98">
            <w:pPr>
              <w:spacing w:before="100" w:beforeAutospacing="1" w:after="120" w:line="254" w:lineRule="auto"/>
              <w:rPr>
                <w:sz w:val="20"/>
              </w:rPr>
            </w:pPr>
            <w:r w:rsidRPr="00C9343F">
              <w:rPr>
                <w:rFonts w:cs="Arial"/>
                <w:sz w:val="20"/>
              </w:rPr>
              <w:t>Pay grade 4</w:t>
            </w:r>
          </w:p>
        </w:tc>
        <w:tc>
          <w:tcPr>
            <w:tcW w:w="2970" w:type="dxa"/>
            <w:hideMark/>
          </w:tcPr>
          <w:p w14:paraId="0378C02D" w14:textId="77777777" w:rsidR="00191F5D" w:rsidRPr="00C9343F" w:rsidRDefault="00191F5D" w:rsidP="00F66D98">
            <w:pPr>
              <w:spacing w:before="100" w:beforeAutospacing="1" w:after="120" w:line="254" w:lineRule="auto"/>
              <w:rPr>
                <w:sz w:val="20"/>
              </w:rPr>
            </w:pPr>
            <w:r w:rsidRPr="00C9343F">
              <w:rPr>
                <w:rFonts w:cs="Arial"/>
                <w:sz w:val="20"/>
              </w:rPr>
              <w:t>Electrician Grade 2</w:t>
            </w:r>
          </w:p>
        </w:tc>
        <w:tc>
          <w:tcPr>
            <w:tcW w:w="2160" w:type="dxa"/>
            <w:hideMark/>
          </w:tcPr>
          <w:p w14:paraId="4A713B6A" w14:textId="77777777" w:rsidR="00191F5D" w:rsidRPr="00C9343F" w:rsidRDefault="00191F5D" w:rsidP="00F66D98">
            <w:pPr>
              <w:spacing w:before="100" w:beforeAutospacing="1" w:after="120" w:line="254" w:lineRule="auto"/>
              <w:rPr>
                <w:sz w:val="20"/>
              </w:rPr>
            </w:pPr>
            <w:r w:rsidRPr="00C9343F">
              <w:rPr>
                <w:rFonts w:cs="Arial"/>
                <w:sz w:val="20"/>
              </w:rPr>
              <w:t>28 November 2019</w:t>
            </w:r>
          </w:p>
        </w:tc>
        <w:tc>
          <w:tcPr>
            <w:tcW w:w="2160" w:type="dxa"/>
            <w:hideMark/>
          </w:tcPr>
          <w:p w14:paraId="75012CC4" w14:textId="77777777" w:rsidR="00191F5D" w:rsidRPr="00C9343F" w:rsidRDefault="00191F5D" w:rsidP="00F66D98">
            <w:pPr>
              <w:spacing w:before="100" w:beforeAutospacing="1" w:after="120" w:line="254" w:lineRule="auto"/>
              <w:rPr>
                <w:sz w:val="20"/>
              </w:rPr>
            </w:pPr>
            <w:r w:rsidRPr="00C9343F">
              <w:rPr>
                <w:rFonts w:cs="Arial"/>
                <w:sz w:val="20"/>
              </w:rPr>
              <w:t>27 November 2024</w:t>
            </w:r>
          </w:p>
        </w:tc>
      </w:tr>
      <w:tr w:rsidR="00191F5D" w:rsidRPr="00C9343F" w14:paraId="177F0AF9" w14:textId="77777777" w:rsidTr="00372A02">
        <w:trPr>
          <w:trHeight w:val="270"/>
        </w:trPr>
        <w:tc>
          <w:tcPr>
            <w:tcW w:w="720" w:type="dxa"/>
            <w:hideMark/>
          </w:tcPr>
          <w:p w14:paraId="546126C0" w14:textId="77777777" w:rsidR="00191F5D" w:rsidRPr="00C9343F" w:rsidRDefault="00191F5D" w:rsidP="00F66D98">
            <w:pPr>
              <w:spacing w:before="100" w:beforeAutospacing="1" w:after="120" w:line="254" w:lineRule="auto"/>
              <w:jc w:val="center"/>
              <w:rPr>
                <w:sz w:val="20"/>
              </w:rPr>
            </w:pPr>
            <w:r w:rsidRPr="00C9343F">
              <w:rPr>
                <w:rFonts w:cs="Arial"/>
                <w:sz w:val="20"/>
              </w:rPr>
              <w:t>11.</w:t>
            </w:r>
          </w:p>
        </w:tc>
        <w:tc>
          <w:tcPr>
            <w:tcW w:w="1530" w:type="dxa"/>
            <w:hideMark/>
          </w:tcPr>
          <w:p w14:paraId="2E187010" w14:textId="77777777" w:rsidR="00191F5D" w:rsidRPr="00C9343F" w:rsidRDefault="00191F5D" w:rsidP="00F66D98">
            <w:pPr>
              <w:spacing w:before="100" w:beforeAutospacing="1" w:after="120" w:line="254" w:lineRule="auto"/>
              <w:rPr>
                <w:sz w:val="20"/>
              </w:rPr>
            </w:pPr>
            <w:r w:rsidRPr="00C9343F">
              <w:rPr>
                <w:rFonts w:cs="Arial"/>
                <w:sz w:val="20"/>
              </w:rPr>
              <w:t>Pay grade 4</w:t>
            </w:r>
          </w:p>
        </w:tc>
        <w:tc>
          <w:tcPr>
            <w:tcW w:w="2970" w:type="dxa"/>
            <w:hideMark/>
          </w:tcPr>
          <w:p w14:paraId="7A8FE742" w14:textId="77777777" w:rsidR="00191F5D" w:rsidRPr="00C9343F" w:rsidRDefault="00191F5D" w:rsidP="00F66D98">
            <w:pPr>
              <w:spacing w:before="100" w:beforeAutospacing="1" w:after="120" w:line="254" w:lineRule="auto"/>
              <w:rPr>
                <w:sz w:val="20"/>
              </w:rPr>
            </w:pPr>
            <w:r w:rsidRPr="00C9343F">
              <w:rPr>
                <w:rFonts w:cs="Arial"/>
                <w:sz w:val="20"/>
              </w:rPr>
              <w:t>Geomatic Technician Grade 2</w:t>
            </w:r>
          </w:p>
        </w:tc>
        <w:tc>
          <w:tcPr>
            <w:tcW w:w="2160" w:type="dxa"/>
            <w:hideMark/>
          </w:tcPr>
          <w:p w14:paraId="7DA7B9D2" w14:textId="77777777" w:rsidR="00191F5D" w:rsidRPr="00C9343F" w:rsidRDefault="00191F5D" w:rsidP="00F66D98">
            <w:pPr>
              <w:spacing w:before="100" w:beforeAutospacing="1" w:after="120" w:line="254" w:lineRule="auto"/>
              <w:rPr>
                <w:sz w:val="20"/>
              </w:rPr>
            </w:pPr>
            <w:r w:rsidRPr="00C9343F">
              <w:rPr>
                <w:rFonts w:cs="Arial"/>
                <w:sz w:val="20"/>
              </w:rPr>
              <w:t>1 July 2018</w:t>
            </w:r>
          </w:p>
        </w:tc>
        <w:tc>
          <w:tcPr>
            <w:tcW w:w="2160" w:type="dxa"/>
            <w:hideMark/>
          </w:tcPr>
          <w:p w14:paraId="2690AE64" w14:textId="29E84742" w:rsidR="00191F5D" w:rsidRPr="00C9343F" w:rsidRDefault="00191F5D" w:rsidP="00F66D98">
            <w:pPr>
              <w:spacing w:before="100" w:beforeAutospacing="1" w:after="120" w:line="254" w:lineRule="auto"/>
              <w:rPr>
                <w:sz w:val="20"/>
              </w:rPr>
            </w:pPr>
            <w:r w:rsidRPr="00C9343F">
              <w:rPr>
                <w:rFonts w:cs="Arial"/>
                <w:sz w:val="20"/>
              </w:rPr>
              <w:t>30 June 202</w:t>
            </w:r>
            <w:r w:rsidR="008C3755" w:rsidRPr="00C9343F">
              <w:rPr>
                <w:rFonts w:cs="Arial"/>
                <w:sz w:val="20"/>
              </w:rPr>
              <w:t>2</w:t>
            </w:r>
          </w:p>
        </w:tc>
      </w:tr>
      <w:tr w:rsidR="00191F5D" w:rsidRPr="00C9343F" w14:paraId="1975762E" w14:textId="77777777" w:rsidTr="00372A02">
        <w:trPr>
          <w:trHeight w:val="270"/>
        </w:trPr>
        <w:tc>
          <w:tcPr>
            <w:tcW w:w="720" w:type="dxa"/>
            <w:hideMark/>
          </w:tcPr>
          <w:p w14:paraId="7FD4A15C" w14:textId="77777777" w:rsidR="00191F5D" w:rsidRPr="00C9343F" w:rsidRDefault="00191F5D" w:rsidP="00F66D98">
            <w:pPr>
              <w:spacing w:before="100" w:beforeAutospacing="1" w:after="120" w:line="254" w:lineRule="auto"/>
              <w:jc w:val="center"/>
              <w:rPr>
                <w:sz w:val="20"/>
              </w:rPr>
            </w:pPr>
            <w:r w:rsidRPr="00C9343F">
              <w:rPr>
                <w:rFonts w:cs="Arial"/>
                <w:sz w:val="20"/>
              </w:rPr>
              <w:t>12.</w:t>
            </w:r>
          </w:p>
        </w:tc>
        <w:tc>
          <w:tcPr>
            <w:tcW w:w="1530" w:type="dxa"/>
            <w:hideMark/>
          </w:tcPr>
          <w:p w14:paraId="1B3F3B63" w14:textId="77777777" w:rsidR="00191F5D" w:rsidRPr="00C9343F" w:rsidRDefault="00191F5D" w:rsidP="00F66D98">
            <w:pPr>
              <w:spacing w:before="100" w:beforeAutospacing="1" w:after="120" w:line="254" w:lineRule="auto"/>
              <w:rPr>
                <w:sz w:val="20"/>
              </w:rPr>
            </w:pPr>
            <w:r w:rsidRPr="00C9343F">
              <w:rPr>
                <w:rFonts w:cs="Arial"/>
                <w:sz w:val="20"/>
              </w:rPr>
              <w:t>Pay grade 4</w:t>
            </w:r>
          </w:p>
        </w:tc>
        <w:tc>
          <w:tcPr>
            <w:tcW w:w="2970" w:type="dxa"/>
            <w:hideMark/>
          </w:tcPr>
          <w:p w14:paraId="63D60D45" w14:textId="77777777" w:rsidR="00191F5D" w:rsidRPr="00C9343F" w:rsidRDefault="00191F5D" w:rsidP="00F66D98">
            <w:pPr>
              <w:spacing w:before="100" w:beforeAutospacing="1" w:after="120" w:line="254" w:lineRule="auto"/>
              <w:rPr>
                <w:sz w:val="20"/>
              </w:rPr>
            </w:pPr>
            <w:r w:rsidRPr="00C9343F">
              <w:rPr>
                <w:rFonts w:cs="Arial"/>
                <w:sz w:val="20"/>
              </w:rPr>
              <w:t>Musician Grade 2</w:t>
            </w:r>
          </w:p>
        </w:tc>
        <w:tc>
          <w:tcPr>
            <w:tcW w:w="2160" w:type="dxa"/>
            <w:hideMark/>
          </w:tcPr>
          <w:p w14:paraId="25C7F4C6" w14:textId="77777777" w:rsidR="00191F5D" w:rsidRPr="00C9343F" w:rsidRDefault="00191F5D" w:rsidP="00F66D98">
            <w:pPr>
              <w:spacing w:before="100" w:beforeAutospacing="1" w:after="120" w:line="254" w:lineRule="auto"/>
              <w:rPr>
                <w:sz w:val="20"/>
              </w:rPr>
            </w:pPr>
            <w:r w:rsidRPr="00C9343F">
              <w:rPr>
                <w:rFonts w:cs="Arial"/>
                <w:sz w:val="20"/>
              </w:rPr>
              <w:t>7 March 2019</w:t>
            </w:r>
          </w:p>
        </w:tc>
        <w:tc>
          <w:tcPr>
            <w:tcW w:w="2160" w:type="dxa"/>
            <w:hideMark/>
          </w:tcPr>
          <w:p w14:paraId="03060834" w14:textId="77777777" w:rsidR="00191F5D" w:rsidRPr="00C9343F" w:rsidRDefault="00191F5D" w:rsidP="00F66D98">
            <w:pPr>
              <w:spacing w:before="100" w:beforeAutospacing="1" w:after="120" w:line="254" w:lineRule="auto"/>
              <w:rPr>
                <w:sz w:val="20"/>
              </w:rPr>
            </w:pPr>
            <w:r w:rsidRPr="00C9343F">
              <w:rPr>
                <w:rFonts w:cs="Arial"/>
                <w:sz w:val="20"/>
              </w:rPr>
              <w:t>7 March 2024</w:t>
            </w:r>
          </w:p>
        </w:tc>
      </w:tr>
      <w:tr w:rsidR="00B85D6F" w:rsidRPr="00C9343F" w14:paraId="07310EC5" w14:textId="77777777" w:rsidTr="00372A02">
        <w:trPr>
          <w:trHeight w:val="270"/>
        </w:trPr>
        <w:tc>
          <w:tcPr>
            <w:tcW w:w="720" w:type="dxa"/>
          </w:tcPr>
          <w:p w14:paraId="2C925892" w14:textId="1C225139" w:rsidR="00B85D6F" w:rsidRPr="00C9343F" w:rsidRDefault="00B85D6F" w:rsidP="00B85D6F">
            <w:pPr>
              <w:spacing w:before="100" w:beforeAutospacing="1" w:after="120" w:line="254" w:lineRule="auto"/>
              <w:jc w:val="center"/>
              <w:rPr>
                <w:rFonts w:cs="Arial"/>
                <w:sz w:val="20"/>
              </w:rPr>
            </w:pPr>
            <w:r w:rsidRPr="00C9343F">
              <w:rPr>
                <w:rFonts w:cs="Arial"/>
                <w:sz w:val="20"/>
              </w:rPr>
              <w:t>13.</w:t>
            </w:r>
          </w:p>
        </w:tc>
        <w:tc>
          <w:tcPr>
            <w:tcW w:w="1530" w:type="dxa"/>
          </w:tcPr>
          <w:p w14:paraId="055C985B" w14:textId="60668AB1" w:rsidR="00B85D6F" w:rsidRPr="00C9343F" w:rsidRDefault="0060384A" w:rsidP="00B85D6F">
            <w:pPr>
              <w:spacing w:before="100" w:beforeAutospacing="1" w:after="120" w:line="254" w:lineRule="auto"/>
              <w:rPr>
                <w:rFonts w:cs="Arial"/>
                <w:sz w:val="20"/>
              </w:rPr>
            </w:pPr>
            <w:r w:rsidRPr="00C9343F">
              <w:rPr>
                <w:rFonts w:cs="Arial"/>
                <w:sz w:val="20"/>
              </w:rPr>
              <w:t>Pay g</w:t>
            </w:r>
            <w:r w:rsidR="00B85D6F" w:rsidRPr="00C9343F">
              <w:rPr>
                <w:rFonts w:cs="Arial"/>
                <w:sz w:val="20"/>
              </w:rPr>
              <w:t>rade 4</w:t>
            </w:r>
          </w:p>
        </w:tc>
        <w:tc>
          <w:tcPr>
            <w:tcW w:w="2970" w:type="dxa"/>
          </w:tcPr>
          <w:p w14:paraId="4C4DA131" w14:textId="741D02FC" w:rsidR="00B85D6F" w:rsidRPr="00C9343F" w:rsidRDefault="00B85D6F" w:rsidP="00B85D6F">
            <w:pPr>
              <w:spacing w:before="100" w:beforeAutospacing="1" w:after="120" w:line="254" w:lineRule="auto"/>
              <w:rPr>
                <w:rFonts w:cs="Arial"/>
                <w:sz w:val="20"/>
              </w:rPr>
            </w:pPr>
            <w:r w:rsidRPr="00C9343F">
              <w:rPr>
                <w:rFonts w:cs="Arial"/>
                <w:sz w:val="20"/>
              </w:rPr>
              <w:t>Operator Plant Grade 2</w:t>
            </w:r>
          </w:p>
        </w:tc>
        <w:tc>
          <w:tcPr>
            <w:tcW w:w="2160" w:type="dxa"/>
          </w:tcPr>
          <w:p w14:paraId="592DAF3D" w14:textId="18087E0D" w:rsidR="00B85D6F" w:rsidRPr="00C9343F" w:rsidRDefault="00B85D6F" w:rsidP="00B85D6F">
            <w:pPr>
              <w:spacing w:before="100" w:beforeAutospacing="1" w:after="120" w:line="254" w:lineRule="auto"/>
              <w:rPr>
                <w:rFonts w:cs="Arial"/>
                <w:sz w:val="20"/>
              </w:rPr>
            </w:pPr>
            <w:r w:rsidRPr="00C9343F">
              <w:rPr>
                <w:sz w:val="20"/>
              </w:rPr>
              <w:t>20 January 2022</w:t>
            </w:r>
          </w:p>
        </w:tc>
        <w:tc>
          <w:tcPr>
            <w:tcW w:w="2160" w:type="dxa"/>
          </w:tcPr>
          <w:p w14:paraId="48A89A37" w14:textId="18D87FFB" w:rsidR="00B85D6F" w:rsidRPr="00C9343F" w:rsidRDefault="00B85D6F" w:rsidP="00B85D6F">
            <w:pPr>
              <w:spacing w:before="100" w:beforeAutospacing="1" w:after="120" w:line="254" w:lineRule="auto"/>
              <w:rPr>
                <w:rFonts w:cs="Arial"/>
                <w:sz w:val="20"/>
              </w:rPr>
            </w:pPr>
            <w:r w:rsidRPr="00C9343F">
              <w:rPr>
                <w:rFonts w:cs="Arial"/>
                <w:sz w:val="20"/>
              </w:rPr>
              <w:t>19 January 2026</w:t>
            </w:r>
          </w:p>
        </w:tc>
      </w:tr>
      <w:tr w:rsidR="00B85D6F" w:rsidRPr="00C9343F" w14:paraId="325BABE2" w14:textId="77777777" w:rsidTr="00372A02">
        <w:trPr>
          <w:trHeight w:val="270"/>
        </w:trPr>
        <w:tc>
          <w:tcPr>
            <w:tcW w:w="720" w:type="dxa"/>
            <w:hideMark/>
          </w:tcPr>
          <w:p w14:paraId="708F5218" w14:textId="77777777" w:rsidR="00B85D6F" w:rsidRPr="00C9343F" w:rsidRDefault="00B85D6F" w:rsidP="00B85D6F">
            <w:pPr>
              <w:spacing w:before="100" w:beforeAutospacing="1" w:after="120" w:line="254" w:lineRule="auto"/>
              <w:jc w:val="center"/>
              <w:rPr>
                <w:sz w:val="20"/>
              </w:rPr>
            </w:pPr>
            <w:r w:rsidRPr="00C9343F">
              <w:rPr>
                <w:rFonts w:cs="Arial"/>
                <w:sz w:val="20"/>
              </w:rPr>
              <w:t>15.</w:t>
            </w:r>
          </w:p>
        </w:tc>
        <w:tc>
          <w:tcPr>
            <w:tcW w:w="1530" w:type="dxa"/>
            <w:hideMark/>
          </w:tcPr>
          <w:p w14:paraId="454D6133" w14:textId="77777777" w:rsidR="00B85D6F" w:rsidRPr="00C9343F" w:rsidRDefault="00B85D6F" w:rsidP="00B85D6F">
            <w:pPr>
              <w:spacing w:before="100" w:beforeAutospacing="1" w:after="120" w:line="254" w:lineRule="auto"/>
              <w:rPr>
                <w:sz w:val="20"/>
              </w:rPr>
            </w:pPr>
            <w:r w:rsidRPr="00C9343F">
              <w:rPr>
                <w:rFonts w:cs="Arial"/>
                <w:sz w:val="20"/>
              </w:rPr>
              <w:t>Pay grade 4</w:t>
            </w:r>
          </w:p>
        </w:tc>
        <w:tc>
          <w:tcPr>
            <w:tcW w:w="2970" w:type="dxa"/>
            <w:hideMark/>
          </w:tcPr>
          <w:p w14:paraId="4496AC61" w14:textId="77777777" w:rsidR="00B85D6F" w:rsidRPr="00C9343F" w:rsidRDefault="00B85D6F" w:rsidP="00B85D6F">
            <w:pPr>
              <w:spacing w:before="100" w:beforeAutospacing="1" w:after="120" w:line="254" w:lineRule="auto"/>
              <w:rPr>
                <w:sz w:val="20"/>
              </w:rPr>
            </w:pPr>
            <w:r w:rsidRPr="00C9343F">
              <w:rPr>
                <w:rFonts w:cs="Arial"/>
                <w:sz w:val="20"/>
              </w:rPr>
              <w:t>Piper Drummer and Bugler Grade 2</w:t>
            </w:r>
          </w:p>
        </w:tc>
        <w:tc>
          <w:tcPr>
            <w:tcW w:w="2160" w:type="dxa"/>
            <w:hideMark/>
          </w:tcPr>
          <w:p w14:paraId="635FF0AF" w14:textId="77777777" w:rsidR="00B85D6F" w:rsidRPr="00C9343F" w:rsidRDefault="00B85D6F" w:rsidP="00B85D6F">
            <w:pPr>
              <w:spacing w:before="100" w:beforeAutospacing="1" w:after="120" w:line="254" w:lineRule="auto"/>
              <w:rPr>
                <w:sz w:val="20"/>
              </w:rPr>
            </w:pPr>
            <w:r w:rsidRPr="00C9343F">
              <w:rPr>
                <w:rFonts w:cs="Arial"/>
                <w:sz w:val="20"/>
              </w:rPr>
              <w:t>7 March 2019</w:t>
            </w:r>
          </w:p>
        </w:tc>
        <w:tc>
          <w:tcPr>
            <w:tcW w:w="2160" w:type="dxa"/>
            <w:hideMark/>
          </w:tcPr>
          <w:p w14:paraId="72A1558B" w14:textId="77777777" w:rsidR="00B85D6F" w:rsidRPr="00C9343F" w:rsidRDefault="00B85D6F" w:rsidP="00B85D6F">
            <w:pPr>
              <w:spacing w:before="100" w:beforeAutospacing="1" w:after="120" w:line="254" w:lineRule="auto"/>
              <w:rPr>
                <w:sz w:val="20"/>
              </w:rPr>
            </w:pPr>
            <w:r w:rsidRPr="00C9343F">
              <w:rPr>
                <w:rFonts w:cs="Arial"/>
                <w:sz w:val="20"/>
              </w:rPr>
              <w:t>7 March 2024</w:t>
            </w:r>
          </w:p>
        </w:tc>
      </w:tr>
      <w:tr w:rsidR="00B85D6F" w:rsidRPr="00C9343F" w14:paraId="673DBECB" w14:textId="77777777" w:rsidTr="00372A02">
        <w:trPr>
          <w:trHeight w:val="270"/>
        </w:trPr>
        <w:tc>
          <w:tcPr>
            <w:tcW w:w="720" w:type="dxa"/>
            <w:hideMark/>
          </w:tcPr>
          <w:p w14:paraId="01DDD6A5" w14:textId="77777777" w:rsidR="00B85D6F" w:rsidRPr="00C9343F" w:rsidRDefault="00B85D6F" w:rsidP="00B85D6F">
            <w:pPr>
              <w:spacing w:beforeLines="20" w:before="48" w:after="120" w:line="254" w:lineRule="auto"/>
              <w:jc w:val="center"/>
              <w:rPr>
                <w:sz w:val="20"/>
              </w:rPr>
            </w:pPr>
            <w:r w:rsidRPr="00C9343F">
              <w:rPr>
                <w:rFonts w:cs="Arial"/>
                <w:color w:val="000000"/>
                <w:sz w:val="20"/>
              </w:rPr>
              <w:t>16</w:t>
            </w:r>
            <w:r w:rsidRPr="00C9343F">
              <w:rPr>
                <w:rFonts w:cs="Arial"/>
                <w:sz w:val="20"/>
              </w:rPr>
              <w:t>.</w:t>
            </w:r>
          </w:p>
        </w:tc>
        <w:tc>
          <w:tcPr>
            <w:tcW w:w="1530" w:type="dxa"/>
            <w:hideMark/>
          </w:tcPr>
          <w:p w14:paraId="36802DBE" w14:textId="77777777" w:rsidR="00B85D6F" w:rsidRPr="00C9343F" w:rsidRDefault="00B85D6F" w:rsidP="00B85D6F">
            <w:pPr>
              <w:spacing w:beforeLines="20" w:before="48" w:after="120" w:line="254" w:lineRule="auto"/>
              <w:rPr>
                <w:color w:val="000000"/>
                <w:sz w:val="20"/>
              </w:rPr>
            </w:pPr>
            <w:r w:rsidRPr="00C9343F">
              <w:rPr>
                <w:rFonts w:cs="Arial"/>
                <w:sz w:val="20"/>
              </w:rPr>
              <w:t>Pay grade 4</w:t>
            </w:r>
          </w:p>
        </w:tc>
        <w:tc>
          <w:tcPr>
            <w:tcW w:w="2970" w:type="dxa"/>
            <w:hideMark/>
          </w:tcPr>
          <w:p w14:paraId="6E679589" w14:textId="77777777" w:rsidR="00B85D6F" w:rsidRPr="00C9343F" w:rsidRDefault="00B85D6F" w:rsidP="00B85D6F">
            <w:pPr>
              <w:spacing w:beforeLines="20" w:before="48" w:after="120" w:line="254" w:lineRule="auto"/>
              <w:rPr>
                <w:sz w:val="20"/>
              </w:rPr>
            </w:pPr>
            <w:r w:rsidRPr="00C9343F">
              <w:rPr>
                <w:rFonts w:cs="Arial"/>
                <w:color w:val="000000"/>
                <w:sz w:val="20"/>
              </w:rPr>
              <w:t>Plumber</w:t>
            </w:r>
          </w:p>
        </w:tc>
        <w:tc>
          <w:tcPr>
            <w:tcW w:w="2160" w:type="dxa"/>
            <w:hideMark/>
          </w:tcPr>
          <w:p w14:paraId="16E08C80" w14:textId="77777777" w:rsidR="00B85D6F" w:rsidRPr="00C9343F" w:rsidRDefault="00B85D6F" w:rsidP="00B85D6F">
            <w:pPr>
              <w:spacing w:beforeLines="20" w:before="48" w:after="120" w:line="254" w:lineRule="auto"/>
              <w:rPr>
                <w:rFonts w:cs="Arial"/>
                <w:sz w:val="20"/>
              </w:rPr>
            </w:pPr>
            <w:r w:rsidRPr="00C9343F">
              <w:rPr>
                <w:rFonts w:cs="Arial"/>
                <w:sz w:val="20"/>
              </w:rPr>
              <w:t xml:space="preserve">28 </w:t>
            </w:r>
            <w:r w:rsidRPr="00C9343F">
              <w:rPr>
                <w:rFonts w:cs="Arial"/>
                <w:color w:val="000000"/>
                <w:sz w:val="20"/>
              </w:rPr>
              <w:t>November</w:t>
            </w:r>
            <w:r w:rsidRPr="00C9343F">
              <w:rPr>
                <w:rFonts w:cs="Arial"/>
                <w:sz w:val="20"/>
              </w:rPr>
              <w:t xml:space="preserve"> 2019</w:t>
            </w:r>
          </w:p>
        </w:tc>
        <w:tc>
          <w:tcPr>
            <w:tcW w:w="2160" w:type="dxa"/>
            <w:hideMark/>
          </w:tcPr>
          <w:p w14:paraId="3F7ADB59" w14:textId="77777777" w:rsidR="00B85D6F" w:rsidRPr="00C9343F" w:rsidRDefault="00B85D6F" w:rsidP="00B85D6F">
            <w:pPr>
              <w:spacing w:beforeLines="20" w:before="48" w:after="120" w:line="254" w:lineRule="auto"/>
              <w:rPr>
                <w:rFonts w:cs="Arial"/>
                <w:sz w:val="20"/>
              </w:rPr>
            </w:pPr>
            <w:r w:rsidRPr="00C9343F">
              <w:rPr>
                <w:rFonts w:cs="Arial"/>
                <w:sz w:val="20"/>
              </w:rPr>
              <w:t>27 November 2024</w:t>
            </w:r>
          </w:p>
        </w:tc>
      </w:tr>
      <w:tr w:rsidR="00B85D6F" w:rsidRPr="00C9343F" w14:paraId="66A2B2C5" w14:textId="77777777" w:rsidTr="00372A02">
        <w:trPr>
          <w:trHeight w:val="87"/>
        </w:trPr>
        <w:tc>
          <w:tcPr>
            <w:tcW w:w="720" w:type="dxa"/>
            <w:hideMark/>
          </w:tcPr>
          <w:p w14:paraId="46CD6D4E" w14:textId="77777777" w:rsidR="00B85D6F" w:rsidRPr="00C9343F" w:rsidRDefault="00B85D6F" w:rsidP="00B85D6F">
            <w:pPr>
              <w:spacing w:before="100" w:beforeAutospacing="1" w:after="120" w:line="254" w:lineRule="auto"/>
              <w:jc w:val="center"/>
              <w:rPr>
                <w:sz w:val="20"/>
              </w:rPr>
            </w:pPr>
            <w:r w:rsidRPr="00C9343F">
              <w:rPr>
                <w:rFonts w:cs="Arial"/>
                <w:sz w:val="20"/>
              </w:rPr>
              <w:t>17.</w:t>
            </w:r>
          </w:p>
        </w:tc>
        <w:tc>
          <w:tcPr>
            <w:tcW w:w="1530" w:type="dxa"/>
            <w:hideMark/>
          </w:tcPr>
          <w:p w14:paraId="51E710F7" w14:textId="77777777" w:rsidR="00B85D6F" w:rsidRPr="00C9343F" w:rsidRDefault="00B85D6F" w:rsidP="00B85D6F">
            <w:pPr>
              <w:spacing w:before="100" w:beforeAutospacing="1" w:after="120" w:line="254" w:lineRule="auto"/>
              <w:rPr>
                <w:sz w:val="20"/>
              </w:rPr>
            </w:pPr>
            <w:r w:rsidRPr="00C9343F">
              <w:rPr>
                <w:rFonts w:cs="Arial"/>
                <w:sz w:val="20"/>
              </w:rPr>
              <w:t>Pay grade 5</w:t>
            </w:r>
          </w:p>
        </w:tc>
        <w:tc>
          <w:tcPr>
            <w:tcW w:w="2970" w:type="dxa"/>
            <w:hideMark/>
          </w:tcPr>
          <w:p w14:paraId="2882C673" w14:textId="77777777" w:rsidR="00B85D6F" w:rsidRPr="00C9343F" w:rsidRDefault="00B85D6F" w:rsidP="00B85D6F">
            <w:pPr>
              <w:spacing w:before="100" w:beforeAutospacing="1" w:after="120" w:line="254" w:lineRule="auto"/>
              <w:rPr>
                <w:sz w:val="20"/>
              </w:rPr>
            </w:pPr>
            <w:r w:rsidRPr="00C9343F">
              <w:rPr>
                <w:rFonts w:cs="Arial"/>
                <w:sz w:val="20"/>
              </w:rPr>
              <w:t>Drum Major</w:t>
            </w:r>
          </w:p>
        </w:tc>
        <w:tc>
          <w:tcPr>
            <w:tcW w:w="2160" w:type="dxa"/>
            <w:hideMark/>
          </w:tcPr>
          <w:p w14:paraId="3C03E0C6" w14:textId="77777777" w:rsidR="00B85D6F" w:rsidRPr="00C9343F" w:rsidRDefault="00B85D6F" w:rsidP="00B85D6F">
            <w:pPr>
              <w:spacing w:before="100" w:beforeAutospacing="1" w:after="120" w:line="254" w:lineRule="auto"/>
              <w:rPr>
                <w:sz w:val="20"/>
              </w:rPr>
            </w:pPr>
            <w:r w:rsidRPr="00C9343F">
              <w:rPr>
                <w:rFonts w:cs="Arial"/>
                <w:sz w:val="20"/>
              </w:rPr>
              <w:t>7 March 2019</w:t>
            </w:r>
          </w:p>
        </w:tc>
        <w:tc>
          <w:tcPr>
            <w:tcW w:w="2160" w:type="dxa"/>
            <w:hideMark/>
          </w:tcPr>
          <w:p w14:paraId="7BD2F234" w14:textId="77777777" w:rsidR="00B85D6F" w:rsidRPr="00C9343F" w:rsidRDefault="00B85D6F" w:rsidP="00B85D6F">
            <w:pPr>
              <w:spacing w:before="100" w:beforeAutospacing="1" w:after="120" w:line="254" w:lineRule="auto"/>
              <w:rPr>
                <w:sz w:val="20"/>
              </w:rPr>
            </w:pPr>
            <w:r w:rsidRPr="00C9343F">
              <w:rPr>
                <w:rFonts w:cs="Arial"/>
                <w:sz w:val="20"/>
              </w:rPr>
              <w:t>7 March 2024</w:t>
            </w:r>
          </w:p>
        </w:tc>
      </w:tr>
      <w:tr w:rsidR="00B85D6F" w:rsidRPr="00C9343F" w14:paraId="361C1D29" w14:textId="77777777" w:rsidTr="00372A02">
        <w:trPr>
          <w:trHeight w:val="87"/>
        </w:trPr>
        <w:tc>
          <w:tcPr>
            <w:tcW w:w="720" w:type="dxa"/>
          </w:tcPr>
          <w:p w14:paraId="11C5E86F" w14:textId="459454AB" w:rsidR="00B85D6F" w:rsidRPr="00C9343F" w:rsidRDefault="00B85D6F" w:rsidP="00B85D6F">
            <w:pPr>
              <w:spacing w:before="100" w:beforeAutospacing="1" w:after="120" w:line="254" w:lineRule="auto"/>
              <w:jc w:val="center"/>
              <w:rPr>
                <w:rFonts w:cs="Arial"/>
                <w:sz w:val="20"/>
              </w:rPr>
            </w:pPr>
            <w:r w:rsidRPr="00C9343F">
              <w:rPr>
                <w:rFonts w:cs="Arial"/>
                <w:sz w:val="20"/>
              </w:rPr>
              <w:t>17A.</w:t>
            </w:r>
          </w:p>
        </w:tc>
        <w:tc>
          <w:tcPr>
            <w:tcW w:w="1530" w:type="dxa"/>
          </w:tcPr>
          <w:p w14:paraId="7072A79D" w14:textId="22ECC593" w:rsidR="00B85D6F" w:rsidRPr="00C9343F" w:rsidRDefault="00B85D6F" w:rsidP="00B85D6F">
            <w:pPr>
              <w:spacing w:before="100" w:beforeAutospacing="1" w:after="120" w:line="254" w:lineRule="auto"/>
              <w:rPr>
                <w:rFonts w:cs="Arial"/>
                <w:sz w:val="20"/>
              </w:rPr>
            </w:pPr>
            <w:r w:rsidRPr="00C9343F">
              <w:rPr>
                <w:rFonts w:cs="Arial"/>
                <w:sz w:val="20"/>
              </w:rPr>
              <w:t>Pay grade 5</w:t>
            </w:r>
          </w:p>
        </w:tc>
        <w:tc>
          <w:tcPr>
            <w:tcW w:w="2970" w:type="dxa"/>
          </w:tcPr>
          <w:p w14:paraId="79952233" w14:textId="733CF3A8" w:rsidR="00B85D6F" w:rsidRPr="00C9343F" w:rsidRDefault="00B85D6F" w:rsidP="00B85D6F">
            <w:pPr>
              <w:spacing w:before="100" w:beforeAutospacing="1" w:after="120" w:line="254" w:lineRule="auto"/>
              <w:rPr>
                <w:rFonts w:cs="Arial"/>
                <w:sz w:val="20"/>
              </w:rPr>
            </w:pPr>
            <w:r w:rsidRPr="00C9343F">
              <w:rPr>
                <w:rFonts w:cs="Arial"/>
                <w:sz w:val="20"/>
              </w:rPr>
              <w:t>Examiner Psychological</w:t>
            </w:r>
          </w:p>
        </w:tc>
        <w:tc>
          <w:tcPr>
            <w:tcW w:w="2160" w:type="dxa"/>
          </w:tcPr>
          <w:p w14:paraId="694DFB95" w14:textId="4F954B4C" w:rsidR="00B85D6F" w:rsidRPr="00C9343F" w:rsidRDefault="00B85D6F" w:rsidP="00B85D6F">
            <w:pPr>
              <w:spacing w:before="100" w:beforeAutospacing="1" w:after="120" w:line="254" w:lineRule="auto"/>
              <w:rPr>
                <w:rFonts w:cs="Arial"/>
                <w:sz w:val="20"/>
              </w:rPr>
            </w:pPr>
            <w:r w:rsidRPr="00C9343F">
              <w:rPr>
                <w:rFonts w:cs="Arial"/>
                <w:sz w:val="20"/>
              </w:rPr>
              <w:t>1 July 2021</w:t>
            </w:r>
          </w:p>
        </w:tc>
        <w:tc>
          <w:tcPr>
            <w:tcW w:w="2160" w:type="dxa"/>
          </w:tcPr>
          <w:p w14:paraId="6FB9631C" w14:textId="58805017" w:rsidR="00B85D6F" w:rsidRPr="00C9343F" w:rsidRDefault="00B85D6F" w:rsidP="00B85D6F">
            <w:pPr>
              <w:spacing w:before="100" w:beforeAutospacing="1" w:after="120" w:line="254" w:lineRule="auto"/>
              <w:rPr>
                <w:rFonts w:cs="Arial"/>
                <w:sz w:val="20"/>
              </w:rPr>
            </w:pPr>
            <w:r w:rsidRPr="00C9343F">
              <w:rPr>
                <w:rFonts w:cs="Arial"/>
                <w:sz w:val="20"/>
              </w:rPr>
              <w:t>30 June 2026</w:t>
            </w:r>
          </w:p>
        </w:tc>
      </w:tr>
      <w:tr w:rsidR="00B85D6F" w:rsidRPr="00C9343F" w14:paraId="32CEF2CD" w14:textId="77777777" w:rsidTr="00372A02">
        <w:trPr>
          <w:trHeight w:val="87"/>
        </w:trPr>
        <w:tc>
          <w:tcPr>
            <w:tcW w:w="720" w:type="dxa"/>
            <w:hideMark/>
          </w:tcPr>
          <w:p w14:paraId="0AB10F67" w14:textId="77777777" w:rsidR="00B85D6F" w:rsidRPr="00C9343F" w:rsidRDefault="00B85D6F" w:rsidP="00B85D6F">
            <w:pPr>
              <w:spacing w:before="100" w:beforeAutospacing="1" w:after="120" w:line="254" w:lineRule="auto"/>
              <w:jc w:val="center"/>
              <w:rPr>
                <w:rFonts w:cs="Arial"/>
                <w:sz w:val="20"/>
              </w:rPr>
            </w:pPr>
            <w:r w:rsidRPr="00C9343F">
              <w:rPr>
                <w:rFonts w:cs="Arial"/>
                <w:sz w:val="20"/>
              </w:rPr>
              <w:t>18.</w:t>
            </w:r>
          </w:p>
        </w:tc>
        <w:tc>
          <w:tcPr>
            <w:tcW w:w="1530" w:type="dxa"/>
            <w:hideMark/>
          </w:tcPr>
          <w:p w14:paraId="45A8A21B" w14:textId="77777777" w:rsidR="00B85D6F" w:rsidRPr="00C9343F" w:rsidRDefault="00B85D6F" w:rsidP="00B85D6F">
            <w:pPr>
              <w:spacing w:before="100" w:beforeAutospacing="1" w:after="120" w:line="254" w:lineRule="auto"/>
              <w:rPr>
                <w:sz w:val="20"/>
              </w:rPr>
            </w:pPr>
            <w:r w:rsidRPr="00C9343F">
              <w:rPr>
                <w:rFonts w:cs="Arial"/>
                <w:sz w:val="20"/>
              </w:rPr>
              <w:t>Pay grade 5</w:t>
            </w:r>
          </w:p>
        </w:tc>
        <w:tc>
          <w:tcPr>
            <w:tcW w:w="2970" w:type="dxa"/>
            <w:hideMark/>
          </w:tcPr>
          <w:p w14:paraId="715FCEC8" w14:textId="77777777" w:rsidR="00B85D6F" w:rsidRPr="00C9343F" w:rsidRDefault="00B85D6F" w:rsidP="00B85D6F">
            <w:pPr>
              <w:spacing w:before="100" w:beforeAutospacing="1" w:after="120" w:line="254" w:lineRule="auto"/>
              <w:rPr>
                <w:rFonts w:cs="Arial"/>
                <w:sz w:val="20"/>
              </w:rPr>
            </w:pPr>
            <w:r w:rsidRPr="00C9343F">
              <w:rPr>
                <w:rFonts w:cs="Arial"/>
                <w:sz w:val="20"/>
              </w:rPr>
              <w:t>Geomatic Technician Grade 4</w:t>
            </w:r>
          </w:p>
        </w:tc>
        <w:tc>
          <w:tcPr>
            <w:tcW w:w="2160" w:type="dxa"/>
            <w:hideMark/>
          </w:tcPr>
          <w:p w14:paraId="038CBADB" w14:textId="77777777" w:rsidR="00B85D6F" w:rsidRPr="00C9343F" w:rsidRDefault="00B85D6F" w:rsidP="00B85D6F">
            <w:pPr>
              <w:spacing w:before="100" w:beforeAutospacing="1" w:after="120" w:line="254" w:lineRule="auto"/>
              <w:rPr>
                <w:rFonts w:cs="Arial"/>
                <w:sz w:val="20"/>
              </w:rPr>
            </w:pPr>
            <w:r w:rsidRPr="00C9343F">
              <w:rPr>
                <w:rFonts w:cs="Arial"/>
                <w:sz w:val="20"/>
              </w:rPr>
              <w:t>1 July 2018</w:t>
            </w:r>
          </w:p>
        </w:tc>
        <w:tc>
          <w:tcPr>
            <w:tcW w:w="2160" w:type="dxa"/>
            <w:hideMark/>
          </w:tcPr>
          <w:p w14:paraId="48E92220" w14:textId="7C2DD5E3" w:rsidR="00B85D6F" w:rsidRPr="00C9343F" w:rsidRDefault="00B85D6F" w:rsidP="00B85D6F">
            <w:pPr>
              <w:spacing w:before="100" w:beforeAutospacing="1" w:after="120" w:line="254" w:lineRule="auto"/>
              <w:rPr>
                <w:rFonts w:cs="Arial"/>
                <w:sz w:val="20"/>
              </w:rPr>
            </w:pPr>
            <w:r w:rsidRPr="00C9343F">
              <w:rPr>
                <w:rFonts w:cs="Arial"/>
                <w:sz w:val="20"/>
              </w:rPr>
              <w:t>30 June 2022</w:t>
            </w:r>
          </w:p>
        </w:tc>
      </w:tr>
      <w:tr w:rsidR="00B85D6F" w:rsidRPr="00C9343F" w14:paraId="1DBADC3B" w14:textId="77777777" w:rsidTr="00372A02">
        <w:trPr>
          <w:trHeight w:val="87"/>
        </w:trPr>
        <w:tc>
          <w:tcPr>
            <w:tcW w:w="720" w:type="dxa"/>
            <w:hideMark/>
          </w:tcPr>
          <w:p w14:paraId="48457FC2" w14:textId="77777777" w:rsidR="00B85D6F" w:rsidRPr="00C9343F" w:rsidRDefault="00B85D6F" w:rsidP="00B85D6F">
            <w:pPr>
              <w:spacing w:before="100" w:beforeAutospacing="1" w:after="120" w:line="254" w:lineRule="auto"/>
              <w:jc w:val="center"/>
              <w:rPr>
                <w:sz w:val="20"/>
              </w:rPr>
            </w:pPr>
            <w:r w:rsidRPr="00C9343F">
              <w:rPr>
                <w:rFonts w:cs="Arial"/>
                <w:sz w:val="20"/>
              </w:rPr>
              <w:t>19.</w:t>
            </w:r>
          </w:p>
        </w:tc>
        <w:tc>
          <w:tcPr>
            <w:tcW w:w="1530" w:type="dxa"/>
            <w:hideMark/>
          </w:tcPr>
          <w:p w14:paraId="2D4314C9" w14:textId="77777777" w:rsidR="00B85D6F" w:rsidRPr="00C9343F" w:rsidRDefault="00B85D6F" w:rsidP="00B85D6F">
            <w:pPr>
              <w:spacing w:before="100" w:beforeAutospacing="1" w:after="120" w:line="254" w:lineRule="auto"/>
              <w:rPr>
                <w:sz w:val="20"/>
              </w:rPr>
            </w:pPr>
            <w:r w:rsidRPr="00C9343F">
              <w:rPr>
                <w:rFonts w:cs="Arial"/>
                <w:sz w:val="20"/>
              </w:rPr>
              <w:t>Pay grade 5</w:t>
            </w:r>
          </w:p>
        </w:tc>
        <w:tc>
          <w:tcPr>
            <w:tcW w:w="2970" w:type="dxa"/>
            <w:hideMark/>
          </w:tcPr>
          <w:p w14:paraId="01813EA9" w14:textId="77777777" w:rsidR="00B85D6F" w:rsidRPr="00C9343F" w:rsidRDefault="00B85D6F" w:rsidP="00B85D6F">
            <w:pPr>
              <w:spacing w:before="100" w:beforeAutospacing="1" w:after="120" w:line="254" w:lineRule="auto"/>
              <w:rPr>
                <w:sz w:val="20"/>
              </w:rPr>
            </w:pPr>
            <w:r w:rsidRPr="00C9343F">
              <w:rPr>
                <w:rFonts w:cs="Arial"/>
                <w:sz w:val="20"/>
              </w:rPr>
              <w:t>Musician Grade 3</w:t>
            </w:r>
          </w:p>
        </w:tc>
        <w:tc>
          <w:tcPr>
            <w:tcW w:w="2160" w:type="dxa"/>
            <w:hideMark/>
          </w:tcPr>
          <w:p w14:paraId="564D927D" w14:textId="77777777" w:rsidR="00B85D6F" w:rsidRPr="00C9343F" w:rsidRDefault="00B85D6F" w:rsidP="00B85D6F">
            <w:pPr>
              <w:spacing w:before="100" w:beforeAutospacing="1" w:after="120" w:line="254" w:lineRule="auto"/>
              <w:rPr>
                <w:sz w:val="20"/>
              </w:rPr>
            </w:pPr>
            <w:r w:rsidRPr="00C9343F">
              <w:rPr>
                <w:rFonts w:cs="Arial"/>
                <w:sz w:val="20"/>
              </w:rPr>
              <w:t>7 March 2019</w:t>
            </w:r>
          </w:p>
        </w:tc>
        <w:tc>
          <w:tcPr>
            <w:tcW w:w="2160" w:type="dxa"/>
            <w:hideMark/>
          </w:tcPr>
          <w:p w14:paraId="78F9AEFB" w14:textId="77777777" w:rsidR="00B85D6F" w:rsidRPr="00C9343F" w:rsidRDefault="00B85D6F" w:rsidP="00B85D6F">
            <w:pPr>
              <w:spacing w:before="100" w:beforeAutospacing="1" w:after="120" w:line="254" w:lineRule="auto"/>
              <w:rPr>
                <w:sz w:val="20"/>
              </w:rPr>
            </w:pPr>
            <w:r w:rsidRPr="00C9343F">
              <w:rPr>
                <w:rFonts w:cs="Arial"/>
                <w:sz w:val="20"/>
              </w:rPr>
              <w:t>7 March 2024</w:t>
            </w:r>
          </w:p>
        </w:tc>
      </w:tr>
      <w:tr w:rsidR="00B85D6F" w:rsidRPr="00C9343F" w14:paraId="340EB21E" w14:textId="77777777" w:rsidTr="00372A02">
        <w:trPr>
          <w:trHeight w:val="87"/>
        </w:trPr>
        <w:tc>
          <w:tcPr>
            <w:tcW w:w="720" w:type="dxa"/>
            <w:hideMark/>
          </w:tcPr>
          <w:p w14:paraId="7EAE7974" w14:textId="77777777" w:rsidR="00B85D6F" w:rsidRPr="00C9343F" w:rsidRDefault="00B85D6F" w:rsidP="00B85D6F">
            <w:pPr>
              <w:spacing w:before="100" w:beforeAutospacing="1" w:after="120" w:line="254" w:lineRule="auto"/>
              <w:jc w:val="center"/>
              <w:rPr>
                <w:sz w:val="20"/>
              </w:rPr>
            </w:pPr>
            <w:r w:rsidRPr="00C9343F">
              <w:rPr>
                <w:rFonts w:cs="Arial"/>
                <w:sz w:val="20"/>
              </w:rPr>
              <w:t>22.</w:t>
            </w:r>
          </w:p>
        </w:tc>
        <w:tc>
          <w:tcPr>
            <w:tcW w:w="1530" w:type="dxa"/>
            <w:hideMark/>
          </w:tcPr>
          <w:p w14:paraId="06764870" w14:textId="77777777" w:rsidR="00B85D6F" w:rsidRPr="00C9343F" w:rsidRDefault="00B85D6F" w:rsidP="00B85D6F">
            <w:pPr>
              <w:spacing w:before="100" w:beforeAutospacing="1" w:after="120" w:line="254" w:lineRule="auto"/>
              <w:rPr>
                <w:sz w:val="20"/>
              </w:rPr>
            </w:pPr>
            <w:r w:rsidRPr="00C9343F">
              <w:rPr>
                <w:rFonts w:cs="Arial"/>
                <w:sz w:val="20"/>
              </w:rPr>
              <w:t>Pay grade 5</w:t>
            </w:r>
          </w:p>
        </w:tc>
        <w:tc>
          <w:tcPr>
            <w:tcW w:w="2970" w:type="dxa"/>
            <w:hideMark/>
          </w:tcPr>
          <w:p w14:paraId="02C59661" w14:textId="77777777" w:rsidR="00B85D6F" w:rsidRPr="00C9343F" w:rsidRDefault="00B85D6F" w:rsidP="00B85D6F">
            <w:pPr>
              <w:spacing w:before="100" w:beforeAutospacing="1" w:after="120" w:line="254" w:lineRule="auto"/>
              <w:rPr>
                <w:sz w:val="20"/>
              </w:rPr>
            </w:pPr>
            <w:r w:rsidRPr="00C9343F">
              <w:rPr>
                <w:rFonts w:cs="Arial"/>
                <w:sz w:val="20"/>
              </w:rPr>
              <w:t>Pipe Major</w:t>
            </w:r>
          </w:p>
        </w:tc>
        <w:tc>
          <w:tcPr>
            <w:tcW w:w="2160" w:type="dxa"/>
            <w:hideMark/>
          </w:tcPr>
          <w:p w14:paraId="7126C8B9" w14:textId="77777777" w:rsidR="00B85D6F" w:rsidRPr="00C9343F" w:rsidRDefault="00B85D6F" w:rsidP="00B85D6F">
            <w:pPr>
              <w:spacing w:before="100" w:beforeAutospacing="1" w:after="120" w:line="254" w:lineRule="auto"/>
              <w:rPr>
                <w:sz w:val="20"/>
              </w:rPr>
            </w:pPr>
            <w:r w:rsidRPr="00C9343F">
              <w:rPr>
                <w:rFonts w:cs="Arial"/>
                <w:sz w:val="20"/>
              </w:rPr>
              <w:t>7 March 2019</w:t>
            </w:r>
          </w:p>
        </w:tc>
        <w:tc>
          <w:tcPr>
            <w:tcW w:w="2160" w:type="dxa"/>
            <w:hideMark/>
          </w:tcPr>
          <w:p w14:paraId="77EF57F8" w14:textId="77777777" w:rsidR="00B85D6F" w:rsidRPr="00C9343F" w:rsidRDefault="00B85D6F" w:rsidP="00B85D6F">
            <w:pPr>
              <w:spacing w:before="100" w:beforeAutospacing="1" w:after="120" w:line="254" w:lineRule="auto"/>
              <w:rPr>
                <w:sz w:val="20"/>
              </w:rPr>
            </w:pPr>
            <w:r w:rsidRPr="00C9343F">
              <w:rPr>
                <w:rFonts w:cs="Arial"/>
                <w:sz w:val="20"/>
              </w:rPr>
              <w:t>7 March 2024</w:t>
            </w:r>
          </w:p>
        </w:tc>
      </w:tr>
      <w:tr w:rsidR="00B85D6F" w:rsidRPr="00C9343F" w14:paraId="05B42809" w14:textId="77777777" w:rsidTr="00372A02">
        <w:trPr>
          <w:trHeight w:val="20"/>
        </w:trPr>
        <w:tc>
          <w:tcPr>
            <w:tcW w:w="720" w:type="dxa"/>
            <w:hideMark/>
          </w:tcPr>
          <w:p w14:paraId="32D3E777" w14:textId="77777777" w:rsidR="00B85D6F" w:rsidRPr="00C9343F" w:rsidRDefault="00B85D6F" w:rsidP="00B85D6F">
            <w:pPr>
              <w:spacing w:before="100" w:beforeAutospacing="1" w:after="120" w:line="254" w:lineRule="auto"/>
              <w:jc w:val="center"/>
              <w:rPr>
                <w:rFonts w:cs="Arial"/>
                <w:sz w:val="20"/>
              </w:rPr>
            </w:pPr>
            <w:r w:rsidRPr="00C9343F">
              <w:rPr>
                <w:rFonts w:cs="Arial"/>
                <w:sz w:val="20"/>
              </w:rPr>
              <w:t>23.</w:t>
            </w:r>
          </w:p>
        </w:tc>
        <w:tc>
          <w:tcPr>
            <w:tcW w:w="1530" w:type="dxa"/>
            <w:hideMark/>
          </w:tcPr>
          <w:p w14:paraId="06638D69" w14:textId="77777777" w:rsidR="00B85D6F" w:rsidRPr="00C9343F" w:rsidRDefault="00B85D6F" w:rsidP="00B85D6F">
            <w:pPr>
              <w:spacing w:before="100" w:beforeAutospacing="1" w:after="120" w:line="254" w:lineRule="auto"/>
              <w:rPr>
                <w:sz w:val="20"/>
              </w:rPr>
            </w:pPr>
            <w:r w:rsidRPr="00C9343F">
              <w:rPr>
                <w:rFonts w:cs="Arial"/>
                <w:sz w:val="20"/>
              </w:rPr>
              <w:t>Pay grade 6</w:t>
            </w:r>
          </w:p>
        </w:tc>
        <w:tc>
          <w:tcPr>
            <w:tcW w:w="2970" w:type="dxa"/>
            <w:hideMark/>
          </w:tcPr>
          <w:p w14:paraId="3434AC11" w14:textId="77777777" w:rsidR="00B85D6F" w:rsidRPr="00C9343F" w:rsidRDefault="00B85D6F" w:rsidP="00B85D6F">
            <w:pPr>
              <w:spacing w:before="100" w:beforeAutospacing="1" w:after="120" w:line="254" w:lineRule="auto"/>
              <w:rPr>
                <w:rFonts w:cs="Arial"/>
                <w:sz w:val="20"/>
              </w:rPr>
            </w:pPr>
            <w:r w:rsidRPr="00C9343F">
              <w:rPr>
                <w:rFonts w:cs="Arial"/>
                <w:sz w:val="20"/>
              </w:rPr>
              <w:t>Geomatic Technician Grade 6</w:t>
            </w:r>
          </w:p>
        </w:tc>
        <w:tc>
          <w:tcPr>
            <w:tcW w:w="2160" w:type="dxa"/>
            <w:hideMark/>
          </w:tcPr>
          <w:p w14:paraId="63B9E77C" w14:textId="77777777" w:rsidR="00B85D6F" w:rsidRPr="00C9343F" w:rsidRDefault="00B85D6F" w:rsidP="00B85D6F">
            <w:pPr>
              <w:spacing w:before="100" w:beforeAutospacing="1" w:after="120" w:line="254" w:lineRule="auto"/>
              <w:rPr>
                <w:rFonts w:cs="Arial"/>
                <w:sz w:val="20"/>
              </w:rPr>
            </w:pPr>
            <w:r w:rsidRPr="00C9343F">
              <w:rPr>
                <w:rFonts w:cs="Arial"/>
                <w:sz w:val="20"/>
              </w:rPr>
              <w:t>1 July 2018</w:t>
            </w:r>
          </w:p>
        </w:tc>
        <w:tc>
          <w:tcPr>
            <w:tcW w:w="2160" w:type="dxa"/>
            <w:hideMark/>
          </w:tcPr>
          <w:p w14:paraId="6DF25BAF" w14:textId="5AF5D15F" w:rsidR="00B85D6F" w:rsidRPr="00C9343F" w:rsidRDefault="00B85D6F" w:rsidP="00B85D6F">
            <w:pPr>
              <w:spacing w:before="100" w:beforeAutospacing="1" w:after="120" w:line="254" w:lineRule="auto"/>
              <w:rPr>
                <w:rFonts w:cs="Arial"/>
                <w:sz w:val="20"/>
              </w:rPr>
            </w:pPr>
            <w:r w:rsidRPr="00C9343F">
              <w:rPr>
                <w:rFonts w:cs="Arial"/>
                <w:sz w:val="20"/>
              </w:rPr>
              <w:t>30 June 2022</w:t>
            </w:r>
          </w:p>
        </w:tc>
      </w:tr>
      <w:tr w:rsidR="00B85D6F" w:rsidRPr="00C9343F" w14:paraId="7E0FEE6B" w14:textId="77777777" w:rsidTr="00372A02">
        <w:trPr>
          <w:trHeight w:val="20"/>
        </w:trPr>
        <w:tc>
          <w:tcPr>
            <w:tcW w:w="720" w:type="dxa"/>
            <w:vAlign w:val="center"/>
          </w:tcPr>
          <w:p w14:paraId="6727734D" w14:textId="77777777" w:rsidR="00B85D6F" w:rsidRPr="00C9343F" w:rsidRDefault="00B85D6F" w:rsidP="00B85D6F">
            <w:pPr>
              <w:spacing w:beforeLines="20" w:before="48" w:after="120" w:line="254" w:lineRule="auto"/>
              <w:jc w:val="center"/>
              <w:rPr>
                <w:rFonts w:cs="Arial"/>
                <w:sz w:val="20"/>
              </w:rPr>
            </w:pPr>
          </w:p>
        </w:tc>
        <w:tc>
          <w:tcPr>
            <w:tcW w:w="8820" w:type="dxa"/>
            <w:gridSpan w:val="4"/>
            <w:vAlign w:val="center"/>
            <w:hideMark/>
          </w:tcPr>
          <w:p w14:paraId="6F7F348D" w14:textId="77777777" w:rsidR="00B85D6F" w:rsidRPr="00C9343F" w:rsidRDefault="00B85D6F" w:rsidP="00B85D6F">
            <w:pPr>
              <w:spacing w:beforeLines="20" w:before="48" w:after="120" w:line="254" w:lineRule="auto"/>
              <w:rPr>
                <w:rFonts w:cs="Arial"/>
                <w:sz w:val="20"/>
              </w:rPr>
            </w:pPr>
            <w:r w:rsidRPr="00C9343F">
              <w:rPr>
                <w:rFonts w:cs="Arial"/>
                <w:b/>
                <w:sz w:val="20"/>
              </w:rPr>
              <w:t>AIR FORCE</w:t>
            </w:r>
          </w:p>
        </w:tc>
      </w:tr>
      <w:tr w:rsidR="00B85D6F" w:rsidRPr="00C9343F" w14:paraId="014D8FC1" w14:textId="77777777" w:rsidTr="00372A02">
        <w:trPr>
          <w:trHeight w:val="20"/>
        </w:trPr>
        <w:tc>
          <w:tcPr>
            <w:tcW w:w="720" w:type="dxa"/>
            <w:shd w:val="clear" w:color="auto" w:fill="FFFFFF" w:themeFill="background1"/>
            <w:hideMark/>
          </w:tcPr>
          <w:p w14:paraId="443A7FF9" w14:textId="77777777" w:rsidR="00B85D6F" w:rsidRPr="00C9343F" w:rsidRDefault="00B85D6F" w:rsidP="00B85D6F">
            <w:pPr>
              <w:spacing w:beforeLines="20" w:before="48" w:after="120" w:line="254" w:lineRule="auto"/>
              <w:jc w:val="center"/>
              <w:rPr>
                <w:rFonts w:cs="Arial"/>
                <w:sz w:val="20"/>
              </w:rPr>
            </w:pPr>
            <w:r w:rsidRPr="00C9343F">
              <w:rPr>
                <w:rFonts w:cs="Arial"/>
                <w:bCs/>
                <w:color w:val="000000"/>
                <w:sz w:val="20"/>
              </w:rPr>
              <w:lastRenderedPageBreak/>
              <w:t>28.</w:t>
            </w:r>
          </w:p>
        </w:tc>
        <w:tc>
          <w:tcPr>
            <w:tcW w:w="1530" w:type="dxa"/>
            <w:shd w:val="clear" w:color="auto" w:fill="FFFFFF" w:themeFill="background1"/>
            <w:hideMark/>
          </w:tcPr>
          <w:p w14:paraId="134C4C1A" w14:textId="77777777" w:rsidR="00B85D6F" w:rsidRPr="00C9343F" w:rsidRDefault="00B85D6F" w:rsidP="00B85D6F">
            <w:pPr>
              <w:spacing w:beforeLines="20" w:before="48" w:after="120" w:line="254" w:lineRule="auto"/>
              <w:rPr>
                <w:rFonts w:cs="Arial"/>
                <w:bCs/>
                <w:color w:val="000000"/>
                <w:sz w:val="20"/>
              </w:rPr>
            </w:pPr>
            <w:r w:rsidRPr="00C9343F">
              <w:rPr>
                <w:rFonts w:cs="Arial"/>
                <w:sz w:val="20"/>
              </w:rPr>
              <w:t>Pay grade 2</w:t>
            </w:r>
          </w:p>
        </w:tc>
        <w:tc>
          <w:tcPr>
            <w:tcW w:w="2970" w:type="dxa"/>
            <w:shd w:val="clear" w:color="auto" w:fill="FFFFFF" w:themeFill="background1"/>
            <w:hideMark/>
          </w:tcPr>
          <w:p w14:paraId="71103059" w14:textId="77777777" w:rsidR="00B85D6F" w:rsidRPr="00C9343F" w:rsidRDefault="00B85D6F" w:rsidP="00B85D6F">
            <w:pPr>
              <w:spacing w:beforeLines="20" w:before="48" w:after="120" w:line="254" w:lineRule="auto"/>
              <w:rPr>
                <w:rFonts w:cs="Arial"/>
                <w:sz w:val="20"/>
                <w:szCs w:val="22"/>
              </w:rPr>
            </w:pPr>
            <w:r w:rsidRPr="00C9343F">
              <w:rPr>
                <w:rFonts w:cs="Arial"/>
                <w:sz w:val="20"/>
              </w:rPr>
              <w:t>Network Technician employment category remustered from a Communications Electronic employment category on pay grade 2 between 25 June 2020 to 24 June 2025.</w:t>
            </w:r>
          </w:p>
        </w:tc>
        <w:tc>
          <w:tcPr>
            <w:tcW w:w="2160" w:type="dxa"/>
            <w:shd w:val="clear" w:color="auto" w:fill="FFFFFF" w:themeFill="background1"/>
            <w:hideMark/>
          </w:tcPr>
          <w:p w14:paraId="151BBB4C" w14:textId="77777777" w:rsidR="00B85D6F" w:rsidRPr="00C9343F" w:rsidRDefault="00B85D6F" w:rsidP="00B85D6F">
            <w:pPr>
              <w:spacing w:beforeLines="20" w:before="48" w:after="120" w:line="254" w:lineRule="auto"/>
              <w:rPr>
                <w:rFonts w:cs="Arial"/>
                <w:sz w:val="20"/>
              </w:rPr>
            </w:pPr>
            <w:r w:rsidRPr="00C9343F">
              <w:rPr>
                <w:rFonts w:cs="Arial"/>
                <w:color w:val="000000"/>
                <w:sz w:val="20"/>
              </w:rPr>
              <w:t>The day of remuster to the Network Technician employment category.</w:t>
            </w:r>
          </w:p>
        </w:tc>
        <w:tc>
          <w:tcPr>
            <w:tcW w:w="2160" w:type="dxa"/>
            <w:shd w:val="clear" w:color="auto" w:fill="FFFFFF" w:themeFill="background1"/>
          </w:tcPr>
          <w:p w14:paraId="1A2E67B7" w14:textId="6C5C2E96" w:rsidR="00B85D6F" w:rsidRPr="00C9343F" w:rsidRDefault="00B85D6F" w:rsidP="00B85D6F">
            <w:pPr>
              <w:spacing w:beforeLines="20" w:before="48" w:after="120" w:line="254" w:lineRule="auto"/>
              <w:rPr>
                <w:rFonts w:cs="Arial"/>
                <w:sz w:val="20"/>
              </w:rPr>
            </w:pPr>
            <w:r w:rsidRPr="00C9343F">
              <w:rPr>
                <w:rFonts w:cs="Arial"/>
                <w:sz w:val="20"/>
              </w:rPr>
              <w:t>The day five years after the day of remuster the Network Technician employment category.</w:t>
            </w:r>
          </w:p>
        </w:tc>
      </w:tr>
      <w:tr w:rsidR="00B85D6F" w:rsidRPr="00C9343F" w14:paraId="0F2DC1AC" w14:textId="77777777" w:rsidTr="00372A02">
        <w:trPr>
          <w:trHeight w:val="20"/>
        </w:trPr>
        <w:tc>
          <w:tcPr>
            <w:tcW w:w="720" w:type="dxa"/>
            <w:shd w:val="clear" w:color="auto" w:fill="FFFFFF" w:themeFill="background1"/>
            <w:hideMark/>
          </w:tcPr>
          <w:p w14:paraId="1790A267" w14:textId="35D9068A" w:rsidR="00B85D6F" w:rsidRPr="00C9343F" w:rsidRDefault="00B85D6F" w:rsidP="00B85D6F">
            <w:pPr>
              <w:spacing w:beforeLines="20" w:before="48" w:after="120" w:line="254" w:lineRule="auto"/>
              <w:jc w:val="center"/>
              <w:rPr>
                <w:rFonts w:cs="Arial"/>
                <w:color w:val="000000"/>
                <w:sz w:val="20"/>
                <w:szCs w:val="22"/>
              </w:rPr>
            </w:pPr>
            <w:r w:rsidRPr="00C9343F">
              <w:rPr>
                <w:rFonts w:cs="Arial"/>
                <w:bCs/>
                <w:color w:val="000000"/>
                <w:sz w:val="20"/>
              </w:rPr>
              <w:t>29.</w:t>
            </w:r>
          </w:p>
        </w:tc>
        <w:tc>
          <w:tcPr>
            <w:tcW w:w="1530" w:type="dxa"/>
            <w:shd w:val="clear" w:color="auto" w:fill="FFFFFF" w:themeFill="background1"/>
            <w:hideMark/>
          </w:tcPr>
          <w:p w14:paraId="22B3013E" w14:textId="77777777" w:rsidR="00B85D6F" w:rsidRPr="00C9343F" w:rsidRDefault="00B85D6F" w:rsidP="00B85D6F">
            <w:pPr>
              <w:spacing w:beforeLines="20" w:before="48" w:after="120" w:line="254" w:lineRule="auto"/>
              <w:rPr>
                <w:sz w:val="20"/>
              </w:rPr>
            </w:pPr>
            <w:r w:rsidRPr="00C9343F">
              <w:rPr>
                <w:rFonts w:cs="Arial"/>
                <w:sz w:val="20"/>
              </w:rPr>
              <w:t>Pay grade 3</w:t>
            </w:r>
          </w:p>
        </w:tc>
        <w:tc>
          <w:tcPr>
            <w:tcW w:w="2970" w:type="dxa"/>
            <w:shd w:val="clear" w:color="auto" w:fill="FFFFFF" w:themeFill="background1"/>
            <w:hideMark/>
          </w:tcPr>
          <w:p w14:paraId="484372DD" w14:textId="77777777" w:rsidR="00B85D6F" w:rsidRPr="00C9343F" w:rsidRDefault="00B85D6F" w:rsidP="00B85D6F">
            <w:pPr>
              <w:spacing w:beforeLines="20" w:before="48" w:after="120" w:line="254" w:lineRule="auto"/>
              <w:rPr>
                <w:rFonts w:cs="Arial"/>
                <w:sz w:val="20"/>
                <w:szCs w:val="22"/>
              </w:rPr>
            </w:pPr>
            <w:r w:rsidRPr="00C9343F">
              <w:rPr>
                <w:rFonts w:cs="Arial"/>
                <w:sz w:val="20"/>
              </w:rPr>
              <w:t>Network Technician employment category remustered from a Communications and Information Systems Controller employment category on pay grade 3 between 25 June 2020 to 24 June 2025.</w:t>
            </w:r>
          </w:p>
        </w:tc>
        <w:tc>
          <w:tcPr>
            <w:tcW w:w="2160" w:type="dxa"/>
            <w:shd w:val="clear" w:color="auto" w:fill="FFFFFF" w:themeFill="background1"/>
            <w:hideMark/>
          </w:tcPr>
          <w:p w14:paraId="5E9A677B" w14:textId="77777777" w:rsidR="00B85D6F" w:rsidRPr="00C9343F" w:rsidRDefault="00B85D6F" w:rsidP="00B85D6F">
            <w:pPr>
              <w:spacing w:beforeLines="20" w:before="48" w:after="120" w:line="254" w:lineRule="auto"/>
              <w:rPr>
                <w:rFonts w:cs="Arial"/>
                <w:color w:val="000000"/>
                <w:sz w:val="20"/>
              </w:rPr>
            </w:pPr>
            <w:r w:rsidRPr="00C9343F">
              <w:rPr>
                <w:rFonts w:cs="Arial"/>
                <w:color w:val="000000"/>
                <w:sz w:val="20"/>
              </w:rPr>
              <w:t>The day of remuster to the Network Technician employment category.</w:t>
            </w:r>
          </w:p>
        </w:tc>
        <w:tc>
          <w:tcPr>
            <w:tcW w:w="2160" w:type="dxa"/>
            <w:shd w:val="clear" w:color="auto" w:fill="FFFFFF" w:themeFill="background1"/>
          </w:tcPr>
          <w:p w14:paraId="3A093B1E" w14:textId="277415B9" w:rsidR="00B85D6F" w:rsidRPr="00C9343F" w:rsidRDefault="00B85D6F" w:rsidP="00B85D6F">
            <w:pPr>
              <w:spacing w:beforeLines="20" w:before="48" w:after="120" w:line="254" w:lineRule="auto"/>
              <w:rPr>
                <w:rFonts w:cs="Arial"/>
                <w:sz w:val="20"/>
                <w:szCs w:val="22"/>
              </w:rPr>
            </w:pPr>
            <w:r w:rsidRPr="00C9343F">
              <w:rPr>
                <w:rFonts w:cs="Arial"/>
                <w:sz w:val="20"/>
              </w:rPr>
              <w:t>The day five years after the day of remuster the Network Technician employment category.</w:t>
            </w:r>
          </w:p>
        </w:tc>
      </w:tr>
      <w:tr w:rsidR="00B85D6F" w:rsidRPr="00C9343F" w14:paraId="1CDF2C24" w14:textId="77777777" w:rsidTr="00372A02">
        <w:trPr>
          <w:trHeight w:val="20"/>
        </w:trPr>
        <w:tc>
          <w:tcPr>
            <w:tcW w:w="720" w:type="dxa"/>
            <w:shd w:val="clear" w:color="auto" w:fill="FFFFFF" w:themeFill="background1"/>
            <w:hideMark/>
          </w:tcPr>
          <w:p w14:paraId="696B99CE" w14:textId="61DC9FB7" w:rsidR="00B85D6F" w:rsidRPr="00C9343F" w:rsidRDefault="00B85D6F" w:rsidP="00B85D6F">
            <w:pPr>
              <w:spacing w:beforeLines="20" w:before="48" w:after="120" w:line="256" w:lineRule="auto"/>
              <w:jc w:val="center"/>
              <w:rPr>
                <w:rFonts w:cs="Arial"/>
                <w:color w:val="000000"/>
                <w:sz w:val="20"/>
                <w:szCs w:val="22"/>
              </w:rPr>
            </w:pPr>
            <w:r w:rsidRPr="00C9343F">
              <w:rPr>
                <w:rFonts w:cs="Arial"/>
                <w:bCs/>
                <w:color w:val="000000"/>
                <w:sz w:val="20"/>
              </w:rPr>
              <w:t>30.</w:t>
            </w:r>
          </w:p>
        </w:tc>
        <w:tc>
          <w:tcPr>
            <w:tcW w:w="1530" w:type="dxa"/>
            <w:shd w:val="clear" w:color="auto" w:fill="FFFFFF" w:themeFill="background1"/>
            <w:hideMark/>
          </w:tcPr>
          <w:p w14:paraId="5FF8681F" w14:textId="77777777" w:rsidR="00B85D6F" w:rsidRPr="00C9343F" w:rsidRDefault="00B85D6F" w:rsidP="00B85D6F">
            <w:pPr>
              <w:spacing w:beforeLines="20" w:before="48" w:after="120" w:line="256" w:lineRule="auto"/>
              <w:rPr>
                <w:sz w:val="20"/>
              </w:rPr>
            </w:pPr>
            <w:r w:rsidRPr="00C9343F">
              <w:rPr>
                <w:rFonts w:cs="Arial"/>
                <w:sz w:val="20"/>
              </w:rPr>
              <w:t>Pay grade 3</w:t>
            </w:r>
          </w:p>
        </w:tc>
        <w:tc>
          <w:tcPr>
            <w:tcW w:w="2970" w:type="dxa"/>
            <w:shd w:val="clear" w:color="auto" w:fill="FFFFFF" w:themeFill="background1"/>
            <w:hideMark/>
          </w:tcPr>
          <w:p w14:paraId="57BF69DE" w14:textId="77777777" w:rsidR="00B85D6F" w:rsidRPr="00C9343F" w:rsidRDefault="00B85D6F" w:rsidP="00B85D6F">
            <w:pPr>
              <w:spacing w:beforeLines="20" w:before="48" w:after="120" w:line="256" w:lineRule="auto"/>
              <w:rPr>
                <w:rFonts w:cs="Arial"/>
                <w:sz w:val="20"/>
                <w:szCs w:val="22"/>
              </w:rPr>
            </w:pPr>
            <w:r w:rsidRPr="00C9343F">
              <w:rPr>
                <w:rFonts w:cs="Arial"/>
                <w:sz w:val="20"/>
              </w:rPr>
              <w:t>Network Technician employment category remustered from a Communications Electronic employment category on pay grade 3 between 25 June 2020 to 24 June 2025.</w:t>
            </w:r>
          </w:p>
        </w:tc>
        <w:tc>
          <w:tcPr>
            <w:tcW w:w="2160" w:type="dxa"/>
            <w:shd w:val="clear" w:color="auto" w:fill="FFFFFF" w:themeFill="background1"/>
            <w:hideMark/>
          </w:tcPr>
          <w:p w14:paraId="654D461C" w14:textId="77777777" w:rsidR="00B85D6F" w:rsidRPr="00C9343F" w:rsidRDefault="00B85D6F" w:rsidP="00B85D6F">
            <w:pPr>
              <w:spacing w:beforeLines="20" w:before="48" w:after="120" w:line="256" w:lineRule="auto"/>
              <w:rPr>
                <w:rFonts w:cs="Arial"/>
                <w:color w:val="000000"/>
                <w:sz w:val="20"/>
              </w:rPr>
            </w:pPr>
            <w:r w:rsidRPr="00C9343F">
              <w:rPr>
                <w:rFonts w:cs="Arial"/>
                <w:color w:val="000000"/>
                <w:sz w:val="20"/>
              </w:rPr>
              <w:t>The day of remuster to the Network Technician employment category.</w:t>
            </w:r>
          </w:p>
        </w:tc>
        <w:tc>
          <w:tcPr>
            <w:tcW w:w="2160" w:type="dxa"/>
            <w:shd w:val="clear" w:color="auto" w:fill="FFFFFF" w:themeFill="background1"/>
          </w:tcPr>
          <w:p w14:paraId="49354D31" w14:textId="2B721CF8" w:rsidR="00B85D6F" w:rsidRPr="00C9343F" w:rsidRDefault="00B85D6F" w:rsidP="00B85D6F">
            <w:pPr>
              <w:spacing w:beforeLines="20" w:before="48" w:after="120" w:line="256" w:lineRule="auto"/>
              <w:rPr>
                <w:rFonts w:cs="Arial"/>
                <w:sz w:val="20"/>
                <w:szCs w:val="22"/>
              </w:rPr>
            </w:pPr>
            <w:r w:rsidRPr="00C9343F">
              <w:rPr>
                <w:rFonts w:cs="Arial"/>
                <w:sz w:val="20"/>
              </w:rPr>
              <w:t>The day five years after the day of remuster to the Network Technician employment category.</w:t>
            </w:r>
          </w:p>
        </w:tc>
      </w:tr>
      <w:tr w:rsidR="00B85D6F" w:rsidRPr="00C9343F" w14:paraId="78A4E985" w14:textId="77777777" w:rsidTr="00372A02">
        <w:trPr>
          <w:trHeight w:val="20"/>
        </w:trPr>
        <w:tc>
          <w:tcPr>
            <w:tcW w:w="720" w:type="dxa"/>
            <w:shd w:val="clear" w:color="auto" w:fill="FFFFFF" w:themeFill="background1"/>
            <w:hideMark/>
          </w:tcPr>
          <w:p w14:paraId="65646173" w14:textId="77777777" w:rsidR="00B85D6F" w:rsidRPr="00C9343F" w:rsidRDefault="00B85D6F" w:rsidP="00B85D6F">
            <w:pPr>
              <w:spacing w:beforeLines="20" w:before="48" w:after="120" w:line="256" w:lineRule="auto"/>
              <w:jc w:val="center"/>
              <w:rPr>
                <w:rFonts w:cs="Arial"/>
                <w:sz w:val="20"/>
              </w:rPr>
            </w:pPr>
            <w:r w:rsidRPr="00C9343F">
              <w:rPr>
                <w:rFonts w:cs="Arial"/>
                <w:color w:val="000000"/>
                <w:sz w:val="20"/>
              </w:rPr>
              <w:t>31.</w:t>
            </w:r>
          </w:p>
        </w:tc>
        <w:tc>
          <w:tcPr>
            <w:tcW w:w="1530" w:type="dxa"/>
            <w:shd w:val="clear" w:color="auto" w:fill="FFFFFF" w:themeFill="background1"/>
            <w:hideMark/>
          </w:tcPr>
          <w:p w14:paraId="56FB74DC" w14:textId="77777777" w:rsidR="00B85D6F" w:rsidRPr="00C9343F" w:rsidRDefault="00B85D6F" w:rsidP="00B85D6F">
            <w:pPr>
              <w:spacing w:beforeLines="20" w:before="48" w:after="120" w:line="256" w:lineRule="auto"/>
              <w:rPr>
                <w:rFonts w:cs="Arial"/>
                <w:bCs/>
                <w:color w:val="000000"/>
                <w:sz w:val="20"/>
              </w:rPr>
            </w:pPr>
            <w:r w:rsidRPr="00C9343F">
              <w:rPr>
                <w:rFonts w:cs="Arial"/>
                <w:sz w:val="20"/>
              </w:rPr>
              <w:t>Pay grade 4</w:t>
            </w:r>
          </w:p>
        </w:tc>
        <w:tc>
          <w:tcPr>
            <w:tcW w:w="2970" w:type="dxa"/>
            <w:shd w:val="clear" w:color="auto" w:fill="FFFFFF" w:themeFill="background1"/>
            <w:hideMark/>
          </w:tcPr>
          <w:p w14:paraId="07BEEDF9" w14:textId="77777777" w:rsidR="00B85D6F" w:rsidRPr="00C9343F" w:rsidRDefault="00B85D6F" w:rsidP="00B85D6F">
            <w:pPr>
              <w:spacing w:beforeLines="20" w:before="48" w:after="120" w:line="256" w:lineRule="auto"/>
              <w:rPr>
                <w:rFonts w:cs="Arial"/>
                <w:b/>
                <w:sz w:val="20"/>
              </w:rPr>
            </w:pPr>
            <w:r w:rsidRPr="00C9343F">
              <w:rPr>
                <w:rFonts w:cs="Arial"/>
                <w:sz w:val="20"/>
              </w:rPr>
              <w:t>Network Technician employment category remustered from a Communications and Information Systems Controller employment category on pay grade 4 between 25 June 2020 to 24 June 2025.</w:t>
            </w:r>
          </w:p>
        </w:tc>
        <w:tc>
          <w:tcPr>
            <w:tcW w:w="2160" w:type="dxa"/>
            <w:shd w:val="clear" w:color="auto" w:fill="FFFFFF" w:themeFill="background1"/>
            <w:hideMark/>
          </w:tcPr>
          <w:p w14:paraId="42BC18F6" w14:textId="77777777" w:rsidR="00B85D6F" w:rsidRPr="00C9343F" w:rsidRDefault="00B85D6F" w:rsidP="00B85D6F">
            <w:pPr>
              <w:spacing w:beforeLines="20" w:before="48" w:after="120" w:line="256" w:lineRule="auto"/>
              <w:rPr>
                <w:rFonts w:cs="Arial"/>
                <w:sz w:val="20"/>
              </w:rPr>
            </w:pPr>
            <w:r w:rsidRPr="00C9343F">
              <w:rPr>
                <w:rFonts w:cs="Arial"/>
                <w:color w:val="000000"/>
                <w:sz w:val="20"/>
              </w:rPr>
              <w:t>The day of remuster to the Network Technician employment category.</w:t>
            </w:r>
          </w:p>
        </w:tc>
        <w:tc>
          <w:tcPr>
            <w:tcW w:w="2160" w:type="dxa"/>
            <w:shd w:val="clear" w:color="auto" w:fill="FFFFFF" w:themeFill="background1"/>
          </w:tcPr>
          <w:p w14:paraId="09A0CB53" w14:textId="53CE29DD" w:rsidR="00B85D6F" w:rsidRPr="00C9343F" w:rsidRDefault="00B85D6F" w:rsidP="00B85D6F">
            <w:pPr>
              <w:spacing w:beforeLines="20" w:before="48" w:after="120" w:line="256" w:lineRule="auto"/>
              <w:rPr>
                <w:rFonts w:cs="Arial"/>
                <w:sz w:val="20"/>
              </w:rPr>
            </w:pPr>
            <w:r w:rsidRPr="00C9343F">
              <w:rPr>
                <w:rFonts w:cs="Arial"/>
                <w:sz w:val="20"/>
              </w:rPr>
              <w:t>The day five years after the day of remuster to the Network Technician employment category.</w:t>
            </w:r>
          </w:p>
        </w:tc>
      </w:tr>
      <w:tr w:rsidR="00B85D6F" w:rsidRPr="00C9343F" w14:paraId="45551E5A" w14:textId="77777777" w:rsidTr="00372A02">
        <w:trPr>
          <w:trHeight w:val="20"/>
        </w:trPr>
        <w:tc>
          <w:tcPr>
            <w:tcW w:w="720" w:type="dxa"/>
            <w:shd w:val="clear" w:color="auto" w:fill="FFFFFF" w:themeFill="background1"/>
            <w:hideMark/>
          </w:tcPr>
          <w:p w14:paraId="699F8043" w14:textId="77777777" w:rsidR="00B85D6F" w:rsidRPr="00C9343F" w:rsidRDefault="00B85D6F" w:rsidP="00B85D6F">
            <w:pPr>
              <w:spacing w:beforeLines="20" w:before="48" w:after="120" w:line="254" w:lineRule="auto"/>
              <w:jc w:val="center"/>
              <w:rPr>
                <w:rFonts w:cs="Arial"/>
                <w:color w:val="000000"/>
                <w:sz w:val="20"/>
                <w:szCs w:val="22"/>
              </w:rPr>
            </w:pPr>
            <w:r w:rsidRPr="00C9343F">
              <w:rPr>
                <w:rFonts w:cs="Arial"/>
                <w:color w:val="000000"/>
                <w:sz w:val="20"/>
              </w:rPr>
              <w:t>32.</w:t>
            </w:r>
          </w:p>
        </w:tc>
        <w:tc>
          <w:tcPr>
            <w:tcW w:w="1530" w:type="dxa"/>
            <w:shd w:val="clear" w:color="auto" w:fill="FFFFFF" w:themeFill="background1"/>
            <w:hideMark/>
          </w:tcPr>
          <w:p w14:paraId="27086860" w14:textId="77777777" w:rsidR="00B85D6F" w:rsidRPr="00C9343F" w:rsidRDefault="00B85D6F" w:rsidP="00B85D6F">
            <w:pPr>
              <w:spacing w:beforeLines="20" w:before="48" w:after="120" w:line="254" w:lineRule="auto"/>
              <w:rPr>
                <w:sz w:val="20"/>
              </w:rPr>
            </w:pPr>
            <w:r w:rsidRPr="00C9343F">
              <w:rPr>
                <w:rFonts w:cs="Arial"/>
                <w:sz w:val="20"/>
              </w:rPr>
              <w:t>Pay grade 4</w:t>
            </w:r>
          </w:p>
        </w:tc>
        <w:tc>
          <w:tcPr>
            <w:tcW w:w="2970" w:type="dxa"/>
            <w:shd w:val="clear" w:color="auto" w:fill="FFFFFF" w:themeFill="background1"/>
            <w:hideMark/>
          </w:tcPr>
          <w:p w14:paraId="08990325" w14:textId="77777777" w:rsidR="00B85D6F" w:rsidRPr="00C9343F" w:rsidRDefault="00B85D6F" w:rsidP="00B85D6F">
            <w:pPr>
              <w:spacing w:beforeLines="20" w:before="48" w:after="120" w:line="254" w:lineRule="auto"/>
              <w:rPr>
                <w:rFonts w:cs="Arial"/>
                <w:bCs/>
                <w:sz w:val="20"/>
              </w:rPr>
            </w:pPr>
            <w:r w:rsidRPr="00C9343F">
              <w:rPr>
                <w:rFonts w:cs="Arial"/>
                <w:sz w:val="20"/>
              </w:rPr>
              <w:t>Network Technician employment category remustered from a Communications Electronic employment category on pay grade 4 between 25 June 2020 to 24 June 2025.</w:t>
            </w:r>
          </w:p>
        </w:tc>
        <w:tc>
          <w:tcPr>
            <w:tcW w:w="2160" w:type="dxa"/>
            <w:shd w:val="clear" w:color="auto" w:fill="FFFFFF" w:themeFill="background1"/>
            <w:hideMark/>
          </w:tcPr>
          <w:p w14:paraId="711A54DE" w14:textId="77777777" w:rsidR="00B85D6F" w:rsidRPr="00C9343F" w:rsidRDefault="00B85D6F" w:rsidP="00B85D6F">
            <w:pPr>
              <w:spacing w:beforeLines="20" w:before="48" w:after="120" w:line="254" w:lineRule="auto"/>
              <w:rPr>
                <w:rFonts w:cs="Arial"/>
                <w:color w:val="000000"/>
                <w:sz w:val="20"/>
              </w:rPr>
            </w:pPr>
            <w:r w:rsidRPr="00C9343F">
              <w:rPr>
                <w:rFonts w:cs="Arial"/>
                <w:color w:val="000000"/>
                <w:sz w:val="20"/>
              </w:rPr>
              <w:t>The day of remuster to the Network Technician employment category.</w:t>
            </w:r>
          </w:p>
        </w:tc>
        <w:tc>
          <w:tcPr>
            <w:tcW w:w="2160" w:type="dxa"/>
            <w:shd w:val="clear" w:color="auto" w:fill="FFFFFF" w:themeFill="background1"/>
          </w:tcPr>
          <w:p w14:paraId="3E6BB6EB" w14:textId="2728DFF9" w:rsidR="00B85D6F" w:rsidRPr="00C9343F" w:rsidRDefault="00B85D6F" w:rsidP="00B85D6F">
            <w:pPr>
              <w:spacing w:beforeLines="20" w:before="48" w:after="120" w:line="254" w:lineRule="auto"/>
              <w:rPr>
                <w:rFonts w:cs="Arial"/>
                <w:color w:val="000000"/>
                <w:sz w:val="20"/>
              </w:rPr>
            </w:pPr>
            <w:r w:rsidRPr="00C9343F">
              <w:rPr>
                <w:rFonts w:cs="Arial"/>
                <w:sz w:val="20"/>
              </w:rPr>
              <w:t>The day five years after the day of remuster to the Network Technician employment category.</w:t>
            </w:r>
          </w:p>
        </w:tc>
      </w:tr>
      <w:tr w:rsidR="00B85D6F" w:rsidRPr="00C9343F" w14:paraId="0951A1C5" w14:textId="77777777" w:rsidTr="00372A02">
        <w:trPr>
          <w:trHeight w:val="20"/>
        </w:trPr>
        <w:tc>
          <w:tcPr>
            <w:tcW w:w="720" w:type="dxa"/>
            <w:hideMark/>
          </w:tcPr>
          <w:p w14:paraId="6D7A3963" w14:textId="1F75281A" w:rsidR="00B85D6F" w:rsidRPr="00C9343F" w:rsidRDefault="00B85D6F" w:rsidP="00B85D6F">
            <w:pPr>
              <w:spacing w:beforeLines="20" w:before="48" w:after="120" w:line="254" w:lineRule="auto"/>
              <w:jc w:val="center"/>
              <w:rPr>
                <w:rFonts w:cs="Arial"/>
                <w:sz w:val="20"/>
              </w:rPr>
            </w:pPr>
            <w:r w:rsidRPr="00C9343F">
              <w:rPr>
                <w:sz w:val="20"/>
              </w:rPr>
              <w:t>33.</w:t>
            </w:r>
          </w:p>
        </w:tc>
        <w:tc>
          <w:tcPr>
            <w:tcW w:w="1530" w:type="dxa"/>
            <w:hideMark/>
          </w:tcPr>
          <w:p w14:paraId="04F86AE1" w14:textId="701531DC" w:rsidR="00B85D6F" w:rsidRPr="00C9343F" w:rsidRDefault="00B85D6F" w:rsidP="00B85D6F">
            <w:pPr>
              <w:spacing w:beforeLines="20" w:before="48" w:after="120" w:line="254" w:lineRule="auto"/>
              <w:rPr>
                <w:rFonts w:cs="Arial"/>
                <w:sz w:val="20"/>
              </w:rPr>
            </w:pPr>
            <w:r w:rsidRPr="00C9343F">
              <w:rPr>
                <w:sz w:val="20"/>
              </w:rPr>
              <w:t>Pay grade 5</w:t>
            </w:r>
          </w:p>
        </w:tc>
        <w:tc>
          <w:tcPr>
            <w:tcW w:w="2970" w:type="dxa"/>
            <w:hideMark/>
          </w:tcPr>
          <w:p w14:paraId="4928DA08" w14:textId="2C433D36" w:rsidR="00B85D6F" w:rsidRPr="00C9343F" w:rsidRDefault="00B85D6F" w:rsidP="00B85D6F">
            <w:pPr>
              <w:spacing w:beforeLines="20" w:before="48" w:after="120" w:line="254" w:lineRule="auto"/>
              <w:rPr>
                <w:rFonts w:cs="Arial"/>
                <w:color w:val="000000"/>
                <w:sz w:val="20"/>
                <w:szCs w:val="22"/>
              </w:rPr>
            </w:pPr>
            <w:r w:rsidRPr="00C9343F">
              <w:rPr>
                <w:sz w:val="20"/>
              </w:rPr>
              <w:t>Flight Engineer on pay grade 5 the day prior to remuster to another Airmen Aircrew mustering.</w:t>
            </w:r>
          </w:p>
        </w:tc>
        <w:tc>
          <w:tcPr>
            <w:tcW w:w="2160" w:type="dxa"/>
            <w:hideMark/>
          </w:tcPr>
          <w:p w14:paraId="3F4149C3" w14:textId="155E623C" w:rsidR="00B85D6F" w:rsidRPr="00C9343F" w:rsidRDefault="00B85D6F" w:rsidP="00B85D6F">
            <w:pPr>
              <w:spacing w:beforeLines="20" w:before="48" w:after="120" w:line="254" w:lineRule="auto"/>
              <w:rPr>
                <w:rFonts w:cs="Arial"/>
                <w:sz w:val="20"/>
              </w:rPr>
            </w:pPr>
            <w:r w:rsidRPr="00C9343F">
              <w:rPr>
                <w:sz w:val="20"/>
              </w:rPr>
              <w:t>Date of remuster to another Airmen Aircrew mustering.</w:t>
            </w:r>
          </w:p>
        </w:tc>
        <w:tc>
          <w:tcPr>
            <w:tcW w:w="2160" w:type="dxa"/>
            <w:hideMark/>
          </w:tcPr>
          <w:p w14:paraId="46B7840C" w14:textId="4187C200" w:rsidR="00B85D6F" w:rsidRPr="00C9343F" w:rsidRDefault="00B85D6F" w:rsidP="00B85D6F">
            <w:pPr>
              <w:spacing w:beforeLines="20" w:before="48" w:after="120" w:line="254" w:lineRule="auto"/>
              <w:rPr>
                <w:rFonts w:cs="Arial"/>
                <w:sz w:val="20"/>
              </w:rPr>
            </w:pPr>
            <w:r w:rsidRPr="00C9343F">
              <w:rPr>
                <w:sz w:val="20"/>
              </w:rPr>
              <w:t>The day five years from the date of remuster to another Airmen Aircrew mustering.</w:t>
            </w:r>
          </w:p>
        </w:tc>
      </w:tr>
      <w:tr w:rsidR="00B85D6F" w:rsidRPr="00C9343F" w14:paraId="31331A07" w14:textId="77777777" w:rsidTr="00372A02">
        <w:trPr>
          <w:trHeight w:val="20"/>
        </w:trPr>
        <w:tc>
          <w:tcPr>
            <w:tcW w:w="720" w:type="dxa"/>
            <w:hideMark/>
          </w:tcPr>
          <w:p w14:paraId="1BB7BB24" w14:textId="77777777" w:rsidR="00B85D6F" w:rsidRPr="00C9343F" w:rsidRDefault="00B85D6F" w:rsidP="00B85D6F">
            <w:pPr>
              <w:spacing w:beforeLines="20" w:before="48" w:after="120" w:line="254" w:lineRule="auto"/>
              <w:jc w:val="center"/>
              <w:rPr>
                <w:rFonts w:cs="Arial"/>
                <w:sz w:val="20"/>
              </w:rPr>
            </w:pPr>
            <w:r w:rsidRPr="00C9343F">
              <w:rPr>
                <w:rFonts w:cs="Arial"/>
                <w:color w:val="000000"/>
                <w:sz w:val="20"/>
              </w:rPr>
              <w:t>34.</w:t>
            </w:r>
          </w:p>
        </w:tc>
        <w:tc>
          <w:tcPr>
            <w:tcW w:w="1530" w:type="dxa"/>
            <w:hideMark/>
          </w:tcPr>
          <w:p w14:paraId="72930CDF" w14:textId="77777777" w:rsidR="00B85D6F" w:rsidRPr="00C9343F" w:rsidRDefault="00B85D6F" w:rsidP="00B85D6F">
            <w:pPr>
              <w:spacing w:beforeLines="20" w:before="48" w:after="120" w:line="254" w:lineRule="auto"/>
              <w:rPr>
                <w:rFonts w:cs="Arial"/>
                <w:bCs/>
                <w:color w:val="000000"/>
                <w:sz w:val="20"/>
              </w:rPr>
            </w:pPr>
            <w:r w:rsidRPr="00C9343F">
              <w:rPr>
                <w:rFonts w:cs="Arial"/>
                <w:sz w:val="20"/>
              </w:rPr>
              <w:t>Pay grade 5</w:t>
            </w:r>
          </w:p>
        </w:tc>
        <w:tc>
          <w:tcPr>
            <w:tcW w:w="2970" w:type="dxa"/>
            <w:hideMark/>
          </w:tcPr>
          <w:p w14:paraId="0E61BB14" w14:textId="77777777" w:rsidR="00B85D6F" w:rsidRPr="00C9343F" w:rsidRDefault="00B85D6F" w:rsidP="00B85D6F">
            <w:pPr>
              <w:spacing w:beforeLines="20" w:before="48" w:after="120" w:line="254" w:lineRule="auto"/>
              <w:rPr>
                <w:rFonts w:cs="Arial"/>
                <w:sz w:val="20"/>
                <w:szCs w:val="22"/>
              </w:rPr>
            </w:pPr>
            <w:r w:rsidRPr="00C9343F">
              <w:rPr>
                <w:rFonts w:cs="Arial"/>
                <w:sz w:val="20"/>
              </w:rPr>
              <w:t xml:space="preserve">Network Technician employment category remustered from a Communications and Information Systems Controller employment category on pay grade 5 between </w:t>
            </w:r>
            <w:r w:rsidRPr="00C9343F">
              <w:rPr>
                <w:rFonts w:cs="Arial"/>
                <w:color w:val="000000"/>
                <w:sz w:val="20"/>
              </w:rPr>
              <w:t>25 June 2020 to 24 June 2025.</w:t>
            </w:r>
          </w:p>
        </w:tc>
        <w:tc>
          <w:tcPr>
            <w:tcW w:w="2160" w:type="dxa"/>
            <w:hideMark/>
          </w:tcPr>
          <w:p w14:paraId="5652AFAD" w14:textId="77777777" w:rsidR="00B85D6F" w:rsidRPr="00C9343F" w:rsidRDefault="00B85D6F" w:rsidP="00B85D6F">
            <w:pPr>
              <w:spacing w:beforeLines="20" w:before="48" w:after="120" w:line="254" w:lineRule="auto"/>
              <w:rPr>
                <w:rFonts w:cs="Arial"/>
                <w:sz w:val="20"/>
              </w:rPr>
            </w:pPr>
            <w:r w:rsidRPr="00C9343F">
              <w:rPr>
                <w:rFonts w:cs="Arial"/>
                <w:color w:val="000000"/>
                <w:sz w:val="20"/>
              </w:rPr>
              <w:t>The day of remuster to the Network Technician employment category.</w:t>
            </w:r>
          </w:p>
        </w:tc>
        <w:tc>
          <w:tcPr>
            <w:tcW w:w="2160" w:type="dxa"/>
          </w:tcPr>
          <w:p w14:paraId="2009C0B8" w14:textId="66252161" w:rsidR="00B85D6F" w:rsidRPr="00C9343F" w:rsidRDefault="00B85D6F" w:rsidP="00B85D6F">
            <w:pPr>
              <w:spacing w:beforeLines="20" w:before="48" w:after="120" w:line="254" w:lineRule="auto"/>
              <w:rPr>
                <w:rFonts w:cs="Arial"/>
                <w:sz w:val="20"/>
              </w:rPr>
            </w:pPr>
            <w:r w:rsidRPr="00C9343F">
              <w:rPr>
                <w:rFonts w:cs="Arial"/>
                <w:sz w:val="20"/>
              </w:rPr>
              <w:t>The day five years after the day of remuster to the Network Technician employment category.</w:t>
            </w:r>
          </w:p>
        </w:tc>
      </w:tr>
      <w:tr w:rsidR="00B85D6F" w:rsidRPr="00C9343F" w14:paraId="0A2DA6EA" w14:textId="77777777" w:rsidTr="00372A02">
        <w:trPr>
          <w:trHeight w:val="20"/>
        </w:trPr>
        <w:tc>
          <w:tcPr>
            <w:tcW w:w="720" w:type="dxa"/>
            <w:hideMark/>
          </w:tcPr>
          <w:p w14:paraId="107A4774" w14:textId="77777777" w:rsidR="00B85D6F" w:rsidRPr="00C9343F" w:rsidRDefault="00B85D6F" w:rsidP="00B85D6F">
            <w:pPr>
              <w:spacing w:beforeLines="20" w:before="48" w:after="120" w:line="254" w:lineRule="auto"/>
              <w:jc w:val="center"/>
              <w:rPr>
                <w:rFonts w:cs="Arial"/>
                <w:color w:val="000000"/>
                <w:sz w:val="20"/>
                <w:szCs w:val="22"/>
              </w:rPr>
            </w:pPr>
            <w:r w:rsidRPr="00C9343F">
              <w:rPr>
                <w:rFonts w:cs="Arial"/>
                <w:color w:val="000000"/>
                <w:sz w:val="20"/>
              </w:rPr>
              <w:t>35.</w:t>
            </w:r>
          </w:p>
        </w:tc>
        <w:tc>
          <w:tcPr>
            <w:tcW w:w="1530" w:type="dxa"/>
            <w:hideMark/>
          </w:tcPr>
          <w:p w14:paraId="3E13D680" w14:textId="77777777" w:rsidR="00B85D6F" w:rsidRPr="00C9343F" w:rsidRDefault="00B85D6F" w:rsidP="00B85D6F">
            <w:pPr>
              <w:spacing w:beforeLines="20" w:before="48" w:after="120" w:line="254" w:lineRule="auto"/>
              <w:rPr>
                <w:sz w:val="20"/>
              </w:rPr>
            </w:pPr>
            <w:r w:rsidRPr="00C9343F">
              <w:rPr>
                <w:rFonts w:cs="Arial"/>
                <w:sz w:val="20"/>
              </w:rPr>
              <w:t>Pay grade 5</w:t>
            </w:r>
          </w:p>
        </w:tc>
        <w:tc>
          <w:tcPr>
            <w:tcW w:w="2970" w:type="dxa"/>
            <w:hideMark/>
          </w:tcPr>
          <w:p w14:paraId="1A18D088" w14:textId="77777777" w:rsidR="00B85D6F" w:rsidRPr="00C9343F" w:rsidRDefault="00B85D6F" w:rsidP="00B85D6F">
            <w:pPr>
              <w:spacing w:beforeLines="20" w:before="48" w:after="120" w:line="254" w:lineRule="auto"/>
              <w:rPr>
                <w:rFonts w:cs="Arial"/>
                <w:sz w:val="20"/>
              </w:rPr>
            </w:pPr>
            <w:r w:rsidRPr="00C9343F">
              <w:rPr>
                <w:rFonts w:cs="Arial"/>
                <w:sz w:val="20"/>
              </w:rPr>
              <w:t xml:space="preserve">Network Technician employment category remustered from a Communications Electronic employment category on pay grade 5 between </w:t>
            </w:r>
            <w:r w:rsidRPr="00C9343F">
              <w:rPr>
                <w:rFonts w:cs="Arial"/>
                <w:color w:val="000000"/>
                <w:sz w:val="20"/>
              </w:rPr>
              <w:t>25 June 2020 to 24 June 2025.</w:t>
            </w:r>
          </w:p>
        </w:tc>
        <w:tc>
          <w:tcPr>
            <w:tcW w:w="2160" w:type="dxa"/>
            <w:hideMark/>
          </w:tcPr>
          <w:p w14:paraId="4504B7B0" w14:textId="77777777" w:rsidR="00B85D6F" w:rsidRPr="00C9343F" w:rsidRDefault="00B85D6F" w:rsidP="00B85D6F">
            <w:pPr>
              <w:spacing w:beforeLines="20" w:before="48" w:after="120" w:line="254" w:lineRule="auto"/>
              <w:rPr>
                <w:rFonts w:cs="Arial"/>
                <w:color w:val="000000"/>
                <w:sz w:val="20"/>
              </w:rPr>
            </w:pPr>
            <w:r w:rsidRPr="00C9343F">
              <w:rPr>
                <w:rFonts w:cs="Arial"/>
                <w:color w:val="000000"/>
                <w:sz w:val="20"/>
              </w:rPr>
              <w:t>The day of remuster to the Network Technician employment category.</w:t>
            </w:r>
          </w:p>
        </w:tc>
        <w:tc>
          <w:tcPr>
            <w:tcW w:w="2160" w:type="dxa"/>
          </w:tcPr>
          <w:p w14:paraId="01DCAEE1" w14:textId="397E82D8" w:rsidR="00B85D6F" w:rsidRPr="00C9343F" w:rsidRDefault="00B85D6F" w:rsidP="00B85D6F">
            <w:pPr>
              <w:spacing w:beforeLines="20" w:before="48" w:after="120" w:line="254" w:lineRule="auto"/>
              <w:rPr>
                <w:rFonts w:cs="Arial"/>
                <w:color w:val="000000"/>
                <w:sz w:val="20"/>
              </w:rPr>
            </w:pPr>
            <w:r w:rsidRPr="00C9343F">
              <w:rPr>
                <w:rFonts w:cs="Arial"/>
                <w:sz w:val="20"/>
              </w:rPr>
              <w:t>The day five years after the day of remuster to the Network Technician employment category.</w:t>
            </w:r>
          </w:p>
        </w:tc>
      </w:tr>
      <w:tr w:rsidR="00B85D6F" w:rsidRPr="00C9343F" w14:paraId="3F7837B4" w14:textId="77777777" w:rsidTr="00372A02">
        <w:trPr>
          <w:trHeight w:val="20"/>
        </w:trPr>
        <w:tc>
          <w:tcPr>
            <w:tcW w:w="720" w:type="dxa"/>
            <w:hideMark/>
          </w:tcPr>
          <w:p w14:paraId="146902D4" w14:textId="318650C3" w:rsidR="00B85D6F" w:rsidRPr="00C9343F" w:rsidRDefault="00B85D6F" w:rsidP="00B85D6F">
            <w:pPr>
              <w:spacing w:beforeLines="20" w:before="48" w:after="120" w:line="254" w:lineRule="auto"/>
              <w:jc w:val="center"/>
              <w:rPr>
                <w:rFonts w:cs="Arial"/>
                <w:sz w:val="20"/>
              </w:rPr>
            </w:pPr>
            <w:r w:rsidRPr="00C9343F">
              <w:rPr>
                <w:sz w:val="20"/>
              </w:rPr>
              <w:lastRenderedPageBreak/>
              <w:t>36.</w:t>
            </w:r>
          </w:p>
        </w:tc>
        <w:tc>
          <w:tcPr>
            <w:tcW w:w="1530" w:type="dxa"/>
            <w:hideMark/>
          </w:tcPr>
          <w:p w14:paraId="1B9E42BE" w14:textId="7432D849" w:rsidR="00B85D6F" w:rsidRPr="00C9343F" w:rsidRDefault="00B85D6F" w:rsidP="00B85D6F">
            <w:pPr>
              <w:spacing w:beforeLines="20" w:before="48" w:after="120" w:line="254" w:lineRule="auto"/>
              <w:rPr>
                <w:rFonts w:cs="Arial"/>
                <w:sz w:val="20"/>
              </w:rPr>
            </w:pPr>
            <w:r w:rsidRPr="00C9343F">
              <w:rPr>
                <w:sz w:val="20"/>
              </w:rPr>
              <w:t>Pay grade 6</w:t>
            </w:r>
          </w:p>
        </w:tc>
        <w:tc>
          <w:tcPr>
            <w:tcW w:w="2970" w:type="dxa"/>
            <w:hideMark/>
          </w:tcPr>
          <w:p w14:paraId="21734569" w14:textId="153BCF70" w:rsidR="00B85D6F" w:rsidRPr="00C9343F" w:rsidRDefault="00B85D6F" w:rsidP="00B85D6F">
            <w:pPr>
              <w:spacing w:beforeLines="20" w:before="48" w:after="120" w:line="254" w:lineRule="auto"/>
              <w:rPr>
                <w:rFonts w:cs="Arial"/>
                <w:color w:val="000000"/>
                <w:sz w:val="20"/>
                <w:szCs w:val="22"/>
              </w:rPr>
            </w:pPr>
            <w:r w:rsidRPr="00C9343F">
              <w:rPr>
                <w:sz w:val="20"/>
              </w:rPr>
              <w:t>Flight Engineer on pay grade 6 the day prior to remuster to another Airmen Aircrew mustering.</w:t>
            </w:r>
          </w:p>
        </w:tc>
        <w:tc>
          <w:tcPr>
            <w:tcW w:w="2160" w:type="dxa"/>
            <w:hideMark/>
          </w:tcPr>
          <w:p w14:paraId="5E3A88D3" w14:textId="3CC82C78" w:rsidR="00B85D6F" w:rsidRPr="00C9343F" w:rsidRDefault="00B85D6F" w:rsidP="00B85D6F">
            <w:pPr>
              <w:spacing w:beforeLines="20" w:before="48" w:after="120" w:line="254" w:lineRule="auto"/>
              <w:rPr>
                <w:rFonts w:cs="Arial"/>
                <w:sz w:val="20"/>
              </w:rPr>
            </w:pPr>
            <w:r w:rsidRPr="00C9343F">
              <w:rPr>
                <w:sz w:val="20"/>
              </w:rPr>
              <w:t>Date of remuster to another Airmen Aircrew mustering.</w:t>
            </w:r>
          </w:p>
        </w:tc>
        <w:tc>
          <w:tcPr>
            <w:tcW w:w="2160" w:type="dxa"/>
            <w:hideMark/>
          </w:tcPr>
          <w:p w14:paraId="069FE747" w14:textId="5ECBFE8A" w:rsidR="00B85D6F" w:rsidRPr="00C9343F" w:rsidRDefault="00B85D6F" w:rsidP="00B85D6F">
            <w:pPr>
              <w:spacing w:beforeLines="20" w:before="48" w:after="120" w:line="254" w:lineRule="auto"/>
              <w:rPr>
                <w:rFonts w:cs="Arial"/>
                <w:sz w:val="20"/>
              </w:rPr>
            </w:pPr>
            <w:r w:rsidRPr="00C9343F">
              <w:rPr>
                <w:sz w:val="20"/>
              </w:rPr>
              <w:t>The day five years from the date of remuster to another Airmen Aircrew mustering.</w:t>
            </w:r>
          </w:p>
        </w:tc>
      </w:tr>
      <w:tr w:rsidR="00B85D6F" w:rsidRPr="00C9343F" w14:paraId="165279BF" w14:textId="77777777" w:rsidTr="00372A02">
        <w:trPr>
          <w:trHeight w:val="20"/>
        </w:trPr>
        <w:tc>
          <w:tcPr>
            <w:tcW w:w="720" w:type="dxa"/>
            <w:hideMark/>
          </w:tcPr>
          <w:p w14:paraId="01FDD4FA" w14:textId="77777777" w:rsidR="00B85D6F" w:rsidRPr="00C9343F" w:rsidRDefault="00B85D6F" w:rsidP="00B85D6F">
            <w:pPr>
              <w:spacing w:beforeLines="20" w:before="48" w:after="120" w:line="254" w:lineRule="auto"/>
              <w:jc w:val="center"/>
              <w:rPr>
                <w:rFonts w:cs="Arial"/>
                <w:sz w:val="20"/>
              </w:rPr>
            </w:pPr>
            <w:r w:rsidRPr="00C9343F">
              <w:rPr>
                <w:rFonts w:cs="Arial"/>
                <w:color w:val="000000"/>
                <w:sz w:val="20"/>
              </w:rPr>
              <w:t>37.</w:t>
            </w:r>
          </w:p>
        </w:tc>
        <w:tc>
          <w:tcPr>
            <w:tcW w:w="1530" w:type="dxa"/>
            <w:hideMark/>
          </w:tcPr>
          <w:p w14:paraId="01E03378" w14:textId="77777777" w:rsidR="00B85D6F" w:rsidRPr="00C9343F" w:rsidRDefault="00B85D6F" w:rsidP="00B85D6F">
            <w:pPr>
              <w:spacing w:beforeLines="20" w:before="48" w:after="120" w:line="254" w:lineRule="auto"/>
              <w:rPr>
                <w:rFonts w:cs="Arial"/>
                <w:bCs/>
                <w:color w:val="000000"/>
                <w:sz w:val="20"/>
              </w:rPr>
            </w:pPr>
            <w:r w:rsidRPr="00C9343F">
              <w:rPr>
                <w:rFonts w:cs="Arial"/>
                <w:sz w:val="20"/>
              </w:rPr>
              <w:t>Pay grade 6</w:t>
            </w:r>
          </w:p>
        </w:tc>
        <w:tc>
          <w:tcPr>
            <w:tcW w:w="2970" w:type="dxa"/>
            <w:hideMark/>
          </w:tcPr>
          <w:p w14:paraId="1123425D" w14:textId="77777777" w:rsidR="00B85D6F" w:rsidRPr="00C9343F" w:rsidRDefault="00B85D6F" w:rsidP="00B85D6F">
            <w:pPr>
              <w:spacing w:beforeLines="20" w:before="48" w:after="120" w:line="254" w:lineRule="auto"/>
              <w:rPr>
                <w:rFonts w:cs="Arial"/>
                <w:sz w:val="20"/>
                <w:szCs w:val="22"/>
              </w:rPr>
            </w:pPr>
            <w:r w:rsidRPr="00C9343F">
              <w:rPr>
                <w:rFonts w:cs="Arial"/>
                <w:sz w:val="20"/>
              </w:rPr>
              <w:t xml:space="preserve">Network Technician employment category remustered from a Communications and Information Systems Controller employment category on pay grade 6 between </w:t>
            </w:r>
            <w:r w:rsidRPr="00C9343F">
              <w:rPr>
                <w:rFonts w:cs="Arial"/>
                <w:color w:val="000000"/>
                <w:sz w:val="20"/>
              </w:rPr>
              <w:t>25 June 2020 to 24 June 2025.</w:t>
            </w:r>
          </w:p>
        </w:tc>
        <w:tc>
          <w:tcPr>
            <w:tcW w:w="2160" w:type="dxa"/>
            <w:hideMark/>
          </w:tcPr>
          <w:p w14:paraId="10B5A401" w14:textId="77777777" w:rsidR="00B85D6F" w:rsidRPr="00C9343F" w:rsidRDefault="00B85D6F" w:rsidP="00B85D6F">
            <w:pPr>
              <w:spacing w:beforeLines="20" w:before="48" w:after="120" w:line="254" w:lineRule="auto"/>
              <w:rPr>
                <w:rFonts w:cs="Arial"/>
                <w:sz w:val="20"/>
              </w:rPr>
            </w:pPr>
            <w:r w:rsidRPr="00C9343F">
              <w:rPr>
                <w:rFonts w:cs="Arial"/>
                <w:color w:val="000000"/>
                <w:sz w:val="20"/>
              </w:rPr>
              <w:t>The day of remuster to theNetwork Technician employment category.</w:t>
            </w:r>
          </w:p>
        </w:tc>
        <w:tc>
          <w:tcPr>
            <w:tcW w:w="2160" w:type="dxa"/>
          </w:tcPr>
          <w:p w14:paraId="6B617F03" w14:textId="456E74EE" w:rsidR="00B85D6F" w:rsidRPr="00C9343F" w:rsidRDefault="00B85D6F" w:rsidP="00B85D6F">
            <w:pPr>
              <w:spacing w:beforeLines="20" w:before="48" w:after="120" w:line="254" w:lineRule="auto"/>
              <w:rPr>
                <w:rFonts w:cs="Arial"/>
                <w:sz w:val="20"/>
              </w:rPr>
            </w:pPr>
            <w:r w:rsidRPr="00C9343F">
              <w:rPr>
                <w:rFonts w:cs="Arial"/>
                <w:sz w:val="20"/>
              </w:rPr>
              <w:t>The day five years after the day of remuster to the Network Technician employment category.</w:t>
            </w:r>
          </w:p>
        </w:tc>
      </w:tr>
      <w:tr w:rsidR="00B85D6F" w:rsidRPr="00C9343F" w14:paraId="20AE79E8" w14:textId="77777777" w:rsidTr="00372A02">
        <w:trPr>
          <w:cantSplit/>
          <w:trHeight w:val="20"/>
        </w:trPr>
        <w:tc>
          <w:tcPr>
            <w:tcW w:w="720" w:type="dxa"/>
            <w:hideMark/>
          </w:tcPr>
          <w:p w14:paraId="75155E57" w14:textId="67E82989" w:rsidR="00B85D6F" w:rsidRPr="00C9343F" w:rsidRDefault="00B85D6F" w:rsidP="00B85D6F">
            <w:pPr>
              <w:spacing w:beforeLines="20" w:before="48" w:after="120" w:line="254" w:lineRule="auto"/>
              <w:jc w:val="center"/>
              <w:rPr>
                <w:rFonts w:cs="Arial"/>
                <w:color w:val="000000"/>
                <w:sz w:val="20"/>
                <w:szCs w:val="22"/>
              </w:rPr>
            </w:pPr>
            <w:r w:rsidRPr="00C9343F">
              <w:rPr>
                <w:rFonts w:cs="Arial"/>
                <w:color w:val="000000"/>
                <w:sz w:val="20"/>
              </w:rPr>
              <w:t>38.</w:t>
            </w:r>
          </w:p>
        </w:tc>
        <w:tc>
          <w:tcPr>
            <w:tcW w:w="1530" w:type="dxa"/>
            <w:hideMark/>
          </w:tcPr>
          <w:p w14:paraId="4FD11429" w14:textId="77777777" w:rsidR="00B85D6F" w:rsidRPr="00C9343F" w:rsidRDefault="00B85D6F" w:rsidP="00B85D6F">
            <w:pPr>
              <w:spacing w:beforeLines="20" w:before="48" w:after="120" w:line="254" w:lineRule="auto"/>
              <w:rPr>
                <w:sz w:val="20"/>
              </w:rPr>
            </w:pPr>
            <w:r w:rsidRPr="00C9343F">
              <w:rPr>
                <w:rFonts w:cs="Arial"/>
                <w:sz w:val="20"/>
              </w:rPr>
              <w:t>Pay grade 6</w:t>
            </w:r>
          </w:p>
        </w:tc>
        <w:tc>
          <w:tcPr>
            <w:tcW w:w="2970" w:type="dxa"/>
            <w:hideMark/>
          </w:tcPr>
          <w:p w14:paraId="22FF39BF" w14:textId="77777777" w:rsidR="00B85D6F" w:rsidRPr="00C9343F" w:rsidRDefault="00B85D6F" w:rsidP="00B85D6F">
            <w:pPr>
              <w:spacing w:beforeLines="20" w:before="48" w:after="120" w:line="254" w:lineRule="auto"/>
              <w:rPr>
                <w:rFonts w:cs="Arial"/>
                <w:sz w:val="20"/>
              </w:rPr>
            </w:pPr>
            <w:r w:rsidRPr="00C9343F">
              <w:rPr>
                <w:rFonts w:cs="Arial"/>
                <w:sz w:val="20"/>
              </w:rPr>
              <w:t xml:space="preserve">Network Technician employment category remustered from a Communications Electronic employment category on pay grade 6 between </w:t>
            </w:r>
            <w:r w:rsidRPr="00C9343F">
              <w:rPr>
                <w:rFonts w:cs="Arial"/>
                <w:color w:val="000000"/>
                <w:sz w:val="20"/>
              </w:rPr>
              <w:t>25 June 2020 to 24 June 2025.</w:t>
            </w:r>
          </w:p>
        </w:tc>
        <w:tc>
          <w:tcPr>
            <w:tcW w:w="2160" w:type="dxa"/>
            <w:hideMark/>
          </w:tcPr>
          <w:p w14:paraId="3457077D" w14:textId="77777777" w:rsidR="00B85D6F" w:rsidRPr="00C9343F" w:rsidRDefault="00B85D6F" w:rsidP="00B85D6F">
            <w:pPr>
              <w:spacing w:beforeLines="20" w:before="48" w:after="120" w:line="254" w:lineRule="auto"/>
              <w:rPr>
                <w:rFonts w:cs="Arial"/>
                <w:color w:val="000000"/>
                <w:sz w:val="20"/>
              </w:rPr>
            </w:pPr>
            <w:r w:rsidRPr="00C9343F">
              <w:rPr>
                <w:rFonts w:cs="Arial"/>
                <w:color w:val="000000"/>
                <w:sz w:val="20"/>
              </w:rPr>
              <w:t>The day of remuster to the Network Technician employment category.</w:t>
            </w:r>
          </w:p>
        </w:tc>
        <w:tc>
          <w:tcPr>
            <w:tcW w:w="2160" w:type="dxa"/>
          </w:tcPr>
          <w:p w14:paraId="367AD0F1" w14:textId="3988ADD8" w:rsidR="00B85D6F" w:rsidRPr="00C9343F" w:rsidRDefault="00B85D6F" w:rsidP="00B85D6F">
            <w:pPr>
              <w:spacing w:beforeLines="20" w:before="48" w:after="120" w:line="254" w:lineRule="auto"/>
              <w:rPr>
                <w:rFonts w:cs="Arial"/>
                <w:color w:val="000000"/>
                <w:sz w:val="20"/>
              </w:rPr>
            </w:pPr>
            <w:r w:rsidRPr="00C9343F">
              <w:rPr>
                <w:rFonts w:cs="Arial"/>
                <w:sz w:val="20"/>
              </w:rPr>
              <w:t>The day five years after the day of remuster to the Network Technician employment category.</w:t>
            </w:r>
          </w:p>
        </w:tc>
      </w:tr>
      <w:tr w:rsidR="00B85D6F" w:rsidRPr="00C9343F" w14:paraId="53038E73" w14:textId="77777777" w:rsidTr="00372A02">
        <w:trPr>
          <w:trHeight w:val="20"/>
        </w:trPr>
        <w:tc>
          <w:tcPr>
            <w:tcW w:w="720" w:type="dxa"/>
            <w:hideMark/>
          </w:tcPr>
          <w:p w14:paraId="60877047" w14:textId="63FC6B58" w:rsidR="00B85D6F" w:rsidRPr="00C9343F" w:rsidRDefault="00B85D6F" w:rsidP="00B85D6F">
            <w:pPr>
              <w:spacing w:beforeLines="20" w:before="48" w:after="120" w:line="254" w:lineRule="auto"/>
              <w:jc w:val="center"/>
              <w:rPr>
                <w:rFonts w:cs="Arial"/>
                <w:sz w:val="20"/>
              </w:rPr>
            </w:pPr>
            <w:r w:rsidRPr="00C9343F">
              <w:rPr>
                <w:sz w:val="20"/>
              </w:rPr>
              <w:t>39.</w:t>
            </w:r>
          </w:p>
        </w:tc>
        <w:tc>
          <w:tcPr>
            <w:tcW w:w="1530" w:type="dxa"/>
            <w:hideMark/>
          </w:tcPr>
          <w:p w14:paraId="46EB3A12" w14:textId="021A9F64" w:rsidR="00B85D6F" w:rsidRPr="00C9343F" w:rsidRDefault="00B85D6F" w:rsidP="00B85D6F">
            <w:pPr>
              <w:spacing w:beforeLines="20" w:before="48" w:after="120" w:line="254" w:lineRule="auto"/>
              <w:rPr>
                <w:rFonts w:cs="Arial"/>
                <w:sz w:val="20"/>
              </w:rPr>
            </w:pPr>
            <w:r w:rsidRPr="00C9343F">
              <w:rPr>
                <w:sz w:val="20"/>
              </w:rPr>
              <w:t>Pay grade 7</w:t>
            </w:r>
          </w:p>
        </w:tc>
        <w:tc>
          <w:tcPr>
            <w:tcW w:w="2970" w:type="dxa"/>
          </w:tcPr>
          <w:p w14:paraId="5CB2A4EB" w14:textId="02DE1C76" w:rsidR="00B85D6F" w:rsidRPr="00C9343F" w:rsidRDefault="00B85D6F" w:rsidP="00B85D6F">
            <w:pPr>
              <w:spacing w:beforeLines="20" w:before="48" w:after="120" w:line="254" w:lineRule="auto"/>
              <w:rPr>
                <w:rFonts w:cs="Arial"/>
                <w:sz w:val="20"/>
              </w:rPr>
            </w:pPr>
            <w:r w:rsidRPr="00C9343F">
              <w:rPr>
                <w:sz w:val="20"/>
              </w:rPr>
              <w:t>Flight Engineer on pay grade 7 the day prior to remuster to another Airmen Aircrew mustering.</w:t>
            </w:r>
          </w:p>
        </w:tc>
        <w:tc>
          <w:tcPr>
            <w:tcW w:w="2160" w:type="dxa"/>
            <w:hideMark/>
          </w:tcPr>
          <w:p w14:paraId="4C6DB16C" w14:textId="20CCED51" w:rsidR="00B85D6F" w:rsidRPr="00C9343F" w:rsidRDefault="00B85D6F" w:rsidP="00B85D6F">
            <w:pPr>
              <w:spacing w:beforeLines="20" w:before="48" w:after="120" w:line="254" w:lineRule="auto"/>
              <w:rPr>
                <w:rFonts w:cs="Arial"/>
                <w:sz w:val="20"/>
              </w:rPr>
            </w:pPr>
            <w:r w:rsidRPr="00C9343F">
              <w:rPr>
                <w:sz w:val="20"/>
              </w:rPr>
              <w:t>Date of remuster to another Airmen Aircrew mustering.</w:t>
            </w:r>
          </w:p>
        </w:tc>
        <w:tc>
          <w:tcPr>
            <w:tcW w:w="2160" w:type="dxa"/>
            <w:hideMark/>
          </w:tcPr>
          <w:p w14:paraId="273C6536" w14:textId="05591A3E" w:rsidR="00B85D6F" w:rsidRPr="00C9343F" w:rsidRDefault="00B85D6F" w:rsidP="00B85D6F">
            <w:pPr>
              <w:spacing w:beforeLines="20" w:before="48" w:after="120" w:line="254" w:lineRule="auto"/>
              <w:rPr>
                <w:rFonts w:cs="Arial"/>
                <w:sz w:val="20"/>
              </w:rPr>
            </w:pPr>
            <w:r w:rsidRPr="00C9343F">
              <w:rPr>
                <w:sz w:val="20"/>
              </w:rPr>
              <w:t>The day five years from the date of remuster to another Airmen Aircrew mustering.</w:t>
            </w:r>
          </w:p>
        </w:tc>
      </w:tr>
      <w:tr w:rsidR="00B85D6F" w:rsidRPr="00C9343F" w14:paraId="76882167" w14:textId="77777777" w:rsidTr="00372A02">
        <w:trPr>
          <w:trHeight w:val="20"/>
        </w:trPr>
        <w:tc>
          <w:tcPr>
            <w:tcW w:w="720" w:type="dxa"/>
            <w:hideMark/>
          </w:tcPr>
          <w:p w14:paraId="4A7CB6B5" w14:textId="77777777" w:rsidR="00B85D6F" w:rsidRPr="00C9343F" w:rsidRDefault="00B85D6F" w:rsidP="00B85D6F">
            <w:pPr>
              <w:spacing w:beforeLines="20" w:before="48" w:after="120" w:line="254" w:lineRule="auto"/>
              <w:jc w:val="center"/>
              <w:rPr>
                <w:rFonts w:cs="Arial"/>
                <w:color w:val="000000"/>
                <w:sz w:val="20"/>
                <w:szCs w:val="22"/>
              </w:rPr>
            </w:pPr>
            <w:r w:rsidRPr="00C9343F">
              <w:rPr>
                <w:rFonts w:cs="Arial"/>
                <w:color w:val="000000"/>
                <w:sz w:val="20"/>
              </w:rPr>
              <w:t>40.</w:t>
            </w:r>
          </w:p>
        </w:tc>
        <w:tc>
          <w:tcPr>
            <w:tcW w:w="1530" w:type="dxa"/>
            <w:hideMark/>
          </w:tcPr>
          <w:p w14:paraId="2D7A0AEE" w14:textId="77777777" w:rsidR="00B85D6F" w:rsidRPr="00C9343F" w:rsidRDefault="00B85D6F" w:rsidP="00B85D6F">
            <w:pPr>
              <w:spacing w:beforeLines="20" w:before="48" w:after="120" w:line="254" w:lineRule="auto"/>
              <w:rPr>
                <w:sz w:val="20"/>
              </w:rPr>
            </w:pPr>
            <w:r w:rsidRPr="00C9343F">
              <w:rPr>
                <w:rFonts w:cs="Arial"/>
                <w:sz w:val="20"/>
              </w:rPr>
              <w:t>Pay grade 7</w:t>
            </w:r>
          </w:p>
        </w:tc>
        <w:tc>
          <w:tcPr>
            <w:tcW w:w="2970" w:type="dxa"/>
            <w:hideMark/>
          </w:tcPr>
          <w:p w14:paraId="3E0229BF" w14:textId="77777777" w:rsidR="00B85D6F" w:rsidRPr="00C9343F" w:rsidRDefault="00B85D6F" w:rsidP="00B85D6F">
            <w:pPr>
              <w:spacing w:beforeLines="20" w:before="48" w:after="120" w:line="254" w:lineRule="auto"/>
              <w:rPr>
                <w:rFonts w:cs="Arial"/>
                <w:sz w:val="20"/>
              </w:rPr>
            </w:pPr>
            <w:r w:rsidRPr="00C9343F">
              <w:rPr>
                <w:rFonts w:cs="Arial"/>
                <w:sz w:val="20"/>
              </w:rPr>
              <w:t xml:space="preserve">Network Technician employment category remustered from a Communications Electronic employment category on pay grade 7 between </w:t>
            </w:r>
            <w:r w:rsidRPr="00C9343F">
              <w:rPr>
                <w:rFonts w:cs="Arial"/>
                <w:color w:val="000000"/>
                <w:sz w:val="20"/>
              </w:rPr>
              <w:t>25 June 2020 to 24 June 2025.</w:t>
            </w:r>
          </w:p>
        </w:tc>
        <w:tc>
          <w:tcPr>
            <w:tcW w:w="2160" w:type="dxa"/>
            <w:hideMark/>
          </w:tcPr>
          <w:p w14:paraId="740863B1" w14:textId="77777777" w:rsidR="00B85D6F" w:rsidRPr="00C9343F" w:rsidRDefault="00B85D6F" w:rsidP="00B85D6F">
            <w:pPr>
              <w:spacing w:beforeLines="20" w:before="48" w:after="120" w:line="254" w:lineRule="auto"/>
              <w:rPr>
                <w:rFonts w:cs="Arial"/>
                <w:color w:val="000000"/>
                <w:sz w:val="20"/>
              </w:rPr>
            </w:pPr>
            <w:r w:rsidRPr="00C9343F">
              <w:rPr>
                <w:rFonts w:cs="Arial"/>
                <w:color w:val="000000"/>
                <w:sz w:val="20"/>
              </w:rPr>
              <w:t>The day of remuster to the Network Technician employment category.</w:t>
            </w:r>
          </w:p>
        </w:tc>
        <w:tc>
          <w:tcPr>
            <w:tcW w:w="2160" w:type="dxa"/>
          </w:tcPr>
          <w:p w14:paraId="7F518C81" w14:textId="4B821A13" w:rsidR="00B85D6F" w:rsidRPr="00C9343F" w:rsidRDefault="00B85D6F" w:rsidP="00B85D6F">
            <w:pPr>
              <w:spacing w:beforeLines="20" w:before="48" w:after="120" w:line="254" w:lineRule="auto"/>
              <w:rPr>
                <w:rFonts w:cs="Arial"/>
                <w:color w:val="000000"/>
                <w:sz w:val="20"/>
              </w:rPr>
            </w:pPr>
            <w:r w:rsidRPr="00C9343F">
              <w:rPr>
                <w:rFonts w:cs="Arial"/>
                <w:sz w:val="20"/>
              </w:rPr>
              <w:t>The day five years after the day of remuster to the Network Technician employment category.</w:t>
            </w:r>
          </w:p>
        </w:tc>
      </w:tr>
      <w:tr w:rsidR="00B85D6F" w:rsidRPr="00C9343F" w14:paraId="0909B989" w14:textId="77777777" w:rsidTr="00372A02">
        <w:trPr>
          <w:trHeight w:val="20"/>
        </w:trPr>
        <w:tc>
          <w:tcPr>
            <w:tcW w:w="720" w:type="dxa"/>
            <w:hideMark/>
          </w:tcPr>
          <w:p w14:paraId="5F76716A" w14:textId="2E77177E" w:rsidR="00B85D6F" w:rsidRPr="00C9343F" w:rsidRDefault="00B85D6F" w:rsidP="00B85D6F">
            <w:pPr>
              <w:spacing w:beforeLines="20" w:before="48" w:after="120" w:line="254" w:lineRule="auto"/>
              <w:jc w:val="center"/>
              <w:rPr>
                <w:rFonts w:cs="Arial"/>
                <w:sz w:val="20"/>
              </w:rPr>
            </w:pPr>
            <w:r w:rsidRPr="00C9343F">
              <w:rPr>
                <w:sz w:val="20"/>
              </w:rPr>
              <w:t>41.</w:t>
            </w:r>
          </w:p>
        </w:tc>
        <w:tc>
          <w:tcPr>
            <w:tcW w:w="1530" w:type="dxa"/>
            <w:hideMark/>
          </w:tcPr>
          <w:p w14:paraId="5DE9D93B" w14:textId="3B8D5AD9" w:rsidR="00B85D6F" w:rsidRPr="00C9343F" w:rsidRDefault="00B85D6F" w:rsidP="00B85D6F">
            <w:pPr>
              <w:spacing w:beforeLines="20" w:before="48" w:after="120" w:line="254" w:lineRule="auto"/>
              <w:rPr>
                <w:rFonts w:cs="Arial"/>
                <w:sz w:val="20"/>
              </w:rPr>
            </w:pPr>
            <w:r w:rsidRPr="00C9343F">
              <w:rPr>
                <w:sz w:val="20"/>
              </w:rPr>
              <w:t>Pay grade 8</w:t>
            </w:r>
          </w:p>
        </w:tc>
        <w:tc>
          <w:tcPr>
            <w:tcW w:w="2970" w:type="dxa"/>
            <w:hideMark/>
          </w:tcPr>
          <w:p w14:paraId="6F3F9196" w14:textId="232D3F13" w:rsidR="00B85D6F" w:rsidRPr="00C9343F" w:rsidRDefault="00B85D6F" w:rsidP="00B85D6F">
            <w:pPr>
              <w:spacing w:beforeLines="20" w:before="48" w:after="120" w:line="254" w:lineRule="auto"/>
              <w:rPr>
                <w:rFonts w:cs="Arial"/>
                <w:color w:val="000000"/>
                <w:sz w:val="20"/>
                <w:szCs w:val="22"/>
              </w:rPr>
            </w:pPr>
            <w:r w:rsidRPr="00C9343F">
              <w:rPr>
                <w:sz w:val="20"/>
              </w:rPr>
              <w:t>Flight Engineer on pay grade 8 the day prior to remuster to another Airmen Aircrew mustering.</w:t>
            </w:r>
          </w:p>
        </w:tc>
        <w:tc>
          <w:tcPr>
            <w:tcW w:w="2160" w:type="dxa"/>
            <w:hideMark/>
          </w:tcPr>
          <w:p w14:paraId="74C10992" w14:textId="5BC2D36B" w:rsidR="00B85D6F" w:rsidRPr="00C9343F" w:rsidRDefault="00B85D6F" w:rsidP="00B85D6F">
            <w:pPr>
              <w:spacing w:beforeLines="20" w:before="48" w:after="120" w:line="254" w:lineRule="auto"/>
              <w:rPr>
                <w:rFonts w:cs="Arial"/>
                <w:sz w:val="20"/>
              </w:rPr>
            </w:pPr>
            <w:r w:rsidRPr="00C9343F">
              <w:rPr>
                <w:sz w:val="20"/>
              </w:rPr>
              <w:t>Date of remuster to another Airmen Aircrew mustering</w:t>
            </w:r>
          </w:p>
        </w:tc>
        <w:tc>
          <w:tcPr>
            <w:tcW w:w="2160" w:type="dxa"/>
            <w:hideMark/>
          </w:tcPr>
          <w:p w14:paraId="2C991D67" w14:textId="118E47A4" w:rsidR="00B85D6F" w:rsidRPr="00C9343F" w:rsidRDefault="00B85D6F" w:rsidP="00B85D6F">
            <w:pPr>
              <w:spacing w:beforeLines="20" w:before="48" w:after="120" w:line="254" w:lineRule="auto"/>
              <w:rPr>
                <w:rFonts w:cs="Arial"/>
                <w:sz w:val="20"/>
              </w:rPr>
            </w:pPr>
            <w:r w:rsidRPr="00C9343F">
              <w:rPr>
                <w:sz w:val="20"/>
              </w:rPr>
              <w:t>The day five years from the date of remuster to another Airmen Aircrew mustering.</w:t>
            </w:r>
          </w:p>
        </w:tc>
      </w:tr>
    </w:tbl>
    <w:p w14:paraId="29B75DC4" w14:textId="4C264A27" w:rsidR="00245DCD" w:rsidRPr="00C9343F" w:rsidRDefault="00245DCD" w:rsidP="00C35AD4">
      <w:pPr>
        <w:pStyle w:val="Heading4"/>
        <w:pageBreakBefore/>
      </w:pPr>
      <w:bookmarkStart w:id="533" w:name="_Toc105053742"/>
      <w:bookmarkEnd w:id="530"/>
      <w:r w:rsidRPr="00C9343F">
        <w:lastRenderedPageBreak/>
        <w:t>Annex 3.2.D: Salary non-reduction – Officers</w:t>
      </w:r>
      <w:bookmarkEnd w:id="533"/>
    </w:p>
    <w:p w14:paraId="7A94FEBE" w14:textId="77777777" w:rsidR="00245DCD" w:rsidRPr="00C9343F" w:rsidRDefault="00245DCD" w:rsidP="00F66D98">
      <w:pPr>
        <w:keepNext/>
      </w:pPr>
    </w:p>
    <w:tbl>
      <w:tblPr>
        <w:tblW w:w="96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9"/>
        <w:gridCol w:w="1559"/>
        <w:gridCol w:w="2912"/>
        <w:gridCol w:w="2225"/>
        <w:gridCol w:w="2268"/>
      </w:tblGrid>
      <w:tr w:rsidR="00245DCD" w:rsidRPr="00C9343F" w14:paraId="78ACE574" w14:textId="77777777" w:rsidTr="00245DCD">
        <w:trPr>
          <w:trHeight w:val="700"/>
        </w:trPr>
        <w:tc>
          <w:tcPr>
            <w:tcW w:w="709" w:type="dxa"/>
            <w:tcBorders>
              <w:top w:val="single" w:sz="6" w:space="0" w:color="auto"/>
              <w:left w:val="single" w:sz="6" w:space="0" w:color="auto"/>
              <w:bottom w:val="single" w:sz="6" w:space="0" w:color="auto"/>
              <w:right w:val="single" w:sz="6" w:space="0" w:color="auto"/>
            </w:tcBorders>
            <w:shd w:val="clear" w:color="auto" w:fill="auto"/>
          </w:tcPr>
          <w:p w14:paraId="40FDB75C" w14:textId="77777777" w:rsidR="00245DCD" w:rsidRPr="00C9343F" w:rsidRDefault="00245DCD" w:rsidP="00F66D98">
            <w:pPr>
              <w:keepNext/>
              <w:spacing w:before="20" w:after="20"/>
              <w:jc w:val="center"/>
              <w:rPr>
                <w:rFonts w:cs="Arial"/>
                <w:b/>
                <w:bCs/>
                <w:sz w:val="20"/>
              </w:rPr>
            </w:pPr>
            <w:r w:rsidRPr="00C9343F">
              <w:rPr>
                <w:rFonts w:cs="Arial"/>
                <w:b/>
                <w:bCs/>
                <w:sz w:val="20"/>
              </w:rPr>
              <w:t>Item</w:t>
            </w:r>
          </w:p>
        </w:tc>
        <w:tc>
          <w:tcPr>
            <w:tcW w:w="1559" w:type="dxa"/>
            <w:tcBorders>
              <w:top w:val="single" w:sz="6" w:space="0" w:color="auto"/>
              <w:left w:val="single" w:sz="6" w:space="0" w:color="auto"/>
              <w:bottom w:val="single" w:sz="6" w:space="0" w:color="auto"/>
              <w:right w:val="single" w:sz="6" w:space="0" w:color="auto"/>
            </w:tcBorders>
          </w:tcPr>
          <w:p w14:paraId="60701378" w14:textId="77777777" w:rsidR="00245DCD" w:rsidRPr="00C9343F" w:rsidRDefault="00245DCD" w:rsidP="00F66D98">
            <w:pPr>
              <w:keepNext/>
              <w:spacing w:before="20" w:after="20"/>
              <w:jc w:val="center"/>
              <w:rPr>
                <w:rFonts w:cs="Arial"/>
                <w:b/>
                <w:bCs/>
                <w:sz w:val="20"/>
              </w:rPr>
            </w:pPr>
            <w:r w:rsidRPr="00C9343F">
              <w:rPr>
                <w:rFonts w:cs="Arial"/>
                <w:b/>
                <w:bCs/>
                <w:sz w:val="20"/>
              </w:rPr>
              <w:t>Column A</w:t>
            </w:r>
          </w:p>
          <w:p w14:paraId="46A7D4A2" w14:textId="77777777" w:rsidR="00245DCD" w:rsidRPr="00C9343F" w:rsidRDefault="00245DCD" w:rsidP="00F66D98">
            <w:pPr>
              <w:keepNext/>
              <w:spacing w:before="20" w:after="20"/>
              <w:jc w:val="center"/>
              <w:rPr>
                <w:rFonts w:cs="Arial"/>
                <w:b/>
                <w:bCs/>
                <w:sz w:val="20"/>
              </w:rPr>
            </w:pPr>
            <w:r w:rsidRPr="00C9343F">
              <w:rPr>
                <w:rFonts w:cs="Arial"/>
                <w:b/>
                <w:bCs/>
                <w:sz w:val="20"/>
              </w:rPr>
              <w:t>Pay grade</w:t>
            </w:r>
          </w:p>
        </w:tc>
        <w:tc>
          <w:tcPr>
            <w:tcW w:w="291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2F95363A" w14:textId="77777777" w:rsidR="00245DCD" w:rsidRPr="00C9343F" w:rsidRDefault="00245DCD" w:rsidP="00F66D98">
            <w:pPr>
              <w:keepNext/>
              <w:spacing w:before="20" w:after="20"/>
              <w:jc w:val="center"/>
              <w:rPr>
                <w:rFonts w:cs="Arial"/>
                <w:b/>
                <w:bCs/>
                <w:sz w:val="20"/>
              </w:rPr>
            </w:pPr>
            <w:r w:rsidRPr="00C9343F">
              <w:rPr>
                <w:rFonts w:cs="Arial"/>
                <w:b/>
                <w:bCs/>
                <w:sz w:val="20"/>
              </w:rPr>
              <w:t>Column B</w:t>
            </w:r>
          </w:p>
          <w:p w14:paraId="0A4E0DB7" w14:textId="77777777" w:rsidR="00245DCD" w:rsidRPr="00C9343F" w:rsidRDefault="00245DCD" w:rsidP="00F66D98">
            <w:pPr>
              <w:keepNext/>
              <w:spacing w:before="20" w:after="20"/>
              <w:jc w:val="center"/>
              <w:rPr>
                <w:rFonts w:cs="Arial"/>
                <w:b/>
                <w:bCs/>
                <w:sz w:val="20"/>
              </w:rPr>
            </w:pPr>
            <w:r w:rsidRPr="00C9343F">
              <w:rPr>
                <w:rFonts w:cs="Arial"/>
                <w:b/>
                <w:bCs/>
                <w:sz w:val="20"/>
              </w:rPr>
              <w:t>Specialist employment category, level, and conditions (if any)</w:t>
            </w:r>
          </w:p>
        </w:tc>
        <w:tc>
          <w:tcPr>
            <w:tcW w:w="222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6F70D342" w14:textId="77777777" w:rsidR="00245DCD" w:rsidRPr="00C9343F" w:rsidRDefault="00245DCD" w:rsidP="00F66D98">
            <w:pPr>
              <w:keepNext/>
              <w:spacing w:before="20" w:after="20"/>
              <w:jc w:val="center"/>
              <w:rPr>
                <w:rFonts w:cs="Arial"/>
                <w:b/>
                <w:bCs/>
                <w:sz w:val="20"/>
              </w:rPr>
            </w:pPr>
            <w:r w:rsidRPr="00C9343F">
              <w:rPr>
                <w:rFonts w:cs="Arial"/>
                <w:b/>
                <w:bCs/>
                <w:sz w:val="20"/>
              </w:rPr>
              <w:t>Column C</w:t>
            </w:r>
          </w:p>
          <w:p w14:paraId="56658A81" w14:textId="77777777" w:rsidR="00245DCD" w:rsidRPr="00C9343F" w:rsidRDefault="00245DCD" w:rsidP="00F66D98">
            <w:pPr>
              <w:keepNext/>
              <w:spacing w:before="20" w:after="20"/>
              <w:jc w:val="center"/>
              <w:rPr>
                <w:rFonts w:cs="Arial"/>
                <w:b/>
                <w:bCs/>
                <w:sz w:val="20"/>
              </w:rPr>
            </w:pPr>
            <w:r w:rsidRPr="00C9343F">
              <w:rPr>
                <w:rFonts w:cs="Arial"/>
                <w:b/>
                <w:bCs/>
                <w:sz w:val="20"/>
              </w:rPr>
              <w:t>Start date</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107F56B3" w14:textId="77777777" w:rsidR="00245DCD" w:rsidRPr="00C9343F" w:rsidRDefault="00245DCD" w:rsidP="00F66D98">
            <w:pPr>
              <w:keepNext/>
              <w:spacing w:before="20" w:after="20"/>
              <w:jc w:val="center"/>
              <w:rPr>
                <w:rFonts w:cs="Arial"/>
                <w:b/>
                <w:bCs/>
                <w:sz w:val="20"/>
              </w:rPr>
            </w:pPr>
            <w:r w:rsidRPr="00C9343F">
              <w:rPr>
                <w:rFonts w:cs="Arial"/>
                <w:b/>
                <w:bCs/>
                <w:sz w:val="20"/>
              </w:rPr>
              <w:t>Column D</w:t>
            </w:r>
          </w:p>
          <w:p w14:paraId="002DD0B8" w14:textId="77777777" w:rsidR="00245DCD" w:rsidRPr="00C9343F" w:rsidRDefault="00245DCD" w:rsidP="00F66D98">
            <w:pPr>
              <w:keepNext/>
              <w:spacing w:before="20" w:after="20"/>
              <w:jc w:val="center"/>
              <w:rPr>
                <w:rFonts w:cs="Arial"/>
                <w:b/>
                <w:bCs/>
                <w:sz w:val="20"/>
              </w:rPr>
            </w:pPr>
            <w:r w:rsidRPr="00C9343F">
              <w:rPr>
                <w:rFonts w:cs="Arial"/>
                <w:b/>
                <w:bCs/>
                <w:sz w:val="20"/>
              </w:rPr>
              <w:t>End date</w:t>
            </w:r>
          </w:p>
        </w:tc>
      </w:tr>
      <w:tr w:rsidR="00245DCD" w:rsidRPr="00C9343F" w14:paraId="1AA76B5D" w14:textId="77777777" w:rsidTr="00245DCD">
        <w:trPr>
          <w:trHeight w:val="700"/>
        </w:trPr>
        <w:tc>
          <w:tcPr>
            <w:tcW w:w="709" w:type="dxa"/>
          </w:tcPr>
          <w:p w14:paraId="1BA03500" w14:textId="77777777" w:rsidR="00245DCD" w:rsidRPr="00C9343F" w:rsidRDefault="00245DCD" w:rsidP="00F66D98">
            <w:pPr>
              <w:spacing w:beforeLines="20" w:before="48" w:after="120"/>
              <w:jc w:val="center"/>
              <w:rPr>
                <w:rFonts w:cs="Arial"/>
                <w:sz w:val="20"/>
              </w:rPr>
            </w:pPr>
            <w:r w:rsidRPr="00C9343F">
              <w:rPr>
                <w:rFonts w:cs="Arial"/>
                <w:sz w:val="20"/>
              </w:rPr>
              <w:t>3.</w:t>
            </w:r>
          </w:p>
        </w:tc>
        <w:tc>
          <w:tcPr>
            <w:tcW w:w="1559" w:type="dxa"/>
          </w:tcPr>
          <w:p w14:paraId="6C1E0B67" w14:textId="77777777" w:rsidR="00245DCD" w:rsidRPr="00C9343F" w:rsidRDefault="00245DCD" w:rsidP="00F66D98">
            <w:pPr>
              <w:spacing w:beforeLines="20" w:before="48" w:after="120"/>
              <w:ind w:left="135"/>
              <w:rPr>
                <w:rFonts w:cs="Arial"/>
                <w:sz w:val="20"/>
              </w:rPr>
            </w:pPr>
            <w:r w:rsidRPr="00C9343F">
              <w:rPr>
                <w:rFonts w:cs="Arial"/>
                <w:sz w:val="20"/>
              </w:rPr>
              <w:t>Pay grade 4</w:t>
            </w:r>
          </w:p>
        </w:tc>
        <w:tc>
          <w:tcPr>
            <w:tcW w:w="2912" w:type="dxa"/>
            <w:tcMar>
              <w:top w:w="0" w:type="dxa"/>
              <w:left w:w="108" w:type="dxa"/>
              <w:bottom w:w="0" w:type="dxa"/>
              <w:right w:w="108" w:type="dxa"/>
            </w:tcMar>
          </w:tcPr>
          <w:p w14:paraId="57A8566B" w14:textId="77777777" w:rsidR="00245DCD" w:rsidRPr="00C9343F" w:rsidRDefault="00245DCD" w:rsidP="00F66D98">
            <w:pPr>
              <w:spacing w:beforeLines="20" w:before="48" w:after="120"/>
              <w:rPr>
                <w:rFonts w:cs="Arial"/>
                <w:sz w:val="20"/>
              </w:rPr>
            </w:pPr>
            <w:r w:rsidRPr="00C9343F">
              <w:rPr>
                <w:rFonts w:cs="Arial"/>
                <w:sz w:val="20"/>
              </w:rPr>
              <w:t>Management Executive Tier 1 – Specialist</w:t>
            </w:r>
          </w:p>
        </w:tc>
        <w:tc>
          <w:tcPr>
            <w:tcW w:w="2225" w:type="dxa"/>
            <w:tcMar>
              <w:top w:w="0" w:type="dxa"/>
              <w:left w:w="108" w:type="dxa"/>
              <w:bottom w:w="0" w:type="dxa"/>
              <w:right w:w="108" w:type="dxa"/>
            </w:tcMar>
          </w:tcPr>
          <w:p w14:paraId="70082534" w14:textId="77777777" w:rsidR="00245DCD" w:rsidRPr="00C9343F" w:rsidRDefault="00245DCD" w:rsidP="00F66D98">
            <w:pPr>
              <w:spacing w:beforeLines="20" w:before="48" w:after="120"/>
              <w:rPr>
                <w:rFonts w:cs="Arial"/>
                <w:sz w:val="20"/>
              </w:rPr>
            </w:pPr>
            <w:r w:rsidRPr="00C9343F">
              <w:rPr>
                <w:rFonts w:cs="Arial"/>
                <w:sz w:val="20"/>
              </w:rPr>
              <w:t>30 June 2020</w:t>
            </w:r>
          </w:p>
        </w:tc>
        <w:tc>
          <w:tcPr>
            <w:tcW w:w="2268" w:type="dxa"/>
            <w:tcMar>
              <w:top w:w="0" w:type="dxa"/>
              <w:left w:w="108" w:type="dxa"/>
              <w:bottom w:w="0" w:type="dxa"/>
              <w:right w:w="108" w:type="dxa"/>
            </w:tcMar>
          </w:tcPr>
          <w:p w14:paraId="03883009" w14:textId="77777777" w:rsidR="00245DCD" w:rsidRPr="00C9343F" w:rsidRDefault="00245DCD" w:rsidP="00F66D98">
            <w:pPr>
              <w:spacing w:beforeLines="20" w:before="48" w:after="120"/>
              <w:rPr>
                <w:rFonts w:cs="Arial"/>
                <w:sz w:val="20"/>
              </w:rPr>
            </w:pPr>
            <w:r w:rsidRPr="00C9343F">
              <w:rPr>
                <w:rFonts w:cs="Arial"/>
                <w:sz w:val="20"/>
              </w:rPr>
              <w:t>29 June 2025</w:t>
            </w:r>
          </w:p>
        </w:tc>
      </w:tr>
      <w:tr w:rsidR="00245DCD" w:rsidRPr="00C9343F" w14:paraId="28416ADE" w14:textId="77777777" w:rsidTr="00245DCD">
        <w:trPr>
          <w:trHeight w:val="700"/>
        </w:trPr>
        <w:tc>
          <w:tcPr>
            <w:tcW w:w="709" w:type="dxa"/>
            <w:tcBorders>
              <w:bottom w:val="single" w:sz="6" w:space="0" w:color="auto"/>
            </w:tcBorders>
          </w:tcPr>
          <w:p w14:paraId="17BE0DCF" w14:textId="77777777" w:rsidR="00245DCD" w:rsidRPr="00C9343F" w:rsidRDefault="00245DCD" w:rsidP="00F66D98">
            <w:pPr>
              <w:spacing w:beforeLines="20" w:before="48" w:after="120"/>
              <w:jc w:val="center"/>
              <w:rPr>
                <w:rFonts w:cs="Arial"/>
                <w:sz w:val="20"/>
              </w:rPr>
            </w:pPr>
            <w:r w:rsidRPr="00C9343F">
              <w:rPr>
                <w:rFonts w:cs="Arial"/>
                <w:sz w:val="20"/>
              </w:rPr>
              <w:t>5.</w:t>
            </w:r>
          </w:p>
        </w:tc>
        <w:tc>
          <w:tcPr>
            <w:tcW w:w="1559" w:type="dxa"/>
            <w:tcBorders>
              <w:bottom w:val="single" w:sz="6" w:space="0" w:color="auto"/>
            </w:tcBorders>
          </w:tcPr>
          <w:p w14:paraId="71246FA6" w14:textId="77777777" w:rsidR="00245DCD" w:rsidRPr="00C9343F" w:rsidRDefault="00245DCD" w:rsidP="00F66D98">
            <w:pPr>
              <w:spacing w:beforeLines="20" w:before="48" w:after="120"/>
              <w:ind w:left="135"/>
              <w:rPr>
                <w:rFonts w:cs="Arial"/>
                <w:sz w:val="20"/>
              </w:rPr>
            </w:pPr>
            <w:r w:rsidRPr="00C9343F">
              <w:rPr>
                <w:rFonts w:cs="Arial"/>
                <w:sz w:val="20"/>
              </w:rPr>
              <w:t>Pay grade 5</w:t>
            </w:r>
          </w:p>
        </w:tc>
        <w:tc>
          <w:tcPr>
            <w:tcW w:w="2912" w:type="dxa"/>
            <w:tcBorders>
              <w:bottom w:val="single" w:sz="6" w:space="0" w:color="auto"/>
            </w:tcBorders>
            <w:tcMar>
              <w:top w:w="0" w:type="dxa"/>
              <w:left w:w="108" w:type="dxa"/>
              <w:bottom w:w="0" w:type="dxa"/>
              <w:right w:w="108" w:type="dxa"/>
            </w:tcMar>
          </w:tcPr>
          <w:p w14:paraId="1DDC2F04" w14:textId="77777777" w:rsidR="00245DCD" w:rsidRPr="00C9343F" w:rsidRDefault="00245DCD" w:rsidP="00F66D98">
            <w:pPr>
              <w:spacing w:beforeLines="20" w:before="48" w:after="120"/>
              <w:rPr>
                <w:rFonts w:cs="Arial"/>
                <w:sz w:val="20"/>
              </w:rPr>
            </w:pPr>
            <w:r w:rsidRPr="00C9343F">
              <w:rPr>
                <w:rFonts w:cs="Arial"/>
                <w:sz w:val="20"/>
              </w:rPr>
              <w:t>Management Executive Tier 2 – Strategic Specialist</w:t>
            </w:r>
          </w:p>
        </w:tc>
        <w:tc>
          <w:tcPr>
            <w:tcW w:w="2225" w:type="dxa"/>
            <w:tcBorders>
              <w:bottom w:val="single" w:sz="6" w:space="0" w:color="auto"/>
            </w:tcBorders>
            <w:tcMar>
              <w:top w:w="0" w:type="dxa"/>
              <w:left w:w="108" w:type="dxa"/>
              <w:bottom w:w="0" w:type="dxa"/>
              <w:right w:w="108" w:type="dxa"/>
            </w:tcMar>
          </w:tcPr>
          <w:p w14:paraId="23045BBC" w14:textId="77777777" w:rsidR="00245DCD" w:rsidRPr="00C9343F" w:rsidRDefault="00245DCD" w:rsidP="00F66D98">
            <w:pPr>
              <w:spacing w:beforeLines="20" w:before="48" w:after="120"/>
              <w:rPr>
                <w:rFonts w:cs="Arial"/>
                <w:sz w:val="20"/>
              </w:rPr>
            </w:pPr>
            <w:r w:rsidRPr="00C9343F">
              <w:rPr>
                <w:rFonts w:cs="Arial"/>
                <w:sz w:val="20"/>
              </w:rPr>
              <w:t>30 June 2020</w:t>
            </w:r>
          </w:p>
        </w:tc>
        <w:tc>
          <w:tcPr>
            <w:tcW w:w="2268" w:type="dxa"/>
            <w:tcBorders>
              <w:bottom w:val="single" w:sz="6" w:space="0" w:color="auto"/>
            </w:tcBorders>
            <w:tcMar>
              <w:top w:w="0" w:type="dxa"/>
              <w:left w:w="108" w:type="dxa"/>
              <w:bottom w:w="0" w:type="dxa"/>
              <w:right w:w="108" w:type="dxa"/>
            </w:tcMar>
          </w:tcPr>
          <w:p w14:paraId="7940065F" w14:textId="77777777" w:rsidR="00245DCD" w:rsidRPr="00C9343F" w:rsidRDefault="00245DCD" w:rsidP="00F66D98">
            <w:pPr>
              <w:spacing w:beforeLines="20" w:before="48" w:after="120"/>
              <w:rPr>
                <w:rFonts w:cs="Arial"/>
                <w:sz w:val="20"/>
              </w:rPr>
            </w:pPr>
            <w:r w:rsidRPr="00C9343F">
              <w:rPr>
                <w:rFonts w:cs="Arial"/>
                <w:sz w:val="20"/>
              </w:rPr>
              <w:t>29 June 2025</w:t>
            </w:r>
          </w:p>
        </w:tc>
      </w:tr>
      <w:tr w:rsidR="00245DCD" w:rsidRPr="00C9343F" w14:paraId="46BE20B9" w14:textId="77777777" w:rsidTr="00245DCD">
        <w:trPr>
          <w:trHeight w:val="700"/>
        </w:trPr>
        <w:tc>
          <w:tcPr>
            <w:tcW w:w="709" w:type="dxa"/>
            <w:tcBorders>
              <w:top w:val="single" w:sz="6" w:space="0" w:color="auto"/>
              <w:left w:val="single" w:sz="6" w:space="0" w:color="auto"/>
              <w:bottom w:val="single" w:sz="6" w:space="0" w:color="auto"/>
              <w:right w:val="single" w:sz="6" w:space="0" w:color="auto"/>
            </w:tcBorders>
          </w:tcPr>
          <w:p w14:paraId="12F0816C" w14:textId="77777777" w:rsidR="00245DCD" w:rsidRPr="00C9343F" w:rsidRDefault="00245DCD" w:rsidP="00F66D98">
            <w:pPr>
              <w:spacing w:beforeLines="20" w:before="48" w:after="120"/>
              <w:jc w:val="center"/>
              <w:rPr>
                <w:rFonts w:cs="Arial"/>
                <w:sz w:val="20"/>
              </w:rPr>
            </w:pPr>
            <w:r w:rsidRPr="00C9343F">
              <w:rPr>
                <w:rFonts w:cs="Arial"/>
                <w:sz w:val="20"/>
              </w:rPr>
              <w:t>7.</w:t>
            </w:r>
          </w:p>
        </w:tc>
        <w:tc>
          <w:tcPr>
            <w:tcW w:w="1559" w:type="dxa"/>
            <w:tcBorders>
              <w:top w:val="single" w:sz="6" w:space="0" w:color="auto"/>
              <w:left w:val="single" w:sz="6" w:space="0" w:color="auto"/>
              <w:bottom w:val="single" w:sz="6" w:space="0" w:color="auto"/>
              <w:right w:val="single" w:sz="6" w:space="0" w:color="auto"/>
            </w:tcBorders>
          </w:tcPr>
          <w:p w14:paraId="2FA1C209" w14:textId="77777777" w:rsidR="00245DCD" w:rsidRPr="00C9343F" w:rsidRDefault="00245DCD" w:rsidP="00F66D98">
            <w:pPr>
              <w:spacing w:beforeLines="20" w:before="48" w:after="120"/>
              <w:ind w:left="135"/>
              <w:rPr>
                <w:rFonts w:cs="Arial"/>
                <w:sz w:val="20"/>
              </w:rPr>
            </w:pPr>
            <w:r w:rsidRPr="00C9343F">
              <w:rPr>
                <w:rFonts w:cs="Arial"/>
                <w:sz w:val="20"/>
              </w:rPr>
              <w:t>Pay grade 6</w:t>
            </w:r>
          </w:p>
        </w:tc>
        <w:tc>
          <w:tcPr>
            <w:tcW w:w="29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B9D96C7" w14:textId="77777777" w:rsidR="00245DCD" w:rsidRPr="00C9343F" w:rsidRDefault="00245DCD" w:rsidP="00F66D98">
            <w:pPr>
              <w:spacing w:beforeLines="20" w:before="48" w:after="120"/>
              <w:rPr>
                <w:rFonts w:cs="Arial"/>
                <w:sz w:val="20"/>
              </w:rPr>
            </w:pPr>
            <w:r w:rsidRPr="00C9343F">
              <w:rPr>
                <w:rFonts w:cs="Arial"/>
                <w:sz w:val="20"/>
              </w:rPr>
              <w:t>Management Executive Tier 3 – Senior Strategic Specialist</w:t>
            </w:r>
          </w:p>
        </w:tc>
        <w:tc>
          <w:tcPr>
            <w:tcW w:w="22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7AE4363" w14:textId="77777777" w:rsidR="00245DCD" w:rsidRPr="00C9343F" w:rsidRDefault="00245DCD" w:rsidP="00F66D98">
            <w:pPr>
              <w:spacing w:beforeLines="20" w:before="48" w:after="120"/>
              <w:rPr>
                <w:rFonts w:cs="Arial"/>
                <w:sz w:val="20"/>
              </w:rPr>
            </w:pPr>
            <w:r w:rsidRPr="00C9343F">
              <w:rPr>
                <w:rFonts w:cs="Arial"/>
                <w:sz w:val="20"/>
              </w:rPr>
              <w:t>30 June 2020</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5BE072" w14:textId="77777777" w:rsidR="00245DCD" w:rsidRPr="00C9343F" w:rsidRDefault="00245DCD" w:rsidP="00F66D98">
            <w:pPr>
              <w:spacing w:beforeLines="20" w:before="48" w:after="120"/>
              <w:rPr>
                <w:rFonts w:cs="Arial"/>
                <w:sz w:val="20"/>
              </w:rPr>
            </w:pPr>
            <w:r w:rsidRPr="00C9343F">
              <w:rPr>
                <w:rFonts w:cs="Arial"/>
                <w:sz w:val="20"/>
              </w:rPr>
              <w:t>29 June 2025</w:t>
            </w:r>
          </w:p>
        </w:tc>
      </w:tr>
      <w:tr w:rsidR="00245DCD" w:rsidRPr="00C9343F" w14:paraId="021D40E6" w14:textId="77777777" w:rsidTr="00245DCD">
        <w:trPr>
          <w:trHeight w:val="700"/>
        </w:trPr>
        <w:tc>
          <w:tcPr>
            <w:tcW w:w="709" w:type="dxa"/>
            <w:tcBorders>
              <w:top w:val="single" w:sz="6" w:space="0" w:color="auto"/>
              <w:left w:val="single" w:sz="6" w:space="0" w:color="auto"/>
              <w:bottom w:val="single" w:sz="6" w:space="0" w:color="auto"/>
              <w:right w:val="single" w:sz="6" w:space="0" w:color="auto"/>
            </w:tcBorders>
          </w:tcPr>
          <w:p w14:paraId="567B5120" w14:textId="77777777" w:rsidR="00245DCD" w:rsidRPr="00C9343F" w:rsidRDefault="00245DCD" w:rsidP="00F66D98">
            <w:pPr>
              <w:spacing w:beforeLines="20" w:before="48" w:after="120"/>
              <w:jc w:val="center"/>
              <w:rPr>
                <w:rFonts w:cs="Arial"/>
                <w:sz w:val="20"/>
              </w:rPr>
            </w:pPr>
            <w:r w:rsidRPr="00C9343F">
              <w:rPr>
                <w:rFonts w:cs="Arial"/>
                <w:sz w:val="20"/>
              </w:rPr>
              <w:t>9.</w:t>
            </w:r>
          </w:p>
        </w:tc>
        <w:tc>
          <w:tcPr>
            <w:tcW w:w="1559" w:type="dxa"/>
            <w:tcBorders>
              <w:top w:val="single" w:sz="6" w:space="0" w:color="auto"/>
              <w:left w:val="single" w:sz="6" w:space="0" w:color="auto"/>
              <w:bottom w:val="single" w:sz="6" w:space="0" w:color="auto"/>
              <w:right w:val="single" w:sz="6" w:space="0" w:color="auto"/>
            </w:tcBorders>
          </w:tcPr>
          <w:p w14:paraId="53E42C50" w14:textId="77777777" w:rsidR="00245DCD" w:rsidRPr="00C9343F" w:rsidRDefault="00245DCD" w:rsidP="00F66D98">
            <w:pPr>
              <w:spacing w:beforeLines="20" w:before="48" w:after="120"/>
              <w:ind w:left="135"/>
              <w:rPr>
                <w:rFonts w:cs="Arial"/>
                <w:sz w:val="20"/>
              </w:rPr>
            </w:pPr>
            <w:r w:rsidRPr="00C9343F">
              <w:rPr>
                <w:rFonts w:cs="Arial"/>
                <w:sz w:val="20"/>
              </w:rPr>
              <w:t>Pay grade 8</w:t>
            </w:r>
          </w:p>
        </w:tc>
        <w:tc>
          <w:tcPr>
            <w:tcW w:w="29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384E448" w14:textId="77777777" w:rsidR="00245DCD" w:rsidRPr="00C9343F" w:rsidRDefault="00245DCD" w:rsidP="00F66D98">
            <w:pPr>
              <w:spacing w:beforeLines="20" w:before="48" w:after="120"/>
              <w:rPr>
                <w:rFonts w:cs="Arial"/>
                <w:sz w:val="20"/>
              </w:rPr>
            </w:pPr>
            <w:r w:rsidRPr="00C9343F">
              <w:rPr>
                <w:rFonts w:cs="Arial"/>
                <w:sz w:val="20"/>
              </w:rPr>
              <w:t>Management Executive Shore Command</w:t>
            </w:r>
          </w:p>
        </w:tc>
        <w:tc>
          <w:tcPr>
            <w:tcW w:w="22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C369B96" w14:textId="77777777" w:rsidR="00245DCD" w:rsidRPr="00C9343F" w:rsidRDefault="00245DCD" w:rsidP="00F66D98">
            <w:pPr>
              <w:spacing w:beforeLines="20" w:before="48" w:after="120"/>
              <w:rPr>
                <w:rFonts w:cs="Arial"/>
                <w:sz w:val="20"/>
              </w:rPr>
            </w:pPr>
            <w:r w:rsidRPr="00C9343F">
              <w:rPr>
                <w:rFonts w:cs="Arial"/>
                <w:sz w:val="20"/>
              </w:rPr>
              <w:t>30 June 2020</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5FBA607" w14:textId="77777777" w:rsidR="00245DCD" w:rsidRPr="00C9343F" w:rsidRDefault="00245DCD" w:rsidP="00F66D98">
            <w:pPr>
              <w:spacing w:beforeLines="20" w:before="48" w:after="120"/>
              <w:rPr>
                <w:rFonts w:cs="Arial"/>
                <w:sz w:val="20"/>
              </w:rPr>
            </w:pPr>
            <w:r w:rsidRPr="00C9343F">
              <w:rPr>
                <w:rFonts w:cs="Arial"/>
                <w:sz w:val="20"/>
              </w:rPr>
              <w:t>29 June 2025</w:t>
            </w:r>
          </w:p>
        </w:tc>
      </w:tr>
      <w:tr w:rsidR="000577E2" w:rsidRPr="00C9343F" w14:paraId="1C5824B6" w14:textId="77777777" w:rsidTr="00245DCD">
        <w:trPr>
          <w:trHeight w:val="700"/>
        </w:trPr>
        <w:tc>
          <w:tcPr>
            <w:tcW w:w="709" w:type="dxa"/>
            <w:tcBorders>
              <w:top w:val="single" w:sz="6" w:space="0" w:color="auto"/>
              <w:left w:val="single" w:sz="6" w:space="0" w:color="auto"/>
              <w:bottom w:val="single" w:sz="6" w:space="0" w:color="auto"/>
              <w:right w:val="single" w:sz="6" w:space="0" w:color="auto"/>
            </w:tcBorders>
          </w:tcPr>
          <w:p w14:paraId="4182D159" w14:textId="32C5EF54" w:rsidR="000577E2" w:rsidRPr="00C9343F" w:rsidRDefault="000577E2" w:rsidP="00F66D98">
            <w:pPr>
              <w:spacing w:beforeLines="20" w:before="48" w:after="120"/>
              <w:jc w:val="center"/>
              <w:rPr>
                <w:rFonts w:cs="Arial"/>
                <w:sz w:val="20"/>
              </w:rPr>
            </w:pPr>
            <w:r w:rsidRPr="00C9343F">
              <w:rPr>
                <w:rFonts w:cs="Arial"/>
                <w:sz w:val="20"/>
              </w:rPr>
              <w:t>10.</w:t>
            </w:r>
          </w:p>
        </w:tc>
        <w:tc>
          <w:tcPr>
            <w:tcW w:w="1559" w:type="dxa"/>
            <w:tcBorders>
              <w:top w:val="single" w:sz="6" w:space="0" w:color="auto"/>
              <w:left w:val="single" w:sz="6" w:space="0" w:color="auto"/>
              <w:bottom w:val="single" w:sz="6" w:space="0" w:color="auto"/>
              <w:right w:val="single" w:sz="6" w:space="0" w:color="auto"/>
            </w:tcBorders>
          </w:tcPr>
          <w:p w14:paraId="52A6184D" w14:textId="6E7B2648" w:rsidR="000577E2" w:rsidRPr="00C9343F" w:rsidRDefault="000577E2" w:rsidP="00F66D98">
            <w:pPr>
              <w:spacing w:beforeLines="20" w:before="48" w:after="120"/>
              <w:ind w:left="135"/>
              <w:rPr>
                <w:rFonts w:cs="Arial"/>
                <w:sz w:val="20"/>
              </w:rPr>
            </w:pPr>
            <w:r w:rsidRPr="00C9343F">
              <w:rPr>
                <w:rFonts w:cs="Arial"/>
                <w:sz w:val="20"/>
              </w:rPr>
              <w:t>–</w:t>
            </w:r>
          </w:p>
        </w:tc>
        <w:tc>
          <w:tcPr>
            <w:tcW w:w="29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8FF1B10" w14:textId="05787DEA" w:rsidR="000577E2" w:rsidRPr="00C9343F" w:rsidRDefault="000577E2" w:rsidP="00F66D98">
            <w:pPr>
              <w:spacing w:beforeLines="20" w:before="48" w:after="120"/>
              <w:rPr>
                <w:rFonts w:cs="Arial"/>
                <w:sz w:val="20"/>
              </w:rPr>
            </w:pPr>
            <w:r w:rsidRPr="00C9343F">
              <w:rPr>
                <w:rFonts w:cs="Arial"/>
                <w:sz w:val="20"/>
              </w:rPr>
              <w:t>Medical Officer ML2-5</w:t>
            </w:r>
          </w:p>
        </w:tc>
        <w:tc>
          <w:tcPr>
            <w:tcW w:w="22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DBE0D86" w14:textId="7A8320E4" w:rsidR="000577E2" w:rsidRPr="00C9343F" w:rsidRDefault="000577E2" w:rsidP="00F66D98">
            <w:pPr>
              <w:spacing w:beforeLines="20" w:before="48" w:after="120"/>
              <w:rPr>
                <w:rFonts w:cs="Arial"/>
                <w:sz w:val="20"/>
              </w:rPr>
            </w:pPr>
            <w:r w:rsidRPr="00C9343F">
              <w:rPr>
                <w:rFonts w:cs="Arial"/>
                <w:sz w:val="20"/>
              </w:rPr>
              <w:t>29 April 2021</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F19D047" w14:textId="1391D573" w:rsidR="000577E2" w:rsidRPr="00C9343F" w:rsidRDefault="000577E2" w:rsidP="00F66D98">
            <w:pPr>
              <w:spacing w:beforeLines="20" w:before="48" w:after="120"/>
              <w:rPr>
                <w:rFonts w:cs="Arial"/>
                <w:sz w:val="20"/>
              </w:rPr>
            </w:pPr>
            <w:r w:rsidRPr="00C9343F">
              <w:rPr>
                <w:rFonts w:cs="Arial"/>
                <w:sz w:val="20"/>
              </w:rPr>
              <w:t>28 April 2026</w:t>
            </w:r>
          </w:p>
        </w:tc>
      </w:tr>
      <w:tr w:rsidR="000577E2" w:rsidRPr="00C9343F" w14:paraId="3A8ADD50" w14:textId="77777777" w:rsidTr="00245DCD">
        <w:trPr>
          <w:trHeight w:val="700"/>
        </w:trPr>
        <w:tc>
          <w:tcPr>
            <w:tcW w:w="709" w:type="dxa"/>
            <w:tcBorders>
              <w:top w:val="single" w:sz="6" w:space="0" w:color="auto"/>
              <w:left w:val="single" w:sz="6" w:space="0" w:color="auto"/>
              <w:bottom w:val="single" w:sz="6" w:space="0" w:color="auto"/>
              <w:right w:val="single" w:sz="6" w:space="0" w:color="auto"/>
            </w:tcBorders>
          </w:tcPr>
          <w:p w14:paraId="5CD6B3FF" w14:textId="342BBE84" w:rsidR="000577E2" w:rsidRPr="00C9343F" w:rsidRDefault="000577E2" w:rsidP="00F66D98">
            <w:pPr>
              <w:spacing w:beforeLines="20" w:before="48" w:after="120"/>
              <w:jc w:val="center"/>
              <w:rPr>
                <w:rFonts w:cs="Arial"/>
                <w:sz w:val="20"/>
              </w:rPr>
            </w:pPr>
            <w:r w:rsidRPr="00C9343F">
              <w:rPr>
                <w:rFonts w:cs="Arial"/>
                <w:sz w:val="20"/>
              </w:rPr>
              <w:t>11.</w:t>
            </w:r>
          </w:p>
        </w:tc>
        <w:tc>
          <w:tcPr>
            <w:tcW w:w="1559" w:type="dxa"/>
            <w:tcBorders>
              <w:top w:val="single" w:sz="6" w:space="0" w:color="auto"/>
              <w:left w:val="single" w:sz="6" w:space="0" w:color="auto"/>
              <w:bottom w:val="single" w:sz="6" w:space="0" w:color="auto"/>
              <w:right w:val="single" w:sz="6" w:space="0" w:color="auto"/>
            </w:tcBorders>
          </w:tcPr>
          <w:p w14:paraId="33C426E9" w14:textId="0D389031" w:rsidR="000577E2" w:rsidRPr="00C9343F" w:rsidRDefault="000577E2" w:rsidP="00F66D98">
            <w:pPr>
              <w:spacing w:beforeLines="20" w:before="48" w:after="120"/>
              <w:ind w:left="135"/>
              <w:rPr>
                <w:rFonts w:cs="Arial"/>
                <w:sz w:val="20"/>
              </w:rPr>
            </w:pPr>
            <w:r w:rsidRPr="00C9343F">
              <w:rPr>
                <w:rFonts w:cs="Arial"/>
                <w:sz w:val="20"/>
              </w:rPr>
              <w:t>–</w:t>
            </w:r>
          </w:p>
        </w:tc>
        <w:tc>
          <w:tcPr>
            <w:tcW w:w="29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7159A5B" w14:textId="4E007128" w:rsidR="000577E2" w:rsidRPr="00C9343F" w:rsidRDefault="000577E2" w:rsidP="00F66D98">
            <w:pPr>
              <w:spacing w:beforeLines="20" w:before="48" w:after="120"/>
              <w:rPr>
                <w:rFonts w:cs="Arial"/>
                <w:sz w:val="20"/>
              </w:rPr>
            </w:pPr>
            <w:r w:rsidRPr="00C9343F">
              <w:rPr>
                <w:rFonts w:cs="Arial"/>
                <w:sz w:val="20"/>
              </w:rPr>
              <w:t>Medical Officer ML2-6</w:t>
            </w:r>
          </w:p>
        </w:tc>
        <w:tc>
          <w:tcPr>
            <w:tcW w:w="22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2CF4323" w14:textId="0201DEB5" w:rsidR="000577E2" w:rsidRPr="00C9343F" w:rsidRDefault="000577E2" w:rsidP="00F66D98">
            <w:pPr>
              <w:spacing w:beforeLines="20" w:before="48" w:after="120"/>
              <w:rPr>
                <w:rFonts w:cs="Arial"/>
                <w:sz w:val="20"/>
              </w:rPr>
            </w:pPr>
            <w:r w:rsidRPr="00C9343F">
              <w:rPr>
                <w:rFonts w:cs="Arial"/>
                <w:sz w:val="20"/>
              </w:rPr>
              <w:t>29 April 2021</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44F8AC1" w14:textId="1CC96AB2" w:rsidR="000577E2" w:rsidRPr="00C9343F" w:rsidRDefault="000577E2" w:rsidP="00F66D98">
            <w:pPr>
              <w:spacing w:beforeLines="20" w:before="48" w:after="120"/>
              <w:rPr>
                <w:rFonts w:cs="Arial"/>
                <w:sz w:val="20"/>
              </w:rPr>
            </w:pPr>
            <w:r w:rsidRPr="00C9343F">
              <w:rPr>
                <w:rFonts w:cs="Arial"/>
                <w:sz w:val="20"/>
              </w:rPr>
              <w:t>28 April 2026</w:t>
            </w:r>
          </w:p>
        </w:tc>
      </w:tr>
      <w:tr w:rsidR="000577E2" w:rsidRPr="00C9343F" w14:paraId="463A21C2" w14:textId="77777777" w:rsidTr="00245DCD">
        <w:trPr>
          <w:trHeight w:val="700"/>
        </w:trPr>
        <w:tc>
          <w:tcPr>
            <w:tcW w:w="709" w:type="dxa"/>
            <w:tcBorders>
              <w:top w:val="single" w:sz="6" w:space="0" w:color="auto"/>
              <w:left w:val="single" w:sz="6" w:space="0" w:color="auto"/>
              <w:bottom w:val="single" w:sz="6" w:space="0" w:color="auto"/>
              <w:right w:val="single" w:sz="6" w:space="0" w:color="auto"/>
            </w:tcBorders>
          </w:tcPr>
          <w:p w14:paraId="7EE282BD" w14:textId="4F8AAB2D" w:rsidR="000577E2" w:rsidRPr="00C9343F" w:rsidRDefault="000577E2" w:rsidP="00F66D98">
            <w:pPr>
              <w:spacing w:beforeLines="20" w:before="48" w:after="120"/>
              <w:jc w:val="center"/>
              <w:rPr>
                <w:rFonts w:cs="Arial"/>
                <w:sz w:val="20"/>
              </w:rPr>
            </w:pPr>
            <w:r w:rsidRPr="00C9343F">
              <w:rPr>
                <w:rFonts w:cs="Arial"/>
                <w:sz w:val="20"/>
              </w:rPr>
              <w:t>12.</w:t>
            </w:r>
          </w:p>
        </w:tc>
        <w:tc>
          <w:tcPr>
            <w:tcW w:w="1559" w:type="dxa"/>
            <w:tcBorders>
              <w:top w:val="single" w:sz="6" w:space="0" w:color="auto"/>
              <w:left w:val="single" w:sz="6" w:space="0" w:color="auto"/>
              <w:bottom w:val="single" w:sz="6" w:space="0" w:color="auto"/>
              <w:right w:val="single" w:sz="6" w:space="0" w:color="auto"/>
            </w:tcBorders>
          </w:tcPr>
          <w:p w14:paraId="52BE91A8" w14:textId="15D5B65E" w:rsidR="000577E2" w:rsidRPr="00C9343F" w:rsidRDefault="000577E2" w:rsidP="00F66D98">
            <w:pPr>
              <w:spacing w:beforeLines="20" w:before="48" w:after="120"/>
              <w:ind w:left="135"/>
              <w:rPr>
                <w:rFonts w:cs="Arial"/>
                <w:sz w:val="20"/>
              </w:rPr>
            </w:pPr>
            <w:r w:rsidRPr="00C9343F">
              <w:rPr>
                <w:rFonts w:cs="Arial"/>
                <w:sz w:val="20"/>
              </w:rPr>
              <w:t>–</w:t>
            </w:r>
          </w:p>
        </w:tc>
        <w:tc>
          <w:tcPr>
            <w:tcW w:w="29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3E6C3C1" w14:textId="42C1DF88" w:rsidR="000577E2" w:rsidRPr="00C9343F" w:rsidRDefault="000577E2" w:rsidP="00F66D98">
            <w:pPr>
              <w:spacing w:beforeLines="20" w:before="48" w:after="120"/>
              <w:rPr>
                <w:rFonts w:cs="Arial"/>
                <w:sz w:val="20"/>
              </w:rPr>
            </w:pPr>
            <w:r w:rsidRPr="00C9343F">
              <w:rPr>
                <w:rFonts w:cs="Arial"/>
                <w:sz w:val="20"/>
              </w:rPr>
              <w:t>Medical Officer ML2-7</w:t>
            </w:r>
          </w:p>
        </w:tc>
        <w:tc>
          <w:tcPr>
            <w:tcW w:w="22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6F0A843" w14:textId="22A944C4" w:rsidR="000577E2" w:rsidRPr="00C9343F" w:rsidRDefault="000577E2" w:rsidP="00F66D98">
            <w:pPr>
              <w:spacing w:beforeLines="20" w:before="48" w:after="120"/>
              <w:rPr>
                <w:rFonts w:cs="Arial"/>
                <w:sz w:val="20"/>
              </w:rPr>
            </w:pPr>
            <w:r w:rsidRPr="00C9343F">
              <w:rPr>
                <w:rFonts w:cs="Arial"/>
                <w:sz w:val="20"/>
              </w:rPr>
              <w:t>29 April 2021</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9741AF0" w14:textId="52BFDD4E" w:rsidR="000577E2" w:rsidRPr="00C9343F" w:rsidRDefault="000577E2" w:rsidP="00F66D98">
            <w:pPr>
              <w:spacing w:beforeLines="20" w:before="48" w:after="120"/>
              <w:rPr>
                <w:rFonts w:cs="Arial"/>
                <w:sz w:val="20"/>
              </w:rPr>
            </w:pPr>
            <w:r w:rsidRPr="00C9343F">
              <w:rPr>
                <w:rFonts w:cs="Arial"/>
                <w:sz w:val="20"/>
              </w:rPr>
              <w:t>28 April 2026</w:t>
            </w:r>
          </w:p>
        </w:tc>
      </w:tr>
    </w:tbl>
    <w:p w14:paraId="0B9266BB" w14:textId="77777777" w:rsidR="00C35AD4" w:rsidRPr="00C9343F" w:rsidRDefault="00C35AD4" w:rsidP="00F66D98">
      <w:pPr>
        <w:pStyle w:val="Heading4"/>
        <w:rPr>
          <w:sz w:val="20"/>
        </w:rPr>
      </w:pPr>
    </w:p>
    <w:p w14:paraId="7D7C1B8F" w14:textId="39258BE4" w:rsidR="00326686" w:rsidRPr="00C9343F" w:rsidRDefault="00326686" w:rsidP="00C35AD4">
      <w:pPr>
        <w:pStyle w:val="Heading4"/>
        <w:pageBreakBefore/>
      </w:pPr>
      <w:bookmarkStart w:id="534" w:name="_Toc105053743"/>
      <w:r w:rsidRPr="00C9343F">
        <w:lastRenderedPageBreak/>
        <w:t>Annex 3.2.E: Officer Aviation Specialist Structure to Officer Aviation Pay Structure — conversion table</w:t>
      </w:r>
      <w:bookmarkEnd w:id="5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2977"/>
      </w:tblGrid>
      <w:tr w:rsidR="00326686" w:rsidRPr="00C9343F" w14:paraId="78427126"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1D3A3A62" w14:textId="77777777" w:rsidR="00326686" w:rsidRPr="00C9343F" w:rsidRDefault="00326686" w:rsidP="00F66D98">
            <w:pPr>
              <w:spacing w:before="20" w:after="20"/>
              <w:jc w:val="center"/>
              <w:rPr>
                <w:rFonts w:cs="Arial"/>
                <w:b/>
                <w:bCs/>
                <w:sz w:val="20"/>
                <w:lang w:eastAsia="en-US"/>
              </w:rPr>
            </w:pPr>
            <w:r w:rsidRPr="00C9343F">
              <w:rPr>
                <w:rFonts w:cs="Arial"/>
                <w:b/>
                <w:bCs/>
                <w:sz w:val="20"/>
                <w:lang w:eastAsia="en-US"/>
              </w:rPr>
              <w:t>Column 1</w:t>
            </w:r>
          </w:p>
          <w:p w14:paraId="5DDE77C6" w14:textId="77777777" w:rsidR="00326686" w:rsidRPr="00C9343F" w:rsidRDefault="00326686" w:rsidP="00F66D98">
            <w:pPr>
              <w:spacing w:before="20" w:after="20"/>
              <w:jc w:val="center"/>
              <w:rPr>
                <w:rFonts w:cs="Arial"/>
                <w:b/>
                <w:bCs/>
                <w:sz w:val="20"/>
                <w:lang w:eastAsia="en-US"/>
              </w:rPr>
            </w:pPr>
            <w:r w:rsidRPr="00C9343F">
              <w:rPr>
                <w:rFonts w:cs="Arial"/>
                <w:b/>
                <w:bCs/>
                <w:sz w:val="20"/>
                <w:lang w:eastAsia="en-US"/>
              </w:rPr>
              <w:t>Item</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AA5CD48" w14:textId="77777777" w:rsidR="00326686" w:rsidRPr="00C9343F" w:rsidRDefault="00326686" w:rsidP="00F66D98">
            <w:pPr>
              <w:spacing w:before="20" w:after="20"/>
              <w:jc w:val="center"/>
              <w:rPr>
                <w:rFonts w:cs="Arial"/>
                <w:b/>
                <w:bCs/>
                <w:sz w:val="20"/>
                <w:lang w:eastAsia="en-US"/>
              </w:rPr>
            </w:pPr>
            <w:r w:rsidRPr="00C9343F">
              <w:rPr>
                <w:rFonts w:cs="Arial"/>
                <w:b/>
                <w:bCs/>
                <w:sz w:val="20"/>
                <w:lang w:eastAsia="en-US"/>
              </w:rPr>
              <w:t>Column 2</w:t>
            </w:r>
          </w:p>
          <w:p w14:paraId="05C121A5" w14:textId="77777777" w:rsidR="00326686" w:rsidRPr="00C9343F" w:rsidRDefault="00326686" w:rsidP="00F66D98">
            <w:pPr>
              <w:spacing w:before="20" w:after="20"/>
              <w:jc w:val="center"/>
              <w:rPr>
                <w:rFonts w:cs="Arial"/>
                <w:b/>
                <w:bCs/>
                <w:sz w:val="20"/>
                <w:lang w:eastAsia="en-US"/>
              </w:rPr>
            </w:pPr>
            <w:r w:rsidRPr="00C9343F">
              <w:rPr>
                <w:rFonts w:cs="Arial"/>
                <w:b/>
                <w:bCs/>
                <w:sz w:val="20"/>
                <w:lang w:eastAsia="en-US"/>
              </w:rPr>
              <w:t>Aviation Specialist experience level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D346C4A" w14:textId="77777777" w:rsidR="00326686" w:rsidRPr="00C9343F" w:rsidRDefault="00326686" w:rsidP="00F66D98">
            <w:pPr>
              <w:spacing w:before="20" w:after="20"/>
              <w:jc w:val="center"/>
              <w:rPr>
                <w:rFonts w:cs="Arial"/>
                <w:b/>
                <w:bCs/>
                <w:sz w:val="20"/>
                <w:lang w:eastAsia="en-US"/>
              </w:rPr>
            </w:pPr>
            <w:r w:rsidRPr="00C9343F">
              <w:rPr>
                <w:rFonts w:cs="Arial"/>
                <w:b/>
                <w:bCs/>
                <w:sz w:val="20"/>
                <w:lang w:eastAsia="en-US"/>
              </w:rPr>
              <w:t>Column 3</w:t>
            </w:r>
          </w:p>
          <w:p w14:paraId="3F2B394F" w14:textId="77777777" w:rsidR="00326686" w:rsidRPr="00C9343F" w:rsidRDefault="00326686" w:rsidP="00F66D98">
            <w:pPr>
              <w:spacing w:before="20" w:after="20"/>
              <w:jc w:val="center"/>
              <w:rPr>
                <w:rFonts w:cs="Arial"/>
                <w:b/>
                <w:bCs/>
                <w:sz w:val="20"/>
                <w:lang w:eastAsia="en-US"/>
              </w:rPr>
            </w:pPr>
            <w:r w:rsidRPr="00C9343F">
              <w:rPr>
                <w:rFonts w:cs="Arial"/>
                <w:b/>
                <w:bCs/>
                <w:sz w:val="20"/>
                <w:lang w:eastAsia="en-US"/>
              </w:rPr>
              <w:t>Officer Aviation increment equivalent</w:t>
            </w:r>
          </w:p>
        </w:tc>
      </w:tr>
      <w:tr w:rsidR="00326686" w:rsidRPr="00C9343F" w14:paraId="5D4C8A72"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27FBBCC3"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F854559"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6C27699"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8</w:t>
            </w:r>
          </w:p>
        </w:tc>
      </w:tr>
      <w:tr w:rsidR="00326686" w:rsidRPr="00C9343F" w14:paraId="53C6F308"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C682076"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1B24209"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E9C0DB7"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9</w:t>
            </w:r>
          </w:p>
        </w:tc>
      </w:tr>
      <w:tr w:rsidR="00326686" w:rsidRPr="00C9343F" w14:paraId="1ABAC621"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126653AC"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AA4B82F"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C3AE6F3"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10</w:t>
            </w:r>
          </w:p>
        </w:tc>
      </w:tr>
      <w:tr w:rsidR="00326686" w:rsidRPr="00C9343F" w14:paraId="1B9D5027"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0A4FAF44"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E037DED"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702A5BE"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11</w:t>
            </w:r>
          </w:p>
        </w:tc>
      </w:tr>
      <w:tr w:rsidR="00326686" w:rsidRPr="00C9343F" w14:paraId="53337982"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7D18B1BF"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767D477"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54E983F"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12</w:t>
            </w:r>
          </w:p>
        </w:tc>
      </w:tr>
      <w:tr w:rsidR="00326686" w:rsidRPr="00C9343F" w14:paraId="3BF923E8"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78C95B25"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FBAA25C"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5F39072"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13</w:t>
            </w:r>
          </w:p>
        </w:tc>
      </w:tr>
      <w:tr w:rsidR="00326686" w:rsidRPr="00C9343F" w14:paraId="0C910816"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FE3417D"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C5439D2"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63AE5DC"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14</w:t>
            </w:r>
          </w:p>
        </w:tc>
      </w:tr>
      <w:tr w:rsidR="00326686" w:rsidRPr="00C9343F" w14:paraId="134FC019"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32EFDB55"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6BE0D38"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40DDFCE"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15</w:t>
            </w:r>
          </w:p>
        </w:tc>
      </w:tr>
      <w:tr w:rsidR="00326686" w:rsidRPr="00C9343F" w14:paraId="0420C4B6"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758945E3"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E4B0842"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8889F2"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16</w:t>
            </w:r>
          </w:p>
        </w:tc>
      </w:tr>
      <w:tr w:rsidR="00326686" w:rsidRPr="00C9343F" w14:paraId="2917BA4C"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78272BA4"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1C23542"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281D00F"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17</w:t>
            </w:r>
          </w:p>
        </w:tc>
      </w:tr>
      <w:tr w:rsidR="00326686" w:rsidRPr="00C9343F" w14:paraId="50A142E0"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0E52D033"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A09FF29"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C8E7814"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18</w:t>
            </w:r>
          </w:p>
        </w:tc>
      </w:tr>
      <w:tr w:rsidR="00326686" w:rsidRPr="00C9343F" w14:paraId="27DC7026"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58F5A46"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7871388"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4053C06"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19</w:t>
            </w:r>
          </w:p>
        </w:tc>
      </w:tr>
      <w:tr w:rsidR="00326686" w:rsidRPr="00C9343F" w14:paraId="411FAC84"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4EC71D99"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7C74E79"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41A5445"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20</w:t>
            </w:r>
          </w:p>
        </w:tc>
      </w:tr>
      <w:tr w:rsidR="00326686" w:rsidRPr="00C9343F" w14:paraId="77A4FEA5"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772A086F"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2928B47"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AF5ED7F"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21</w:t>
            </w:r>
          </w:p>
        </w:tc>
      </w:tr>
      <w:tr w:rsidR="00326686" w:rsidRPr="00C9343F" w14:paraId="2E4F6DC6"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0FC9F429"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1A871E1"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625AC4A"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22</w:t>
            </w:r>
          </w:p>
        </w:tc>
      </w:tr>
      <w:tr w:rsidR="00326686" w:rsidRPr="00C9343F" w14:paraId="0C5647E7"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38330512"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856499A"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152460D"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23</w:t>
            </w:r>
          </w:p>
        </w:tc>
      </w:tr>
      <w:tr w:rsidR="00326686" w:rsidRPr="00C9343F" w14:paraId="1A1FCDF2"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651120F6"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D2A7879"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15CA481"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24</w:t>
            </w:r>
          </w:p>
        </w:tc>
      </w:tr>
      <w:tr w:rsidR="00326686" w:rsidRPr="00C9343F" w14:paraId="2E56E100"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12C71AA"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1115BCD"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1FBA789"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25</w:t>
            </w:r>
          </w:p>
        </w:tc>
      </w:tr>
      <w:tr w:rsidR="00326686" w:rsidRPr="00C9343F" w14:paraId="29BFB9BD"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602999D"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19.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CCBF9FF"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8427CEE"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26</w:t>
            </w:r>
          </w:p>
        </w:tc>
      </w:tr>
      <w:tr w:rsidR="00326686" w:rsidRPr="00C9343F" w14:paraId="025953B2"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3B454421"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B536FDE"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19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AF7753B"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27</w:t>
            </w:r>
          </w:p>
        </w:tc>
      </w:tr>
      <w:tr w:rsidR="00326686" w:rsidRPr="00C9343F" w14:paraId="7D1682EA"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37EC7F7F"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6E40EF3"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61E224B"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28</w:t>
            </w:r>
          </w:p>
        </w:tc>
      </w:tr>
      <w:tr w:rsidR="00326686" w:rsidRPr="00C9343F" w14:paraId="20016F93"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63A94BF5"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0D3E711"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C547B0E"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29</w:t>
            </w:r>
          </w:p>
        </w:tc>
      </w:tr>
      <w:tr w:rsidR="00326686" w:rsidRPr="00C9343F" w14:paraId="6FBD6417"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722229AC"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3A5B26F"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6BB050C"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30</w:t>
            </w:r>
          </w:p>
        </w:tc>
      </w:tr>
      <w:tr w:rsidR="00326686" w:rsidRPr="00C9343F" w14:paraId="30E80722"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4FB5B22D"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88150E0"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40863C2"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31</w:t>
            </w:r>
          </w:p>
        </w:tc>
      </w:tr>
      <w:tr w:rsidR="00326686" w:rsidRPr="00C9343F" w14:paraId="650C9D34"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0666E47"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4A18C36"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48CB51B"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32</w:t>
            </w:r>
          </w:p>
        </w:tc>
      </w:tr>
      <w:tr w:rsidR="00326686" w:rsidRPr="00C9343F" w14:paraId="2B4B25BB"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2FF7D046"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0FDD4FC"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4E0B34B"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33</w:t>
            </w:r>
          </w:p>
        </w:tc>
      </w:tr>
      <w:tr w:rsidR="00326686" w:rsidRPr="00C9343F" w14:paraId="339B682B"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7CF33678"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97D9AFF"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2AFF6CA"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34</w:t>
            </w:r>
          </w:p>
        </w:tc>
      </w:tr>
      <w:tr w:rsidR="00326686" w:rsidRPr="00C9343F" w14:paraId="652EEED9"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6BF809B8"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599CF5B"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8B4A51C"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35</w:t>
            </w:r>
          </w:p>
        </w:tc>
      </w:tr>
      <w:tr w:rsidR="00326686" w:rsidRPr="00C9343F" w14:paraId="289E1269"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48DE634"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29.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2C53DE4"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3E44E56"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36</w:t>
            </w:r>
          </w:p>
        </w:tc>
      </w:tr>
      <w:tr w:rsidR="00326686" w:rsidRPr="00C9343F" w14:paraId="0C87C386" w14:textId="77777777" w:rsidTr="003D2B69">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334FF77" w14:textId="77777777" w:rsidR="00326686" w:rsidRPr="00C9343F" w:rsidRDefault="00326686" w:rsidP="00F66D98">
            <w:pPr>
              <w:spacing w:before="20" w:after="20"/>
              <w:jc w:val="center"/>
              <w:rPr>
                <w:rFonts w:cs="Arial"/>
                <w:bCs/>
                <w:sz w:val="20"/>
                <w:lang w:eastAsia="en-US"/>
              </w:rPr>
            </w:pPr>
            <w:r w:rsidRPr="00C9343F">
              <w:rPr>
                <w:rFonts w:cs="Arial"/>
                <w:bCs/>
                <w:sz w:val="20"/>
                <w:lang w:eastAsia="en-US"/>
              </w:rPr>
              <w:t>30.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3395059"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AS 29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8CC3130" w14:textId="77777777" w:rsidR="00326686" w:rsidRPr="00C9343F" w:rsidRDefault="00326686" w:rsidP="00F66D98">
            <w:pPr>
              <w:keepLines w:val="0"/>
              <w:spacing w:before="20" w:after="20"/>
              <w:jc w:val="center"/>
              <w:rPr>
                <w:rFonts w:cs="Arial"/>
                <w:sz w:val="20"/>
                <w:lang w:eastAsia="en-US"/>
              </w:rPr>
            </w:pPr>
            <w:r w:rsidRPr="00C9343F">
              <w:rPr>
                <w:rFonts w:cs="Arial"/>
                <w:sz w:val="20"/>
                <w:lang w:eastAsia="en-US"/>
              </w:rPr>
              <w:t>OA 37</w:t>
            </w:r>
          </w:p>
        </w:tc>
      </w:tr>
    </w:tbl>
    <w:p w14:paraId="4F64B14A" w14:textId="77777777" w:rsidR="00326686" w:rsidRPr="00C9343F" w:rsidRDefault="00326686" w:rsidP="00F66D98"/>
    <w:p w14:paraId="419855F6" w14:textId="34E4C36D" w:rsidR="005F44BC" w:rsidRPr="00C9343F" w:rsidRDefault="005F44BC" w:rsidP="00557D34">
      <w:pPr>
        <w:pStyle w:val="Heading3"/>
        <w:pageBreakBefore/>
      </w:pPr>
      <w:bookmarkStart w:id="535" w:name="_Toc105053744"/>
      <w:r w:rsidRPr="00C9343F">
        <w:lastRenderedPageBreak/>
        <w:t>Part 5: Retention and completion benefits</w:t>
      </w:r>
      <w:bookmarkEnd w:id="535"/>
    </w:p>
    <w:p w14:paraId="0E710E9C" w14:textId="77777777" w:rsidR="008A376B" w:rsidRPr="00C9343F" w:rsidRDefault="008A376B" w:rsidP="00F66D98">
      <w:pPr>
        <w:pStyle w:val="Heading4"/>
        <w:rPr>
          <w:bCs/>
        </w:rPr>
      </w:pPr>
      <w:bookmarkStart w:id="536" w:name="_Toc105053745"/>
      <w:r w:rsidRPr="00C9343F">
        <w:t>Division 1: General provisions</w:t>
      </w:r>
      <w:bookmarkEnd w:id="536"/>
    </w:p>
    <w:p w14:paraId="531F850D" w14:textId="77777777" w:rsidR="008A376B" w:rsidRPr="00C9343F" w:rsidRDefault="008A376B" w:rsidP="00F66D98">
      <w:pPr>
        <w:pStyle w:val="Heading5"/>
      </w:pPr>
      <w:bookmarkStart w:id="537" w:name="_Toc105053746"/>
      <w:r w:rsidRPr="00C9343F">
        <w:t>3.5.1    Purpose</w:t>
      </w:r>
      <w:bookmarkEnd w:id="537"/>
    </w:p>
    <w:tbl>
      <w:tblPr>
        <w:tblW w:w="9359" w:type="dxa"/>
        <w:tblInd w:w="113" w:type="dxa"/>
        <w:tblLayout w:type="fixed"/>
        <w:tblLook w:val="0000" w:firstRow="0" w:lastRow="0" w:firstColumn="0" w:lastColumn="0" w:noHBand="0" w:noVBand="0"/>
      </w:tblPr>
      <w:tblGrid>
        <w:gridCol w:w="992"/>
        <w:gridCol w:w="8367"/>
      </w:tblGrid>
      <w:tr w:rsidR="008A376B" w:rsidRPr="00C9343F" w14:paraId="2F6C579A" w14:textId="77777777" w:rsidTr="00B4505C">
        <w:tc>
          <w:tcPr>
            <w:tcW w:w="992" w:type="dxa"/>
          </w:tcPr>
          <w:p w14:paraId="7B4031B7" w14:textId="77777777" w:rsidR="008A376B" w:rsidRPr="00C9343F" w:rsidRDefault="008A376B" w:rsidP="00F66D98">
            <w:pPr>
              <w:pStyle w:val="Sectiontext0"/>
              <w:jc w:val="center"/>
            </w:pPr>
          </w:p>
        </w:tc>
        <w:tc>
          <w:tcPr>
            <w:tcW w:w="8367" w:type="dxa"/>
          </w:tcPr>
          <w:p w14:paraId="68C02C32" w14:textId="77777777" w:rsidR="008A376B" w:rsidRPr="00C9343F" w:rsidRDefault="008A376B" w:rsidP="00F66D98">
            <w:pPr>
              <w:pStyle w:val="Sectiontext0"/>
              <w:rPr>
                <w:iCs/>
              </w:rPr>
            </w:pPr>
            <w:r w:rsidRPr="00C9343F">
              <w:rPr>
                <w:iCs/>
              </w:rPr>
              <w:t>This Part provides retention and completion bonuses to retain members with the relevant skills and capability critical to the ADF.</w:t>
            </w:r>
          </w:p>
        </w:tc>
      </w:tr>
    </w:tbl>
    <w:p w14:paraId="697AAFE0" w14:textId="3A1140E8" w:rsidR="005F44BC" w:rsidRPr="00C9343F" w:rsidRDefault="005F44BC" w:rsidP="00F66D98">
      <w:pPr>
        <w:pStyle w:val="Heading5"/>
      </w:pPr>
      <w:bookmarkStart w:id="538" w:name="_Toc105053747"/>
      <w:r w:rsidRPr="00C9343F">
        <w:t>3.5.2</w:t>
      </w:r>
      <w:r w:rsidR="00D94006" w:rsidRPr="00C9343F">
        <w:t>    </w:t>
      </w:r>
      <w:r w:rsidR="00977449" w:rsidRPr="00C9343F">
        <w:t>Calculating effective service for a member on a flexible service determination</w:t>
      </w:r>
      <w:bookmarkEnd w:id="538"/>
    </w:p>
    <w:tbl>
      <w:tblPr>
        <w:tblW w:w="0" w:type="auto"/>
        <w:tblInd w:w="113" w:type="dxa"/>
        <w:tblLayout w:type="fixed"/>
        <w:tblLook w:val="0000" w:firstRow="0" w:lastRow="0" w:firstColumn="0" w:lastColumn="0" w:noHBand="0" w:noVBand="0"/>
      </w:tblPr>
      <w:tblGrid>
        <w:gridCol w:w="992"/>
        <w:gridCol w:w="567"/>
        <w:gridCol w:w="7800"/>
      </w:tblGrid>
      <w:tr w:rsidR="005F44BC" w:rsidRPr="00C9343F" w14:paraId="696915FB" w14:textId="77777777" w:rsidTr="005F44BC">
        <w:tc>
          <w:tcPr>
            <w:tcW w:w="992" w:type="dxa"/>
          </w:tcPr>
          <w:p w14:paraId="22BA046F" w14:textId="77777777" w:rsidR="005F44BC" w:rsidRPr="00C9343F" w:rsidRDefault="005F44BC" w:rsidP="00F66D98">
            <w:pPr>
              <w:pStyle w:val="BlockText-Plain"/>
              <w:jc w:val="center"/>
            </w:pPr>
            <w:r w:rsidRPr="00C9343F">
              <w:t>1.</w:t>
            </w:r>
          </w:p>
        </w:tc>
        <w:tc>
          <w:tcPr>
            <w:tcW w:w="8367" w:type="dxa"/>
            <w:gridSpan w:val="2"/>
          </w:tcPr>
          <w:p w14:paraId="5548EAEB" w14:textId="77777777" w:rsidR="005F44BC" w:rsidRPr="00C9343F" w:rsidRDefault="00977449" w:rsidP="00F66D98">
            <w:pPr>
              <w:pStyle w:val="BlockText-Plain"/>
            </w:pPr>
            <w:r w:rsidRPr="00C9343F">
              <w:t>This section applies to a member who is on a flexible service determination and who is eligible for a retention or completion bonus.</w:t>
            </w:r>
          </w:p>
        </w:tc>
      </w:tr>
      <w:tr w:rsidR="005F44BC" w:rsidRPr="00C9343F" w14:paraId="53C6634E" w14:textId="77777777" w:rsidTr="005F44BC">
        <w:tc>
          <w:tcPr>
            <w:tcW w:w="992" w:type="dxa"/>
          </w:tcPr>
          <w:p w14:paraId="7F7D2B80" w14:textId="77777777" w:rsidR="005F44BC" w:rsidRPr="00C9343F" w:rsidRDefault="005F44BC" w:rsidP="00F66D98">
            <w:pPr>
              <w:pStyle w:val="BlockText-Plain"/>
              <w:jc w:val="center"/>
            </w:pPr>
            <w:r w:rsidRPr="00C9343F">
              <w:t>2.</w:t>
            </w:r>
          </w:p>
        </w:tc>
        <w:tc>
          <w:tcPr>
            <w:tcW w:w="8367" w:type="dxa"/>
            <w:gridSpan w:val="2"/>
          </w:tcPr>
          <w:p w14:paraId="7FFACE39" w14:textId="77777777" w:rsidR="005F44BC" w:rsidRPr="00C9343F" w:rsidRDefault="00977449" w:rsidP="00F66D98">
            <w:pPr>
              <w:pStyle w:val="BlockText-Plain"/>
            </w:pPr>
            <w:r w:rsidRPr="00C9343F">
              <w:rPr>
                <w:color w:val="000000"/>
              </w:rPr>
              <w:t>A member's effective service under this Part is calculated each fortnight by multiplying each day in a member's pattern of service by 1.4. The total number of days of effective service in a fortnight must not exceed 14.</w:t>
            </w:r>
          </w:p>
        </w:tc>
      </w:tr>
      <w:tr w:rsidR="005F44BC" w:rsidRPr="00C9343F" w14:paraId="189E98AF" w14:textId="77777777" w:rsidTr="005F44BC">
        <w:tc>
          <w:tcPr>
            <w:tcW w:w="992" w:type="dxa"/>
          </w:tcPr>
          <w:p w14:paraId="7CDC9840" w14:textId="77777777" w:rsidR="005F44BC" w:rsidRPr="00C9343F" w:rsidRDefault="005F44BC" w:rsidP="00F66D98">
            <w:pPr>
              <w:pStyle w:val="BlockText-PlainNoSpacing"/>
              <w:jc w:val="center"/>
            </w:pPr>
            <w:r w:rsidRPr="00C9343F">
              <w:t>3.</w:t>
            </w:r>
          </w:p>
        </w:tc>
        <w:tc>
          <w:tcPr>
            <w:tcW w:w="8367" w:type="dxa"/>
            <w:gridSpan w:val="2"/>
          </w:tcPr>
          <w:p w14:paraId="35C9C530" w14:textId="77777777" w:rsidR="005F44BC" w:rsidRPr="00C9343F" w:rsidRDefault="00977449" w:rsidP="00F66D98">
            <w:pPr>
              <w:pStyle w:val="BlockText-Plain"/>
            </w:pPr>
            <w:r w:rsidRPr="00C9343F">
              <w:t>Each day in a member's pattern of service, used to calculate effective service under subsection 2, includes the following.</w:t>
            </w:r>
          </w:p>
        </w:tc>
      </w:tr>
      <w:tr w:rsidR="005F44BC" w:rsidRPr="00C9343F" w14:paraId="20EA13F4" w14:textId="77777777" w:rsidTr="005F44BC">
        <w:trPr>
          <w:cantSplit/>
        </w:trPr>
        <w:tc>
          <w:tcPr>
            <w:tcW w:w="992" w:type="dxa"/>
          </w:tcPr>
          <w:p w14:paraId="175427AD" w14:textId="77777777" w:rsidR="005F44BC" w:rsidRPr="00C9343F" w:rsidRDefault="005F44BC" w:rsidP="00F66D98">
            <w:pPr>
              <w:pStyle w:val="BlockText-Plain"/>
            </w:pPr>
          </w:p>
        </w:tc>
        <w:tc>
          <w:tcPr>
            <w:tcW w:w="567" w:type="dxa"/>
          </w:tcPr>
          <w:p w14:paraId="1282D0DF" w14:textId="77777777" w:rsidR="005F44BC" w:rsidRPr="00C9343F" w:rsidRDefault="005F44BC" w:rsidP="007114B1">
            <w:pPr>
              <w:pStyle w:val="BlockText-Plain"/>
              <w:jc w:val="center"/>
            </w:pPr>
            <w:r w:rsidRPr="00C9343F">
              <w:t>a.</w:t>
            </w:r>
          </w:p>
        </w:tc>
        <w:tc>
          <w:tcPr>
            <w:tcW w:w="7800" w:type="dxa"/>
          </w:tcPr>
          <w:p w14:paraId="3F93B741" w14:textId="77777777" w:rsidR="005F44BC" w:rsidRPr="00C9343F" w:rsidRDefault="00977449" w:rsidP="00F66D98">
            <w:pPr>
              <w:pStyle w:val="BlockText-Plain"/>
            </w:pPr>
            <w:r w:rsidRPr="00C9343F">
              <w:rPr>
                <w:color w:val="000000"/>
              </w:rPr>
              <w:t>Each full day of duty in the fortnight.</w:t>
            </w:r>
          </w:p>
        </w:tc>
      </w:tr>
      <w:tr w:rsidR="005F44BC" w:rsidRPr="00C9343F" w14:paraId="19EADEC9" w14:textId="77777777" w:rsidTr="005F44BC">
        <w:trPr>
          <w:cantSplit/>
        </w:trPr>
        <w:tc>
          <w:tcPr>
            <w:tcW w:w="992" w:type="dxa"/>
          </w:tcPr>
          <w:p w14:paraId="4F0C3B3A" w14:textId="77777777" w:rsidR="005F44BC" w:rsidRPr="00C9343F" w:rsidRDefault="005F44BC" w:rsidP="00F66D98">
            <w:pPr>
              <w:pStyle w:val="BlockText-Plain"/>
            </w:pPr>
          </w:p>
        </w:tc>
        <w:tc>
          <w:tcPr>
            <w:tcW w:w="567" w:type="dxa"/>
          </w:tcPr>
          <w:p w14:paraId="2348F3C4" w14:textId="77777777" w:rsidR="005F44BC" w:rsidRPr="00C9343F" w:rsidRDefault="005F44BC" w:rsidP="007114B1">
            <w:pPr>
              <w:pStyle w:val="BlockText-Plain"/>
              <w:jc w:val="center"/>
            </w:pPr>
            <w:r w:rsidRPr="00C9343F">
              <w:t>b.</w:t>
            </w:r>
          </w:p>
        </w:tc>
        <w:tc>
          <w:tcPr>
            <w:tcW w:w="7800" w:type="dxa"/>
          </w:tcPr>
          <w:p w14:paraId="40BC7BEC" w14:textId="77777777" w:rsidR="005F44BC" w:rsidRPr="00C9343F" w:rsidRDefault="00977449" w:rsidP="00F66D98">
            <w:pPr>
              <w:pStyle w:val="BlockText-Plain"/>
            </w:pPr>
            <w:r w:rsidRPr="00C9343F">
              <w:rPr>
                <w:color w:val="000000"/>
              </w:rPr>
              <w:t>Each combination of part days of duty in the fortnight that add up to eight hours.</w:t>
            </w:r>
          </w:p>
        </w:tc>
      </w:tr>
    </w:tbl>
    <w:p w14:paraId="62717486" w14:textId="498CC271" w:rsidR="005F44BC" w:rsidRPr="00C9343F" w:rsidRDefault="005F44BC" w:rsidP="00C35AD4">
      <w:pPr>
        <w:pStyle w:val="Heading4"/>
        <w:pageBreakBefore/>
      </w:pPr>
      <w:bookmarkStart w:id="539" w:name="_Toc105053748"/>
      <w:r w:rsidRPr="00C9343F">
        <w:lastRenderedPageBreak/>
        <w:t>Division 2: Bonus framework</w:t>
      </w:r>
      <w:bookmarkEnd w:id="539"/>
    </w:p>
    <w:p w14:paraId="359018AA" w14:textId="3E1C2B0C" w:rsidR="005F44BC" w:rsidRPr="00C9343F" w:rsidRDefault="005F44BC" w:rsidP="00F66D98">
      <w:pPr>
        <w:pStyle w:val="Heading5"/>
      </w:pPr>
      <w:bookmarkStart w:id="540" w:name="_Toc105053749"/>
      <w:r w:rsidRPr="00C9343F">
        <w:t>3.5.4</w:t>
      </w:r>
      <w:r w:rsidR="00D94006" w:rsidRPr="00C9343F">
        <w:t>    </w:t>
      </w:r>
      <w:r w:rsidRPr="00C9343F">
        <w:t>Purpose</w:t>
      </w:r>
      <w:bookmarkEnd w:id="540"/>
    </w:p>
    <w:tbl>
      <w:tblPr>
        <w:tblW w:w="9355" w:type="dxa"/>
        <w:tblInd w:w="113" w:type="dxa"/>
        <w:tblLayout w:type="fixed"/>
        <w:tblLook w:val="0000" w:firstRow="0" w:lastRow="0" w:firstColumn="0" w:lastColumn="0" w:noHBand="0" w:noVBand="0"/>
      </w:tblPr>
      <w:tblGrid>
        <w:gridCol w:w="992"/>
        <w:gridCol w:w="567"/>
        <w:gridCol w:w="7796"/>
      </w:tblGrid>
      <w:tr w:rsidR="005F44BC" w:rsidRPr="00C9343F" w14:paraId="7E8630E5" w14:textId="77777777" w:rsidTr="00FC2297">
        <w:tc>
          <w:tcPr>
            <w:tcW w:w="992" w:type="dxa"/>
          </w:tcPr>
          <w:p w14:paraId="740EFF61" w14:textId="77777777" w:rsidR="005F44BC" w:rsidRPr="00C9343F" w:rsidRDefault="005F44BC" w:rsidP="00F66D98">
            <w:pPr>
              <w:pStyle w:val="BlockText-Plain"/>
              <w:jc w:val="center"/>
            </w:pPr>
          </w:p>
        </w:tc>
        <w:tc>
          <w:tcPr>
            <w:tcW w:w="8363" w:type="dxa"/>
            <w:gridSpan w:val="2"/>
          </w:tcPr>
          <w:p w14:paraId="7E683355" w14:textId="77777777" w:rsidR="005F44BC" w:rsidRPr="00C9343F" w:rsidRDefault="005F44BC" w:rsidP="00F66D98">
            <w:pPr>
              <w:pStyle w:val="BlockText-Plain"/>
            </w:pPr>
            <w:r w:rsidRPr="00C9343F">
              <w:t>This Division intends to provide the following outcomes.</w:t>
            </w:r>
          </w:p>
        </w:tc>
      </w:tr>
      <w:tr w:rsidR="005F44BC" w:rsidRPr="00C9343F" w14:paraId="47349258" w14:textId="77777777" w:rsidTr="00FC2297">
        <w:trPr>
          <w:cantSplit/>
        </w:trPr>
        <w:tc>
          <w:tcPr>
            <w:tcW w:w="992" w:type="dxa"/>
          </w:tcPr>
          <w:p w14:paraId="7D0ECC7B" w14:textId="77777777" w:rsidR="005F44BC" w:rsidRPr="00C9343F" w:rsidRDefault="005F44BC" w:rsidP="00F66D98">
            <w:pPr>
              <w:pStyle w:val="BlockText-Plain"/>
            </w:pPr>
          </w:p>
        </w:tc>
        <w:tc>
          <w:tcPr>
            <w:tcW w:w="567" w:type="dxa"/>
          </w:tcPr>
          <w:p w14:paraId="3BC77E4C" w14:textId="77777777" w:rsidR="005F44BC" w:rsidRPr="00C9343F" w:rsidRDefault="005F44BC" w:rsidP="007114B1">
            <w:pPr>
              <w:pStyle w:val="BlockText-Plain"/>
              <w:jc w:val="center"/>
            </w:pPr>
            <w:r w:rsidRPr="00C9343F">
              <w:t>a.</w:t>
            </w:r>
          </w:p>
        </w:tc>
        <w:tc>
          <w:tcPr>
            <w:tcW w:w="7796" w:type="dxa"/>
          </w:tcPr>
          <w:p w14:paraId="6F450DF0" w14:textId="77777777" w:rsidR="005F44BC" w:rsidRPr="00C9343F" w:rsidRDefault="005F44BC" w:rsidP="00F66D98">
            <w:pPr>
              <w:pStyle w:val="BlockText-Plain"/>
            </w:pPr>
            <w:r w:rsidRPr="00C9343F">
              <w:t xml:space="preserve">It sets out a single framework for benefits paid in the form of a retention bonus under section 58B of the </w:t>
            </w:r>
            <w:r w:rsidRPr="00C9343F">
              <w:rPr>
                <w:i/>
              </w:rPr>
              <w:t>Defence Act 1903</w:t>
            </w:r>
            <w:r w:rsidRPr="00C9343F">
              <w:t>.</w:t>
            </w:r>
          </w:p>
        </w:tc>
      </w:tr>
      <w:tr w:rsidR="005F44BC" w:rsidRPr="00C9343F" w14:paraId="3877D1DA" w14:textId="77777777" w:rsidTr="00FC2297">
        <w:trPr>
          <w:cantSplit/>
        </w:trPr>
        <w:tc>
          <w:tcPr>
            <w:tcW w:w="992" w:type="dxa"/>
          </w:tcPr>
          <w:p w14:paraId="46DF1202" w14:textId="77777777" w:rsidR="005F44BC" w:rsidRPr="00C9343F" w:rsidRDefault="005F44BC" w:rsidP="00F66D98">
            <w:pPr>
              <w:pStyle w:val="BlockText-Plain"/>
            </w:pPr>
          </w:p>
        </w:tc>
        <w:tc>
          <w:tcPr>
            <w:tcW w:w="567" w:type="dxa"/>
          </w:tcPr>
          <w:p w14:paraId="76C2C0F9" w14:textId="77777777" w:rsidR="005F44BC" w:rsidRPr="00C9343F" w:rsidRDefault="005F44BC" w:rsidP="007114B1">
            <w:pPr>
              <w:pStyle w:val="BlockText-Plain"/>
              <w:jc w:val="center"/>
            </w:pPr>
            <w:r w:rsidRPr="00C9343F">
              <w:t>b.</w:t>
            </w:r>
          </w:p>
        </w:tc>
        <w:tc>
          <w:tcPr>
            <w:tcW w:w="7796" w:type="dxa"/>
          </w:tcPr>
          <w:p w14:paraId="28720007" w14:textId="77777777" w:rsidR="005F44BC" w:rsidRPr="00C9343F" w:rsidRDefault="005F44BC" w:rsidP="00F66D98">
            <w:pPr>
              <w:pStyle w:val="BlockText-Plain"/>
            </w:pPr>
            <w:r w:rsidRPr="00C9343F">
              <w:t>Members in individual positions necessary to capability in a critical trade or work unit are retained.</w:t>
            </w:r>
          </w:p>
        </w:tc>
      </w:tr>
      <w:tr w:rsidR="005F44BC" w:rsidRPr="00C9343F" w14:paraId="0D024FC1" w14:textId="77777777" w:rsidTr="00FC2297">
        <w:trPr>
          <w:cantSplit/>
        </w:trPr>
        <w:tc>
          <w:tcPr>
            <w:tcW w:w="992" w:type="dxa"/>
          </w:tcPr>
          <w:p w14:paraId="67BA72B5" w14:textId="77777777" w:rsidR="005F44BC" w:rsidRPr="00C9343F" w:rsidRDefault="005F44BC" w:rsidP="00F66D98">
            <w:pPr>
              <w:pStyle w:val="BlockText-Plain"/>
            </w:pPr>
          </w:p>
        </w:tc>
        <w:tc>
          <w:tcPr>
            <w:tcW w:w="567" w:type="dxa"/>
          </w:tcPr>
          <w:p w14:paraId="76CF73C6" w14:textId="77777777" w:rsidR="005F44BC" w:rsidRPr="00C9343F" w:rsidRDefault="005F44BC" w:rsidP="007114B1">
            <w:pPr>
              <w:pStyle w:val="BlockText-Plain"/>
              <w:jc w:val="center"/>
            </w:pPr>
            <w:r w:rsidRPr="00C9343F">
              <w:t>c.</w:t>
            </w:r>
          </w:p>
        </w:tc>
        <w:tc>
          <w:tcPr>
            <w:tcW w:w="7796" w:type="dxa"/>
          </w:tcPr>
          <w:p w14:paraId="0F9973F6" w14:textId="77777777" w:rsidR="005F44BC" w:rsidRPr="00C9343F" w:rsidRDefault="005F44BC" w:rsidP="00F66D98">
            <w:pPr>
              <w:pStyle w:val="BlockText-Plain"/>
            </w:pPr>
            <w:r w:rsidRPr="00C9343F">
              <w:t>Reduction of personnel numbers to levels below that required to sustain operational or supporting capability is prevented.</w:t>
            </w:r>
          </w:p>
        </w:tc>
      </w:tr>
      <w:tr w:rsidR="005F44BC" w:rsidRPr="00C9343F" w14:paraId="0BBB1232" w14:textId="77777777" w:rsidTr="00FC2297">
        <w:trPr>
          <w:cantSplit/>
        </w:trPr>
        <w:tc>
          <w:tcPr>
            <w:tcW w:w="992" w:type="dxa"/>
          </w:tcPr>
          <w:p w14:paraId="2CBA591C" w14:textId="77777777" w:rsidR="005F44BC" w:rsidRPr="00C9343F" w:rsidRDefault="005F44BC" w:rsidP="00F66D98">
            <w:pPr>
              <w:pStyle w:val="BlockText-Plain"/>
            </w:pPr>
          </w:p>
        </w:tc>
        <w:tc>
          <w:tcPr>
            <w:tcW w:w="567" w:type="dxa"/>
          </w:tcPr>
          <w:p w14:paraId="03F95148" w14:textId="77777777" w:rsidR="005F44BC" w:rsidRPr="00C9343F" w:rsidRDefault="005F44BC" w:rsidP="007114B1">
            <w:pPr>
              <w:pStyle w:val="BlockText-Plain"/>
              <w:jc w:val="center"/>
            </w:pPr>
            <w:r w:rsidRPr="00C9343F">
              <w:t>d.</w:t>
            </w:r>
          </w:p>
        </w:tc>
        <w:tc>
          <w:tcPr>
            <w:tcW w:w="7796" w:type="dxa"/>
          </w:tcPr>
          <w:p w14:paraId="0EAFDCEC" w14:textId="77777777" w:rsidR="005F44BC" w:rsidRPr="00C9343F" w:rsidRDefault="005F44BC" w:rsidP="00F66D98">
            <w:pPr>
              <w:pStyle w:val="BlockText-Plain"/>
            </w:pPr>
            <w:r w:rsidRPr="00C9343F">
              <w:t>Members are retained in individual positions critical to their Service's capability.</w:t>
            </w:r>
          </w:p>
        </w:tc>
      </w:tr>
    </w:tbl>
    <w:p w14:paraId="79B2966A" w14:textId="77777777" w:rsidR="00FC2297" w:rsidRPr="00C9343F" w:rsidRDefault="00FC2297" w:rsidP="00FC2297">
      <w:pPr>
        <w:pStyle w:val="Heading5"/>
      </w:pPr>
      <w:bookmarkStart w:id="541" w:name="_Toc105053750"/>
      <w:r w:rsidRPr="00C9343F">
        <w:t>3.5.5    Definitions</w:t>
      </w:r>
      <w:bookmarkEnd w:id="541"/>
    </w:p>
    <w:tbl>
      <w:tblPr>
        <w:tblW w:w="0" w:type="dxa"/>
        <w:tblInd w:w="113" w:type="dxa"/>
        <w:tblLayout w:type="fixed"/>
        <w:tblLook w:val="04A0" w:firstRow="1" w:lastRow="0" w:firstColumn="1" w:lastColumn="0" w:noHBand="0" w:noVBand="1"/>
      </w:tblPr>
      <w:tblGrid>
        <w:gridCol w:w="992"/>
        <w:gridCol w:w="8393"/>
      </w:tblGrid>
      <w:tr w:rsidR="00FC2297" w:rsidRPr="00C9343F" w14:paraId="2CF24A02" w14:textId="77777777" w:rsidTr="00445FEB">
        <w:tc>
          <w:tcPr>
            <w:tcW w:w="992" w:type="dxa"/>
          </w:tcPr>
          <w:p w14:paraId="53414A88" w14:textId="77777777" w:rsidR="00FC2297" w:rsidRPr="00C9343F" w:rsidRDefault="00FC2297" w:rsidP="00445FEB">
            <w:pPr>
              <w:pStyle w:val="Sectiontext0"/>
              <w:spacing w:line="276" w:lineRule="auto"/>
              <w:ind w:left="1440"/>
              <w:jc w:val="center"/>
              <w:rPr>
                <w:lang w:eastAsia="en-US"/>
              </w:rPr>
            </w:pPr>
          </w:p>
        </w:tc>
        <w:tc>
          <w:tcPr>
            <w:tcW w:w="8393" w:type="dxa"/>
            <w:hideMark/>
          </w:tcPr>
          <w:p w14:paraId="0AD51E26" w14:textId="77777777" w:rsidR="00FC2297" w:rsidRPr="00C9343F" w:rsidRDefault="00FC2297" w:rsidP="00445FEB">
            <w:pPr>
              <w:pStyle w:val="Sectiontext0"/>
              <w:tabs>
                <w:tab w:val="left" w:pos="1215"/>
              </w:tabs>
              <w:spacing w:line="276" w:lineRule="auto"/>
              <w:rPr>
                <w:iCs/>
                <w:lang w:eastAsia="en-US"/>
              </w:rPr>
            </w:pPr>
            <w:r w:rsidRPr="00C9343F">
              <w:rPr>
                <w:iCs/>
                <w:lang w:eastAsia="en-US"/>
              </w:rPr>
              <w:t>In this Division the following apply.</w:t>
            </w:r>
          </w:p>
        </w:tc>
      </w:tr>
      <w:tr w:rsidR="00FC2297" w:rsidRPr="00C9343F" w14:paraId="35FFA08F" w14:textId="77777777" w:rsidTr="00445FEB">
        <w:tc>
          <w:tcPr>
            <w:tcW w:w="992" w:type="dxa"/>
          </w:tcPr>
          <w:p w14:paraId="660DFD06" w14:textId="77777777" w:rsidR="00FC2297" w:rsidRPr="00C9343F" w:rsidRDefault="00FC2297" w:rsidP="00445FEB">
            <w:pPr>
              <w:pStyle w:val="Sectiontext0"/>
              <w:spacing w:line="276" w:lineRule="auto"/>
              <w:ind w:left="1440"/>
              <w:jc w:val="center"/>
              <w:rPr>
                <w:lang w:eastAsia="en-US"/>
              </w:rPr>
            </w:pPr>
          </w:p>
        </w:tc>
        <w:tc>
          <w:tcPr>
            <w:tcW w:w="8393" w:type="dxa"/>
            <w:hideMark/>
          </w:tcPr>
          <w:p w14:paraId="41B0C844" w14:textId="77777777" w:rsidR="00FC2297" w:rsidRPr="00C9343F" w:rsidRDefault="00FC2297" w:rsidP="00445FEB">
            <w:pPr>
              <w:pStyle w:val="Sectiontext0"/>
              <w:tabs>
                <w:tab w:val="left" w:pos="1215"/>
              </w:tabs>
              <w:spacing w:line="276" w:lineRule="auto"/>
              <w:rPr>
                <w:lang w:eastAsia="en-US"/>
              </w:rPr>
            </w:pPr>
            <w:r w:rsidRPr="00C9343F">
              <w:rPr>
                <w:b/>
                <w:iCs/>
                <w:lang w:eastAsia="en-US"/>
              </w:rPr>
              <w:t xml:space="preserve">Agreed period of service </w:t>
            </w:r>
            <w:r w:rsidRPr="00C9343F">
              <w:rPr>
                <w:iCs/>
                <w:lang w:eastAsia="en-US"/>
              </w:rPr>
              <w:t>means</w:t>
            </w:r>
            <w:r w:rsidRPr="00C9343F">
              <w:rPr>
                <w:lang w:eastAsia="en-US"/>
              </w:rPr>
              <w:t xml:space="preserve"> a period of up to three years which the member agrees to serve in a specified position, employment category or primary qualification in return for a bonus under this Division.</w:t>
            </w:r>
          </w:p>
        </w:tc>
      </w:tr>
    </w:tbl>
    <w:p w14:paraId="590E3AEE" w14:textId="62DC3B14" w:rsidR="005F44BC" w:rsidRPr="00C9343F" w:rsidRDefault="005F44BC" w:rsidP="00F66D98">
      <w:pPr>
        <w:pStyle w:val="Heading5"/>
      </w:pPr>
      <w:bookmarkStart w:id="542" w:name="_Toc105053751"/>
      <w:r w:rsidRPr="00C9343F">
        <w:t>3.5.6</w:t>
      </w:r>
      <w:r w:rsidR="00D94006" w:rsidRPr="00C9343F">
        <w:t>    </w:t>
      </w:r>
      <w:r w:rsidRPr="00C9343F">
        <w:t>Member eligible for a bonus</w:t>
      </w:r>
      <w:bookmarkEnd w:id="542"/>
    </w:p>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7CE573ED" w14:textId="77777777" w:rsidTr="005F44BC">
        <w:tc>
          <w:tcPr>
            <w:tcW w:w="992" w:type="dxa"/>
          </w:tcPr>
          <w:p w14:paraId="11F7A18B" w14:textId="77777777" w:rsidR="005F44BC" w:rsidRPr="00C9343F" w:rsidRDefault="005F44BC" w:rsidP="00F66D98">
            <w:pPr>
              <w:pStyle w:val="BlockText-Plain"/>
              <w:jc w:val="center"/>
            </w:pPr>
          </w:p>
        </w:tc>
        <w:tc>
          <w:tcPr>
            <w:tcW w:w="8363" w:type="dxa"/>
            <w:gridSpan w:val="2"/>
          </w:tcPr>
          <w:p w14:paraId="63FD063E" w14:textId="51E80B0B" w:rsidR="005F44BC" w:rsidRPr="00C9343F" w:rsidRDefault="0016777D" w:rsidP="00F66D98">
            <w:pPr>
              <w:pStyle w:val="BlockText-Plain"/>
            </w:pPr>
            <w:r w:rsidRPr="00C9343F">
              <w:rPr>
                <w:iCs/>
              </w:rPr>
              <w:t>A member</w:t>
            </w:r>
            <w:r w:rsidR="005A71B2" w:rsidRPr="00C9343F">
              <w:rPr>
                <w:iCs/>
              </w:rPr>
              <w:t xml:space="preserve"> i</w:t>
            </w:r>
            <w:r w:rsidRPr="00C9343F">
              <w:rPr>
                <w:iCs/>
              </w:rPr>
              <w:t>s eligible for a retention bonus under this section if the member meets all of the following conditions.</w:t>
            </w:r>
          </w:p>
        </w:tc>
      </w:tr>
      <w:tr w:rsidR="0016777D" w:rsidRPr="00C9343F" w14:paraId="03D5B0DE" w14:textId="77777777" w:rsidTr="005F44BC">
        <w:trPr>
          <w:cantSplit/>
        </w:trPr>
        <w:tc>
          <w:tcPr>
            <w:tcW w:w="992" w:type="dxa"/>
          </w:tcPr>
          <w:p w14:paraId="099D5186" w14:textId="77777777" w:rsidR="0016777D" w:rsidRPr="00C9343F" w:rsidRDefault="0016777D" w:rsidP="00F66D98">
            <w:pPr>
              <w:pStyle w:val="BlockText-Plain"/>
            </w:pPr>
          </w:p>
        </w:tc>
        <w:tc>
          <w:tcPr>
            <w:tcW w:w="567" w:type="dxa"/>
          </w:tcPr>
          <w:p w14:paraId="734D300F" w14:textId="77777777" w:rsidR="0016777D" w:rsidRPr="00C9343F" w:rsidRDefault="0016777D" w:rsidP="007114B1">
            <w:pPr>
              <w:pStyle w:val="BlockText-Plain"/>
              <w:jc w:val="center"/>
            </w:pPr>
            <w:r w:rsidRPr="00C9343F">
              <w:t>a.</w:t>
            </w:r>
          </w:p>
        </w:tc>
        <w:tc>
          <w:tcPr>
            <w:tcW w:w="7796" w:type="dxa"/>
          </w:tcPr>
          <w:p w14:paraId="733999FF" w14:textId="77777777" w:rsidR="0016777D" w:rsidRPr="00C9343F" w:rsidRDefault="002630F4" w:rsidP="00F66D98">
            <w:pPr>
              <w:pStyle w:val="BlockText-Plain"/>
              <w:rPr>
                <w:iCs/>
              </w:rPr>
            </w:pPr>
            <w:r w:rsidRPr="00C9343F">
              <w:t>The member is offered a retention bonus.</w:t>
            </w:r>
          </w:p>
        </w:tc>
      </w:tr>
      <w:tr w:rsidR="0016777D" w:rsidRPr="00C9343F" w14:paraId="0660AD98" w14:textId="77777777" w:rsidTr="005F44BC">
        <w:trPr>
          <w:cantSplit/>
        </w:trPr>
        <w:tc>
          <w:tcPr>
            <w:tcW w:w="992" w:type="dxa"/>
          </w:tcPr>
          <w:p w14:paraId="37EEF769" w14:textId="77777777" w:rsidR="0016777D" w:rsidRPr="00C9343F" w:rsidRDefault="0016777D" w:rsidP="00F66D98">
            <w:pPr>
              <w:pStyle w:val="BlockText-Plain"/>
            </w:pPr>
          </w:p>
        </w:tc>
        <w:tc>
          <w:tcPr>
            <w:tcW w:w="567" w:type="dxa"/>
          </w:tcPr>
          <w:p w14:paraId="65964AEA" w14:textId="77777777" w:rsidR="0016777D" w:rsidRPr="00C9343F" w:rsidRDefault="0016777D" w:rsidP="007114B1">
            <w:pPr>
              <w:pStyle w:val="BlockText-Plain"/>
              <w:jc w:val="center"/>
            </w:pPr>
            <w:r w:rsidRPr="00C9343F">
              <w:t>b.</w:t>
            </w:r>
          </w:p>
        </w:tc>
        <w:tc>
          <w:tcPr>
            <w:tcW w:w="7796" w:type="dxa"/>
          </w:tcPr>
          <w:p w14:paraId="51C4CFB1" w14:textId="77777777" w:rsidR="0016777D" w:rsidRPr="00C9343F" w:rsidRDefault="0016777D" w:rsidP="00F66D98">
            <w:pPr>
              <w:pStyle w:val="BlockText-Plain"/>
              <w:rPr>
                <w:iCs/>
              </w:rPr>
            </w:pPr>
            <w:r w:rsidRPr="00C9343F">
              <w:rPr>
                <w:iCs/>
              </w:rPr>
              <w:t>They are a member of the Permanent Forces or a member of the Reserves on continuous full-time service.</w:t>
            </w:r>
          </w:p>
        </w:tc>
      </w:tr>
      <w:tr w:rsidR="0016777D" w:rsidRPr="00C9343F" w14:paraId="2C4CDF4F" w14:textId="77777777" w:rsidTr="005F44BC">
        <w:trPr>
          <w:cantSplit/>
        </w:trPr>
        <w:tc>
          <w:tcPr>
            <w:tcW w:w="992" w:type="dxa"/>
          </w:tcPr>
          <w:p w14:paraId="45F05019" w14:textId="77777777" w:rsidR="0016777D" w:rsidRPr="00C9343F" w:rsidRDefault="0016777D" w:rsidP="00F66D98">
            <w:pPr>
              <w:pStyle w:val="BlockText-Plain"/>
            </w:pPr>
          </w:p>
        </w:tc>
        <w:tc>
          <w:tcPr>
            <w:tcW w:w="567" w:type="dxa"/>
          </w:tcPr>
          <w:p w14:paraId="2F3DAB8B" w14:textId="77777777" w:rsidR="0016777D" w:rsidRPr="00C9343F" w:rsidRDefault="0016777D" w:rsidP="007114B1">
            <w:pPr>
              <w:pStyle w:val="BlockText-Plain"/>
              <w:jc w:val="center"/>
            </w:pPr>
            <w:r w:rsidRPr="00C9343F">
              <w:t>c.</w:t>
            </w:r>
          </w:p>
        </w:tc>
        <w:tc>
          <w:tcPr>
            <w:tcW w:w="7796" w:type="dxa"/>
          </w:tcPr>
          <w:p w14:paraId="2AA8E458" w14:textId="5A349BA1" w:rsidR="0016777D" w:rsidRPr="00C9343F" w:rsidRDefault="0016777D" w:rsidP="00F66D98">
            <w:pPr>
              <w:pStyle w:val="BlockText-Plain"/>
            </w:pPr>
            <w:r w:rsidRPr="00C9343F">
              <w:rPr>
                <w:iCs/>
              </w:rPr>
              <w:t>The member has completed their initial minimum period of service</w:t>
            </w:r>
            <w:r w:rsidRPr="00C9343F">
              <w:t xml:space="preserve">.  </w:t>
            </w:r>
          </w:p>
        </w:tc>
      </w:tr>
      <w:tr w:rsidR="0016777D" w:rsidRPr="00C9343F" w14:paraId="4D188BC5" w14:textId="77777777" w:rsidTr="005F44BC">
        <w:trPr>
          <w:cantSplit/>
        </w:trPr>
        <w:tc>
          <w:tcPr>
            <w:tcW w:w="992" w:type="dxa"/>
          </w:tcPr>
          <w:p w14:paraId="1C1F9D49" w14:textId="77777777" w:rsidR="0016777D" w:rsidRPr="00C9343F" w:rsidRDefault="0016777D" w:rsidP="00F66D98">
            <w:pPr>
              <w:pStyle w:val="BlockText-Plain"/>
            </w:pPr>
          </w:p>
        </w:tc>
        <w:tc>
          <w:tcPr>
            <w:tcW w:w="567" w:type="dxa"/>
          </w:tcPr>
          <w:p w14:paraId="03E1CD38" w14:textId="77777777" w:rsidR="0016777D" w:rsidRPr="00C9343F" w:rsidRDefault="0016777D" w:rsidP="007114B1">
            <w:pPr>
              <w:pStyle w:val="BlockText-Plain"/>
              <w:jc w:val="center"/>
            </w:pPr>
            <w:r w:rsidRPr="00C9343F">
              <w:t>d.</w:t>
            </w:r>
          </w:p>
        </w:tc>
        <w:tc>
          <w:tcPr>
            <w:tcW w:w="7796" w:type="dxa"/>
          </w:tcPr>
          <w:p w14:paraId="46448113" w14:textId="48CA8DD4" w:rsidR="0016777D" w:rsidRPr="00C9343F" w:rsidRDefault="0016777D" w:rsidP="00F66D98">
            <w:pPr>
              <w:pStyle w:val="BlockText-Plain"/>
            </w:pPr>
            <w:r w:rsidRPr="00C9343F">
              <w:t>The member is not on a return of service obligation.</w:t>
            </w:r>
          </w:p>
        </w:tc>
      </w:tr>
    </w:tbl>
    <w:p w14:paraId="206AC2DA" w14:textId="40D5A449" w:rsidR="007448DD" w:rsidRPr="00C9343F" w:rsidRDefault="007448DD" w:rsidP="00F66D98">
      <w:pPr>
        <w:pStyle w:val="Heading5"/>
      </w:pPr>
      <w:bookmarkStart w:id="543" w:name="_Toc105053752"/>
      <w:r w:rsidRPr="00C9343F">
        <w:t>3.5.7</w:t>
      </w:r>
      <w:r w:rsidR="00D94006" w:rsidRPr="00C9343F">
        <w:t>    </w:t>
      </w:r>
      <w:r w:rsidRPr="00C9343F">
        <w:t>Member who is not eligible for a bonus</w:t>
      </w:r>
      <w:bookmarkEnd w:id="543"/>
    </w:p>
    <w:tbl>
      <w:tblPr>
        <w:tblW w:w="0" w:type="auto"/>
        <w:tblInd w:w="108" w:type="dxa"/>
        <w:tblLayout w:type="fixed"/>
        <w:tblLook w:val="0000" w:firstRow="0" w:lastRow="0" w:firstColumn="0" w:lastColumn="0" w:noHBand="0" w:noVBand="0"/>
      </w:tblPr>
      <w:tblGrid>
        <w:gridCol w:w="997"/>
        <w:gridCol w:w="567"/>
        <w:gridCol w:w="704"/>
        <w:gridCol w:w="7104"/>
      </w:tblGrid>
      <w:tr w:rsidR="007448DD" w:rsidRPr="00C9343F" w14:paraId="3AA0B5DD" w14:textId="77777777" w:rsidTr="0005003D">
        <w:tc>
          <w:tcPr>
            <w:tcW w:w="997" w:type="dxa"/>
          </w:tcPr>
          <w:p w14:paraId="3AC1DF91" w14:textId="77777777" w:rsidR="007448DD" w:rsidRPr="00C9343F" w:rsidRDefault="007448DD" w:rsidP="00F66D98">
            <w:pPr>
              <w:pStyle w:val="BlockText-Plain"/>
              <w:jc w:val="center"/>
            </w:pPr>
          </w:p>
        </w:tc>
        <w:tc>
          <w:tcPr>
            <w:tcW w:w="8375" w:type="dxa"/>
            <w:gridSpan w:val="3"/>
          </w:tcPr>
          <w:p w14:paraId="3AAA8442" w14:textId="77777777" w:rsidR="007448DD" w:rsidRPr="00C9343F" w:rsidRDefault="007448DD" w:rsidP="00F66D98">
            <w:pPr>
              <w:pStyle w:val="BlockText-Plain"/>
            </w:pPr>
            <w:r w:rsidRPr="00C9343F">
              <w:t>A member who meets any of the following circumstances is not eligible to be offered a bonus under this Division.</w:t>
            </w:r>
          </w:p>
        </w:tc>
      </w:tr>
      <w:tr w:rsidR="007448DD" w:rsidRPr="00C9343F" w14:paraId="459DFF41" w14:textId="77777777" w:rsidTr="0005003D">
        <w:trPr>
          <w:cantSplit/>
        </w:trPr>
        <w:tc>
          <w:tcPr>
            <w:tcW w:w="997" w:type="dxa"/>
          </w:tcPr>
          <w:p w14:paraId="426DA99D" w14:textId="77777777" w:rsidR="007448DD" w:rsidRPr="00C9343F" w:rsidRDefault="007448DD" w:rsidP="00F66D98">
            <w:pPr>
              <w:pStyle w:val="BlockText-Plain"/>
            </w:pPr>
          </w:p>
        </w:tc>
        <w:tc>
          <w:tcPr>
            <w:tcW w:w="567" w:type="dxa"/>
          </w:tcPr>
          <w:p w14:paraId="0410CD12" w14:textId="77777777" w:rsidR="007448DD" w:rsidRPr="00C9343F" w:rsidRDefault="007448DD" w:rsidP="007114B1">
            <w:pPr>
              <w:pStyle w:val="BlockText-Plain"/>
              <w:jc w:val="center"/>
            </w:pPr>
            <w:r w:rsidRPr="00C9343F">
              <w:t>a.</w:t>
            </w:r>
          </w:p>
        </w:tc>
        <w:tc>
          <w:tcPr>
            <w:tcW w:w="7808" w:type="dxa"/>
            <w:gridSpan w:val="2"/>
          </w:tcPr>
          <w:p w14:paraId="1397E7A2" w14:textId="77777777" w:rsidR="007448DD" w:rsidRPr="00C9343F" w:rsidRDefault="007448DD" w:rsidP="00F66D98">
            <w:pPr>
              <w:pStyle w:val="BlockText-Plain"/>
            </w:pPr>
            <w:r w:rsidRPr="00C9343F">
              <w:t>The member is medically unfit for service and the unfitness is expected to continue for a period of two years or more.</w:t>
            </w:r>
          </w:p>
        </w:tc>
      </w:tr>
      <w:tr w:rsidR="007448DD" w:rsidRPr="00C9343F" w14:paraId="52416179" w14:textId="77777777" w:rsidTr="0005003D">
        <w:trPr>
          <w:cantSplit/>
        </w:trPr>
        <w:tc>
          <w:tcPr>
            <w:tcW w:w="997" w:type="dxa"/>
          </w:tcPr>
          <w:p w14:paraId="59562C71" w14:textId="77777777" w:rsidR="007448DD" w:rsidRPr="00C9343F" w:rsidRDefault="007448DD" w:rsidP="00F66D98">
            <w:pPr>
              <w:pStyle w:val="BlockText-Plain"/>
            </w:pPr>
          </w:p>
        </w:tc>
        <w:tc>
          <w:tcPr>
            <w:tcW w:w="567" w:type="dxa"/>
          </w:tcPr>
          <w:p w14:paraId="59F3BDFF" w14:textId="77777777" w:rsidR="007448DD" w:rsidRPr="00C9343F" w:rsidRDefault="007448DD" w:rsidP="007114B1">
            <w:pPr>
              <w:pStyle w:val="BlockText-Plain"/>
              <w:jc w:val="center"/>
            </w:pPr>
            <w:r w:rsidRPr="00C9343F">
              <w:t>b.</w:t>
            </w:r>
          </w:p>
        </w:tc>
        <w:tc>
          <w:tcPr>
            <w:tcW w:w="7808" w:type="dxa"/>
            <w:gridSpan w:val="2"/>
          </w:tcPr>
          <w:p w14:paraId="76CCBC65" w14:textId="77777777" w:rsidR="007448DD" w:rsidRPr="00C9343F" w:rsidRDefault="007448DD" w:rsidP="00F66D98">
            <w:pPr>
              <w:pStyle w:val="BlockText-Plain"/>
            </w:pPr>
            <w:r w:rsidRPr="00C9343F">
              <w:t>The member has less than two years to serve until the end of the member's fixed period of service.</w:t>
            </w:r>
          </w:p>
          <w:p w14:paraId="276469F3" w14:textId="77777777" w:rsidR="007448DD" w:rsidRPr="00C9343F" w:rsidRDefault="007448DD" w:rsidP="00F66D98">
            <w:pPr>
              <w:pStyle w:val="BlockText-Plain"/>
            </w:pPr>
            <w:r w:rsidRPr="00C9343F">
              <w:rPr>
                <w:b/>
              </w:rPr>
              <w:t>Exception:</w:t>
            </w:r>
            <w:r w:rsidRPr="00C9343F">
              <w:t xml:space="preserve"> The CDF has extended the member's fixed period of service to cover the period of service required for the bonus.</w:t>
            </w:r>
          </w:p>
        </w:tc>
      </w:tr>
      <w:tr w:rsidR="007448DD" w:rsidRPr="00C9343F" w14:paraId="77B0628D" w14:textId="77777777" w:rsidTr="0005003D">
        <w:trPr>
          <w:cantSplit/>
        </w:trPr>
        <w:tc>
          <w:tcPr>
            <w:tcW w:w="997" w:type="dxa"/>
          </w:tcPr>
          <w:p w14:paraId="314542C3" w14:textId="77777777" w:rsidR="007448DD" w:rsidRPr="00C9343F" w:rsidRDefault="007448DD" w:rsidP="00F66D98">
            <w:pPr>
              <w:pStyle w:val="BlockText-Plain"/>
            </w:pPr>
          </w:p>
        </w:tc>
        <w:tc>
          <w:tcPr>
            <w:tcW w:w="567" w:type="dxa"/>
          </w:tcPr>
          <w:p w14:paraId="491F0A95" w14:textId="77777777" w:rsidR="007448DD" w:rsidRPr="00C9343F" w:rsidRDefault="007448DD" w:rsidP="007114B1">
            <w:pPr>
              <w:pStyle w:val="BlockText-Plain"/>
              <w:jc w:val="center"/>
            </w:pPr>
            <w:r w:rsidRPr="00C9343F">
              <w:t>c.</w:t>
            </w:r>
          </w:p>
        </w:tc>
        <w:tc>
          <w:tcPr>
            <w:tcW w:w="7808" w:type="dxa"/>
            <w:gridSpan w:val="2"/>
          </w:tcPr>
          <w:p w14:paraId="46E5C481" w14:textId="5796D8DE" w:rsidR="007448DD" w:rsidRPr="00C9343F" w:rsidRDefault="007448DD" w:rsidP="00F66D98">
            <w:pPr>
              <w:pStyle w:val="BlockText-Plain"/>
            </w:pPr>
            <w:r w:rsidRPr="00C9343F">
              <w:t>The member has less than two years to serve</w:t>
            </w:r>
            <w:r w:rsidR="00760D16" w:rsidRPr="00C9343F">
              <w:t xml:space="preserve"> until the lat</w:t>
            </w:r>
            <w:r w:rsidRPr="00C9343F">
              <w:t>er of the following days.</w:t>
            </w:r>
          </w:p>
        </w:tc>
      </w:tr>
      <w:tr w:rsidR="007448DD" w:rsidRPr="00C9343F" w14:paraId="6DAEFFD4" w14:textId="77777777" w:rsidTr="0005003D">
        <w:trPr>
          <w:cantSplit/>
        </w:trPr>
        <w:tc>
          <w:tcPr>
            <w:tcW w:w="997" w:type="dxa"/>
          </w:tcPr>
          <w:p w14:paraId="44C1A552" w14:textId="77777777" w:rsidR="007448DD" w:rsidRPr="00C9343F" w:rsidRDefault="007448DD" w:rsidP="00F66D98">
            <w:pPr>
              <w:pStyle w:val="BlockText-Plain"/>
            </w:pPr>
          </w:p>
        </w:tc>
        <w:tc>
          <w:tcPr>
            <w:tcW w:w="567" w:type="dxa"/>
          </w:tcPr>
          <w:p w14:paraId="53F01C6B" w14:textId="77777777" w:rsidR="007448DD" w:rsidRPr="00C9343F" w:rsidRDefault="007448DD" w:rsidP="00F66D98">
            <w:pPr>
              <w:pStyle w:val="BlockText-Plain"/>
            </w:pPr>
          </w:p>
        </w:tc>
        <w:tc>
          <w:tcPr>
            <w:tcW w:w="704" w:type="dxa"/>
          </w:tcPr>
          <w:p w14:paraId="3D7F28B6" w14:textId="77777777" w:rsidR="007448DD" w:rsidRPr="00C9343F" w:rsidRDefault="007448DD" w:rsidP="007114B1">
            <w:pPr>
              <w:pStyle w:val="BlockText-Plain"/>
            </w:pPr>
            <w:r w:rsidRPr="00C9343F">
              <w:t>i.</w:t>
            </w:r>
          </w:p>
        </w:tc>
        <w:tc>
          <w:tcPr>
            <w:tcW w:w="7104" w:type="dxa"/>
          </w:tcPr>
          <w:p w14:paraId="5249A0EA" w14:textId="77777777" w:rsidR="007448DD" w:rsidRPr="00C9343F" w:rsidRDefault="007448DD" w:rsidP="00F66D98">
            <w:pPr>
              <w:pStyle w:val="BlockText-Plain"/>
              <w:jc w:val="both"/>
            </w:pPr>
            <w:r w:rsidRPr="00C9343F">
              <w:t>The day the member reaches retirement age.</w:t>
            </w:r>
          </w:p>
        </w:tc>
      </w:tr>
      <w:tr w:rsidR="007448DD" w:rsidRPr="00C9343F" w14:paraId="0680F80C" w14:textId="77777777" w:rsidTr="0005003D">
        <w:trPr>
          <w:cantSplit/>
        </w:trPr>
        <w:tc>
          <w:tcPr>
            <w:tcW w:w="997" w:type="dxa"/>
          </w:tcPr>
          <w:p w14:paraId="6D996B83" w14:textId="77777777" w:rsidR="007448DD" w:rsidRPr="00C9343F" w:rsidRDefault="007448DD" w:rsidP="00F66D98">
            <w:pPr>
              <w:pStyle w:val="BlockText-Plain"/>
            </w:pPr>
          </w:p>
        </w:tc>
        <w:tc>
          <w:tcPr>
            <w:tcW w:w="567" w:type="dxa"/>
          </w:tcPr>
          <w:p w14:paraId="31BE7867" w14:textId="77777777" w:rsidR="007448DD" w:rsidRPr="00C9343F" w:rsidRDefault="007448DD" w:rsidP="00F66D98">
            <w:pPr>
              <w:pStyle w:val="BlockText-Plain"/>
            </w:pPr>
          </w:p>
        </w:tc>
        <w:tc>
          <w:tcPr>
            <w:tcW w:w="704" w:type="dxa"/>
          </w:tcPr>
          <w:p w14:paraId="731DCBF9" w14:textId="77777777" w:rsidR="007448DD" w:rsidRPr="00C9343F" w:rsidRDefault="007448DD" w:rsidP="007114B1">
            <w:pPr>
              <w:pStyle w:val="BlockText-Plain"/>
            </w:pPr>
            <w:r w:rsidRPr="00C9343F">
              <w:t>ii.</w:t>
            </w:r>
          </w:p>
        </w:tc>
        <w:tc>
          <w:tcPr>
            <w:tcW w:w="7104" w:type="dxa"/>
          </w:tcPr>
          <w:p w14:paraId="4BB8AAE5" w14:textId="0B7797BB" w:rsidR="007448DD" w:rsidRPr="00C9343F" w:rsidRDefault="007448DD" w:rsidP="00F66D98">
            <w:pPr>
              <w:pStyle w:val="BlockText-Plain"/>
            </w:pPr>
            <w:r w:rsidRPr="00C9343F">
              <w:t>The last day that the CDF has allowed the member to serve beyond the member's retirement age</w:t>
            </w:r>
            <w:r w:rsidR="002F68F8" w:rsidRPr="00C9343F">
              <w:t xml:space="preserve"> </w:t>
            </w:r>
            <w:r w:rsidR="002F68F8" w:rsidRPr="00C9343F">
              <w:rPr>
                <w:iCs/>
              </w:rPr>
              <w:t>under paragraph 23(2)(b) of the Defence Regulation</w:t>
            </w:r>
            <w:r w:rsidRPr="00C9343F">
              <w:t>.</w:t>
            </w:r>
          </w:p>
        </w:tc>
      </w:tr>
      <w:tr w:rsidR="007448DD" w:rsidRPr="00C9343F" w14:paraId="024FB58D" w14:textId="77777777" w:rsidTr="0005003D">
        <w:trPr>
          <w:cantSplit/>
        </w:trPr>
        <w:tc>
          <w:tcPr>
            <w:tcW w:w="997" w:type="dxa"/>
          </w:tcPr>
          <w:p w14:paraId="1CB8AA92" w14:textId="77777777" w:rsidR="007448DD" w:rsidRPr="00C9343F" w:rsidRDefault="007448DD" w:rsidP="00F66D98">
            <w:pPr>
              <w:pStyle w:val="BlockText-Plain"/>
            </w:pPr>
          </w:p>
        </w:tc>
        <w:tc>
          <w:tcPr>
            <w:tcW w:w="567" w:type="dxa"/>
          </w:tcPr>
          <w:p w14:paraId="73745E14" w14:textId="77777777" w:rsidR="007448DD" w:rsidRPr="00C9343F" w:rsidRDefault="007448DD" w:rsidP="007114B1">
            <w:pPr>
              <w:pStyle w:val="BlockText-Plain"/>
              <w:jc w:val="center"/>
            </w:pPr>
            <w:r w:rsidRPr="00C9343F">
              <w:t>d.</w:t>
            </w:r>
          </w:p>
        </w:tc>
        <w:tc>
          <w:tcPr>
            <w:tcW w:w="7808" w:type="dxa"/>
            <w:gridSpan w:val="2"/>
          </w:tcPr>
          <w:p w14:paraId="524A2A90" w14:textId="77777777" w:rsidR="007448DD" w:rsidRPr="00C9343F" w:rsidRDefault="007448DD" w:rsidP="00F66D98">
            <w:pPr>
              <w:pStyle w:val="BlockText-Plain"/>
            </w:pPr>
            <w:r w:rsidRPr="00C9343F">
              <w:t xml:space="preserve">The member has been given a notice for the purpose of termination under subsection 24(2) of the </w:t>
            </w:r>
            <w:r w:rsidR="004974D5" w:rsidRPr="00C9343F">
              <w:t>Defence Regulation</w:t>
            </w:r>
            <w:r w:rsidRPr="00C9343F">
              <w:rPr>
                <w:i/>
              </w:rPr>
              <w:t>.</w:t>
            </w:r>
          </w:p>
        </w:tc>
      </w:tr>
    </w:tbl>
    <w:p w14:paraId="46F49087" w14:textId="0EFA874F" w:rsidR="005F44BC" w:rsidRPr="00C9343F" w:rsidRDefault="005F44BC" w:rsidP="00F66D98">
      <w:pPr>
        <w:pStyle w:val="Heading5"/>
      </w:pPr>
      <w:bookmarkStart w:id="544" w:name="_Toc105053753"/>
      <w:r w:rsidRPr="00C9343F">
        <w:t>3.5.8</w:t>
      </w:r>
      <w:r w:rsidR="00D94006" w:rsidRPr="00C9343F">
        <w:t>    </w:t>
      </w:r>
      <w:r w:rsidRPr="00C9343F">
        <w:t>Offer of a bonus</w:t>
      </w:r>
      <w:bookmarkEnd w:id="544"/>
    </w:p>
    <w:tbl>
      <w:tblPr>
        <w:tblW w:w="9359" w:type="dxa"/>
        <w:tblInd w:w="113" w:type="dxa"/>
        <w:tblLayout w:type="fixed"/>
        <w:tblLook w:val="0000" w:firstRow="0" w:lastRow="0" w:firstColumn="0" w:lastColumn="0" w:noHBand="0" w:noVBand="0"/>
      </w:tblPr>
      <w:tblGrid>
        <w:gridCol w:w="992"/>
        <w:gridCol w:w="567"/>
        <w:gridCol w:w="596"/>
        <w:gridCol w:w="7204"/>
      </w:tblGrid>
      <w:tr w:rsidR="002630F4" w:rsidRPr="00C9343F" w14:paraId="3451DA67" w14:textId="77777777" w:rsidTr="008F4502">
        <w:tc>
          <w:tcPr>
            <w:tcW w:w="992" w:type="dxa"/>
          </w:tcPr>
          <w:p w14:paraId="2F596EA0" w14:textId="77777777" w:rsidR="002630F4" w:rsidRPr="00C9343F" w:rsidRDefault="002630F4" w:rsidP="00F66D98">
            <w:pPr>
              <w:pStyle w:val="BlockText-Plain"/>
              <w:jc w:val="center"/>
            </w:pPr>
            <w:r w:rsidRPr="00C9343F">
              <w:t>1.</w:t>
            </w:r>
          </w:p>
        </w:tc>
        <w:tc>
          <w:tcPr>
            <w:tcW w:w="8367" w:type="dxa"/>
            <w:gridSpan w:val="3"/>
          </w:tcPr>
          <w:p w14:paraId="14F5C9F8" w14:textId="77777777" w:rsidR="002630F4" w:rsidRPr="00C9343F" w:rsidRDefault="002630F4" w:rsidP="00F66D98">
            <w:pPr>
              <w:pStyle w:val="BlockText-Plain"/>
            </w:pPr>
            <w:r w:rsidRPr="00C9343F">
              <w:t>The CDF or the member's Service Chief may determine the following, having regard to the factors provided under section 3.5.9.</w:t>
            </w:r>
          </w:p>
        </w:tc>
      </w:tr>
      <w:tr w:rsidR="002630F4" w:rsidRPr="00C9343F" w14:paraId="421B52AC" w14:textId="77777777" w:rsidTr="008F4502">
        <w:trPr>
          <w:cantSplit/>
        </w:trPr>
        <w:tc>
          <w:tcPr>
            <w:tcW w:w="992" w:type="dxa"/>
          </w:tcPr>
          <w:p w14:paraId="43347ACF" w14:textId="77777777" w:rsidR="002630F4" w:rsidRPr="00C9343F" w:rsidRDefault="002630F4" w:rsidP="00F66D98">
            <w:pPr>
              <w:pStyle w:val="BlockText-Plain"/>
            </w:pPr>
          </w:p>
        </w:tc>
        <w:tc>
          <w:tcPr>
            <w:tcW w:w="567" w:type="dxa"/>
          </w:tcPr>
          <w:p w14:paraId="4F58256C" w14:textId="77777777" w:rsidR="002630F4" w:rsidRPr="00C9343F" w:rsidRDefault="002630F4" w:rsidP="007114B1">
            <w:pPr>
              <w:pStyle w:val="BlockText-Plain"/>
              <w:jc w:val="center"/>
            </w:pPr>
            <w:r w:rsidRPr="00C9343F">
              <w:t>a.</w:t>
            </w:r>
          </w:p>
        </w:tc>
        <w:tc>
          <w:tcPr>
            <w:tcW w:w="7800" w:type="dxa"/>
            <w:gridSpan w:val="2"/>
          </w:tcPr>
          <w:p w14:paraId="03A0925B" w14:textId="77777777" w:rsidR="002630F4" w:rsidRPr="00C9343F" w:rsidRDefault="002630F4" w:rsidP="00F66D98">
            <w:pPr>
              <w:pStyle w:val="BlockText-Plain"/>
            </w:pPr>
            <w:r w:rsidRPr="00C9343F">
              <w:t>A bonus up to a maximum of $100,000 for the period of service determined under paragraph b.</w:t>
            </w:r>
          </w:p>
        </w:tc>
      </w:tr>
      <w:tr w:rsidR="002630F4" w:rsidRPr="00C9343F" w14:paraId="7FE99A5A" w14:textId="77777777" w:rsidTr="008F4502">
        <w:trPr>
          <w:cantSplit/>
        </w:trPr>
        <w:tc>
          <w:tcPr>
            <w:tcW w:w="992" w:type="dxa"/>
          </w:tcPr>
          <w:p w14:paraId="2D3F715E" w14:textId="77777777" w:rsidR="002630F4" w:rsidRPr="00C9343F" w:rsidRDefault="002630F4" w:rsidP="00F66D98">
            <w:pPr>
              <w:pStyle w:val="BlockText-Plain"/>
            </w:pPr>
          </w:p>
        </w:tc>
        <w:tc>
          <w:tcPr>
            <w:tcW w:w="567" w:type="dxa"/>
          </w:tcPr>
          <w:p w14:paraId="75ECF7AA" w14:textId="77777777" w:rsidR="002630F4" w:rsidRPr="00C9343F" w:rsidRDefault="002630F4" w:rsidP="007114B1">
            <w:pPr>
              <w:pStyle w:val="BlockText-Plain"/>
              <w:jc w:val="center"/>
            </w:pPr>
            <w:r w:rsidRPr="00C9343F">
              <w:t>b.</w:t>
            </w:r>
          </w:p>
        </w:tc>
        <w:tc>
          <w:tcPr>
            <w:tcW w:w="7800" w:type="dxa"/>
            <w:gridSpan w:val="2"/>
          </w:tcPr>
          <w:p w14:paraId="1EE630C4" w14:textId="77777777" w:rsidR="002630F4" w:rsidRPr="00C9343F" w:rsidRDefault="002630F4" w:rsidP="00F66D98">
            <w:pPr>
              <w:pStyle w:val="BlockText-Plain"/>
            </w:pPr>
            <w:r w:rsidRPr="00C9343F">
              <w:t>A fixed period of service to be performed by the member between one and three years.</w:t>
            </w:r>
          </w:p>
        </w:tc>
      </w:tr>
      <w:tr w:rsidR="0028406D" w:rsidRPr="00C9343F" w14:paraId="0962AD24" w14:textId="77777777" w:rsidTr="00B4505C">
        <w:trPr>
          <w:cantSplit/>
        </w:trPr>
        <w:tc>
          <w:tcPr>
            <w:tcW w:w="992" w:type="dxa"/>
          </w:tcPr>
          <w:p w14:paraId="3FD37604" w14:textId="482E3B0D" w:rsidR="0028406D" w:rsidRPr="00C9343F" w:rsidRDefault="0028406D" w:rsidP="00F66D98">
            <w:pPr>
              <w:pStyle w:val="BlockText-Plain"/>
              <w:jc w:val="center"/>
            </w:pPr>
            <w:r w:rsidRPr="00C9343F">
              <w:t>1A.</w:t>
            </w:r>
          </w:p>
        </w:tc>
        <w:tc>
          <w:tcPr>
            <w:tcW w:w="8367" w:type="dxa"/>
            <w:gridSpan w:val="3"/>
          </w:tcPr>
          <w:p w14:paraId="337778D1" w14:textId="74A5D4FB" w:rsidR="0028406D" w:rsidRPr="00C9343F" w:rsidRDefault="0028406D" w:rsidP="00F66D98">
            <w:pPr>
              <w:pStyle w:val="BlockText-Plain"/>
            </w:pPr>
            <w:r w:rsidRPr="00C9343F">
              <w:rPr>
                <w:iCs/>
              </w:rPr>
              <w:t>The period of service determined under subsection 1 must not include any past period of service.</w:t>
            </w:r>
          </w:p>
        </w:tc>
      </w:tr>
      <w:tr w:rsidR="002630F4" w:rsidRPr="00C9343F" w14:paraId="54919131" w14:textId="77777777" w:rsidTr="008F4502">
        <w:trPr>
          <w:cantSplit/>
        </w:trPr>
        <w:tc>
          <w:tcPr>
            <w:tcW w:w="992" w:type="dxa"/>
          </w:tcPr>
          <w:p w14:paraId="2998EEEF" w14:textId="77777777" w:rsidR="002630F4" w:rsidRPr="00C9343F" w:rsidRDefault="002630F4" w:rsidP="00F66D98">
            <w:pPr>
              <w:pStyle w:val="BlockText-Plain"/>
              <w:jc w:val="center"/>
            </w:pPr>
            <w:r w:rsidRPr="00C9343F">
              <w:t>2.</w:t>
            </w:r>
          </w:p>
        </w:tc>
        <w:tc>
          <w:tcPr>
            <w:tcW w:w="8367" w:type="dxa"/>
            <w:gridSpan w:val="3"/>
          </w:tcPr>
          <w:p w14:paraId="6B130AC8" w14:textId="34AF57FE" w:rsidR="002630F4" w:rsidRPr="00C9343F" w:rsidRDefault="002630F4" w:rsidP="00F66D98">
            <w:pPr>
              <w:pStyle w:val="BlockText-Plain"/>
            </w:pPr>
            <w:r w:rsidRPr="00C9343F">
              <w:t>The offer of a bonus determined under subsection 1 may be made by the following.</w:t>
            </w:r>
          </w:p>
        </w:tc>
      </w:tr>
      <w:tr w:rsidR="002630F4" w:rsidRPr="00C9343F" w14:paraId="599419DB" w14:textId="77777777" w:rsidTr="008F4502">
        <w:trPr>
          <w:cantSplit/>
        </w:trPr>
        <w:tc>
          <w:tcPr>
            <w:tcW w:w="992" w:type="dxa"/>
          </w:tcPr>
          <w:p w14:paraId="6F7BEC6D" w14:textId="77777777" w:rsidR="002630F4" w:rsidRPr="00C9343F" w:rsidRDefault="002630F4" w:rsidP="00F66D98">
            <w:pPr>
              <w:pStyle w:val="BlockText-Plain"/>
            </w:pPr>
          </w:p>
        </w:tc>
        <w:tc>
          <w:tcPr>
            <w:tcW w:w="567" w:type="dxa"/>
          </w:tcPr>
          <w:p w14:paraId="0029F375" w14:textId="77777777" w:rsidR="002630F4" w:rsidRPr="00C9343F" w:rsidRDefault="002630F4" w:rsidP="007114B1">
            <w:pPr>
              <w:pStyle w:val="BlockText-Plain"/>
              <w:jc w:val="center"/>
            </w:pPr>
            <w:r w:rsidRPr="00C9343F">
              <w:t>a.</w:t>
            </w:r>
          </w:p>
        </w:tc>
        <w:tc>
          <w:tcPr>
            <w:tcW w:w="7800" w:type="dxa"/>
            <w:gridSpan w:val="2"/>
          </w:tcPr>
          <w:p w14:paraId="646D8BAB" w14:textId="5162E1B0" w:rsidR="002630F4" w:rsidRPr="00C9343F" w:rsidRDefault="002630F4" w:rsidP="00F66D98">
            <w:pPr>
              <w:pStyle w:val="BlockText-Plain"/>
            </w:pPr>
            <w:r w:rsidRPr="00C9343F">
              <w:t>If determined by the CDF</w:t>
            </w:r>
            <w:r w:rsidR="004348E8" w:rsidRPr="00C9343F">
              <w:t xml:space="preserve"> </w:t>
            </w:r>
            <w:r w:rsidR="004348E8" w:rsidRPr="00C9343F">
              <w:rPr>
                <w:rFonts w:cs="Arial"/>
              </w:rPr>
              <w:t>— a</w:t>
            </w:r>
            <w:r w:rsidRPr="00C9343F">
              <w:rPr>
                <w:rFonts w:cs="Arial"/>
              </w:rPr>
              <w:t>ny of the following.</w:t>
            </w:r>
          </w:p>
        </w:tc>
      </w:tr>
      <w:tr w:rsidR="002630F4" w:rsidRPr="00C9343F" w14:paraId="43605B86" w14:textId="77777777" w:rsidTr="008F4502">
        <w:trPr>
          <w:cantSplit/>
        </w:trPr>
        <w:tc>
          <w:tcPr>
            <w:tcW w:w="992" w:type="dxa"/>
          </w:tcPr>
          <w:p w14:paraId="21B0BCA7" w14:textId="77777777" w:rsidR="002630F4" w:rsidRPr="00C9343F" w:rsidRDefault="002630F4" w:rsidP="00F66D98">
            <w:pPr>
              <w:pStyle w:val="BlockText-Plain"/>
            </w:pPr>
          </w:p>
        </w:tc>
        <w:tc>
          <w:tcPr>
            <w:tcW w:w="567" w:type="dxa"/>
          </w:tcPr>
          <w:p w14:paraId="14422132" w14:textId="77777777" w:rsidR="002630F4" w:rsidRPr="00C9343F" w:rsidRDefault="002630F4" w:rsidP="00F66D98">
            <w:pPr>
              <w:pStyle w:val="BlockText-Plain"/>
            </w:pPr>
          </w:p>
        </w:tc>
        <w:tc>
          <w:tcPr>
            <w:tcW w:w="596" w:type="dxa"/>
          </w:tcPr>
          <w:p w14:paraId="48003C6D" w14:textId="77777777" w:rsidR="002630F4" w:rsidRPr="00C9343F" w:rsidRDefault="002630F4" w:rsidP="00F66D98">
            <w:pPr>
              <w:pStyle w:val="BlockText-Plain"/>
            </w:pPr>
            <w:r w:rsidRPr="00C9343F">
              <w:t>i.</w:t>
            </w:r>
          </w:p>
        </w:tc>
        <w:tc>
          <w:tcPr>
            <w:tcW w:w="7204" w:type="dxa"/>
          </w:tcPr>
          <w:p w14:paraId="4C1B0374" w14:textId="77777777" w:rsidR="002630F4" w:rsidRPr="00C9343F" w:rsidRDefault="002630F4" w:rsidP="00F66D98">
            <w:pPr>
              <w:pStyle w:val="BlockText-Plain"/>
            </w:pPr>
            <w:r w:rsidRPr="00C9343F">
              <w:t>Chief of Staff</w:t>
            </w:r>
            <w:r w:rsidRPr="00C9343F">
              <w:rPr>
                <w:rFonts w:cs="Arial"/>
              </w:rPr>
              <w:t xml:space="preserve"> – </w:t>
            </w:r>
            <w:r w:rsidRPr="00C9343F">
              <w:t>ADF Headquarters.</w:t>
            </w:r>
          </w:p>
        </w:tc>
      </w:tr>
      <w:tr w:rsidR="002630F4" w:rsidRPr="00C9343F" w14:paraId="599CE6B5" w14:textId="77777777" w:rsidTr="008F4502">
        <w:trPr>
          <w:cantSplit/>
        </w:trPr>
        <w:tc>
          <w:tcPr>
            <w:tcW w:w="992" w:type="dxa"/>
          </w:tcPr>
          <w:p w14:paraId="62A3EA1C" w14:textId="77777777" w:rsidR="002630F4" w:rsidRPr="00C9343F" w:rsidRDefault="002630F4" w:rsidP="00F66D98">
            <w:pPr>
              <w:pStyle w:val="BlockText-Plain"/>
            </w:pPr>
          </w:p>
        </w:tc>
        <w:tc>
          <w:tcPr>
            <w:tcW w:w="567" w:type="dxa"/>
          </w:tcPr>
          <w:p w14:paraId="45592A7C" w14:textId="77777777" w:rsidR="002630F4" w:rsidRPr="00C9343F" w:rsidRDefault="002630F4" w:rsidP="00F66D98">
            <w:pPr>
              <w:pStyle w:val="BlockText-Plain"/>
            </w:pPr>
          </w:p>
        </w:tc>
        <w:tc>
          <w:tcPr>
            <w:tcW w:w="596" w:type="dxa"/>
          </w:tcPr>
          <w:p w14:paraId="08BFA99F" w14:textId="77777777" w:rsidR="002630F4" w:rsidRPr="00C9343F" w:rsidRDefault="002630F4" w:rsidP="00F66D98">
            <w:pPr>
              <w:pStyle w:val="BlockText-Plain"/>
            </w:pPr>
            <w:r w:rsidRPr="00C9343F">
              <w:t>ii.</w:t>
            </w:r>
          </w:p>
        </w:tc>
        <w:tc>
          <w:tcPr>
            <w:tcW w:w="7204" w:type="dxa"/>
          </w:tcPr>
          <w:p w14:paraId="3BDAF2AF" w14:textId="77777777" w:rsidR="002630F4" w:rsidRPr="00C9343F" w:rsidRDefault="002630F4" w:rsidP="00F66D98">
            <w:pPr>
              <w:pStyle w:val="BlockText-Plain"/>
            </w:pPr>
            <w:r w:rsidRPr="00C9343F">
              <w:t>Director General Navy People.</w:t>
            </w:r>
          </w:p>
        </w:tc>
      </w:tr>
      <w:tr w:rsidR="002630F4" w:rsidRPr="00C9343F" w14:paraId="715C0B44" w14:textId="77777777" w:rsidTr="008F4502">
        <w:trPr>
          <w:cantSplit/>
        </w:trPr>
        <w:tc>
          <w:tcPr>
            <w:tcW w:w="992" w:type="dxa"/>
          </w:tcPr>
          <w:p w14:paraId="734BA45D" w14:textId="77777777" w:rsidR="002630F4" w:rsidRPr="00C9343F" w:rsidRDefault="002630F4" w:rsidP="00F66D98">
            <w:pPr>
              <w:pStyle w:val="BlockText-Plain"/>
            </w:pPr>
          </w:p>
        </w:tc>
        <w:tc>
          <w:tcPr>
            <w:tcW w:w="567" w:type="dxa"/>
          </w:tcPr>
          <w:p w14:paraId="37ED723B" w14:textId="77777777" w:rsidR="002630F4" w:rsidRPr="00C9343F" w:rsidRDefault="002630F4" w:rsidP="00F66D98">
            <w:pPr>
              <w:pStyle w:val="BlockText-Plain"/>
            </w:pPr>
          </w:p>
        </w:tc>
        <w:tc>
          <w:tcPr>
            <w:tcW w:w="596" w:type="dxa"/>
          </w:tcPr>
          <w:p w14:paraId="2B441162" w14:textId="77777777" w:rsidR="002630F4" w:rsidRPr="00C9343F" w:rsidRDefault="002630F4" w:rsidP="00F66D98">
            <w:pPr>
              <w:pStyle w:val="BlockText-Plain"/>
            </w:pPr>
            <w:r w:rsidRPr="00C9343F">
              <w:t>iii.</w:t>
            </w:r>
          </w:p>
        </w:tc>
        <w:tc>
          <w:tcPr>
            <w:tcW w:w="7204" w:type="dxa"/>
          </w:tcPr>
          <w:p w14:paraId="6D5BAF2C" w14:textId="77777777" w:rsidR="002630F4" w:rsidRPr="00C9343F" w:rsidRDefault="00375DCD" w:rsidP="00F66D98">
            <w:pPr>
              <w:pStyle w:val="BlockText-Plain"/>
            </w:pPr>
            <w:r w:rsidRPr="00C9343F">
              <w:rPr>
                <w:iCs/>
              </w:rPr>
              <w:t>Director General Army People Capability</w:t>
            </w:r>
            <w:r w:rsidR="002630F4" w:rsidRPr="00C9343F">
              <w:t>.</w:t>
            </w:r>
          </w:p>
        </w:tc>
      </w:tr>
      <w:tr w:rsidR="002630F4" w:rsidRPr="00C9343F" w14:paraId="080F6BC4" w14:textId="77777777" w:rsidTr="008F4502">
        <w:trPr>
          <w:cantSplit/>
        </w:trPr>
        <w:tc>
          <w:tcPr>
            <w:tcW w:w="992" w:type="dxa"/>
          </w:tcPr>
          <w:p w14:paraId="73291946" w14:textId="77777777" w:rsidR="002630F4" w:rsidRPr="00C9343F" w:rsidRDefault="002630F4" w:rsidP="00F66D98">
            <w:pPr>
              <w:pStyle w:val="BlockText-Plain"/>
            </w:pPr>
          </w:p>
        </w:tc>
        <w:tc>
          <w:tcPr>
            <w:tcW w:w="567" w:type="dxa"/>
          </w:tcPr>
          <w:p w14:paraId="0ABB9017" w14:textId="77777777" w:rsidR="002630F4" w:rsidRPr="00C9343F" w:rsidRDefault="002630F4" w:rsidP="00F66D98">
            <w:pPr>
              <w:pStyle w:val="BlockText-Plain"/>
            </w:pPr>
          </w:p>
        </w:tc>
        <w:tc>
          <w:tcPr>
            <w:tcW w:w="596" w:type="dxa"/>
          </w:tcPr>
          <w:p w14:paraId="589366FF" w14:textId="77777777" w:rsidR="002630F4" w:rsidRPr="00C9343F" w:rsidRDefault="002630F4" w:rsidP="00F66D98">
            <w:pPr>
              <w:pStyle w:val="BlockText-Plain"/>
            </w:pPr>
            <w:r w:rsidRPr="00C9343F">
              <w:t>iv.</w:t>
            </w:r>
          </w:p>
        </w:tc>
        <w:tc>
          <w:tcPr>
            <w:tcW w:w="7204" w:type="dxa"/>
          </w:tcPr>
          <w:p w14:paraId="29E317A9" w14:textId="77777777" w:rsidR="002630F4" w:rsidRPr="00C9343F" w:rsidRDefault="002630F4" w:rsidP="00F66D98">
            <w:pPr>
              <w:pStyle w:val="BlockText-Plain"/>
            </w:pPr>
            <w:r w:rsidRPr="00C9343F">
              <w:t>Director General Personnel – Air Force.</w:t>
            </w:r>
          </w:p>
        </w:tc>
      </w:tr>
      <w:tr w:rsidR="002630F4" w:rsidRPr="00C9343F" w14:paraId="6392FB76" w14:textId="77777777" w:rsidTr="008F4502">
        <w:trPr>
          <w:cantSplit/>
        </w:trPr>
        <w:tc>
          <w:tcPr>
            <w:tcW w:w="992" w:type="dxa"/>
          </w:tcPr>
          <w:p w14:paraId="52A5E89D" w14:textId="77777777" w:rsidR="002630F4" w:rsidRPr="00C9343F" w:rsidRDefault="002630F4" w:rsidP="00F66D98">
            <w:pPr>
              <w:pStyle w:val="BlockText-Plain"/>
            </w:pPr>
          </w:p>
        </w:tc>
        <w:tc>
          <w:tcPr>
            <w:tcW w:w="567" w:type="dxa"/>
          </w:tcPr>
          <w:p w14:paraId="41D9A188" w14:textId="77777777" w:rsidR="002630F4" w:rsidRPr="00C9343F" w:rsidRDefault="002630F4" w:rsidP="007114B1">
            <w:pPr>
              <w:pStyle w:val="BlockText-Plain"/>
              <w:jc w:val="center"/>
            </w:pPr>
            <w:r w:rsidRPr="00C9343F">
              <w:t>b.</w:t>
            </w:r>
          </w:p>
        </w:tc>
        <w:tc>
          <w:tcPr>
            <w:tcW w:w="7800" w:type="dxa"/>
            <w:gridSpan w:val="2"/>
          </w:tcPr>
          <w:p w14:paraId="5516B7B8" w14:textId="3FA00BD8" w:rsidR="002630F4" w:rsidRPr="00C9343F" w:rsidRDefault="002630F4" w:rsidP="00F66D98">
            <w:pPr>
              <w:pStyle w:val="BlockText-Plain"/>
            </w:pPr>
            <w:r w:rsidRPr="00C9343F">
              <w:t>If determined by the Chief of Navy</w:t>
            </w:r>
            <w:r w:rsidR="004348E8" w:rsidRPr="00C9343F">
              <w:t xml:space="preserve"> </w:t>
            </w:r>
            <w:r w:rsidRPr="00C9343F">
              <w:rPr>
                <w:rFonts w:cs="Arial"/>
              </w:rPr>
              <w:t>—</w:t>
            </w:r>
            <w:r w:rsidR="004348E8" w:rsidRPr="00C9343F">
              <w:rPr>
                <w:rFonts w:cs="Arial"/>
              </w:rPr>
              <w:t xml:space="preserve"> </w:t>
            </w:r>
            <w:r w:rsidRPr="00C9343F">
              <w:t>Director General Navy People.</w:t>
            </w:r>
          </w:p>
        </w:tc>
      </w:tr>
      <w:tr w:rsidR="002630F4" w:rsidRPr="00C9343F" w14:paraId="11B8F6FD" w14:textId="77777777" w:rsidTr="008F4502">
        <w:trPr>
          <w:cantSplit/>
        </w:trPr>
        <w:tc>
          <w:tcPr>
            <w:tcW w:w="992" w:type="dxa"/>
          </w:tcPr>
          <w:p w14:paraId="18C5D41B" w14:textId="77777777" w:rsidR="002630F4" w:rsidRPr="00C9343F" w:rsidRDefault="002630F4" w:rsidP="00F66D98">
            <w:pPr>
              <w:pStyle w:val="BlockText-Plain"/>
            </w:pPr>
          </w:p>
        </w:tc>
        <w:tc>
          <w:tcPr>
            <w:tcW w:w="567" w:type="dxa"/>
          </w:tcPr>
          <w:p w14:paraId="7866DB68" w14:textId="77777777" w:rsidR="002630F4" w:rsidRPr="00C9343F" w:rsidRDefault="002630F4" w:rsidP="007114B1">
            <w:pPr>
              <w:pStyle w:val="BlockText-Plain"/>
              <w:jc w:val="center"/>
            </w:pPr>
            <w:r w:rsidRPr="00C9343F">
              <w:t>c.</w:t>
            </w:r>
          </w:p>
        </w:tc>
        <w:tc>
          <w:tcPr>
            <w:tcW w:w="7800" w:type="dxa"/>
            <w:gridSpan w:val="2"/>
          </w:tcPr>
          <w:p w14:paraId="1CFC2F8D" w14:textId="2567B598" w:rsidR="002630F4" w:rsidRPr="00C9343F" w:rsidRDefault="002630F4" w:rsidP="00F66D98">
            <w:pPr>
              <w:pStyle w:val="BlockText-Plain"/>
            </w:pPr>
            <w:r w:rsidRPr="00C9343F">
              <w:t>If determined by the Chief of Army</w:t>
            </w:r>
            <w:r w:rsidR="004348E8" w:rsidRPr="00C9343F">
              <w:t xml:space="preserve"> </w:t>
            </w:r>
            <w:r w:rsidRPr="00C9343F">
              <w:rPr>
                <w:rFonts w:cs="Arial"/>
              </w:rPr>
              <w:t>—</w:t>
            </w:r>
            <w:r w:rsidR="004348E8" w:rsidRPr="00C9343F">
              <w:rPr>
                <w:rFonts w:cs="Arial"/>
              </w:rPr>
              <w:t xml:space="preserve"> </w:t>
            </w:r>
            <w:r w:rsidR="00375DCD" w:rsidRPr="00C9343F">
              <w:rPr>
                <w:iCs/>
              </w:rPr>
              <w:t>Director General Army People Capability</w:t>
            </w:r>
            <w:r w:rsidRPr="00C9343F">
              <w:t>.</w:t>
            </w:r>
          </w:p>
        </w:tc>
      </w:tr>
      <w:tr w:rsidR="002630F4" w:rsidRPr="00C9343F" w14:paraId="5D90FBFB" w14:textId="77777777" w:rsidTr="008F4502">
        <w:trPr>
          <w:cantSplit/>
        </w:trPr>
        <w:tc>
          <w:tcPr>
            <w:tcW w:w="992" w:type="dxa"/>
          </w:tcPr>
          <w:p w14:paraId="7FE7F550" w14:textId="77777777" w:rsidR="002630F4" w:rsidRPr="00C9343F" w:rsidRDefault="002630F4" w:rsidP="00F66D98">
            <w:pPr>
              <w:pStyle w:val="BlockText-Plain"/>
            </w:pPr>
          </w:p>
        </w:tc>
        <w:tc>
          <w:tcPr>
            <w:tcW w:w="567" w:type="dxa"/>
          </w:tcPr>
          <w:p w14:paraId="00BB011E" w14:textId="77777777" w:rsidR="002630F4" w:rsidRPr="00C9343F" w:rsidRDefault="002630F4" w:rsidP="007114B1">
            <w:pPr>
              <w:pStyle w:val="BlockText-Plain"/>
              <w:jc w:val="center"/>
            </w:pPr>
            <w:r w:rsidRPr="00C9343F">
              <w:t>d.</w:t>
            </w:r>
          </w:p>
        </w:tc>
        <w:tc>
          <w:tcPr>
            <w:tcW w:w="7800" w:type="dxa"/>
            <w:gridSpan w:val="2"/>
          </w:tcPr>
          <w:p w14:paraId="2126838A" w14:textId="6F2C28C8" w:rsidR="002630F4" w:rsidRPr="00C9343F" w:rsidRDefault="002630F4" w:rsidP="00F66D98">
            <w:pPr>
              <w:pStyle w:val="BlockText-Plain"/>
            </w:pPr>
            <w:r w:rsidRPr="00C9343F">
              <w:t>If determined by the Chief of Air Force</w:t>
            </w:r>
            <w:r w:rsidR="004348E8" w:rsidRPr="00C9343F">
              <w:t xml:space="preserve"> </w:t>
            </w:r>
            <w:r w:rsidRPr="00C9343F">
              <w:rPr>
                <w:rFonts w:cs="Arial"/>
              </w:rPr>
              <w:t>—</w:t>
            </w:r>
            <w:r w:rsidR="004348E8" w:rsidRPr="00C9343F">
              <w:rPr>
                <w:rFonts w:cs="Arial"/>
              </w:rPr>
              <w:t xml:space="preserve"> </w:t>
            </w:r>
            <w:r w:rsidRPr="00C9343F">
              <w:t>Director General Personnel – Air Force.</w:t>
            </w:r>
          </w:p>
        </w:tc>
      </w:tr>
      <w:tr w:rsidR="002630F4" w:rsidRPr="00C9343F" w14:paraId="5873FDEC" w14:textId="77777777" w:rsidTr="008F4502">
        <w:trPr>
          <w:cantSplit/>
        </w:trPr>
        <w:tc>
          <w:tcPr>
            <w:tcW w:w="992" w:type="dxa"/>
          </w:tcPr>
          <w:p w14:paraId="1E1FB007" w14:textId="77777777" w:rsidR="002630F4" w:rsidRPr="00C9343F" w:rsidRDefault="002630F4" w:rsidP="00F66D98">
            <w:pPr>
              <w:pStyle w:val="BlockText-Plain"/>
            </w:pPr>
          </w:p>
        </w:tc>
        <w:tc>
          <w:tcPr>
            <w:tcW w:w="8367" w:type="dxa"/>
            <w:gridSpan w:val="3"/>
          </w:tcPr>
          <w:p w14:paraId="40B0C4A0" w14:textId="77777777" w:rsidR="002630F4" w:rsidRPr="00C9343F" w:rsidRDefault="002630F4" w:rsidP="00F66D98">
            <w:pPr>
              <w:pStyle w:val="BlockText-Plain"/>
            </w:pPr>
            <w:r w:rsidRPr="00C9343F">
              <w:rPr>
                <w:b/>
              </w:rPr>
              <w:t xml:space="preserve">Note: </w:t>
            </w:r>
            <w:r w:rsidRPr="00C9343F">
              <w:t>This does not prevent the CDF or Service Chief from making the offer to the member.</w:t>
            </w:r>
          </w:p>
        </w:tc>
      </w:tr>
    </w:tbl>
    <w:p w14:paraId="439E8126" w14:textId="77777777" w:rsidR="00606AA2" w:rsidRPr="00C9343F" w:rsidRDefault="00606AA2" w:rsidP="00606AA2">
      <w:pPr>
        <w:pStyle w:val="Heading5"/>
      </w:pPr>
      <w:bookmarkStart w:id="545" w:name="_Toc105053754"/>
      <w:r w:rsidRPr="00C9343F">
        <w:t>3.5.9    Factors to be considered before offering a bonus</w:t>
      </w:r>
      <w:bookmarkEnd w:id="545"/>
      <w:r w:rsidRPr="00C9343F">
        <w:t xml:space="preserve"> </w:t>
      </w:r>
    </w:p>
    <w:tbl>
      <w:tblPr>
        <w:tblW w:w="0" w:type="dxa"/>
        <w:tblInd w:w="113" w:type="dxa"/>
        <w:tblLayout w:type="fixed"/>
        <w:tblLook w:val="04A0" w:firstRow="1" w:lastRow="0" w:firstColumn="1" w:lastColumn="0" w:noHBand="0" w:noVBand="1"/>
      </w:tblPr>
      <w:tblGrid>
        <w:gridCol w:w="992"/>
        <w:gridCol w:w="563"/>
        <w:gridCol w:w="7804"/>
      </w:tblGrid>
      <w:tr w:rsidR="00606AA2" w:rsidRPr="00C9343F" w14:paraId="7832A928" w14:textId="77777777" w:rsidTr="00445FEB">
        <w:tc>
          <w:tcPr>
            <w:tcW w:w="992" w:type="dxa"/>
            <w:hideMark/>
          </w:tcPr>
          <w:p w14:paraId="32CD6B91" w14:textId="77777777" w:rsidR="00606AA2" w:rsidRPr="00C9343F" w:rsidRDefault="00606AA2" w:rsidP="00445FEB">
            <w:pPr>
              <w:pStyle w:val="Sectiontext0"/>
              <w:spacing w:line="276" w:lineRule="auto"/>
              <w:jc w:val="center"/>
              <w:rPr>
                <w:lang w:eastAsia="en-US"/>
              </w:rPr>
            </w:pPr>
            <w:r w:rsidRPr="00C9343F">
              <w:rPr>
                <w:lang w:eastAsia="en-US"/>
              </w:rPr>
              <w:t>1.</w:t>
            </w:r>
          </w:p>
        </w:tc>
        <w:tc>
          <w:tcPr>
            <w:tcW w:w="8367" w:type="dxa"/>
            <w:gridSpan w:val="2"/>
            <w:hideMark/>
          </w:tcPr>
          <w:p w14:paraId="0DA46E93" w14:textId="77777777" w:rsidR="00606AA2" w:rsidRPr="00C9343F" w:rsidRDefault="00606AA2" w:rsidP="00445FEB">
            <w:pPr>
              <w:pStyle w:val="Sectiontext0"/>
              <w:spacing w:line="276" w:lineRule="auto"/>
              <w:rPr>
                <w:rFonts w:cs="Arial"/>
                <w:lang w:eastAsia="en-US"/>
              </w:rPr>
            </w:pPr>
            <w:r w:rsidRPr="00C9343F">
              <w:rPr>
                <w:rFonts w:cs="Arial"/>
                <w:lang w:eastAsia="en-US"/>
              </w:rPr>
              <w:t>The CDF or Service Chief must consider the following matters before determining a bonus to a member.</w:t>
            </w:r>
          </w:p>
        </w:tc>
      </w:tr>
      <w:tr w:rsidR="00606AA2" w:rsidRPr="00C9343F" w14:paraId="0F110047" w14:textId="77777777" w:rsidTr="00445FEB">
        <w:tc>
          <w:tcPr>
            <w:tcW w:w="992" w:type="dxa"/>
          </w:tcPr>
          <w:p w14:paraId="4A9066BB" w14:textId="77777777" w:rsidR="00606AA2" w:rsidRPr="00C9343F" w:rsidRDefault="00606AA2" w:rsidP="00445FEB">
            <w:pPr>
              <w:pStyle w:val="Sectiontext0"/>
              <w:spacing w:line="276" w:lineRule="auto"/>
              <w:jc w:val="center"/>
              <w:rPr>
                <w:lang w:eastAsia="en-US"/>
              </w:rPr>
            </w:pPr>
          </w:p>
        </w:tc>
        <w:tc>
          <w:tcPr>
            <w:tcW w:w="563" w:type="dxa"/>
            <w:hideMark/>
          </w:tcPr>
          <w:p w14:paraId="20C1EFDF"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a.</w:t>
            </w:r>
          </w:p>
        </w:tc>
        <w:tc>
          <w:tcPr>
            <w:tcW w:w="7804" w:type="dxa"/>
            <w:hideMark/>
          </w:tcPr>
          <w:p w14:paraId="4B1C12FB" w14:textId="77777777" w:rsidR="00606AA2" w:rsidRPr="00C9343F" w:rsidRDefault="00606AA2" w:rsidP="00445FEB">
            <w:pPr>
              <w:pStyle w:val="Sectiontext0"/>
              <w:spacing w:line="276" w:lineRule="auto"/>
              <w:rPr>
                <w:rFonts w:cs="Arial"/>
                <w:lang w:eastAsia="en-US"/>
              </w:rPr>
            </w:pPr>
            <w:r w:rsidRPr="00C9343F">
              <w:rPr>
                <w:rFonts w:cs="Arial"/>
                <w:lang w:eastAsia="en-US"/>
              </w:rPr>
              <w:t>Any evidence that there is a workforce structure shortage that is critical in the member's employment category.</w:t>
            </w:r>
          </w:p>
        </w:tc>
      </w:tr>
      <w:tr w:rsidR="00606AA2" w:rsidRPr="00C9343F" w14:paraId="361724E8" w14:textId="77777777" w:rsidTr="00445FEB">
        <w:tc>
          <w:tcPr>
            <w:tcW w:w="992" w:type="dxa"/>
          </w:tcPr>
          <w:p w14:paraId="1A445626" w14:textId="77777777" w:rsidR="00606AA2" w:rsidRPr="00C9343F" w:rsidRDefault="00606AA2" w:rsidP="00445FEB">
            <w:pPr>
              <w:pStyle w:val="Sectiontext0"/>
              <w:spacing w:line="276" w:lineRule="auto"/>
              <w:jc w:val="center"/>
              <w:rPr>
                <w:lang w:eastAsia="en-US"/>
              </w:rPr>
            </w:pPr>
          </w:p>
        </w:tc>
        <w:tc>
          <w:tcPr>
            <w:tcW w:w="563" w:type="dxa"/>
            <w:hideMark/>
          </w:tcPr>
          <w:p w14:paraId="4AA9A5AE"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b.</w:t>
            </w:r>
          </w:p>
        </w:tc>
        <w:tc>
          <w:tcPr>
            <w:tcW w:w="7804" w:type="dxa"/>
            <w:hideMark/>
          </w:tcPr>
          <w:p w14:paraId="6945CEB0" w14:textId="77777777" w:rsidR="00606AA2" w:rsidRPr="00C9343F" w:rsidRDefault="00606AA2" w:rsidP="00445FEB">
            <w:pPr>
              <w:pStyle w:val="Sectiontext0"/>
              <w:spacing w:line="276" w:lineRule="auto"/>
              <w:rPr>
                <w:rFonts w:cs="Arial"/>
                <w:lang w:eastAsia="en-US"/>
              </w:rPr>
            </w:pPr>
            <w:r w:rsidRPr="00C9343F">
              <w:rPr>
                <w:rFonts w:cs="Arial"/>
                <w:lang w:eastAsia="en-US"/>
              </w:rPr>
              <w:t>Any evidence that failure to retain the member in the position will result in a current capability shortage that is critical.</w:t>
            </w:r>
          </w:p>
        </w:tc>
      </w:tr>
      <w:tr w:rsidR="00606AA2" w:rsidRPr="00C9343F" w14:paraId="620E7F5E" w14:textId="77777777" w:rsidTr="00445FEB">
        <w:tc>
          <w:tcPr>
            <w:tcW w:w="992" w:type="dxa"/>
          </w:tcPr>
          <w:p w14:paraId="30EFB27F" w14:textId="77777777" w:rsidR="00606AA2" w:rsidRPr="00C9343F" w:rsidRDefault="00606AA2" w:rsidP="00445FEB">
            <w:pPr>
              <w:pStyle w:val="Sectiontext0"/>
              <w:spacing w:line="276" w:lineRule="auto"/>
              <w:jc w:val="center"/>
              <w:rPr>
                <w:lang w:eastAsia="en-US"/>
              </w:rPr>
            </w:pPr>
          </w:p>
        </w:tc>
        <w:tc>
          <w:tcPr>
            <w:tcW w:w="563" w:type="dxa"/>
            <w:hideMark/>
          </w:tcPr>
          <w:p w14:paraId="769F8049"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c.</w:t>
            </w:r>
          </w:p>
        </w:tc>
        <w:tc>
          <w:tcPr>
            <w:tcW w:w="7804" w:type="dxa"/>
            <w:hideMark/>
          </w:tcPr>
          <w:p w14:paraId="60095BAA" w14:textId="77777777" w:rsidR="00606AA2" w:rsidRPr="00C9343F" w:rsidRDefault="00606AA2" w:rsidP="00445FEB">
            <w:pPr>
              <w:pStyle w:val="Sectiontext0"/>
              <w:spacing w:line="276" w:lineRule="auto"/>
              <w:rPr>
                <w:rFonts w:cs="Arial"/>
                <w:lang w:eastAsia="en-US"/>
              </w:rPr>
            </w:pPr>
            <w:r w:rsidRPr="00C9343F">
              <w:rPr>
                <w:rFonts w:cs="Arial"/>
                <w:lang w:eastAsia="en-US"/>
              </w:rPr>
              <w:t>Any evidence that the number of personnel in the member's employment category or specialisation is falling.</w:t>
            </w:r>
          </w:p>
        </w:tc>
      </w:tr>
      <w:tr w:rsidR="00606AA2" w:rsidRPr="00C9343F" w14:paraId="60A16A4D" w14:textId="77777777" w:rsidTr="00445FEB">
        <w:tc>
          <w:tcPr>
            <w:tcW w:w="992" w:type="dxa"/>
          </w:tcPr>
          <w:p w14:paraId="61392797" w14:textId="77777777" w:rsidR="00606AA2" w:rsidRPr="00C9343F" w:rsidRDefault="00606AA2" w:rsidP="00445FEB">
            <w:pPr>
              <w:pStyle w:val="Sectiontext0"/>
              <w:spacing w:line="276" w:lineRule="auto"/>
              <w:jc w:val="center"/>
              <w:rPr>
                <w:lang w:eastAsia="en-US"/>
              </w:rPr>
            </w:pPr>
          </w:p>
        </w:tc>
        <w:tc>
          <w:tcPr>
            <w:tcW w:w="563" w:type="dxa"/>
            <w:hideMark/>
          </w:tcPr>
          <w:p w14:paraId="68B0C204"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d.</w:t>
            </w:r>
          </w:p>
        </w:tc>
        <w:tc>
          <w:tcPr>
            <w:tcW w:w="7804" w:type="dxa"/>
            <w:hideMark/>
          </w:tcPr>
          <w:p w14:paraId="600FFE73" w14:textId="77777777" w:rsidR="00606AA2" w:rsidRPr="00C9343F" w:rsidRDefault="00606AA2" w:rsidP="00445FEB">
            <w:pPr>
              <w:pStyle w:val="Sectiontext0"/>
              <w:spacing w:line="276" w:lineRule="auto"/>
              <w:rPr>
                <w:rFonts w:cs="Arial"/>
                <w:lang w:eastAsia="en-US"/>
              </w:rPr>
            </w:pPr>
            <w:r w:rsidRPr="00C9343F">
              <w:rPr>
                <w:rFonts w:cs="Arial"/>
                <w:lang w:eastAsia="en-US"/>
              </w:rPr>
              <w:t>Whether the position that the member fills is essential to the delivery of the Service's capability.</w:t>
            </w:r>
          </w:p>
        </w:tc>
      </w:tr>
      <w:tr w:rsidR="00606AA2" w:rsidRPr="00C9343F" w14:paraId="15D19104" w14:textId="77777777" w:rsidTr="00445FEB">
        <w:tc>
          <w:tcPr>
            <w:tcW w:w="992" w:type="dxa"/>
          </w:tcPr>
          <w:p w14:paraId="2B77F4B9" w14:textId="77777777" w:rsidR="00606AA2" w:rsidRPr="00C9343F" w:rsidRDefault="00606AA2" w:rsidP="00445FEB">
            <w:pPr>
              <w:pStyle w:val="Sectiontext0"/>
              <w:spacing w:line="276" w:lineRule="auto"/>
              <w:jc w:val="center"/>
              <w:rPr>
                <w:lang w:eastAsia="en-US"/>
              </w:rPr>
            </w:pPr>
          </w:p>
        </w:tc>
        <w:tc>
          <w:tcPr>
            <w:tcW w:w="563" w:type="dxa"/>
            <w:hideMark/>
          </w:tcPr>
          <w:p w14:paraId="33F43480"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e.</w:t>
            </w:r>
          </w:p>
        </w:tc>
        <w:tc>
          <w:tcPr>
            <w:tcW w:w="7804" w:type="dxa"/>
            <w:hideMark/>
          </w:tcPr>
          <w:p w14:paraId="3A8EDD6E" w14:textId="77777777" w:rsidR="00606AA2" w:rsidRPr="00C9343F" w:rsidRDefault="00606AA2" w:rsidP="00445FEB">
            <w:pPr>
              <w:pStyle w:val="Sectiontext0"/>
              <w:spacing w:line="276" w:lineRule="auto"/>
              <w:rPr>
                <w:rFonts w:cs="Arial"/>
                <w:lang w:eastAsia="en-US"/>
              </w:rPr>
            </w:pPr>
            <w:r w:rsidRPr="00C9343F">
              <w:rPr>
                <w:rFonts w:cs="Arial"/>
                <w:lang w:eastAsia="en-US"/>
              </w:rPr>
              <w:t>Whether the member holds qualifications and skills that are essential to the delivery of Service capability.</w:t>
            </w:r>
          </w:p>
        </w:tc>
      </w:tr>
      <w:tr w:rsidR="00606AA2" w:rsidRPr="00C9343F" w14:paraId="7BE0A32A" w14:textId="77777777" w:rsidTr="00445FEB">
        <w:tc>
          <w:tcPr>
            <w:tcW w:w="992" w:type="dxa"/>
          </w:tcPr>
          <w:p w14:paraId="23B507F1" w14:textId="77777777" w:rsidR="00606AA2" w:rsidRPr="00C9343F" w:rsidRDefault="00606AA2" w:rsidP="00445FEB">
            <w:pPr>
              <w:pStyle w:val="Sectiontext0"/>
              <w:spacing w:line="276" w:lineRule="auto"/>
              <w:jc w:val="center"/>
              <w:rPr>
                <w:lang w:eastAsia="en-US"/>
              </w:rPr>
            </w:pPr>
          </w:p>
        </w:tc>
        <w:tc>
          <w:tcPr>
            <w:tcW w:w="563" w:type="dxa"/>
            <w:hideMark/>
          </w:tcPr>
          <w:p w14:paraId="72FE78F2"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f.</w:t>
            </w:r>
          </w:p>
        </w:tc>
        <w:tc>
          <w:tcPr>
            <w:tcW w:w="7804" w:type="dxa"/>
            <w:hideMark/>
          </w:tcPr>
          <w:p w14:paraId="2772D84C" w14:textId="77777777" w:rsidR="00606AA2" w:rsidRPr="00C9343F" w:rsidRDefault="00606AA2" w:rsidP="00445FEB">
            <w:pPr>
              <w:pStyle w:val="Sectiontext0"/>
              <w:spacing w:line="276" w:lineRule="auto"/>
              <w:rPr>
                <w:rFonts w:cs="Arial"/>
                <w:lang w:eastAsia="en-US"/>
              </w:rPr>
            </w:pPr>
            <w:r w:rsidRPr="00C9343F">
              <w:rPr>
                <w:rFonts w:cs="Arial"/>
                <w:lang w:eastAsia="en-US"/>
              </w:rPr>
              <w:t>Whether the member has applied to achieve qualifications and skills that are essential to the delivery of Service capability.</w:t>
            </w:r>
          </w:p>
        </w:tc>
      </w:tr>
      <w:tr w:rsidR="00606AA2" w:rsidRPr="00C9343F" w14:paraId="66EC2433" w14:textId="77777777" w:rsidTr="00445FEB">
        <w:tc>
          <w:tcPr>
            <w:tcW w:w="992" w:type="dxa"/>
          </w:tcPr>
          <w:p w14:paraId="73E06E00" w14:textId="77777777" w:rsidR="00606AA2" w:rsidRPr="00C9343F" w:rsidRDefault="00606AA2" w:rsidP="00445FEB">
            <w:pPr>
              <w:pStyle w:val="Sectiontext0"/>
              <w:spacing w:line="276" w:lineRule="auto"/>
              <w:jc w:val="center"/>
              <w:rPr>
                <w:lang w:eastAsia="en-US"/>
              </w:rPr>
            </w:pPr>
          </w:p>
        </w:tc>
        <w:tc>
          <w:tcPr>
            <w:tcW w:w="563" w:type="dxa"/>
            <w:hideMark/>
          </w:tcPr>
          <w:p w14:paraId="03E8FE00"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g.</w:t>
            </w:r>
          </w:p>
        </w:tc>
        <w:tc>
          <w:tcPr>
            <w:tcW w:w="7804" w:type="dxa"/>
            <w:hideMark/>
          </w:tcPr>
          <w:p w14:paraId="1C64ED31" w14:textId="77777777" w:rsidR="00606AA2" w:rsidRPr="00C9343F" w:rsidRDefault="00606AA2" w:rsidP="00445FEB">
            <w:pPr>
              <w:pStyle w:val="Sectiontext0"/>
              <w:spacing w:line="276" w:lineRule="auto"/>
              <w:rPr>
                <w:rFonts w:cs="Arial"/>
                <w:lang w:eastAsia="en-US"/>
              </w:rPr>
            </w:pPr>
            <w:r w:rsidRPr="00C9343F">
              <w:rPr>
                <w:rFonts w:cs="Arial"/>
                <w:lang w:eastAsia="en-US"/>
              </w:rPr>
              <w:t>Any evidence about the period of the workforce shortage that the position, employment category or specialisation that the offer is affected by.</w:t>
            </w:r>
          </w:p>
        </w:tc>
      </w:tr>
      <w:tr w:rsidR="00606AA2" w:rsidRPr="00C9343F" w14:paraId="7775A64B" w14:textId="77777777" w:rsidTr="00445FEB">
        <w:tc>
          <w:tcPr>
            <w:tcW w:w="992" w:type="dxa"/>
          </w:tcPr>
          <w:p w14:paraId="0C35A999" w14:textId="77777777" w:rsidR="00606AA2" w:rsidRPr="00C9343F" w:rsidRDefault="00606AA2" w:rsidP="00445FEB">
            <w:pPr>
              <w:pStyle w:val="Sectiontext0"/>
              <w:spacing w:line="276" w:lineRule="auto"/>
              <w:jc w:val="center"/>
              <w:rPr>
                <w:lang w:eastAsia="en-US"/>
              </w:rPr>
            </w:pPr>
          </w:p>
        </w:tc>
        <w:tc>
          <w:tcPr>
            <w:tcW w:w="563" w:type="dxa"/>
            <w:hideMark/>
          </w:tcPr>
          <w:p w14:paraId="01B809BC"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h.</w:t>
            </w:r>
          </w:p>
        </w:tc>
        <w:tc>
          <w:tcPr>
            <w:tcW w:w="7804" w:type="dxa"/>
            <w:hideMark/>
          </w:tcPr>
          <w:p w14:paraId="0C5A18CA" w14:textId="77777777" w:rsidR="00606AA2" w:rsidRPr="00C9343F" w:rsidRDefault="00606AA2" w:rsidP="00445FEB">
            <w:pPr>
              <w:pStyle w:val="Sectiontext0"/>
              <w:spacing w:line="276" w:lineRule="auto"/>
              <w:rPr>
                <w:rFonts w:cs="Arial"/>
                <w:lang w:eastAsia="en-US"/>
              </w:rPr>
            </w:pPr>
            <w:r w:rsidRPr="00C9343F">
              <w:rPr>
                <w:rFonts w:cs="Arial"/>
                <w:lang w:eastAsia="en-US"/>
              </w:rPr>
              <w:t>Any actions that have been taken to remedy the workforce shortage in the longer term.</w:t>
            </w:r>
          </w:p>
        </w:tc>
      </w:tr>
      <w:tr w:rsidR="00606AA2" w:rsidRPr="00C9343F" w14:paraId="5BCB8772" w14:textId="77777777" w:rsidTr="00445FEB">
        <w:tc>
          <w:tcPr>
            <w:tcW w:w="992" w:type="dxa"/>
          </w:tcPr>
          <w:p w14:paraId="777982D2" w14:textId="77777777" w:rsidR="00606AA2" w:rsidRPr="00C9343F" w:rsidRDefault="00606AA2" w:rsidP="00445FEB">
            <w:pPr>
              <w:pStyle w:val="Sectiontext0"/>
              <w:spacing w:line="276" w:lineRule="auto"/>
              <w:jc w:val="center"/>
              <w:rPr>
                <w:lang w:eastAsia="en-US"/>
              </w:rPr>
            </w:pPr>
          </w:p>
        </w:tc>
        <w:tc>
          <w:tcPr>
            <w:tcW w:w="563" w:type="dxa"/>
            <w:hideMark/>
          </w:tcPr>
          <w:p w14:paraId="0B9C9F77"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i.</w:t>
            </w:r>
          </w:p>
        </w:tc>
        <w:tc>
          <w:tcPr>
            <w:tcW w:w="7804" w:type="dxa"/>
            <w:hideMark/>
          </w:tcPr>
          <w:p w14:paraId="129E3E5F" w14:textId="77777777" w:rsidR="00606AA2" w:rsidRPr="00C9343F" w:rsidRDefault="00606AA2" w:rsidP="00445FEB">
            <w:pPr>
              <w:pStyle w:val="Sectiontext0"/>
              <w:spacing w:line="276" w:lineRule="auto"/>
              <w:rPr>
                <w:rFonts w:cs="Arial"/>
                <w:lang w:eastAsia="en-US"/>
              </w:rPr>
            </w:pPr>
            <w:r w:rsidRPr="00C9343F">
              <w:rPr>
                <w:rFonts w:cs="Arial"/>
                <w:lang w:eastAsia="en-US"/>
              </w:rPr>
              <w:t>Any market forces that are contributing to the shortage.</w:t>
            </w:r>
          </w:p>
        </w:tc>
      </w:tr>
      <w:tr w:rsidR="00606AA2" w:rsidRPr="00C9343F" w14:paraId="6C6C724C" w14:textId="77777777" w:rsidTr="00445FEB">
        <w:tc>
          <w:tcPr>
            <w:tcW w:w="992" w:type="dxa"/>
          </w:tcPr>
          <w:p w14:paraId="2A17FE73" w14:textId="77777777" w:rsidR="00606AA2" w:rsidRPr="00C9343F" w:rsidRDefault="00606AA2" w:rsidP="00445FEB">
            <w:pPr>
              <w:pStyle w:val="Sectiontext0"/>
              <w:spacing w:line="276" w:lineRule="auto"/>
              <w:jc w:val="center"/>
              <w:rPr>
                <w:lang w:eastAsia="en-US"/>
              </w:rPr>
            </w:pPr>
          </w:p>
        </w:tc>
        <w:tc>
          <w:tcPr>
            <w:tcW w:w="563" w:type="dxa"/>
            <w:hideMark/>
          </w:tcPr>
          <w:p w14:paraId="75895A0A"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j.</w:t>
            </w:r>
          </w:p>
        </w:tc>
        <w:tc>
          <w:tcPr>
            <w:tcW w:w="7804" w:type="dxa"/>
            <w:hideMark/>
          </w:tcPr>
          <w:p w14:paraId="315030CA" w14:textId="77777777" w:rsidR="00606AA2" w:rsidRPr="00C9343F" w:rsidRDefault="00606AA2" w:rsidP="00445FEB">
            <w:pPr>
              <w:pStyle w:val="Sectiontext0"/>
              <w:spacing w:line="276" w:lineRule="auto"/>
              <w:rPr>
                <w:rFonts w:cs="Arial"/>
                <w:lang w:eastAsia="en-US"/>
              </w:rPr>
            </w:pPr>
            <w:r w:rsidRPr="00C9343F">
              <w:rPr>
                <w:rFonts w:cs="Arial"/>
                <w:lang w:eastAsia="en-US"/>
              </w:rPr>
              <w:t>Any evidence of productivity improvement linked to the payment of the bonus.</w:t>
            </w:r>
          </w:p>
        </w:tc>
      </w:tr>
      <w:tr w:rsidR="00606AA2" w:rsidRPr="00C9343F" w14:paraId="2FB06ECD" w14:textId="77777777" w:rsidTr="00445FEB">
        <w:tc>
          <w:tcPr>
            <w:tcW w:w="992" w:type="dxa"/>
          </w:tcPr>
          <w:p w14:paraId="1769C14D" w14:textId="77777777" w:rsidR="00606AA2" w:rsidRPr="00C9343F" w:rsidRDefault="00606AA2" w:rsidP="00445FEB">
            <w:pPr>
              <w:pStyle w:val="Sectiontext0"/>
              <w:spacing w:line="276" w:lineRule="auto"/>
              <w:jc w:val="center"/>
              <w:rPr>
                <w:lang w:eastAsia="en-US"/>
              </w:rPr>
            </w:pPr>
          </w:p>
        </w:tc>
        <w:tc>
          <w:tcPr>
            <w:tcW w:w="563" w:type="dxa"/>
            <w:hideMark/>
          </w:tcPr>
          <w:p w14:paraId="4F296BD5"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k.</w:t>
            </w:r>
          </w:p>
        </w:tc>
        <w:tc>
          <w:tcPr>
            <w:tcW w:w="7804" w:type="dxa"/>
            <w:hideMark/>
          </w:tcPr>
          <w:p w14:paraId="031AA173" w14:textId="77777777" w:rsidR="00606AA2" w:rsidRPr="00C9343F" w:rsidRDefault="00606AA2" w:rsidP="00445FEB">
            <w:pPr>
              <w:pStyle w:val="Sectiontext0"/>
              <w:spacing w:line="276" w:lineRule="auto"/>
              <w:rPr>
                <w:rFonts w:cs="Arial"/>
                <w:lang w:eastAsia="en-US"/>
              </w:rPr>
            </w:pPr>
            <w:r w:rsidRPr="00C9343F">
              <w:rPr>
                <w:rFonts w:cs="Arial"/>
                <w:lang w:eastAsia="en-US"/>
              </w:rPr>
              <w:t>Any other relevant matter.</w:t>
            </w:r>
          </w:p>
        </w:tc>
      </w:tr>
      <w:tr w:rsidR="00606AA2" w:rsidRPr="00C9343F" w14:paraId="525A400F" w14:textId="77777777" w:rsidTr="00445FEB">
        <w:tc>
          <w:tcPr>
            <w:tcW w:w="992" w:type="dxa"/>
            <w:hideMark/>
          </w:tcPr>
          <w:p w14:paraId="1E9786E5" w14:textId="77777777" w:rsidR="00606AA2" w:rsidRPr="00C9343F" w:rsidRDefault="00606AA2" w:rsidP="00445FEB">
            <w:pPr>
              <w:pStyle w:val="Sectiontext0"/>
              <w:spacing w:line="276" w:lineRule="auto"/>
              <w:jc w:val="center"/>
              <w:rPr>
                <w:lang w:eastAsia="en-US"/>
              </w:rPr>
            </w:pPr>
            <w:r w:rsidRPr="00C9343F">
              <w:rPr>
                <w:lang w:eastAsia="en-US"/>
              </w:rPr>
              <w:t>2.</w:t>
            </w:r>
          </w:p>
        </w:tc>
        <w:tc>
          <w:tcPr>
            <w:tcW w:w="8367" w:type="dxa"/>
            <w:gridSpan w:val="2"/>
            <w:hideMark/>
          </w:tcPr>
          <w:p w14:paraId="361EB032" w14:textId="77777777" w:rsidR="00606AA2" w:rsidRPr="00C9343F" w:rsidRDefault="00606AA2" w:rsidP="00445FEB">
            <w:pPr>
              <w:pStyle w:val="Sectiontext0"/>
              <w:spacing w:line="276" w:lineRule="auto"/>
              <w:rPr>
                <w:rFonts w:cs="Arial"/>
                <w:lang w:eastAsia="en-US"/>
              </w:rPr>
            </w:pPr>
            <w:r w:rsidRPr="00C9343F">
              <w:rPr>
                <w:rFonts w:cs="Arial"/>
                <w:lang w:eastAsia="en-US"/>
              </w:rPr>
              <w:t>For the purpose of paragraph 1.a, a workforce structure shortage is critical if some or all of the recruiting, retention, training throughput, strength and future health elements of the employment category combine so that the shortage in numbers is unlikely to recover within five years.</w:t>
            </w:r>
          </w:p>
        </w:tc>
      </w:tr>
      <w:tr w:rsidR="00606AA2" w:rsidRPr="00C9343F" w14:paraId="016B3635" w14:textId="77777777" w:rsidTr="00445FEB">
        <w:tc>
          <w:tcPr>
            <w:tcW w:w="992" w:type="dxa"/>
            <w:hideMark/>
          </w:tcPr>
          <w:p w14:paraId="6B586DBE" w14:textId="77777777" w:rsidR="00606AA2" w:rsidRPr="00C9343F" w:rsidRDefault="00606AA2" w:rsidP="00445FEB">
            <w:pPr>
              <w:pStyle w:val="Sectiontext0"/>
              <w:spacing w:line="276" w:lineRule="auto"/>
              <w:jc w:val="center"/>
              <w:rPr>
                <w:lang w:eastAsia="en-US"/>
              </w:rPr>
            </w:pPr>
            <w:r w:rsidRPr="00C9343F">
              <w:rPr>
                <w:lang w:eastAsia="en-US"/>
              </w:rPr>
              <w:t>3.</w:t>
            </w:r>
          </w:p>
        </w:tc>
        <w:tc>
          <w:tcPr>
            <w:tcW w:w="8367" w:type="dxa"/>
            <w:gridSpan w:val="2"/>
            <w:hideMark/>
          </w:tcPr>
          <w:p w14:paraId="3A76FA40" w14:textId="77777777" w:rsidR="00606AA2" w:rsidRPr="00C9343F" w:rsidRDefault="00606AA2" w:rsidP="00445FEB">
            <w:pPr>
              <w:pStyle w:val="Sectiontext0"/>
              <w:spacing w:line="276" w:lineRule="auto"/>
              <w:rPr>
                <w:rFonts w:cs="Arial"/>
                <w:lang w:eastAsia="en-US"/>
              </w:rPr>
            </w:pPr>
            <w:r w:rsidRPr="00C9343F">
              <w:rPr>
                <w:rFonts w:cs="Arial"/>
                <w:lang w:eastAsia="en-US"/>
              </w:rPr>
              <w:t>For the purpose of paragraph 1.b, a current capability shortage is critical if both the following conditions are met.</w:t>
            </w:r>
          </w:p>
        </w:tc>
      </w:tr>
      <w:tr w:rsidR="00606AA2" w:rsidRPr="00C9343F" w14:paraId="14ECDE29" w14:textId="77777777" w:rsidTr="00445FEB">
        <w:tc>
          <w:tcPr>
            <w:tcW w:w="992" w:type="dxa"/>
          </w:tcPr>
          <w:p w14:paraId="090B3146" w14:textId="77777777" w:rsidR="00606AA2" w:rsidRPr="00C9343F" w:rsidRDefault="00606AA2" w:rsidP="00445FEB">
            <w:pPr>
              <w:pStyle w:val="Sectiontext0"/>
              <w:spacing w:line="276" w:lineRule="auto"/>
              <w:jc w:val="center"/>
              <w:rPr>
                <w:lang w:eastAsia="en-US"/>
              </w:rPr>
            </w:pPr>
          </w:p>
        </w:tc>
        <w:tc>
          <w:tcPr>
            <w:tcW w:w="563" w:type="dxa"/>
            <w:hideMark/>
          </w:tcPr>
          <w:p w14:paraId="0D6E0FBE"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a.</w:t>
            </w:r>
          </w:p>
        </w:tc>
        <w:tc>
          <w:tcPr>
            <w:tcW w:w="7804" w:type="dxa"/>
            <w:hideMark/>
          </w:tcPr>
          <w:p w14:paraId="525EABAD" w14:textId="77777777" w:rsidR="00606AA2" w:rsidRPr="00C9343F" w:rsidRDefault="00606AA2" w:rsidP="00445FEB">
            <w:pPr>
              <w:pStyle w:val="Sectiontext0"/>
              <w:spacing w:line="276" w:lineRule="auto"/>
              <w:rPr>
                <w:rFonts w:cs="Arial"/>
                <w:lang w:eastAsia="en-US"/>
              </w:rPr>
            </w:pPr>
            <w:r w:rsidRPr="00C9343F">
              <w:rPr>
                <w:rFonts w:cs="Arial"/>
                <w:lang w:eastAsia="en-US"/>
              </w:rPr>
              <w:t>A position requirement cannot be met with fit, trained and available personnel, within respite rules.</w:t>
            </w:r>
            <w:r w:rsidRPr="00C9343F">
              <w:rPr>
                <w:lang w:eastAsia="en-US"/>
              </w:rPr>
              <w:t xml:space="preserve"> </w:t>
            </w:r>
          </w:p>
        </w:tc>
      </w:tr>
      <w:tr w:rsidR="00606AA2" w:rsidRPr="00C9343F" w14:paraId="3BA73EE7" w14:textId="77777777" w:rsidTr="00445FEB">
        <w:tc>
          <w:tcPr>
            <w:tcW w:w="992" w:type="dxa"/>
          </w:tcPr>
          <w:p w14:paraId="5E137FA4" w14:textId="77777777" w:rsidR="00606AA2" w:rsidRPr="00C9343F" w:rsidRDefault="00606AA2" w:rsidP="00445FEB">
            <w:pPr>
              <w:pStyle w:val="Sectiontext0"/>
              <w:spacing w:line="276" w:lineRule="auto"/>
              <w:jc w:val="center"/>
              <w:rPr>
                <w:lang w:eastAsia="en-US"/>
              </w:rPr>
            </w:pPr>
          </w:p>
        </w:tc>
        <w:tc>
          <w:tcPr>
            <w:tcW w:w="563" w:type="dxa"/>
            <w:hideMark/>
          </w:tcPr>
          <w:p w14:paraId="2D14B1FD" w14:textId="77777777" w:rsidR="00606AA2" w:rsidRPr="00C9343F" w:rsidRDefault="00606AA2" w:rsidP="00445FEB">
            <w:pPr>
              <w:pStyle w:val="Sectiontext0"/>
              <w:spacing w:line="276" w:lineRule="auto"/>
              <w:jc w:val="center"/>
              <w:rPr>
                <w:rFonts w:cs="Arial"/>
                <w:lang w:eastAsia="en-US"/>
              </w:rPr>
            </w:pPr>
            <w:r w:rsidRPr="00C9343F">
              <w:rPr>
                <w:rFonts w:cs="Arial"/>
                <w:lang w:eastAsia="en-US"/>
              </w:rPr>
              <w:t>b.</w:t>
            </w:r>
          </w:p>
        </w:tc>
        <w:tc>
          <w:tcPr>
            <w:tcW w:w="7804" w:type="dxa"/>
            <w:hideMark/>
          </w:tcPr>
          <w:p w14:paraId="0DFCF09C" w14:textId="77777777" w:rsidR="00606AA2" w:rsidRPr="00C9343F" w:rsidRDefault="00606AA2" w:rsidP="00445FEB">
            <w:pPr>
              <w:pStyle w:val="Sectiontext0"/>
              <w:spacing w:line="276" w:lineRule="auto"/>
              <w:rPr>
                <w:rFonts w:cs="Arial"/>
                <w:lang w:eastAsia="en-US"/>
              </w:rPr>
            </w:pPr>
            <w:r w:rsidRPr="00C9343F">
              <w:rPr>
                <w:rFonts w:cs="Arial"/>
                <w:lang w:eastAsia="en-US"/>
              </w:rPr>
              <w:t>Failure to meet the position requirement impacts negatively on delivery of Service capability.</w:t>
            </w:r>
          </w:p>
        </w:tc>
      </w:tr>
    </w:tbl>
    <w:p w14:paraId="0ABA7EF9" w14:textId="1F65C543" w:rsidR="005F44BC" w:rsidRPr="00C9343F" w:rsidRDefault="005F44BC" w:rsidP="00F66D98">
      <w:pPr>
        <w:pStyle w:val="Heading5"/>
      </w:pPr>
      <w:bookmarkStart w:id="546" w:name="_Toc105053755"/>
      <w:r w:rsidRPr="00C9343F">
        <w:t>3.5.10</w:t>
      </w:r>
      <w:r w:rsidR="00D94006" w:rsidRPr="00C9343F">
        <w:t>    </w:t>
      </w:r>
      <w:r w:rsidRPr="00C9343F">
        <w:t>Effective service for the purpose of the bonus</w:t>
      </w:r>
      <w:bookmarkEnd w:id="546"/>
    </w:p>
    <w:tbl>
      <w:tblPr>
        <w:tblW w:w="9359" w:type="dxa"/>
        <w:tblInd w:w="113" w:type="dxa"/>
        <w:tblLayout w:type="fixed"/>
        <w:tblLook w:val="0000" w:firstRow="0" w:lastRow="0" w:firstColumn="0" w:lastColumn="0" w:noHBand="0" w:noVBand="0"/>
      </w:tblPr>
      <w:tblGrid>
        <w:gridCol w:w="992"/>
        <w:gridCol w:w="567"/>
        <w:gridCol w:w="7800"/>
      </w:tblGrid>
      <w:tr w:rsidR="005F44BC" w:rsidRPr="00C9343F" w14:paraId="2FFDBE7E" w14:textId="77777777" w:rsidTr="006A3050">
        <w:tc>
          <w:tcPr>
            <w:tcW w:w="992" w:type="dxa"/>
          </w:tcPr>
          <w:p w14:paraId="2FA5DFE3" w14:textId="77777777" w:rsidR="005F44BC" w:rsidRPr="00C9343F" w:rsidRDefault="005F44BC" w:rsidP="00F66D98">
            <w:pPr>
              <w:pStyle w:val="BlockText-Plain"/>
              <w:jc w:val="center"/>
            </w:pPr>
            <w:r w:rsidRPr="00C9343F">
              <w:t>1.</w:t>
            </w:r>
          </w:p>
        </w:tc>
        <w:tc>
          <w:tcPr>
            <w:tcW w:w="8367" w:type="dxa"/>
            <w:gridSpan w:val="2"/>
          </w:tcPr>
          <w:p w14:paraId="098AE19B" w14:textId="77777777" w:rsidR="005F44BC" w:rsidRPr="00C9343F" w:rsidRDefault="005F44BC" w:rsidP="00F66D98">
            <w:pPr>
              <w:pStyle w:val="BlockText-Plain"/>
            </w:pPr>
            <w:r w:rsidRPr="00C9343F">
              <w:t>The member's agreed period of service must be served as effective service.</w:t>
            </w:r>
          </w:p>
        </w:tc>
      </w:tr>
      <w:tr w:rsidR="005F44BC" w:rsidRPr="00C9343F" w14:paraId="069FFEDB" w14:textId="77777777" w:rsidTr="006A3050">
        <w:tc>
          <w:tcPr>
            <w:tcW w:w="992" w:type="dxa"/>
          </w:tcPr>
          <w:p w14:paraId="3481B0AE" w14:textId="77777777" w:rsidR="005F44BC" w:rsidRPr="00C9343F" w:rsidRDefault="005F44BC" w:rsidP="00F66D98">
            <w:pPr>
              <w:pStyle w:val="BlockText-Plain"/>
              <w:jc w:val="center"/>
            </w:pPr>
            <w:r w:rsidRPr="00C9343F">
              <w:t>2.</w:t>
            </w:r>
          </w:p>
        </w:tc>
        <w:tc>
          <w:tcPr>
            <w:tcW w:w="8367" w:type="dxa"/>
            <w:gridSpan w:val="2"/>
          </w:tcPr>
          <w:p w14:paraId="6E63D2EF" w14:textId="77777777" w:rsidR="005F44BC" w:rsidRPr="00C9343F" w:rsidRDefault="005F44BC" w:rsidP="00F66D98">
            <w:pPr>
              <w:pStyle w:val="BlockText-Plain"/>
            </w:pPr>
            <w:r w:rsidRPr="00C9343F">
              <w:t>For the purpose of this Division, effective service means service that meets all these conditions.</w:t>
            </w:r>
          </w:p>
        </w:tc>
      </w:tr>
      <w:tr w:rsidR="005F44BC" w:rsidRPr="00C9343F" w14:paraId="475A2DDF" w14:textId="77777777" w:rsidTr="006A3050">
        <w:trPr>
          <w:cantSplit/>
        </w:trPr>
        <w:tc>
          <w:tcPr>
            <w:tcW w:w="992" w:type="dxa"/>
          </w:tcPr>
          <w:p w14:paraId="4300DDEB" w14:textId="77777777" w:rsidR="005F44BC" w:rsidRPr="00C9343F" w:rsidRDefault="005F44BC" w:rsidP="00F66D98">
            <w:pPr>
              <w:pStyle w:val="BlockText-Plain"/>
            </w:pPr>
          </w:p>
        </w:tc>
        <w:tc>
          <w:tcPr>
            <w:tcW w:w="567" w:type="dxa"/>
          </w:tcPr>
          <w:p w14:paraId="134E495B" w14:textId="77777777" w:rsidR="005F44BC" w:rsidRPr="00C9343F" w:rsidRDefault="005F44BC" w:rsidP="007114B1">
            <w:pPr>
              <w:pStyle w:val="BlockText-Plain"/>
              <w:jc w:val="center"/>
            </w:pPr>
            <w:r w:rsidRPr="00C9343F">
              <w:t>a.</w:t>
            </w:r>
          </w:p>
        </w:tc>
        <w:tc>
          <w:tcPr>
            <w:tcW w:w="7800" w:type="dxa"/>
          </w:tcPr>
          <w:p w14:paraId="3D60D863" w14:textId="6E642212" w:rsidR="005F44BC" w:rsidRPr="00C9343F" w:rsidRDefault="00760D16" w:rsidP="00F66D98">
            <w:pPr>
              <w:pStyle w:val="BlockText-Plain"/>
            </w:pPr>
            <w:r w:rsidRPr="00C9343F">
              <w:t>It is continuous full-</w:t>
            </w:r>
            <w:r w:rsidR="005F44BC" w:rsidRPr="00C9343F">
              <w:t>time service.</w:t>
            </w:r>
          </w:p>
        </w:tc>
      </w:tr>
      <w:tr w:rsidR="005F44BC" w:rsidRPr="00C9343F" w14:paraId="656D4223" w14:textId="77777777" w:rsidTr="006A3050">
        <w:trPr>
          <w:cantSplit/>
        </w:trPr>
        <w:tc>
          <w:tcPr>
            <w:tcW w:w="992" w:type="dxa"/>
          </w:tcPr>
          <w:p w14:paraId="699EB108" w14:textId="77777777" w:rsidR="005F44BC" w:rsidRPr="00C9343F" w:rsidRDefault="005F44BC" w:rsidP="00F66D98">
            <w:pPr>
              <w:pStyle w:val="BlockText-Plain"/>
            </w:pPr>
          </w:p>
        </w:tc>
        <w:tc>
          <w:tcPr>
            <w:tcW w:w="567" w:type="dxa"/>
          </w:tcPr>
          <w:p w14:paraId="07FA64C3" w14:textId="77777777" w:rsidR="005F44BC" w:rsidRPr="00C9343F" w:rsidRDefault="005F44BC" w:rsidP="007114B1">
            <w:pPr>
              <w:pStyle w:val="BlockText-Plain"/>
              <w:jc w:val="center"/>
            </w:pPr>
            <w:r w:rsidRPr="00C9343F">
              <w:t>b.</w:t>
            </w:r>
          </w:p>
        </w:tc>
        <w:tc>
          <w:tcPr>
            <w:tcW w:w="7800" w:type="dxa"/>
          </w:tcPr>
          <w:p w14:paraId="2BF8530D" w14:textId="77777777" w:rsidR="005F44BC" w:rsidRPr="00C9343F" w:rsidRDefault="005F44BC" w:rsidP="00F66D98">
            <w:pPr>
              <w:pStyle w:val="BlockText-Plain"/>
            </w:pPr>
            <w:r w:rsidRPr="00C9343F">
              <w:t>It is paid.</w:t>
            </w:r>
          </w:p>
          <w:p w14:paraId="7096D4C3" w14:textId="77777777" w:rsidR="005F44BC" w:rsidRPr="00C9343F" w:rsidRDefault="005F44BC" w:rsidP="00F66D98">
            <w:pPr>
              <w:pStyle w:val="BlockText-Plain"/>
            </w:pPr>
            <w:r w:rsidRPr="00C9343F">
              <w:rPr>
                <w:b/>
              </w:rPr>
              <w:t xml:space="preserve">Exception: </w:t>
            </w:r>
            <w:r w:rsidRPr="00C9343F">
              <w:t>Unpaid leave of less than 21 calendar days.</w:t>
            </w:r>
          </w:p>
        </w:tc>
      </w:tr>
      <w:tr w:rsidR="005F44BC" w:rsidRPr="00C9343F" w14:paraId="56F816F9" w14:textId="77777777" w:rsidTr="006A3050">
        <w:trPr>
          <w:cantSplit/>
        </w:trPr>
        <w:tc>
          <w:tcPr>
            <w:tcW w:w="992" w:type="dxa"/>
          </w:tcPr>
          <w:p w14:paraId="2B8F17F3" w14:textId="77777777" w:rsidR="005F44BC" w:rsidRPr="00C9343F" w:rsidRDefault="005F44BC" w:rsidP="00F66D98">
            <w:pPr>
              <w:pStyle w:val="BlockText-Plain"/>
            </w:pPr>
          </w:p>
        </w:tc>
        <w:tc>
          <w:tcPr>
            <w:tcW w:w="567" w:type="dxa"/>
          </w:tcPr>
          <w:p w14:paraId="2B9699F3" w14:textId="77777777" w:rsidR="005F44BC" w:rsidRPr="00C9343F" w:rsidRDefault="005F44BC" w:rsidP="007114B1">
            <w:pPr>
              <w:pStyle w:val="BlockText-Plain"/>
              <w:jc w:val="center"/>
            </w:pPr>
            <w:r w:rsidRPr="00C9343F">
              <w:t>c.</w:t>
            </w:r>
          </w:p>
        </w:tc>
        <w:tc>
          <w:tcPr>
            <w:tcW w:w="7800" w:type="dxa"/>
          </w:tcPr>
          <w:p w14:paraId="4B9CBC7E" w14:textId="77777777" w:rsidR="005F44BC" w:rsidRPr="00C9343F" w:rsidRDefault="005F44BC" w:rsidP="00F66D98">
            <w:pPr>
              <w:pStyle w:val="BlockText-Plain"/>
            </w:pPr>
            <w:r w:rsidRPr="00C9343F">
              <w:t>It is counted as a period of effective service under subsection 3.</w:t>
            </w:r>
          </w:p>
        </w:tc>
      </w:tr>
      <w:tr w:rsidR="006A3050" w:rsidRPr="00C9343F" w14:paraId="1D43B4E9" w14:textId="77777777" w:rsidTr="006A3050">
        <w:tc>
          <w:tcPr>
            <w:tcW w:w="992" w:type="dxa"/>
          </w:tcPr>
          <w:p w14:paraId="5DB1E8D4" w14:textId="77777777" w:rsidR="006A3050" w:rsidRPr="00C9343F" w:rsidRDefault="006A3050" w:rsidP="00710F9F">
            <w:pPr>
              <w:pStyle w:val="BlockText-Plain"/>
              <w:jc w:val="center"/>
            </w:pPr>
            <w:r w:rsidRPr="00C9343F">
              <w:t>3.</w:t>
            </w:r>
          </w:p>
        </w:tc>
        <w:tc>
          <w:tcPr>
            <w:tcW w:w="8367" w:type="dxa"/>
            <w:gridSpan w:val="2"/>
          </w:tcPr>
          <w:p w14:paraId="0D3DF744" w14:textId="77777777" w:rsidR="006A3050" w:rsidRPr="00C9343F" w:rsidRDefault="006A3050" w:rsidP="00710F9F">
            <w:pPr>
              <w:pStyle w:val="BlockText-Plain"/>
            </w:pPr>
            <w:r w:rsidRPr="00C9343F">
              <w:t>This table lists a range of leave types and activities and sets out how a period of that leave or activity counts toward member's period of effective service.</w:t>
            </w:r>
          </w:p>
        </w:tc>
      </w:tr>
    </w:tbl>
    <w:p w14:paraId="0A2BE12D" w14:textId="1DC97A68" w:rsidR="005F44BC" w:rsidRPr="00C9343F" w:rsidRDefault="005F44BC" w:rsidP="00F66D98"/>
    <w:tbl>
      <w:tblPr>
        <w:tblW w:w="8375"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4681"/>
        <w:gridCol w:w="3127"/>
      </w:tblGrid>
      <w:tr w:rsidR="006A3050" w:rsidRPr="00C9343F" w14:paraId="2E2E6036" w14:textId="77777777" w:rsidTr="00710F9F">
        <w:trPr>
          <w:cantSplit/>
        </w:trPr>
        <w:tc>
          <w:tcPr>
            <w:tcW w:w="567" w:type="dxa"/>
          </w:tcPr>
          <w:p w14:paraId="7E013D81" w14:textId="77777777" w:rsidR="006A3050" w:rsidRPr="00C9343F" w:rsidRDefault="006A3050" w:rsidP="00710F9F">
            <w:pPr>
              <w:rPr>
                <w:rFonts w:cs="Arial"/>
                <w:b/>
                <w:sz w:val="20"/>
              </w:rPr>
            </w:pPr>
            <w:r w:rsidRPr="00C9343F">
              <w:rPr>
                <w:rFonts w:cs="Arial"/>
                <w:b/>
                <w:sz w:val="20"/>
              </w:rPr>
              <w:t>Item</w:t>
            </w:r>
          </w:p>
        </w:tc>
        <w:tc>
          <w:tcPr>
            <w:tcW w:w="4681" w:type="dxa"/>
          </w:tcPr>
          <w:p w14:paraId="10A16B7D" w14:textId="77777777" w:rsidR="006A3050" w:rsidRPr="00C9343F" w:rsidRDefault="006A3050" w:rsidP="00710F9F">
            <w:pPr>
              <w:jc w:val="center"/>
              <w:rPr>
                <w:rFonts w:cs="Arial"/>
                <w:b/>
                <w:sz w:val="20"/>
              </w:rPr>
            </w:pPr>
            <w:r w:rsidRPr="00C9343F">
              <w:rPr>
                <w:rFonts w:cs="Arial"/>
                <w:b/>
                <w:sz w:val="20"/>
              </w:rPr>
              <w:t>Activity</w:t>
            </w:r>
          </w:p>
        </w:tc>
        <w:tc>
          <w:tcPr>
            <w:tcW w:w="3127" w:type="dxa"/>
          </w:tcPr>
          <w:p w14:paraId="1BA543FF" w14:textId="77777777" w:rsidR="006A3050" w:rsidRPr="00C9343F" w:rsidRDefault="006A3050" w:rsidP="00710F9F">
            <w:pPr>
              <w:jc w:val="center"/>
              <w:rPr>
                <w:rFonts w:cs="Arial"/>
                <w:b/>
                <w:sz w:val="20"/>
              </w:rPr>
            </w:pPr>
            <w:r w:rsidRPr="00C9343F">
              <w:rPr>
                <w:rFonts w:cs="Arial"/>
                <w:b/>
                <w:sz w:val="20"/>
              </w:rPr>
              <w:t>Effect</w:t>
            </w:r>
          </w:p>
        </w:tc>
      </w:tr>
      <w:tr w:rsidR="006A3050" w:rsidRPr="00C9343F" w14:paraId="19274482" w14:textId="77777777" w:rsidTr="00710F9F">
        <w:trPr>
          <w:cantSplit/>
          <w:trHeight w:val="555"/>
        </w:trPr>
        <w:tc>
          <w:tcPr>
            <w:tcW w:w="567" w:type="dxa"/>
          </w:tcPr>
          <w:p w14:paraId="442DB189" w14:textId="77777777" w:rsidR="006A3050" w:rsidRPr="00C9343F" w:rsidRDefault="006A3050" w:rsidP="00710F9F">
            <w:pPr>
              <w:pStyle w:val="TableTextArial-left"/>
              <w:jc w:val="center"/>
            </w:pPr>
            <w:r w:rsidRPr="00C9343F">
              <w:t>1.</w:t>
            </w:r>
          </w:p>
        </w:tc>
        <w:tc>
          <w:tcPr>
            <w:tcW w:w="4681" w:type="dxa"/>
          </w:tcPr>
          <w:p w14:paraId="2800BE45" w14:textId="77777777" w:rsidR="006A3050" w:rsidRPr="00C9343F" w:rsidRDefault="006A3050" w:rsidP="00710F9F">
            <w:pPr>
              <w:pStyle w:val="TableTextArial-left"/>
            </w:pPr>
            <w:r w:rsidRPr="00C9343F">
              <w:t>A member on a flexible service determination.</w:t>
            </w:r>
          </w:p>
        </w:tc>
        <w:tc>
          <w:tcPr>
            <w:tcW w:w="3127" w:type="dxa"/>
          </w:tcPr>
          <w:p w14:paraId="3F902D51" w14:textId="77777777" w:rsidR="006A3050" w:rsidRPr="00C9343F" w:rsidRDefault="006A3050" w:rsidP="00710F9F">
            <w:pPr>
              <w:pStyle w:val="TableTextArial-left"/>
              <w:spacing w:after="120"/>
            </w:pPr>
            <w:r w:rsidRPr="00C9343F">
              <w:t>Effective service is calculated in accordance with section 3.5.2.</w:t>
            </w:r>
          </w:p>
        </w:tc>
      </w:tr>
      <w:tr w:rsidR="006A3050" w:rsidRPr="00C9343F" w14:paraId="24BFB5C3" w14:textId="77777777" w:rsidTr="00710F9F">
        <w:trPr>
          <w:cantSplit/>
        </w:trPr>
        <w:tc>
          <w:tcPr>
            <w:tcW w:w="567" w:type="dxa"/>
          </w:tcPr>
          <w:p w14:paraId="127BFF07" w14:textId="77777777" w:rsidR="006A3050" w:rsidRPr="00C9343F" w:rsidRDefault="006A3050" w:rsidP="00710F9F">
            <w:pPr>
              <w:pStyle w:val="TableTextArial-left"/>
              <w:jc w:val="center"/>
            </w:pPr>
            <w:r w:rsidRPr="00C9343F">
              <w:t>2.</w:t>
            </w:r>
          </w:p>
        </w:tc>
        <w:tc>
          <w:tcPr>
            <w:tcW w:w="4681" w:type="dxa"/>
          </w:tcPr>
          <w:p w14:paraId="39F3742E" w14:textId="77777777" w:rsidR="006A3050" w:rsidRPr="00C9343F" w:rsidRDefault="006A3050" w:rsidP="00710F9F">
            <w:pPr>
              <w:pStyle w:val="TableTextArial-left"/>
              <w:spacing w:after="120"/>
            </w:pPr>
            <w:r w:rsidRPr="00C9343F">
              <w:t>Leave at full pay.</w:t>
            </w:r>
          </w:p>
        </w:tc>
        <w:tc>
          <w:tcPr>
            <w:tcW w:w="3127" w:type="dxa"/>
            <w:vMerge w:val="restart"/>
          </w:tcPr>
          <w:p w14:paraId="4BBCCADF" w14:textId="77777777" w:rsidR="006A3050" w:rsidRPr="00C9343F" w:rsidRDefault="006A3050" w:rsidP="00710F9F">
            <w:pPr>
              <w:pStyle w:val="TableTextArial-left"/>
            </w:pPr>
            <w:r w:rsidRPr="00C9343F">
              <w:t>The whole period of this leave counts as effective service.</w:t>
            </w:r>
          </w:p>
        </w:tc>
      </w:tr>
      <w:tr w:rsidR="006A3050" w:rsidRPr="00C9343F" w14:paraId="1C34A71B" w14:textId="77777777" w:rsidTr="00710F9F">
        <w:trPr>
          <w:cantSplit/>
        </w:trPr>
        <w:tc>
          <w:tcPr>
            <w:tcW w:w="567" w:type="dxa"/>
          </w:tcPr>
          <w:p w14:paraId="69ACD121" w14:textId="77777777" w:rsidR="006A3050" w:rsidRPr="00C9343F" w:rsidRDefault="006A3050" w:rsidP="00710F9F">
            <w:pPr>
              <w:pStyle w:val="TableTextArial-left"/>
              <w:jc w:val="center"/>
            </w:pPr>
            <w:r w:rsidRPr="00C9343F">
              <w:t>3.</w:t>
            </w:r>
          </w:p>
        </w:tc>
        <w:tc>
          <w:tcPr>
            <w:tcW w:w="4681" w:type="dxa"/>
          </w:tcPr>
          <w:p w14:paraId="25DFD048" w14:textId="77777777" w:rsidR="006A3050" w:rsidRPr="00C9343F" w:rsidRDefault="006A3050" w:rsidP="00710F9F">
            <w:pPr>
              <w:pStyle w:val="TableTextArial-left"/>
              <w:spacing w:after="120"/>
            </w:pPr>
            <w:r w:rsidRPr="00C9343F">
              <w:t>Unpaid leave for less than 21 calendar days.</w:t>
            </w:r>
          </w:p>
        </w:tc>
        <w:tc>
          <w:tcPr>
            <w:tcW w:w="3127" w:type="dxa"/>
            <w:vMerge/>
          </w:tcPr>
          <w:p w14:paraId="16462636" w14:textId="77777777" w:rsidR="006A3050" w:rsidRPr="00C9343F" w:rsidRDefault="006A3050" w:rsidP="00710F9F">
            <w:pPr>
              <w:pStyle w:val="TableTextArial-left"/>
            </w:pPr>
          </w:p>
        </w:tc>
      </w:tr>
      <w:tr w:rsidR="006A3050" w:rsidRPr="00C9343F" w14:paraId="175B454C" w14:textId="77777777" w:rsidTr="00710F9F">
        <w:trPr>
          <w:cantSplit/>
        </w:trPr>
        <w:tc>
          <w:tcPr>
            <w:tcW w:w="567" w:type="dxa"/>
          </w:tcPr>
          <w:p w14:paraId="2AFB8735" w14:textId="77777777" w:rsidR="006A3050" w:rsidRPr="00C9343F" w:rsidRDefault="006A3050" w:rsidP="00710F9F">
            <w:pPr>
              <w:pStyle w:val="TableTextArial-left"/>
              <w:jc w:val="center"/>
            </w:pPr>
            <w:r w:rsidRPr="00C9343F">
              <w:lastRenderedPageBreak/>
              <w:t>4.</w:t>
            </w:r>
          </w:p>
        </w:tc>
        <w:tc>
          <w:tcPr>
            <w:tcW w:w="4681" w:type="dxa"/>
          </w:tcPr>
          <w:p w14:paraId="0E7ED246" w14:textId="77777777" w:rsidR="006A3050" w:rsidRPr="00C9343F" w:rsidRDefault="006A3050" w:rsidP="00710F9F">
            <w:pPr>
              <w:pStyle w:val="TableTextArial-left"/>
              <w:spacing w:after="120"/>
            </w:pPr>
            <w:r w:rsidRPr="00C9343F">
              <w:t>Leave at half pay.</w:t>
            </w:r>
          </w:p>
        </w:tc>
        <w:tc>
          <w:tcPr>
            <w:tcW w:w="3127" w:type="dxa"/>
          </w:tcPr>
          <w:p w14:paraId="32558EFD" w14:textId="77777777" w:rsidR="006A3050" w:rsidRPr="00C9343F" w:rsidRDefault="006A3050" w:rsidP="00710F9F">
            <w:pPr>
              <w:pStyle w:val="TableTextArial-left"/>
              <w:spacing w:after="120"/>
            </w:pPr>
            <w:r w:rsidRPr="00C9343F">
              <w:t>Half the period of the leave counts as effective service.</w:t>
            </w:r>
          </w:p>
        </w:tc>
      </w:tr>
      <w:tr w:rsidR="006A3050" w:rsidRPr="00C9343F" w14:paraId="797F28B5" w14:textId="77777777" w:rsidTr="00710F9F">
        <w:trPr>
          <w:cantSplit/>
        </w:trPr>
        <w:tc>
          <w:tcPr>
            <w:tcW w:w="567" w:type="dxa"/>
          </w:tcPr>
          <w:p w14:paraId="237E2FBB" w14:textId="77777777" w:rsidR="006A3050" w:rsidRPr="00C9343F" w:rsidRDefault="006A3050" w:rsidP="00710F9F">
            <w:pPr>
              <w:pStyle w:val="TableTextArial-left"/>
              <w:jc w:val="center"/>
            </w:pPr>
            <w:r w:rsidRPr="00C9343F">
              <w:t>5.</w:t>
            </w:r>
          </w:p>
        </w:tc>
        <w:tc>
          <w:tcPr>
            <w:tcW w:w="4681" w:type="dxa"/>
          </w:tcPr>
          <w:p w14:paraId="3AF9D879" w14:textId="77777777" w:rsidR="006A3050" w:rsidRPr="00C9343F" w:rsidRDefault="006A3050" w:rsidP="00710F9F">
            <w:pPr>
              <w:pStyle w:val="TableTextArial-left"/>
              <w:spacing w:after="120"/>
            </w:pPr>
            <w:r w:rsidRPr="00C9343F">
              <w:t>A period when the member is discharging an undertaking for service for the purpose of another bonus payment under this Division.</w:t>
            </w:r>
          </w:p>
        </w:tc>
        <w:tc>
          <w:tcPr>
            <w:tcW w:w="3127" w:type="dxa"/>
          </w:tcPr>
          <w:p w14:paraId="1DF274FF" w14:textId="77777777" w:rsidR="006A3050" w:rsidRPr="00C9343F" w:rsidRDefault="006A3050" w:rsidP="00710F9F">
            <w:pPr>
              <w:pStyle w:val="TableTextArial-left"/>
              <w:spacing w:after="120"/>
            </w:pPr>
            <w:r w:rsidRPr="00C9343F">
              <w:t>The period counts as effective service only toward the earlier undertaking.</w:t>
            </w:r>
          </w:p>
        </w:tc>
      </w:tr>
      <w:tr w:rsidR="006A3050" w:rsidRPr="00C9343F" w14:paraId="192D9143" w14:textId="77777777" w:rsidTr="00710F9F">
        <w:trPr>
          <w:cantSplit/>
        </w:trPr>
        <w:tc>
          <w:tcPr>
            <w:tcW w:w="567" w:type="dxa"/>
          </w:tcPr>
          <w:p w14:paraId="1E49B24C" w14:textId="77777777" w:rsidR="006A3050" w:rsidRPr="00C9343F" w:rsidRDefault="006A3050" w:rsidP="00710F9F">
            <w:pPr>
              <w:pStyle w:val="TableTextArial-left"/>
              <w:jc w:val="center"/>
            </w:pPr>
            <w:r w:rsidRPr="00C9343F">
              <w:t>6.</w:t>
            </w:r>
          </w:p>
        </w:tc>
        <w:tc>
          <w:tcPr>
            <w:tcW w:w="4681" w:type="dxa"/>
          </w:tcPr>
          <w:p w14:paraId="0C49E1E8" w14:textId="77777777" w:rsidR="006A3050" w:rsidRPr="00C9343F" w:rsidRDefault="006A3050" w:rsidP="00710F9F">
            <w:pPr>
              <w:pStyle w:val="TableTextArial-left"/>
              <w:spacing w:after="120"/>
            </w:pPr>
            <w:r w:rsidRPr="00C9343F">
              <w:t>Unpaid leave for 21 calendar days or more.</w:t>
            </w:r>
          </w:p>
        </w:tc>
        <w:tc>
          <w:tcPr>
            <w:tcW w:w="3127" w:type="dxa"/>
            <w:vMerge w:val="restart"/>
          </w:tcPr>
          <w:p w14:paraId="096C4206" w14:textId="77777777" w:rsidR="006A3050" w:rsidRPr="00C9343F" w:rsidRDefault="006A3050" w:rsidP="00710F9F">
            <w:pPr>
              <w:pStyle w:val="TableTextArial-left"/>
            </w:pPr>
            <w:r w:rsidRPr="00C9343F">
              <w:t>The period for which the member is in this situation does not count as effective service.</w:t>
            </w:r>
          </w:p>
        </w:tc>
      </w:tr>
      <w:tr w:rsidR="006A3050" w:rsidRPr="00C9343F" w14:paraId="39D7870C" w14:textId="77777777" w:rsidTr="00710F9F">
        <w:trPr>
          <w:cantSplit/>
        </w:trPr>
        <w:tc>
          <w:tcPr>
            <w:tcW w:w="567" w:type="dxa"/>
          </w:tcPr>
          <w:p w14:paraId="042A69D8" w14:textId="77777777" w:rsidR="006A3050" w:rsidRPr="00C9343F" w:rsidRDefault="006A3050" w:rsidP="00710F9F">
            <w:pPr>
              <w:pStyle w:val="TableTextArial-left"/>
              <w:jc w:val="center"/>
            </w:pPr>
            <w:r w:rsidRPr="00C9343F">
              <w:t>7.</w:t>
            </w:r>
          </w:p>
        </w:tc>
        <w:tc>
          <w:tcPr>
            <w:tcW w:w="4681" w:type="dxa"/>
          </w:tcPr>
          <w:p w14:paraId="6A2B4747" w14:textId="77777777" w:rsidR="006A3050" w:rsidRPr="00C9343F" w:rsidRDefault="006A3050" w:rsidP="00710F9F">
            <w:pPr>
              <w:pStyle w:val="TableTextArial-left"/>
              <w:spacing w:after="120"/>
            </w:pPr>
            <w:r w:rsidRPr="00C9343F">
              <w:t>Absence without leave.</w:t>
            </w:r>
          </w:p>
        </w:tc>
        <w:tc>
          <w:tcPr>
            <w:tcW w:w="3127" w:type="dxa"/>
            <w:vMerge/>
          </w:tcPr>
          <w:p w14:paraId="195A5765" w14:textId="77777777" w:rsidR="006A3050" w:rsidRPr="00C9343F" w:rsidRDefault="006A3050" w:rsidP="00710F9F">
            <w:pPr>
              <w:pStyle w:val="TableTextArial-left"/>
            </w:pPr>
          </w:p>
        </w:tc>
      </w:tr>
      <w:tr w:rsidR="006A3050" w:rsidRPr="00C9343F" w14:paraId="5A15A78C" w14:textId="77777777" w:rsidTr="00710F9F">
        <w:trPr>
          <w:cantSplit/>
        </w:trPr>
        <w:tc>
          <w:tcPr>
            <w:tcW w:w="567" w:type="dxa"/>
          </w:tcPr>
          <w:p w14:paraId="1C64AA88" w14:textId="77777777" w:rsidR="006A3050" w:rsidRPr="00C9343F" w:rsidRDefault="006A3050" w:rsidP="00710F9F">
            <w:pPr>
              <w:pStyle w:val="TableTextArial-left"/>
              <w:jc w:val="center"/>
            </w:pPr>
            <w:r w:rsidRPr="00C9343F">
              <w:t>8.</w:t>
            </w:r>
          </w:p>
        </w:tc>
        <w:tc>
          <w:tcPr>
            <w:tcW w:w="4681" w:type="dxa"/>
          </w:tcPr>
          <w:p w14:paraId="5CEEEEB5" w14:textId="77777777" w:rsidR="006A3050" w:rsidRPr="00C9343F" w:rsidRDefault="006A3050" w:rsidP="00710F9F">
            <w:pPr>
              <w:pStyle w:val="TableTextArial-left"/>
            </w:pPr>
            <w:r w:rsidRPr="00C9343F">
              <w:t>Imprisonment, detention, custody or suspension from duty without pay.</w:t>
            </w:r>
          </w:p>
        </w:tc>
        <w:tc>
          <w:tcPr>
            <w:tcW w:w="3127" w:type="dxa"/>
            <w:vMerge/>
          </w:tcPr>
          <w:p w14:paraId="554884A6" w14:textId="77777777" w:rsidR="006A3050" w:rsidRPr="00C9343F" w:rsidRDefault="006A3050" w:rsidP="00710F9F">
            <w:pPr>
              <w:pStyle w:val="TableTextArial-left"/>
            </w:pPr>
          </w:p>
        </w:tc>
      </w:tr>
      <w:tr w:rsidR="006A3050" w:rsidRPr="00C9343F" w14:paraId="6CEE556E" w14:textId="77777777" w:rsidTr="00710F9F">
        <w:trPr>
          <w:cantSplit/>
        </w:trPr>
        <w:tc>
          <w:tcPr>
            <w:tcW w:w="567" w:type="dxa"/>
          </w:tcPr>
          <w:p w14:paraId="0BC99E7F" w14:textId="77777777" w:rsidR="006A3050" w:rsidRPr="00C9343F" w:rsidRDefault="006A3050" w:rsidP="00710F9F">
            <w:pPr>
              <w:pStyle w:val="TableTextArial-left"/>
              <w:jc w:val="center"/>
            </w:pPr>
            <w:r w:rsidRPr="00C9343F">
              <w:t>9.</w:t>
            </w:r>
          </w:p>
        </w:tc>
        <w:tc>
          <w:tcPr>
            <w:tcW w:w="4681" w:type="dxa"/>
          </w:tcPr>
          <w:p w14:paraId="50D2328C" w14:textId="77777777" w:rsidR="006A3050" w:rsidRPr="00C9343F" w:rsidRDefault="006A3050" w:rsidP="00710F9F">
            <w:pPr>
              <w:pStyle w:val="TableTextArial-left"/>
            </w:pPr>
            <w:r w:rsidRPr="00C9343F">
              <w:t xml:space="preserve">An undertaking for further service under Part 8 of the </w:t>
            </w:r>
            <w:r w:rsidRPr="00C9343F">
              <w:rPr>
                <w:i/>
              </w:rPr>
              <w:t>Military Superannuation and Benefits Act 1991</w:t>
            </w:r>
            <w:r w:rsidRPr="00C9343F">
              <w:t xml:space="preserve">, as preserved by item 4 of Schedule 4 </w:t>
            </w:r>
            <w:r w:rsidRPr="00C9343F">
              <w:rPr>
                <w:i/>
              </w:rPr>
              <w:t>Defence Legislation Amendment Act (No. 1) 2005</w:t>
            </w:r>
            <w:r w:rsidRPr="00C9343F">
              <w:t>.</w:t>
            </w:r>
          </w:p>
        </w:tc>
        <w:tc>
          <w:tcPr>
            <w:tcW w:w="3127" w:type="dxa"/>
            <w:vMerge/>
          </w:tcPr>
          <w:p w14:paraId="2AE9F87B" w14:textId="77777777" w:rsidR="006A3050" w:rsidRPr="00C9343F" w:rsidRDefault="006A3050" w:rsidP="00710F9F">
            <w:pPr>
              <w:pStyle w:val="TableTextArial-left"/>
            </w:pPr>
          </w:p>
        </w:tc>
      </w:tr>
      <w:tr w:rsidR="006A3050" w:rsidRPr="00C9343F" w14:paraId="63175744" w14:textId="77777777" w:rsidTr="00710F9F">
        <w:trPr>
          <w:cantSplit/>
        </w:trPr>
        <w:tc>
          <w:tcPr>
            <w:tcW w:w="567" w:type="dxa"/>
          </w:tcPr>
          <w:p w14:paraId="0E50597F" w14:textId="77777777" w:rsidR="006A3050" w:rsidRPr="00C9343F" w:rsidRDefault="006A3050" w:rsidP="00710F9F">
            <w:pPr>
              <w:pStyle w:val="TableTextArial-left"/>
              <w:ind w:left="-5" w:firstLine="5"/>
              <w:jc w:val="center"/>
            </w:pPr>
            <w:r w:rsidRPr="00C9343F">
              <w:t>10.</w:t>
            </w:r>
          </w:p>
        </w:tc>
        <w:tc>
          <w:tcPr>
            <w:tcW w:w="4681" w:type="dxa"/>
          </w:tcPr>
          <w:p w14:paraId="3B860C6B" w14:textId="77777777" w:rsidR="006A3050" w:rsidRPr="00C9343F" w:rsidRDefault="006A3050" w:rsidP="00710F9F">
            <w:pPr>
              <w:pStyle w:val="TableTextArial-left"/>
              <w:spacing w:after="120"/>
            </w:pPr>
            <w:r w:rsidRPr="00C9343F">
              <w:t xml:space="preserve">A period when the member is discharging a return of service obligation. </w:t>
            </w:r>
          </w:p>
        </w:tc>
        <w:tc>
          <w:tcPr>
            <w:tcW w:w="3127" w:type="dxa"/>
            <w:vMerge/>
          </w:tcPr>
          <w:p w14:paraId="20972FF4" w14:textId="77777777" w:rsidR="006A3050" w:rsidRPr="00C9343F" w:rsidRDefault="006A3050" w:rsidP="00710F9F">
            <w:pPr>
              <w:pStyle w:val="TableTextArial-left"/>
            </w:pPr>
          </w:p>
        </w:tc>
      </w:tr>
      <w:tr w:rsidR="006A3050" w:rsidRPr="00C9343F" w14:paraId="3A712EEE" w14:textId="77777777" w:rsidTr="00710F9F">
        <w:trPr>
          <w:cantSplit/>
        </w:trPr>
        <w:tc>
          <w:tcPr>
            <w:tcW w:w="567" w:type="dxa"/>
          </w:tcPr>
          <w:p w14:paraId="117BAB51" w14:textId="77777777" w:rsidR="006A3050" w:rsidRPr="00C9343F" w:rsidRDefault="006A3050" w:rsidP="00710F9F">
            <w:pPr>
              <w:pStyle w:val="TableTextArial-left"/>
              <w:ind w:left="-5" w:firstLine="5"/>
              <w:jc w:val="center"/>
            </w:pPr>
            <w:r w:rsidRPr="00C9343F">
              <w:t>11.</w:t>
            </w:r>
          </w:p>
        </w:tc>
        <w:tc>
          <w:tcPr>
            <w:tcW w:w="4681" w:type="dxa"/>
          </w:tcPr>
          <w:p w14:paraId="5067ED36" w14:textId="77777777" w:rsidR="006A3050" w:rsidRPr="00C9343F" w:rsidRDefault="006A3050" w:rsidP="00710F9F">
            <w:pPr>
              <w:pStyle w:val="TableTextArial-left"/>
              <w:spacing w:after="120"/>
            </w:pPr>
            <w:r w:rsidRPr="00C9343F">
              <w:t>A period when the member is discharging an undertaking for service for the purpose of another bonus payment under this Part.</w:t>
            </w:r>
          </w:p>
        </w:tc>
        <w:tc>
          <w:tcPr>
            <w:tcW w:w="3127" w:type="dxa"/>
            <w:vMerge/>
          </w:tcPr>
          <w:p w14:paraId="3E03FF98" w14:textId="77777777" w:rsidR="006A3050" w:rsidRPr="00C9343F" w:rsidRDefault="006A3050" w:rsidP="00710F9F">
            <w:pPr>
              <w:pStyle w:val="TableTextArial-left"/>
            </w:pPr>
          </w:p>
        </w:tc>
      </w:tr>
    </w:tbl>
    <w:p w14:paraId="5B5A5945" w14:textId="04F5BA3C" w:rsidR="005F44BC" w:rsidRPr="00C9343F" w:rsidRDefault="005F44BC" w:rsidP="00F66D98">
      <w:pPr>
        <w:pStyle w:val="Heading5"/>
      </w:pPr>
      <w:bookmarkStart w:id="547" w:name="_Toc105053756"/>
      <w:r w:rsidRPr="00C9343F">
        <w:t>3.5.11</w:t>
      </w:r>
      <w:r w:rsidR="00D94006" w:rsidRPr="00C9343F">
        <w:t>    </w:t>
      </w:r>
      <w:r w:rsidRPr="00C9343F">
        <w:t>How the offer is accepted</w:t>
      </w:r>
      <w:bookmarkEnd w:id="547"/>
    </w:p>
    <w:tbl>
      <w:tblPr>
        <w:tblW w:w="9359" w:type="dxa"/>
        <w:tblInd w:w="113" w:type="dxa"/>
        <w:tblLayout w:type="fixed"/>
        <w:tblLook w:val="0000" w:firstRow="0" w:lastRow="0" w:firstColumn="0" w:lastColumn="0" w:noHBand="0" w:noVBand="0"/>
      </w:tblPr>
      <w:tblGrid>
        <w:gridCol w:w="992"/>
        <w:gridCol w:w="567"/>
        <w:gridCol w:w="7800"/>
      </w:tblGrid>
      <w:tr w:rsidR="005F44BC" w:rsidRPr="00C9343F" w14:paraId="154E8F34" w14:textId="77777777" w:rsidTr="00B83B0A">
        <w:tc>
          <w:tcPr>
            <w:tcW w:w="992" w:type="dxa"/>
          </w:tcPr>
          <w:p w14:paraId="341FA4A1" w14:textId="77777777" w:rsidR="005F44BC" w:rsidRPr="00C9343F" w:rsidRDefault="005F44BC" w:rsidP="00F66D98">
            <w:pPr>
              <w:pStyle w:val="BlockText-Plain"/>
              <w:jc w:val="center"/>
            </w:pPr>
            <w:r w:rsidRPr="00C9343F">
              <w:t>1.</w:t>
            </w:r>
          </w:p>
        </w:tc>
        <w:tc>
          <w:tcPr>
            <w:tcW w:w="8367" w:type="dxa"/>
            <w:gridSpan w:val="2"/>
          </w:tcPr>
          <w:p w14:paraId="3CFB71EE" w14:textId="77777777" w:rsidR="005F44BC" w:rsidRPr="00C9343F" w:rsidRDefault="005F44BC" w:rsidP="00F66D98">
            <w:pPr>
              <w:pStyle w:val="BlockText-Plain"/>
            </w:pPr>
            <w:r w:rsidRPr="00C9343F">
              <w:t>An eligible member may accept a bonus under this Division any time after they receive an offer, until the latest of the following dates.</w:t>
            </w:r>
          </w:p>
        </w:tc>
      </w:tr>
      <w:tr w:rsidR="005F44BC" w:rsidRPr="00C9343F" w14:paraId="7077724E" w14:textId="77777777" w:rsidTr="00B83B0A">
        <w:trPr>
          <w:cantSplit/>
        </w:trPr>
        <w:tc>
          <w:tcPr>
            <w:tcW w:w="992" w:type="dxa"/>
          </w:tcPr>
          <w:p w14:paraId="01D88C45" w14:textId="77777777" w:rsidR="005F44BC" w:rsidRPr="00C9343F" w:rsidRDefault="005F44BC" w:rsidP="00F66D98">
            <w:pPr>
              <w:pStyle w:val="BlockText-Plain"/>
            </w:pPr>
          </w:p>
        </w:tc>
        <w:tc>
          <w:tcPr>
            <w:tcW w:w="567" w:type="dxa"/>
          </w:tcPr>
          <w:p w14:paraId="6B89E664" w14:textId="77777777" w:rsidR="005F44BC" w:rsidRPr="00C9343F" w:rsidRDefault="005F44BC" w:rsidP="007114B1">
            <w:pPr>
              <w:pStyle w:val="BlockText-Plain"/>
              <w:jc w:val="center"/>
            </w:pPr>
            <w:r w:rsidRPr="00C9343F">
              <w:t>a.</w:t>
            </w:r>
          </w:p>
        </w:tc>
        <w:tc>
          <w:tcPr>
            <w:tcW w:w="7800" w:type="dxa"/>
          </w:tcPr>
          <w:p w14:paraId="2458746E" w14:textId="77777777" w:rsidR="005F44BC" w:rsidRPr="00C9343F" w:rsidRDefault="005F44BC" w:rsidP="00F66D98">
            <w:pPr>
              <w:pStyle w:val="BlockText-Plain"/>
            </w:pPr>
            <w:r w:rsidRPr="00C9343F">
              <w:t>Twenty-eight days after the day the offer is made.</w:t>
            </w:r>
          </w:p>
        </w:tc>
      </w:tr>
      <w:tr w:rsidR="005F44BC" w:rsidRPr="00C9343F" w14:paraId="21B8ECF2" w14:textId="77777777" w:rsidTr="00B83B0A">
        <w:trPr>
          <w:cantSplit/>
        </w:trPr>
        <w:tc>
          <w:tcPr>
            <w:tcW w:w="992" w:type="dxa"/>
          </w:tcPr>
          <w:p w14:paraId="31690C14" w14:textId="77777777" w:rsidR="005F44BC" w:rsidRPr="00C9343F" w:rsidRDefault="005F44BC" w:rsidP="00F66D98">
            <w:pPr>
              <w:pStyle w:val="BlockText-Plain"/>
            </w:pPr>
          </w:p>
        </w:tc>
        <w:tc>
          <w:tcPr>
            <w:tcW w:w="567" w:type="dxa"/>
          </w:tcPr>
          <w:p w14:paraId="26012AEB" w14:textId="77777777" w:rsidR="005F44BC" w:rsidRPr="00C9343F" w:rsidRDefault="005F44BC" w:rsidP="007114B1">
            <w:pPr>
              <w:pStyle w:val="BlockText-Plain"/>
              <w:jc w:val="center"/>
            </w:pPr>
            <w:r w:rsidRPr="00C9343F">
              <w:t>b.</w:t>
            </w:r>
          </w:p>
        </w:tc>
        <w:tc>
          <w:tcPr>
            <w:tcW w:w="7800" w:type="dxa"/>
          </w:tcPr>
          <w:p w14:paraId="15D83012" w14:textId="77777777" w:rsidR="005F44BC" w:rsidRPr="00C9343F" w:rsidRDefault="005F44BC" w:rsidP="00F66D98">
            <w:pPr>
              <w:pStyle w:val="BlockText-Plain"/>
            </w:pPr>
            <w:r w:rsidRPr="00C9343F">
              <w:t>If the member was deployed when the offer under paragraph a. was made — the day 28 days after the day the member returns to Australia after a deployment.</w:t>
            </w:r>
          </w:p>
        </w:tc>
      </w:tr>
      <w:tr w:rsidR="005F44BC" w:rsidRPr="00C9343F" w14:paraId="151812E1" w14:textId="77777777" w:rsidTr="00B83B0A">
        <w:trPr>
          <w:cantSplit/>
        </w:trPr>
        <w:tc>
          <w:tcPr>
            <w:tcW w:w="992" w:type="dxa"/>
          </w:tcPr>
          <w:p w14:paraId="4E66C18D" w14:textId="77777777" w:rsidR="005F44BC" w:rsidRPr="00C9343F" w:rsidRDefault="005F44BC" w:rsidP="00F66D98">
            <w:pPr>
              <w:pStyle w:val="BlockText-Plain"/>
            </w:pPr>
          </w:p>
        </w:tc>
        <w:tc>
          <w:tcPr>
            <w:tcW w:w="567" w:type="dxa"/>
          </w:tcPr>
          <w:p w14:paraId="571C1C8E" w14:textId="77777777" w:rsidR="005F44BC" w:rsidRPr="00C9343F" w:rsidRDefault="005F44BC" w:rsidP="007114B1">
            <w:pPr>
              <w:pStyle w:val="BlockText-Plain"/>
              <w:jc w:val="center"/>
            </w:pPr>
            <w:r w:rsidRPr="00C9343F">
              <w:t>c.</w:t>
            </w:r>
          </w:p>
        </w:tc>
        <w:tc>
          <w:tcPr>
            <w:tcW w:w="7800" w:type="dxa"/>
          </w:tcPr>
          <w:p w14:paraId="6C8067B9" w14:textId="77777777" w:rsidR="005F44BC" w:rsidRPr="00C9343F" w:rsidRDefault="00887E91" w:rsidP="00F66D98">
            <w:pPr>
              <w:pStyle w:val="BlockText-Plain"/>
            </w:pPr>
            <w:r w:rsidRPr="00C9343F">
              <w:t>A longer period that the CDF or the member's Service Chief decides is reasonable having regard to the member's circumstances.</w:t>
            </w:r>
          </w:p>
        </w:tc>
      </w:tr>
      <w:tr w:rsidR="005F44BC" w:rsidRPr="00C9343F" w14:paraId="1D97BB48" w14:textId="77777777" w:rsidTr="00B83B0A">
        <w:tc>
          <w:tcPr>
            <w:tcW w:w="992" w:type="dxa"/>
          </w:tcPr>
          <w:p w14:paraId="23A7BDC6" w14:textId="77777777" w:rsidR="005F44BC" w:rsidRPr="00C9343F" w:rsidRDefault="005F44BC" w:rsidP="00F66D98">
            <w:pPr>
              <w:pStyle w:val="BlockText-Plain"/>
              <w:jc w:val="center"/>
            </w:pPr>
            <w:r w:rsidRPr="00C9343F">
              <w:t>2.</w:t>
            </w:r>
          </w:p>
        </w:tc>
        <w:tc>
          <w:tcPr>
            <w:tcW w:w="8367" w:type="dxa"/>
            <w:gridSpan w:val="2"/>
          </w:tcPr>
          <w:p w14:paraId="75281417" w14:textId="77777777" w:rsidR="005F44BC" w:rsidRPr="00C9343F" w:rsidRDefault="005F44BC" w:rsidP="00F66D98">
            <w:pPr>
              <w:pStyle w:val="BlockText-Plain"/>
            </w:pPr>
            <w:r w:rsidRPr="00C9343F">
              <w:t>A member must take both the following actions to accept an offer.</w:t>
            </w:r>
          </w:p>
        </w:tc>
      </w:tr>
      <w:tr w:rsidR="005F44BC" w:rsidRPr="00C9343F" w14:paraId="6F7F213C" w14:textId="77777777" w:rsidTr="00B83B0A">
        <w:trPr>
          <w:cantSplit/>
        </w:trPr>
        <w:tc>
          <w:tcPr>
            <w:tcW w:w="992" w:type="dxa"/>
          </w:tcPr>
          <w:p w14:paraId="60F8759F" w14:textId="77777777" w:rsidR="005F44BC" w:rsidRPr="00C9343F" w:rsidRDefault="005F44BC" w:rsidP="00F66D98">
            <w:pPr>
              <w:pStyle w:val="BlockText-Plain"/>
            </w:pPr>
          </w:p>
        </w:tc>
        <w:tc>
          <w:tcPr>
            <w:tcW w:w="567" w:type="dxa"/>
          </w:tcPr>
          <w:p w14:paraId="36C54501" w14:textId="77777777" w:rsidR="005F44BC" w:rsidRPr="00C9343F" w:rsidRDefault="005F44BC" w:rsidP="007114B1">
            <w:pPr>
              <w:pStyle w:val="BlockText-Plain"/>
              <w:jc w:val="center"/>
            </w:pPr>
            <w:r w:rsidRPr="00C9343F">
              <w:t>a.</w:t>
            </w:r>
          </w:p>
        </w:tc>
        <w:tc>
          <w:tcPr>
            <w:tcW w:w="7800" w:type="dxa"/>
          </w:tcPr>
          <w:p w14:paraId="7D318318" w14:textId="1D9F1DA4" w:rsidR="005F44BC" w:rsidRPr="00C9343F" w:rsidRDefault="005F44BC" w:rsidP="00F66D98">
            <w:pPr>
              <w:pStyle w:val="BlockText-Plain"/>
            </w:pPr>
            <w:r w:rsidRPr="00C9343F">
              <w:t>Accept the offer using the acceptance form at Part B to Annex 3.5.B.</w:t>
            </w:r>
          </w:p>
        </w:tc>
      </w:tr>
      <w:tr w:rsidR="005F44BC" w:rsidRPr="00C9343F" w14:paraId="059CFA4B" w14:textId="77777777" w:rsidTr="00B83B0A">
        <w:trPr>
          <w:cantSplit/>
        </w:trPr>
        <w:tc>
          <w:tcPr>
            <w:tcW w:w="992" w:type="dxa"/>
          </w:tcPr>
          <w:p w14:paraId="7B2ADBD3" w14:textId="77777777" w:rsidR="005F44BC" w:rsidRPr="00C9343F" w:rsidRDefault="005F44BC" w:rsidP="00F66D98">
            <w:pPr>
              <w:pStyle w:val="BlockText-Plain"/>
            </w:pPr>
          </w:p>
        </w:tc>
        <w:tc>
          <w:tcPr>
            <w:tcW w:w="567" w:type="dxa"/>
          </w:tcPr>
          <w:p w14:paraId="3640368C" w14:textId="77777777" w:rsidR="005F44BC" w:rsidRPr="00C9343F" w:rsidRDefault="005F44BC" w:rsidP="007114B1">
            <w:pPr>
              <w:pStyle w:val="BlockText-Plain"/>
              <w:jc w:val="center"/>
            </w:pPr>
            <w:r w:rsidRPr="00C9343F">
              <w:t>b.</w:t>
            </w:r>
          </w:p>
        </w:tc>
        <w:tc>
          <w:tcPr>
            <w:tcW w:w="7800" w:type="dxa"/>
          </w:tcPr>
          <w:p w14:paraId="45631803" w14:textId="704844D4" w:rsidR="005F44BC" w:rsidRPr="00C9343F" w:rsidRDefault="005F44BC" w:rsidP="00F66D98">
            <w:pPr>
              <w:pStyle w:val="BlockText-Plain"/>
            </w:pPr>
            <w:r w:rsidRPr="00C9343F">
              <w:t>Elect how the benefit is to be paid, using the form at Annex 3.5.J.</w:t>
            </w:r>
          </w:p>
        </w:tc>
      </w:tr>
      <w:tr w:rsidR="005F44BC" w:rsidRPr="00C9343F" w14:paraId="01EDC789" w14:textId="77777777" w:rsidTr="00B83B0A">
        <w:tc>
          <w:tcPr>
            <w:tcW w:w="992" w:type="dxa"/>
          </w:tcPr>
          <w:p w14:paraId="723AC27F" w14:textId="77777777" w:rsidR="005F44BC" w:rsidRPr="00C9343F" w:rsidRDefault="005F44BC" w:rsidP="00F66D98">
            <w:pPr>
              <w:pStyle w:val="BlockText-Plain"/>
              <w:jc w:val="center"/>
            </w:pPr>
            <w:r w:rsidRPr="00C9343F">
              <w:t>3.</w:t>
            </w:r>
          </w:p>
        </w:tc>
        <w:tc>
          <w:tcPr>
            <w:tcW w:w="8367" w:type="dxa"/>
            <w:gridSpan w:val="2"/>
          </w:tcPr>
          <w:p w14:paraId="53446544" w14:textId="77777777" w:rsidR="005F44BC" w:rsidRPr="00C9343F" w:rsidRDefault="005F44BC" w:rsidP="00F66D98">
            <w:pPr>
              <w:pStyle w:val="BlockText-Plain"/>
            </w:pPr>
            <w:r w:rsidRPr="00C9343F">
              <w:t>The acceptance must include an undertaking to serve for the period specified in the offer, (a fixed period of up to three years of effective service) in the position, specialisation or employment category for which the bonus was offered (this is called the</w:t>
            </w:r>
            <w:r w:rsidRPr="00C9343F">
              <w:rPr>
                <w:b/>
                <w:bCs/>
                <w:i/>
                <w:iCs/>
              </w:rPr>
              <w:t xml:space="preserve"> </w:t>
            </w:r>
            <w:r w:rsidRPr="00C9343F">
              <w:rPr>
                <w:bCs/>
                <w:iCs/>
              </w:rPr>
              <w:t>agreed period of service</w:t>
            </w:r>
            <w:r w:rsidRPr="00C9343F">
              <w:t>), using the form at Annex 3.5.B.</w:t>
            </w:r>
          </w:p>
        </w:tc>
      </w:tr>
    </w:tbl>
    <w:p w14:paraId="1A0C807A" w14:textId="6089A603" w:rsidR="005F44BC" w:rsidRPr="00C9343F" w:rsidRDefault="005F44BC" w:rsidP="00F66D98">
      <w:pPr>
        <w:pStyle w:val="Heading5"/>
      </w:pPr>
      <w:bookmarkStart w:id="548" w:name="_Toc105053757"/>
      <w:r w:rsidRPr="00C9343F">
        <w:t>3.5.12</w:t>
      </w:r>
      <w:r w:rsidR="00D94006" w:rsidRPr="00C9343F">
        <w:t>    </w:t>
      </w:r>
      <w:r w:rsidRPr="00C9343F">
        <w:t>Transfer in from another bonus</w:t>
      </w:r>
      <w:bookmarkEnd w:id="548"/>
    </w:p>
    <w:tbl>
      <w:tblPr>
        <w:tblW w:w="9359" w:type="dxa"/>
        <w:tblInd w:w="113" w:type="dxa"/>
        <w:tblLayout w:type="fixed"/>
        <w:tblLook w:val="0000" w:firstRow="0" w:lastRow="0" w:firstColumn="0" w:lastColumn="0" w:noHBand="0" w:noVBand="0"/>
      </w:tblPr>
      <w:tblGrid>
        <w:gridCol w:w="992"/>
        <w:gridCol w:w="596"/>
        <w:gridCol w:w="567"/>
        <w:gridCol w:w="14"/>
        <w:gridCol w:w="7190"/>
      </w:tblGrid>
      <w:tr w:rsidR="005F44BC" w:rsidRPr="00C9343F" w14:paraId="40B86B97" w14:textId="77777777" w:rsidTr="00434C78">
        <w:tc>
          <w:tcPr>
            <w:tcW w:w="992" w:type="dxa"/>
          </w:tcPr>
          <w:p w14:paraId="6CA99A84" w14:textId="77777777" w:rsidR="005F44BC" w:rsidRPr="00C9343F" w:rsidRDefault="005F44BC" w:rsidP="00F66D98">
            <w:pPr>
              <w:pStyle w:val="BlockText-Plain"/>
              <w:jc w:val="center"/>
            </w:pPr>
            <w:r w:rsidRPr="00C9343F">
              <w:t>1.</w:t>
            </w:r>
          </w:p>
        </w:tc>
        <w:tc>
          <w:tcPr>
            <w:tcW w:w="8367" w:type="dxa"/>
            <w:gridSpan w:val="4"/>
          </w:tcPr>
          <w:p w14:paraId="4199B4C3" w14:textId="77777777" w:rsidR="005F44BC" w:rsidRPr="00C9343F" w:rsidRDefault="005F44BC" w:rsidP="00F66D98">
            <w:pPr>
              <w:pStyle w:val="BlockText-Plain"/>
            </w:pPr>
            <w:r w:rsidRPr="00C9343F">
              <w:t>A member who is serving on another bonus scheme contained in Chapter 3 Part 5 of this Determination ('the other scheme') may be offered a bonus under this Division.</w:t>
            </w:r>
          </w:p>
        </w:tc>
      </w:tr>
      <w:tr w:rsidR="005F44BC" w:rsidRPr="00C9343F" w14:paraId="47CB1F10" w14:textId="77777777" w:rsidTr="00434C78">
        <w:tc>
          <w:tcPr>
            <w:tcW w:w="992" w:type="dxa"/>
          </w:tcPr>
          <w:p w14:paraId="7E045605" w14:textId="77777777" w:rsidR="005F44BC" w:rsidRPr="00C9343F" w:rsidRDefault="005F44BC" w:rsidP="00F66D98">
            <w:pPr>
              <w:pStyle w:val="BlockText-Plain"/>
              <w:jc w:val="center"/>
            </w:pPr>
            <w:r w:rsidRPr="00C9343F">
              <w:t>2.</w:t>
            </w:r>
          </w:p>
        </w:tc>
        <w:tc>
          <w:tcPr>
            <w:tcW w:w="8367" w:type="dxa"/>
            <w:gridSpan w:val="4"/>
          </w:tcPr>
          <w:p w14:paraId="0764F9AD" w14:textId="77777777" w:rsidR="005F44BC" w:rsidRPr="00C9343F" w:rsidRDefault="005F44BC" w:rsidP="00F66D98">
            <w:pPr>
              <w:pStyle w:val="BlockText-Plain"/>
            </w:pPr>
            <w:r w:rsidRPr="00C9343F">
              <w:t>If the member accepts the offer of a bonus under this Division, the acceptance has the following effects on the member's liability to serve in return for a bonus under the other scheme.</w:t>
            </w:r>
          </w:p>
        </w:tc>
      </w:tr>
      <w:tr w:rsidR="005F44BC" w:rsidRPr="00C9343F" w14:paraId="6C427A6D" w14:textId="77777777" w:rsidTr="00434C78">
        <w:trPr>
          <w:cantSplit/>
        </w:trPr>
        <w:tc>
          <w:tcPr>
            <w:tcW w:w="992" w:type="dxa"/>
          </w:tcPr>
          <w:p w14:paraId="56739203" w14:textId="77777777" w:rsidR="005F44BC" w:rsidRPr="00C9343F" w:rsidRDefault="005F44BC" w:rsidP="00F66D98">
            <w:pPr>
              <w:pStyle w:val="BlockText-Plain"/>
            </w:pPr>
          </w:p>
        </w:tc>
        <w:tc>
          <w:tcPr>
            <w:tcW w:w="596" w:type="dxa"/>
          </w:tcPr>
          <w:p w14:paraId="2AB557D4" w14:textId="77777777" w:rsidR="005F44BC" w:rsidRPr="00C9343F" w:rsidRDefault="005F44BC" w:rsidP="007114B1">
            <w:pPr>
              <w:pStyle w:val="BlockText-Plain"/>
              <w:jc w:val="center"/>
            </w:pPr>
            <w:r w:rsidRPr="00C9343F">
              <w:t>a.</w:t>
            </w:r>
          </w:p>
        </w:tc>
        <w:tc>
          <w:tcPr>
            <w:tcW w:w="7771" w:type="dxa"/>
            <w:gridSpan w:val="3"/>
          </w:tcPr>
          <w:p w14:paraId="09F73896" w14:textId="77777777" w:rsidR="005F44BC" w:rsidRPr="00C9343F" w:rsidRDefault="005F44BC" w:rsidP="00F66D98">
            <w:pPr>
              <w:pStyle w:val="BlockText-Plain"/>
            </w:pPr>
            <w:r w:rsidRPr="00C9343F">
              <w:t>The member's period of service under the other scheme continues until the day that the member commences serving the period of service agreed under this scheme.</w:t>
            </w:r>
          </w:p>
        </w:tc>
      </w:tr>
      <w:tr w:rsidR="00434C78" w:rsidRPr="00C9343F" w14:paraId="05B44A53" w14:textId="77777777" w:rsidTr="00434C78">
        <w:tc>
          <w:tcPr>
            <w:tcW w:w="992" w:type="dxa"/>
          </w:tcPr>
          <w:p w14:paraId="5B171CA3" w14:textId="77777777" w:rsidR="00434C78" w:rsidRPr="00C9343F" w:rsidRDefault="00434C78" w:rsidP="00F66D98">
            <w:pPr>
              <w:pStyle w:val="Sectiontext0"/>
              <w:jc w:val="center"/>
            </w:pPr>
          </w:p>
        </w:tc>
        <w:tc>
          <w:tcPr>
            <w:tcW w:w="596" w:type="dxa"/>
          </w:tcPr>
          <w:p w14:paraId="20B2736E" w14:textId="77777777" w:rsidR="00434C78" w:rsidRPr="00C9343F" w:rsidRDefault="00434C78" w:rsidP="00F66D98">
            <w:pPr>
              <w:pStyle w:val="Sectiontext0"/>
              <w:jc w:val="center"/>
              <w:rPr>
                <w:iCs/>
              </w:rPr>
            </w:pPr>
            <w:r w:rsidRPr="00C9343F">
              <w:rPr>
                <w:iCs/>
              </w:rPr>
              <w:t>b.</w:t>
            </w:r>
          </w:p>
        </w:tc>
        <w:tc>
          <w:tcPr>
            <w:tcW w:w="7771" w:type="dxa"/>
            <w:gridSpan w:val="3"/>
          </w:tcPr>
          <w:p w14:paraId="7903111C" w14:textId="77777777" w:rsidR="00434C78" w:rsidRPr="00C9343F" w:rsidRDefault="00434C78" w:rsidP="00F66D98">
            <w:pPr>
              <w:pStyle w:val="Sectiontext0"/>
              <w:rPr>
                <w:iCs/>
              </w:rPr>
            </w:pPr>
            <w:r w:rsidRPr="00C9343F">
              <w:rPr>
                <w:iCs/>
              </w:rPr>
              <w:t>Subject to paragraph c, the member will receive an amount calculated using the following formula for the period they have completed under the other scheme if all of the following are met.</w:t>
            </w:r>
          </w:p>
        </w:tc>
      </w:tr>
      <w:tr w:rsidR="00434C78" w:rsidRPr="00C9343F" w14:paraId="4034B28F" w14:textId="77777777" w:rsidTr="00434C78">
        <w:tc>
          <w:tcPr>
            <w:tcW w:w="992" w:type="dxa"/>
          </w:tcPr>
          <w:p w14:paraId="7093FC09" w14:textId="77777777" w:rsidR="00434C78" w:rsidRPr="00C9343F" w:rsidRDefault="00434C78" w:rsidP="00F66D98">
            <w:pPr>
              <w:pStyle w:val="Sectiontext0"/>
              <w:jc w:val="center"/>
            </w:pPr>
          </w:p>
        </w:tc>
        <w:tc>
          <w:tcPr>
            <w:tcW w:w="596" w:type="dxa"/>
          </w:tcPr>
          <w:p w14:paraId="7838D3B6" w14:textId="77777777" w:rsidR="00434C78" w:rsidRPr="00C9343F" w:rsidRDefault="00434C78" w:rsidP="00F66D98">
            <w:pPr>
              <w:pStyle w:val="Sectiontext0"/>
              <w:jc w:val="center"/>
              <w:rPr>
                <w:iCs/>
              </w:rPr>
            </w:pPr>
          </w:p>
        </w:tc>
        <w:tc>
          <w:tcPr>
            <w:tcW w:w="581" w:type="dxa"/>
            <w:gridSpan w:val="2"/>
          </w:tcPr>
          <w:p w14:paraId="371EE36E" w14:textId="77777777" w:rsidR="00434C78" w:rsidRPr="00C9343F" w:rsidRDefault="00434C78" w:rsidP="00F66D98">
            <w:pPr>
              <w:pStyle w:val="Sectiontext0"/>
              <w:rPr>
                <w:iCs/>
              </w:rPr>
            </w:pPr>
            <w:r w:rsidRPr="00C9343F">
              <w:rPr>
                <w:iCs/>
              </w:rPr>
              <w:t>i.</w:t>
            </w:r>
          </w:p>
        </w:tc>
        <w:tc>
          <w:tcPr>
            <w:tcW w:w="7190" w:type="dxa"/>
          </w:tcPr>
          <w:p w14:paraId="3707C59C" w14:textId="77777777" w:rsidR="00434C78" w:rsidRPr="00C9343F" w:rsidRDefault="00434C78" w:rsidP="00F66D98">
            <w:pPr>
              <w:pStyle w:val="Sectiontext0"/>
              <w:rPr>
                <w:iCs/>
              </w:rPr>
            </w:pPr>
            <w:r w:rsidRPr="00C9343F">
              <w:rPr>
                <w:iCs/>
              </w:rPr>
              <w:t>The other scheme is a completion bonus.</w:t>
            </w:r>
          </w:p>
        </w:tc>
      </w:tr>
      <w:tr w:rsidR="00434C78" w:rsidRPr="00C9343F" w14:paraId="7CB58995" w14:textId="77777777" w:rsidTr="00434C78">
        <w:tc>
          <w:tcPr>
            <w:tcW w:w="992" w:type="dxa"/>
          </w:tcPr>
          <w:p w14:paraId="40B2FD54" w14:textId="77777777" w:rsidR="00434C78" w:rsidRPr="00C9343F" w:rsidRDefault="00434C78" w:rsidP="00F66D98">
            <w:pPr>
              <w:pStyle w:val="Sectiontext0"/>
              <w:jc w:val="center"/>
            </w:pPr>
          </w:p>
        </w:tc>
        <w:tc>
          <w:tcPr>
            <w:tcW w:w="596" w:type="dxa"/>
          </w:tcPr>
          <w:p w14:paraId="2DAD5024" w14:textId="77777777" w:rsidR="00434C78" w:rsidRPr="00C9343F" w:rsidRDefault="00434C78" w:rsidP="00F66D98">
            <w:pPr>
              <w:pStyle w:val="Sectiontext0"/>
              <w:jc w:val="center"/>
              <w:rPr>
                <w:iCs/>
              </w:rPr>
            </w:pPr>
          </w:p>
        </w:tc>
        <w:tc>
          <w:tcPr>
            <w:tcW w:w="581" w:type="dxa"/>
            <w:gridSpan w:val="2"/>
          </w:tcPr>
          <w:p w14:paraId="6CE839A3" w14:textId="77777777" w:rsidR="00434C78" w:rsidRPr="00C9343F" w:rsidRDefault="00434C78" w:rsidP="00F66D98">
            <w:pPr>
              <w:pStyle w:val="Sectiontext0"/>
              <w:rPr>
                <w:iCs/>
              </w:rPr>
            </w:pPr>
            <w:r w:rsidRPr="00C9343F">
              <w:rPr>
                <w:iCs/>
              </w:rPr>
              <w:t>ii.</w:t>
            </w:r>
          </w:p>
        </w:tc>
        <w:tc>
          <w:tcPr>
            <w:tcW w:w="7190" w:type="dxa"/>
          </w:tcPr>
          <w:p w14:paraId="23F803C6" w14:textId="77777777" w:rsidR="00434C78" w:rsidRPr="00C9343F" w:rsidRDefault="00434C78" w:rsidP="00F66D98">
            <w:pPr>
              <w:pStyle w:val="Sectiontext0"/>
              <w:rPr>
                <w:iCs/>
              </w:rPr>
            </w:pPr>
            <w:r w:rsidRPr="00C9343F">
              <w:rPr>
                <w:iCs/>
              </w:rPr>
              <w:t>The member will not complete the agreed period of service under the other scheme.</w:t>
            </w:r>
          </w:p>
        </w:tc>
      </w:tr>
      <w:tr w:rsidR="00434C78" w:rsidRPr="00C9343F" w14:paraId="4E47BF48" w14:textId="77777777" w:rsidTr="00B4505C">
        <w:tc>
          <w:tcPr>
            <w:tcW w:w="992" w:type="dxa"/>
          </w:tcPr>
          <w:p w14:paraId="5B6C2458" w14:textId="77777777" w:rsidR="00434C78" w:rsidRPr="00C9343F" w:rsidRDefault="00434C78" w:rsidP="00F66D98">
            <w:pPr>
              <w:pStyle w:val="Sectiontext0"/>
              <w:jc w:val="center"/>
            </w:pPr>
          </w:p>
        </w:tc>
        <w:tc>
          <w:tcPr>
            <w:tcW w:w="8367" w:type="dxa"/>
            <w:gridSpan w:val="4"/>
          </w:tcPr>
          <w:p w14:paraId="5EBB30B0" w14:textId="77777777" w:rsidR="00434C78" w:rsidRPr="00C9343F" w:rsidRDefault="00434C78" w:rsidP="00F66D98">
            <w:pPr>
              <w:pStyle w:val="Sectiontext0"/>
              <w:rPr>
                <w:b/>
                <w:iCs/>
              </w:rPr>
            </w:pPr>
            <m:oMathPara>
              <m:oMath>
                <m:r>
                  <m:rPr>
                    <m:sty m:val="bi"/>
                  </m:rPr>
                  <w:rPr>
                    <w:rFonts w:ascii="Cambria Math" w:hAnsi="Cambria Math"/>
                  </w:rPr>
                  <m:t xml:space="preserve">payment amount=  </m:t>
                </m:r>
                <m:f>
                  <m:fPr>
                    <m:ctrlPr>
                      <w:rPr>
                        <w:rFonts w:ascii="Cambria Math" w:hAnsi="Cambria Math"/>
                        <w:b/>
                        <w:i/>
                      </w:rPr>
                    </m:ctrlPr>
                  </m:fPr>
                  <m:num>
                    <m:r>
                      <m:rPr>
                        <m:sty m:val="bi"/>
                      </m:rPr>
                      <w:rPr>
                        <w:rFonts w:ascii="Cambria Math" w:hAnsi="Cambria Math"/>
                      </w:rPr>
                      <m:t>A-B</m:t>
                    </m:r>
                  </m:num>
                  <m:den>
                    <m:d>
                      <m:dPr>
                        <m:ctrlPr>
                          <w:rPr>
                            <w:rFonts w:ascii="Cambria Math" w:hAnsi="Cambria Math"/>
                            <w:b/>
                            <w:i/>
                          </w:rPr>
                        </m:ctrlPr>
                      </m:dPr>
                      <m:e>
                        <m:r>
                          <m:rPr>
                            <m:sty m:val="bi"/>
                          </m:rPr>
                          <w:rPr>
                            <w:rFonts w:ascii="Cambria Math" w:hAnsi="Cambria Math"/>
                          </w:rPr>
                          <m:t>365 ×C</m:t>
                        </m:r>
                      </m:e>
                    </m:d>
                    <m:r>
                      <m:rPr>
                        <m:sty m:val="bi"/>
                      </m:rPr>
                      <w:rPr>
                        <w:rFonts w:ascii="Cambria Math" w:hAnsi="Cambria Math"/>
                      </w:rPr>
                      <m:t>+D</m:t>
                    </m:r>
                  </m:den>
                </m:f>
                <m:r>
                  <m:rPr>
                    <m:sty m:val="bi"/>
                  </m:rPr>
                  <w:rPr>
                    <w:rFonts w:ascii="Cambria Math" w:hAnsi="Cambria Math"/>
                  </w:rPr>
                  <m:t>×E</m:t>
                </m:r>
              </m:oMath>
            </m:oMathPara>
          </w:p>
        </w:tc>
      </w:tr>
      <w:tr w:rsidR="00434C78" w:rsidRPr="00C9343F" w14:paraId="4FC9EEAE" w14:textId="77777777" w:rsidTr="00B4505C">
        <w:tc>
          <w:tcPr>
            <w:tcW w:w="992" w:type="dxa"/>
          </w:tcPr>
          <w:p w14:paraId="318203D9" w14:textId="77777777" w:rsidR="00434C78" w:rsidRPr="00C9343F" w:rsidRDefault="00434C78" w:rsidP="00F66D98">
            <w:pPr>
              <w:pStyle w:val="Sectiontext0"/>
              <w:jc w:val="center"/>
            </w:pPr>
          </w:p>
        </w:tc>
        <w:tc>
          <w:tcPr>
            <w:tcW w:w="8367" w:type="dxa"/>
            <w:gridSpan w:val="4"/>
          </w:tcPr>
          <w:p w14:paraId="63DA7BBD" w14:textId="77777777" w:rsidR="00434C78" w:rsidRPr="00C9343F" w:rsidRDefault="00434C78" w:rsidP="00F66D98">
            <w:pPr>
              <w:pStyle w:val="Sectiontext0"/>
              <w:rPr>
                <w:iCs/>
              </w:rPr>
            </w:pPr>
            <w:r w:rsidRPr="00C9343F">
              <w:rPr>
                <w:iCs/>
              </w:rPr>
              <w:t>Where:</w:t>
            </w:r>
          </w:p>
        </w:tc>
      </w:tr>
      <w:tr w:rsidR="00434C78" w:rsidRPr="00C9343F" w14:paraId="4C4860A9" w14:textId="77777777" w:rsidTr="00434C78">
        <w:tc>
          <w:tcPr>
            <w:tcW w:w="992" w:type="dxa"/>
          </w:tcPr>
          <w:p w14:paraId="10D66E11" w14:textId="77777777" w:rsidR="00434C78" w:rsidRPr="00C9343F" w:rsidRDefault="00434C78" w:rsidP="00F66D98">
            <w:pPr>
              <w:pStyle w:val="Sectiontext0"/>
              <w:jc w:val="center"/>
            </w:pPr>
          </w:p>
        </w:tc>
        <w:tc>
          <w:tcPr>
            <w:tcW w:w="596" w:type="dxa"/>
          </w:tcPr>
          <w:p w14:paraId="0D494863" w14:textId="77777777" w:rsidR="00434C78" w:rsidRPr="00C9343F" w:rsidRDefault="00434C78" w:rsidP="00F66D98">
            <w:pPr>
              <w:pStyle w:val="Sectiontext0"/>
              <w:rPr>
                <w:b/>
                <w:iCs/>
              </w:rPr>
            </w:pPr>
            <w:r w:rsidRPr="00C9343F">
              <w:rPr>
                <w:b/>
                <w:iCs/>
              </w:rPr>
              <w:t>A</w:t>
            </w:r>
          </w:p>
        </w:tc>
        <w:tc>
          <w:tcPr>
            <w:tcW w:w="7771" w:type="dxa"/>
            <w:gridSpan w:val="3"/>
          </w:tcPr>
          <w:p w14:paraId="4F6AB902" w14:textId="77777777" w:rsidR="00434C78" w:rsidRPr="00C9343F" w:rsidRDefault="00434C78" w:rsidP="00F66D98">
            <w:pPr>
              <w:pStyle w:val="Sectiontext0"/>
              <w:rPr>
                <w:iCs/>
              </w:rPr>
            </w:pPr>
            <w:r w:rsidRPr="00C9343F">
              <w:rPr>
                <w:iCs/>
              </w:rPr>
              <w:t xml:space="preserve">is the number of calendar days in the following period. </w:t>
            </w:r>
          </w:p>
        </w:tc>
      </w:tr>
      <w:tr w:rsidR="00434C78" w:rsidRPr="00C9343F" w14:paraId="684EFBF4" w14:textId="77777777" w:rsidTr="00434C78">
        <w:tc>
          <w:tcPr>
            <w:tcW w:w="992" w:type="dxa"/>
          </w:tcPr>
          <w:p w14:paraId="0FB1128F" w14:textId="77777777" w:rsidR="00434C78" w:rsidRPr="00C9343F" w:rsidRDefault="00434C78" w:rsidP="00F66D98">
            <w:pPr>
              <w:pStyle w:val="Sectiontext0"/>
              <w:jc w:val="center"/>
            </w:pPr>
          </w:p>
        </w:tc>
        <w:tc>
          <w:tcPr>
            <w:tcW w:w="596" w:type="dxa"/>
          </w:tcPr>
          <w:p w14:paraId="17219F4A" w14:textId="77777777" w:rsidR="00434C78" w:rsidRPr="00C9343F" w:rsidRDefault="00434C78" w:rsidP="00F66D98">
            <w:pPr>
              <w:pStyle w:val="Sectiontext0"/>
              <w:rPr>
                <w:b/>
                <w:iCs/>
              </w:rPr>
            </w:pPr>
          </w:p>
        </w:tc>
        <w:tc>
          <w:tcPr>
            <w:tcW w:w="567" w:type="dxa"/>
          </w:tcPr>
          <w:p w14:paraId="7FE89B37" w14:textId="77777777" w:rsidR="00434C78" w:rsidRPr="00C9343F" w:rsidRDefault="00434C78" w:rsidP="00F66D98">
            <w:pPr>
              <w:pStyle w:val="Sectiontext0"/>
              <w:jc w:val="center"/>
              <w:rPr>
                <w:iCs/>
              </w:rPr>
            </w:pPr>
            <w:r w:rsidRPr="00C9343F">
              <w:rPr>
                <w:iCs/>
              </w:rPr>
              <w:t>a.</w:t>
            </w:r>
          </w:p>
        </w:tc>
        <w:tc>
          <w:tcPr>
            <w:tcW w:w="7204" w:type="dxa"/>
            <w:gridSpan w:val="2"/>
          </w:tcPr>
          <w:p w14:paraId="19979C2C" w14:textId="77777777" w:rsidR="00434C78" w:rsidRPr="00C9343F" w:rsidRDefault="00434C78" w:rsidP="00F66D98">
            <w:pPr>
              <w:pStyle w:val="Sectiontext0"/>
              <w:rPr>
                <w:iCs/>
              </w:rPr>
            </w:pPr>
            <w:r w:rsidRPr="00C9343F">
              <w:rPr>
                <w:iCs/>
              </w:rPr>
              <w:t>Starting on the day the member is taken to start their undertaking to serve under the other scheme.</w:t>
            </w:r>
          </w:p>
        </w:tc>
      </w:tr>
      <w:tr w:rsidR="00434C78" w:rsidRPr="00C9343F" w14:paraId="0C5D63A3" w14:textId="77777777" w:rsidTr="00434C78">
        <w:tc>
          <w:tcPr>
            <w:tcW w:w="992" w:type="dxa"/>
          </w:tcPr>
          <w:p w14:paraId="3924B3C8" w14:textId="77777777" w:rsidR="00434C78" w:rsidRPr="00C9343F" w:rsidRDefault="00434C78" w:rsidP="00F66D98">
            <w:pPr>
              <w:pStyle w:val="Sectiontext0"/>
              <w:jc w:val="center"/>
            </w:pPr>
          </w:p>
        </w:tc>
        <w:tc>
          <w:tcPr>
            <w:tcW w:w="596" w:type="dxa"/>
          </w:tcPr>
          <w:p w14:paraId="5011C7F6" w14:textId="77777777" w:rsidR="00434C78" w:rsidRPr="00C9343F" w:rsidRDefault="00434C78" w:rsidP="00F66D98">
            <w:pPr>
              <w:pStyle w:val="Sectiontext0"/>
              <w:rPr>
                <w:b/>
                <w:iCs/>
              </w:rPr>
            </w:pPr>
          </w:p>
        </w:tc>
        <w:tc>
          <w:tcPr>
            <w:tcW w:w="567" w:type="dxa"/>
          </w:tcPr>
          <w:p w14:paraId="55310D12" w14:textId="77777777" w:rsidR="00434C78" w:rsidRPr="00C9343F" w:rsidRDefault="00434C78" w:rsidP="00F66D98">
            <w:pPr>
              <w:pStyle w:val="Sectiontext0"/>
              <w:jc w:val="center"/>
              <w:rPr>
                <w:iCs/>
              </w:rPr>
            </w:pPr>
            <w:r w:rsidRPr="00C9343F">
              <w:rPr>
                <w:iCs/>
              </w:rPr>
              <w:t>b.</w:t>
            </w:r>
          </w:p>
        </w:tc>
        <w:tc>
          <w:tcPr>
            <w:tcW w:w="7204" w:type="dxa"/>
            <w:gridSpan w:val="2"/>
          </w:tcPr>
          <w:p w14:paraId="55CF4A2C" w14:textId="77777777" w:rsidR="00434C78" w:rsidRPr="00C9343F" w:rsidRDefault="00434C78" w:rsidP="00F66D98">
            <w:pPr>
              <w:pStyle w:val="Sectiontext0"/>
              <w:rPr>
                <w:iCs/>
              </w:rPr>
            </w:pPr>
            <w:r w:rsidRPr="00C9343F">
              <w:rPr>
                <w:iCs/>
              </w:rPr>
              <w:t>Ending on the day before the date the member ceases to serve under the other scheme.</w:t>
            </w:r>
          </w:p>
        </w:tc>
      </w:tr>
      <w:tr w:rsidR="00434C78" w:rsidRPr="00C9343F" w14:paraId="67B125E4" w14:textId="77777777" w:rsidTr="00434C78">
        <w:tc>
          <w:tcPr>
            <w:tcW w:w="992" w:type="dxa"/>
          </w:tcPr>
          <w:p w14:paraId="75C41C09" w14:textId="77777777" w:rsidR="00434C78" w:rsidRPr="00C9343F" w:rsidRDefault="00434C78" w:rsidP="00F66D98">
            <w:pPr>
              <w:pStyle w:val="Sectiontext0"/>
              <w:jc w:val="center"/>
            </w:pPr>
          </w:p>
        </w:tc>
        <w:tc>
          <w:tcPr>
            <w:tcW w:w="596" w:type="dxa"/>
          </w:tcPr>
          <w:p w14:paraId="7F746B78" w14:textId="77777777" w:rsidR="00434C78" w:rsidRPr="00C9343F" w:rsidRDefault="00434C78" w:rsidP="00F66D98">
            <w:pPr>
              <w:pStyle w:val="Sectiontext0"/>
              <w:rPr>
                <w:b/>
                <w:iCs/>
              </w:rPr>
            </w:pPr>
            <w:r w:rsidRPr="00C9343F">
              <w:rPr>
                <w:b/>
                <w:iCs/>
              </w:rPr>
              <w:t>B</w:t>
            </w:r>
          </w:p>
        </w:tc>
        <w:tc>
          <w:tcPr>
            <w:tcW w:w="7771" w:type="dxa"/>
            <w:gridSpan w:val="3"/>
          </w:tcPr>
          <w:p w14:paraId="304BD182" w14:textId="77777777" w:rsidR="00434C78" w:rsidRPr="00C9343F" w:rsidRDefault="00434C78" w:rsidP="00F66D98">
            <w:pPr>
              <w:pStyle w:val="Sectiontext0"/>
              <w:rPr>
                <w:iCs/>
              </w:rPr>
            </w:pPr>
            <w:r w:rsidRPr="00C9343F">
              <w:rPr>
                <w:iCs/>
              </w:rPr>
              <w:t xml:space="preserve">is the number of days of ineffective service in the period under </w:t>
            </w:r>
            <w:r w:rsidRPr="00C9343F">
              <w:rPr>
                <w:b/>
                <w:iCs/>
              </w:rPr>
              <w:t>A</w:t>
            </w:r>
            <w:r w:rsidRPr="00C9343F">
              <w:rPr>
                <w:iCs/>
              </w:rPr>
              <w:t>.</w:t>
            </w:r>
          </w:p>
        </w:tc>
      </w:tr>
      <w:tr w:rsidR="00434C78" w:rsidRPr="00C9343F" w14:paraId="4003C2D6" w14:textId="77777777" w:rsidTr="00434C78">
        <w:tc>
          <w:tcPr>
            <w:tcW w:w="992" w:type="dxa"/>
          </w:tcPr>
          <w:p w14:paraId="1207887A" w14:textId="77777777" w:rsidR="00434C78" w:rsidRPr="00C9343F" w:rsidRDefault="00434C78" w:rsidP="00F66D98">
            <w:pPr>
              <w:pStyle w:val="Sectiontext0"/>
              <w:jc w:val="center"/>
            </w:pPr>
          </w:p>
        </w:tc>
        <w:tc>
          <w:tcPr>
            <w:tcW w:w="596" w:type="dxa"/>
          </w:tcPr>
          <w:p w14:paraId="460B7255" w14:textId="77777777" w:rsidR="00434C78" w:rsidRPr="00C9343F" w:rsidRDefault="00434C78" w:rsidP="00F66D98">
            <w:pPr>
              <w:pStyle w:val="Sectiontext0"/>
              <w:rPr>
                <w:b/>
                <w:iCs/>
              </w:rPr>
            </w:pPr>
            <w:r w:rsidRPr="00C9343F">
              <w:rPr>
                <w:b/>
                <w:iCs/>
              </w:rPr>
              <w:t>C</w:t>
            </w:r>
          </w:p>
        </w:tc>
        <w:tc>
          <w:tcPr>
            <w:tcW w:w="7771" w:type="dxa"/>
            <w:gridSpan w:val="3"/>
          </w:tcPr>
          <w:p w14:paraId="402E01B1" w14:textId="77777777" w:rsidR="00434C78" w:rsidRPr="00C9343F" w:rsidRDefault="00434C78" w:rsidP="00F66D98">
            <w:pPr>
              <w:pStyle w:val="Sectiontext0"/>
              <w:rPr>
                <w:iCs/>
              </w:rPr>
            </w:pPr>
            <w:r w:rsidRPr="00C9343F">
              <w:rPr>
                <w:iCs/>
              </w:rPr>
              <w:t>is the number of years in the period.</w:t>
            </w:r>
          </w:p>
        </w:tc>
      </w:tr>
      <w:tr w:rsidR="00434C78" w:rsidRPr="00C9343F" w14:paraId="72BE0500" w14:textId="77777777" w:rsidTr="00434C78">
        <w:tc>
          <w:tcPr>
            <w:tcW w:w="992" w:type="dxa"/>
          </w:tcPr>
          <w:p w14:paraId="6B5655EB" w14:textId="77777777" w:rsidR="00434C78" w:rsidRPr="00C9343F" w:rsidRDefault="00434C78" w:rsidP="00F66D98">
            <w:pPr>
              <w:pStyle w:val="Sectiontext0"/>
              <w:jc w:val="center"/>
            </w:pPr>
          </w:p>
        </w:tc>
        <w:tc>
          <w:tcPr>
            <w:tcW w:w="596" w:type="dxa"/>
          </w:tcPr>
          <w:p w14:paraId="6A2B11D4" w14:textId="77777777" w:rsidR="00434C78" w:rsidRPr="00C9343F" w:rsidRDefault="00434C78" w:rsidP="00F66D98">
            <w:pPr>
              <w:pStyle w:val="Sectiontext0"/>
              <w:rPr>
                <w:b/>
                <w:iCs/>
              </w:rPr>
            </w:pPr>
            <w:r w:rsidRPr="00C9343F">
              <w:rPr>
                <w:b/>
                <w:iCs/>
              </w:rPr>
              <w:t>D</w:t>
            </w:r>
          </w:p>
        </w:tc>
        <w:tc>
          <w:tcPr>
            <w:tcW w:w="7771" w:type="dxa"/>
            <w:gridSpan w:val="3"/>
          </w:tcPr>
          <w:p w14:paraId="1157DCCB" w14:textId="77777777" w:rsidR="00434C78" w:rsidRPr="00C9343F" w:rsidRDefault="00434C78" w:rsidP="00F66D98">
            <w:pPr>
              <w:pStyle w:val="Sectiontext0"/>
              <w:rPr>
                <w:iCs/>
              </w:rPr>
            </w:pPr>
            <w:r w:rsidRPr="00C9343F">
              <w:rPr>
                <w:iCs/>
              </w:rPr>
              <w:t xml:space="preserve">is the number of leap years in the period. </w:t>
            </w:r>
          </w:p>
        </w:tc>
      </w:tr>
      <w:tr w:rsidR="00434C78" w:rsidRPr="00C9343F" w14:paraId="67C2DD71" w14:textId="77777777" w:rsidTr="00434C78">
        <w:tc>
          <w:tcPr>
            <w:tcW w:w="992" w:type="dxa"/>
          </w:tcPr>
          <w:p w14:paraId="7ED2C61C" w14:textId="77777777" w:rsidR="00434C78" w:rsidRPr="00C9343F" w:rsidRDefault="00434C78" w:rsidP="00F66D98">
            <w:pPr>
              <w:pStyle w:val="Sectiontext0"/>
              <w:jc w:val="center"/>
            </w:pPr>
          </w:p>
        </w:tc>
        <w:tc>
          <w:tcPr>
            <w:tcW w:w="596" w:type="dxa"/>
          </w:tcPr>
          <w:p w14:paraId="77071CC6" w14:textId="77777777" w:rsidR="00434C78" w:rsidRPr="00C9343F" w:rsidRDefault="00434C78" w:rsidP="00F66D98">
            <w:pPr>
              <w:pStyle w:val="Sectiontext0"/>
              <w:rPr>
                <w:b/>
                <w:iCs/>
              </w:rPr>
            </w:pPr>
            <w:r w:rsidRPr="00C9343F">
              <w:rPr>
                <w:b/>
                <w:iCs/>
              </w:rPr>
              <w:t>E</w:t>
            </w:r>
          </w:p>
        </w:tc>
        <w:tc>
          <w:tcPr>
            <w:tcW w:w="7771" w:type="dxa"/>
            <w:gridSpan w:val="3"/>
          </w:tcPr>
          <w:p w14:paraId="66E7DAD4" w14:textId="77777777" w:rsidR="00434C78" w:rsidRPr="00C9343F" w:rsidRDefault="00434C78" w:rsidP="00F66D98">
            <w:pPr>
              <w:pStyle w:val="Sectiontext0"/>
              <w:rPr>
                <w:iCs/>
              </w:rPr>
            </w:pPr>
            <w:r w:rsidRPr="00C9343F">
              <w:rPr>
                <w:iCs/>
              </w:rPr>
              <w:t>is the bonus amount the member would have received under the other scheme.</w:t>
            </w:r>
          </w:p>
        </w:tc>
      </w:tr>
      <w:tr w:rsidR="00434C78" w:rsidRPr="00C9343F" w14:paraId="053F8D16" w14:textId="77777777" w:rsidTr="00434C78">
        <w:tc>
          <w:tcPr>
            <w:tcW w:w="992" w:type="dxa"/>
          </w:tcPr>
          <w:p w14:paraId="20EE8108" w14:textId="77777777" w:rsidR="00434C78" w:rsidRPr="00C9343F" w:rsidRDefault="00434C78" w:rsidP="00F66D98">
            <w:pPr>
              <w:pStyle w:val="Sectiontext0"/>
              <w:jc w:val="center"/>
            </w:pPr>
          </w:p>
        </w:tc>
        <w:tc>
          <w:tcPr>
            <w:tcW w:w="596" w:type="dxa"/>
          </w:tcPr>
          <w:p w14:paraId="78D8E37C" w14:textId="51BF7629" w:rsidR="00434C78" w:rsidRPr="00C9343F" w:rsidRDefault="00434C78" w:rsidP="00F66D98">
            <w:pPr>
              <w:pStyle w:val="Sectiontext0"/>
              <w:jc w:val="center"/>
              <w:rPr>
                <w:b/>
                <w:iCs/>
              </w:rPr>
            </w:pPr>
            <w:r w:rsidRPr="00C9343F">
              <w:t>c.</w:t>
            </w:r>
          </w:p>
        </w:tc>
        <w:tc>
          <w:tcPr>
            <w:tcW w:w="7771" w:type="dxa"/>
            <w:gridSpan w:val="3"/>
          </w:tcPr>
          <w:p w14:paraId="339C10DC" w14:textId="3924D76A" w:rsidR="00434C78" w:rsidRPr="00C9343F" w:rsidRDefault="00434C78" w:rsidP="00F66D98">
            <w:pPr>
              <w:pStyle w:val="Sectiontext0"/>
              <w:rPr>
                <w:iCs/>
              </w:rPr>
            </w:pPr>
            <w:r w:rsidRPr="00C9343F">
              <w:t>If the other scheme had an obligation payment or other initial payment, no amount of the obligation or initial payment is repayable under that scheme.</w:t>
            </w:r>
          </w:p>
        </w:tc>
      </w:tr>
    </w:tbl>
    <w:p w14:paraId="305957F8" w14:textId="2E472147" w:rsidR="005F44BC" w:rsidRPr="00C9343F" w:rsidRDefault="005F44BC" w:rsidP="00F66D98">
      <w:pPr>
        <w:pStyle w:val="Heading5"/>
      </w:pPr>
      <w:bookmarkStart w:id="549" w:name="_Toc105053758"/>
      <w:r w:rsidRPr="00C9343F">
        <w:t>3.5.13</w:t>
      </w:r>
      <w:r w:rsidR="00D94006" w:rsidRPr="00C9343F">
        <w:t>    </w:t>
      </w:r>
      <w:r w:rsidRPr="00C9343F">
        <w:t>Payment of the bonus</w:t>
      </w:r>
      <w:bookmarkEnd w:id="549"/>
    </w:p>
    <w:tbl>
      <w:tblPr>
        <w:tblW w:w="0" w:type="auto"/>
        <w:tblInd w:w="113" w:type="dxa"/>
        <w:tblLayout w:type="fixed"/>
        <w:tblLook w:val="0000" w:firstRow="0" w:lastRow="0" w:firstColumn="0" w:lastColumn="0" w:noHBand="0" w:noVBand="0"/>
      </w:tblPr>
      <w:tblGrid>
        <w:gridCol w:w="992"/>
        <w:gridCol w:w="8363"/>
      </w:tblGrid>
      <w:tr w:rsidR="005F44BC" w:rsidRPr="00C9343F" w14:paraId="6E07930D" w14:textId="77777777" w:rsidTr="005F44BC">
        <w:tc>
          <w:tcPr>
            <w:tcW w:w="992" w:type="dxa"/>
          </w:tcPr>
          <w:p w14:paraId="6E90963E" w14:textId="77777777" w:rsidR="005F44BC" w:rsidRPr="00C9343F" w:rsidRDefault="005F44BC" w:rsidP="00F66D98">
            <w:pPr>
              <w:pStyle w:val="BlockText-Plain"/>
              <w:jc w:val="center"/>
            </w:pPr>
          </w:p>
        </w:tc>
        <w:tc>
          <w:tcPr>
            <w:tcW w:w="8363" w:type="dxa"/>
          </w:tcPr>
          <w:p w14:paraId="35934695" w14:textId="5D4F4CFA" w:rsidR="005F44BC" w:rsidRPr="00C9343F" w:rsidRDefault="005F44BC" w:rsidP="00F66D98">
            <w:pPr>
              <w:pStyle w:val="BlockText-Plain"/>
            </w:pPr>
            <w:r w:rsidRPr="00C9343F">
              <w:t>A retention bonus becomes payable to an eligible member when the member has submitted both forms required under subsection 3.5.11.2.</w:t>
            </w:r>
          </w:p>
        </w:tc>
      </w:tr>
    </w:tbl>
    <w:p w14:paraId="33A13A28" w14:textId="2299EFCE" w:rsidR="005F44BC" w:rsidRPr="00C9343F" w:rsidRDefault="005F44BC" w:rsidP="00F66D98">
      <w:pPr>
        <w:pStyle w:val="Heading5"/>
      </w:pPr>
      <w:bookmarkStart w:id="550" w:name="_Toc105053759"/>
      <w:r w:rsidRPr="00C9343F">
        <w:t>3.5.14</w:t>
      </w:r>
      <w:r w:rsidR="00D94006" w:rsidRPr="00C9343F">
        <w:t>    </w:t>
      </w:r>
      <w:r w:rsidRPr="00C9343F">
        <w:t>Member leaves scheme</w:t>
      </w:r>
      <w:bookmarkEnd w:id="550"/>
    </w:p>
    <w:tbl>
      <w:tblPr>
        <w:tblW w:w="9359" w:type="dxa"/>
        <w:tblInd w:w="113" w:type="dxa"/>
        <w:tblLayout w:type="fixed"/>
        <w:tblLook w:val="0000" w:firstRow="0" w:lastRow="0" w:firstColumn="0" w:lastColumn="0" w:noHBand="0" w:noVBand="0"/>
      </w:tblPr>
      <w:tblGrid>
        <w:gridCol w:w="992"/>
        <w:gridCol w:w="567"/>
        <w:gridCol w:w="7800"/>
      </w:tblGrid>
      <w:tr w:rsidR="005F44BC" w:rsidRPr="00C9343F" w14:paraId="18CDB926" w14:textId="77777777" w:rsidTr="00D93183">
        <w:tc>
          <w:tcPr>
            <w:tcW w:w="992" w:type="dxa"/>
          </w:tcPr>
          <w:p w14:paraId="4B40E1AE" w14:textId="77777777" w:rsidR="005F44BC" w:rsidRPr="00C9343F" w:rsidRDefault="005F44BC" w:rsidP="00F66D98">
            <w:pPr>
              <w:pStyle w:val="BlockText-Plain"/>
              <w:jc w:val="center"/>
            </w:pPr>
            <w:r w:rsidRPr="00C9343F">
              <w:t>1.</w:t>
            </w:r>
          </w:p>
        </w:tc>
        <w:tc>
          <w:tcPr>
            <w:tcW w:w="8367" w:type="dxa"/>
            <w:gridSpan w:val="2"/>
          </w:tcPr>
          <w:p w14:paraId="131E9F30" w14:textId="77777777" w:rsidR="005F44BC" w:rsidRPr="00C9343F" w:rsidRDefault="005F44BC" w:rsidP="00F66D98">
            <w:pPr>
              <w:pStyle w:val="BlockText-Plain"/>
            </w:pPr>
            <w:r w:rsidRPr="00C9343F">
              <w:t>The member is not required to repay the bonus when the member fails to complete their agreed period of service under this Division for any of the following reasons.</w:t>
            </w:r>
          </w:p>
        </w:tc>
      </w:tr>
      <w:tr w:rsidR="005F44BC" w:rsidRPr="00C9343F" w14:paraId="758B099A" w14:textId="77777777" w:rsidTr="00D93183">
        <w:trPr>
          <w:cantSplit/>
        </w:trPr>
        <w:tc>
          <w:tcPr>
            <w:tcW w:w="992" w:type="dxa"/>
          </w:tcPr>
          <w:p w14:paraId="2744AFF0" w14:textId="77777777" w:rsidR="005F44BC" w:rsidRPr="00C9343F" w:rsidRDefault="005F44BC" w:rsidP="00F66D98">
            <w:pPr>
              <w:pStyle w:val="BlockText-Plain"/>
            </w:pPr>
          </w:p>
        </w:tc>
        <w:tc>
          <w:tcPr>
            <w:tcW w:w="567" w:type="dxa"/>
          </w:tcPr>
          <w:p w14:paraId="111E4875" w14:textId="77777777" w:rsidR="005F44BC" w:rsidRPr="00C9343F" w:rsidRDefault="005F44BC" w:rsidP="007114B1">
            <w:pPr>
              <w:pStyle w:val="BlockText-Plain"/>
              <w:jc w:val="center"/>
            </w:pPr>
            <w:r w:rsidRPr="00C9343F">
              <w:t>a.</w:t>
            </w:r>
          </w:p>
        </w:tc>
        <w:tc>
          <w:tcPr>
            <w:tcW w:w="7800" w:type="dxa"/>
          </w:tcPr>
          <w:p w14:paraId="51CE61CE" w14:textId="77777777" w:rsidR="005F44BC" w:rsidRPr="00C9343F" w:rsidRDefault="0016176D" w:rsidP="00F66D98">
            <w:pPr>
              <w:pStyle w:val="BlockText-Plain"/>
            </w:pPr>
            <w:r w:rsidRPr="00C9343F">
              <w:t>The CDF or the member's Service Chief determines that the member's reason for ceasing to serve is beyond the member's control.</w:t>
            </w:r>
          </w:p>
        </w:tc>
      </w:tr>
      <w:tr w:rsidR="00C978D3" w:rsidRPr="00C9343F" w14:paraId="26E22409" w14:textId="77777777" w:rsidTr="00D93183">
        <w:trPr>
          <w:cantSplit/>
        </w:trPr>
        <w:tc>
          <w:tcPr>
            <w:tcW w:w="992" w:type="dxa"/>
          </w:tcPr>
          <w:p w14:paraId="71FC5D1E" w14:textId="77777777" w:rsidR="00C978D3" w:rsidRPr="00C9343F" w:rsidRDefault="00C978D3" w:rsidP="00F66D98">
            <w:pPr>
              <w:pStyle w:val="BlockText-Plain"/>
            </w:pPr>
          </w:p>
        </w:tc>
        <w:tc>
          <w:tcPr>
            <w:tcW w:w="567" w:type="dxa"/>
          </w:tcPr>
          <w:p w14:paraId="798D319E" w14:textId="77777777" w:rsidR="00C978D3" w:rsidRPr="00C9343F" w:rsidRDefault="00C978D3" w:rsidP="007114B1">
            <w:pPr>
              <w:pStyle w:val="BlockText-Plain"/>
              <w:jc w:val="center"/>
            </w:pPr>
            <w:r w:rsidRPr="00C9343F">
              <w:t>b.</w:t>
            </w:r>
          </w:p>
        </w:tc>
        <w:tc>
          <w:tcPr>
            <w:tcW w:w="7800" w:type="dxa"/>
          </w:tcPr>
          <w:p w14:paraId="38B585FE" w14:textId="77777777" w:rsidR="00C978D3" w:rsidRPr="00C9343F" w:rsidRDefault="00C978D3" w:rsidP="00F66D98">
            <w:pPr>
              <w:pStyle w:val="BlockText-Plain"/>
            </w:pPr>
            <w:r w:rsidRPr="00C9343F">
              <w:t xml:space="preserve">The CDF transfers the member from the Permanent Forces to the Reserves under section 16 of the </w:t>
            </w:r>
            <w:r w:rsidR="004974D5" w:rsidRPr="00C9343F">
              <w:t>Defence Regulation</w:t>
            </w:r>
            <w:r w:rsidRPr="00C9343F">
              <w:t xml:space="preserve">. </w:t>
            </w:r>
          </w:p>
        </w:tc>
      </w:tr>
      <w:tr w:rsidR="005F44BC" w:rsidRPr="00C9343F" w14:paraId="73DD8CB6" w14:textId="77777777" w:rsidTr="00D93183">
        <w:tc>
          <w:tcPr>
            <w:tcW w:w="992" w:type="dxa"/>
          </w:tcPr>
          <w:p w14:paraId="4C8D410A" w14:textId="77777777" w:rsidR="005F44BC" w:rsidRPr="00C9343F" w:rsidRDefault="005F44BC" w:rsidP="00F66D98">
            <w:pPr>
              <w:pStyle w:val="BlockText-Plain"/>
              <w:jc w:val="center"/>
            </w:pPr>
            <w:r w:rsidRPr="00C9343F">
              <w:t>2.</w:t>
            </w:r>
          </w:p>
        </w:tc>
        <w:tc>
          <w:tcPr>
            <w:tcW w:w="8367" w:type="dxa"/>
            <w:gridSpan w:val="2"/>
          </w:tcPr>
          <w:p w14:paraId="6204F951" w14:textId="77777777" w:rsidR="005F44BC" w:rsidRPr="00C9343F" w:rsidRDefault="005F44BC" w:rsidP="00F66D98">
            <w:pPr>
              <w:pStyle w:val="BlockText-Plain"/>
            </w:pPr>
            <w:r w:rsidRPr="00C9343F">
              <w:t>The member is not required to repay the bonus if they complete their agreed period of service but not in the agreed position, employment category or specialisation when any of the following circumstances apply.</w:t>
            </w:r>
          </w:p>
        </w:tc>
      </w:tr>
      <w:tr w:rsidR="005F44BC" w:rsidRPr="00C9343F" w14:paraId="2DA75783" w14:textId="77777777" w:rsidTr="00D93183">
        <w:trPr>
          <w:cantSplit/>
        </w:trPr>
        <w:tc>
          <w:tcPr>
            <w:tcW w:w="992" w:type="dxa"/>
          </w:tcPr>
          <w:p w14:paraId="156C1EBA" w14:textId="77777777" w:rsidR="005F44BC" w:rsidRPr="00C9343F" w:rsidRDefault="005F44BC" w:rsidP="00F66D98">
            <w:pPr>
              <w:pStyle w:val="BlockText-Plain"/>
            </w:pPr>
          </w:p>
        </w:tc>
        <w:tc>
          <w:tcPr>
            <w:tcW w:w="567" w:type="dxa"/>
          </w:tcPr>
          <w:p w14:paraId="6FE37BBE" w14:textId="77777777" w:rsidR="005F44BC" w:rsidRPr="00C9343F" w:rsidRDefault="005F44BC" w:rsidP="007114B1">
            <w:pPr>
              <w:pStyle w:val="BlockText-Plain"/>
              <w:jc w:val="center"/>
            </w:pPr>
            <w:r w:rsidRPr="00C9343F">
              <w:t>a.</w:t>
            </w:r>
          </w:p>
        </w:tc>
        <w:tc>
          <w:tcPr>
            <w:tcW w:w="7800" w:type="dxa"/>
          </w:tcPr>
          <w:p w14:paraId="050F0E61" w14:textId="77777777" w:rsidR="005F44BC" w:rsidRPr="00C9343F" w:rsidRDefault="005F44BC" w:rsidP="00F66D98">
            <w:pPr>
              <w:pStyle w:val="BlockText-Plain"/>
            </w:pPr>
            <w:r w:rsidRPr="00C9343F">
              <w:t>The member transfers to another position, employment category or specialisation due to a restructure.</w:t>
            </w:r>
          </w:p>
        </w:tc>
      </w:tr>
      <w:tr w:rsidR="005F44BC" w:rsidRPr="00C9343F" w14:paraId="3ACC4EB7" w14:textId="77777777" w:rsidTr="00D93183">
        <w:trPr>
          <w:cantSplit/>
        </w:trPr>
        <w:tc>
          <w:tcPr>
            <w:tcW w:w="992" w:type="dxa"/>
          </w:tcPr>
          <w:p w14:paraId="07D4FFE1" w14:textId="77777777" w:rsidR="005F44BC" w:rsidRPr="00C9343F" w:rsidRDefault="005F44BC" w:rsidP="00F66D98">
            <w:pPr>
              <w:pStyle w:val="BlockText-Plain"/>
            </w:pPr>
          </w:p>
        </w:tc>
        <w:tc>
          <w:tcPr>
            <w:tcW w:w="567" w:type="dxa"/>
          </w:tcPr>
          <w:p w14:paraId="11691290" w14:textId="77777777" w:rsidR="005F44BC" w:rsidRPr="00C9343F" w:rsidRDefault="005F44BC" w:rsidP="007114B1">
            <w:pPr>
              <w:pStyle w:val="BlockText-Plain"/>
              <w:jc w:val="center"/>
            </w:pPr>
            <w:r w:rsidRPr="00C9343F">
              <w:t>b.</w:t>
            </w:r>
          </w:p>
        </w:tc>
        <w:tc>
          <w:tcPr>
            <w:tcW w:w="7800" w:type="dxa"/>
          </w:tcPr>
          <w:p w14:paraId="06F9DE28" w14:textId="77777777" w:rsidR="005F44BC" w:rsidRPr="00C9343F" w:rsidRDefault="005F44BC" w:rsidP="00F66D98">
            <w:pPr>
              <w:pStyle w:val="BlockText-Plain"/>
            </w:pPr>
            <w:r w:rsidRPr="00C9343F">
              <w:t>The member's Service initiates the member's transfer to another position, employment category or specialisation.</w:t>
            </w:r>
          </w:p>
        </w:tc>
      </w:tr>
      <w:tr w:rsidR="005F44BC" w:rsidRPr="00C9343F" w14:paraId="53E8A493" w14:textId="77777777" w:rsidTr="00D93183">
        <w:trPr>
          <w:cantSplit/>
        </w:trPr>
        <w:tc>
          <w:tcPr>
            <w:tcW w:w="992" w:type="dxa"/>
          </w:tcPr>
          <w:p w14:paraId="4AF4A66F" w14:textId="77777777" w:rsidR="005F44BC" w:rsidRPr="00C9343F" w:rsidRDefault="005F44BC" w:rsidP="00F66D98">
            <w:pPr>
              <w:pStyle w:val="BlockText-Plain"/>
            </w:pPr>
          </w:p>
        </w:tc>
        <w:tc>
          <w:tcPr>
            <w:tcW w:w="567" w:type="dxa"/>
          </w:tcPr>
          <w:p w14:paraId="26A1D601" w14:textId="77777777" w:rsidR="005F44BC" w:rsidRPr="00C9343F" w:rsidRDefault="005F44BC" w:rsidP="007114B1">
            <w:pPr>
              <w:pStyle w:val="BlockText-Plain"/>
              <w:jc w:val="center"/>
            </w:pPr>
            <w:r w:rsidRPr="00C9343F">
              <w:t>c.</w:t>
            </w:r>
          </w:p>
        </w:tc>
        <w:tc>
          <w:tcPr>
            <w:tcW w:w="7800" w:type="dxa"/>
          </w:tcPr>
          <w:p w14:paraId="299BAA7F" w14:textId="77777777" w:rsidR="005F44BC" w:rsidRPr="00C9343F" w:rsidRDefault="005F44BC" w:rsidP="00F66D98">
            <w:pPr>
              <w:pStyle w:val="BlockText-Plain"/>
            </w:pPr>
            <w:r w:rsidRPr="00C9343F">
              <w:t>The member is promoted and so must leave the agreed position, employment category or specialisation.</w:t>
            </w:r>
          </w:p>
        </w:tc>
      </w:tr>
      <w:tr w:rsidR="005F44BC" w:rsidRPr="00C9343F" w14:paraId="5C827EC0" w14:textId="77777777" w:rsidTr="00D93183">
        <w:tc>
          <w:tcPr>
            <w:tcW w:w="992" w:type="dxa"/>
          </w:tcPr>
          <w:p w14:paraId="24462D4A" w14:textId="77777777" w:rsidR="005F44BC" w:rsidRPr="00C9343F" w:rsidRDefault="005F44BC" w:rsidP="00F66D98">
            <w:pPr>
              <w:pStyle w:val="BlockText-Plain"/>
              <w:jc w:val="center"/>
            </w:pPr>
            <w:r w:rsidRPr="00C9343F">
              <w:t>3.</w:t>
            </w:r>
          </w:p>
        </w:tc>
        <w:tc>
          <w:tcPr>
            <w:tcW w:w="8367" w:type="dxa"/>
            <w:gridSpan w:val="2"/>
          </w:tcPr>
          <w:p w14:paraId="3344411B" w14:textId="77777777" w:rsidR="005F44BC" w:rsidRPr="00C9343F" w:rsidRDefault="005F44BC" w:rsidP="00F66D98">
            <w:pPr>
              <w:pStyle w:val="BlockText-Plain"/>
            </w:pPr>
            <w:r w:rsidRPr="00C9343F">
              <w:t>A member will be required to repay the full amount of a retention bonus if they fail to complete their agreed period of service for any of the following reasons.</w:t>
            </w:r>
          </w:p>
        </w:tc>
      </w:tr>
      <w:tr w:rsidR="005F44BC" w:rsidRPr="00C9343F" w14:paraId="0886030A" w14:textId="77777777" w:rsidTr="00D93183">
        <w:trPr>
          <w:cantSplit/>
        </w:trPr>
        <w:tc>
          <w:tcPr>
            <w:tcW w:w="992" w:type="dxa"/>
          </w:tcPr>
          <w:p w14:paraId="154572B4" w14:textId="77777777" w:rsidR="005F44BC" w:rsidRPr="00C9343F" w:rsidRDefault="005F44BC" w:rsidP="00F66D98">
            <w:pPr>
              <w:pStyle w:val="BlockText-Plain"/>
            </w:pPr>
          </w:p>
        </w:tc>
        <w:tc>
          <w:tcPr>
            <w:tcW w:w="567" w:type="dxa"/>
          </w:tcPr>
          <w:p w14:paraId="244E2CE6" w14:textId="77777777" w:rsidR="005F44BC" w:rsidRPr="00C9343F" w:rsidRDefault="005F44BC" w:rsidP="007114B1">
            <w:pPr>
              <w:pStyle w:val="BlockText-Plain"/>
              <w:jc w:val="center"/>
            </w:pPr>
            <w:r w:rsidRPr="00C9343F">
              <w:t>a.</w:t>
            </w:r>
          </w:p>
        </w:tc>
        <w:tc>
          <w:tcPr>
            <w:tcW w:w="7800" w:type="dxa"/>
          </w:tcPr>
          <w:p w14:paraId="661D2E4C" w14:textId="77777777" w:rsidR="005F44BC" w:rsidRPr="00C9343F" w:rsidRDefault="005F44BC" w:rsidP="00F66D98">
            <w:pPr>
              <w:pStyle w:val="BlockText-Plain"/>
            </w:pPr>
            <w:r w:rsidRPr="00C9343F">
              <w:t>The member voluntarily leaves the employment category or specialisation for which the bonus was offered.</w:t>
            </w:r>
          </w:p>
        </w:tc>
      </w:tr>
      <w:tr w:rsidR="005F44BC" w:rsidRPr="00C9343F" w14:paraId="4D325156" w14:textId="77777777" w:rsidTr="00D93183">
        <w:trPr>
          <w:cantSplit/>
        </w:trPr>
        <w:tc>
          <w:tcPr>
            <w:tcW w:w="992" w:type="dxa"/>
          </w:tcPr>
          <w:p w14:paraId="182F398D" w14:textId="77777777" w:rsidR="005F44BC" w:rsidRPr="00C9343F" w:rsidRDefault="005F44BC" w:rsidP="00F66D98">
            <w:pPr>
              <w:pStyle w:val="BlockText-Plain"/>
            </w:pPr>
          </w:p>
        </w:tc>
        <w:tc>
          <w:tcPr>
            <w:tcW w:w="567" w:type="dxa"/>
          </w:tcPr>
          <w:p w14:paraId="66BFA26C" w14:textId="77777777" w:rsidR="005F44BC" w:rsidRPr="00C9343F" w:rsidRDefault="005F44BC" w:rsidP="007114B1">
            <w:pPr>
              <w:pStyle w:val="BlockText-Plain"/>
              <w:jc w:val="center"/>
            </w:pPr>
            <w:r w:rsidRPr="00C9343F">
              <w:t>b.</w:t>
            </w:r>
          </w:p>
        </w:tc>
        <w:tc>
          <w:tcPr>
            <w:tcW w:w="7800" w:type="dxa"/>
          </w:tcPr>
          <w:p w14:paraId="60C6FF05" w14:textId="77777777" w:rsidR="005F44BC" w:rsidRPr="00C9343F" w:rsidRDefault="005F44BC" w:rsidP="00F66D98">
            <w:pPr>
              <w:pStyle w:val="BlockText-Plain"/>
            </w:pPr>
            <w:r w:rsidRPr="00C9343F">
              <w:t>The member voluntarily transfers out of the Service.</w:t>
            </w:r>
          </w:p>
        </w:tc>
      </w:tr>
      <w:tr w:rsidR="005F44BC" w:rsidRPr="00C9343F" w14:paraId="2B279DB3" w14:textId="77777777" w:rsidTr="00D93183">
        <w:trPr>
          <w:cantSplit/>
        </w:trPr>
        <w:tc>
          <w:tcPr>
            <w:tcW w:w="992" w:type="dxa"/>
          </w:tcPr>
          <w:p w14:paraId="1E672703" w14:textId="77777777" w:rsidR="005F44BC" w:rsidRPr="00C9343F" w:rsidRDefault="005F44BC" w:rsidP="00F66D98">
            <w:pPr>
              <w:pStyle w:val="BlockText-Plain"/>
            </w:pPr>
          </w:p>
        </w:tc>
        <w:tc>
          <w:tcPr>
            <w:tcW w:w="567" w:type="dxa"/>
          </w:tcPr>
          <w:p w14:paraId="76505E9A" w14:textId="77777777" w:rsidR="005F44BC" w:rsidRPr="00C9343F" w:rsidRDefault="005F44BC" w:rsidP="007114B1">
            <w:pPr>
              <w:pStyle w:val="BlockText-Plain"/>
              <w:jc w:val="center"/>
            </w:pPr>
            <w:r w:rsidRPr="00C9343F">
              <w:t>c.</w:t>
            </w:r>
          </w:p>
        </w:tc>
        <w:tc>
          <w:tcPr>
            <w:tcW w:w="7800" w:type="dxa"/>
          </w:tcPr>
          <w:p w14:paraId="044A22D9" w14:textId="77777777" w:rsidR="005F44BC" w:rsidRPr="00C9343F" w:rsidRDefault="005F44BC" w:rsidP="00F66D98">
            <w:pPr>
              <w:pStyle w:val="BlockText-Plain"/>
            </w:pPr>
            <w:r w:rsidRPr="00C9343F">
              <w:t>The member voluntarily transfers to the Reserves.</w:t>
            </w:r>
          </w:p>
        </w:tc>
      </w:tr>
      <w:tr w:rsidR="005F44BC" w:rsidRPr="00C9343F" w14:paraId="10606A49" w14:textId="77777777" w:rsidTr="00D93183">
        <w:trPr>
          <w:cantSplit/>
        </w:trPr>
        <w:tc>
          <w:tcPr>
            <w:tcW w:w="992" w:type="dxa"/>
          </w:tcPr>
          <w:p w14:paraId="29D99EB7" w14:textId="77777777" w:rsidR="005F44BC" w:rsidRPr="00C9343F" w:rsidRDefault="005F44BC" w:rsidP="00F66D98">
            <w:pPr>
              <w:pStyle w:val="BlockText-Plain"/>
            </w:pPr>
          </w:p>
        </w:tc>
        <w:tc>
          <w:tcPr>
            <w:tcW w:w="567" w:type="dxa"/>
          </w:tcPr>
          <w:p w14:paraId="1CAA9F49" w14:textId="77777777" w:rsidR="005F44BC" w:rsidRPr="00C9343F" w:rsidRDefault="005F44BC" w:rsidP="007114B1">
            <w:pPr>
              <w:pStyle w:val="BlockText-Plain"/>
              <w:jc w:val="center"/>
            </w:pPr>
            <w:r w:rsidRPr="00C9343F">
              <w:t>d.</w:t>
            </w:r>
          </w:p>
        </w:tc>
        <w:tc>
          <w:tcPr>
            <w:tcW w:w="7800" w:type="dxa"/>
          </w:tcPr>
          <w:p w14:paraId="58AD6DF6" w14:textId="77777777" w:rsidR="005F44BC" w:rsidRPr="00C9343F" w:rsidRDefault="005F44BC" w:rsidP="00F66D98">
            <w:pPr>
              <w:pStyle w:val="BlockText-Plain"/>
            </w:pPr>
            <w:r w:rsidRPr="00C9343F">
              <w:t xml:space="preserve">The member voluntarily applies to terminate service in the </w:t>
            </w:r>
            <w:r w:rsidR="00843B1B" w:rsidRPr="00C9343F">
              <w:t>Permanent Forces</w:t>
            </w:r>
            <w:r w:rsidRPr="00C9343F">
              <w:t>.</w:t>
            </w:r>
          </w:p>
        </w:tc>
      </w:tr>
      <w:tr w:rsidR="005F44BC" w:rsidRPr="00C9343F" w14:paraId="5AFFE160" w14:textId="77777777" w:rsidTr="00D93183">
        <w:trPr>
          <w:cantSplit/>
        </w:trPr>
        <w:tc>
          <w:tcPr>
            <w:tcW w:w="992" w:type="dxa"/>
          </w:tcPr>
          <w:p w14:paraId="5DDA25EB" w14:textId="77777777" w:rsidR="005F44BC" w:rsidRPr="00C9343F" w:rsidRDefault="005F44BC" w:rsidP="00F66D98">
            <w:pPr>
              <w:pStyle w:val="BlockText-Plain"/>
            </w:pPr>
          </w:p>
        </w:tc>
        <w:tc>
          <w:tcPr>
            <w:tcW w:w="567" w:type="dxa"/>
          </w:tcPr>
          <w:p w14:paraId="14ED9971" w14:textId="77777777" w:rsidR="005F44BC" w:rsidRPr="00C9343F" w:rsidRDefault="005F44BC" w:rsidP="007114B1">
            <w:pPr>
              <w:pStyle w:val="BlockText-Plain"/>
              <w:jc w:val="center"/>
            </w:pPr>
            <w:r w:rsidRPr="00C9343F">
              <w:t>e.</w:t>
            </w:r>
          </w:p>
        </w:tc>
        <w:tc>
          <w:tcPr>
            <w:tcW w:w="7800" w:type="dxa"/>
          </w:tcPr>
          <w:p w14:paraId="7A243B32" w14:textId="77777777" w:rsidR="005F44BC" w:rsidRPr="00C9343F" w:rsidRDefault="005F44BC" w:rsidP="00F66D98">
            <w:pPr>
              <w:pStyle w:val="BlockText-Plain"/>
            </w:pPr>
            <w:r w:rsidRPr="00C9343F">
              <w:t>The member's service is terminated for performance or disciplinary reasons.</w:t>
            </w:r>
          </w:p>
        </w:tc>
      </w:tr>
    </w:tbl>
    <w:p w14:paraId="3E27030B" w14:textId="4A659BB9" w:rsidR="009A40B6" w:rsidRPr="00C9343F" w:rsidRDefault="009A40B6" w:rsidP="00F66D98">
      <w:pPr>
        <w:pStyle w:val="Heading4"/>
        <w:pageBreakBefore/>
        <w:spacing w:before="200" w:after="0" w:line="260" w:lineRule="atLeast"/>
        <w:rPr>
          <w:color w:val="auto"/>
        </w:rPr>
      </w:pPr>
      <w:bookmarkStart w:id="551" w:name="_Toc105053760"/>
      <w:r w:rsidRPr="00C9343F">
        <w:lastRenderedPageBreak/>
        <w:t>Division 2A: Reserve capability payment</w:t>
      </w:r>
      <w:bookmarkEnd w:id="551"/>
    </w:p>
    <w:p w14:paraId="0469A5A6" w14:textId="7289E9B2" w:rsidR="00B41239" w:rsidRPr="00C9343F" w:rsidRDefault="00B41239" w:rsidP="00F66D98">
      <w:pPr>
        <w:pStyle w:val="Heading5"/>
        <w:rPr>
          <w:bCs/>
        </w:rPr>
      </w:pPr>
      <w:bookmarkStart w:id="552" w:name="_Toc105053761"/>
      <w:r w:rsidRPr="00C9343F">
        <w:rPr>
          <w:bCs/>
        </w:rPr>
        <w:t>3.5.14A</w:t>
      </w:r>
      <w:r w:rsidR="00D94006" w:rsidRPr="00C9343F">
        <w:rPr>
          <w:bCs/>
        </w:rPr>
        <w:t>    </w:t>
      </w:r>
      <w:r w:rsidRPr="00C9343F">
        <w:rPr>
          <w:bCs/>
        </w:rPr>
        <w:t>Purpose</w:t>
      </w:r>
      <w:bookmarkEnd w:id="552"/>
    </w:p>
    <w:tbl>
      <w:tblPr>
        <w:tblW w:w="9360" w:type="dxa"/>
        <w:tblInd w:w="113" w:type="dxa"/>
        <w:tblLayout w:type="fixed"/>
        <w:tblLook w:val="04A0" w:firstRow="1" w:lastRow="0" w:firstColumn="1" w:lastColumn="0" w:noHBand="0" w:noVBand="1"/>
      </w:tblPr>
      <w:tblGrid>
        <w:gridCol w:w="992"/>
        <w:gridCol w:w="8368"/>
      </w:tblGrid>
      <w:tr w:rsidR="00B41239" w:rsidRPr="00C9343F" w14:paraId="6B4FAC8D" w14:textId="77777777" w:rsidTr="00B41239">
        <w:tc>
          <w:tcPr>
            <w:tcW w:w="992" w:type="dxa"/>
          </w:tcPr>
          <w:p w14:paraId="6404920A" w14:textId="77777777" w:rsidR="00B41239" w:rsidRPr="00C9343F" w:rsidRDefault="00B41239" w:rsidP="00F66D98">
            <w:pPr>
              <w:pStyle w:val="Sectiontext0"/>
              <w:jc w:val="center"/>
              <w:rPr>
                <w:lang w:eastAsia="en-US"/>
              </w:rPr>
            </w:pPr>
          </w:p>
        </w:tc>
        <w:tc>
          <w:tcPr>
            <w:tcW w:w="8368" w:type="dxa"/>
            <w:hideMark/>
          </w:tcPr>
          <w:p w14:paraId="1E638771" w14:textId="77777777" w:rsidR="00B41239" w:rsidRPr="00C9343F" w:rsidRDefault="00B41239" w:rsidP="00F66D98">
            <w:pPr>
              <w:pStyle w:val="Sectiontext0"/>
              <w:rPr>
                <w:rFonts w:cs="Arial"/>
                <w:lang w:eastAsia="en-US"/>
              </w:rPr>
            </w:pPr>
            <w:r w:rsidRPr="00C9343F">
              <w:rPr>
                <w:rFonts w:cs="Arial"/>
                <w:lang w:eastAsia="en-US"/>
              </w:rPr>
              <w:t xml:space="preserve">The purpose of this Division is to provide a payment to selected members of the Reserves as an incentive to perform certain duties over a specified period. Selected members are used to fill gaps in capability that could not ordinary be filled by a member of the Reserves or the Permanent Forces. </w:t>
            </w:r>
          </w:p>
        </w:tc>
      </w:tr>
    </w:tbl>
    <w:p w14:paraId="2F9598E3" w14:textId="0AA7B4F4" w:rsidR="00B41239" w:rsidRPr="00C9343F" w:rsidRDefault="00B41239" w:rsidP="00F66D98">
      <w:pPr>
        <w:pStyle w:val="Heading5"/>
        <w:rPr>
          <w:bCs/>
        </w:rPr>
      </w:pPr>
      <w:bookmarkStart w:id="553" w:name="_Toc105053762"/>
      <w:r w:rsidRPr="00C9343F">
        <w:rPr>
          <w:bCs/>
        </w:rPr>
        <w:t>3.5.14C</w:t>
      </w:r>
      <w:r w:rsidR="00D94006" w:rsidRPr="00C9343F">
        <w:rPr>
          <w:bCs/>
        </w:rPr>
        <w:t>    </w:t>
      </w:r>
      <w:r w:rsidRPr="00C9343F">
        <w:rPr>
          <w:bCs/>
        </w:rPr>
        <w:t>Member this Division applies to</w:t>
      </w:r>
      <w:bookmarkEnd w:id="553"/>
    </w:p>
    <w:tbl>
      <w:tblPr>
        <w:tblW w:w="9360" w:type="dxa"/>
        <w:tblInd w:w="113" w:type="dxa"/>
        <w:tblLayout w:type="fixed"/>
        <w:tblLook w:val="04A0" w:firstRow="1" w:lastRow="0" w:firstColumn="1" w:lastColumn="0" w:noHBand="0" w:noVBand="1"/>
      </w:tblPr>
      <w:tblGrid>
        <w:gridCol w:w="992"/>
        <w:gridCol w:w="563"/>
        <w:gridCol w:w="7805"/>
      </w:tblGrid>
      <w:tr w:rsidR="00B41239" w:rsidRPr="00C9343F" w14:paraId="101F78D7" w14:textId="77777777" w:rsidTr="00B41239">
        <w:tc>
          <w:tcPr>
            <w:tcW w:w="992" w:type="dxa"/>
          </w:tcPr>
          <w:p w14:paraId="1916F7A9" w14:textId="77777777" w:rsidR="00B41239" w:rsidRPr="00C9343F" w:rsidRDefault="00B41239" w:rsidP="00F66D98">
            <w:pPr>
              <w:pStyle w:val="Sectiontext0"/>
              <w:jc w:val="center"/>
              <w:rPr>
                <w:lang w:eastAsia="en-US"/>
              </w:rPr>
            </w:pPr>
          </w:p>
        </w:tc>
        <w:tc>
          <w:tcPr>
            <w:tcW w:w="8367" w:type="dxa"/>
            <w:gridSpan w:val="2"/>
            <w:hideMark/>
          </w:tcPr>
          <w:p w14:paraId="2127D4E7" w14:textId="77777777" w:rsidR="00B41239" w:rsidRPr="00C9343F" w:rsidRDefault="00B41239" w:rsidP="00F66D98">
            <w:pPr>
              <w:pStyle w:val="Sectiontext0"/>
              <w:rPr>
                <w:rFonts w:cs="Arial"/>
                <w:lang w:eastAsia="en-US"/>
              </w:rPr>
            </w:pPr>
            <w:r w:rsidRPr="00C9343F">
              <w:rPr>
                <w:rFonts w:cs="Arial"/>
                <w:lang w:eastAsia="en-US"/>
              </w:rPr>
              <w:t>This Division applies to a member of the Reserves who meets both of the following.</w:t>
            </w:r>
          </w:p>
        </w:tc>
      </w:tr>
      <w:tr w:rsidR="00B41239" w:rsidRPr="00C9343F" w14:paraId="7B9296B0" w14:textId="77777777" w:rsidTr="00B41239">
        <w:tc>
          <w:tcPr>
            <w:tcW w:w="992" w:type="dxa"/>
          </w:tcPr>
          <w:p w14:paraId="226B7832" w14:textId="77777777" w:rsidR="00B41239" w:rsidRPr="00C9343F" w:rsidRDefault="00B41239" w:rsidP="00F66D98">
            <w:pPr>
              <w:pStyle w:val="Sectiontext0"/>
              <w:jc w:val="center"/>
              <w:rPr>
                <w:lang w:eastAsia="en-US"/>
              </w:rPr>
            </w:pPr>
          </w:p>
        </w:tc>
        <w:tc>
          <w:tcPr>
            <w:tcW w:w="563" w:type="dxa"/>
            <w:hideMark/>
          </w:tcPr>
          <w:p w14:paraId="0FEED076" w14:textId="77777777" w:rsidR="00B41239" w:rsidRPr="00C9343F" w:rsidRDefault="00B41239" w:rsidP="00F66D98">
            <w:pPr>
              <w:pStyle w:val="Sectiontext0"/>
              <w:jc w:val="center"/>
              <w:rPr>
                <w:rFonts w:cs="Arial"/>
                <w:lang w:eastAsia="en-US"/>
              </w:rPr>
            </w:pPr>
            <w:r w:rsidRPr="00C9343F">
              <w:rPr>
                <w:rFonts w:cs="Arial"/>
                <w:lang w:eastAsia="en-US"/>
              </w:rPr>
              <w:t>a.</w:t>
            </w:r>
          </w:p>
        </w:tc>
        <w:tc>
          <w:tcPr>
            <w:tcW w:w="7804" w:type="dxa"/>
            <w:hideMark/>
          </w:tcPr>
          <w:p w14:paraId="57BFFE7B" w14:textId="77777777" w:rsidR="00B41239" w:rsidRPr="00C9343F" w:rsidRDefault="00B41239" w:rsidP="00F66D98">
            <w:pPr>
              <w:pStyle w:val="Sectiontext0"/>
              <w:rPr>
                <w:rFonts w:cs="Arial"/>
                <w:lang w:eastAsia="en-US"/>
              </w:rPr>
            </w:pPr>
            <w:r w:rsidRPr="00C9343F">
              <w:rPr>
                <w:rFonts w:cs="Arial"/>
                <w:lang w:eastAsia="en-US"/>
              </w:rPr>
              <w:t>They are not performing continuous full-time service.</w:t>
            </w:r>
          </w:p>
        </w:tc>
      </w:tr>
      <w:tr w:rsidR="00B41239" w:rsidRPr="00C9343F" w14:paraId="5ED4B15B" w14:textId="77777777" w:rsidTr="00B41239">
        <w:tc>
          <w:tcPr>
            <w:tcW w:w="992" w:type="dxa"/>
          </w:tcPr>
          <w:p w14:paraId="41ABCE41" w14:textId="77777777" w:rsidR="00B41239" w:rsidRPr="00C9343F" w:rsidRDefault="00B41239" w:rsidP="00F66D98">
            <w:pPr>
              <w:pStyle w:val="Sectiontext0"/>
              <w:jc w:val="center"/>
              <w:rPr>
                <w:lang w:eastAsia="en-US"/>
              </w:rPr>
            </w:pPr>
          </w:p>
        </w:tc>
        <w:tc>
          <w:tcPr>
            <w:tcW w:w="563" w:type="dxa"/>
            <w:hideMark/>
          </w:tcPr>
          <w:p w14:paraId="7714783D" w14:textId="77777777" w:rsidR="00B41239" w:rsidRPr="00C9343F" w:rsidRDefault="00B41239" w:rsidP="00F66D98">
            <w:pPr>
              <w:pStyle w:val="Sectiontext0"/>
              <w:jc w:val="center"/>
              <w:rPr>
                <w:rFonts w:cs="Arial"/>
                <w:lang w:eastAsia="en-US"/>
              </w:rPr>
            </w:pPr>
            <w:r w:rsidRPr="00C9343F">
              <w:rPr>
                <w:rFonts w:cs="Arial"/>
                <w:lang w:eastAsia="en-US"/>
              </w:rPr>
              <w:t>b.</w:t>
            </w:r>
          </w:p>
        </w:tc>
        <w:tc>
          <w:tcPr>
            <w:tcW w:w="7804" w:type="dxa"/>
            <w:hideMark/>
          </w:tcPr>
          <w:p w14:paraId="6755BA30" w14:textId="77777777" w:rsidR="00B41239" w:rsidRPr="00C9343F" w:rsidRDefault="00B41239" w:rsidP="00F66D98">
            <w:pPr>
              <w:pStyle w:val="Sectiontext0"/>
              <w:rPr>
                <w:rFonts w:cs="Arial"/>
                <w:lang w:eastAsia="en-US"/>
              </w:rPr>
            </w:pPr>
            <w:r w:rsidRPr="00C9343F">
              <w:rPr>
                <w:rFonts w:cs="Arial"/>
                <w:iCs/>
                <w:lang w:eastAsia="en-US"/>
              </w:rPr>
              <w:t>They have been selected to fill gaps in capability that could not ordinarily be filled by a member of the Reserves or the Permanent Forces.</w:t>
            </w:r>
          </w:p>
        </w:tc>
      </w:tr>
    </w:tbl>
    <w:p w14:paraId="0ABB138D" w14:textId="0CFCC492" w:rsidR="00670292" w:rsidRPr="00C9343F" w:rsidRDefault="00670292" w:rsidP="00F66D98">
      <w:pPr>
        <w:pStyle w:val="Heading5"/>
      </w:pPr>
      <w:bookmarkStart w:id="554" w:name="_Toc105053763"/>
      <w:r w:rsidRPr="00C9343F">
        <w:t>3.5.14D</w:t>
      </w:r>
      <w:r w:rsidR="00D94006" w:rsidRPr="00C9343F">
        <w:t>    </w:t>
      </w:r>
      <w:r w:rsidRPr="00C9343F">
        <w:t>Offer of a Reserve capability payment</w:t>
      </w:r>
      <w:bookmarkEnd w:id="554"/>
    </w:p>
    <w:tbl>
      <w:tblPr>
        <w:tblW w:w="9360" w:type="dxa"/>
        <w:tblInd w:w="113" w:type="dxa"/>
        <w:tblLayout w:type="fixed"/>
        <w:tblLook w:val="0000" w:firstRow="0" w:lastRow="0" w:firstColumn="0" w:lastColumn="0" w:noHBand="0" w:noVBand="0"/>
      </w:tblPr>
      <w:tblGrid>
        <w:gridCol w:w="992"/>
        <w:gridCol w:w="563"/>
        <w:gridCol w:w="33"/>
        <w:gridCol w:w="534"/>
        <w:gridCol w:w="7238"/>
      </w:tblGrid>
      <w:tr w:rsidR="00434C78" w:rsidRPr="00C9343F" w14:paraId="690071A7" w14:textId="77777777" w:rsidTr="00C30AE5">
        <w:tc>
          <w:tcPr>
            <w:tcW w:w="992" w:type="dxa"/>
          </w:tcPr>
          <w:p w14:paraId="45E9C105" w14:textId="21AFA697" w:rsidR="00434C78" w:rsidRPr="00C9343F" w:rsidRDefault="00434C78" w:rsidP="00F66D98">
            <w:pPr>
              <w:pStyle w:val="BlockText-Plain"/>
              <w:jc w:val="center"/>
            </w:pPr>
            <w:r w:rsidRPr="00C9343F">
              <w:t>1.</w:t>
            </w:r>
          </w:p>
        </w:tc>
        <w:tc>
          <w:tcPr>
            <w:tcW w:w="8368" w:type="dxa"/>
            <w:gridSpan w:val="4"/>
          </w:tcPr>
          <w:p w14:paraId="339EAA85" w14:textId="33F4B97A" w:rsidR="00434C78" w:rsidRPr="00C9343F" w:rsidRDefault="00434C78" w:rsidP="00F66D98">
            <w:pPr>
              <w:pStyle w:val="BlockText-Plain"/>
            </w:pPr>
            <w:r w:rsidRPr="00C9343F">
              <w:rPr>
                <w:iCs/>
              </w:rPr>
              <w:t>A member of the Reserves may be offered a payment under this section if the CDF is satisfied that all of the following apply.</w:t>
            </w:r>
          </w:p>
        </w:tc>
      </w:tr>
      <w:tr w:rsidR="00434C78" w:rsidRPr="00C9343F" w14:paraId="32E817B2" w14:textId="77777777" w:rsidTr="00C30AE5">
        <w:tc>
          <w:tcPr>
            <w:tcW w:w="992" w:type="dxa"/>
          </w:tcPr>
          <w:p w14:paraId="5114FC7E" w14:textId="77777777" w:rsidR="00434C78" w:rsidRPr="00C9343F" w:rsidRDefault="00434C78" w:rsidP="00F66D98">
            <w:pPr>
              <w:pStyle w:val="BlockText-Plain"/>
              <w:jc w:val="center"/>
            </w:pPr>
          </w:p>
        </w:tc>
        <w:tc>
          <w:tcPr>
            <w:tcW w:w="596" w:type="dxa"/>
            <w:gridSpan w:val="2"/>
          </w:tcPr>
          <w:p w14:paraId="2D274C09" w14:textId="6FD2217E" w:rsidR="00434C78" w:rsidRPr="00C9343F" w:rsidRDefault="00434C78" w:rsidP="007114B1">
            <w:pPr>
              <w:pStyle w:val="BlockText-Plain"/>
              <w:jc w:val="center"/>
            </w:pPr>
            <w:r w:rsidRPr="00C9343F">
              <w:rPr>
                <w:iCs/>
              </w:rPr>
              <w:t>a.</w:t>
            </w:r>
          </w:p>
        </w:tc>
        <w:tc>
          <w:tcPr>
            <w:tcW w:w="7772" w:type="dxa"/>
            <w:gridSpan w:val="2"/>
          </w:tcPr>
          <w:p w14:paraId="579CBC13" w14:textId="14B59EEF" w:rsidR="00434C78" w:rsidRPr="00C9343F" w:rsidRDefault="00434C78" w:rsidP="00F66D98">
            <w:pPr>
              <w:pStyle w:val="BlockText-Plain"/>
            </w:pPr>
            <w:r w:rsidRPr="00C9343F">
              <w:rPr>
                <w:iCs/>
              </w:rPr>
              <w:t>There is a capability gap.</w:t>
            </w:r>
          </w:p>
        </w:tc>
      </w:tr>
      <w:tr w:rsidR="00434C78" w:rsidRPr="00C9343F" w14:paraId="098D3E07" w14:textId="77777777" w:rsidTr="00C30AE5">
        <w:tc>
          <w:tcPr>
            <w:tcW w:w="992" w:type="dxa"/>
          </w:tcPr>
          <w:p w14:paraId="24254AAF" w14:textId="77777777" w:rsidR="00434C78" w:rsidRPr="00C9343F" w:rsidRDefault="00434C78" w:rsidP="00F66D98">
            <w:pPr>
              <w:pStyle w:val="BlockText-Plain"/>
              <w:jc w:val="center"/>
            </w:pPr>
          </w:p>
        </w:tc>
        <w:tc>
          <w:tcPr>
            <w:tcW w:w="596" w:type="dxa"/>
            <w:gridSpan w:val="2"/>
          </w:tcPr>
          <w:p w14:paraId="45AEDABD" w14:textId="3E40F1AC" w:rsidR="00434C78" w:rsidRPr="00C9343F" w:rsidRDefault="00434C78" w:rsidP="007114B1">
            <w:pPr>
              <w:pStyle w:val="BlockText-Plain"/>
              <w:jc w:val="center"/>
            </w:pPr>
            <w:r w:rsidRPr="00C9343F">
              <w:rPr>
                <w:iCs/>
              </w:rPr>
              <w:t>b.</w:t>
            </w:r>
          </w:p>
        </w:tc>
        <w:tc>
          <w:tcPr>
            <w:tcW w:w="7772" w:type="dxa"/>
            <w:gridSpan w:val="2"/>
          </w:tcPr>
          <w:p w14:paraId="600A6338" w14:textId="6CF65675" w:rsidR="00434C78" w:rsidRPr="00C9343F" w:rsidRDefault="00434C78" w:rsidP="00F66D98">
            <w:pPr>
              <w:pStyle w:val="BlockText-Plain"/>
            </w:pPr>
            <w:r w:rsidRPr="00C9343F">
              <w:rPr>
                <w:iCs/>
              </w:rPr>
              <w:t>The member meets all of the conditions required for the duty to be performed in connection with the capability gap.</w:t>
            </w:r>
          </w:p>
        </w:tc>
      </w:tr>
      <w:tr w:rsidR="00434C78" w:rsidRPr="00C9343F" w14:paraId="5C398C7A" w14:textId="77777777" w:rsidTr="00C30AE5">
        <w:tc>
          <w:tcPr>
            <w:tcW w:w="992" w:type="dxa"/>
          </w:tcPr>
          <w:p w14:paraId="0A914E7D" w14:textId="77777777" w:rsidR="00434C78" w:rsidRPr="00C9343F" w:rsidRDefault="00434C78" w:rsidP="00F66D98">
            <w:pPr>
              <w:pStyle w:val="BlockText-Plain"/>
              <w:jc w:val="center"/>
            </w:pPr>
          </w:p>
        </w:tc>
        <w:tc>
          <w:tcPr>
            <w:tcW w:w="596" w:type="dxa"/>
            <w:gridSpan w:val="2"/>
          </w:tcPr>
          <w:p w14:paraId="037CD0E1" w14:textId="545BAB61" w:rsidR="00434C78" w:rsidRPr="00C9343F" w:rsidRDefault="00434C78" w:rsidP="007114B1">
            <w:pPr>
              <w:pStyle w:val="BlockText-Plain"/>
              <w:jc w:val="center"/>
            </w:pPr>
            <w:r w:rsidRPr="00C9343F">
              <w:rPr>
                <w:iCs/>
              </w:rPr>
              <w:t>c.</w:t>
            </w:r>
          </w:p>
        </w:tc>
        <w:tc>
          <w:tcPr>
            <w:tcW w:w="7772" w:type="dxa"/>
            <w:gridSpan w:val="2"/>
          </w:tcPr>
          <w:p w14:paraId="7085E89C" w14:textId="0F1DE48C" w:rsidR="00434C78" w:rsidRPr="00C9343F" w:rsidRDefault="00434C78" w:rsidP="00F66D98">
            <w:pPr>
              <w:pStyle w:val="BlockText-Plain"/>
            </w:pPr>
            <w:r w:rsidRPr="00C9343F">
              <w:rPr>
                <w:iCs/>
              </w:rPr>
              <w:t>The member is able to complete the period of duty required within their period of service.</w:t>
            </w:r>
          </w:p>
        </w:tc>
      </w:tr>
      <w:tr w:rsidR="00434C78" w:rsidRPr="00C9343F" w14:paraId="4F38AD2B" w14:textId="77777777" w:rsidTr="00C30AE5">
        <w:tc>
          <w:tcPr>
            <w:tcW w:w="992" w:type="dxa"/>
          </w:tcPr>
          <w:p w14:paraId="09D04A9D" w14:textId="77777777" w:rsidR="00434C78" w:rsidRPr="00C9343F" w:rsidRDefault="00434C78" w:rsidP="00F66D98">
            <w:pPr>
              <w:pStyle w:val="BlockText-Plain"/>
              <w:jc w:val="center"/>
            </w:pPr>
          </w:p>
        </w:tc>
        <w:tc>
          <w:tcPr>
            <w:tcW w:w="596" w:type="dxa"/>
            <w:gridSpan w:val="2"/>
          </w:tcPr>
          <w:p w14:paraId="16CB1090" w14:textId="77777777" w:rsidR="00434C78" w:rsidRPr="00C9343F" w:rsidRDefault="00434C78" w:rsidP="00F66D98">
            <w:pPr>
              <w:pStyle w:val="BlockText-Plain"/>
              <w:rPr>
                <w:iCs/>
              </w:rPr>
            </w:pPr>
          </w:p>
        </w:tc>
        <w:tc>
          <w:tcPr>
            <w:tcW w:w="7772" w:type="dxa"/>
            <w:gridSpan w:val="2"/>
          </w:tcPr>
          <w:p w14:paraId="074723E5" w14:textId="6A3E9CE8" w:rsidR="00434C78" w:rsidRPr="00C9343F" w:rsidRDefault="00434C78" w:rsidP="00F66D98">
            <w:pPr>
              <w:pStyle w:val="BlockText-Plain"/>
              <w:rPr>
                <w:iCs/>
              </w:rPr>
            </w:pPr>
            <w:r w:rsidRPr="00C9343F">
              <w:rPr>
                <w:b/>
                <w:iCs/>
              </w:rPr>
              <w:t xml:space="preserve">Note: </w:t>
            </w:r>
            <w:r w:rsidRPr="00C9343F">
              <w:t>Permission to serve beyond the member's period of service needs to be granted before an offer of period of duty for Reserve capability payment is made.</w:t>
            </w:r>
          </w:p>
        </w:tc>
      </w:tr>
      <w:tr w:rsidR="00B41239" w:rsidRPr="00C9343F" w14:paraId="1782E2A3" w14:textId="77777777" w:rsidTr="00C30AE5">
        <w:tblPrEx>
          <w:tblLook w:val="04A0" w:firstRow="1" w:lastRow="0" w:firstColumn="1" w:lastColumn="0" w:noHBand="0" w:noVBand="1"/>
        </w:tblPrEx>
        <w:tc>
          <w:tcPr>
            <w:tcW w:w="992" w:type="dxa"/>
            <w:hideMark/>
          </w:tcPr>
          <w:p w14:paraId="34A9156B" w14:textId="77777777" w:rsidR="00B41239" w:rsidRPr="00C9343F" w:rsidRDefault="00B41239" w:rsidP="00F66D98">
            <w:pPr>
              <w:pStyle w:val="Sectiontext0"/>
              <w:jc w:val="center"/>
            </w:pPr>
            <w:r w:rsidRPr="00C9343F">
              <w:t>1A.</w:t>
            </w:r>
          </w:p>
        </w:tc>
        <w:tc>
          <w:tcPr>
            <w:tcW w:w="8368" w:type="dxa"/>
            <w:gridSpan w:val="4"/>
            <w:hideMark/>
          </w:tcPr>
          <w:p w14:paraId="55A78AC1" w14:textId="77777777" w:rsidR="00B41239" w:rsidRPr="00C9343F" w:rsidRDefault="00B41239" w:rsidP="00F66D98">
            <w:pPr>
              <w:pStyle w:val="Sectiontext0"/>
            </w:pPr>
            <w:r w:rsidRPr="00C9343F">
              <w:rPr>
                <w:iCs/>
              </w:rPr>
              <w:t xml:space="preserve">For the purpose of paragraph 3.5.14D.1.a, a </w:t>
            </w:r>
            <w:r w:rsidRPr="00C9343F">
              <w:rPr>
                <w:b/>
              </w:rPr>
              <w:t>capability gap</w:t>
            </w:r>
            <w:r w:rsidRPr="00C9343F">
              <w:t xml:space="preserve"> exists for a period specified by the CDF if all the following apply.</w:t>
            </w:r>
          </w:p>
        </w:tc>
      </w:tr>
      <w:tr w:rsidR="00B41239" w:rsidRPr="00C9343F" w14:paraId="7F6B1DB3" w14:textId="77777777" w:rsidTr="00C30AE5">
        <w:tblPrEx>
          <w:tblLook w:val="04A0" w:firstRow="1" w:lastRow="0" w:firstColumn="1" w:lastColumn="0" w:noHBand="0" w:noVBand="1"/>
        </w:tblPrEx>
        <w:tc>
          <w:tcPr>
            <w:tcW w:w="992" w:type="dxa"/>
          </w:tcPr>
          <w:p w14:paraId="133D367F" w14:textId="77777777" w:rsidR="00B41239" w:rsidRPr="00C9343F" w:rsidRDefault="00B41239" w:rsidP="00F66D98">
            <w:pPr>
              <w:pStyle w:val="Sectiontext0"/>
              <w:jc w:val="center"/>
              <w:rPr>
                <w:lang w:eastAsia="en-US"/>
              </w:rPr>
            </w:pPr>
          </w:p>
        </w:tc>
        <w:tc>
          <w:tcPr>
            <w:tcW w:w="563" w:type="dxa"/>
            <w:hideMark/>
          </w:tcPr>
          <w:p w14:paraId="2E607137" w14:textId="77777777" w:rsidR="00B41239" w:rsidRPr="00C9343F" w:rsidRDefault="00B41239" w:rsidP="00F66D98">
            <w:pPr>
              <w:pStyle w:val="Sectiontext0"/>
              <w:jc w:val="center"/>
              <w:rPr>
                <w:rFonts w:cs="Arial"/>
                <w:iCs/>
                <w:lang w:eastAsia="en-US"/>
              </w:rPr>
            </w:pPr>
            <w:r w:rsidRPr="00C9343F">
              <w:rPr>
                <w:rFonts w:cs="Arial"/>
                <w:iCs/>
                <w:lang w:eastAsia="en-US"/>
              </w:rPr>
              <w:t>a.</w:t>
            </w:r>
          </w:p>
        </w:tc>
        <w:tc>
          <w:tcPr>
            <w:tcW w:w="7805" w:type="dxa"/>
            <w:gridSpan w:val="3"/>
            <w:hideMark/>
          </w:tcPr>
          <w:p w14:paraId="44E424F8" w14:textId="77777777" w:rsidR="00B41239" w:rsidRPr="00C9343F" w:rsidRDefault="00B41239" w:rsidP="00F66D98">
            <w:pPr>
              <w:pStyle w:val="Sectiontext0"/>
              <w:rPr>
                <w:rFonts w:cs="Arial"/>
                <w:iCs/>
                <w:lang w:eastAsia="en-US"/>
              </w:rPr>
            </w:pPr>
            <w:r w:rsidRPr="00C9343F">
              <w:rPr>
                <w:rFonts w:cs="Arial"/>
                <w:iCs/>
                <w:lang w:eastAsia="en-US"/>
              </w:rPr>
              <w:t>There is a capability that if not met will have a negative impact on a Service.</w:t>
            </w:r>
          </w:p>
        </w:tc>
      </w:tr>
      <w:tr w:rsidR="00B41239" w:rsidRPr="00C9343F" w14:paraId="076B3320" w14:textId="77777777" w:rsidTr="00C30AE5">
        <w:tblPrEx>
          <w:tblLook w:val="04A0" w:firstRow="1" w:lastRow="0" w:firstColumn="1" w:lastColumn="0" w:noHBand="0" w:noVBand="1"/>
        </w:tblPrEx>
        <w:tc>
          <w:tcPr>
            <w:tcW w:w="992" w:type="dxa"/>
          </w:tcPr>
          <w:p w14:paraId="4B5F538A" w14:textId="77777777" w:rsidR="00B41239" w:rsidRPr="00C9343F" w:rsidRDefault="00B41239" w:rsidP="00F66D98">
            <w:pPr>
              <w:pStyle w:val="Sectiontext0"/>
              <w:jc w:val="center"/>
              <w:rPr>
                <w:lang w:eastAsia="en-US"/>
              </w:rPr>
            </w:pPr>
          </w:p>
        </w:tc>
        <w:tc>
          <w:tcPr>
            <w:tcW w:w="563" w:type="dxa"/>
            <w:hideMark/>
          </w:tcPr>
          <w:p w14:paraId="2314A42F" w14:textId="77777777" w:rsidR="00B41239" w:rsidRPr="00C9343F" w:rsidRDefault="00B41239" w:rsidP="00F66D98">
            <w:pPr>
              <w:pStyle w:val="Sectiontext0"/>
              <w:jc w:val="center"/>
              <w:rPr>
                <w:rFonts w:cs="Arial"/>
                <w:lang w:eastAsia="en-US"/>
              </w:rPr>
            </w:pPr>
            <w:r w:rsidRPr="00C9343F">
              <w:rPr>
                <w:rFonts w:cs="Arial"/>
                <w:lang w:eastAsia="en-US"/>
              </w:rPr>
              <w:t>b.</w:t>
            </w:r>
          </w:p>
        </w:tc>
        <w:tc>
          <w:tcPr>
            <w:tcW w:w="7805" w:type="dxa"/>
            <w:gridSpan w:val="3"/>
            <w:hideMark/>
          </w:tcPr>
          <w:p w14:paraId="69EB6AC0" w14:textId="77777777" w:rsidR="00B41239" w:rsidRPr="00C9343F" w:rsidRDefault="00B41239" w:rsidP="00F66D98">
            <w:pPr>
              <w:pStyle w:val="Sectiontext0"/>
              <w:rPr>
                <w:rFonts w:cs="Arial"/>
                <w:lang w:eastAsia="en-US"/>
              </w:rPr>
            </w:pPr>
            <w:r w:rsidRPr="00C9343F">
              <w:rPr>
                <w:iCs/>
              </w:rPr>
              <w:t>The capability cannot reasonably be met by any of the following.</w:t>
            </w:r>
          </w:p>
        </w:tc>
      </w:tr>
      <w:tr w:rsidR="00B41239" w:rsidRPr="00C9343F" w14:paraId="415019FB" w14:textId="77777777" w:rsidTr="00C30AE5">
        <w:tblPrEx>
          <w:tblLook w:val="04A0" w:firstRow="1" w:lastRow="0" w:firstColumn="1" w:lastColumn="0" w:noHBand="0" w:noVBand="1"/>
        </w:tblPrEx>
        <w:tc>
          <w:tcPr>
            <w:tcW w:w="992" w:type="dxa"/>
          </w:tcPr>
          <w:p w14:paraId="36951144" w14:textId="77777777" w:rsidR="00B41239" w:rsidRPr="00C9343F" w:rsidRDefault="00B41239" w:rsidP="00F66D98">
            <w:pPr>
              <w:pStyle w:val="Sectiontext0"/>
              <w:jc w:val="center"/>
              <w:rPr>
                <w:lang w:eastAsia="en-US"/>
              </w:rPr>
            </w:pPr>
          </w:p>
        </w:tc>
        <w:tc>
          <w:tcPr>
            <w:tcW w:w="563" w:type="dxa"/>
          </w:tcPr>
          <w:p w14:paraId="0FC431DA" w14:textId="77777777" w:rsidR="00B41239" w:rsidRPr="00C9343F" w:rsidRDefault="00B41239" w:rsidP="00F66D98">
            <w:pPr>
              <w:pStyle w:val="Sectiontext0"/>
              <w:jc w:val="center"/>
              <w:rPr>
                <w:rFonts w:cs="Arial"/>
                <w:iCs/>
                <w:lang w:eastAsia="en-US"/>
              </w:rPr>
            </w:pPr>
          </w:p>
        </w:tc>
        <w:tc>
          <w:tcPr>
            <w:tcW w:w="567" w:type="dxa"/>
            <w:gridSpan w:val="2"/>
            <w:hideMark/>
          </w:tcPr>
          <w:p w14:paraId="74B92AFE" w14:textId="77777777" w:rsidR="00B41239" w:rsidRPr="00C9343F" w:rsidRDefault="00B41239" w:rsidP="00F66D98">
            <w:pPr>
              <w:pStyle w:val="Sectiontext0"/>
              <w:rPr>
                <w:rFonts w:cs="Arial"/>
                <w:iCs/>
                <w:lang w:eastAsia="en-US"/>
              </w:rPr>
            </w:pPr>
            <w:r w:rsidRPr="00C9343F">
              <w:rPr>
                <w:rFonts w:cs="Arial"/>
                <w:iCs/>
                <w:lang w:eastAsia="en-US"/>
              </w:rPr>
              <w:t>i.</w:t>
            </w:r>
          </w:p>
        </w:tc>
        <w:tc>
          <w:tcPr>
            <w:tcW w:w="7238" w:type="dxa"/>
            <w:hideMark/>
          </w:tcPr>
          <w:p w14:paraId="7EB35851" w14:textId="77777777" w:rsidR="00B41239" w:rsidRPr="00C9343F" w:rsidRDefault="00B41239" w:rsidP="00F66D98">
            <w:pPr>
              <w:pStyle w:val="Sectiontext0"/>
              <w:rPr>
                <w:rFonts w:cs="Arial"/>
                <w:iCs/>
                <w:lang w:eastAsia="en-US"/>
              </w:rPr>
            </w:pPr>
            <w:r w:rsidRPr="00C9343F">
              <w:rPr>
                <w:rFonts w:cs="Arial"/>
                <w:iCs/>
                <w:lang w:eastAsia="en-US"/>
              </w:rPr>
              <w:t>A member of the Permanent Forces.</w:t>
            </w:r>
          </w:p>
        </w:tc>
      </w:tr>
      <w:tr w:rsidR="00B41239" w:rsidRPr="00C9343F" w14:paraId="1F14DC7C" w14:textId="77777777" w:rsidTr="00C30AE5">
        <w:tblPrEx>
          <w:tblLook w:val="04A0" w:firstRow="1" w:lastRow="0" w:firstColumn="1" w:lastColumn="0" w:noHBand="0" w:noVBand="1"/>
        </w:tblPrEx>
        <w:tc>
          <w:tcPr>
            <w:tcW w:w="992" w:type="dxa"/>
          </w:tcPr>
          <w:p w14:paraId="39018415" w14:textId="77777777" w:rsidR="00B41239" w:rsidRPr="00C9343F" w:rsidRDefault="00B41239" w:rsidP="00F66D98">
            <w:pPr>
              <w:pStyle w:val="Sectiontext0"/>
              <w:jc w:val="center"/>
              <w:rPr>
                <w:lang w:eastAsia="en-US"/>
              </w:rPr>
            </w:pPr>
          </w:p>
        </w:tc>
        <w:tc>
          <w:tcPr>
            <w:tcW w:w="563" w:type="dxa"/>
          </w:tcPr>
          <w:p w14:paraId="0A34E190" w14:textId="77777777" w:rsidR="00B41239" w:rsidRPr="00C9343F" w:rsidRDefault="00B41239" w:rsidP="00F66D98">
            <w:pPr>
              <w:pStyle w:val="Sectiontext0"/>
              <w:jc w:val="center"/>
              <w:rPr>
                <w:rFonts w:cs="Arial"/>
                <w:iCs/>
                <w:lang w:eastAsia="en-US"/>
              </w:rPr>
            </w:pPr>
          </w:p>
        </w:tc>
        <w:tc>
          <w:tcPr>
            <w:tcW w:w="567" w:type="dxa"/>
            <w:gridSpan w:val="2"/>
            <w:hideMark/>
          </w:tcPr>
          <w:p w14:paraId="29BE132D" w14:textId="26097548" w:rsidR="00B41239" w:rsidRPr="00C9343F" w:rsidRDefault="00B41239" w:rsidP="00F66D98">
            <w:pPr>
              <w:pStyle w:val="Sectiontext0"/>
              <w:rPr>
                <w:rFonts w:cs="Arial"/>
                <w:iCs/>
                <w:lang w:eastAsia="en-US"/>
              </w:rPr>
            </w:pPr>
            <w:r w:rsidRPr="00C9343F">
              <w:rPr>
                <w:rFonts w:cs="Arial"/>
                <w:iCs/>
                <w:lang w:eastAsia="en-US"/>
              </w:rPr>
              <w:t>ii</w:t>
            </w:r>
            <w:r w:rsidR="00995204" w:rsidRPr="00C9343F">
              <w:rPr>
                <w:rFonts w:cs="Arial"/>
                <w:iCs/>
                <w:lang w:eastAsia="en-US"/>
              </w:rPr>
              <w:t>.</w:t>
            </w:r>
          </w:p>
        </w:tc>
        <w:tc>
          <w:tcPr>
            <w:tcW w:w="7238" w:type="dxa"/>
            <w:hideMark/>
          </w:tcPr>
          <w:p w14:paraId="7BF27239" w14:textId="77777777" w:rsidR="00B41239" w:rsidRPr="00C9343F" w:rsidRDefault="00B41239" w:rsidP="00F66D98">
            <w:pPr>
              <w:pStyle w:val="Sectiontext0"/>
              <w:rPr>
                <w:rFonts w:cs="Arial"/>
                <w:iCs/>
                <w:lang w:eastAsia="en-US"/>
              </w:rPr>
            </w:pPr>
            <w:r w:rsidRPr="00C9343F">
              <w:rPr>
                <w:rFonts w:cs="Arial"/>
                <w:iCs/>
                <w:lang w:eastAsia="en-US"/>
              </w:rPr>
              <w:t>A member of the Reserves on continuous full-time service.</w:t>
            </w:r>
          </w:p>
        </w:tc>
      </w:tr>
      <w:tr w:rsidR="00B41239" w:rsidRPr="00C9343F" w14:paraId="7B637094" w14:textId="77777777" w:rsidTr="00C30AE5">
        <w:tblPrEx>
          <w:tblLook w:val="04A0" w:firstRow="1" w:lastRow="0" w:firstColumn="1" w:lastColumn="0" w:noHBand="0" w:noVBand="1"/>
        </w:tblPrEx>
        <w:tc>
          <w:tcPr>
            <w:tcW w:w="992" w:type="dxa"/>
          </w:tcPr>
          <w:p w14:paraId="7E5B4A8C" w14:textId="77777777" w:rsidR="00B41239" w:rsidRPr="00C9343F" w:rsidRDefault="00B41239" w:rsidP="00F66D98">
            <w:pPr>
              <w:pStyle w:val="Sectiontext0"/>
              <w:jc w:val="center"/>
              <w:rPr>
                <w:lang w:eastAsia="en-US"/>
              </w:rPr>
            </w:pPr>
          </w:p>
        </w:tc>
        <w:tc>
          <w:tcPr>
            <w:tcW w:w="563" w:type="dxa"/>
          </w:tcPr>
          <w:p w14:paraId="0F47E455" w14:textId="77777777" w:rsidR="00B41239" w:rsidRPr="00C9343F" w:rsidRDefault="00B41239" w:rsidP="00F66D98">
            <w:pPr>
              <w:pStyle w:val="Sectiontext0"/>
              <w:jc w:val="center"/>
              <w:rPr>
                <w:rFonts w:cs="Arial"/>
                <w:iCs/>
                <w:lang w:eastAsia="en-US"/>
              </w:rPr>
            </w:pPr>
          </w:p>
        </w:tc>
        <w:tc>
          <w:tcPr>
            <w:tcW w:w="567" w:type="dxa"/>
            <w:gridSpan w:val="2"/>
            <w:hideMark/>
          </w:tcPr>
          <w:p w14:paraId="540F53F0" w14:textId="53E4FFE8" w:rsidR="00B41239" w:rsidRPr="00C9343F" w:rsidRDefault="00B41239" w:rsidP="00F66D98">
            <w:pPr>
              <w:pStyle w:val="Sectiontext0"/>
              <w:rPr>
                <w:rFonts w:cs="Arial"/>
                <w:iCs/>
                <w:lang w:eastAsia="en-US"/>
              </w:rPr>
            </w:pPr>
            <w:r w:rsidRPr="00C9343F">
              <w:rPr>
                <w:rFonts w:cs="Arial"/>
                <w:iCs/>
                <w:lang w:eastAsia="en-US"/>
              </w:rPr>
              <w:t>iii</w:t>
            </w:r>
            <w:r w:rsidR="00995204" w:rsidRPr="00C9343F">
              <w:rPr>
                <w:rFonts w:cs="Arial"/>
                <w:iCs/>
                <w:lang w:eastAsia="en-US"/>
              </w:rPr>
              <w:t>.</w:t>
            </w:r>
          </w:p>
        </w:tc>
        <w:tc>
          <w:tcPr>
            <w:tcW w:w="7238" w:type="dxa"/>
            <w:hideMark/>
          </w:tcPr>
          <w:p w14:paraId="6B140DD4" w14:textId="77777777" w:rsidR="00B41239" w:rsidRPr="00C9343F" w:rsidRDefault="00B41239" w:rsidP="00F66D98">
            <w:pPr>
              <w:pStyle w:val="Sectiontext0"/>
              <w:rPr>
                <w:rFonts w:cs="Arial"/>
                <w:iCs/>
                <w:lang w:eastAsia="en-US"/>
              </w:rPr>
            </w:pPr>
            <w:r w:rsidRPr="00C9343F">
              <w:rPr>
                <w:rFonts w:cs="Arial"/>
                <w:iCs/>
                <w:lang w:eastAsia="en-US"/>
              </w:rPr>
              <w:t>A member of the Reserves on Reserve service without an offer of a Reserve capability payment.</w:t>
            </w:r>
          </w:p>
        </w:tc>
      </w:tr>
      <w:tr w:rsidR="00B41239" w:rsidRPr="00C9343F" w14:paraId="42907F5A" w14:textId="77777777" w:rsidTr="00C30AE5">
        <w:tblPrEx>
          <w:tblLook w:val="04A0" w:firstRow="1" w:lastRow="0" w:firstColumn="1" w:lastColumn="0" w:noHBand="0" w:noVBand="1"/>
        </w:tblPrEx>
        <w:tc>
          <w:tcPr>
            <w:tcW w:w="992" w:type="dxa"/>
          </w:tcPr>
          <w:p w14:paraId="30E2D3A1" w14:textId="77777777" w:rsidR="00B41239" w:rsidRPr="00C9343F" w:rsidRDefault="00B41239" w:rsidP="00F66D98">
            <w:pPr>
              <w:pStyle w:val="Sectiontext0"/>
              <w:jc w:val="center"/>
              <w:rPr>
                <w:lang w:eastAsia="en-US"/>
              </w:rPr>
            </w:pPr>
          </w:p>
        </w:tc>
        <w:tc>
          <w:tcPr>
            <w:tcW w:w="563" w:type="dxa"/>
            <w:hideMark/>
          </w:tcPr>
          <w:p w14:paraId="08DD96B1" w14:textId="77777777" w:rsidR="00B41239" w:rsidRPr="00C9343F" w:rsidRDefault="00B41239" w:rsidP="00F66D98">
            <w:pPr>
              <w:pStyle w:val="Sectiontext0"/>
              <w:jc w:val="center"/>
              <w:rPr>
                <w:rFonts w:cs="Arial"/>
                <w:iCs/>
                <w:lang w:eastAsia="en-US"/>
              </w:rPr>
            </w:pPr>
            <w:r w:rsidRPr="00C9343F">
              <w:rPr>
                <w:rFonts w:cs="Arial"/>
                <w:iCs/>
                <w:lang w:eastAsia="en-US"/>
              </w:rPr>
              <w:t>c.</w:t>
            </w:r>
          </w:p>
        </w:tc>
        <w:tc>
          <w:tcPr>
            <w:tcW w:w="7805" w:type="dxa"/>
            <w:gridSpan w:val="3"/>
            <w:hideMark/>
          </w:tcPr>
          <w:p w14:paraId="37EAB78D" w14:textId="77777777" w:rsidR="00B41239" w:rsidRPr="00C9343F" w:rsidRDefault="00B41239" w:rsidP="00F66D98">
            <w:pPr>
              <w:pStyle w:val="Sectiontext0"/>
              <w:rPr>
                <w:rFonts w:cs="Arial"/>
                <w:iCs/>
                <w:lang w:eastAsia="en-US"/>
              </w:rPr>
            </w:pPr>
            <w:r w:rsidRPr="00C9343F">
              <w:rPr>
                <w:rFonts w:cs="Arial"/>
                <w:iCs/>
                <w:lang w:eastAsia="en-US"/>
              </w:rPr>
              <w:t xml:space="preserve">The capability is unlikely to be met without the use of a Reserve capability payment during the period. </w:t>
            </w:r>
          </w:p>
        </w:tc>
      </w:tr>
      <w:tr w:rsidR="00016F3B" w:rsidRPr="00C9343F" w14:paraId="7DE1CB20" w14:textId="77777777" w:rsidTr="00C30AE5">
        <w:tc>
          <w:tcPr>
            <w:tcW w:w="992" w:type="dxa"/>
          </w:tcPr>
          <w:p w14:paraId="26CEFC10" w14:textId="77777777" w:rsidR="00016F3B" w:rsidRPr="00C9343F" w:rsidRDefault="00016F3B" w:rsidP="00F66D98">
            <w:pPr>
              <w:pStyle w:val="BlockText-Plain"/>
              <w:jc w:val="center"/>
            </w:pPr>
            <w:r w:rsidRPr="00C9343F">
              <w:t>2.</w:t>
            </w:r>
          </w:p>
        </w:tc>
        <w:tc>
          <w:tcPr>
            <w:tcW w:w="8368" w:type="dxa"/>
            <w:gridSpan w:val="4"/>
          </w:tcPr>
          <w:p w14:paraId="6DA8C02F" w14:textId="77777777" w:rsidR="00016F3B" w:rsidRPr="00C9343F" w:rsidRDefault="00016F3B" w:rsidP="00F66D98">
            <w:pPr>
              <w:pStyle w:val="BlockText-Plain"/>
            </w:pPr>
            <w:r w:rsidRPr="00C9343F">
              <w:t>The offer must specify all of the following.</w:t>
            </w:r>
          </w:p>
        </w:tc>
      </w:tr>
      <w:tr w:rsidR="00016F3B" w:rsidRPr="00C9343F" w14:paraId="5725E004" w14:textId="77777777" w:rsidTr="00C30AE5">
        <w:tc>
          <w:tcPr>
            <w:tcW w:w="992" w:type="dxa"/>
          </w:tcPr>
          <w:p w14:paraId="5A3A74CC" w14:textId="77777777" w:rsidR="00016F3B" w:rsidRPr="00C9343F" w:rsidRDefault="00016F3B" w:rsidP="00F66D98">
            <w:pPr>
              <w:pStyle w:val="BlockText-Plain"/>
              <w:jc w:val="center"/>
            </w:pPr>
          </w:p>
        </w:tc>
        <w:tc>
          <w:tcPr>
            <w:tcW w:w="596" w:type="dxa"/>
            <w:gridSpan w:val="2"/>
          </w:tcPr>
          <w:p w14:paraId="0F9F9ECA" w14:textId="77777777" w:rsidR="00016F3B" w:rsidRPr="00C9343F" w:rsidRDefault="00016F3B" w:rsidP="007114B1">
            <w:pPr>
              <w:pStyle w:val="BlockText-Plain"/>
              <w:jc w:val="center"/>
            </w:pPr>
            <w:r w:rsidRPr="00C9343F">
              <w:t>a.</w:t>
            </w:r>
          </w:p>
        </w:tc>
        <w:tc>
          <w:tcPr>
            <w:tcW w:w="7772" w:type="dxa"/>
            <w:gridSpan w:val="2"/>
          </w:tcPr>
          <w:p w14:paraId="799B5557" w14:textId="77777777" w:rsidR="00016F3B" w:rsidRPr="00C9343F" w:rsidRDefault="00016F3B" w:rsidP="00F66D98">
            <w:pPr>
              <w:pStyle w:val="BlockText-Plain"/>
            </w:pPr>
            <w:r w:rsidRPr="00C9343F">
              <w:t xml:space="preserve">The period of duty, including the pattern of days and hours the member must serve. </w:t>
            </w:r>
          </w:p>
        </w:tc>
      </w:tr>
      <w:tr w:rsidR="00016F3B" w:rsidRPr="00C9343F" w14:paraId="79F575D5" w14:textId="77777777" w:rsidTr="00C30AE5">
        <w:tc>
          <w:tcPr>
            <w:tcW w:w="992" w:type="dxa"/>
          </w:tcPr>
          <w:p w14:paraId="630FEB91" w14:textId="77777777" w:rsidR="00016F3B" w:rsidRPr="00C9343F" w:rsidRDefault="00016F3B" w:rsidP="00F66D98">
            <w:pPr>
              <w:pStyle w:val="BlockText-Plain"/>
              <w:jc w:val="center"/>
            </w:pPr>
          </w:p>
        </w:tc>
        <w:tc>
          <w:tcPr>
            <w:tcW w:w="596" w:type="dxa"/>
            <w:gridSpan w:val="2"/>
          </w:tcPr>
          <w:p w14:paraId="74CD0C03" w14:textId="77777777" w:rsidR="00016F3B" w:rsidRPr="00C9343F" w:rsidRDefault="00016F3B" w:rsidP="00F66D98">
            <w:pPr>
              <w:pStyle w:val="BlockText-Plain"/>
            </w:pPr>
          </w:p>
        </w:tc>
        <w:tc>
          <w:tcPr>
            <w:tcW w:w="7772" w:type="dxa"/>
            <w:gridSpan w:val="2"/>
          </w:tcPr>
          <w:p w14:paraId="7952D655" w14:textId="77777777" w:rsidR="00016F3B" w:rsidRPr="00C9343F" w:rsidRDefault="00016F3B" w:rsidP="00F66D98">
            <w:pPr>
              <w:pStyle w:val="BlockText-Plain"/>
            </w:pPr>
            <w:r w:rsidRPr="00C9343F">
              <w:rPr>
                <w:b/>
              </w:rPr>
              <w:t xml:space="preserve">Note: </w:t>
            </w:r>
            <w:r w:rsidRPr="00C9343F">
              <w:t>The period of duty includes any period the member is taken to be attending for duty under section 3.2.13, provided the duty is for the purposes of the offer.</w:t>
            </w:r>
          </w:p>
        </w:tc>
      </w:tr>
      <w:tr w:rsidR="00016F3B" w:rsidRPr="00C9343F" w14:paraId="7CFB141A" w14:textId="77777777" w:rsidTr="00C30AE5">
        <w:tc>
          <w:tcPr>
            <w:tcW w:w="992" w:type="dxa"/>
          </w:tcPr>
          <w:p w14:paraId="58B66F6D" w14:textId="77777777" w:rsidR="00016F3B" w:rsidRPr="00C9343F" w:rsidRDefault="00016F3B" w:rsidP="00F66D98">
            <w:pPr>
              <w:pStyle w:val="BlockText-Plain"/>
              <w:jc w:val="center"/>
            </w:pPr>
          </w:p>
        </w:tc>
        <w:tc>
          <w:tcPr>
            <w:tcW w:w="596" w:type="dxa"/>
            <w:gridSpan w:val="2"/>
          </w:tcPr>
          <w:p w14:paraId="69DD9CF6" w14:textId="77777777" w:rsidR="00016F3B" w:rsidRPr="00C9343F" w:rsidRDefault="00016F3B" w:rsidP="007114B1">
            <w:pPr>
              <w:pStyle w:val="BlockText-Plain"/>
              <w:jc w:val="center"/>
            </w:pPr>
            <w:r w:rsidRPr="00C9343F">
              <w:t>b.</w:t>
            </w:r>
          </w:p>
        </w:tc>
        <w:tc>
          <w:tcPr>
            <w:tcW w:w="7772" w:type="dxa"/>
            <w:gridSpan w:val="2"/>
          </w:tcPr>
          <w:p w14:paraId="75DB6693" w14:textId="77777777" w:rsidR="00016F3B" w:rsidRPr="00C9343F" w:rsidRDefault="00016F3B" w:rsidP="00F66D98">
            <w:pPr>
              <w:pStyle w:val="BlockText-Plain"/>
            </w:pPr>
            <w:r w:rsidRPr="00C9343F">
              <w:t xml:space="preserve">The amount, number and timing of payments. </w:t>
            </w:r>
          </w:p>
        </w:tc>
      </w:tr>
      <w:tr w:rsidR="00016F3B" w:rsidRPr="00C9343F" w14:paraId="24E435F5" w14:textId="77777777" w:rsidTr="00C30AE5">
        <w:tc>
          <w:tcPr>
            <w:tcW w:w="992" w:type="dxa"/>
          </w:tcPr>
          <w:p w14:paraId="473F2FA4" w14:textId="77777777" w:rsidR="00016F3B" w:rsidRPr="00C9343F" w:rsidRDefault="00016F3B" w:rsidP="00F66D98">
            <w:pPr>
              <w:pStyle w:val="BlockText-Plain"/>
              <w:jc w:val="center"/>
            </w:pPr>
          </w:p>
        </w:tc>
        <w:tc>
          <w:tcPr>
            <w:tcW w:w="596" w:type="dxa"/>
            <w:gridSpan w:val="2"/>
          </w:tcPr>
          <w:p w14:paraId="5E138CB4" w14:textId="77777777" w:rsidR="00016F3B" w:rsidRPr="00C9343F" w:rsidRDefault="00016F3B" w:rsidP="007114B1">
            <w:pPr>
              <w:pStyle w:val="BlockText-Plain"/>
              <w:jc w:val="center"/>
            </w:pPr>
            <w:r w:rsidRPr="00C9343F">
              <w:t>c.</w:t>
            </w:r>
          </w:p>
        </w:tc>
        <w:tc>
          <w:tcPr>
            <w:tcW w:w="7772" w:type="dxa"/>
            <w:gridSpan w:val="2"/>
          </w:tcPr>
          <w:p w14:paraId="2F09C556" w14:textId="77777777" w:rsidR="00016F3B" w:rsidRPr="00C9343F" w:rsidRDefault="00016F3B" w:rsidP="00F66D98">
            <w:pPr>
              <w:pStyle w:val="BlockText-Plain"/>
            </w:pPr>
            <w:r w:rsidRPr="00C9343F">
              <w:t>The duty to be performed.</w:t>
            </w:r>
          </w:p>
        </w:tc>
      </w:tr>
      <w:tr w:rsidR="00016F3B" w:rsidRPr="00C9343F" w14:paraId="08F39C08" w14:textId="77777777" w:rsidTr="00C30AE5">
        <w:tc>
          <w:tcPr>
            <w:tcW w:w="992" w:type="dxa"/>
          </w:tcPr>
          <w:p w14:paraId="61F6B6F1" w14:textId="77777777" w:rsidR="00016F3B" w:rsidRPr="00C9343F" w:rsidRDefault="00016F3B" w:rsidP="00F66D98">
            <w:pPr>
              <w:pStyle w:val="BlockText-Plain"/>
              <w:jc w:val="center"/>
            </w:pPr>
          </w:p>
        </w:tc>
        <w:tc>
          <w:tcPr>
            <w:tcW w:w="596" w:type="dxa"/>
            <w:gridSpan w:val="2"/>
          </w:tcPr>
          <w:p w14:paraId="50D52B91" w14:textId="77777777" w:rsidR="00016F3B" w:rsidRPr="00C9343F" w:rsidRDefault="00016F3B" w:rsidP="007114B1">
            <w:pPr>
              <w:pStyle w:val="BlockText-Plain"/>
              <w:jc w:val="center"/>
            </w:pPr>
            <w:r w:rsidRPr="00C9343F">
              <w:t>d.</w:t>
            </w:r>
          </w:p>
        </w:tc>
        <w:tc>
          <w:tcPr>
            <w:tcW w:w="7772" w:type="dxa"/>
            <w:gridSpan w:val="2"/>
          </w:tcPr>
          <w:p w14:paraId="1CF548B9" w14:textId="77777777" w:rsidR="00016F3B" w:rsidRPr="00C9343F" w:rsidRDefault="00016F3B" w:rsidP="00F66D98">
            <w:pPr>
              <w:pStyle w:val="BlockText-Plain"/>
            </w:pPr>
            <w:r w:rsidRPr="00C9343F">
              <w:t>Any additional conditions that must be met before the member becomes eligible for payment.</w:t>
            </w:r>
          </w:p>
        </w:tc>
      </w:tr>
      <w:tr w:rsidR="00016F3B" w:rsidRPr="00C9343F" w14:paraId="4EF58CBB" w14:textId="77777777" w:rsidTr="00434C78">
        <w:tc>
          <w:tcPr>
            <w:tcW w:w="992" w:type="dxa"/>
          </w:tcPr>
          <w:p w14:paraId="425F0690" w14:textId="77777777" w:rsidR="00016F3B" w:rsidRPr="00C9343F" w:rsidRDefault="00016F3B" w:rsidP="00F66D98">
            <w:pPr>
              <w:pStyle w:val="BlockText-Plain"/>
              <w:jc w:val="center"/>
            </w:pPr>
            <w:r w:rsidRPr="00C9343F">
              <w:t>3.</w:t>
            </w:r>
          </w:p>
        </w:tc>
        <w:tc>
          <w:tcPr>
            <w:tcW w:w="8368" w:type="dxa"/>
            <w:gridSpan w:val="4"/>
          </w:tcPr>
          <w:p w14:paraId="528B8EE3" w14:textId="77777777" w:rsidR="00016F3B" w:rsidRPr="00C9343F" w:rsidRDefault="00016F3B" w:rsidP="00F66D98">
            <w:pPr>
              <w:pStyle w:val="BlockText-Plain"/>
            </w:pPr>
            <w:r w:rsidRPr="00C9343F">
              <w:t>Reserve service that is not in connection with the capability gap does not count as service towards completion of the period of duty under paragraph 2.a.</w:t>
            </w:r>
          </w:p>
        </w:tc>
      </w:tr>
      <w:tr w:rsidR="00016F3B" w:rsidRPr="00C9343F" w14:paraId="5B4D9339" w14:textId="77777777" w:rsidTr="00434C78">
        <w:tc>
          <w:tcPr>
            <w:tcW w:w="992" w:type="dxa"/>
          </w:tcPr>
          <w:p w14:paraId="3D24BBD9" w14:textId="77777777" w:rsidR="00016F3B" w:rsidRPr="00C9343F" w:rsidRDefault="00016F3B" w:rsidP="00F66D98">
            <w:pPr>
              <w:pStyle w:val="BlockText-Plain"/>
              <w:jc w:val="center"/>
            </w:pPr>
            <w:r w:rsidRPr="00C9343F">
              <w:t>4.</w:t>
            </w:r>
          </w:p>
        </w:tc>
        <w:tc>
          <w:tcPr>
            <w:tcW w:w="8368" w:type="dxa"/>
            <w:gridSpan w:val="4"/>
          </w:tcPr>
          <w:p w14:paraId="45474C79" w14:textId="77777777" w:rsidR="00016F3B" w:rsidRPr="00C9343F" w:rsidRDefault="00016F3B" w:rsidP="00F66D98">
            <w:pPr>
              <w:pStyle w:val="BlockText-Plain"/>
            </w:pPr>
            <w:r w:rsidRPr="00C9343F">
              <w:t>The period of duty under paragraph 2.a is limited by the both of the following.</w:t>
            </w:r>
          </w:p>
        </w:tc>
      </w:tr>
      <w:tr w:rsidR="00016F3B" w:rsidRPr="00C9343F" w14:paraId="4DECFEBC" w14:textId="77777777" w:rsidTr="00434C78">
        <w:tc>
          <w:tcPr>
            <w:tcW w:w="992" w:type="dxa"/>
          </w:tcPr>
          <w:p w14:paraId="4A15E6AB" w14:textId="77777777" w:rsidR="00016F3B" w:rsidRPr="00C9343F" w:rsidRDefault="00016F3B" w:rsidP="00F66D98">
            <w:pPr>
              <w:pStyle w:val="BlockText-Plain"/>
              <w:jc w:val="center"/>
            </w:pPr>
          </w:p>
        </w:tc>
        <w:tc>
          <w:tcPr>
            <w:tcW w:w="596" w:type="dxa"/>
            <w:gridSpan w:val="2"/>
          </w:tcPr>
          <w:p w14:paraId="453F1CB7" w14:textId="77777777" w:rsidR="00016F3B" w:rsidRPr="00C9343F" w:rsidRDefault="00016F3B" w:rsidP="007114B1">
            <w:pPr>
              <w:pStyle w:val="BlockText-Plain"/>
              <w:jc w:val="center"/>
            </w:pPr>
            <w:r w:rsidRPr="00C9343F">
              <w:t>a.</w:t>
            </w:r>
          </w:p>
        </w:tc>
        <w:tc>
          <w:tcPr>
            <w:tcW w:w="7772" w:type="dxa"/>
            <w:gridSpan w:val="2"/>
          </w:tcPr>
          <w:p w14:paraId="213D7638" w14:textId="77777777" w:rsidR="00016F3B" w:rsidRPr="00C9343F" w:rsidRDefault="00016F3B" w:rsidP="00F66D98">
            <w:pPr>
              <w:pStyle w:val="BlockText-Plain"/>
            </w:pPr>
            <w:r w:rsidRPr="00C9343F">
              <w:t>The period can be for no more than three years in total.</w:t>
            </w:r>
          </w:p>
        </w:tc>
      </w:tr>
      <w:tr w:rsidR="00016F3B" w:rsidRPr="00C9343F" w14:paraId="7DB49A0D" w14:textId="77777777" w:rsidTr="00434C78">
        <w:tc>
          <w:tcPr>
            <w:tcW w:w="992" w:type="dxa"/>
          </w:tcPr>
          <w:p w14:paraId="17F55B93" w14:textId="77777777" w:rsidR="00016F3B" w:rsidRPr="00C9343F" w:rsidRDefault="00016F3B" w:rsidP="00F66D98">
            <w:pPr>
              <w:pStyle w:val="BlockText-Plain"/>
              <w:jc w:val="center"/>
            </w:pPr>
          </w:p>
        </w:tc>
        <w:tc>
          <w:tcPr>
            <w:tcW w:w="596" w:type="dxa"/>
            <w:gridSpan w:val="2"/>
          </w:tcPr>
          <w:p w14:paraId="3AC6D1BF" w14:textId="77777777" w:rsidR="00016F3B" w:rsidRPr="00C9343F" w:rsidRDefault="00016F3B" w:rsidP="007114B1">
            <w:pPr>
              <w:pStyle w:val="BlockText-Plain"/>
              <w:jc w:val="center"/>
            </w:pPr>
            <w:r w:rsidRPr="00C9343F">
              <w:t>b.</w:t>
            </w:r>
          </w:p>
        </w:tc>
        <w:tc>
          <w:tcPr>
            <w:tcW w:w="7772" w:type="dxa"/>
            <w:gridSpan w:val="2"/>
          </w:tcPr>
          <w:p w14:paraId="786960D4" w14:textId="77777777" w:rsidR="00016F3B" w:rsidRPr="00C9343F" w:rsidRDefault="00016F3B" w:rsidP="00F66D98">
            <w:pPr>
              <w:pStyle w:val="BlockText-Plain"/>
            </w:pPr>
            <w:r w:rsidRPr="00C9343F">
              <w:t>The period must not overlap with the period of an earlier accepted offer.</w:t>
            </w:r>
          </w:p>
        </w:tc>
      </w:tr>
      <w:tr w:rsidR="00016F3B" w:rsidRPr="00C9343F" w14:paraId="2A153B23" w14:textId="77777777" w:rsidTr="00434C78">
        <w:tc>
          <w:tcPr>
            <w:tcW w:w="992" w:type="dxa"/>
          </w:tcPr>
          <w:p w14:paraId="1486DA70" w14:textId="77777777" w:rsidR="00016F3B" w:rsidRPr="00C9343F" w:rsidRDefault="00016F3B" w:rsidP="00F66D98">
            <w:pPr>
              <w:pStyle w:val="BlockText-Plain"/>
              <w:jc w:val="center"/>
            </w:pPr>
            <w:r w:rsidRPr="00C9343F">
              <w:t>5.</w:t>
            </w:r>
          </w:p>
        </w:tc>
        <w:tc>
          <w:tcPr>
            <w:tcW w:w="8368" w:type="dxa"/>
            <w:gridSpan w:val="4"/>
          </w:tcPr>
          <w:p w14:paraId="1476BBF4" w14:textId="77777777" w:rsidR="00016F3B" w:rsidRPr="00C9343F" w:rsidRDefault="00016F3B" w:rsidP="00F66D98">
            <w:pPr>
              <w:pStyle w:val="BlockText-Plain"/>
            </w:pPr>
            <w:r w:rsidRPr="00C9343F">
              <w:t>The amount of payments under paragraph 2.b is limited by the both of the following.</w:t>
            </w:r>
          </w:p>
        </w:tc>
      </w:tr>
      <w:tr w:rsidR="00016F3B" w:rsidRPr="00C9343F" w14:paraId="0B2E20AD" w14:textId="77777777" w:rsidTr="00434C78">
        <w:tc>
          <w:tcPr>
            <w:tcW w:w="992" w:type="dxa"/>
          </w:tcPr>
          <w:p w14:paraId="0B8A69BC" w14:textId="77777777" w:rsidR="00016F3B" w:rsidRPr="00C9343F" w:rsidRDefault="00016F3B" w:rsidP="00F66D98">
            <w:pPr>
              <w:pStyle w:val="BlockText-Plain"/>
              <w:jc w:val="center"/>
            </w:pPr>
          </w:p>
        </w:tc>
        <w:tc>
          <w:tcPr>
            <w:tcW w:w="596" w:type="dxa"/>
            <w:gridSpan w:val="2"/>
          </w:tcPr>
          <w:p w14:paraId="580717BA" w14:textId="77777777" w:rsidR="00016F3B" w:rsidRPr="00C9343F" w:rsidRDefault="00016F3B" w:rsidP="007114B1">
            <w:pPr>
              <w:pStyle w:val="BlockText-Plain"/>
              <w:jc w:val="center"/>
            </w:pPr>
            <w:r w:rsidRPr="00C9343F">
              <w:t>a.</w:t>
            </w:r>
          </w:p>
        </w:tc>
        <w:tc>
          <w:tcPr>
            <w:tcW w:w="7772" w:type="dxa"/>
            <w:gridSpan w:val="2"/>
          </w:tcPr>
          <w:p w14:paraId="232630E2" w14:textId="77777777" w:rsidR="00016F3B" w:rsidRPr="00C9343F" w:rsidRDefault="00016F3B" w:rsidP="00F66D98">
            <w:pPr>
              <w:pStyle w:val="BlockText-Plain"/>
            </w:pPr>
            <w:r w:rsidRPr="00C9343F">
              <w:t>The total payment must not exceed $100,000.</w:t>
            </w:r>
          </w:p>
        </w:tc>
      </w:tr>
      <w:tr w:rsidR="00016F3B" w:rsidRPr="00C9343F" w14:paraId="5EC346A8" w14:textId="77777777" w:rsidTr="00434C78">
        <w:tc>
          <w:tcPr>
            <w:tcW w:w="992" w:type="dxa"/>
          </w:tcPr>
          <w:p w14:paraId="03A846C5" w14:textId="77777777" w:rsidR="00016F3B" w:rsidRPr="00C9343F" w:rsidRDefault="00016F3B" w:rsidP="00F66D98">
            <w:pPr>
              <w:pStyle w:val="BlockText-Plain"/>
              <w:jc w:val="center"/>
            </w:pPr>
          </w:p>
        </w:tc>
        <w:tc>
          <w:tcPr>
            <w:tcW w:w="596" w:type="dxa"/>
            <w:gridSpan w:val="2"/>
          </w:tcPr>
          <w:p w14:paraId="69AFB6B3" w14:textId="77777777" w:rsidR="00016F3B" w:rsidRPr="00C9343F" w:rsidRDefault="00016F3B" w:rsidP="007114B1">
            <w:pPr>
              <w:pStyle w:val="BlockText-Plain"/>
              <w:jc w:val="center"/>
            </w:pPr>
            <w:r w:rsidRPr="00C9343F">
              <w:t>b.</w:t>
            </w:r>
          </w:p>
        </w:tc>
        <w:tc>
          <w:tcPr>
            <w:tcW w:w="7772" w:type="dxa"/>
            <w:gridSpan w:val="2"/>
          </w:tcPr>
          <w:p w14:paraId="1500E7A4" w14:textId="77777777" w:rsidR="00016F3B" w:rsidRPr="00C9343F" w:rsidRDefault="00016F3B" w:rsidP="00F66D98">
            <w:pPr>
              <w:pStyle w:val="BlockText-Plain"/>
            </w:pPr>
            <w:r w:rsidRPr="00C9343F">
              <w:t>The member is not to be paid more than $50,000 for any 12 month period.</w:t>
            </w:r>
          </w:p>
        </w:tc>
      </w:tr>
    </w:tbl>
    <w:p w14:paraId="047A9132" w14:textId="5473D51A" w:rsidR="00426397" w:rsidRPr="00C9343F" w:rsidRDefault="00426397" w:rsidP="00F66D98">
      <w:pPr>
        <w:pStyle w:val="Heading5"/>
      </w:pPr>
      <w:bookmarkStart w:id="555" w:name="_Toc105053764"/>
      <w:r w:rsidRPr="00C9343F">
        <w:t>3.5.14E</w:t>
      </w:r>
      <w:r w:rsidR="00D94006" w:rsidRPr="00C9343F">
        <w:t>    </w:t>
      </w:r>
      <w:r w:rsidRPr="00C9343F">
        <w:t>Acceptance of an offer</w:t>
      </w:r>
      <w:bookmarkEnd w:id="555"/>
    </w:p>
    <w:tbl>
      <w:tblPr>
        <w:tblW w:w="9359" w:type="dxa"/>
        <w:tblInd w:w="113" w:type="dxa"/>
        <w:tblLayout w:type="fixed"/>
        <w:tblLook w:val="0000" w:firstRow="0" w:lastRow="0" w:firstColumn="0" w:lastColumn="0" w:noHBand="0" w:noVBand="0"/>
      </w:tblPr>
      <w:tblGrid>
        <w:gridCol w:w="992"/>
        <w:gridCol w:w="596"/>
        <w:gridCol w:w="567"/>
        <w:gridCol w:w="7204"/>
      </w:tblGrid>
      <w:tr w:rsidR="00016F3B" w:rsidRPr="00C9343F" w14:paraId="3E5B28AD" w14:textId="77777777" w:rsidTr="00841AD6">
        <w:tc>
          <w:tcPr>
            <w:tcW w:w="992" w:type="dxa"/>
          </w:tcPr>
          <w:p w14:paraId="6D20EFCC" w14:textId="77777777" w:rsidR="00016F3B" w:rsidRPr="00C9343F" w:rsidRDefault="00016F3B" w:rsidP="00F66D98">
            <w:pPr>
              <w:pStyle w:val="BlockText-Plain"/>
              <w:jc w:val="center"/>
            </w:pPr>
          </w:p>
        </w:tc>
        <w:tc>
          <w:tcPr>
            <w:tcW w:w="8367" w:type="dxa"/>
            <w:gridSpan w:val="3"/>
          </w:tcPr>
          <w:p w14:paraId="239C4DA3" w14:textId="77777777" w:rsidR="00016F3B" w:rsidRPr="00C9343F" w:rsidRDefault="00016F3B" w:rsidP="00F66D98">
            <w:pPr>
              <w:pStyle w:val="BlockText-Plain"/>
            </w:pPr>
            <w:r w:rsidRPr="00C9343F">
              <w:t>The following conditions apply to accepting an offer made under section 3.5.14D.</w:t>
            </w:r>
          </w:p>
        </w:tc>
      </w:tr>
      <w:tr w:rsidR="00016F3B" w:rsidRPr="00C9343F" w14:paraId="0452C101" w14:textId="77777777" w:rsidTr="00841AD6">
        <w:tc>
          <w:tcPr>
            <w:tcW w:w="992" w:type="dxa"/>
          </w:tcPr>
          <w:p w14:paraId="4A34531B" w14:textId="77777777" w:rsidR="00016F3B" w:rsidRPr="00C9343F" w:rsidRDefault="00016F3B" w:rsidP="00F66D98">
            <w:pPr>
              <w:pStyle w:val="BlockText-Plain"/>
              <w:jc w:val="center"/>
            </w:pPr>
          </w:p>
        </w:tc>
        <w:tc>
          <w:tcPr>
            <w:tcW w:w="596" w:type="dxa"/>
          </w:tcPr>
          <w:p w14:paraId="54651FFA" w14:textId="77777777" w:rsidR="00016F3B" w:rsidRPr="00C9343F" w:rsidRDefault="00016F3B" w:rsidP="007114B1">
            <w:pPr>
              <w:pStyle w:val="BlockText-Plain"/>
              <w:jc w:val="center"/>
            </w:pPr>
            <w:r w:rsidRPr="00C9343F">
              <w:t>a.</w:t>
            </w:r>
          </w:p>
        </w:tc>
        <w:tc>
          <w:tcPr>
            <w:tcW w:w="7771" w:type="dxa"/>
            <w:gridSpan w:val="2"/>
          </w:tcPr>
          <w:p w14:paraId="4688AC9C" w14:textId="77777777" w:rsidR="00016F3B" w:rsidRPr="00C9343F" w:rsidRDefault="00016F3B" w:rsidP="00F66D98">
            <w:pPr>
              <w:pStyle w:val="BlockText-Plain"/>
            </w:pPr>
            <w:r w:rsidRPr="00C9343F">
              <w:t>The member must accept the offer in writing.</w:t>
            </w:r>
          </w:p>
        </w:tc>
      </w:tr>
      <w:tr w:rsidR="00016F3B" w:rsidRPr="00C9343F" w14:paraId="6922AC2D" w14:textId="77777777" w:rsidTr="00841AD6">
        <w:tc>
          <w:tcPr>
            <w:tcW w:w="992" w:type="dxa"/>
          </w:tcPr>
          <w:p w14:paraId="75C2FF27" w14:textId="77777777" w:rsidR="00016F3B" w:rsidRPr="00C9343F" w:rsidRDefault="00016F3B" w:rsidP="00F66D98">
            <w:pPr>
              <w:pStyle w:val="BlockText-Plain"/>
              <w:jc w:val="center"/>
            </w:pPr>
          </w:p>
        </w:tc>
        <w:tc>
          <w:tcPr>
            <w:tcW w:w="596" w:type="dxa"/>
          </w:tcPr>
          <w:p w14:paraId="54C3796C" w14:textId="77777777" w:rsidR="00016F3B" w:rsidRPr="00C9343F" w:rsidRDefault="00016F3B" w:rsidP="007114B1">
            <w:pPr>
              <w:pStyle w:val="BlockText-Plain"/>
              <w:jc w:val="center"/>
            </w:pPr>
            <w:r w:rsidRPr="00C9343F">
              <w:t>b.</w:t>
            </w:r>
          </w:p>
        </w:tc>
        <w:tc>
          <w:tcPr>
            <w:tcW w:w="7771" w:type="dxa"/>
            <w:gridSpan w:val="2"/>
          </w:tcPr>
          <w:p w14:paraId="6A16009E" w14:textId="77777777" w:rsidR="00016F3B" w:rsidRPr="00C9343F" w:rsidRDefault="00016F3B" w:rsidP="00F66D98">
            <w:pPr>
              <w:pStyle w:val="BlockText-Plain"/>
            </w:pPr>
            <w:r w:rsidRPr="00C9343F">
              <w:t>The offer must be accepted before the later of the following.</w:t>
            </w:r>
          </w:p>
        </w:tc>
      </w:tr>
      <w:tr w:rsidR="00016F3B" w:rsidRPr="00C9343F" w14:paraId="3F95A122" w14:textId="77777777" w:rsidTr="00841AD6">
        <w:tc>
          <w:tcPr>
            <w:tcW w:w="992" w:type="dxa"/>
          </w:tcPr>
          <w:p w14:paraId="72342112" w14:textId="77777777" w:rsidR="00016F3B" w:rsidRPr="00C9343F" w:rsidRDefault="00016F3B" w:rsidP="00F66D98">
            <w:pPr>
              <w:pStyle w:val="BlockText-Plain"/>
              <w:jc w:val="center"/>
            </w:pPr>
          </w:p>
        </w:tc>
        <w:tc>
          <w:tcPr>
            <w:tcW w:w="596" w:type="dxa"/>
          </w:tcPr>
          <w:p w14:paraId="54E5B0DD" w14:textId="77777777" w:rsidR="00016F3B" w:rsidRPr="00C9343F" w:rsidRDefault="00016F3B" w:rsidP="00F66D98">
            <w:pPr>
              <w:pStyle w:val="BlockText-Plain"/>
            </w:pPr>
          </w:p>
        </w:tc>
        <w:tc>
          <w:tcPr>
            <w:tcW w:w="567" w:type="dxa"/>
          </w:tcPr>
          <w:p w14:paraId="0ABEFBE9" w14:textId="77777777" w:rsidR="00016F3B" w:rsidRPr="00C9343F" w:rsidRDefault="00016F3B" w:rsidP="007114B1">
            <w:pPr>
              <w:pStyle w:val="BlockText-Plain"/>
            </w:pPr>
            <w:r w:rsidRPr="00C9343F">
              <w:t>i.</w:t>
            </w:r>
          </w:p>
        </w:tc>
        <w:tc>
          <w:tcPr>
            <w:tcW w:w="7204" w:type="dxa"/>
          </w:tcPr>
          <w:p w14:paraId="5BD2C327" w14:textId="77777777" w:rsidR="00016F3B" w:rsidRPr="00C9343F" w:rsidRDefault="00016F3B" w:rsidP="00F66D98">
            <w:pPr>
              <w:pStyle w:val="BlockText-Plain"/>
            </w:pPr>
            <w:r w:rsidRPr="00C9343F">
              <w:t>Twenty-eight days after the day the offer is made.</w:t>
            </w:r>
          </w:p>
        </w:tc>
      </w:tr>
      <w:tr w:rsidR="00016F3B" w:rsidRPr="00C9343F" w14:paraId="3D656BBB" w14:textId="77777777" w:rsidTr="00841AD6">
        <w:tc>
          <w:tcPr>
            <w:tcW w:w="992" w:type="dxa"/>
          </w:tcPr>
          <w:p w14:paraId="6A5379C1" w14:textId="77777777" w:rsidR="00016F3B" w:rsidRPr="00C9343F" w:rsidRDefault="00016F3B" w:rsidP="00F66D98">
            <w:pPr>
              <w:pStyle w:val="BlockText-Plain"/>
              <w:jc w:val="center"/>
            </w:pPr>
          </w:p>
        </w:tc>
        <w:tc>
          <w:tcPr>
            <w:tcW w:w="596" w:type="dxa"/>
          </w:tcPr>
          <w:p w14:paraId="1F72CA3D" w14:textId="77777777" w:rsidR="00016F3B" w:rsidRPr="00C9343F" w:rsidRDefault="00016F3B" w:rsidP="00F66D98">
            <w:pPr>
              <w:pStyle w:val="BlockText-Plain"/>
            </w:pPr>
          </w:p>
        </w:tc>
        <w:tc>
          <w:tcPr>
            <w:tcW w:w="567" w:type="dxa"/>
          </w:tcPr>
          <w:p w14:paraId="11C559EF" w14:textId="77777777" w:rsidR="00016F3B" w:rsidRPr="00C9343F" w:rsidRDefault="00016F3B" w:rsidP="007114B1">
            <w:pPr>
              <w:pStyle w:val="BlockText-Plain"/>
            </w:pPr>
            <w:r w:rsidRPr="00C9343F">
              <w:t>ii.</w:t>
            </w:r>
          </w:p>
        </w:tc>
        <w:tc>
          <w:tcPr>
            <w:tcW w:w="7204" w:type="dxa"/>
          </w:tcPr>
          <w:p w14:paraId="5B17DC25" w14:textId="77777777" w:rsidR="00016F3B" w:rsidRPr="00C9343F" w:rsidRDefault="00016F3B" w:rsidP="00F66D98">
            <w:pPr>
              <w:pStyle w:val="BlockText-Plain"/>
              <w:rPr>
                <w:b/>
                <w:i/>
              </w:rPr>
            </w:pPr>
            <w:r w:rsidRPr="00C9343F">
              <w:t>If the member was deployed when the offer was made</w:t>
            </w:r>
            <w:r w:rsidRPr="00C9343F">
              <w:rPr>
                <w:rFonts w:cs="Arial"/>
              </w:rPr>
              <w:t>—</w:t>
            </w:r>
            <w:r w:rsidRPr="00C9343F">
              <w:t>the day twenty-eight days after the day the member returns to Australia after deployment.</w:t>
            </w:r>
          </w:p>
        </w:tc>
      </w:tr>
      <w:tr w:rsidR="00016F3B" w:rsidRPr="00C9343F" w14:paraId="545B0A49" w14:textId="77777777" w:rsidTr="00841AD6">
        <w:tc>
          <w:tcPr>
            <w:tcW w:w="992" w:type="dxa"/>
          </w:tcPr>
          <w:p w14:paraId="76E2BB2C" w14:textId="77777777" w:rsidR="00016F3B" w:rsidRPr="00C9343F" w:rsidRDefault="00016F3B" w:rsidP="00F66D98">
            <w:pPr>
              <w:pStyle w:val="BlockText-Plain"/>
              <w:jc w:val="center"/>
            </w:pPr>
          </w:p>
        </w:tc>
        <w:tc>
          <w:tcPr>
            <w:tcW w:w="596" w:type="dxa"/>
          </w:tcPr>
          <w:p w14:paraId="733389CE" w14:textId="77777777" w:rsidR="00016F3B" w:rsidRPr="00C9343F" w:rsidRDefault="00016F3B" w:rsidP="00F66D98">
            <w:pPr>
              <w:pStyle w:val="BlockText-Plain"/>
            </w:pPr>
          </w:p>
        </w:tc>
        <w:tc>
          <w:tcPr>
            <w:tcW w:w="567" w:type="dxa"/>
          </w:tcPr>
          <w:p w14:paraId="1B3AA9BC" w14:textId="77777777" w:rsidR="00016F3B" w:rsidRPr="00C9343F" w:rsidRDefault="00016F3B" w:rsidP="007114B1">
            <w:pPr>
              <w:pStyle w:val="BlockText-Plain"/>
            </w:pPr>
            <w:r w:rsidRPr="00C9343F">
              <w:t>iii.</w:t>
            </w:r>
          </w:p>
        </w:tc>
        <w:tc>
          <w:tcPr>
            <w:tcW w:w="7204" w:type="dxa"/>
          </w:tcPr>
          <w:p w14:paraId="348E5B8D" w14:textId="77777777" w:rsidR="00016F3B" w:rsidRPr="00C9343F" w:rsidRDefault="00016F3B" w:rsidP="00F66D98">
            <w:pPr>
              <w:pStyle w:val="BlockText-Plain"/>
              <w:rPr>
                <w:b/>
                <w:i/>
              </w:rPr>
            </w:pPr>
            <w:r w:rsidRPr="00C9343F">
              <w:t>A later day that the CDF determines is reasonable having regard to the member's circumstance.</w:t>
            </w:r>
          </w:p>
        </w:tc>
      </w:tr>
    </w:tbl>
    <w:p w14:paraId="43A67919" w14:textId="5D732449" w:rsidR="009B623A" w:rsidRPr="00C9343F" w:rsidRDefault="009B623A" w:rsidP="00F66D98">
      <w:pPr>
        <w:pStyle w:val="Heading5"/>
      </w:pPr>
      <w:bookmarkStart w:id="556" w:name="_Toc105053765"/>
      <w:r w:rsidRPr="00C9343F">
        <w:t>3.5.14F</w:t>
      </w:r>
      <w:r w:rsidR="00D94006" w:rsidRPr="00C9343F">
        <w:t>    </w:t>
      </w:r>
      <w:r w:rsidRPr="00C9343F">
        <w:t>Cessation of the Reserve capability payment</w:t>
      </w:r>
      <w:bookmarkEnd w:id="556"/>
      <w:r w:rsidRPr="00C9343F">
        <w:t> </w:t>
      </w:r>
    </w:p>
    <w:tbl>
      <w:tblPr>
        <w:tblW w:w="9359" w:type="dxa"/>
        <w:tblInd w:w="113" w:type="dxa"/>
        <w:tblLayout w:type="fixed"/>
        <w:tblLook w:val="0000" w:firstRow="0" w:lastRow="0" w:firstColumn="0" w:lastColumn="0" w:noHBand="0" w:noVBand="0"/>
      </w:tblPr>
      <w:tblGrid>
        <w:gridCol w:w="992"/>
        <w:gridCol w:w="8367"/>
      </w:tblGrid>
      <w:tr w:rsidR="009B623A" w:rsidRPr="00C9343F" w14:paraId="7D967BDD" w14:textId="77777777" w:rsidTr="00EA09AE">
        <w:tc>
          <w:tcPr>
            <w:tcW w:w="992" w:type="dxa"/>
          </w:tcPr>
          <w:p w14:paraId="6480811B" w14:textId="77777777" w:rsidR="009B623A" w:rsidRPr="00C9343F" w:rsidRDefault="009B623A" w:rsidP="00F66D98">
            <w:pPr>
              <w:spacing w:after="200"/>
              <w:jc w:val="center"/>
              <w:rPr>
                <w:rFonts w:cs="Arial"/>
                <w:sz w:val="20"/>
              </w:rPr>
            </w:pPr>
            <w:r w:rsidRPr="00C9343F">
              <w:rPr>
                <w:rFonts w:cs="Arial"/>
                <w:sz w:val="20"/>
              </w:rPr>
              <w:t>1.</w:t>
            </w:r>
          </w:p>
        </w:tc>
        <w:tc>
          <w:tcPr>
            <w:tcW w:w="8367" w:type="dxa"/>
          </w:tcPr>
          <w:p w14:paraId="30E5DE86" w14:textId="77777777" w:rsidR="009B623A" w:rsidRPr="00C9343F" w:rsidRDefault="009B623A" w:rsidP="00F66D98">
            <w:pPr>
              <w:pStyle w:val="BlockText-Plain"/>
            </w:pPr>
            <w:r w:rsidRPr="00C9343F">
              <w:t xml:space="preserve">The CDF may end the arrangement under which the Reserve capability payment is being made at any time. </w:t>
            </w:r>
          </w:p>
        </w:tc>
      </w:tr>
      <w:tr w:rsidR="009B623A" w:rsidRPr="00C9343F" w14:paraId="56B4D75B" w14:textId="77777777" w:rsidTr="00EA09AE">
        <w:tc>
          <w:tcPr>
            <w:tcW w:w="992" w:type="dxa"/>
          </w:tcPr>
          <w:p w14:paraId="111ACE8A" w14:textId="77777777" w:rsidR="009B623A" w:rsidRPr="00C9343F" w:rsidRDefault="009B623A" w:rsidP="00F66D98">
            <w:pPr>
              <w:spacing w:after="200"/>
              <w:jc w:val="center"/>
              <w:rPr>
                <w:rFonts w:cs="Arial"/>
                <w:sz w:val="20"/>
              </w:rPr>
            </w:pPr>
            <w:r w:rsidRPr="00C9343F">
              <w:rPr>
                <w:rFonts w:cs="Arial"/>
                <w:sz w:val="20"/>
              </w:rPr>
              <w:t>2.</w:t>
            </w:r>
          </w:p>
        </w:tc>
        <w:tc>
          <w:tcPr>
            <w:tcW w:w="8367" w:type="dxa"/>
          </w:tcPr>
          <w:p w14:paraId="4C724459" w14:textId="77777777" w:rsidR="009B623A" w:rsidRPr="00C9343F" w:rsidRDefault="009B623A" w:rsidP="00F66D98">
            <w:pPr>
              <w:pStyle w:val="BlockText-Plain"/>
            </w:pPr>
            <w:r w:rsidRPr="00C9343F">
              <w:t>If subsection 1 applies, payment to the member or repayment by the member is provided in the following table.</w:t>
            </w:r>
          </w:p>
        </w:tc>
      </w:tr>
    </w:tbl>
    <w:p w14:paraId="72B6B3C5" w14:textId="77777777" w:rsidR="009B623A" w:rsidRPr="00C9343F" w:rsidRDefault="009B623A" w:rsidP="00F66D98"/>
    <w:tbl>
      <w:tblPr>
        <w:tblW w:w="8934" w:type="dxa"/>
        <w:tblInd w:w="336" w:type="dxa"/>
        <w:tblLayout w:type="fixed"/>
        <w:tblCellMar>
          <w:left w:w="56" w:type="dxa"/>
          <w:right w:w="56" w:type="dxa"/>
        </w:tblCellMar>
        <w:tblLook w:val="0000" w:firstRow="0" w:lastRow="0" w:firstColumn="0" w:lastColumn="0" w:noHBand="0" w:noVBand="0"/>
      </w:tblPr>
      <w:tblGrid>
        <w:gridCol w:w="561"/>
        <w:gridCol w:w="2219"/>
        <w:gridCol w:w="2880"/>
        <w:gridCol w:w="3274"/>
      </w:tblGrid>
      <w:tr w:rsidR="009B623A" w:rsidRPr="00C9343F" w14:paraId="0779569D" w14:textId="77777777" w:rsidTr="00EA09AE">
        <w:trPr>
          <w:cantSplit/>
        </w:trPr>
        <w:tc>
          <w:tcPr>
            <w:tcW w:w="561" w:type="dxa"/>
            <w:tcBorders>
              <w:top w:val="single" w:sz="6" w:space="0" w:color="auto"/>
              <w:left w:val="single" w:sz="6" w:space="0" w:color="auto"/>
              <w:bottom w:val="single" w:sz="6" w:space="0" w:color="auto"/>
              <w:right w:val="single" w:sz="6" w:space="0" w:color="auto"/>
            </w:tcBorders>
          </w:tcPr>
          <w:p w14:paraId="661B741E" w14:textId="77777777" w:rsidR="009B623A" w:rsidRPr="00C9343F" w:rsidRDefault="009B623A" w:rsidP="00F66D98">
            <w:pPr>
              <w:pStyle w:val="TableHeaderArial"/>
            </w:pPr>
            <w:r w:rsidRPr="00C9343F">
              <w:t>Item</w:t>
            </w:r>
          </w:p>
        </w:tc>
        <w:tc>
          <w:tcPr>
            <w:tcW w:w="2219" w:type="dxa"/>
            <w:tcBorders>
              <w:top w:val="single" w:sz="6" w:space="0" w:color="auto"/>
              <w:left w:val="single" w:sz="6" w:space="0" w:color="auto"/>
              <w:bottom w:val="single" w:sz="6" w:space="0" w:color="auto"/>
              <w:right w:val="single" w:sz="6" w:space="0" w:color="auto"/>
            </w:tcBorders>
          </w:tcPr>
          <w:p w14:paraId="46427DF0" w14:textId="5B30EAA7" w:rsidR="009B623A" w:rsidRPr="00C9343F" w:rsidRDefault="009B623A" w:rsidP="00F66D98">
            <w:pPr>
              <w:pStyle w:val="TableHeaderArial"/>
            </w:pPr>
            <w:r w:rsidRPr="00C9343F">
              <w:t>If the CDF ended the Reserve capability arrangement</w:t>
            </w:r>
            <w:r w:rsidR="00D94006" w:rsidRPr="00C9343F">
              <w:t>    </w:t>
            </w:r>
          </w:p>
        </w:tc>
        <w:tc>
          <w:tcPr>
            <w:tcW w:w="2880" w:type="dxa"/>
            <w:tcBorders>
              <w:top w:val="single" w:sz="6" w:space="0" w:color="auto"/>
              <w:left w:val="single" w:sz="6" w:space="0" w:color="auto"/>
              <w:bottom w:val="single" w:sz="6" w:space="0" w:color="auto"/>
              <w:right w:val="single" w:sz="6" w:space="0" w:color="auto"/>
            </w:tcBorders>
          </w:tcPr>
          <w:p w14:paraId="7FE62E42" w14:textId="63DC206E" w:rsidR="009B623A" w:rsidRPr="00C9343F" w:rsidRDefault="009B623A" w:rsidP="00F66D98">
            <w:pPr>
              <w:pStyle w:val="TableHeaderArial"/>
            </w:pPr>
            <w:r w:rsidRPr="00C9343F">
              <w:t>the member must repay</w:t>
            </w:r>
            <w:r w:rsidR="00D94006" w:rsidRPr="00C9343F">
              <w:t>    </w:t>
            </w:r>
          </w:p>
        </w:tc>
        <w:tc>
          <w:tcPr>
            <w:tcW w:w="3274" w:type="dxa"/>
            <w:tcBorders>
              <w:top w:val="single" w:sz="6" w:space="0" w:color="auto"/>
              <w:left w:val="single" w:sz="6" w:space="0" w:color="auto"/>
              <w:bottom w:val="single" w:sz="6" w:space="0" w:color="auto"/>
              <w:right w:val="single" w:sz="6" w:space="0" w:color="auto"/>
            </w:tcBorders>
          </w:tcPr>
          <w:p w14:paraId="3C89A485" w14:textId="1E72E248" w:rsidR="009B623A" w:rsidRPr="00C9343F" w:rsidRDefault="009B623A" w:rsidP="00F66D98">
            <w:pPr>
              <w:pStyle w:val="TableHeaderArial"/>
            </w:pPr>
            <w:r w:rsidRPr="00C9343F">
              <w:t>and if there is an outstanding amount to be paid</w:t>
            </w:r>
            <w:r w:rsidR="00D94006" w:rsidRPr="00C9343F">
              <w:t>    </w:t>
            </w:r>
          </w:p>
        </w:tc>
      </w:tr>
      <w:tr w:rsidR="009B623A" w:rsidRPr="00C9343F" w14:paraId="0AE2D0A8" w14:textId="77777777" w:rsidTr="00EA09AE">
        <w:trPr>
          <w:cantSplit/>
          <w:trHeight w:val="236"/>
        </w:trPr>
        <w:tc>
          <w:tcPr>
            <w:tcW w:w="561" w:type="dxa"/>
            <w:tcBorders>
              <w:top w:val="single" w:sz="6" w:space="0" w:color="auto"/>
              <w:left w:val="single" w:sz="6" w:space="0" w:color="auto"/>
              <w:bottom w:val="single" w:sz="6" w:space="0" w:color="auto"/>
              <w:right w:val="single" w:sz="6" w:space="0" w:color="auto"/>
            </w:tcBorders>
          </w:tcPr>
          <w:p w14:paraId="54FC85C6" w14:textId="77777777" w:rsidR="009B623A" w:rsidRPr="00C9343F" w:rsidRDefault="009B623A" w:rsidP="00F66D98">
            <w:pPr>
              <w:pStyle w:val="TableTextArial-left"/>
              <w:jc w:val="center"/>
            </w:pPr>
            <w:r w:rsidRPr="00C9343F">
              <w:t>1.</w:t>
            </w:r>
          </w:p>
        </w:tc>
        <w:tc>
          <w:tcPr>
            <w:tcW w:w="2219" w:type="dxa"/>
            <w:tcBorders>
              <w:top w:val="single" w:sz="6" w:space="0" w:color="auto"/>
              <w:left w:val="single" w:sz="6" w:space="0" w:color="auto"/>
              <w:bottom w:val="single" w:sz="6" w:space="0" w:color="auto"/>
              <w:right w:val="single" w:sz="6" w:space="0" w:color="auto"/>
            </w:tcBorders>
          </w:tcPr>
          <w:p w14:paraId="76A4D45E" w14:textId="77777777" w:rsidR="009B623A" w:rsidRPr="00C9343F" w:rsidRDefault="009B623A" w:rsidP="00F66D98">
            <w:pPr>
              <w:pStyle w:val="TableTextArial-left"/>
              <w:spacing w:after="120"/>
            </w:pPr>
            <w:r w:rsidRPr="00C9343F">
              <w:t>for under-performance or disciplinary reasons,</w:t>
            </w:r>
          </w:p>
        </w:tc>
        <w:tc>
          <w:tcPr>
            <w:tcW w:w="2880" w:type="dxa"/>
            <w:vMerge w:val="restart"/>
            <w:tcBorders>
              <w:top w:val="single" w:sz="6" w:space="0" w:color="auto"/>
              <w:left w:val="single" w:sz="6" w:space="0" w:color="auto"/>
              <w:right w:val="single" w:sz="6" w:space="0" w:color="auto"/>
            </w:tcBorders>
          </w:tcPr>
          <w:p w14:paraId="2C741961" w14:textId="77777777" w:rsidR="009B623A" w:rsidRPr="00C9343F" w:rsidRDefault="009B623A" w:rsidP="00F66D98">
            <w:pPr>
              <w:pStyle w:val="TableTextArial-left"/>
            </w:pPr>
            <w:r w:rsidRPr="00C9343F">
              <w:t>all payments received</w:t>
            </w:r>
          </w:p>
          <w:p w14:paraId="7CFE6232" w14:textId="77777777" w:rsidR="009B623A" w:rsidRPr="00C9343F" w:rsidRDefault="009B623A" w:rsidP="00F66D98">
            <w:pPr>
              <w:pStyle w:val="TableTextArial-left"/>
            </w:pPr>
          </w:p>
        </w:tc>
        <w:tc>
          <w:tcPr>
            <w:tcW w:w="3274" w:type="dxa"/>
            <w:vMerge w:val="restart"/>
            <w:tcBorders>
              <w:top w:val="single" w:sz="6" w:space="0" w:color="auto"/>
              <w:left w:val="single" w:sz="6" w:space="0" w:color="auto"/>
              <w:right w:val="single" w:sz="6" w:space="0" w:color="auto"/>
            </w:tcBorders>
          </w:tcPr>
          <w:p w14:paraId="460A0EB3" w14:textId="77777777" w:rsidR="009B623A" w:rsidRPr="00C9343F" w:rsidRDefault="009B623A" w:rsidP="00F66D98">
            <w:pPr>
              <w:pStyle w:val="TableTextArial-left"/>
            </w:pPr>
            <w:r w:rsidRPr="00C9343F">
              <w:t>the member is not eligible to be paid any of that amount.</w:t>
            </w:r>
          </w:p>
        </w:tc>
      </w:tr>
      <w:tr w:rsidR="009B623A" w:rsidRPr="00C9343F" w14:paraId="168C8C59" w14:textId="77777777" w:rsidTr="00EA09AE">
        <w:trPr>
          <w:cantSplit/>
          <w:trHeight w:val="236"/>
        </w:trPr>
        <w:tc>
          <w:tcPr>
            <w:tcW w:w="561" w:type="dxa"/>
            <w:tcBorders>
              <w:top w:val="single" w:sz="6" w:space="0" w:color="auto"/>
              <w:left w:val="single" w:sz="6" w:space="0" w:color="auto"/>
              <w:bottom w:val="single" w:sz="6" w:space="0" w:color="auto"/>
              <w:right w:val="single" w:sz="6" w:space="0" w:color="auto"/>
            </w:tcBorders>
          </w:tcPr>
          <w:p w14:paraId="3A6B7886" w14:textId="77777777" w:rsidR="009B623A" w:rsidRPr="00C9343F" w:rsidRDefault="009B623A" w:rsidP="00F66D98">
            <w:pPr>
              <w:pStyle w:val="TableTextArial-left"/>
              <w:jc w:val="center"/>
            </w:pPr>
            <w:r w:rsidRPr="00C9343F">
              <w:t>2.</w:t>
            </w:r>
          </w:p>
        </w:tc>
        <w:tc>
          <w:tcPr>
            <w:tcW w:w="2219" w:type="dxa"/>
            <w:tcBorders>
              <w:top w:val="single" w:sz="6" w:space="0" w:color="auto"/>
              <w:left w:val="single" w:sz="6" w:space="0" w:color="auto"/>
              <w:bottom w:val="single" w:sz="6" w:space="0" w:color="auto"/>
              <w:right w:val="single" w:sz="6" w:space="0" w:color="auto"/>
            </w:tcBorders>
          </w:tcPr>
          <w:p w14:paraId="18AC1F3F" w14:textId="382890D7" w:rsidR="009B623A" w:rsidRPr="00C9343F" w:rsidRDefault="009B623A" w:rsidP="00F66D98">
            <w:pPr>
              <w:pStyle w:val="TableTextArial-left"/>
              <w:spacing w:after="120"/>
            </w:pPr>
            <w:r w:rsidRPr="00C9343F">
              <w:t>for reasons the CDF is satisfied the member could have avoided</w:t>
            </w:r>
          </w:p>
        </w:tc>
        <w:tc>
          <w:tcPr>
            <w:tcW w:w="2880" w:type="dxa"/>
            <w:vMerge/>
            <w:tcBorders>
              <w:left w:val="single" w:sz="6" w:space="0" w:color="auto"/>
              <w:bottom w:val="single" w:sz="6" w:space="0" w:color="auto"/>
              <w:right w:val="single" w:sz="6" w:space="0" w:color="auto"/>
            </w:tcBorders>
          </w:tcPr>
          <w:p w14:paraId="1E3783D6" w14:textId="77777777" w:rsidR="009B623A" w:rsidRPr="00C9343F" w:rsidRDefault="009B623A" w:rsidP="00F66D98">
            <w:pPr>
              <w:pStyle w:val="TableTextArial-left"/>
            </w:pPr>
          </w:p>
        </w:tc>
        <w:tc>
          <w:tcPr>
            <w:tcW w:w="3274" w:type="dxa"/>
            <w:vMerge/>
            <w:tcBorders>
              <w:left w:val="single" w:sz="6" w:space="0" w:color="auto"/>
              <w:bottom w:val="single" w:sz="6" w:space="0" w:color="auto"/>
              <w:right w:val="single" w:sz="6" w:space="0" w:color="auto"/>
            </w:tcBorders>
          </w:tcPr>
          <w:p w14:paraId="52C97B50" w14:textId="77777777" w:rsidR="009B623A" w:rsidRPr="00C9343F" w:rsidRDefault="009B623A" w:rsidP="00F66D98">
            <w:pPr>
              <w:pStyle w:val="TableTextArial-left"/>
            </w:pPr>
          </w:p>
        </w:tc>
      </w:tr>
      <w:tr w:rsidR="009B623A" w:rsidRPr="00C9343F" w14:paraId="3A8D89D1" w14:textId="77777777" w:rsidTr="00434C78">
        <w:trPr>
          <w:cantSplit/>
          <w:trHeight w:val="977"/>
        </w:trPr>
        <w:tc>
          <w:tcPr>
            <w:tcW w:w="561" w:type="dxa"/>
            <w:tcBorders>
              <w:top w:val="single" w:sz="6" w:space="0" w:color="auto"/>
              <w:left w:val="single" w:sz="6" w:space="0" w:color="auto"/>
              <w:bottom w:val="single" w:sz="6" w:space="0" w:color="auto"/>
              <w:right w:val="single" w:sz="6" w:space="0" w:color="auto"/>
            </w:tcBorders>
          </w:tcPr>
          <w:p w14:paraId="3F05CCD8" w14:textId="77777777" w:rsidR="009B623A" w:rsidRPr="00C9343F" w:rsidRDefault="009B623A" w:rsidP="00F66D98">
            <w:pPr>
              <w:pStyle w:val="TableTextArial-left"/>
              <w:jc w:val="center"/>
            </w:pPr>
            <w:r w:rsidRPr="00C9343F">
              <w:t>3.</w:t>
            </w:r>
          </w:p>
        </w:tc>
        <w:tc>
          <w:tcPr>
            <w:tcW w:w="2219" w:type="dxa"/>
            <w:tcBorders>
              <w:top w:val="single" w:sz="6" w:space="0" w:color="auto"/>
              <w:left w:val="single" w:sz="6" w:space="0" w:color="auto"/>
              <w:bottom w:val="single" w:sz="6" w:space="0" w:color="auto"/>
              <w:right w:val="single" w:sz="6" w:space="0" w:color="auto"/>
            </w:tcBorders>
          </w:tcPr>
          <w:p w14:paraId="2555EB06" w14:textId="237705F9" w:rsidR="009B623A" w:rsidRPr="00C9343F" w:rsidRDefault="009B623A" w:rsidP="00F66D98">
            <w:pPr>
              <w:pStyle w:val="TableTextArial-left"/>
              <w:spacing w:after="120"/>
            </w:pPr>
            <w:r w:rsidRPr="00C9343F">
              <w:t>for reasons the CDF is satisfied the member could not have avoided,</w:t>
            </w:r>
          </w:p>
        </w:tc>
        <w:tc>
          <w:tcPr>
            <w:tcW w:w="2880" w:type="dxa"/>
            <w:tcBorders>
              <w:top w:val="single" w:sz="6" w:space="0" w:color="auto"/>
              <w:left w:val="single" w:sz="6" w:space="0" w:color="auto"/>
              <w:bottom w:val="single" w:sz="6" w:space="0" w:color="auto"/>
              <w:right w:val="single" w:sz="6" w:space="0" w:color="auto"/>
            </w:tcBorders>
          </w:tcPr>
          <w:p w14:paraId="6C2609D0" w14:textId="77777777" w:rsidR="009B623A" w:rsidRPr="00C9343F" w:rsidRDefault="009B623A" w:rsidP="00F66D98">
            <w:pPr>
              <w:pStyle w:val="TableTextArial-left"/>
            </w:pPr>
            <w:r w:rsidRPr="00C9343F">
              <w:t>an amount decided by the CDF up to the amount paid to the member</w:t>
            </w:r>
          </w:p>
        </w:tc>
        <w:tc>
          <w:tcPr>
            <w:tcW w:w="3274" w:type="dxa"/>
            <w:tcBorders>
              <w:top w:val="single" w:sz="6" w:space="0" w:color="auto"/>
              <w:left w:val="single" w:sz="6" w:space="0" w:color="auto"/>
              <w:bottom w:val="single" w:sz="6" w:space="0" w:color="auto"/>
              <w:right w:val="single" w:sz="6" w:space="0" w:color="auto"/>
            </w:tcBorders>
          </w:tcPr>
          <w:p w14:paraId="0A535917" w14:textId="77777777" w:rsidR="009B623A" w:rsidRPr="00C9343F" w:rsidRDefault="009B623A" w:rsidP="00F66D98">
            <w:pPr>
              <w:pStyle w:val="TableTextArial-left"/>
            </w:pPr>
            <w:r w:rsidRPr="00C9343F">
              <w:t>an amount decided by the CDF.</w:t>
            </w:r>
          </w:p>
        </w:tc>
      </w:tr>
    </w:tbl>
    <w:p w14:paraId="62ECF52F" w14:textId="77777777" w:rsidR="00016F3B" w:rsidRPr="00C9343F" w:rsidRDefault="00016F3B" w:rsidP="00F66D98"/>
    <w:p w14:paraId="3786F93F" w14:textId="10B7547F" w:rsidR="00016F3B" w:rsidRPr="00C9343F" w:rsidRDefault="00016F3B" w:rsidP="00F66D98">
      <w:pPr>
        <w:pStyle w:val="Heading4"/>
        <w:pageBreakBefore/>
        <w:spacing w:before="200" w:after="0" w:line="260" w:lineRule="atLeast"/>
        <w:rPr>
          <w:szCs w:val="26"/>
        </w:rPr>
      </w:pPr>
      <w:bookmarkStart w:id="557" w:name="_Toc105053766"/>
      <w:r w:rsidRPr="00C9343F">
        <w:rPr>
          <w:szCs w:val="26"/>
        </w:rPr>
        <w:lastRenderedPageBreak/>
        <w:t>Division 2B: Reserve capability completion bonus – capability at short-notice</w:t>
      </w:r>
      <w:bookmarkEnd w:id="557"/>
    </w:p>
    <w:p w14:paraId="5014B250" w14:textId="587F61B5" w:rsidR="00016F3B" w:rsidRPr="00C9343F" w:rsidRDefault="00016F3B" w:rsidP="00F66D98">
      <w:pPr>
        <w:pStyle w:val="Heading5"/>
      </w:pPr>
      <w:bookmarkStart w:id="558" w:name="_Toc105053767"/>
      <w:r w:rsidRPr="00C9343F">
        <w:t>3.5.14G</w:t>
      </w:r>
      <w:r w:rsidR="00D94006" w:rsidRPr="00C9343F">
        <w:t>    </w:t>
      </w:r>
      <w:r w:rsidRPr="00C9343F">
        <w:t>Purpose</w:t>
      </w:r>
      <w:bookmarkEnd w:id="558"/>
    </w:p>
    <w:tbl>
      <w:tblPr>
        <w:tblW w:w="9392" w:type="dxa"/>
        <w:tblInd w:w="113" w:type="dxa"/>
        <w:tblLayout w:type="fixed"/>
        <w:tblLook w:val="0000" w:firstRow="0" w:lastRow="0" w:firstColumn="0" w:lastColumn="0" w:noHBand="0" w:noVBand="0"/>
      </w:tblPr>
      <w:tblGrid>
        <w:gridCol w:w="992"/>
        <w:gridCol w:w="8400"/>
      </w:tblGrid>
      <w:tr w:rsidR="00016F3B" w:rsidRPr="00C9343F" w14:paraId="0C5035F1" w14:textId="77777777" w:rsidTr="00841AD6">
        <w:tc>
          <w:tcPr>
            <w:tcW w:w="992" w:type="dxa"/>
          </w:tcPr>
          <w:p w14:paraId="45098B64" w14:textId="77777777" w:rsidR="00016F3B" w:rsidRPr="00C9343F" w:rsidRDefault="00016F3B" w:rsidP="00F66D98">
            <w:pPr>
              <w:pStyle w:val="BlockText-Plain"/>
              <w:jc w:val="center"/>
            </w:pPr>
          </w:p>
        </w:tc>
        <w:tc>
          <w:tcPr>
            <w:tcW w:w="8400" w:type="dxa"/>
          </w:tcPr>
          <w:p w14:paraId="1A355D7D" w14:textId="77777777" w:rsidR="00016F3B" w:rsidRPr="00C9343F" w:rsidRDefault="00016F3B" w:rsidP="00F66D98">
            <w:pPr>
              <w:pStyle w:val="BlockText-Plain"/>
            </w:pPr>
            <w:r w:rsidRPr="00C9343F">
              <w:rPr>
                <w:iCs/>
              </w:rPr>
              <w:t>The purpose of this Division is to provide a payment to select members of the Reserves as an incentive to provide capability at short-notice.</w:t>
            </w:r>
          </w:p>
        </w:tc>
      </w:tr>
    </w:tbl>
    <w:p w14:paraId="7C32147F" w14:textId="14705A03" w:rsidR="00016F3B" w:rsidRPr="00C9343F" w:rsidRDefault="00016F3B" w:rsidP="00F66D98">
      <w:pPr>
        <w:pStyle w:val="Heading5"/>
      </w:pPr>
      <w:bookmarkStart w:id="559" w:name="_Toc105053768"/>
      <w:r w:rsidRPr="00C9343F">
        <w:t>3.5.14H</w:t>
      </w:r>
      <w:r w:rsidR="00D94006" w:rsidRPr="00C9343F">
        <w:t>    </w:t>
      </w:r>
      <w:r w:rsidRPr="00C9343F">
        <w:t>Member eligible for Reserve capability completion bonus</w:t>
      </w:r>
      <w:bookmarkEnd w:id="559"/>
    </w:p>
    <w:tbl>
      <w:tblPr>
        <w:tblW w:w="9392" w:type="dxa"/>
        <w:tblInd w:w="113" w:type="dxa"/>
        <w:tblLayout w:type="fixed"/>
        <w:tblLook w:val="0000" w:firstRow="0" w:lastRow="0" w:firstColumn="0" w:lastColumn="0" w:noHBand="0" w:noVBand="0"/>
      </w:tblPr>
      <w:tblGrid>
        <w:gridCol w:w="994"/>
        <w:gridCol w:w="594"/>
        <w:gridCol w:w="7804"/>
      </w:tblGrid>
      <w:tr w:rsidR="00016F3B" w:rsidRPr="00C9343F" w14:paraId="7DDB444C" w14:textId="77777777" w:rsidTr="00841AD6">
        <w:tc>
          <w:tcPr>
            <w:tcW w:w="994" w:type="dxa"/>
          </w:tcPr>
          <w:p w14:paraId="284943F3" w14:textId="77777777" w:rsidR="00016F3B" w:rsidRPr="00C9343F" w:rsidRDefault="00016F3B" w:rsidP="00F66D98">
            <w:pPr>
              <w:pStyle w:val="BlockText-Plain"/>
              <w:jc w:val="center"/>
            </w:pPr>
          </w:p>
        </w:tc>
        <w:tc>
          <w:tcPr>
            <w:tcW w:w="8398" w:type="dxa"/>
            <w:gridSpan w:val="2"/>
          </w:tcPr>
          <w:p w14:paraId="1DC085D7" w14:textId="77777777" w:rsidR="00016F3B" w:rsidRPr="00C9343F" w:rsidRDefault="00016F3B" w:rsidP="00F66D98">
            <w:pPr>
              <w:pStyle w:val="BlockText-Plain"/>
            </w:pPr>
            <w:r w:rsidRPr="00C9343F">
              <w:t>A member of the Reserves who meets all of the following.</w:t>
            </w:r>
          </w:p>
        </w:tc>
      </w:tr>
      <w:tr w:rsidR="00016F3B" w:rsidRPr="00C9343F" w14:paraId="03CDC83E" w14:textId="77777777" w:rsidTr="00841AD6">
        <w:tblPrEx>
          <w:tblLook w:val="04A0" w:firstRow="1" w:lastRow="0" w:firstColumn="1" w:lastColumn="0" w:noHBand="0" w:noVBand="1"/>
        </w:tblPrEx>
        <w:trPr>
          <w:cantSplit/>
        </w:trPr>
        <w:tc>
          <w:tcPr>
            <w:tcW w:w="994" w:type="dxa"/>
          </w:tcPr>
          <w:p w14:paraId="5FD8047B" w14:textId="77777777" w:rsidR="00016F3B" w:rsidRPr="00C9343F" w:rsidRDefault="00016F3B" w:rsidP="00F66D98">
            <w:pPr>
              <w:pStyle w:val="BlockText-Plain"/>
            </w:pPr>
          </w:p>
        </w:tc>
        <w:tc>
          <w:tcPr>
            <w:tcW w:w="594" w:type="dxa"/>
            <w:hideMark/>
          </w:tcPr>
          <w:p w14:paraId="7D30B9AC" w14:textId="77777777" w:rsidR="00016F3B" w:rsidRPr="00C9343F" w:rsidRDefault="00016F3B" w:rsidP="007114B1">
            <w:pPr>
              <w:pStyle w:val="BlockText-Plain"/>
              <w:jc w:val="center"/>
            </w:pPr>
            <w:r w:rsidRPr="00C9343F">
              <w:t>a.</w:t>
            </w:r>
          </w:p>
        </w:tc>
        <w:tc>
          <w:tcPr>
            <w:tcW w:w="7804" w:type="dxa"/>
            <w:hideMark/>
          </w:tcPr>
          <w:p w14:paraId="514FF744" w14:textId="77777777" w:rsidR="00016F3B" w:rsidRPr="00C9343F" w:rsidRDefault="00016F3B" w:rsidP="00F66D98">
            <w:pPr>
              <w:pStyle w:val="BlockText-Plain"/>
            </w:pPr>
            <w:r w:rsidRPr="00C9343F">
              <w:t>The member has made a written undertaking to provide capability at short-notice.</w:t>
            </w:r>
          </w:p>
        </w:tc>
      </w:tr>
      <w:tr w:rsidR="00016F3B" w:rsidRPr="00C9343F" w14:paraId="734BCB76" w14:textId="77777777" w:rsidTr="00841AD6">
        <w:tblPrEx>
          <w:tblLook w:val="04A0" w:firstRow="1" w:lastRow="0" w:firstColumn="1" w:lastColumn="0" w:noHBand="0" w:noVBand="1"/>
        </w:tblPrEx>
        <w:trPr>
          <w:cantSplit/>
        </w:trPr>
        <w:tc>
          <w:tcPr>
            <w:tcW w:w="994" w:type="dxa"/>
          </w:tcPr>
          <w:p w14:paraId="0887B284" w14:textId="77777777" w:rsidR="00016F3B" w:rsidRPr="00C9343F" w:rsidRDefault="00016F3B" w:rsidP="00F66D98">
            <w:pPr>
              <w:pStyle w:val="BlockText-Plain"/>
            </w:pPr>
          </w:p>
        </w:tc>
        <w:tc>
          <w:tcPr>
            <w:tcW w:w="594" w:type="dxa"/>
          </w:tcPr>
          <w:p w14:paraId="58D82A13" w14:textId="77777777" w:rsidR="00016F3B" w:rsidRPr="00C9343F" w:rsidRDefault="00016F3B" w:rsidP="007114B1">
            <w:pPr>
              <w:pStyle w:val="BlockText-Plain"/>
              <w:jc w:val="center"/>
            </w:pPr>
            <w:r w:rsidRPr="00C9343F">
              <w:t>b.</w:t>
            </w:r>
          </w:p>
        </w:tc>
        <w:tc>
          <w:tcPr>
            <w:tcW w:w="7804" w:type="dxa"/>
          </w:tcPr>
          <w:p w14:paraId="77D2F69D" w14:textId="77777777" w:rsidR="00016F3B" w:rsidRPr="00C9343F" w:rsidRDefault="00016F3B" w:rsidP="00F66D98">
            <w:pPr>
              <w:pStyle w:val="BlockText-Plain"/>
            </w:pPr>
            <w:r w:rsidRPr="00C9343F">
              <w:t>The member is assigned as Service Category 4 by their Service.</w:t>
            </w:r>
          </w:p>
        </w:tc>
      </w:tr>
    </w:tbl>
    <w:p w14:paraId="3DC95365" w14:textId="15C31545" w:rsidR="00016F3B" w:rsidRPr="00C9343F" w:rsidRDefault="00016F3B" w:rsidP="00F66D98">
      <w:pPr>
        <w:pStyle w:val="Heading5"/>
      </w:pPr>
      <w:bookmarkStart w:id="560" w:name="_Toc105053769"/>
      <w:r w:rsidRPr="00C9343F">
        <w:t>3.5.14I</w:t>
      </w:r>
      <w:r w:rsidR="00D94006" w:rsidRPr="00C9343F">
        <w:t>    </w:t>
      </w:r>
      <w:r w:rsidRPr="00C9343F">
        <w:t>Payment of the bonus</w:t>
      </w:r>
      <w:bookmarkEnd w:id="560"/>
      <w:r w:rsidRPr="00C9343F">
        <w:t xml:space="preserve"> </w:t>
      </w:r>
    </w:p>
    <w:tbl>
      <w:tblPr>
        <w:tblW w:w="9391" w:type="dxa"/>
        <w:tblInd w:w="113" w:type="dxa"/>
        <w:tblLayout w:type="fixed"/>
        <w:tblLook w:val="04A0" w:firstRow="1" w:lastRow="0" w:firstColumn="1" w:lastColumn="0" w:noHBand="0" w:noVBand="1"/>
      </w:tblPr>
      <w:tblGrid>
        <w:gridCol w:w="994"/>
        <w:gridCol w:w="594"/>
        <w:gridCol w:w="7803"/>
      </w:tblGrid>
      <w:tr w:rsidR="00016F3B" w:rsidRPr="00C9343F" w14:paraId="521753CE" w14:textId="77777777" w:rsidTr="00841AD6">
        <w:tc>
          <w:tcPr>
            <w:tcW w:w="994" w:type="dxa"/>
            <w:hideMark/>
          </w:tcPr>
          <w:p w14:paraId="6F912853" w14:textId="77777777" w:rsidR="00016F3B" w:rsidRPr="00C9343F" w:rsidRDefault="00016F3B" w:rsidP="00F66D98">
            <w:pPr>
              <w:spacing w:after="200"/>
              <w:jc w:val="center"/>
              <w:rPr>
                <w:rFonts w:cs="Arial"/>
                <w:sz w:val="20"/>
              </w:rPr>
            </w:pPr>
            <w:r w:rsidRPr="00C9343F">
              <w:rPr>
                <w:rFonts w:cs="Arial"/>
                <w:sz w:val="20"/>
              </w:rPr>
              <w:t>1.</w:t>
            </w:r>
          </w:p>
        </w:tc>
        <w:tc>
          <w:tcPr>
            <w:tcW w:w="8397" w:type="dxa"/>
            <w:gridSpan w:val="2"/>
            <w:hideMark/>
          </w:tcPr>
          <w:p w14:paraId="2EC4E1CD" w14:textId="77777777" w:rsidR="00016F3B" w:rsidRPr="00C9343F" w:rsidRDefault="00016F3B" w:rsidP="00F66D98">
            <w:pPr>
              <w:pStyle w:val="BlockText-Plain"/>
            </w:pPr>
            <w:r w:rsidRPr="00C9343F">
              <w:t>A member is eligible to receive a payment of $5,000 each time they satisfy all of the following criteria.</w:t>
            </w:r>
          </w:p>
        </w:tc>
      </w:tr>
      <w:tr w:rsidR="00016F3B" w:rsidRPr="00C9343F" w14:paraId="25F7B927" w14:textId="77777777" w:rsidTr="00841AD6">
        <w:trPr>
          <w:cantSplit/>
        </w:trPr>
        <w:tc>
          <w:tcPr>
            <w:tcW w:w="994" w:type="dxa"/>
          </w:tcPr>
          <w:p w14:paraId="63F6F9F9" w14:textId="77777777" w:rsidR="00016F3B" w:rsidRPr="00C9343F" w:rsidRDefault="00016F3B" w:rsidP="00F66D98">
            <w:pPr>
              <w:pStyle w:val="BlockText-Plain"/>
            </w:pPr>
          </w:p>
        </w:tc>
        <w:tc>
          <w:tcPr>
            <w:tcW w:w="594" w:type="dxa"/>
          </w:tcPr>
          <w:p w14:paraId="14E0B421" w14:textId="77777777" w:rsidR="00016F3B" w:rsidRPr="00C9343F" w:rsidRDefault="00016F3B" w:rsidP="007114B1">
            <w:pPr>
              <w:pStyle w:val="BlockText-Plain"/>
              <w:jc w:val="center"/>
            </w:pPr>
            <w:r w:rsidRPr="00C9343F">
              <w:t>a.</w:t>
            </w:r>
          </w:p>
        </w:tc>
        <w:tc>
          <w:tcPr>
            <w:tcW w:w="7803" w:type="dxa"/>
          </w:tcPr>
          <w:p w14:paraId="0B6B1455" w14:textId="77777777" w:rsidR="00016F3B" w:rsidRPr="00C9343F" w:rsidRDefault="00016F3B" w:rsidP="00F66D98">
            <w:pPr>
              <w:pStyle w:val="BlockText-Plain"/>
            </w:pPr>
            <w:r w:rsidRPr="00C9343F">
              <w:t>The member has performed service for the minimum number of days specified in their Service Category 4 undertaking within 12 months.</w:t>
            </w:r>
          </w:p>
        </w:tc>
      </w:tr>
      <w:tr w:rsidR="00016F3B" w:rsidRPr="00C9343F" w14:paraId="368B7B44" w14:textId="77777777" w:rsidTr="00841AD6">
        <w:trPr>
          <w:cantSplit/>
        </w:trPr>
        <w:tc>
          <w:tcPr>
            <w:tcW w:w="994" w:type="dxa"/>
          </w:tcPr>
          <w:p w14:paraId="2B86D075" w14:textId="77777777" w:rsidR="00016F3B" w:rsidRPr="00C9343F" w:rsidRDefault="00016F3B" w:rsidP="00F66D98">
            <w:pPr>
              <w:pStyle w:val="BlockText-Plain"/>
            </w:pPr>
          </w:p>
        </w:tc>
        <w:tc>
          <w:tcPr>
            <w:tcW w:w="594" w:type="dxa"/>
            <w:hideMark/>
          </w:tcPr>
          <w:p w14:paraId="6DF7D053" w14:textId="77777777" w:rsidR="00016F3B" w:rsidRPr="00C9343F" w:rsidRDefault="00016F3B" w:rsidP="007114B1">
            <w:pPr>
              <w:pStyle w:val="BlockText-Plain"/>
              <w:jc w:val="center"/>
            </w:pPr>
            <w:r w:rsidRPr="00C9343F">
              <w:t>b.</w:t>
            </w:r>
          </w:p>
        </w:tc>
        <w:tc>
          <w:tcPr>
            <w:tcW w:w="7803" w:type="dxa"/>
            <w:hideMark/>
          </w:tcPr>
          <w:p w14:paraId="56FFE65A" w14:textId="77777777" w:rsidR="00016F3B" w:rsidRPr="00C9343F" w:rsidRDefault="00016F3B" w:rsidP="00F66D98">
            <w:pPr>
              <w:pStyle w:val="BlockText-Plain"/>
            </w:pPr>
            <w:r w:rsidRPr="00C9343F">
              <w:t>The member has completed 12 months in Service Category 4.</w:t>
            </w:r>
          </w:p>
          <w:p w14:paraId="3235019C" w14:textId="77777777" w:rsidR="00016F3B" w:rsidRPr="00C9343F" w:rsidRDefault="00016F3B" w:rsidP="00F66D98">
            <w:pPr>
              <w:pStyle w:val="BlockText-Plain"/>
            </w:pPr>
            <w:r w:rsidRPr="00C9343F">
              <w:rPr>
                <w:b/>
              </w:rPr>
              <w:t>Exception:</w:t>
            </w:r>
            <w:r w:rsidRPr="00C9343F">
              <w:t xml:space="preserve"> The CDF has extended the period under subsection 2.</w:t>
            </w:r>
          </w:p>
        </w:tc>
      </w:tr>
      <w:tr w:rsidR="00016F3B" w:rsidRPr="00C9343F" w14:paraId="09438B9D" w14:textId="77777777" w:rsidTr="00841AD6">
        <w:trPr>
          <w:cantSplit/>
        </w:trPr>
        <w:tc>
          <w:tcPr>
            <w:tcW w:w="994" w:type="dxa"/>
          </w:tcPr>
          <w:p w14:paraId="20049F05" w14:textId="77777777" w:rsidR="00016F3B" w:rsidRPr="00C9343F" w:rsidRDefault="00016F3B" w:rsidP="00F66D98">
            <w:pPr>
              <w:pStyle w:val="BlockText-Plain"/>
            </w:pPr>
          </w:p>
        </w:tc>
        <w:tc>
          <w:tcPr>
            <w:tcW w:w="594" w:type="dxa"/>
            <w:hideMark/>
          </w:tcPr>
          <w:p w14:paraId="6C5548F2" w14:textId="77777777" w:rsidR="00016F3B" w:rsidRPr="00C9343F" w:rsidRDefault="00016F3B" w:rsidP="007114B1">
            <w:pPr>
              <w:pStyle w:val="BlockText-Plain"/>
              <w:jc w:val="center"/>
            </w:pPr>
            <w:r w:rsidRPr="00C9343F">
              <w:t>c.</w:t>
            </w:r>
          </w:p>
        </w:tc>
        <w:tc>
          <w:tcPr>
            <w:tcW w:w="7803" w:type="dxa"/>
            <w:hideMark/>
          </w:tcPr>
          <w:p w14:paraId="1EDC6CB8" w14:textId="77777777" w:rsidR="00016F3B" w:rsidRPr="00C9343F" w:rsidRDefault="00016F3B" w:rsidP="00F66D98">
            <w:pPr>
              <w:pStyle w:val="BlockText-Plain"/>
              <w:rPr>
                <w:sz w:val="24"/>
                <w:szCs w:val="24"/>
              </w:rPr>
            </w:pPr>
            <w:r w:rsidRPr="00C9343F">
              <w:t>The member has satisfied all of the conditions specified by their Service Category 4 undertaking.</w:t>
            </w:r>
          </w:p>
        </w:tc>
      </w:tr>
      <w:tr w:rsidR="00C24113" w:rsidRPr="00C9343F" w14:paraId="1CDBB06C" w14:textId="77777777" w:rsidTr="00841AD6">
        <w:tc>
          <w:tcPr>
            <w:tcW w:w="994" w:type="dxa"/>
            <w:hideMark/>
          </w:tcPr>
          <w:p w14:paraId="7F4FC56C" w14:textId="3BC0FF48" w:rsidR="00C24113" w:rsidRPr="00C9343F" w:rsidRDefault="00C24113" w:rsidP="00F66D98">
            <w:pPr>
              <w:spacing w:after="200"/>
              <w:jc w:val="center"/>
              <w:rPr>
                <w:rFonts w:cs="Arial"/>
                <w:sz w:val="20"/>
              </w:rPr>
            </w:pPr>
            <w:r w:rsidRPr="00C9343F">
              <w:t>2.</w:t>
            </w:r>
          </w:p>
        </w:tc>
        <w:tc>
          <w:tcPr>
            <w:tcW w:w="8397" w:type="dxa"/>
            <w:gridSpan w:val="2"/>
            <w:hideMark/>
          </w:tcPr>
          <w:p w14:paraId="3255B3B3" w14:textId="1C115E75" w:rsidR="00C24113" w:rsidRPr="00C9343F" w:rsidRDefault="00C24113" w:rsidP="00F66D98">
            <w:pPr>
              <w:pStyle w:val="BlockText-Plain"/>
            </w:pPr>
            <w:r w:rsidRPr="00C9343F">
              <w:rPr>
                <w:iCs/>
              </w:rPr>
              <w:t>The CDF may extend the period under paragraph 1.b up to a maximum of one year if all of the following apply.</w:t>
            </w:r>
          </w:p>
        </w:tc>
      </w:tr>
      <w:tr w:rsidR="00C24113" w:rsidRPr="00C9343F" w14:paraId="653823B8" w14:textId="77777777" w:rsidTr="00C24113">
        <w:tc>
          <w:tcPr>
            <w:tcW w:w="994" w:type="dxa"/>
          </w:tcPr>
          <w:p w14:paraId="471E0E30" w14:textId="77777777" w:rsidR="00C24113" w:rsidRPr="00C9343F" w:rsidRDefault="00C24113" w:rsidP="00F66D98">
            <w:pPr>
              <w:spacing w:after="200"/>
              <w:jc w:val="center"/>
              <w:rPr>
                <w:rFonts w:cs="Arial"/>
                <w:sz w:val="20"/>
              </w:rPr>
            </w:pPr>
          </w:p>
        </w:tc>
        <w:tc>
          <w:tcPr>
            <w:tcW w:w="594" w:type="dxa"/>
          </w:tcPr>
          <w:p w14:paraId="718745F0" w14:textId="0FEF2366" w:rsidR="00C24113" w:rsidRPr="00C9343F" w:rsidRDefault="00C24113" w:rsidP="00F66D98">
            <w:pPr>
              <w:pStyle w:val="BlockText-Plain"/>
              <w:jc w:val="center"/>
            </w:pPr>
            <w:r w:rsidRPr="00C9343F">
              <w:rPr>
                <w:iCs/>
              </w:rPr>
              <w:t>a.</w:t>
            </w:r>
          </w:p>
        </w:tc>
        <w:tc>
          <w:tcPr>
            <w:tcW w:w="7803" w:type="dxa"/>
          </w:tcPr>
          <w:p w14:paraId="671329D1" w14:textId="642DC06B" w:rsidR="00C24113" w:rsidRPr="00C9343F" w:rsidRDefault="00C24113" w:rsidP="00F66D98">
            <w:pPr>
              <w:pStyle w:val="BlockText-Plain"/>
            </w:pPr>
            <w:r w:rsidRPr="00C9343F">
              <w:rPr>
                <w:iCs/>
              </w:rPr>
              <w:t>The member has not met the criteria under paragraph 1.a or paragraph 1.c.</w:t>
            </w:r>
          </w:p>
        </w:tc>
      </w:tr>
      <w:tr w:rsidR="00C24113" w:rsidRPr="00C9343F" w14:paraId="6888EE71" w14:textId="77777777" w:rsidTr="00C24113">
        <w:tc>
          <w:tcPr>
            <w:tcW w:w="994" w:type="dxa"/>
          </w:tcPr>
          <w:p w14:paraId="113BC536" w14:textId="77777777" w:rsidR="00C24113" w:rsidRPr="00C9343F" w:rsidRDefault="00C24113" w:rsidP="00F66D98">
            <w:pPr>
              <w:spacing w:after="200"/>
              <w:jc w:val="center"/>
              <w:rPr>
                <w:rFonts w:cs="Arial"/>
                <w:sz w:val="20"/>
              </w:rPr>
            </w:pPr>
          </w:p>
        </w:tc>
        <w:tc>
          <w:tcPr>
            <w:tcW w:w="594" w:type="dxa"/>
          </w:tcPr>
          <w:p w14:paraId="3D0967EF" w14:textId="4A3BA3D5" w:rsidR="00C24113" w:rsidRPr="00C9343F" w:rsidRDefault="00C24113" w:rsidP="00F66D98">
            <w:pPr>
              <w:pStyle w:val="BlockText-Plain"/>
              <w:jc w:val="center"/>
            </w:pPr>
            <w:r w:rsidRPr="00C9343F">
              <w:rPr>
                <w:iCs/>
              </w:rPr>
              <w:t>b.</w:t>
            </w:r>
          </w:p>
        </w:tc>
        <w:tc>
          <w:tcPr>
            <w:tcW w:w="7803" w:type="dxa"/>
          </w:tcPr>
          <w:p w14:paraId="2CE501F5" w14:textId="6D090FD9" w:rsidR="00C24113" w:rsidRPr="00C9343F" w:rsidRDefault="00C24113" w:rsidP="00F66D98">
            <w:pPr>
              <w:pStyle w:val="BlockText-Plain"/>
            </w:pPr>
            <w:r w:rsidRPr="00C9343F">
              <w:rPr>
                <w:iCs/>
              </w:rPr>
              <w:t>The member has not completed the period specified under paragraph 1.b.</w:t>
            </w:r>
          </w:p>
        </w:tc>
      </w:tr>
      <w:tr w:rsidR="00016F3B" w:rsidRPr="00C9343F" w14:paraId="3C0771D2" w14:textId="77777777" w:rsidTr="00841AD6">
        <w:tc>
          <w:tcPr>
            <w:tcW w:w="994" w:type="dxa"/>
            <w:hideMark/>
          </w:tcPr>
          <w:p w14:paraId="1EE9C5F8" w14:textId="77777777" w:rsidR="00016F3B" w:rsidRPr="00C9343F" w:rsidRDefault="00016F3B" w:rsidP="00F66D98">
            <w:pPr>
              <w:spacing w:after="200"/>
              <w:jc w:val="center"/>
              <w:rPr>
                <w:rFonts w:cs="Arial"/>
                <w:sz w:val="20"/>
              </w:rPr>
            </w:pPr>
            <w:r w:rsidRPr="00C9343F">
              <w:rPr>
                <w:rFonts w:cs="Arial"/>
                <w:sz w:val="20"/>
              </w:rPr>
              <w:t>3.</w:t>
            </w:r>
          </w:p>
        </w:tc>
        <w:tc>
          <w:tcPr>
            <w:tcW w:w="8397" w:type="dxa"/>
            <w:gridSpan w:val="2"/>
            <w:hideMark/>
          </w:tcPr>
          <w:p w14:paraId="095C7BD6" w14:textId="77777777" w:rsidR="00016F3B" w:rsidRPr="00C9343F" w:rsidRDefault="00016F3B" w:rsidP="00F66D98">
            <w:pPr>
              <w:pStyle w:val="BlockText-Plain"/>
            </w:pPr>
            <w:r w:rsidRPr="00C9343F">
              <w:t>For the purpose of subsection 2, the CDF must consider the reasons that have prevented the member from meeting their obligations when extending the period.</w:t>
            </w:r>
          </w:p>
        </w:tc>
      </w:tr>
      <w:tr w:rsidR="00016F3B" w:rsidRPr="00C9343F" w14:paraId="55BC3A34" w14:textId="77777777" w:rsidTr="00841AD6">
        <w:tc>
          <w:tcPr>
            <w:tcW w:w="994" w:type="dxa"/>
          </w:tcPr>
          <w:p w14:paraId="04A65E28" w14:textId="77777777" w:rsidR="00016F3B" w:rsidRPr="00C9343F" w:rsidRDefault="00016F3B" w:rsidP="00F66D98">
            <w:pPr>
              <w:spacing w:after="200"/>
              <w:jc w:val="center"/>
              <w:rPr>
                <w:rFonts w:cs="Arial"/>
                <w:sz w:val="20"/>
              </w:rPr>
            </w:pPr>
            <w:r w:rsidRPr="00C9343F">
              <w:rPr>
                <w:rFonts w:cs="Arial"/>
                <w:sz w:val="20"/>
              </w:rPr>
              <w:t>4.</w:t>
            </w:r>
          </w:p>
        </w:tc>
        <w:tc>
          <w:tcPr>
            <w:tcW w:w="8397" w:type="dxa"/>
            <w:gridSpan w:val="2"/>
          </w:tcPr>
          <w:p w14:paraId="7D76E857" w14:textId="77777777" w:rsidR="00016F3B" w:rsidRPr="00C9343F" w:rsidRDefault="00016F3B" w:rsidP="00F66D98">
            <w:pPr>
              <w:pStyle w:val="BlockText-Plain"/>
            </w:pPr>
            <w:r w:rsidRPr="00C9343F">
              <w:t>A member may not receive more than one payment in a 12 month period.</w:t>
            </w:r>
          </w:p>
        </w:tc>
      </w:tr>
    </w:tbl>
    <w:p w14:paraId="3111CC9C" w14:textId="468830AE" w:rsidR="002C057B" w:rsidRPr="00C9343F" w:rsidRDefault="002C057B" w:rsidP="00F66D98">
      <w:pPr>
        <w:pStyle w:val="Heading5"/>
      </w:pPr>
      <w:bookmarkStart w:id="561" w:name="_Toc105053770"/>
      <w:r w:rsidRPr="00C9343F">
        <w:t>3.5.14IA</w:t>
      </w:r>
      <w:r w:rsidR="00D94006" w:rsidRPr="00C9343F">
        <w:t>    </w:t>
      </w:r>
      <w:r w:rsidRPr="00C9343F">
        <w:t>Recognised service</w:t>
      </w:r>
      <w:bookmarkEnd w:id="561"/>
      <w:r w:rsidRPr="00C9343F">
        <w:t xml:space="preserve"> </w:t>
      </w:r>
    </w:p>
    <w:tbl>
      <w:tblPr>
        <w:tblW w:w="9359" w:type="dxa"/>
        <w:tblInd w:w="113" w:type="dxa"/>
        <w:tblLayout w:type="fixed"/>
        <w:tblLook w:val="04A0" w:firstRow="1" w:lastRow="0" w:firstColumn="1" w:lastColumn="0" w:noHBand="0" w:noVBand="1"/>
      </w:tblPr>
      <w:tblGrid>
        <w:gridCol w:w="992"/>
        <w:gridCol w:w="563"/>
        <w:gridCol w:w="7804"/>
      </w:tblGrid>
      <w:tr w:rsidR="002C057B" w:rsidRPr="00C9343F" w14:paraId="45746076" w14:textId="77777777" w:rsidTr="00B15186">
        <w:tc>
          <w:tcPr>
            <w:tcW w:w="992" w:type="dxa"/>
          </w:tcPr>
          <w:p w14:paraId="12E34FD8" w14:textId="133A3C54" w:rsidR="002C057B" w:rsidRPr="00C9343F" w:rsidRDefault="002C057B" w:rsidP="00F66D98">
            <w:pPr>
              <w:pStyle w:val="Sectiontext0"/>
              <w:jc w:val="center"/>
              <w:rPr>
                <w:lang w:eastAsia="en-US"/>
              </w:rPr>
            </w:pPr>
          </w:p>
        </w:tc>
        <w:tc>
          <w:tcPr>
            <w:tcW w:w="8367" w:type="dxa"/>
            <w:gridSpan w:val="2"/>
          </w:tcPr>
          <w:p w14:paraId="357ADCC6" w14:textId="600859FE" w:rsidR="002C057B" w:rsidRPr="00C9343F" w:rsidRDefault="002C057B" w:rsidP="00F66D98">
            <w:pPr>
              <w:pStyle w:val="Sectiontext0"/>
              <w:rPr>
                <w:rFonts w:cs="Arial"/>
                <w:lang w:eastAsia="en-US"/>
              </w:rPr>
            </w:pPr>
            <w:r w:rsidRPr="00C9343F">
              <w:t>For the purpose of paragraph 3.5.14I.1.a, all of the following</w:t>
            </w:r>
            <w:r w:rsidR="00EB4A1D" w:rsidRPr="00C9343F">
              <w:t xml:space="preserve"> days served while the member is in Service Category 4</w:t>
            </w:r>
            <w:r w:rsidRPr="00C9343F">
              <w:t xml:space="preserve"> count towards the number of days specified in a member’s Service Category 4 undertaking.</w:t>
            </w:r>
          </w:p>
        </w:tc>
      </w:tr>
      <w:tr w:rsidR="002C057B" w:rsidRPr="00C9343F" w14:paraId="46291D4B" w14:textId="77777777" w:rsidTr="00B15186">
        <w:tc>
          <w:tcPr>
            <w:tcW w:w="992" w:type="dxa"/>
          </w:tcPr>
          <w:p w14:paraId="1CA5621D" w14:textId="77777777" w:rsidR="002C057B" w:rsidRPr="00C9343F" w:rsidRDefault="002C057B" w:rsidP="00F66D98">
            <w:pPr>
              <w:pStyle w:val="Sectiontext0"/>
              <w:jc w:val="center"/>
              <w:rPr>
                <w:lang w:eastAsia="en-US"/>
              </w:rPr>
            </w:pPr>
          </w:p>
        </w:tc>
        <w:tc>
          <w:tcPr>
            <w:tcW w:w="563" w:type="dxa"/>
            <w:hideMark/>
          </w:tcPr>
          <w:p w14:paraId="0FB1C4CF" w14:textId="77777777" w:rsidR="002C057B" w:rsidRPr="00C9343F" w:rsidRDefault="002C057B" w:rsidP="007114B1">
            <w:pPr>
              <w:pStyle w:val="Sectiontext0"/>
              <w:jc w:val="center"/>
              <w:rPr>
                <w:rFonts w:cs="Arial"/>
                <w:lang w:eastAsia="en-US"/>
              </w:rPr>
            </w:pPr>
            <w:r w:rsidRPr="00C9343F">
              <w:rPr>
                <w:rFonts w:cs="Arial"/>
                <w:lang w:eastAsia="en-US"/>
              </w:rPr>
              <w:t>a.</w:t>
            </w:r>
          </w:p>
        </w:tc>
        <w:tc>
          <w:tcPr>
            <w:tcW w:w="7804" w:type="dxa"/>
          </w:tcPr>
          <w:p w14:paraId="31D7FD9C" w14:textId="47D96707" w:rsidR="002C057B" w:rsidRPr="00C9343F" w:rsidRDefault="002C057B" w:rsidP="00F66D98">
            <w:pPr>
              <w:pStyle w:val="Sectiontext0"/>
              <w:rPr>
                <w:rFonts w:cs="Arial"/>
                <w:lang w:eastAsia="en-US"/>
              </w:rPr>
            </w:pPr>
            <w:r w:rsidRPr="00C9343F">
              <w:rPr>
                <w:rFonts w:cs="Arial"/>
                <w:lang w:eastAsia="en-US"/>
              </w:rPr>
              <w:t>A da</w:t>
            </w:r>
            <w:r w:rsidR="00FA3308" w:rsidRPr="00C9343F">
              <w:rPr>
                <w:rFonts w:cs="Arial"/>
                <w:lang w:eastAsia="en-US"/>
              </w:rPr>
              <w:t>y on which the member provided R</w:t>
            </w:r>
            <w:r w:rsidRPr="00C9343F">
              <w:rPr>
                <w:rFonts w:cs="Arial"/>
                <w:lang w:eastAsia="en-US"/>
              </w:rPr>
              <w:t>eserve service.</w:t>
            </w:r>
          </w:p>
        </w:tc>
      </w:tr>
      <w:tr w:rsidR="002C057B" w:rsidRPr="00C9343F" w14:paraId="48EE2E05" w14:textId="77777777" w:rsidTr="00B15186">
        <w:tc>
          <w:tcPr>
            <w:tcW w:w="992" w:type="dxa"/>
          </w:tcPr>
          <w:p w14:paraId="325594FF" w14:textId="77777777" w:rsidR="002C057B" w:rsidRPr="00C9343F" w:rsidRDefault="002C057B" w:rsidP="00F66D98">
            <w:pPr>
              <w:pStyle w:val="Sectiontext0"/>
              <w:jc w:val="center"/>
              <w:rPr>
                <w:lang w:eastAsia="en-US"/>
              </w:rPr>
            </w:pPr>
          </w:p>
        </w:tc>
        <w:tc>
          <w:tcPr>
            <w:tcW w:w="563" w:type="dxa"/>
          </w:tcPr>
          <w:p w14:paraId="1841D0CF" w14:textId="77777777" w:rsidR="002C057B" w:rsidRPr="00C9343F" w:rsidRDefault="002C057B" w:rsidP="007114B1">
            <w:pPr>
              <w:pStyle w:val="Sectiontext0"/>
              <w:jc w:val="center"/>
              <w:rPr>
                <w:rFonts w:cs="Arial"/>
                <w:lang w:eastAsia="en-US"/>
              </w:rPr>
            </w:pPr>
            <w:r w:rsidRPr="00C9343F">
              <w:rPr>
                <w:rFonts w:cs="Arial"/>
                <w:lang w:eastAsia="en-US"/>
              </w:rPr>
              <w:t>b.</w:t>
            </w:r>
          </w:p>
        </w:tc>
        <w:tc>
          <w:tcPr>
            <w:tcW w:w="7804" w:type="dxa"/>
          </w:tcPr>
          <w:p w14:paraId="2FF44455" w14:textId="77777777" w:rsidR="002C057B" w:rsidRPr="00C9343F" w:rsidRDefault="002C057B" w:rsidP="00F66D98">
            <w:pPr>
              <w:pStyle w:val="Sectiontext0"/>
              <w:rPr>
                <w:rFonts w:cs="Arial"/>
                <w:lang w:eastAsia="en-US"/>
              </w:rPr>
            </w:pPr>
            <w:r w:rsidRPr="00C9343F">
              <w:rPr>
                <w:rFonts w:cs="Arial"/>
                <w:lang w:eastAsia="en-US"/>
              </w:rPr>
              <w:t>A day on which the member is on continuous full-time service performed as a requirement of a call out order under Division 3 of Part III of the Act after 27 November 2019.</w:t>
            </w:r>
          </w:p>
        </w:tc>
      </w:tr>
      <w:tr w:rsidR="002C057B" w:rsidRPr="00C9343F" w14:paraId="1352E056" w14:textId="77777777" w:rsidTr="00B15186">
        <w:tc>
          <w:tcPr>
            <w:tcW w:w="992" w:type="dxa"/>
          </w:tcPr>
          <w:p w14:paraId="7468580B" w14:textId="77777777" w:rsidR="002C057B" w:rsidRPr="00C9343F" w:rsidRDefault="002C057B" w:rsidP="00F66D98">
            <w:pPr>
              <w:pStyle w:val="Sectiontext0"/>
              <w:jc w:val="center"/>
              <w:rPr>
                <w:lang w:eastAsia="en-US"/>
              </w:rPr>
            </w:pPr>
          </w:p>
        </w:tc>
        <w:tc>
          <w:tcPr>
            <w:tcW w:w="563" w:type="dxa"/>
          </w:tcPr>
          <w:p w14:paraId="6206A338" w14:textId="77777777" w:rsidR="002C057B" w:rsidRPr="00C9343F" w:rsidRDefault="002C057B" w:rsidP="007114B1">
            <w:pPr>
              <w:pStyle w:val="Sectiontext0"/>
              <w:jc w:val="center"/>
              <w:rPr>
                <w:rFonts w:cs="Arial"/>
                <w:lang w:eastAsia="en-US"/>
              </w:rPr>
            </w:pPr>
            <w:r w:rsidRPr="00C9343F">
              <w:rPr>
                <w:rFonts w:cs="Arial"/>
                <w:lang w:eastAsia="en-US"/>
              </w:rPr>
              <w:t>c.</w:t>
            </w:r>
          </w:p>
        </w:tc>
        <w:tc>
          <w:tcPr>
            <w:tcW w:w="7804" w:type="dxa"/>
          </w:tcPr>
          <w:p w14:paraId="33B073AF" w14:textId="77777777" w:rsidR="002C057B" w:rsidRPr="00C9343F" w:rsidRDefault="002C057B" w:rsidP="00F66D98">
            <w:pPr>
              <w:pStyle w:val="Sectiontext0"/>
              <w:rPr>
                <w:rFonts w:cs="Arial"/>
                <w:lang w:eastAsia="en-US"/>
              </w:rPr>
            </w:pPr>
            <w:r w:rsidRPr="00C9343F">
              <w:rPr>
                <w:rFonts w:cs="Arial"/>
                <w:lang w:eastAsia="en-US"/>
              </w:rPr>
              <w:t xml:space="preserve">A day in a pattern of Reserve service that the member was unable to provide because of restriction or limitation imposed by or under a law of a State or Territory, however described from 27 March 2020. </w:t>
            </w:r>
          </w:p>
        </w:tc>
      </w:tr>
      <w:tr w:rsidR="002C057B" w:rsidRPr="00C9343F" w14:paraId="3ABBBB63" w14:textId="77777777" w:rsidTr="00B15186">
        <w:tc>
          <w:tcPr>
            <w:tcW w:w="992" w:type="dxa"/>
          </w:tcPr>
          <w:p w14:paraId="6D74FBF6" w14:textId="77777777" w:rsidR="002C057B" w:rsidRPr="00C9343F" w:rsidRDefault="002C057B" w:rsidP="00F66D98">
            <w:pPr>
              <w:pStyle w:val="Sectiontext0"/>
              <w:jc w:val="center"/>
              <w:rPr>
                <w:lang w:eastAsia="en-US"/>
              </w:rPr>
            </w:pPr>
          </w:p>
        </w:tc>
        <w:tc>
          <w:tcPr>
            <w:tcW w:w="563" w:type="dxa"/>
          </w:tcPr>
          <w:p w14:paraId="3BF2F977" w14:textId="77777777" w:rsidR="002C057B" w:rsidRPr="00C9343F" w:rsidRDefault="002C057B" w:rsidP="007114B1">
            <w:pPr>
              <w:pStyle w:val="Sectiontext0"/>
              <w:jc w:val="center"/>
              <w:rPr>
                <w:rFonts w:cs="Arial"/>
                <w:lang w:eastAsia="en-US"/>
              </w:rPr>
            </w:pPr>
            <w:r w:rsidRPr="00C9343F">
              <w:rPr>
                <w:rFonts w:cs="Arial"/>
                <w:lang w:eastAsia="en-US"/>
              </w:rPr>
              <w:t>d.</w:t>
            </w:r>
          </w:p>
        </w:tc>
        <w:tc>
          <w:tcPr>
            <w:tcW w:w="7804" w:type="dxa"/>
          </w:tcPr>
          <w:p w14:paraId="73590FB0" w14:textId="77777777" w:rsidR="002C057B" w:rsidRPr="00C9343F" w:rsidRDefault="002C057B" w:rsidP="00F66D98">
            <w:pPr>
              <w:pStyle w:val="Sectiontext0"/>
              <w:rPr>
                <w:rFonts w:cs="Arial"/>
                <w:lang w:eastAsia="en-US"/>
              </w:rPr>
            </w:pPr>
            <w:r w:rsidRPr="00C9343F">
              <w:rPr>
                <w:rFonts w:cs="Arial"/>
              </w:rPr>
              <w:t>A day in a pattern of Reserve service the member would have provided if it had not been cancelled for the purposes of controlling an infectious disease f</w:t>
            </w:r>
            <w:r w:rsidRPr="00C9343F">
              <w:rPr>
                <w:rFonts w:cs="Arial"/>
                <w:lang w:eastAsia="en-US"/>
              </w:rPr>
              <w:t>rom 27 March 2020.</w:t>
            </w:r>
          </w:p>
        </w:tc>
      </w:tr>
    </w:tbl>
    <w:p w14:paraId="4F10A6E5" w14:textId="1A98E2F1" w:rsidR="00016F3B" w:rsidRPr="00C9343F" w:rsidRDefault="00016F3B" w:rsidP="00F66D98">
      <w:pPr>
        <w:pStyle w:val="Heading5"/>
      </w:pPr>
      <w:bookmarkStart w:id="562" w:name="_Toc105053771"/>
      <w:r w:rsidRPr="00C9343F">
        <w:t>3.5.14J</w:t>
      </w:r>
      <w:r w:rsidR="00D94006" w:rsidRPr="00C9343F">
        <w:t>    </w:t>
      </w:r>
      <w:r w:rsidRPr="00C9343F">
        <w:t>Reduced payment of bonus</w:t>
      </w:r>
      <w:bookmarkEnd w:id="562"/>
    </w:p>
    <w:tbl>
      <w:tblPr>
        <w:tblW w:w="9391" w:type="dxa"/>
        <w:tblInd w:w="113" w:type="dxa"/>
        <w:tblLayout w:type="fixed"/>
        <w:tblLook w:val="04A0" w:firstRow="1" w:lastRow="0" w:firstColumn="1" w:lastColumn="0" w:noHBand="0" w:noVBand="1"/>
      </w:tblPr>
      <w:tblGrid>
        <w:gridCol w:w="994"/>
        <w:gridCol w:w="594"/>
        <w:gridCol w:w="569"/>
        <w:gridCol w:w="7234"/>
      </w:tblGrid>
      <w:tr w:rsidR="00016F3B" w:rsidRPr="00C9343F" w14:paraId="4D8D1B86" w14:textId="77777777" w:rsidTr="00841AD6">
        <w:trPr>
          <w:cantSplit/>
        </w:trPr>
        <w:tc>
          <w:tcPr>
            <w:tcW w:w="994" w:type="dxa"/>
            <w:hideMark/>
          </w:tcPr>
          <w:p w14:paraId="4CDF888A" w14:textId="77777777" w:rsidR="00016F3B" w:rsidRPr="00C9343F" w:rsidRDefault="00016F3B" w:rsidP="00F66D98">
            <w:pPr>
              <w:pStyle w:val="BlockText-Plain"/>
              <w:jc w:val="center"/>
            </w:pPr>
            <w:r w:rsidRPr="00C9343F">
              <w:t>1.</w:t>
            </w:r>
          </w:p>
        </w:tc>
        <w:tc>
          <w:tcPr>
            <w:tcW w:w="8397" w:type="dxa"/>
            <w:gridSpan w:val="3"/>
            <w:hideMark/>
          </w:tcPr>
          <w:p w14:paraId="3685FECF" w14:textId="77777777" w:rsidR="00016F3B" w:rsidRPr="00C9343F" w:rsidRDefault="00016F3B" w:rsidP="00F66D98">
            <w:pPr>
              <w:pStyle w:val="BlockText-Plain"/>
            </w:pPr>
            <w:r w:rsidRPr="00C9343F">
              <w:t>The CDF may approve a reduced payment of the bonus if a member fails to satisfy the criteria under paragraph 3.5.14I.1.b due to one of the following circumstances.</w:t>
            </w:r>
          </w:p>
        </w:tc>
      </w:tr>
      <w:tr w:rsidR="00016F3B" w:rsidRPr="00C9343F" w14:paraId="06EBBA01" w14:textId="77777777" w:rsidTr="00841AD6">
        <w:trPr>
          <w:cantSplit/>
        </w:trPr>
        <w:tc>
          <w:tcPr>
            <w:tcW w:w="994" w:type="dxa"/>
          </w:tcPr>
          <w:p w14:paraId="3965B2BB" w14:textId="77777777" w:rsidR="00016F3B" w:rsidRPr="00C9343F" w:rsidRDefault="00016F3B" w:rsidP="00F66D98">
            <w:pPr>
              <w:pStyle w:val="BlockText-Plain"/>
            </w:pPr>
          </w:p>
        </w:tc>
        <w:tc>
          <w:tcPr>
            <w:tcW w:w="594" w:type="dxa"/>
            <w:hideMark/>
          </w:tcPr>
          <w:p w14:paraId="0D867B9D" w14:textId="77777777" w:rsidR="00016F3B" w:rsidRPr="00C9343F" w:rsidRDefault="00016F3B" w:rsidP="007114B1">
            <w:pPr>
              <w:pStyle w:val="BlockText-Plain"/>
              <w:jc w:val="center"/>
            </w:pPr>
            <w:r w:rsidRPr="00C9343F">
              <w:t>a.</w:t>
            </w:r>
          </w:p>
        </w:tc>
        <w:tc>
          <w:tcPr>
            <w:tcW w:w="7803" w:type="dxa"/>
            <w:gridSpan w:val="2"/>
            <w:hideMark/>
          </w:tcPr>
          <w:p w14:paraId="7B40FB0A" w14:textId="77777777" w:rsidR="00016F3B" w:rsidRPr="00C9343F" w:rsidRDefault="00016F3B" w:rsidP="00F66D98">
            <w:pPr>
              <w:pStyle w:val="BlockText-Plain"/>
            </w:pPr>
            <w:r w:rsidRPr="00C9343F">
              <w:t>The member is transferred to the Permanent Force</w:t>
            </w:r>
            <w:r w:rsidR="00E80CFC" w:rsidRPr="00C9343F">
              <w:t>s</w:t>
            </w:r>
            <w:r w:rsidRPr="00C9343F">
              <w:t>.</w:t>
            </w:r>
          </w:p>
        </w:tc>
      </w:tr>
      <w:tr w:rsidR="00016F3B" w:rsidRPr="00C9343F" w14:paraId="4B737F64" w14:textId="77777777" w:rsidTr="00841AD6">
        <w:trPr>
          <w:cantSplit/>
        </w:trPr>
        <w:tc>
          <w:tcPr>
            <w:tcW w:w="994" w:type="dxa"/>
          </w:tcPr>
          <w:p w14:paraId="1C4B6626" w14:textId="77777777" w:rsidR="00016F3B" w:rsidRPr="00C9343F" w:rsidRDefault="00016F3B" w:rsidP="00F66D98">
            <w:pPr>
              <w:pStyle w:val="BlockText-Plain"/>
            </w:pPr>
          </w:p>
        </w:tc>
        <w:tc>
          <w:tcPr>
            <w:tcW w:w="594" w:type="dxa"/>
            <w:hideMark/>
          </w:tcPr>
          <w:p w14:paraId="139A729C" w14:textId="77777777" w:rsidR="00016F3B" w:rsidRPr="00C9343F" w:rsidRDefault="00016F3B" w:rsidP="007114B1">
            <w:pPr>
              <w:pStyle w:val="BlockText-Plain"/>
              <w:jc w:val="center"/>
            </w:pPr>
            <w:r w:rsidRPr="00C9343F">
              <w:t>b.</w:t>
            </w:r>
          </w:p>
        </w:tc>
        <w:tc>
          <w:tcPr>
            <w:tcW w:w="7803" w:type="dxa"/>
            <w:gridSpan w:val="2"/>
            <w:hideMark/>
          </w:tcPr>
          <w:p w14:paraId="272B83FE" w14:textId="77777777" w:rsidR="00016F3B" w:rsidRPr="00C9343F" w:rsidRDefault="00016F3B" w:rsidP="00F66D98">
            <w:pPr>
              <w:pStyle w:val="BlockText-Plain"/>
            </w:pPr>
            <w:r w:rsidRPr="00C9343F">
              <w:t>The member dies.</w:t>
            </w:r>
          </w:p>
        </w:tc>
      </w:tr>
      <w:tr w:rsidR="00016F3B" w:rsidRPr="00C9343F" w14:paraId="044008E4" w14:textId="77777777" w:rsidTr="00841AD6">
        <w:trPr>
          <w:cantSplit/>
        </w:trPr>
        <w:tc>
          <w:tcPr>
            <w:tcW w:w="994" w:type="dxa"/>
          </w:tcPr>
          <w:p w14:paraId="28EAEA2F" w14:textId="77777777" w:rsidR="00016F3B" w:rsidRPr="00C9343F" w:rsidRDefault="00016F3B" w:rsidP="00F66D98">
            <w:pPr>
              <w:pStyle w:val="BlockText-Plain"/>
            </w:pPr>
          </w:p>
        </w:tc>
        <w:tc>
          <w:tcPr>
            <w:tcW w:w="594" w:type="dxa"/>
            <w:hideMark/>
          </w:tcPr>
          <w:p w14:paraId="5726D228" w14:textId="77777777" w:rsidR="00016F3B" w:rsidRPr="00C9343F" w:rsidRDefault="00016F3B" w:rsidP="007114B1">
            <w:pPr>
              <w:pStyle w:val="BlockText-Plain"/>
              <w:jc w:val="center"/>
            </w:pPr>
            <w:r w:rsidRPr="00C9343F">
              <w:t>c.</w:t>
            </w:r>
          </w:p>
        </w:tc>
        <w:tc>
          <w:tcPr>
            <w:tcW w:w="7803" w:type="dxa"/>
            <w:gridSpan w:val="2"/>
            <w:hideMark/>
          </w:tcPr>
          <w:p w14:paraId="07593482" w14:textId="77777777" w:rsidR="00016F3B" w:rsidRPr="00C9343F" w:rsidRDefault="00016F3B" w:rsidP="00F66D98">
            <w:pPr>
              <w:pStyle w:val="BlockText-Plain"/>
            </w:pPr>
            <w:r w:rsidRPr="00C9343F">
              <w:t>The member ceases service at the end of a period of service.</w:t>
            </w:r>
          </w:p>
        </w:tc>
      </w:tr>
      <w:tr w:rsidR="00016F3B" w:rsidRPr="00C9343F" w14:paraId="0C5BCA51" w14:textId="77777777" w:rsidTr="00841AD6">
        <w:trPr>
          <w:cantSplit/>
        </w:trPr>
        <w:tc>
          <w:tcPr>
            <w:tcW w:w="994" w:type="dxa"/>
          </w:tcPr>
          <w:p w14:paraId="27A1C602" w14:textId="77777777" w:rsidR="00016F3B" w:rsidRPr="00C9343F" w:rsidRDefault="00016F3B" w:rsidP="00F66D98">
            <w:pPr>
              <w:pStyle w:val="BlockText-Plain"/>
            </w:pPr>
          </w:p>
        </w:tc>
        <w:tc>
          <w:tcPr>
            <w:tcW w:w="594" w:type="dxa"/>
            <w:hideMark/>
          </w:tcPr>
          <w:p w14:paraId="0435F087" w14:textId="77777777" w:rsidR="00016F3B" w:rsidRPr="00C9343F" w:rsidRDefault="00016F3B" w:rsidP="007114B1">
            <w:pPr>
              <w:pStyle w:val="BlockText-Plain"/>
              <w:jc w:val="center"/>
            </w:pPr>
            <w:r w:rsidRPr="00C9343F">
              <w:t>d.</w:t>
            </w:r>
          </w:p>
        </w:tc>
        <w:tc>
          <w:tcPr>
            <w:tcW w:w="7803" w:type="dxa"/>
            <w:gridSpan w:val="2"/>
            <w:hideMark/>
          </w:tcPr>
          <w:p w14:paraId="24592E8E" w14:textId="77777777" w:rsidR="00016F3B" w:rsidRPr="00C9343F" w:rsidRDefault="00016F3B" w:rsidP="00F66D98">
            <w:pPr>
              <w:pStyle w:val="BlockText-Plain"/>
              <w:rPr>
                <w:sz w:val="24"/>
                <w:szCs w:val="24"/>
              </w:rPr>
            </w:pPr>
            <w:r w:rsidRPr="00C9343F">
              <w:t>The member reaches their retirement age, and the CDF has not allowed them to continue serving beyond that age.</w:t>
            </w:r>
          </w:p>
        </w:tc>
      </w:tr>
      <w:tr w:rsidR="00016F3B" w:rsidRPr="00C9343F" w14:paraId="7F28D01C" w14:textId="77777777" w:rsidTr="00841AD6">
        <w:tc>
          <w:tcPr>
            <w:tcW w:w="994" w:type="dxa"/>
          </w:tcPr>
          <w:p w14:paraId="386D38E7" w14:textId="77777777" w:rsidR="00016F3B" w:rsidRPr="00C9343F" w:rsidRDefault="00016F3B" w:rsidP="00F66D98">
            <w:pPr>
              <w:spacing w:after="200"/>
              <w:jc w:val="center"/>
              <w:rPr>
                <w:rFonts w:cs="Arial"/>
                <w:sz w:val="20"/>
              </w:rPr>
            </w:pPr>
          </w:p>
        </w:tc>
        <w:tc>
          <w:tcPr>
            <w:tcW w:w="594" w:type="dxa"/>
            <w:hideMark/>
          </w:tcPr>
          <w:p w14:paraId="512CC797" w14:textId="77777777" w:rsidR="00016F3B" w:rsidRPr="00C9343F" w:rsidRDefault="00016F3B" w:rsidP="007114B1">
            <w:pPr>
              <w:pStyle w:val="BlockText-Plain"/>
              <w:jc w:val="center"/>
            </w:pPr>
            <w:r w:rsidRPr="00C9343F">
              <w:t>e.</w:t>
            </w:r>
          </w:p>
        </w:tc>
        <w:tc>
          <w:tcPr>
            <w:tcW w:w="7803" w:type="dxa"/>
            <w:gridSpan w:val="2"/>
            <w:hideMark/>
          </w:tcPr>
          <w:p w14:paraId="3DF1C53F" w14:textId="77777777" w:rsidR="00016F3B" w:rsidRPr="00C9343F" w:rsidRDefault="00016F3B" w:rsidP="00F66D98">
            <w:pPr>
              <w:pStyle w:val="BlockText-Plain"/>
            </w:pPr>
            <w:r w:rsidRPr="00C9343F">
              <w:t>The CDF considers it reasonable to make the reduced payment.</w:t>
            </w:r>
          </w:p>
        </w:tc>
      </w:tr>
      <w:tr w:rsidR="00016F3B" w:rsidRPr="00C9343F" w14:paraId="10BF26AE" w14:textId="77777777" w:rsidTr="000930D1">
        <w:trPr>
          <w:trHeight w:val="326"/>
        </w:trPr>
        <w:tc>
          <w:tcPr>
            <w:tcW w:w="994" w:type="dxa"/>
            <w:hideMark/>
          </w:tcPr>
          <w:p w14:paraId="5BC4B449" w14:textId="77777777" w:rsidR="00016F3B" w:rsidRPr="00C9343F" w:rsidRDefault="00016F3B" w:rsidP="00F66D98">
            <w:pPr>
              <w:spacing w:after="200"/>
              <w:jc w:val="center"/>
              <w:rPr>
                <w:rFonts w:cs="Arial"/>
                <w:sz w:val="20"/>
              </w:rPr>
            </w:pPr>
            <w:r w:rsidRPr="00C9343F">
              <w:rPr>
                <w:rFonts w:cs="Arial"/>
                <w:sz w:val="20"/>
              </w:rPr>
              <w:t>2.</w:t>
            </w:r>
          </w:p>
        </w:tc>
        <w:tc>
          <w:tcPr>
            <w:tcW w:w="8397" w:type="dxa"/>
            <w:gridSpan w:val="3"/>
            <w:hideMark/>
          </w:tcPr>
          <w:p w14:paraId="244546F0" w14:textId="77777777" w:rsidR="00016F3B" w:rsidRPr="00C9343F" w:rsidRDefault="00016F3B" w:rsidP="00F66D98">
            <w:pPr>
              <w:pStyle w:val="BlockText-Plain"/>
            </w:pPr>
            <w:r w:rsidRPr="00C9343F">
              <w:t>The payment under subsection 1 is calculated using the following formula.</w:t>
            </w:r>
          </w:p>
        </w:tc>
      </w:tr>
      <w:tr w:rsidR="00016F3B" w:rsidRPr="00C9343F" w14:paraId="2A0A1CD7" w14:textId="77777777" w:rsidTr="000930D1">
        <w:trPr>
          <w:trHeight w:val="1026"/>
        </w:trPr>
        <w:tc>
          <w:tcPr>
            <w:tcW w:w="994" w:type="dxa"/>
          </w:tcPr>
          <w:p w14:paraId="103B8B40" w14:textId="77777777" w:rsidR="00016F3B" w:rsidRPr="00C9343F" w:rsidRDefault="00016F3B" w:rsidP="00F66D98">
            <w:pPr>
              <w:spacing w:after="200"/>
              <w:jc w:val="center"/>
              <w:rPr>
                <w:rFonts w:cs="Arial"/>
                <w:sz w:val="20"/>
              </w:rPr>
            </w:pPr>
          </w:p>
        </w:tc>
        <w:tc>
          <w:tcPr>
            <w:tcW w:w="8397" w:type="dxa"/>
            <w:gridSpan w:val="3"/>
            <w:vAlign w:val="center"/>
          </w:tcPr>
          <w:p w14:paraId="5759C5E7" w14:textId="77777777" w:rsidR="00016F3B" w:rsidRPr="00C9343F" w:rsidRDefault="00E9487A" w:rsidP="00F66D98">
            <w:pPr>
              <w:pStyle w:val="BlockText-Plain"/>
              <w:jc w:val="center"/>
            </w:pPr>
            <m:oMathPara>
              <m:oMath>
                <m:r>
                  <m:rPr>
                    <m:sty m:val="bi"/>
                  </m:rPr>
                  <w:rPr>
                    <w:rFonts w:ascii="Cambria Math" w:hAnsi="Cambria Math"/>
                  </w:rPr>
                  <m:t>Payment</m:t>
                </m:r>
                <m:r>
                  <w:rPr>
                    <w:rFonts w:ascii="Cambria Math" w:hAnsi="Cambria Math"/>
                  </w:rPr>
                  <m:t xml:space="preserve"> = </m:t>
                </m:r>
                <m:f>
                  <m:fPr>
                    <m:ctrlPr>
                      <w:rPr>
                        <w:rFonts w:ascii="Cambria Math" w:hAnsi="Cambria Math"/>
                        <w:i/>
                      </w:rPr>
                    </m:ctrlPr>
                  </m:fPr>
                  <m:num>
                    <m:r>
                      <w:rPr>
                        <w:rFonts w:ascii="Cambria Math" w:hAnsi="Cambria Math"/>
                      </w:rPr>
                      <m:t>D</m:t>
                    </m:r>
                  </m:num>
                  <m:den>
                    <m:r>
                      <w:rPr>
                        <w:rFonts w:ascii="Cambria Math" w:hAnsi="Cambria Math"/>
                      </w:rPr>
                      <m:t>365</m:t>
                    </m:r>
                  </m:den>
                </m:f>
                <m:r>
                  <w:rPr>
                    <w:rFonts w:ascii="Cambria Math" w:hAnsi="Cambria Math"/>
                  </w:rPr>
                  <m:t xml:space="preserve"> ×$5,000</m:t>
                </m:r>
              </m:oMath>
            </m:oMathPara>
          </w:p>
        </w:tc>
      </w:tr>
      <w:tr w:rsidR="00016F3B" w:rsidRPr="00C9343F" w14:paraId="4300EDBB" w14:textId="77777777" w:rsidTr="00841AD6">
        <w:tc>
          <w:tcPr>
            <w:tcW w:w="994" w:type="dxa"/>
          </w:tcPr>
          <w:p w14:paraId="6101297D" w14:textId="77777777" w:rsidR="00016F3B" w:rsidRPr="00C9343F" w:rsidRDefault="00016F3B" w:rsidP="00F66D98">
            <w:pPr>
              <w:spacing w:after="200"/>
              <w:jc w:val="center"/>
              <w:rPr>
                <w:rFonts w:cs="Arial"/>
                <w:sz w:val="20"/>
              </w:rPr>
            </w:pPr>
          </w:p>
        </w:tc>
        <w:tc>
          <w:tcPr>
            <w:tcW w:w="8397" w:type="dxa"/>
            <w:gridSpan w:val="3"/>
          </w:tcPr>
          <w:p w14:paraId="04A181E5" w14:textId="77777777" w:rsidR="00016F3B" w:rsidRPr="00C9343F" w:rsidRDefault="00016F3B" w:rsidP="00F66D98">
            <w:pPr>
              <w:pStyle w:val="BlockText-Plain"/>
              <w:rPr>
                <w:rFonts w:cs="Arial"/>
                <w:b/>
              </w:rPr>
            </w:pPr>
            <w:r w:rsidRPr="00C9343F">
              <w:rPr>
                <w:rFonts w:cs="Arial"/>
                <w:b/>
              </w:rPr>
              <w:t>Where:</w:t>
            </w:r>
          </w:p>
        </w:tc>
      </w:tr>
      <w:tr w:rsidR="00016F3B" w:rsidRPr="00C9343F" w14:paraId="6CDFCAB6" w14:textId="77777777" w:rsidTr="00841AD6">
        <w:tc>
          <w:tcPr>
            <w:tcW w:w="994" w:type="dxa"/>
          </w:tcPr>
          <w:p w14:paraId="15ACF9F9" w14:textId="77777777" w:rsidR="00016F3B" w:rsidRPr="00C9343F" w:rsidRDefault="00016F3B" w:rsidP="00F66D98">
            <w:pPr>
              <w:spacing w:after="200"/>
              <w:jc w:val="center"/>
              <w:rPr>
                <w:rFonts w:cs="Arial"/>
                <w:sz w:val="20"/>
              </w:rPr>
            </w:pPr>
          </w:p>
        </w:tc>
        <w:tc>
          <w:tcPr>
            <w:tcW w:w="594" w:type="dxa"/>
            <w:hideMark/>
          </w:tcPr>
          <w:p w14:paraId="27FE9389" w14:textId="77777777" w:rsidR="00016F3B" w:rsidRPr="00C9343F" w:rsidRDefault="00016F3B" w:rsidP="00F66D98">
            <w:pPr>
              <w:pStyle w:val="BlockText-Plain"/>
              <w:rPr>
                <w:b/>
              </w:rPr>
            </w:pPr>
            <w:r w:rsidRPr="00C9343F">
              <w:rPr>
                <w:b/>
              </w:rPr>
              <w:t>D</w:t>
            </w:r>
          </w:p>
        </w:tc>
        <w:tc>
          <w:tcPr>
            <w:tcW w:w="7803" w:type="dxa"/>
            <w:gridSpan w:val="2"/>
            <w:hideMark/>
          </w:tcPr>
          <w:p w14:paraId="6C6EAC95" w14:textId="77777777" w:rsidR="00016F3B" w:rsidRPr="00C9343F" w:rsidRDefault="00016F3B" w:rsidP="00F66D98">
            <w:pPr>
              <w:pStyle w:val="BlockText-Plain"/>
            </w:pPr>
            <w:r w:rsidRPr="00C9343F">
              <w:t>Is the number of days between the following two days.</w:t>
            </w:r>
          </w:p>
        </w:tc>
      </w:tr>
      <w:tr w:rsidR="00016F3B" w:rsidRPr="00C9343F" w14:paraId="01AAF5EB" w14:textId="77777777" w:rsidTr="00841AD6">
        <w:tc>
          <w:tcPr>
            <w:tcW w:w="994" w:type="dxa"/>
          </w:tcPr>
          <w:p w14:paraId="60708840" w14:textId="77777777" w:rsidR="00016F3B" w:rsidRPr="00C9343F" w:rsidRDefault="00016F3B" w:rsidP="00F66D98">
            <w:pPr>
              <w:spacing w:after="200"/>
              <w:jc w:val="center"/>
              <w:rPr>
                <w:rFonts w:cs="Arial"/>
                <w:sz w:val="20"/>
              </w:rPr>
            </w:pPr>
          </w:p>
        </w:tc>
        <w:tc>
          <w:tcPr>
            <w:tcW w:w="594" w:type="dxa"/>
          </w:tcPr>
          <w:p w14:paraId="5827DAE3" w14:textId="77777777" w:rsidR="00016F3B" w:rsidRPr="00C9343F" w:rsidRDefault="00016F3B" w:rsidP="00F66D98">
            <w:pPr>
              <w:pStyle w:val="BlockText-Plain"/>
            </w:pPr>
          </w:p>
        </w:tc>
        <w:tc>
          <w:tcPr>
            <w:tcW w:w="569" w:type="dxa"/>
          </w:tcPr>
          <w:p w14:paraId="0C0515ED" w14:textId="77777777" w:rsidR="00016F3B" w:rsidRPr="00C9343F" w:rsidRDefault="00016F3B" w:rsidP="00F66D98">
            <w:pPr>
              <w:pStyle w:val="BlockText-Plain"/>
              <w:jc w:val="center"/>
            </w:pPr>
            <w:r w:rsidRPr="00C9343F">
              <w:t>a.</w:t>
            </w:r>
          </w:p>
        </w:tc>
        <w:tc>
          <w:tcPr>
            <w:tcW w:w="7234" w:type="dxa"/>
          </w:tcPr>
          <w:p w14:paraId="3A26E84F" w14:textId="77777777" w:rsidR="00016F3B" w:rsidRPr="00C9343F" w:rsidRDefault="00016F3B" w:rsidP="00F66D98">
            <w:pPr>
              <w:pStyle w:val="BlockText-Plain"/>
            </w:pPr>
            <w:r w:rsidRPr="00C9343F">
              <w:t>The day the member's undertaking under paragraph 3.5.14H.a commenced.</w:t>
            </w:r>
          </w:p>
        </w:tc>
      </w:tr>
      <w:tr w:rsidR="00016F3B" w:rsidRPr="00C9343F" w14:paraId="476B3B78" w14:textId="77777777" w:rsidTr="00841AD6">
        <w:tc>
          <w:tcPr>
            <w:tcW w:w="994" w:type="dxa"/>
          </w:tcPr>
          <w:p w14:paraId="16A8FC55" w14:textId="77777777" w:rsidR="00016F3B" w:rsidRPr="00C9343F" w:rsidRDefault="00016F3B" w:rsidP="00F66D98">
            <w:pPr>
              <w:spacing w:after="200"/>
              <w:jc w:val="center"/>
              <w:rPr>
                <w:rFonts w:cs="Arial"/>
                <w:sz w:val="20"/>
              </w:rPr>
            </w:pPr>
          </w:p>
        </w:tc>
        <w:tc>
          <w:tcPr>
            <w:tcW w:w="594" w:type="dxa"/>
          </w:tcPr>
          <w:p w14:paraId="6BE5190D" w14:textId="77777777" w:rsidR="00016F3B" w:rsidRPr="00C9343F" w:rsidRDefault="00016F3B" w:rsidP="00F66D98">
            <w:pPr>
              <w:pStyle w:val="BlockText-Plain"/>
            </w:pPr>
          </w:p>
        </w:tc>
        <w:tc>
          <w:tcPr>
            <w:tcW w:w="569" w:type="dxa"/>
          </w:tcPr>
          <w:p w14:paraId="4EFF0633" w14:textId="77777777" w:rsidR="00016F3B" w:rsidRPr="00C9343F" w:rsidRDefault="00016F3B" w:rsidP="00F66D98">
            <w:pPr>
              <w:pStyle w:val="BlockText-Plain"/>
              <w:jc w:val="center"/>
            </w:pPr>
            <w:r w:rsidRPr="00C9343F">
              <w:t>b.</w:t>
            </w:r>
          </w:p>
        </w:tc>
        <w:tc>
          <w:tcPr>
            <w:tcW w:w="7234" w:type="dxa"/>
          </w:tcPr>
          <w:p w14:paraId="289DC3BF" w14:textId="77777777" w:rsidR="00016F3B" w:rsidRPr="00C9343F" w:rsidRDefault="00016F3B" w:rsidP="00F66D98">
            <w:pPr>
              <w:pStyle w:val="BlockText-Plain"/>
            </w:pPr>
            <w:r w:rsidRPr="00C9343F">
              <w:t>The day the member ceased service in Service Category.</w:t>
            </w:r>
          </w:p>
        </w:tc>
      </w:tr>
    </w:tbl>
    <w:p w14:paraId="582E5491" w14:textId="53442B71" w:rsidR="005F44BC" w:rsidRPr="00C9343F" w:rsidRDefault="005F44BC" w:rsidP="00036C2A">
      <w:pPr>
        <w:pStyle w:val="Heading4"/>
        <w:pageBreakBefore/>
        <w:spacing w:before="200" w:after="0" w:line="260" w:lineRule="atLeast"/>
      </w:pPr>
      <w:bookmarkStart w:id="563" w:name="_Toc105053772"/>
      <w:r w:rsidRPr="00C9343F">
        <w:lastRenderedPageBreak/>
        <w:t>Division 9: Navy – Individuals critical to Navy capability</w:t>
      </w:r>
      <w:bookmarkEnd w:id="563"/>
    </w:p>
    <w:p w14:paraId="046F1AD7" w14:textId="305FE65C" w:rsidR="005F44BC" w:rsidRPr="00C9343F" w:rsidRDefault="005F44BC" w:rsidP="00F66D98">
      <w:pPr>
        <w:pStyle w:val="Heading5"/>
      </w:pPr>
      <w:bookmarkStart w:id="564" w:name="_Toc105053773"/>
      <w:r w:rsidRPr="00C9343F">
        <w:t>3.5.64</w:t>
      </w:r>
      <w:r w:rsidR="00D94006" w:rsidRPr="00C9343F">
        <w:t>    </w:t>
      </w:r>
      <w:r w:rsidRPr="00C9343F">
        <w:t>Purpose</w:t>
      </w:r>
      <w:bookmarkEnd w:id="564"/>
    </w:p>
    <w:tbl>
      <w:tblPr>
        <w:tblW w:w="9355" w:type="dxa"/>
        <w:tblInd w:w="113" w:type="dxa"/>
        <w:tblLayout w:type="fixed"/>
        <w:tblLook w:val="0000" w:firstRow="0" w:lastRow="0" w:firstColumn="0" w:lastColumn="0" w:noHBand="0" w:noVBand="0"/>
      </w:tblPr>
      <w:tblGrid>
        <w:gridCol w:w="992"/>
        <w:gridCol w:w="567"/>
        <w:gridCol w:w="7796"/>
      </w:tblGrid>
      <w:tr w:rsidR="005F44BC" w:rsidRPr="00C9343F" w14:paraId="02898C78" w14:textId="77777777" w:rsidTr="00D17902">
        <w:tc>
          <w:tcPr>
            <w:tcW w:w="992" w:type="dxa"/>
          </w:tcPr>
          <w:p w14:paraId="35656D9E" w14:textId="77777777" w:rsidR="005F44BC" w:rsidRPr="00C9343F" w:rsidRDefault="005F44BC" w:rsidP="00F66D98">
            <w:pPr>
              <w:pStyle w:val="BlockText-Plain"/>
              <w:jc w:val="center"/>
            </w:pPr>
          </w:p>
        </w:tc>
        <w:tc>
          <w:tcPr>
            <w:tcW w:w="8363" w:type="dxa"/>
            <w:gridSpan w:val="2"/>
          </w:tcPr>
          <w:p w14:paraId="0F2B1321" w14:textId="77777777" w:rsidR="005F44BC" w:rsidRPr="00C9343F" w:rsidRDefault="005F44BC" w:rsidP="00F66D98">
            <w:pPr>
              <w:pStyle w:val="BlockText-Plain"/>
            </w:pPr>
            <w:r w:rsidRPr="00C9343F">
              <w:t>The purpose of this Division is to offer a retention bonus that will achieve all of the following outcomes.</w:t>
            </w:r>
          </w:p>
        </w:tc>
      </w:tr>
      <w:tr w:rsidR="005F44BC" w:rsidRPr="00C9343F" w14:paraId="7FF65525" w14:textId="77777777" w:rsidTr="00D17902">
        <w:trPr>
          <w:cantSplit/>
        </w:trPr>
        <w:tc>
          <w:tcPr>
            <w:tcW w:w="992" w:type="dxa"/>
          </w:tcPr>
          <w:p w14:paraId="71DE82E6" w14:textId="77777777" w:rsidR="005F44BC" w:rsidRPr="00C9343F" w:rsidRDefault="005F44BC" w:rsidP="00F66D98">
            <w:pPr>
              <w:pStyle w:val="BlockText-Plain"/>
            </w:pPr>
          </w:p>
        </w:tc>
        <w:tc>
          <w:tcPr>
            <w:tcW w:w="567" w:type="dxa"/>
          </w:tcPr>
          <w:p w14:paraId="0050B150" w14:textId="77777777" w:rsidR="005F44BC" w:rsidRPr="00C9343F" w:rsidRDefault="005F44BC" w:rsidP="007114B1">
            <w:pPr>
              <w:pStyle w:val="BlockText-Plain"/>
              <w:jc w:val="center"/>
            </w:pPr>
            <w:r w:rsidRPr="00C9343F">
              <w:t>a.</w:t>
            </w:r>
          </w:p>
        </w:tc>
        <w:tc>
          <w:tcPr>
            <w:tcW w:w="7796" w:type="dxa"/>
          </w:tcPr>
          <w:p w14:paraId="32AF08EE" w14:textId="77777777" w:rsidR="005F44BC" w:rsidRPr="00C9343F" w:rsidRDefault="005F44BC" w:rsidP="00F66D98">
            <w:pPr>
              <w:pStyle w:val="BlockText-Plain"/>
            </w:pPr>
            <w:r w:rsidRPr="00C9343F">
              <w:t>Retain members in individual positions necessary to capability in a critical trade or work unit.</w:t>
            </w:r>
          </w:p>
        </w:tc>
      </w:tr>
      <w:tr w:rsidR="005F44BC" w:rsidRPr="00C9343F" w14:paraId="0D94505E" w14:textId="77777777" w:rsidTr="00D17902">
        <w:trPr>
          <w:cantSplit/>
        </w:trPr>
        <w:tc>
          <w:tcPr>
            <w:tcW w:w="992" w:type="dxa"/>
          </w:tcPr>
          <w:p w14:paraId="282D6DFF" w14:textId="77777777" w:rsidR="005F44BC" w:rsidRPr="00C9343F" w:rsidRDefault="005F44BC" w:rsidP="00F66D98">
            <w:pPr>
              <w:pStyle w:val="BlockText-Plain"/>
            </w:pPr>
          </w:p>
        </w:tc>
        <w:tc>
          <w:tcPr>
            <w:tcW w:w="567" w:type="dxa"/>
          </w:tcPr>
          <w:p w14:paraId="71E1855C" w14:textId="77777777" w:rsidR="005F44BC" w:rsidRPr="00C9343F" w:rsidRDefault="005F44BC" w:rsidP="007114B1">
            <w:pPr>
              <w:pStyle w:val="BlockText-Plain"/>
              <w:jc w:val="center"/>
            </w:pPr>
            <w:r w:rsidRPr="00C9343F">
              <w:t>b.</w:t>
            </w:r>
          </w:p>
        </w:tc>
        <w:tc>
          <w:tcPr>
            <w:tcW w:w="7796" w:type="dxa"/>
          </w:tcPr>
          <w:p w14:paraId="73C5FD53" w14:textId="77777777" w:rsidR="005F44BC" w:rsidRPr="00C9343F" w:rsidRDefault="005F44BC" w:rsidP="00F66D98">
            <w:pPr>
              <w:pStyle w:val="BlockText-Plain"/>
            </w:pPr>
            <w:r w:rsidRPr="00C9343F">
              <w:t>Prevent the reduction of personnel numbers to levels below that required to sustain operational or supporting capability in the Navy.</w:t>
            </w:r>
          </w:p>
        </w:tc>
      </w:tr>
      <w:tr w:rsidR="005F44BC" w:rsidRPr="00C9343F" w14:paraId="2F2C3AEA" w14:textId="77777777" w:rsidTr="00D17902">
        <w:trPr>
          <w:cantSplit/>
        </w:trPr>
        <w:tc>
          <w:tcPr>
            <w:tcW w:w="992" w:type="dxa"/>
          </w:tcPr>
          <w:p w14:paraId="0DDBD954" w14:textId="77777777" w:rsidR="005F44BC" w:rsidRPr="00C9343F" w:rsidRDefault="005F44BC" w:rsidP="00F66D98">
            <w:pPr>
              <w:pStyle w:val="BlockText-Plain"/>
            </w:pPr>
          </w:p>
        </w:tc>
        <w:tc>
          <w:tcPr>
            <w:tcW w:w="567" w:type="dxa"/>
          </w:tcPr>
          <w:p w14:paraId="462D2150" w14:textId="77777777" w:rsidR="005F44BC" w:rsidRPr="00C9343F" w:rsidRDefault="005F44BC" w:rsidP="007114B1">
            <w:pPr>
              <w:pStyle w:val="BlockText-Plain"/>
              <w:jc w:val="center"/>
            </w:pPr>
            <w:r w:rsidRPr="00C9343F">
              <w:t>c.</w:t>
            </w:r>
          </w:p>
        </w:tc>
        <w:tc>
          <w:tcPr>
            <w:tcW w:w="7796" w:type="dxa"/>
          </w:tcPr>
          <w:p w14:paraId="4C63E3F0" w14:textId="77777777" w:rsidR="005F44BC" w:rsidRPr="00C9343F" w:rsidRDefault="005F44BC" w:rsidP="00F66D98">
            <w:pPr>
              <w:pStyle w:val="BlockText-Plain"/>
            </w:pPr>
            <w:r w:rsidRPr="00C9343F">
              <w:t>Retain members in other individual positions critical to Navy capability.</w:t>
            </w:r>
          </w:p>
        </w:tc>
      </w:tr>
    </w:tbl>
    <w:p w14:paraId="11E2FBEB" w14:textId="77777777" w:rsidR="00D17902" w:rsidRPr="00C9343F" w:rsidRDefault="00D17902" w:rsidP="00D17902">
      <w:pPr>
        <w:pStyle w:val="Heading5"/>
      </w:pPr>
      <w:bookmarkStart w:id="565" w:name="_Toc105053774"/>
      <w:r w:rsidRPr="00C9343F">
        <w:t>3.5.65    Definitions</w:t>
      </w:r>
      <w:bookmarkEnd w:id="565"/>
    </w:p>
    <w:tbl>
      <w:tblPr>
        <w:tblW w:w="0" w:type="dxa"/>
        <w:tblInd w:w="113" w:type="dxa"/>
        <w:tblLayout w:type="fixed"/>
        <w:tblLook w:val="04A0" w:firstRow="1" w:lastRow="0" w:firstColumn="1" w:lastColumn="0" w:noHBand="0" w:noVBand="1"/>
      </w:tblPr>
      <w:tblGrid>
        <w:gridCol w:w="992"/>
        <w:gridCol w:w="8368"/>
      </w:tblGrid>
      <w:tr w:rsidR="00D17902" w:rsidRPr="00C9343F" w14:paraId="7E6558DD" w14:textId="77777777" w:rsidTr="00445FEB">
        <w:tc>
          <w:tcPr>
            <w:tcW w:w="992" w:type="dxa"/>
          </w:tcPr>
          <w:p w14:paraId="4BE720F7" w14:textId="77777777" w:rsidR="00D17902" w:rsidRPr="00C9343F" w:rsidRDefault="00D17902" w:rsidP="00445FEB">
            <w:pPr>
              <w:pStyle w:val="Sectiontext0"/>
              <w:spacing w:line="276" w:lineRule="auto"/>
              <w:ind w:left="1440"/>
              <w:jc w:val="center"/>
              <w:rPr>
                <w:lang w:eastAsia="en-US"/>
              </w:rPr>
            </w:pPr>
          </w:p>
        </w:tc>
        <w:tc>
          <w:tcPr>
            <w:tcW w:w="8368" w:type="dxa"/>
            <w:hideMark/>
          </w:tcPr>
          <w:p w14:paraId="7CE87F37" w14:textId="77777777" w:rsidR="00D17902" w:rsidRPr="00C9343F" w:rsidRDefault="00D17902" w:rsidP="00445FEB">
            <w:pPr>
              <w:pStyle w:val="Sectiontext0"/>
              <w:tabs>
                <w:tab w:val="left" w:pos="1215"/>
              </w:tabs>
              <w:spacing w:line="276" w:lineRule="auto"/>
              <w:rPr>
                <w:iCs/>
                <w:lang w:eastAsia="en-US"/>
              </w:rPr>
            </w:pPr>
            <w:r w:rsidRPr="00C9343F">
              <w:rPr>
                <w:iCs/>
                <w:lang w:eastAsia="en-US"/>
              </w:rPr>
              <w:t>In this Division the following apply.</w:t>
            </w:r>
          </w:p>
        </w:tc>
      </w:tr>
      <w:tr w:rsidR="00D17902" w:rsidRPr="00C9343F" w14:paraId="61BDF2E1" w14:textId="77777777" w:rsidTr="00445FEB">
        <w:tc>
          <w:tcPr>
            <w:tcW w:w="992" w:type="dxa"/>
          </w:tcPr>
          <w:p w14:paraId="110F081B" w14:textId="77777777" w:rsidR="00D17902" w:rsidRPr="00C9343F" w:rsidRDefault="00D17902" w:rsidP="00445FEB">
            <w:pPr>
              <w:pStyle w:val="Sectiontext0"/>
              <w:spacing w:line="276" w:lineRule="auto"/>
              <w:ind w:left="1440"/>
              <w:jc w:val="center"/>
              <w:rPr>
                <w:lang w:eastAsia="en-US"/>
              </w:rPr>
            </w:pPr>
          </w:p>
        </w:tc>
        <w:tc>
          <w:tcPr>
            <w:tcW w:w="8368" w:type="dxa"/>
            <w:hideMark/>
          </w:tcPr>
          <w:p w14:paraId="08B6A3FE" w14:textId="77777777" w:rsidR="00D17902" w:rsidRPr="00C9343F" w:rsidRDefault="00D17902" w:rsidP="00445FEB">
            <w:pPr>
              <w:pStyle w:val="Sectiontext0"/>
              <w:tabs>
                <w:tab w:val="left" w:pos="1215"/>
              </w:tabs>
              <w:spacing w:line="276" w:lineRule="auto"/>
              <w:rPr>
                <w:lang w:eastAsia="en-US"/>
              </w:rPr>
            </w:pPr>
            <w:r w:rsidRPr="00C9343F">
              <w:rPr>
                <w:b/>
                <w:iCs/>
                <w:lang w:eastAsia="en-US"/>
              </w:rPr>
              <w:t xml:space="preserve">Agreed period of service </w:t>
            </w:r>
            <w:r w:rsidRPr="00C9343F">
              <w:rPr>
                <w:iCs/>
                <w:lang w:eastAsia="en-US"/>
              </w:rPr>
              <w:t>means</w:t>
            </w:r>
            <w:r w:rsidRPr="00C9343F">
              <w:rPr>
                <w:lang w:eastAsia="en-US"/>
              </w:rPr>
              <w:t xml:space="preserve"> a period of up to two years which the member agrees to serve in a specified position, employment category or primary qualification in return for a bonus under this Division.</w:t>
            </w:r>
          </w:p>
        </w:tc>
      </w:tr>
    </w:tbl>
    <w:p w14:paraId="76909155" w14:textId="3D243EBB" w:rsidR="005F44BC" w:rsidRPr="00C9343F" w:rsidRDefault="005F44BC" w:rsidP="00F66D98">
      <w:pPr>
        <w:pStyle w:val="Heading5"/>
      </w:pPr>
      <w:bookmarkStart w:id="566" w:name="_Toc105053775"/>
      <w:r w:rsidRPr="00C9343F">
        <w:t>3.5.66</w:t>
      </w:r>
      <w:r w:rsidR="00D94006" w:rsidRPr="00C9343F">
        <w:t>    </w:t>
      </w:r>
      <w:r w:rsidRPr="00C9343F">
        <w:t>Member who is eligible for a retention bonus under this Division</w:t>
      </w:r>
      <w:bookmarkEnd w:id="566"/>
    </w:p>
    <w:tbl>
      <w:tblPr>
        <w:tblW w:w="9359" w:type="dxa"/>
        <w:tblInd w:w="113" w:type="dxa"/>
        <w:tblLayout w:type="fixed"/>
        <w:tblLook w:val="0000" w:firstRow="0" w:lastRow="0" w:firstColumn="0" w:lastColumn="0" w:noHBand="0" w:noVBand="0"/>
      </w:tblPr>
      <w:tblGrid>
        <w:gridCol w:w="992"/>
        <w:gridCol w:w="567"/>
        <w:gridCol w:w="7800"/>
      </w:tblGrid>
      <w:tr w:rsidR="005F44BC" w:rsidRPr="00C9343F" w14:paraId="21458E55" w14:textId="77777777" w:rsidTr="00E05D8F">
        <w:tc>
          <w:tcPr>
            <w:tcW w:w="992" w:type="dxa"/>
          </w:tcPr>
          <w:p w14:paraId="23246E21" w14:textId="77777777" w:rsidR="005F44BC" w:rsidRPr="00C9343F" w:rsidRDefault="005F44BC" w:rsidP="00F66D98">
            <w:pPr>
              <w:pStyle w:val="BlockText-Plain"/>
              <w:jc w:val="center"/>
            </w:pPr>
            <w:r w:rsidRPr="00C9343F">
              <w:t>1.</w:t>
            </w:r>
          </w:p>
        </w:tc>
        <w:tc>
          <w:tcPr>
            <w:tcW w:w="8367" w:type="dxa"/>
            <w:gridSpan w:val="2"/>
          </w:tcPr>
          <w:p w14:paraId="47A1B264" w14:textId="77777777" w:rsidR="005F44BC" w:rsidRPr="00C9343F" w:rsidRDefault="005F44BC" w:rsidP="00F66D98">
            <w:pPr>
              <w:pStyle w:val="BlockText-Plain"/>
            </w:pPr>
            <w:r w:rsidRPr="00C9343F">
              <w:t>A member is eligible for a bonus under this Division if they meet all of the following conditions.</w:t>
            </w:r>
          </w:p>
        </w:tc>
      </w:tr>
      <w:tr w:rsidR="005F44BC" w:rsidRPr="00C9343F" w14:paraId="48423F8B" w14:textId="77777777" w:rsidTr="00E05D8F">
        <w:trPr>
          <w:cantSplit/>
        </w:trPr>
        <w:tc>
          <w:tcPr>
            <w:tcW w:w="992" w:type="dxa"/>
          </w:tcPr>
          <w:p w14:paraId="04720ADB" w14:textId="77777777" w:rsidR="005F44BC" w:rsidRPr="00C9343F" w:rsidRDefault="005F44BC" w:rsidP="00F66D98">
            <w:pPr>
              <w:pStyle w:val="BlockText-Plain"/>
            </w:pPr>
          </w:p>
        </w:tc>
        <w:tc>
          <w:tcPr>
            <w:tcW w:w="567" w:type="dxa"/>
          </w:tcPr>
          <w:p w14:paraId="26171AF9" w14:textId="77777777" w:rsidR="005F44BC" w:rsidRPr="00C9343F" w:rsidRDefault="005F44BC" w:rsidP="007114B1">
            <w:pPr>
              <w:pStyle w:val="BlockText-Plain"/>
              <w:jc w:val="center"/>
            </w:pPr>
            <w:r w:rsidRPr="00C9343F">
              <w:t>a.</w:t>
            </w:r>
          </w:p>
        </w:tc>
        <w:tc>
          <w:tcPr>
            <w:tcW w:w="7800" w:type="dxa"/>
          </w:tcPr>
          <w:p w14:paraId="5F728AC3" w14:textId="77777777" w:rsidR="005F44BC" w:rsidRPr="00C9343F" w:rsidRDefault="005F44BC" w:rsidP="00F66D98">
            <w:pPr>
              <w:pStyle w:val="BlockText-Plain"/>
            </w:pPr>
            <w:r w:rsidRPr="00C9343F">
              <w:t>The member is in the Permanent Navy or Navy Reserve.</w:t>
            </w:r>
          </w:p>
        </w:tc>
      </w:tr>
      <w:tr w:rsidR="005F44BC" w:rsidRPr="00C9343F" w14:paraId="3F6D4F42" w14:textId="77777777" w:rsidTr="00E05D8F">
        <w:trPr>
          <w:cantSplit/>
        </w:trPr>
        <w:tc>
          <w:tcPr>
            <w:tcW w:w="992" w:type="dxa"/>
          </w:tcPr>
          <w:p w14:paraId="308C9622" w14:textId="77777777" w:rsidR="005F44BC" w:rsidRPr="00C9343F" w:rsidRDefault="005F44BC" w:rsidP="00F66D98">
            <w:pPr>
              <w:pStyle w:val="BlockText-Plain"/>
            </w:pPr>
          </w:p>
        </w:tc>
        <w:tc>
          <w:tcPr>
            <w:tcW w:w="567" w:type="dxa"/>
          </w:tcPr>
          <w:p w14:paraId="1C6859A4" w14:textId="77777777" w:rsidR="005F44BC" w:rsidRPr="00C9343F" w:rsidRDefault="005F44BC" w:rsidP="007114B1">
            <w:pPr>
              <w:pStyle w:val="BlockText-Plain"/>
              <w:jc w:val="center"/>
            </w:pPr>
            <w:r w:rsidRPr="00C9343F">
              <w:t>b.</w:t>
            </w:r>
          </w:p>
        </w:tc>
        <w:tc>
          <w:tcPr>
            <w:tcW w:w="7800" w:type="dxa"/>
          </w:tcPr>
          <w:p w14:paraId="6A43A066" w14:textId="77777777" w:rsidR="005F44BC" w:rsidRPr="00C9343F" w:rsidRDefault="005F44BC" w:rsidP="00F66D98">
            <w:pPr>
              <w:pStyle w:val="BlockText-Plain"/>
            </w:pPr>
            <w:r w:rsidRPr="00C9343F">
              <w:t xml:space="preserve">The Director General Navy People is satisfied that a bonus is required to assist in retaining the member or a class of members in an area of critical workforce shortage, having regard to the factors listed in subsection 2. </w:t>
            </w:r>
          </w:p>
        </w:tc>
      </w:tr>
      <w:tr w:rsidR="005F44BC" w:rsidRPr="00C9343F" w14:paraId="6B3CDE89" w14:textId="77777777" w:rsidTr="00E05D8F">
        <w:trPr>
          <w:cantSplit/>
        </w:trPr>
        <w:tc>
          <w:tcPr>
            <w:tcW w:w="992" w:type="dxa"/>
          </w:tcPr>
          <w:p w14:paraId="5F866786" w14:textId="77777777" w:rsidR="005F44BC" w:rsidRPr="00C9343F" w:rsidRDefault="005F44BC" w:rsidP="00F66D98">
            <w:pPr>
              <w:pStyle w:val="BlockText-Plain"/>
            </w:pPr>
          </w:p>
        </w:tc>
        <w:tc>
          <w:tcPr>
            <w:tcW w:w="567" w:type="dxa"/>
          </w:tcPr>
          <w:p w14:paraId="423E63A2" w14:textId="77777777" w:rsidR="005F44BC" w:rsidRPr="00C9343F" w:rsidRDefault="005F44BC" w:rsidP="007114B1">
            <w:pPr>
              <w:pStyle w:val="BlockText-Plain"/>
              <w:jc w:val="center"/>
            </w:pPr>
            <w:r w:rsidRPr="00C9343F">
              <w:t>c.</w:t>
            </w:r>
          </w:p>
        </w:tc>
        <w:tc>
          <w:tcPr>
            <w:tcW w:w="7800" w:type="dxa"/>
          </w:tcPr>
          <w:p w14:paraId="6E812387" w14:textId="77777777" w:rsidR="005F44BC" w:rsidRPr="00C9343F" w:rsidRDefault="005F44BC" w:rsidP="00F66D98">
            <w:pPr>
              <w:pStyle w:val="BlockText-Plain"/>
            </w:pPr>
            <w:r w:rsidRPr="00C9343F">
              <w:t>The member is offered a retention bonus under subsection 5.</w:t>
            </w:r>
          </w:p>
        </w:tc>
      </w:tr>
      <w:tr w:rsidR="005F44BC" w:rsidRPr="00C9343F" w14:paraId="2EBE1124" w14:textId="77777777" w:rsidTr="00E05D8F">
        <w:trPr>
          <w:cantSplit/>
        </w:trPr>
        <w:tc>
          <w:tcPr>
            <w:tcW w:w="992" w:type="dxa"/>
          </w:tcPr>
          <w:p w14:paraId="19322E93" w14:textId="77777777" w:rsidR="005F44BC" w:rsidRPr="00C9343F" w:rsidRDefault="005F44BC" w:rsidP="00F66D98">
            <w:pPr>
              <w:pStyle w:val="BlockText-Plain"/>
            </w:pPr>
          </w:p>
        </w:tc>
        <w:tc>
          <w:tcPr>
            <w:tcW w:w="567" w:type="dxa"/>
          </w:tcPr>
          <w:p w14:paraId="35317A2C" w14:textId="77777777" w:rsidR="005F44BC" w:rsidRPr="00C9343F" w:rsidRDefault="005F44BC" w:rsidP="007114B1">
            <w:pPr>
              <w:pStyle w:val="BlockText-Plain"/>
              <w:jc w:val="center"/>
            </w:pPr>
            <w:r w:rsidRPr="00C9343F">
              <w:t>d.</w:t>
            </w:r>
          </w:p>
        </w:tc>
        <w:tc>
          <w:tcPr>
            <w:tcW w:w="7800" w:type="dxa"/>
          </w:tcPr>
          <w:p w14:paraId="20F694FA" w14:textId="3BC986A3" w:rsidR="005F44BC" w:rsidRPr="00C9343F" w:rsidRDefault="005F44BC" w:rsidP="00F66D98">
            <w:pPr>
              <w:pStyle w:val="BlockText-Plain"/>
            </w:pPr>
            <w:r w:rsidRPr="00C9343F">
              <w:t>The member agrees to provide a fixed period of up to two years of effective service in the position, employment category or primary qualification for which the bonus was offered (this is called the</w:t>
            </w:r>
            <w:r w:rsidRPr="00C9343F">
              <w:rPr>
                <w:b/>
                <w:i/>
              </w:rPr>
              <w:t xml:space="preserve"> </w:t>
            </w:r>
            <w:r w:rsidRPr="00C9343F">
              <w:t>agreed period of service), using the form at Annex 3.5.G.</w:t>
            </w:r>
          </w:p>
        </w:tc>
      </w:tr>
      <w:tr w:rsidR="005F44BC" w:rsidRPr="00C9343F" w14:paraId="4DEBA154" w14:textId="77777777" w:rsidTr="00E05D8F">
        <w:tc>
          <w:tcPr>
            <w:tcW w:w="992" w:type="dxa"/>
          </w:tcPr>
          <w:p w14:paraId="567D19B4" w14:textId="77777777" w:rsidR="005F44BC" w:rsidRPr="00C9343F" w:rsidRDefault="005F44BC" w:rsidP="00F66D98">
            <w:pPr>
              <w:pStyle w:val="BlockText-Plain"/>
              <w:jc w:val="center"/>
            </w:pPr>
            <w:r w:rsidRPr="00C9343F">
              <w:t>2.</w:t>
            </w:r>
          </w:p>
        </w:tc>
        <w:tc>
          <w:tcPr>
            <w:tcW w:w="8367" w:type="dxa"/>
            <w:gridSpan w:val="2"/>
          </w:tcPr>
          <w:p w14:paraId="184FF160" w14:textId="77777777" w:rsidR="005F44BC" w:rsidRPr="00C9343F" w:rsidRDefault="005F44BC" w:rsidP="00F66D98">
            <w:pPr>
              <w:pStyle w:val="BlockText-Plain"/>
            </w:pPr>
            <w:r w:rsidRPr="00C9343F">
              <w:t>Director General Navy People must have regard to the following factors when deciding whether to offer a member or a class of members a bonus under this Division.</w:t>
            </w:r>
          </w:p>
        </w:tc>
      </w:tr>
      <w:tr w:rsidR="005F44BC" w:rsidRPr="00C9343F" w14:paraId="61B72A49" w14:textId="77777777" w:rsidTr="00E05D8F">
        <w:trPr>
          <w:cantSplit/>
        </w:trPr>
        <w:tc>
          <w:tcPr>
            <w:tcW w:w="992" w:type="dxa"/>
          </w:tcPr>
          <w:p w14:paraId="6398E8DB" w14:textId="77777777" w:rsidR="005F44BC" w:rsidRPr="00C9343F" w:rsidRDefault="005F44BC" w:rsidP="00F66D98">
            <w:pPr>
              <w:pStyle w:val="BlockText-Plain"/>
            </w:pPr>
          </w:p>
        </w:tc>
        <w:tc>
          <w:tcPr>
            <w:tcW w:w="567" w:type="dxa"/>
          </w:tcPr>
          <w:p w14:paraId="7C2A157D" w14:textId="77777777" w:rsidR="005F44BC" w:rsidRPr="00C9343F" w:rsidRDefault="005F44BC" w:rsidP="007114B1">
            <w:pPr>
              <w:pStyle w:val="BlockText-Plain"/>
              <w:jc w:val="center"/>
            </w:pPr>
            <w:r w:rsidRPr="00C9343F">
              <w:t>a.</w:t>
            </w:r>
          </w:p>
        </w:tc>
        <w:tc>
          <w:tcPr>
            <w:tcW w:w="7800" w:type="dxa"/>
          </w:tcPr>
          <w:p w14:paraId="758746E1" w14:textId="77777777" w:rsidR="005F44BC" w:rsidRPr="00C9343F" w:rsidRDefault="005F44BC" w:rsidP="00F66D98">
            <w:pPr>
              <w:pStyle w:val="BlockText-Plain"/>
            </w:pPr>
            <w:r w:rsidRPr="00C9343F">
              <w:t>Any evidence that there is a workforce structure shortage that is</w:t>
            </w:r>
            <w:r w:rsidRPr="00C9343F">
              <w:rPr>
                <w:b/>
                <w:i/>
              </w:rPr>
              <w:t xml:space="preserve"> </w:t>
            </w:r>
            <w:r w:rsidRPr="00C9343F">
              <w:t>critical</w:t>
            </w:r>
            <w:r w:rsidRPr="00C9343F">
              <w:rPr>
                <w:b/>
                <w:i/>
              </w:rPr>
              <w:t xml:space="preserve"> </w:t>
            </w:r>
            <w:r w:rsidRPr="00C9343F">
              <w:t>in the member's employment category or primary qualification.</w:t>
            </w:r>
          </w:p>
        </w:tc>
      </w:tr>
      <w:tr w:rsidR="005F44BC" w:rsidRPr="00C9343F" w14:paraId="697B5B0E" w14:textId="77777777" w:rsidTr="00E05D8F">
        <w:trPr>
          <w:cantSplit/>
        </w:trPr>
        <w:tc>
          <w:tcPr>
            <w:tcW w:w="992" w:type="dxa"/>
          </w:tcPr>
          <w:p w14:paraId="4ADE18CC" w14:textId="77777777" w:rsidR="005F44BC" w:rsidRPr="00C9343F" w:rsidRDefault="005F44BC" w:rsidP="00F66D98">
            <w:pPr>
              <w:pStyle w:val="BlockText-Plain"/>
            </w:pPr>
          </w:p>
        </w:tc>
        <w:tc>
          <w:tcPr>
            <w:tcW w:w="567" w:type="dxa"/>
          </w:tcPr>
          <w:p w14:paraId="456A21A0" w14:textId="77777777" w:rsidR="005F44BC" w:rsidRPr="00C9343F" w:rsidRDefault="005F44BC" w:rsidP="007114B1">
            <w:pPr>
              <w:pStyle w:val="BlockText-Plain"/>
              <w:jc w:val="center"/>
            </w:pPr>
            <w:r w:rsidRPr="00C9343F">
              <w:t>b.</w:t>
            </w:r>
          </w:p>
        </w:tc>
        <w:tc>
          <w:tcPr>
            <w:tcW w:w="7800" w:type="dxa"/>
          </w:tcPr>
          <w:p w14:paraId="1398D6F6" w14:textId="77777777" w:rsidR="005F44BC" w:rsidRPr="00C9343F" w:rsidRDefault="005F44BC" w:rsidP="00F66D98">
            <w:pPr>
              <w:pStyle w:val="BlockText-Plain"/>
            </w:pPr>
            <w:r w:rsidRPr="00C9343F">
              <w:t>Any evidence that failure to retain the member in the position will result in a current capability shortage that is critical.</w:t>
            </w:r>
          </w:p>
        </w:tc>
      </w:tr>
      <w:tr w:rsidR="005F44BC" w:rsidRPr="00C9343F" w14:paraId="1A21B644" w14:textId="77777777" w:rsidTr="00E05D8F">
        <w:trPr>
          <w:cantSplit/>
        </w:trPr>
        <w:tc>
          <w:tcPr>
            <w:tcW w:w="992" w:type="dxa"/>
          </w:tcPr>
          <w:p w14:paraId="3C611110" w14:textId="77777777" w:rsidR="005F44BC" w:rsidRPr="00C9343F" w:rsidRDefault="005F44BC" w:rsidP="00F66D98">
            <w:pPr>
              <w:pStyle w:val="BlockText-Plain"/>
            </w:pPr>
          </w:p>
        </w:tc>
        <w:tc>
          <w:tcPr>
            <w:tcW w:w="567" w:type="dxa"/>
          </w:tcPr>
          <w:p w14:paraId="72D858A5" w14:textId="77777777" w:rsidR="005F44BC" w:rsidRPr="00C9343F" w:rsidRDefault="005F44BC" w:rsidP="007114B1">
            <w:pPr>
              <w:pStyle w:val="BlockText-Plain"/>
              <w:jc w:val="center"/>
            </w:pPr>
            <w:r w:rsidRPr="00C9343F">
              <w:t>c.</w:t>
            </w:r>
          </w:p>
        </w:tc>
        <w:tc>
          <w:tcPr>
            <w:tcW w:w="7800" w:type="dxa"/>
          </w:tcPr>
          <w:p w14:paraId="70CD96DE" w14:textId="77777777" w:rsidR="005F44BC" w:rsidRPr="00C9343F" w:rsidRDefault="005F44BC" w:rsidP="00F66D98">
            <w:pPr>
              <w:pStyle w:val="BlockText-Plain"/>
            </w:pPr>
            <w:r w:rsidRPr="00C9343F">
              <w:t>Any evidence that the number of personnel in the member's employment category or primary qualification is falling.</w:t>
            </w:r>
          </w:p>
        </w:tc>
      </w:tr>
      <w:tr w:rsidR="005F44BC" w:rsidRPr="00C9343F" w14:paraId="6D4912E2" w14:textId="77777777" w:rsidTr="00E05D8F">
        <w:trPr>
          <w:cantSplit/>
        </w:trPr>
        <w:tc>
          <w:tcPr>
            <w:tcW w:w="992" w:type="dxa"/>
          </w:tcPr>
          <w:p w14:paraId="1A5A0CAC" w14:textId="77777777" w:rsidR="005F44BC" w:rsidRPr="00C9343F" w:rsidRDefault="005F44BC" w:rsidP="00F66D98">
            <w:pPr>
              <w:pStyle w:val="BlockText-Plain"/>
            </w:pPr>
          </w:p>
        </w:tc>
        <w:tc>
          <w:tcPr>
            <w:tcW w:w="567" w:type="dxa"/>
          </w:tcPr>
          <w:p w14:paraId="0BA4DE48" w14:textId="77777777" w:rsidR="005F44BC" w:rsidRPr="00C9343F" w:rsidRDefault="005F44BC" w:rsidP="007114B1">
            <w:pPr>
              <w:pStyle w:val="BlockText-Plain"/>
              <w:jc w:val="center"/>
            </w:pPr>
            <w:r w:rsidRPr="00C9343F">
              <w:t>d.</w:t>
            </w:r>
          </w:p>
        </w:tc>
        <w:tc>
          <w:tcPr>
            <w:tcW w:w="7800" w:type="dxa"/>
          </w:tcPr>
          <w:p w14:paraId="4EF021AF" w14:textId="77777777" w:rsidR="005F44BC" w:rsidRPr="00C9343F" w:rsidRDefault="005F44BC" w:rsidP="00F66D98">
            <w:pPr>
              <w:pStyle w:val="BlockText-Plain"/>
            </w:pPr>
            <w:r w:rsidRPr="00C9343F">
              <w:t>Whether the position that the member fills is essential to the delivery of Navy's capability.</w:t>
            </w:r>
          </w:p>
        </w:tc>
      </w:tr>
      <w:tr w:rsidR="005F44BC" w:rsidRPr="00C9343F" w14:paraId="39D7884E" w14:textId="77777777" w:rsidTr="00E05D8F">
        <w:trPr>
          <w:cantSplit/>
        </w:trPr>
        <w:tc>
          <w:tcPr>
            <w:tcW w:w="992" w:type="dxa"/>
          </w:tcPr>
          <w:p w14:paraId="27665FEA" w14:textId="77777777" w:rsidR="005F44BC" w:rsidRPr="00C9343F" w:rsidRDefault="005F44BC" w:rsidP="00F66D98">
            <w:pPr>
              <w:pStyle w:val="BlockText-Plain"/>
            </w:pPr>
          </w:p>
        </w:tc>
        <w:tc>
          <w:tcPr>
            <w:tcW w:w="567" w:type="dxa"/>
          </w:tcPr>
          <w:p w14:paraId="1D7A5892" w14:textId="77777777" w:rsidR="005F44BC" w:rsidRPr="00C9343F" w:rsidRDefault="005F44BC" w:rsidP="007114B1">
            <w:pPr>
              <w:pStyle w:val="BlockText-Plain"/>
              <w:jc w:val="center"/>
            </w:pPr>
            <w:r w:rsidRPr="00C9343F">
              <w:t>e.</w:t>
            </w:r>
          </w:p>
        </w:tc>
        <w:tc>
          <w:tcPr>
            <w:tcW w:w="7800" w:type="dxa"/>
          </w:tcPr>
          <w:p w14:paraId="79A4943B" w14:textId="77777777" w:rsidR="005F44BC" w:rsidRPr="00C9343F" w:rsidRDefault="005F44BC" w:rsidP="00F66D98">
            <w:pPr>
              <w:pStyle w:val="BlockText-Plain"/>
            </w:pPr>
            <w:r w:rsidRPr="00C9343F">
              <w:t>Whether the member holds qualifications and skills that are essential to the delivery of Navy's capability.</w:t>
            </w:r>
          </w:p>
        </w:tc>
      </w:tr>
      <w:tr w:rsidR="005F44BC" w:rsidRPr="00C9343F" w14:paraId="7C0C36C5" w14:textId="77777777" w:rsidTr="00E05D8F">
        <w:trPr>
          <w:cantSplit/>
        </w:trPr>
        <w:tc>
          <w:tcPr>
            <w:tcW w:w="992" w:type="dxa"/>
          </w:tcPr>
          <w:p w14:paraId="1C94EF55" w14:textId="77777777" w:rsidR="005F44BC" w:rsidRPr="00C9343F" w:rsidRDefault="005F44BC" w:rsidP="00F66D98">
            <w:pPr>
              <w:pStyle w:val="BlockText-Plain"/>
            </w:pPr>
          </w:p>
        </w:tc>
        <w:tc>
          <w:tcPr>
            <w:tcW w:w="567" w:type="dxa"/>
          </w:tcPr>
          <w:p w14:paraId="18AE3EF0" w14:textId="77777777" w:rsidR="005F44BC" w:rsidRPr="00C9343F" w:rsidRDefault="005F44BC" w:rsidP="007114B1">
            <w:pPr>
              <w:pStyle w:val="BlockText-Plain"/>
              <w:jc w:val="center"/>
            </w:pPr>
            <w:r w:rsidRPr="00C9343F">
              <w:t>f.</w:t>
            </w:r>
          </w:p>
        </w:tc>
        <w:tc>
          <w:tcPr>
            <w:tcW w:w="7800" w:type="dxa"/>
          </w:tcPr>
          <w:p w14:paraId="6FB1335C" w14:textId="77777777" w:rsidR="005F44BC" w:rsidRPr="00C9343F" w:rsidRDefault="005F44BC" w:rsidP="00F66D98">
            <w:pPr>
              <w:pStyle w:val="BlockText-Plain"/>
            </w:pPr>
            <w:r w:rsidRPr="00C9343F">
              <w:t>Whether the member has applied to achieve qualifications and skills that are essential to the delivery of Navy's capability.</w:t>
            </w:r>
          </w:p>
        </w:tc>
      </w:tr>
      <w:tr w:rsidR="005F44BC" w:rsidRPr="00C9343F" w14:paraId="44F22D43" w14:textId="77777777" w:rsidTr="00E05D8F">
        <w:trPr>
          <w:cantSplit/>
        </w:trPr>
        <w:tc>
          <w:tcPr>
            <w:tcW w:w="992" w:type="dxa"/>
          </w:tcPr>
          <w:p w14:paraId="7B9E2890" w14:textId="77777777" w:rsidR="005F44BC" w:rsidRPr="00C9343F" w:rsidRDefault="005F44BC" w:rsidP="00F66D98">
            <w:pPr>
              <w:pStyle w:val="BlockText-Plain"/>
            </w:pPr>
          </w:p>
        </w:tc>
        <w:tc>
          <w:tcPr>
            <w:tcW w:w="567" w:type="dxa"/>
          </w:tcPr>
          <w:p w14:paraId="7D870608" w14:textId="77777777" w:rsidR="005F44BC" w:rsidRPr="00C9343F" w:rsidRDefault="005F44BC" w:rsidP="007114B1">
            <w:pPr>
              <w:pStyle w:val="BlockText-Plain"/>
              <w:jc w:val="center"/>
            </w:pPr>
            <w:r w:rsidRPr="00C9343F">
              <w:t>g.</w:t>
            </w:r>
          </w:p>
        </w:tc>
        <w:tc>
          <w:tcPr>
            <w:tcW w:w="7800" w:type="dxa"/>
          </w:tcPr>
          <w:p w14:paraId="3FFF6C7F" w14:textId="77777777" w:rsidR="005F44BC" w:rsidRPr="00C9343F" w:rsidRDefault="005F44BC" w:rsidP="00F66D98">
            <w:pPr>
              <w:pStyle w:val="BlockText-Plain"/>
            </w:pPr>
            <w:r w:rsidRPr="00C9343F">
              <w:t>Whether the position requires qualifications or skills that are in critical shortage in the Navy.</w:t>
            </w:r>
          </w:p>
        </w:tc>
      </w:tr>
      <w:tr w:rsidR="005F44BC" w:rsidRPr="00C9343F" w14:paraId="4879FD13" w14:textId="77777777" w:rsidTr="00E05D8F">
        <w:trPr>
          <w:cantSplit/>
        </w:trPr>
        <w:tc>
          <w:tcPr>
            <w:tcW w:w="992" w:type="dxa"/>
          </w:tcPr>
          <w:p w14:paraId="19BF371D" w14:textId="77777777" w:rsidR="005F44BC" w:rsidRPr="00C9343F" w:rsidRDefault="005F44BC" w:rsidP="00F66D98">
            <w:pPr>
              <w:pStyle w:val="BlockText-Plain"/>
            </w:pPr>
          </w:p>
        </w:tc>
        <w:tc>
          <w:tcPr>
            <w:tcW w:w="567" w:type="dxa"/>
          </w:tcPr>
          <w:p w14:paraId="57B209DB" w14:textId="77777777" w:rsidR="005F44BC" w:rsidRPr="00C9343F" w:rsidRDefault="005F44BC" w:rsidP="007114B1">
            <w:pPr>
              <w:pStyle w:val="BlockText-Plain"/>
              <w:jc w:val="center"/>
            </w:pPr>
            <w:r w:rsidRPr="00C9343F">
              <w:t>h.</w:t>
            </w:r>
          </w:p>
        </w:tc>
        <w:tc>
          <w:tcPr>
            <w:tcW w:w="7800" w:type="dxa"/>
          </w:tcPr>
          <w:p w14:paraId="64310AD8" w14:textId="77777777" w:rsidR="005F44BC" w:rsidRPr="00C9343F" w:rsidRDefault="005F44BC" w:rsidP="00F66D98">
            <w:pPr>
              <w:pStyle w:val="BlockText-Plain"/>
            </w:pPr>
            <w:r w:rsidRPr="00C9343F">
              <w:t>Any market forces that are contributing to the shortage.</w:t>
            </w:r>
          </w:p>
        </w:tc>
      </w:tr>
      <w:tr w:rsidR="005F44BC" w:rsidRPr="00C9343F" w14:paraId="2F8BAD69" w14:textId="77777777" w:rsidTr="00E05D8F">
        <w:trPr>
          <w:cantSplit/>
        </w:trPr>
        <w:tc>
          <w:tcPr>
            <w:tcW w:w="992" w:type="dxa"/>
          </w:tcPr>
          <w:p w14:paraId="0AEE9E5E" w14:textId="77777777" w:rsidR="005F44BC" w:rsidRPr="00C9343F" w:rsidRDefault="005F44BC" w:rsidP="00F66D98">
            <w:pPr>
              <w:pStyle w:val="BlockText-Plain"/>
            </w:pPr>
          </w:p>
        </w:tc>
        <w:tc>
          <w:tcPr>
            <w:tcW w:w="567" w:type="dxa"/>
          </w:tcPr>
          <w:p w14:paraId="7F3E352A" w14:textId="77777777" w:rsidR="005F44BC" w:rsidRPr="00C9343F" w:rsidRDefault="005F44BC" w:rsidP="007114B1">
            <w:pPr>
              <w:pStyle w:val="BlockText-Plain"/>
              <w:jc w:val="center"/>
            </w:pPr>
            <w:r w:rsidRPr="00C9343F">
              <w:t>i.</w:t>
            </w:r>
          </w:p>
        </w:tc>
        <w:tc>
          <w:tcPr>
            <w:tcW w:w="7800" w:type="dxa"/>
          </w:tcPr>
          <w:p w14:paraId="108A953B" w14:textId="77777777" w:rsidR="005F44BC" w:rsidRPr="00C9343F" w:rsidRDefault="005F44BC" w:rsidP="00F66D98">
            <w:pPr>
              <w:pStyle w:val="BlockText-Plain"/>
            </w:pPr>
            <w:r w:rsidRPr="00C9343F">
              <w:t>Any other relevant matter.</w:t>
            </w:r>
          </w:p>
        </w:tc>
      </w:tr>
      <w:tr w:rsidR="007240A0" w:rsidRPr="00C9343F" w14:paraId="77229837" w14:textId="77777777" w:rsidTr="00445FEB">
        <w:trPr>
          <w:cantSplit/>
        </w:trPr>
        <w:tc>
          <w:tcPr>
            <w:tcW w:w="992" w:type="dxa"/>
          </w:tcPr>
          <w:p w14:paraId="13C99EFD" w14:textId="04A1F69D" w:rsidR="007240A0" w:rsidRPr="00C9343F" w:rsidRDefault="007240A0" w:rsidP="007240A0">
            <w:pPr>
              <w:pStyle w:val="BlockText-Plain"/>
              <w:jc w:val="center"/>
            </w:pPr>
            <w:r w:rsidRPr="00C9343F">
              <w:rPr>
                <w:lang w:eastAsia="en-US"/>
              </w:rPr>
              <w:t>2A.</w:t>
            </w:r>
          </w:p>
        </w:tc>
        <w:tc>
          <w:tcPr>
            <w:tcW w:w="8367" w:type="dxa"/>
            <w:gridSpan w:val="2"/>
          </w:tcPr>
          <w:p w14:paraId="45D0D25A" w14:textId="547EA805" w:rsidR="007240A0" w:rsidRPr="00C9343F" w:rsidRDefault="007240A0" w:rsidP="007240A0">
            <w:pPr>
              <w:pStyle w:val="BlockText-Plain"/>
            </w:pPr>
            <w:r w:rsidRPr="00C9343F">
              <w:rPr>
                <w:rFonts w:cs="Arial"/>
                <w:lang w:eastAsia="en-US"/>
              </w:rPr>
              <w:t>For the purpose of subsection 2.a, a workforce structure shortage is critical if some or all of the recruiting, retention, training throughput, strength and future health elements of the category or primary qualification combine so that the shortage in numbers is unlikely to recover within five years.</w:t>
            </w:r>
          </w:p>
        </w:tc>
      </w:tr>
      <w:tr w:rsidR="007240A0" w:rsidRPr="00C9343F" w14:paraId="6538C722" w14:textId="77777777" w:rsidTr="00445FEB">
        <w:trPr>
          <w:cantSplit/>
        </w:trPr>
        <w:tc>
          <w:tcPr>
            <w:tcW w:w="992" w:type="dxa"/>
          </w:tcPr>
          <w:p w14:paraId="5082512F" w14:textId="32A955AC" w:rsidR="007240A0" w:rsidRPr="00C9343F" w:rsidRDefault="007240A0" w:rsidP="007240A0">
            <w:pPr>
              <w:pStyle w:val="BlockText-Plain"/>
              <w:jc w:val="center"/>
            </w:pPr>
            <w:r w:rsidRPr="00C9343F">
              <w:rPr>
                <w:lang w:eastAsia="en-US"/>
              </w:rPr>
              <w:t>2B.</w:t>
            </w:r>
          </w:p>
        </w:tc>
        <w:tc>
          <w:tcPr>
            <w:tcW w:w="8367" w:type="dxa"/>
            <w:gridSpan w:val="2"/>
          </w:tcPr>
          <w:p w14:paraId="41A800F0" w14:textId="25487E67" w:rsidR="007240A0" w:rsidRPr="00C9343F" w:rsidRDefault="007240A0" w:rsidP="007240A0">
            <w:pPr>
              <w:pStyle w:val="BlockText-Plain"/>
            </w:pPr>
            <w:r w:rsidRPr="00C9343F">
              <w:rPr>
                <w:rFonts w:cs="Arial"/>
                <w:lang w:eastAsia="en-US"/>
              </w:rPr>
              <w:t>For the purpose of subsection 2.b, a current capability shortage is critical if both the following conditions are met.</w:t>
            </w:r>
          </w:p>
        </w:tc>
      </w:tr>
      <w:tr w:rsidR="007240A0" w:rsidRPr="00C9343F" w14:paraId="6075F37A" w14:textId="77777777" w:rsidTr="00E05D8F">
        <w:trPr>
          <w:cantSplit/>
        </w:trPr>
        <w:tc>
          <w:tcPr>
            <w:tcW w:w="992" w:type="dxa"/>
          </w:tcPr>
          <w:p w14:paraId="616DE786" w14:textId="77777777" w:rsidR="007240A0" w:rsidRPr="00C9343F" w:rsidRDefault="007240A0" w:rsidP="007240A0">
            <w:pPr>
              <w:pStyle w:val="BlockText-Plain"/>
            </w:pPr>
          </w:p>
        </w:tc>
        <w:tc>
          <w:tcPr>
            <w:tcW w:w="567" w:type="dxa"/>
          </w:tcPr>
          <w:p w14:paraId="5057E5BB" w14:textId="0C0F4F6C" w:rsidR="007240A0" w:rsidRPr="00C9343F" w:rsidRDefault="007240A0" w:rsidP="007240A0">
            <w:pPr>
              <w:pStyle w:val="BlockText-Plain"/>
              <w:jc w:val="center"/>
            </w:pPr>
            <w:r w:rsidRPr="00C9343F">
              <w:rPr>
                <w:rFonts w:cs="Arial"/>
                <w:lang w:eastAsia="en-US"/>
              </w:rPr>
              <w:t>a.</w:t>
            </w:r>
          </w:p>
        </w:tc>
        <w:tc>
          <w:tcPr>
            <w:tcW w:w="7800" w:type="dxa"/>
          </w:tcPr>
          <w:p w14:paraId="57151FE8" w14:textId="4266A140" w:rsidR="007240A0" w:rsidRPr="00C9343F" w:rsidRDefault="007240A0" w:rsidP="007240A0">
            <w:pPr>
              <w:pStyle w:val="BlockText-Plain"/>
            </w:pPr>
            <w:r w:rsidRPr="00C9343F">
              <w:rPr>
                <w:rFonts w:cs="Arial"/>
                <w:lang w:eastAsia="en-US"/>
              </w:rPr>
              <w:t>A Navy position requirement cannot be met with fit, trained and available personnel, within respite rules.</w:t>
            </w:r>
          </w:p>
        </w:tc>
      </w:tr>
      <w:tr w:rsidR="007240A0" w:rsidRPr="00C9343F" w14:paraId="6D9C83E2" w14:textId="77777777" w:rsidTr="00E05D8F">
        <w:trPr>
          <w:cantSplit/>
        </w:trPr>
        <w:tc>
          <w:tcPr>
            <w:tcW w:w="992" w:type="dxa"/>
          </w:tcPr>
          <w:p w14:paraId="14F51E3F" w14:textId="77777777" w:rsidR="007240A0" w:rsidRPr="00C9343F" w:rsidRDefault="007240A0" w:rsidP="007240A0">
            <w:pPr>
              <w:pStyle w:val="BlockText-Plain"/>
            </w:pPr>
          </w:p>
        </w:tc>
        <w:tc>
          <w:tcPr>
            <w:tcW w:w="567" w:type="dxa"/>
          </w:tcPr>
          <w:p w14:paraId="1A961CDF" w14:textId="7644E4DF" w:rsidR="007240A0" w:rsidRPr="00C9343F" w:rsidRDefault="007240A0" w:rsidP="007240A0">
            <w:pPr>
              <w:pStyle w:val="BlockText-Plain"/>
              <w:jc w:val="center"/>
            </w:pPr>
            <w:r w:rsidRPr="00C9343F">
              <w:rPr>
                <w:rFonts w:cs="Arial"/>
                <w:lang w:eastAsia="en-US"/>
              </w:rPr>
              <w:t>b.</w:t>
            </w:r>
          </w:p>
        </w:tc>
        <w:tc>
          <w:tcPr>
            <w:tcW w:w="7800" w:type="dxa"/>
          </w:tcPr>
          <w:p w14:paraId="0BDE6384" w14:textId="4C0D29EF" w:rsidR="007240A0" w:rsidRPr="00C9343F" w:rsidRDefault="007240A0" w:rsidP="007240A0">
            <w:pPr>
              <w:pStyle w:val="BlockText-Plain"/>
            </w:pPr>
            <w:r w:rsidRPr="00C9343F">
              <w:rPr>
                <w:rFonts w:cs="Arial"/>
                <w:lang w:eastAsia="en-US"/>
              </w:rPr>
              <w:t>Failure to meet the position requirement impacts negatively on delivery of Navy capability.</w:t>
            </w:r>
          </w:p>
        </w:tc>
      </w:tr>
      <w:tr w:rsidR="007240A0" w:rsidRPr="00C9343F" w14:paraId="4136E335" w14:textId="77777777" w:rsidTr="00E05D8F">
        <w:tc>
          <w:tcPr>
            <w:tcW w:w="992" w:type="dxa"/>
          </w:tcPr>
          <w:p w14:paraId="1C8858BB" w14:textId="77777777" w:rsidR="007240A0" w:rsidRPr="00C9343F" w:rsidRDefault="007240A0" w:rsidP="007240A0">
            <w:pPr>
              <w:pStyle w:val="BlockText-Plain"/>
              <w:jc w:val="center"/>
            </w:pPr>
            <w:r w:rsidRPr="00C9343F">
              <w:t>3.</w:t>
            </w:r>
          </w:p>
        </w:tc>
        <w:tc>
          <w:tcPr>
            <w:tcW w:w="8367" w:type="dxa"/>
            <w:gridSpan w:val="2"/>
          </w:tcPr>
          <w:p w14:paraId="35C0D1A1" w14:textId="77777777" w:rsidR="007240A0" w:rsidRPr="00C9343F" w:rsidRDefault="007240A0" w:rsidP="007240A0">
            <w:pPr>
              <w:pStyle w:val="BlockText-Plain"/>
            </w:pPr>
            <w:r w:rsidRPr="00C9343F">
              <w:t>The amount of each bonus to be offered is to be determined by Director General Navy People, having regard to the list of factors at subsection 2, up to a maximum of $50,000 per year. The amount must be notified to the member as part of the offer.</w:t>
            </w:r>
          </w:p>
        </w:tc>
      </w:tr>
      <w:tr w:rsidR="007240A0" w:rsidRPr="00C9343F" w14:paraId="65D0253D" w14:textId="77777777" w:rsidTr="00E05D8F">
        <w:tc>
          <w:tcPr>
            <w:tcW w:w="992" w:type="dxa"/>
          </w:tcPr>
          <w:p w14:paraId="71B73A4C" w14:textId="77777777" w:rsidR="007240A0" w:rsidRPr="00C9343F" w:rsidRDefault="007240A0" w:rsidP="007240A0">
            <w:pPr>
              <w:pStyle w:val="BlockText-Plain"/>
              <w:jc w:val="center"/>
            </w:pPr>
            <w:r w:rsidRPr="00C9343F">
              <w:t>4.</w:t>
            </w:r>
          </w:p>
        </w:tc>
        <w:tc>
          <w:tcPr>
            <w:tcW w:w="8367" w:type="dxa"/>
            <w:gridSpan w:val="2"/>
          </w:tcPr>
          <w:p w14:paraId="1D4471D8" w14:textId="77777777" w:rsidR="007240A0" w:rsidRPr="00C9343F" w:rsidRDefault="007240A0" w:rsidP="007240A0">
            <w:pPr>
              <w:pStyle w:val="BlockText-Plain"/>
            </w:pPr>
            <w:r w:rsidRPr="00C9343F">
              <w:t>The period of service that must be performed in return for each bonus to be offered is to be determined by Director General Navy People, having regard to the list of factors at subsection 2, up to a maximum of two years. The amount must be notified to the member as part of the offer.</w:t>
            </w:r>
          </w:p>
        </w:tc>
      </w:tr>
      <w:tr w:rsidR="007240A0" w:rsidRPr="00C9343F" w14:paraId="035E5C57" w14:textId="77777777" w:rsidTr="006E5056">
        <w:tc>
          <w:tcPr>
            <w:tcW w:w="992" w:type="dxa"/>
          </w:tcPr>
          <w:p w14:paraId="4BDF8B7F" w14:textId="77777777" w:rsidR="007240A0" w:rsidRPr="00C9343F" w:rsidRDefault="007240A0" w:rsidP="007240A0">
            <w:pPr>
              <w:pStyle w:val="BlockText-Plain"/>
              <w:jc w:val="center"/>
            </w:pPr>
            <w:r w:rsidRPr="00C9343F">
              <w:t>5.</w:t>
            </w:r>
          </w:p>
        </w:tc>
        <w:tc>
          <w:tcPr>
            <w:tcW w:w="8367" w:type="dxa"/>
            <w:gridSpan w:val="2"/>
          </w:tcPr>
          <w:p w14:paraId="59F76805" w14:textId="77777777" w:rsidR="007240A0" w:rsidRPr="00C9343F" w:rsidRDefault="007240A0" w:rsidP="007240A0">
            <w:pPr>
              <w:pStyle w:val="BlockText-Plain"/>
            </w:pPr>
            <w:r w:rsidRPr="00C9343F">
              <w:t>After Director General Navy People has made the decisions under subsections 2, 3 and 4, the offer may be made by one of the following.</w:t>
            </w:r>
          </w:p>
        </w:tc>
      </w:tr>
      <w:tr w:rsidR="007240A0" w:rsidRPr="00C9343F" w14:paraId="4C10E5A8" w14:textId="77777777" w:rsidTr="006E5056">
        <w:trPr>
          <w:cantSplit/>
        </w:trPr>
        <w:tc>
          <w:tcPr>
            <w:tcW w:w="992" w:type="dxa"/>
          </w:tcPr>
          <w:p w14:paraId="560924E2" w14:textId="77777777" w:rsidR="007240A0" w:rsidRPr="00C9343F" w:rsidRDefault="007240A0" w:rsidP="007240A0">
            <w:pPr>
              <w:pStyle w:val="BlockText-Plain"/>
            </w:pPr>
          </w:p>
        </w:tc>
        <w:tc>
          <w:tcPr>
            <w:tcW w:w="567" w:type="dxa"/>
          </w:tcPr>
          <w:p w14:paraId="37D8E38B" w14:textId="77777777" w:rsidR="007240A0" w:rsidRPr="00C9343F" w:rsidRDefault="007240A0" w:rsidP="007240A0">
            <w:pPr>
              <w:pStyle w:val="BlockText-Plain"/>
              <w:jc w:val="center"/>
            </w:pPr>
            <w:r w:rsidRPr="00C9343F">
              <w:t>a.</w:t>
            </w:r>
          </w:p>
        </w:tc>
        <w:tc>
          <w:tcPr>
            <w:tcW w:w="7800" w:type="dxa"/>
          </w:tcPr>
          <w:p w14:paraId="169E257D" w14:textId="77777777" w:rsidR="007240A0" w:rsidRPr="00C9343F" w:rsidRDefault="007240A0" w:rsidP="007240A0">
            <w:pPr>
              <w:pStyle w:val="BlockText-Plain"/>
            </w:pPr>
            <w:r w:rsidRPr="00C9343F">
              <w:t>Director Navy Career Performance Support.</w:t>
            </w:r>
          </w:p>
        </w:tc>
      </w:tr>
      <w:tr w:rsidR="007240A0" w:rsidRPr="00C9343F" w14:paraId="3870336F" w14:textId="77777777" w:rsidTr="006E5056">
        <w:trPr>
          <w:cantSplit/>
        </w:trPr>
        <w:tc>
          <w:tcPr>
            <w:tcW w:w="992" w:type="dxa"/>
          </w:tcPr>
          <w:p w14:paraId="3F472F2E" w14:textId="77777777" w:rsidR="007240A0" w:rsidRPr="00C9343F" w:rsidRDefault="007240A0" w:rsidP="007240A0">
            <w:pPr>
              <w:pStyle w:val="BlockText-Plain"/>
            </w:pPr>
          </w:p>
        </w:tc>
        <w:tc>
          <w:tcPr>
            <w:tcW w:w="567" w:type="dxa"/>
          </w:tcPr>
          <w:p w14:paraId="28E9C6B0" w14:textId="77777777" w:rsidR="007240A0" w:rsidRPr="00C9343F" w:rsidRDefault="007240A0" w:rsidP="007240A0">
            <w:pPr>
              <w:pStyle w:val="BlockText-Plain"/>
              <w:jc w:val="center"/>
            </w:pPr>
            <w:r w:rsidRPr="00C9343F">
              <w:t>b.</w:t>
            </w:r>
          </w:p>
        </w:tc>
        <w:tc>
          <w:tcPr>
            <w:tcW w:w="7800" w:type="dxa"/>
          </w:tcPr>
          <w:p w14:paraId="2B7812A6" w14:textId="77777777" w:rsidR="007240A0" w:rsidRPr="00C9343F" w:rsidRDefault="007240A0" w:rsidP="007240A0">
            <w:pPr>
              <w:pStyle w:val="BlockText-Plain"/>
            </w:pPr>
            <w:r w:rsidRPr="00C9343F">
              <w:t>Deputy Director Navy Career Performance Support.</w:t>
            </w:r>
          </w:p>
        </w:tc>
      </w:tr>
    </w:tbl>
    <w:p w14:paraId="57DC2170" w14:textId="47BDC3BC" w:rsidR="005F44BC" w:rsidRPr="00C9343F" w:rsidRDefault="005F44BC" w:rsidP="00F66D98">
      <w:pPr>
        <w:pStyle w:val="Heading5"/>
      </w:pPr>
      <w:bookmarkStart w:id="567" w:name="_Toc105053776"/>
      <w:r w:rsidRPr="00C9343F">
        <w:t>3.5.67</w:t>
      </w:r>
      <w:r w:rsidR="00D94006" w:rsidRPr="00C9343F">
        <w:t>    </w:t>
      </w:r>
      <w:r w:rsidRPr="00C9343F">
        <w:t>Transfer from another bonus scheme</w:t>
      </w:r>
      <w:bookmarkEnd w:id="567"/>
    </w:p>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57F67B1A" w14:textId="77777777" w:rsidTr="005F44BC">
        <w:tc>
          <w:tcPr>
            <w:tcW w:w="992" w:type="dxa"/>
          </w:tcPr>
          <w:p w14:paraId="32FBBC26" w14:textId="77777777" w:rsidR="005F44BC" w:rsidRPr="00C9343F" w:rsidRDefault="005F44BC" w:rsidP="00F66D98">
            <w:pPr>
              <w:pStyle w:val="BlockText-Plain"/>
              <w:jc w:val="center"/>
            </w:pPr>
            <w:r w:rsidRPr="00C9343F">
              <w:t>1.</w:t>
            </w:r>
          </w:p>
        </w:tc>
        <w:tc>
          <w:tcPr>
            <w:tcW w:w="8363" w:type="dxa"/>
            <w:gridSpan w:val="2"/>
          </w:tcPr>
          <w:p w14:paraId="7E6DDE4F" w14:textId="77777777" w:rsidR="005F44BC" w:rsidRPr="00C9343F" w:rsidRDefault="005F44BC" w:rsidP="00F66D98">
            <w:pPr>
              <w:pStyle w:val="BlockText-Plain"/>
            </w:pPr>
            <w:r w:rsidRPr="00C9343F">
              <w:t>A member who is serving on another bonus scheme contained in Chapter 3 Part 5 of this Determination ('the other bonus scheme') may be offered a bonus under this Division.</w:t>
            </w:r>
          </w:p>
        </w:tc>
      </w:tr>
      <w:tr w:rsidR="005F44BC" w:rsidRPr="00C9343F" w14:paraId="05160924" w14:textId="77777777" w:rsidTr="005F44BC">
        <w:tc>
          <w:tcPr>
            <w:tcW w:w="992" w:type="dxa"/>
          </w:tcPr>
          <w:p w14:paraId="25DD7EC5" w14:textId="77777777" w:rsidR="005F44BC" w:rsidRPr="00C9343F" w:rsidRDefault="005F44BC" w:rsidP="00F66D98">
            <w:pPr>
              <w:pStyle w:val="BlockText-Plain"/>
              <w:jc w:val="center"/>
            </w:pPr>
            <w:r w:rsidRPr="00C9343F">
              <w:t>2.</w:t>
            </w:r>
          </w:p>
        </w:tc>
        <w:tc>
          <w:tcPr>
            <w:tcW w:w="8363" w:type="dxa"/>
            <w:gridSpan w:val="2"/>
          </w:tcPr>
          <w:p w14:paraId="3D551BBD" w14:textId="77777777" w:rsidR="005F44BC" w:rsidRPr="00C9343F" w:rsidRDefault="005F44BC" w:rsidP="00F66D98">
            <w:pPr>
              <w:pStyle w:val="BlockText-Plain"/>
            </w:pPr>
            <w:r w:rsidRPr="00C9343F">
              <w:t>If the member accepts the offer of a bonus under this Division, the acceptance has the following effects on the member's liability to serve in return for a bonus under the other scheme.</w:t>
            </w:r>
          </w:p>
        </w:tc>
      </w:tr>
      <w:tr w:rsidR="005F44BC" w:rsidRPr="00C9343F" w14:paraId="05D03F5C" w14:textId="77777777" w:rsidTr="005F44BC">
        <w:trPr>
          <w:cantSplit/>
        </w:trPr>
        <w:tc>
          <w:tcPr>
            <w:tcW w:w="992" w:type="dxa"/>
          </w:tcPr>
          <w:p w14:paraId="396957A3" w14:textId="77777777" w:rsidR="005F44BC" w:rsidRPr="00C9343F" w:rsidRDefault="005F44BC" w:rsidP="00F66D98">
            <w:pPr>
              <w:pStyle w:val="BlockText-Plain"/>
            </w:pPr>
          </w:p>
        </w:tc>
        <w:tc>
          <w:tcPr>
            <w:tcW w:w="567" w:type="dxa"/>
          </w:tcPr>
          <w:p w14:paraId="1953CC7A" w14:textId="77777777" w:rsidR="005F44BC" w:rsidRPr="00C9343F" w:rsidRDefault="005F44BC" w:rsidP="007114B1">
            <w:pPr>
              <w:pStyle w:val="BlockText-Plain"/>
              <w:jc w:val="center"/>
            </w:pPr>
            <w:r w:rsidRPr="00C9343F">
              <w:t>a.</w:t>
            </w:r>
          </w:p>
        </w:tc>
        <w:tc>
          <w:tcPr>
            <w:tcW w:w="7796" w:type="dxa"/>
          </w:tcPr>
          <w:p w14:paraId="3ED82A01" w14:textId="77777777" w:rsidR="005F44BC" w:rsidRPr="00C9343F" w:rsidRDefault="005F44BC" w:rsidP="00F66D98">
            <w:pPr>
              <w:pStyle w:val="BlockText-Plain"/>
            </w:pPr>
            <w:r w:rsidRPr="00C9343F">
              <w:t>The member's period of service under the other scheme continues until the day that the member commences serving the period of service agreed under this scheme.</w:t>
            </w:r>
          </w:p>
        </w:tc>
      </w:tr>
      <w:tr w:rsidR="005F44BC" w:rsidRPr="00C9343F" w14:paraId="6E9D4F20" w14:textId="77777777" w:rsidTr="005F44BC">
        <w:trPr>
          <w:cantSplit/>
        </w:trPr>
        <w:tc>
          <w:tcPr>
            <w:tcW w:w="992" w:type="dxa"/>
          </w:tcPr>
          <w:p w14:paraId="211B5B7B" w14:textId="77777777" w:rsidR="005F44BC" w:rsidRPr="00C9343F" w:rsidRDefault="005F44BC" w:rsidP="00F66D98">
            <w:pPr>
              <w:pStyle w:val="BlockText-Plain"/>
            </w:pPr>
          </w:p>
        </w:tc>
        <w:tc>
          <w:tcPr>
            <w:tcW w:w="567" w:type="dxa"/>
          </w:tcPr>
          <w:p w14:paraId="319133DC" w14:textId="77777777" w:rsidR="005F44BC" w:rsidRPr="00C9343F" w:rsidRDefault="005F44BC" w:rsidP="007114B1">
            <w:pPr>
              <w:pStyle w:val="BlockText-Plain"/>
              <w:jc w:val="center"/>
            </w:pPr>
            <w:r w:rsidRPr="00C9343F">
              <w:t>b.</w:t>
            </w:r>
          </w:p>
        </w:tc>
        <w:tc>
          <w:tcPr>
            <w:tcW w:w="7796" w:type="dxa"/>
          </w:tcPr>
          <w:p w14:paraId="2A7F3EEA" w14:textId="77777777" w:rsidR="005F44BC" w:rsidRPr="00C9343F" w:rsidRDefault="005F44BC" w:rsidP="00F66D98">
            <w:pPr>
              <w:pStyle w:val="BlockText-Plain"/>
            </w:pPr>
            <w:r w:rsidRPr="00C9343F">
              <w:t>If the other scheme has a completion bonus and the member chooses to commence the period of service agreed under this scheme, before they have reached the end of the completion bonus period of service, a pro rata amount of the bonus may be paid to the member for the period of service performed towards the completion bonus.</w:t>
            </w:r>
          </w:p>
        </w:tc>
      </w:tr>
      <w:tr w:rsidR="005F44BC" w:rsidRPr="00C9343F" w14:paraId="002A2AD1" w14:textId="77777777" w:rsidTr="005F44BC">
        <w:trPr>
          <w:cantSplit/>
        </w:trPr>
        <w:tc>
          <w:tcPr>
            <w:tcW w:w="992" w:type="dxa"/>
          </w:tcPr>
          <w:p w14:paraId="23F180B4" w14:textId="77777777" w:rsidR="005F44BC" w:rsidRPr="00C9343F" w:rsidRDefault="005F44BC" w:rsidP="00F66D98">
            <w:pPr>
              <w:pStyle w:val="BlockText-Plain"/>
            </w:pPr>
          </w:p>
        </w:tc>
        <w:tc>
          <w:tcPr>
            <w:tcW w:w="567" w:type="dxa"/>
          </w:tcPr>
          <w:p w14:paraId="02E33975" w14:textId="77777777" w:rsidR="005F44BC" w:rsidRPr="00C9343F" w:rsidRDefault="005F44BC" w:rsidP="007114B1">
            <w:pPr>
              <w:pStyle w:val="BlockText-Plain"/>
              <w:jc w:val="center"/>
            </w:pPr>
            <w:r w:rsidRPr="00C9343F">
              <w:t>c.</w:t>
            </w:r>
          </w:p>
        </w:tc>
        <w:tc>
          <w:tcPr>
            <w:tcW w:w="7796" w:type="dxa"/>
          </w:tcPr>
          <w:p w14:paraId="621FFC97" w14:textId="77777777" w:rsidR="005F44BC" w:rsidRPr="00C9343F" w:rsidRDefault="005F44BC" w:rsidP="00F66D98">
            <w:pPr>
              <w:pStyle w:val="BlockText-Plain"/>
            </w:pPr>
            <w:r w:rsidRPr="00C9343F">
              <w:t>If the other scheme had an obligation payment or other initial payment, no amount of the obligation or initial payment is repayable under that scheme.</w:t>
            </w:r>
          </w:p>
        </w:tc>
      </w:tr>
    </w:tbl>
    <w:p w14:paraId="6CB94500" w14:textId="75B0D6AB" w:rsidR="007448DD" w:rsidRPr="00C9343F" w:rsidRDefault="005F44BC" w:rsidP="00F66D98">
      <w:pPr>
        <w:pStyle w:val="Heading5"/>
        <w:rPr>
          <w:rFonts w:cs="Arial"/>
        </w:rPr>
      </w:pPr>
      <w:bookmarkStart w:id="568" w:name="_Toc105053777"/>
      <w:r w:rsidRPr="00C9343F">
        <w:t>3.5.68</w:t>
      </w:r>
      <w:r w:rsidR="00D94006" w:rsidRPr="00C9343F">
        <w:t>    </w:t>
      </w:r>
      <w:r w:rsidR="007448DD" w:rsidRPr="00C9343F">
        <w:rPr>
          <w:rFonts w:cs="Arial"/>
        </w:rPr>
        <w:t>Member who is not eligible for a bonus under this Division</w:t>
      </w:r>
      <w:bookmarkEnd w:id="568"/>
    </w:p>
    <w:tbl>
      <w:tblPr>
        <w:tblW w:w="0" w:type="auto"/>
        <w:tblInd w:w="108" w:type="dxa"/>
        <w:tblLayout w:type="fixed"/>
        <w:tblLook w:val="0000" w:firstRow="0" w:lastRow="0" w:firstColumn="0" w:lastColumn="0" w:noHBand="0" w:noVBand="0"/>
      </w:tblPr>
      <w:tblGrid>
        <w:gridCol w:w="997"/>
        <w:gridCol w:w="567"/>
        <w:gridCol w:w="567"/>
        <w:gridCol w:w="7233"/>
      </w:tblGrid>
      <w:tr w:rsidR="007448DD" w:rsidRPr="00C9343F" w14:paraId="7C16F94A" w14:textId="77777777" w:rsidTr="0005003D">
        <w:tc>
          <w:tcPr>
            <w:tcW w:w="997" w:type="dxa"/>
          </w:tcPr>
          <w:p w14:paraId="1A99103B" w14:textId="77777777" w:rsidR="007448DD" w:rsidRPr="00C9343F" w:rsidRDefault="007448DD" w:rsidP="00F66D98">
            <w:pPr>
              <w:pStyle w:val="BlockText-Plain"/>
              <w:jc w:val="center"/>
              <w:rPr>
                <w:rFonts w:cs="Arial"/>
              </w:rPr>
            </w:pPr>
          </w:p>
        </w:tc>
        <w:tc>
          <w:tcPr>
            <w:tcW w:w="8367" w:type="dxa"/>
            <w:gridSpan w:val="3"/>
          </w:tcPr>
          <w:p w14:paraId="7D1079A0" w14:textId="77777777" w:rsidR="007448DD" w:rsidRPr="00C9343F" w:rsidRDefault="007448DD" w:rsidP="00F66D98">
            <w:pPr>
              <w:pStyle w:val="BlockText-Plain"/>
              <w:rPr>
                <w:rFonts w:cs="Arial"/>
              </w:rPr>
            </w:pPr>
            <w:r w:rsidRPr="00C9343F">
              <w:t>A member who meets any of the following circumstances is not eligible to be offered a bonus under this Division.</w:t>
            </w:r>
          </w:p>
        </w:tc>
      </w:tr>
      <w:tr w:rsidR="007448DD" w:rsidRPr="00C9343F" w14:paraId="7DAECC3D" w14:textId="77777777" w:rsidTr="0005003D">
        <w:trPr>
          <w:cantSplit/>
        </w:trPr>
        <w:tc>
          <w:tcPr>
            <w:tcW w:w="997" w:type="dxa"/>
          </w:tcPr>
          <w:p w14:paraId="186689FD" w14:textId="77777777" w:rsidR="007448DD" w:rsidRPr="00C9343F" w:rsidRDefault="007448DD" w:rsidP="00F66D98">
            <w:pPr>
              <w:pStyle w:val="BlockText-Plain"/>
              <w:rPr>
                <w:rFonts w:cs="Arial"/>
              </w:rPr>
            </w:pPr>
          </w:p>
        </w:tc>
        <w:tc>
          <w:tcPr>
            <w:tcW w:w="567" w:type="dxa"/>
          </w:tcPr>
          <w:p w14:paraId="30C87D5D" w14:textId="77777777" w:rsidR="007448DD" w:rsidRPr="00C9343F" w:rsidRDefault="007448DD" w:rsidP="007114B1">
            <w:pPr>
              <w:pStyle w:val="BlockText-Plain"/>
              <w:jc w:val="center"/>
              <w:rPr>
                <w:rFonts w:cs="Arial"/>
              </w:rPr>
            </w:pPr>
            <w:r w:rsidRPr="00C9343F">
              <w:rPr>
                <w:rFonts w:cs="Arial"/>
              </w:rPr>
              <w:t>a.</w:t>
            </w:r>
          </w:p>
        </w:tc>
        <w:tc>
          <w:tcPr>
            <w:tcW w:w="7800" w:type="dxa"/>
            <w:gridSpan w:val="2"/>
          </w:tcPr>
          <w:p w14:paraId="167E1315" w14:textId="77777777" w:rsidR="007448DD" w:rsidRPr="00C9343F" w:rsidRDefault="007448DD" w:rsidP="00F66D98">
            <w:pPr>
              <w:pStyle w:val="BlockText-Plain"/>
              <w:rPr>
                <w:rFonts w:cs="Arial"/>
              </w:rPr>
            </w:pPr>
            <w:r w:rsidRPr="00C9343F">
              <w:rPr>
                <w:rFonts w:cs="Arial"/>
              </w:rPr>
              <w:t>The member has undertaken to perform a period of service for the purpose of another bonus under this Division and has not agreed to transfer to the scheme under this Division.</w:t>
            </w:r>
          </w:p>
        </w:tc>
      </w:tr>
      <w:tr w:rsidR="007448DD" w:rsidRPr="00C9343F" w14:paraId="55F24B84" w14:textId="77777777" w:rsidTr="0005003D">
        <w:trPr>
          <w:cantSplit/>
        </w:trPr>
        <w:tc>
          <w:tcPr>
            <w:tcW w:w="997" w:type="dxa"/>
          </w:tcPr>
          <w:p w14:paraId="35DE4888" w14:textId="77777777" w:rsidR="007448DD" w:rsidRPr="00C9343F" w:rsidRDefault="007448DD" w:rsidP="00F66D98">
            <w:pPr>
              <w:pStyle w:val="BlockText-Plain"/>
              <w:rPr>
                <w:rFonts w:cs="Arial"/>
              </w:rPr>
            </w:pPr>
          </w:p>
        </w:tc>
        <w:tc>
          <w:tcPr>
            <w:tcW w:w="567" w:type="dxa"/>
          </w:tcPr>
          <w:p w14:paraId="2B91535D" w14:textId="77777777" w:rsidR="007448DD" w:rsidRPr="00C9343F" w:rsidRDefault="007448DD" w:rsidP="007114B1">
            <w:pPr>
              <w:pStyle w:val="BlockText-Plain"/>
              <w:jc w:val="center"/>
              <w:rPr>
                <w:rFonts w:cs="Arial"/>
              </w:rPr>
            </w:pPr>
            <w:r w:rsidRPr="00C9343F">
              <w:rPr>
                <w:rFonts w:cs="Arial"/>
              </w:rPr>
              <w:t>b.</w:t>
            </w:r>
          </w:p>
        </w:tc>
        <w:tc>
          <w:tcPr>
            <w:tcW w:w="7800" w:type="dxa"/>
            <w:gridSpan w:val="2"/>
          </w:tcPr>
          <w:p w14:paraId="0137D4FB" w14:textId="77777777" w:rsidR="007448DD" w:rsidRPr="00C9343F" w:rsidRDefault="007448DD" w:rsidP="00F66D98">
            <w:pPr>
              <w:pStyle w:val="BlockText-Plain"/>
              <w:rPr>
                <w:rFonts w:cs="Arial"/>
              </w:rPr>
            </w:pPr>
            <w:r w:rsidRPr="00C9343F">
              <w:rPr>
                <w:rFonts w:cs="Arial"/>
              </w:rPr>
              <w:t xml:space="preserve">Both of the following apply. </w:t>
            </w:r>
          </w:p>
        </w:tc>
      </w:tr>
      <w:tr w:rsidR="007448DD" w:rsidRPr="00C9343F" w14:paraId="4C4A11ED" w14:textId="77777777" w:rsidTr="0005003D">
        <w:trPr>
          <w:cantSplit/>
        </w:trPr>
        <w:tc>
          <w:tcPr>
            <w:tcW w:w="1564" w:type="dxa"/>
            <w:gridSpan w:val="2"/>
          </w:tcPr>
          <w:p w14:paraId="4B47F8D8" w14:textId="77777777" w:rsidR="007448DD" w:rsidRPr="00C9343F" w:rsidRDefault="007448DD" w:rsidP="00F66D98">
            <w:pPr>
              <w:pStyle w:val="BlockText-Plain"/>
              <w:rPr>
                <w:rFonts w:cs="Arial"/>
              </w:rPr>
            </w:pPr>
          </w:p>
        </w:tc>
        <w:tc>
          <w:tcPr>
            <w:tcW w:w="567" w:type="dxa"/>
          </w:tcPr>
          <w:p w14:paraId="23225F5F" w14:textId="77777777" w:rsidR="007448DD" w:rsidRPr="00C9343F" w:rsidRDefault="007448DD" w:rsidP="007114B1">
            <w:pPr>
              <w:pStyle w:val="BlockText-Plain"/>
              <w:rPr>
                <w:rFonts w:cs="Arial"/>
              </w:rPr>
            </w:pPr>
            <w:r w:rsidRPr="00C9343F">
              <w:rPr>
                <w:rFonts w:cs="Arial"/>
              </w:rPr>
              <w:t>i.</w:t>
            </w:r>
          </w:p>
        </w:tc>
        <w:tc>
          <w:tcPr>
            <w:tcW w:w="7233" w:type="dxa"/>
          </w:tcPr>
          <w:p w14:paraId="78B17E60" w14:textId="77777777" w:rsidR="007448DD" w:rsidRPr="00C9343F" w:rsidRDefault="007448DD" w:rsidP="00F66D98">
            <w:pPr>
              <w:pStyle w:val="BlockText-Plain"/>
              <w:rPr>
                <w:rFonts w:cs="Arial"/>
              </w:rPr>
            </w:pPr>
            <w:r w:rsidRPr="00C9343F">
              <w:rPr>
                <w:rFonts w:cs="Arial"/>
              </w:rPr>
              <w:t>The member will reach retirement age before the end of their agreed period of service.</w:t>
            </w:r>
          </w:p>
        </w:tc>
      </w:tr>
      <w:tr w:rsidR="007448DD" w:rsidRPr="00C9343F" w14:paraId="525B8F7C" w14:textId="77777777" w:rsidTr="0005003D">
        <w:trPr>
          <w:cantSplit/>
        </w:trPr>
        <w:tc>
          <w:tcPr>
            <w:tcW w:w="1564" w:type="dxa"/>
            <w:gridSpan w:val="2"/>
          </w:tcPr>
          <w:p w14:paraId="509E7E0C" w14:textId="77777777" w:rsidR="007448DD" w:rsidRPr="00C9343F" w:rsidRDefault="007448DD" w:rsidP="00F66D98">
            <w:pPr>
              <w:pStyle w:val="BlockText-Plain"/>
              <w:rPr>
                <w:rFonts w:cs="Arial"/>
              </w:rPr>
            </w:pPr>
          </w:p>
        </w:tc>
        <w:tc>
          <w:tcPr>
            <w:tcW w:w="567" w:type="dxa"/>
          </w:tcPr>
          <w:p w14:paraId="6B56811A" w14:textId="77777777" w:rsidR="007448DD" w:rsidRPr="00C9343F" w:rsidRDefault="007448DD" w:rsidP="007114B1">
            <w:pPr>
              <w:pStyle w:val="BlockText-Plain"/>
              <w:rPr>
                <w:rFonts w:cs="Arial"/>
              </w:rPr>
            </w:pPr>
            <w:r w:rsidRPr="00C9343F">
              <w:rPr>
                <w:rFonts w:cs="Arial"/>
              </w:rPr>
              <w:t>ii.</w:t>
            </w:r>
          </w:p>
        </w:tc>
        <w:tc>
          <w:tcPr>
            <w:tcW w:w="7233" w:type="dxa"/>
          </w:tcPr>
          <w:p w14:paraId="70A3AE1D" w14:textId="77777777" w:rsidR="007448DD" w:rsidRPr="00C9343F" w:rsidRDefault="007448DD" w:rsidP="00F66D98">
            <w:pPr>
              <w:pStyle w:val="BlockText-Plain"/>
              <w:rPr>
                <w:rFonts w:cs="Arial"/>
              </w:rPr>
            </w:pPr>
            <w:r w:rsidRPr="00C9343F">
              <w:rPr>
                <w:rFonts w:cs="Arial"/>
              </w:rPr>
              <w:t xml:space="preserve">The member does not have a written direction from the CDF under paragraph 23(2)(b) of the </w:t>
            </w:r>
            <w:r w:rsidR="00832ED7" w:rsidRPr="00C9343F">
              <w:t>Defence Regulation</w:t>
            </w:r>
            <w:r w:rsidRPr="00C9343F">
              <w:rPr>
                <w:rFonts w:cs="Arial"/>
              </w:rPr>
              <w:t>, allowing the member to serve beyond their retirement age until a date that is not earlier than the last day of the agreed period of service required for the bonus.</w:t>
            </w:r>
          </w:p>
        </w:tc>
      </w:tr>
      <w:tr w:rsidR="007448DD" w:rsidRPr="00C9343F" w14:paraId="67369BE4" w14:textId="77777777" w:rsidTr="0005003D">
        <w:trPr>
          <w:cantSplit/>
        </w:trPr>
        <w:tc>
          <w:tcPr>
            <w:tcW w:w="997" w:type="dxa"/>
          </w:tcPr>
          <w:p w14:paraId="1D9C791E" w14:textId="77777777" w:rsidR="007448DD" w:rsidRPr="00C9343F" w:rsidRDefault="007448DD" w:rsidP="00F66D98">
            <w:pPr>
              <w:pStyle w:val="BlockText-Plain"/>
              <w:rPr>
                <w:rFonts w:cs="Arial"/>
              </w:rPr>
            </w:pPr>
          </w:p>
        </w:tc>
        <w:tc>
          <w:tcPr>
            <w:tcW w:w="567" w:type="dxa"/>
          </w:tcPr>
          <w:p w14:paraId="16DF2B0C" w14:textId="77777777" w:rsidR="007448DD" w:rsidRPr="00C9343F" w:rsidRDefault="007448DD" w:rsidP="007114B1">
            <w:pPr>
              <w:pStyle w:val="BlockText-Plain"/>
              <w:jc w:val="center"/>
              <w:rPr>
                <w:rFonts w:cs="Arial"/>
              </w:rPr>
            </w:pPr>
            <w:r w:rsidRPr="00C9343F">
              <w:rPr>
                <w:rFonts w:cs="Arial"/>
              </w:rPr>
              <w:t>c.</w:t>
            </w:r>
          </w:p>
        </w:tc>
        <w:tc>
          <w:tcPr>
            <w:tcW w:w="7800" w:type="dxa"/>
            <w:gridSpan w:val="2"/>
          </w:tcPr>
          <w:p w14:paraId="0A833937" w14:textId="77777777" w:rsidR="007448DD" w:rsidRPr="00C9343F" w:rsidRDefault="007448DD" w:rsidP="00F66D98">
            <w:pPr>
              <w:pStyle w:val="BlockText-Plain"/>
              <w:rPr>
                <w:rFonts w:cs="Arial"/>
              </w:rPr>
            </w:pPr>
            <w:r w:rsidRPr="00C9343F">
              <w:rPr>
                <w:rFonts w:cs="Arial"/>
              </w:rPr>
              <w:t>The member's period of service will end before the end of the agreed period of service.</w:t>
            </w:r>
          </w:p>
        </w:tc>
      </w:tr>
    </w:tbl>
    <w:p w14:paraId="35075A69" w14:textId="0884F647" w:rsidR="005F44BC" w:rsidRPr="00C9343F" w:rsidRDefault="005F44BC" w:rsidP="00F66D98">
      <w:pPr>
        <w:pStyle w:val="Heading5"/>
      </w:pPr>
      <w:bookmarkStart w:id="569" w:name="_Toc105053778"/>
      <w:r w:rsidRPr="00C9343F">
        <w:t>3.5.69</w:t>
      </w:r>
      <w:r w:rsidR="00D94006" w:rsidRPr="00C9343F">
        <w:t>    </w:t>
      </w:r>
      <w:r w:rsidRPr="00C9343F">
        <w:t>How to accept the offer of a retention bonus</w:t>
      </w:r>
      <w:bookmarkEnd w:id="569"/>
    </w:p>
    <w:tbl>
      <w:tblPr>
        <w:tblW w:w="0" w:type="auto"/>
        <w:tblInd w:w="113" w:type="dxa"/>
        <w:tblLayout w:type="fixed"/>
        <w:tblLook w:val="0000" w:firstRow="0" w:lastRow="0" w:firstColumn="0" w:lastColumn="0" w:noHBand="0" w:noVBand="0"/>
      </w:tblPr>
      <w:tblGrid>
        <w:gridCol w:w="992"/>
        <w:gridCol w:w="567"/>
        <w:gridCol w:w="7800"/>
      </w:tblGrid>
      <w:tr w:rsidR="005F44BC" w:rsidRPr="00C9343F" w14:paraId="3B74A844" w14:textId="77777777" w:rsidTr="005F44BC">
        <w:tc>
          <w:tcPr>
            <w:tcW w:w="992" w:type="dxa"/>
          </w:tcPr>
          <w:p w14:paraId="76244D27" w14:textId="77777777" w:rsidR="005F44BC" w:rsidRPr="00C9343F" w:rsidRDefault="005F44BC" w:rsidP="00F66D98">
            <w:pPr>
              <w:pStyle w:val="BlockText-Plain"/>
              <w:jc w:val="center"/>
            </w:pPr>
            <w:r w:rsidRPr="00C9343F">
              <w:t>1.</w:t>
            </w:r>
          </w:p>
        </w:tc>
        <w:tc>
          <w:tcPr>
            <w:tcW w:w="8367" w:type="dxa"/>
            <w:gridSpan w:val="2"/>
          </w:tcPr>
          <w:p w14:paraId="69B0B74B" w14:textId="77777777" w:rsidR="005F44BC" w:rsidRPr="00C9343F" w:rsidRDefault="005F44BC" w:rsidP="00F66D98">
            <w:pPr>
              <w:pStyle w:val="BlockText-Plain"/>
            </w:pPr>
            <w:r w:rsidRPr="00C9343F">
              <w:t>An eligible member may accept a bonus under this Division any time after they receive an offer, until the latest of the following dates.</w:t>
            </w:r>
          </w:p>
        </w:tc>
      </w:tr>
      <w:tr w:rsidR="005F44BC" w:rsidRPr="00C9343F" w14:paraId="18FF71E3" w14:textId="77777777" w:rsidTr="005F44BC">
        <w:trPr>
          <w:cantSplit/>
        </w:trPr>
        <w:tc>
          <w:tcPr>
            <w:tcW w:w="992" w:type="dxa"/>
          </w:tcPr>
          <w:p w14:paraId="05680163" w14:textId="77777777" w:rsidR="005F44BC" w:rsidRPr="00C9343F" w:rsidRDefault="005F44BC" w:rsidP="00F66D98">
            <w:pPr>
              <w:pStyle w:val="BlockText-Plain"/>
            </w:pPr>
          </w:p>
        </w:tc>
        <w:tc>
          <w:tcPr>
            <w:tcW w:w="567" w:type="dxa"/>
          </w:tcPr>
          <w:p w14:paraId="0209EDCA" w14:textId="77777777" w:rsidR="005F44BC" w:rsidRPr="00C9343F" w:rsidRDefault="005F44BC" w:rsidP="007114B1">
            <w:pPr>
              <w:pStyle w:val="BlockText-Plain"/>
              <w:jc w:val="center"/>
            </w:pPr>
            <w:r w:rsidRPr="00C9343F">
              <w:t>a.</w:t>
            </w:r>
          </w:p>
        </w:tc>
        <w:tc>
          <w:tcPr>
            <w:tcW w:w="7800" w:type="dxa"/>
          </w:tcPr>
          <w:p w14:paraId="51F4020C" w14:textId="77777777" w:rsidR="005F44BC" w:rsidRPr="00C9343F" w:rsidRDefault="005F44BC" w:rsidP="00F66D98">
            <w:pPr>
              <w:pStyle w:val="BlockText-Plain"/>
            </w:pPr>
            <w:r w:rsidRPr="00C9343F">
              <w:t>Twenty-eight days after the day the offer is made.</w:t>
            </w:r>
          </w:p>
        </w:tc>
      </w:tr>
      <w:tr w:rsidR="005F44BC" w:rsidRPr="00C9343F" w14:paraId="413116BE" w14:textId="77777777" w:rsidTr="005F44BC">
        <w:trPr>
          <w:cantSplit/>
        </w:trPr>
        <w:tc>
          <w:tcPr>
            <w:tcW w:w="992" w:type="dxa"/>
          </w:tcPr>
          <w:p w14:paraId="1AC0CEAF" w14:textId="77777777" w:rsidR="005F44BC" w:rsidRPr="00C9343F" w:rsidRDefault="005F44BC" w:rsidP="00F66D98">
            <w:pPr>
              <w:pStyle w:val="BlockText-Plain"/>
            </w:pPr>
          </w:p>
        </w:tc>
        <w:tc>
          <w:tcPr>
            <w:tcW w:w="567" w:type="dxa"/>
          </w:tcPr>
          <w:p w14:paraId="71C5D268" w14:textId="77777777" w:rsidR="005F44BC" w:rsidRPr="00C9343F" w:rsidRDefault="005F44BC" w:rsidP="007114B1">
            <w:pPr>
              <w:pStyle w:val="BlockText-Plain"/>
              <w:jc w:val="center"/>
            </w:pPr>
            <w:r w:rsidRPr="00C9343F">
              <w:t>b.</w:t>
            </w:r>
          </w:p>
        </w:tc>
        <w:tc>
          <w:tcPr>
            <w:tcW w:w="7800" w:type="dxa"/>
          </w:tcPr>
          <w:p w14:paraId="4D25E0E2" w14:textId="77777777" w:rsidR="005F44BC" w:rsidRPr="00C9343F" w:rsidRDefault="005F44BC" w:rsidP="00F66D98">
            <w:pPr>
              <w:pStyle w:val="BlockText-Plain"/>
            </w:pPr>
            <w:r w:rsidRPr="00C9343F">
              <w:t>If the member was deployed when the offer under paragraph a. was made — the day 28 days after the day the member returns to Australia after a deployment.</w:t>
            </w:r>
          </w:p>
        </w:tc>
      </w:tr>
      <w:tr w:rsidR="005F44BC" w:rsidRPr="00C9343F" w14:paraId="35CDEC9E" w14:textId="77777777" w:rsidTr="005F44BC">
        <w:trPr>
          <w:cantSplit/>
        </w:trPr>
        <w:tc>
          <w:tcPr>
            <w:tcW w:w="992" w:type="dxa"/>
          </w:tcPr>
          <w:p w14:paraId="13424C4B" w14:textId="77777777" w:rsidR="005F44BC" w:rsidRPr="00C9343F" w:rsidRDefault="005F44BC" w:rsidP="00F66D98">
            <w:pPr>
              <w:pStyle w:val="BlockText-Plain"/>
            </w:pPr>
          </w:p>
        </w:tc>
        <w:tc>
          <w:tcPr>
            <w:tcW w:w="567" w:type="dxa"/>
          </w:tcPr>
          <w:p w14:paraId="7175A7D8" w14:textId="77777777" w:rsidR="005F44BC" w:rsidRPr="00C9343F" w:rsidRDefault="005F44BC" w:rsidP="007114B1">
            <w:pPr>
              <w:pStyle w:val="BlockText-Plain"/>
              <w:jc w:val="center"/>
            </w:pPr>
            <w:r w:rsidRPr="00C9343F">
              <w:t>c.</w:t>
            </w:r>
          </w:p>
        </w:tc>
        <w:tc>
          <w:tcPr>
            <w:tcW w:w="7800" w:type="dxa"/>
          </w:tcPr>
          <w:p w14:paraId="3E9D5B8C" w14:textId="2532CAC5" w:rsidR="005F44BC" w:rsidRPr="00C9343F" w:rsidRDefault="005F44BC" w:rsidP="00F66D98">
            <w:pPr>
              <w:pStyle w:val="BlockText-Plain"/>
            </w:pPr>
            <w:r w:rsidRPr="00C9343F">
              <w:t>A longer period that the Director General Navy People decides is reasonable, having regard to the member's circumstances.</w:t>
            </w:r>
          </w:p>
        </w:tc>
      </w:tr>
      <w:tr w:rsidR="005F44BC" w:rsidRPr="00C9343F" w14:paraId="10AC55C0" w14:textId="77777777" w:rsidTr="005F44BC">
        <w:tc>
          <w:tcPr>
            <w:tcW w:w="992" w:type="dxa"/>
          </w:tcPr>
          <w:p w14:paraId="37FB2C4F" w14:textId="77777777" w:rsidR="005F44BC" w:rsidRPr="00C9343F" w:rsidRDefault="005F44BC" w:rsidP="00F66D98">
            <w:pPr>
              <w:pStyle w:val="BlockText-Plain"/>
              <w:jc w:val="center"/>
            </w:pPr>
            <w:r w:rsidRPr="00C9343F">
              <w:t>2.</w:t>
            </w:r>
          </w:p>
        </w:tc>
        <w:tc>
          <w:tcPr>
            <w:tcW w:w="8367" w:type="dxa"/>
            <w:gridSpan w:val="2"/>
          </w:tcPr>
          <w:p w14:paraId="5618CE39" w14:textId="27D87696" w:rsidR="005F44BC" w:rsidRPr="00C9343F" w:rsidRDefault="005F44BC" w:rsidP="00F66D98">
            <w:pPr>
              <w:pStyle w:val="BlockText-Plain"/>
            </w:pPr>
            <w:r w:rsidRPr="00C9343F">
              <w:t>An acceptance made under this subsection must be on the application form at Annex 3.5.G.</w:t>
            </w:r>
          </w:p>
        </w:tc>
      </w:tr>
      <w:tr w:rsidR="005F44BC" w:rsidRPr="00C9343F" w14:paraId="260FD1F1" w14:textId="77777777" w:rsidTr="005F44BC">
        <w:tc>
          <w:tcPr>
            <w:tcW w:w="992" w:type="dxa"/>
          </w:tcPr>
          <w:p w14:paraId="3E624F96" w14:textId="77777777" w:rsidR="005F44BC" w:rsidRPr="00C9343F" w:rsidRDefault="005F44BC" w:rsidP="00F66D98">
            <w:pPr>
              <w:pStyle w:val="BlockText-Plain"/>
              <w:jc w:val="center"/>
            </w:pPr>
            <w:r w:rsidRPr="00C9343F">
              <w:t>3.</w:t>
            </w:r>
          </w:p>
        </w:tc>
        <w:tc>
          <w:tcPr>
            <w:tcW w:w="8367" w:type="dxa"/>
            <w:gridSpan w:val="2"/>
          </w:tcPr>
          <w:p w14:paraId="35E179F1" w14:textId="049C15C2" w:rsidR="005F44BC" w:rsidRPr="00C9343F" w:rsidRDefault="005F44BC" w:rsidP="00F66D98">
            <w:pPr>
              <w:pStyle w:val="BlockText-Plain"/>
            </w:pPr>
            <w:r w:rsidRPr="00C9343F">
              <w:t>The member must also complete a bonus payment election using the form at Annex 3.5.J.</w:t>
            </w:r>
          </w:p>
        </w:tc>
      </w:tr>
      <w:tr w:rsidR="005F44BC" w:rsidRPr="00C9343F" w14:paraId="7F5C61F9" w14:textId="77777777" w:rsidTr="005F44BC">
        <w:tc>
          <w:tcPr>
            <w:tcW w:w="992" w:type="dxa"/>
          </w:tcPr>
          <w:p w14:paraId="47F5D7A7" w14:textId="77777777" w:rsidR="005F44BC" w:rsidRPr="00C9343F" w:rsidRDefault="005F44BC" w:rsidP="00F66D98">
            <w:pPr>
              <w:pStyle w:val="BlockText-Plain"/>
              <w:jc w:val="center"/>
            </w:pPr>
            <w:r w:rsidRPr="00C9343F">
              <w:t>4.</w:t>
            </w:r>
          </w:p>
        </w:tc>
        <w:tc>
          <w:tcPr>
            <w:tcW w:w="8367" w:type="dxa"/>
            <w:gridSpan w:val="2"/>
          </w:tcPr>
          <w:p w14:paraId="3D5EF7FC" w14:textId="77777777" w:rsidR="005F44BC" w:rsidRPr="00C9343F" w:rsidRDefault="005F44BC" w:rsidP="00F66D98">
            <w:pPr>
              <w:pStyle w:val="BlockText-Plain"/>
            </w:pPr>
            <w:r w:rsidRPr="00C9343F">
              <w:t>The acceptance must include an undertaking to serve for the same fixed period that is specified in the offer, up to a maximum of two years.</w:t>
            </w:r>
          </w:p>
        </w:tc>
      </w:tr>
    </w:tbl>
    <w:p w14:paraId="16278F16" w14:textId="62160353" w:rsidR="005F44BC" w:rsidRPr="00C9343F" w:rsidRDefault="005F44BC" w:rsidP="00F66D98">
      <w:pPr>
        <w:pStyle w:val="Heading5"/>
      </w:pPr>
      <w:bookmarkStart w:id="570" w:name="_Toc105053779"/>
      <w:r w:rsidRPr="00C9343F">
        <w:t>3.5.70</w:t>
      </w:r>
      <w:r w:rsidR="00D94006" w:rsidRPr="00C9343F">
        <w:t>    </w:t>
      </w:r>
      <w:r w:rsidRPr="00C9343F">
        <w:t>Service that counts towards a member's retention bonus</w:t>
      </w:r>
      <w:bookmarkEnd w:id="570"/>
    </w:p>
    <w:tbl>
      <w:tblPr>
        <w:tblW w:w="0" w:type="auto"/>
        <w:tblInd w:w="113" w:type="dxa"/>
        <w:tblLayout w:type="fixed"/>
        <w:tblLook w:val="0000" w:firstRow="0" w:lastRow="0" w:firstColumn="0" w:lastColumn="0" w:noHBand="0" w:noVBand="0"/>
      </w:tblPr>
      <w:tblGrid>
        <w:gridCol w:w="992"/>
        <w:gridCol w:w="567"/>
        <w:gridCol w:w="7796"/>
      </w:tblGrid>
      <w:tr w:rsidR="005F44BC" w:rsidRPr="00C9343F" w14:paraId="06C69117" w14:textId="77777777" w:rsidTr="005F44BC">
        <w:tc>
          <w:tcPr>
            <w:tcW w:w="992" w:type="dxa"/>
          </w:tcPr>
          <w:p w14:paraId="06A8FBC3" w14:textId="77777777" w:rsidR="005F44BC" w:rsidRPr="00C9343F" w:rsidRDefault="005F44BC" w:rsidP="00F66D98">
            <w:pPr>
              <w:pStyle w:val="BlockText-Plain"/>
              <w:jc w:val="center"/>
            </w:pPr>
            <w:r w:rsidRPr="00C9343F">
              <w:t>1.</w:t>
            </w:r>
          </w:p>
        </w:tc>
        <w:tc>
          <w:tcPr>
            <w:tcW w:w="8363" w:type="dxa"/>
            <w:gridSpan w:val="2"/>
          </w:tcPr>
          <w:p w14:paraId="7520CF88" w14:textId="6AC42FFF" w:rsidR="005F44BC" w:rsidRPr="00C9343F" w:rsidRDefault="005F44BC" w:rsidP="00F66D98">
            <w:pPr>
              <w:pStyle w:val="BlockText-Plain"/>
            </w:pPr>
            <w:r w:rsidRPr="00C9343F">
              <w:t>The agreed period of service the member undertakes to perform in return for the retention bonus must be served as effective service.</w:t>
            </w:r>
          </w:p>
        </w:tc>
      </w:tr>
      <w:tr w:rsidR="005F44BC" w:rsidRPr="00C9343F" w14:paraId="4DB9491E" w14:textId="77777777" w:rsidTr="005F44BC">
        <w:tc>
          <w:tcPr>
            <w:tcW w:w="992" w:type="dxa"/>
          </w:tcPr>
          <w:p w14:paraId="0AB8DC6D" w14:textId="77777777" w:rsidR="005F44BC" w:rsidRPr="00C9343F" w:rsidRDefault="005F44BC" w:rsidP="00F66D98">
            <w:pPr>
              <w:pStyle w:val="BlockText-Plain"/>
              <w:jc w:val="center"/>
            </w:pPr>
            <w:r w:rsidRPr="00C9343F">
              <w:t>2.</w:t>
            </w:r>
          </w:p>
        </w:tc>
        <w:tc>
          <w:tcPr>
            <w:tcW w:w="8363" w:type="dxa"/>
            <w:gridSpan w:val="2"/>
          </w:tcPr>
          <w:p w14:paraId="70ECF67F" w14:textId="77777777" w:rsidR="005F44BC" w:rsidRPr="00C9343F" w:rsidRDefault="005F44BC" w:rsidP="00F66D98">
            <w:pPr>
              <w:pStyle w:val="BlockText-Plain"/>
            </w:pPr>
            <w:r w:rsidRPr="00C9343F">
              <w:t>For the purpose of a retention bonus under this Division, effective service means service that meets the following conditions.</w:t>
            </w:r>
          </w:p>
        </w:tc>
      </w:tr>
      <w:tr w:rsidR="005F44BC" w:rsidRPr="00C9343F" w14:paraId="35821305" w14:textId="77777777" w:rsidTr="005F44BC">
        <w:trPr>
          <w:cantSplit/>
        </w:trPr>
        <w:tc>
          <w:tcPr>
            <w:tcW w:w="992" w:type="dxa"/>
          </w:tcPr>
          <w:p w14:paraId="5836DBCA" w14:textId="77777777" w:rsidR="005F44BC" w:rsidRPr="00C9343F" w:rsidRDefault="005F44BC" w:rsidP="00F66D98">
            <w:pPr>
              <w:pStyle w:val="BlockText-Plain"/>
            </w:pPr>
          </w:p>
        </w:tc>
        <w:tc>
          <w:tcPr>
            <w:tcW w:w="567" w:type="dxa"/>
          </w:tcPr>
          <w:p w14:paraId="4B9AB0B2" w14:textId="77777777" w:rsidR="005F44BC" w:rsidRPr="00C9343F" w:rsidRDefault="005F44BC" w:rsidP="007114B1">
            <w:pPr>
              <w:pStyle w:val="BlockText-Plain"/>
              <w:jc w:val="center"/>
            </w:pPr>
            <w:r w:rsidRPr="00C9343F">
              <w:t>a.</w:t>
            </w:r>
          </w:p>
        </w:tc>
        <w:tc>
          <w:tcPr>
            <w:tcW w:w="7796" w:type="dxa"/>
          </w:tcPr>
          <w:p w14:paraId="08796E1D" w14:textId="77777777" w:rsidR="005F44BC" w:rsidRPr="00C9343F" w:rsidRDefault="005F44BC" w:rsidP="00F66D98">
            <w:pPr>
              <w:pStyle w:val="BlockText-Plain"/>
            </w:pPr>
            <w:r w:rsidRPr="00C9343F">
              <w:t>It is continuous full-time service in the Navy.</w:t>
            </w:r>
          </w:p>
        </w:tc>
      </w:tr>
      <w:tr w:rsidR="005F44BC" w:rsidRPr="00C9343F" w14:paraId="33E9598C" w14:textId="77777777" w:rsidTr="005F44BC">
        <w:trPr>
          <w:cantSplit/>
        </w:trPr>
        <w:tc>
          <w:tcPr>
            <w:tcW w:w="992" w:type="dxa"/>
          </w:tcPr>
          <w:p w14:paraId="5A208167" w14:textId="77777777" w:rsidR="005F44BC" w:rsidRPr="00C9343F" w:rsidRDefault="005F44BC" w:rsidP="00F66D98">
            <w:pPr>
              <w:pStyle w:val="BlockText-Plain"/>
            </w:pPr>
          </w:p>
        </w:tc>
        <w:tc>
          <w:tcPr>
            <w:tcW w:w="567" w:type="dxa"/>
          </w:tcPr>
          <w:p w14:paraId="2C113D69" w14:textId="77777777" w:rsidR="005F44BC" w:rsidRPr="00C9343F" w:rsidRDefault="005F44BC" w:rsidP="007114B1">
            <w:pPr>
              <w:pStyle w:val="BlockText-Plain"/>
              <w:jc w:val="center"/>
            </w:pPr>
            <w:r w:rsidRPr="00C9343F">
              <w:t>b.</w:t>
            </w:r>
          </w:p>
        </w:tc>
        <w:tc>
          <w:tcPr>
            <w:tcW w:w="7796" w:type="dxa"/>
          </w:tcPr>
          <w:p w14:paraId="2C6DBBB0" w14:textId="77777777" w:rsidR="005F44BC" w:rsidRPr="00C9343F" w:rsidRDefault="005F44BC" w:rsidP="00F66D98">
            <w:pPr>
              <w:pStyle w:val="BlockText-Plain"/>
            </w:pPr>
            <w:r w:rsidRPr="00C9343F">
              <w:t>It is paid.</w:t>
            </w:r>
          </w:p>
          <w:p w14:paraId="08C620EA" w14:textId="77777777" w:rsidR="005F44BC" w:rsidRPr="00C9343F" w:rsidRDefault="005F44BC" w:rsidP="00F66D98">
            <w:pPr>
              <w:pStyle w:val="BlockText-Plain"/>
            </w:pPr>
            <w:r w:rsidRPr="00C9343F">
              <w:rPr>
                <w:b/>
              </w:rPr>
              <w:t>Exception:</w:t>
            </w:r>
            <w:r w:rsidRPr="00C9343F">
              <w:t xml:space="preserve"> Unpaid leave of less than 21 calendar days.</w:t>
            </w:r>
          </w:p>
        </w:tc>
      </w:tr>
      <w:tr w:rsidR="005F44BC" w:rsidRPr="00C9343F" w14:paraId="0F126810" w14:textId="77777777" w:rsidTr="005F44BC">
        <w:trPr>
          <w:cantSplit/>
        </w:trPr>
        <w:tc>
          <w:tcPr>
            <w:tcW w:w="992" w:type="dxa"/>
          </w:tcPr>
          <w:p w14:paraId="1A1D0D9A" w14:textId="77777777" w:rsidR="005F44BC" w:rsidRPr="00C9343F" w:rsidRDefault="005F44BC" w:rsidP="00F66D98">
            <w:pPr>
              <w:pStyle w:val="BlockText-Plain"/>
            </w:pPr>
          </w:p>
        </w:tc>
        <w:tc>
          <w:tcPr>
            <w:tcW w:w="567" w:type="dxa"/>
          </w:tcPr>
          <w:p w14:paraId="679F9A32" w14:textId="77777777" w:rsidR="005F44BC" w:rsidRPr="00C9343F" w:rsidRDefault="005F44BC" w:rsidP="007114B1">
            <w:pPr>
              <w:pStyle w:val="BlockText-Plain"/>
              <w:jc w:val="center"/>
            </w:pPr>
            <w:r w:rsidRPr="00C9343F">
              <w:t>c.</w:t>
            </w:r>
          </w:p>
        </w:tc>
        <w:tc>
          <w:tcPr>
            <w:tcW w:w="7796" w:type="dxa"/>
          </w:tcPr>
          <w:p w14:paraId="70EB546A" w14:textId="77777777" w:rsidR="005F44BC" w:rsidRPr="00C9343F" w:rsidRDefault="005F44BC" w:rsidP="00F66D98">
            <w:pPr>
              <w:pStyle w:val="BlockText-Plain"/>
            </w:pPr>
            <w:r w:rsidRPr="00C9343F">
              <w:t>If it is described in the table in subsection 3, it is counted as effective service in the table.</w:t>
            </w:r>
          </w:p>
        </w:tc>
      </w:tr>
      <w:tr w:rsidR="005F44BC" w:rsidRPr="00C9343F" w14:paraId="5B6D7AB2" w14:textId="77777777" w:rsidTr="005F44BC">
        <w:tc>
          <w:tcPr>
            <w:tcW w:w="992" w:type="dxa"/>
          </w:tcPr>
          <w:p w14:paraId="502EE389" w14:textId="77777777" w:rsidR="005F44BC" w:rsidRPr="00C9343F" w:rsidRDefault="005F44BC" w:rsidP="00F66D98">
            <w:pPr>
              <w:pStyle w:val="BlockText-Plain"/>
              <w:jc w:val="center"/>
            </w:pPr>
            <w:r w:rsidRPr="00C9343F">
              <w:t>3.</w:t>
            </w:r>
          </w:p>
        </w:tc>
        <w:tc>
          <w:tcPr>
            <w:tcW w:w="8363" w:type="dxa"/>
            <w:gridSpan w:val="2"/>
          </w:tcPr>
          <w:p w14:paraId="31DBE1AD" w14:textId="77777777" w:rsidR="005F44BC" w:rsidRPr="00C9343F" w:rsidRDefault="005F44BC" w:rsidP="00F66D98">
            <w:pPr>
              <w:pStyle w:val="BlockText-Plain"/>
            </w:pPr>
            <w:r w:rsidRPr="00C9343F">
              <w:t>The following table lists a range of leave types and activities and sets out how a period of that leave or activity counts towards a member's agreed period of effective service.</w:t>
            </w:r>
          </w:p>
        </w:tc>
      </w:tr>
    </w:tbl>
    <w:p w14:paraId="1208D822" w14:textId="77777777" w:rsidR="005F44BC" w:rsidRPr="00C9343F" w:rsidRDefault="005F44BC" w:rsidP="00F66D98">
      <w:pPr>
        <w:pStyle w:val="BlockTextNoSpacing-Plain"/>
      </w:pPr>
    </w:p>
    <w:tbl>
      <w:tblPr>
        <w:tblW w:w="8371"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4677"/>
        <w:gridCol w:w="3127"/>
      </w:tblGrid>
      <w:tr w:rsidR="005F44BC" w:rsidRPr="00C9343F" w14:paraId="3024C23F" w14:textId="77777777" w:rsidTr="00F357CF">
        <w:trPr>
          <w:cantSplit/>
        </w:trPr>
        <w:tc>
          <w:tcPr>
            <w:tcW w:w="567" w:type="dxa"/>
          </w:tcPr>
          <w:p w14:paraId="78583F2E" w14:textId="77777777" w:rsidR="005F44BC" w:rsidRPr="00C9343F" w:rsidRDefault="005F44BC" w:rsidP="00F66D98">
            <w:pPr>
              <w:jc w:val="center"/>
              <w:rPr>
                <w:b/>
                <w:sz w:val="20"/>
              </w:rPr>
            </w:pPr>
            <w:bookmarkStart w:id="571" w:name="OLE_LINK12"/>
            <w:bookmarkStart w:id="572" w:name="OLE_LINK13"/>
            <w:r w:rsidRPr="00C9343F">
              <w:rPr>
                <w:b/>
                <w:sz w:val="20"/>
              </w:rPr>
              <w:t>Item</w:t>
            </w:r>
          </w:p>
        </w:tc>
        <w:tc>
          <w:tcPr>
            <w:tcW w:w="4677" w:type="dxa"/>
          </w:tcPr>
          <w:p w14:paraId="6C7CB5B4" w14:textId="77777777" w:rsidR="005F44BC" w:rsidRPr="00C9343F" w:rsidRDefault="005F44BC" w:rsidP="00F66D98">
            <w:pPr>
              <w:jc w:val="center"/>
              <w:rPr>
                <w:b/>
                <w:sz w:val="20"/>
              </w:rPr>
            </w:pPr>
            <w:r w:rsidRPr="00C9343F">
              <w:rPr>
                <w:b/>
                <w:sz w:val="20"/>
              </w:rPr>
              <w:t>Activity</w:t>
            </w:r>
          </w:p>
        </w:tc>
        <w:tc>
          <w:tcPr>
            <w:tcW w:w="3127" w:type="dxa"/>
          </w:tcPr>
          <w:p w14:paraId="0753AD1C" w14:textId="77777777" w:rsidR="005F44BC" w:rsidRPr="00C9343F" w:rsidRDefault="005F44BC" w:rsidP="00F66D98">
            <w:pPr>
              <w:jc w:val="center"/>
              <w:rPr>
                <w:b/>
                <w:sz w:val="20"/>
              </w:rPr>
            </w:pPr>
            <w:r w:rsidRPr="00C9343F">
              <w:rPr>
                <w:b/>
                <w:sz w:val="20"/>
              </w:rPr>
              <w:t>Effect</w:t>
            </w:r>
          </w:p>
        </w:tc>
      </w:tr>
      <w:bookmarkEnd w:id="571"/>
      <w:bookmarkEnd w:id="572"/>
      <w:tr w:rsidR="005F44BC" w:rsidRPr="00C9343F" w14:paraId="2CF11FEF" w14:textId="77777777" w:rsidTr="00F357CF">
        <w:trPr>
          <w:cantSplit/>
        </w:trPr>
        <w:tc>
          <w:tcPr>
            <w:tcW w:w="567" w:type="dxa"/>
          </w:tcPr>
          <w:p w14:paraId="0D3CB1C6" w14:textId="77777777" w:rsidR="005F44BC" w:rsidRPr="00C9343F" w:rsidRDefault="005F44BC" w:rsidP="00F66D98">
            <w:pPr>
              <w:pStyle w:val="TableTextArial-left"/>
              <w:jc w:val="center"/>
            </w:pPr>
            <w:r w:rsidRPr="00C9343F">
              <w:lastRenderedPageBreak/>
              <w:t>1.</w:t>
            </w:r>
          </w:p>
        </w:tc>
        <w:tc>
          <w:tcPr>
            <w:tcW w:w="4677" w:type="dxa"/>
          </w:tcPr>
          <w:p w14:paraId="6C7CA5F6" w14:textId="77777777" w:rsidR="005F44BC" w:rsidRPr="00C9343F" w:rsidRDefault="00BD6C37" w:rsidP="00F66D98">
            <w:pPr>
              <w:pStyle w:val="TableTextArial-left"/>
            </w:pPr>
            <w:r w:rsidRPr="00C9343F">
              <w:t>A member on a flexible service determination.</w:t>
            </w:r>
          </w:p>
        </w:tc>
        <w:tc>
          <w:tcPr>
            <w:tcW w:w="3127" w:type="dxa"/>
          </w:tcPr>
          <w:p w14:paraId="04F7AE94" w14:textId="77777777" w:rsidR="005F44BC" w:rsidRPr="00C9343F" w:rsidRDefault="00BD6C37" w:rsidP="00F66D98">
            <w:pPr>
              <w:pStyle w:val="TableTextArial-left"/>
            </w:pPr>
            <w:r w:rsidRPr="00C9343F">
              <w:t>Effective service is calculated in accordance with section 3.5.2.</w:t>
            </w:r>
          </w:p>
        </w:tc>
      </w:tr>
      <w:tr w:rsidR="005F44BC" w:rsidRPr="00C9343F" w14:paraId="5E1A528C" w14:textId="77777777" w:rsidTr="00F357CF">
        <w:trPr>
          <w:cantSplit/>
        </w:trPr>
        <w:tc>
          <w:tcPr>
            <w:tcW w:w="567" w:type="dxa"/>
          </w:tcPr>
          <w:p w14:paraId="3962E832" w14:textId="77777777" w:rsidR="005F44BC" w:rsidRPr="00C9343F" w:rsidRDefault="005F44BC" w:rsidP="00F66D98">
            <w:pPr>
              <w:pStyle w:val="TableTextArial-left"/>
              <w:jc w:val="center"/>
            </w:pPr>
            <w:r w:rsidRPr="00C9343F">
              <w:t>2.</w:t>
            </w:r>
          </w:p>
        </w:tc>
        <w:tc>
          <w:tcPr>
            <w:tcW w:w="4677" w:type="dxa"/>
          </w:tcPr>
          <w:p w14:paraId="1FB97756" w14:textId="49BB456E" w:rsidR="005F44BC" w:rsidRPr="00C9343F" w:rsidRDefault="005F44BC" w:rsidP="00F66D98">
            <w:pPr>
              <w:pStyle w:val="TableTextArial-left"/>
            </w:pPr>
            <w:r w:rsidRPr="00C9343F">
              <w:t>Leave at full pay.</w:t>
            </w:r>
          </w:p>
        </w:tc>
        <w:tc>
          <w:tcPr>
            <w:tcW w:w="3127" w:type="dxa"/>
            <w:vMerge w:val="restart"/>
          </w:tcPr>
          <w:p w14:paraId="2923D11F" w14:textId="77777777" w:rsidR="005F44BC" w:rsidRPr="00C9343F" w:rsidRDefault="005F44BC" w:rsidP="00F66D98">
            <w:pPr>
              <w:pStyle w:val="TableTextArial-left"/>
            </w:pPr>
            <w:r w:rsidRPr="00C9343F">
              <w:t>All of this leave counts as effective service.</w:t>
            </w:r>
          </w:p>
        </w:tc>
      </w:tr>
      <w:tr w:rsidR="005F44BC" w:rsidRPr="00C9343F" w14:paraId="06ACE1DA" w14:textId="77777777" w:rsidTr="00F357CF">
        <w:trPr>
          <w:cantSplit/>
        </w:trPr>
        <w:tc>
          <w:tcPr>
            <w:tcW w:w="567" w:type="dxa"/>
          </w:tcPr>
          <w:p w14:paraId="32DDBF38" w14:textId="77777777" w:rsidR="005F44BC" w:rsidRPr="00C9343F" w:rsidRDefault="005F44BC" w:rsidP="00F66D98">
            <w:pPr>
              <w:pStyle w:val="TableTextArial-left"/>
              <w:jc w:val="center"/>
            </w:pPr>
            <w:r w:rsidRPr="00C9343F">
              <w:t>3.</w:t>
            </w:r>
          </w:p>
        </w:tc>
        <w:tc>
          <w:tcPr>
            <w:tcW w:w="4677" w:type="dxa"/>
          </w:tcPr>
          <w:p w14:paraId="3DECD2F7" w14:textId="77211845" w:rsidR="005F44BC" w:rsidRPr="00C9343F" w:rsidRDefault="00943660" w:rsidP="00F66D98">
            <w:pPr>
              <w:pStyle w:val="TableTextArial-left"/>
            </w:pPr>
            <w:r w:rsidRPr="00C9343F">
              <w:t>Unpaid leave for less than 21 calendar days.</w:t>
            </w:r>
          </w:p>
        </w:tc>
        <w:tc>
          <w:tcPr>
            <w:tcW w:w="3127" w:type="dxa"/>
            <w:vMerge/>
          </w:tcPr>
          <w:p w14:paraId="4166252C" w14:textId="77777777" w:rsidR="005F44BC" w:rsidRPr="00C9343F" w:rsidRDefault="005F44BC" w:rsidP="00F66D98">
            <w:pPr>
              <w:pStyle w:val="TableTextArial-left"/>
            </w:pPr>
          </w:p>
        </w:tc>
      </w:tr>
      <w:tr w:rsidR="005F44BC" w:rsidRPr="00C9343F" w14:paraId="1338606F" w14:textId="77777777" w:rsidTr="00F357CF">
        <w:trPr>
          <w:cantSplit/>
        </w:trPr>
        <w:tc>
          <w:tcPr>
            <w:tcW w:w="567" w:type="dxa"/>
          </w:tcPr>
          <w:p w14:paraId="31612C02" w14:textId="77777777" w:rsidR="005F44BC" w:rsidRPr="00C9343F" w:rsidRDefault="005F44BC" w:rsidP="00F66D98">
            <w:pPr>
              <w:pStyle w:val="TableTextArial-left"/>
              <w:jc w:val="center"/>
            </w:pPr>
            <w:r w:rsidRPr="00C9343F">
              <w:t>4.</w:t>
            </w:r>
          </w:p>
        </w:tc>
        <w:tc>
          <w:tcPr>
            <w:tcW w:w="4677" w:type="dxa"/>
          </w:tcPr>
          <w:p w14:paraId="35CB6F16" w14:textId="21A5D40C" w:rsidR="005F44BC" w:rsidRPr="00C9343F" w:rsidRDefault="005F44BC" w:rsidP="00F66D98">
            <w:pPr>
              <w:pStyle w:val="TableTextArial-left"/>
            </w:pPr>
            <w:r w:rsidRPr="00C9343F">
              <w:t>Leave at half pay.</w:t>
            </w:r>
          </w:p>
        </w:tc>
        <w:tc>
          <w:tcPr>
            <w:tcW w:w="3127" w:type="dxa"/>
          </w:tcPr>
          <w:p w14:paraId="5871723D" w14:textId="77777777" w:rsidR="005F44BC" w:rsidRPr="00C9343F" w:rsidRDefault="005F44BC" w:rsidP="00F66D98">
            <w:pPr>
              <w:pStyle w:val="TableTextArial-left"/>
            </w:pPr>
            <w:r w:rsidRPr="00C9343F">
              <w:t>Half the period of the leave counts as effective service.</w:t>
            </w:r>
          </w:p>
        </w:tc>
      </w:tr>
      <w:tr w:rsidR="00F357CF" w:rsidRPr="00C9343F" w14:paraId="349BD775" w14:textId="77777777" w:rsidTr="00F357CF">
        <w:trPr>
          <w:cantSplit/>
        </w:trPr>
        <w:tc>
          <w:tcPr>
            <w:tcW w:w="567" w:type="dxa"/>
          </w:tcPr>
          <w:p w14:paraId="74D846BB" w14:textId="77777777" w:rsidR="00F357CF" w:rsidRPr="00C9343F" w:rsidRDefault="00F357CF" w:rsidP="00F66D98">
            <w:pPr>
              <w:pStyle w:val="TableTextArial-left"/>
              <w:jc w:val="center"/>
            </w:pPr>
            <w:r w:rsidRPr="00C9343F">
              <w:t>5.</w:t>
            </w:r>
          </w:p>
        </w:tc>
        <w:tc>
          <w:tcPr>
            <w:tcW w:w="4677" w:type="dxa"/>
          </w:tcPr>
          <w:p w14:paraId="326B9F1F" w14:textId="75D6854B" w:rsidR="00F357CF" w:rsidRPr="00C9343F" w:rsidRDefault="00F357CF" w:rsidP="00F66D98">
            <w:pPr>
              <w:pStyle w:val="TableTextArial-left"/>
            </w:pPr>
            <w:r w:rsidRPr="00C9343F">
              <w:t>Unpaid leave for 21 calendar days or more.</w:t>
            </w:r>
          </w:p>
        </w:tc>
        <w:tc>
          <w:tcPr>
            <w:tcW w:w="3127" w:type="dxa"/>
            <w:vMerge w:val="restart"/>
          </w:tcPr>
          <w:p w14:paraId="65C43E6D" w14:textId="77777777" w:rsidR="00F357CF" w:rsidRPr="00C9343F" w:rsidRDefault="00F357CF" w:rsidP="00F66D98">
            <w:pPr>
              <w:pStyle w:val="TableTextArial-left"/>
            </w:pPr>
            <w:r w:rsidRPr="00C9343F">
              <w:t>No time spent on these types of leave and activity counts as effective service.</w:t>
            </w:r>
          </w:p>
        </w:tc>
      </w:tr>
      <w:tr w:rsidR="00F357CF" w:rsidRPr="00C9343F" w14:paraId="60B170A8" w14:textId="77777777" w:rsidTr="00F357CF">
        <w:trPr>
          <w:cantSplit/>
        </w:trPr>
        <w:tc>
          <w:tcPr>
            <w:tcW w:w="567" w:type="dxa"/>
          </w:tcPr>
          <w:p w14:paraId="59A560A5" w14:textId="77777777" w:rsidR="00F357CF" w:rsidRPr="00C9343F" w:rsidRDefault="00F357CF" w:rsidP="00F66D98">
            <w:pPr>
              <w:pStyle w:val="TableTextArial-left"/>
              <w:jc w:val="center"/>
            </w:pPr>
            <w:r w:rsidRPr="00C9343F">
              <w:t>6.</w:t>
            </w:r>
          </w:p>
        </w:tc>
        <w:tc>
          <w:tcPr>
            <w:tcW w:w="4677" w:type="dxa"/>
          </w:tcPr>
          <w:p w14:paraId="38797C2C" w14:textId="77777777" w:rsidR="00F357CF" w:rsidRPr="00C9343F" w:rsidRDefault="00F357CF" w:rsidP="00F66D98">
            <w:pPr>
              <w:pStyle w:val="TableTextArial-left"/>
            </w:pPr>
            <w:r w:rsidRPr="00C9343F">
              <w:t>Absence without leave.</w:t>
            </w:r>
          </w:p>
        </w:tc>
        <w:tc>
          <w:tcPr>
            <w:tcW w:w="3127" w:type="dxa"/>
            <w:vMerge/>
          </w:tcPr>
          <w:p w14:paraId="279D82D8" w14:textId="77777777" w:rsidR="00F357CF" w:rsidRPr="00C9343F" w:rsidRDefault="00F357CF" w:rsidP="00F66D98">
            <w:pPr>
              <w:pStyle w:val="TableTextArial-left"/>
            </w:pPr>
          </w:p>
        </w:tc>
      </w:tr>
      <w:tr w:rsidR="00F74B60" w:rsidRPr="00C9343F" w14:paraId="3DBDE814" w14:textId="77777777" w:rsidTr="00F357CF">
        <w:trPr>
          <w:cantSplit/>
        </w:trPr>
        <w:tc>
          <w:tcPr>
            <w:tcW w:w="567" w:type="dxa"/>
          </w:tcPr>
          <w:p w14:paraId="123BD538" w14:textId="77777777" w:rsidR="00F74B60" w:rsidRPr="00C9343F" w:rsidRDefault="00F74B60" w:rsidP="00F66D98">
            <w:pPr>
              <w:pStyle w:val="TableTextArial-left"/>
              <w:jc w:val="center"/>
            </w:pPr>
            <w:r w:rsidRPr="00C9343F">
              <w:t>7.</w:t>
            </w:r>
          </w:p>
        </w:tc>
        <w:tc>
          <w:tcPr>
            <w:tcW w:w="4677" w:type="dxa"/>
          </w:tcPr>
          <w:p w14:paraId="1C6F864F" w14:textId="226A01B6" w:rsidR="00F74B60" w:rsidRPr="00C9343F" w:rsidRDefault="00F74B60" w:rsidP="00F66D98">
            <w:pPr>
              <w:pStyle w:val="TableTextArial-left"/>
            </w:pPr>
            <w:r w:rsidRPr="00C9343F">
              <w:t>Imprisonment, detention</w:t>
            </w:r>
            <w:r w:rsidR="00F357CF" w:rsidRPr="00C9343F">
              <w:t>, custody</w:t>
            </w:r>
            <w:r w:rsidRPr="00C9343F">
              <w:t xml:space="preserve"> or suspension from duty without pay.</w:t>
            </w:r>
          </w:p>
        </w:tc>
        <w:tc>
          <w:tcPr>
            <w:tcW w:w="3127" w:type="dxa"/>
          </w:tcPr>
          <w:p w14:paraId="7D804AAE" w14:textId="1F0A469F" w:rsidR="00F74B60" w:rsidRPr="00C9343F" w:rsidRDefault="00F357CF" w:rsidP="00F66D98">
            <w:pPr>
              <w:pStyle w:val="TableTextArial-left"/>
            </w:pPr>
            <w:r w:rsidRPr="00C9343F">
              <w:t>The whole period is not effective service.</w:t>
            </w:r>
          </w:p>
        </w:tc>
      </w:tr>
      <w:tr w:rsidR="00F357CF" w:rsidRPr="00C9343F" w14:paraId="2FDDE0C2" w14:textId="77777777" w:rsidTr="00F357CF">
        <w:trPr>
          <w:cantSplit/>
        </w:trPr>
        <w:tc>
          <w:tcPr>
            <w:tcW w:w="567" w:type="dxa"/>
          </w:tcPr>
          <w:p w14:paraId="397D0C46" w14:textId="77777777" w:rsidR="00F357CF" w:rsidRPr="00C9343F" w:rsidRDefault="00F357CF" w:rsidP="00F66D98">
            <w:pPr>
              <w:pStyle w:val="TableTextArial-left"/>
              <w:jc w:val="center"/>
            </w:pPr>
            <w:r w:rsidRPr="00C9343F">
              <w:t>8.</w:t>
            </w:r>
          </w:p>
        </w:tc>
        <w:tc>
          <w:tcPr>
            <w:tcW w:w="4677" w:type="dxa"/>
          </w:tcPr>
          <w:p w14:paraId="0D4CBE70" w14:textId="77777777" w:rsidR="00F357CF" w:rsidRPr="00C9343F" w:rsidRDefault="00F357CF" w:rsidP="00F66D98">
            <w:pPr>
              <w:pStyle w:val="TableTextArial-left"/>
            </w:pPr>
            <w:r w:rsidRPr="00C9343F">
              <w:t xml:space="preserve">An undertaking for further service under Part 8 of the </w:t>
            </w:r>
            <w:r w:rsidRPr="00C9343F">
              <w:rPr>
                <w:i/>
              </w:rPr>
              <w:t>Military Superannuation and Benefits Act 1991</w:t>
            </w:r>
            <w:r w:rsidRPr="00C9343F">
              <w:t xml:space="preserve">, as preserved by item 4 of Schedule 4 </w:t>
            </w:r>
            <w:r w:rsidRPr="00C9343F">
              <w:rPr>
                <w:i/>
              </w:rPr>
              <w:t>Defence Legislation Amendment Act (No. 1) 2005.</w:t>
            </w:r>
          </w:p>
        </w:tc>
        <w:tc>
          <w:tcPr>
            <w:tcW w:w="3127" w:type="dxa"/>
            <w:vMerge w:val="restart"/>
          </w:tcPr>
          <w:p w14:paraId="54327C78" w14:textId="15B2C1A8" w:rsidR="00F357CF" w:rsidRPr="00C9343F" w:rsidRDefault="00F357CF" w:rsidP="00F66D98">
            <w:pPr>
              <w:pStyle w:val="TableTextArial-left"/>
            </w:pPr>
            <w:r w:rsidRPr="00C9343F">
              <w:t>No time spent on these types of leave and activity counts as effective service.</w:t>
            </w:r>
          </w:p>
        </w:tc>
      </w:tr>
      <w:tr w:rsidR="00F357CF" w:rsidRPr="00C9343F" w14:paraId="7C2CD29B" w14:textId="77777777" w:rsidTr="00F357CF">
        <w:trPr>
          <w:cantSplit/>
        </w:trPr>
        <w:tc>
          <w:tcPr>
            <w:tcW w:w="567" w:type="dxa"/>
          </w:tcPr>
          <w:p w14:paraId="6E045228" w14:textId="77777777" w:rsidR="00F357CF" w:rsidRPr="00C9343F" w:rsidRDefault="00F357CF" w:rsidP="00F66D98">
            <w:pPr>
              <w:pStyle w:val="TableTextArial-left"/>
              <w:jc w:val="center"/>
            </w:pPr>
            <w:r w:rsidRPr="00C9343F">
              <w:t>9.</w:t>
            </w:r>
          </w:p>
        </w:tc>
        <w:tc>
          <w:tcPr>
            <w:tcW w:w="4677" w:type="dxa"/>
          </w:tcPr>
          <w:p w14:paraId="36D0C703" w14:textId="77777777" w:rsidR="00F357CF" w:rsidRPr="00C9343F" w:rsidRDefault="00F357CF" w:rsidP="00F66D98">
            <w:pPr>
              <w:pStyle w:val="TableTextArial-left"/>
            </w:pPr>
            <w:r w:rsidRPr="00C9343F">
              <w:t>A period when the member was discharging an initial minimum period of service, or another undertaking for further service.</w:t>
            </w:r>
          </w:p>
          <w:p w14:paraId="026F88F3" w14:textId="77777777" w:rsidR="00F357CF" w:rsidRPr="00C9343F" w:rsidRDefault="00F357CF" w:rsidP="00F66D98">
            <w:pPr>
              <w:pStyle w:val="TableTextArial-left"/>
            </w:pPr>
            <w:r w:rsidRPr="00C9343F">
              <w:rPr>
                <w:b/>
              </w:rPr>
              <w:t>Exception:</w:t>
            </w:r>
            <w:r w:rsidRPr="00C9343F">
              <w:t xml:space="preserve"> An undertaking for further service associated with a promotion.</w:t>
            </w:r>
          </w:p>
        </w:tc>
        <w:tc>
          <w:tcPr>
            <w:tcW w:w="3127" w:type="dxa"/>
            <w:vMerge/>
          </w:tcPr>
          <w:p w14:paraId="0BE57100" w14:textId="77777777" w:rsidR="00F357CF" w:rsidRPr="00C9343F" w:rsidRDefault="00F357CF" w:rsidP="00F66D98">
            <w:pPr>
              <w:pStyle w:val="TableTextArial-left"/>
            </w:pPr>
          </w:p>
        </w:tc>
      </w:tr>
      <w:tr w:rsidR="00F74B60" w:rsidRPr="00C9343F" w14:paraId="0E00FA61" w14:textId="77777777" w:rsidTr="00F357CF">
        <w:trPr>
          <w:cantSplit/>
        </w:trPr>
        <w:tc>
          <w:tcPr>
            <w:tcW w:w="567" w:type="dxa"/>
          </w:tcPr>
          <w:p w14:paraId="5E9891B0" w14:textId="77777777" w:rsidR="00F74B60" w:rsidRPr="00C9343F" w:rsidRDefault="00F74B60" w:rsidP="00F66D98">
            <w:pPr>
              <w:pStyle w:val="TableTextArial-left"/>
              <w:jc w:val="center"/>
            </w:pPr>
            <w:r w:rsidRPr="00C9343F">
              <w:t>10.</w:t>
            </w:r>
          </w:p>
        </w:tc>
        <w:tc>
          <w:tcPr>
            <w:tcW w:w="4677" w:type="dxa"/>
          </w:tcPr>
          <w:p w14:paraId="1E19F491" w14:textId="77777777" w:rsidR="00F74B60" w:rsidRPr="00C9343F" w:rsidRDefault="00F74B60" w:rsidP="00F66D98">
            <w:pPr>
              <w:pStyle w:val="TableTextArial-left"/>
            </w:pPr>
            <w:r w:rsidRPr="00C9343F">
              <w:t>Return of service obligations</w:t>
            </w:r>
          </w:p>
          <w:p w14:paraId="64C81A2B" w14:textId="77777777" w:rsidR="00F74B60" w:rsidRPr="00C9343F" w:rsidRDefault="00F74B60" w:rsidP="00F66D98">
            <w:pPr>
              <w:pStyle w:val="TableTextArial-left"/>
              <w:spacing w:after="120"/>
              <w:rPr>
                <w:rFonts w:cs="Arial"/>
              </w:rPr>
            </w:pPr>
            <w:r w:rsidRPr="00C9343F">
              <w:t>A period when the member is discharging a return of service obligation associated with the following.</w:t>
            </w:r>
          </w:p>
          <w:p w14:paraId="6BA0C600" w14:textId="77777777" w:rsidR="00F74B60" w:rsidRPr="00C9343F" w:rsidRDefault="00F74B60" w:rsidP="00F66D98">
            <w:pPr>
              <w:pStyle w:val="TableTextArial-left"/>
              <w:spacing w:after="120"/>
            </w:pPr>
            <w:r w:rsidRPr="00C9343F">
              <w:t>a. A period of initial category training.</w:t>
            </w:r>
          </w:p>
          <w:p w14:paraId="18295E1A" w14:textId="2E7D106B" w:rsidR="00F74B60" w:rsidRPr="00C9343F" w:rsidRDefault="00F74B60" w:rsidP="00F66D98">
            <w:pPr>
              <w:pStyle w:val="TableTextArial-left"/>
              <w:spacing w:after="120"/>
            </w:pPr>
            <w:r w:rsidRPr="00C9343F">
              <w:t>b. Any other return of service obligation not described in item 10 or 11 of this table.</w:t>
            </w:r>
          </w:p>
        </w:tc>
        <w:tc>
          <w:tcPr>
            <w:tcW w:w="3127" w:type="dxa"/>
          </w:tcPr>
          <w:p w14:paraId="060BCE96" w14:textId="77777777" w:rsidR="00F74B60" w:rsidRPr="00C9343F" w:rsidRDefault="00F74B60" w:rsidP="00F66D98">
            <w:pPr>
              <w:pStyle w:val="TableTextArial-left"/>
            </w:pPr>
          </w:p>
        </w:tc>
      </w:tr>
      <w:tr w:rsidR="005F44BC" w:rsidRPr="00C9343F" w14:paraId="0EBA5EEC" w14:textId="77777777" w:rsidTr="00F357CF">
        <w:trPr>
          <w:cantSplit/>
        </w:trPr>
        <w:tc>
          <w:tcPr>
            <w:tcW w:w="567" w:type="dxa"/>
          </w:tcPr>
          <w:p w14:paraId="56922351" w14:textId="77777777" w:rsidR="005F44BC" w:rsidRPr="00C9343F" w:rsidRDefault="005F44BC" w:rsidP="00F66D98">
            <w:pPr>
              <w:pStyle w:val="BlockText-Plain"/>
              <w:jc w:val="center"/>
            </w:pPr>
            <w:r w:rsidRPr="00C9343F">
              <w:t>11.</w:t>
            </w:r>
          </w:p>
        </w:tc>
        <w:tc>
          <w:tcPr>
            <w:tcW w:w="4677" w:type="dxa"/>
          </w:tcPr>
          <w:p w14:paraId="3F61D097" w14:textId="77777777" w:rsidR="005F44BC" w:rsidRPr="00C9343F" w:rsidRDefault="005F44BC" w:rsidP="00F66D98">
            <w:pPr>
              <w:pStyle w:val="TableTextArial-left"/>
            </w:pPr>
            <w:r w:rsidRPr="00C9343F">
              <w:t>Return of service obligations</w:t>
            </w:r>
          </w:p>
          <w:p w14:paraId="268BF57E" w14:textId="77777777" w:rsidR="005F44BC" w:rsidRPr="00C9343F" w:rsidRDefault="005F44BC" w:rsidP="00F66D98">
            <w:pPr>
              <w:pStyle w:val="TableTextArial-left"/>
              <w:spacing w:after="120"/>
            </w:pPr>
            <w:r w:rsidRPr="00C9343F">
              <w:t>A period when the member is discharging a return of service obligation associated with the following.</w:t>
            </w:r>
          </w:p>
          <w:p w14:paraId="6255A4EF" w14:textId="77777777" w:rsidR="005F44BC" w:rsidRPr="00C9343F" w:rsidRDefault="005F44BC" w:rsidP="00F66D98">
            <w:pPr>
              <w:pStyle w:val="TableTextArial-left"/>
              <w:spacing w:after="120"/>
            </w:pPr>
            <w:r w:rsidRPr="00C9343F">
              <w:t>a. An overseas posting.</w:t>
            </w:r>
          </w:p>
          <w:p w14:paraId="0AA54D94" w14:textId="77777777" w:rsidR="005F44BC" w:rsidRPr="00C9343F" w:rsidRDefault="005F44BC" w:rsidP="00F66D98">
            <w:pPr>
              <w:pStyle w:val="TableTextArial-left"/>
            </w:pPr>
            <w:r w:rsidRPr="00C9343F">
              <w:t>b. Professional or trade training that is directly relevant to the member's occupation, and not described in item 11.a of this table.</w:t>
            </w:r>
          </w:p>
        </w:tc>
        <w:tc>
          <w:tcPr>
            <w:tcW w:w="3127" w:type="dxa"/>
          </w:tcPr>
          <w:p w14:paraId="029DD7B3" w14:textId="77777777" w:rsidR="005F44BC" w:rsidRPr="00C9343F" w:rsidRDefault="005F44BC" w:rsidP="00F66D98">
            <w:pPr>
              <w:pStyle w:val="TableTextArial-left"/>
              <w:spacing w:after="120"/>
            </w:pPr>
            <w:r w:rsidRPr="00C9343F">
              <w:t>Both of these periods are counted as effective service.</w:t>
            </w:r>
          </w:p>
          <w:p w14:paraId="7C689297" w14:textId="77777777" w:rsidR="005F44BC" w:rsidRPr="00C9343F" w:rsidRDefault="005F44BC" w:rsidP="00F66D98">
            <w:pPr>
              <w:pStyle w:val="TableTextArial-left"/>
              <w:spacing w:after="120"/>
            </w:pPr>
            <w:r w:rsidRPr="00C9343F">
              <w:t>i. The period of the overseas posting or the training.</w:t>
            </w:r>
          </w:p>
          <w:p w14:paraId="52CC9D46" w14:textId="77777777" w:rsidR="005F44BC" w:rsidRPr="00C9343F" w:rsidRDefault="005F44BC" w:rsidP="00F66D98">
            <w:pPr>
              <w:pStyle w:val="TableTextArial-left"/>
            </w:pPr>
            <w:r w:rsidRPr="00C9343F">
              <w:t>ii. The period of the return of service obligation.</w:t>
            </w:r>
          </w:p>
        </w:tc>
      </w:tr>
    </w:tbl>
    <w:p w14:paraId="1ED84B12" w14:textId="77777777" w:rsidR="005F44BC" w:rsidRPr="00C9343F" w:rsidRDefault="005F44BC" w:rsidP="00F66D98"/>
    <w:p w14:paraId="3B4F0C91" w14:textId="617C5405" w:rsidR="005F44BC" w:rsidRPr="00C9343F" w:rsidRDefault="005F44BC" w:rsidP="00F66D98">
      <w:pPr>
        <w:pStyle w:val="Heading5"/>
      </w:pPr>
      <w:bookmarkStart w:id="573" w:name="_Toc105053780"/>
      <w:r w:rsidRPr="00C9343F">
        <w:t>3.5.71</w:t>
      </w:r>
      <w:r w:rsidR="00D94006" w:rsidRPr="00C9343F">
        <w:t>    </w:t>
      </w:r>
      <w:r w:rsidRPr="00C9343F">
        <w:t>Payment of the retention bonus</w:t>
      </w:r>
      <w:bookmarkEnd w:id="573"/>
    </w:p>
    <w:tbl>
      <w:tblPr>
        <w:tblW w:w="9359" w:type="dxa"/>
        <w:tblInd w:w="113" w:type="dxa"/>
        <w:tblLayout w:type="fixed"/>
        <w:tblLook w:val="0000" w:firstRow="0" w:lastRow="0" w:firstColumn="0" w:lastColumn="0" w:noHBand="0" w:noVBand="0"/>
      </w:tblPr>
      <w:tblGrid>
        <w:gridCol w:w="992"/>
        <w:gridCol w:w="567"/>
        <w:gridCol w:w="567"/>
        <w:gridCol w:w="7233"/>
      </w:tblGrid>
      <w:tr w:rsidR="005F44BC" w:rsidRPr="00C9343F" w14:paraId="0EF05F76" w14:textId="77777777" w:rsidTr="007F550F">
        <w:tc>
          <w:tcPr>
            <w:tcW w:w="992" w:type="dxa"/>
          </w:tcPr>
          <w:p w14:paraId="62A1FC34" w14:textId="77777777" w:rsidR="005F44BC" w:rsidRPr="00C9343F" w:rsidRDefault="005F44BC" w:rsidP="00F66D98">
            <w:pPr>
              <w:pStyle w:val="BlockText-Plain"/>
              <w:jc w:val="center"/>
            </w:pPr>
            <w:r w:rsidRPr="00C9343F">
              <w:t>1.</w:t>
            </w:r>
          </w:p>
        </w:tc>
        <w:tc>
          <w:tcPr>
            <w:tcW w:w="8367" w:type="dxa"/>
            <w:gridSpan w:val="3"/>
          </w:tcPr>
          <w:p w14:paraId="7B553572" w14:textId="77777777" w:rsidR="005F44BC" w:rsidRPr="00C9343F" w:rsidRDefault="005F44BC" w:rsidP="00F66D98">
            <w:pPr>
              <w:pStyle w:val="BlockText-Plain"/>
            </w:pPr>
            <w:r w:rsidRPr="00C9343F">
              <w:t>A retention bonus becomes payable to an eligible member when the member has submitted both the following forms.</w:t>
            </w:r>
          </w:p>
        </w:tc>
      </w:tr>
      <w:tr w:rsidR="005F44BC" w:rsidRPr="00C9343F" w14:paraId="09942D70" w14:textId="77777777" w:rsidTr="007F550F">
        <w:trPr>
          <w:cantSplit/>
        </w:trPr>
        <w:tc>
          <w:tcPr>
            <w:tcW w:w="992" w:type="dxa"/>
          </w:tcPr>
          <w:p w14:paraId="368AEDE3" w14:textId="77777777" w:rsidR="005F44BC" w:rsidRPr="00C9343F" w:rsidRDefault="005F44BC" w:rsidP="00F66D98">
            <w:pPr>
              <w:pStyle w:val="BlockText-Plain"/>
            </w:pPr>
          </w:p>
        </w:tc>
        <w:tc>
          <w:tcPr>
            <w:tcW w:w="567" w:type="dxa"/>
          </w:tcPr>
          <w:p w14:paraId="0AD4E3E7" w14:textId="77777777" w:rsidR="005F44BC" w:rsidRPr="00C9343F" w:rsidRDefault="005F44BC" w:rsidP="007114B1">
            <w:pPr>
              <w:pStyle w:val="BlockText-Plain"/>
              <w:jc w:val="center"/>
            </w:pPr>
            <w:r w:rsidRPr="00C9343F">
              <w:t>a.</w:t>
            </w:r>
          </w:p>
        </w:tc>
        <w:tc>
          <w:tcPr>
            <w:tcW w:w="7800" w:type="dxa"/>
            <w:gridSpan w:val="2"/>
          </w:tcPr>
          <w:p w14:paraId="2437BE81" w14:textId="77777777" w:rsidR="005F44BC" w:rsidRPr="00C9343F" w:rsidRDefault="005F44BC" w:rsidP="00F66D98">
            <w:pPr>
              <w:pStyle w:val="BlockText-Plain"/>
            </w:pPr>
            <w:r w:rsidRPr="00C9343F">
              <w:t>Annex 3.5.G, Navy – Individuals critical to Navy Capability form</w:t>
            </w:r>
          </w:p>
        </w:tc>
      </w:tr>
      <w:tr w:rsidR="005F44BC" w:rsidRPr="00C9343F" w14:paraId="611626DB" w14:textId="77777777" w:rsidTr="007F550F">
        <w:trPr>
          <w:cantSplit/>
        </w:trPr>
        <w:tc>
          <w:tcPr>
            <w:tcW w:w="992" w:type="dxa"/>
          </w:tcPr>
          <w:p w14:paraId="149FDB9C" w14:textId="77777777" w:rsidR="005F44BC" w:rsidRPr="00C9343F" w:rsidRDefault="005F44BC" w:rsidP="00F66D98">
            <w:pPr>
              <w:pStyle w:val="BlockText-Plain"/>
            </w:pPr>
          </w:p>
        </w:tc>
        <w:tc>
          <w:tcPr>
            <w:tcW w:w="567" w:type="dxa"/>
          </w:tcPr>
          <w:p w14:paraId="53B8B2CF" w14:textId="77777777" w:rsidR="005F44BC" w:rsidRPr="00C9343F" w:rsidRDefault="005F44BC" w:rsidP="007114B1">
            <w:pPr>
              <w:pStyle w:val="BlockText-Plain"/>
              <w:jc w:val="center"/>
            </w:pPr>
            <w:r w:rsidRPr="00C9343F">
              <w:t>b.</w:t>
            </w:r>
          </w:p>
        </w:tc>
        <w:tc>
          <w:tcPr>
            <w:tcW w:w="7800" w:type="dxa"/>
            <w:gridSpan w:val="2"/>
          </w:tcPr>
          <w:p w14:paraId="6FB07F72" w14:textId="77777777" w:rsidR="005F44BC" w:rsidRPr="00C9343F" w:rsidRDefault="005F44BC" w:rsidP="00F66D98">
            <w:pPr>
              <w:pStyle w:val="BlockText-Plain"/>
            </w:pPr>
            <w:r w:rsidRPr="00C9343F">
              <w:t>Annex 3.5.J, Bonus payment election</w:t>
            </w:r>
          </w:p>
        </w:tc>
      </w:tr>
      <w:tr w:rsidR="005F44BC" w:rsidRPr="00C9343F" w14:paraId="6AB157A4" w14:textId="77777777" w:rsidTr="007F550F">
        <w:tc>
          <w:tcPr>
            <w:tcW w:w="992" w:type="dxa"/>
          </w:tcPr>
          <w:p w14:paraId="29DD95DF" w14:textId="77777777" w:rsidR="005F44BC" w:rsidRPr="00C9343F" w:rsidRDefault="005F44BC" w:rsidP="00F66D98">
            <w:pPr>
              <w:pStyle w:val="BlockText-Plain"/>
              <w:jc w:val="center"/>
            </w:pPr>
            <w:r w:rsidRPr="00C9343F">
              <w:t>2.</w:t>
            </w:r>
          </w:p>
        </w:tc>
        <w:tc>
          <w:tcPr>
            <w:tcW w:w="8367" w:type="dxa"/>
            <w:gridSpan w:val="3"/>
          </w:tcPr>
          <w:p w14:paraId="78F85A69" w14:textId="44D42557" w:rsidR="005F44BC" w:rsidRPr="00C9343F" w:rsidRDefault="005F44BC" w:rsidP="00F66D98">
            <w:pPr>
              <w:pStyle w:val="BlockText-Plain"/>
            </w:pPr>
            <w:r w:rsidRPr="00C9343F">
              <w:t>The amount of the bonus is the amount offered to the member under section 3.5.66.</w:t>
            </w:r>
          </w:p>
        </w:tc>
      </w:tr>
      <w:tr w:rsidR="005F44BC" w:rsidRPr="00C9343F" w14:paraId="41E1FDE7" w14:textId="77777777" w:rsidTr="007F550F">
        <w:tc>
          <w:tcPr>
            <w:tcW w:w="992" w:type="dxa"/>
          </w:tcPr>
          <w:p w14:paraId="307C2531" w14:textId="77777777" w:rsidR="005F44BC" w:rsidRPr="00C9343F" w:rsidRDefault="005F44BC" w:rsidP="00F66D98">
            <w:pPr>
              <w:pStyle w:val="BlockText-Plain"/>
              <w:jc w:val="center"/>
            </w:pPr>
            <w:r w:rsidRPr="00C9343F">
              <w:t>3.</w:t>
            </w:r>
          </w:p>
        </w:tc>
        <w:tc>
          <w:tcPr>
            <w:tcW w:w="8367" w:type="dxa"/>
            <w:gridSpan w:val="3"/>
          </w:tcPr>
          <w:p w14:paraId="25AB90E2" w14:textId="77777777" w:rsidR="005F44BC" w:rsidRPr="00C9343F" w:rsidRDefault="005F44BC" w:rsidP="00F66D98">
            <w:pPr>
              <w:pStyle w:val="BlockText-Plain"/>
            </w:pPr>
            <w:r w:rsidRPr="00C9343F">
              <w:t>A member who joins the scheme must serve in the Navy until they complete the agreed period of effective service under this Division.</w:t>
            </w:r>
          </w:p>
        </w:tc>
      </w:tr>
      <w:tr w:rsidR="005F44BC" w:rsidRPr="00C9343F" w14:paraId="537CB023" w14:textId="77777777" w:rsidTr="007F550F">
        <w:tc>
          <w:tcPr>
            <w:tcW w:w="992" w:type="dxa"/>
          </w:tcPr>
          <w:p w14:paraId="15D64B8E" w14:textId="77777777" w:rsidR="005F44BC" w:rsidRPr="00C9343F" w:rsidRDefault="005F44BC" w:rsidP="00F66D98">
            <w:pPr>
              <w:pStyle w:val="BlockText-Plain"/>
              <w:jc w:val="center"/>
            </w:pPr>
            <w:r w:rsidRPr="00C9343F">
              <w:t>4.</w:t>
            </w:r>
          </w:p>
        </w:tc>
        <w:tc>
          <w:tcPr>
            <w:tcW w:w="8367" w:type="dxa"/>
            <w:gridSpan w:val="3"/>
          </w:tcPr>
          <w:p w14:paraId="591D48BF" w14:textId="77777777" w:rsidR="005F44BC" w:rsidRPr="00C9343F" w:rsidRDefault="005F44BC" w:rsidP="00F66D98">
            <w:pPr>
              <w:pStyle w:val="BlockText-Plain"/>
            </w:pPr>
            <w:r w:rsidRPr="00C9343F">
              <w:t>The member's period of effective service commences from whichever of the following dates is relevant.</w:t>
            </w:r>
          </w:p>
        </w:tc>
      </w:tr>
      <w:tr w:rsidR="005F44BC" w:rsidRPr="00C9343F" w14:paraId="4939AF7B" w14:textId="77777777" w:rsidTr="007F550F">
        <w:trPr>
          <w:cantSplit/>
        </w:trPr>
        <w:tc>
          <w:tcPr>
            <w:tcW w:w="992" w:type="dxa"/>
          </w:tcPr>
          <w:p w14:paraId="717E0601" w14:textId="77777777" w:rsidR="005F44BC" w:rsidRPr="00C9343F" w:rsidRDefault="005F44BC" w:rsidP="00F66D98">
            <w:pPr>
              <w:pStyle w:val="BlockText-Plain"/>
            </w:pPr>
          </w:p>
        </w:tc>
        <w:tc>
          <w:tcPr>
            <w:tcW w:w="567" w:type="dxa"/>
          </w:tcPr>
          <w:p w14:paraId="0AB945A9" w14:textId="77777777" w:rsidR="005F44BC" w:rsidRPr="00C9343F" w:rsidRDefault="005F44BC" w:rsidP="007114B1">
            <w:pPr>
              <w:pStyle w:val="BlockText-Plain"/>
              <w:jc w:val="center"/>
            </w:pPr>
            <w:r w:rsidRPr="00C9343F">
              <w:t>a.</w:t>
            </w:r>
          </w:p>
        </w:tc>
        <w:tc>
          <w:tcPr>
            <w:tcW w:w="7800" w:type="dxa"/>
            <w:gridSpan w:val="2"/>
          </w:tcPr>
          <w:p w14:paraId="00B20A16" w14:textId="77777777" w:rsidR="005F44BC" w:rsidRPr="00C9343F" w:rsidRDefault="005F44BC" w:rsidP="00F66D98">
            <w:pPr>
              <w:pStyle w:val="BlockText-Plain"/>
            </w:pPr>
            <w:r w:rsidRPr="00C9343F">
              <w:t>If the member is offered a bonus for a period of service commencing on a day – that day.</w:t>
            </w:r>
          </w:p>
        </w:tc>
      </w:tr>
      <w:tr w:rsidR="005F44BC" w:rsidRPr="00C9343F" w14:paraId="02EB04F2" w14:textId="77777777" w:rsidTr="007F550F">
        <w:trPr>
          <w:cantSplit/>
        </w:trPr>
        <w:tc>
          <w:tcPr>
            <w:tcW w:w="992" w:type="dxa"/>
          </w:tcPr>
          <w:p w14:paraId="450DD215" w14:textId="77777777" w:rsidR="005F44BC" w:rsidRPr="00C9343F" w:rsidRDefault="005F44BC" w:rsidP="00F66D98">
            <w:pPr>
              <w:pStyle w:val="BlockText-Plain"/>
            </w:pPr>
          </w:p>
        </w:tc>
        <w:tc>
          <w:tcPr>
            <w:tcW w:w="567" w:type="dxa"/>
          </w:tcPr>
          <w:p w14:paraId="3E41511C" w14:textId="77777777" w:rsidR="005F44BC" w:rsidRPr="00C9343F" w:rsidRDefault="005F44BC" w:rsidP="007114B1">
            <w:pPr>
              <w:pStyle w:val="BlockText-Plain"/>
              <w:jc w:val="center"/>
            </w:pPr>
            <w:r w:rsidRPr="00C9343F">
              <w:t>b.</w:t>
            </w:r>
          </w:p>
        </w:tc>
        <w:tc>
          <w:tcPr>
            <w:tcW w:w="7800" w:type="dxa"/>
            <w:gridSpan w:val="2"/>
          </w:tcPr>
          <w:p w14:paraId="6AD18512" w14:textId="77777777" w:rsidR="005F44BC" w:rsidRPr="00C9343F" w:rsidRDefault="005F44BC" w:rsidP="00F66D98">
            <w:pPr>
              <w:pStyle w:val="BlockText-Plain"/>
            </w:pPr>
            <w:r w:rsidRPr="00C9343F">
              <w:t xml:space="preserve">The day that any requirement in the following list ceases to apply to the member, if the requirement applied to the member when they accepted a bonus under this Division. </w:t>
            </w:r>
          </w:p>
        </w:tc>
      </w:tr>
      <w:tr w:rsidR="005F44BC" w:rsidRPr="00C9343F" w14:paraId="283FB13D" w14:textId="77777777" w:rsidTr="007F550F">
        <w:trPr>
          <w:cantSplit/>
        </w:trPr>
        <w:tc>
          <w:tcPr>
            <w:tcW w:w="1559" w:type="dxa"/>
            <w:gridSpan w:val="2"/>
          </w:tcPr>
          <w:p w14:paraId="0D295FB4" w14:textId="77777777" w:rsidR="005F44BC" w:rsidRPr="00C9343F" w:rsidRDefault="005F44BC" w:rsidP="00F66D98">
            <w:pPr>
              <w:pStyle w:val="BlockText-Plain"/>
            </w:pPr>
          </w:p>
        </w:tc>
        <w:tc>
          <w:tcPr>
            <w:tcW w:w="567" w:type="dxa"/>
          </w:tcPr>
          <w:p w14:paraId="0749412E" w14:textId="77777777" w:rsidR="005F44BC" w:rsidRPr="00C9343F" w:rsidRDefault="005F44BC" w:rsidP="00F66D98">
            <w:pPr>
              <w:pStyle w:val="BlockText-Plain"/>
              <w:jc w:val="center"/>
            </w:pPr>
            <w:r w:rsidRPr="00C9343F">
              <w:t>i.</w:t>
            </w:r>
          </w:p>
        </w:tc>
        <w:tc>
          <w:tcPr>
            <w:tcW w:w="7233" w:type="dxa"/>
          </w:tcPr>
          <w:p w14:paraId="20564271" w14:textId="77777777" w:rsidR="005F44BC" w:rsidRPr="00C9343F" w:rsidRDefault="005F44BC" w:rsidP="00F66D98">
            <w:pPr>
              <w:pStyle w:val="BlockText-Plain"/>
            </w:pPr>
            <w:r w:rsidRPr="00C9343F">
              <w:t xml:space="preserve">An undertaking for further service under Part 8 of the </w:t>
            </w:r>
            <w:r w:rsidRPr="00C9343F">
              <w:rPr>
                <w:i/>
              </w:rPr>
              <w:t>Military Superannuation and Benefits Act 1991</w:t>
            </w:r>
            <w:r w:rsidRPr="00C9343F">
              <w:t xml:space="preserve"> (as preserved by item 4 of Schedule 4 </w:t>
            </w:r>
            <w:r w:rsidRPr="00C9343F">
              <w:rPr>
                <w:i/>
              </w:rPr>
              <w:t>Defence Legislation Amendment Act (No. 1) 2005</w:t>
            </w:r>
            <w:r w:rsidRPr="00C9343F">
              <w:t>).</w:t>
            </w:r>
          </w:p>
        </w:tc>
      </w:tr>
      <w:tr w:rsidR="005F44BC" w:rsidRPr="00C9343F" w14:paraId="28EB768C" w14:textId="77777777" w:rsidTr="007F550F">
        <w:trPr>
          <w:cantSplit/>
        </w:trPr>
        <w:tc>
          <w:tcPr>
            <w:tcW w:w="1559" w:type="dxa"/>
            <w:gridSpan w:val="2"/>
          </w:tcPr>
          <w:p w14:paraId="2E7F28FC" w14:textId="77777777" w:rsidR="005F44BC" w:rsidRPr="00C9343F" w:rsidRDefault="005F44BC" w:rsidP="00F66D98">
            <w:pPr>
              <w:pStyle w:val="BlockText-Plain"/>
            </w:pPr>
          </w:p>
        </w:tc>
        <w:tc>
          <w:tcPr>
            <w:tcW w:w="567" w:type="dxa"/>
          </w:tcPr>
          <w:p w14:paraId="5F540B62" w14:textId="77777777" w:rsidR="005F44BC" w:rsidRPr="00C9343F" w:rsidRDefault="005F44BC" w:rsidP="007114B1">
            <w:pPr>
              <w:pStyle w:val="BlockText-Plain"/>
            </w:pPr>
            <w:r w:rsidRPr="00C9343F">
              <w:t>ii.</w:t>
            </w:r>
          </w:p>
        </w:tc>
        <w:tc>
          <w:tcPr>
            <w:tcW w:w="7233" w:type="dxa"/>
          </w:tcPr>
          <w:p w14:paraId="3645A584" w14:textId="77777777" w:rsidR="005F44BC" w:rsidRPr="00C9343F" w:rsidRDefault="005F44BC" w:rsidP="00F66D98">
            <w:pPr>
              <w:pStyle w:val="BlockText-Plain"/>
            </w:pPr>
            <w:r w:rsidRPr="00C9343F">
              <w:t>A return of service obligation.</w:t>
            </w:r>
          </w:p>
        </w:tc>
      </w:tr>
      <w:tr w:rsidR="005F44BC" w:rsidRPr="00C9343F" w14:paraId="54B9A964" w14:textId="77777777" w:rsidTr="007F550F">
        <w:trPr>
          <w:cantSplit/>
        </w:trPr>
        <w:tc>
          <w:tcPr>
            <w:tcW w:w="1559" w:type="dxa"/>
            <w:gridSpan w:val="2"/>
          </w:tcPr>
          <w:p w14:paraId="6C2F982C" w14:textId="77777777" w:rsidR="005F44BC" w:rsidRPr="00C9343F" w:rsidRDefault="005F44BC" w:rsidP="00F66D98">
            <w:pPr>
              <w:pStyle w:val="BlockText-Plain"/>
            </w:pPr>
          </w:p>
        </w:tc>
        <w:tc>
          <w:tcPr>
            <w:tcW w:w="567" w:type="dxa"/>
          </w:tcPr>
          <w:p w14:paraId="78EDBC7A" w14:textId="77777777" w:rsidR="005F44BC" w:rsidRPr="00C9343F" w:rsidRDefault="005F44BC" w:rsidP="007114B1">
            <w:pPr>
              <w:pStyle w:val="BlockText-Plain"/>
            </w:pPr>
            <w:r w:rsidRPr="00C9343F">
              <w:t>iii.</w:t>
            </w:r>
          </w:p>
        </w:tc>
        <w:tc>
          <w:tcPr>
            <w:tcW w:w="7233" w:type="dxa"/>
          </w:tcPr>
          <w:p w14:paraId="5364951F" w14:textId="77777777" w:rsidR="005F44BC" w:rsidRPr="00C9343F" w:rsidRDefault="005F44BC" w:rsidP="00F66D98">
            <w:pPr>
              <w:pStyle w:val="BlockText-Plain"/>
            </w:pPr>
            <w:r w:rsidRPr="00C9343F">
              <w:t>An initial minimum period of service.</w:t>
            </w:r>
          </w:p>
        </w:tc>
      </w:tr>
      <w:tr w:rsidR="005F44BC" w:rsidRPr="00C9343F" w14:paraId="3175AB8D" w14:textId="77777777" w:rsidTr="007F550F">
        <w:trPr>
          <w:cantSplit/>
        </w:trPr>
        <w:tc>
          <w:tcPr>
            <w:tcW w:w="1559" w:type="dxa"/>
            <w:gridSpan w:val="2"/>
          </w:tcPr>
          <w:p w14:paraId="71A44714" w14:textId="77777777" w:rsidR="005F44BC" w:rsidRPr="00C9343F" w:rsidRDefault="005F44BC" w:rsidP="00F66D98">
            <w:pPr>
              <w:pStyle w:val="BlockText-Plain"/>
            </w:pPr>
          </w:p>
        </w:tc>
        <w:tc>
          <w:tcPr>
            <w:tcW w:w="567" w:type="dxa"/>
          </w:tcPr>
          <w:p w14:paraId="4647BDBB" w14:textId="77777777" w:rsidR="005F44BC" w:rsidRPr="00C9343F" w:rsidRDefault="005F44BC" w:rsidP="007114B1">
            <w:pPr>
              <w:pStyle w:val="BlockText-Plain"/>
            </w:pPr>
            <w:r w:rsidRPr="00C9343F">
              <w:t>iv.</w:t>
            </w:r>
          </w:p>
        </w:tc>
        <w:tc>
          <w:tcPr>
            <w:tcW w:w="7233" w:type="dxa"/>
          </w:tcPr>
          <w:p w14:paraId="49468553" w14:textId="77777777" w:rsidR="005F44BC" w:rsidRPr="00C9343F" w:rsidRDefault="005F44BC" w:rsidP="00F66D98">
            <w:pPr>
              <w:pStyle w:val="BlockText-Plain"/>
            </w:pPr>
            <w:r w:rsidRPr="00C9343F">
              <w:t>A period of service performed under another retention or completion bonus under this Part.</w:t>
            </w:r>
          </w:p>
        </w:tc>
      </w:tr>
      <w:tr w:rsidR="005F44BC" w:rsidRPr="00C9343F" w14:paraId="5BFABC7A" w14:textId="77777777" w:rsidTr="007F550F">
        <w:trPr>
          <w:cantSplit/>
        </w:trPr>
        <w:tc>
          <w:tcPr>
            <w:tcW w:w="992" w:type="dxa"/>
          </w:tcPr>
          <w:p w14:paraId="0A43175E" w14:textId="77777777" w:rsidR="005F44BC" w:rsidRPr="00C9343F" w:rsidRDefault="005F44BC" w:rsidP="00F66D98">
            <w:pPr>
              <w:pStyle w:val="BlockText-Plain"/>
            </w:pPr>
          </w:p>
        </w:tc>
        <w:tc>
          <w:tcPr>
            <w:tcW w:w="567" w:type="dxa"/>
          </w:tcPr>
          <w:p w14:paraId="4AE42E24" w14:textId="77777777" w:rsidR="005F44BC" w:rsidRPr="00C9343F" w:rsidRDefault="005F44BC" w:rsidP="007114B1">
            <w:pPr>
              <w:pStyle w:val="BlockText-Plain"/>
              <w:jc w:val="center"/>
            </w:pPr>
            <w:r w:rsidRPr="00C9343F">
              <w:t>c.</w:t>
            </w:r>
          </w:p>
        </w:tc>
        <w:tc>
          <w:tcPr>
            <w:tcW w:w="7800" w:type="dxa"/>
            <w:gridSpan w:val="2"/>
          </w:tcPr>
          <w:p w14:paraId="2ECAEF60" w14:textId="77777777" w:rsidR="005F44BC" w:rsidRPr="00C9343F" w:rsidRDefault="005F44BC" w:rsidP="00F66D98">
            <w:pPr>
              <w:pStyle w:val="BlockText-Plain"/>
            </w:pPr>
            <w:r w:rsidRPr="00C9343F">
              <w:t>If the member is offered a bonus because they have applied to achieve qualifications and skills that are essential to the delivery of Navy's capability – the day the member successfully completes the course or training and achieves the qualification or skill specified in the bonus offer.</w:t>
            </w:r>
          </w:p>
          <w:p w14:paraId="3A4DF69D" w14:textId="77777777" w:rsidR="005F44BC" w:rsidRPr="00C9343F" w:rsidRDefault="005F44BC" w:rsidP="00F66D98">
            <w:pPr>
              <w:pStyle w:val="BlockText-Plain"/>
            </w:pPr>
            <w:r w:rsidRPr="00C9343F">
              <w:rPr>
                <w:b/>
              </w:rPr>
              <w:t>Note:</w:t>
            </w:r>
            <w:r w:rsidRPr="00C9343F">
              <w:t xml:space="preserve"> This means that if the member does not achieve the qualification or skill specified in the offer then they do not receive the bonus payment under subsection 1. The member also does not have to provide the agreed period of service under this scheme because they cannot perform in the relevant position, employment category or primary qualification.</w:t>
            </w:r>
          </w:p>
        </w:tc>
      </w:tr>
      <w:tr w:rsidR="005F44BC" w:rsidRPr="00C9343F" w14:paraId="7047EF7C" w14:textId="77777777" w:rsidTr="007F550F">
        <w:tc>
          <w:tcPr>
            <w:tcW w:w="992" w:type="dxa"/>
          </w:tcPr>
          <w:p w14:paraId="3D1D6D30" w14:textId="77777777" w:rsidR="005F44BC" w:rsidRPr="00C9343F" w:rsidRDefault="005F44BC" w:rsidP="00F66D98">
            <w:pPr>
              <w:pStyle w:val="BlockText-Plain"/>
              <w:jc w:val="center"/>
            </w:pPr>
            <w:r w:rsidRPr="00C9343F">
              <w:t>5.</w:t>
            </w:r>
          </w:p>
        </w:tc>
        <w:tc>
          <w:tcPr>
            <w:tcW w:w="8367" w:type="dxa"/>
            <w:gridSpan w:val="3"/>
          </w:tcPr>
          <w:p w14:paraId="2CF28E40" w14:textId="77777777" w:rsidR="005F44BC" w:rsidRPr="00C9343F" w:rsidRDefault="005F44BC" w:rsidP="00F66D98">
            <w:pPr>
              <w:pStyle w:val="BlockText-Plain"/>
            </w:pPr>
            <w:r w:rsidRPr="00C9343F">
              <w:t>The member is taken to have ceased serving in accordance with their undertaking to perform the agreed period of effective service if they cease serving in the position, employment category or primary qualification for which the bonus was offered.</w:t>
            </w:r>
          </w:p>
        </w:tc>
      </w:tr>
      <w:tr w:rsidR="007F550F" w:rsidRPr="00C9343F" w14:paraId="4B5965F9" w14:textId="77777777" w:rsidTr="007F550F">
        <w:tc>
          <w:tcPr>
            <w:tcW w:w="992" w:type="dxa"/>
          </w:tcPr>
          <w:p w14:paraId="12BB57C5" w14:textId="59B69CAA" w:rsidR="007F550F" w:rsidRPr="00C9343F" w:rsidRDefault="007F550F" w:rsidP="007F550F">
            <w:pPr>
              <w:pStyle w:val="BlockText-Plain"/>
              <w:jc w:val="center"/>
            </w:pPr>
            <w:r w:rsidRPr="00C9343F">
              <w:t>6.</w:t>
            </w:r>
          </w:p>
        </w:tc>
        <w:tc>
          <w:tcPr>
            <w:tcW w:w="8367" w:type="dxa"/>
            <w:gridSpan w:val="3"/>
          </w:tcPr>
          <w:p w14:paraId="22B9C222" w14:textId="50302842" w:rsidR="007F550F" w:rsidRPr="00C9343F" w:rsidRDefault="007F550F" w:rsidP="007F550F">
            <w:pPr>
              <w:pStyle w:val="BlockText-Plain"/>
            </w:pPr>
            <w:r w:rsidRPr="00C9343F">
              <w:rPr>
                <w:iCs/>
              </w:rPr>
              <w:t>If the member fails to complete the agreed period of effective service for a reason not listed in subsection 3.5.72.1, they must repay the part of the bonus which represents the portion of the agreed period of effective service that was not performed.</w:t>
            </w:r>
          </w:p>
        </w:tc>
      </w:tr>
    </w:tbl>
    <w:p w14:paraId="3FA9D035" w14:textId="6097761F" w:rsidR="005F44BC" w:rsidRPr="00C9343F" w:rsidRDefault="005F44BC" w:rsidP="00F66D98">
      <w:pPr>
        <w:pStyle w:val="Heading5"/>
      </w:pPr>
      <w:bookmarkStart w:id="574" w:name="_Toc105053781"/>
      <w:r w:rsidRPr="00C9343F">
        <w:t>3.5.72</w:t>
      </w:r>
      <w:r w:rsidR="00D94006" w:rsidRPr="00C9343F">
        <w:t>    </w:t>
      </w:r>
      <w:r w:rsidRPr="00C9343F">
        <w:t>Repayment</w:t>
      </w:r>
      <w:bookmarkEnd w:id="574"/>
    </w:p>
    <w:tbl>
      <w:tblPr>
        <w:tblW w:w="9359" w:type="dxa"/>
        <w:tblInd w:w="113" w:type="dxa"/>
        <w:tblLayout w:type="fixed"/>
        <w:tblLook w:val="0000" w:firstRow="0" w:lastRow="0" w:firstColumn="0" w:lastColumn="0" w:noHBand="0" w:noVBand="0"/>
      </w:tblPr>
      <w:tblGrid>
        <w:gridCol w:w="992"/>
        <w:gridCol w:w="567"/>
        <w:gridCol w:w="29"/>
        <w:gridCol w:w="567"/>
        <w:gridCol w:w="7204"/>
      </w:tblGrid>
      <w:tr w:rsidR="005F44BC" w:rsidRPr="00C9343F" w14:paraId="2F578627" w14:textId="77777777" w:rsidTr="00F3422A">
        <w:tc>
          <w:tcPr>
            <w:tcW w:w="992" w:type="dxa"/>
          </w:tcPr>
          <w:p w14:paraId="70A5576B" w14:textId="77777777" w:rsidR="005F44BC" w:rsidRPr="00C9343F" w:rsidRDefault="005F44BC" w:rsidP="00F66D98">
            <w:pPr>
              <w:pStyle w:val="BlockText-Plain"/>
              <w:jc w:val="center"/>
            </w:pPr>
            <w:r w:rsidRPr="00C9343F">
              <w:t>1.</w:t>
            </w:r>
          </w:p>
        </w:tc>
        <w:tc>
          <w:tcPr>
            <w:tcW w:w="8363" w:type="dxa"/>
            <w:gridSpan w:val="4"/>
          </w:tcPr>
          <w:p w14:paraId="12179FBB" w14:textId="77777777" w:rsidR="005F44BC" w:rsidRPr="00C9343F" w:rsidRDefault="005F44BC" w:rsidP="00F66D98">
            <w:pPr>
              <w:pStyle w:val="BlockText-Plain"/>
            </w:pPr>
            <w:r w:rsidRPr="00C9343F">
              <w:t>If a member fails to complete their required period of service under a bonus in this Division for any of the following reasons, they are not required to repay any part of the bonus.</w:t>
            </w:r>
          </w:p>
        </w:tc>
      </w:tr>
      <w:tr w:rsidR="005F44BC" w:rsidRPr="00C9343F" w14:paraId="6D08F7CA" w14:textId="77777777" w:rsidTr="00F3422A">
        <w:trPr>
          <w:cantSplit/>
        </w:trPr>
        <w:tc>
          <w:tcPr>
            <w:tcW w:w="992" w:type="dxa"/>
          </w:tcPr>
          <w:p w14:paraId="4BC24901" w14:textId="77777777" w:rsidR="005F44BC" w:rsidRPr="00C9343F" w:rsidRDefault="005F44BC" w:rsidP="00F66D98">
            <w:pPr>
              <w:pStyle w:val="BlockText-Plain"/>
            </w:pPr>
          </w:p>
        </w:tc>
        <w:tc>
          <w:tcPr>
            <w:tcW w:w="567" w:type="dxa"/>
          </w:tcPr>
          <w:p w14:paraId="77778619" w14:textId="77777777" w:rsidR="005F44BC" w:rsidRPr="00C9343F" w:rsidRDefault="005F44BC" w:rsidP="007114B1">
            <w:pPr>
              <w:pStyle w:val="BlockText-Plain"/>
              <w:jc w:val="center"/>
            </w:pPr>
            <w:r w:rsidRPr="00C9343F">
              <w:t>a.</w:t>
            </w:r>
          </w:p>
        </w:tc>
        <w:tc>
          <w:tcPr>
            <w:tcW w:w="7796" w:type="dxa"/>
            <w:gridSpan w:val="3"/>
          </w:tcPr>
          <w:p w14:paraId="711C7D89" w14:textId="44056BFF" w:rsidR="005F44BC" w:rsidRPr="00C9343F" w:rsidRDefault="005F44BC" w:rsidP="00F66D98">
            <w:pPr>
              <w:pStyle w:val="BlockText-Plain"/>
            </w:pPr>
            <w:r w:rsidRPr="00C9343F">
              <w:t>The member ceases to serve in the Navy for a reason that is beyond the member's control.</w:t>
            </w:r>
          </w:p>
        </w:tc>
      </w:tr>
      <w:tr w:rsidR="002E3258" w:rsidRPr="00C9343F" w14:paraId="0140D1DD" w14:textId="77777777" w:rsidTr="00F3422A">
        <w:trPr>
          <w:cantSplit/>
        </w:trPr>
        <w:tc>
          <w:tcPr>
            <w:tcW w:w="992" w:type="dxa"/>
          </w:tcPr>
          <w:p w14:paraId="0C16E683" w14:textId="77777777" w:rsidR="002E3258" w:rsidRPr="00C9343F" w:rsidRDefault="002E3258" w:rsidP="00F66D98">
            <w:pPr>
              <w:pStyle w:val="BlockText-Plain"/>
            </w:pPr>
          </w:p>
        </w:tc>
        <w:tc>
          <w:tcPr>
            <w:tcW w:w="567" w:type="dxa"/>
          </w:tcPr>
          <w:p w14:paraId="6595F93E" w14:textId="77777777" w:rsidR="002E3258" w:rsidRPr="00C9343F" w:rsidRDefault="002E3258" w:rsidP="007114B1">
            <w:pPr>
              <w:pStyle w:val="BlockText-Plain"/>
              <w:jc w:val="center"/>
            </w:pPr>
            <w:r w:rsidRPr="00C9343F">
              <w:t>b.</w:t>
            </w:r>
          </w:p>
        </w:tc>
        <w:tc>
          <w:tcPr>
            <w:tcW w:w="7796" w:type="dxa"/>
            <w:gridSpan w:val="3"/>
          </w:tcPr>
          <w:p w14:paraId="4587AE91" w14:textId="77777777" w:rsidR="002E3258" w:rsidRPr="00C9343F" w:rsidRDefault="002E3258" w:rsidP="00F66D98">
            <w:pPr>
              <w:pStyle w:val="BlockText-Plain"/>
            </w:pPr>
            <w:r w:rsidRPr="00C9343F">
              <w:t xml:space="preserve">The CDF transfers the member from the Permanent Forces to the Reserves under section 16 of the </w:t>
            </w:r>
            <w:r w:rsidR="00832ED7" w:rsidRPr="00C9343F">
              <w:t>Defence Regulation</w:t>
            </w:r>
            <w:r w:rsidRPr="00C9343F">
              <w:t>.</w:t>
            </w:r>
          </w:p>
        </w:tc>
      </w:tr>
      <w:tr w:rsidR="005F44BC" w:rsidRPr="00C9343F" w14:paraId="58AB0F8D" w14:textId="77777777" w:rsidTr="00F3422A">
        <w:tc>
          <w:tcPr>
            <w:tcW w:w="992" w:type="dxa"/>
          </w:tcPr>
          <w:p w14:paraId="2EBFAEF4" w14:textId="77777777" w:rsidR="005F44BC" w:rsidRPr="00C9343F" w:rsidRDefault="005F44BC" w:rsidP="00F66D98">
            <w:pPr>
              <w:pStyle w:val="BlockText-Plain"/>
              <w:jc w:val="center"/>
            </w:pPr>
            <w:r w:rsidRPr="00C9343F">
              <w:t>2.</w:t>
            </w:r>
          </w:p>
        </w:tc>
        <w:tc>
          <w:tcPr>
            <w:tcW w:w="8363" w:type="dxa"/>
            <w:gridSpan w:val="4"/>
          </w:tcPr>
          <w:p w14:paraId="0AA78BCE" w14:textId="77777777" w:rsidR="005F44BC" w:rsidRPr="00C9343F" w:rsidRDefault="005F44BC" w:rsidP="00F66D98">
            <w:pPr>
              <w:pStyle w:val="BlockText-Plain"/>
            </w:pPr>
            <w:r w:rsidRPr="00C9343F">
              <w:t>The member is not required to repay any part of the bonus if they complete their agreed period of service in Navy but not in the agreed position, employment category or primary qualification because any of the following circumstances apply.</w:t>
            </w:r>
          </w:p>
        </w:tc>
      </w:tr>
      <w:tr w:rsidR="005F44BC" w:rsidRPr="00C9343F" w14:paraId="455410C9" w14:textId="77777777" w:rsidTr="00F3422A">
        <w:trPr>
          <w:cantSplit/>
        </w:trPr>
        <w:tc>
          <w:tcPr>
            <w:tcW w:w="992" w:type="dxa"/>
          </w:tcPr>
          <w:p w14:paraId="35806EC6" w14:textId="77777777" w:rsidR="005F44BC" w:rsidRPr="00C9343F" w:rsidRDefault="005F44BC" w:rsidP="00F66D98">
            <w:pPr>
              <w:pStyle w:val="BlockText-Plain"/>
            </w:pPr>
          </w:p>
        </w:tc>
        <w:tc>
          <w:tcPr>
            <w:tcW w:w="567" w:type="dxa"/>
          </w:tcPr>
          <w:p w14:paraId="1B267C4C" w14:textId="77777777" w:rsidR="005F44BC" w:rsidRPr="00C9343F" w:rsidRDefault="005F44BC" w:rsidP="007114B1">
            <w:pPr>
              <w:pStyle w:val="BlockText-Plain"/>
              <w:jc w:val="center"/>
            </w:pPr>
            <w:r w:rsidRPr="00C9343F">
              <w:t>a.</w:t>
            </w:r>
          </w:p>
        </w:tc>
        <w:tc>
          <w:tcPr>
            <w:tcW w:w="7796" w:type="dxa"/>
            <w:gridSpan w:val="3"/>
          </w:tcPr>
          <w:p w14:paraId="2E7B2556" w14:textId="77777777" w:rsidR="005F44BC" w:rsidRPr="00C9343F" w:rsidRDefault="005F44BC" w:rsidP="00F66D98">
            <w:pPr>
              <w:pStyle w:val="BlockText-Plain"/>
            </w:pPr>
            <w:r w:rsidRPr="00C9343F">
              <w:t>The member transfers to another trade, employment category or primary qualification stream due to a restructure.</w:t>
            </w:r>
          </w:p>
        </w:tc>
      </w:tr>
      <w:tr w:rsidR="005F44BC" w:rsidRPr="00C9343F" w14:paraId="3E0F6F91" w14:textId="77777777" w:rsidTr="00F3422A">
        <w:trPr>
          <w:cantSplit/>
        </w:trPr>
        <w:tc>
          <w:tcPr>
            <w:tcW w:w="992" w:type="dxa"/>
          </w:tcPr>
          <w:p w14:paraId="4514BFDE" w14:textId="77777777" w:rsidR="005F44BC" w:rsidRPr="00C9343F" w:rsidRDefault="005F44BC" w:rsidP="00F66D98">
            <w:pPr>
              <w:pStyle w:val="BlockText-Plain"/>
            </w:pPr>
          </w:p>
        </w:tc>
        <w:tc>
          <w:tcPr>
            <w:tcW w:w="567" w:type="dxa"/>
          </w:tcPr>
          <w:p w14:paraId="4811811D" w14:textId="77777777" w:rsidR="005F44BC" w:rsidRPr="00C9343F" w:rsidRDefault="005F44BC" w:rsidP="007114B1">
            <w:pPr>
              <w:pStyle w:val="BlockText-Plain"/>
              <w:jc w:val="center"/>
            </w:pPr>
            <w:r w:rsidRPr="00C9343F">
              <w:t>b.</w:t>
            </w:r>
          </w:p>
        </w:tc>
        <w:tc>
          <w:tcPr>
            <w:tcW w:w="7796" w:type="dxa"/>
            <w:gridSpan w:val="3"/>
          </w:tcPr>
          <w:p w14:paraId="62930ABA" w14:textId="77777777" w:rsidR="005F44BC" w:rsidRPr="00C9343F" w:rsidRDefault="005F44BC" w:rsidP="00F66D98">
            <w:pPr>
              <w:pStyle w:val="BlockText-Plain"/>
            </w:pPr>
            <w:r w:rsidRPr="00C9343F">
              <w:t>Navy initiates the member's transfer to another trade, employment category or primary qualification stream.</w:t>
            </w:r>
          </w:p>
        </w:tc>
      </w:tr>
      <w:tr w:rsidR="005F44BC" w:rsidRPr="00C9343F" w14:paraId="694D3C6B" w14:textId="77777777" w:rsidTr="00F3422A">
        <w:trPr>
          <w:cantSplit/>
        </w:trPr>
        <w:tc>
          <w:tcPr>
            <w:tcW w:w="992" w:type="dxa"/>
          </w:tcPr>
          <w:p w14:paraId="7137DA06" w14:textId="77777777" w:rsidR="005F44BC" w:rsidRPr="00C9343F" w:rsidRDefault="005F44BC" w:rsidP="00F66D98">
            <w:pPr>
              <w:pStyle w:val="BlockText-Plain"/>
            </w:pPr>
          </w:p>
        </w:tc>
        <w:tc>
          <w:tcPr>
            <w:tcW w:w="567" w:type="dxa"/>
          </w:tcPr>
          <w:p w14:paraId="06B41BE8" w14:textId="77777777" w:rsidR="005F44BC" w:rsidRPr="00C9343F" w:rsidRDefault="005F44BC" w:rsidP="007114B1">
            <w:pPr>
              <w:pStyle w:val="BlockText-Plain"/>
              <w:jc w:val="center"/>
            </w:pPr>
            <w:r w:rsidRPr="00C9343F">
              <w:t>c.</w:t>
            </w:r>
          </w:p>
        </w:tc>
        <w:tc>
          <w:tcPr>
            <w:tcW w:w="7796" w:type="dxa"/>
            <w:gridSpan w:val="3"/>
          </w:tcPr>
          <w:p w14:paraId="469F5358" w14:textId="77777777" w:rsidR="005F44BC" w:rsidRPr="00C9343F" w:rsidRDefault="005F44BC" w:rsidP="00F66D98">
            <w:pPr>
              <w:pStyle w:val="BlockText-Plain"/>
            </w:pPr>
            <w:r w:rsidRPr="00C9343F">
              <w:t>The member is promoted and so must leave the agreed position, employment category or primary qualification stream.</w:t>
            </w:r>
          </w:p>
        </w:tc>
      </w:tr>
      <w:tr w:rsidR="005F44BC" w:rsidRPr="00C9343F" w14:paraId="20A27713" w14:textId="77777777" w:rsidTr="00F3422A">
        <w:tc>
          <w:tcPr>
            <w:tcW w:w="992" w:type="dxa"/>
          </w:tcPr>
          <w:p w14:paraId="5313D2D3" w14:textId="77777777" w:rsidR="005F44BC" w:rsidRPr="00C9343F" w:rsidRDefault="005F44BC" w:rsidP="00F66D98">
            <w:pPr>
              <w:pStyle w:val="BlockText-Plain"/>
              <w:jc w:val="center"/>
            </w:pPr>
            <w:r w:rsidRPr="00C9343F">
              <w:t>3.</w:t>
            </w:r>
          </w:p>
        </w:tc>
        <w:tc>
          <w:tcPr>
            <w:tcW w:w="8363" w:type="dxa"/>
            <w:gridSpan w:val="4"/>
          </w:tcPr>
          <w:p w14:paraId="3A8BCF74" w14:textId="77777777" w:rsidR="005F44BC" w:rsidRPr="00C9343F" w:rsidRDefault="005F44BC" w:rsidP="00F66D98">
            <w:pPr>
              <w:pStyle w:val="BlockText-Plain"/>
            </w:pPr>
            <w:r w:rsidRPr="00C9343F">
              <w:t>A member will be required to repay the bonus on a pro rata basis if they fail to complete their required period of service for reasons including, but not limited to, any of the following.</w:t>
            </w:r>
          </w:p>
        </w:tc>
      </w:tr>
      <w:tr w:rsidR="005F44BC" w:rsidRPr="00C9343F" w14:paraId="5052C277" w14:textId="77777777" w:rsidTr="00F3422A">
        <w:trPr>
          <w:cantSplit/>
        </w:trPr>
        <w:tc>
          <w:tcPr>
            <w:tcW w:w="992" w:type="dxa"/>
          </w:tcPr>
          <w:p w14:paraId="13BED6E4" w14:textId="77777777" w:rsidR="005F44BC" w:rsidRPr="00C9343F" w:rsidRDefault="005F44BC" w:rsidP="00F66D98">
            <w:pPr>
              <w:pStyle w:val="BlockText-Plain"/>
            </w:pPr>
          </w:p>
        </w:tc>
        <w:tc>
          <w:tcPr>
            <w:tcW w:w="567" w:type="dxa"/>
          </w:tcPr>
          <w:p w14:paraId="1B46AB24" w14:textId="77777777" w:rsidR="005F44BC" w:rsidRPr="00C9343F" w:rsidRDefault="005F44BC" w:rsidP="007114B1">
            <w:pPr>
              <w:pStyle w:val="BlockText-Plain"/>
              <w:jc w:val="center"/>
            </w:pPr>
            <w:r w:rsidRPr="00C9343F">
              <w:t>a.</w:t>
            </w:r>
          </w:p>
        </w:tc>
        <w:tc>
          <w:tcPr>
            <w:tcW w:w="7796" w:type="dxa"/>
            <w:gridSpan w:val="3"/>
          </w:tcPr>
          <w:p w14:paraId="01205468" w14:textId="77777777" w:rsidR="005F44BC" w:rsidRPr="00C9343F" w:rsidRDefault="005F44BC" w:rsidP="00F66D98">
            <w:pPr>
              <w:pStyle w:val="BlockText-Plain"/>
            </w:pPr>
            <w:r w:rsidRPr="00C9343F">
              <w:t xml:space="preserve">The member resigns from the </w:t>
            </w:r>
            <w:r w:rsidR="00843B1B" w:rsidRPr="00C9343F">
              <w:t>Permanent Forces</w:t>
            </w:r>
            <w:r w:rsidRPr="00C9343F">
              <w:t>.</w:t>
            </w:r>
          </w:p>
        </w:tc>
      </w:tr>
      <w:tr w:rsidR="005F44BC" w:rsidRPr="00C9343F" w14:paraId="2B5F93CB" w14:textId="77777777" w:rsidTr="00F3422A">
        <w:trPr>
          <w:cantSplit/>
        </w:trPr>
        <w:tc>
          <w:tcPr>
            <w:tcW w:w="992" w:type="dxa"/>
          </w:tcPr>
          <w:p w14:paraId="11FB4147" w14:textId="77777777" w:rsidR="005F44BC" w:rsidRPr="00C9343F" w:rsidRDefault="005F44BC" w:rsidP="00F66D98">
            <w:pPr>
              <w:pStyle w:val="BlockText-Plain"/>
            </w:pPr>
          </w:p>
        </w:tc>
        <w:tc>
          <w:tcPr>
            <w:tcW w:w="567" w:type="dxa"/>
          </w:tcPr>
          <w:p w14:paraId="6F03EAE6" w14:textId="77777777" w:rsidR="005F44BC" w:rsidRPr="00C9343F" w:rsidRDefault="005F44BC" w:rsidP="007114B1">
            <w:pPr>
              <w:pStyle w:val="BlockText-Plain"/>
              <w:jc w:val="center"/>
            </w:pPr>
            <w:r w:rsidRPr="00C9343F">
              <w:t>b.</w:t>
            </w:r>
          </w:p>
        </w:tc>
        <w:tc>
          <w:tcPr>
            <w:tcW w:w="7796" w:type="dxa"/>
            <w:gridSpan w:val="3"/>
          </w:tcPr>
          <w:p w14:paraId="04577CE8" w14:textId="77777777" w:rsidR="005F44BC" w:rsidRPr="00C9343F" w:rsidRDefault="005F44BC" w:rsidP="00F66D98">
            <w:pPr>
              <w:pStyle w:val="BlockText-Plain"/>
            </w:pPr>
            <w:r w:rsidRPr="00C9343F">
              <w:t>The member's service is terminated for disciplinary reasons.</w:t>
            </w:r>
          </w:p>
        </w:tc>
      </w:tr>
      <w:tr w:rsidR="005F44BC" w:rsidRPr="00C9343F" w14:paraId="0B05F70D" w14:textId="77777777" w:rsidTr="00F3422A">
        <w:trPr>
          <w:cantSplit/>
        </w:trPr>
        <w:tc>
          <w:tcPr>
            <w:tcW w:w="992" w:type="dxa"/>
          </w:tcPr>
          <w:p w14:paraId="0CB59F7A" w14:textId="77777777" w:rsidR="005F44BC" w:rsidRPr="00C9343F" w:rsidRDefault="005F44BC" w:rsidP="00F66D98">
            <w:pPr>
              <w:pStyle w:val="BlockText-Plain"/>
            </w:pPr>
          </w:p>
        </w:tc>
        <w:tc>
          <w:tcPr>
            <w:tcW w:w="567" w:type="dxa"/>
          </w:tcPr>
          <w:p w14:paraId="2EB3BECC" w14:textId="77777777" w:rsidR="005F44BC" w:rsidRPr="00C9343F" w:rsidRDefault="005F44BC" w:rsidP="007114B1">
            <w:pPr>
              <w:pStyle w:val="BlockText-Plain"/>
              <w:jc w:val="center"/>
            </w:pPr>
            <w:r w:rsidRPr="00C9343F">
              <w:t>c.</w:t>
            </w:r>
          </w:p>
        </w:tc>
        <w:tc>
          <w:tcPr>
            <w:tcW w:w="7796" w:type="dxa"/>
            <w:gridSpan w:val="3"/>
          </w:tcPr>
          <w:p w14:paraId="40AB69C8" w14:textId="77777777" w:rsidR="005F44BC" w:rsidRPr="00C9343F" w:rsidRDefault="005F44BC" w:rsidP="00F66D98">
            <w:pPr>
              <w:pStyle w:val="BlockText-Plain"/>
            </w:pPr>
            <w:r w:rsidRPr="00C9343F">
              <w:t>The member voluntarily leaves the position, employment category or primary qualification for which the bonus was offered.</w:t>
            </w:r>
          </w:p>
        </w:tc>
      </w:tr>
      <w:tr w:rsidR="00F3422A" w:rsidRPr="00C9343F" w14:paraId="1D8693AF" w14:textId="77777777" w:rsidTr="00F3422A">
        <w:tc>
          <w:tcPr>
            <w:tcW w:w="992" w:type="dxa"/>
          </w:tcPr>
          <w:p w14:paraId="5E63DCD5" w14:textId="77777777" w:rsidR="00F3422A" w:rsidRPr="00C9343F" w:rsidRDefault="00F3422A" w:rsidP="00F66D98">
            <w:pPr>
              <w:pStyle w:val="Sectiontext0"/>
              <w:jc w:val="center"/>
            </w:pPr>
            <w:r w:rsidRPr="00C9343F">
              <w:t>4.</w:t>
            </w:r>
          </w:p>
        </w:tc>
        <w:tc>
          <w:tcPr>
            <w:tcW w:w="8367" w:type="dxa"/>
            <w:gridSpan w:val="4"/>
          </w:tcPr>
          <w:p w14:paraId="381BCCA4" w14:textId="77777777" w:rsidR="00F3422A" w:rsidRPr="00C9343F" w:rsidRDefault="00F3422A" w:rsidP="00F66D98">
            <w:pPr>
              <w:pStyle w:val="Sectiontext0"/>
              <w:rPr>
                <w:iCs/>
              </w:rPr>
            </w:pPr>
            <w:r w:rsidRPr="00C9343F">
              <w:rPr>
                <w:iCs/>
              </w:rPr>
              <w:t>The repayment amount under subsection 3 is calculated using the following formula.</w:t>
            </w:r>
          </w:p>
        </w:tc>
      </w:tr>
      <w:tr w:rsidR="00F3422A" w:rsidRPr="00C9343F" w14:paraId="10316E79" w14:textId="77777777" w:rsidTr="00F3422A">
        <w:tc>
          <w:tcPr>
            <w:tcW w:w="992" w:type="dxa"/>
          </w:tcPr>
          <w:p w14:paraId="4EDC6DD3" w14:textId="77777777" w:rsidR="00F3422A" w:rsidRPr="00C9343F" w:rsidRDefault="00F3422A" w:rsidP="00F66D98">
            <w:pPr>
              <w:pStyle w:val="Sectiontext0"/>
              <w:jc w:val="center"/>
            </w:pPr>
          </w:p>
        </w:tc>
        <w:tc>
          <w:tcPr>
            <w:tcW w:w="8367" w:type="dxa"/>
            <w:gridSpan w:val="4"/>
          </w:tcPr>
          <w:p w14:paraId="796E1BE7" w14:textId="77777777" w:rsidR="00F3422A" w:rsidRPr="00C9343F" w:rsidRDefault="00F3422A" w:rsidP="00F66D98">
            <w:pPr>
              <w:pStyle w:val="Sectiontext0"/>
              <w:rPr>
                <w:b/>
                <w:iCs/>
              </w:rPr>
            </w:pPr>
            <m:oMathPara>
              <m:oMath>
                <m:r>
                  <m:rPr>
                    <m:sty m:val="bi"/>
                  </m:rPr>
                  <w:rPr>
                    <w:rFonts w:ascii="Cambria Math" w:hAnsi="Cambria Math"/>
                  </w:rPr>
                  <m:t xml:space="preserve">repayment amount=  </m:t>
                </m:r>
                <m:f>
                  <m:fPr>
                    <m:ctrlPr>
                      <w:rPr>
                        <w:rFonts w:ascii="Cambria Math" w:hAnsi="Cambria Math"/>
                        <w:b/>
                        <w:i/>
                      </w:rPr>
                    </m:ctrlPr>
                  </m:fPr>
                  <m:num>
                    <m:r>
                      <m:rPr>
                        <m:sty m:val="bi"/>
                      </m:rPr>
                      <w:rPr>
                        <w:rFonts w:ascii="Cambria Math" w:hAnsi="Cambria Math"/>
                      </w:rPr>
                      <m:t>A-(B-C)</m:t>
                    </m:r>
                  </m:num>
                  <m:den>
                    <m:r>
                      <m:rPr>
                        <m:sty m:val="bi"/>
                      </m:rPr>
                      <w:rPr>
                        <w:rFonts w:ascii="Cambria Math" w:hAnsi="Cambria Math"/>
                      </w:rPr>
                      <m:t>A</m:t>
                    </m:r>
                  </m:den>
                </m:f>
                <m:r>
                  <m:rPr>
                    <m:sty m:val="bi"/>
                  </m:rPr>
                  <w:rPr>
                    <w:rFonts w:ascii="Cambria Math" w:hAnsi="Cambria Math"/>
                  </w:rPr>
                  <m:t>×D</m:t>
                </m:r>
              </m:oMath>
            </m:oMathPara>
          </w:p>
        </w:tc>
      </w:tr>
      <w:tr w:rsidR="00F3422A" w:rsidRPr="00C9343F" w14:paraId="5295A2BF" w14:textId="77777777" w:rsidTr="00F3422A">
        <w:tc>
          <w:tcPr>
            <w:tcW w:w="992" w:type="dxa"/>
          </w:tcPr>
          <w:p w14:paraId="5367CDAE" w14:textId="77777777" w:rsidR="00F3422A" w:rsidRPr="00C9343F" w:rsidRDefault="00F3422A" w:rsidP="00F66D98">
            <w:pPr>
              <w:pStyle w:val="Sectiontext0"/>
              <w:jc w:val="center"/>
            </w:pPr>
          </w:p>
        </w:tc>
        <w:tc>
          <w:tcPr>
            <w:tcW w:w="8367" w:type="dxa"/>
            <w:gridSpan w:val="4"/>
          </w:tcPr>
          <w:p w14:paraId="504A6F1E" w14:textId="77777777" w:rsidR="00F3422A" w:rsidRPr="00C9343F" w:rsidRDefault="00F3422A" w:rsidP="00F66D98">
            <w:pPr>
              <w:pStyle w:val="Sectiontext0"/>
              <w:rPr>
                <w:iCs/>
              </w:rPr>
            </w:pPr>
            <w:r w:rsidRPr="00C9343F">
              <w:rPr>
                <w:iCs/>
              </w:rPr>
              <w:t>Where:</w:t>
            </w:r>
          </w:p>
        </w:tc>
      </w:tr>
      <w:tr w:rsidR="00F3422A" w:rsidRPr="00C9343F" w14:paraId="37599AB8" w14:textId="77777777" w:rsidTr="00F3422A">
        <w:tc>
          <w:tcPr>
            <w:tcW w:w="992" w:type="dxa"/>
          </w:tcPr>
          <w:p w14:paraId="519152DA" w14:textId="77777777" w:rsidR="00F3422A" w:rsidRPr="00C9343F" w:rsidRDefault="00F3422A" w:rsidP="00F66D98">
            <w:pPr>
              <w:pStyle w:val="Sectiontext0"/>
              <w:jc w:val="center"/>
            </w:pPr>
          </w:p>
        </w:tc>
        <w:tc>
          <w:tcPr>
            <w:tcW w:w="596" w:type="dxa"/>
            <w:gridSpan w:val="2"/>
          </w:tcPr>
          <w:p w14:paraId="4F244A63" w14:textId="77777777" w:rsidR="00F3422A" w:rsidRPr="00C9343F" w:rsidRDefault="00F3422A" w:rsidP="00F66D98">
            <w:pPr>
              <w:pStyle w:val="Sectiontext0"/>
              <w:rPr>
                <w:b/>
                <w:iCs/>
              </w:rPr>
            </w:pPr>
            <w:r w:rsidRPr="00C9343F">
              <w:rPr>
                <w:b/>
                <w:iCs/>
              </w:rPr>
              <w:t>A</w:t>
            </w:r>
          </w:p>
        </w:tc>
        <w:tc>
          <w:tcPr>
            <w:tcW w:w="7771" w:type="dxa"/>
            <w:gridSpan w:val="2"/>
          </w:tcPr>
          <w:p w14:paraId="3E46A5F6" w14:textId="77777777" w:rsidR="00F3422A" w:rsidRPr="00C9343F" w:rsidRDefault="00F3422A" w:rsidP="00F66D98">
            <w:pPr>
              <w:pStyle w:val="Sectiontext0"/>
              <w:rPr>
                <w:iCs/>
              </w:rPr>
            </w:pPr>
            <w:r w:rsidRPr="00C9343F">
              <w:rPr>
                <w:iCs/>
              </w:rPr>
              <w:t>is the total number of days in the period that the member agreed to serve under this Division.</w:t>
            </w:r>
          </w:p>
        </w:tc>
      </w:tr>
      <w:tr w:rsidR="00F3422A" w:rsidRPr="00C9343F" w14:paraId="533C868C" w14:textId="77777777" w:rsidTr="00F3422A">
        <w:tc>
          <w:tcPr>
            <w:tcW w:w="992" w:type="dxa"/>
          </w:tcPr>
          <w:p w14:paraId="03916235" w14:textId="77777777" w:rsidR="00F3422A" w:rsidRPr="00C9343F" w:rsidRDefault="00F3422A" w:rsidP="00F66D98">
            <w:pPr>
              <w:pStyle w:val="Sectiontext0"/>
              <w:jc w:val="center"/>
            </w:pPr>
          </w:p>
        </w:tc>
        <w:tc>
          <w:tcPr>
            <w:tcW w:w="596" w:type="dxa"/>
            <w:gridSpan w:val="2"/>
          </w:tcPr>
          <w:p w14:paraId="7B714B2A" w14:textId="77777777" w:rsidR="00F3422A" w:rsidRPr="00C9343F" w:rsidRDefault="00F3422A" w:rsidP="00F66D98">
            <w:pPr>
              <w:pStyle w:val="Sectiontext0"/>
              <w:rPr>
                <w:b/>
                <w:iCs/>
              </w:rPr>
            </w:pPr>
            <w:r w:rsidRPr="00C9343F">
              <w:rPr>
                <w:b/>
                <w:iCs/>
              </w:rPr>
              <w:t>B</w:t>
            </w:r>
          </w:p>
        </w:tc>
        <w:tc>
          <w:tcPr>
            <w:tcW w:w="7771" w:type="dxa"/>
            <w:gridSpan w:val="2"/>
          </w:tcPr>
          <w:p w14:paraId="445D8823" w14:textId="77777777" w:rsidR="00F3422A" w:rsidRPr="00C9343F" w:rsidRDefault="00F3422A" w:rsidP="00F66D98">
            <w:pPr>
              <w:pStyle w:val="Sectiontext0"/>
              <w:rPr>
                <w:iCs/>
              </w:rPr>
            </w:pPr>
            <w:r w:rsidRPr="00C9343F">
              <w:rPr>
                <w:iCs/>
              </w:rPr>
              <w:t>is the number of calendar days in the following period.</w:t>
            </w:r>
          </w:p>
        </w:tc>
      </w:tr>
      <w:tr w:rsidR="00F3422A" w:rsidRPr="00C9343F" w14:paraId="69403471" w14:textId="77777777" w:rsidTr="00F3422A">
        <w:tc>
          <w:tcPr>
            <w:tcW w:w="992" w:type="dxa"/>
          </w:tcPr>
          <w:p w14:paraId="54028EE9" w14:textId="77777777" w:rsidR="00F3422A" w:rsidRPr="00C9343F" w:rsidRDefault="00F3422A" w:rsidP="00F66D98">
            <w:pPr>
              <w:pStyle w:val="Sectiontext0"/>
              <w:jc w:val="center"/>
            </w:pPr>
          </w:p>
        </w:tc>
        <w:tc>
          <w:tcPr>
            <w:tcW w:w="596" w:type="dxa"/>
            <w:gridSpan w:val="2"/>
          </w:tcPr>
          <w:p w14:paraId="013169A0" w14:textId="77777777" w:rsidR="00F3422A" w:rsidRPr="00C9343F" w:rsidRDefault="00F3422A" w:rsidP="00F66D98">
            <w:pPr>
              <w:pStyle w:val="Sectiontext0"/>
              <w:rPr>
                <w:b/>
                <w:iCs/>
              </w:rPr>
            </w:pPr>
          </w:p>
        </w:tc>
        <w:tc>
          <w:tcPr>
            <w:tcW w:w="567" w:type="dxa"/>
          </w:tcPr>
          <w:p w14:paraId="5FADBE98" w14:textId="77777777" w:rsidR="00F3422A" w:rsidRPr="00C9343F" w:rsidRDefault="00F3422A" w:rsidP="00F66D98">
            <w:pPr>
              <w:pStyle w:val="Sectiontext0"/>
              <w:jc w:val="center"/>
              <w:rPr>
                <w:iCs/>
              </w:rPr>
            </w:pPr>
            <w:r w:rsidRPr="00C9343F">
              <w:rPr>
                <w:iCs/>
              </w:rPr>
              <w:t>a.</w:t>
            </w:r>
          </w:p>
        </w:tc>
        <w:tc>
          <w:tcPr>
            <w:tcW w:w="7204" w:type="dxa"/>
          </w:tcPr>
          <w:p w14:paraId="2775B226" w14:textId="77777777" w:rsidR="00F3422A" w:rsidRPr="00C9343F" w:rsidRDefault="00F3422A" w:rsidP="00F66D98">
            <w:pPr>
              <w:pStyle w:val="Sectiontext0"/>
              <w:rPr>
                <w:iCs/>
              </w:rPr>
            </w:pPr>
            <w:r w:rsidRPr="00C9343F">
              <w:rPr>
                <w:iCs/>
              </w:rPr>
              <w:t>Starting on the day the member is taken to start their undertaking to serve under this Division.</w:t>
            </w:r>
          </w:p>
        </w:tc>
      </w:tr>
      <w:tr w:rsidR="00F3422A" w:rsidRPr="00C9343F" w14:paraId="49F49C41" w14:textId="77777777" w:rsidTr="00F3422A">
        <w:tc>
          <w:tcPr>
            <w:tcW w:w="992" w:type="dxa"/>
          </w:tcPr>
          <w:p w14:paraId="5F28CEAE" w14:textId="77777777" w:rsidR="00F3422A" w:rsidRPr="00C9343F" w:rsidRDefault="00F3422A" w:rsidP="00F66D98">
            <w:pPr>
              <w:pStyle w:val="Sectiontext0"/>
              <w:jc w:val="center"/>
            </w:pPr>
          </w:p>
        </w:tc>
        <w:tc>
          <w:tcPr>
            <w:tcW w:w="596" w:type="dxa"/>
            <w:gridSpan w:val="2"/>
          </w:tcPr>
          <w:p w14:paraId="3B8DDE2D" w14:textId="77777777" w:rsidR="00F3422A" w:rsidRPr="00C9343F" w:rsidRDefault="00F3422A" w:rsidP="00F66D98">
            <w:pPr>
              <w:pStyle w:val="Sectiontext0"/>
              <w:rPr>
                <w:b/>
                <w:iCs/>
              </w:rPr>
            </w:pPr>
          </w:p>
        </w:tc>
        <w:tc>
          <w:tcPr>
            <w:tcW w:w="567" w:type="dxa"/>
          </w:tcPr>
          <w:p w14:paraId="4C912C94" w14:textId="77777777" w:rsidR="00F3422A" w:rsidRPr="00C9343F" w:rsidRDefault="00F3422A" w:rsidP="00F66D98">
            <w:pPr>
              <w:pStyle w:val="Sectiontext0"/>
              <w:jc w:val="center"/>
              <w:rPr>
                <w:iCs/>
              </w:rPr>
            </w:pPr>
            <w:r w:rsidRPr="00C9343F">
              <w:rPr>
                <w:iCs/>
              </w:rPr>
              <w:t>b.</w:t>
            </w:r>
          </w:p>
        </w:tc>
        <w:tc>
          <w:tcPr>
            <w:tcW w:w="7204" w:type="dxa"/>
          </w:tcPr>
          <w:p w14:paraId="7868077F" w14:textId="77777777" w:rsidR="00F3422A" w:rsidRPr="00C9343F" w:rsidRDefault="00F3422A" w:rsidP="00F66D98">
            <w:pPr>
              <w:pStyle w:val="Sectiontext0"/>
              <w:rPr>
                <w:iCs/>
              </w:rPr>
            </w:pPr>
            <w:r w:rsidRPr="00C9343F">
              <w:rPr>
                <w:iCs/>
              </w:rPr>
              <w:t>Ending on the day before the date the member ceases to serve under this Division.</w:t>
            </w:r>
          </w:p>
        </w:tc>
      </w:tr>
      <w:tr w:rsidR="00F3422A" w:rsidRPr="00C9343F" w14:paraId="4205570B" w14:textId="77777777" w:rsidTr="00F3422A">
        <w:tc>
          <w:tcPr>
            <w:tcW w:w="992" w:type="dxa"/>
          </w:tcPr>
          <w:p w14:paraId="481B530A" w14:textId="77777777" w:rsidR="00F3422A" w:rsidRPr="00C9343F" w:rsidRDefault="00F3422A" w:rsidP="00F66D98">
            <w:pPr>
              <w:pStyle w:val="Sectiontext0"/>
              <w:jc w:val="center"/>
            </w:pPr>
          </w:p>
        </w:tc>
        <w:tc>
          <w:tcPr>
            <w:tcW w:w="596" w:type="dxa"/>
            <w:gridSpan w:val="2"/>
          </w:tcPr>
          <w:p w14:paraId="5B4D6FE9" w14:textId="77777777" w:rsidR="00F3422A" w:rsidRPr="00C9343F" w:rsidRDefault="00F3422A" w:rsidP="00F66D98">
            <w:pPr>
              <w:pStyle w:val="Sectiontext0"/>
              <w:rPr>
                <w:b/>
                <w:iCs/>
              </w:rPr>
            </w:pPr>
            <w:r w:rsidRPr="00C9343F">
              <w:rPr>
                <w:b/>
                <w:iCs/>
              </w:rPr>
              <w:t>C</w:t>
            </w:r>
          </w:p>
        </w:tc>
        <w:tc>
          <w:tcPr>
            <w:tcW w:w="7771" w:type="dxa"/>
            <w:gridSpan w:val="2"/>
          </w:tcPr>
          <w:p w14:paraId="44CB3036" w14:textId="77777777" w:rsidR="00F3422A" w:rsidRPr="00C9343F" w:rsidRDefault="00F3422A" w:rsidP="00F66D98">
            <w:pPr>
              <w:pStyle w:val="Sectiontext0"/>
              <w:rPr>
                <w:iCs/>
              </w:rPr>
            </w:pPr>
            <w:r w:rsidRPr="00C9343F">
              <w:rPr>
                <w:iCs/>
              </w:rPr>
              <w:t xml:space="preserve">is the number of days of ineffective service in the period under </w:t>
            </w:r>
            <w:r w:rsidRPr="00C9343F">
              <w:rPr>
                <w:b/>
                <w:iCs/>
              </w:rPr>
              <w:t>B</w:t>
            </w:r>
            <w:r w:rsidRPr="00C9343F">
              <w:rPr>
                <w:iCs/>
              </w:rPr>
              <w:t>.</w:t>
            </w:r>
          </w:p>
        </w:tc>
      </w:tr>
      <w:tr w:rsidR="00F3422A" w:rsidRPr="00C9343F" w14:paraId="78BA01EC" w14:textId="77777777" w:rsidTr="00F3422A">
        <w:tc>
          <w:tcPr>
            <w:tcW w:w="992" w:type="dxa"/>
          </w:tcPr>
          <w:p w14:paraId="61E90926" w14:textId="77777777" w:rsidR="00F3422A" w:rsidRPr="00C9343F" w:rsidRDefault="00F3422A" w:rsidP="00F66D98">
            <w:pPr>
              <w:pStyle w:val="Sectiontext0"/>
              <w:jc w:val="center"/>
            </w:pPr>
          </w:p>
        </w:tc>
        <w:tc>
          <w:tcPr>
            <w:tcW w:w="596" w:type="dxa"/>
            <w:gridSpan w:val="2"/>
          </w:tcPr>
          <w:p w14:paraId="4410F3EF" w14:textId="77777777" w:rsidR="00F3422A" w:rsidRPr="00C9343F" w:rsidRDefault="00F3422A" w:rsidP="00F66D98">
            <w:pPr>
              <w:pStyle w:val="Sectiontext0"/>
              <w:rPr>
                <w:b/>
                <w:iCs/>
              </w:rPr>
            </w:pPr>
            <w:r w:rsidRPr="00C9343F">
              <w:rPr>
                <w:b/>
                <w:iCs/>
              </w:rPr>
              <w:t>D</w:t>
            </w:r>
          </w:p>
        </w:tc>
        <w:tc>
          <w:tcPr>
            <w:tcW w:w="7771" w:type="dxa"/>
            <w:gridSpan w:val="2"/>
          </w:tcPr>
          <w:p w14:paraId="596AFEB3" w14:textId="77777777" w:rsidR="00F3422A" w:rsidRPr="00C9343F" w:rsidRDefault="00F3422A" w:rsidP="00F66D98">
            <w:pPr>
              <w:pStyle w:val="Sectiontext0"/>
              <w:rPr>
                <w:iCs/>
              </w:rPr>
            </w:pPr>
            <w:r w:rsidRPr="00C9343F">
              <w:rPr>
                <w:iCs/>
              </w:rPr>
              <w:t>is the bonus amount the member would have received under the other scheme.</w:t>
            </w:r>
          </w:p>
        </w:tc>
      </w:tr>
    </w:tbl>
    <w:p w14:paraId="57065B8C" w14:textId="712848B5" w:rsidR="005F44BC" w:rsidRPr="00C9343F" w:rsidRDefault="005F44BC" w:rsidP="00F66D98">
      <w:pPr>
        <w:pStyle w:val="Heading4"/>
        <w:pageBreakBefore/>
      </w:pPr>
      <w:bookmarkStart w:id="575" w:name="_Toc105053782"/>
      <w:r w:rsidRPr="00C9343F">
        <w:lastRenderedPageBreak/>
        <w:t>Annex 3.5.B: Bonus framework form</w:t>
      </w:r>
      <w:bookmarkEnd w:id="575"/>
    </w:p>
    <w:p w14:paraId="29F2F994" w14:textId="77777777" w:rsidR="005F44BC" w:rsidRPr="00C9343F" w:rsidRDefault="005F44BC" w:rsidP="00F66D98">
      <w:pPr>
        <w:spacing w:before="120" w:after="120"/>
        <w:rPr>
          <w:sz w:val="20"/>
        </w:rPr>
      </w:pPr>
      <w:r w:rsidRPr="00C9343F">
        <w:rPr>
          <w:sz w:val="20"/>
        </w:rPr>
        <w:t>Note: This form is an approved form for the purposes of Chapter 1 Part 2 section 1.2.5, Forms.</w:t>
      </w:r>
    </w:p>
    <w:p w14:paraId="695D75EF" w14:textId="77777777" w:rsidR="005F44BC" w:rsidRPr="00C9343F" w:rsidRDefault="005F44BC" w:rsidP="00F66D98">
      <w:pPr>
        <w:rPr>
          <w:b/>
          <w:color w:val="000080"/>
          <w:sz w:val="18"/>
        </w:rPr>
      </w:pPr>
      <w:r w:rsidRPr="00C9343F">
        <w:rPr>
          <w:b/>
          <w:color w:val="000080"/>
          <w:sz w:val="18"/>
        </w:rPr>
        <w:t>This form is in two parts.</w:t>
      </w:r>
    </w:p>
    <w:p w14:paraId="4182437E" w14:textId="77777777" w:rsidR="005F44BC" w:rsidRPr="00C9343F" w:rsidRDefault="005F44BC" w:rsidP="00F66D98">
      <w:pPr>
        <w:rPr>
          <w:sz w:val="18"/>
          <w:szCs w:val="18"/>
        </w:rPr>
      </w:pPr>
      <w:r w:rsidRPr="00C9343F">
        <w:rPr>
          <w:sz w:val="18"/>
          <w:szCs w:val="18"/>
        </w:rPr>
        <w:t>Part A – provides information about the offer and the bonus scheme, and is for you to keep.</w:t>
      </w:r>
    </w:p>
    <w:p w14:paraId="3D64014E" w14:textId="77777777" w:rsidR="005F44BC" w:rsidRPr="00C9343F" w:rsidRDefault="005F44BC" w:rsidP="00F66D98">
      <w:pPr>
        <w:rPr>
          <w:sz w:val="18"/>
          <w:szCs w:val="18"/>
        </w:rPr>
      </w:pPr>
      <w:r w:rsidRPr="00C9343F">
        <w:rPr>
          <w:sz w:val="18"/>
          <w:szCs w:val="18"/>
        </w:rPr>
        <w:t xml:space="preserve">Part B – your formal acceptance of the offer and your agreement to serve for an agreed period of between one and three years. </w:t>
      </w:r>
    </w:p>
    <w:p w14:paraId="4092E095" w14:textId="77777777" w:rsidR="005F44BC" w:rsidRPr="00C9343F" w:rsidRDefault="005F44BC" w:rsidP="00F66D98"/>
    <w:p w14:paraId="5DBE8666" w14:textId="77777777" w:rsidR="005F44BC" w:rsidRPr="00C9343F" w:rsidRDefault="005F44BC" w:rsidP="00F66D98">
      <w:r w:rsidRPr="00C9343F">
        <w:t>You must also complete Annex 3.5.J, Bonus payment election, to advise how the bonus is to be paid.</w:t>
      </w:r>
    </w:p>
    <w:p w14:paraId="7136E1D3" w14:textId="77777777" w:rsidR="005F44BC" w:rsidRPr="00C9343F" w:rsidRDefault="005F44BC" w:rsidP="00F66D98"/>
    <w:p w14:paraId="618255A2" w14:textId="77777777" w:rsidR="005F44BC" w:rsidRPr="00C9343F" w:rsidRDefault="005F44BC" w:rsidP="00F66D98">
      <w:pPr>
        <w:rPr>
          <w:b/>
        </w:rPr>
      </w:pPr>
      <w:r w:rsidRPr="00C9343F">
        <w:rPr>
          <w:b/>
        </w:rPr>
        <w:t>Part A: Offer and information about the retention bonus scheme</w:t>
      </w:r>
    </w:p>
    <w:p w14:paraId="601C1CF6" w14:textId="77777777" w:rsidR="00DA714D" w:rsidRPr="00C9343F" w:rsidRDefault="00DA714D" w:rsidP="00F66D98"/>
    <w:p w14:paraId="319005E6" w14:textId="77777777" w:rsidR="005F44BC" w:rsidRPr="00C9343F" w:rsidRDefault="005F44BC" w:rsidP="00F66D98">
      <w:r w:rsidRPr="00C9343F">
        <w:t>This Part provides information about the retention bonus you have been offered, and is for you to keep.</w:t>
      </w:r>
    </w:p>
    <w:p w14:paraId="7D3F1E0B" w14:textId="77777777" w:rsidR="00DA714D" w:rsidRPr="00C9343F" w:rsidRDefault="00DA714D" w:rsidP="00F66D98">
      <w:pPr>
        <w:pStyle w:val="BlockText-Plain"/>
        <w:spacing w:after="0"/>
        <w:rPr>
          <w:rFonts w:cs="Arial"/>
        </w:rPr>
      </w:pPr>
    </w:p>
    <w:p w14:paraId="797095DC" w14:textId="77777777" w:rsidR="005F44BC" w:rsidRPr="00C9343F" w:rsidRDefault="005F44BC" w:rsidP="00F66D98">
      <w:pPr>
        <w:pStyle w:val="BlockText-Plain"/>
        <w:spacing w:after="0"/>
        <w:rPr>
          <w:rFonts w:cs="Arial"/>
        </w:rPr>
      </w:pPr>
      <w:r w:rsidRPr="00C9343F">
        <w:rPr>
          <w:rFonts w:cs="Arial"/>
        </w:rPr>
        <w:t xml:space="preserve">If you fill in and sign the acceptance form, you are accepting an offer made to you under the </w:t>
      </w:r>
      <w:r w:rsidRPr="00C9343F">
        <w:t xml:space="preserve">retention bonus scheme </w:t>
      </w:r>
      <w:r w:rsidRPr="00C9343F">
        <w:rPr>
          <w:rFonts w:cs="Arial"/>
        </w:rPr>
        <w:t xml:space="preserve">authorised under Chapter 3 Part 5 Division 2 of </w:t>
      </w:r>
      <w:r w:rsidRPr="00C9343F">
        <w:rPr>
          <w:rFonts w:cs="Arial"/>
          <w:i/>
        </w:rPr>
        <w:t>Defence Determination 2016/</w:t>
      </w:r>
      <w:r w:rsidRPr="00C9343F">
        <w:rPr>
          <w:rFonts w:cs="Arial"/>
          <w:i/>
          <w:color w:val="000000"/>
        </w:rPr>
        <w:t>19</w:t>
      </w:r>
      <w:r w:rsidRPr="00C9343F">
        <w:rPr>
          <w:rFonts w:cs="Arial"/>
          <w:i/>
        </w:rPr>
        <w:t>,</w:t>
      </w:r>
      <w:r w:rsidRPr="00C9343F">
        <w:rPr>
          <w:rFonts w:cs="Arial"/>
        </w:rPr>
        <w:t xml:space="preserve"> </w:t>
      </w:r>
      <w:r w:rsidRPr="00C9343F">
        <w:rPr>
          <w:rFonts w:cs="Arial"/>
          <w:i/>
        </w:rPr>
        <w:t>Conditions of service</w:t>
      </w:r>
      <w:r w:rsidRPr="00C9343F">
        <w:rPr>
          <w:rFonts w:cs="Arial"/>
        </w:rPr>
        <w:t xml:space="preserve">, made under section 58B of the </w:t>
      </w:r>
      <w:r w:rsidRPr="00C9343F">
        <w:rPr>
          <w:rFonts w:cs="Arial"/>
          <w:i/>
        </w:rPr>
        <w:t>Defence Act 1903</w:t>
      </w:r>
      <w:r w:rsidRPr="00C9343F">
        <w:rPr>
          <w:rFonts w:cs="Arial"/>
        </w:rPr>
        <w:t xml:space="preserve"> ('the Determination'). </w:t>
      </w:r>
    </w:p>
    <w:p w14:paraId="6F322183" w14:textId="77777777" w:rsidR="005F44BC" w:rsidRPr="00C9343F" w:rsidRDefault="005F44BC" w:rsidP="00F66D98">
      <w:pPr>
        <w:pStyle w:val="BlockText-Plain"/>
        <w:spacing w:after="0"/>
        <w:rPr>
          <w:rFonts w:cs="Arial"/>
          <w:color w:val="0000FF"/>
        </w:rPr>
      </w:pPr>
    </w:p>
    <w:p w14:paraId="713CA3E2" w14:textId="77777777" w:rsidR="005F44BC" w:rsidRPr="00C9343F" w:rsidRDefault="005F44BC" w:rsidP="00F66D98">
      <w:pPr>
        <w:pStyle w:val="BlockText-Plain"/>
        <w:spacing w:after="0"/>
        <w:rPr>
          <w:b/>
          <w:sz w:val="24"/>
        </w:rPr>
      </w:pPr>
      <w:r w:rsidRPr="00C9343F">
        <w:rPr>
          <w:b/>
          <w:sz w:val="24"/>
        </w:rPr>
        <w:t>Offer</w:t>
      </w:r>
    </w:p>
    <w:p w14:paraId="3E681AB3" w14:textId="77777777" w:rsidR="005F44BC" w:rsidRPr="00C9343F" w:rsidRDefault="005F44BC" w:rsidP="00F66D98">
      <w:pPr>
        <w:pStyle w:val="BlockText-Plain"/>
        <w:spacing w:after="0"/>
        <w:rPr>
          <w:rFonts w:cs="Arial"/>
        </w:rPr>
      </w:pPr>
      <w:r w:rsidRPr="00C9343F">
        <w:rPr>
          <w:rFonts w:cs="Arial"/>
        </w:rPr>
        <w:t>The offer made is as follows:</w:t>
      </w:r>
    </w:p>
    <w:p w14:paraId="3AD519C6" w14:textId="77777777" w:rsidR="005F44BC" w:rsidRPr="00C9343F" w:rsidRDefault="005F44BC" w:rsidP="00F66D98">
      <w:pPr>
        <w:pStyle w:val="BlockText-Plain"/>
        <w:spacing w:after="0"/>
        <w:rPr>
          <w:rFonts w:cs="Arial"/>
        </w:rPr>
      </w:pPr>
    </w:p>
    <w:p w14:paraId="1C4A851E" w14:textId="77777777" w:rsidR="005F44BC" w:rsidRPr="00C9343F" w:rsidRDefault="005F44BC" w:rsidP="00F66D98">
      <w:pPr>
        <w:pStyle w:val="BlockText-Plain"/>
        <w:spacing w:after="0"/>
        <w:rPr>
          <w:rFonts w:cs="Arial"/>
        </w:rPr>
      </w:pPr>
    </w:p>
    <w:p w14:paraId="71E18E9C" w14:textId="62A957AD" w:rsidR="005F44BC" w:rsidRPr="00C9343F" w:rsidRDefault="00D94006" w:rsidP="00F66D98">
      <w:pPr>
        <w:pStyle w:val="BlockText-Plain"/>
        <w:spacing w:after="0"/>
        <w:rPr>
          <w:rFonts w:cs="Arial"/>
        </w:rPr>
      </w:pPr>
      <w:r w:rsidRPr="00C9343F">
        <w:rPr>
          <w:rFonts w:cs="Arial"/>
        </w:rPr>
        <w:t>                                                                                                                                                                               </w:t>
      </w:r>
      <w:r w:rsidR="005F44BC" w:rsidRPr="00C9343F">
        <w:rPr>
          <w:rFonts w:cs="Arial"/>
        </w:rPr>
        <w:t>[</w:t>
      </w:r>
      <w:r w:rsidR="005F44BC" w:rsidRPr="00C9343F">
        <w:rPr>
          <w:rFonts w:cs="Arial"/>
          <w:i/>
        </w:rPr>
        <w:t>member's name</w:t>
      </w:r>
      <w:r w:rsidR="005F44BC" w:rsidRPr="00C9343F">
        <w:rPr>
          <w:rFonts w:cs="Arial"/>
        </w:rPr>
        <w:t>] is hereby offered a bonus by Director General Navy People/</w:t>
      </w:r>
      <w:r w:rsidR="002552CC" w:rsidRPr="00C9343F">
        <w:rPr>
          <w:iCs/>
        </w:rPr>
        <w:t xml:space="preserve"> Director General Army People Capability</w:t>
      </w:r>
      <w:r w:rsidR="002552CC" w:rsidRPr="00C9343F">
        <w:rPr>
          <w:rFonts w:cs="Arial"/>
        </w:rPr>
        <w:t>/</w:t>
      </w:r>
      <w:r w:rsidR="005F44BC" w:rsidRPr="00C9343F">
        <w:rPr>
          <w:rFonts w:cs="Arial"/>
        </w:rPr>
        <w:t>Director General Personnel – Air Force [</w:t>
      </w:r>
      <w:r w:rsidR="005F44BC" w:rsidRPr="00C9343F">
        <w:rPr>
          <w:rFonts w:cs="Arial"/>
          <w:i/>
        </w:rPr>
        <w:t>delete whichever is irrelevant</w:t>
      </w:r>
      <w:r w:rsidR="005F44BC" w:rsidRPr="00C9343F">
        <w:rPr>
          <w:rFonts w:cs="Arial"/>
        </w:rPr>
        <w:t xml:space="preserve">].  </w:t>
      </w:r>
    </w:p>
    <w:p w14:paraId="7528F825" w14:textId="77777777" w:rsidR="005F44BC" w:rsidRPr="00C9343F" w:rsidRDefault="005F44BC" w:rsidP="00F66D98">
      <w:pPr>
        <w:pStyle w:val="BlockText-Plain"/>
        <w:spacing w:after="0"/>
        <w:rPr>
          <w:rFonts w:cs="Arial"/>
        </w:rPr>
      </w:pPr>
    </w:p>
    <w:p w14:paraId="3FC49ED9" w14:textId="6C05F3F5" w:rsidR="005F44BC" w:rsidRPr="00C9343F" w:rsidRDefault="005F44BC" w:rsidP="00F66D98">
      <w:pPr>
        <w:pStyle w:val="BlockText-Plain"/>
        <w:spacing w:after="0"/>
        <w:rPr>
          <w:rFonts w:cs="Arial"/>
        </w:rPr>
      </w:pPr>
      <w:r w:rsidRPr="00C9343F">
        <w:rPr>
          <w:rFonts w:cs="Arial"/>
        </w:rPr>
        <w:t>The bonus offered is an amount of $</w:t>
      </w:r>
      <w:r w:rsidR="00D94006" w:rsidRPr="00C9343F">
        <w:rPr>
          <w:rFonts w:cs="Arial"/>
        </w:rPr>
        <w:t>                                           </w:t>
      </w:r>
      <w:r w:rsidRPr="00C9343F">
        <w:rPr>
          <w:rFonts w:cs="Arial"/>
        </w:rPr>
        <w:t>..which has been approved by Chief of Navy/Chief of Army/Chief of Air Force [</w:t>
      </w:r>
      <w:r w:rsidRPr="00C9343F">
        <w:rPr>
          <w:rFonts w:cs="Arial"/>
          <w:i/>
        </w:rPr>
        <w:t>delete whichever is irrelevant</w:t>
      </w:r>
      <w:r w:rsidRPr="00C9343F">
        <w:rPr>
          <w:rFonts w:cs="Arial"/>
        </w:rPr>
        <w:t>].</w:t>
      </w:r>
    </w:p>
    <w:p w14:paraId="750ECAF6" w14:textId="77777777" w:rsidR="005F44BC" w:rsidRPr="00C9343F" w:rsidRDefault="005F44BC" w:rsidP="00F66D98">
      <w:pPr>
        <w:pStyle w:val="BlockText-Plain"/>
        <w:spacing w:after="0"/>
        <w:rPr>
          <w:rFonts w:cs="Arial"/>
        </w:rPr>
      </w:pPr>
    </w:p>
    <w:p w14:paraId="538D414B" w14:textId="4AADB059" w:rsidR="005F44BC" w:rsidRPr="00C9343F" w:rsidRDefault="005F44BC" w:rsidP="00F66D98">
      <w:pPr>
        <w:pStyle w:val="BlockText-Plain"/>
        <w:spacing w:after="0"/>
        <w:rPr>
          <w:rFonts w:cs="Arial"/>
        </w:rPr>
      </w:pPr>
      <w:r w:rsidRPr="00C9343F">
        <w:rPr>
          <w:rFonts w:cs="Arial"/>
        </w:rPr>
        <w:t xml:space="preserve">If the offer is accepted, the member must perform a period of </w:t>
      </w:r>
      <w:r w:rsidR="00D94006" w:rsidRPr="00C9343F">
        <w:rPr>
          <w:rFonts w:cs="Arial"/>
        </w:rPr>
        <w:t>                                                                                 </w:t>
      </w:r>
      <w:r w:rsidRPr="00C9343F">
        <w:rPr>
          <w:rFonts w:cs="Arial"/>
        </w:rPr>
        <w:t xml:space="preserve">.. service </w:t>
      </w:r>
      <w:r w:rsidRPr="00C9343F">
        <w:rPr>
          <w:rFonts w:cs="Arial"/>
          <w:i/>
        </w:rPr>
        <w:t xml:space="preserve">[period between one and three years] </w:t>
      </w:r>
      <w:r w:rsidRPr="00C9343F">
        <w:rPr>
          <w:rFonts w:cs="Arial"/>
        </w:rPr>
        <w:t>(the 'agreed period of service'), in the following</w:t>
      </w:r>
      <w:r w:rsidRPr="00C9343F">
        <w:t xml:space="preserve"> position, employment category or specialisation</w:t>
      </w:r>
      <w:r w:rsidRPr="00C9343F">
        <w:rPr>
          <w:rFonts w:cs="Arial"/>
        </w:rPr>
        <w:t>:</w:t>
      </w:r>
    </w:p>
    <w:p w14:paraId="6D0EB2E2" w14:textId="77777777" w:rsidR="005F44BC" w:rsidRPr="00C9343F" w:rsidRDefault="005F44BC" w:rsidP="00F66D98">
      <w:pPr>
        <w:pStyle w:val="BlockText-Plain"/>
        <w:spacing w:after="0"/>
        <w:rPr>
          <w:rFonts w:cs="Arial"/>
        </w:rPr>
      </w:pPr>
    </w:p>
    <w:p w14:paraId="67F183BB" w14:textId="5FD16F8E" w:rsidR="005F44BC" w:rsidRPr="00C9343F" w:rsidRDefault="00D94006" w:rsidP="00F66D98">
      <w:pPr>
        <w:pStyle w:val="BlockText-Plain"/>
        <w:spacing w:after="0"/>
        <w:rPr>
          <w:rFonts w:cs="Arial"/>
        </w:rPr>
      </w:pPr>
      <w:r w:rsidRPr="00C9343F">
        <w:rPr>
          <w:rFonts w:cs="Arial"/>
        </w:rPr>
        <w:t>                                                                                                                                                                                                                                       </w:t>
      </w:r>
    </w:p>
    <w:p w14:paraId="3757920C" w14:textId="77777777" w:rsidR="005F44BC" w:rsidRPr="00C9343F" w:rsidRDefault="005F44BC" w:rsidP="00F66D98">
      <w:pPr>
        <w:pStyle w:val="BlockText-Plain"/>
        <w:spacing w:after="0"/>
        <w:rPr>
          <w:rFonts w:cs="Arial"/>
        </w:rPr>
      </w:pPr>
    </w:p>
    <w:p w14:paraId="358AAC87" w14:textId="77777777" w:rsidR="005F44BC" w:rsidRPr="00C9343F" w:rsidRDefault="005F44BC" w:rsidP="00F66D98">
      <w:pPr>
        <w:pStyle w:val="BlockText-Plain"/>
        <w:spacing w:after="0"/>
        <w:rPr>
          <w:rFonts w:cs="Arial"/>
        </w:rPr>
      </w:pPr>
      <w:r w:rsidRPr="00C9343F">
        <w:rPr>
          <w:rFonts w:cs="Arial"/>
        </w:rPr>
        <w:t>Signed this day by:</w:t>
      </w:r>
    </w:p>
    <w:p w14:paraId="24098C8A" w14:textId="77777777" w:rsidR="005F44BC" w:rsidRPr="00C9343F" w:rsidRDefault="005F44BC" w:rsidP="00F66D98">
      <w:pPr>
        <w:pStyle w:val="BlockText-Plain"/>
        <w:spacing w:after="0"/>
        <w:rPr>
          <w:rFonts w:cs="Arial"/>
        </w:rPr>
      </w:pPr>
    </w:p>
    <w:p w14:paraId="1D614747" w14:textId="77777777" w:rsidR="005F44BC" w:rsidRPr="00C9343F" w:rsidRDefault="005F44BC" w:rsidP="00F66D98">
      <w:pPr>
        <w:pStyle w:val="BlockText-Plain"/>
        <w:spacing w:after="0"/>
        <w:rPr>
          <w:rFonts w:cs="Arial"/>
        </w:rPr>
      </w:pPr>
    </w:p>
    <w:p w14:paraId="37F82AA9" w14:textId="77777777" w:rsidR="005F44BC" w:rsidRPr="00C9343F" w:rsidRDefault="005F44BC" w:rsidP="00F66D98">
      <w:pPr>
        <w:pStyle w:val="BlockText-Plain"/>
        <w:spacing w:after="0"/>
        <w:rPr>
          <w:rFonts w:cs="Arial"/>
        </w:rPr>
      </w:pPr>
    </w:p>
    <w:p w14:paraId="46897441" w14:textId="77777777" w:rsidR="005F44BC" w:rsidRPr="00C9343F" w:rsidRDefault="005F44BC" w:rsidP="00F66D98">
      <w:pPr>
        <w:pStyle w:val="BlockText-Plain"/>
        <w:spacing w:after="0"/>
        <w:rPr>
          <w:rFonts w:cs="Arial"/>
        </w:rPr>
      </w:pPr>
    </w:p>
    <w:p w14:paraId="223DB9CE" w14:textId="77777777" w:rsidR="005F44BC" w:rsidRPr="00C9343F" w:rsidRDefault="005F44BC" w:rsidP="00F66D98">
      <w:pPr>
        <w:pStyle w:val="BlockText-Plain"/>
        <w:spacing w:after="0"/>
        <w:rPr>
          <w:rFonts w:cs="Arial"/>
        </w:rPr>
      </w:pPr>
    </w:p>
    <w:p w14:paraId="350DE5A9" w14:textId="531FA07F" w:rsidR="005F44BC" w:rsidRPr="00C9343F" w:rsidRDefault="005F44BC" w:rsidP="00F66D98">
      <w:pPr>
        <w:pStyle w:val="BlockText-Plain"/>
        <w:spacing w:after="0"/>
        <w:rPr>
          <w:rFonts w:cs="Arial"/>
        </w:rPr>
      </w:pPr>
      <w:r w:rsidRPr="00C9343F">
        <w:rPr>
          <w:rFonts w:cs="Arial"/>
        </w:rPr>
        <w:t>Name:</w:t>
      </w:r>
      <w:r w:rsidR="00D94006" w:rsidRPr="00C9343F">
        <w:rPr>
          <w:rFonts w:cs="Arial"/>
        </w:rPr>
        <w:t>                                                                                                       </w:t>
      </w:r>
      <w:r w:rsidRPr="00C9343F">
        <w:rPr>
          <w:rFonts w:cs="Arial"/>
        </w:rPr>
        <w:t>Rank:</w:t>
      </w:r>
      <w:r w:rsidR="00D94006" w:rsidRPr="00C9343F">
        <w:rPr>
          <w:rFonts w:cs="Arial"/>
        </w:rPr>
        <w:t>                                                                                                           </w:t>
      </w:r>
      <w:r w:rsidRPr="00C9343F">
        <w:rPr>
          <w:rFonts w:cs="Arial"/>
        </w:rPr>
        <w:t>.</w:t>
      </w:r>
    </w:p>
    <w:p w14:paraId="7130455B" w14:textId="77777777" w:rsidR="005F44BC" w:rsidRPr="00C9343F" w:rsidRDefault="005F44BC" w:rsidP="00F66D98">
      <w:pPr>
        <w:pStyle w:val="BlockText-Plain"/>
        <w:spacing w:after="0"/>
        <w:rPr>
          <w:rFonts w:cs="Arial"/>
        </w:rPr>
      </w:pPr>
      <w:r w:rsidRPr="00C9343F">
        <w:rPr>
          <w:rFonts w:cs="Arial"/>
        </w:rPr>
        <w:t>Director General Navy People/</w:t>
      </w:r>
      <w:r w:rsidR="002552CC" w:rsidRPr="00C9343F">
        <w:rPr>
          <w:iCs/>
        </w:rPr>
        <w:t xml:space="preserve"> Director General Army People Capability</w:t>
      </w:r>
      <w:r w:rsidR="002552CC" w:rsidRPr="00C9343F">
        <w:rPr>
          <w:rFonts w:cs="Arial"/>
        </w:rPr>
        <w:t xml:space="preserve"> </w:t>
      </w:r>
      <w:r w:rsidRPr="00C9343F">
        <w:rPr>
          <w:rFonts w:cs="Arial"/>
        </w:rPr>
        <w:t>/Director General Personnel – Air Force [</w:t>
      </w:r>
      <w:r w:rsidRPr="00C9343F">
        <w:rPr>
          <w:rFonts w:cs="Arial"/>
          <w:i/>
        </w:rPr>
        <w:t>delete whichever is irrelevant</w:t>
      </w:r>
      <w:r w:rsidRPr="00C9343F">
        <w:rPr>
          <w:rFonts w:cs="Arial"/>
        </w:rPr>
        <w:t xml:space="preserve">].  </w:t>
      </w:r>
    </w:p>
    <w:p w14:paraId="63E1A067" w14:textId="77777777" w:rsidR="005F44BC" w:rsidRPr="00C9343F" w:rsidRDefault="005F44BC" w:rsidP="00F66D98">
      <w:pPr>
        <w:pStyle w:val="BlockText-Plain"/>
        <w:spacing w:after="0"/>
        <w:rPr>
          <w:rFonts w:cs="Arial"/>
          <w:color w:val="0000FF"/>
        </w:rPr>
      </w:pPr>
    </w:p>
    <w:p w14:paraId="61D3826E" w14:textId="77777777" w:rsidR="005F44BC" w:rsidRPr="00C9343F" w:rsidRDefault="005F44BC" w:rsidP="00F66D98">
      <w:pPr>
        <w:pStyle w:val="BlockText-Plain"/>
        <w:spacing w:after="0"/>
        <w:rPr>
          <w:rFonts w:cs="Arial"/>
        </w:rPr>
      </w:pPr>
      <w:r w:rsidRPr="00C9343F">
        <w:rPr>
          <w:b/>
          <w:color w:val="0000FF"/>
          <w:sz w:val="24"/>
        </w:rPr>
        <w:br w:type="page"/>
      </w:r>
      <w:r w:rsidRPr="00C9343F">
        <w:rPr>
          <w:b/>
          <w:sz w:val="24"/>
        </w:rPr>
        <w:lastRenderedPageBreak/>
        <w:t>Information about the retention bonus scheme</w:t>
      </w:r>
    </w:p>
    <w:p w14:paraId="0A3FAF33" w14:textId="77777777" w:rsidR="005F44BC" w:rsidRPr="00C9343F" w:rsidRDefault="005F44BC" w:rsidP="00F66D98">
      <w:pPr>
        <w:pStyle w:val="BlockText-Plain"/>
        <w:rPr>
          <w:rFonts w:cs="Arial"/>
        </w:rPr>
      </w:pPr>
      <w:r w:rsidRPr="00C9343F">
        <w:rPr>
          <w:rFonts w:cs="Arial"/>
        </w:rPr>
        <w:t>I understand that my acceptance of this retention bonus is subject to the following terms and conditions.</w:t>
      </w:r>
    </w:p>
    <w:tbl>
      <w:tblPr>
        <w:tblW w:w="0" w:type="auto"/>
        <w:tblInd w:w="108" w:type="dxa"/>
        <w:tblLayout w:type="fixed"/>
        <w:tblLook w:val="0000" w:firstRow="0" w:lastRow="0" w:firstColumn="0" w:lastColumn="0" w:noHBand="0" w:noVBand="0"/>
      </w:tblPr>
      <w:tblGrid>
        <w:gridCol w:w="993"/>
        <w:gridCol w:w="8363"/>
      </w:tblGrid>
      <w:tr w:rsidR="005F44BC" w:rsidRPr="00C9343F" w14:paraId="39A17790" w14:textId="77777777" w:rsidTr="005F44BC">
        <w:tc>
          <w:tcPr>
            <w:tcW w:w="993" w:type="dxa"/>
          </w:tcPr>
          <w:p w14:paraId="4830E6F5" w14:textId="77777777" w:rsidR="005F44BC" w:rsidRPr="00C9343F" w:rsidRDefault="005F44BC" w:rsidP="00F66D98">
            <w:pPr>
              <w:pStyle w:val="BlockText-Plain"/>
              <w:jc w:val="center"/>
            </w:pPr>
            <w:r w:rsidRPr="00C9343F">
              <w:t>1.</w:t>
            </w:r>
          </w:p>
        </w:tc>
        <w:tc>
          <w:tcPr>
            <w:tcW w:w="8363" w:type="dxa"/>
          </w:tcPr>
          <w:p w14:paraId="17191E06" w14:textId="77777777" w:rsidR="005F44BC" w:rsidRPr="00C9343F" w:rsidRDefault="005F44BC" w:rsidP="00F66D98">
            <w:pPr>
              <w:pStyle w:val="BlockText-Plain"/>
            </w:pPr>
            <w:r w:rsidRPr="00C9343F">
              <w:t>I hold a position, employment category or primary qualification for which I have been offered a bonus under this Division.</w:t>
            </w:r>
          </w:p>
        </w:tc>
      </w:tr>
      <w:tr w:rsidR="005F44BC" w:rsidRPr="00C9343F" w14:paraId="555623FC" w14:textId="77777777" w:rsidTr="005F44BC">
        <w:tc>
          <w:tcPr>
            <w:tcW w:w="993" w:type="dxa"/>
          </w:tcPr>
          <w:p w14:paraId="0274AFAD" w14:textId="77777777" w:rsidR="005F44BC" w:rsidRPr="00C9343F" w:rsidRDefault="005F44BC" w:rsidP="00F66D98">
            <w:pPr>
              <w:pStyle w:val="BlockText-Plain"/>
              <w:jc w:val="center"/>
            </w:pPr>
            <w:r w:rsidRPr="00C9343F">
              <w:t>2.</w:t>
            </w:r>
          </w:p>
        </w:tc>
        <w:tc>
          <w:tcPr>
            <w:tcW w:w="8363" w:type="dxa"/>
          </w:tcPr>
          <w:p w14:paraId="51842396" w14:textId="77777777" w:rsidR="005F44BC" w:rsidRPr="00C9343F" w:rsidRDefault="007448DD" w:rsidP="00F66D98">
            <w:pPr>
              <w:pStyle w:val="BlockText-Plain"/>
            </w:pPr>
            <w:r w:rsidRPr="00C9343F">
              <w:t>My service in the Permanent Forces is not expected to end before the last day of agreed period of effective service due to reaching retirement age, the end of the period for which I have been given permission to serve beyond my retirement age, or the completion of a fixed period of service.</w:t>
            </w:r>
          </w:p>
        </w:tc>
      </w:tr>
      <w:tr w:rsidR="005F44BC" w:rsidRPr="00C9343F" w14:paraId="0848EB68" w14:textId="77777777" w:rsidTr="005F44BC">
        <w:tc>
          <w:tcPr>
            <w:tcW w:w="993" w:type="dxa"/>
          </w:tcPr>
          <w:p w14:paraId="64AF5A01" w14:textId="77777777" w:rsidR="005F44BC" w:rsidRPr="00C9343F" w:rsidRDefault="005F44BC" w:rsidP="00F66D98">
            <w:pPr>
              <w:pStyle w:val="BlockText-Plain"/>
              <w:jc w:val="center"/>
            </w:pPr>
            <w:r w:rsidRPr="00C9343F">
              <w:t>3.</w:t>
            </w:r>
          </w:p>
        </w:tc>
        <w:tc>
          <w:tcPr>
            <w:tcW w:w="8363" w:type="dxa"/>
          </w:tcPr>
          <w:p w14:paraId="361CC1F0" w14:textId="77777777" w:rsidR="005F44BC" w:rsidRPr="00C9343F" w:rsidRDefault="005F44BC" w:rsidP="00F66D98">
            <w:pPr>
              <w:pStyle w:val="BlockText-Plain"/>
            </w:pPr>
            <w:r w:rsidRPr="00C9343F">
              <w:t>On joining the scheme, I will be paid the amount of retention bonus that was offered to me.</w:t>
            </w:r>
          </w:p>
        </w:tc>
      </w:tr>
      <w:tr w:rsidR="005F44BC" w:rsidRPr="00C9343F" w14:paraId="09E562CB" w14:textId="77777777" w:rsidTr="005F44BC">
        <w:tc>
          <w:tcPr>
            <w:tcW w:w="993" w:type="dxa"/>
          </w:tcPr>
          <w:p w14:paraId="707BB8BD" w14:textId="77777777" w:rsidR="005F44BC" w:rsidRPr="00C9343F" w:rsidRDefault="005F44BC" w:rsidP="00F66D98">
            <w:pPr>
              <w:pStyle w:val="BlockText-Plain"/>
              <w:jc w:val="center"/>
            </w:pPr>
            <w:r w:rsidRPr="00C9343F">
              <w:t>4.</w:t>
            </w:r>
          </w:p>
        </w:tc>
        <w:tc>
          <w:tcPr>
            <w:tcW w:w="8363" w:type="dxa"/>
          </w:tcPr>
          <w:p w14:paraId="556B2132" w14:textId="77777777" w:rsidR="005F44BC" w:rsidRPr="00C9343F" w:rsidRDefault="005F44BC" w:rsidP="00F66D98">
            <w:pPr>
              <w:pStyle w:val="BlockText-Plain"/>
            </w:pPr>
            <w:r w:rsidRPr="00C9343F">
              <w:t>If I accept the offer of a retention bonus under this Division, I must serve the period specified in the offer. This period is called my 'agreed period of effective service' and I must serve it in the position, employment category or specialisation for which the bonus was offered to me.</w:t>
            </w:r>
          </w:p>
        </w:tc>
      </w:tr>
      <w:tr w:rsidR="005F44BC" w:rsidRPr="00C9343F" w14:paraId="2CBD51EE" w14:textId="77777777" w:rsidTr="005F44BC">
        <w:tc>
          <w:tcPr>
            <w:tcW w:w="993" w:type="dxa"/>
          </w:tcPr>
          <w:p w14:paraId="400BC13D" w14:textId="77777777" w:rsidR="005F44BC" w:rsidRPr="00C9343F" w:rsidRDefault="005F44BC" w:rsidP="00F66D98">
            <w:pPr>
              <w:pStyle w:val="BlockText-Plain"/>
              <w:jc w:val="center"/>
            </w:pPr>
            <w:r w:rsidRPr="00C9343F">
              <w:t>5.</w:t>
            </w:r>
          </w:p>
        </w:tc>
        <w:tc>
          <w:tcPr>
            <w:tcW w:w="8363" w:type="dxa"/>
          </w:tcPr>
          <w:p w14:paraId="1E01238B" w14:textId="77777777" w:rsidR="005F44BC" w:rsidRPr="00C9343F" w:rsidRDefault="005F44BC" w:rsidP="00F66D98">
            <w:pPr>
              <w:pStyle w:val="BlockText-Plain"/>
            </w:pPr>
            <w:r w:rsidRPr="00C9343F">
              <w:t>If I leave the position, employment category or primary qualification for which the bonus was offered to me by my Service for a reason within my control, I will have to repay the full amount of the bonus.</w:t>
            </w:r>
          </w:p>
        </w:tc>
      </w:tr>
      <w:tr w:rsidR="005F44BC" w:rsidRPr="00C9343F" w14:paraId="64B841E9" w14:textId="77777777" w:rsidTr="005F44BC">
        <w:tc>
          <w:tcPr>
            <w:tcW w:w="993" w:type="dxa"/>
          </w:tcPr>
          <w:p w14:paraId="75FCE768" w14:textId="77777777" w:rsidR="005F44BC" w:rsidRPr="00C9343F" w:rsidRDefault="005F44BC" w:rsidP="00F66D98">
            <w:pPr>
              <w:pStyle w:val="BlockText-Plain"/>
              <w:jc w:val="center"/>
            </w:pPr>
            <w:r w:rsidRPr="00C9343F">
              <w:t>6.</w:t>
            </w:r>
          </w:p>
        </w:tc>
        <w:tc>
          <w:tcPr>
            <w:tcW w:w="8363" w:type="dxa"/>
          </w:tcPr>
          <w:p w14:paraId="024679B8" w14:textId="77777777" w:rsidR="005F44BC" w:rsidRPr="00C9343F" w:rsidRDefault="007448DD" w:rsidP="00F66D98">
            <w:pPr>
              <w:pStyle w:val="BlockText-Plain"/>
            </w:pPr>
            <w:r w:rsidRPr="00C9343F">
              <w:t>I may not be asked to repay part of the bonus if I do not complete the agreed period of service for a reason beyond my control. Examples are if I am transferred out of the employment category I am in for Service reasons, my service is terminated because of redundancy or for medical reasons, or I die.</w:t>
            </w:r>
          </w:p>
        </w:tc>
      </w:tr>
      <w:tr w:rsidR="005F44BC" w:rsidRPr="00C9343F" w14:paraId="1E627E58" w14:textId="77777777" w:rsidTr="005F44BC">
        <w:tc>
          <w:tcPr>
            <w:tcW w:w="993" w:type="dxa"/>
          </w:tcPr>
          <w:p w14:paraId="0BC57F16" w14:textId="77777777" w:rsidR="005F44BC" w:rsidRPr="00C9343F" w:rsidRDefault="005F44BC" w:rsidP="00F66D98">
            <w:pPr>
              <w:pStyle w:val="BlockText-Plain"/>
              <w:jc w:val="center"/>
            </w:pPr>
            <w:r w:rsidRPr="00C9343F">
              <w:t>7.</w:t>
            </w:r>
          </w:p>
        </w:tc>
        <w:tc>
          <w:tcPr>
            <w:tcW w:w="8363" w:type="dxa"/>
          </w:tcPr>
          <w:p w14:paraId="32A927A4" w14:textId="77777777" w:rsidR="005F44BC" w:rsidRPr="00C9343F" w:rsidRDefault="005F44BC" w:rsidP="00F66D98">
            <w:pPr>
              <w:pStyle w:val="BlockText-Plain"/>
              <w:rPr>
                <w:i/>
              </w:rPr>
            </w:pPr>
            <w:r w:rsidRPr="00C9343F">
              <w:t xml:space="preserve">If I start to serve an undertaking for further service under Part 8 of the </w:t>
            </w:r>
            <w:r w:rsidRPr="00C9343F">
              <w:rPr>
                <w:i/>
              </w:rPr>
              <w:t>Military Superannuation and Benefits Act 1991</w:t>
            </w:r>
            <w:r w:rsidRPr="00C9343F">
              <w:t xml:space="preserve"> (as preserved by item 4 of Schedule 4 of the </w:t>
            </w:r>
            <w:r w:rsidRPr="00C9343F">
              <w:rPr>
                <w:i/>
              </w:rPr>
              <w:t>Defence Legislation Amendment Act (No. 1) 2005</w:t>
            </w:r>
            <w:r w:rsidRPr="00C9343F">
              <w:t>)</w:t>
            </w:r>
            <w:r w:rsidRPr="00C9343F">
              <w:rPr>
                <w:i/>
              </w:rPr>
              <w:t xml:space="preserve"> </w:t>
            </w:r>
            <w:r w:rsidRPr="00C9343F">
              <w:t>('an MSBS undertaking') before I finish the retention bonus, I may not finish my agreed period of service for the retention bonus until after I have completed the MSBS undertaking.</w:t>
            </w:r>
          </w:p>
        </w:tc>
      </w:tr>
      <w:tr w:rsidR="005F44BC" w:rsidRPr="00C9343F" w14:paraId="1DA1C721" w14:textId="77777777" w:rsidTr="005F44BC">
        <w:tblPrEx>
          <w:tblCellMar>
            <w:left w:w="56" w:type="dxa"/>
            <w:right w:w="56" w:type="dxa"/>
          </w:tblCellMar>
        </w:tblPrEx>
        <w:trPr>
          <w:cantSplit/>
        </w:trPr>
        <w:tc>
          <w:tcPr>
            <w:tcW w:w="993" w:type="dxa"/>
          </w:tcPr>
          <w:p w14:paraId="4395BF8C" w14:textId="77777777" w:rsidR="005F44BC" w:rsidRPr="00C9343F" w:rsidRDefault="005F44BC" w:rsidP="00F66D98">
            <w:pPr>
              <w:jc w:val="center"/>
              <w:rPr>
                <w:rFonts w:cs="Arial"/>
              </w:rPr>
            </w:pPr>
            <w:r w:rsidRPr="00C9343F">
              <w:rPr>
                <w:rFonts w:cs="Arial"/>
              </w:rPr>
              <w:t>8.</w:t>
            </w:r>
          </w:p>
        </w:tc>
        <w:tc>
          <w:tcPr>
            <w:tcW w:w="8363" w:type="dxa"/>
          </w:tcPr>
          <w:p w14:paraId="62E245EF" w14:textId="77777777" w:rsidR="005F44BC" w:rsidRPr="00C9343F" w:rsidRDefault="005F44BC" w:rsidP="00F66D98">
            <w:pPr>
              <w:pStyle w:val="BlockText-Plain"/>
              <w:ind w:left="85"/>
              <w:rPr>
                <w:rFonts w:cs="Arial"/>
              </w:rPr>
            </w:pPr>
            <w:r w:rsidRPr="00C9343F">
              <w:t>If I start to serve a return of service (ROSO) or other undertaking for further service after I have accepted the offer of a retention bonus, I will have to complete my agreed period of service after I finish my ROSO or undertaking for further service.</w:t>
            </w:r>
          </w:p>
        </w:tc>
      </w:tr>
      <w:tr w:rsidR="005F44BC" w:rsidRPr="00C9343F" w14:paraId="1440A1F2" w14:textId="77777777" w:rsidTr="005F44BC">
        <w:tblPrEx>
          <w:tblCellMar>
            <w:left w:w="56" w:type="dxa"/>
            <w:right w:w="56" w:type="dxa"/>
          </w:tblCellMar>
        </w:tblPrEx>
        <w:trPr>
          <w:cantSplit/>
        </w:trPr>
        <w:tc>
          <w:tcPr>
            <w:tcW w:w="993" w:type="dxa"/>
          </w:tcPr>
          <w:p w14:paraId="626106A4" w14:textId="77777777" w:rsidR="005F44BC" w:rsidRPr="00C9343F" w:rsidRDefault="005F44BC" w:rsidP="00F66D98">
            <w:pPr>
              <w:pStyle w:val="BlockText-Plain"/>
              <w:jc w:val="center"/>
              <w:rPr>
                <w:rFonts w:cs="Arial"/>
              </w:rPr>
            </w:pPr>
            <w:r w:rsidRPr="00C9343F">
              <w:rPr>
                <w:rFonts w:cs="Arial"/>
              </w:rPr>
              <w:t>9.</w:t>
            </w:r>
          </w:p>
        </w:tc>
        <w:tc>
          <w:tcPr>
            <w:tcW w:w="8363" w:type="dxa"/>
          </w:tcPr>
          <w:p w14:paraId="3F48B09F" w14:textId="77777777" w:rsidR="005F44BC" w:rsidRPr="00C9343F" w:rsidRDefault="005F44BC" w:rsidP="00F66D98">
            <w:pPr>
              <w:pStyle w:val="BlockText-Plain"/>
              <w:ind w:left="85"/>
              <w:rPr>
                <w:rFonts w:cs="Arial"/>
              </w:rPr>
            </w:pPr>
            <w:r w:rsidRPr="00C9343F">
              <w:rPr>
                <w:rFonts w:cs="Arial"/>
              </w:rPr>
              <w:t>I must also elect how the money is to be paid. It may be paid into my bank or superannuation accounts.</w:t>
            </w:r>
          </w:p>
          <w:p w14:paraId="62ACA4F1" w14:textId="77777777" w:rsidR="005F44BC" w:rsidRPr="00C9343F" w:rsidRDefault="005F44BC" w:rsidP="00F66D98">
            <w:pPr>
              <w:pStyle w:val="BlockText-Plain"/>
              <w:ind w:left="85"/>
              <w:rPr>
                <w:rFonts w:cs="Arial"/>
              </w:rPr>
            </w:pPr>
            <w:r w:rsidRPr="00C9343F">
              <w:rPr>
                <w:rFonts w:cs="Arial"/>
                <w:b/>
              </w:rPr>
              <w:t>See:</w:t>
            </w:r>
            <w:r w:rsidRPr="00C9343F">
              <w:rPr>
                <w:rFonts w:cs="Arial"/>
              </w:rPr>
              <w:t xml:space="preserve"> Annex 3.5.J, Bonus payment election</w:t>
            </w:r>
          </w:p>
        </w:tc>
      </w:tr>
      <w:tr w:rsidR="005F44BC" w:rsidRPr="00C9343F" w14:paraId="1C7C6197" w14:textId="77777777" w:rsidTr="005F44BC">
        <w:tc>
          <w:tcPr>
            <w:tcW w:w="993" w:type="dxa"/>
          </w:tcPr>
          <w:p w14:paraId="0E918614" w14:textId="77777777" w:rsidR="005F44BC" w:rsidRPr="00C9343F" w:rsidRDefault="005F44BC" w:rsidP="00F66D98">
            <w:pPr>
              <w:jc w:val="center"/>
              <w:rPr>
                <w:rFonts w:cs="Arial"/>
                <w:sz w:val="20"/>
              </w:rPr>
            </w:pPr>
            <w:r w:rsidRPr="00C9343F">
              <w:rPr>
                <w:rFonts w:cs="Arial"/>
                <w:sz w:val="20"/>
              </w:rPr>
              <w:t>10.</w:t>
            </w:r>
          </w:p>
        </w:tc>
        <w:tc>
          <w:tcPr>
            <w:tcW w:w="8363" w:type="dxa"/>
          </w:tcPr>
          <w:p w14:paraId="7FD1537A" w14:textId="77777777" w:rsidR="005F44BC" w:rsidRPr="00C9343F" w:rsidRDefault="005F44BC" w:rsidP="00F66D98">
            <w:pPr>
              <w:pStyle w:val="BlockText-Plain"/>
              <w:rPr>
                <w:rFonts w:cs="Arial"/>
              </w:rPr>
            </w:pPr>
            <w:r w:rsidRPr="00C9343F">
              <w:rPr>
                <w:rFonts w:cs="Arial"/>
              </w:rPr>
              <w:t>Effective service for the retention bonus is continuous full-time service for which salary is paid. Leave or other events may not be effective service and may reduce my amount of retention bonus. The table in subsection 3.5.10.3 of the Determination shows what counts as effective service.</w:t>
            </w:r>
          </w:p>
        </w:tc>
      </w:tr>
      <w:tr w:rsidR="005F44BC" w:rsidRPr="00C9343F" w14:paraId="58023D64" w14:textId="77777777" w:rsidTr="005F44BC">
        <w:tc>
          <w:tcPr>
            <w:tcW w:w="993" w:type="dxa"/>
          </w:tcPr>
          <w:p w14:paraId="6AB8917B" w14:textId="77777777" w:rsidR="005F44BC" w:rsidRPr="00C9343F" w:rsidRDefault="005F44BC" w:rsidP="00F66D98">
            <w:pPr>
              <w:jc w:val="center"/>
              <w:rPr>
                <w:rFonts w:cs="Arial"/>
                <w:sz w:val="20"/>
              </w:rPr>
            </w:pPr>
            <w:r w:rsidRPr="00C9343F">
              <w:rPr>
                <w:rFonts w:cs="Arial"/>
                <w:sz w:val="20"/>
              </w:rPr>
              <w:t>11.</w:t>
            </w:r>
          </w:p>
        </w:tc>
        <w:tc>
          <w:tcPr>
            <w:tcW w:w="8363" w:type="dxa"/>
          </w:tcPr>
          <w:p w14:paraId="45B1FB4B" w14:textId="77777777" w:rsidR="005F44BC" w:rsidRPr="00C9343F" w:rsidRDefault="005F44BC" w:rsidP="00F66D98">
            <w:pPr>
              <w:pStyle w:val="BlockText-Plain"/>
              <w:rPr>
                <w:rFonts w:cs="Arial"/>
              </w:rPr>
            </w:pPr>
            <w:r w:rsidRPr="00C9343F">
              <w:rPr>
                <w:rFonts w:cs="Arial"/>
              </w:rPr>
              <w:t>If I am already in another bonus scheme under the Determination, I may be paid out of that scheme on a pro rata basis or serve my agreed period of service under this bonus after I complete my service undertaking for the earlier bonus.</w:t>
            </w:r>
          </w:p>
        </w:tc>
      </w:tr>
    </w:tbl>
    <w:p w14:paraId="68FA1AAA" w14:textId="77777777" w:rsidR="005F44BC" w:rsidRPr="00C9343F" w:rsidRDefault="005F44BC" w:rsidP="00F66D98">
      <w:pPr>
        <w:rPr>
          <w:rFonts w:cs="Arial"/>
          <w:sz w:val="20"/>
        </w:rPr>
      </w:pPr>
      <w:r w:rsidRPr="00C9343F">
        <w:rPr>
          <w:rFonts w:cs="Arial"/>
          <w:sz w:val="20"/>
        </w:rPr>
        <w:t xml:space="preserve">Full details of the completion bonus scheme are contained in Chapter 3 Part 5 Division 2 of </w:t>
      </w:r>
      <w:r w:rsidRPr="00C9343F">
        <w:rPr>
          <w:rFonts w:cs="Arial"/>
          <w:i/>
          <w:sz w:val="20"/>
        </w:rPr>
        <w:t>Defence Determination 2016/</w:t>
      </w:r>
      <w:r w:rsidRPr="00C9343F">
        <w:rPr>
          <w:rFonts w:cs="Arial"/>
          <w:i/>
          <w:color w:val="000000"/>
          <w:sz w:val="20"/>
        </w:rPr>
        <w:t>19</w:t>
      </w:r>
      <w:r w:rsidRPr="00C9343F">
        <w:rPr>
          <w:rFonts w:cs="Arial"/>
          <w:i/>
          <w:sz w:val="20"/>
        </w:rPr>
        <w:t>, Conditions of service</w:t>
      </w:r>
      <w:r w:rsidRPr="00C9343F">
        <w:rPr>
          <w:rFonts w:cs="Arial"/>
          <w:sz w:val="20"/>
        </w:rPr>
        <w:t>.</w:t>
      </w:r>
    </w:p>
    <w:p w14:paraId="5DDDD6D4" w14:textId="77777777" w:rsidR="005F44BC" w:rsidRPr="00C9343F" w:rsidRDefault="005F44BC" w:rsidP="00F66D98">
      <w:pPr>
        <w:rPr>
          <w:rFonts w:cs="Arial"/>
        </w:rPr>
      </w:pPr>
    </w:p>
    <w:p w14:paraId="22877283" w14:textId="77777777" w:rsidR="005F44BC" w:rsidRPr="00C9343F" w:rsidRDefault="005F44BC" w:rsidP="00F66D98">
      <w:pPr>
        <w:pStyle w:val="BlockText-Plain"/>
        <w:rPr>
          <w:rFonts w:cs="Arial"/>
        </w:rPr>
      </w:pPr>
      <w:r w:rsidRPr="00C9343F">
        <w:rPr>
          <w:rFonts w:cs="Arial"/>
        </w:rPr>
        <w:t>This acceptance form, and the related parts of Defence Determination 2016/</w:t>
      </w:r>
      <w:r w:rsidRPr="00C9343F">
        <w:rPr>
          <w:rFonts w:cs="Arial"/>
          <w:color w:val="000000"/>
        </w:rPr>
        <w:t>19</w:t>
      </w:r>
      <w:r w:rsidRPr="00C9343F">
        <w:rPr>
          <w:rFonts w:cs="Arial"/>
        </w:rPr>
        <w:t>, is the whole agreement between the Commonwealth and me about the nature of this scheme. It overrides any other prior understanding or agreement about the scheme. This would include, for instance, things I may have been told about the scheme or things I may have read elsewhere.</w:t>
      </w:r>
    </w:p>
    <w:p w14:paraId="4140C9DB" w14:textId="77777777" w:rsidR="005F44BC" w:rsidRPr="00C9343F" w:rsidRDefault="005F44BC" w:rsidP="00F66D98">
      <w:pPr>
        <w:pStyle w:val="BlockText-Plain"/>
        <w:spacing w:after="0"/>
        <w:rPr>
          <w:rFonts w:cs="Arial"/>
          <w:b/>
          <w:sz w:val="24"/>
          <w:szCs w:val="24"/>
        </w:rPr>
      </w:pPr>
      <w:r w:rsidRPr="00C9343F">
        <w:rPr>
          <w:rFonts w:cs="Arial"/>
          <w:b/>
          <w:color w:val="0000FF"/>
          <w:sz w:val="24"/>
          <w:szCs w:val="24"/>
        </w:rPr>
        <w:br w:type="page"/>
      </w:r>
      <w:r w:rsidRPr="00C9343F">
        <w:rPr>
          <w:rFonts w:cs="Arial"/>
          <w:b/>
          <w:sz w:val="24"/>
          <w:szCs w:val="24"/>
        </w:rPr>
        <w:lastRenderedPageBreak/>
        <w:t xml:space="preserve">Privacy notice   </w:t>
      </w:r>
    </w:p>
    <w:p w14:paraId="6D8CAE39" w14:textId="77777777" w:rsidR="005F44BC" w:rsidRPr="00C9343F" w:rsidRDefault="005F44BC" w:rsidP="00F66D98">
      <w:pPr>
        <w:pStyle w:val="BlockText-Plain"/>
        <w:rPr>
          <w:rFonts w:cs="Arial"/>
        </w:rPr>
      </w:pPr>
      <w:r w:rsidRPr="00C9343F">
        <w:rPr>
          <w:rFonts w:cs="Arial"/>
        </w:rPr>
        <w:t>This information is being collected by</w:t>
      </w:r>
      <w:r w:rsidRPr="00C9343F">
        <w:rPr>
          <w:rFonts w:cs="Arial"/>
          <w:color w:val="0000FF"/>
        </w:rPr>
        <w:t xml:space="preserve"> </w:t>
      </w:r>
      <w:r w:rsidRPr="00C9343F">
        <w:rPr>
          <w:rFonts w:cs="Arial"/>
        </w:rPr>
        <w:t xml:space="preserve">the Department of Defence. </w:t>
      </w:r>
    </w:p>
    <w:p w14:paraId="4904AE7A" w14:textId="77777777" w:rsidR="005F44BC" w:rsidRPr="00C9343F" w:rsidRDefault="005F44BC" w:rsidP="00F66D98">
      <w:pPr>
        <w:pStyle w:val="BlockText-Plain"/>
        <w:rPr>
          <w:rFonts w:cs="Arial"/>
        </w:rPr>
      </w:pPr>
      <w:r w:rsidRPr="00C9343F">
        <w:rPr>
          <w:rFonts w:cs="Arial"/>
        </w:rPr>
        <w:t xml:space="preserve">You may request access to or correction of personal information held about you in relation to this scheme by contacting the Defence Service Centre on 1800 333 362 or emailing dsc@defence.gov.au </w:t>
      </w:r>
    </w:p>
    <w:p w14:paraId="53A65C34" w14:textId="77777777" w:rsidR="005F44BC" w:rsidRPr="00C9343F" w:rsidRDefault="005F44BC" w:rsidP="00F66D98">
      <w:pPr>
        <w:pStyle w:val="BlockText-Plain"/>
        <w:rPr>
          <w:strike/>
        </w:rPr>
      </w:pPr>
      <w:r w:rsidRPr="00C9343F">
        <w:rPr>
          <w:rFonts w:cs="Arial"/>
        </w:rPr>
        <w:t>If you have concerns about the handling of your personal information, you should raise your concerns with the Defence Service Centre in the first instance, or contact the Defence Privacy Officer at defence.privacy@defence.gov.au.</w:t>
      </w:r>
    </w:p>
    <w:p w14:paraId="302C2796" w14:textId="77777777" w:rsidR="005F44BC" w:rsidRPr="00C9343F" w:rsidRDefault="005F44BC" w:rsidP="00F66D98">
      <w:pPr>
        <w:pStyle w:val="BlockText-Plain"/>
        <w:rPr>
          <w:rFonts w:cs="Arial"/>
        </w:rPr>
      </w:pPr>
      <w:r w:rsidRPr="00C9343F">
        <w:rPr>
          <w:rFonts w:cs="Arial"/>
        </w:rPr>
        <w:t>Defence collects your personal information provided under this form for the primary purpose of assessing eligibility for a retention and completion benefit, and administering it. The Department of Defence may also use your personal information to conduct investigations or inquiries and to take administrative or disciplinary action relating to the making of false claims for the benefit.</w:t>
      </w:r>
    </w:p>
    <w:p w14:paraId="28F7602A" w14:textId="77777777" w:rsidR="005F44BC" w:rsidRPr="00C9343F" w:rsidRDefault="005F44BC" w:rsidP="00F66D98">
      <w:pPr>
        <w:pStyle w:val="BlockText-Plain"/>
        <w:rPr>
          <w:rFonts w:cs="Arial"/>
        </w:rPr>
      </w:pPr>
      <w:r w:rsidRPr="00C9343F">
        <w:rPr>
          <w:rFonts w:cs="Arial"/>
        </w:rPr>
        <w:t xml:space="preserve">Defence may disclose personal information about you relating to this scheme to ComSuper, the Commonwealth Superannuation Corporation, the Australian Taxation Office and Smartsalary. </w:t>
      </w:r>
    </w:p>
    <w:p w14:paraId="3530E75A" w14:textId="77777777" w:rsidR="005F44BC" w:rsidRPr="00C9343F" w:rsidRDefault="005F44BC" w:rsidP="00F66D98">
      <w:pPr>
        <w:pStyle w:val="BlockText-Plain"/>
        <w:rPr>
          <w:rFonts w:cs="Arial"/>
        </w:rPr>
      </w:pPr>
      <w:r w:rsidRPr="00C9343F">
        <w:rPr>
          <w:rFonts w:cs="Arial"/>
        </w:rPr>
        <w:t xml:space="preserve">Your information is collected under Chapter 3 Part 5 Division 2 of </w:t>
      </w:r>
      <w:r w:rsidRPr="00C9343F">
        <w:rPr>
          <w:rFonts w:cs="Arial"/>
          <w:i/>
        </w:rPr>
        <w:t>Defence Determination 2016/</w:t>
      </w:r>
      <w:r w:rsidRPr="00C9343F">
        <w:rPr>
          <w:rFonts w:cs="Arial"/>
          <w:i/>
          <w:color w:val="000000"/>
        </w:rPr>
        <w:t>19</w:t>
      </w:r>
      <w:r w:rsidRPr="00C9343F">
        <w:rPr>
          <w:rFonts w:cs="Arial"/>
          <w:i/>
        </w:rPr>
        <w:t>, Conditions of service.</w:t>
      </w:r>
      <w:r w:rsidRPr="00C9343F">
        <w:rPr>
          <w:rFonts w:cs="Arial"/>
        </w:rPr>
        <w:t xml:space="preserve"> You do not have to provide the information. However, if you do not provide the information, Defence will not be able to see if you are eligible for the benefit, or administer it.</w:t>
      </w:r>
    </w:p>
    <w:p w14:paraId="30283519" w14:textId="77777777" w:rsidR="005F44BC" w:rsidRPr="00C9343F" w:rsidRDefault="005F44BC" w:rsidP="00F66D98">
      <w:pPr>
        <w:pStyle w:val="BlockText-Plain"/>
        <w:rPr>
          <w:rFonts w:cs="Arial"/>
        </w:rPr>
      </w:pPr>
      <w:r w:rsidRPr="00C9343F">
        <w:rPr>
          <w:rFonts w:cs="Arial"/>
        </w:rPr>
        <w:t xml:space="preserve">Information disclosed to Smartsalary may be held on Smartsalary servers located in Japan and the United States of America.   </w:t>
      </w:r>
    </w:p>
    <w:p w14:paraId="1189CBEA" w14:textId="77777777" w:rsidR="005F44BC" w:rsidRPr="00C9343F" w:rsidRDefault="005F44BC" w:rsidP="00F66D98">
      <w:pPr>
        <w:pStyle w:val="BlockText-Plain"/>
        <w:rPr>
          <w:rFonts w:cs="Arial"/>
        </w:rPr>
      </w:pPr>
      <w:r w:rsidRPr="00C9343F">
        <w:rPr>
          <w:rFonts w:cs="Arial"/>
        </w:rPr>
        <w:t>Further information is provided in the Defence Privacy Policy, which is available on the internet at www.defence.gov.au/ComplaintResolution/privacy.asp.</w:t>
      </w:r>
      <w:r w:rsidRPr="00C9343F">
        <w:t xml:space="preserve"> </w:t>
      </w:r>
      <w:r w:rsidRPr="00C9343F">
        <w:rPr>
          <w:rFonts w:cs="Arial"/>
        </w:rPr>
        <w:t>This contains information on how an individual may apply for access to their personal information and how an individual may apply to have their personal information amended. It also contains information for individuals on how to make a privacy complaint to Defence if they consider Defence may have breached the APPs.</w:t>
      </w:r>
    </w:p>
    <w:p w14:paraId="6E607C96" w14:textId="72B967E3" w:rsidR="005F44BC" w:rsidRPr="00C9343F" w:rsidRDefault="005F44BC" w:rsidP="00036C2A">
      <w:pPr>
        <w:pStyle w:val="BlockText-Plain"/>
        <w:pageBreakBefore/>
        <w:rPr>
          <w:b/>
          <w:bCs/>
          <w:sz w:val="24"/>
        </w:rPr>
      </w:pPr>
      <w:r w:rsidRPr="00C9343F">
        <w:rPr>
          <w:b/>
          <w:bCs/>
          <w:sz w:val="24"/>
        </w:rPr>
        <w:lastRenderedPageBreak/>
        <w:t>Part B: Acceptance of offer and undertaking to serve an agreed period for a retention bonus</w:t>
      </w:r>
    </w:p>
    <w:tbl>
      <w:tblPr>
        <w:tblW w:w="0" w:type="auto"/>
        <w:tblInd w:w="56" w:type="dxa"/>
        <w:tblLayout w:type="fixed"/>
        <w:tblCellMar>
          <w:left w:w="56" w:type="dxa"/>
          <w:right w:w="56" w:type="dxa"/>
        </w:tblCellMar>
        <w:tblLook w:val="0000" w:firstRow="0" w:lastRow="0" w:firstColumn="0" w:lastColumn="0" w:noHBand="0" w:noVBand="0"/>
      </w:tblPr>
      <w:tblGrid>
        <w:gridCol w:w="3496"/>
        <w:gridCol w:w="2930"/>
        <w:gridCol w:w="2930"/>
      </w:tblGrid>
      <w:tr w:rsidR="005F44BC" w:rsidRPr="00C9343F" w14:paraId="5A45F8C4" w14:textId="77777777" w:rsidTr="005F44BC">
        <w:trPr>
          <w:cantSplit/>
        </w:trPr>
        <w:tc>
          <w:tcPr>
            <w:tcW w:w="3496" w:type="dxa"/>
          </w:tcPr>
          <w:p w14:paraId="0698899F" w14:textId="77777777" w:rsidR="005F44BC" w:rsidRPr="00C9343F" w:rsidRDefault="005F44BC" w:rsidP="00F66D98">
            <w:pPr>
              <w:spacing w:before="120"/>
              <w:rPr>
                <w:rFonts w:cs="Arial"/>
              </w:rPr>
            </w:pPr>
            <w:r w:rsidRPr="00C9343F">
              <w:rPr>
                <w:rFonts w:cs="Arial"/>
              </w:rPr>
              <w:t>I,</w:t>
            </w:r>
          </w:p>
        </w:tc>
        <w:tc>
          <w:tcPr>
            <w:tcW w:w="2930" w:type="dxa"/>
          </w:tcPr>
          <w:p w14:paraId="24E44772" w14:textId="77777777" w:rsidR="005F44BC" w:rsidRPr="00C9343F" w:rsidRDefault="005F44BC" w:rsidP="00F66D98">
            <w:pPr>
              <w:pStyle w:val="TableHeaderArial"/>
              <w:jc w:val="left"/>
              <w:rPr>
                <w:b w:val="0"/>
              </w:rPr>
            </w:pPr>
            <w:r w:rsidRPr="00C9343F">
              <w:rPr>
                <w:b w:val="0"/>
              </w:rPr>
              <w:t>……………………………………</w:t>
            </w:r>
          </w:p>
        </w:tc>
        <w:tc>
          <w:tcPr>
            <w:tcW w:w="2930" w:type="dxa"/>
          </w:tcPr>
          <w:p w14:paraId="64959A1B" w14:textId="77777777" w:rsidR="005F44BC" w:rsidRPr="00C9343F" w:rsidRDefault="005F44BC" w:rsidP="00F66D98">
            <w:pPr>
              <w:pStyle w:val="TableHeaderArial"/>
              <w:jc w:val="left"/>
              <w:rPr>
                <w:b w:val="0"/>
              </w:rPr>
            </w:pPr>
            <w:r w:rsidRPr="00C9343F">
              <w:rPr>
                <w:b w:val="0"/>
              </w:rPr>
              <w:t>……………………………………</w:t>
            </w:r>
          </w:p>
        </w:tc>
      </w:tr>
      <w:tr w:rsidR="005F44BC" w:rsidRPr="00C9343F" w14:paraId="36910051" w14:textId="77777777" w:rsidTr="005F44BC">
        <w:trPr>
          <w:cantSplit/>
        </w:trPr>
        <w:tc>
          <w:tcPr>
            <w:tcW w:w="3496" w:type="dxa"/>
          </w:tcPr>
          <w:p w14:paraId="496553D0" w14:textId="77777777" w:rsidR="005F44BC" w:rsidRPr="00C9343F" w:rsidRDefault="005F44BC" w:rsidP="00F66D98">
            <w:pPr>
              <w:pStyle w:val="TableTextArial-left"/>
              <w:jc w:val="center"/>
            </w:pPr>
            <w:r w:rsidRPr="00C9343F">
              <w:t>(Rank)</w:t>
            </w:r>
          </w:p>
        </w:tc>
        <w:tc>
          <w:tcPr>
            <w:tcW w:w="2930" w:type="dxa"/>
          </w:tcPr>
          <w:p w14:paraId="4F4D3FE2" w14:textId="77777777" w:rsidR="005F44BC" w:rsidRPr="00C9343F" w:rsidRDefault="005F44BC" w:rsidP="00F66D98">
            <w:pPr>
              <w:pStyle w:val="TableTextArial-left"/>
              <w:jc w:val="center"/>
            </w:pPr>
            <w:r w:rsidRPr="00C9343F">
              <w:t>(Last name)</w:t>
            </w:r>
          </w:p>
        </w:tc>
        <w:tc>
          <w:tcPr>
            <w:tcW w:w="2930" w:type="dxa"/>
          </w:tcPr>
          <w:p w14:paraId="61989B77" w14:textId="77777777" w:rsidR="005F44BC" w:rsidRPr="00C9343F" w:rsidRDefault="005F44BC" w:rsidP="00F66D98">
            <w:pPr>
              <w:pStyle w:val="TableTextArial-left"/>
              <w:jc w:val="center"/>
            </w:pPr>
            <w:r w:rsidRPr="00C9343F">
              <w:t>(Given name)</w:t>
            </w:r>
          </w:p>
        </w:tc>
      </w:tr>
      <w:tr w:rsidR="005F44BC" w:rsidRPr="00C9343F" w14:paraId="45091655" w14:textId="77777777" w:rsidTr="005F44BC">
        <w:trPr>
          <w:cantSplit/>
        </w:trPr>
        <w:tc>
          <w:tcPr>
            <w:tcW w:w="3496" w:type="dxa"/>
          </w:tcPr>
          <w:p w14:paraId="73C60654" w14:textId="04CBAF0B" w:rsidR="005F44BC" w:rsidRPr="00C9343F" w:rsidRDefault="005F44BC" w:rsidP="00F66D98">
            <w:pPr>
              <w:pStyle w:val="TableTextArial-left"/>
              <w:spacing w:before="400"/>
            </w:pPr>
            <w:r w:rsidRPr="00C9343F">
              <w:t>……………………………………</w:t>
            </w:r>
            <w:r w:rsidR="00D94006" w:rsidRPr="00C9343F">
              <w:t>             </w:t>
            </w:r>
            <w:r w:rsidRPr="00C9343F">
              <w:t>.</w:t>
            </w:r>
          </w:p>
        </w:tc>
        <w:tc>
          <w:tcPr>
            <w:tcW w:w="2930" w:type="dxa"/>
          </w:tcPr>
          <w:p w14:paraId="0EEDBBBB" w14:textId="77777777" w:rsidR="005F44BC" w:rsidRPr="00C9343F" w:rsidRDefault="005F44BC" w:rsidP="00F66D98">
            <w:pPr>
              <w:pStyle w:val="TableTextArial-left"/>
              <w:spacing w:before="400"/>
            </w:pPr>
            <w:r w:rsidRPr="00C9343F">
              <w:t>……………………………………</w:t>
            </w:r>
          </w:p>
        </w:tc>
        <w:tc>
          <w:tcPr>
            <w:tcW w:w="2930" w:type="dxa"/>
          </w:tcPr>
          <w:p w14:paraId="5147A81C" w14:textId="77777777" w:rsidR="005F44BC" w:rsidRPr="00C9343F" w:rsidRDefault="005F44BC" w:rsidP="00F66D98">
            <w:pPr>
              <w:pStyle w:val="TableTextArial-left"/>
              <w:spacing w:before="400"/>
            </w:pPr>
            <w:r w:rsidRPr="00C9343F">
              <w:t xml:space="preserve">, </w:t>
            </w:r>
          </w:p>
        </w:tc>
      </w:tr>
      <w:tr w:rsidR="005F44BC" w:rsidRPr="00C9343F" w14:paraId="3B24EE96" w14:textId="77777777" w:rsidTr="005F44BC">
        <w:trPr>
          <w:cantSplit/>
          <w:trHeight w:val="360"/>
        </w:trPr>
        <w:tc>
          <w:tcPr>
            <w:tcW w:w="3496" w:type="dxa"/>
          </w:tcPr>
          <w:p w14:paraId="08AAA4C2" w14:textId="77777777" w:rsidR="005F44BC" w:rsidRPr="00C9343F" w:rsidRDefault="005F44BC" w:rsidP="00F66D98">
            <w:pPr>
              <w:pStyle w:val="TableTextArial-left"/>
              <w:spacing w:before="0" w:after="0"/>
              <w:jc w:val="center"/>
            </w:pPr>
            <w:r w:rsidRPr="00C9343F">
              <w:t>(Service number)</w:t>
            </w:r>
          </w:p>
        </w:tc>
        <w:tc>
          <w:tcPr>
            <w:tcW w:w="2930" w:type="dxa"/>
          </w:tcPr>
          <w:p w14:paraId="157F4CD8" w14:textId="77777777" w:rsidR="005F44BC" w:rsidRPr="00C9343F" w:rsidRDefault="005F44BC" w:rsidP="00F66D98">
            <w:pPr>
              <w:pStyle w:val="TableTextArial-left"/>
              <w:spacing w:before="0" w:after="0"/>
              <w:jc w:val="center"/>
            </w:pPr>
            <w:r w:rsidRPr="00C9343F">
              <w:t>(Employee ID)</w:t>
            </w:r>
          </w:p>
        </w:tc>
        <w:tc>
          <w:tcPr>
            <w:tcW w:w="2930" w:type="dxa"/>
          </w:tcPr>
          <w:p w14:paraId="4FB3ADF2" w14:textId="77777777" w:rsidR="005F44BC" w:rsidRPr="00C9343F" w:rsidRDefault="005F44BC" w:rsidP="00F66D98">
            <w:pPr>
              <w:pStyle w:val="TableTextArial-left"/>
              <w:spacing w:before="0" w:after="0"/>
            </w:pPr>
          </w:p>
        </w:tc>
      </w:tr>
    </w:tbl>
    <w:p w14:paraId="12E1C9E2" w14:textId="77777777" w:rsidR="005F44BC" w:rsidRPr="00C9343F" w:rsidRDefault="005F44BC" w:rsidP="00F66D98">
      <w:pPr>
        <w:spacing w:before="120"/>
        <w:rPr>
          <w:rFonts w:cs="Arial"/>
        </w:rPr>
      </w:pPr>
    </w:p>
    <w:p w14:paraId="7B0AB153" w14:textId="77777777" w:rsidR="005F44BC" w:rsidRPr="00C9343F" w:rsidRDefault="005F44BC" w:rsidP="00F66D98">
      <w:pPr>
        <w:spacing w:before="120"/>
        <w:rPr>
          <w:sz w:val="20"/>
        </w:rPr>
      </w:pPr>
      <w:r w:rsidRPr="00C9343F">
        <w:rPr>
          <w:rFonts w:cs="Arial"/>
          <w:sz w:val="20"/>
        </w:rPr>
        <w:t>accept the offer to join the retention bonus scheme</w:t>
      </w:r>
      <w:r w:rsidRPr="00C9343F">
        <w:rPr>
          <w:sz w:val="20"/>
        </w:rPr>
        <w:t>.</w:t>
      </w:r>
      <w:r w:rsidR="00476141" w:rsidRPr="00C9343F">
        <w:rPr>
          <w:sz w:val="20"/>
        </w:rPr>
        <w:t xml:space="preserve"> </w:t>
      </w:r>
    </w:p>
    <w:p w14:paraId="6441AF44" w14:textId="77777777" w:rsidR="005F44BC" w:rsidRPr="00C9343F" w:rsidRDefault="005F44BC" w:rsidP="00F66D98">
      <w:pPr>
        <w:spacing w:before="120"/>
        <w:rPr>
          <w:color w:val="0000FF"/>
          <w:sz w:val="20"/>
        </w:rPr>
      </w:pPr>
    </w:p>
    <w:p w14:paraId="46EDB61E" w14:textId="2F7845C2" w:rsidR="005F44BC" w:rsidRPr="00C9343F" w:rsidRDefault="005F44BC" w:rsidP="00F66D98">
      <w:pPr>
        <w:spacing w:before="120"/>
        <w:rPr>
          <w:rFonts w:cs="Arial"/>
          <w:sz w:val="20"/>
        </w:rPr>
      </w:pPr>
      <w:r w:rsidRPr="00C9343F">
        <w:rPr>
          <w:sz w:val="20"/>
        </w:rPr>
        <w:t>The amount of the bonus offered to me is $</w:t>
      </w:r>
      <w:r w:rsidR="00D94006" w:rsidRPr="00C9343F">
        <w:rPr>
          <w:sz w:val="20"/>
        </w:rPr>
        <w:t>                                                                                                                                </w:t>
      </w:r>
    </w:p>
    <w:p w14:paraId="287084C0" w14:textId="77777777" w:rsidR="005F44BC" w:rsidRPr="00C9343F" w:rsidRDefault="005F44BC" w:rsidP="00F66D98">
      <w:pPr>
        <w:spacing w:before="120"/>
        <w:rPr>
          <w:rFonts w:cs="Arial"/>
          <w:sz w:val="20"/>
        </w:rPr>
      </w:pPr>
      <w:r w:rsidRPr="00C9343F">
        <w:rPr>
          <w:rFonts w:cs="Arial"/>
          <w:sz w:val="20"/>
        </w:rPr>
        <w:t>I agree to serve in the Permanent Forces/perform continuous full-time service as a member of the Reserves for:</w:t>
      </w:r>
    </w:p>
    <w:p w14:paraId="7FA18A25" w14:textId="1D5C8FE4" w:rsidR="005F44BC" w:rsidRPr="00C9343F" w:rsidRDefault="00D94006" w:rsidP="00F66D98">
      <w:pPr>
        <w:spacing w:before="120"/>
        <w:rPr>
          <w:rFonts w:cs="Arial"/>
          <w:sz w:val="20"/>
        </w:rPr>
      </w:pPr>
      <w:r w:rsidRPr="00C9343F">
        <w:rPr>
          <w:rFonts w:cs="Arial"/>
          <w:sz w:val="20"/>
        </w:rPr>
        <w:t>                                           </w:t>
      </w:r>
      <w:r w:rsidR="005F44BC" w:rsidRPr="00C9343F">
        <w:rPr>
          <w:rFonts w:cs="Arial"/>
          <w:sz w:val="20"/>
        </w:rPr>
        <w:t>. of effective service (</w:t>
      </w:r>
      <w:r w:rsidR="005F44BC" w:rsidRPr="00C9343F">
        <w:rPr>
          <w:rFonts w:cs="Arial"/>
          <w:i/>
          <w:sz w:val="20"/>
        </w:rPr>
        <w:t>time period of between one and three years)</w:t>
      </w:r>
    </w:p>
    <w:p w14:paraId="733DA9D2" w14:textId="77777777" w:rsidR="005F44BC" w:rsidRPr="00C9343F" w:rsidRDefault="005F44BC" w:rsidP="00F66D98">
      <w:pPr>
        <w:spacing w:before="120"/>
        <w:rPr>
          <w:rFonts w:cs="Arial"/>
          <w:sz w:val="20"/>
        </w:rPr>
      </w:pPr>
      <w:r w:rsidRPr="00C9343F">
        <w:rPr>
          <w:rFonts w:cs="Arial"/>
          <w:sz w:val="20"/>
        </w:rPr>
        <w:t>in the following position/employment category/specialisation (</w:t>
      </w:r>
      <w:r w:rsidRPr="00C9343F">
        <w:rPr>
          <w:rFonts w:cs="Arial"/>
          <w:i/>
          <w:sz w:val="20"/>
        </w:rPr>
        <w:t>delete the descriptors that do not apply</w:t>
      </w:r>
      <w:r w:rsidRPr="00C9343F">
        <w:rPr>
          <w:rFonts w:cs="Arial"/>
          <w:sz w:val="20"/>
        </w:rPr>
        <w:t>):</w:t>
      </w:r>
    </w:p>
    <w:p w14:paraId="1FA8CB36" w14:textId="77777777" w:rsidR="005F44BC" w:rsidRPr="00C9343F" w:rsidRDefault="005F44BC" w:rsidP="00F66D98">
      <w:pPr>
        <w:spacing w:before="120"/>
        <w:rPr>
          <w:rFonts w:cs="Arial"/>
          <w:sz w:val="20"/>
        </w:rPr>
      </w:pPr>
    </w:p>
    <w:p w14:paraId="29889C14" w14:textId="1ECE8DDD" w:rsidR="005F44BC" w:rsidRPr="00C9343F" w:rsidRDefault="00D94006" w:rsidP="00F66D98">
      <w:pPr>
        <w:spacing w:before="120"/>
        <w:rPr>
          <w:rFonts w:cs="Arial"/>
          <w:sz w:val="20"/>
        </w:rPr>
      </w:pPr>
      <w:r w:rsidRPr="00C9343F">
        <w:rPr>
          <w:rFonts w:cs="Arial"/>
          <w:sz w:val="20"/>
        </w:rPr>
        <w:t>                                                                                                                                                                                                                                  </w:t>
      </w:r>
      <w:r w:rsidR="005F44BC" w:rsidRPr="00C9343F">
        <w:rPr>
          <w:rFonts w:cs="Arial"/>
          <w:sz w:val="20"/>
        </w:rPr>
        <w:t>..</w:t>
      </w:r>
    </w:p>
    <w:p w14:paraId="78D86D59" w14:textId="77777777" w:rsidR="005F44BC" w:rsidRPr="00C9343F" w:rsidRDefault="005F44BC" w:rsidP="00F66D98">
      <w:pPr>
        <w:rPr>
          <w:rFonts w:cs="Arial"/>
          <w:sz w:val="20"/>
        </w:rPr>
      </w:pPr>
    </w:p>
    <w:p w14:paraId="21E7F77B" w14:textId="77777777" w:rsidR="005F44BC" w:rsidRPr="00C9343F" w:rsidRDefault="005F44BC" w:rsidP="00F66D98">
      <w:pPr>
        <w:spacing w:after="120"/>
        <w:rPr>
          <w:rFonts w:cs="Arial"/>
          <w:sz w:val="20"/>
        </w:rPr>
      </w:pPr>
      <w:r w:rsidRPr="00C9343F">
        <w:rPr>
          <w:rFonts w:cs="Arial"/>
          <w:sz w:val="20"/>
        </w:rPr>
        <w:t xml:space="preserve">I acknowledge that the provisions of Chapter 3 Part 5 Division 2 of </w:t>
      </w:r>
      <w:r w:rsidRPr="00C9343F">
        <w:rPr>
          <w:rFonts w:cs="Arial"/>
          <w:i/>
          <w:sz w:val="20"/>
        </w:rPr>
        <w:t>Defence Determination 2016/</w:t>
      </w:r>
      <w:r w:rsidRPr="00C9343F">
        <w:rPr>
          <w:rFonts w:cs="Arial"/>
          <w:i/>
          <w:color w:val="000000"/>
          <w:sz w:val="20"/>
        </w:rPr>
        <w:t>19</w:t>
      </w:r>
      <w:r w:rsidRPr="00C9343F">
        <w:rPr>
          <w:rFonts w:cs="Arial"/>
          <w:i/>
          <w:sz w:val="20"/>
        </w:rPr>
        <w:t>,</w:t>
      </w:r>
      <w:r w:rsidRPr="00C9343F">
        <w:rPr>
          <w:rFonts w:cs="Arial"/>
          <w:sz w:val="20"/>
        </w:rPr>
        <w:t xml:space="preserve"> </w:t>
      </w:r>
      <w:r w:rsidRPr="00C9343F">
        <w:rPr>
          <w:rFonts w:cs="Arial"/>
          <w:i/>
          <w:sz w:val="20"/>
        </w:rPr>
        <w:t>Conditions of service</w:t>
      </w:r>
      <w:r w:rsidRPr="00C9343F">
        <w:rPr>
          <w:rFonts w:cs="Arial"/>
          <w:sz w:val="20"/>
        </w:rPr>
        <w:t xml:space="preserve"> ('the Determination'), have been brought to my notice.</w:t>
      </w:r>
    </w:p>
    <w:p w14:paraId="5B0DDECE" w14:textId="77777777" w:rsidR="005F44BC" w:rsidRPr="00C9343F" w:rsidRDefault="005F44BC" w:rsidP="00F66D98">
      <w:pPr>
        <w:pStyle w:val="BlockText-PlainNoSpacing"/>
        <w:spacing w:before="120" w:after="0"/>
        <w:rPr>
          <w:rFonts w:cs="Arial"/>
          <w:i/>
        </w:rPr>
      </w:pPr>
      <w:r w:rsidRPr="00C9343F">
        <w:rPr>
          <w:rFonts w:cs="Arial"/>
          <w:i/>
        </w:rPr>
        <w:t>Please tick the boxes that apply below.</w:t>
      </w:r>
    </w:p>
    <w:p w14:paraId="3E297CB9" w14:textId="77777777" w:rsidR="005F44BC" w:rsidRPr="00C9343F" w:rsidRDefault="005F44BC" w:rsidP="00F66D98">
      <w:pPr>
        <w:spacing w:after="1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5422"/>
        <w:gridCol w:w="1726"/>
        <w:gridCol w:w="1655"/>
      </w:tblGrid>
      <w:tr w:rsidR="005F44BC" w:rsidRPr="00C9343F" w14:paraId="79F75484" w14:textId="77777777" w:rsidTr="00D81CEA">
        <w:tc>
          <w:tcPr>
            <w:tcW w:w="6379" w:type="dxa"/>
            <w:gridSpan w:val="2"/>
            <w:shd w:val="clear" w:color="auto" w:fill="auto"/>
          </w:tcPr>
          <w:p w14:paraId="58A290A9" w14:textId="77777777" w:rsidR="005F44BC" w:rsidRPr="00C9343F" w:rsidRDefault="005F44BC" w:rsidP="00F66D98">
            <w:pPr>
              <w:rPr>
                <w:rFonts w:cs="Arial"/>
                <w:sz w:val="20"/>
              </w:rPr>
            </w:pPr>
            <w:r w:rsidRPr="00C9343F">
              <w:rPr>
                <w:rFonts w:cs="Arial"/>
                <w:sz w:val="20"/>
              </w:rPr>
              <w:t>I have read and understood Part A of this form.</w:t>
            </w:r>
          </w:p>
          <w:p w14:paraId="6F9479DC" w14:textId="77777777" w:rsidR="005F44BC" w:rsidRPr="00C9343F" w:rsidRDefault="005F44BC" w:rsidP="00F66D98">
            <w:pPr>
              <w:rPr>
                <w:rFonts w:cs="Arial"/>
                <w:sz w:val="20"/>
              </w:rPr>
            </w:pPr>
          </w:p>
        </w:tc>
        <w:tc>
          <w:tcPr>
            <w:tcW w:w="1541" w:type="dxa"/>
            <w:shd w:val="clear" w:color="auto" w:fill="auto"/>
          </w:tcPr>
          <w:p w14:paraId="2E13DE4A"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4B438FFA" w14:textId="77777777" w:rsidR="005F44BC" w:rsidRPr="00C9343F" w:rsidRDefault="005F44BC" w:rsidP="00F66D98">
            <w:pPr>
              <w:jc w:val="center"/>
              <w:rPr>
                <w:rFonts w:cs="Arial"/>
                <w:sz w:val="20"/>
              </w:rPr>
            </w:pPr>
            <w:r w:rsidRPr="00C9343F">
              <w:rPr>
                <w:rFonts w:cs="Arial"/>
                <w:sz w:val="20"/>
              </w:rPr>
              <w:t>No  [   ]</w:t>
            </w:r>
          </w:p>
        </w:tc>
      </w:tr>
      <w:tr w:rsidR="005F44BC" w:rsidRPr="00C9343F" w14:paraId="6800D2B0" w14:textId="77777777" w:rsidTr="00D81CEA">
        <w:tc>
          <w:tcPr>
            <w:tcW w:w="6379" w:type="dxa"/>
            <w:gridSpan w:val="2"/>
            <w:shd w:val="clear" w:color="auto" w:fill="auto"/>
          </w:tcPr>
          <w:p w14:paraId="20723EF8" w14:textId="77777777" w:rsidR="005F44BC" w:rsidRPr="00C9343F" w:rsidRDefault="005F44BC" w:rsidP="00F66D98">
            <w:pPr>
              <w:rPr>
                <w:rFonts w:cs="Arial"/>
                <w:sz w:val="20"/>
              </w:rPr>
            </w:pPr>
            <w:r w:rsidRPr="00C9343F">
              <w:rPr>
                <w:rFonts w:cs="Arial"/>
                <w:sz w:val="20"/>
              </w:rPr>
              <w:t>I have sought independent legal advice in relation to this undertaking.</w:t>
            </w:r>
          </w:p>
          <w:p w14:paraId="59E6830A" w14:textId="77777777" w:rsidR="005F44BC" w:rsidRPr="00C9343F" w:rsidRDefault="005F44BC" w:rsidP="00F66D98">
            <w:pPr>
              <w:rPr>
                <w:rFonts w:cs="Arial"/>
                <w:sz w:val="20"/>
              </w:rPr>
            </w:pPr>
          </w:p>
        </w:tc>
        <w:tc>
          <w:tcPr>
            <w:tcW w:w="1541" w:type="dxa"/>
            <w:shd w:val="clear" w:color="auto" w:fill="auto"/>
          </w:tcPr>
          <w:p w14:paraId="7B3DF364"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12AF3E97" w14:textId="77777777" w:rsidR="005F44BC" w:rsidRPr="00C9343F" w:rsidRDefault="005F44BC" w:rsidP="00F66D98">
            <w:pPr>
              <w:jc w:val="center"/>
              <w:rPr>
                <w:rFonts w:cs="Arial"/>
                <w:sz w:val="20"/>
              </w:rPr>
            </w:pPr>
            <w:r w:rsidRPr="00C9343F">
              <w:rPr>
                <w:rFonts w:cs="Arial"/>
                <w:sz w:val="20"/>
              </w:rPr>
              <w:t>No  [   ]</w:t>
            </w:r>
          </w:p>
        </w:tc>
      </w:tr>
      <w:tr w:rsidR="005F44BC" w:rsidRPr="00C9343F" w14:paraId="6BF65189" w14:textId="77777777" w:rsidTr="00D81CEA">
        <w:tc>
          <w:tcPr>
            <w:tcW w:w="6379" w:type="dxa"/>
            <w:gridSpan w:val="2"/>
            <w:shd w:val="clear" w:color="auto" w:fill="auto"/>
          </w:tcPr>
          <w:p w14:paraId="029F8DBF" w14:textId="77777777" w:rsidR="005F44BC" w:rsidRPr="00C9343F" w:rsidRDefault="005F44BC" w:rsidP="00F66D98">
            <w:pPr>
              <w:rPr>
                <w:rFonts w:cs="Arial"/>
                <w:sz w:val="20"/>
              </w:rPr>
            </w:pPr>
            <w:r w:rsidRPr="00C9343F">
              <w:rPr>
                <w:rFonts w:cs="Arial"/>
                <w:sz w:val="20"/>
              </w:rPr>
              <w:t>I have sought independent financial advice in relation to this undertaking.</w:t>
            </w:r>
          </w:p>
          <w:p w14:paraId="3E0D89C4" w14:textId="77777777" w:rsidR="005F44BC" w:rsidRPr="00C9343F" w:rsidRDefault="005F44BC" w:rsidP="00F66D98">
            <w:pPr>
              <w:rPr>
                <w:rFonts w:cs="Arial"/>
                <w:sz w:val="20"/>
              </w:rPr>
            </w:pPr>
          </w:p>
        </w:tc>
        <w:tc>
          <w:tcPr>
            <w:tcW w:w="1541" w:type="dxa"/>
            <w:shd w:val="clear" w:color="auto" w:fill="auto"/>
          </w:tcPr>
          <w:p w14:paraId="286AF295"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29E90876" w14:textId="77777777" w:rsidR="005F44BC" w:rsidRPr="00C9343F" w:rsidRDefault="005F44BC" w:rsidP="00F66D98">
            <w:pPr>
              <w:jc w:val="center"/>
              <w:rPr>
                <w:rFonts w:cs="Arial"/>
                <w:sz w:val="20"/>
              </w:rPr>
            </w:pPr>
            <w:r w:rsidRPr="00C9343F">
              <w:rPr>
                <w:rFonts w:cs="Arial"/>
                <w:sz w:val="20"/>
              </w:rPr>
              <w:t>No  [   ]</w:t>
            </w:r>
          </w:p>
        </w:tc>
      </w:tr>
      <w:tr w:rsidR="005F44BC" w:rsidRPr="00C9343F" w14:paraId="3BBEDFB7" w14:textId="77777777" w:rsidTr="00D81CEA">
        <w:tc>
          <w:tcPr>
            <w:tcW w:w="6379" w:type="dxa"/>
            <w:gridSpan w:val="2"/>
            <w:shd w:val="clear" w:color="auto" w:fill="auto"/>
          </w:tcPr>
          <w:p w14:paraId="63A2D739" w14:textId="77777777" w:rsidR="005F44BC" w:rsidRPr="00C9343F" w:rsidRDefault="005F44BC" w:rsidP="00F66D98">
            <w:pPr>
              <w:rPr>
                <w:rFonts w:cs="Arial"/>
                <w:sz w:val="20"/>
              </w:rPr>
            </w:pPr>
            <w:r w:rsidRPr="00C9343F">
              <w:rPr>
                <w:rFonts w:cs="Arial"/>
                <w:sz w:val="20"/>
              </w:rPr>
              <w:t>I have completed the options for payment (see Annex 3.5.J, Bonus payment election.)</w:t>
            </w:r>
          </w:p>
          <w:p w14:paraId="7927999E" w14:textId="77777777" w:rsidR="005F44BC" w:rsidRPr="00C9343F" w:rsidRDefault="005F44BC" w:rsidP="00F66D98">
            <w:pPr>
              <w:rPr>
                <w:rFonts w:cs="Arial"/>
                <w:sz w:val="20"/>
              </w:rPr>
            </w:pPr>
          </w:p>
        </w:tc>
        <w:tc>
          <w:tcPr>
            <w:tcW w:w="1541" w:type="dxa"/>
            <w:shd w:val="clear" w:color="auto" w:fill="auto"/>
          </w:tcPr>
          <w:p w14:paraId="7F3D4286"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6C2DFFE5" w14:textId="77777777" w:rsidR="005F44BC" w:rsidRPr="00C9343F" w:rsidRDefault="005F44BC" w:rsidP="00F66D98">
            <w:pPr>
              <w:jc w:val="center"/>
              <w:rPr>
                <w:rFonts w:cs="Arial"/>
                <w:sz w:val="20"/>
              </w:rPr>
            </w:pPr>
            <w:r w:rsidRPr="00C9343F">
              <w:rPr>
                <w:rFonts w:cs="Arial"/>
                <w:sz w:val="20"/>
              </w:rPr>
              <w:t>No  [   ]</w:t>
            </w:r>
          </w:p>
        </w:tc>
      </w:tr>
      <w:tr w:rsidR="005F44BC" w:rsidRPr="00C9343F" w14:paraId="3B15DB80" w14:textId="77777777" w:rsidTr="00D81CEA">
        <w:tc>
          <w:tcPr>
            <w:tcW w:w="567" w:type="dxa"/>
            <w:shd w:val="clear" w:color="auto" w:fill="auto"/>
          </w:tcPr>
          <w:p w14:paraId="24993C22" w14:textId="77777777" w:rsidR="005F44BC" w:rsidRPr="00C9343F" w:rsidRDefault="005F44BC" w:rsidP="00F66D98">
            <w:pPr>
              <w:pStyle w:val="BlockText-Plain"/>
              <w:spacing w:before="60"/>
              <w:rPr>
                <w:rFonts w:cs="Arial"/>
              </w:rPr>
            </w:pPr>
            <w:r w:rsidRPr="00C9343F">
              <w:rPr>
                <w:rFonts w:cs="Arial"/>
              </w:rPr>
              <w:t>[   ]</w:t>
            </w:r>
          </w:p>
        </w:tc>
        <w:tc>
          <w:tcPr>
            <w:tcW w:w="8895" w:type="dxa"/>
            <w:gridSpan w:val="3"/>
            <w:shd w:val="clear" w:color="auto" w:fill="auto"/>
          </w:tcPr>
          <w:p w14:paraId="25A4B739" w14:textId="77777777" w:rsidR="005F44BC" w:rsidRPr="00C9343F" w:rsidRDefault="005F44BC" w:rsidP="00F66D98">
            <w:pPr>
              <w:pStyle w:val="BlockText-Plain"/>
              <w:spacing w:before="60"/>
              <w:rPr>
                <w:rFonts w:cs="Arial"/>
              </w:rPr>
            </w:pPr>
            <w:r w:rsidRPr="00C9343F">
              <w:rPr>
                <w:rFonts w:cs="Arial"/>
              </w:rPr>
              <w:t>This is my first acceptance of a place in the scheme.</w:t>
            </w:r>
          </w:p>
        </w:tc>
      </w:tr>
      <w:tr w:rsidR="005F44BC" w:rsidRPr="00C9343F" w14:paraId="328B0E63" w14:textId="77777777" w:rsidTr="00D81CEA">
        <w:tc>
          <w:tcPr>
            <w:tcW w:w="567" w:type="dxa"/>
            <w:shd w:val="clear" w:color="auto" w:fill="auto"/>
          </w:tcPr>
          <w:p w14:paraId="50929684" w14:textId="77777777" w:rsidR="005F44BC" w:rsidRPr="00C9343F" w:rsidRDefault="005F44BC" w:rsidP="00F66D98">
            <w:pPr>
              <w:pStyle w:val="BlockText-Plain"/>
              <w:spacing w:before="60"/>
              <w:rPr>
                <w:rFonts w:cs="Arial"/>
              </w:rPr>
            </w:pPr>
            <w:r w:rsidRPr="00C9343F">
              <w:rPr>
                <w:rFonts w:cs="Arial"/>
              </w:rPr>
              <w:t>[   ]</w:t>
            </w:r>
          </w:p>
        </w:tc>
        <w:tc>
          <w:tcPr>
            <w:tcW w:w="8895" w:type="dxa"/>
            <w:gridSpan w:val="3"/>
            <w:shd w:val="clear" w:color="auto" w:fill="auto"/>
          </w:tcPr>
          <w:p w14:paraId="22A517B4" w14:textId="77777777" w:rsidR="005F44BC" w:rsidRPr="00C9343F" w:rsidRDefault="005F44BC" w:rsidP="00F66D98">
            <w:pPr>
              <w:pStyle w:val="BlockText-Plain"/>
              <w:spacing w:before="60"/>
              <w:rPr>
                <w:rFonts w:cs="Arial"/>
              </w:rPr>
            </w:pPr>
            <w:r w:rsidRPr="00C9343F">
              <w:rPr>
                <w:rFonts w:cs="Arial"/>
              </w:rPr>
              <w:t>I am not currently in receipt of any other retention or completion bonus.</w:t>
            </w:r>
          </w:p>
        </w:tc>
      </w:tr>
      <w:tr w:rsidR="005F44BC" w:rsidRPr="00C9343F" w14:paraId="4F693E0B" w14:textId="77777777" w:rsidTr="00D81CEA">
        <w:tc>
          <w:tcPr>
            <w:tcW w:w="567" w:type="dxa"/>
            <w:shd w:val="clear" w:color="auto" w:fill="auto"/>
          </w:tcPr>
          <w:p w14:paraId="1BB3B612" w14:textId="77777777" w:rsidR="005F44BC" w:rsidRPr="00C9343F" w:rsidRDefault="005F44BC" w:rsidP="00F66D98">
            <w:pPr>
              <w:pStyle w:val="BlockText-Plain"/>
              <w:spacing w:before="60"/>
              <w:rPr>
                <w:rFonts w:cs="Arial"/>
              </w:rPr>
            </w:pPr>
            <w:r w:rsidRPr="00C9343F">
              <w:rPr>
                <w:rFonts w:cs="Arial"/>
              </w:rPr>
              <w:t>[   ]</w:t>
            </w:r>
          </w:p>
        </w:tc>
        <w:tc>
          <w:tcPr>
            <w:tcW w:w="8895" w:type="dxa"/>
            <w:gridSpan w:val="3"/>
            <w:shd w:val="clear" w:color="auto" w:fill="auto"/>
          </w:tcPr>
          <w:p w14:paraId="585C9CAA" w14:textId="77777777" w:rsidR="005F44BC" w:rsidRPr="00C9343F" w:rsidRDefault="005F44BC" w:rsidP="00F66D98">
            <w:pPr>
              <w:pStyle w:val="BlockText-Plain"/>
              <w:spacing w:before="60"/>
              <w:rPr>
                <w:rFonts w:cs="Arial"/>
              </w:rPr>
            </w:pPr>
            <w:r w:rsidRPr="00C9343F">
              <w:rPr>
                <w:rFonts w:cs="Arial"/>
              </w:rPr>
              <w:t xml:space="preserve">I elect to be paid out of the following retention or completion bonus on a pro rata basis so as to commence my agreed period of service under this bonus scheme: </w:t>
            </w:r>
          </w:p>
          <w:p w14:paraId="73F31493" w14:textId="689739FE" w:rsidR="005F44BC" w:rsidRPr="00C9343F" w:rsidRDefault="005F44BC" w:rsidP="00F66D98">
            <w:pPr>
              <w:pStyle w:val="BlockText-Plain"/>
              <w:spacing w:before="60"/>
              <w:rPr>
                <w:rFonts w:cs="Arial"/>
              </w:rPr>
            </w:pPr>
            <w:r w:rsidRPr="00C9343F">
              <w:rPr>
                <w:rFonts w:cs="Arial"/>
              </w:rPr>
              <w:t>(</w:t>
            </w:r>
            <w:r w:rsidRPr="00C9343F">
              <w:rPr>
                <w:rFonts w:cs="Arial"/>
                <w:i/>
              </w:rPr>
              <w:t>List other bonus scheme</w:t>
            </w:r>
            <w:r w:rsidRPr="00C9343F">
              <w:rPr>
                <w:rFonts w:cs="Arial"/>
              </w:rPr>
              <w:t>)</w:t>
            </w:r>
            <w:r w:rsidR="00D94006" w:rsidRPr="00C9343F">
              <w:rPr>
                <w:rFonts w:cs="Arial"/>
              </w:rPr>
              <w:t>                                                                                                                                                              </w:t>
            </w:r>
          </w:p>
        </w:tc>
      </w:tr>
      <w:tr w:rsidR="005F44BC" w:rsidRPr="00C9343F" w14:paraId="7276BFDB" w14:textId="77777777" w:rsidTr="00D81CEA">
        <w:tc>
          <w:tcPr>
            <w:tcW w:w="567" w:type="dxa"/>
            <w:shd w:val="clear" w:color="auto" w:fill="auto"/>
          </w:tcPr>
          <w:p w14:paraId="137E028B" w14:textId="77777777" w:rsidR="005F44BC" w:rsidRPr="00C9343F" w:rsidRDefault="005F44BC" w:rsidP="00F66D98">
            <w:pPr>
              <w:pStyle w:val="BlockText-Plain"/>
              <w:spacing w:before="60"/>
              <w:rPr>
                <w:rFonts w:cs="Arial"/>
              </w:rPr>
            </w:pPr>
            <w:r w:rsidRPr="00C9343F">
              <w:rPr>
                <w:rFonts w:cs="Arial"/>
              </w:rPr>
              <w:t>[   ]</w:t>
            </w:r>
          </w:p>
        </w:tc>
        <w:tc>
          <w:tcPr>
            <w:tcW w:w="8895" w:type="dxa"/>
            <w:gridSpan w:val="3"/>
            <w:shd w:val="clear" w:color="auto" w:fill="auto"/>
          </w:tcPr>
          <w:p w14:paraId="64343A1A" w14:textId="77777777" w:rsidR="005F44BC" w:rsidRPr="00C9343F" w:rsidRDefault="005F44BC" w:rsidP="00F66D98">
            <w:pPr>
              <w:pStyle w:val="BlockText-Plain"/>
              <w:spacing w:before="60"/>
              <w:rPr>
                <w:rFonts w:cs="Arial"/>
              </w:rPr>
            </w:pPr>
            <w:r w:rsidRPr="00C9343F">
              <w:rPr>
                <w:rFonts w:cs="Arial"/>
              </w:rPr>
              <w:t>I am required to serve under these other bonus schemes before I serve my agreed period of service for this bonus:</w:t>
            </w:r>
          </w:p>
          <w:p w14:paraId="42A5ECB5" w14:textId="0231F6D1" w:rsidR="005F44BC" w:rsidRPr="00C9343F" w:rsidRDefault="005F44BC" w:rsidP="00F66D98">
            <w:pPr>
              <w:pStyle w:val="BlockText-Plain"/>
              <w:spacing w:before="60"/>
              <w:rPr>
                <w:rFonts w:cs="Arial"/>
              </w:rPr>
            </w:pPr>
            <w:r w:rsidRPr="00C9343F">
              <w:rPr>
                <w:rFonts w:cs="Arial"/>
              </w:rPr>
              <w:t>(</w:t>
            </w:r>
            <w:r w:rsidRPr="00C9343F">
              <w:rPr>
                <w:rFonts w:cs="Arial"/>
                <w:i/>
              </w:rPr>
              <w:t>List any other bonus schemes</w:t>
            </w:r>
            <w:r w:rsidRPr="00C9343F">
              <w:rPr>
                <w:rFonts w:cs="Arial"/>
              </w:rPr>
              <w:t>)</w:t>
            </w:r>
            <w:r w:rsidR="00D94006" w:rsidRPr="00C9343F">
              <w:rPr>
                <w:rFonts w:cs="Arial"/>
              </w:rPr>
              <w:t>                                                                                                                                                              </w:t>
            </w:r>
          </w:p>
        </w:tc>
      </w:tr>
    </w:tbl>
    <w:p w14:paraId="50AB282C" w14:textId="26CC399B" w:rsidR="005F44BC" w:rsidRPr="00C9343F" w:rsidRDefault="005F44BC" w:rsidP="00F66D98"/>
    <w:tbl>
      <w:tblPr>
        <w:tblW w:w="9498" w:type="dxa"/>
        <w:tblInd w:w="56" w:type="dxa"/>
        <w:tblLayout w:type="fixed"/>
        <w:tblCellMar>
          <w:left w:w="56" w:type="dxa"/>
          <w:right w:w="56" w:type="dxa"/>
        </w:tblCellMar>
        <w:tblLook w:val="0000" w:firstRow="0" w:lastRow="0" w:firstColumn="0" w:lastColumn="0" w:noHBand="0" w:noVBand="0"/>
      </w:tblPr>
      <w:tblGrid>
        <w:gridCol w:w="2410"/>
        <w:gridCol w:w="2268"/>
        <w:gridCol w:w="992"/>
        <w:gridCol w:w="3828"/>
      </w:tblGrid>
      <w:tr w:rsidR="005F44BC" w:rsidRPr="00C9343F" w14:paraId="29A9F09F" w14:textId="77777777" w:rsidTr="005F44BC">
        <w:trPr>
          <w:cantSplit/>
        </w:trPr>
        <w:tc>
          <w:tcPr>
            <w:tcW w:w="2410" w:type="dxa"/>
          </w:tcPr>
          <w:p w14:paraId="51310450" w14:textId="77777777" w:rsidR="005F44BC" w:rsidRPr="00C9343F" w:rsidRDefault="005F44BC" w:rsidP="00F66D98">
            <w:pPr>
              <w:pStyle w:val="TableHeaderArial"/>
              <w:jc w:val="left"/>
              <w:rPr>
                <w:rFonts w:cs="Arial"/>
              </w:rPr>
            </w:pPr>
            <w:r w:rsidRPr="00C9343F">
              <w:rPr>
                <w:rFonts w:cs="Arial"/>
                <w:b w:val="0"/>
              </w:rPr>
              <w:t>Dated this</w:t>
            </w:r>
          </w:p>
        </w:tc>
        <w:tc>
          <w:tcPr>
            <w:tcW w:w="2268" w:type="dxa"/>
          </w:tcPr>
          <w:p w14:paraId="607F5338" w14:textId="77777777" w:rsidR="005F44BC" w:rsidRPr="00C9343F" w:rsidRDefault="005F44BC" w:rsidP="00F66D98">
            <w:pPr>
              <w:pStyle w:val="TableHeaderArial"/>
              <w:jc w:val="left"/>
              <w:rPr>
                <w:rFonts w:cs="Arial"/>
              </w:rPr>
            </w:pPr>
            <w:r w:rsidRPr="00C9343F">
              <w:rPr>
                <w:rFonts w:cs="Arial"/>
                <w:b w:val="0"/>
              </w:rPr>
              <w:t>day of</w:t>
            </w:r>
          </w:p>
        </w:tc>
        <w:tc>
          <w:tcPr>
            <w:tcW w:w="992" w:type="dxa"/>
          </w:tcPr>
          <w:p w14:paraId="0FA8633D" w14:textId="77777777" w:rsidR="005F44BC" w:rsidRPr="00C9343F" w:rsidRDefault="005F44BC" w:rsidP="00F66D98">
            <w:pPr>
              <w:pStyle w:val="TableHeaderArial"/>
              <w:rPr>
                <w:rFonts w:cs="Arial"/>
              </w:rPr>
            </w:pPr>
          </w:p>
        </w:tc>
        <w:tc>
          <w:tcPr>
            <w:tcW w:w="3828" w:type="dxa"/>
          </w:tcPr>
          <w:p w14:paraId="49F3D11C" w14:textId="77777777" w:rsidR="005F44BC" w:rsidRPr="00C9343F" w:rsidRDefault="005F44BC" w:rsidP="00F66D98">
            <w:pPr>
              <w:pStyle w:val="TableHeaderArial"/>
              <w:jc w:val="left"/>
              <w:rPr>
                <w:rFonts w:cs="Arial"/>
              </w:rPr>
            </w:pPr>
            <w:r w:rsidRPr="00C9343F">
              <w:rPr>
                <w:rFonts w:cs="Arial"/>
                <w:b w:val="0"/>
              </w:rPr>
              <w:t>20</w:t>
            </w:r>
          </w:p>
        </w:tc>
      </w:tr>
      <w:tr w:rsidR="005F44BC" w:rsidRPr="00C9343F" w14:paraId="44860871" w14:textId="77777777" w:rsidTr="005F44BC">
        <w:trPr>
          <w:cantSplit/>
        </w:trPr>
        <w:tc>
          <w:tcPr>
            <w:tcW w:w="2410" w:type="dxa"/>
          </w:tcPr>
          <w:p w14:paraId="7780C83E" w14:textId="77777777" w:rsidR="005F44BC" w:rsidRPr="00C9343F" w:rsidRDefault="005F44BC" w:rsidP="00F66D98">
            <w:pPr>
              <w:rPr>
                <w:rFonts w:cs="Arial"/>
              </w:rPr>
            </w:pPr>
          </w:p>
        </w:tc>
        <w:tc>
          <w:tcPr>
            <w:tcW w:w="2268" w:type="dxa"/>
            <w:tcBorders>
              <w:bottom w:val="single" w:sz="4" w:space="0" w:color="auto"/>
            </w:tcBorders>
          </w:tcPr>
          <w:p w14:paraId="228EF37A" w14:textId="77777777" w:rsidR="005F44BC" w:rsidRPr="00C9343F" w:rsidRDefault="005F44BC" w:rsidP="00F66D98">
            <w:pPr>
              <w:rPr>
                <w:rFonts w:cs="Arial"/>
              </w:rPr>
            </w:pPr>
          </w:p>
        </w:tc>
        <w:tc>
          <w:tcPr>
            <w:tcW w:w="992" w:type="dxa"/>
          </w:tcPr>
          <w:p w14:paraId="611F5A06" w14:textId="77777777" w:rsidR="005F44BC" w:rsidRPr="00C9343F" w:rsidRDefault="005F44BC" w:rsidP="00F66D98">
            <w:pPr>
              <w:rPr>
                <w:rFonts w:cs="Arial"/>
              </w:rPr>
            </w:pPr>
          </w:p>
        </w:tc>
        <w:tc>
          <w:tcPr>
            <w:tcW w:w="3828" w:type="dxa"/>
            <w:tcBorders>
              <w:bottom w:val="single" w:sz="4" w:space="0" w:color="auto"/>
            </w:tcBorders>
          </w:tcPr>
          <w:p w14:paraId="0ACD75B2" w14:textId="77777777" w:rsidR="005F44BC" w:rsidRPr="00C9343F" w:rsidRDefault="005F44BC" w:rsidP="00F66D98">
            <w:pPr>
              <w:rPr>
                <w:rFonts w:cs="Arial"/>
              </w:rPr>
            </w:pPr>
          </w:p>
          <w:p w14:paraId="0728D528" w14:textId="77777777" w:rsidR="005F44BC" w:rsidRPr="00C9343F" w:rsidRDefault="005F44BC" w:rsidP="00F66D98">
            <w:pPr>
              <w:rPr>
                <w:rFonts w:cs="Arial"/>
              </w:rPr>
            </w:pPr>
          </w:p>
        </w:tc>
      </w:tr>
      <w:tr w:rsidR="005F44BC" w:rsidRPr="00C9343F" w14:paraId="507A2C0C" w14:textId="77777777" w:rsidTr="005F44BC">
        <w:trPr>
          <w:cantSplit/>
        </w:trPr>
        <w:tc>
          <w:tcPr>
            <w:tcW w:w="2410" w:type="dxa"/>
          </w:tcPr>
          <w:p w14:paraId="64FEB7A2" w14:textId="77777777" w:rsidR="005F44BC" w:rsidRPr="00C9343F" w:rsidRDefault="005F44BC" w:rsidP="00F66D98">
            <w:pPr>
              <w:rPr>
                <w:rFonts w:cs="Arial"/>
                <w:sz w:val="20"/>
              </w:rPr>
            </w:pPr>
          </w:p>
        </w:tc>
        <w:tc>
          <w:tcPr>
            <w:tcW w:w="2268" w:type="dxa"/>
            <w:tcBorders>
              <w:top w:val="single" w:sz="4" w:space="0" w:color="auto"/>
            </w:tcBorders>
          </w:tcPr>
          <w:p w14:paraId="1AD7A0DD" w14:textId="77777777" w:rsidR="005F44BC" w:rsidRPr="00C9343F" w:rsidRDefault="005F44BC" w:rsidP="00F66D98">
            <w:pPr>
              <w:jc w:val="center"/>
              <w:rPr>
                <w:rFonts w:cs="Arial"/>
                <w:sz w:val="20"/>
              </w:rPr>
            </w:pPr>
            <w:r w:rsidRPr="00C9343F">
              <w:rPr>
                <w:rFonts w:cs="Arial"/>
                <w:sz w:val="20"/>
              </w:rPr>
              <w:t>Signed</w:t>
            </w:r>
          </w:p>
        </w:tc>
        <w:tc>
          <w:tcPr>
            <w:tcW w:w="992" w:type="dxa"/>
          </w:tcPr>
          <w:p w14:paraId="5D42FE0C" w14:textId="77777777" w:rsidR="005F44BC" w:rsidRPr="00C9343F" w:rsidRDefault="005F44BC" w:rsidP="00F66D98">
            <w:pPr>
              <w:rPr>
                <w:rFonts w:cs="Arial"/>
                <w:sz w:val="20"/>
              </w:rPr>
            </w:pPr>
          </w:p>
        </w:tc>
        <w:tc>
          <w:tcPr>
            <w:tcW w:w="3828" w:type="dxa"/>
            <w:tcBorders>
              <w:top w:val="single" w:sz="4" w:space="0" w:color="auto"/>
            </w:tcBorders>
          </w:tcPr>
          <w:p w14:paraId="6E19024D" w14:textId="77777777" w:rsidR="005F44BC" w:rsidRPr="00C9343F" w:rsidRDefault="005F44BC" w:rsidP="00F66D98">
            <w:pPr>
              <w:jc w:val="center"/>
              <w:rPr>
                <w:rFonts w:cs="Arial"/>
                <w:sz w:val="20"/>
              </w:rPr>
            </w:pPr>
            <w:r w:rsidRPr="00C9343F">
              <w:rPr>
                <w:rFonts w:cs="Arial"/>
                <w:sz w:val="20"/>
              </w:rPr>
              <w:t>Printed name</w:t>
            </w:r>
          </w:p>
        </w:tc>
      </w:tr>
      <w:tr w:rsidR="005F44BC" w:rsidRPr="00C9343F" w14:paraId="094F5E14" w14:textId="77777777" w:rsidTr="005F44BC">
        <w:trPr>
          <w:cantSplit/>
        </w:trPr>
        <w:tc>
          <w:tcPr>
            <w:tcW w:w="2410" w:type="dxa"/>
            <w:vMerge w:val="restart"/>
          </w:tcPr>
          <w:p w14:paraId="79F8ADBC" w14:textId="77777777" w:rsidR="005F44BC" w:rsidRPr="00C9343F" w:rsidRDefault="005F44BC" w:rsidP="00F66D98">
            <w:pPr>
              <w:jc w:val="right"/>
              <w:rPr>
                <w:rFonts w:cs="Arial"/>
                <w:sz w:val="20"/>
              </w:rPr>
            </w:pPr>
          </w:p>
          <w:p w14:paraId="542DFC48" w14:textId="77777777" w:rsidR="005F44BC" w:rsidRPr="00C9343F" w:rsidRDefault="005F44BC" w:rsidP="00F66D98">
            <w:pPr>
              <w:jc w:val="right"/>
              <w:rPr>
                <w:rFonts w:cs="Arial"/>
                <w:sz w:val="20"/>
              </w:rPr>
            </w:pPr>
          </w:p>
          <w:p w14:paraId="03344115" w14:textId="77777777" w:rsidR="005F44BC" w:rsidRPr="00C9343F" w:rsidRDefault="005F44BC" w:rsidP="00F66D98">
            <w:pPr>
              <w:jc w:val="right"/>
              <w:rPr>
                <w:rFonts w:cs="Arial"/>
                <w:sz w:val="20"/>
              </w:rPr>
            </w:pPr>
            <w:r w:rsidRPr="00C9343F">
              <w:rPr>
                <w:rFonts w:cs="Arial"/>
                <w:sz w:val="20"/>
              </w:rPr>
              <w:t>Witness</w:t>
            </w:r>
          </w:p>
          <w:p w14:paraId="06B17DD3" w14:textId="77777777" w:rsidR="005F44BC" w:rsidRPr="00C9343F" w:rsidRDefault="005F44BC" w:rsidP="00F66D98">
            <w:pPr>
              <w:rPr>
                <w:rFonts w:cs="Arial"/>
                <w:i/>
                <w:sz w:val="20"/>
              </w:rPr>
            </w:pPr>
            <w:r w:rsidRPr="00C9343F">
              <w:rPr>
                <w:rFonts w:cs="Arial"/>
                <w:i/>
                <w:sz w:val="20"/>
              </w:rPr>
              <w:t>(This person must be above the applicant in the chain of command)</w:t>
            </w:r>
          </w:p>
        </w:tc>
        <w:tc>
          <w:tcPr>
            <w:tcW w:w="2268" w:type="dxa"/>
            <w:tcBorders>
              <w:bottom w:val="single" w:sz="4" w:space="0" w:color="auto"/>
            </w:tcBorders>
          </w:tcPr>
          <w:p w14:paraId="6234CE29" w14:textId="77777777" w:rsidR="005F44BC" w:rsidRPr="00C9343F" w:rsidRDefault="005F44BC" w:rsidP="00F66D98">
            <w:pPr>
              <w:rPr>
                <w:rFonts w:cs="Arial"/>
                <w:sz w:val="20"/>
              </w:rPr>
            </w:pPr>
          </w:p>
        </w:tc>
        <w:tc>
          <w:tcPr>
            <w:tcW w:w="992" w:type="dxa"/>
          </w:tcPr>
          <w:p w14:paraId="1ED5E8CF" w14:textId="77777777" w:rsidR="005F44BC" w:rsidRPr="00C9343F" w:rsidRDefault="005F44BC" w:rsidP="00F66D98">
            <w:pPr>
              <w:rPr>
                <w:rFonts w:cs="Arial"/>
                <w:sz w:val="20"/>
              </w:rPr>
            </w:pPr>
          </w:p>
        </w:tc>
        <w:tc>
          <w:tcPr>
            <w:tcW w:w="3828" w:type="dxa"/>
            <w:tcBorders>
              <w:bottom w:val="single" w:sz="4" w:space="0" w:color="auto"/>
            </w:tcBorders>
          </w:tcPr>
          <w:p w14:paraId="0F51034D" w14:textId="77777777" w:rsidR="005F44BC" w:rsidRPr="00C9343F" w:rsidRDefault="005F44BC" w:rsidP="00F66D98">
            <w:pPr>
              <w:rPr>
                <w:rFonts w:cs="Arial"/>
                <w:sz w:val="20"/>
              </w:rPr>
            </w:pPr>
          </w:p>
          <w:p w14:paraId="31F859FF" w14:textId="77777777" w:rsidR="005F44BC" w:rsidRPr="00C9343F" w:rsidRDefault="005F44BC" w:rsidP="00F66D98">
            <w:pPr>
              <w:rPr>
                <w:rFonts w:cs="Arial"/>
                <w:sz w:val="20"/>
              </w:rPr>
            </w:pPr>
          </w:p>
          <w:p w14:paraId="1FA147E2" w14:textId="77777777" w:rsidR="005F44BC" w:rsidRPr="00C9343F" w:rsidRDefault="005F44BC" w:rsidP="00F66D98">
            <w:pPr>
              <w:rPr>
                <w:rFonts w:cs="Arial"/>
                <w:sz w:val="20"/>
              </w:rPr>
            </w:pPr>
          </w:p>
        </w:tc>
      </w:tr>
      <w:tr w:rsidR="005F44BC" w:rsidRPr="00C9343F" w14:paraId="6C669426" w14:textId="77777777" w:rsidTr="005F44BC">
        <w:trPr>
          <w:cantSplit/>
        </w:trPr>
        <w:tc>
          <w:tcPr>
            <w:tcW w:w="2410" w:type="dxa"/>
            <w:vMerge/>
          </w:tcPr>
          <w:p w14:paraId="44D8E8DA" w14:textId="77777777" w:rsidR="005F44BC" w:rsidRPr="00C9343F" w:rsidRDefault="005F44BC" w:rsidP="00F66D98">
            <w:pPr>
              <w:rPr>
                <w:rFonts w:cs="Arial"/>
                <w:sz w:val="20"/>
              </w:rPr>
            </w:pPr>
          </w:p>
        </w:tc>
        <w:tc>
          <w:tcPr>
            <w:tcW w:w="2268" w:type="dxa"/>
            <w:tcBorders>
              <w:top w:val="single" w:sz="4" w:space="0" w:color="auto"/>
            </w:tcBorders>
          </w:tcPr>
          <w:p w14:paraId="5069C6E4" w14:textId="77777777" w:rsidR="005F44BC" w:rsidRPr="00C9343F" w:rsidRDefault="005F44BC" w:rsidP="00F66D98">
            <w:pPr>
              <w:jc w:val="center"/>
              <w:rPr>
                <w:rFonts w:cs="Arial"/>
                <w:sz w:val="20"/>
              </w:rPr>
            </w:pPr>
            <w:r w:rsidRPr="00C9343F">
              <w:rPr>
                <w:rFonts w:cs="Arial"/>
                <w:sz w:val="20"/>
              </w:rPr>
              <w:t>Signed</w:t>
            </w:r>
          </w:p>
        </w:tc>
        <w:tc>
          <w:tcPr>
            <w:tcW w:w="992" w:type="dxa"/>
          </w:tcPr>
          <w:p w14:paraId="04FFEE8D" w14:textId="77777777" w:rsidR="005F44BC" w:rsidRPr="00C9343F" w:rsidRDefault="005F44BC" w:rsidP="00F66D98">
            <w:pPr>
              <w:rPr>
                <w:rFonts w:cs="Arial"/>
                <w:sz w:val="20"/>
              </w:rPr>
            </w:pPr>
          </w:p>
        </w:tc>
        <w:tc>
          <w:tcPr>
            <w:tcW w:w="3828" w:type="dxa"/>
            <w:tcBorders>
              <w:top w:val="single" w:sz="4" w:space="0" w:color="auto"/>
            </w:tcBorders>
          </w:tcPr>
          <w:p w14:paraId="696F42E7" w14:textId="77777777" w:rsidR="005F44BC" w:rsidRPr="00C9343F" w:rsidRDefault="005F44BC" w:rsidP="00F66D98">
            <w:pPr>
              <w:jc w:val="center"/>
              <w:rPr>
                <w:rFonts w:cs="Arial"/>
                <w:sz w:val="20"/>
              </w:rPr>
            </w:pPr>
            <w:r w:rsidRPr="00C9343F">
              <w:rPr>
                <w:rFonts w:cs="Arial"/>
                <w:sz w:val="20"/>
              </w:rPr>
              <w:t>Printed name and rank</w:t>
            </w:r>
          </w:p>
        </w:tc>
      </w:tr>
    </w:tbl>
    <w:p w14:paraId="364E55CA" w14:textId="77777777" w:rsidR="005F44BC" w:rsidRPr="00C9343F" w:rsidRDefault="005F44BC" w:rsidP="00F66D98">
      <w:pPr>
        <w:rPr>
          <w:rFonts w:cs="Arial"/>
        </w:rPr>
      </w:pPr>
    </w:p>
    <w:p w14:paraId="763DF415" w14:textId="77777777" w:rsidR="005F44BC" w:rsidRPr="00C9343F" w:rsidRDefault="005F44BC" w:rsidP="00F66D98">
      <w:pPr>
        <w:rPr>
          <w:rFonts w:cs="Arial"/>
        </w:rPr>
      </w:pPr>
    </w:p>
    <w:p w14:paraId="41C9B154" w14:textId="77777777" w:rsidR="005F44BC" w:rsidRPr="00C9343F" w:rsidRDefault="005F44BC" w:rsidP="00F66D98">
      <w:pPr>
        <w:rPr>
          <w:rFonts w:cs="Arial"/>
        </w:rPr>
      </w:pPr>
    </w:p>
    <w:p w14:paraId="71A4CC56" w14:textId="77777777" w:rsidR="005F44BC" w:rsidRPr="00C9343F" w:rsidRDefault="005F44BC" w:rsidP="00F66D98">
      <w:pPr>
        <w:rPr>
          <w:rFonts w:cs="Arial"/>
        </w:rPr>
      </w:pPr>
      <w:r w:rsidRPr="00C9343F">
        <w:rPr>
          <w:rFonts w:cs="Arial"/>
        </w:rPr>
        <w:t xml:space="preserve">I, </w:t>
      </w:r>
    </w:p>
    <w:tbl>
      <w:tblPr>
        <w:tblW w:w="9356" w:type="dxa"/>
        <w:tblInd w:w="56" w:type="dxa"/>
        <w:tblLayout w:type="fixed"/>
        <w:tblCellMar>
          <w:left w:w="56" w:type="dxa"/>
          <w:right w:w="56" w:type="dxa"/>
        </w:tblCellMar>
        <w:tblLook w:val="0000" w:firstRow="0" w:lastRow="0" w:firstColumn="0" w:lastColumn="0" w:noHBand="0" w:noVBand="0"/>
      </w:tblPr>
      <w:tblGrid>
        <w:gridCol w:w="2339"/>
        <w:gridCol w:w="2339"/>
        <w:gridCol w:w="2339"/>
        <w:gridCol w:w="2339"/>
      </w:tblGrid>
      <w:tr w:rsidR="005F44BC" w:rsidRPr="00C9343F" w14:paraId="7344FBF1" w14:textId="77777777" w:rsidTr="005F44BC">
        <w:trPr>
          <w:cantSplit/>
        </w:trPr>
        <w:tc>
          <w:tcPr>
            <w:tcW w:w="2339" w:type="dxa"/>
          </w:tcPr>
          <w:p w14:paraId="5A4003DD" w14:textId="77777777" w:rsidR="005F44BC" w:rsidRPr="00C9343F" w:rsidRDefault="005F44BC" w:rsidP="00F66D98">
            <w:pPr>
              <w:pStyle w:val="TableHeaderArial"/>
              <w:jc w:val="left"/>
              <w:rPr>
                <w:rFonts w:cs="Arial"/>
                <w:b w:val="0"/>
              </w:rPr>
            </w:pPr>
            <w:r w:rsidRPr="00C9343F">
              <w:rPr>
                <w:rFonts w:cs="Arial"/>
                <w:b w:val="0"/>
              </w:rPr>
              <w:t>……………………………</w:t>
            </w:r>
          </w:p>
        </w:tc>
        <w:tc>
          <w:tcPr>
            <w:tcW w:w="2339" w:type="dxa"/>
          </w:tcPr>
          <w:p w14:paraId="64E1229B" w14:textId="77777777" w:rsidR="005F44BC" w:rsidRPr="00C9343F" w:rsidRDefault="005F44BC" w:rsidP="00F66D98">
            <w:pPr>
              <w:pStyle w:val="TableHeaderArial"/>
              <w:jc w:val="left"/>
              <w:rPr>
                <w:rFonts w:cs="Arial"/>
                <w:b w:val="0"/>
              </w:rPr>
            </w:pPr>
            <w:r w:rsidRPr="00C9343F">
              <w:rPr>
                <w:rFonts w:cs="Arial"/>
                <w:b w:val="0"/>
              </w:rPr>
              <w:t>……………………………</w:t>
            </w:r>
          </w:p>
        </w:tc>
        <w:tc>
          <w:tcPr>
            <w:tcW w:w="2339" w:type="dxa"/>
          </w:tcPr>
          <w:p w14:paraId="2BF96EAC" w14:textId="77777777" w:rsidR="005F44BC" w:rsidRPr="00C9343F" w:rsidRDefault="005F44BC" w:rsidP="00F66D98">
            <w:pPr>
              <w:pStyle w:val="TableHeaderArial"/>
              <w:jc w:val="left"/>
              <w:rPr>
                <w:rFonts w:cs="Arial"/>
                <w:b w:val="0"/>
              </w:rPr>
            </w:pPr>
            <w:r w:rsidRPr="00C9343F">
              <w:rPr>
                <w:rFonts w:cs="Arial"/>
                <w:b w:val="0"/>
              </w:rPr>
              <w:t>……………………………</w:t>
            </w:r>
          </w:p>
        </w:tc>
        <w:tc>
          <w:tcPr>
            <w:tcW w:w="2339" w:type="dxa"/>
          </w:tcPr>
          <w:p w14:paraId="1B179893" w14:textId="77777777" w:rsidR="005F44BC" w:rsidRPr="00C9343F" w:rsidRDefault="005F44BC" w:rsidP="00F66D98">
            <w:pPr>
              <w:pStyle w:val="TableHeaderArial"/>
              <w:jc w:val="left"/>
              <w:rPr>
                <w:rFonts w:cs="Arial"/>
                <w:b w:val="0"/>
              </w:rPr>
            </w:pPr>
            <w:r w:rsidRPr="00C9343F">
              <w:rPr>
                <w:rFonts w:cs="Arial"/>
                <w:b w:val="0"/>
              </w:rPr>
              <w:t>……………………………</w:t>
            </w:r>
          </w:p>
        </w:tc>
      </w:tr>
      <w:tr w:rsidR="005F44BC" w:rsidRPr="00C9343F" w14:paraId="2823BAEE" w14:textId="77777777" w:rsidTr="005F44BC">
        <w:trPr>
          <w:cantSplit/>
        </w:trPr>
        <w:tc>
          <w:tcPr>
            <w:tcW w:w="2339" w:type="dxa"/>
          </w:tcPr>
          <w:p w14:paraId="388243C3" w14:textId="77777777" w:rsidR="005F44BC" w:rsidRPr="00C9343F" w:rsidRDefault="005F44BC" w:rsidP="00F66D98">
            <w:pPr>
              <w:pStyle w:val="TableTextArial-left"/>
              <w:jc w:val="center"/>
              <w:rPr>
                <w:rFonts w:cs="Arial"/>
              </w:rPr>
            </w:pPr>
            <w:r w:rsidRPr="00C9343F">
              <w:rPr>
                <w:rFonts w:cs="Arial"/>
              </w:rPr>
              <w:t>(Rank)</w:t>
            </w:r>
          </w:p>
        </w:tc>
        <w:tc>
          <w:tcPr>
            <w:tcW w:w="2339" w:type="dxa"/>
          </w:tcPr>
          <w:p w14:paraId="786E6960" w14:textId="77777777" w:rsidR="005F44BC" w:rsidRPr="00C9343F" w:rsidRDefault="005F44BC" w:rsidP="00F66D98">
            <w:pPr>
              <w:pStyle w:val="TableTextArial-left"/>
              <w:jc w:val="center"/>
              <w:rPr>
                <w:rFonts w:cs="Arial"/>
              </w:rPr>
            </w:pPr>
            <w:r w:rsidRPr="00C9343F">
              <w:rPr>
                <w:rFonts w:cs="Arial"/>
              </w:rPr>
              <w:t>(Last name)</w:t>
            </w:r>
          </w:p>
        </w:tc>
        <w:tc>
          <w:tcPr>
            <w:tcW w:w="2339" w:type="dxa"/>
          </w:tcPr>
          <w:p w14:paraId="3ECD8A67" w14:textId="77777777" w:rsidR="005F44BC" w:rsidRPr="00C9343F" w:rsidRDefault="005F44BC" w:rsidP="00F66D98">
            <w:pPr>
              <w:pStyle w:val="TableTextArial-left"/>
              <w:jc w:val="center"/>
              <w:rPr>
                <w:rFonts w:cs="Arial"/>
              </w:rPr>
            </w:pPr>
            <w:r w:rsidRPr="00C9343F">
              <w:rPr>
                <w:rFonts w:cs="Arial"/>
              </w:rPr>
              <w:t>(Given name)</w:t>
            </w:r>
          </w:p>
        </w:tc>
        <w:tc>
          <w:tcPr>
            <w:tcW w:w="2339" w:type="dxa"/>
          </w:tcPr>
          <w:p w14:paraId="6E435513" w14:textId="77777777" w:rsidR="005F44BC" w:rsidRPr="00C9343F" w:rsidRDefault="005F44BC" w:rsidP="00F66D98">
            <w:pPr>
              <w:pStyle w:val="TableTextArial-left"/>
              <w:jc w:val="center"/>
              <w:rPr>
                <w:rFonts w:cs="Arial"/>
              </w:rPr>
            </w:pPr>
            <w:r w:rsidRPr="00C9343F">
              <w:rPr>
                <w:rFonts w:cs="Arial"/>
              </w:rPr>
              <w:t>(Employee ID)</w:t>
            </w:r>
          </w:p>
        </w:tc>
      </w:tr>
    </w:tbl>
    <w:p w14:paraId="7DC70E34" w14:textId="77777777" w:rsidR="005F44BC" w:rsidRPr="00C9343F" w:rsidRDefault="005F44BC" w:rsidP="00F66D98">
      <w:pPr>
        <w:rPr>
          <w:rFonts w:cs="Arial"/>
        </w:rPr>
      </w:pPr>
    </w:p>
    <w:p w14:paraId="5878E79C" w14:textId="77777777" w:rsidR="005F44BC" w:rsidRPr="00C9343F" w:rsidRDefault="005F44BC" w:rsidP="00F66D98">
      <w:pPr>
        <w:pStyle w:val="BlockText-Plain"/>
        <w:rPr>
          <w:rFonts w:cs="Arial"/>
        </w:rPr>
      </w:pPr>
      <w:r w:rsidRPr="00C9343F">
        <w:rPr>
          <w:rFonts w:cs="Arial"/>
        </w:rPr>
        <w:t>verify that the member has met all requirements for payment of the retention bonus.</w:t>
      </w:r>
    </w:p>
    <w:tbl>
      <w:tblPr>
        <w:tblW w:w="0" w:type="auto"/>
        <w:tblInd w:w="1049" w:type="dxa"/>
        <w:tblLayout w:type="fixed"/>
        <w:tblCellMar>
          <w:left w:w="56" w:type="dxa"/>
          <w:right w:w="56" w:type="dxa"/>
        </w:tblCellMar>
        <w:tblLook w:val="0000" w:firstRow="0" w:lastRow="0" w:firstColumn="0" w:lastColumn="0" w:noHBand="0" w:noVBand="0"/>
      </w:tblPr>
      <w:tblGrid>
        <w:gridCol w:w="4150"/>
        <w:gridCol w:w="4213"/>
      </w:tblGrid>
      <w:tr w:rsidR="005F44BC" w:rsidRPr="00C9343F" w14:paraId="22A8767E" w14:textId="77777777" w:rsidTr="005F44BC">
        <w:trPr>
          <w:cantSplit/>
          <w:trHeight w:val="527"/>
        </w:trPr>
        <w:tc>
          <w:tcPr>
            <w:tcW w:w="4150" w:type="dxa"/>
          </w:tcPr>
          <w:p w14:paraId="315A3C4A" w14:textId="77777777" w:rsidR="005F44BC" w:rsidRPr="00C9343F" w:rsidRDefault="005F44BC" w:rsidP="00F66D98">
            <w:pPr>
              <w:pStyle w:val="TableHeaderArial"/>
              <w:ind w:left="851"/>
              <w:jc w:val="left"/>
              <w:rPr>
                <w:rFonts w:cs="Arial"/>
              </w:rPr>
            </w:pPr>
          </w:p>
        </w:tc>
        <w:tc>
          <w:tcPr>
            <w:tcW w:w="4213" w:type="dxa"/>
            <w:tcBorders>
              <w:bottom w:val="single" w:sz="4" w:space="0" w:color="auto"/>
            </w:tcBorders>
          </w:tcPr>
          <w:p w14:paraId="6DC7BCF2" w14:textId="77777777" w:rsidR="005F44BC" w:rsidRPr="00C9343F" w:rsidRDefault="005F44BC" w:rsidP="00F66D98">
            <w:pPr>
              <w:pStyle w:val="TableHeaderArial"/>
              <w:ind w:left="851"/>
              <w:jc w:val="left"/>
              <w:rPr>
                <w:rFonts w:cs="Arial"/>
              </w:rPr>
            </w:pPr>
          </w:p>
        </w:tc>
      </w:tr>
      <w:tr w:rsidR="005F44BC" w:rsidRPr="00C9343F" w14:paraId="6B1CC0BA" w14:textId="77777777" w:rsidTr="005F44BC">
        <w:trPr>
          <w:cantSplit/>
        </w:trPr>
        <w:tc>
          <w:tcPr>
            <w:tcW w:w="4150" w:type="dxa"/>
          </w:tcPr>
          <w:p w14:paraId="33D68CE0" w14:textId="77777777" w:rsidR="005F44BC" w:rsidRPr="00C9343F" w:rsidRDefault="005F44BC" w:rsidP="00F66D98">
            <w:pPr>
              <w:rPr>
                <w:rFonts w:cs="Arial"/>
              </w:rPr>
            </w:pPr>
          </w:p>
        </w:tc>
        <w:tc>
          <w:tcPr>
            <w:tcW w:w="4213" w:type="dxa"/>
          </w:tcPr>
          <w:p w14:paraId="48E743B1" w14:textId="77777777" w:rsidR="005F44BC" w:rsidRPr="00C9343F" w:rsidRDefault="005F44BC" w:rsidP="00F66D98">
            <w:pPr>
              <w:rPr>
                <w:rFonts w:cs="Arial"/>
                <w:sz w:val="20"/>
              </w:rPr>
            </w:pPr>
            <w:r w:rsidRPr="00C9343F">
              <w:rPr>
                <w:rFonts w:cs="Arial"/>
                <w:sz w:val="20"/>
              </w:rPr>
              <w:t xml:space="preserve">Approved                                </w:t>
            </w:r>
          </w:p>
        </w:tc>
      </w:tr>
      <w:tr w:rsidR="005F44BC" w:rsidRPr="00C9343F" w14:paraId="25AAC900" w14:textId="77777777" w:rsidTr="005F44BC">
        <w:trPr>
          <w:cantSplit/>
        </w:trPr>
        <w:tc>
          <w:tcPr>
            <w:tcW w:w="4150" w:type="dxa"/>
          </w:tcPr>
          <w:p w14:paraId="491AA132" w14:textId="77777777" w:rsidR="005F44BC" w:rsidRPr="00C9343F" w:rsidRDefault="005F44BC" w:rsidP="00F66D98">
            <w:pPr>
              <w:rPr>
                <w:rFonts w:cs="Arial"/>
              </w:rPr>
            </w:pPr>
          </w:p>
        </w:tc>
        <w:tc>
          <w:tcPr>
            <w:tcW w:w="4213" w:type="dxa"/>
          </w:tcPr>
          <w:p w14:paraId="1DA6DE4C" w14:textId="77777777" w:rsidR="005F44BC" w:rsidRPr="00C9343F" w:rsidRDefault="005F44BC" w:rsidP="00F66D98">
            <w:pPr>
              <w:rPr>
                <w:rFonts w:cs="Arial"/>
                <w:sz w:val="16"/>
                <w:szCs w:val="16"/>
              </w:rPr>
            </w:pPr>
            <w:r w:rsidRPr="00C9343F">
              <w:rPr>
                <w:rFonts w:cs="Arial"/>
                <w:sz w:val="16"/>
                <w:szCs w:val="16"/>
              </w:rPr>
              <w:t>Administrator authorised for and on behalf of the member's Service</w:t>
            </w:r>
          </w:p>
        </w:tc>
      </w:tr>
    </w:tbl>
    <w:p w14:paraId="75A205C2" w14:textId="1A804EAB" w:rsidR="005F44BC" w:rsidRPr="00C9343F" w:rsidRDefault="005F44BC" w:rsidP="00036C2A">
      <w:pPr>
        <w:pStyle w:val="Heading4"/>
        <w:pageBreakBefore/>
        <w:rPr>
          <w:szCs w:val="16"/>
        </w:rPr>
      </w:pPr>
      <w:bookmarkStart w:id="576" w:name="_Toc105053783"/>
      <w:r w:rsidRPr="00C9343F">
        <w:lastRenderedPageBreak/>
        <w:t>Annex 3.5.G: Navy – Individuals critical to Navy capability</w:t>
      </w:r>
      <w:bookmarkEnd w:id="576"/>
    </w:p>
    <w:p w14:paraId="63C3ED45" w14:textId="77777777" w:rsidR="005F44BC" w:rsidRPr="00C9343F" w:rsidRDefault="005F44BC" w:rsidP="00F66D98">
      <w:pPr>
        <w:spacing w:before="200" w:after="200"/>
        <w:rPr>
          <w:sz w:val="20"/>
        </w:rPr>
      </w:pPr>
      <w:r w:rsidRPr="00C9343F">
        <w:rPr>
          <w:b/>
          <w:sz w:val="20"/>
        </w:rPr>
        <w:t xml:space="preserve">Note: </w:t>
      </w:r>
      <w:r w:rsidRPr="00C9343F">
        <w:rPr>
          <w:sz w:val="20"/>
        </w:rPr>
        <w:t>This form is an approved form for the purposes of Chapter 1 Part 2 section 1.2.5, Forms.</w:t>
      </w:r>
    </w:p>
    <w:p w14:paraId="6E724B67" w14:textId="77777777" w:rsidR="005F44BC" w:rsidRPr="00C9343F" w:rsidRDefault="005F44BC" w:rsidP="00F66D98">
      <w:pPr>
        <w:pStyle w:val="BlockText-Plain"/>
        <w:spacing w:after="0"/>
        <w:rPr>
          <w:b/>
          <w:color w:val="000080"/>
          <w:sz w:val="16"/>
          <w:szCs w:val="16"/>
        </w:rPr>
      </w:pPr>
      <w:r w:rsidRPr="00C9343F">
        <w:rPr>
          <w:b/>
          <w:color w:val="000080"/>
          <w:sz w:val="16"/>
          <w:szCs w:val="16"/>
        </w:rPr>
        <w:t>This form is in two parts.</w:t>
      </w:r>
    </w:p>
    <w:p w14:paraId="31C3985E" w14:textId="77777777" w:rsidR="000D0DBE" w:rsidRPr="00C9343F" w:rsidRDefault="000D0DBE" w:rsidP="00F66D98">
      <w:pPr>
        <w:pStyle w:val="BlockText-Plain"/>
        <w:spacing w:after="0"/>
        <w:rPr>
          <w:b/>
          <w:color w:val="000080"/>
          <w:sz w:val="16"/>
          <w:szCs w:val="16"/>
        </w:rPr>
      </w:pPr>
    </w:p>
    <w:p w14:paraId="37B921FE" w14:textId="77777777" w:rsidR="005F44BC" w:rsidRPr="00C9343F" w:rsidRDefault="005F44BC" w:rsidP="00F66D98">
      <w:pPr>
        <w:pStyle w:val="BlockText-Plain"/>
        <w:spacing w:after="0"/>
        <w:rPr>
          <w:sz w:val="16"/>
          <w:szCs w:val="16"/>
        </w:rPr>
      </w:pPr>
      <w:r w:rsidRPr="00C9343F">
        <w:rPr>
          <w:sz w:val="16"/>
          <w:szCs w:val="16"/>
        </w:rPr>
        <w:t>Part A – provides information about the offer and the bonus scheme, and is for you to keep.</w:t>
      </w:r>
    </w:p>
    <w:p w14:paraId="5459F0ED" w14:textId="77777777" w:rsidR="005F44BC" w:rsidRPr="00C9343F" w:rsidRDefault="005F44BC" w:rsidP="00F66D98">
      <w:pPr>
        <w:pStyle w:val="BlockText-Plain"/>
        <w:spacing w:after="0"/>
        <w:rPr>
          <w:sz w:val="16"/>
          <w:szCs w:val="16"/>
        </w:rPr>
      </w:pPr>
      <w:r w:rsidRPr="00C9343F">
        <w:rPr>
          <w:sz w:val="16"/>
          <w:szCs w:val="16"/>
        </w:rPr>
        <w:t xml:space="preserve">Part B – your formal acceptance of the offer and your agreement to serve for an agreed period of up to two years. </w:t>
      </w:r>
    </w:p>
    <w:p w14:paraId="197CA445" w14:textId="77777777" w:rsidR="005F44BC" w:rsidRPr="00C9343F" w:rsidRDefault="005F44BC" w:rsidP="00F66D98">
      <w:pPr>
        <w:pStyle w:val="BlockText-Plain"/>
        <w:spacing w:after="0"/>
        <w:rPr>
          <w:b/>
          <w:sz w:val="24"/>
        </w:rPr>
      </w:pPr>
    </w:p>
    <w:p w14:paraId="5DB69B52" w14:textId="77777777" w:rsidR="005F44BC" w:rsidRPr="00C9343F" w:rsidRDefault="005F44BC" w:rsidP="00F66D98">
      <w:pPr>
        <w:pStyle w:val="BlockText-Plain"/>
        <w:spacing w:after="0"/>
      </w:pPr>
      <w:r w:rsidRPr="00C9343F">
        <w:t>You must also complete Annex 3.5.J,</w:t>
      </w:r>
      <w:r w:rsidRPr="00C9343F">
        <w:rPr>
          <w:b/>
          <w:sz w:val="24"/>
        </w:rPr>
        <w:t xml:space="preserve"> </w:t>
      </w:r>
      <w:r w:rsidRPr="00C9343F">
        <w:t>Bonus payment election, to advise how the bonus is to be paid.</w:t>
      </w:r>
    </w:p>
    <w:p w14:paraId="417171BB" w14:textId="77777777" w:rsidR="005F44BC" w:rsidRPr="00C9343F" w:rsidRDefault="005F44BC" w:rsidP="00F66D98">
      <w:pPr>
        <w:pStyle w:val="BlockText-Plain"/>
        <w:spacing w:after="0"/>
        <w:rPr>
          <w:color w:val="0000FF"/>
        </w:rPr>
      </w:pPr>
    </w:p>
    <w:p w14:paraId="3824DDB6" w14:textId="77777777" w:rsidR="005F44BC" w:rsidRPr="00C9343F" w:rsidRDefault="005F44BC" w:rsidP="00F66D98">
      <w:pPr>
        <w:pStyle w:val="BlockText-Plain"/>
        <w:rPr>
          <w:b/>
          <w:sz w:val="24"/>
        </w:rPr>
      </w:pPr>
      <w:r w:rsidRPr="00C9343F">
        <w:rPr>
          <w:b/>
          <w:sz w:val="24"/>
        </w:rPr>
        <w:t>Part A: Offer and information about the retention bonus scheme</w:t>
      </w:r>
    </w:p>
    <w:p w14:paraId="795A7398" w14:textId="77777777" w:rsidR="005F44BC" w:rsidRPr="00C9343F" w:rsidRDefault="005F44BC" w:rsidP="00F66D98">
      <w:pPr>
        <w:pStyle w:val="BlockText-Plain"/>
      </w:pPr>
      <w:r w:rsidRPr="00C9343F">
        <w:t>This Part provides information about the retention bonus you have been offered, and is for you to keep.</w:t>
      </w:r>
    </w:p>
    <w:p w14:paraId="1E117E50" w14:textId="77777777" w:rsidR="005F44BC" w:rsidRPr="00C9343F" w:rsidRDefault="005F44BC" w:rsidP="00F66D98">
      <w:pPr>
        <w:pStyle w:val="BlockText-Plain"/>
        <w:spacing w:after="0"/>
        <w:rPr>
          <w:rFonts w:cs="Arial"/>
        </w:rPr>
      </w:pPr>
      <w:r w:rsidRPr="00C9343F">
        <w:rPr>
          <w:rFonts w:cs="Arial"/>
        </w:rPr>
        <w:t xml:space="preserve">If you fill in and sign the acceptance form and the form in </w:t>
      </w:r>
      <w:r w:rsidRPr="00C9343F">
        <w:t>Annex 3.5.J</w:t>
      </w:r>
      <w:r w:rsidRPr="00C9343F">
        <w:rPr>
          <w:rFonts w:cs="Arial"/>
        </w:rPr>
        <w:t xml:space="preserve">, you are accepting an offer made to you under the </w:t>
      </w:r>
      <w:r w:rsidRPr="00C9343F">
        <w:t>Navy – Individuals critical to Navy capability retention bonus</w:t>
      </w:r>
      <w:r w:rsidRPr="00C9343F">
        <w:rPr>
          <w:rFonts w:cs="Arial"/>
        </w:rPr>
        <w:t xml:space="preserve"> authorised under Chapter 3 Part 5 Division 9 of </w:t>
      </w:r>
      <w:r w:rsidRPr="00C9343F">
        <w:rPr>
          <w:rFonts w:cs="Arial"/>
          <w:i/>
        </w:rPr>
        <w:t>Defence Determination 2016</w:t>
      </w:r>
      <w:r w:rsidRPr="00C9343F">
        <w:rPr>
          <w:rFonts w:cs="Arial"/>
          <w:i/>
          <w:color w:val="000000"/>
        </w:rPr>
        <w:t>/19</w:t>
      </w:r>
      <w:r w:rsidRPr="00C9343F">
        <w:rPr>
          <w:rFonts w:cs="Arial"/>
          <w:i/>
        </w:rPr>
        <w:t>,</w:t>
      </w:r>
      <w:r w:rsidRPr="00C9343F">
        <w:rPr>
          <w:rFonts w:cs="Arial"/>
        </w:rPr>
        <w:t xml:space="preserve"> </w:t>
      </w:r>
      <w:r w:rsidRPr="00C9343F">
        <w:rPr>
          <w:rFonts w:cs="Arial"/>
          <w:i/>
        </w:rPr>
        <w:t>Conditions of service</w:t>
      </w:r>
      <w:r w:rsidRPr="00C9343F">
        <w:rPr>
          <w:rFonts w:cs="Arial"/>
        </w:rPr>
        <w:t xml:space="preserve">, made under section 58B of the </w:t>
      </w:r>
      <w:r w:rsidRPr="00C9343F">
        <w:rPr>
          <w:rFonts w:cs="Arial"/>
          <w:i/>
        </w:rPr>
        <w:t>Defence Act 1903</w:t>
      </w:r>
      <w:r w:rsidRPr="00C9343F">
        <w:rPr>
          <w:rFonts w:cs="Arial"/>
        </w:rPr>
        <w:t xml:space="preserve"> ('the Determination'). </w:t>
      </w:r>
    </w:p>
    <w:p w14:paraId="202792B7" w14:textId="77777777" w:rsidR="005F44BC" w:rsidRPr="00C9343F" w:rsidRDefault="005F44BC" w:rsidP="00F66D98">
      <w:pPr>
        <w:pStyle w:val="BlockText-Plain"/>
        <w:spacing w:after="0"/>
        <w:rPr>
          <w:rFonts w:cs="Arial"/>
        </w:rPr>
      </w:pPr>
    </w:p>
    <w:p w14:paraId="29342D2E" w14:textId="77777777" w:rsidR="005F44BC" w:rsidRPr="00C9343F" w:rsidRDefault="005F44BC" w:rsidP="00F66D98">
      <w:pPr>
        <w:pStyle w:val="BlockText-Plain"/>
        <w:spacing w:after="0"/>
        <w:rPr>
          <w:b/>
          <w:sz w:val="24"/>
        </w:rPr>
      </w:pPr>
      <w:r w:rsidRPr="00C9343F">
        <w:rPr>
          <w:b/>
          <w:sz w:val="24"/>
        </w:rPr>
        <w:t>Offer</w:t>
      </w:r>
    </w:p>
    <w:p w14:paraId="51B6081D" w14:textId="77777777" w:rsidR="005F44BC" w:rsidRPr="00C9343F" w:rsidRDefault="005F44BC" w:rsidP="00F66D98">
      <w:pPr>
        <w:pStyle w:val="BlockText-Plain"/>
        <w:spacing w:after="0"/>
        <w:rPr>
          <w:rFonts w:cs="Arial"/>
        </w:rPr>
      </w:pPr>
      <w:r w:rsidRPr="00C9343F">
        <w:rPr>
          <w:rFonts w:cs="Arial"/>
        </w:rPr>
        <w:t>The offer made is as follows:</w:t>
      </w:r>
    </w:p>
    <w:p w14:paraId="4F622889" w14:textId="77777777" w:rsidR="005F44BC" w:rsidRPr="00C9343F" w:rsidRDefault="005F44BC" w:rsidP="00F66D98">
      <w:pPr>
        <w:pStyle w:val="BlockText-Plain"/>
        <w:spacing w:after="0"/>
        <w:rPr>
          <w:rFonts w:cs="Arial"/>
          <w:color w:val="0000FF"/>
        </w:rPr>
      </w:pPr>
    </w:p>
    <w:p w14:paraId="03B9EE1C" w14:textId="77777777" w:rsidR="005F44BC" w:rsidRPr="00C9343F" w:rsidRDefault="005F44BC" w:rsidP="00F66D98">
      <w:pPr>
        <w:pStyle w:val="BlockText-Plain"/>
        <w:spacing w:after="0"/>
        <w:rPr>
          <w:rFonts w:cs="Arial"/>
        </w:rPr>
      </w:pPr>
    </w:p>
    <w:p w14:paraId="0EF04F96" w14:textId="4EFCE4A4" w:rsidR="005F44BC" w:rsidRPr="00C9343F" w:rsidRDefault="00D94006" w:rsidP="00F66D98">
      <w:pPr>
        <w:pStyle w:val="BlockText-Plain"/>
        <w:spacing w:after="0"/>
        <w:rPr>
          <w:rFonts w:cs="Arial"/>
        </w:rPr>
      </w:pPr>
      <w:r w:rsidRPr="00C9343F">
        <w:rPr>
          <w:rFonts w:cs="Arial"/>
        </w:rPr>
        <w:t>                                                                                                                                                                               </w:t>
      </w:r>
      <w:r w:rsidR="005F44BC" w:rsidRPr="00C9343F">
        <w:rPr>
          <w:rFonts w:cs="Arial"/>
        </w:rPr>
        <w:t>[</w:t>
      </w:r>
      <w:r w:rsidR="005F44BC" w:rsidRPr="00C9343F">
        <w:rPr>
          <w:rFonts w:cs="Arial"/>
          <w:i/>
        </w:rPr>
        <w:t>member's name</w:t>
      </w:r>
      <w:r w:rsidR="005F44BC" w:rsidRPr="00C9343F">
        <w:rPr>
          <w:rFonts w:cs="Arial"/>
        </w:rPr>
        <w:t xml:space="preserve">] is hereby offered a bonus by </w:t>
      </w:r>
      <w:r w:rsidR="008E74F4" w:rsidRPr="00C9343F">
        <w:rPr>
          <w:iCs/>
        </w:rPr>
        <w:t>Director Navy Career Performance and Support/Deputy Director Navy Career Performance and Support</w:t>
      </w:r>
      <w:r w:rsidR="008E74F4" w:rsidRPr="00C9343F" w:rsidDel="008E74F4">
        <w:t xml:space="preserve"> </w:t>
      </w:r>
      <w:r w:rsidR="005F44BC" w:rsidRPr="00C9343F">
        <w:rPr>
          <w:rFonts w:cs="Arial"/>
        </w:rPr>
        <w:t>[</w:t>
      </w:r>
      <w:r w:rsidR="005F44BC" w:rsidRPr="00C9343F">
        <w:rPr>
          <w:rFonts w:cs="Arial"/>
          <w:i/>
        </w:rPr>
        <w:t>delete whichever is irrelevant</w:t>
      </w:r>
      <w:r w:rsidR="005F44BC" w:rsidRPr="00C9343F">
        <w:rPr>
          <w:rFonts w:cs="Arial"/>
        </w:rPr>
        <w:t xml:space="preserve">].  </w:t>
      </w:r>
    </w:p>
    <w:p w14:paraId="3429F5CD" w14:textId="77777777" w:rsidR="005F44BC" w:rsidRPr="00C9343F" w:rsidRDefault="005F44BC" w:rsidP="00F66D98">
      <w:pPr>
        <w:pStyle w:val="BlockText-Plain"/>
        <w:spacing w:after="0"/>
        <w:rPr>
          <w:rFonts w:cs="Arial"/>
        </w:rPr>
      </w:pPr>
    </w:p>
    <w:p w14:paraId="48C777D0" w14:textId="6CB7BA04" w:rsidR="005F44BC" w:rsidRPr="00C9343F" w:rsidRDefault="005F44BC" w:rsidP="00F66D98">
      <w:pPr>
        <w:pStyle w:val="BlockText-Plain"/>
        <w:spacing w:after="0"/>
        <w:rPr>
          <w:rFonts w:cs="Arial"/>
        </w:rPr>
      </w:pPr>
      <w:r w:rsidRPr="00C9343F">
        <w:rPr>
          <w:rFonts w:cs="Arial"/>
        </w:rPr>
        <w:t>The bonus offered is an amount of $</w:t>
      </w:r>
      <w:r w:rsidR="00D94006" w:rsidRPr="00C9343F">
        <w:rPr>
          <w:rFonts w:cs="Arial"/>
        </w:rPr>
        <w:t>                                           </w:t>
      </w:r>
      <w:r w:rsidRPr="00C9343F">
        <w:rPr>
          <w:rFonts w:cs="Arial"/>
        </w:rPr>
        <w:t>..which has been approved by the</w:t>
      </w:r>
      <w:r w:rsidRPr="00C9343F">
        <w:t xml:space="preserve"> Director General Navy People</w:t>
      </w:r>
      <w:r w:rsidRPr="00C9343F">
        <w:rPr>
          <w:rFonts w:cs="Arial"/>
        </w:rPr>
        <w:t>.</w:t>
      </w:r>
    </w:p>
    <w:p w14:paraId="274C4533" w14:textId="77777777" w:rsidR="005F44BC" w:rsidRPr="00C9343F" w:rsidRDefault="005F44BC" w:rsidP="00F66D98">
      <w:pPr>
        <w:pStyle w:val="BlockText-Plain"/>
        <w:spacing w:after="0"/>
        <w:rPr>
          <w:rFonts w:cs="Arial"/>
        </w:rPr>
      </w:pPr>
    </w:p>
    <w:p w14:paraId="340778D0" w14:textId="77777777" w:rsidR="005F44BC" w:rsidRPr="00C9343F" w:rsidRDefault="005F44BC" w:rsidP="00F66D98">
      <w:pPr>
        <w:pStyle w:val="BlockText-Plain"/>
        <w:spacing w:after="0"/>
        <w:rPr>
          <w:rFonts w:cs="Arial"/>
        </w:rPr>
      </w:pPr>
      <w:r w:rsidRPr="00C9343F">
        <w:rPr>
          <w:rFonts w:cs="Arial"/>
        </w:rPr>
        <w:t xml:space="preserve">If the offer is accepted, the member must perform a period of </w:t>
      </w:r>
    </w:p>
    <w:p w14:paraId="1DB2A1C0" w14:textId="77777777" w:rsidR="005F44BC" w:rsidRPr="00C9343F" w:rsidRDefault="005F44BC" w:rsidP="00F66D98">
      <w:pPr>
        <w:pStyle w:val="BlockText-Plain"/>
        <w:spacing w:after="0"/>
        <w:rPr>
          <w:rFonts w:cs="Arial"/>
        </w:rPr>
      </w:pPr>
    </w:p>
    <w:p w14:paraId="68F40296" w14:textId="789C755D" w:rsidR="005F44BC" w:rsidRPr="00C9343F" w:rsidRDefault="00D94006" w:rsidP="00F66D98">
      <w:pPr>
        <w:pStyle w:val="BlockText-Plain"/>
        <w:spacing w:after="0"/>
        <w:rPr>
          <w:rFonts w:cs="Arial"/>
        </w:rPr>
      </w:pPr>
      <w:r w:rsidRPr="00C9343F">
        <w:rPr>
          <w:rFonts w:cs="Arial"/>
        </w:rPr>
        <w:t>                                                                                                                                        </w:t>
      </w:r>
      <w:r w:rsidR="005F44BC" w:rsidRPr="00C9343F">
        <w:rPr>
          <w:rFonts w:cs="Arial"/>
        </w:rPr>
        <w:t>..service (the 'agreed period of service') in the following</w:t>
      </w:r>
      <w:r w:rsidR="005F44BC" w:rsidRPr="00C9343F">
        <w:t xml:space="preserve"> position, employment category or primary qualification</w:t>
      </w:r>
      <w:r w:rsidR="005F44BC" w:rsidRPr="00C9343F">
        <w:rPr>
          <w:rFonts w:cs="Arial"/>
        </w:rPr>
        <w:t>:</w:t>
      </w:r>
    </w:p>
    <w:p w14:paraId="74142B67" w14:textId="77777777" w:rsidR="005F44BC" w:rsidRPr="00C9343F" w:rsidRDefault="005F44BC" w:rsidP="00F66D98">
      <w:pPr>
        <w:pStyle w:val="BlockText-Plain"/>
        <w:spacing w:after="0"/>
        <w:rPr>
          <w:rFonts w:cs="Arial"/>
        </w:rPr>
      </w:pPr>
    </w:p>
    <w:p w14:paraId="44D1F25F" w14:textId="7D054EFC" w:rsidR="005F44BC" w:rsidRPr="00C9343F" w:rsidRDefault="00D94006" w:rsidP="00F66D98">
      <w:pPr>
        <w:pStyle w:val="BlockText-Plain"/>
        <w:spacing w:after="0"/>
        <w:rPr>
          <w:rFonts w:cs="Arial"/>
        </w:rPr>
      </w:pPr>
      <w:r w:rsidRPr="00C9343F">
        <w:rPr>
          <w:rFonts w:cs="Arial"/>
        </w:rPr>
        <w:t>                                                                                                                                                                                                                                       </w:t>
      </w:r>
    </w:p>
    <w:p w14:paraId="454C0C57" w14:textId="77777777" w:rsidR="005F44BC" w:rsidRPr="00C9343F" w:rsidRDefault="005F44BC" w:rsidP="00F66D98">
      <w:pPr>
        <w:pStyle w:val="BlockText-Plain"/>
        <w:spacing w:after="0"/>
        <w:rPr>
          <w:rFonts w:cs="Arial"/>
        </w:rPr>
      </w:pPr>
    </w:p>
    <w:p w14:paraId="118239AE" w14:textId="77777777" w:rsidR="005F44BC" w:rsidRPr="00C9343F" w:rsidRDefault="005F44BC" w:rsidP="00F66D98">
      <w:pPr>
        <w:pStyle w:val="BlockText-Plain"/>
        <w:spacing w:after="0"/>
        <w:rPr>
          <w:rFonts w:cs="Arial"/>
        </w:rPr>
      </w:pPr>
      <w:r w:rsidRPr="00C9343F">
        <w:rPr>
          <w:rFonts w:cs="Arial"/>
        </w:rPr>
        <w:t>Signed this day by:</w:t>
      </w:r>
    </w:p>
    <w:p w14:paraId="4BEB740B" w14:textId="77777777" w:rsidR="005F44BC" w:rsidRPr="00C9343F" w:rsidRDefault="005F44BC" w:rsidP="00F66D98">
      <w:pPr>
        <w:pStyle w:val="BlockText-Plain"/>
        <w:spacing w:after="0"/>
        <w:rPr>
          <w:rFonts w:cs="Arial"/>
        </w:rPr>
      </w:pPr>
    </w:p>
    <w:p w14:paraId="22CFADCD" w14:textId="77777777" w:rsidR="005F44BC" w:rsidRPr="00C9343F" w:rsidRDefault="005F44BC" w:rsidP="00F66D98">
      <w:pPr>
        <w:pStyle w:val="BlockText-Plain"/>
        <w:spacing w:after="0"/>
        <w:rPr>
          <w:rFonts w:cs="Arial"/>
        </w:rPr>
      </w:pPr>
    </w:p>
    <w:p w14:paraId="144B6937" w14:textId="77777777" w:rsidR="005F44BC" w:rsidRPr="00C9343F" w:rsidRDefault="005F44BC" w:rsidP="00F66D98">
      <w:pPr>
        <w:pStyle w:val="BlockText-Plain"/>
        <w:spacing w:after="0"/>
        <w:rPr>
          <w:rFonts w:cs="Arial"/>
        </w:rPr>
      </w:pPr>
    </w:p>
    <w:p w14:paraId="2C10315B" w14:textId="77777777" w:rsidR="005F44BC" w:rsidRPr="00C9343F" w:rsidRDefault="005F44BC" w:rsidP="00F66D98">
      <w:pPr>
        <w:pStyle w:val="BlockText-Plain"/>
        <w:spacing w:after="0"/>
        <w:rPr>
          <w:rFonts w:cs="Arial"/>
        </w:rPr>
      </w:pPr>
    </w:p>
    <w:p w14:paraId="044249C0" w14:textId="77777777" w:rsidR="005F44BC" w:rsidRPr="00C9343F" w:rsidRDefault="005F44BC" w:rsidP="00F66D98">
      <w:pPr>
        <w:pStyle w:val="BlockText-Plain"/>
        <w:spacing w:after="0"/>
        <w:rPr>
          <w:rFonts w:cs="Arial"/>
        </w:rPr>
      </w:pPr>
    </w:p>
    <w:p w14:paraId="7E140E7B" w14:textId="35FB357A" w:rsidR="005F44BC" w:rsidRPr="00C9343F" w:rsidRDefault="005F44BC" w:rsidP="00F66D98">
      <w:pPr>
        <w:pStyle w:val="BlockText-Plain"/>
        <w:spacing w:after="0"/>
        <w:rPr>
          <w:rFonts w:cs="Arial"/>
        </w:rPr>
      </w:pPr>
      <w:r w:rsidRPr="00C9343F">
        <w:rPr>
          <w:rFonts w:cs="Arial"/>
        </w:rPr>
        <w:t>Name:</w:t>
      </w:r>
      <w:r w:rsidR="00D94006" w:rsidRPr="00C9343F">
        <w:rPr>
          <w:rFonts w:cs="Arial"/>
        </w:rPr>
        <w:t>                                                                                                       </w:t>
      </w:r>
      <w:r w:rsidRPr="00C9343F">
        <w:rPr>
          <w:rFonts w:cs="Arial"/>
        </w:rPr>
        <w:t>Rank:</w:t>
      </w:r>
      <w:r w:rsidR="00D94006" w:rsidRPr="00C9343F">
        <w:rPr>
          <w:rFonts w:cs="Arial"/>
        </w:rPr>
        <w:t>                                                                                                           </w:t>
      </w:r>
      <w:r w:rsidRPr="00C9343F">
        <w:rPr>
          <w:rFonts w:cs="Arial"/>
        </w:rPr>
        <w:t>.</w:t>
      </w:r>
    </w:p>
    <w:p w14:paraId="627C8CAD" w14:textId="2640106C" w:rsidR="005F44BC" w:rsidRPr="00C9343F" w:rsidRDefault="008E74F4" w:rsidP="00F66D98">
      <w:pPr>
        <w:pStyle w:val="BlockText-Plain"/>
        <w:spacing w:after="0"/>
        <w:rPr>
          <w:rFonts w:cs="Arial"/>
        </w:rPr>
      </w:pPr>
      <w:r w:rsidRPr="00C9343F">
        <w:rPr>
          <w:iCs/>
        </w:rPr>
        <w:t>Director Navy Career Performance and Support/Deputy Director Navy Career Performance and Support</w:t>
      </w:r>
      <w:r w:rsidRPr="00C9343F" w:rsidDel="008E74F4">
        <w:t xml:space="preserve"> </w:t>
      </w:r>
      <w:r w:rsidR="005F44BC" w:rsidRPr="00C9343F">
        <w:rPr>
          <w:rFonts w:cs="Arial"/>
        </w:rPr>
        <w:t>[</w:t>
      </w:r>
      <w:r w:rsidR="005F44BC" w:rsidRPr="00C9343F">
        <w:rPr>
          <w:rFonts w:cs="Arial"/>
          <w:i/>
        </w:rPr>
        <w:t>delete whichever is irrelevant</w:t>
      </w:r>
      <w:r w:rsidR="005F44BC" w:rsidRPr="00C9343F">
        <w:rPr>
          <w:rFonts w:cs="Arial"/>
        </w:rPr>
        <w:t xml:space="preserve">].  </w:t>
      </w:r>
    </w:p>
    <w:p w14:paraId="5F2DBCC3" w14:textId="77777777" w:rsidR="005F44BC" w:rsidRPr="00C9343F" w:rsidRDefault="005F44BC" w:rsidP="00F66D98">
      <w:pPr>
        <w:pStyle w:val="BlockText-Plain"/>
        <w:spacing w:after="0"/>
        <w:rPr>
          <w:rFonts w:cs="Arial"/>
          <w:color w:val="0000FF"/>
        </w:rPr>
      </w:pPr>
    </w:p>
    <w:p w14:paraId="78AF5E9A" w14:textId="77777777" w:rsidR="005F44BC" w:rsidRPr="00C9343F" w:rsidRDefault="005F44BC" w:rsidP="00F66D98">
      <w:pPr>
        <w:pStyle w:val="BlockText-Plain"/>
        <w:spacing w:after="0"/>
        <w:rPr>
          <w:rFonts w:cs="Arial"/>
        </w:rPr>
      </w:pPr>
      <w:r w:rsidRPr="00C9343F">
        <w:rPr>
          <w:b/>
          <w:color w:val="0000FF"/>
          <w:sz w:val="24"/>
        </w:rPr>
        <w:br w:type="page"/>
      </w:r>
      <w:r w:rsidRPr="00C9343F">
        <w:rPr>
          <w:b/>
          <w:sz w:val="24"/>
        </w:rPr>
        <w:lastRenderedPageBreak/>
        <w:t>Information about the retention bonus scheme</w:t>
      </w:r>
    </w:p>
    <w:p w14:paraId="7ACD2B02" w14:textId="77777777" w:rsidR="005F44BC" w:rsidRPr="00C9343F" w:rsidRDefault="005F44BC" w:rsidP="00F66D98">
      <w:pPr>
        <w:pStyle w:val="BlockText-Plain"/>
        <w:rPr>
          <w:rFonts w:cs="Arial"/>
        </w:rPr>
      </w:pPr>
      <w:r w:rsidRPr="00C9343F">
        <w:rPr>
          <w:rFonts w:cs="Arial"/>
        </w:rPr>
        <w:t>I understand that my acceptance of this retention bonus is subject to the following terms and conditions.</w:t>
      </w:r>
    </w:p>
    <w:tbl>
      <w:tblPr>
        <w:tblW w:w="0" w:type="auto"/>
        <w:tblInd w:w="108" w:type="dxa"/>
        <w:tblLayout w:type="fixed"/>
        <w:tblLook w:val="0000" w:firstRow="0" w:lastRow="0" w:firstColumn="0" w:lastColumn="0" w:noHBand="0" w:noVBand="0"/>
      </w:tblPr>
      <w:tblGrid>
        <w:gridCol w:w="993"/>
        <w:gridCol w:w="8363"/>
      </w:tblGrid>
      <w:tr w:rsidR="005F44BC" w:rsidRPr="00C9343F" w14:paraId="1B010F26" w14:textId="77777777" w:rsidTr="005F44BC">
        <w:tc>
          <w:tcPr>
            <w:tcW w:w="993" w:type="dxa"/>
          </w:tcPr>
          <w:p w14:paraId="2BF7EFAD" w14:textId="77777777" w:rsidR="005F44BC" w:rsidRPr="00C9343F" w:rsidRDefault="005F44BC" w:rsidP="00F66D98">
            <w:pPr>
              <w:pStyle w:val="BlockText-Plain"/>
              <w:jc w:val="center"/>
            </w:pPr>
            <w:r w:rsidRPr="00C9343F">
              <w:t>1.</w:t>
            </w:r>
          </w:p>
        </w:tc>
        <w:tc>
          <w:tcPr>
            <w:tcW w:w="8363" w:type="dxa"/>
          </w:tcPr>
          <w:p w14:paraId="61B294BD" w14:textId="77777777" w:rsidR="005F44BC" w:rsidRPr="00C9343F" w:rsidRDefault="005F44BC" w:rsidP="00F66D98">
            <w:pPr>
              <w:pStyle w:val="BlockText-Plain"/>
            </w:pPr>
            <w:r w:rsidRPr="00C9343F">
              <w:t xml:space="preserve">I hold a position, employment category, </w:t>
            </w:r>
            <w:r w:rsidRPr="00C9343F">
              <w:rPr>
                <w:rFonts w:cs="Arial"/>
              </w:rPr>
              <w:t xml:space="preserve">primary qualification or skill set </w:t>
            </w:r>
            <w:r w:rsidRPr="00C9343F">
              <w:t>for which I have been offered a bonus under this Division.</w:t>
            </w:r>
          </w:p>
        </w:tc>
      </w:tr>
      <w:tr w:rsidR="005F44BC" w:rsidRPr="00C9343F" w14:paraId="17821109" w14:textId="77777777" w:rsidTr="005F44BC">
        <w:tc>
          <w:tcPr>
            <w:tcW w:w="993" w:type="dxa"/>
          </w:tcPr>
          <w:p w14:paraId="12AEDB48" w14:textId="77777777" w:rsidR="005F44BC" w:rsidRPr="00C9343F" w:rsidRDefault="005F44BC" w:rsidP="00F66D98">
            <w:pPr>
              <w:pStyle w:val="BlockText-Plain"/>
              <w:jc w:val="center"/>
            </w:pPr>
            <w:r w:rsidRPr="00C9343F">
              <w:t>2.</w:t>
            </w:r>
          </w:p>
        </w:tc>
        <w:tc>
          <w:tcPr>
            <w:tcW w:w="8363" w:type="dxa"/>
          </w:tcPr>
          <w:p w14:paraId="591F0EA7" w14:textId="77777777" w:rsidR="005F44BC" w:rsidRPr="00C9343F" w:rsidRDefault="007448DD" w:rsidP="00F66D98">
            <w:pPr>
              <w:pStyle w:val="BlockText-Plain"/>
            </w:pPr>
            <w:r w:rsidRPr="00C9343F">
              <w:t>My service in the Permanent Forces is not expected to end before the last day of the agreed period of effective service due to reaching retirement age, the end of the period for which I have been given permission to serve beyond my retirement age, or the completion of a fixed period of service.</w:t>
            </w:r>
          </w:p>
        </w:tc>
      </w:tr>
      <w:tr w:rsidR="005F44BC" w:rsidRPr="00C9343F" w14:paraId="28F983FF" w14:textId="77777777" w:rsidTr="005F44BC">
        <w:tc>
          <w:tcPr>
            <w:tcW w:w="993" w:type="dxa"/>
          </w:tcPr>
          <w:p w14:paraId="73D43D1D" w14:textId="77777777" w:rsidR="005F44BC" w:rsidRPr="00C9343F" w:rsidRDefault="005F44BC" w:rsidP="00F66D98">
            <w:pPr>
              <w:pStyle w:val="BlockText-Plain"/>
              <w:jc w:val="center"/>
            </w:pPr>
            <w:r w:rsidRPr="00C9343F">
              <w:t>3.</w:t>
            </w:r>
          </w:p>
        </w:tc>
        <w:tc>
          <w:tcPr>
            <w:tcW w:w="8363" w:type="dxa"/>
          </w:tcPr>
          <w:p w14:paraId="3039803D" w14:textId="77777777" w:rsidR="005F44BC" w:rsidRPr="00C9343F" w:rsidRDefault="005F44BC" w:rsidP="00F66D98">
            <w:pPr>
              <w:pStyle w:val="BlockText-Plain"/>
            </w:pPr>
            <w:r w:rsidRPr="00C9343F">
              <w:t>On joining the scheme, I will be paid the amount of retention bonus that was offered to me.</w:t>
            </w:r>
          </w:p>
        </w:tc>
      </w:tr>
      <w:tr w:rsidR="005F44BC" w:rsidRPr="00C9343F" w14:paraId="6F55C1D2" w14:textId="77777777" w:rsidTr="005F44BC">
        <w:tc>
          <w:tcPr>
            <w:tcW w:w="993" w:type="dxa"/>
          </w:tcPr>
          <w:p w14:paraId="07498D54" w14:textId="77777777" w:rsidR="005F44BC" w:rsidRPr="00C9343F" w:rsidRDefault="005F44BC" w:rsidP="00F66D98">
            <w:pPr>
              <w:pStyle w:val="BlockText-Plain"/>
              <w:jc w:val="center"/>
            </w:pPr>
            <w:r w:rsidRPr="00C9343F">
              <w:t>4.</w:t>
            </w:r>
          </w:p>
        </w:tc>
        <w:tc>
          <w:tcPr>
            <w:tcW w:w="8363" w:type="dxa"/>
          </w:tcPr>
          <w:p w14:paraId="2BBF9221" w14:textId="77777777" w:rsidR="005F44BC" w:rsidRPr="00C9343F" w:rsidRDefault="005F44BC" w:rsidP="00F66D98">
            <w:pPr>
              <w:pStyle w:val="BlockText-Plain"/>
            </w:pPr>
            <w:r w:rsidRPr="00C9343F">
              <w:t>If I accept the offer of a retention bonus under this Division, I must serve the period specified in the offer. This period is called my 'agreed period of effective service' and I must serve it in the position, employment category or primary qualification for which the bonus was offered to me.</w:t>
            </w:r>
          </w:p>
        </w:tc>
      </w:tr>
      <w:tr w:rsidR="005F44BC" w:rsidRPr="00C9343F" w14:paraId="4F0F4279" w14:textId="77777777" w:rsidTr="005F44BC">
        <w:tc>
          <w:tcPr>
            <w:tcW w:w="993" w:type="dxa"/>
          </w:tcPr>
          <w:p w14:paraId="47F97A38" w14:textId="77777777" w:rsidR="005F44BC" w:rsidRPr="00C9343F" w:rsidRDefault="005F44BC" w:rsidP="00F66D98">
            <w:pPr>
              <w:pStyle w:val="BlockText-Plain"/>
              <w:jc w:val="center"/>
            </w:pPr>
            <w:r w:rsidRPr="00C9343F">
              <w:t>5.</w:t>
            </w:r>
          </w:p>
        </w:tc>
        <w:tc>
          <w:tcPr>
            <w:tcW w:w="8363" w:type="dxa"/>
          </w:tcPr>
          <w:p w14:paraId="48D28398" w14:textId="77777777" w:rsidR="005F44BC" w:rsidRPr="00C9343F" w:rsidRDefault="005F44BC" w:rsidP="00F66D98">
            <w:pPr>
              <w:pStyle w:val="BlockText-Plain"/>
            </w:pPr>
            <w:r w:rsidRPr="00C9343F">
              <w:t>If I leave the position, employment category or primary qualification for which the bonus was offered to me by Navy for a reason within my control, I may have to repay a part of the bonus.</w:t>
            </w:r>
          </w:p>
        </w:tc>
      </w:tr>
      <w:tr w:rsidR="005F44BC" w:rsidRPr="00C9343F" w14:paraId="78119813" w14:textId="77777777" w:rsidTr="005F44BC">
        <w:tc>
          <w:tcPr>
            <w:tcW w:w="993" w:type="dxa"/>
          </w:tcPr>
          <w:p w14:paraId="1775F726" w14:textId="77777777" w:rsidR="005F44BC" w:rsidRPr="00C9343F" w:rsidRDefault="005F44BC" w:rsidP="00F66D98">
            <w:pPr>
              <w:pStyle w:val="BlockText-Plain"/>
              <w:jc w:val="center"/>
            </w:pPr>
            <w:r w:rsidRPr="00C9343F">
              <w:t>6.</w:t>
            </w:r>
          </w:p>
        </w:tc>
        <w:tc>
          <w:tcPr>
            <w:tcW w:w="8363" w:type="dxa"/>
          </w:tcPr>
          <w:p w14:paraId="23972275" w14:textId="77777777" w:rsidR="005F44BC" w:rsidRPr="00C9343F" w:rsidRDefault="007448DD" w:rsidP="00F66D98">
            <w:pPr>
              <w:pStyle w:val="BlockText-Plain"/>
            </w:pPr>
            <w:r w:rsidRPr="00C9343F">
              <w:t>I may not be asked to repay part of the bonus if I do not complete the agreed period of service for a reason beyond my control. Examples are if I transfer out of the trade, employment category or primary qualification I am in for Service reasons; my service is terminated because of redundancy or for medical reasons; or I die.</w:t>
            </w:r>
          </w:p>
        </w:tc>
      </w:tr>
      <w:tr w:rsidR="005F44BC" w:rsidRPr="00C9343F" w14:paraId="29F0C6EC" w14:textId="77777777" w:rsidTr="005F44BC">
        <w:tc>
          <w:tcPr>
            <w:tcW w:w="993" w:type="dxa"/>
          </w:tcPr>
          <w:p w14:paraId="56040C3C" w14:textId="77777777" w:rsidR="005F44BC" w:rsidRPr="00C9343F" w:rsidRDefault="005F44BC" w:rsidP="00F66D98">
            <w:pPr>
              <w:pStyle w:val="BlockText-Plain"/>
              <w:jc w:val="center"/>
            </w:pPr>
            <w:r w:rsidRPr="00C9343F">
              <w:t>7.</w:t>
            </w:r>
          </w:p>
        </w:tc>
        <w:tc>
          <w:tcPr>
            <w:tcW w:w="8363" w:type="dxa"/>
          </w:tcPr>
          <w:p w14:paraId="74563309" w14:textId="77777777" w:rsidR="005F44BC" w:rsidRPr="00C9343F" w:rsidRDefault="005F44BC" w:rsidP="00F66D98">
            <w:pPr>
              <w:pStyle w:val="BlockText-Plain"/>
              <w:rPr>
                <w:i/>
              </w:rPr>
            </w:pPr>
            <w:r w:rsidRPr="00C9343F">
              <w:t xml:space="preserve">If I start to serve an undertaking for further service under Part 8 of the </w:t>
            </w:r>
            <w:r w:rsidRPr="00C9343F">
              <w:rPr>
                <w:i/>
              </w:rPr>
              <w:t>Military Superannuation and Benefits Act 1991</w:t>
            </w:r>
            <w:r w:rsidRPr="00C9343F">
              <w:t xml:space="preserve"> (as preserved by item 4 of Schedule 4 of the </w:t>
            </w:r>
            <w:r w:rsidRPr="00C9343F">
              <w:rPr>
                <w:i/>
              </w:rPr>
              <w:t>Defence Legislation Amendment Act (No. 1) 2005</w:t>
            </w:r>
            <w:r w:rsidRPr="00C9343F">
              <w:t>)</w:t>
            </w:r>
            <w:r w:rsidRPr="00C9343F">
              <w:rPr>
                <w:i/>
              </w:rPr>
              <w:t xml:space="preserve"> </w:t>
            </w:r>
            <w:r w:rsidRPr="00C9343F">
              <w:t>('an MSBS undertaking') before I finish the retention bonus, I may not finish my agreed period of service for the retention bonus until after I have completed the MSBS undertaking.</w:t>
            </w:r>
          </w:p>
        </w:tc>
      </w:tr>
      <w:tr w:rsidR="005F44BC" w:rsidRPr="00C9343F" w14:paraId="7EE12499" w14:textId="77777777" w:rsidTr="005F44BC">
        <w:tblPrEx>
          <w:tblCellMar>
            <w:left w:w="56" w:type="dxa"/>
            <w:right w:w="56" w:type="dxa"/>
          </w:tblCellMar>
        </w:tblPrEx>
        <w:trPr>
          <w:cantSplit/>
        </w:trPr>
        <w:tc>
          <w:tcPr>
            <w:tcW w:w="993" w:type="dxa"/>
          </w:tcPr>
          <w:p w14:paraId="150C1FE2" w14:textId="77777777" w:rsidR="005F44BC" w:rsidRPr="00C9343F" w:rsidRDefault="005F44BC" w:rsidP="00F66D98">
            <w:pPr>
              <w:pStyle w:val="TableTextArial-leftCharChar"/>
              <w:jc w:val="center"/>
              <w:rPr>
                <w:rFonts w:cs="Arial"/>
                <w:sz w:val="20"/>
              </w:rPr>
            </w:pPr>
            <w:r w:rsidRPr="00C9343F">
              <w:rPr>
                <w:sz w:val="20"/>
              </w:rPr>
              <w:t>8.</w:t>
            </w:r>
          </w:p>
        </w:tc>
        <w:tc>
          <w:tcPr>
            <w:tcW w:w="8363" w:type="dxa"/>
          </w:tcPr>
          <w:p w14:paraId="0D2FD3E8" w14:textId="77777777" w:rsidR="005F44BC" w:rsidRPr="00C9343F" w:rsidRDefault="005F44BC" w:rsidP="00F66D98">
            <w:pPr>
              <w:pStyle w:val="BlockText-Plain"/>
              <w:rPr>
                <w:rFonts w:cs="Arial"/>
              </w:rPr>
            </w:pPr>
            <w:r w:rsidRPr="00C9343F">
              <w:t>If I start to serve a return of service (ROSO) or other undertaking for further service after I have accepted the offer of a retention bonus, I will have to complete my agreed period of service after I finish my ROSO or undertaking for further service.</w:t>
            </w:r>
          </w:p>
        </w:tc>
      </w:tr>
      <w:tr w:rsidR="005F44BC" w:rsidRPr="00C9343F" w14:paraId="37C01803" w14:textId="77777777" w:rsidTr="005F44BC">
        <w:tblPrEx>
          <w:tblCellMar>
            <w:left w:w="56" w:type="dxa"/>
            <w:right w:w="56" w:type="dxa"/>
          </w:tblCellMar>
        </w:tblPrEx>
        <w:trPr>
          <w:cantSplit/>
        </w:trPr>
        <w:tc>
          <w:tcPr>
            <w:tcW w:w="993" w:type="dxa"/>
          </w:tcPr>
          <w:p w14:paraId="1E460010" w14:textId="77777777" w:rsidR="005F44BC" w:rsidRPr="00C9343F" w:rsidRDefault="005F44BC" w:rsidP="00F66D98">
            <w:pPr>
              <w:pStyle w:val="BlockText-Plain"/>
              <w:jc w:val="center"/>
            </w:pPr>
            <w:r w:rsidRPr="00C9343F">
              <w:rPr>
                <w:rFonts w:cs="Arial"/>
              </w:rPr>
              <w:t>9.</w:t>
            </w:r>
          </w:p>
        </w:tc>
        <w:tc>
          <w:tcPr>
            <w:tcW w:w="8363" w:type="dxa"/>
          </w:tcPr>
          <w:p w14:paraId="7E7D30AA" w14:textId="77777777" w:rsidR="005F44BC" w:rsidRPr="00C9343F" w:rsidRDefault="005F44BC" w:rsidP="00F66D98">
            <w:pPr>
              <w:pStyle w:val="BlockText-Plain"/>
              <w:rPr>
                <w:rFonts w:cs="Arial"/>
              </w:rPr>
            </w:pPr>
            <w:r w:rsidRPr="00C9343F">
              <w:rPr>
                <w:rFonts w:cs="Arial"/>
              </w:rPr>
              <w:t>I must also elect how the money is to be paid. It may be paid into my bank or superannuation accounts.</w:t>
            </w:r>
          </w:p>
          <w:p w14:paraId="23C0D535" w14:textId="77777777" w:rsidR="005F44BC" w:rsidRPr="00C9343F" w:rsidRDefault="005F44BC" w:rsidP="00F66D98">
            <w:pPr>
              <w:pStyle w:val="BlockText-Plain"/>
              <w:rPr>
                <w:rFonts w:cs="Arial"/>
                <w:color w:val="0000FF"/>
              </w:rPr>
            </w:pPr>
            <w:r w:rsidRPr="00C9343F">
              <w:rPr>
                <w:rFonts w:cs="Arial"/>
                <w:b/>
              </w:rPr>
              <w:t>See:</w:t>
            </w:r>
            <w:r w:rsidRPr="00C9343F">
              <w:rPr>
                <w:rFonts w:cs="Arial"/>
              </w:rPr>
              <w:t xml:space="preserve"> Annex 3.5.J, Bonus payment election</w:t>
            </w:r>
          </w:p>
        </w:tc>
      </w:tr>
      <w:tr w:rsidR="005F44BC" w:rsidRPr="00C9343F" w14:paraId="1344E1BB" w14:textId="77777777" w:rsidTr="005F44BC">
        <w:tc>
          <w:tcPr>
            <w:tcW w:w="993" w:type="dxa"/>
          </w:tcPr>
          <w:p w14:paraId="5F66090C" w14:textId="77777777" w:rsidR="005F44BC" w:rsidRPr="00C9343F" w:rsidRDefault="005F44BC" w:rsidP="00F66D98">
            <w:pPr>
              <w:pStyle w:val="TableTextArial-leftCharChar"/>
              <w:jc w:val="center"/>
              <w:rPr>
                <w:rFonts w:cs="Arial"/>
                <w:sz w:val="20"/>
              </w:rPr>
            </w:pPr>
            <w:r w:rsidRPr="00C9343F">
              <w:rPr>
                <w:rFonts w:cs="Arial"/>
                <w:sz w:val="20"/>
              </w:rPr>
              <w:t>10.</w:t>
            </w:r>
          </w:p>
        </w:tc>
        <w:tc>
          <w:tcPr>
            <w:tcW w:w="8363" w:type="dxa"/>
          </w:tcPr>
          <w:p w14:paraId="68760905" w14:textId="77777777" w:rsidR="005F44BC" w:rsidRPr="00C9343F" w:rsidRDefault="005F44BC" w:rsidP="00F66D98">
            <w:pPr>
              <w:pStyle w:val="BlockText-Plain"/>
              <w:rPr>
                <w:rFonts w:cs="Arial"/>
              </w:rPr>
            </w:pPr>
            <w:r w:rsidRPr="00C9343F">
              <w:rPr>
                <w:rFonts w:cs="Arial"/>
              </w:rPr>
              <w:t>Effective service for the retention bonus is continuous full-time service for which salary is paid. Leave or other events may not be effective service and may reduce my amount of retention bonus. The table in subsection 3.5.70.3 of the Determination shows what counts as effective service.</w:t>
            </w:r>
          </w:p>
        </w:tc>
      </w:tr>
      <w:tr w:rsidR="005F44BC" w:rsidRPr="00C9343F" w14:paraId="7029AD31" w14:textId="77777777" w:rsidTr="005F44BC">
        <w:tc>
          <w:tcPr>
            <w:tcW w:w="993" w:type="dxa"/>
          </w:tcPr>
          <w:p w14:paraId="54947F66" w14:textId="77777777" w:rsidR="005F44BC" w:rsidRPr="00C9343F" w:rsidRDefault="005F44BC" w:rsidP="00F66D98">
            <w:pPr>
              <w:pStyle w:val="TableTextArial-leftCharChar"/>
              <w:jc w:val="center"/>
              <w:rPr>
                <w:rFonts w:cs="Arial"/>
                <w:sz w:val="20"/>
              </w:rPr>
            </w:pPr>
            <w:r w:rsidRPr="00C9343F">
              <w:rPr>
                <w:rFonts w:cs="Arial"/>
                <w:sz w:val="20"/>
              </w:rPr>
              <w:t>11.</w:t>
            </w:r>
          </w:p>
        </w:tc>
        <w:tc>
          <w:tcPr>
            <w:tcW w:w="8363" w:type="dxa"/>
          </w:tcPr>
          <w:p w14:paraId="5FE85C4C" w14:textId="77777777" w:rsidR="005F44BC" w:rsidRPr="00C9343F" w:rsidRDefault="005F44BC" w:rsidP="00F66D98">
            <w:pPr>
              <w:pStyle w:val="BlockText-Plain"/>
              <w:rPr>
                <w:rFonts w:cs="Arial"/>
              </w:rPr>
            </w:pPr>
            <w:r w:rsidRPr="00C9343F">
              <w:rPr>
                <w:rFonts w:cs="Arial"/>
              </w:rPr>
              <w:t>If I am already in another bonus scheme under the Determination, I may be paid out of that scheme on a pro rata basis or serve my agreed period of service under this bonus after I complete my service undertaking for the earlier bonus.</w:t>
            </w:r>
          </w:p>
        </w:tc>
      </w:tr>
    </w:tbl>
    <w:p w14:paraId="09E62BFD" w14:textId="77777777" w:rsidR="005F44BC" w:rsidRPr="00C9343F" w:rsidRDefault="005F44BC" w:rsidP="00F66D98">
      <w:pPr>
        <w:rPr>
          <w:rFonts w:cs="Arial"/>
          <w:sz w:val="20"/>
        </w:rPr>
      </w:pPr>
      <w:r w:rsidRPr="00C9343F">
        <w:rPr>
          <w:rFonts w:cs="Arial"/>
          <w:sz w:val="20"/>
        </w:rPr>
        <w:t xml:space="preserve">Full details of the completion bonus scheme are contained in Chapter 3 Part 5 Division 9 of </w:t>
      </w:r>
      <w:r w:rsidRPr="00C9343F">
        <w:rPr>
          <w:rFonts w:cs="Arial"/>
          <w:i/>
          <w:sz w:val="20"/>
        </w:rPr>
        <w:t>Defence Determination 2016/</w:t>
      </w:r>
      <w:r w:rsidRPr="00C9343F">
        <w:rPr>
          <w:rFonts w:cs="Arial"/>
          <w:i/>
          <w:color w:val="000000"/>
          <w:sz w:val="20"/>
        </w:rPr>
        <w:t>19</w:t>
      </w:r>
      <w:r w:rsidRPr="00C9343F">
        <w:rPr>
          <w:rFonts w:cs="Arial"/>
          <w:i/>
          <w:sz w:val="20"/>
        </w:rPr>
        <w:t>,</w:t>
      </w:r>
      <w:r w:rsidRPr="00C9343F">
        <w:rPr>
          <w:rFonts w:cs="Arial"/>
          <w:sz w:val="20"/>
        </w:rPr>
        <w:t xml:space="preserve"> </w:t>
      </w:r>
      <w:r w:rsidRPr="00C9343F">
        <w:rPr>
          <w:rFonts w:cs="Arial"/>
          <w:i/>
          <w:sz w:val="20"/>
        </w:rPr>
        <w:t>Conditions of service</w:t>
      </w:r>
      <w:r w:rsidRPr="00C9343F">
        <w:rPr>
          <w:rFonts w:cs="Arial"/>
          <w:sz w:val="20"/>
        </w:rPr>
        <w:t>.</w:t>
      </w:r>
    </w:p>
    <w:p w14:paraId="5E322DB3" w14:textId="77777777" w:rsidR="005F44BC" w:rsidRPr="00C9343F" w:rsidRDefault="005F44BC" w:rsidP="00F66D98">
      <w:pPr>
        <w:rPr>
          <w:rFonts w:cs="Arial"/>
        </w:rPr>
      </w:pPr>
    </w:p>
    <w:p w14:paraId="46100CFC" w14:textId="77777777" w:rsidR="005F44BC" w:rsidRPr="00C9343F" w:rsidRDefault="005F44BC" w:rsidP="00F66D98">
      <w:pPr>
        <w:pStyle w:val="BlockText-Plain"/>
        <w:rPr>
          <w:rFonts w:cs="Arial"/>
        </w:rPr>
      </w:pPr>
      <w:r w:rsidRPr="00C9343F">
        <w:rPr>
          <w:rFonts w:cs="Arial"/>
        </w:rPr>
        <w:t>This acceptance form, and the related parts of Defence Determination 2016/</w:t>
      </w:r>
      <w:r w:rsidRPr="00C9343F">
        <w:rPr>
          <w:rFonts w:cs="Arial"/>
          <w:color w:val="000000"/>
        </w:rPr>
        <w:t>19</w:t>
      </w:r>
      <w:r w:rsidRPr="00C9343F">
        <w:rPr>
          <w:rFonts w:cs="Arial"/>
        </w:rPr>
        <w:t>, is the whole agreement between the Commonwealth and me about the nature of this scheme. It overrides any other prior understanding or agreement about the scheme. This would include, for instance, things I may have been told about the scheme or things I may have read elsewhere.</w:t>
      </w:r>
    </w:p>
    <w:p w14:paraId="70CEFB08" w14:textId="77777777" w:rsidR="005F44BC" w:rsidRPr="00C9343F" w:rsidRDefault="005F44BC" w:rsidP="00F66D98">
      <w:pPr>
        <w:pStyle w:val="BlockText-Plain"/>
        <w:spacing w:after="0"/>
        <w:rPr>
          <w:rFonts w:cs="Arial"/>
          <w:b/>
          <w:sz w:val="24"/>
          <w:szCs w:val="24"/>
        </w:rPr>
      </w:pPr>
      <w:r w:rsidRPr="00C9343F">
        <w:rPr>
          <w:rFonts w:cs="Arial"/>
        </w:rPr>
        <w:br w:type="page"/>
      </w:r>
      <w:r w:rsidRPr="00C9343F">
        <w:rPr>
          <w:rFonts w:cs="Arial"/>
          <w:b/>
          <w:sz w:val="24"/>
          <w:szCs w:val="24"/>
        </w:rPr>
        <w:lastRenderedPageBreak/>
        <w:t xml:space="preserve">Privacy notice   </w:t>
      </w:r>
    </w:p>
    <w:p w14:paraId="4F8159CA" w14:textId="77777777" w:rsidR="005F44BC" w:rsidRPr="00C9343F" w:rsidRDefault="005F44BC" w:rsidP="00F66D98">
      <w:pPr>
        <w:pStyle w:val="BlockText-Plain"/>
        <w:rPr>
          <w:rFonts w:cs="Arial"/>
        </w:rPr>
      </w:pPr>
      <w:r w:rsidRPr="00C9343F">
        <w:rPr>
          <w:rFonts w:cs="Arial"/>
        </w:rPr>
        <w:t>This information is being collected by</w:t>
      </w:r>
      <w:r w:rsidRPr="00C9343F">
        <w:rPr>
          <w:rFonts w:cs="Arial"/>
          <w:color w:val="0000FF"/>
        </w:rPr>
        <w:t xml:space="preserve"> </w:t>
      </w:r>
      <w:r w:rsidRPr="00C9343F">
        <w:rPr>
          <w:rFonts w:cs="Arial"/>
        </w:rPr>
        <w:t xml:space="preserve">the Department of Defence. </w:t>
      </w:r>
    </w:p>
    <w:p w14:paraId="305E8C33" w14:textId="77777777" w:rsidR="005F44BC" w:rsidRPr="00C9343F" w:rsidRDefault="005F44BC" w:rsidP="00F66D98">
      <w:pPr>
        <w:pStyle w:val="BlockText-Plain"/>
        <w:rPr>
          <w:rFonts w:cs="Arial"/>
        </w:rPr>
      </w:pPr>
      <w:r w:rsidRPr="00C9343F">
        <w:rPr>
          <w:rFonts w:cs="Arial"/>
        </w:rPr>
        <w:t xml:space="preserve">You may request access to or correction of personal information held about you in relation to this scheme by contacting the Defence Service Centre on 1800 333 362 or emailing dsc@defence.gov.au </w:t>
      </w:r>
    </w:p>
    <w:p w14:paraId="363556FF" w14:textId="77777777" w:rsidR="005F44BC" w:rsidRPr="00C9343F" w:rsidRDefault="005F44BC" w:rsidP="00F66D98">
      <w:pPr>
        <w:pStyle w:val="BlockText-Plain"/>
        <w:rPr>
          <w:strike/>
        </w:rPr>
      </w:pPr>
      <w:r w:rsidRPr="00C9343F">
        <w:rPr>
          <w:rFonts w:cs="Arial"/>
        </w:rPr>
        <w:t>If you have concerns about the handling of your personal information, you should raise your concerns with the Defence Service Centre in the first instance, or contact the Defence Privacy Officer at defence.privacy@defence.gov.au.</w:t>
      </w:r>
    </w:p>
    <w:p w14:paraId="37573FA4" w14:textId="77777777" w:rsidR="005F44BC" w:rsidRPr="00C9343F" w:rsidRDefault="005F44BC" w:rsidP="00F66D98">
      <w:pPr>
        <w:pStyle w:val="BlockText-Plain"/>
        <w:rPr>
          <w:rFonts w:cs="Arial"/>
        </w:rPr>
      </w:pPr>
      <w:r w:rsidRPr="00C9343F">
        <w:rPr>
          <w:rFonts w:cs="Arial"/>
        </w:rPr>
        <w:t>Defence collects your personal information provided under this form for the primary purpose of assessing eligibility for a retention and completion benefit, and administering it. The Department of Defence may also use your personal information to conduct investigations or inquiries and to take administrative or disciplinary action relating to the making of false claims for the benefit.</w:t>
      </w:r>
    </w:p>
    <w:p w14:paraId="2931499A" w14:textId="77777777" w:rsidR="005F44BC" w:rsidRPr="00C9343F" w:rsidRDefault="005F44BC" w:rsidP="00F66D98">
      <w:pPr>
        <w:pStyle w:val="BlockText-Plain"/>
        <w:rPr>
          <w:rFonts w:cs="Arial"/>
        </w:rPr>
      </w:pPr>
      <w:r w:rsidRPr="00C9343F">
        <w:rPr>
          <w:rFonts w:cs="Arial"/>
        </w:rPr>
        <w:t xml:space="preserve">Defence may disclose personal information about you relating to this scheme to ComSuper, the Commonwealth Superannuation Corporation, the Australian Taxation Office and Smartsalary. </w:t>
      </w:r>
    </w:p>
    <w:p w14:paraId="62E1564F" w14:textId="77777777" w:rsidR="005F44BC" w:rsidRPr="00C9343F" w:rsidRDefault="005F44BC" w:rsidP="00F66D98">
      <w:pPr>
        <w:pStyle w:val="BlockText-Plain"/>
        <w:rPr>
          <w:rFonts w:cs="Arial"/>
        </w:rPr>
      </w:pPr>
      <w:r w:rsidRPr="00C9343F">
        <w:rPr>
          <w:rFonts w:cs="Arial"/>
        </w:rPr>
        <w:t xml:space="preserve">Your information is collected under Chapter 3 Part 5 Division 9 of </w:t>
      </w:r>
      <w:r w:rsidRPr="00C9343F">
        <w:rPr>
          <w:rFonts w:cs="Arial"/>
          <w:i/>
        </w:rPr>
        <w:t>Defence Determination 2016/</w:t>
      </w:r>
      <w:r w:rsidRPr="00C9343F">
        <w:rPr>
          <w:rFonts w:cs="Arial"/>
          <w:i/>
          <w:color w:val="000000"/>
        </w:rPr>
        <w:t>19</w:t>
      </w:r>
      <w:r w:rsidRPr="00C9343F">
        <w:rPr>
          <w:rFonts w:cs="Arial"/>
          <w:i/>
        </w:rPr>
        <w:t>,</w:t>
      </w:r>
      <w:r w:rsidRPr="00C9343F">
        <w:rPr>
          <w:rFonts w:cs="Arial"/>
        </w:rPr>
        <w:t xml:space="preserve"> </w:t>
      </w:r>
      <w:r w:rsidRPr="00C9343F">
        <w:rPr>
          <w:rFonts w:cs="Arial"/>
          <w:i/>
        </w:rPr>
        <w:t>Conditions of service.</w:t>
      </w:r>
      <w:r w:rsidRPr="00C9343F">
        <w:rPr>
          <w:rFonts w:cs="Arial"/>
        </w:rPr>
        <w:t xml:space="preserve"> You do not have to provide the information. However, if you do not provide the information, Defence will not be able to see if you are eligible for the benefit, or administer it.</w:t>
      </w:r>
    </w:p>
    <w:p w14:paraId="79B90BD5" w14:textId="77777777" w:rsidR="005F44BC" w:rsidRPr="00C9343F" w:rsidRDefault="005F44BC" w:rsidP="00F66D98">
      <w:pPr>
        <w:pStyle w:val="BlockText-Plain"/>
        <w:rPr>
          <w:rFonts w:cs="Arial"/>
        </w:rPr>
      </w:pPr>
      <w:r w:rsidRPr="00C9343F">
        <w:rPr>
          <w:rFonts w:cs="Arial"/>
        </w:rPr>
        <w:t xml:space="preserve">Information disclosed to Smartsalary may be held on Smartsalary servers located in Japan and the United States of America.   </w:t>
      </w:r>
    </w:p>
    <w:p w14:paraId="4B07E33D" w14:textId="77777777" w:rsidR="005F44BC" w:rsidRPr="00C9343F" w:rsidRDefault="005F44BC" w:rsidP="00F66D98">
      <w:pPr>
        <w:pStyle w:val="BlockText-Plain"/>
        <w:rPr>
          <w:rFonts w:cs="Arial"/>
        </w:rPr>
      </w:pPr>
      <w:r w:rsidRPr="00C9343F">
        <w:rPr>
          <w:rFonts w:cs="Arial"/>
        </w:rPr>
        <w:t>Further information is provided in the Defence Privacy Policy, which is available on the internet at www.defence.gov.au/ComplaintResolution/privacy.asp.</w:t>
      </w:r>
      <w:r w:rsidRPr="00C9343F">
        <w:t xml:space="preserve"> </w:t>
      </w:r>
      <w:r w:rsidRPr="00C9343F">
        <w:rPr>
          <w:rFonts w:cs="Arial"/>
        </w:rPr>
        <w:t>This contains information on how an individual may apply for access to their personal information and how an individual may apply to have their personal information amended. It also contains information for individuals on how to make a privacy complaint to Defence if they consider Defence may have breached the APPs.</w:t>
      </w:r>
    </w:p>
    <w:p w14:paraId="08A5748E" w14:textId="77777777" w:rsidR="005F44BC" w:rsidRPr="00C9343F" w:rsidRDefault="005F44BC" w:rsidP="00F66D98">
      <w:pPr>
        <w:pStyle w:val="BlockText-Plain"/>
        <w:rPr>
          <w:rFonts w:cs="Arial"/>
        </w:rPr>
      </w:pPr>
    </w:p>
    <w:p w14:paraId="4E751372" w14:textId="77777777" w:rsidR="005F44BC" w:rsidRPr="00C9343F" w:rsidRDefault="005F44BC" w:rsidP="00F66D98">
      <w:pPr>
        <w:pStyle w:val="BlockText-Plain"/>
        <w:rPr>
          <w:b/>
          <w:bCs/>
          <w:sz w:val="24"/>
        </w:rPr>
      </w:pPr>
      <w:r w:rsidRPr="00C9343F">
        <w:br w:type="page"/>
      </w:r>
      <w:r w:rsidRPr="00C9343F">
        <w:rPr>
          <w:b/>
          <w:bCs/>
          <w:sz w:val="24"/>
        </w:rPr>
        <w:lastRenderedPageBreak/>
        <w:t>Part B: Acceptance of offer and undertaking to serve an agreed period for a retention bonus</w:t>
      </w:r>
    </w:p>
    <w:tbl>
      <w:tblPr>
        <w:tblW w:w="0" w:type="auto"/>
        <w:tblInd w:w="56" w:type="dxa"/>
        <w:tblLayout w:type="fixed"/>
        <w:tblCellMar>
          <w:left w:w="56" w:type="dxa"/>
          <w:right w:w="56" w:type="dxa"/>
        </w:tblCellMar>
        <w:tblLook w:val="0000" w:firstRow="0" w:lastRow="0" w:firstColumn="0" w:lastColumn="0" w:noHBand="0" w:noVBand="0"/>
      </w:tblPr>
      <w:tblGrid>
        <w:gridCol w:w="567"/>
        <w:gridCol w:w="2929"/>
        <w:gridCol w:w="2930"/>
        <w:gridCol w:w="2930"/>
      </w:tblGrid>
      <w:tr w:rsidR="005F44BC" w:rsidRPr="00C9343F" w14:paraId="361BC81A" w14:textId="77777777" w:rsidTr="005F44BC">
        <w:trPr>
          <w:cantSplit/>
        </w:trPr>
        <w:tc>
          <w:tcPr>
            <w:tcW w:w="567" w:type="dxa"/>
          </w:tcPr>
          <w:p w14:paraId="7C77EE87" w14:textId="1C77203C" w:rsidR="005F44BC" w:rsidRPr="00C9343F" w:rsidRDefault="005F44BC" w:rsidP="00F66D98">
            <w:pPr>
              <w:pStyle w:val="TableHeaderArial"/>
              <w:rPr>
                <w:b w:val="0"/>
              </w:rPr>
            </w:pPr>
            <w:r w:rsidRPr="00C9343F">
              <w:rPr>
                <w:b w:val="0"/>
              </w:rPr>
              <w:t>I,</w:t>
            </w:r>
            <w:r w:rsidR="00D94006" w:rsidRPr="00C9343F">
              <w:rPr>
                <w:b w:val="0"/>
              </w:rPr>
              <w:t>        </w:t>
            </w:r>
          </w:p>
        </w:tc>
        <w:tc>
          <w:tcPr>
            <w:tcW w:w="2929" w:type="dxa"/>
          </w:tcPr>
          <w:p w14:paraId="2006A363" w14:textId="77777777" w:rsidR="005F44BC" w:rsidRPr="00C9343F" w:rsidRDefault="005F44BC" w:rsidP="00F66D98">
            <w:pPr>
              <w:pStyle w:val="TableHeaderArial"/>
              <w:jc w:val="left"/>
              <w:rPr>
                <w:b w:val="0"/>
              </w:rPr>
            </w:pPr>
            <w:r w:rsidRPr="00C9343F">
              <w:rPr>
                <w:b w:val="0"/>
              </w:rPr>
              <w:t>……………………………………</w:t>
            </w:r>
          </w:p>
        </w:tc>
        <w:tc>
          <w:tcPr>
            <w:tcW w:w="2930" w:type="dxa"/>
          </w:tcPr>
          <w:p w14:paraId="39B6C7A2" w14:textId="77777777" w:rsidR="005F44BC" w:rsidRPr="00C9343F" w:rsidRDefault="005F44BC" w:rsidP="00F66D98">
            <w:pPr>
              <w:pStyle w:val="TableHeaderArial"/>
              <w:jc w:val="left"/>
              <w:rPr>
                <w:b w:val="0"/>
              </w:rPr>
            </w:pPr>
            <w:r w:rsidRPr="00C9343F">
              <w:rPr>
                <w:b w:val="0"/>
              </w:rPr>
              <w:t>……………………………………</w:t>
            </w:r>
          </w:p>
        </w:tc>
        <w:tc>
          <w:tcPr>
            <w:tcW w:w="2930" w:type="dxa"/>
          </w:tcPr>
          <w:p w14:paraId="3415744F" w14:textId="77777777" w:rsidR="005F44BC" w:rsidRPr="00C9343F" w:rsidRDefault="005F44BC" w:rsidP="00F66D98">
            <w:pPr>
              <w:pStyle w:val="TableHeaderArial"/>
              <w:jc w:val="left"/>
              <w:rPr>
                <w:b w:val="0"/>
              </w:rPr>
            </w:pPr>
            <w:r w:rsidRPr="00C9343F">
              <w:rPr>
                <w:b w:val="0"/>
              </w:rPr>
              <w:t>……………………………………</w:t>
            </w:r>
          </w:p>
        </w:tc>
      </w:tr>
      <w:tr w:rsidR="005F44BC" w:rsidRPr="00C9343F" w14:paraId="7984B21B" w14:textId="77777777" w:rsidTr="005F44BC">
        <w:trPr>
          <w:cantSplit/>
        </w:trPr>
        <w:tc>
          <w:tcPr>
            <w:tcW w:w="3496" w:type="dxa"/>
            <w:gridSpan w:val="2"/>
          </w:tcPr>
          <w:p w14:paraId="62D85945" w14:textId="77777777" w:rsidR="005F44BC" w:rsidRPr="00C9343F" w:rsidRDefault="005F44BC" w:rsidP="00F66D98">
            <w:pPr>
              <w:pStyle w:val="TableTextArial-left"/>
              <w:jc w:val="center"/>
            </w:pPr>
            <w:r w:rsidRPr="00C9343F">
              <w:t>(Rank)</w:t>
            </w:r>
          </w:p>
        </w:tc>
        <w:tc>
          <w:tcPr>
            <w:tcW w:w="2930" w:type="dxa"/>
          </w:tcPr>
          <w:p w14:paraId="20E5A561" w14:textId="77777777" w:rsidR="005F44BC" w:rsidRPr="00C9343F" w:rsidRDefault="005F44BC" w:rsidP="00F66D98">
            <w:pPr>
              <w:pStyle w:val="TableTextArial-left"/>
              <w:jc w:val="center"/>
            </w:pPr>
            <w:r w:rsidRPr="00C9343F">
              <w:t>(Last name)</w:t>
            </w:r>
          </w:p>
        </w:tc>
        <w:tc>
          <w:tcPr>
            <w:tcW w:w="2930" w:type="dxa"/>
          </w:tcPr>
          <w:p w14:paraId="250630A3" w14:textId="77777777" w:rsidR="005F44BC" w:rsidRPr="00C9343F" w:rsidRDefault="005F44BC" w:rsidP="00F66D98">
            <w:pPr>
              <w:pStyle w:val="TableTextArial-left"/>
              <w:jc w:val="center"/>
            </w:pPr>
            <w:r w:rsidRPr="00C9343F">
              <w:t>(Given name)</w:t>
            </w:r>
          </w:p>
        </w:tc>
      </w:tr>
      <w:tr w:rsidR="005F44BC" w:rsidRPr="00C9343F" w14:paraId="3E9FBCA5" w14:textId="77777777" w:rsidTr="005F44BC">
        <w:trPr>
          <w:cantSplit/>
        </w:trPr>
        <w:tc>
          <w:tcPr>
            <w:tcW w:w="3496" w:type="dxa"/>
            <w:gridSpan w:val="2"/>
          </w:tcPr>
          <w:p w14:paraId="72B1AE4A" w14:textId="54927D78" w:rsidR="005F44BC" w:rsidRPr="00C9343F" w:rsidRDefault="005F44BC" w:rsidP="00F66D98">
            <w:pPr>
              <w:pStyle w:val="TableTextArial-left"/>
              <w:spacing w:before="200"/>
            </w:pPr>
            <w:r w:rsidRPr="00C9343F">
              <w:t>……………………………………</w:t>
            </w:r>
            <w:r w:rsidR="00D94006" w:rsidRPr="00C9343F">
              <w:t>             </w:t>
            </w:r>
            <w:r w:rsidRPr="00C9343F">
              <w:t>.</w:t>
            </w:r>
          </w:p>
        </w:tc>
        <w:tc>
          <w:tcPr>
            <w:tcW w:w="2930" w:type="dxa"/>
          </w:tcPr>
          <w:p w14:paraId="25785016" w14:textId="77777777" w:rsidR="005F44BC" w:rsidRPr="00C9343F" w:rsidRDefault="005F44BC" w:rsidP="00F66D98">
            <w:pPr>
              <w:pStyle w:val="TableTextArial-left"/>
              <w:spacing w:before="200"/>
            </w:pPr>
            <w:r w:rsidRPr="00C9343F">
              <w:t>……………………………………</w:t>
            </w:r>
          </w:p>
        </w:tc>
        <w:tc>
          <w:tcPr>
            <w:tcW w:w="2930" w:type="dxa"/>
          </w:tcPr>
          <w:p w14:paraId="13A51192" w14:textId="77777777" w:rsidR="005F44BC" w:rsidRPr="00C9343F" w:rsidRDefault="005F44BC" w:rsidP="00F66D98">
            <w:pPr>
              <w:pStyle w:val="TableTextArial-left"/>
              <w:spacing w:before="200"/>
            </w:pPr>
            <w:r w:rsidRPr="00C9343F">
              <w:t xml:space="preserve">, </w:t>
            </w:r>
          </w:p>
        </w:tc>
      </w:tr>
      <w:tr w:rsidR="005F44BC" w:rsidRPr="00C9343F" w14:paraId="2B46B87B" w14:textId="77777777" w:rsidTr="005F44BC">
        <w:trPr>
          <w:cantSplit/>
        </w:trPr>
        <w:tc>
          <w:tcPr>
            <w:tcW w:w="3496" w:type="dxa"/>
            <w:gridSpan w:val="2"/>
          </w:tcPr>
          <w:p w14:paraId="1114DF09" w14:textId="77777777" w:rsidR="005F44BC" w:rsidRPr="00C9343F" w:rsidRDefault="005F44BC" w:rsidP="00F66D98">
            <w:pPr>
              <w:pStyle w:val="TableTextArial-left"/>
              <w:jc w:val="center"/>
            </w:pPr>
            <w:r w:rsidRPr="00C9343F">
              <w:t>(Service number)</w:t>
            </w:r>
          </w:p>
        </w:tc>
        <w:tc>
          <w:tcPr>
            <w:tcW w:w="2930" w:type="dxa"/>
          </w:tcPr>
          <w:p w14:paraId="68BD0E9F" w14:textId="77777777" w:rsidR="005F44BC" w:rsidRPr="00C9343F" w:rsidRDefault="005F44BC" w:rsidP="00F66D98">
            <w:pPr>
              <w:pStyle w:val="TableTextArial-left"/>
              <w:jc w:val="center"/>
            </w:pPr>
            <w:r w:rsidRPr="00C9343F">
              <w:t>(Employee ID)</w:t>
            </w:r>
          </w:p>
        </w:tc>
        <w:tc>
          <w:tcPr>
            <w:tcW w:w="2930" w:type="dxa"/>
          </w:tcPr>
          <w:p w14:paraId="37E6C600" w14:textId="77777777" w:rsidR="005F44BC" w:rsidRPr="00C9343F" w:rsidRDefault="005F44BC" w:rsidP="00F66D98">
            <w:pPr>
              <w:pStyle w:val="TableTextArial-left"/>
              <w:jc w:val="center"/>
            </w:pPr>
          </w:p>
        </w:tc>
      </w:tr>
    </w:tbl>
    <w:p w14:paraId="53200F4A" w14:textId="77777777" w:rsidR="005F44BC" w:rsidRPr="00C9343F" w:rsidRDefault="005F44BC" w:rsidP="00F66D98">
      <w:pPr>
        <w:spacing w:before="120"/>
        <w:rPr>
          <w:sz w:val="20"/>
        </w:rPr>
      </w:pPr>
      <w:r w:rsidRPr="00C9343F">
        <w:rPr>
          <w:rFonts w:cs="Arial"/>
          <w:sz w:val="20"/>
        </w:rPr>
        <w:t xml:space="preserve">accept the offer to join the Navy – </w:t>
      </w:r>
      <w:r w:rsidRPr="00C9343F">
        <w:rPr>
          <w:sz w:val="20"/>
        </w:rPr>
        <w:t>Individuals critical to Navy capability retention bonus scheme.</w:t>
      </w:r>
    </w:p>
    <w:p w14:paraId="0FF7641A" w14:textId="77777777" w:rsidR="005F44BC" w:rsidRPr="00C9343F" w:rsidRDefault="005F44BC" w:rsidP="00F66D98">
      <w:pPr>
        <w:spacing w:before="120"/>
        <w:rPr>
          <w:color w:val="0000FF"/>
        </w:rPr>
      </w:pPr>
    </w:p>
    <w:p w14:paraId="20C7E13C" w14:textId="1F6B7894" w:rsidR="005F44BC" w:rsidRPr="00C9343F" w:rsidRDefault="005F44BC" w:rsidP="00F66D98">
      <w:pPr>
        <w:spacing w:before="120"/>
        <w:rPr>
          <w:rFonts w:cs="Arial"/>
          <w:sz w:val="20"/>
        </w:rPr>
      </w:pPr>
      <w:r w:rsidRPr="00C9343F">
        <w:rPr>
          <w:sz w:val="20"/>
        </w:rPr>
        <w:t>The amount of the bonus offered to me is $</w:t>
      </w:r>
      <w:r w:rsidR="00D94006" w:rsidRPr="00C9343F">
        <w:rPr>
          <w:sz w:val="20"/>
        </w:rPr>
        <w:t>                                                                                                                                </w:t>
      </w:r>
    </w:p>
    <w:p w14:paraId="2F187F95" w14:textId="77777777" w:rsidR="005F44BC" w:rsidRPr="00C9343F" w:rsidRDefault="005F44BC" w:rsidP="00F66D98">
      <w:pPr>
        <w:spacing w:before="120"/>
        <w:rPr>
          <w:rFonts w:cs="Arial"/>
          <w:sz w:val="20"/>
        </w:rPr>
      </w:pPr>
      <w:r w:rsidRPr="00C9343F">
        <w:rPr>
          <w:rFonts w:cs="Arial"/>
          <w:sz w:val="20"/>
        </w:rPr>
        <w:t>I agree to serve in the Permanent Navy/perform continuous full-time service as a member of the Navy Reserve for:</w:t>
      </w:r>
    </w:p>
    <w:p w14:paraId="59E3473A" w14:textId="58FBC848" w:rsidR="005F44BC" w:rsidRPr="00C9343F" w:rsidRDefault="00D94006" w:rsidP="00F66D98">
      <w:pPr>
        <w:spacing w:before="120"/>
        <w:rPr>
          <w:rFonts w:cs="Arial"/>
          <w:sz w:val="20"/>
        </w:rPr>
      </w:pPr>
      <w:r w:rsidRPr="00C9343F">
        <w:rPr>
          <w:rFonts w:cs="Arial"/>
          <w:sz w:val="20"/>
        </w:rPr>
        <w:t>                                           </w:t>
      </w:r>
      <w:r w:rsidR="005F44BC" w:rsidRPr="00C9343F">
        <w:rPr>
          <w:rFonts w:cs="Arial"/>
          <w:sz w:val="20"/>
        </w:rPr>
        <w:t>.year/s and</w:t>
      </w:r>
      <w:r w:rsidRPr="00C9343F">
        <w:rPr>
          <w:rFonts w:cs="Arial"/>
          <w:sz w:val="20"/>
        </w:rPr>
        <w:t>                                       </w:t>
      </w:r>
      <w:r w:rsidR="005F44BC" w:rsidRPr="00C9343F">
        <w:rPr>
          <w:rFonts w:cs="Arial"/>
          <w:sz w:val="20"/>
        </w:rPr>
        <w:t>months of effective service (</w:t>
      </w:r>
      <w:r w:rsidR="005F44BC" w:rsidRPr="00C9343F">
        <w:rPr>
          <w:rFonts w:cs="Arial"/>
          <w:i/>
          <w:sz w:val="20"/>
        </w:rPr>
        <w:t>time period of up to two years)</w:t>
      </w:r>
    </w:p>
    <w:p w14:paraId="7F305C93" w14:textId="77777777" w:rsidR="005F44BC" w:rsidRPr="00C9343F" w:rsidRDefault="005F44BC" w:rsidP="00F66D98">
      <w:pPr>
        <w:spacing w:before="120"/>
        <w:rPr>
          <w:rFonts w:cs="Arial"/>
          <w:sz w:val="20"/>
        </w:rPr>
      </w:pPr>
      <w:r w:rsidRPr="00C9343F">
        <w:rPr>
          <w:rFonts w:cs="Arial"/>
          <w:sz w:val="20"/>
        </w:rPr>
        <w:t>in the following position/employment category/primary qualification (</w:t>
      </w:r>
      <w:r w:rsidRPr="00C9343F">
        <w:rPr>
          <w:rFonts w:cs="Arial"/>
          <w:i/>
          <w:sz w:val="20"/>
        </w:rPr>
        <w:t>delete the descriptors that do not apply</w:t>
      </w:r>
      <w:r w:rsidRPr="00C9343F">
        <w:rPr>
          <w:rFonts w:cs="Arial"/>
          <w:sz w:val="20"/>
        </w:rPr>
        <w:t>):</w:t>
      </w:r>
    </w:p>
    <w:p w14:paraId="7D5C71CE" w14:textId="77777777" w:rsidR="005F44BC" w:rsidRPr="00C9343F" w:rsidRDefault="005F44BC" w:rsidP="00F66D98">
      <w:pPr>
        <w:spacing w:before="120"/>
        <w:rPr>
          <w:rFonts w:cs="Arial"/>
          <w:sz w:val="20"/>
        </w:rPr>
      </w:pPr>
    </w:p>
    <w:p w14:paraId="5E86D628" w14:textId="2846F98A" w:rsidR="005F44BC" w:rsidRPr="00C9343F" w:rsidRDefault="00D94006" w:rsidP="00F66D98">
      <w:pPr>
        <w:spacing w:before="120"/>
        <w:rPr>
          <w:rFonts w:cs="Arial"/>
          <w:sz w:val="20"/>
        </w:rPr>
      </w:pPr>
      <w:r w:rsidRPr="00C9343F">
        <w:rPr>
          <w:rFonts w:cs="Arial"/>
          <w:sz w:val="20"/>
        </w:rPr>
        <w:t>                                                                                                                                                                                                                                  </w:t>
      </w:r>
      <w:r w:rsidR="005F44BC" w:rsidRPr="00C9343F">
        <w:rPr>
          <w:rFonts w:cs="Arial"/>
          <w:sz w:val="20"/>
        </w:rPr>
        <w:t>..</w:t>
      </w:r>
    </w:p>
    <w:p w14:paraId="75D2B324" w14:textId="77777777" w:rsidR="005F44BC" w:rsidRPr="00C9343F" w:rsidRDefault="005F44BC" w:rsidP="00F66D98">
      <w:pPr>
        <w:rPr>
          <w:rFonts w:cs="Arial"/>
          <w:sz w:val="20"/>
        </w:rPr>
      </w:pPr>
    </w:p>
    <w:p w14:paraId="2F2F5A86" w14:textId="77777777" w:rsidR="005F44BC" w:rsidRPr="00C9343F" w:rsidRDefault="005F44BC" w:rsidP="00F66D98">
      <w:pPr>
        <w:spacing w:after="120"/>
        <w:rPr>
          <w:rFonts w:cs="Arial"/>
          <w:sz w:val="20"/>
        </w:rPr>
      </w:pPr>
      <w:r w:rsidRPr="00C9343F">
        <w:rPr>
          <w:rFonts w:cs="Arial"/>
          <w:sz w:val="20"/>
        </w:rPr>
        <w:t xml:space="preserve">I acknowledge that the provisions of Chapter 3 Part 5 Division 9 of </w:t>
      </w:r>
      <w:r w:rsidRPr="00C9343F">
        <w:rPr>
          <w:rFonts w:cs="Arial"/>
          <w:i/>
          <w:sz w:val="20"/>
        </w:rPr>
        <w:t>Defence Determination 2016</w:t>
      </w:r>
      <w:r w:rsidRPr="00C9343F">
        <w:rPr>
          <w:rFonts w:cs="Arial"/>
          <w:i/>
          <w:color w:val="000000"/>
          <w:sz w:val="20"/>
        </w:rPr>
        <w:t>/19</w:t>
      </w:r>
      <w:r w:rsidRPr="00C9343F">
        <w:rPr>
          <w:rFonts w:cs="Arial"/>
          <w:i/>
          <w:sz w:val="20"/>
        </w:rPr>
        <w:t>,</w:t>
      </w:r>
      <w:r w:rsidRPr="00C9343F">
        <w:rPr>
          <w:rFonts w:cs="Arial"/>
          <w:sz w:val="20"/>
        </w:rPr>
        <w:t xml:space="preserve"> </w:t>
      </w:r>
      <w:r w:rsidRPr="00C9343F">
        <w:rPr>
          <w:rFonts w:cs="Arial"/>
          <w:i/>
          <w:sz w:val="20"/>
        </w:rPr>
        <w:t>Conditions of service</w:t>
      </w:r>
      <w:r w:rsidRPr="00C9343F">
        <w:rPr>
          <w:rFonts w:cs="Arial"/>
          <w:sz w:val="20"/>
        </w:rPr>
        <w:t xml:space="preserve"> ('the Determination'), have been brought to my notice.</w:t>
      </w:r>
    </w:p>
    <w:p w14:paraId="46B096A1" w14:textId="77777777" w:rsidR="005F44BC" w:rsidRPr="00C9343F" w:rsidRDefault="005F44BC" w:rsidP="00F66D98">
      <w:pPr>
        <w:pStyle w:val="BlockText-PlainNoSpacing"/>
        <w:spacing w:before="120" w:after="0"/>
        <w:rPr>
          <w:rFonts w:cs="Arial"/>
          <w:i/>
        </w:rPr>
      </w:pPr>
      <w:r w:rsidRPr="00C9343F">
        <w:rPr>
          <w:rFonts w:cs="Arial"/>
          <w:i/>
        </w:rPr>
        <w:t>Please tick the boxes that apply below.</w:t>
      </w:r>
    </w:p>
    <w:p w14:paraId="7F8F710E" w14:textId="77777777" w:rsidR="005F44BC" w:rsidRPr="00C9343F" w:rsidRDefault="005F44BC" w:rsidP="00F66D98">
      <w:pPr>
        <w:spacing w:after="120"/>
        <w:rPr>
          <w:rFonts w:cs="Arial"/>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703"/>
        <w:gridCol w:w="1506"/>
        <w:gridCol w:w="1482"/>
      </w:tblGrid>
      <w:tr w:rsidR="005F44BC" w:rsidRPr="00C9343F" w14:paraId="0331010D" w14:textId="77777777" w:rsidTr="00D81CEA">
        <w:tc>
          <w:tcPr>
            <w:tcW w:w="6379" w:type="dxa"/>
            <w:gridSpan w:val="2"/>
            <w:shd w:val="clear" w:color="auto" w:fill="auto"/>
          </w:tcPr>
          <w:p w14:paraId="3CF12CBC" w14:textId="77777777" w:rsidR="005F44BC" w:rsidRPr="00C9343F" w:rsidRDefault="005F44BC" w:rsidP="00F66D98">
            <w:pPr>
              <w:rPr>
                <w:rFonts w:cs="Arial"/>
                <w:sz w:val="20"/>
              </w:rPr>
            </w:pPr>
            <w:r w:rsidRPr="00C9343F">
              <w:rPr>
                <w:rFonts w:cs="Arial"/>
                <w:sz w:val="20"/>
              </w:rPr>
              <w:t>I have read and understood Part A of this form.</w:t>
            </w:r>
          </w:p>
          <w:p w14:paraId="0B4DEB83" w14:textId="77777777" w:rsidR="005F44BC" w:rsidRPr="00C9343F" w:rsidRDefault="005F44BC" w:rsidP="00F66D98">
            <w:pPr>
              <w:rPr>
                <w:rFonts w:cs="Arial"/>
                <w:sz w:val="20"/>
              </w:rPr>
            </w:pPr>
          </w:p>
        </w:tc>
        <w:tc>
          <w:tcPr>
            <w:tcW w:w="1541" w:type="dxa"/>
            <w:shd w:val="clear" w:color="auto" w:fill="auto"/>
          </w:tcPr>
          <w:p w14:paraId="4750B171"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7DB4265F" w14:textId="77777777" w:rsidR="005F44BC" w:rsidRPr="00C9343F" w:rsidRDefault="005F44BC" w:rsidP="00F66D98">
            <w:pPr>
              <w:jc w:val="center"/>
              <w:rPr>
                <w:rFonts w:cs="Arial"/>
                <w:sz w:val="20"/>
              </w:rPr>
            </w:pPr>
            <w:r w:rsidRPr="00C9343F">
              <w:rPr>
                <w:rFonts w:cs="Arial"/>
                <w:sz w:val="20"/>
              </w:rPr>
              <w:t>No  [   ]</w:t>
            </w:r>
          </w:p>
        </w:tc>
      </w:tr>
      <w:tr w:rsidR="005F44BC" w:rsidRPr="00C9343F" w14:paraId="57656B6F" w14:textId="77777777" w:rsidTr="00D81CEA">
        <w:tc>
          <w:tcPr>
            <w:tcW w:w="6379" w:type="dxa"/>
            <w:gridSpan w:val="2"/>
            <w:shd w:val="clear" w:color="auto" w:fill="auto"/>
          </w:tcPr>
          <w:p w14:paraId="0A0210FD" w14:textId="77777777" w:rsidR="005F44BC" w:rsidRPr="00C9343F" w:rsidRDefault="005F44BC" w:rsidP="00F66D98">
            <w:pPr>
              <w:rPr>
                <w:rFonts w:cs="Arial"/>
                <w:sz w:val="20"/>
              </w:rPr>
            </w:pPr>
            <w:r w:rsidRPr="00C9343F">
              <w:rPr>
                <w:rFonts w:cs="Arial"/>
                <w:sz w:val="20"/>
              </w:rPr>
              <w:t>I have sought independent legal advice in relation to this undertaking.</w:t>
            </w:r>
          </w:p>
          <w:p w14:paraId="0C527569" w14:textId="77777777" w:rsidR="005F44BC" w:rsidRPr="00C9343F" w:rsidRDefault="005F44BC" w:rsidP="00F66D98">
            <w:pPr>
              <w:rPr>
                <w:rFonts w:cs="Arial"/>
                <w:sz w:val="20"/>
              </w:rPr>
            </w:pPr>
          </w:p>
        </w:tc>
        <w:tc>
          <w:tcPr>
            <w:tcW w:w="1541" w:type="dxa"/>
            <w:shd w:val="clear" w:color="auto" w:fill="auto"/>
          </w:tcPr>
          <w:p w14:paraId="526EE9CB"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040BE539" w14:textId="77777777" w:rsidR="005F44BC" w:rsidRPr="00C9343F" w:rsidRDefault="005F44BC" w:rsidP="00F66D98">
            <w:pPr>
              <w:jc w:val="center"/>
              <w:rPr>
                <w:rFonts w:cs="Arial"/>
                <w:sz w:val="20"/>
              </w:rPr>
            </w:pPr>
            <w:r w:rsidRPr="00C9343F">
              <w:rPr>
                <w:rFonts w:cs="Arial"/>
                <w:sz w:val="20"/>
              </w:rPr>
              <w:t>No  [   ]</w:t>
            </w:r>
          </w:p>
        </w:tc>
      </w:tr>
      <w:tr w:rsidR="005F44BC" w:rsidRPr="00C9343F" w14:paraId="20E35645" w14:textId="77777777" w:rsidTr="00D81CEA">
        <w:tc>
          <w:tcPr>
            <w:tcW w:w="6379" w:type="dxa"/>
            <w:gridSpan w:val="2"/>
            <w:shd w:val="clear" w:color="auto" w:fill="auto"/>
          </w:tcPr>
          <w:p w14:paraId="68D77636" w14:textId="77777777" w:rsidR="005F44BC" w:rsidRPr="00C9343F" w:rsidRDefault="005F44BC" w:rsidP="00F66D98">
            <w:pPr>
              <w:rPr>
                <w:rFonts w:cs="Arial"/>
                <w:sz w:val="20"/>
              </w:rPr>
            </w:pPr>
            <w:r w:rsidRPr="00C9343F">
              <w:rPr>
                <w:rFonts w:cs="Arial"/>
                <w:sz w:val="20"/>
              </w:rPr>
              <w:t>I have sought independent financial advice in relation to this undertaking.</w:t>
            </w:r>
          </w:p>
          <w:p w14:paraId="2CDEDD3F" w14:textId="77777777" w:rsidR="005F44BC" w:rsidRPr="00C9343F" w:rsidRDefault="005F44BC" w:rsidP="00F66D98">
            <w:pPr>
              <w:rPr>
                <w:rFonts w:cs="Arial"/>
                <w:sz w:val="20"/>
              </w:rPr>
            </w:pPr>
          </w:p>
        </w:tc>
        <w:tc>
          <w:tcPr>
            <w:tcW w:w="1541" w:type="dxa"/>
            <w:shd w:val="clear" w:color="auto" w:fill="auto"/>
          </w:tcPr>
          <w:p w14:paraId="7CDA7560"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63D5EC9E" w14:textId="77777777" w:rsidR="005F44BC" w:rsidRPr="00C9343F" w:rsidRDefault="005F44BC" w:rsidP="00F66D98">
            <w:pPr>
              <w:jc w:val="center"/>
              <w:rPr>
                <w:rFonts w:cs="Arial"/>
                <w:sz w:val="20"/>
              </w:rPr>
            </w:pPr>
            <w:r w:rsidRPr="00C9343F">
              <w:rPr>
                <w:rFonts w:cs="Arial"/>
                <w:sz w:val="20"/>
              </w:rPr>
              <w:t>No  [   ]</w:t>
            </w:r>
          </w:p>
        </w:tc>
      </w:tr>
      <w:tr w:rsidR="005F44BC" w:rsidRPr="00C9343F" w14:paraId="3B0E62B7" w14:textId="77777777" w:rsidTr="00D81CEA">
        <w:tc>
          <w:tcPr>
            <w:tcW w:w="6379" w:type="dxa"/>
            <w:gridSpan w:val="2"/>
            <w:shd w:val="clear" w:color="auto" w:fill="auto"/>
          </w:tcPr>
          <w:p w14:paraId="4C716BFC" w14:textId="77777777" w:rsidR="005F44BC" w:rsidRPr="00C9343F" w:rsidRDefault="005F44BC" w:rsidP="00F66D98">
            <w:pPr>
              <w:rPr>
                <w:rFonts w:cs="Arial"/>
                <w:sz w:val="20"/>
              </w:rPr>
            </w:pPr>
            <w:r w:rsidRPr="00C9343F">
              <w:rPr>
                <w:rFonts w:cs="Arial"/>
                <w:sz w:val="20"/>
              </w:rPr>
              <w:t>I have completed the options for payment (see Annex 3.5.J, Bonus payment election.)</w:t>
            </w:r>
          </w:p>
          <w:p w14:paraId="364870FF" w14:textId="77777777" w:rsidR="005F44BC" w:rsidRPr="00C9343F" w:rsidRDefault="005F44BC" w:rsidP="00F66D98">
            <w:pPr>
              <w:rPr>
                <w:rFonts w:cs="Arial"/>
                <w:sz w:val="20"/>
              </w:rPr>
            </w:pPr>
          </w:p>
        </w:tc>
        <w:tc>
          <w:tcPr>
            <w:tcW w:w="1541" w:type="dxa"/>
            <w:shd w:val="clear" w:color="auto" w:fill="auto"/>
          </w:tcPr>
          <w:p w14:paraId="1423C74C"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3BA16E39" w14:textId="77777777" w:rsidR="005F44BC" w:rsidRPr="00C9343F" w:rsidRDefault="005F44BC" w:rsidP="00F66D98">
            <w:pPr>
              <w:jc w:val="center"/>
              <w:rPr>
                <w:rFonts w:cs="Arial"/>
                <w:sz w:val="20"/>
              </w:rPr>
            </w:pPr>
            <w:r w:rsidRPr="00C9343F">
              <w:rPr>
                <w:rFonts w:cs="Arial"/>
                <w:sz w:val="20"/>
              </w:rPr>
              <w:t>No  [   ]</w:t>
            </w:r>
          </w:p>
        </w:tc>
      </w:tr>
      <w:tr w:rsidR="007448DD" w:rsidRPr="00C9343F" w14:paraId="27764238" w14:textId="77777777" w:rsidTr="0005003D">
        <w:tc>
          <w:tcPr>
            <w:tcW w:w="6379" w:type="dxa"/>
            <w:gridSpan w:val="2"/>
            <w:shd w:val="clear" w:color="auto" w:fill="auto"/>
          </w:tcPr>
          <w:p w14:paraId="31EDD070" w14:textId="77777777" w:rsidR="007448DD" w:rsidRPr="00C9343F" w:rsidRDefault="007448DD" w:rsidP="00F66D98">
            <w:pPr>
              <w:rPr>
                <w:sz w:val="20"/>
              </w:rPr>
            </w:pPr>
            <w:r w:rsidRPr="00C9343F">
              <w:rPr>
                <w:sz w:val="20"/>
              </w:rPr>
              <w:t>I have applied to extend my fixed period of service beyond the period of agreed service required for the bonus.</w:t>
            </w:r>
          </w:p>
        </w:tc>
        <w:tc>
          <w:tcPr>
            <w:tcW w:w="1541" w:type="dxa"/>
            <w:shd w:val="clear" w:color="auto" w:fill="auto"/>
            <w:vAlign w:val="center"/>
          </w:tcPr>
          <w:p w14:paraId="0B6216E2" w14:textId="77777777" w:rsidR="007448DD" w:rsidRPr="00C9343F" w:rsidRDefault="007448DD" w:rsidP="00F66D98">
            <w:pPr>
              <w:jc w:val="center"/>
              <w:rPr>
                <w:sz w:val="20"/>
              </w:rPr>
            </w:pPr>
            <w:r w:rsidRPr="00C9343F">
              <w:rPr>
                <w:sz w:val="20"/>
              </w:rPr>
              <w:t>Yes [  ]</w:t>
            </w:r>
          </w:p>
        </w:tc>
        <w:tc>
          <w:tcPr>
            <w:tcW w:w="1542" w:type="dxa"/>
            <w:shd w:val="clear" w:color="auto" w:fill="auto"/>
            <w:vAlign w:val="center"/>
          </w:tcPr>
          <w:p w14:paraId="4D148670" w14:textId="77777777" w:rsidR="007448DD" w:rsidRPr="00C9343F" w:rsidRDefault="007448DD" w:rsidP="00F66D98">
            <w:pPr>
              <w:jc w:val="center"/>
              <w:rPr>
                <w:sz w:val="20"/>
              </w:rPr>
            </w:pPr>
            <w:r w:rsidRPr="00C9343F">
              <w:rPr>
                <w:sz w:val="20"/>
              </w:rPr>
              <w:t>No [  ]</w:t>
            </w:r>
          </w:p>
        </w:tc>
      </w:tr>
      <w:tr w:rsidR="007448DD" w:rsidRPr="00C9343F" w14:paraId="7CB76E2C" w14:textId="77777777" w:rsidTr="0005003D">
        <w:tc>
          <w:tcPr>
            <w:tcW w:w="6379" w:type="dxa"/>
            <w:gridSpan w:val="2"/>
            <w:shd w:val="clear" w:color="auto" w:fill="auto"/>
          </w:tcPr>
          <w:p w14:paraId="7ED7156A" w14:textId="77777777" w:rsidR="007448DD" w:rsidRPr="00C9343F" w:rsidRDefault="007448DD" w:rsidP="00F66D98">
            <w:pPr>
              <w:rPr>
                <w:sz w:val="20"/>
              </w:rPr>
            </w:pPr>
            <w:r w:rsidRPr="00C9343F">
              <w:rPr>
                <w:sz w:val="20"/>
              </w:rPr>
              <w:t>I have a written direction from the CDF allowing me to serve beyond my retirement age.</w:t>
            </w:r>
          </w:p>
        </w:tc>
        <w:tc>
          <w:tcPr>
            <w:tcW w:w="1541" w:type="dxa"/>
            <w:shd w:val="clear" w:color="auto" w:fill="auto"/>
            <w:vAlign w:val="center"/>
          </w:tcPr>
          <w:p w14:paraId="1C5D70C1" w14:textId="77777777" w:rsidR="007448DD" w:rsidRPr="00C9343F" w:rsidRDefault="007448DD" w:rsidP="00F66D98">
            <w:pPr>
              <w:jc w:val="center"/>
              <w:rPr>
                <w:sz w:val="20"/>
              </w:rPr>
            </w:pPr>
            <w:r w:rsidRPr="00C9343F">
              <w:rPr>
                <w:sz w:val="20"/>
              </w:rPr>
              <w:t>Yes [  ]</w:t>
            </w:r>
          </w:p>
        </w:tc>
        <w:tc>
          <w:tcPr>
            <w:tcW w:w="1542" w:type="dxa"/>
            <w:shd w:val="clear" w:color="auto" w:fill="auto"/>
            <w:vAlign w:val="center"/>
          </w:tcPr>
          <w:p w14:paraId="47BB6FA8" w14:textId="77777777" w:rsidR="007448DD" w:rsidRPr="00C9343F" w:rsidRDefault="007448DD" w:rsidP="00F66D98">
            <w:pPr>
              <w:jc w:val="center"/>
              <w:rPr>
                <w:sz w:val="20"/>
              </w:rPr>
            </w:pPr>
            <w:r w:rsidRPr="00C9343F">
              <w:rPr>
                <w:sz w:val="20"/>
              </w:rPr>
              <w:t>No [  ]</w:t>
            </w:r>
          </w:p>
        </w:tc>
      </w:tr>
      <w:tr w:rsidR="007448DD" w:rsidRPr="00C9343F" w14:paraId="0890FBC8" w14:textId="77777777" w:rsidTr="00D81CEA">
        <w:tc>
          <w:tcPr>
            <w:tcW w:w="567" w:type="dxa"/>
            <w:shd w:val="clear" w:color="auto" w:fill="auto"/>
          </w:tcPr>
          <w:p w14:paraId="240A8EA3" w14:textId="77777777" w:rsidR="007448DD" w:rsidRPr="00C9343F" w:rsidRDefault="007448DD" w:rsidP="00F66D98">
            <w:pPr>
              <w:pStyle w:val="BlockText-Plain"/>
              <w:spacing w:before="60"/>
              <w:rPr>
                <w:rFonts w:cs="Arial"/>
              </w:rPr>
            </w:pPr>
            <w:r w:rsidRPr="00C9343F">
              <w:rPr>
                <w:rFonts w:cs="Arial"/>
              </w:rPr>
              <w:t>[   ]</w:t>
            </w:r>
          </w:p>
        </w:tc>
        <w:tc>
          <w:tcPr>
            <w:tcW w:w="8895" w:type="dxa"/>
            <w:gridSpan w:val="3"/>
            <w:shd w:val="clear" w:color="auto" w:fill="auto"/>
          </w:tcPr>
          <w:p w14:paraId="440ED869" w14:textId="77777777" w:rsidR="007448DD" w:rsidRPr="00C9343F" w:rsidRDefault="007448DD" w:rsidP="00F66D98">
            <w:pPr>
              <w:pStyle w:val="BlockText-Plain"/>
              <w:spacing w:before="60"/>
              <w:rPr>
                <w:rFonts w:cs="Arial"/>
              </w:rPr>
            </w:pPr>
            <w:r w:rsidRPr="00C9343F">
              <w:rPr>
                <w:rFonts w:cs="Arial"/>
              </w:rPr>
              <w:t>This is my first acceptance of a place in the scheme.</w:t>
            </w:r>
          </w:p>
        </w:tc>
      </w:tr>
      <w:tr w:rsidR="007448DD" w:rsidRPr="00C9343F" w14:paraId="09334041" w14:textId="77777777" w:rsidTr="00D81CEA">
        <w:tc>
          <w:tcPr>
            <w:tcW w:w="567" w:type="dxa"/>
            <w:shd w:val="clear" w:color="auto" w:fill="auto"/>
          </w:tcPr>
          <w:p w14:paraId="3D17CDA5" w14:textId="77777777" w:rsidR="007448DD" w:rsidRPr="00C9343F" w:rsidRDefault="007448DD" w:rsidP="00F66D98">
            <w:pPr>
              <w:pStyle w:val="BlockText-Plain"/>
              <w:spacing w:before="60"/>
              <w:rPr>
                <w:rFonts w:cs="Arial"/>
              </w:rPr>
            </w:pPr>
            <w:r w:rsidRPr="00C9343F">
              <w:rPr>
                <w:rFonts w:cs="Arial"/>
              </w:rPr>
              <w:t>[   ]</w:t>
            </w:r>
          </w:p>
        </w:tc>
        <w:tc>
          <w:tcPr>
            <w:tcW w:w="8895" w:type="dxa"/>
            <w:gridSpan w:val="3"/>
            <w:shd w:val="clear" w:color="auto" w:fill="auto"/>
          </w:tcPr>
          <w:p w14:paraId="5539104D" w14:textId="77777777" w:rsidR="007448DD" w:rsidRPr="00C9343F" w:rsidRDefault="007448DD" w:rsidP="00F66D98">
            <w:pPr>
              <w:pStyle w:val="BlockText-Plain"/>
              <w:spacing w:before="60"/>
              <w:rPr>
                <w:rFonts w:cs="Arial"/>
              </w:rPr>
            </w:pPr>
            <w:r w:rsidRPr="00C9343F">
              <w:rPr>
                <w:rFonts w:cs="Arial"/>
              </w:rPr>
              <w:t>I am not currently in receipt of any other retention or completion bonus.</w:t>
            </w:r>
          </w:p>
        </w:tc>
      </w:tr>
      <w:tr w:rsidR="007448DD" w:rsidRPr="00C9343F" w14:paraId="6B45F2C3" w14:textId="77777777" w:rsidTr="00D81CEA">
        <w:tc>
          <w:tcPr>
            <w:tcW w:w="567" w:type="dxa"/>
            <w:shd w:val="clear" w:color="auto" w:fill="auto"/>
          </w:tcPr>
          <w:p w14:paraId="0E34AEC5" w14:textId="77777777" w:rsidR="007448DD" w:rsidRPr="00C9343F" w:rsidRDefault="007448DD" w:rsidP="00F66D98">
            <w:pPr>
              <w:pStyle w:val="BlockText-Plain"/>
              <w:spacing w:before="60"/>
              <w:rPr>
                <w:rFonts w:cs="Arial"/>
              </w:rPr>
            </w:pPr>
            <w:r w:rsidRPr="00C9343F">
              <w:rPr>
                <w:rFonts w:cs="Arial"/>
              </w:rPr>
              <w:t>[   ]</w:t>
            </w:r>
          </w:p>
        </w:tc>
        <w:tc>
          <w:tcPr>
            <w:tcW w:w="8895" w:type="dxa"/>
            <w:gridSpan w:val="3"/>
            <w:shd w:val="clear" w:color="auto" w:fill="auto"/>
          </w:tcPr>
          <w:p w14:paraId="1621750A" w14:textId="77777777" w:rsidR="007448DD" w:rsidRPr="00C9343F" w:rsidRDefault="007448DD" w:rsidP="00F66D98">
            <w:pPr>
              <w:pStyle w:val="BlockText-Plain"/>
              <w:spacing w:before="60"/>
              <w:rPr>
                <w:rFonts w:cs="Arial"/>
              </w:rPr>
            </w:pPr>
            <w:r w:rsidRPr="00C9343F">
              <w:rPr>
                <w:rFonts w:cs="Arial"/>
              </w:rPr>
              <w:t xml:space="preserve">I elect to be paid out of the following retention or completion bonus on a pro rata basis so as to commence my agreed period of service under this bonus scheme: </w:t>
            </w:r>
          </w:p>
          <w:p w14:paraId="1C93C053" w14:textId="742224A6" w:rsidR="007448DD" w:rsidRPr="00C9343F" w:rsidRDefault="007448DD" w:rsidP="00F66D98">
            <w:pPr>
              <w:pStyle w:val="BlockText-Plain"/>
              <w:spacing w:before="60"/>
              <w:rPr>
                <w:rFonts w:cs="Arial"/>
              </w:rPr>
            </w:pPr>
            <w:r w:rsidRPr="00C9343F">
              <w:rPr>
                <w:rFonts w:cs="Arial"/>
                <w:sz w:val="16"/>
                <w:szCs w:val="16"/>
              </w:rPr>
              <w:t>(</w:t>
            </w:r>
            <w:r w:rsidRPr="00C9343F">
              <w:rPr>
                <w:rFonts w:cs="Arial"/>
                <w:i/>
                <w:sz w:val="16"/>
                <w:szCs w:val="16"/>
              </w:rPr>
              <w:t>List other bonus scheme</w:t>
            </w:r>
            <w:r w:rsidRPr="00C9343F">
              <w:rPr>
                <w:rFonts w:cs="Arial"/>
                <w:sz w:val="16"/>
                <w:szCs w:val="16"/>
              </w:rPr>
              <w:t>)</w:t>
            </w:r>
            <w:r w:rsidR="00D94006" w:rsidRPr="00C9343F">
              <w:rPr>
                <w:rFonts w:cs="Arial"/>
                <w:sz w:val="16"/>
                <w:szCs w:val="16"/>
              </w:rPr>
              <w:t>                                                                                                                                                              </w:t>
            </w:r>
          </w:p>
        </w:tc>
      </w:tr>
      <w:tr w:rsidR="007448DD" w:rsidRPr="00C9343F" w14:paraId="6A85BC8B" w14:textId="77777777" w:rsidTr="00D81CEA">
        <w:tc>
          <w:tcPr>
            <w:tcW w:w="567" w:type="dxa"/>
            <w:shd w:val="clear" w:color="auto" w:fill="auto"/>
          </w:tcPr>
          <w:p w14:paraId="757F0F09" w14:textId="77777777" w:rsidR="007448DD" w:rsidRPr="00C9343F" w:rsidRDefault="007448DD" w:rsidP="00F66D98">
            <w:pPr>
              <w:pStyle w:val="BlockText-Plain"/>
              <w:spacing w:before="60"/>
              <w:rPr>
                <w:rFonts w:cs="Arial"/>
              </w:rPr>
            </w:pPr>
            <w:r w:rsidRPr="00C9343F">
              <w:rPr>
                <w:rFonts w:cs="Arial"/>
              </w:rPr>
              <w:t>[   ]</w:t>
            </w:r>
          </w:p>
        </w:tc>
        <w:tc>
          <w:tcPr>
            <w:tcW w:w="8895" w:type="dxa"/>
            <w:gridSpan w:val="3"/>
            <w:shd w:val="clear" w:color="auto" w:fill="auto"/>
          </w:tcPr>
          <w:p w14:paraId="2670B133" w14:textId="77777777" w:rsidR="007448DD" w:rsidRPr="00C9343F" w:rsidRDefault="007448DD" w:rsidP="00F66D98">
            <w:pPr>
              <w:pStyle w:val="BlockText-Plain"/>
              <w:spacing w:before="60"/>
              <w:rPr>
                <w:rFonts w:cs="Arial"/>
              </w:rPr>
            </w:pPr>
            <w:r w:rsidRPr="00C9343F">
              <w:rPr>
                <w:rFonts w:cs="Arial"/>
              </w:rPr>
              <w:t>I am required to serve under these other bonus schemes before I serve my agreed period of service for this bonus:</w:t>
            </w:r>
          </w:p>
          <w:p w14:paraId="4C4ABEC7" w14:textId="160B44B1" w:rsidR="007448DD" w:rsidRPr="00C9343F" w:rsidRDefault="007448DD" w:rsidP="00F66D98">
            <w:pPr>
              <w:pStyle w:val="BlockText-Plain"/>
              <w:spacing w:before="60"/>
              <w:rPr>
                <w:rFonts w:cs="Arial"/>
                <w:sz w:val="16"/>
                <w:szCs w:val="16"/>
              </w:rPr>
            </w:pPr>
            <w:r w:rsidRPr="00C9343F">
              <w:rPr>
                <w:rFonts w:cs="Arial"/>
                <w:sz w:val="16"/>
                <w:szCs w:val="16"/>
              </w:rPr>
              <w:lastRenderedPageBreak/>
              <w:t>(</w:t>
            </w:r>
            <w:r w:rsidRPr="00C9343F">
              <w:rPr>
                <w:rFonts w:cs="Arial"/>
                <w:i/>
                <w:sz w:val="16"/>
                <w:szCs w:val="16"/>
              </w:rPr>
              <w:t>List any other bonus schemes</w:t>
            </w:r>
            <w:r w:rsidRPr="00C9343F">
              <w:rPr>
                <w:rFonts w:cs="Arial"/>
                <w:sz w:val="16"/>
                <w:szCs w:val="16"/>
              </w:rPr>
              <w:t>)</w:t>
            </w:r>
            <w:r w:rsidR="00D94006" w:rsidRPr="00C9343F">
              <w:rPr>
                <w:rFonts w:cs="Arial"/>
                <w:sz w:val="16"/>
                <w:szCs w:val="16"/>
              </w:rPr>
              <w:t>                                                                                                                                                              </w:t>
            </w:r>
          </w:p>
        </w:tc>
      </w:tr>
    </w:tbl>
    <w:p w14:paraId="279F220D" w14:textId="267338D2" w:rsidR="005F44BC" w:rsidRPr="00C9343F" w:rsidRDefault="005F44BC" w:rsidP="00F66D98"/>
    <w:tbl>
      <w:tblPr>
        <w:tblW w:w="9498" w:type="dxa"/>
        <w:tblInd w:w="56" w:type="dxa"/>
        <w:tblLayout w:type="fixed"/>
        <w:tblCellMar>
          <w:left w:w="56" w:type="dxa"/>
          <w:right w:w="56" w:type="dxa"/>
        </w:tblCellMar>
        <w:tblLook w:val="0000" w:firstRow="0" w:lastRow="0" w:firstColumn="0" w:lastColumn="0" w:noHBand="0" w:noVBand="0"/>
      </w:tblPr>
      <w:tblGrid>
        <w:gridCol w:w="2410"/>
        <w:gridCol w:w="2268"/>
        <w:gridCol w:w="992"/>
        <w:gridCol w:w="3828"/>
      </w:tblGrid>
      <w:tr w:rsidR="005F44BC" w:rsidRPr="00C9343F" w14:paraId="2B8B630A" w14:textId="77777777" w:rsidTr="005F44BC">
        <w:trPr>
          <w:cantSplit/>
        </w:trPr>
        <w:tc>
          <w:tcPr>
            <w:tcW w:w="2410" w:type="dxa"/>
          </w:tcPr>
          <w:p w14:paraId="1EEA0260" w14:textId="77777777" w:rsidR="005F44BC" w:rsidRPr="00C9343F" w:rsidRDefault="005F44BC" w:rsidP="00F66D98">
            <w:pPr>
              <w:pStyle w:val="TableHeaderArial"/>
              <w:jc w:val="left"/>
              <w:rPr>
                <w:rFonts w:cs="Arial"/>
              </w:rPr>
            </w:pPr>
            <w:r w:rsidRPr="00C9343F">
              <w:rPr>
                <w:rFonts w:cs="Arial"/>
                <w:b w:val="0"/>
              </w:rPr>
              <w:t>Dated this</w:t>
            </w:r>
          </w:p>
        </w:tc>
        <w:tc>
          <w:tcPr>
            <w:tcW w:w="2268" w:type="dxa"/>
          </w:tcPr>
          <w:p w14:paraId="1269D274" w14:textId="77777777" w:rsidR="005F44BC" w:rsidRPr="00C9343F" w:rsidRDefault="005F44BC" w:rsidP="00F66D98">
            <w:pPr>
              <w:pStyle w:val="TableHeaderArial"/>
              <w:jc w:val="left"/>
              <w:rPr>
                <w:rFonts w:cs="Arial"/>
              </w:rPr>
            </w:pPr>
            <w:r w:rsidRPr="00C9343F">
              <w:rPr>
                <w:rFonts w:cs="Arial"/>
                <w:b w:val="0"/>
              </w:rPr>
              <w:t>day of</w:t>
            </w:r>
          </w:p>
        </w:tc>
        <w:tc>
          <w:tcPr>
            <w:tcW w:w="992" w:type="dxa"/>
          </w:tcPr>
          <w:p w14:paraId="00BB5AC0" w14:textId="77777777" w:rsidR="005F44BC" w:rsidRPr="00C9343F" w:rsidRDefault="005F44BC" w:rsidP="00F66D98">
            <w:pPr>
              <w:pStyle w:val="TableHeaderArial"/>
              <w:rPr>
                <w:rFonts w:cs="Arial"/>
              </w:rPr>
            </w:pPr>
          </w:p>
        </w:tc>
        <w:tc>
          <w:tcPr>
            <w:tcW w:w="3828" w:type="dxa"/>
          </w:tcPr>
          <w:p w14:paraId="2E952A7A" w14:textId="77777777" w:rsidR="005F44BC" w:rsidRPr="00C9343F" w:rsidRDefault="005F44BC" w:rsidP="00F66D98">
            <w:pPr>
              <w:pStyle w:val="TableHeaderArial"/>
              <w:jc w:val="left"/>
              <w:rPr>
                <w:rFonts w:cs="Arial"/>
              </w:rPr>
            </w:pPr>
            <w:r w:rsidRPr="00C9343F">
              <w:rPr>
                <w:rFonts w:cs="Arial"/>
                <w:b w:val="0"/>
              </w:rPr>
              <w:t>20</w:t>
            </w:r>
          </w:p>
        </w:tc>
      </w:tr>
      <w:tr w:rsidR="005F44BC" w:rsidRPr="00C9343F" w14:paraId="19AEC42D" w14:textId="77777777" w:rsidTr="005F44BC">
        <w:trPr>
          <w:cantSplit/>
        </w:trPr>
        <w:tc>
          <w:tcPr>
            <w:tcW w:w="2410" w:type="dxa"/>
          </w:tcPr>
          <w:p w14:paraId="1D633803" w14:textId="77777777" w:rsidR="005F44BC" w:rsidRPr="00C9343F" w:rsidRDefault="005F44BC" w:rsidP="00F66D98">
            <w:pPr>
              <w:pStyle w:val="TableTextArial-leftCharChar"/>
              <w:rPr>
                <w:rFonts w:cs="Arial"/>
              </w:rPr>
            </w:pPr>
          </w:p>
        </w:tc>
        <w:tc>
          <w:tcPr>
            <w:tcW w:w="2268" w:type="dxa"/>
            <w:tcBorders>
              <w:bottom w:val="single" w:sz="4" w:space="0" w:color="auto"/>
            </w:tcBorders>
          </w:tcPr>
          <w:p w14:paraId="02687DDC" w14:textId="77777777" w:rsidR="005F44BC" w:rsidRPr="00C9343F" w:rsidRDefault="005F44BC" w:rsidP="00F66D98">
            <w:pPr>
              <w:pStyle w:val="TableTextArial-leftCharChar"/>
              <w:rPr>
                <w:rFonts w:cs="Arial"/>
              </w:rPr>
            </w:pPr>
          </w:p>
        </w:tc>
        <w:tc>
          <w:tcPr>
            <w:tcW w:w="992" w:type="dxa"/>
          </w:tcPr>
          <w:p w14:paraId="7DB10393" w14:textId="77777777" w:rsidR="005F44BC" w:rsidRPr="00C9343F" w:rsidRDefault="005F44BC" w:rsidP="00F66D98">
            <w:pPr>
              <w:pStyle w:val="TableTextArial-leftCharChar"/>
              <w:rPr>
                <w:rFonts w:cs="Arial"/>
              </w:rPr>
            </w:pPr>
          </w:p>
        </w:tc>
        <w:tc>
          <w:tcPr>
            <w:tcW w:w="3828" w:type="dxa"/>
            <w:tcBorders>
              <w:bottom w:val="single" w:sz="4" w:space="0" w:color="auto"/>
            </w:tcBorders>
          </w:tcPr>
          <w:p w14:paraId="0AE30BC4" w14:textId="77777777" w:rsidR="005F44BC" w:rsidRPr="00C9343F" w:rsidRDefault="005F44BC" w:rsidP="00F66D98">
            <w:pPr>
              <w:pStyle w:val="TableTextArial-leftCharChar"/>
              <w:rPr>
                <w:rFonts w:cs="Arial"/>
              </w:rPr>
            </w:pPr>
          </w:p>
          <w:p w14:paraId="4347199F" w14:textId="77777777" w:rsidR="005F44BC" w:rsidRPr="00C9343F" w:rsidRDefault="005F44BC" w:rsidP="00F66D98">
            <w:pPr>
              <w:pStyle w:val="TableTextArial-leftCharChar"/>
              <w:rPr>
                <w:rFonts w:cs="Arial"/>
              </w:rPr>
            </w:pPr>
          </w:p>
        </w:tc>
      </w:tr>
      <w:tr w:rsidR="005F44BC" w:rsidRPr="00C9343F" w14:paraId="4A1EB29C" w14:textId="77777777" w:rsidTr="005F44BC">
        <w:trPr>
          <w:cantSplit/>
        </w:trPr>
        <w:tc>
          <w:tcPr>
            <w:tcW w:w="2410" w:type="dxa"/>
          </w:tcPr>
          <w:p w14:paraId="60A8BCE6" w14:textId="77777777" w:rsidR="005F44BC" w:rsidRPr="00C9343F" w:rsidRDefault="005F44BC" w:rsidP="00F66D98">
            <w:pPr>
              <w:pStyle w:val="TableTextArial-leftCharChar"/>
              <w:rPr>
                <w:rFonts w:cs="Arial"/>
              </w:rPr>
            </w:pPr>
          </w:p>
        </w:tc>
        <w:tc>
          <w:tcPr>
            <w:tcW w:w="2268" w:type="dxa"/>
            <w:tcBorders>
              <w:top w:val="single" w:sz="4" w:space="0" w:color="auto"/>
            </w:tcBorders>
          </w:tcPr>
          <w:p w14:paraId="4463B97E" w14:textId="77777777" w:rsidR="005F44BC" w:rsidRPr="00C9343F" w:rsidRDefault="005F44BC" w:rsidP="00F66D98">
            <w:pPr>
              <w:pStyle w:val="TableTextArial-leftCharChar"/>
              <w:jc w:val="center"/>
              <w:rPr>
                <w:rFonts w:cs="Arial"/>
                <w:sz w:val="20"/>
              </w:rPr>
            </w:pPr>
            <w:r w:rsidRPr="00C9343F">
              <w:rPr>
                <w:rFonts w:cs="Arial"/>
                <w:sz w:val="20"/>
              </w:rPr>
              <w:t>Signed</w:t>
            </w:r>
          </w:p>
        </w:tc>
        <w:tc>
          <w:tcPr>
            <w:tcW w:w="992" w:type="dxa"/>
          </w:tcPr>
          <w:p w14:paraId="40CFECDE" w14:textId="77777777" w:rsidR="005F44BC" w:rsidRPr="00C9343F" w:rsidRDefault="005F44BC" w:rsidP="00F66D98">
            <w:pPr>
              <w:pStyle w:val="TableTextArial-leftCharChar"/>
              <w:rPr>
                <w:rFonts w:cs="Arial"/>
              </w:rPr>
            </w:pPr>
          </w:p>
        </w:tc>
        <w:tc>
          <w:tcPr>
            <w:tcW w:w="3828" w:type="dxa"/>
            <w:tcBorders>
              <w:top w:val="single" w:sz="4" w:space="0" w:color="auto"/>
            </w:tcBorders>
          </w:tcPr>
          <w:p w14:paraId="03BECF2D" w14:textId="77777777" w:rsidR="005F44BC" w:rsidRPr="00C9343F" w:rsidRDefault="005F44BC" w:rsidP="00F66D98">
            <w:pPr>
              <w:pStyle w:val="TableTextArial-leftCharChar"/>
              <w:jc w:val="center"/>
              <w:rPr>
                <w:rFonts w:cs="Arial"/>
                <w:sz w:val="20"/>
              </w:rPr>
            </w:pPr>
            <w:r w:rsidRPr="00C9343F">
              <w:rPr>
                <w:rFonts w:cs="Arial"/>
                <w:sz w:val="20"/>
              </w:rPr>
              <w:t>Printed name</w:t>
            </w:r>
          </w:p>
        </w:tc>
      </w:tr>
      <w:tr w:rsidR="005F44BC" w:rsidRPr="00C9343F" w14:paraId="0B7B63CA" w14:textId="77777777" w:rsidTr="005F44BC">
        <w:trPr>
          <w:cantSplit/>
        </w:trPr>
        <w:tc>
          <w:tcPr>
            <w:tcW w:w="2410" w:type="dxa"/>
            <w:vMerge w:val="restart"/>
          </w:tcPr>
          <w:p w14:paraId="16B6EC88" w14:textId="77777777" w:rsidR="005F44BC" w:rsidRPr="00C9343F" w:rsidRDefault="005F44BC" w:rsidP="00F66D98">
            <w:pPr>
              <w:pStyle w:val="TableTextArial-leftCharChar"/>
              <w:jc w:val="right"/>
              <w:rPr>
                <w:sz w:val="20"/>
              </w:rPr>
            </w:pPr>
          </w:p>
          <w:p w14:paraId="029CD96E" w14:textId="77777777" w:rsidR="005F44BC" w:rsidRPr="00C9343F" w:rsidRDefault="005F44BC" w:rsidP="00F66D98">
            <w:pPr>
              <w:pStyle w:val="TableTextArial-leftCharChar"/>
              <w:jc w:val="right"/>
              <w:rPr>
                <w:sz w:val="20"/>
              </w:rPr>
            </w:pPr>
          </w:p>
          <w:p w14:paraId="564DF107" w14:textId="77777777" w:rsidR="005F44BC" w:rsidRPr="00C9343F" w:rsidRDefault="005F44BC" w:rsidP="00F66D98">
            <w:pPr>
              <w:pStyle w:val="TableTextArial-leftCharChar"/>
              <w:jc w:val="right"/>
              <w:rPr>
                <w:sz w:val="20"/>
              </w:rPr>
            </w:pPr>
            <w:r w:rsidRPr="00C9343F">
              <w:rPr>
                <w:sz w:val="20"/>
              </w:rPr>
              <w:t>Witness</w:t>
            </w:r>
          </w:p>
          <w:p w14:paraId="07248FDC" w14:textId="77777777" w:rsidR="005F44BC" w:rsidRPr="00C9343F" w:rsidRDefault="005F44BC" w:rsidP="00F66D98">
            <w:pPr>
              <w:pStyle w:val="TableTextArial-leftCharChar"/>
              <w:rPr>
                <w:i/>
                <w:sz w:val="20"/>
              </w:rPr>
            </w:pPr>
            <w:r w:rsidRPr="00C9343F">
              <w:rPr>
                <w:i/>
                <w:sz w:val="20"/>
              </w:rPr>
              <w:t>(This person must be above the applicant in the chain of command)</w:t>
            </w:r>
          </w:p>
        </w:tc>
        <w:tc>
          <w:tcPr>
            <w:tcW w:w="2268" w:type="dxa"/>
            <w:tcBorders>
              <w:bottom w:val="single" w:sz="4" w:space="0" w:color="auto"/>
            </w:tcBorders>
          </w:tcPr>
          <w:p w14:paraId="20AFAE23" w14:textId="77777777" w:rsidR="005F44BC" w:rsidRPr="00C9343F" w:rsidRDefault="005F44BC" w:rsidP="00F66D98">
            <w:pPr>
              <w:pStyle w:val="TableTextArial-leftCharChar"/>
            </w:pPr>
          </w:p>
        </w:tc>
        <w:tc>
          <w:tcPr>
            <w:tcW w:w="992" w:type="dxa"/>
          </w:tcPr>
          <w:p w14:paraId="0EB82592" w14:textId="77777777" w:rsidR="005F44BC" w:rsidRPr="00C9343F" w:rsidRDefault="005F44BC" w:rsidP="00F66D98">
            <w:pPr>
              <w:pStyle w:val="TableTextArial-leftCharChar"/>
            </w:pPr>
          </w:p>
        </w:tc>
        <w:tc>
          <w:tcPr>
            <w:tcW w:w="3828" w:type="dxa"/>
            <w:tcBorders>
              <w:bottom w:val="single" w:sz="4" w:space="0" w:color="auto"/>
            </w:tcBorders>
          </w:tcPr>
          <w:p w14:paraId="49861600" w14:textId="77777777" w:rsidR="005F44BC" w:rsidRPr="00C9343F" w:rsidRDefault="005F44BC" w:rsidP="00F66D98">
            <w:pPr>
              <w:pStyle w:val="TableTextArial-leftCharChar"/>
            </w:pPr>
          </w:p>
          <w:p w14:paraId="3806CE2D" w14:textId="77777777" w:rsidR="005F44BC" w:rsidRPr="00C9343F" w:rsidRDefault="005F44BC" w:rsidP="00F66D98">
            <w:pPr>
              <w:pStyle w:val="TableTextArial-leftCharChar"/>
            </w:pPr>
          </w:p>
          <w:p w14:paraId="78205575" w14:textId="77777777" w:rsidR="005F44BC" w:rsidRPr="00C9343F" w:rsidRDefault="005F44BC" w:rsidP="00F66D98">
            <w:pPr>
              <w:pStyle w:val="TableTextArial-leftCharChar"/>
            </w:pPr>
          </w:p>
        </w:tc>
      </w:tr>
      <w:tr w:rsidR="005F44BC" w:rsidRPr="00C9343F" w14:paraId="16B517F7" w14:textId="77777777" w:rsidTr="005F44BC">
        <w:trPr>
          <w:cantSplit/>
        </w:trPr>
        <w:tc>
          <w:tcPr>
            <w:tcW w:w="2410" w:type="dxa"/>
            <w:vMerge/>
          </w:tcPr>
          <w:p w14:paraId="17B000A5" w14:textId="77777777" w:rsidR="005F44BC" w:rsidRPr="00C9343F" w:rsidRDefault="005F44BC" w:rsidP="00F66D98">
            <w:pPr>
              <w:pStyle w:val="TableTextArial-leftCharChar"/>
            </w:pPr>
          </w:p>
        </w:tc>
        <w:tc>
          <w:tcPr>
            <w:tcW w:w="2268" w:type="dxa"/>
            <w:tcBorders>
              <w:top w:val="single" w:sz="4" w:space="0" w:color="auto"/>
            </w:tcBorders>
          </w:tcPr>
          <w:p w14:paraId="56157FA0" w14:textId="77777777" w:rsidR="005F44BC" w:rsidRPr="00C9343F" w:rsidRDefault="005F44BC" w:rsidP="00F66D98">
            <w:pPr>
              <w:pStyle w:val="TableTextArial-leftCharChar"/>
              <w:jc w:val="center"/>
              <w:rPr>
                <w:sz w:val="20"/>
              </w:rPr>
            </w:pPr>
            <w:r w:rsidRPr="00C9343F">
              <w:rPr>
                <w:sz w:val="20"/>
              </w:rPr>
              <w:t>Signed</w:t>
            </w:r>
          </w:p>
        </w:tc>
        <w:tc>
          <w:tcPr>
            <w:tcW w:w="992" w:type="dxa"/>
          </w:tcPr>
          <w:p w14:paraId="11CDF41F" w14:textId="77777777" w:rsidR="005F44BC" w:rsidRPr="00C9343F" w:rsidRDefault="005F44BC" w:rsidP="00F66D98">
            <w:pPr>
              <w:pStyle w:val="TableTextArial-leftCharChar"/>
            </w:pPr>
          </w:p>
        </w:tc>
        <w:tc>
          <w:tcPr>
            <w:tcW w:w="3828" w:type="dxa"/>
            <w:tcBorders>
              <w:top w:val="single" w:sz="4" w:space="0" w:color="auto"/>
            </w:tcBorders>
          </w:tcPr>
          <w:p w14:paraId="251AF852" w14:textId="77777777" w:rsidR="005F44BC" w:rsidRPr="00C9343F" w:rsidRDefault="005F44BC" w:rsidP="00F66D98">
            <w:pPr>
              <w:pStyle w:val="TableTextArial-leftCharChar"/>
              <w:jc w:val="center"/>
              <w:rPr>
                <w:sz w:val="20"/>
              </w:rPr>
            </w:pPr>
            <w:r w:rsidRPr="00C9343F">
              <w:rPr>
                <w:sz w:val="20"/>
              </w:rPr>
              <w:t>Printed name and rank</w:t>
            </w:r>
          </w:p>
        </w:tc>
      </w:tr>
    </w:tbl>
    <w:p w14:paraId="3C651EB8" w14:textId="77777777" w:rsidR="005F44BC" w:rsidRPr="00C9343F" w:rsidRDefault="005F44BC" w:rsidP="00F66D98"/>
    <w:p w14:paraId="0E585755" w14:textId="77777777" w:rsidR="005F44BC" w:rsidRPr="00C9343F" w:rsidRDefault="005F44BC" w:rsidP="00F66D98"/>
    <w:p w14:paraId="6E1B0D3A" w14:textId="77777777" w:rsidR="005F44BC" w:rsidRPr="00C9343F" w:rsidRDefault="005F44BC" w:rsidP="00F66D98"/>
    <w:p w14:paraId="1ED75080" w14:textId="77777777" w:rsidR="005F44BC" w:rsidRPr="00C9343F" w:rsidRDefault="005F44BC" w:rsidP="00F66D98">
      <w:pPr>
        <w:rPr>
          <w:rFonts w:cs="Arial"/>
        </w:rPr>
      </w:pPr>
      <w:r w:rsidRPr="00C9343F">
        <w:rPr>
          <w:rFonts w:cs="Arial"/>
        </w:rPr>
        <w:t xml:space="preserve">I, </w:t>
      </w:r>
    </w:p>
    <w:tbl>
      <w:tblPr>
        <w:tblW w:w="9356" w:type="dxa"/>
        <w:tblInd w:w="56" w:type="dxa"/>
        <w:tblLayout w:type="fixed"/>
        <w:tblCellMar>
          <w:left w:w="56" w:type="dxa"/>
          <w:right w:w="56" w:type="dxa"/>
        </w:tblCellMar>
        <w:tblLook w:val="0000" w:firstRow="0" w:lastRow="0" w:firstColumn="0" w:lastColumn="0" w:noHBand="0" w:noVBand="0"/>
      </w:tblPr>
      <w:tblGrid>
        <w:gridCol w:w="2339"/>
        <w:gridCol w:w="2339"/>
        <w:gridCol w:w="2339"/>
        <w:gridCol w:w="2339"/>
      </w:tblGrid>
      <w:tr w:rsidR="005F44BC" w:rsidRPr="00C9343F" w14:paraId="5B9FAF5D" w14:textId="77777777" w:rsidTr="005F44BC">
        <w:trPr>
          <w:cantSplit/>
        </w:trPr>
        <w:tc>
          <w:tcPr>
            <w:tcW w:w="2339" w:type="dxa"/>
          </w:tcPr>
          <w:p w14:paraId="4537FDAA" w14:textId="77777777" w:rsidR="005F44BC" w:rsidRPr="00C9343F" w:rsidRDefault="005F44BC" w:rsidP="00F66D98">
            <w:pPr>
              <w:pStyle w:val="TableHeaderArial"/>
              <w:jc w:val="left"/>
              <w:rPr>
                <w:b w:val="0"/>
              </w:rPr>
            </w:pPr>
            <w:r w:rsidRPr="00C9343F">
              <w:rPr>
                <w:b w:val="0"/>
              </w:rPr>
              <w:t>……………………………</w:t>
            </w:r>
          </w:p>
        </w:tc>
        <w:tc>
          <w:tcPr>
            <w:tcW w:w="2339" w:type="dxa"/>
          </w:tcPr>
          <w:p w14:paraId="100B4152" w14:textId="77777777" w:rsidR="005F44BC" w:rsidRPr="00C9343F" w:rsidRDefault="005F44BC" w:rsidP="00F66D98">
            <w:pPr>
              <w:pStyle w:val="TableHeaderArial"/>
              <w:jc w:val="left"/>
              <w:rPr>
                <w:b w:val="0"/>
              </w:rPr>
            </w:pPr>
            <w:r w:rsidRPr="00C9343F">
              <w:rPr>
                <w:b w:val="0"/>
              </w:rPr>
              <w:t>……………………………</w:t>
            </w:r>
          </w:p>
        </w:tc>
        <w:tc>
          <w:tcPr>
            <w:tcW w:w="2339" w:type="dxa"/>
          </w:tcPr>
          <w:p w14:paraId="1AD5A31C" w14:textId="77777777" w:rsidR="005F44BC" w:rsidRPr="00C9343F" w:rsidRDefault="005F44BC" w:rsidP="00F66D98">
            <w:pPr>
              <w:pStyle w:val="TableHeaderArial"/>
              <w:jc w:val="left"/>
              <w:rPr>
                <w:b w:val="0"/>
              </w:rPr>
            </w:pPr>
            <w:r w:rsidRPr="00C9343F">
              <w:rPr>
                <w:b w:val="0"/>
              </w:rPr>
              <w:t>……………………………</w:t>
            </w:r>
          </w:p>
        </w:tc>
        <w:tc>
          <w:tcPr>
            <w:tcW w:w="2339" w:type="dxa"/>
          </w:tcPr>
          <w:p w14:paraId="10DF251E" w14:textId="77777777" w:rsidR="005F44BC" w:rsidRPr="00C9343F" w:rsidRDefault="005F44BC" w:rsidP="00F66D98">
            <w:pPr>
              <w:pStyle w:val="TableHeaderArial"/>
              <w:jc w:val="left"/>
              <w:rPr>
                <w:b w:val="0"/>
              </w:rPr>
            </w:pPr>
            <w:r w:rsidRPr="00C9343F">
              <w:rPr>
                <w:b w:val="0"/>
              </w:rPr>
              <w:t>……………………………</w:t>
            </w:r>
          </w:p>
        </w:tc>
      </w:tr>
      <w:tr w:rsidR="005F44BC" w:rsidRPr="00C9343F" w14:paraId="174A85EA" w14:textId="77777777" w:rsidTr="005F44BC">
        <w:trPr>
          <w:cantSplit/>
        </w:trPr>
        <w:tc>
          <w:tcPr>
            <w:tcW w:w="2339" w:type="dxa"/>
          </w:tcPr>
          <w:p w14:paraId="181756DC" w14:textId="77777777" w:rsidR="005F44BC" w:rsidRPr="00C9343F" w:rsidRDefault="005F44BC" w:rsidP="00F66D98">
            <w:pPr>
              <w:pStyle w:val="TableTextArial-left"/>
              <w:jc w:val="center"/>
            </w:pPr>
            <w:r w:rsidRPr="00C9343F">
              <w:t>(Rank)</w:t>
            </w:r>
          </w:p>
        </w:tc>
        <w:tc>
          <w:tcPr>
            <w:tcW w:w="2339" w:type="dxa"/>
          </w:tcPr>
          <w:p w14:paraId="526BE1C1" w14:textId="77777777" w:rsidR="005F44BC" w:rsidRPr="00C9343F" w:rsidRDefault="005F44BC" w:rsidP="00F66D98">
            <w:pPr>
              <w:pStyle w:val="TableTextArial-left"/>
              <w:jc w:val="center"/>
            </w:pPr>
            <w:r w:rsidRPr="00C9343F">
              <w:t>(Last name)</w:t>
            </w:r>
          </w:p>
        </w:tc>
        <w:tc>
          <w:tcPr>
            <w:tcW w:w="2339" w:type="dxa"/>
          </w:tcPr>
          <w:p w14:paraId="0FC08CEC" w14:textId="77777777" w:rsidR="005F44BC" w:rsidRPr="00C9343F" w:rsidRDefault="005F44BC" w:rsidP="00F66D98">
            <w:pPr>
              <w:pStyle w:val="TableTextArial-left"/>
              <w:jc w:val="center"/>
            </w:pPr>
            <w:r w:rsidRPr="00C9343F">
              <w:t>(Given name)</w:t>
            </w:r>
          </w:p>
        </w:tc>
        <w:tc>
          <w:tcPr>
            <w:tcW w:w="2339" w:type="dxa"/>
          </w:tcPr>
          <w:p w14:paraId="68EAEB1C" w14:textId="77777777" w:rsidR="005F44BC" w:rsidRPr="00C9343F" w:rsidRDefault="005F44BC" w:rsidP="00F66D98">
            <w:pPr>
              <w:pStyle w:val="TableTextArial-left"/>
              <w:jc w:val="center"/>
            </w:pPr>
            <w:r w:rsidRPr="00C9343F">
              <w:t>(Employee ID)</w:t>
            </w:r>
          </w:p>
        </w:tc>
      </w:tr>
    </w:tbl>
    <w:p w14:paraId="21001556" w14:textId="77777777" w:rsidR="005F44BC" w:rsidRPr="00C9343F" w:rsidRDefault="005F44BC" w:rsidP="00F66D98"/>
    <w:p w14:paraId="1B3F47FB" w14:textId="77777777" w:rsidR="005F44BC" w:rsidRPr="00C9343F" w:rsidRDefault="005F44BC" w:rsidP="00F66D98">
      <w:pPr>
        <w:pStyle w:val="BlockText-Plain"/>
      </w:pPr>
      <w:r w:rsidRPr="00C9343F">
        <w:t>verify that the member has met all requirements for payment of the retention bonus.</w:t>
      </w:r>
    </w:p>
    <w:tbl>
      <w:tblPr>
        <w:tblW w:w="0" w:type="auto"/>
        <w:tblInd w:w="1049" w:type="dxa"/>
        <w:tblLayout w:type="fixed"/>
        <w:tblCellMar>
          <w:left w:w="56" w:type="dxa"/>
          <w:right w:w="56" w:type="dxa"/>
        </w:tblCellMar>
        <w:tblLook w:val="0000" w:firstRow="0" w:lastRow="0" w:firstColumn="0" w:lastColumn="0" w:noHBand="0" w:noVBand="0"/>
      </w:tblPr>
      <w:tblGrid>
        <w:gridCol w:w="4150"/>
        <w:gridCol w:w="4213"/>
      </w:tblGrid>
      <w:tr w:rsidR="005F44BC" w:rsidRPr="00C9343F" w14:paraId="1A490E32" w14:textId="77777777" w:rsidTr="005F44BC">
        <w:trPr>
          <w:cantSplit/>
          <w:trHeight w:val="527"/>
        </w:trPr>
        <w:tc>
          <w:tcPr>
            <w:tcW w:w="4150" w:type="dxa"/>
          </w:tcPr>
          <w:p w14:paraId="65B92373" w14:textId="77777777" w:rsidR="005F44BC" w:rsidRPr="00C9343F" w:rsidRDefault="005F44BC" w:rsidP="00F66D98">
            <w:pPr>
              <w:pStyle w:val="TableHeaderArial"/>
              <w:jc w:val="left"/>
            </w:pPr>
          </w:p>
        </w:tc>
        <w:tc>
          <w:tcPr>
            <w:tcW w:w="4213" w:type="dxa"/>
            <w:tcBorders>
              <w:bottom w:val="single" w:sz="4" w:space="0" w:color="auto"/>
            </w:tcBorders>
          </w:tcPr>
          <w:p w14:paraId="0A91E69F" w14:textId="77777777" w:rsidR="005F44BC" w:rsidRPr="00C9343F" w:rsidRDefault="005F44BC" w:rsidP="00F66D98">
            <w:pPr>
              <w:pStyle w:val="TableHeaderArial"/>
              <w:jc w:val="left"/>
            </w:pPr>
          </w:p>
        </w:tc>
      </w:tr>
      <w:tr w:rsidR="005F44BC" w:rsidRPr="00C9343F" w14:paraId="1973DACF" w14:textId="77777777" w:rsidTr="005F44BC">
        <w:trPr>
          <w:cantSplit/>
        </w:trPr>
        <w:tc>
          <w:tcPr>
            <w:tcW w:w="4150" w:type="dxa"/>
          </w:tcPr>
          <w:p w14:paraId="7FB262FC" w14:textId="77777777" w:rsidR="005F44BC" w:rsidRPr="00C9343F" w:rsidRDefault="005F44BC" w:rsidP="00F66D98"/>
        </w:tc>
        <w:tc>
          <w:tcPr>
            <w:tcW w:w="4213" w:type="dxa"/>
          </w:tcPr>
          <w:p w14:paraId="798C610B" w14:textId="77777777" w:rsidR="005F44BC" w:rsidRPr="00C9343F" w:rsidRDefault="005F44BC" w:rsidP="00F66D98">
            <w:pPr>
              <w:rPr>
                <w:sz w:val="20"/>
              </w:rPr>
            </w:pPr>
            <w:r w:rsidRPr="00C9343F">
              <w:rPr>
                <w:sz w:val="20"/>
              </w:rPr>
              <w:t xml:space="preserve">Approved                                </w:t>
            </w:r>
          </w:p>
        </w:tc>
      </w:tr>
      <w:tr w:rsidR="005F44BC" w:rsidRPr="00C9343F" w14:paraId="02DCD6C8" w14:textId="77777777" w:rsidTr="005F44BC">
        <w:trPr>
          <w:cantSplit/>
        </w:trPr>
        <w:tc>
          <w:tcPr>
            <w:tcW w:w="4150" w:type="dxa"/>
          </w:tcPr>
          <w:p w14:paraId="0C9DFBC3" w14:textId="77777777" w:rsidR="005F44BC" w:rsidRPr="00C9343F" w:rsidRDefault="005F44BC" w:rsidP="00F66D98"/>
        </w:tc>
        <w:tc>
          <w:tcPr>
            <w:tcW w:w="4213" w:type="dxa"/>
          </w:tcPr>
          <w:p w14:paraId="23D02309" w14:textId="77777777" w:rsidR="005F44BC" w:rsidRPr="00C9343F" w:rsidRDefault="005F44BC" w:rsidP="00F66D98">
            <w:pPr>
              <w:rPr>
                <w:sz w:val="16"/>
                <w:szCs w:val="16"/>
              </w:rPr>
            </w:pPr>
            <w:r w:rsidRPr="00C9343F">
              <w:rPr>
                <w:sz w:val="16"/>
                <w:szCs w:val="16"/>
              </w:rPr>
              <w:t>Administrator authorised for and on behalf of the Navy</w:t>
            </w:r>
          </w:p>
        </w:tc>
      </w:tr>
    </w:tbl>
    <w:p w14:paraId="6D286735" w14:textId="77777777" w:rsidR="005F44BC" w:rsidRPr="00C9343F" w:rsidRDefault="005F44BC" w:rsidP="00F66D98">
      <w:pPr>
        <w:pStyle w:val="BlockText-Plain"/>
      </w:pPr>
    </w:p>
    <w:p w14:paraId="57B6DE6F" w14:textId="791788D8" w:rsidR="005F44BC" w:rsidRPr="00C9343F" w:rsidRDefault="005F44BC" w:rsidP="00F66D98">
      <w:pPr>
        <w:pStyle w:val="Heading4"/>
        <w:rPr>
          <w:rFonts w:cs="Arial"/>
          <w:b w:val="0"/>
          <w:bCs/>
          <w:szCs w:val="26"/>
        </w:rPr>
        <w:sectPr w:rsidR="005F44BC" w:rsidRPr="00C9343F" w:rsidSect="005F44BC">
          <w:pgSz w:w="11906" w:h="16838" w:code="9"/>
          <w:pgMar w:top="1134" w:right="1134" w:bottom="992" w:left="1418" w:header="720" w:footer="720" w:gutter="0"/>
          <w:cols w:space="720"/>
        </w:sectPr>
      </w:pPr>
    </w:p>
    <w:p w14:paraId="1D801EB8" w14:textId="77777777" w:rsidR="005F44BC" w:rsidRPr="00C9343F" w:rsidRDefault="005F44BC" w:rsidP="00F66D98">
      <w:pPr>
        <w:pStyle w:val="Heading4"/>
      </w:pPr>
      <w:bookmarkStart w:id="577" w:name="_Toc105053784"/>
      <w:r w:rsidRPr="00C9343F">
        <w:lastRenderedPageBreak/>
        <w:t>Annex 3.5.J: Bonus payment election</w:t>
      </w:r>
      <w:bookmarkEnd w:id="577"/>
    </w:p>
    <w:p w14:paraId="57273CE1" w14:textId="77777777" w:rsidR="005F44BC" w:rsidRPr="00C9343F" w:rsidRDefault="005F44BC" w:rsidP="00F66D98">
      <w:r w:rsidRPr="00C9343F">
        <w:rPr>
          <w:b/>
        </w:rPr>
        <w:t xml:space="preserve">Note: </w:t>
      </w:r>
      <w:r w:rsidRPr="00C9343F">
        <w:t>This form is an approved form for the purposes of Chapter 1 Part 2 section 1.2.5, Forms.</w:t>
      </w:r>
    </w:p>
    <w:p w14:paraId="17575AE2" w14:textId="77777777" w:rsidR="005F44BC" w:rsidRPr="00C9343F" w:rsidRDefault="005F44BC" w:rsidP="00F66D98">
      <w:pPr>
        <w:pStyle w:val="BlockTextArial"/>
        <w:rPr>
          <w:sz w:val="20"/>
        </w:rPr>
      </w:pPr>
      <w:r w:rsidRPr="00C9343F">
        <w:rPr>
          <w:sz w:val="20"/>
        </w:rPr>
        <w:t xml:space="preserve">This form is to be used in many ADF bonus schemes to elect the way that the bonus is to be paid. It must be submitted with the other forms prescribed by the scheme. </w:t>
      </w:r>
    </w:p>
    <w:p w14:paraId="0D464D19" w14:textId="77777777" w:rsidR="005F44BC" w:rsidRPr="00C9343F" w:rsidRDefault="005F44BC" w:rsidP="00F66D98">
      <w:pPr>
        <w:pStyle w:val="BlockText-Plain"/>
        <w:spacing w:after="0"/>
        <w:rPr>
          <w:rFonts w:cs="Arial"/>
          <w:b/>
        </w:rPr>
      </w:pPr>
      <w:r w:rsidRPr="00C9343F">
        <w:rPr>
          <w:rFonts w:cs="Arial"/>
          <w:b/>
        </w:rPr>
        <w:t>Taxation and superannuation</w:t>
      </w:r>
    </w:p>
    <w:p w14:paraId="5D086603" w14:textId="77777777" w:rsidR="005F44BC" w:rsidRPr="00C9343F" w:rsidRDefault="005F44BC" w:rsidP="00F66D98">
      <w:pPr>
        <w:pStyle w:val="BlockText-Plain"/>
      </w:pPr>
      <w:r w:rsidRPr="00C9343F">
        <w:t>A pre-taxation salary sacrifice contribution can be made to your superannuation fund. There are caps on how much you can contribute to superannuation in this way each financial year. If you contribute more than the cap you may have a taxation debt. The Australian Taxation Office website has more information on concessional caps and superannuation.</w:t>
      </w:r>
    </w:p>
    <w:tbl>
      <w:tblPr>
        <w:tblW w:w="9468" w:type="dxa"/>
        <w:tblInd w:w="-56" w:type="dxa"/>
        <w:tblLayout w:type="fixed"/>
        <w:tblCellMar>
          <w:left w:w="56" w:type="dxa"/>
          <w:right w:w="56" w:type="dxa"/>
        </w:tblCellMar>
        <w:tblLook w:val="0000" w:firstRow="0" w:lastRow="0" w:firstColumn="0" w:lastColumn="0" w:noHBand="0" w:noVBand="0"/>
      </w:tblPr>
      <w:tblGrid>
        <w:gridCol w:w="2451"/>
        <w:gridCol w:w="2339"/>
        <w:gridCol w:w="2339"/>
        <w:gridCol w:w="2339"/>
      </w:tblGrid>
      <w:tr w:rsidR="005F44BC" w:rsidRPr="00C9343F" w14:paraId="29C73551" w14:textId="77777777" w:rsidTr="005F44BC">
        <w:trPr>
          <w:cantSplit/>
        </w:trPr>
        <w:tc>
          <w:tcPr>
            <w:tcW w:w="2451" w:type="dxa"/>
          </w:tcPr>
          <w:p w14:paraId="263E6831" w14:textId="77777777" w:rsidR="005F44BC" w:rsidRPr="00C9343F" w:rsidRDefault="005F44BC" w:rsidP="00F66D98">
            <w:pPr>
              <w:pStyle w:val="TableHeaderArial"/>
              <w:jc w:val="left"/>
              <w:rPr>
                <w:b w:val="0"/>
              </w:rPr>
            </w:pPr>
            <w:r w:rsidRPr="00C9343F">
              <w:rPr>
                <w:b w:val="0"/>
              </w:rPr>
              <w:t>……………………………</w:t>
            </w:r>
          </w:p>
        </w:tc>
        <w:tc>
          <w:tcPr>
            <w:tcW w:w="2339" w:type="dxa"/>
          </w:tcPr>
          <w:p w14:paraId="432FF73E" w14:textId="77777777" w:rsidR="005F44BC" w:rsidRPr="00C9343F" w:rsidRDefault="005F44BC" w:rsidP="00F66D98">
            <w:pPr>
              <w:pStyle w:val="TableHeaderArial"/>
              <w:jc w:val="left"/>
              <w:rPr>
                <w:b w:val="0"/>
              </w:rPr>
            </w:pPr>
            <w:r w:rsidRPr="00C9343F">
              <w:rPr>
                <w:b w:val="0"/>
              </w:rPr>
              <w:t>……………………………</w:t>
            </w:r>
          </w:p>
        </w:tc>
        <w:tc>
          <w:tcPr>
            <w:tcW w:w="2339" w:type="dxa"/>
          </w:tcPr>
          <w:p w14:paraId="222CDE64" w14:textId="77777777" w:rsidR="005F44BC" w:rsidRPr="00C9343F" w:rsidRDefault="005F44BC" w:rsidP="00F66D98">
            <w:pPr>
              <w:pStyle w:val="TableHeaderArial"/>
              <w:jc w:val="left"/>
              <w:rPr>
                <w:b w:val="0"/>
              </w:rPr>
            </w:pPr>
            <w:r w:rsidRPr="00C9343F">
              <w:rPr>
                <w:b w:val="0"/>
              </w:rPr>
              <w:t>……………………………</w:t>
            </w:r>
          </w:p>
        </w:tc>
        <w:tc>
          <w:tcPr>
            <w:tcW w:w="2339" w:type="dxa"/>
          </w:tcPr>
          <w:p w14:paraId="2E5C6624" w14:textId="77777777" w:rsidR="005F44BC" w:rsidRPr="00C9343F" w:rsidRDefault="005F44BC" w:rsidP="00F66D98">
            <w:pPr>
              <w:pStyle w:val="TableHeaderArial"/>
              <w:jc w:val="left"/>
              <w:rPr>
                <w:b w:val="0"/>
              </w:rPr>
            </w:pPr>
            <w:r w:rsidRPr="00C9343F">
              <w:rPr>
                <w:b w:val="0"/>
              </w:rPr>
              <w:t>……………………………</w:t>
            </w:r>
          </w:p>
        </w:tc>
      </w:tr>
      <w:tr w:rsidR="005F44BC" w:rsidRPr="00C9343F" w14:paraId="44406B09" w14:textId="77777777" w:rsidTr="005F44BC">
        <w:trPr>
          <w:cantSplit/>
        </w:trPr>
        <w:tc>
          <w:tcPr>
            <w:tcW w:w="2451" w:type="dxa"/>
          </w:tcPr>
          <w:p w14:paraId="5A552DC8" w14:textId="77777777" w:rsidR="005F44BC" w:rsidRPr="00C9343F" w:rsidRDefault="005F44BC" w:rsidP="00F66D98">
            <w:pPr>
              <w:pStyle w:val="TableTextArial-left"/>
              <w:jc w:val="center"/>
            </w:pPr>
            <w:r w:rsidRPr="00C9343F">
              <w:t>(Rank)</w:t>
            </w:r>
          </w:p>
        </w:tc>
        <w:tc>
          <w:tcPr>
            <w:tcW w:w="2339" w:type="dxa"/>
          </w:tcPr>
          <w:p w14:paraId="10CA24D4" w14:textId="77777777" w:rsidR="005F44BC" w:rsidRPr="00C9343F" w:rsidRDefault="005F44BC" w:rsidP="00F66D98">
            <w:pPr>
              <w:pStyle w:val="TableTextArial-left"/>
              <w:jc w:val="center"/>
            </w:pPr>
            <w:r w:rsidRPr="00C9343F">
              <w:t>(Last name)</w:t>
            </w:r>
          </w:p>
        </w:tc>
        <w:tc>
          <w:tcPr>
            <w:tcW w:w="2339" w:type="dxa"/>
          </w:tcPr>
          <w:p w14:paraId="35F3A452" w14:textId="77777777" w:rsidR="005F44BC" w:rsidRPr="00C9343F" w:rsidRDefault="005F44BC" w:rsidP="00F66D98">
            <w:pPr>
              <w:pStyle w:val="TableTextArial-left"/>
              <w:jc w:val="center"/>
            </w:pPr>
            <w:r w:rsidRPr="00C9343F">
              <w:t>(Given name)</w:t>
            </w:r>
          </w:p>
        </w:tc>
        <w:tc>
          <w:tcPr>
            <w:tcW w:w="2339" w:type="dxa"/>
          </w:tcPr>
          <w:p w14:paraId="5EF3A651" w14:textId="77777777" w:rsidR="005F44BC" w:rsidRPr="00C9343F" w:rsidRDefault="005F44BC" w:rsidP="00F66D98">
            <w:pPr>
              <w:pStyle w:val="TableTextArial-left"/>
              <w:jc w:val="center"/>
            </w:pPr>
            <w:r w:rsidRPr="00C9343F">
              <w:t>(Employee ID)</w:t>
            </w:r>
          </w:p>
        </w:tc>
      </w:tr>
    </w:tbl>
    <w:p w14:paraId="76570A8A" w14:textId="77777777" w:rsidR="005F44BC" w:rsidRPr="00C9343F" w:rsidRDefault="005F44BC" w:rsidP="00F66D98">
      <w:pPr>
        <w:pStyle w:val="BlockText-Plain"/>
        <w:spacing w:after="0"/>
      </w:pPr>
    </w:p>
    <w:p w14:paraId="043C3AE9" w14:textId="77777777" w:rsidR="005F44BC" w:rsidRPr="00C9343F" w:rsidRDefault="005F44BC" w:rsidP="00F66D98">
      <w:pPr>
        <w:pStyle w:val="BlockText-Plain"/>
      </w:pPr>
      <w:r w:rsidRPr="00C9343F">
        <w:t xml:space="preserve">There are three options for payment. </w:t>
      </w:r>
    </w:p>
    <w:tbl>
      <w:tblPr>
        <w:tblW w:w="0" w:type="auto"/>
        <w:tblLayout w:type="fixed"/>
        <w:tblLook w:val="0000" w:firstRow="0" w:lastRow="0" w:firstColumn="0" w:lastColumn="0" w:noHBand="0" w:noVBand="0"/>
      </w:tblPr>
      <w:tblGrid>
        <w:gridCol w:w="2235"/>
        <w:gridCol w:w="6287"/>
      </w:tblGrid>
      <w:tr w:rsidR="005F44BC" w:rsidRPr="00C9343F" w14:paraId="0804CD2F" w14:textId="77777777" w:rsidTr="005F44BC">
        <w:tc>
          <w:tcPr>
            <w:tcW w:w="2235" w:type="dxa"/>
          </w:tcPr>
          <w:p w14:paraId="15ACA9FB" w14:textId="77777777" w:rsidR="005F44BC" w:rsidRPr="00C9343F" w:rsidRDefault="005F44BC" w:rsidP="00F66D98">
            <w:pPr>
              <w:pStyle w:val="BlockText-Plain"/>
            </w:pPr>
            <w:r w:rsidRPr="00C9343F">
              <w:t>Option one:</w:t>
            </w:r>
          </w:p>
        </w:tc>
        <w:tc>
          <w:tcPr>
            <w:tcW w:w="6287" w:type="dxa"/>
          </w:tcPr>
          <w:p w14:paraId="1C01B18A" w14:textId="77777777" w:rsidR="005F44BC" w:rsidRPr="00C9343F" w:rsidRDefault="005F44BC" w:rsidP="00F66D98">
            <w:pPr>
              <w:pStyle w:val="BlockText-Plain"/>
            </w:pPr>
            <w:r w:rsidRPr="00C9343F">
              <w:t>Paid into the member's normal pay account. The amounts will be taxed at the applicable tax rate at the time of payment.</w:t>
            </w:r>
          </w:p>
        </w:tc>
      </w:tr>
      <w:tr w:rsidR="005F44BC" w:rsidRPr="00C9343F" w14:paraId="22E25761" w14:textId="77777777" w:rsidTr="005F44BC">
        <w:tc>
          <w:tcPr>
            <w:tcW w:w="2235" w:type="dxa"/>
          </w:tcPr>
          <w:p w14:paraId="3B403394" w14:textId="77777777" w:rsidR="005F44BC" w:rsidRPr="00C9343F" w:rsidRDefault="005F44BC" w:rsidP="00F66D98">
            <w:pPr>
              <w:pStyle w:val="BlockText-Plain"/>
            </w:pPr>
            <w:r w:rsidRPr="00C9343F">
              <w:t>Option two:</w:t>
            </w:r>
          </w:p>
        </w:tc>
        <w:tc>
          <w:tcPr>
            <w:tcW w:w="6287" w:type="dxa"/>
          </w:tcPr>
          <w:p w14:paraId="290794C0" w14:textId="77777777" w:rsidR="005F44BC" w:rsidRPr="00C9343F" w:rsidRDefault="005F44BC" w:rsidP="00F66D98">
            <w:pPr>
              <w:pStyle w:val="BlockText-Plain"/>
              <w:rPr>
                <w:i/>
                <w:color w:val="0000FF"/>
              </w:rPr>
            </w:pPr>
            <w:r w:rsidRPr="00C9343F">
              <w:t xml:space="preserve">As an employer contribution to superannuation. You will only be able to vary this election before the payment is processed. </w:t>
            </w:r>
          </w:p>
        </w:tc>
      </w:tr>
      <w:tr w:rsidR="005F44BC" w:rsidRPr="00C9343F" w14:paraId="7245147F" w14:textId="77777777" w:rsidTr="005F44BC">
        <w:tc>
          <w:tcPr>
            <w:tcW w:w="2235" w:type="dxa"/>
          </w:tcPr>
          <w:p w14:paraId="603EDE9B" w14:textId="77777777" w:rsidR="005F44BC" w:rsidRPr="00C9343F" w:rsidRDefault="005F44BC" w:rsidP="00F66D98">
            <w:pPr>
              <w:pStyle w:val="BlockText-Plain"/>
            </w:pPr>
            <w:r w:rsidRPr="00C9343F">
              <w:t>Option three:</w:t>
            </w:r>
          </w:p>
        </w:tc>
        <w:tc>
          <w:tcPr>
            <w:tcW w:w="6287" w:type="dxa"/>
          </w:tcPr>
          <w:p w14:paraId="66EECD41" w14:textId="77777777" w:rsidR="005F44BC" w:rsidRPr="00C9343F" w:rsidRDefault="005F44BC" w:rsidP="00F66D98">
            <w:pPr>
              <w:pStyle w:val="BlockText-Plain"/>
            </w:pPr>
            <w:r w:rsidRPr="00C9343F">
              <w:t>As a combination of these.</w:t>
            </w:r>
          </w:p>
        </w:tc>
      </w:tr>
    </w:tbl>
    <w:p w14:paraId="5F303CD4" w14:textId="77777777" w:rsidR="005F44BC" w:rsidRPr="00C9343F" w:rsidRDefault="005F44BC" w:rsidP="00F66D98">
      <w:pPr>
        <w:pStyle w:val="BlockText-Plain"/>
        <w:spacing w:before="120"/>
        <w:rPr>
          <w:i/>
        </w:rPr>
      </w:pPr>
      <w:r w:rsidRPr="00C9343F">
        <w:rPr>
          <w:i/>
        </w:rPr>
        <w:t>All members are strongly advised to seek professional financial advice when making this decision. ADF members are not qualified to provide this advice.</w:t>
      </w:r>
    </w:p>
    <w:p w14:paraId="589A720C" w14:textId="77777777" w:rsidR="005F44BC" w:rsidRPr="00C9343F" w:rsidRDefault="005F44BC" w:rsidP="00F66D98">
      <w:pPr>
        <w:rPr>
          <w:rFonts w:cs="Arial"/>
          <w:b/>
        </w:rPr>
      </w:pPr>
    </w:p>
    <w:p w14:paraId="381618D1" w14:textId="77777777" w:rsidR="005F44BC" w:rsidRPr="00C9343F" w:rsidRDefault="005F44BC" w:rsidP="00F66D98">
      <w:pPr>
        <w:rPr>
          <w:b/>
        </w:rPr>
      </w:pPr>
      <w:r w:rsidRPr="00C9343F">
        <w:rPr>
          <w:b/>
          <w:sz w:val="24"/>
        </w:rPr>
        <w:t xml:space="preserve">Part A: Election to pay into bank or superannuation </w:t>
      </w:r>
    </w:p>
    <w:p w14:paraId="42C2D754" w14:textId="77777777" w:rsidR="005F44BC" w:rsidRPr="00C9343F" w:rsidRDefault="005F44BC" w:rsidP="00F66D98">
      <w:pPr>
        <w:pStyle w:val="BlockText-Plain"/>
      </w:pPr>
    </w:p>
    <w:p w14:paraId="47CB7D58" w14:textId="77777777" w:rsidR="005F44BC" w:rsidRPr="00C9343F" w:rsidRDefault="005F44BC" w:rsidP="00F66D98">
      <w:pPr>
        <w:pStyle w:val="BlockText-Plain"/>
      </w:pPr>
      <w:r w:rsidRPr="00C9343F">
        <w:t>I choose this payment method for my bonus:</w:t>
      </w:r>
    </w:p>
    <w:tbl>
      <w:tblPr>
        <w:tblW w:w="0" w:type="auto"/>
        <w:tblLayout w:type="fixed"/>
        <w:tblLook w:val="0000" w:firstRow="0" w:lastRow="0" w:firstColumn="0" w:lastColumn="0" w:noHBand="0" w:noVBand="0"/>
      </w:tblPr>
      <w:tblGrid>
        <w:gridCol w:w="2235"/>
        <w:gridCol w:w="7335"/>
      </w:tblGrid>
      <w:tr w:rsidR="005F44BC" w:rsidRPr="00C9343F" w14:paraId="79487675" w14:textId="77777777" w:rsidTr="005F44BC">
        <w:tc>
          <w:tcPr>
            <w:tcW w:w="2235" w:type="dxa"/>
          </w:tcPr>
          <w:p w14:paraId="64946BEA" w14:textId="77777777" w:rsidR="005F44BC" w:rsidRPr="00C9343F" w:rsidRDefault="005F44BC" w:rsidP="00F66D98">
            <w:pPr>
              <w:pStyle w:val="BlockText-Plain"/>
            </w:pPr>
            <w:r w:rsidRPr="00C9343F">
              <w:rPr>
                <w:b/>
              </w:rPr>
              <w:t>Option one:</w:t>
            </w:r>
            <w:r w:rsidRPr="00C9343F">
              <w:tab/>
              <w:t>[     ]</w:t>
            </w:r>
          </w:p>
        </w:tc>
        <w:tc>
          <w:tcPr>
            <w:tcW w:w="7335" w:type="dxa"/>
          </w:tcPr>
          <w:p w14:paraId="2CFCCCC5" w14:textId="77777777" w:rsidR="005F44BC" w:rsidRPr="00C9343F" w:rsidRDefault="005F44BC" w:rsidP="00F66D98">
            <w:pPr>
              <w:pStyle w:val="BlockText-Plain"/>
            </w:pPr>
            <w:r w:rsidRPr="00C9343F">
              <w:t>Paid into my normal pay account. The amounts will be taxed at the applicable tax rate at the time of payment.</w:t>
            </w:r>
          </w:p>
        </w:tc>
      </w:tr>
      <w:tr w:rsidR="005F44BC" w:rsidRPr="00C9343F" w14:paraId="120C3754" w14:textId="77777777" w:rsidTr="005F44BC">
        <w:tc>
          <w:tcPr>
            <w:tcW w:w="2235" w:type="dxa"/>
          </w:tcPr>
          <w:p w14:paraId="6BF55EFC" w14:textId="77777777" w:rsidR="005F44BC" w:rsidRPr="00C9343F" w:rsidRDefault="005F44BC" w:rsidP="00F66D98">
            <w:pPr>
              <w:pStyle w:val="BlockText-Plain"/>
            </w:pPr>
            <w:r w:rsidRPr="00C9343F">
              <w:rPr>
                <w:b/>
              </w:rPr>
              <w:t>Option two:</w:t>
            </w:r>
            <w:r w:rsidRPr="00C9343F">
              <w:tab/>
              <w:t>[     ]</w:t>
            </w:r>
          </w:p>
        </w:tc>
        <w:tc>
          <w:tcPr>
            <w:tcW w:w="7335" w:type="dxa"/>
          </w:tcPr>
          <w:p w14:paraId="3F49ECBF" w14:textId="77777777" w:rsidR="005F44BC" w:rsidRPr="00C9343F" w:rsidRDefault="005F44BC" w:rsidP="00F66D98">
            <w:pPr>
              <w:pStyle w:val="BlockText-Plain"/>
            </w:pPr>
            <w:r w:rsidRPr="00C9343F">
              <w:t xml:space="preserve">The full amount paid as an employer contribution to superannuation. I have nominated a superannuation fund in Part B of this form. </w:t>
            </w:r>
          </w:p>
        </w:tc>
      </w:tr>
      <w:tr w:rsidR="005F44BC" w:rsidRPr="00C9343F" w14:paraId="33908754" w14:textId="77777777" w:rsidTr="005F44BC">
        <w:tc>
          <w:tcPr>
            <w:tcW w:w="2235" w:type="dxa"/>
          </w:tcPr>
          <w:p w14:paraId="79B3401E" w14:textId="77777777" w:rsidR="005F44BC" w:rsidRPr="00C9343F" w:rsidRDefault="005F44BC" w:rsidP="00F66D98">
            <w:pPr>
              <w:pStyle w:val="BlockText-Plain"/>
            </w:pPr>
            <w:r w:rsidRPr="00C9343F">
              <w:rPr>
                <w:b/>
              </w:rPr>
              <w:t>Option three:</w:t>
            </w:r>
            <w:r w:rsidRPr="00C9343F">
              <w:tab/>
              <w:t>[     ]</w:t>
            </w:r>
          </w:p>
        </w:tc>
        <w:tc>
          <w:tcPr>
            <w:tcW w:w="7335" w:type="dxa"/>
          </w:tcPr>
          <w:p w14:paraId="6CAFBE59" w14:textId="77777777" w:rsidR="005F44BC" w:rsidRPr="00C9343F" w:rsidRDefault="005F44BC" w:rsidP="00F66D98">
            <w:pPr>
              <w:pStyle w:val="BlockText-Plain"/>
            </w:pPr>
            <w:r w:rsidRPr="00C9343F">
              <w:t>1. _____________% of the bonus payment as an employer contribution to superannuation. I have nominated a superannuation fund in Part B of this form.</w:t>
            </w:r>
          </w:p>
          <w:p w14:paraId="2D265B7D" w14:textId="77777777" w:rsidR="005F44BC" w:rsidRPr="00C9343F" w:rsidRDefault="005F44BC" w:rsidP="00F66D98">
            <w:pPr>
              <w:pStyle w:val="BlockText-Plain"/>
            </w:pPr>
            <w:r w:rsidRPr="00C9343F">
              <w:t xml:space="preserve">2. The balance of the amount paid into my normal pay account. </w:t>
            </w:r>
          </w:p>
        </w:tc>
      </w:tr>
    </w:tbl>
    <w:p w14:paraId="4AA46ED7" w14:textId="77777777" w:rsidR="005F44BC" w:rsidRPr="00C9343F" w:rsidRDefault="005F44BC" w:rsidP="00F66D98">
      <w:pPr>
        <w:rPr>
          <w:color w:val="008080"/>
        </w:rPr>
      </w:pPr>
    </w:p>
    <w:p w14:paraId="213D1954" w14:textId="77777777" w:rsidR="005F44BC" w:rsidRPr="00C9343F" w:rsidRDefault="005F44BC" w:rsidP="00F66D98">
      <w:pPr>
        <w:pStyle w:val="BlockText-Plain"/>
        <w:rPr>
          <w:i/>
        </w:rPr>
      </w:pPr>
      <w:r w:rsidRPr="00C9343F">
        <w:rPr>
          <w:i/>
        </w:rPr>
        <w:t>Tick one box.  Only select</w:t>
      </w:r>
      <w:r w:rsidRPr="00C9343F">
        <w:rPr>
          <w:b/>
          <w:i/>
        </w:rPr>
        <w:t xml:space="preserve"> one</w:t>
      </w:r>
      <w:r w:rsidRPr="00C9343F">
        <w:rPr>
          <w:i/>
        </w:rPr>
        <w:t xml:space="preserve"> of the options. </w:t>
      </w:r>
    </w:p>
    <w:p w14:paraId="40018295" w14:textId="77777777" w:rsidR="005F44BC" w:rsidRPr="00C9343F" w:rsidRDefault="005F44BC" w:rsidP="00F66D98">
      <w:pPr>
        <w:pStyle w:val="BlockText-Plain"/>
        <w:rPr>
          <w:b/>
          <w:sz w:val="24"/>
        </w:rPr>
      </w:pPr>
      <w:r w:rsidRPr="00C9343F">
        <w:rPr>
          <w:color w:val="008080"/>
        </w:rPr>
        <w:br w:type="page"/>
      </w:r>
      <w:r w:rsidRPr="00C9343F">
        <w:rPr>
          <w:b/>
          <w:sz w:val="24"/>
        </w:rPr>
        <w:lastRenderedPageBreak/>
        <w:t>Part B: Superannuation fund nomination</w:t>
      </w:r>
    </w:p>
    <w:p w14:paraId="14FB6A85" w14:textId="77777777" w:rsidR="005F44BC" w:rsidRPr="00C9343F" w:rsidRDefault="005F44BC" w:rsidP="00F66D98">
      <w:pPr>
        <w:pStyle w:val="BlockText-Plain"/>
        <w:rPr>
          <w:i/>
        </w:rPr>
      </w:pPr>
      <w:r w:rsidRPr="00C9343F">
        <w:rPr>
          <w:i/>
        </w:rPr>
        <w:t>This section must be completed if either option two or three has been selected for one of the items in Part A. I understand that if I select option 2 there may be a cost I must pay.</w:t>
      </w:r>
    </w:p>
    <w:tbl>
      <w:tblPr>
        <w:tblW w:w="0" w:type="auto"/>
        <w:tblLayout w:type="fixed"/>
        <w:tblLook w:val="0000" w:firstRow="0" w:lastRow="0" w:firstColumn="0" w:lastColumn="0" w:noHBand="0" w:noVBand="0"/>
      </w:tblPr>
      <w:tblGrid>
        <w:gridCol w:w="2235"/>
        <w:gridCol w:w="425"/>
        <w:gridCol w:w="6910"/>
      </w:tblGrid>
      <w:tr w:rsidR="005F44BC" w:rsidRPr="00C9343F" w14:paraId="04C592DE" w14:textId="77777777" w:rsidTr="005F44BC">
        <w:tc>
          <w:tcPr>
            <w:tcW w:w="2235" w:type="dxa"/>
          </w:tcPr>
          <w:p w14:paraId="0C32225F" w14:textId="77777777" w:rsidR="005F44BC" w:rsidRPr="00C9343F" w:rsidRDefault="005F44BC" w:rsidP="00F66D98">
            <w:pPr>
              <w:pStyle w:val="BlockText-Plain"/>
            </w:pPr>
            <w:r w:rsidRPr="00C9343F">
              <w:rPr>
                <w:b/>
              </w:rPr>
              <w:t>Option one:</w:t>
            </w:r>
            <w:r w:rsidRPr="00C9343F">
              <w:tab/>
              <w:t>[     ]</w:t>
            </w:r>
          </w:p>
        </w:tc>
        <w:tc>
          <w:tcPr>
            <w:tcW w:w="7335" w:type="dxa"/>
            <w:gridSpan w:val="2"/>
          </w:tcPr>
          <w:p w14:paraId="7A5D56DF" w14:textId="77777777" w:rsidR="005F44BC" w:rsidRPr="00C9343F" w:rsidRDefault="005F44BC" w:rsidP="00F66D98">
            <w:pPr>
              <w:pStyle w:val="BlockText-Plain"/>
            </w:pPr>
            <w:r w:rsidRPr="00C9343F">
              <w:t xml:space="preserve">Paid as an employer contribution into my Military Superannuation and Benefits Scheme ancillary account. </w:t>
            </w:r>
          </w:p>
          <w:p w14:paraId="69DAAA56" w14:textId="77777777" w:rsidR="005F44BC" w:rsidRPr="00C9343F" w:rsidRDefault="005F44BC" w:rsidP="00F66D98">
            <w:pPr>
              <w:pStyle w:val="BlockText-Plain"/>
            </w:pPr>
            <w:r w:rsidRPr="00C9343F">
              <w:t>Refer to the Military Superannuation website for more details on the Military Superannuation and Benefits Scheme. This includes information on the ancillary account.</w:t>
            </w:r>
          </w:p>
        </w:tc>
      </w:tr>
      <w:tr w:rsidR="005F44BC" w:rsidRPr="00C9343F" w14:paraId="49ACAA13" w14:textId="77777777" w:rsidTr="005F44BC">
        <w:tc>
          <w:tcPr>
            <w:tcW w:w="2235" w:type="dxa"/>
          </w:tcPr>
          <w:p w14:paraId="2A9FF829" w14:textId="77777777" w:rsidR="005F44BC" w:rsidRPr="00C9343F" w:rsidRDefault="005F44BC" w:rsidP="00F66D98">
            <w:pPr>
              <w:pStyle w:val="BlockText-Plain"/>
            </w:pPr>
            <w:r w:rsidRPr="00C9343F">
              <w:rPr>
                <w:b/>
              </w:rPr>
              <w:t>Option two:</w:t>
            </w:r>
            <w:r w:rsidRPr="00C9343F">
              <w:tab/>
              <w:t>[     ]</w:t>
            </w:r>
          </w:p>
        </w:tc>
        <w:tc>
          <w:tcPr>
            <w:tcW w:w="7335" w:type="dxa"/>
            <w:gridSpan w:val="2"/>
          </w:tcPr>
          <w:p w14:paraId="5600087F" w14:textId="77777777" w:rsidR="005F44BC" w:rsidRPr="00C9343F" w:rsidRDefault="005F44BC" w:rsidP="00F66D98">
            <w:pPr>
              <w:pStyle w:val="BlockText-Plain"/>
            </w:pPr>
            <w:r w:rsidRPr="00C9343F">
              <w:t xml:space="preserve">Paid as an employer contribution into another fund. This may be an eligible choice, industry or self-managed superannuation fund. </w:t>
            </w:r>
          </w:p>
          <w:p w14:paraId="5A52D48A" w14:textId="77777777" w:rsidR="005F44BC" w:rsidRPr="00C9343F" w:rsidRDefault="005F44BC" w:rsidP="00F66D98">
            <w:pPr>
              <w:pStyle w:val="BlockText-Plain"/>
            </w:pPr>
            <w:r w:rsidRPr="00C9343F">
              <w:t xml:space="preserve">I understand that the Department of Defence will not be responsible for the contribution. Instead the Department of Defence will pay the money to Smartsalary, the company contracted to administer salary sacrifice arrangements. Smartsalary will then pay the money into my superannuation fund. </w:t>
            </w:r>
          </w:p>
          <w:p w14:paraId="36B09B42" w14:textId="77777777" w:rsidR="005F44BC" w:rsidRPr="00C9343F" w:rsidRDefault="005F44BC" w:rsidP="00F66D98">
            <w:pPr>
              <w:pStyle w:val="BlockText-Plain"/>
              <w:rPr>
                <w:i/>
                <w:color w:val="0000FF"/>
              </w:rPr>
            </w:pPr>
            <w:r w:rsidRPr="00C9343F">
              <w:t>I acknowledge that I must arrange the contribution with Smartsalary</w:t>
            </w:r>
          </w:p>
          <w:p w14:paraId="304106BF" w14:textId="77777777" w:rsidR="005F44BC" w:rsidRPr="00C9343F" w:rsidRDefault="005F44BC" w:rsidP="00F66D98">
            <w:pPr>
              <w:pStyle w:val="BlockText-Plain"/>
            </w:pPr>
            <w:r w:rsidRPr="00C9343F">
              <w:t xml:space="preserve">I understand that if I do not already have an account with Smartsalary I must take the following steps.  </w:t>
            </w:r>
          </w:p>
        </w:tc>
      </w:tr>
      <w:tr w:rsidR="005F44BC" w:rsidRPr="00C9343F" w14:paraId="2DB130EF" w14:textId="77777777" w:rsidTr="005F44BC">
        <w:tc>
          <w:tcPr>
            <w:tcW w:w="2235" w:type="dxa"/>
          </w:tcPr>
          <w:p w14:paraId="000568D5" w14:textId="77777777" w:rsidR="005F44BC" w:rsidRPr="00C9343F" w:rsidRDefault="005F44BC" w:rsidP="00F66D98">
            <w:pPr>
              <w:pStyle w:val="BlockText-Plain"/>
              <w:rPr>
                <w:b/>
              </w:rPr>
            </w:pPr>
          </w:p>
        </w:tc>
        <w:tc>
          <w:tcPr>
            <w:tcW w:w="425" w:type="dxa"/>
            <w:shd w:val="clear" w:color="auto" w:fill="auto"/>
          </w:tcPr>
          <w:p w14:paraId="6A936341" w14:textId="77777777" w:rsidR="005F44BC" w:rsidRPr="00C9343F" w:rsidRDefault="005F44BC" w:rsidP="00B02B54">
            <w:pPr>
              <w:pStyle w:val="BlockText-Plain"/>
              <w:jc w:val="center"/>
            </w:pPr>
            <w:r w:rsidRPr="00C9343F">
              <w:t>a.</w:t>
            </w:r>
          </w:p>
        </w:tc>
        <w:tc>
          <w:tcPr>
            <w:tcW w:w="6910" w:type="dxa"/>
            <w:shd w:val="clear" w:color="auto" w:fill="auto"/>
          </w:tcPr>
          <w:p w14:paraId="3353B771" w14:textId="77777777" w:rsidR="005F44BC" w:rsidRPr="00C9343F" w:rsidRDefault="005F44BC" w:rsidP="00F66D98">
            <w:pPr>
              <w:pStyle w:val="BlockText-Plain"/>
            </w:pPr>
            <w:r w:rsidRPr="00C9343F">
              <w:t>I must register with Smartsalary.</w:t>
            </w:r>
          </w:p>
        </w:tc>
      </w:tr>
      <w:tr w:rsidR="005F44BC" w:rsidRPr="00C9343F" w14:paraId="01E8B67D" w14:textId="77777777" w:rsidTr="005F44BC">
        <w:tc>
          <w:tcPr>
            <w:tcW w:w="2235" w:type="dxa"/>
          </w:tcPr>
          <w:p w14:paraId="01AF1439" w14:textId="77777777" w:rsidR="005F44BC" w:rsidRPr="00C9343F" w:rsidRDefault="005F44BC" w:rsidP="00F66D98">
            <w:pPr>
              <w:pStyle w:val="BlockText-Plain"/>
              <w:rPr>
                <w:b/>
              </w:rPr>
            </w:pPr>
          </w:p>
        </w:tc>
        <w:tc>
          <w:tcPr>
            <w:tcW w:w="425" w:type="dxa"/>
            <w:shd w:val="clear" w:color="auto" w:fill="auto"/>
          </w:tcPr>
          <w:p w14:paraId="34A7888D" w14:textId="77777777" w:rsidR="005F44BC" w:rsidRPr="00C9343F" w:rsidRDefault="005F44BC" w:rsidP="00B02B54">
            <w:pPr>
              <w:pStyle w:val="BlockText-Plain"/>
              <w:jc w:val="center"/>
            </w:pPr>
            <w:r w:rsidRPr="00C9343F">
              <w:t>b.</w:t>
            </w:r>
          </w:p>
        </w:tc>
        <w:tc>
          <w:tcPr>
            <w:tcW w:w="6910" w:type="dxa"/>
            <w:shd w:val="clear" w:color="auto" w:fill="auto"/>
          </w:tcPr>
          <w:p w14:paraId="1A2E6BC2" w14:textId="77777777" w:rsidR="005F44BC" w:rsidRPr="00C9343F" w:rsidRDefault="005F44BC" w:rsidP="00F66D98">
            <w:pPr>
              <w:pStyle w:val="BlockText-Plain"/>
            </w:pPr>
            <w:r w:rsidRPr="00C9343F">
              <w:t xml:space="preserve">I must fill out a Smartsalary Salary Packaging Application Form. This can be found on their website at http://www.smartsalary.com.au/.  </w:t>
            </w:r>
          </w:p>
        </w:tc>
      </w:tr>
      <w:tr w:rsidR="005F44BC" w:rsidRPr="00C9343F" w14:paraId="54987A8B" w14:textId="77777777" w:rsidTr="005F44BC">
        <w:tc>
          <w:tcPr>
            <w:tcW w:w="2235" w:type="dxa"/>
          </w:tcPr>
          <w:p w14:paraId="57AD980D" w14:textId="77777777" w:rsidR="005F44BC" w:rsidRPr="00C9343F" w:rsidRDefault="005F44BC" w:rsidP="00F66D98">
            <w:pPr>
              <w:pStyle w:val="BlockText-Plain"/>
              <w:rPr>
                <w:b/>
              </w:rPr>
            </w:pPr>
          </w:p>
        </w:tc>
        <w:tc>
          <w:tcPr>
            <w:tcW w:w="425" w:type="dxa"/>
            <w:shd w:val="clear" w:color="auto" w:fill="auto"/>
          </w:tcPr>
          <w:p w14:paraId="39AEFEDF" w14:textId="77777777" w:rsidR="005F44BC" w:rsidRPr="00C9343F" w:rsidRDefault="005F44BC" w:rsidP="00B02B54">
            <w:pPr>
              <w:pStyle w:val="BlockText-Plain"/>
              <w:jc w:val="center"/>
            </w:pPr>
            <w:r w:rsidRPr="00C9343F">
              <w:t>c.</w:t>
            </w:r>
          </w:p>
        </w:tc>
        <w:tc>
          <w:tcPr>
            <w:tcW w:w="6910" w:type="dxa"/>
            <w:shd w:val="clear" w:color="auto" w:fill="auto"/>
          </w:tcPr>
          <w:p w14:paraId="09747AD2" w14:textId="77777777" w:rsidR="005F44BC" w:rsidRPr="00C9343F" w:rsidRDefault="005F44BC" w:rsidP="00F66D98">
            <w:pPr>
              <w:pStyle w:val="BlockText-Plain"/>
            </w:pPr>
            <w:r w:rsidRPr="00C9343F">
              <w:t>I can only complete this election</w:t>
            </w:r>
            <w:r w:rsidRPr="00C9343F">
              <w:rPr>
                <w:color w:val="0000FF"/>
              </w:rPr>
              <w:t xml:space="preserve"> </w:t>
            </w:r>
            <w:r w:rsidRPr="00C9343F">
              <w:t>when Smartsalary have confirmed that these arrangements are in place.</w:t>
            </w:r>
          </w:p>
        </w:tc>
      </w:tr>
      <w:tr w:rsidR="005F44BC" w:rsidRPr="00C9343F" w14:paraId="68EE6AA9" w14:textId="77777777" w:rsidTr="005F44BC">
        <w:tc>
          <w:tcPr>
            <w:tcW w:w="2235" w:type="dxa"/>
          </w:tcPr>
          <w:p w14:paraId="78A1FF6F" w14:textId="77777777" w:rsidR="005F44BC" w:rsidRPr="00C9343F" w:rsidRDefault="005F44BC" w:rsidP="00F66D98">
            <w:pPr>
              <w:pStyle w:val="BlockText-Plain"/>
              <w:rPr>
                <w:b/>
              </w:rPr>
            </w:pPr>
          </w:p>
        </w:tc>
        <w:tc>
          <w:tcPr>
            <w:tcW w:w="7335" w:type="dxa"/>
            <w:gridSpan w:val="2"/>
          </w:tcPr>
          <w:p w14:paraId="79D13676" w14:textId="77777777" w:rsidR="005F44BC" w:rsidRPr="00C9343F" w:rsidRDefault="005F44BC" w:rsidP="00F66D98">
            <w:pPr>
              <w:pStyle w:val="BlockText-Plain"/>
              <w:spacing w:before="200"/>
            </w:pPr>
            <w:r w:rsidRPr="00C9343F">
              <w:t xml:space="preserve">The Smartsalary account number for this contribution is </w:t>
            </w:r>
          </w:p>
          <w:p w14:paraId="6A2357DB" w14:textId="77777777" w:rsidR="005F44BC" w:rsidRPr="00C9343F" w:rsidRDefault="005F44BC" w:rsidP="00F66D98">
            <w:pPr>
              <w:pStyle w:val="BlockText-Plain"/>
              <w:spacing w:before="200"/>
            </w:pPr>
            <w:r w:rsidRPr="00C9343F">
              <w:t>………………………………………………….</w:t>
            </w:r>
          </w:p>
        </w:tc>
      </w:tr>
    </w:tbl>
    <w:p w14:paraId="1D7ECA23" w14:textId="7C2E26A4" w:rsidR="005F44BC" w:rsidRPr="00C9343F" w:rsidRDefault="005F44BC" w:rsidP="00036C2A">
      <w:pPr>
        <w:pStyle w:val="Heading3"/>
        <w:pageBreakBefore/>
      </w:pPr>
      <w:bookmarkStart w:id="578" w:name="_Toc105053785"/>
      <w:r w:rsidRPr="00C9343F">
        <w:lastRenderedPageBreak/>
        <w:t>Part 6: Deliberately differentiated offer for members</w:t>
      </w:r>
      <w:bookmarkEnd w:id="578"/>
    </w:p>
    <w:p w14:paraId="241D540B" w14:textId="3C1574C7" w:rsidR="005F44BC" w:rsidRPr="00C9343F" w:rsidRDefault="005F44BC" w:rsidP="00F66D98">
      <w:pPr>
        <w:pStyle w:val="Heading5"/>
      </w:pPr>
      <w:bookmarkStart w:id="579" w:name="_Toc105053786"/>
      <w:r w:rsidRPr="00C9343F">
        <w:t>3.6.1</w:t>
      </w:r>
      <w:r w:rsidR="00D94006" w:rsidRPr="00C9343F">
        <w:t>    </w:t>
      </w:r>
      <w:r w:rsidR="00F3422A" w:rsidRPr="00C9343F">
        <w:t>Purpose</w:t>
      </w:r>
      <w:bookmarkEnd w:id="579"/>
    </w:p>
    <w:tbl>
      <w:tblPr>
        <w:tblW w:w="9351" w:type="dxa"/>
        <w:tblInd w:w="113" w:type="dxa"/>
        <w:tblLayout w:type="fixed"/>
        <w:tblLook w:val="0000" w:firstRow="0" w:lastRow="0" w:firstColumn="0" w:lastColumn="0" w:noHBand="0" w:noVBand="0"/>
      </w:tblPr>
      <w:tblGrid>
        <w:gridCol w:w="991"/>
        <w:gridCol w:w="495"/>
        <w:gridCol w:w="528"/>
        <w:gridCol w:w="11"/>
        <w:gridCol w:w="7326"/>
      </w:tblGrid>
      <w:tr w:rsidR="005F44BC" w:rsidRPr="00C9343F" w14:paraId="1E508827" w14:textId="77777777" w:rsidTr="005F44BC">
        <w:tc>
          <w:tcPr>
            <w:tcW w:w="991" w:type="dxa"/>
          </w:tcPr>
          <w:p w14:paraId="142DEDBC" w14:textId="77777777" w:rsidR="005F44BC" w:rsidRPr="00C9343F" w:rsidRDefault="005F44BC" w:rsidP="00F66D98">
            <w:pPr>
              <w:pStyle w:val="BlockText-Plain"/>
              <w:jc w:val="center"/>
            </w:pPr>
            <w:r w:rsidRPr="00C9343F">
              <w:t>1.</w:t>
            </w:r>
          </w:p>
        </w:tc>
        <w:tc>
          <w:tcPr>
            <w:tcW w:w="8360" w:type="dxa"/>
            <w:gridSpan w:val="4"/>
          </w:tcPr>
          <w:p w14:paraId="41060091" w14:textId="77777777" w:rsidR="005F44BC" w:rsidRPr="00C9343F" w:rsidRDefault="005F44BC" w:rsidP="00F66D98">
            <w:pPr>
              <w:pStyle w:val="BlockText-Plain"/>
            </w:pPr>
            <w:r w:rsidRPr="00C9343F">
              <w:t>This Part has the following purposes.</w:t>
            </w:r>
          </w:p>
        </w:tc>
      </w:tr>
      <w:tr w:rsidR="005F44BC" w:rsidRPr="00C9343F" w14:paraId="38B3DAA8" w14:textId="77777777" w:rsidTr="005F44BC">
        <w:trPr>
          <w:cantSplit/>
        </w:trPr>
        <w:tc>
          <w:tcPr>
            <w:tcW w:w="991" w:type="dxa"/>
          </w:tcPr>
          <w:p w14:paraId="128412F8" w14:textId="77777777" w:rsidR="005F44BC" w:rsidRPr="00C9343F" w:rsidRDefault="005F44BC" w:rsidP="00F66D98">
            <w:pPr>
              <w:keepLines w:val="0"/>
            </w:pPr>
          </w:p>
        </w:tc>
        <w:tc>
          <w:tcPr>
            <w:tcW w:w="495" w:type="dxa"/>
          </w:tcPr>
          <w:p w14:paraId="6FD85C8D" w14:textId="77777777" w:rsidR="005F44BC" w:rsidRPr="00C9343F" w:rsidRDefault="005F44BC" w:rsidP="007114B1">
            <w:pPr>
              <w:pStyle w:val="BlockText-Plain"/>
              <w:jc w:val="center"/>
            </w:pPr>
            <w:r w:rsidRPr="00C9343F">
              <w:t>a.</w:t>
            </w:r>
          </w:p>
        </w:tc>
        <w:tc>
          <w:tcPr>
            <w:tcW w:w="7865" w:type="dxa"/>
            <w:gridSpan w:val="3"/>
          </w:tcPr>
          <w:p w14:paraId="5A6390B8" w14:textId="77777777" w:rsidR="005F44BC" w:rsidRPr="00C9343F" w:rsidRDefault="005F44BC" w:rsidP="00F66D98">
            <w:pPr>
              <w:pStyle w:val="BlockText-Plain"/>
            </w:pPr>
            <w:r w:rsidRPr="00C9343F">
              <w:t>To facilitate the following outcomes.</w:t>
            </w:r>
          </w:p>
        </w:tc>
      </w:tr>
      <w:tr w:rsidR="005F44BC" w:rsidRPr="00C9343F" w14:paraId="6CAC462A" w14:textId="77777777" w:rsidTr="005F44BC">
        <w:trPr>
          <w:cantSplit/>
        </w:trPr>
        <w:tc>
          <w:tcPr>
            <w:tcW w:w="1486" w:type="dxa"/>
            <w:gridSpan w:val="2"/>
          </w:tcPr>
          <w:p w14:paraId="66D82383" w14:textId="77777777" w:rsidR="005F44BC" w:rsidRPr="00C9343F" w:rsidRDefault="005F44BC" w:rsidP="00F66D98">
            <w:pPr>
              <w:pStyle w:val="BlockText-Plain"/>
            </w:pPr>
          </w:p>
        </w:tc>
        <w:tc>
          <w:tcPr>
            <w:tcW w:w="539" w:type="dxa"/>
            <w:gridSpan w:val="2"/>
          </w:tcPr>
          <w:p w14:paraId="0CD7598B" w14:textId="77777777" w:rsidR="005F44BC" w:rsidRPr="00C9343F" w:rsidRDefault="005F44BC" w:rsidP="007114B1">
            <w:pPr>
              <w:pStyle w:val="BlockText-Plain"/>
            </w:pPr>
            <w:r w:rsidRPr="00C9343F">
              <w:t>i.</w:t>
            </w:r>
          </w:p>
        </w:tc>
        <w:tc>
          <w:tcPr>
            <w:tcW w:w="7326" w:type="dxa"/>
          </w:tcPr>
          <w:p w14:paraId="3C92F420" w14:textId="77777777" w:rsidR="005F44BC" w:rsidRPr="00C9343F" w:rsidRDefault="005F44BC" w:rsidP="00F66D98">
            <w:pPr>
              <w:pStyle w:val="BlockText-Plain"/>
            </w:pPr>
            <w:r w:rsidRPr="00C9343F">
              <w:t>The member who is critical to capability is retained.</w:t>
            </w:r>
          </w:p>
        </w:tc>
      </w:tr>
      <w:tr w:rsidR="005F44BC" w:rsidRPr="00C9343F" w14:paraId="75D2F965" w14:textId="77777777" w:rsidTr="005F44BC">
        <w:trPr>
          <w:cantSplit/>
        </w:trPr>
        <w:tc>
          <w:tcPr>
            <w:tcW w:w="1486" w:type="dxa"/>
            <w:gridSpan w:val="2"/>
          </w:tcPr>
          <w:p w14:paraId="280CB198" w14:textId="77777777" w:rsidR="005F44BC" w:rsidRPr="00C9343F" w:rsidRDefault="005F44BC" w:rsidP="00F66D98">
            <w:pPr>
              <w:pStyle w:val="BlockText-Plain"/>
            </w:pPr>
          </w:p>
        </w:tc>
        <w:tc>
          <w:tcPr>
            <w:tcW w:w="539" w:type="dxa"/>
            <w:gridSpan w:val="2"/>
          </w:tcPr>
          <w:p w14:paraId="0A05E346" w14:textId="77777777" w:rsidR="005F44BC" w:rsidRPr="00C9343F" w:rsidRDefault="005F44BC" w:rsidP="007114B1">
            <w:pPr>
              <w:pStyle w:val="BlockText-Plain"/>
            </w:pPr>
            <w:r w:rsidRPr="00C9343F">
              <w:t>ii.</w:t>
            </w:r>
          </w:p>
        </w:tc>
        <w:tc>
          <w:tcPr>
            <w:tcW w:w="7326" w:type="dxa"/>
          </w:tcPr>
          <w:p w14:paraId="1EEC99BF" w14:textId="77777777" w:rsidR="005F44BC" w:rsidRPr="00C9343F" w:rsidRDefault="005F44BC" w:rsidP="00F66D98">
            <w:pPr>
              <w:pStyle w:val="BlockText-Plain"/>
            </w:pPr>
            <w:r w:rsidRPr="00C9343F">
              <w:t>A position critical to capability is no longer at risk.</w:t>
            </w:r>
          </w:p>
        </w:tc>
      </w:tr>
      <w:tr w:rsidR="005F44BC" w:rsidRPr="00C9343F" w14:paraId="5DF26178" w14:textId="77777777" w:rsidTr="005F44BC">
        <w:trPr>
          <w:cantSplit/>
        </w:trPr>
        <w:tc>
          <w:tcPr>
            <w:tcW w:w="1486" w:type="dxa"/>
            <w:gridSpan w:val="2"/>
          </w:tcPr>
          <w:p w14:paraId="39B67CB2" w14:textId="77777777" w:rsidR="005F44BC" w:rsidRPr="00C9343F" w:rsidRDefault="005F44BC" w:rsidP="00F66D98">
            <w:pPr>
              <w:pStyle w:val="BlockText-Plain"/>
            </w:pPr>
          </w:p>
        </w:tc>
        <w:tc>
          <w:tcPr>
            <w:tcW w:w="528" w:type="dxa"/>
          </w:tcPr>
          <w:p w14:paraId="28DA8CCF" w14:textId="77777777" w:rsidR="005F44BC" w:rsidRPr="00C9343F" w:rsidRDefault="005F44BC" w:rsidP="007114B1">
            <w:pPr>
              <w:pStyle w:val="BlockText-Plain"/>
            </w:pPr>
            <w:r w:rsidRPr="00C9343F">
              <w:t>iii.</w:t>
            </w:r>
          </w:p>
        </w:tc>
        <w:tc>
          <w:tcPr>
            <w:tcW w:w="7337" w:type="dxa"/>
            <w:gridSpan w:val="2"/>
          </w:tcPr>
          <w:p w14:paraId="6358BA5D" w14:textId="77777777" w:rsidR="005F44BC" w:rsidRPr="00C9343F" w:rsidRDefault="005F44BC" w:rsidP="00F66D98">
            <w:pPr>
              <w:pStyle w:val="BlockText-Plain"/>
            </w:pPr>
            <w:r w:rsidRPr="00C9343F">
              <w:t>The Defence factors that influenced the member to consider leaving the ADF are weakened.</w:t>
            </w:r>
          </w:p>
        </w:tc>
      </w:tr>
      <w:tr w:rsidR="005F44BC" w:rsidRPr="00C9343F" w14:paraId="1F101B1B" w14:textId="77777777" w:rsidTr="005F44BC">
        <w:trPr>
          <w:cantSplit/>
        </w:trPr>
        <w:tc>
          <w:tcPr>
            <w:tcW w:w="1486" w:type="dxa"/>
            <w:gridSpan w:val="2"/>
          </w:tcPr>
          <w:p w14:paraId="369210B6" w14:textId="77777777" w:rsidR="005F44BC" w:rsidRPr="00C9343F" w:rsidRDefault="005F44BC" w:rsidP="00F66D98">
            <w:pPr>
              <w:pStyle w:val="BlockText-Plain"/>
            </w:pPr>
          </w:p>
        </w:tc>
        <w:tc>
          <w:tcPr>
            <w:tcW w:w="528" w:type="dxa"/>
          </w:tcPr>
          <w:p w14:paraId="1C97E0F9" w14:textId="77777777" w:rsidR="005F44BC" w:rsidRPr="00C9343F" w:rsidRDefault="005F44BC" w:rsidP="007114B1">
            <w:pPr>
              <w:pStyle w:val="BlockText-Plain"/>
            </w:pPr>
            <w:r w:rsidRPr="00C9343F">
              <w:t>iv.</w:t>
            </w:r>
          </w:p>
        </w:tc>
        <w:tc>
          <w:tcPr>
            <w:tcW w:w="7337" w:type="dxa"/>
            <w:gridSpan w:val="2"/>
          </w:tcPr>
          <w:p w14:paraId="099E758B" w14:textId="77777777" w:rsidR="005F44BC" w:rsidRPr="00C9343F" w:rsidRDefault="005F44BC" w:rsidP="00F66D98">
            <w:pPr>
              <w:pStyle w:val="BlockText-Plain"/>
            </w:pPr>
            <w:r w:rsidRPr="00C9343F">
              <w:t>A succession plan to address the workforce capability gap is implemented.</w:t>
            </w:r>
          </w:p>
        </w:tc>
      </w:tr>
      <w:tr w:rsidR="005F44BC" w:rsidRPr="00C9343F" w14:paraId="27B36848" w14:textId="77777777" w:rsidTr="005F44BC">
        <w:trPr>
          <w:cantSplit/>
        </w:trPr>
        <w:tc>
          <w:tcPr>
            <w:tcW w:w="1486" w:type="dxa"/>
            <w:gridSpan w:val="2"/>
          </w:tcPr>
          <w:p w14:paraId="47ECAAD5" w14:textId="77777777" w:rsidR="005F44BC" w:rsidRPr="00C9343F" w:rsidRDefault="005F44BC" w:rsidP="00F66D98">
            <w:pPr>
              <w:pStyle w:val="BlockText-Plain"/>
            </w:pPr>
          </w:p>
        </w:tc>
        <w:tc>
          <w:tcPr>
            <w:tcW w:w="528" w:type="dxa"/>
          </w:tcPr>
          <w:p w14:paraId="5D6286EB" w14:textId="77777777" w:rsidR="005F44BC" w:rsidRPr="00C9343F" w:rsidRDefault="005F44BC" w:rsidP="007114B1">
            <w:pPr>
              <w:pStyle w:val="BlockText-Plain"/>
            </w:pPr>
            <w:r w:rsidRPr="00C9343F">
              <w:t>v.</w:t>
            </w:r>
          </w:p>
        </w:tc>
        <w:tc>
          <w:tcPr>
            <w:tcW w:w="7337" w:type="dxa"/>
            <w:gridSpan w:val="2"/>
          </w:tcPr>
          <w:p w14:paraId="27DEC189" w14:textId="77777777" w:rsidR="005F44BC" w:rsidRPr="00C9343F" w:rsidRDefault="005F44BC" w:rsidP="00F66D98">
            <w:pPr>
              <w:pStyle w:val="BlockText-Plain"/>
            </w:pPr>
            <w:r w:rsidRPr="00C9343F">
              <w:t>A critical workforce capability gap is resolved.</w:t>
            </w:r>
          </w:p>
        </w:tc>
      </w:tr>
      <w:tr w:rsidR="005F44BC" w:rsidRPr="00C9343F" w14:paraId="4C14BC19" w14:textId="77777777" w:rsidTr="005F44BC">
        <w:trPr>
          <w:cantSplit/>
        </w:trPr>
        <w:tc>
          <w:tcPr>
            <w:tcW w:w="991" w:type="dxa"/>
          </w:tcPr>
          <w:p w14:paraId="28B45EE2" w14:textId="77777777" w:rsidR="005F44BC" w:rsidRPr="00C9343F" w:rsidRDefault="005F44BC" w:rsidP="00F66D98">
            <w:pPr>
              <w:pStyle w:val="BlockText-Plain"/>
            </w:pPr>
          </w:p>
        </w:tc>
        <w:tc>
          <w:tcPr>
            <w:tcW w:w="495" w:type="dxa"/>
          </w:tcPr>
          <w:p w14:paraId="2AA8DDF1" w14:textId="77777777" w:rsidR="005F44BC" w:rsidRPr="00C9343F" w:rsidRDefault="005F44BC" w:rsidP="00B02B54">
            <w:pPr>
              <w:pStyle w:val="BlockText-Plain"/>
              <w:jc w:val="center"/>
            </w:pPr>
            <w:r w:rsidRPr="00C9343F">
              <w:t>b.</w:t>
            </w:r>
          </w:p>
        </w:tc>
        <w:tc>
          <w:tcPr>
            <w:tcW w:w="7865" w:type="dxa"/>
            <w:gridSpan w:val="3"/>
          </w:tcPr>
          <w:p w14:paraId="2B573839" w14:textId="77777777" w:rsidR="005F44BC" w:rsidRPr="00C9343F" w:rsidRDefault="005F44BC" w:rsidP="00F66D98">
            <w:pPr>
              <w:pStyle w:val="BlockText-Plain"/>
            </w:pPr>
            <w:r w:rsidRPr="00C9343F">
              <w:t>To provide a selection of incentives that may be used to retain a member.</w:t>
            </w:r>
          </w:p>
        </w:tc>
      </w:tr>
      <w:tr w:rsidR="005F44BC" w:rsidRPr="00C9343F" w14:paraId="697C691E" w14:textId="77777777" w:rsidTr="005F44BC">
        <w:tc>
          <w:tcPr>
            <w:tcW w:w="991" w:type="dxa"/>
          </w:tcPr>
          <w:p w14:paraId="5280D94E" w14:textId="77777777" w:rsidR="005F44BC" w:rsidRPr="00C9343F" w:rsidRDefault="005F44BC" w:rsidP="00F66D98">
            <w:pPr>
              <w:pStyle w:val="BlockText-Plain"/>
              <w:jc w:val="center"/>
            </w:pPr>
            <w:r w:rsidRPr="00C9343F">
              <w:t>2.</w:t>
            </w:r>
          </w:p>
        </w:tc>
        <w:tc>
          <w:tcPr>
            <w:tcW w:w="8360" w:type="dxa"/>
            <w:gridSpan w:val="4"/>
          </w:tcPr>
          <w:p w14:paraId="341D7774" w14:textId="77777777" w:rsidR="005F44BC" w:rsidRPr="00C9343F" w:rsidRDefault="005F44BC" w:rsidP="00F66D98">
            <w:pPr>
              <w:pStyle w:val="BlockText-Plain"/>
            </w:pPr>
            <w:r w:rsidRPr="00C9343F">
              <w:t>The deliberately differentiated offer is a management-initiated retention measure. Members may not apply for a deliberately differentiated offer.</w:t>
            </w:r>
          </w:p>
        </w:tc>
      </w:tr>
      <w:tr w:rsidR="005F44BC" w:rsidRPr="00C9343F" w14:paraId="154AB0FE" w14:textId="77777777" w:rsidTr="005F44BC">
        <w:tc>
          <w:tcPr>
            <w:tcW w:w="991" w:type="dxa"/>
          </w:tcPr>
          <w:p w14:paraId="64D984C7" w14:textId="77777777" w:rsidR="005F44BC" w:rsidRPr="00C9343F" w:rsidRDefault="005F44BC" w:rsidP="00F66D98">
            <w:pPr>
              <w:pStyle w:val="BlockText-Plain"/>
              <w:jc w:val="center"/>
            </w:pPr>
            <w:r w:rsidRPr="00C9343F">
              <w:t>3.</w:t>
            </w:r>
          </w:p>
        </w:tc>
        <w:tc>
          <w:tcPr>
            <w:tcW w:w="8360" w:type="dxa"/>
            <w:gridSpan w:val="4"/>
          </w:tcPr>
          <w:p w14:paraId="07C7C12E" w14:textId="77777777" w:rsidR="005F44BC" w:rsidRPr="00C9343F" w:rsidRDefault="005F44BC" w:rsidP="00F66D98">
            <w:pPr>
              <w:pStyle w:val="BlockText-Plain"/>
            </w:pPr>
            <w:r w:rsidRPr="00C9343F">
              <w:t>This Part is not intended to be used as a talent or career management tool. It should not be used to address issues of equity and flexible work arrangements as targeted special measures are already available for these issues.</w:t>
            </w:r>
          </w:p>
        </w:tc>
      </w:tr>
    </w:tbl>
    <w:p w14:paraId="64E42DF2" w14:textId="315DE875" w:rsidR="00E578F7" w:rsidRPr="00C9343F" w:rsidRDefault="00E578F7" w:rsidP="00E578F7">
      <w:pPr>
        <w:pStyle w:val="Heading5"/>
      </w:pPr>
      <w:bookmarkStart w:id="580" w:name="_Toc105053787"/>
      <w:r w:rsidRPr="00C9343F">
        <w:t>3.6.2    Definitions</w:t>
      </w:r>
      <w:bookmarkEnd w:id="580"/>
    </w:p>
    <w:tbl>
      <w:tblPr>
        <w:tblW w:w="0" w:type="dxa"/>
        <w:tblInd w:w="113" w:type="dxa"/>
        <w:tblLayout w:type="fixed"/>
        <w:tblLook w:val="04A0" w:firstRow="1" w:lastRow="0" w:firstColumn="1" w:lastColumn="0" w:noHBand="0" w:noVBand="1"/>
      </w:tblPr>
      <w:tblGrid>
        <w:gridCol w:w="992"/>
        <w:gridCol w:w="563"/>
        <w:gridCol w:w="7804"/>
      </w:tblGrid>
      <w:tr w:rsidR="00E578F7" w:rsidRPr="00C9343F" w14:paraId="0DB04CDF" w14:textId="77777777" w:rsidTr="00445FEB">
        <w:tc>
          <w:tcPr>
            <w:tcW w:w="992" w:type="dxa"/>
          </w:tcPr>
          <w:p w14:paraId="20C377C4" w14:textId="77777777" w:rsidR="00E578F7" w:rsidRPr="00C9343F" w:rsidRDefault="00E578F7" w:rsidP="00445FEB">
            <w:pPr>
              <w:pStyle w:val="Sectiontext0"/>
              <w:spacing w:line="276" w:lineRule="auto"/>
              <w:jc w:val="center"/>
              <w:rPr>
                <w:lang w:eastAsia="en-US"/>
              </w:rPr>
            </w:pPr>
          </w:p>
        </w:tc>
        <w:tc>
          <w:tcPr>
            <w:tcW w:w="8367" w:type="dxa"/>
            <w:gridSpan w:val="2"/>
            <w:hideMark/>
          </w:tcPr>
          <w:p w14:paraId="05D66A15" w14:textId="77777777" w:rsidR="00E578F7" w:rsidRPr="00C9343F" w:rsidRDefault="00E578F7" w:rsidP="00445FEB">
            <w:pPr>
              <w:pStyle w:val="Sectiontext0"/>
              <w:spacing w:line="276" w:lineRule="auto"/>
              <w:rPr>
                <w:iCs/>
                <w:lang w:eastAsia="en-US"/>
              </w:rPr>
            </w:pPr>
            <w:r w:rsidRPr="00C9343F">
              <w:rPr>
                <w:iCs/>
                <w:lang w:eastAsia="en-US"/>
              </w:rPr>
              <w:t>In this Part the following apply.</w:t>
            </w:r>
          </w:p>
        </w:tc>
      </w:tr>
      <w:tr w:rsidR="00E578F7" w:rsidRPr="00C9343F" w14:paraId="4A69949A" w14:textId="77777777" w:rsidTr="00445FEB">
        <w:tc>
          <w:tcPr>
            <w:tcW w:w="992" w:type="dxa"/>
          </w:tcPr>
          <w:p w14:paraId="3F81C50D" w14:textId="77777777" w:rsidR="00E578F7" w:rsidRPr="00C9343F" w:rsidRDefault="00E578F7" w:rsidP="00445FEB">
            <w:pPr>
              <w:pStyle w:val="Sectiontext0"/>
              <w:spacing w:line="276" w:lineRule="auto"/>
              <w:jc w:val="center"/>
              <w:rPr>
                <w:lang w:eastAsia="en-US"/>
              </w:rPr>
            </w:pPr>
          </w:p>
        </w:tc>
        <w:tc>
          <w:tcPr>
            <w:tcW w:w="8367" w:type="dxa"/>
            <w:gridSpan w:val="2"/>
            <w:hideMark/>
          </w:tcPr>
          <w:p w14:paraId="70716CD8" w14:textId="77777777" w:rsidR="00E578F7" w:rsidRPr="00C9343F" w:rsidRDefault="00E578F7" w:rsidP="00445FEB">
            <w:pPr>
              <w:pStyle w:val="Sectiontext0"/>
              <w:spacing w:line="276" w:lineRule="auto"/>
              <w:rPr>
                <w:iCs/>
                <w:lang w:eastAsia="en-US"/>
              </w:rPr>
            </w:pPr>
            <w:r w:rsidRPr="00C9343F">
              <w:rPr>
                <w:b/>
                <w:iCs/>
                <w:lang w:eastAsia="en-US"/>
              </w:rPr>
              <w:t>Member critical to capability</w:t>
            </w:r>
            <w:r w:rsidRPr="00C9343F">
              <w:rPr>
                <w:iCs/>
                <w:lang w:eastAsia="en-US"/>
              </w:rPr>
              <w:t xml:space="preserve"> means a member for whom the CDF decides all the following circumstances exist.</w:t>
            </w:r>
          </w:p>
        </w:tc>
      </w:tr>
      <w:tr w:rsidR="00E578F7" w:rsidRPr="00C9343F" w14:paraId="16FB44A4" w14:textId="77777777" w:rsidTr="00445FEB">
        <w:tc>
          <w:tcPr>
            <w:tcW w:w="992" w:type="dxa"/>
          </w:tcPr>
          <w:p w14:paraId="4F76B4C8" w14:textId="77777777" w:rsidR="00E578F7" w:rsidRPr="00C9343F" w:rsidRDefault="00E578F7" w:rsidP="00445FEB">
            <w:pPr>
              <w:pStyle w:val="Sectiontext0"/>
              <w:spacing w:line="276" w:lineRule="auto"/>
              <w:jc w:val="center"/>
              <w:rPr>
                <w:lang w:eastAsia="en-US"/>
              </w:rPr>
            </w:pPr>
          </w:p>
        </w:tc>
        <w:tc>
          <w:tcPr>
            <w:tcW w:w="563" w:type="dxa"/>
            <w:hideMark/>
          </w:tcPr>
          <w:p w14:paraId="18023885" w14:textId="77777777" w:rsidR="00E578F7" w:rsidRPr="00C9343F" w:rsidRDefault="00E578F7" w:rsidP="00445FEB">
            <w:pPr>
              <w:pStyle w:val="Sectiontext0"/>
              <w:spacing w:line="276" w:lineRule="auto"/>
              <w:jc w:val="center"/>
              <w:rPr>
                <w:rFonts w:cs="Arial"/>
                <w:lang w:eastAsia="en-US"/>
              </w:rPr>
            </w:pPr>
            <w:r w:rsidRPr="00C9343F">
              <w:rPr>
                <w:rFonts w:cs="Arial"/>
                <w:lang w:eastAsia="en-US"/>
              </w:rPr>
              <w:t>a.</w:t>
            </w:r>
          </w:p>
        </w:tc>
        <w:tc>
          <w:tcPr>
            <w:tcW w:w="7804" w:type="dxa"/>
            <w:hideMark/>
          </w:tcPr>
          <w:p w14:paraId="283F1452" w14:textId="77777777" w:rsidR="00E578F7" w:rsidRPr="00C9343F" w:rsidRDefault="00E578F7" w:rsidP="00445FEB">
            <w:pPr>
              <w:pStyle w:val="Sectiontext0"/>
              <w:spacing w:line="276" w:lineRule="auto"/>
              <w:rPr>
                <w:rFonts w:cs="Arial"/>
                <w:lang w:eastAsia="en-US"/>
              </w:rPr>
            </w:pPr>
            <w:r w:rsidRPr="00C9343F">
              <w:rPr>
                <w:rFonts w:cs="Arial"/>
                <w:lang w:eastAsia="en-US"/>
              </w:rPr>
              <w:t>The loss of that member would significantly impact on ADF strategic or operational capability.</w:t>
            </w:r>
          </w:p>
        </w:tc>
      </w:tr>
      <w:tr w:rsidR="00E578F7" w:rsidRPr="00C9343F" w14:paraId="4F7CCED1" w14:textId="77777777" w:rsidTr="00445FEB">
        <w:tc>
          <w:tcPr>
            <w:tcW w:w="992" w:type="dxa"/>
          </w:tcPr>
          <w:p w14:paraId="4084F98E" w14:textId="77777777" w:rsidR="00E578F7" w:rsidRPr="00C9343F" w:rsidRDefault="00E578F7" w:rsidP="00445FEB">
            <w:pPr>
              <w:pStyle w:val="Sectiontext0"/>
              <w:spacing w:line="276" w:lineRule="auto"/>
              <w:jc w:val="center"/>
              <w:rPr>
                <w:lang w:eastAsia="en-US"/>
              </w:rPr>
            </w:pPr>
          </w:p>
        </w:tc>
        <w:tc>
          <w:tcPr>
            <w:tcW w:w="563" w:type="dxa"/>
            <w:hideMark/>
          </w:tcPr>
          <w:p w14:paraId="48669C58" w14:textId="77777777" w:rsidR="00E578F7" w:rsidRPr="00C9343F" w:rsidRDefault="00E578F7" w:rsidP="00445FEB">
            <w:pPr>
              <w:pStyle w:val="Sectiontext0"/>
              <w:spacing w:line="276" w:lineRule="auto"/>
              <w:jc w:val="center"/>
              <w:rPr>
                <w:rFonts w:cs="Arial"/>
                <w:lang w:eastAsia="en-US"/>
              </w:rPr>
            </w:pPr>
            <w:r w:rsidRPr="00C9343F">
              <w:rPr>
                <w:rFonts w:cs="Arial"/>
                <w:lang w:eastAsia="en-US"/>
              </w:rPr>
              <w:t>b.</w:t>
            </w:r>
          </w:p>
        </w:tc>
        <w:tc>
          <w:tcPr>
            <w:tcW w:w="7804" w:type="dxa"/>
            <w:hideMark/>
          </w:tcPr>
          <w:p w14:paraId="2388BB0E" w14:textId="77777777" w:rsidR="00E578F7" w:rsidRPr="00C9343F" w:rsidRDefault="00E578F7" w:rsidP="00445FEB">
            <w:pPr>
              <w:pStyle w:val="Sectiontext0"/>
              <w:spacing w:line="276" w:lineRule="auto"/>
              <w:rPr>
                <w:rFonts w:cs="Arial"/>
                <w:lang w:eastAsia="en-US"/>
              </w:rPr>
            </w:pPr>
            <w:r w:rsidRPr="00C9343F">
              <w:rPr>
                <w:rFonts w:cs="Arial"/>
                <w:lang w:eastAsia="en-US"/>
              </w:rPr>
              <w:t>The member's skills, knowledge or qualifications cannot be readily replaced in the immediate future.</w:t>
            </w:r>
          </w:p>
        </w:tc>
      </w:tr>
      <w:tr w:rsidR="00E578F7" w:rsidRPr="00C9343F" w14:paraId="1618AC19" w14:textId="77777777" w:rsidTr="00445FEB">
        <w:tc>
          <w:tcPr>
            <w:tcW w:w="992" w:type="dxa"/>
          </w:tcPr>
          <w:p w14:paraId="021713C0" w14:textId="77777777" w:rsidR="00E578F7" w:rsidRPr="00C9343F" w:rsidRDefault="00E578F7" w:rsidP="00445FEB">
            <w:pPr>
              <w:pStyle w:val="Sectiontext0"/>
              <w:spacing w:line="276" w:lineRule="auto"/>
              <w:jc w:val="center"/>
              <w:rPr>
                <w:lang w:eastAsia="en-US"/>
              </w:rPr>
            </w:pPr>
          </w:p>
        </w:tc>
        <w:tc>
          <w:tcPr>
            <w:tcW w:w="563" w:type="dxa"/>
            <w:hideMark/>
          </w:tcPr>
          <w:p w14:paraId="4A5D6ED6" w14:textId="77777777" w:rsidR="00E578F7" w:rsidRPr="00C9343F" w:rsidRDefault="00E578F7" w:rsidP="00445FEB">
            <w:pPr>
              <w:pStyle w:val="Sectiontext0"/>
              <w:spacing w:line="276" w:lineRule="auto"/>
              <w:jc w:val="center"/>
              <w:rPr>
                <w:rFonts w:cs="Arial"/>
                <w:lang w:eastAsia="en-US"/>
              </w:rPr>
            </w:pPr>
            <w:r w:rsidRPr="00C9343F">
              <w:rPr>
                <w:rFonts w:cs="Arial"/>
                <w:lang w:eastAsia="en-US"/>
              </w:rPr>
              <w:t>c.</w:t>
            </w:r>
          </w:p>
        </w:tc>
        <w:tc>
          <w:tcPr>
            <w:tcW w:w="7804" w:type="dxa"/>
            <w:hideMark/>
          </w:tcPr>
          <w:p w14:paraId="7D71E986" w14:textId="77777777" w:rsidR="00E578F7" w:rsidRPr="00C9343F" w:rsidRDefault="00E578F7" w:rsidP="00445FEB">
            <w:pPr>
              <w:pStyle w:val="Sectiontext0"/>
              <w:spacing w:line="276" w:lineRule="auto"/>
              <w:rPr>
                <w:rFonts w:cs="Arial"/>
                <w:lang w:eastAsia="en-US"/>
              </w:rPr>
            </w:pPr>
            <w:r w:rsidRPr="00C9343F">
              <w:rPr>
                <w:rFonts w:cs="Arial"/>
                <w:lang w:eastAsia="en-US"/>
              </w:rPr>
              <w:t>The member has demonstrated consistent high performance.</w:t>
            </w:r>
          </w:p>
        </w:tc>
      </w:tr>
      <w:tr w:rsidR="00E578F7" w:rsidRPr="00C9343F" w14:paraId="72943198" w14:textId="77777777" w:rsidTr="00445FEB">
        <w:tc>
          <w:tcPr>
            <w:tcW w:w="992" w:type="dxa"/>
          </w:tcPr>
          <w:p w14:paraId="4B8EFCA5" w14:textId="77777777" w:rsidR="00E578F7" w:rsidRPr="00C9343F" w:rsidRDefault="00E578F7" w:rsidP="00445FEB">
            <w:pPr>
              <w:pStyle w:val="Sectiontext0"/>
              <w:spacing w:line="276" w:lineRule="auto"/>
              <w:jc w:val="center"/>
              <w:rPr>
                <w:lang w:eastAsia="en-US"/>
              </w:rPr>
            </w:pPr>
          </w:p>
        </w:tc>
        <w:tc>
          <w:tcPr>
            <w:tcW w:w="8367" w:type="dxa"/>
            <w:gridSpan w:val="2"/>
            <w:hideMark/>
          </w:tcPr>
          <w:p w14:paraId="477F1D4F" w14:textId="77777777" w:rsidR="00E578F7" w:rsidRPr="00C9343F" w:rsidRDefault="00E578F7" w:rsidP="00445FEB">
            <w:pPr>
              <w:pStyle w:val="Sectiontext0"/>
              <w:spacing w:line="276" w:lineRule="auto"/>
              <w:rPr>
                <w:rFonts w:cs="Arial"/>
                <w:lang w:eastAsia="en-US"/>
              </w:rPr>
            </w:pPr>
            <w:r w:rsidRPr="00C9343F">
              <w:rPr>
                <w:rFonts w:cs="Arial"/>
                <w:b/>
                <w:lang w:eastAsia="en-US"/>
              </w:rPr>
              <w:t>Position critical to capability</w:t>
            </w:r>
            <w:r w:rsidRPr="00C9343F">
              <w:rPr>
                <w:rFonts w:cs="Arial"/>
                <w:lang w:eastAsia="en-US"/>
              </w:rPr>
              <w:t xml:space="preserve"> means a position that is essential to strategic or operational capability of the ADF and requires a particular set of skills, knowledge or qualification. Failure to fill the position impacts negatively on delivery of Service capability.</w:t>
            </w:r>
          </w:p>
        </w:tc>
      </w:tr>
      <w:tr w:rsidR="00E578F7" w:rsidRPr="00C9343F" w14:paraId="672AF5CD" w14:textId="77777777" w:rsidTr="00445FEB">
        <w:tc>
          <w:tcPr>
            <w:tcW w:w="992" w:type="dxa"/>
          </w:tcPr>
          <w:p w14:paraId="3A3F8284" w14:textId="77777777" w:rsidR="00E578F7" w:rsidRPr="00C9343F" w:rsidRDefault="00E578F7" w:rsidP="00445FEB">
            <w:pPr>
              <w:pStyle w:val="Sectiontext0"/>
              <w:spacing w:line="276" w:lineRule="auto"/>
              <w:jc w:val="center"/>
              <w:rPr>
                <w:lang w:eastAsia="en-US"/>
              </w:rPr>
            </w:pPr>
          </w:p>
        </w:tc>
        <w:tc>
          <w:tcPr>
            <w:tcW w:w="8367" w:type="dxa"/>
            <w:gridSpan w:val="2"/>
            <w:hideMark/>
          </w:tcPr>
          <w:p w14:paraId="317EC3D1" w14:textId="77777777" w:rsidR="00E578F7" w:rsidRPr="00C9343F" w:rsidRDefault="00E578F7" w:rsidP="00445FEB">
            <w:pPr>
              <w:pStyle w:val="Sectiontext0"/>
              <w:spacing w:line="276" w:lineRule="auto"/>
              <w:rPr>
                <w:rFonts w:cs="Arial"/>
                <w:lang w:eastAsia="en-US"/>
              </w:rPr>
            </w:pPr>
            <w:r w:rsidRPr="00C9343F">
              <w:rPr>
                <w:rFonts w:cs="Arial"/>
                <w:b/>
                <w:lang w:eastAsia="en-US"/>
              </w:rPr>
              <w:t xml:space="preserve">Agreed period of service </w:t>
            </w:r>
            <w:r w:rsidRPr="00C9343F">
              <w:rPr>
                <w:rFonts w:cs="Arial"/>
                <w:lang w:eastAsia="en-US"/>
              </w:rPr>
              <w:t>means the period the member has agreed to serve in the position for which the deliberately differentiated offer is made using the form at Annex 3.6.A.</w:t>
            </w:r>
          </w:p>
        </w:tc>
      </w:tr>
      <w:tr w:rsidR="00E578F7" w:rsidRPr="00C9343F" w14:paraId="3127365A" w14:textId="77777777" w:rsidTr="00445FEB">
        <w:tc>
          <w:tcPr>
            <w:tcW w:w="992" w:type="dxa"/>
          </w:tcPr>
          <w:p w14:paraId="7624A13F" w14:textId="77777777" w:rsidR="00E578F7" w:rsidRPr="00C9343F" w:rsidRDefault="00E578F7" w:rsidP="00445FEB">
            <w:pPr>
              <w:pStyle w:val="Sectiontext0"/>
              <w:spacing w:line="276" w:lineRule="auto"/>
              <w:jc w:val="center"/>
              <w:rPr>
                <w:lang w:eastAsia="en-US"/>
              </w:rPr>
            </w:pPr>
          </w:p>
        </w:tc>
        <w:tc>
          <w:tcPr>
            <w:tcW w:w="8367" w:type="dxa"/>
            <w:gridSpan w:val="2"/>
            <w:hideMark/>
          </w:tcPr>
          <w:p w14:paraId="764ADDAD" w14:textId="77777777" w:rsidR="00E578F7" w:rsidRPr="00C9343F" w:rsidRDefault="00E578F7" w:rsidP="00445FEB">
            <w:pPr>
              <w:pStyle w:val="Sectiontext0"/>
              <w:spacing w:line="276" w:lineRule="auto"/>
              <w:rPr>
                <w:rFonts w:cs="Arial"/>
                <w:lang w:eastAsia="en-US"/>
              </w:rPr>
            </w:pPr>
            <w:r w:rsidRPr="00C9343F">
              <w:rPr>
                <w:rFonts w:cs="Arial"/>
                <w:b/>
                <w:lang w:eastAsia="en-US"/>
              </w:rPr>
              <w:t xml:space="preserve">Workforce capability gap </w:t>
            </w:r>
            <w:r w:rsidRPr="00C9343F">
              <w:rPr>
                <w:rFonts w:cs="Arial"/>
                <w:lang w:eastAsia="en-US"/>
              </w:rPr>
              <w:t>means the gap between the current and required capability of the workforce.</w:t>
            </w:r>
          </w:p>
        </w:tc>
      </w:tr>
    </w:tbl>
    <w:p w14:paraId="19991FF4" w14:textId="1F51D156" w:rsidR="005F44BC" w:rsidRPr="00C9343F" w:rsidRDefault="005F44BC" w:rsidP="00F66D98">
      <w:pPr>
        <w:pStyle w:val="Heading5"/>
      </w:pPr>
      <w:bookmarkStart w:id="581" w:name="_Toc105053788"/>
      <w:r w:rsidRPr="00C9343F">
        <w:lastRenderedPageBreak/>
        <w:t>3.6.3</w:t>
      </w:r>
      <w:r w:rsidR="00D94006" w:rsidRPr="00C9343F">
        <w:t>    </w:t>
      </w:r>
      <w:r w:rsidRPr="00C9343F">
        <w:t>Member this Part applies to</w:t>
      </w:r>
      <w:bookmarkEnd w:id="581"/>
    </w:p>
    <w:tbl>
      <w:tblPr>
        <w:tblW w:w="9351" w:type="dxa"/>
        <w:tblInd w:w="113" w:type="dxa"/>
        <w:tblLayout w:type="fixed"/>
        <w:tblLook w:val="0000" w:firstRow="0" w:lastRow="0" w:firstColumn="0" w:lastColumn="0" w:noHBand="0" w:noVBand="0"/>
      </w:tblPr>
      <w:tblGrid>
        <w:gridCol w:w="985"/>
        <w:gridCol w:w="495"/>
        <w:gridCol w:w="517"/>
        <w:gridCol w:w="7354"/>
      </w:tblGrid>
      <w:tr w:rsidR="005F44BC" w:rsidRPr="00C9343F" w14:paraId="6FFEED4D" w14:textId="77777777" w:rsidTr="005F44BC">
        <w:tc>
          <w:tcPr>
            <w:tcW w:w="985" w:type="dxa"/>
          </w:tcPr>
          <w:p w14:paraId="226B8FB1" w14:textId="77777777" w:rsidR="005F44BC" w:rsidRPr="00C9343F" w:rsidRDefault="005F44BC" w:rsidP="00F66D98">
            <w:pPr>
              <w:pStyle w:val="BlockText-Plain"/>
              <w:jc w:val="center"/>
            </w:pPr>
          </w:p>
        </w:tc>
        <w:tc>
          <w:tcPr>
            <w:tcW w:w="8366" w:type="dxa"/>
            <w:gridSpan w:val="3"/>
          </w:tcPr>
          <w:p w14:paraId="13744EC7" w14:textId="77777777" w:rsidR="005F44BC" w:rsidRPr="00C9343F" w:rsidRDefault="005F44BC" w:rsidP="00F66D98">
            <w:pPr>
              <w:pStyle w:val="BlockText-Plain"/>
            </w:pPr>
            <w:r w:rsidRPr="00C9343F">
              <w:t>For this Part, the member must meet all of the following conditions.</w:t>
            </w:r>
          </w:p>
        </w:tc>
      </w:tr>
      <w:tr w:rsidR="005F44BC" w:rsidRPr="00C9343F" w14:paraId="7BF6D9DF" w14:textId="77777777" w:rsidTr="005F44BC">
        <w:trPr>
          <w:cantSplit/>
        </w:trPr>
        <w:tc>
          <w:tcPr>
            <w:tcW w:w="985" w:type="dxa"/>
          </w:tcPr>
          <w:p w14:paraId="21E287FA" w14:textId="77777777" w:rsidR="005F44BC" w:rsidRPr="00C9343F" w:rsidRDefault="005F44BC" w:rsidP="00F66D98">
            <w:pPr>
              <w:pStyle w:val="BlockText-Plain"/>
            </w:pPr>
          </w:p>
        </w:tc>
        <w:tc>
          <w:tcPr>
            <w:tcW w:w="495" w:type="dxa"/>
          </w:tcPr>
          <w:p w14:paraId="0A8755F8" w14:textId="77777777" w:rsidR="005F44BC" w:rsidRPr="00C9343F" w:rsidRDefault="005F44BC" w:rsidP="007114B1">
            <w:pPr>
              <w:pStyle w:val="BlockText-Plain"/>
              <w:jc w:val="center"/>
            </w:pPr>
            <w:r w:rsidRPr="00C9343F">
              <w:t>a.</w:t>
            </w:r>
          </w:p>
        </w:tc>
        <w:tc>
          <w:tcPr>
            <w:tcW w:w="7871" w:type="dxa"/>
            <w:gridSpan w:val="2"/>
          </w:tcPr>
          <w:p w14:paraId="04F9BDE6" w14:textId="77777777" w:rsidR="005F44BC" w:rsidRPr="00C9343F" w:rsidRDefault="005F44BC" w:rsidP="00F66D98">
            <w:pPr>
              <w:pStyle w:val="BlockText-Plain"/>
            </w:pPr>
            <w:r w:rsidRPr="00C9343F">
              <w:t>The member is either of the following.</w:t>
            </w:r>
          </w:p>
        </w:tc>
      </w:tr>
      <w:tr w:rsidR="005F44BC" w:rsidRPr="00C9343F" w14:paraId="6E284002" w14:textId="77777777" w:rsidTr="005F44BC">
        <w:trPr>
          <w:cantSplit/>
        </w:trPr>
        <w:tc>
          <w:tcPr>
            <w:tcW w:w="1480" w:type="dxa"/>
            <w:gridSpan w:val="2"/>
          </w:tcPr>
          <w:p w14:paraId="48113E7E" w14:textId="77777777" w:rsidR="005F44BC" w:rsidRPr="00C9343F" w:rsidRDefault="005F44BC" w:rsidP="00F66D98">
            <w:pPr>
              <w:pStyle w:val="BlockText-Plain"/>
            </w:pPr>
          </w:p>
        </w:tc>
        <w:tc>
          <w:tcPr>
            <w:tcW w:w="517" w:type="dxa"/>
          </w:tcPr>
          <w:p w14:paraId="589732A0" w14:textId="77777777" w:rsidR="005F44BC" w:rsidRPr="00C9343F" w:rsidRDefault="005F44BC" w:rsidP="007114B1">
            <w:pPr>
              <w:pStyle w:val="BlockText-Plain"/>
            </w:pPr>
            <w:r w:rsidRPr="00C9343F">
              <w:t>i.</w:t>
            </w:r>
          </w:p>
        </w:tc>
        <w:tc>
          <w:tcPr>
            <w:tcW w:w="7354" w:type="dxa"/>
          </w:tcPr>
          <w:p w14:paraId="3B7E0F93" w14:textId="77777777" w:rsidR="005F44BC" w:rsidRPr="00C9343F" w:rsidRDefault="005F44BC" w:rsidP="00F66D98">
            <w:pPr>
              <w:pStyle w:val="BlockText-Plain"/>
            </w:pPr>
            <w:r w:rsidRPr="00C9343F">
              <w:t xml:space="preserve">A member of the </w:t>
            </w:r>
            <w:r w:rsidR="00780A98" w:rsidRPr="00C9343F">
              <w:t>Permanent Forces</w:t>
            </w:r>
            <w:r w:rsidRPr="00C9343F">
              <w:t>.</w:t>
            </w:r>
          </w:p>
        </w:tc>
      </w:tr>
      <w:tr w:rsidR="005F44BC" w:rsidRPr="00C9343F" w14:paraId="4242E1B0" w14:textId="77777777" w:rsidTr="005F44BC">
        <w:trPr>
          <w:cantSplit/>
        </w:trPr>
        <w:tc>
          <w:tcPr>
            <w:tcW w:w="1480" w:type="dxa"/>
            <w:gridSpan w:val="2"/>
          </w:tcPr>
          <w:p w14:paraId="192C831E" w14:textId="77777777" w:rsidR="005F44BC" w:rsidRPr="00C9343F" w:rsidRDefault="005F44BC" w:rsidP="00F66D98">
            <w:pPr>
              <w:pStyle w:val="BlockText-Plain"/>
            </w:pPr>
          </w:p>
        </w:tc>
        <w:tc>
          <w:tcPr>
            <w:tcW w:w="517" w:type="dxa"/>
          </w:tcPr>
          <w:p w14:paraId="5BAEC913" w14:textId="77777777" w:rsidR="005F44BC" w:rsidRPr="00C9343F" w:rsidRDefault="005F44BC" w:rsidP="007114B1">
            <w:pPr>
              <w:pStyle w:val="BlockText-Plain"/>
            </w:pPr>
            <w:r w:rsidRPr="00C9343F">
              <w:t>ii.</w:t>
            </w:r>
          </w:p>
        </w:tc>
        <w:tc>
          <w:tcPr>
            <w:tcW w:w="7354" w:type="dxa"/>
          </w:tcPr>
          <w:p w14:paraId="5B64BA10" w14:textId="77777777" w:rsidR="005F44BC" w:rsidRPr="00C9343F" w:rsidRDefault="005F44BC" w:rsidP="00F66D98">
            <w:pPr>
              <w:pStyle w:val="BlockText-Plain"/>
            </w:pPr>
            <w:r w:rsidRPr="00C9343F">
              <w:t xml:space="preserve">A member of the </w:t>
            </w:r>
            <w:r w:rsidR="00780A98" w:rsidRPr="00C9343F">
              <w:t xml:space="preserve">Reserves </w:t>
            </w:r>
            <w:r w:rsidRPr="00C9343F">
              <w:t>on continuous full-time service.</w:t>
            </w:r>
          </w:p>
        </w:tc>
      </w:tr>
      <w:tr w:rsidR="005F44BC" w:rsidRPr="00C9343F" w14:paraId="332C9E97" w14:textId="77777777" w:rsidTr="005F44BC">
        <w:trPr>
          <w:cantSplit/>
        </w:trPr>
        <w:tc>
          <w:tcPr>
            <w:tcW w:w="985" w:type="dxa"/>
          </w:tcPr>
          <w:p w14:paraId="1AD8E9AB" w14:textId="77777777" w:rsidR="005F44BC" w:rsidRPr="00C9343F" w:rsidRDefault="005F44BC" w:rsidP="00F66D98">
            <w:pPr>
              <w:pStyle w:val="BlockText-Plain"/>
            </w:pPr>
          </w:p>
        </w:tc>
        <w:tc>
          <w:tcPr>
            <w:tcW w:w="495" w:type="dxa"/>
          </w:tcPr>
          <w:p w14:paraId="0E88F89A" w14:textId="77777777" w:rsidR="005F44BC" w:rsidRPr="00C9343F" w:rsidRDefault="005F44BC" w:rsidP="007114B1">
            <w:pPr>
              <w:pStyle w:val="BlockText-Plain"/>
              <w:jc w:val="center"/>
            </w:pPr>
            <w:r w:rsidRPr="00C9343F">
              <w:t>b.</w:t>
            </w:r>
          </w:p>
        </w:tc>
        <w:tc>
          <w:tcPr>
            <w:tcW w:w="7871" w:type="dxa"/>
            <w:gridSpan w:val="2"/>
          </w:tcPr>
          <w:p w14:paraId="560FB200" w14:textId="79DFE827" w:rsidR="005F44BC" w:rsidRPr="00C9343F" w:rsidRDefault="005F44BC" w:rsidP="00F66D98">
            <w:pPr>
              <w:pStyle w:val="BlockText-Plain"/>
            </w:pPr>
            <w:r w:rsidRPr="00C9343F">
              <w:t>The member is a member critical to capability.</w:t>
            </w:r>
          </w:p>
        </w:tc>
      </w:tr>
    </w:tbl>
    <w:p w14:paraId="51CCD29B" w14:textId="3887ED34" w:rsidR="005F44BC" w:rsidRPr="00C9343F" w:rsidRDefault="005F44BC" w:rsidP="00F66D98">
      <w:pPr>
        <w:pStyle w:val="Heading5"/>
      </w:pPr>
      <w:bookmarkStart w:id="582" w:name="_Toc105053789"/>
      <w:r w:rsidRPr="00C9343F">
        <w:t>3.6.4</w:t>
      </w:r>
      <w:r w:rsidR="00D94006" w:rsidRPr="00C9343F">
        <w:t>    </w:t>
      </w:r>
      <w:r w:rsidRPr="00C9343F">
        <w:t>Situations that delay service</w:t>
      </w:r>
      <w:bookmarkEnd w:id="582"/>
    </w:p>
    <w:tbl>
      <w:tblPr>
        <w:tblW w:w="9351" w:type="dxa"/>
        <w:tblInd w:w="113" w:type="dxa"/>
        <w:tblLayout w:type="fixed"/>
        <w:tblLook w:val="0000" w:firstRow="0" w:lastRow="0" w:firstColumn="0" w:lastColumn="0" w:noHBand="0" w:noVBand="0"/>
      </w:tblPr>
      <w:tblGrid>
        <w:gridCol w:w="985"/>
        <w:gridCol w:w="495"/>
        <w:gridCol w:w="500"/>
        <w:gridCol w:w="7371"/>
      </w:tblGrid>
      <w:tr w:rsidR="005F44BC" w:rsidRPr="00C9343F" w14:paraId="182134A6" w14:textId="77777777" w:rsidTr="005F44BC">
        <w:tc>
          <w:tcPr>
            <w:tcW w:w="985" w:type="dxa"/>
          </w:tcPr>
          <w:p w14:paraId="39B876A6" w14:textId="77777777" w:rsidR="005F44BC" w:rsidRPr="00C9343F" w:rsidRDefault="005F44BC" w:rsidP="00F66D98">
            <w:pPr>
              <w:pStyle w:val="BlockText-Plain"/>
              <w:jc w:val="center"/>
            </w:pPr>
          </w:p>
        </w:tc>
        <w:tc>
          <w:tcPr>
            <w:tcW w:w="8366" w:type="dxa"/>
            <w:gridSpan w:val="3"/>
          </w:tcPr>
          <w:p w14:paraId="1D63C8F6" w14:textId="018181D2" w:rsidR="005F44BC" w:rsidRPr="00C9343F" w:rsidRDefault="005F44BC" w:rsidP="00F66D98">
            <w:pPr>
              <w:pStyle w:val="BlockText-Plain"/>
            </w:pPr>
            <w:r w:rsidRPr="00C9343F">
              <w:t>A member who is offered a deliberately differentiated offer under this Part cannot start their agreed period of service if any of the following circumstances apply to them.</w:t>
            </w:r>
          </w:p>
        </w:tc>
      </w:tr>
      <w:tr w:rsidR="005F44BC" w:rsidRPr="00C9343F" w14:paraId="3E4D9237" w14:textId="77777777" w:rsidTr="005F44BC">
        <w:trPr>
          <w:cantSplit/>
        </w:trPr>
        <w:tc>
          <w:tcPr>
            <w:tcW w:w="985" w:type="dxa"/>
          </w:tcPr>
          <w:p w14:paraId="4CED8F62" w14:textId="77777777" w:rsidR="005F44BC" w:rsidRPr="00C9343F" w:rsidRDefault="005F44BC" w:rsidP="00F66D98">
            <w:pPr>
              <w:pStyle w:val="BlockText-Plain"/>
            </w:pPr>
          </w:p>
        </w:tc>
        <w:tc>
          <w:tcPr>
            <w:tcW w:w="495" w:type="dxa"/>
          </w:tcPr>
          <w:p w14:paraId="50A27C97" w14:textId="77777777" w:rsidR="005F44BC" w:rsidRPr="00C9343F" w:rsidRDefault="005F44BC" w:rsidP="007114B1">
            <w:pPr>
              <w:pStyle w:val="BlockText-Plain"/>
              <w:jc w:val="center"/>
            </w:pPr>
            <w:r w:rsidRPr="00C9343F">
              <w:t>a.</w:t>
            </w:r>
          </w:p>
        </w:tc>
        <w:tc>
          <w:tcPr>
            <w:tcW w:w="7871" w:type="dxa"/>
            <w:gridSpan w:val="2"/>
          </w:tcPr>
          <w:p w14:paraId="05238262" w14:textId="51E19E40" w:rsidR="005F44BC" w:rsidRPr="00C9343F" w:rsidRDefault="005F44BC" w:rsidP="00F66D98">
            <w:pPr>
              <w:pStyle w:val="BlockText-Plain"/>
            </w:pPr>
            <w:r w:rsidRPr="00C9343F">
              <w:t>The member is not on paid service.</w:t>
            </w:r>
          </w:p>
        </w:tc>
      </w:tr>
      <w:tr w:rsidR="005F44BC" w:rsidRPr="00C9343F" w14:paraId="034A9B87" w14:textId="77777777" w:rsidTr="005F44BC">
        <w:trPr>
          <w:cantSplit/>
        </w:trPr>
        <w:tc>
          <w:tcPr>
            <w:tcW w:w="985" w:type="dxa"/>
          </w:tcPr>
          <w:p w14:paraId="40EF0CB1" w14:textId="77777777" w:rsidR="005F44BC" w:rsidRPr="00C9343F" w:rsidRDefault="005F44BC" w:rsidP="00F66D98">
            <w:pPr>
              <w:pStyle w:val="BlockText-Plain"/>
            </w:pPr>
          </w:p>
        </w:tc>
        <w:tc>
          <w:tcPr>
            <w:tcW w:w="495" w:type="dxa"/>
          </w:tcPr>
          <w:p w14:paraId="2DC6AB6F" w14:textId="77777777" w:rsidR="005F44BC" w:rsidRPr="00C9343F" w:rsidRDefault="005F44BC" w:rsidP="007114B1">
            <w:pPr>
              <w:pStyle w:val="BlockText-Plain"/>
              <w:jc w:val="center"/>
            </w:pPr>
            <w:r w:rsidRPr="00C9343F">
              <w:t>b.</w:t>
            </w:r>
          </w:p>
        </w:tc>
        <w:tc>
          <w:tcPr>
            <w:tcW w:w="7871" w:type="dxa"/>
            <w:gridSpan w:val="2"/>
          </w:tcPr>
          <w:p w14:paraId="39AB7F97" w14:textId="77777777" w:rsidR="005F44BC" w:rsidRPr="00C9343F" w:rsidRDefault="005F44BC" w:rsidP="00F66D98">
            <w:pPr>
              <w:pStyle w:val="BlockText-Plain"/>
            </w:pPr>
            <w:r w:rsidRPr="00C9343F">
              <w:t xml:space="preserve">The member is subject to an undertaking for further service under Part 8 of the </w:t>
            </w:r>
            <w:r w:rsidRPr="00C9343F">
              <w:rPr>
                <w:i/>
              </w:rPr>
              <w:t>Military Superannuation and Benefits Act 1991</w:t>
            </w:r>
            <w:r w:rsidRPr="00C9343F">
              <w:t xml:space="preserve"> (as preserved by item 4 of Schedule 4 </w:t>
            </w:r>
            <w:r w:rsidRPr="00C9343F">
              <w:rPr>
                <w:i/>
              </w:rPr>
              <w:t>Defence Legislation Amendment Act (No. 1) 2005</w:t>
            </w:r>
            <w:r w:rsidRPr="00C9343F">
              <w:t>).</w:t>
            </w:r>
          </w:p>
        </w:tc>
      </w:tr>
      <w:tr w:rsidR="005F44BC" w:rsidRPr="00C9343F" w14:paraId="582BBD9D" w14:textId="77777777" w:rsidTr="005F44BC">
        <w:trPr>
          <w:cantSplit/>
        </w:trPr>
        <w:tc>
          <w:tcPr>
            <w:tcW w:w="985" w:type="dxa"/>
          </w:tcPr>
          <w:p w14:paraId="603D2B16" w14:textId="77777777" w:rsidR="005F44BC" w:rsidRPr="00C9343F" w:rsidRDefault="005F44BC" w:rsidP="00F66D98">
            <w:pPr>
              <w:pStyle w:val="BlockText-Plain"/>
            </w:pPr>
          </w:p>
        </w:tc>
        <w:tc>
          <w:tcPr>
            <w:tcW w:w="495" w:type="dxa"/>
          </w:tcPr>
          <w:p w14:paraId="25AAC8CF" w14:textId="77777777" w:rsidR="005F44BC" w:rsidRPr="00C9343F" w:rsidRDefault="005F44BC" w:rsidP="007114B1">
            <w:pPr>
              <w:pStyle w:val="BlockText-Plain"/>
              <w:jc w:val="center"/>
            </w:pPr>
            <w:r w:rsidRPr="00C9343F">
              <w:t>c.</w:t>
            </w:r>
          </w:p>
        </w:tc>
        <w:tc>
          <w:tcPr>
            <w:tcW w:w="7871" w:type="dxa"/>
            <w:gridSpan w:val="2"/>
          </w:tcPr>
          <w:p w14:paraId="23E66134" w14:textId="77777777" w:rsidR="005F44BC" w:rsidRPr="00C9343F" w:rsidRDefault="0015746F" w:rsidP="00F66D98">
            <w:pPr>
              <w:pStyle w:val="BlockText-Plain"/>
            </w:pPr>
            <w:r w:rsidRPr="00C9343F">
              <w:rPr>
                <w:rFonts w:cs="Arial"/>
              </w:rPr>
              <w:t>The member has any of the following liabilities.</w:t>
            </w:r>
          </w:p>
        </w:tc>
      </w:tr>
      <w:tr w:rsidR="0015746F" w:rsidRPr="00C9343F" w14:paraId="4F514A4C" w14:textId="77777777" w:rsidTr="005F44BC">
        <w:trPr>
          <w:cantSplit/>
        </w:trPr>
        <w:tc>
          <w:tcPr>
            <w:tcW w:w="1480" w:type="dxa"/>
            <w:gridSpan w:val="2"/>
          </w:tcPr>
          <w:p w14:paraId="211612F1" w14:textId="77777777" w:rsidR="0015746F" w:rsidRPr="00C9343F" w:rsidRDefault="0015746F" w:rsidP="00F66D98">
            <w:pPr>
              <w:pStyle w:val="BlockText-Plain"/>
            </w:pPr>
          </w:p>
        </w:tc>
        <w:tc>
          <w:tcPr>
            <w:tcW w:w="500" w:type="dxa"/>
          </w:tcPr>
          <w:p w14:paraId="66E17865" w14:textId="77777777" w:rsidR="0015746F" w:rsidRPr="00C9343F" w:rsidRDefault="0015746F" w:rsidP="007114B1">
            <w:pPr>
              <w:pStyle w:val="BlockText-Plain"/>
            </w:pPr>
            <w:r w:rsidRPr="00C9343F">
              <w:t>i.</w:t>
            </w:r>
          </w:p>
        </w:tc>
        <w:tc>
          <w:tcPr>
            <w:tcW w:w="7371" w:type="dxa"/>
          </w:tcPr>
          <w:p w14:paraId="66045582" w14:textId="3F50C0CA" w:rsidR="0015746F" w:rsidRPr="00C9343F" w:rsidRDefault="0015746F" w:rsidP="00F66D98">
            <w:pPr>
              <w:pStyle w:val="BlockText-Plain"/>
              <w:rPr>
                <w:rFonts w:cs="Arial"/>
              </w:rPr>
            </w:pPr>
            <w:r w:rsidRPr="00C9343F">
              <w:rPr>
                <w:rFonts w:cs="Arial"/>
              </w:rPr>
              <w:t>An initial minimum period of service.</w:t>
            </w:r>
          </w:p>
        </w:tc>
      </w:tr>
      <w:tr w:rsidR="0015746F" w:rsidRPr="00C9343F" w14:paraId="49EE795F" w14:textId="77777777" w:rsidTr="005F44BC">
        <w:trPr>
          <w:cantSplit/>
        </w:trPr>
        <w:tc>
          <w:tcPr>
            <w:tcW w:w="1480" w:type="dxa"/>
            <w:gridSpan w:val="2"/>
          </w:tcPr>
          <w:p w14:paraId="7C9C18ED" w14:textId="77777777" w:rsidR="0015746F" w:rsidRPr="00C9343F" w:rsidRDefault="0015746F" w:rsidP="00F66D98">
            <w:pPr>
              <w:pStyle w:val="BlockText-Plain"/>
            </w:pPr>
          </w:p>
        </w:tc>
        <w:tc>
          <w:tcPr>
            <w:tcW w:w="500" w:type="dxa"/>
          </w:tcPr>
          <w:p w14:paraId="0B753BB4" w14:textId="77777777" w:rsidR="0015746F" w:rsidRPr="00C9343F" w:rsidRDefault="0015746F" w:rsidP="007114B1">
            <w:pPr>
              <w:pStyle w:val="BlockText-Plain"/>
            </w:pPr>
            <w:r w:rsidRPr="00C9343F">
              <w:t>ii.</w:t>
            </w:r>
          </w:p>
        </w:tc>
        <w:tc>
          <w:tcPr>
            <w:tcW w:w="7371" w:type="dxa"/>
          </w:tcPr>
          <w:p w14:paraId="6EA84F13" w14:textId="318B03C3" w:rsidR="0015746F" w:rsidRPr="00C9343F" w:rsidRDefault="0015746F" w:rsidP="00F66D98">
            <w:pPr>
              <w:pStyle w:val="BlockText-Plain"/>
              <w:rPr>
                <w:rFonts w:cs="Arial"/>
              </w:rPr>
            </w:pPr>
            <w:r w:rsidRPr="00C9343F">
              <w:rPr>
                <w:rFonts w:cs="Arial"/>
              </w:rPr>
              <w:t>A return of service obligation.</w:t>
            </w:r>
          </w:p>
        </w:tc>
      </w:tr>
      <w:tr w:rsidR="0015746F" w:rsidRPr="00C9343F" w14:paraId="6634FEC2" w14:textId="77777777" w:rsidTr="005F44BC">
        <w:trPr>
          <w:cantSplit/>
        </w:trPr>
        <w:tc>
          <w:tcPr>
            <w:tcW w:w="1480" w:type="dxa"/>
            <w:gridSpan w:val="2"/>
          </w:tcPr>
          <w:p w14:paraId="5CB319E3" w14:textId="77777777" w:rsidR="0015746F" w:rsidRPr="00C9343F" w:rsidRDefault="0015746F" w:rsidP="00F66D98">
            <w:pPr>
              <w:pStyle w:val="BlockText-Plain"/>
            </w:pPr>
          </w:p>
        </w:tc>
        <w:tc>
          <w:tcPr>
            <w:tcW w:w="500" w:type="dxa"/>
          </w:tcPr>
          <w:p w14:paraId="5DF4F447" w14:textId="77777777" w:rsidR="0015746F" w:rsidRPr="00C9343F" w:rsidRDefault="0015746F" w:rsidP="007114B1">
            <w:pPr>
              <w:pStyle w:val="BlockText-Plain"/>
            </w:pPr>
            <w:r w:rsidRPr="00C9343F">
              <w:t>iii.</w:t>
            </w:r>
          </w:p>
        </w:tc>
        <w:tc>
          <w:tcPr>
            <w:tcW w:w="7371" w:type="dxa"/>
          </w:tcPr>
          <w:p w14:paraId="194C2754" w14:textId="77777777" w:rsidR="0015746F" w:rsidRPr="00C9343F" w:rsidRDefault="0015746F" w:rsidP="00F66D98">
            <w:pPr>
              <w:pStyle w:val="BlockText-Plain"/>
              <w:rPr>
                <w:rFonts w:cs="Arial"/>
              </w:rPr>
            </w:pPr>
            <w:r w:rsidRPr="00C9343F">
              <w:rPr>
                <w:rFonts w:cs="Arial"/>
              </w:rPr>
              <w:t>The member is on Reserve service.</w:t>
            </w:r>
          </w:p>
          <w:p w14:paraId="198D8BB3" w14:textId="77777777" w:rsidR="0015746F" w:rsidRPr="00C9343F" w:rsidRDefault="0015746F" w:rsidP="00F66D98">
            <w:pPr>
              <w:pStyle w:val="BlockText-Plain"/>
              <w:rPr>
                <w:rFonts w:cs="Arial"/>
              </w:rPr>
            </w:pPr>
            <w:r w:rsidRPr="00C9343F">
              <w:rPr>
                <w:rFonts w:cs="Arial"/>
                <w:b/>
              </w:rPr>
              <w:t>Exception:</w:t>
            </w:r>
            <w:r w:rsidRPr="00C9343F">
              <w:rPr>
                <w:rFonts w:cs="Arial"/>
              </w:rPr>
              <w:t xml:space="preserve"> </w:t>
            </w:r>
            <w:r w:rsidRPr="00C9343F">
              <w:t>Reserve member on continuous full-time service.</w:t>
            </w:r>
          </w:p>
        </w:tc>
      </w:tr>
    </w:tbl>
    <w:p w14:paraId="53730565" w14:textId="49812B46" w:rsidR="005F44BC" w:rsidRPr="00C9343F" w:rsidRDefault="005F44BC" w:rsidP="00F66D98">
      <w:pPr>
        <w:pStyle w:val="Heading5"/>
      </w:pPr>
      <w:bookmarkStart w:id="583" w:name="_Toc105053790"/>
      <w:r w:rsidRPr="00C9343F">
        <w:t>3.6.5</w:t>
      </w:r>
      <w:r w:rsidR="00D94006" w:rsidRPr="00C9343F">
        <w:t>    </w:t>
      </w:r>
      <w:r w:rsidRPr="00C9343F">
        <w:t>Considerations before an offer is made</w:t>
      </w:r>
      <w:bookmarkEnd w:id="583"/>
    </w:p>
    <w:tbl>
      <w:tblPr>
        <w:tblW w:w="9351" w:type="dxa"/>
        <w:tblInd w:w="113" w:type="dxa"/>
        <w:tblLayout w:type="fixed"/>
        <w:tblLook w:val="0000" w:firstRow="0" w:lastRow="0" w:firstColumn="0" w:lastColumn="0" w:noHBand="0" w:noVBand="0"/>
      </w:tblPr>
      <w:tblGrid>
        <w:gridCol w:w="986"/>
        <w:gridCol w:w="495"/>
        <w:gridCol w:w="7870"/>
      </w:tblGrid>
      <w:tr w:rsidR="0015746F" w:rsidRPr="00C9343F" w14:paraId="4BFACDC1" w14:textId="77777777" w:rsidTr="005F44BC">
        <w:tc>
          <w:tcPr>
            <w:tcW w:w="986" w:type="dxa"/>
          </w:tcPr>
          <w:p w14:paraId="7EA2E2CE" w14:textId="77777777" w:rsidR="0015746F" w:rsidRPr="00C9343F" w:rsidRDefault="0015746F" w:rsidP="00F66D98">
            <w:pPr>
              <w:pStyle w:val="BlockText-Plain"/>
              <w:jc w:val="center"/>
            </w:pPr>
            <w:r w:rsidRPr="00C9343F">
              <w:t>1.</w:t>
            </w:r>
          </w:p>
        </w:tc>
        <w:tc>
          <w:tcPr>
            <w:tcW w:w="8365" w:type="dxa"/>
            <w:gridSpan w:val="2"/>
          </w:tcPr>
          <w:p w14:paraId="49E40759" w14:textId="77777777" w:rsidR="0015746F" w:rsidRPr="00C9343F" w:rsidRDefault="0015746F" w:rsidP="00F66D98">
            <w:pPr>
              <w:pStyle w:val="BlockText-Plain"/>
            </w:pPr>
            <w:r w:rsidRPr="00C9343F">
              <w:t>Before deciding that a member is to be given a deliberately differentiated offer, the CDF must have regard to the following circumstances.</w:t>
            </w:r>
          </w:p>
        </w:tc>
      </w:tr>
      <w:tr w:rsidR="0015746F" w:rsidRPr="00C9343F" w14:paraId="10A95514" w14:textId="77777777" w:rsidTr="005F44BC">
        <w:trPr>
          <w:cantSplit/>
        </w:trPr>
        <w:tc>
          <w:tcPr>
            <w:tcW w:w="986" w:type="dxa"/>
          </w:tcPr>
          <w:p w14:paraId="6FB43895" w14:textId="77777777" w:rsidR="0015746F" w:rsidRPr="00C9343F" w:rsidRDefault="0015746F" w:rsidP="00F66D98">
            <w:pPr>
              <w:pStyle w:val="BlockText-Plain"/>
            </w:pPr>
          </w:p>
        </w:tc>
        <w:tc>
          <w:tcPr>
            <w:tcW w:w="495" w:type="dxa"/>
          </w:tcPr>
          <w:p w14:paraId="6FEB934D" w14:textId="77777777" w:rsidR="0015746F" w:rsidRPr="00C9343F" w:rsidRDefault="0015746F" w:rsidP="007114B1">
            <w:pPr>
              <w:pStyle w:val="BlockText-Plain"/>
              <w:jc w:val="center"/>
            </w:pPr>
            <w:r w:rsidRPr="00C9343F">
              <w:t>a.</w:t>
            </w:r>
          </w:p>
        </w:tc>
        <w:tc>
          <w:tcPr>
            <w:tcW w:w="7870" w:type="dxa"/>
          </w:tcPr>
          <w:p w14:paraId="3B7EF5D2" w14:textId="77777777" w:rsidR="0015746F" w:rsidRPr="00C9343F" w:rsidRDefault="0015746F" w:rsidP="00F66D98">
            <w:pPr>
              <w:pStyle w:val="BlockText-Plain"/>
            </w:pPr>
            <w:r w:rsidRPr="00C9343F">
              <w:t xml:space="preserve">Whether the member has applied, or is expecting to apply, to change their period of service that has the effect of bringing forward the end of the member's service in the Permanent Forces. </w:t>
            </w:r>
          </w:p>
        </w:tc>
      </w:tr>
      <w:tr w:rsidR="0015746F" w:rsidRPr="00C9343F" w14:paraId="13F9533C" w14:textId="77777777" w:rsidTr="005F44BC">
        <w:trPr>
          <w:cantSplit/>
        </w:trPr>
        <w:tc>
          <w:tcPr>
            <w:tcW w:w="986" w:type="dxa"/>
          </w:tcPr>
          <w:p w14:paraId="4B31A74C" w14:textId="77777777" w:rsidR="0015746F" w:rsidRPr="00C9343F" w:rsidRDefault="0015746F" w:rsidP="00F66D98">
            <w:pPr>
              <w:pStyle w:val="BlockText-Plain"/>
            </w:pPr>
          </w:p>
        </w:tc>
        <w:tc>
          <w:tcPr>
            <w:tcW w:w="495" w:type="dxa"/>
          </w:tcPr>
          <w:p w14:paraId="4AEBEFF1" w14:textId="77777777" w:rsidR="0015746F" w:rsidRPr="00C9343F" w:rsidRDefault="0015746F" w:rsidP="007114B1">
            <w:pPr>
              <w:pStyle w:val="BlockText-Plain"/>
              <w:jc w:val="center"/>
            </w:pPr>
            <w:r w:rsidRPr="00C9343F">
              <w:t>b.</w:t>
            </w:r>
          </w:p>
        </w:tc>
        <w:tc>
          <w:tcPr>
            <w:tcW w:w="7870" w:type="dxa"/>
          </w:tcPr>
          <w:p w14:paraId="5860C884" w14:textId="77777777" w:rsidR="0015746F" w:rsidRPr="00C9343F" w:rsidRDefault="0015746F" w:rsidP="00F66D98">
            <w:pPr>
              <w:pStyle w:val="BlockText-Plain"/>
            </w:pPr>
            <w:r w:rsidRPr="00C9343F">
              <w:t>Whether the member has undertaken, or is expected to undertake, a further period of continuous full-time service in the position.</w:t>
            </w:r>
          </w:p>
        </w:tc>
      </w:tr>
      <w:tr w:rsidR="0015746F" w:rsidRPr="00C9343F" w14:paraId="25943AEC" w14:textId="77777777" w:rsidTr="005F44BC">
        <w:trPr>
          <w:cantSplit/>
        </w:trPr>
        <w:tc>
          <w:tcPr>
            <w:tcW w:w="986" w:type="dxa"/>
          </w:tcPr>
          <w:p w14:paraId="5EFAF21F" w14:textId="77777777" w:rsidR="0015746F" w:rsidRPr="00C9343F" w:rsidRDefault="0015746F" w:rsidP="00F66D98">
            <w:pPr>
              <w:pStyle w:val="BlockText-Plain"/>
            </w:pPr>
          </w:p>
        </w:tc>
        <w:tc>
          <w:tcPr>
            <w:tcW w:w="495" w:type="dxa"/>
          </w:tcPr>
          <w:p w14:paraId="5C277A7C" w14:textId="77777777" w:rsidR="0015746F" w:rsidRPr="00C9343F" w:rsidRDefault="0015746F" w:rsidP="007114B1">
            <w:pPr>
              <w:pStyle w:val="BlockText-Plain"/>
              <w:jc w:val="center"/>
            </w:pPr>
            <w:r w:rsidRPr="00C9343F">
              <w:t>c.</w:t>
            </w:r>
          </w:p>
        </w:tc>
        <w:tc>
          <w:tcPr>
            <w:tcW w:w="7870" w:type="dxa"/>
          </w:tcPr>
          <w:p w14:paraId="7192BE1C" w14:textId="77777777" w:rsidR="0015746F" w:rsidRPr="00C9343F" w:rsidRDefault="0015746F" w:rsidP="00F66D98">
            <w:pPr>
              <w:pStyle w:val="BlockText-Plain"/>
            </w:pPr>
            <w:r w:rsidRPr="00C9343F">
              <w:t>Whether the member has indicated that they are unwilling to remain in or move to a position critical to capability.</w:t>
            </w:r>
          </w:p>
        </w:tc>
      </w:tr>
      <w:tr w:rsidR="005F44BC" w:rsidRPr="00C9343F" w14:paraId="33A66643" w14:textId="77777777" w:rsidTr="005F44BC">
        <w:tc>
          <w:tcPr>
            <w:tcW w:w="986" w:type="dxa"/>
          </w:tcPr>
          <w:p w14:paraId="42A5483A" w14:textId="77777777" w:rsidR="005F44BC" w:rsidRPr="00C9343F" w:rsidRDefault="005F44BC" w:rsidP="00F66D98">
            <w:pPr>
              <w:pStyle w:val="BlockText-Plain"/>
              <w:jc w:val="center"/>
            </w:pPr>
            <w:r w:rsidRPr="00C9343F">
              <w:t>2.</w:t>
            </w:r>
          </w:p>
        </w:tc>
        <w:tc>
          <w:tcPr>
            <w:tcW w:w="8365" w:type="dxa"/>
            <w:gridSpan w:val="2"/>
          </w:tcPr>
          <w:p w14:paraId="59D0A067" w14:textId="77777777" w:rsidR="005F44BC" w:rsidRPr="00C9343F" w:rsidRDefault="005F44BC" w:rsidP="00F66D98">
            <w:pPr>
              <w:pStyle w:val="BlockText-Plain"/>
            </w:pPr>
            <w:r w:rsidRPr="00C9343F">
              <w:t>Before deciding which benefits in this Part to include in the deliberately differentiated offer made to the member, the CDF must consider the following matters, if relevant.</w:t>
            </w:r>
          </w:p>
        </w:tc>
      </w:tr>
      <w:tr w:rsidR="005F44BC" w:rsidRPr="00C9343F" w14:paraId="2FA824D2" w14:textId="77777777" w:rsidTr="005F44BC">
        <w:trPr>
          <w:cantSplit/>
        </w:trPr>
        <w:tc>
          <w:tcPr>
            <w:tcW w:w="986" w:type="dxa"/>
          </w:tcPr>
          <w:p w14:paraId="11ADDFD3" w14:textId="77777777" w:rsidR="005F44BC" w:rsidRPr="00C9343F" w:rsidRDefault="005F44BC" w:rsidP="00F66D98">
            <w:pPr>
              <w:pStyle w:val="BlockText-Plain"/>
            </w:pPr>
          </w:p>
        </w:tc>
        <w:tc>
          <w:tcPr>
            <w:tcW w:w="495" w:type="dxa"/>
          </w:tcPr>
          <w:p w14:paraId="56706011" w14:textId="77777777" w:rsidR="005F44BC" w:rsidRPr="00C9343F" w:rsidRDefault="005F44BC" w:rsidP="007114B1">
            <w:pPr>
              <w:pStyle w:val="BlockText-Plain"/>
              <w:jc w:val="center"/>
            </w:pPr>
            <w:r w:rsidRPr="00C9343F">
              <w:t>a.</w:t>
            </w:r>
          </w:p>
        </w:tc>
        <w:tc>
          <w:tcPr>
            <w:tcW w:w="7870" w:type="dxa"/>
          </w:tcPr>
          <w:p w14:paraId="302251C8" w14:textId="77777777" w:rsidR="005F44BC" w:rsidRPr="00C9343F" w:rsidRDefault="005F44BC" w:rsidP="00F66D98">
            <w:pPr>
              <w:pStyle w:val="BlockText-Plain"/>
              <w:rPr>
                <w:strike/>
              </w:rPr>
            </w:pPr>
            <w:r w:rsidRPr="00C9343F">
              <w:t xml:space="preserve">Any evidence that failure to retain the member will cause a workforce capability gap. </w:t>
            </w:r>
          </w:p>
        </w:tc>
      </w:tr>
      <w:tr w:rsidR="005F44BC" w:rsidRPr="00C9343F" w14:paraId="19F0BF06" w14:textId="77777777" w:rsidTr="005F44BC">
        <w:trPr>
          <w:cantSplit/>
        </w:trPr>
        <w:tc>
          <w:tcPr>
            <w:tcW w:w="986" w:type="dxa"/>
          </w:tcPr>
          <w:p w14:paraId="60996AD9" w14:textId="77777777" w:rsidR="005F44BC" w:rsidRPr="00C9343F" w:rsidRDefault="005F44BC" w:rsidP="00F66D98">
            <w:pPr>
              <w:pStyle w:val="BlockText-Plain"/>
            </w:pPr>
          </w:p>
        </w:tc>
        <w:tc>
          <w:tcPr>
            <w:tcW w:w="495" w:type="dxa"/>
          </w:tcPr>
          <w:p w14:paraId="78A4E982" w14:textId="77777777" w:rsidR="005F44BC" w:rsidRPr="00C9343F" w:rsidRDefault="005F44BC" w:rsidP="007114B1">
            <w:pPr>
              <w:pStyle w:val="BlockText-Plain"/>
              <w:jc w:val="center"/>
            </w:pPr>
            <w:r w:rsidRPr="00C9343F">
              <w:t>b.</w:t>
            </w:r>
          </w:p>
        </w:tc>
        <w:tc>
          <w:tcPr>
            <w:tcW w:w="7870" w:type="dxa"/>
          </w:tcPr>
          <w:p w14:paraId="699F28E5" w14:textId="77777777" w:rsidR="005F44BC" w:rsidRPr="00C9343F" w:rsidRDefault="005F44BC" w:rsidP="00F66D98">
            <w:pPr>
              <w:pStyle w:val="BlockText-Plain"/>
            </w:pPr>
            <w:r w:rsidRPr="00C9343F">
              <w:t>The manner in which the current and future duties of the member support capability.</w:t>
            </w:r>
          </w:p>
        </w:tc>
      </w:tr>
      <w:tr w:rsidR="005F44BC" w:rsidRPr="00C9343F" w14:paraId="6F654B44" w14:textId="77777777" w:rsidTr="005F44BC">
        <w:trPr>
          <w:cantSplit/>
        </w:trPr>
        <w:tc>
          <w:tcPr>
            <w:tcW w:w="986" w:type="dxa"/>
          </w:tcPr>
          <w:p w14:paraId="43DCF6E3" w14:textId="77777777" w:rsidR="005F44BC" w:rsidRPr="00C9343F" w:rsidRDefault="005F44BC" w:rsidP="00F66D98">
            <w:pPr>
              <w:pStyle w:val="BlockText-Plain"/>
            </w:pPr>
          </w:p>
        </w:tc>
        <w:tc>
          <w:tcPr>
            <w:tcW w:w="495" w:type="dxa"/>
          </w:tcPr>
          <w:p w14:paraId="0EF834AA" w14:textId="77777777" w:rsidR="005F44BC" w:rsidRPr="00C9343F" w:rsidRDefault="005F44BC" w:rsidP="007114B1">
            <w:pPr>
              <w:pStyle w:val="BlockText-Plain"/>
              <w:jc w:val="center"/>
            </w:pPr>
            <w:r w:rsidRPr="00C9343F">
              <w:t>c.</w:t>
            </w:r>
          </w:p>
        </w:tc>
        <w:tc>
          <w:tcPr>
            <w:tcW w:w="7870" w:type="dxa"/>
          </w:tcPr>
          <w:p w14:paraId="63091B32" w14:textId="77777777" w:rsidR="005F44BC" w:rsidRPr="00C9343F" w:rsidRDefault="005F44BC" w:rsidP="00F66D98">
            <w:pPr>
              <w:pStyle w:val="BlockText-Plain"/>
            </w:pPr>
            <w:r w:rsidRPr="00C9343F">
              <w:t>Whether the member holds skills, knowledge or qualifications that are essential to the delivery of Service capability.</w:t>
            </w:r>
          </w:p>
        </w:tc>
      </w:tr>
      <w:tr w:rsidR="005F44BC" w:rsidRPr="00C9343F" w14:paraId="21DE8FE4" w14:textId="77777777" w:rsidTr="005F44BC">
        <w:trPr>
          <w:cantSplit/>
        </w:trPr>
        <w:tc>
          <w:tcPr>
            <w:tcW w:w="986" w:type="dxa"/>
          </w:tcPr>
          <w:p w14:paraId="1C056472" w14:textId="77777777" w:rsidR="005F44BC" w:rsidRPr="00C9343F" w:rsidRDefault="005F44BC" w:rsidP="00F66D98">
            <w:pPr>
              <w:pStyle w:val="BlockText-Plain"/>
            </w:pPr>
          </w:p>
        </w:tc>
        <w:tc>
          <w:tcPr>
            <w:tcW w:w="495" w:type="dxa"/>
          </w:tcPr>
          <w:p w14:paraId="15EB1CE5" w14:textId="77777777" w:rsidR="005F44BC" w:rsidRPr="00C9343F" w:rsidRDefault="005F44BC" w:rsidP="007114B1">
            <w:pPr>
              <w:pStyle w:val="BlockText-Plain"/>
              <w:jc w:val="center"/>
            </w:pPr>
            <w:r w:rsidRPr="00C9343F">
              <w:t>d.</w:t>
            </w:r>
          </w:p>
        </w:tc>
        <w:tc>
          <w:tcPr>
            <w:tcW w:w="7870" w:type="dxa"/>
          </w:tcPr>
          <w:p w14:paraId="77C0287F" w14:textId="77777777" w:rsidR="005F44BC" w:rsidRPr="00C9343F" w:rsidRDefault="005F44BC" w:rsidP="00F66D98">
            <w:pPr>
              <w:pStyle w:val="BlockText-Plain"/>
            </w:pPr>
            <w:r w:rsidRPr="00C9343F">
              <w:t xml:space="preserve">The required period of service to assist succession in the position. </w:t>
            </w:r>
          </w:p>
        </w:tc>
      </w:tr>
      <w:tr w:rsidR="005F44BC" w:rsidRPr="00C9343F" w14:paraId="0D026AB8" w14:textId="77777777" w:rsidTr="005F44BC">
        <w:trPr>
          <w:cantSplit/>
        </w:trPr>
        <w:tc>
          <w:tcPr>
            <w:tcW w:w="986" w:type="dxa"/>
          </w:tcPr>
          <w:p w14:paraId="7242EC20" w14:textId="77777777" w:rsidR="005F44BC" w:rsidRPr="00C9343F" w:rsidRDefault="005F44BC" w:rsidP="00F66D98">
            <w:pPr>
              <w:pStyle w:val="BlockText-Plain"/>
            </w:pPr>
          </w:p>
        </w:tc>
        <w:tc>
          <w:tcPr>
            <w:tcW w:w="495" w:type="dxa"/>
          </w:tcPr>
          <w:p w14:paraId="0C6980B6" w14:textId="77777777" w:rsidR="005F44BC" w:rsidRPr="00C9343F" w:rsidRDefault="005F44BC" w:rsidP="007114B1">
            <w:pPr>
              <w:pStyle w:val="BlockText-Plain"/>
              <w:jc w:val="center"/>
            </w:pPr>
            <w:r w:rsidRPr="00C9343F">
              <w:t>e.</w:t>
            </w:r>
          </w:p>
        </w:tc>
        <w:tc>
          <w:tcPr>
            <w:tcW w:w="7870" w:type="dxa"/>
          </w:tcPr>
          <w:p w14:paraId="467B8DF9" w14:textId="77777777" w:rsidR="005F44BC" w:rsidRPr="00C9343F" w:rsidRDefault="005F44BC" w:rsidP="00F66D98">
            <w:pPr>
              <w:pStyle w:val="BlockText-Plain"/>
            </w:pPr>
            <w:r w:rsidRPr="00C9343F">
              <w:t xml:space="preserve">The anticipated timeframe to backfill the position if the member were to leave the </w:t>
            </w:r>
            <w:r w:rsidR="00780A98" w:rsidRPr="00C9343F">
              <w:t xml:space="preserve">Permanent Forces </w:t>
            </w:r>
            <w:r w:rsidRPr="00C9343F">
              <w:t>or resign from the ADF.</w:t>
            </w:r>
          </w:p>
        </w:tc>
      </w:tr>
      <w:tr w:rsidR="005F44BC" w:rsidRPr="00C9343F" w14:paraId="74EE3D46" w14:textId="77777777" w:rsidTr="005F44BC">
        <w:trPr>
          <w:cantSplit/>
        </w:trPr>
        <w:tc>
          <w:tcPr>
            <w:tcW w:w="986" w:type="dxa"/>
          </w:tcPr>
          <w:p w14:paraId="30C4BF7B" w14:textId="77777777" w:rsidR="005F44BC" w:rsidRPr="00C9343F" w:rsidRDefault="005F44BC" w:rsidP="00F66D98">
            <w:pPr>
              <w:pStyle w:val="BlockText-Plain"/>
            </w:pPr>
          </w:p>
        </w:tc>
        <w:tc>
          <w:tcPr>
            <w:tcW w:w="495" w:type="dxa"/>
          </w:tcPr>
          <w:p w14:paraId="06F292BA" w14:textId="77777777" w:rsidR="005F44BC" w:rsidRPr="00C9343F" w:rsidRDefault="005F44BC" w:rsidP="007114B1">
            <w:pPr>
              <w:pStyle w:val="BlockText-Plain"/>
              <w:jc w:val="center"/>
            </w:pPr>
            <w:r w:rsidRPr="00C9343F">
              <w:t>f.</w:t>
            </w:r>
          </w:p>
        </w:tc>
        <w:tc>
          <w:tcPr>
            <w:tcW w:w="7870" w:type="dxa"/>
          </w:tcPr>
          <w:p w14:paraId="22F39029" w14:textId="77777777" w:rsidR="005F44BC" w:rsidRPr="00C9343F" w:rsidRDefault="005F44BC" w:rsidP="00F66D98">
            <w:pPr>
              <w:pStyle w:val="BlockText-Plain"/>
            </w:pPr>
            <w:r w:rsidRPr="00C9343F">
              <w:t>The potential for the succession plan developed by the Service career management agency to address the position critical to capability or workforce capability gap within the agreed period of service of the deliberately differentiated offer.</w:t>
            </w:r>
          </w:p>
        </w:tc>
      </w:tr>
      <w:tr w:rsidR="005F44BC" w:rsidRPr="00C9343F" w14:paraId="33F57EF8" w14:textId="77777777" w:rsidTr="005F44BC">
        <w:trPr>
          <w:cantSplit/>
        </w:trPr>
        <w:tc>
          <w:tcPr>
            <w:tcW w:w="986" w:type="dxa"/>
          </w:tcPr>
          <w:p w14:paraId="72B19219" w14:textId="77777777" w:rsidR="005F44BC" w:rsidRPr="00C9343F" w:rsidRDefault="005F44BC" w:rsidP="00F66D98">
            <w:pPr>
              <w:pStyle w:val="BlockText-Plain"/>
            </w:pPr>
          </w:p>
        </w:tc>
        <w:tc>
          <w:tcPr>
            <w:tcW w:w="495" w:type="dxa"/>
          </w:tcPr>
          <w:p w14:paraId="213ECA09" w14:textId="77777777" w:rsidR="005F44BC" w:rsidRPr="00C9343F" w:rsidRDefault="005F44BC" w:rsidP="007114B1">
            <w:pPr>
              <w:pStyle w:val="BlockText-Plain"/>
              <w:jc w:val="center"/>
            </w:pPr>
            <w:r w:rsidRPr="00C9343F">
              <w:t>g.</w:t>
            </w:r>
          </w:p>
        </w:tc>
        <w:tc>
          <w:tcPr>
            <w:tcW w:w="7870" w:type="dxa"/>
          </w:tcPr>
          <w:p w14:paraId="00D985FA" w14:textId="77777777" w:rsidR="005F44BC" w:rsidRPr="00C9343F" w:rsidRDefault="005F44BC" w:rsidP="00F66D98">
            <w:pPr>
              <w:pStyle w:val="BlockText-Plain"/>
            </w:pPr>
            <w:r w:rsidRPr="00C9343F">
              <w:t>Any factors that could reduce the negative impact to capability.</w:t>
            </w:r>
          </w:p>
        </w:tc>
      </w:tr>
      <w:tr w:rsidR="005F44BC" w:rsidRPr="00C9343F" w14:paraId="63DCB30D" w14:textId="77777777" w:rsidTr="005F44BC">
        <w:trPr>
          <w:cantSplit/>
        </w:trPr>
        <w:tc>
          <w:tcPr>
            <w:tcW w:w="986" w:type="dxa"/>
          </w:tcPr>
          <w:p w14:paraId="6C14BDF1" w14:textId="77777777" w:rsidR="005F44BC" w:rsidRPr="00C9343F" w:rsidRDefault="005F44BC" w:rsidP="00F66D98">
            <w:pPr>
              <w:pStyle w:val="BlockText-Plain"/>
            </w:pPr>
          </w:p>
        </w:tc>
        <w:tc>
          <w:tcPr>
            <w:tcW w:w="495" w:type="dxa"/>
          </w:tcPr>
          <w:p w14:paraId="72C7C7B0" w14:textId="77777777" w:rsidR="005F44BC" w:rsidRPr="00C9343F" w:rsidRDefault="005F44BC" w:rsidP="007114B1">
            <w:pPr>
              <w:pStyle w:val="BlockText-Plain"/>
              <w:jc w:val="center"/>
            </w:pPr>
            <w:r w:rsidRPr="00C9343F">
              <w:t>h.</w:t>
            </w:r>
          </w:p>
        </w:tc>
        <w:tc>
          <w:tcPr>
            <w:tcW w:w="7870" w:type="dxa"/>
          </w:tcPr>
          <w:p w14:paraId="75449A34" w14:textId="77777777" w:rsidR="005F44BC" w:rsidRPr="00C9343F" w:rsidRDefault="005F44BC" w:rsidP="00F66D98">
            <w:pPr>
              <w:pStyle w:val="BlockText-Plain"/>
            </w:pPr>
            <w:r w:rsidRPr="00C9343F">
              <w:t>The member's professional and personal situation, and what types of incentives would encourage the member to continue serving in the position for the agreed period of service.</w:t>
            </w:r>
          </w:p>
        </w:tc>
      </w:tr>
      <w:tr w:rsidR="005F44BC" w:rsidRPr="00C9343F" w14:paraId="71BAEC0C" w14:textId="77777777" w:rsidTr="005F44BC">
        <w:trPr>
          <w:cantSplit/>
        </w:trPr>
        <w:tc>
          <w:tcPr>
            <w:tcW w:w="986" w:type="dxa"/>
          </w:tcPr>
          <w:p w14:paraId="24CDE4CC" w14:textId="77777777" w:rsidR="005F44BC" w:rsidRPr="00C9343F" w:rsidRDefault="005F44BC" w:rsidP="00F66D98">
            <w:pPr>
              <w:pStyle w:val="BlockText-Plain"/>
            </w:pPr>
          </w:p>
        </w:tc>
        <w:tc>
          <w:tcPr>
            <w:tcW w:w="495" w:type="dxa"/>
          </w:tcPr>
          <w:p w14:paraId="09CF2F3E" w14:textId="77777777" w:rsidR="005F44BC" w:rsidRPr="00C9343F" w:rsidRDefault="005F44BC" w:rsidP="007114B1">
            <w:pPr>
              <w:pStyle w:val="BlockText-Plain"/>
              <w:jc w:val="center"/>
            </w:pPr>
            <w:r w:rsidRPr="00C9343F">
              <w:t>i.</w:t>
            </w:r>
          </w:p>
        </w:tc>
        <w:tc>
          <w:tcPr>
            <w:tcW w:w="7870" w:type="dxa"/>
          </w:tcPr>
          <w:p w14:paraId="6C541BC9" w14:textId="77777777" w:rsidR="005F44BC" w:rsidRPr="00C9343F" w:rsidRDefault="005F44BC" w:rsidP="00F66D98">
            <w:pPr>
              <w:pStyle w:val="BlockText-Plain"/>
            </w:pPr>
            <w:r w:rsidRPr="00C9343F">
              <w:t>Any external organisation's offer of employment to the member.</w:t>
            </w:r>
          </w:p>
        </w:tc>
      </w:tr>
      <w:tr w:rsidR="005F44BC" w:rsidRPr="00C9343F" w14:paraId="2F18862C" w14:textId="77777777" w:rsidTr="005F44BC">
        <w:trPr>
          <w:cantSplit/>
        </w:trPr>
        <w:tc>
          <w:tcPr>
            <w:tcW w:w="986" w:type="dxa"/>
          </w:tcPr>
          <w:p w14:paraId="2AFE7648" w14:textId="77777777" w:rsidR="005F44BC" w:rsidRPr="00C9343F" w:rsidRDefault="005F44BC" w:rsidP="00F66D98">
            <w:pPr>
              <w:pStyle w:val="BlockText-Plain"/>
            </w:pPr>
          </w:p>
        </w:tc>
        <w:tc>
          <w:tcPr>
            <w:tcW w:w="495" w:type="dxa"/>
          </w:tcPr>
          <w:p w14:paraId="7F0C6D9C" w14:textId="77777777" w:rsidR="005F44BC" w:rsidRPr="00C9343F" w:rsidRDefault="005F44BC" w:rsidP="007114B1">
            <w:pPr>
              <w:pStyle w:val="BlockText-Plain"/>
              <w:jc w:val="center"/>
            </w:pPr>
            <w:r w:rsidRPr="00C9343F">
              <w:t>j.</w:t>
            </w:r>
          </w:p>
        </w:tc>
        <w:tc>
          <w:tcPr>
            <w:tcW w:w="7870" w:type="dxa"/>
          </w:tcPr>
          <w:p w14:paraId="20105EFB" w14:textId="6B3443AC" w:rsidR="005F44BC" w:rsidRPr="00C9343F" w:rsidRDefault="005F44BC" w:rsidP="00F66D98">
            <w:pPr>
              <w:pStyle w:val="BlockText-Plain"/>
            </w:pPr>
            <w:r w:rsidRPr="00C9343F">
              <w:t>The flexible working arrangements that the member may wish to access in the position.</w:t>
            </w:r>
          </w:p>
        </w:tc>
      </w:tr>
      <w:tr w:rsidR="005F44BC" w:rsidRPr="00C9343F" w14:paraId="48B9530D" w14:textId="77777777" w:rsidTr="005F44BC">
        <w:trPr>
          <w:cantSplit/>
        </w:trPr>
        <w:tc>
          <w:tcPr>
            <w:tcW w:w="986" w:type="dxa"/>
          </w:tcPr>
          <w:p w14:paraId="5AE0084B" w14:textId="77777777" w:rsidR="005F44BC" w:rsidRPr="00C9343F" w:rsidRDefault="005F44BC" w:rsidP="00F66D98">
            <w:pPr>
              <w:pStyle w:val="BlockText-Plain"/>
            </w:pPr>
          </w:p>
        </w:tc>
        <w:tc>
          <w:tcPr>
            <w:tcW w:w="495" w:type="dxa"/>
          </w:tcPr>
          <w:p w14:paraId="5FAB1BEE" w14:textId="77777777" w:rsidR="005F44BC" w:rsidRPr="00C9343F" w:rsidRDefault="005F44BC" w:rsidP="007114B1">
            <w:pPr>
              <w:pStyle w:val="BlockText-Plain"/>
              <w:jc w:val="center"/>
            </w:pPr>
            <w:r w:rsidRPr="00C9343F">
              <w:t>k.</w:t>
            </w:r>
          </w:p>
        </w:tc>
        <w:tc>
          <w:tcPr>
            <w:tcW w:w="7870" w:type="dxa"/>
          </w:tcPr>
          <w:p w14:paraId="425B6EE0" w14:textId="77777777" w:rsidR="005F44BC" w:rsidRPr="00C9343F" w:rsidRDefault="005F44BC" w:rsidP="00F66D98">
            <w:pPr>
              <w:pStyle w:val="BlockText-Plain"/>
            </w:pPr>
            <w:r w:rsidRPr="00C9343F">
              <w:t>Any other relevant matter.</w:t>
            </w:r>
          </w:p>
        </w:tc>
      </w:tr>
    </w:tbl>
    <w:p w14:paraId="08B40519" w14:textId="1DF5E035" w:rsidR="005F44BC" w:rsidRPr="00C9343F" w:rsidRDefault="005F44BC" w:rsidP="00F66D98">
      <w:pPr>
        <w:pStyle w:val="Heading5"/>
      </w:pPr>
      <w:bookmarkStart w:id="584" w:name="_Toc105053791"/>
      <w:r w:rsidRPr="00C9343F">
        <w:t>3.6.6</w:t>
      </w:r>
      <w:r w:rsidR="00D94006" w:rsidRPr="00C9343F">
        <w:t>    </w:t>
      </w:r>
      <w:r w:rsidRPr="00C9343F">
        <w:t>Deliberately differentiated offer</w:t>
      </w:r>
      <w:bookmarkEnd w:id="584"/>
    </w:p>
    <w:tbl>
      <w:tblPr>
        <w:tblW w:w="9351" w:type="dxa"/>
        <w:tblInd w:w="113" w:type="dxa"/>
        <w:tblLayout w:type="fixed"/>
        <w:tblLook w:val="0000" w:firstRow="0" w:lastRow="0" w:firstColumn="0" w:lastColumn="0" w:noHBand="0" w:noVBand="0"/>
      </w:tblPr>
      <w:tblGrid>
        <w:gridCol w:w="989"/>
        <w:gridCol w:w="8362"/>
      </w:tblGrid>
      <w:tr w:rsidR="005F44BC" w:rsidRPr="00C9343F" w14:paraId="1B6ACCF0" w14:textId="77777777" w:rsidTr="005F44BC">
        <w:tc>
          <w:tcPr>
            <w:tcW w:w="986" w:type="dxa"/>
          </w:tcPr>
          <w:p w14:paraId="7D344EB8" w14:textId="77777777" w:rsidR="005F44BC" w:rsidRPr="00C9343F" w:rsidRDefault="005F44BC" w:rsidP="00F66D98">
            <w:pPr>
              <w:pStyle w:val="BlockText-Plain"/>
              <w:jc w:val="center"/>
            </w:pPr>
            <w:r w:rsidRPr="00C9343F">
              <w:t>1.</w:t>
            </w:r>
          </w:p>
        </w:tc>
        <w:tc>
          <w:tcPr>
            <w:tcW w:w="8365" w:type="dxa"/>
          </w:tcPr>
          <w:p w14:paraId="5ABCE35A" w14:textId="77777777" w:rsidR="005F44BC" w:rsidRPr="00C9343F" w:rsidRDefault="005F44BC" w:rsidP="00F66D98">
            <w:pPr>
              <w:pStyle w:val="BlockText-Plain"/>
            </w:pPr>
            <w:r w:rsidRPr="00C9343F">
              <w:t>The benefits in an individual member's deliberately differentiated offer are worked out in accordance with this section.</w:t>
            </w:r>
          </w:p>
        </w:tc>
      </w:tr>
      <w:tr w:rsidR="005F44BC" w:rsidRPr="00C9343F" w14:paraId="095EC5BB" w14:textId="77777777" w:rsidTr="005F44BC">
        <w:tc>
          <w:tcPr>
            <w:tcW w:w="989" w:type="dxa"/>
          </w:tcPr>
          <w:p w14:paraId="6B44D379" w14:textId="77777777" w:rsidR="005F44BC" w:rsidRPr="00C9343F" w:rsidRDefault="005F44BC" w:rsidP="00F66D98">
            <w:pPr>
              <w:pStyle w:val="BlockText-Plain"/>
              <w:jc w:val="center"/>
            </w:pPr>
            <w:r w:rsidRPr="00C9343F">
              <w:t>2.</w:t>
            </w:r>
          </w:p>
        </w:tc>
        <w:tc>
          <w:tcPr>
            <w:tcW w:w="8362" w:type="dxa"/>
          </w:tcPr>
          <w:p w14:paraId="4A71C351" w14:textId="77777777" w:rsidR="005F44BC" w:rsidRPr="00C9343F" w:rsidRDefault="005F44BC" w:rsidP="00F66D98">
            <w:pPr>
              <w:pStyle w:val="BlockText-Plain"/>
            </w:pPr>
            <w:r w:rsidRPr="00C9343F">
              <w:t>The deliberately differentiated offer may include any of the benefits outlined in the table below.</w:t>
            </w:r>
          </w:p>
        </w:tc>
      </w:tr>
    </w:tbl>
    <w:p w14:paraId="555F2B7A" w14:textId="0FFB3FA8" w:rsidR="005F44BC" w:rsidRPr="00C9343F" w:rsidRDefault="005F44BC" w:rsidP="00F66D98"/>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4"/>
        <w:gridCol w:w="4090"/>
        <w:gridCol w:w="1861"/>
        <w:gridCol w:w="1767"/>
      </w:tblGrid>
      <w:tr w:rsidR="005F44BC" w:rsidRPr="00C9343F" w14:paraId="065787E8" w14:textId="77777777" w:rsidTr="008730BC">
        <w:trPr>
          <w:jc w:val="center"/>
        </w:trPr>
        <w:tc>
          <w:tcPr>
            <w:tcW w:w="644" w:type="dxa"/>
            <w:shd w:val="clear" w:color="auto" w:fill="auto"/>
          </w:tcPr>
          <w:p w14:paraId="3F13B998" w14:textId="77777777" w:rsidR="005F44BC" w:rsidRPr="00C9343F" w:rsidRDefault="005F44BC" w:rsidP="00F66D98">
            <w:pPr>
              <w:keepLines w:val="0"/>
              <w:jc w:val="center"/>
              <w:rPr>
                <w:b/>
                <w:sz w:val="20"/>
              </w:rPr>
            </w:pPr>
            <w:r w:rsidRPr="00C9343F">
              <w:rPr>
                <w:b/>
                <w:sz w:val="20"/>
              </w:rPr>
              <w:t>Item</w:t>
            </w:r>
          </w:p>
        </w:tc>
        <w:tc>
          <w:tcPr>
            <w:tcW w:w="4090" w:type="dxa"/>
            <w:shd w:val="clear" w:color="auto" w:fill="auto"/>
          </w:tcPr>
          <w:p w14:paraId="72C3C0A0" w14:textId="268D4311" w:rsidR="005F44BC" w:rsidRPr="00C9343F" w:rsidRDefault="005F44BC" w:rsidP="00F66D98">
            <w:pPr>
              <w:keepLines w:val="0"/>
              <w:jc w:val="center"/>
              <w:rPr>
                <w:b/>
                <w:sz w:val="20"/>
              </w:rPr>
            </w:pPr>
            <w:r w:rsidRPr="00C9343F">
              <w:rPr>
                <w:b/>
                <w:sz w:val="20"/>
              </w:rPr>
              <w:t>The following benefit</w:t>
            </w:r>
            <w:r w:rsidR="00D94006" w:rsidRPr="00C9343F">
              <w:rPr>
                <w:b/>
                <w:sz w:val="20"/>
              </w:rPr>
              <w:t>    </w:t>
            </w:r>
          </w:p>
        </w:tc>
        <w:tc>
          <w:tcPr>
            <w:tcW w:w="1861" w:type="dxa"/>
            <w:shd w:val="clear" w:color="auto" w:fill="auto"/>
          </w:tcPr>
          <w:p w14:paraId="5AC1B41B" w14:textId="42025877" w:rsidR="005F44BC" w:rsidRPr="00C9343F" w:rsidRDefault="005F44BC" w:rsidP="00F66D98">
            <w:pPr>
              <w:keepLines w:val="0"/>
              <w:jc w:val="center"/>
              <w:rPr>
                <w:b/>
                <w:sz w:val="20"/>
              </w:rPr>
            </w:pPr>
            <w:r w:rsidRPr="00C9343F">
              <w:rPr>
                <w:b/>
                <w:sz w:val="20"/>
              </w:rPr>
              <w:t>may be made available from</w:t>
            </w:r>
            <w:r w:rsidR="00D94006" w:rsidRPr="00C9343F">
              <w:rPr>
                <w:b/>
                <w:sz w:val="20"/>
              </w:rPr>
              <w:t>    </w:t>
            </w:r>
          </w:p>
        </w:tc>
        <w:tc>
          <w:tcPr>
            <w:tcW w:w="1767" w:type="dxa"/>
            <w:shd w:val="clear" w:color="auto" w:fill="auto"/>
          </w:tcPr>
          <w:p w14:paraId="542764EC" w14:textId="3AFE03B4" w:rsidR="005F44BC" w:rsidRPr="00C9343F" w:rsidRDefault="005F44BC" w:rsidP="00F66D98">
            <w:pPr>
              <w:keepLines w:val="0"/>
              <w:jc w:val="center"/>
              <w:rPr>
                <w:b/>
                <w:sz w:val="20"/>
              </w:rPr>
            </w:pPr>
            <w:r w:rsidRPr="00C9343F">
              <w:rPr>
                <w:b/>
                <w:sz w:val="20"/>
              </w:rPr>
              <w:t>until</w:t>
            </w:r>
            <w:r w:rsidR="00D94006" w:rsidRPr="00C9343F">
              <w:rPr>
                <w:b/>
                <w:sz w:val="20"/>
              </w:rPr>
              <w:t>    </w:t>
            </w:r>
          </w:p>
        </w:tc>
      </w:tr>
      <w:tr w:rsidR="005F44BC" w:rsidRPr="00C9343F" w14:paraId="723097C7" w14:textId="77777777" w:rsidTr="008730BC">
        <w:trPr>
          <w:jc w:val="center"/>
        </w:trPr>
        <w:tc>
          <w:tcPr>
            <w:tcW w:w="644" w:type="dxa"/>
            <w:shd w:val="clear" w:color="auto" w:fill="auto"/>
          </w:tcPr>
          <w:p w14:paraId="67057E69" w14:textId="77777777" w:rsidR="005F44BC" w:rsidRPr="00C9343F" w:rsidRDefault="005F44BC" w:rsidP="00F66D98">
            <w:pPr>
              <w:keepLines w:val="0"/>
              <w:jc w:val="center"/>
              <w:rPr>
                <w:sz w:val="20"/>
              </w:rPr>
            </w:pPr>
            <w:r w:rsidRPr="00C9343F">
              <w:rPr>
                <w:sz w:val="20"/>
              </w:rPr>
              <w:t>1.</w:t>
            </w:r>
          </w:p>
        </w:tc>
        <w:tc>
          <w:tcPr>
            <w:tcW w:w="4090" w:type="dxa"/>
            <w:shd w:val="clear" w:color="auto" w:fill="auto"/>
          </w:tcPr>
          <w:p w14:paraId="58CF65A6" w14:textId="77777777" w:rsidR="005F44BC" w:rsidRPr="00C9343F" w:rsidRDefault="005F44BC" w:rsidP="00F66D98">
            <w:pPr>
              <w:pStyle w:val="TableTextArial-left"/>
            </w:pPr>
            <w:r w:rsidRPr="00C9343F">
              <w:t xml:space="preserve">Home purchase and sale assistance may be provided after the normal time period for eligibility has expired. </w:t>
            </w:r>
          </w:p>
          <w:p w14:paraId="277B738A" w14:textId="77777777" w:rsidR="005F44BC" w:rsidRPr="00C9343F" w:rsidRDefault="005F44BC" w:rsidP="00F66D98">
            <w:pPr>
              <w:pStyle w:val="TableTextArial-left"/>
            </w:pPr>
            <w:r w:rsidRPr="00C9343F">
              <w:t xml:space="preserve">a. Reimbursement of the costs of </w:t>
            </w:r>
            <w:r w:rsidRPr="00C9343F">
              <w:rPr>
                <w:b/>
              </w:rPr>
              <w:t>sale</w:t>
            </w:r>
            <w:r w:rsidRPr="00C9343F">
              <w:t xml:space="preserve"> of a home may be considered after the two year time period in subsection 7.3.23.1 has lapsed.</w:t>
            </w:r>
          </w:p>
          <w:p w14:paraId="5C3F51AD" w14:textId="5727F397" w:rsidR="005F44BC" w:rsidRPr="00C9343F" w:rsidRDefault="005F44BC" w:rsidP="00F66D98">
            <w:pPr>
              <w:pStyle w:val="TableTextArial-left"/>
            </w:pPr>
            <w:r w:rsidRPr="00C9343F">
              <w:t xml:space="preserve">b. Reimbursement of costs of </w:t>
            </w:r>
            <w:r w:rsidRPr="00C9343F">
              <w:rPr>
                <w:b/>
              </w:rPr>
              <w:t>purchasing</w:t>
            </w:r>
            <w:r w:rsidRPr="00C9343F">
              <w:t xml:space="preserve"> a home may be considered after the four year time period in paragraph 7.3.23.5.b has lapsed.</w:t>
            </w:r>
          </w:p>
        </w:tc>
        <w:tc>
          <w:tcPr>
            <w:tcW w:w="1861" w:type="dxa"/>
            <w:shd w:val="clear" w:color="auto" w:fill="auto"/>
          </w:tcPr>
          <w:p w14:paraId="042D5209" w14:textId="77777777" w:rsidR="005F44BC" w:rsidRPr="00C9343F" w:rsidRDefault="005F44BC" w:rsidP="00F66D98">
            <w:pPr>
              <w:pStyle w:val="TableTextArial-left"/>
              <w:rPr>
                <w:rFonts w:cs="Arial"/>
              </w:rPr>
            </w:pPr>
            <w:r w:rsidRPr="00C9343F">
              <w:t>a date specified by CDF</w:t>
            </w:r>
          </w:p>
        </w:tc>
        <w:tc>
          <w:tcPr>
            <w:tcW w:w="1767" w:type="dxa"/>
            <w:shd w:val="clear" w:color="auto" w:fill="auto"/>
          </w:tcPr>
          <w:p w14:paraId="59B0E43B" w14:textId="77777777" w:rsidR="005F44BC" w:rsidRPr="00C9343F" w:rsidRDefault="005F44BC" w:rsidP="00F66D98">
            <w:pPr>
              <w:pStyle w:val="tabletextarial-left0"/>
              <w:spacing w:before="0" w:after="0"/>
            </w:pPr>
            <w:r w:rsidRPr="00C9343F">
              <w:t xml:space="preserve">the expiry of the </w:t>
            </w:r>
            <w:r w:rsidRPr="00C9343F">
              <w:rPr>
                <w:b/>
                <w:i/>
              </w:rPr>
              <w:t>agreed period of service</w:t>
            </w:r>
            <w:r w:rsidRPr="00C9343F">
              <w:t>.</w:t>
            </w:r>
          </w:p>
        </w:tc>
      </w:tr>
      <w:tr w:rsidR="005F44BC" w:rsidRPr="00C9343F" w14:paraId="5ACF7D24" w14:textId="77777777" w:rsidTr="008730BC">
        <w:trPr>
          <w:jc w:val="center"/>
        </w:trPr>
        <w:tc>
          <w:tcPr>
            <w:tcW w:w="644" w:type="dxa"/>
            <w:shd w:val="clear" w:color="auto" w:fill="auto"/>
          </w:tcPr>
          <w:p w14:paraId="4D3BA028" w14:textId="77777777" w:rsidR="005F44BC" w:rsidRPr="00C9343F" w:rsidRDefault="005F44BC" w:rsidP="00F66D98">
            <w:pPr>
              <w:keepLines w:val="0"/>
              <w:jc w:val="center"/>
              <w:rPr>
                <w:sz w:val="20"/>
              </w:rPr>
            </w:pPr>
            <w:r w:rsidRPr="00C9343F">
              <w:rPr>
                <w:sz w:val="20"/>
              </w:rPr>
              <w:t>2.</w:t>
            </w:r>
          </w:p>
        </w:tc>
        <w:tc>
          <w:tcPr>
            <w:tcW w:w="4090" w:type="dxa"/>
            <w:shd w:val="clear" w:color="auto" w:fill="auto"/>
          </w:tcPr>
          <w:p w14:paraId="037C09E8" w14:textId="77777777" w:rsidR="005F44BC" w:rsidRPr="00C9343F" w:rsidRDefault="005F44BC" w:rsidP="00F66D98">
            <w:pPr>
              <w:pStyle w:val="TableTextArial-left"/>
            </w:pPr>
            <w:r w:rsidRPr="00C9343F">
              <w:t>Removal assistance which may include a removal and associated benefits to a personal location where benefits are provided, or to another residence within location, outside the normal limits on assistance.</w:t>
            </w:r>
          </w:p>
          <w:p w14:paraId="4894C7EC" w14:textId="77777777" w:rsidR="005F44BC" w:rsidRPr="00C9343F" w:rsidRDefault="005F44BC" w:rsidP="00F66D98">
            <w:pPr>
              <w:pStyle w:val="TableTextArial-left"/>
            </w:pPr>
            <w:r w:rsidRPr="00C9343F">
              <w:t>a. In circumstances other than compassionate circumstances.</w:t>
            </w:r>
          </w:p>
          <w:p w14:paraId="6FB19CE6" w14:textId="3B5C7F05" w:rsidR="005F44BC" w:rsidRPr="00C9343F" w:rsidRDefault="005F44BC" w:rsidP="00F66D98">
            <w:pPr>
              <w:pStyle w:val="TableTextArial-left"/>
            </w:pPr>
            <w:r w:rsidRPr="00C9343F">
              <w:t>b. Above normal cost limits.</w:t>
            </w:r>
          </w:p>
        </w:tc>
        <w:tc>
          <w:tcPr>
            <w:tcW w:w="1861" w:type="dxa"/>
            <w:shd w:val="clear" w:color="auto" w:fill="auto"/>
          </w:tcPr>
          <w:p w14:paraId="0BDD299B" w14:textId="77777777" w:rsidR="005F44BC" w:rsidRPr="00C9343F" w:rsidRDefault="005F44BC" w:rsidP="00F66D98">
            <w:pPr>
              <w:keepLines w:val="0"/>
              <w:rPr>
                <w:sz w:val="20"/>
              </w:rPr>
            </w:pPr>
            <w:r w:rsidRPr="00C9343F">
              <w:rPr>
                <w:sz w:val="20"/>
              </w:rPr>
              <w:t>a date specified by CDF</w:t>
            </w:r>
          </w:p>
        </w:tc>
        <w:tc>
          <w:tcPr>
            <w:tcW w:w="1767" w:type="dxa"/>
            <w:shd w:val="clear" w:color="auto" w:fill="auto"/>
          </w:tcPr>
          <w:p w14:paraId="3E91D123" w14:textId="77777777" w:rsidR="005F44BC" w:rsidRPr="00C9343F" w:rsidRDefault="005F44BC" w:rsidP="00F66D98">
            <w:pPr>
              <w:keepLines w:val="0"/>
              <w:rPr>
                <w:sz w:val="20"/>
              </w:rPr>
            </w:pPr>
            <w:r w:rsidRPr="00C9343F">
              <w:rPr>
                <w:sz w:val="20"/>
              </w:rPr>
              <w:t>either of the following dates.</w:t>
            </w:r>
          </w:p>
          <w:p w14:paraId="7B10FD89" w14:textId="77777777" w:rsidR="005F44BC" w:rsidRPr="00C9343F" w:rsidRDefault="005F44BC" w:rsidP="00F66D98">
            <w:pPr>
              <w:keepLines w:val="0"/>
              <w:rPr>
                <w:sz w:val="20"/>
              </w:rPr>
            </w:pPr>
            <w:r w:rsidRPr="00C9343F">
              <w:rPr>
                <w:sz w:val="20"/>
              </w:rPr>
              <w:t>a. The expiry of the agreed period of service.</w:t>
            </w:r>
          </w:p>
          <w:p w14:paraId="55DB5818" w14:textId="77777777" w:rsidR="005F44BC" w:rsidRPr="00C9343F" w:rsidRDefault="005F44BC" w:rsidP="00F66D98">
            <w:pPr>
              <w:keepLines w:val="0"/>
              <w:rPr>
                <w:sz w:val="20"/>
              </w:rPr>
            </w:pPr>
            <w:r w:rsidRPr="00C9343F">
              <w:rPr>
                <w:sz w:val="20"/>
              </w:rPr>
              <w:t>b. A date specified by CDF.</w:t>
            </w:r>
          </w:p>
        </w:tc>
      </w:tr>
      <w:tr w:rsidR="005F44BC" w:rsidRPr="00C9343F" w14:paraId="7581F603" w14:textId="77777777" w:rsidTr="008730BC">
        <w:trPr>
          <w:jc w:val="center"/>
        </w:trPr>
        <w:tc>
          <w:tcPr>
            <w:tcW w:w="644" w:type="dxa"/>
            <w:shd w:val="clear" w:color="auto" w:fill="auto"/>
          </w:tcPr>
          <w:p w14:paraId="6500A18C" w14:textId="77777777" w:rsidR="005F44BC" w:rsidRPr="00C9343F" w:rsidRDefault="005F44BC" w:rsidP="00F66D98">
            <w:pPr>
              <w:keepLines w:val="0"/>
              <w:jc w:val="center"/>
              <w:rPr>
                <w:sz w:val="20"/>
              </w:rPr>
            </w:pPr>
            <w:r w:rsidRPr="00C9343F">
              <w:rPr>
                <w:sz w:val="20"/>
              </w:rPr>
              <w:t>3.</w:t>
            </w:r>
          </w:p>
        </w:tc>
        <w:tc>
          <w:tcPr>
            <w:tcW w:w="4090" w:type="dxa"/>
            <w:shd w:val="clear" w:color="auto" w:fill="auto"/>
          </w:tcPr>
          <w:p w14:paraId="64425F09" w14:textId="77777777" w:rsidR="005F44BC" w:rsidRPr="00C9343F" w:rsidRDefault="005F44BC" w:rsidP="00F66D98">
            <w:pPr>
              <w:pStyle w:val="TableTextArial-left"/>
            </w:pPr>
            <w:r w:rsidRPr="00C9343F">
              <w:t>Allocation of a Service Residence or rent band choice home, at or above the member's rank and bedroom entitlement. The following conditions apply.</w:t>
            </w:r>
          </w:p>
          <w:p w14:paraId="6144BAAD" w14:textId="77777777" w:rsidR="005F44BC" w:rsidRPr="00C9343F" w:rsidRDefault="005F44BC" w:rsidP="00F66D98">
            <w:pPr>
              <w:pStyle w:val="TableTextArial-left"/>
            </w:pPr>
            <w:r w:rsidRPr="00C9343F">
              <w:t>a. The higher contribution scheme at section 7.6.43 does not apply to this benefit.</w:t>
            </w:r>
          </w:p>
          <w:p w14:paraId="20E57031" w14:textId="14DB17C7" w:rsidR="005F44BC" w:rsidRPr="00C9343F" w:rsidRDefault="005F44BC" w:rsidP="00F66D98">
            <w:pPr>
              <w:pStyle w:val="TableTextArial-left"/>
            </w:pPr>
            <w:r w:rsidRPr="00C9343F">
              <w:lastRenderedPageBreak/>
              <w:t>b. The approved rent band or additional bedroom is to be specified as part of the offer.</w:t>
            </w:r>
          </w:p>
        </w:tc>
        <w:tc>
          <w:tcPr>
            <w:tcW w:w="1861" w:type="dxa"/>
            <w:shd w:val="clear" w:color="auto" w:fill="auto"/>
          </w:tcPr>
          <w:p w14:paraId="1D0DC685" w14:textId="77777777" w:rsidR="005F44BC" w:rsidRPr="00C9343F" w:rsidRDefault="005F44BC" w:rsidP="00F66D98">
            <w:pPr>
              <w:keepLines w:val="0"/>
              <w:rPr>
                <w:sz w:val="20"/>
              </w:rPr>
            </w:pPr>
            <w:r w:rsidRPr="00C9343F">
              <w:rPr>
                <w:sz w:val="20"/>
              </w:rPr>
              <w:lastRenderedPageBreak/>
              <w:t>a date specified by CDF</w:t>
            </w:r>
          </w:p>
        </w:tc>
        <w:tc>
          <w:tcPr>
            <w:tcW w:w="1767" w:type="dxa"/>
            <w:shd w:val="clear" w:color="auto" w:fill="auto"/>
          </w:tcPr>
          <w:p w14:paraId="34859111" w14:textId="77777777" w:rsidR="005F44BC" w:rsidRPr="00C9343F" w:rsidRDefault="005F44BC" w:rsidP="00F66D98">
            <w:pPr>
              <w:keepLines w:val="0"/>
              <w:rPr>
                <w:sz w:val="20"/>
              </w:rPr>
            </w:pPr>
            <w:r w:rsidRPr="00C9343F">
              <w:rPr>
                <w:sz w:val="20"/>
              </w:rPr>
              <w:t>the earlier of the following dates.</w:t>
            </w:r>
          </w:p>
          <w:p w14:paraId="031B0E39" w14:textId="77777777" w:rsidR="005F44BC" w:rsidRPr="00C9343F" w:rsidRDefault="005F44BC" w:rsidP="00F66D98">
            <w:pPr>
              <w:keepLines w:val="0"/>
              <w:rPr>
                <w:sz w:val="20"/>
              </w:rPr>
            </w:pPr>
            <w:r w:rsidRPr="00C9343F">
              <w:rPr>
                <w:sz w:val="20"/>
              </w:rPr>
              <w:t>a. The date the member vacates the residence.</w:t>
            </w:r>
          </w:p>
          <w:p w14:paraId="3FFD5A67" w14:textId="77777777" w:rsidR="005F44BC" w:rsidRPr="00C9343F" w:rsidRDefault="005F44BC" w:rsidP="00F66D98">
            <w:pPr>
              <w:keepLines w:val="0"/>
              <w:rPr>
                <w:sz w:val="20"/>
              </w:rPr>
            </w:pPr>
            <w:r w:rsidRPr="00C9343F">
              <w:rPr>
                <w:sz w:val="20"/>
              </w:rPr>
              <w:t>b. A date specified by CDF.</w:t>
            </w:r>
          </w:p>
        </w:tc>
      </w:tr>
      <w:tr w:rsidR="005F44BC" w:rsidRPr="00C9343F" w14:paraId="42F3B70B" w14:textId="77777777" w:rsidTr="008730BC">
        <w:trPr>
          <w:jc w:val="center"/>
        </w:trPr>
        <w:tc>
          <w:tcPr>
            <w:tcW w:w="644" w:type="dxa"/>
            <w:shd w:val="clear" w:color="auto" w:fill="auto"/>
          </w:tcPr>
          <w:p w14:paraId="15C7C4B5" w14:textId="77777777" w:rsidR="005F44BC" w:rsidRPr="00C9343F" w:rsidRDefault="005F44BC" w:rsidP="00F66D98">
            <w:pPr>
              <w:keepLines w:val="0"/>
              <w:jc w:val="center"/>
              <w:rPr>
                <w:sz w:val="20"/>
              </w:rPr>
            </w:pPr>
            <w:r w:rsidRPr="00C9343F">
              <w:rPr>
                <w:sz w:val="20"/>
              </w:rPr>
              <w:t>4.</w:t>
            </w:r>
          </w:p>
        </w:tc>
        <w:tc>
          <w:tcPr>
            <w:tcW w:w="4090" w:type="dxa"/>
            <w:shd w:val="clear" w:color="auto" w:fill="auto"/>
          </w:tcPr>
          <w:p w14:paraId="2BD211B9" w14:textId="77777777" w:rsidR="005F44BC" w:rsidRPr="00C9343F" w:rsidRDefault="005F44BC" w:rsidP="00F66D98">
            <w:pPr>
              <w:pStyle w:val="TableTextArial-left"/>
            </w:pPr>
            <w:r w:rsidRPr="00C9343F">
              <w:t>An increased rent ceiling. The following conditions apply.</w:t>
            </w:r>
          </w:p>
          <w:p w14:paraId="34FEA200" w14:textId="77777777" w:rsidR="005F44BC" w:rsidRPr="00C9343F" w:rsidRDefault="005F44BC" w:rsidP="00F66D98">
            <w:pPr>
              <w:pStyle w:val="TableTextArial-left"/>
            </w:pPr>
            <w:r w:rsidRPr="00C9343F">
              <w:t>a. Increased rent ceiling may be provided for reasons not specified in section 7.8.12.</w:t>
            </w:r>
          </w:p>
          <w:p w14:paraId="2799B1E5" w14:textId="77777777" w:rsidR="005F44BC" w:rsidRPr="00C9343F" w:rsidRDefault="005F44BC" w:rsidP="00F66D98">
            <w:pPr>
              <w:pStyle w:val="TableTextArial-left"/>
            </w:pPr>
            <w:r w:rsidRPr="00C9343F">
              <w:t>b. The ceiling may be increased up to an amount approved by CDF.</w:t>
            </w:r>
          </w:p>
          <w:p w14:paraId="148ABA87" w14:textId="3BA5ABBD" w:rsidR="005F44BC" w:rsidRPr="00C9343F" w:rsidRDefault="005F44BC" w:rsidP="00F66D98">
            <w:pPr>
              <w:pStyle w:val="TableTextArial-left"/>
            </w:pPr>
            <w:r w:rsidRPr="00C9343F">
              <w:t>c. The approved rent ceiling is to be specified as part of the offer.</w:t>
            </w:r>
          </w:p>
        </w:tc>
        <w:tc>
          <w:tcPr>
            <w:tcW w:w="1861" w:type="dxa"/>
            <w:shd w:val="clear" w:color="auto" w:fill="auto"/>
          </w:tcPr>
          <w:p w14:paraId="29229187" w14:textId="77777777" w:rsidR="005F44BC" w:rsidRPr="00C9343F" w:rsidRDefault="005F44BC" w:rsidP="00F66D98">
            <w:pPr>
              <w:keepLines w:val="0"/>
              <w:rPr>
                <w:sz w:val="20"/>
              </w:rPr>
            </w:pPr>
            <w:r w:rsidRPr="00C9343F">
              <w:rPr>
                <w:sz w:val="20"/>
              </w:rPr>
              <w:t>a date specified by CDF</w:t>
            </w:r>
          </w:p>
        </w:tc>
        <w:tc>
          <w:tcPr>
            <w:tcW w:w="1767" w:type="dxa"/>
            <w:shd w:val="clear" w:color="auto" w:fill="auto"/>
          </w:tcPr>
          <w:p w14:paraId="2E35C2A2" w14:textId="77777777" w:rsidR="005F44BC" w:rsidRPr="00C9343F" w:rsidRDefault="005F44BC" w:rsidP="00F66D98">
            <w:pPr>
              <w:keepLines w:val="0"/>
              <w:rPr>
                <w:sz w:val="20"/>
              </w:rPr>
            </w:pPr>
            <w:r w:rsidRPr="00C9343F">
              <w:rPr>
                <w:sz w:val="20"/>
              </w:rPr>
              <w:t>the earlier of the following dates.</w:t>
            </w:r>
          </w:p>
          <w:p w14:paraId="5F788B7B" w14:textId="77777777" w:rsidR="005F44BC" w:rsidRPr="00C9343F" w:rsidRDefault="005F44BC" w:rsidP="00F66D98">
            <w:pPr>
              <w:keepLines w:val="0"/>
              <w:rPr>
                <w:sz w:val="20"/>
              </w:rPr>
            </w:pPr>
            <w:r w:rsidRPr="00C9343F">
              <w:rPr>
                <w:sz w:val="20"/>
              </w:rPr>
              <w:t>a. The date the member vacates the residence.</w:t>
            </w:r>
          </w:p>
          <w:p w14:paraId="2E8BC43A" w14:textId="77777777" w:rsidR="005F44BC" w:rsidRPr="00C9343F" w:rsidRDefault="005F44BC" w:rsidP="00F66D98">
            <w:pPr>
              <w:keepLines w:val="0"/>
              <w:rPr>
                <w:sz w:val="20"/>
              </w:rPr>
            </w:pPr>
            <w:r w:rsidRPr="00C9343F">
              <w:rPr>
                <w:sz w:val="20"/>
              </w:rPr>
              <w:t>b. A date specified by CDF.</w:t>
            </w:r>
          </w:p>
        </w:tc>
      </w:tr>
      <w:tr w:rsidR="005F44BC" w:rsidRPr="00C9343F" w14:paraId="55E852ED" w14:textId="77777777" w:rsidTr="00A33B4A">
        <w:trPr>
          <w:jc w:val="center"/>
        </w:trPr>
        <w:tc>
          <w:tcPr>
            <w:tcW w:w="644" w:type="dxa"/>
            <w:shd w:val="clear" w:color="auto" w:fill="auto"/>
          </w:tcPr>
          <w:p w14:paraId="6877A45F" w14:textId="77777777" w:rsidR="005F44BC" w:rsidRPr="00C9343F" w:rsidRDefault="005F44BC" w:rsidP="00F66D98">
            <w:pPr>
              <w:keepLines w:val="0"/>
              <w:jc w:val="center"/>
              <w:rPr>
                <w:sz w:val="20"/>
              </w:rPr>
            </w:pPr>
            <w:r w:rsidRPr="00C9343F">
              <w:rPr>
                <w:sz w:val="20"/>
              </w:rPr>
              <w:t>5.</w:t>
            </w:r>
          </w:p>
        </w:tc>
        <w:tc>
          <w:tcPr>
            <w:tcW w:w="4090" w:type="dxa"/>
            <w:shd w:val="clear" w:color="auto" w:fill="auto"/>
          </w:tcPr>
          <w:p w14:paraId="50E9CC98" w14:textId="77777777" w:rsidR="005F44BC" w:rsidRPr="00C9343F" w:rsidRDefault="005F44BC" w:rsidP="00F66D98">
            <w:pPr>
              <w:pStyle w:val="TableTextArial-left"/>
            </w:pPr>
            <w:r w:rsidRPr="00C9343F">
              <w:t>An additional number of trips in any of the following types of travel for which the member is currently eligible.</w:t>
            </w:r>
          </w:p>
          <w:p w14:paraId="345AB544" w14:textId="77777777" w:rsidR="005F44BC" w:rsidRPr="00C9343F" w:rsidRDefault="005F44BC" w:rsidP="00F66D98">
            <w:pPr>
              <w:pStyle w:val="TableTextArial-left"/>
            </w:pPr>
            <w:r w:rsidRPr="00C9343F">
              <w:t>a. Reunion travel under Chapter 9 Part 3 Division 4.</w:t>
            </w:r>
          </w:p>
          <w:p w14:paraId="16E8C793" w14:textId="77777777" w:rsidR="005F44BC" w:rsidRPr="00C9343F" w:rsidRDefault="005F44BC" w:rsidP="00F66D98">
            <w:pPr>
              <w:pStyle w:val="TableTextArial-left"/>
            </w:pPr>
            <w:r w:rsidRPr="00C9343F">
              <w:t>b. Student reunion travel under Chapter 9 Part 3 Division 5.</w:t>
            </w:r>
          </w:p>
          <w:p w14:paraId="7B3D0C05" w14:textId="77777777" w:rsidR="005F44BC" w:rsidRPr="00C9343F" w:rsidRDefault="005F44BC" w:rsidP="00F66D98">
            <w:pPr>
              <w:pStyle w:val="TableTextArial-left"/>
            </w:pPr>
            <w:r w:rsidRPr="00C9343F">
              <w:t>c. Recreation leave travel under Chapter 9 Part 4 Division 1.</w:t>
            </w:r>
          </w:p>
          <w:p w14:paraId="40823292" w14:textId="33E50E27" w:rsidR="005F44BC" w:rsidRPr="00C9343F" w:rsidRDefault="005F44BC" w:rsidP="00F66D98">
            <w:pPr>
              <w:pStyle w:val="TableTextArial-left"/>
            </w:pPr>
            <w:r w:rsidRPr="00C9343F">
              <w:t>d. Remote</w:t>
            </w:r>
            <w:r w:rsidRPr="00C9343F">
              <w:rPr>
                <w:b/>
                <w:i/>
              </w:rPr>
              <w:t xml:space="preserve"> </w:t>
            </w:r>
            <w:r w:rsidRPr="00C9343F">
              <w:t>location leave travel under Chapter 9 Part 4 Division 4.</w:t>
            </w:r>
          </w:p>
        </w:tc>
        <w:tc>
          <w:tcPr>
            <w:tcW w:w="1861" w:type="dxa"/>
            <w:shd w:val="clear" w:color="auto" w:fill="auto"/>
          </w:tcPr>
          <w:p w14:paraId="5DDAD1B2" w14:textId="77777777" w:rsidR="005F44BC" w:rsidRPr="00C9343F" w:rsidRDefault="005F44BC" w:rsidP="00F66D98">
            <w:pPr>
              <w:keepLines w:val="0"/>
              <w:rPr>
                <w:sz w:val="20"/>
              </w:rPr>
            </w:pPr>
            <w:r w:rsidRPr="00C9343F">
              <w:rPr>
                <w:sz w:val="20"/>
              </w:rPr>
              <w:t>the date the agreed period of service begins</w:t>
            </w:r>
          </w:p>
        </w:tc>
        <w:tc>
          <w:tcPr>
            <w:tcW w:w="1767" w:type="dxa"/>
            <w:shd w:val="clear" w:color="auto" w:fill="auto"/>
          </w:tcPr>
          <w:p w14:paraId="2EAB7E85" w14:textId="77777777" w:rsidR="005F44BC" w:rsidRPr="00C9343F" w:rsidRDefault="005F44BC" w:rsidP="00F66D98">
            <w:pPr>
              <w:keepLines w:val="0"/>
              <w:rPr>
                <w:sz w:val="20"/>
              </w:rPr>
            </w:pPr>
            <w:r w:rsidRPr="00C9343F">
              <w:rPr>
                <w:sz w:val="20"/>
              </w:rPr>
              <w:t>either of the following dates.</w:t>
            </w:r>
          </w:p>
          <w:p w14:paraId="04217A87" w14:textId="77777777" w:rsidR="005F44BC" w:rsidRPr="00C9343F" w:rsidRDefault="005F44BC" w:rsidP="00F66D98">
            <w:pPr>
              <w:keepLines w:val="0"/>
              <w:rPr>
                <w:sz w:val="20"/>
              </w:rPr>
            </w:pPr>
            <w:r w:rsidRPr="00C9343F">
              <w:rPr>
                <w:sz w:val="20"/>
              </w:rPr>
              <w:t>a. The expiry of the agreed period of service.</w:t>
            </w:r>
          </w:p>
          <w:p w14:paraId="13664817" w14:textId="77777777" w:rsidR="005F44BC" w:rsidRPr="00C9343F" w:rsidRDefault="005F44BC" w:rsidP="00F66D98">
            <w:pPr>
              <w:keepLines w:val="0"/>
              <w:rPr>
                <w:sz w:val="20"/>
              </w:rPr>
            </w:pPr>
            <w:r w:rsidRPr="00C9343F">
              <w:rPr>
                <w:sz w:val="20"/>
              </w:rPr>
              <w:t>b. An earlier date specified by CDF.</w:t>
            </w:r>
          </w:p>
        </w:tc>
      </w:tr>
      <w:tr w:rsidR="005F44BC" w:rsidRPr="00C9343F" w14:paraId="0455B691" w14:textId="77777777" w:rsidTr="00A33B4A">
        <w:trPr>
          <w:jc w:val="center"/>
        </w:trPr>
        <w:tc>
          <w:tcPr>
            <w:tcW w:w="644" w:type="dxa"/>
            <w:shd w:val="clear" w:color="auto" w:fill="auto"/>
          </w:tcPr>
          <w:p w14:paraId="4CC22D42" w14:textId="77777777" w:rsidR="005F44BC" w:rsidRPr="00C9343F" w:rsidRDefault="005F44BC" w:rsidP="00F66D98">
            <w:pPr>
              <w:keepLines w:val="0"/>
              <w:jc w:val="center"/>
              <w:rPr>
                <w:sz w:val="20"/>
              </w:rPr>
            </w:pPr>
            <w:r w:rsidRPr="00C9343F">
              <w:rPr>
                <w:sz w:val="20"/>
              </w:rPr>
              <w:t>6.</w:t>
            </w:r>
          </w:p>
        </w:tc>
        <w:tc>
          <w:tcPr>
            <w:tcW w:w="4090" w:type="dxa"/>
            <w:shd w:val="clear" w:color="auto" w:fill="auto"/>
          </w:tcPr>
          <w:p w14:paraId="504F0AAD" w14:textId="77777777" w:rsidR="005F44BC" w:rsidRPr="00C9343F" w:rsidRDefault="005F44BC" w:rsidP="00F66D98">
            <w:pPr>
              <w:pStyle w:val="TableTextArial-left"/>
            </w:pPr>
            <w:r w:rsidRPr="00C9343F">
              <w:t>A specified number of days of additional paid leave. The following conditions apply.</w:t>
            </w:r>
          </w:p>
          <w:p w14:paraId="0359768D" w14:textId="77777777" w:rsidR="005F44BC" w:rsidRPr="00C9343F" w:rsidRDefault="005F44BC" w:rsidP="00F66D98">
            <w:pPr>
              <w:pStyle w:val="TableTextArial-left"/>
            </w:pPr>
            <w:r w:rsidRPr="00C9343F">
              <w:t xml:space="preserve">a. Leave may be granted for up to 20 days for each 12 month period of the agreed period of service.  </w:t>
            </w:r>
          </w:p>
          <w:p w14:paraId="1A25C1B0" w14:textId="77777777" w:rsidR="005F44BC" w:rsidRPr="00C9343F" w:rsidRDefault="005F44BC" w:rsidP="00F66D98">
            <w:pPr>
              <w:pStyle w:val="TableTextArial-left"/>
            </w:pPr>
            <w:r w:rsidRPr="00C9343F">
              <w:t>b. The leave days are in addition to the member's normal leave accrual.</w:t>
            </w:r>
          </w:p>
          <w:p w14:paraId="358434D6" w14:textId="77777777" w:rsidR="005F44BC" w:rsidRPr="00C9343F" w:rsidRDefault="005F44BC" w:rsidP="00F66D98">
            <w:pPr>
              <w:pStyle w:val="TableTextArial-left"/>
            </w:pPr>
            <w:r w:rsidRPr="00C9343F">
              <w:t xml:space="preserve">c. The leave is non-accruable and expires at the end of each 12 month period.  </w:t>
            </w:r>
          </w:p>
          <w:p w14:paraId="0DAD39A7" w14:textId="7F1D71BE" w:rsidR="005F44BC" w:rsidRPr="00C9343F" w:rsidRDefault="005F44BC" w:rsidP="00F66D98">
            <w:pPr>
              <w:pStyle w:val="TableTextArial-left"/>
            </w:pPr>
            <w:r w:rsidRPr="00C9343F">
              <w:t>d. The leave is to be recorded as if it were short absence, but is not short leave from duty. Payment instead of leave is not available for this leave.</w:t>
            </w:r>
          </w:p>
        </w:tc>
        <w:tc>
          <w:tcPr>
            <w:tcW w:w="1861" w:type="dxa"/>
            <w:shd w:val="clear" w:color="auto" w:fill="auto"/>
          </w:tcPr>
          <w:p w14:paraId="498979A2" w14:textId="77777777" w:rsidR="005F44BC" w:rsidRPr="00C9343F" w:rsidRDefault="005F44BC" w:rsidP="00F66D98">
            <w:pPr>
              <w:pStyle w:val="TableTextArial-left"/>
              <w:rPr>
                <w:rFonts w:cs="Arial"/>
              </w:rPr>
            </w:pPr>
            <w:r w:rsidRPr="00C9343F">
              <w:rPr>
                <w:rFonts w:cs="Arial"/>
              </w:rPr>
              <w:t>the date the agreed period of service begins</w:t>
            </w:r>
          </w:p>
        </w:tc>
        <w:tc>
          <w:tcPr>
            <w:tcW w:w="1767" w:type="dxa"/>
            <w:shd w:val="clear" w:color="auto" w:fill="auto"/>
          </w:tcPr>
          <w:p w14:paraId="3A0C1E02" w14:textId="77777777" w:rsidR="005F44BC" w:rsidRPr="00C9343F" w:rsidRDefault="005F44BC" w:rsidP="00F66D98">
            <w:pPr>
              <w:keepLines w:val="0"/>
              <w:rPr>
                <w:sz w:val="20"/>
              </w:rPr>
            </w:pPr>
            <w:r w:rsidRPr="00C9343F">
              <w:rPr>
                <w:sz w:val="20"/>
              </w:rPr>
              <w:t>either of the following dates.</w:t>
            </w:r>
          </w:p>
          <w:p w14:paraId="7DE80A9D" w14:textId="77777777" w:rsidR="005F44BC" w:rsidRPr="00C9343F" w:rsidRDefault="005F44BC" w:rsidP="00F66D98">
            <w:pPr>
              <w:keepLines w:val="0"/>
              <w:rPr>
                <w:sz w:val="20"/>
              </w:rPr>
            </w:pPr>
            <w:r w:rsidRPr="00C9343F">
              <w:rPr>
                <w:sz w:val="20"/>
              </w:rPr>
              <w:t>a. The expiry of the agreed period of service.</w:t>
            </w:r>
          </w:p>
          <w:p w14:paraId="49EC2BB6" w14:textId="77777777" w:rsidR="005F44BC" w:rsidRPr="00C9343F" w:rsidRDefault="005F44BC" w:rsidP="00F66D98">
            <w:pPr>
              <w:pStyle w:val="TableTextArial-left"/>
            </w:pPr>
            <w:r w:rsidRPr="00C9343F">
              <w:t>b. An earlier date specified by CDF.</w:t>
            </w:r>
          </w:p>
        </w:tc>
      </w:tr>
    </w:tbl>
    <w:p w14:paraId="67499D28" w14:textId="77777777" w:rsidR="005F44BC" w:rsidRPr="00C9343F" w:rsidRDefault="005F44BC" w:rsidP="00F66D98"/>
    <w:tbl>
      <w:tblPr>
        <w:tblW w:w="9355" w:type="dxa"/>
        <w:tblInd w:w="113" w:type="dxa"/>
        <w:tblLayout w:type="fixed"/>
        <w:tblLook w:val="0000" w:firstRow="0" w:lastRow="0" w:firstColumn="0" w:lastColumn="0" w:noHBand="0" w:noVBand="0"/>
      </w:tblPr>
      <w:tblGrid>
        <w:gridCol w:w="986"/>
        <w:gridCol w:w="6"/>
        <w:gridCol w:w="8363"/>
      </w:tblGrid>
      <w:tr w:rsidR="005F44BC" w:rsidRPr="00C9343F" w14:paraId="14EB8E65" w14:textId="77777777" w:rsidTr="005F44BC">
        <w:tc>
          <w:tcPr>
            <w:tcW w:w="992" w:type="dxa"/>
            <w:gridSpan w:val="2"/>
          </w:tcPr>
          <w:p w14:paraId="0E1F087C" w14:textId="77777777" w:rsidR="005F44BC" w:rsidRPr="00C9343F" w:rsidRDefault="005F44BC" w:rsidP="00F66D98">
            <w:pPr>
              <w:pStyle w:val="BlockText-Plain"/>
              <w:jc w:val="center"/>
            </w:pPr>
            <w:r w:rsidRPr="00C9343F">
              <w:t>3.</w:t>
            </w:r>
          </w:p>
        </w:tc>
        <w:tc>
          <w:tcPr>
            <w:tcW w:w="8363" w:type="dxa"/>
          </w:tcPr>
          <w:p w14:paraId="579547AD" w14:textId="77777777" w:rsidR="005F44BC" w:rsidRPr="00C9343F" w:rsidRDefault="005F44BC" w:rsidP="00F66D98">
            <w:pPr>
              <w:pStyle w:val="BlockText-Plain"/>
            </w:pPr>
            <w:r w:rsidRPr="00C9343F">
              <w:t>CDF may choose which of the benefits listed in subsection 2 are to be offered to an individual member after considering the circumstances and matters listed in section 3.6.5.</w:t>
            </w:r>
          </w:p>
        </w:tc>
      </w:tr>
      <w:tr w:rsidR="005F44BC" w:rsidRPr="00C9343F" w14:paraId="0B8ACB1F" w14:textId="77777777" w:rsidTr="005F44BC">
        <w:tc>
          <w:tcPr>
            <w:tcW w:w="986" w:type="dxa"/>
          </w:tcPr>
          <w:p w14:paraId="2BC2644D" w14:textId="77777777" w:rsidR="005F44BC" w:rsidRPr="00C9343F" w:rsidRDefault="005F44BC" w:rsidP="00F66D98">
            <w:pPr>
              <w:pStyle w:val="BlockText-Plain"/>
              <w:jc w:val="center"/>
            </w:pPr>
            <w:r w:rsidRPr="00C9343F">
              <w:t>4.</w:t>
            </w:r>
          </w:p>
        </w:tc>
        <w:tc>
          <w:tcPr>
            <w:tcW w:w="8369" w:type="dxa"/>
            <w:gridSpan w:val="2"/>
          </w:tcPr>
          <w:p w14:paraId="5B8EACDF" w14:textId="77777777" w:rsidR="005F44BC" w:rsidRPr="00C9343F" w:rsidRDefault="005F44BC" w:rsidP="00F66D98">
            <w:pPr>
              <w:pStyle w:val="BlockText-Plain"/>
            </w:pPr>
            <w:r w:rsidRPr="00C9343F">
              <w:t>The period of each benefit is worked out using the relevant guidance in column 3 and 4 of the table in subsection 2.</w:t>
            </w:r>
          </w:p>
        </w:tc>
      </w:tr>
      <w:tr w:rsidR="005F44BC" w:rsidRPr="00C9343F" w14:paraId="6486B84D" w14:textId="77777777" w:rsidTr="005F44BC">
        <w:tc>
          <w:tcPr>
            <w:tcW w:w="992" w:type="dxa"/>
            <w:gridSpan w:val="2"/>
          </w:tcPr>
          <w:p w14:paraId="669F0B26" w14:textId="77777777" w:rsidR="005F44BC" w:rsidRPr="00C9343F" w:rsidRDefault="005F44BC" w:rsidP="00F66D98">
            <w:pPr>
              <w:pStyle w:val="BlockText-Plain"/>
              <w:jc w:val="center"/>
            </w:pPr>
            <w:r w:rsidRPr="00C9343F">
              <w:t>5.</w:t>
            </w:r>
          </w:p>
        </w:tc>
        <w:tc>
          <w:tcPr>
            <w:tcW w:w="8363" w:type="dxa"/>
          </w:tcPr>
          <w:p w14:paraId="66123BA3" w14:textId="05E1DCFA" w:rsidR="005F44BC" w:rsidRPr="00C9343F" w:rsidRDefault="005F44BC" w:rsidP="00F66D98">
            <w:pPr>
              <w:pStyle w:val="BlockText-Plain"/>
            </w:pPr>
            <w:r w:rsidRPr="00C9343F">
              <w:t>A retention bonus may also be offered under Part 5 Division 2, Bonus Framework, at the same time as the deliberately differentiated offer.</w:t>
            </w:r>
          </w:p>
        </w:tc>
      </w:tr>
      <w:tr w:rsidR="005F44BC" w:rsidRPr="00C9343F" w14:paraId="23851FF5" w14:textId="77777777" w:rsidTr="005F44BC">
        <w:tc>
          <w:tcPr>
            <w:tcW w:w="992" w:type="dxa"/>
            <w:gridSpan w:val="2"/>
          </w:tcPr>
          <w:p w14:paraId="1F5944E1" w14:textId="77777777" w:rsidR="005F44BC" w:rsidRPr="00C9343F" w:rsidRDefault="005F44BC" w:rsidP="00F66D98">
            <w:pPr>
              <w:pStyle w:val="BlockText-Plain"/>
              <w:jc w:val="center"/>
            </w:pPr>
            <w:r w:rsidRPr="00C9343F">
              <w:t>6.</w:t>
            </w:r>
          </w:p>
        </w:tc>
        <w:tc>
          <w:tcPr>
            <w:tcW w:w="8363" w:type="dxa"/>
          </w:tcPr>
          <w:p w14:paraId="3EB43C96" w14:textId="77777777" w:rsidR="005F44BC" w:rsidRPr="00C9343F" w:rsidRDefault="00ED3E3D" w:rsidP="00F66D98">
            <w:pPr>
              <w:pStyle w:val="BlockText-Plain"/>
            </w:pPr>
            <w:r w:rsidRPr="00C9343F">
              <w:t>The deliberately differentiated offer may set out flexible working arrangements provided by Defence.</w:t>
            </w:r>
          </w:p>
        </w:tc>
      </w:tr>
      <w:tr w:rsidR="005F44BC" w:rsidRPr="00C9343F" w14:paraId="1A9AB440" w14:textId="77777777" w:rsidTr="005F44BC">
        <w:tc>
          <w:tcPr>
            <w:tcW w:w="992" w:type="dxa"/>
            <w:gridSpan w:val="2"/>
          </w:tcPr>
          <w:p w14:paraId="4527CF33" w14:textId="77777777" w:rsidR="005F44BC" w:rsidRPr="00C9343F" w:rsidRDefault="005F44BC" w:rsidP="00F66D98">
            <w:pPr>
              <w:pStyle w:val="BlockText-Plain"/>
              <w:jc w:val="center"/>
            </w:pPr>
            <w:r w:rsidRPr="00C9343F">
              <w:t>7.</w:t>
            </w:r>
          </w:p>
        </w:tc>
        <w:tc>
          <w:tcPr>
            <w:tcW w:w="8363" w:type="dxa"/>
          </w:tcPr>
          <w:p w14:paraId="23449F29" w14:textId="77777777" w:rsidR="005F44BC" w:rsidRPr="00C9343F" w:rsidRDefault="005F44BC" w:rsidP="00F66D98">
            <w:pPr>
              <w:pStyle w:val="BlockText-Plain"/>
            </w:pPr>
            <w:r w:rsidRPr="00C9343F">
              <w:t xml:space="preserve">CDF must notify the member of the deliberately differentiated offer using the form at Annex 3.6.A. The form must set out the benefits and the detailed dates of duration for each benefit.  </w:t>
            </w:r>
          </w:p>
        </w:tc>
      </w:tr>
    </w:tbl>
    <w:p w14:paraId="2820012A" w14:textId="753F50DE" w:rsidR="005F44BC" w:rsidRPr="00C9343F" w:rsidRDefault="005F44BC" w:rsidP="00F66D98">
      <w:pPr>
        <w:pStyle w:val="Heading5"/>
      </w:pPr>
      <w:bookmarkStart w:id="585" w:name="_Toc105053792"/>
      <w:r w:rsidRPr="00C9343F">
        <w:t>3.6.7</w:t>
      </w:r>
      <w:r w:rsidR="00D94006" w:rsidRPr="00C9343F">
        <w:t>    </w:t>
      </w:r>
      <w:r w:rsidRPr="00C9343F">
        <w:t>How the offer is accepted</w:t>
      </w:r>
      <w:bookmarkEnd w:id="585"/>
    </w:p>
    <w:tbl>
      <w:tblPr>
        <w:tblW w:w="9351" w:type="dxa"/>
        <w:tblInd w:w="113" w:type="dxa"/>
        <w:tblLayout w:type="fixed"/>
        <w:tblLook w:val="0000" w:firstRow="0" w:lastRow="0" w:firstColumn="0" w:lastColumn="0" w:noHBand="0" w:noVBand="0"/>
      </w:tblPr>
      <w:tblGrid>
        <w:gridCol w:w="986"/>
        <w:gridCol w:w="6"/>
        <w:gridCol w:w="567"/>
        <w:gridCol w:w="7792"/>
      </w:tblGrid>
      <w:tr w:rsidR="005F44BC" w:rsidRPr="00C9343F" w14:paraId="26C854F8" w14:textId="77777777" w:rsidTr="005F44BC">
        <w:tc>
          <w:tcPr>
            <w:tcW w:w="986" w:type="dxa"/>
          </w:tcPr>
          <w:p w14:paraId="6ED97FC6" w14:textId="77777777" w:rsidR="005F44BC" w:rsidRPr="00C9343F" w:rsidRDefault="005F44BC" w:rsidP="00F66D98">
            <w:pPr>
              <w:pStyle w:val="BlockText-Plain"/>
              <w:jc w:val="center"/>
            </w:pPr>
            <w:r w:rsidRPr="00C9343F">
              <w:t>1.</w:t>
            </w:r>
          </w:p>
        </w:tc>
        <w:tc>
          <w:tcPr>
            <w:tcW w:w="8365" w:type="dxa"/>
            <w:gridSpan w:val="3"/>
          </w:tcPr>
          <w:p w14:paraId="2907AEC4" w14:textId="77777777" w:rsidR="005F44BC" w:rsidRPr="00C9343F" w:rsidRDefault="005F44BC" w:rsidP="00F66D98">
            <w:pPr>
              <w:pStyle w:val="BlockText-Plain"/>
            </w:pPr>
            <w:r w:rsidRPr="00C9343F">
              <w:t>The member may accept the offer under this Part any time after they receive it, until the latest of the following dates.</w:t>
            </w:r>
          </w:p>
        </w:tc>
      </w:tr>
      <w:tr w:rsidR="005F44BC" w:rsidRPr="00C9343F" w14:paraId="5AE27F36" w14:textId="77777777" w:rsidTr="005F44BC">
        <w:trPr>
          <w:cantSplit/>
        </w:trPr>
        <w:tc>
          <w:tcPr>
            <w:tcW w:w="992" w:type="dxa"/>
            <w:gridSpan w:val="2"/>
          </w:tcPr>
          <w:p w14:paraId="6E7077AC" w14:textId="77777777" w:rsidR="005F44BC" w:rsidRPr="00C9343F" w:rsidRDefault="005F44BC" w:rsidP="00F66D98">
            <w:pPr>
              <w:pStyle w:val="BlockText-Plain"/>
            </w:pPr>
          </w:p>
        </w:tc>
        <w:tc>
          <w:tcPr>
            <w:tcW w:w="567" w:type="dxa"/>
          </w:tcPr>
          <w:p w14:paraId="6BABE98F" w14:textId="77777777" w:rsidR="005F44BC" w:rsidRPr="00C9343F" w:rsidRDefault="005F44BC" w:rsidP="007114B1">
            <w:pPr>
              <w:pStyle w:val="BlockText-Plain"/>
              <w:jc w:val="center"/>
            </w:pPr>
            <w:r w:rsidRPr="00C9343F">
              <w:t>a.</w:t>
            </w:r>
          </w:p>
        </w:tc>
        <w:tc>
          <w:tcPr>
            <w:tcW w:w="7792" w:type="dxa"/>
          </w:tcPr>
          <w:p w14:paraId="3D2BF854" w14:textId="77777777" w:rsidR="005F44BC" w:rsidRPr="00C9343F" w:rsidRDefault="005F44BC" w:rsidP="00F66D98">
            <w:pPr>
              <w:pStyle w:val="BlockText-Plain"/>
            </w:pPr>
            <w:r w:rsidRPr="00C9343F">
              <w:t>Twenty-eight days after the day the offer is made.</w:t>
            </w:r>
          </w:p>
        </w:tc>
      </w:tr>
      <w:tr w:rsidR="005F44BC" w:rsidRPr="00C9343F" w14:paraId="105B9AFA" w14:textId="77777777" w:rsidTr="005F44BC">
        <w:trPr>
          <w:cantSplit/>
        </w:trPr>
        <w:tc>
          <w:tcPr>
            <w:tcW w:w="992" w:type="dxa"/>
            <w:gridSpan w:val="2"/>
          </w:tcPr>
          <w:p w14:paraId="3E372C82" w14:textId="77777777" w:rsidR="005F44BC" w:rsidRPr="00C9343F" w:rsidRDefault="005F44BC" w:rsidP="00F66D98">
            <w:pPr>
              <w:pStyle w:val="BlockText-Plain"/>
            </w:pPr>
          </w:p>
        </w:tc>
        <w:tc>
          <w:tcPr>
            <w:tcW w:w="567" w:type="dxa"/>
          </w:tcPr>
          <w:p w14:paraId="65B354A9" w14:textId="77777777" w:rsidR="005F44BC" w:rsidRPr="00C9343F" w:rsidRDefault="005F44BC" w:rsidP="007114B1">
            <w:pPr>
              <w:pStyle w:val="BlockText-Plain"/>
              <w:jc w:val="center"/>
            </w:pPr>
            <w:r w:rsidRPr="00C9343F">
              <w:t>b.</w:t>
            </w:r>
          </w:p>
        </w:tc>
        <w:tc>
          <w:tcPr>
            <w:tcW w:w="7792" w:type="dxa"/>
          </w:tcPr>
          <w:p w14:paraId="2BC3C4A4" w14:textId="77777777" w:rsidR="005F44BC" w:rsidRPr="00C9343F" w:rsidRDefault="005F44BC" w:rsidP="00F66D98">
            <w:pPr>
              <w:pStyle w:val="BlockText-Plain"/>
            </w:pPr>
            <w:r w:rsidRPr="00C9343F">
              <w:t>A longer period that the CDF decides is reasonable, having regard to the member’s circumstances.</w:t>
            </w:r>
          </w:p>
        </w:tc>
      </w:tr>
      <w:tr w:rsidR="005F44BC" w:rsidRPr="00C9343F" w14:paraId="31A10941" w14:textId="77777777" w:rsidTr="005F44BC">
        <w:tc>
          <w:tcPr>
            <w:tcW w:w="986" w:type="dxa"/>
          </w:tcPr>
          <w:p w14:paraId="255522AB" w14:textId="77777777" w:rsidR="005F44BC" w:rsidRPr="00C9343F" w:rsidRDefault="005F44BC" w:rsidP="00F66D98">
            <w:pPr>
              <w:pStyle w:val="BlockText-Plain"/>
              <w:jc w:val="center"/>
            </w:pPr>
            <w:r w:rsidRPr="00C9343F">
              <w:t>2.</w:t>
            </w:r>
          </w:p>
        </w:tc>
        <w:tc>
          <w:tcPr>
            <w:tcW w:w="8365" w:type="dxa"/>
            <w:gridSpan w:val="3"/>
          </w:tcPr>
          <w:p w14:paraId="4E1FB64A" w14:textId="77777777" w:rsidR="005F44BC" w:rsidRPr="00C9343F" w:rsidRDefault="005F44BC" w:rsidP="00F66D98">
            <w:pPr>
              <w:pStyle w:val="BlockText-Plain"/>
            </w:pPr>
            <w:r w:rsidRPr="00C9343F">
              <w:t>An acceptance made under this subsection must be on the form at Annex 3.6.A.</w:t>
            </w:r>
          </w:p>
        </w:tc>
      </w:tr>
      <w:tr w:rsidR="005F44BC" w:rsidRPr="00C9343F" w14:paraId="59BBBCC7" w14:textId="77777777" w:rsidTr="005F44BC">
        <w:tc>
          <w:tcPr>
            <w:tcW w:w="986" w:type="dxa"/>
          </w:tcPr>
          <w:p w14:paraId="198058CD" w14:textId="77777777" w:rsidR="005F44BC" w:rsidRPr="00C9343F" w:rsidRDefault="005F44BC" w:rsidP="00F66D98">
            <w:pPr>
              <w:pStyle w:val="BlockText-Plain"/>
              <w:jc w:val="center"/>
            </w:pPr>
            <w:r w:rsidRPr="00C9343F">
              <w:t>3.</w:t>
            </w:r>
          </w:p>
        </w:tc>
        <w:tc>
          <w:tcPr>
            <w:tcW w:w="8365" w:type="dxa"/>
            <w:gridSpan w:val="3"/>
          </w:tcPr>
          <w:p w14:paraId="6BDB5E40" w14:textId="77777777" w:rsidR="005F44BC" w:rsidRPr="00C9343F" w:rsidRDefault="005F44BC" w:rsidP="00F66D98">
            <w:pPr>
              <w:pStyle w:val="BlockText-Plain"/>
            </w:pPr>
            <w:r w:rsidRPr="00C9343F">
              <w:t xml:space="preserve">The acceptance must include an undertaking to serve for the period of the </w:t>
            </w:r>
            <w:r w:rsidRPr="00C9343F">
              <w:rPr>
                <w:bCs/>
                <w:iCs/>
              </w:rPr>
              <w:t>agreed period of service</w:t>
            </w:r>
            <w:r w:rsidRPr="00C9343F">
              <w:t xml:space="preserve">, using the form at Annex 3.6.A.  </w:t>
            </w:r>
          </w:p>
        </w:tc>
      </w:tr>
    </w:tbl>
    <w:p w14:paraId="1245FE21" w14:textId="31CACDAF" w:rsidR="005F44BC" w:rsidRPr="00C9343F" w:rsidRDefault="005F44BC" w:rsidP="00F66D98">
      <w:pPr>
        <w:pStyle w:val="Heading5"/>
      </w:pPr>
      <w:bookmarkStart w:id="586" w:name="_Toc105053793"/>
      <w:r w:rsidRPr="00C9343F">
        <w:t>3.6.8</w:t>
      </w:r>
      <w:r w:rsidR="00D94006" w:rsidRPr="00C9343F">
        <w:t>    </w:t>
      </w:r>
      <w:r w:rsidRPr="00C9343F">
        <w:t>Member does not complete the period of agreed service</w:t>
      </w:r>
      <w:bookmarkEnd w:id="586"/>
    </w:p>
    <w:tbl>
      <w:tblPr>
        <w:tblW w:w="9359" w:type="dxa"/>
        <w:tblInd w:w="113" w:type="dxa"/>
        <w:tblLayout w:type="fixed"/>
        <w:tblLook w:val="0000" w:firstRow="0" w:lastRow="0" w:firstColumn="0" w:lastColumn="0" w:noHBand="0" w:noVBand="0"/>
      </w:tblPr>
      <w:tblGrid>
        <w:gridCol w:w="986"/>
        <w:gridCol w:w="8373"/>
      </w:tblGrid>
      <w:tr w:rsidR="005F44BC" w:rsidRPr="00C9343F" w14:paraId="7F44B47B" w14:textId="77777777" w:rsidTr="005F44BC">
        <w:tc>
          <w:tcPr>
            <w:tcW w:w="986" w:type="dxa"/>
          </w:tcPr>
          <w:p w14:paraId="2232F7AE" w14:textId="77777777" w:rsidR="005F44BC" w:rsidRPr="00C9343F" w:rsidRDefault="005F44BC" w:rsidP="00F66D98">
            <w:pPr>
              <w:pStyle w:val="BlockText-Plain"/>
              <w:jc w:val="center"/>
            </w:pPr>
            <w:r w:rsidRPr="00C9343F">
              <w:t>1.</w:t>
            </w:r>
          </w:p>
        </w:tc>
        <w:tc>
          <w:tcPr>
            <w:tcW w:w="8373" w:type="dxa"/>
          </w:tcPr>
          <w:p w14:paraId="185490D3" w14:textId="77777777" w:rsidR="005F44BC" w:rsidRPr="00C9343F" w:rsidRDefault="005F44BC" w:rsidP="00F66D98">
            <w:pPr>
              <w:pStyle w:val="BlockText-Plain"/>
            </w:pPr>
            <w:r w:rsidRPr="00C9343F">
              <w:t>On a day that a member ceases to complete their agreed period of service, they cease to be eligible for benefits under this Part.</w:t>
            </w:r>
          </w:p>
        </w:tc>
      </w:tr>
      <w:tr w:rsidR="005F44BC" w:rsidRPr="00C9343F" w14:paraId="466CCFCB" w14:textId="77777777" w:rsidTr="005F44BC">
        <w:tc>
          <w:tcPr>
            <w:tcW w:w="986" w:type="dxa"/>
          </w:tcPr>
          <w:p w14:paraId="09CCDDFB" w14:textId="77777777" w:rsidR="005F44BC" w:rsidRPr="00C9343F" w:rsidRDefault="005F44BC" w:rsidP="00F66D98">
            <w:pPr>
              <w:pStyle w:val="BlockText-Plain"/>
              <w:jc w:val="center"/>
            </w:pPr>
            <w:r w:rsidRPr="00C9343F">
              <w:t>2.</w:t>
            </w:r>
          </w:p>
        </w:tc>
        <w:tc>
          <w:tcPr>
            <w:tcW w:w="8373" w:type="dxa"/>
          </w:tcPr>
          <w:p w14:paraId="136C8D13" w14:textId="77777777" w:rsidR="005F44BC" w:rsidRPr="00C9343F" w:rsidRDefault="005F44BC" w:rsidP="00F66D98">
            <w:pPr>
              <w:pStyle w:val="BlockText-Plain"/>
            </w:pPr>
            <w:r w:rsidRPr="00C9343F">
              <w:t xml:space="preserve">The member is not required to repay the benefits in their deliberately differentiated offer if the member fails to complete the agreed period of service. </w:t>
            </w:r>
          </w:p>
        </w:tc>
      </w:tr>
      <w:tr w:rsidR="00F3422A" w:rsidRPr="00C9343F" w14:paraId="6F0D8FC1" w14:textId="77777777" w:rsidTr="005F44BC">
        <w:tc>
          <w:tcPr>
            <w:tcW w:w="986" w:type="dxa"/>
          </w:tcPr>
          <w:p w14:paraId="7BC94D3B" w14:textId="5A22B2D2" w:rsidR="00F3422A" w:rsidRPr="00C9343F" w:rsidRDefault="00F3422A" w:rsidP="00F66D98">
            <w:pPr>
              <w:pStyle w:val="BlockText-Plain"/>
              <w:jc w:val="center"/>
            </w:pPr>
            <w:r w:rsidRPr="00C9343F">
              <w:t>3.</w:t>
            </w:r>
          </w:p>
        </w:tc>
        <w:tc>
          <w:tcPr>
            <w:tcW w:w="8373" w:type="dxa"/>
          </w:tcPr>
          <w:p w14:paraId="74A4BDAD" w14:textId="0032FEC1" w:rsidR="00F3422A" w:rsidRPr="00C9343F" w:rsidRDefault="00F3422A" w:rsidP="00F66D98">
            <w:pPr>
              <w:pStyle w:val="BlockText-Plain"/>
            </w:pPr>
            <w:r w:rsidRPr="00C9343F">
              <w:rPr>
                <w:iCs/>
              </w:rPr>
              <w:t>Despite subsection 2, if the member does not complete agreed period of service in relation to a retention bonus under Chapter 3 Part 5, they may be required to repay all or part of the retention bonus.</w:t>
            </w:r>
          </w:p>
        </w:tc>
      </w:tr>
    </w:tbl>
    <w:p w14:paraId="06C0DE3B" w14:textId="1B498F6C" w:rsidR="005F44BC" w:rsidRPr="00C9343F" w:rsidRDefault="005F44BC" w:rsidP="00036C2A">
      <w:pPr>
        <w:pStyle w:val="Heading4"/>
        <w:pageBreakBefore/>
      </w:pPr>
      <w:bookmarkStart w:id="587" w:name="_Toc105053794"/>
      <w:r w:rsidRPr="00C9343F">
        <w:lastRenderedPageBreak/>
        <w:t>Annex 3.6.A: Deliberately differentiated offer form</w:t>
      </w:r>
      <w:bookmarkEnd w:id="587"/>
    </w:p>
    <w:p w14:paraId="301A419F" w14:textId="77777777" w:rsidR="005F44BC" w:rsidRPr="00C9343F" w:rsidRDefault="005F44BC" w:rsidP="00F66D98">
      <w:pPr>
        <w:spacing w:before="120" w:after="120"/>
      </w:pPr>
      <w:r w:rsidRPr="00C9343F">
        <w:rPr>
          <w:b/>
        </w:rPr>
        <w:t xml:space="preserve">Note: </w:t>
      </w:r>
      <w:r w:rsidRPr="00C9343F">
        <w:t>This form is an approved form for the purposes of Chapter 1 Part 2 section 1.2.5, Forms.</w:t>
      </w:r>
    </w:p>
    <w:p w14:paraId="7A542F79" w14:textId="77777777" w:rsidR="005F44BC" w:rsidRPr="00C9343F" w:rsidRDefault="005F44BC" w:rsidP="00F66D98">
      <w:pPr>
        <w:pStyle w:val="BlockText-PlainNoSpacing"/>
        <w:rPr>
          <w:sz w:val="16"/>
          <w:szCs w:val="16"/>
        </w:rPr>
      </w:pPr>
      <w:r w:rsidRPr="00C9343F">
        <w:rPr>
          <w:sz w:val="16"/>
          <w:szCs w:val="16"/>
        </w:rPr>
        <w:t xml:space="preserve">This form provides information about the offer.  </w:t>
      </w:r>
    </w:p>
    <w:p w14:paraId="0AAE3670" w14:textId="77777777" w:rsidR="005F44BC" w:rsidRPr="00C9343F" w:rsidRDefault="005F44BC" w:rsidP="00F66D98">
      <w:pPr>
        <w:pStyle w:val="BlockText-PlainNoSpacing"/>
        <w:rPr>
          <w:sz w:val="16"/>
          <w:szCs w:val="16"/>
        </w:rPr>
      </w:pPr>
      <w:r w:rsidRPr="00C9343F">
        <w:rPr>
          <w:sz w:val="16"/>
          <w:szCs w:val="16"/>
        </w:rPr>
        <w:t>It also provides for your formal acceptance of the offer and your agreement to serve until the end of the agreed period of service for which the benefits are paid. Please keep a copy and return the signed original.</w:t>
      </w:r>
    </w:p>
    <w:p w14:paraId="586B155E" w14:textId="77777777" w:rsidR="005F44BC" w:rsidRPr="00C9343F" w:rsidRDefault="005F44BC" w:rsidP="00F66D98">
      <w:pPr>
        <w:pStyle w:val="BlockText-PlainNoSpacing"/>
        <w:rPr>
          <w:sz w:val="16"/>
          <w:szCs w:val="16"/>
        </w:rPr>
      </w:pPr>
    </w:p>
    <w:p w14:paraId="1F1F9735" w14:textId="77777777" w:rsidR="005F44BC" w:rsidRPr="00C9343F" w:rsidRDefault="005F44BC" w:rsidP="00F66D98">
      <w:pPr>
        <w:pStyle w:val="BlockText-Plain"/>
        <w:rPr>
          <w:b/>
          <w:sz w:val="24"/>
        </w:rPr>
      </w:pPr>
      <w:r w:rsidRPr="00C9343F">
        <w:rPr>
          <w:b/>
          <w:sz w:val="24"/>
        </w:rPr>
        <w:t>Offer and information</w:t>
      </w:r>
    </w:p>
    <w:p w14:paraId="19F8A0DA" w14:textId="77777777" w:rsidR="005F44BC" w:rsidRPr="00C9343F" w:rsidRDefault="005F44BC" w:rsidP="00F66D98">
      <w:pPr>
        <w:pStyle w:val="BlockText-Plain"/>
      </w:pPr>
      <w:r w:rsidRPr="00C9343F">
        <w:t>This Part provides information about the deliberately differentiated offer being made to you, and is for you to keep.</w:t>
      </w:r>
    </w:p>
    <w:p w14:paraId="723F8171" w14:textId="77777777" w:rsidR="005F44BC" w:rsidRPr="00C9343F" w:rsidRDefault="005F44BC" w:rsidP="00F66D98">
      <w:pPr>
        <w:pStyle w:val="BlockText-Plain"/>
        <w:spacing w:after="0"/>
        <w:rPr>
          <w:rFonts w:cs="Arial"/>
        </w:rPr>
      </w:pPr>
      <w:r w:rsidRPr="00C9343F">
        <w:rPr>
          <w:rFonts w:cs="Arial"/>
        </w:rPr>
        <w:t xml:space="preserve">If you fill in and sign the acceptance form, you are accepting the </w:t>
      </w:r>
      <w:r w:rsidRPr="00C9343F">
        <w:t xml:space="preserve">deliberately differentiated offer made to you and </w:t>
      </w:r>
      <w:r w:rsidRPr="00C9343F">
        <w:rPr>
          <w:rFonts w:cs="Arial"/>
        </w:rPr>
        <w:t xml:space="preserve">authorised under Chapter 3 Part 6 of </w:t>
      </w:r>
      <w:r w:rsidRPr="00C9343F">
        <w:rPr>
          <w:rFonts w:cs="Arial"/>
          <w:i/>
        </w:rPr>
        <w:t xml:space="preserve">Defence </w:t>
      </w:r>
      <w:r w:rsidRPr="00C9343F">
        <w:rPr>
          <w:rFonts w:cs="Arial"/>
          <w:i/>
          <w:color w:val="000000"/>
        </w:rPr>
        <w:t>Determination 2016/19</w:t>
      </w:r>
      <w:r w:rsidRPr="00C9343F">
        <w:rPr>
          <w:rFonts w:cs="Arial"/>
          <w:i/>
        </w:rPr>
        <w:t>,</w:t>
      </w:r>
      <w:r w:rsidRPr="00C9343F">
        <w:rPr>
          <w:rFonts w:cs="Arial"/>
        </w:rPr>
        <w:t xml:space="preserve"> </w:t>
      </w:r>
      <w:r w:rsidRPr="00C9343F">
        <w:rPr>
          <w:rFonts w:cs="Arial"/>
          <w:i/>
        </w:rPr>
        <w:t>Conditions of service</w:t>
      </w:r>
      <w:r w:rsidRPr="00C9343F">
        <w:rPr>
          <w:rFonts w:cs="Arial"/>
        </w:rPr>
        <w:t xml:space="preserve">, made under section 58B of the </w:t>
      </w:r>
      <w:r w:rsidRPr="00C9343F">
        <w:rPr>
          <w:rFonts w:cs="Arial"/>
          <w:i/>
        </w:rPr>
        <w:t>Defence Act 1903</w:t>
      </w:r>
      <w:r w:rsidRPr="00C9343F">
        <w:rPr>
          <w:rFonts w:cs="Arial"/>
        </w:rPr>
        <w:t xml:space="preserve">. </w:t>
      </w:r>
    </w:p>
    <w:p w14:paraId="0955B960" w14:textId="77777777" w:rsidR="005F44BC" w:rsidRPr="00C9343F" w:rsidRDefault="005F44BC" w:rsidP="00F66D98">
      <w:pPr>
        <w:pStyle w:val="BlockText-Plain"/>
        <w:spacing w:after="0"/>
        <w:rPr>
          <w:rFonts w:cs="Arial"/>
        </w:rPr>
      </w:pPr>
    </w:p>
    <w:p w14:paraId="38B54BF3" w14:textId="77777777" w:rsidR="005F44BC" w:rsidRPr="00C9343F" w:rsidRDefault="005F44BC" w:rsidP="00F66D98">
      <w:pPr>
        <w:pStyle w:val="BlockText-Plain"/>
        <w:spacing w:after="0"/>
        <w:rPr>
          <w:b/>
          <w:sz w:val="24"/>
        </w:rPr>
      </w:pPr>
      <w:r w:rsidRPr="00C9343F">
        <w:rPr>
          <w:b/>
          <w:sz w:val="24"/>
        </w:rPr>
        <w:t>Offer</w:t>
      </w:r>
    </w:p>
    <w:p w14:paraId="1E2F8C56" w14:textId="77777777" w:rsidR="005F44BC" w:rsidRPr="00C9343F" w:rsidRDefault="005F44BC" w:rsidP="00F66D98">
      <w:pPr>
        <w:pStyle w:val="BlockText-Plain"/>
        <w:spacing w:after="0"/>
        <w:rPr>
          <w:rFonts w:cs="Arial"/>
        </w:rPr>
      </w:pPr>
      <w:r w:rsidRPr="00C9343F">
        <w:rPr>
          <w:rFonts w:cs="Arial"/>
        </w:rPr>
        <w:t>The offer made is as follows:</w:t>
      </w:r>
    </w:p>
    <w:p w14:paraId="212777AA" w14:textId="77777777" w:rsidR="005F44BC" w:rsidRPr="00C9343F" w:rsidRDefault="005F44BC" w:rsidP="00F66D98">
      <w:pPr>
        <w:pStyle w:val="BlockText-Plain"/>
        <w:spacing w:after="0"/>
        <w:rPr>
          <w:rFonts w:cs="Arial"/>
        </w:rPr>
      </w:pPr>
    </w:p>
    <w:p w14:paraId="022685FC" w14:textId="77777777" w:rsidR="005F44BC" w:rsidRPr="00C9343F" w:rsidRDefault="005F44BC" w:rsidP="00F66D98">
      <w:pPr>
        <w:pStyle w:val="BlockText-Plain"/>
        <w:spacing w:after="0"/>
        <w:rPr>
          <w:rFonts w:cs="Arial"/>
        </w:rPr>
      </w:pPr>
    </w:p>
    <w:p w14:paraId="1AEEC421" w14:textId="4D63F12B" w:rsidR="005F44BC" w:rsidRPr="00C9343F" w:rsidRDefault="00D94006" w:rsidP="00F66D98">
      <w:pPr>
        <w:pStyle w:val="BlockText-Plain"/>
        <w:spacing w:after="0"/>
      </w:pPr>
      <w:r w:rsidRPr="00C9343F">
        <w:rPr>
          <w:rFonts w:cs="Arial"/>
        </w:rPr>
        <w:t>                                                                                                                                                                               </w:t>
      </w:r>
      <w:r w:rsidR="005F44BC" w:rsidRPr="00C9343F">
        <w:rPr>
          <w:rFonts w:cs="Arial"/>
        </w:rPr>
        <w:t>[</w:t>
      </w:r>
      <w:r w:rsidR="005F44BC" w:rsidRPr="00C9343F">
        <w:rPr>
          <w:rFonts w:cs="Arial"/>
          <w:i/>
        </w:rPr>
        <w:t>member's name</w:t>
      </w:r>
      <w:r w:rsidR="005F44BC" w:rsidRPr="00C9343F">
        <w:rPr>
          <w:rFonts w:cs="Arial"/>
        </w:rPr>
        <w:t xml:space="preserve">] is hereby offered the following package of benefits by </w:t>
      </w:r>
      <w:r w:rsidR="005F44BC" w:rsidRPr="00C9343F">
        <w:t>Director General Navy People</w:t>
      </w:r>
      <w:r w:rsidR="005F44BC" w:rsidRPr="00C9343F">
        <w:rPr>
          <w:rFonts w:cs="Arial"/>
        </w:rPr>
        <w:t>/</w:t>
      </w:r>
      <w:r w:rsidR="00C646A1" w:rsidRPr="00C9343F">
        <w:rPr>
          <w:iCs/>
        </w:rPr>
        <w:t xml:space="preserve"> Director General Army People Capability</w:t>
      </w:r>
      <w:r w:rsidR="00C646A1" w:rsidRPr="00C9343F">
        <w:rPr>
          <w:rFonts w:cs="Arial"/>
        </w:rPr>
        <w:t xml:space="preserve"> </w:t>
      </w:r>
      <w:r w:rsidR="005F44BC" w:rsidRPr="00C9343F">
        <w:rPr>
          <w:rFonts w:cs="Arial"/>
        </w:rPr>
        <w:t>/Director General Personnel – Air Force [</w:t>
      </w:r>
      <w:r w:rsidR="005F44BC" w:rsidRPr="00C9343F">
        <w:rPr>
          <w:rFonts w:cs="Arial"/>
          <w:i/>
        </w:rPr>
        <w:t>delete whichever is irrelevant</w:t>
      </w:r>
      <w:r w:rsidR="005F44BC" w:rsidRPr="00C9343F">
        <w:rPr>
          <w:rFonts w:cs="Arial"/>
        </w:rPr>
        <w:t xml:space="preserve">] for the </w:t>
      </w:r>
      <w:r w:rsidR="005F44BC" w:rsidRPr="00C9343F">
        <w:t xml:space="preserve">agreed period of service starting on </w:t>
      </w:r>
    </w:p>
    <w:p w14:paraId="54E6E694" w14:textId="0505BDDB" w:rsidR="005F44BC" w:rsidRPr="00C9343F" w:rsidRDefault="00D94006" w:rsidP="00F66D98">
      <w:pPr>
        <w:pStyle w:val="BlockText-Plain"/>
        <w:spacing w:before="120" w:after="0"/>
        <w:rPr>
          <w:rFonts w:cs="Arial"/>
        </w:rPr>
      </w:pPr>
      <w:r w:rsidRPr="00C9343F">
        <w:t>                                                    </w:t>
      </w:r>
      <w:r w:rsidR="005F44BC" w:rsidRPr="00C9343F">
        <w:t>..[</w:t>
      </w:r>
      <w:r w:rsidR="005F44BC" w:rsidRPr="00C9343F">
        <w:rPr>
          <w:i/>
        </w:rPr>
        <w:t>day/month/year</w:t>
      </w:r>
      <w:r w:rsidR="005F44BC" w:rsidRPr="00C9343F">
        <w:t xml:space="preserve">] and ending on </w:t>
      </w:r>
      <w:r w:rsidRPr="00C9343F">
        <w:t>                                                                    </w:t>
      </w:r>
      <w:r w:rsidR="005F44BC" w:rsidRPr="00C9343F">
        <w:t>[</w:t>
      </w:r>
      <w:r w:rsidR="005F44BC" w:rsidRPr="00C9343F">
        <w:rPr>
          <w:i/>
        </w:rPr>
        <w:t>day/month/year</w:t>
      </w:r>
      <w:r w:rsidR="005F44BC" w:rsidRPr="00C9343F">
        <w:t>]</w:t>
      </w:r>
      <w:r w:rsidR="005F44BC" w:rsidRPr="00C9343F">
        <w:rPr>
          <w:rFonts w:cs="Arial"/>
        </w:rPr>
        <w:t xml:space="preserve">.  </w:t>
      </w:r>
    </w:p>
    <w:p w14:paraId="39289C46" w14:textId="77777777" w:rsidR="005F44BC" w:rsidRPr="00C9343F" w:rsidRDefault="005F44BC" w:rsidP="00F66D98">
      <w:pPr>
        <w:pStyle w:val="BlockText-Plain"/>
        <w:spacing w:after="0"/>
        <w:rPr>
          <w:rFonts w:cs="Arial"/>
        </w:rPr>
      </w:pPr>
    </w:p>
    <w:p w14:paraId="66000178" w14:textId="77777777" w:rsidR="005F44BC" w:rsidRPr="00C9343F" w:rsidRDefault="005F44BC" w:rsidP="00F66D98">
      <w:pPr>
        <w:pStyle w:val="BlockText-Plain"/>
        <w:spacing w:after="0"/>
        <w:rPr>
          <w:rFonts w:cs="Arial"/>
        </w:rPr>
      </w:pPr>
      <w:r w:rsidRPr="00C9343F">
        <w:rPr>
          <w:rFonts w:cs="Arial"/>
        </w:rPr>
        <w:t>The offer is made in relation to the following position that has been identified as a position critical to capability</w:t>
      </w:r>
      <w:r w:rsidRPr="00C9343F">
        <w:rPr>
          <w:rFonts w:cs="Arial"/>
          <w:b/>
        </w:rPr>
        <w:t>:</w:t>
      </w:r>
      <w:r w:rsidRPr="00C9343F">
        <w:rPr>
          <w:rFonts w:cs="Arial"/>
        </w:rPr>
        <w:t xml:space="preserve"> [</w:t>
      </w:r>
      <w:r w:rsidRPr="00C9343F">
        <w:rPr>
          <w:rFonts w:cs="Arial"/>
          <w:i/>
        </w:rPr>
        <w:t>delete if offer not directly associated with a position critical to capability</w:t>
      </w:r>
      <w:r w:rsidRPr="00C9343F">
        <w:rPr>
          <w:rFonts w:cs="Arial"/>
        </w:rPr>
        <w:t>]</w:t>
      </w:r>
    </w:p>
    <w:p w14:paraId="294542D8" w14:textId="77777777" w:rsidR="005F44BC" w:rsidRPr="00C9343F" w:rsidRDefault="005F44BC" w:rsidP="00F66D98">
      <w:pPr>
        <w:pStyle w:val="BlockText-Plain"/>
        <w:spacing w:after="0"/>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39"/>
      </w:tblGrid>
      <w:tr w:rsidR="005F44BC" w:rsidRPr="00C9343F" w14:paraId="4D40F0CD" w14:textId="77777777" w:rsidTr="00D81CEA">
        <w:tc>
          <w:tcPr>
            <w:tcW w:w="9570" w:type="dxa"/>
            <w:shd w:val="clear" w:color="auto" w:fill="auto"/>
          </w:tcPr>
          <w:p w14:paraId="612221AC" w14:textId="77777777" w:rsidR="005F44BC" w:rsidRPr="00C9343F" w:rsidRDefault="005F44BC" w:rsidP="00F66D98">
            <w:pPr>
              <w:pStyle w:val="BlockText-Plain"/>
              <w:spacing w:after="0"/>
              <w:rPr>
                <w:rFonts w:cs="Arial"/>
              </w:rPr>
            </w:pPr>
          </w:p>
          <w:p w14:paraId="7572AF14" w14:textId="77777777" w:rsidR="005F44BC" w:rsidRPr="00C9343F" w:rsidRDefault="005F44BC" w:rsidP="00F66D98">
            <w:pPr>
              <w:pStyle w:val="BlockText-Plain"/>
              <w:spacing w:after="0"/>
              <w:rPr>
                <w:rFonts w:cs="Arial"/>
              </w:rPr>
            </w:pPr>
          </w:p>
          <w:p w14:paraId="4BB38C2C" w14:textId="77777777" w:rsidR="005F44BC" w:rsidRPr="00C9343F" w:rsidRDefault="005F44BC" w:rsidP="00F66D98">
            <w:pPr>
              <w:pStyle w:val="BlockText-Plain"/>
              <w:spacing w:after="0"/>
              <w:rPr>
                <w:rFonts w:cs="Arial"/>
              </w:rPr>
            </w:pPr>
          </w:p>
          <w:p w14:paraId="42156234" w14:textId="77777777" w:rsidR="005F44BC" w:rsidRPr="00C9343F" w:rsidRDefault="005F44BC" w:rsidP="00F66D98">
            <w:pPr>
              <w:pStyle w:val="BlockText-Plain"/>
              <w:spacing w:after="0"/>
              <w:rPr>
                <w:rFonts w:cs="Arial"/>
              </w:rPr>
            </w:pPr>
          </w:p>
          <w:p w14:paraId="49654626" w14:textId="77777777" w:rsidR="005F44BC" w:rsidRPr="00C9343F" w:rsidRDefault="005F44BC" w:rsidP="00F66D98">
            <w:pPr>
              <w:pStyle w:val="BlockText-Plain"/>
              <w:spacing w:after="0"/>
              <w:rPr>
                <w:rFonts w:cs="Arial"/>
              </w:rPr>
            </w:pPr>
          </w:p>
        </w:tc>
      </w:tr>
    </w:tbl>
    <w:p w14:paraId="4F62CFE0" w14:textId="77777777" w:rsidR="005F44BC" w:rsidRPr="00C9343F" w:rsidRDefault="005F44BC" w:rsidP="00F66D98">
      <w:pPr>
        <w:pStyle w:val="BlockText-Plain"/>
        <w:spacing w:after="0"/>
        <w:rPr>
          <w:rFonts w:cs="Arial"/>
        </w:rPr>
      </w:pPr>
    </w:p>
    <w:p w14:paraId="1CCD9154" w14:textId="77777777" w:rsidR="005F44BC" w:rsidRPr="00C9343F" w:rsidRDefault="005F44BC" w:rsidP="00F66D98">
      <w:pPr>
        <w:pStyle w:val="BlockText-Plain"/>
        <w:spacing w:after="0"/>
        <w:rPr>
          <w:rFonts w:cs="Arial"/>
        </w:rPr>
      </w:pPr>
      <w:r w:rsidRPr="00C9343F">
        <w:rPr>
          <w:rFonts w:cs="Arial"/>
        </w:rPr>
        <w:t>The offer is made in relation to the skills, knowledge and qualifications required to address the following</w:t>
      </w:r>
      <w:r w:rsidRPr="00C9343F">
        <w:rPr>
          <w:rFonts w:cs="Arial"/>
          <w:b/>
        </w:rPr>
        <w:t xml:space="preserve"> </w:t>
      </w:r>
      <w:r w:rsidRPr="00C9343F">
        <w:rPr>
          <w:rFonts w:cs="Arial"/>
        </w:rPr>
        <w:t>workforce capability gap: [</w:t>
      </w:r>
      <w:r w:rsidRPr="00C9343F">
        <w:rPr>
          <w:rFonts w:cs="Arial"/>
          <w:i/>
        </w:rPr>
        <w:t>delete if offer is directly associated with a position critical to capability</w:t>
      </w:r>
      <w:r w:rsidRPr="00C9343F">
        <w:rPr>
          <w:rFonts w:cs="Arial"/>
        </w:rPr>
        <w:t>]</w:t>
      </w:r>
    </w:p>
    <w:p w14:paraId="154D0BE6" w14:textId="77777777" w:rsidR="005F44BC" w:rsidRPr="00C9343F" w:rsidRDefault="005F44BC" w:rsidP="00F66D98">
      <w:pPr>
        <w:pStyle w:val="BlockText-Plain"/>
        <w:spacing w:after="0"/>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39"/>
      </w:tblGrid>
      <w:tr w:rsidR="005F44BC" w:rsidRPr="00C9343F" w14:paraId="16C13FC3" w14:textId="77777777" w:rsidTr="00D81CEA">
        <w:tc>
          <w:tcPr>
            <w:tcW w:w="9570" w:type="dxa"/>
            <w:shd w:val="clear" w:color="auto" w:fill="auto"/>
          </w:tcPr>
          <w:p w14:paraId="47CE3BDD" w14:textId="77777777" w:rsidR="005F44BC" w:rsidRPr="00C9343F" w:rsidRDefault="005F44BC" w:rsidP="00F66D98">
            <w:pPr>
              <w:pStyle w:val="BlockText-Plain"/>
              <w:spacing w:after="0"/>
              <w:rPr>
                <w:rFonts w:cs="Arial"/>
              </w:rPr>
            </w:pPr>
          </w:p>
          <w:p w14:paraId="4DDB67CC" w14:textId="77777777" w:rsidR="005F44BC" w:rsidRPr="00C9343F" w:rsidRDefault="005F44BC" w:rsidP="00F66D98">
            <w:pPr>
              <w:pStyle w:val="BlockText-Plain"/>
              <w:spacing w:after="0"/>
              <w:rPr>
                <w:rFonts w:cs="Arial"/>
              </w:rPr>
            </w:pPr>
          </w:p>
          <w:p w14:paraId="7529E721" w14:textId="77777777" w:rsidR="005F44BC" w:rsidRPr="00C9343F" w:rsidRDefault="005F44BC" w:rsidP="00F66D98">
            <w:pPr>
              <w:pStyle w:val="BlockText-Plain"/>
              <w:spacing w:after="0"/>
              <w:rPr>
                <w:rFonts w:cs="Arial"/>
              </w:rPr>
            </w:pPr>
          </w:p>
          <w:p w14:paraId="6394DE03" w14:textId="77777777" w:rsidR="005F44BC" w:rsidRPr="00C9343F" w:rsidRDefault="005F44BC" w:rsidP="00F66D98">
            <w:pPr>
              <w:pStyle w:val="BlockText-Plain"/>
              <w:spacing w:after="0"/>
              <w:rPr>
                <w:rFonts w:cs="Arial"/>
              </w:rPr>
            </w:pPr>
          </w:p>
          <w:p w14:paraId="61161133" w14:textId="77777777" w:rsidR="005F44BC" w:rsidRPr="00C9343F" w:rsidRDefault="005F44BC" w:rsidP="00F66D98">
            <w:pPr>
              <w:pStyle w:val="BlockText-Plain"/>
              <w:spacing w:after="0"/>
              <w:rPr>
                <w:rFonts w:cs="Arial"/>
              </w:rPr>
            </w:pPr>
          </w:p>
          <w:p w14:paraId="269EB1E3" w14:textId="77777777" w:rsidR="005F44BC" w:rsidRPr="00C9343F" w:rsidRDefault="005F44BC" w:rsidP="00F66D98">
            <w:pPr>
              <w:pStyle w:val="BlockText-Plain"/>
              <w:spacing w:after="0"/>
              <w:rPr>
                <w:rFonts w:cs="Arial"/>
              </w:rPr>
            </w:pPr>
          </w:p>
          <w:p w14:paraId="311B1B92" w14:textId="77777777" w:rsidR="005F44BC" w:rsidRPr="00C9343F" w:rsidRDefault="005F44BC" w:rsidP="00F66D98">
            <w:pPr>
              <w:pStyle w:val="BlockText-Plain"/>
              <w:spacing w:after="0"/>
              <w:rPr>
                <w:rFonts w:cs="Arial"/>
              </w:rPr>
            </w:pPr>
          </w:p>
          <w:p w14:paraId="77FD7C2A" w14:textId="77777777" w:rsidR="005F44BC" w:rsidRPr="00C9343F" w:rsidRDefault="005F44BC" w:rsidP="00F66D98">
            <w:pPr>
              <w:pStyle w:val="BlockText-Plain"/>
              <w:spacing w:after="0"/>
              <w:rPr>
                <w:rFonts w:cs="Arial"/>
              </w:rPr>
            </w:pPr>
          </w:p>
          <w:p w14:paraId="52914613" w14:textId="77777777" w:rsidR="005F44BC" w:rsidRPr="00C9343F" w:rsidRDefault="005F44BC" w:rsidP="00F66D98">
            <w:pPr>
              <w:pStyle w:val="BlockText-Plain"/>
              <w:spacing w:after="0"/>
              <w:rPr>
                <w:rFonts w:cs="Arial"/>
              </w:rPr>
            </w:pPr>
          </w:p>
          <w:p w14:paraId="2A3A399F" w14:textId="77777777" w:rsidR="005F44BC" w:rsidRPr="00C9343F" w:rsidRDefault="005F44BC" w:rsidP="00F66D98">
            <w:pPr>
              <w:pStyle w:val="BlockText-Plain"/>
              <w:spacing w:after="0"/>
              <w:rPr>
                <w:rFonts w:cs="Arial"/>
              </w:rPr>
            </w:pPr>
          </w:p>
        </w:tc>
      </w:tr>
    </w:tbl>
    <w:p w14:paraId="0EB7DBC2" w14:textId="77777777" w:rsidR="005F44BC" w:rsidRPr="00C9343F" w:rsidRDefault="005F44BC" w:rsidP="00F66D98">
      <w:pPr>
        <w:pStyle w:val="BlockText-Plain"/>
        <w:spacing w:after="0"/>
        <w:rPr>
          <w:rFonts w:cs="Arial"/>
        </w:rPr>
      </w:pPr>
    </w:p>
    <w:p w14:paraId="3E7652A1" w14:textId="77777777" w:rsidR="005F44BC" w:rsidRPr="00C9343F" w:rsidRDefault="005F44BC" w:rsidP="00F66D98">
      <w:pPr>
        <w:pStyle w:val="BlockText-Plain"/>
        <w:spacing w:after="0"/>
        <w:rPr>
          <w:rFonts w:cs="Arial"/>
        </w:rPr>
      </w:pPr>
      <w:r w:rsidRPr="00C9343F">
        <w:rPr>
          <w:rFonts w:cs="Arial"/>
        </w:rPr>
        <w:br w:type="page"/>
      </w:r>
      <w:r w:rsidRPr="00C9343F">
        <w:rPr>
          <w:rFonts w:cs="Arial"/>
        </w:rPr>
        <w:lastRenderedPageBreak/>
        <w:t xml:space="preserve">This </w:t>
      </w:r>
      <w:r w:rsidRPr="00C9343F">
        <w:t>deliberately differentiated offer</w:t>
      </w:r>
      <w:r w:rsidRPr="00C9343F">
        <w:rPr>
          <w:rFonts w:cs="Arial"/>
        </w:rPr>
        <w:t xml:space="preserve"> has been approved by the CDF or his authorised person. The package of benefits provided in this offer includes the following:</w:t>
      </w:r>
    </w:p>
    <w:p w14:paraId="5C4CCA52" w14:textId="77777777" w:rsidR="005F44BC" w:rsidRPr="00C9343F" w:rsidRDefault="005F44BC" w:rsidP="00F66D98">
      <w:pPr>
        <w:pStyle w:val="BlockText-Plain"/>
        <w:spacing w:after="0"/>
        <w:rPr>
          <w:rFonts w:cs="Arial"/>
        </w:rPr>
      </w:pPr>
      <w:r w:rsidRPr="00C9343F">
        <w:rPr>
          <w:rFonts w:cs="Arial"/>
        </w:rPr>
        <w:t>[</w:t>
      </w:r>
      <w:r w:rsidRPr="00C9343F">
        <w:rPr>
          <w:rFonts w:cs="Arial"/>
          <w:i/>
        </w:rPr>
        <w:t>Delete all rows or dot points that do not form a part of this offer.</w:t>
      </w:r>
      <w:r w:rsidRPr="00C9343F">
        <w:rPr>
          <w:rFonts w:cs="Arial"/>
        </w:rPr>
        <w:t>]</w:t>
      </w:r>
    </w:p>
    <w:p w14:paraId="08FA91D8" w14:textId="77777777" w:rsidR="005F44BC" w:rsidRPr="00C9343F" w:rsidRDefault="005F44BC" w:rsidP="00F66D98">
      <w:pPr>
        <w:pStyle w:val="BlockText-Plain"/>
        <w:spacing w:after="0"/>
        <w:rPr>
          <w:rFonts w:cs="Arial"/>
        </w:rPr>
      </w:pPr>
      <w:r w:rsidRPr="00C9343F">
        <w:rPr>
          <w:rFonts w:cs="Arial"/>
        </w:rPr>
        <w:t>[</w:t>
      </w:r>
      <w:r w:rsidRPr="00C9343F">
        <w:rPr>
          <w:rFonts w:cs="Arial"/>
          <w:i/>
        </w:rPr>
        <w:t>Complete all details as required. Delete any terms that do not apply.</w:t>
      </w:r>
      <w:r w:rsidRPr="00C9343F">
        <w:rPr>
          <w:rFonts w:cs="Arial"/>
        </w:rPr>
        <w:t>]</w:t>
      </w:r>
    </w:p>
    <w:p w14:paraId="0FB9CE15" w14:textId="77777777" w:rsidR="005F44BC" w:rsidRPr="00C9343F" w:rsidRDefault="005F44BC" w:rsidP="00F66D98">
      <w:pPr>
        <w:pStyle w:val="BlockText-Plain"/>
        <w:spacing w:after="0"/>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29"/>
        <w:gridCol w:w="4820"/>
        <w:gridCol w:w="2025"/>
        <w:gridCol w:w="1757"/>
      </w:tblGrid>
      <w:tr w:rsidR="005F44BC" w:rsidRPr="00C9343F" w14:paraId="2FB83E25" w14:textId="77777777" w:rsidTr="00D81CEA">
        <w:tc>
          <w:tcPr>
            <w:tcW w:w="628" w:type="dxa"/>
            <w:shd w:val="clear" w:color="auto" w:fill="auto"/>
          </w:tcPr>
          <w:p w14:paraId="6623C176" w14:textId="77777777" w:rsidR="005F44BC" w:rsidRPr="00C9343F" w:rsidRDefault="005F44BC" w:rsidP="00F66D98">
            <w:pPr>
              <w:jc w:val="center"/>
              <w:rPr>
                <w:rFonts w:ascii="Arial (W1)" w:hAnsi="Arial (W1)"/>
                <w:b/>
                <w:sz w:val="20"/>
                <w:szCs w:val="22"/>
              </w:rPr>
            </w:pPr>
            <w:r w:rsidRPr="00C9343F">
              <w:rPr>
                <w:rFonts w:ascii="Arial (W1)" w:hAnsi="Arial (W1)"/>
                <w:b/>
                <w:sz w:val="20"/>
                <w:szCs w:val="22"/>
              </w:rPr>
              <w:t>Item</w:t>
            </w:r>
          </w:p>
        </w:tc>
        <w:tc>
          <w:tcPr>
            <w:tcW w:w="4957" w:type="dxa"/>
            <w:shd w:val="clear" w:color="auto" w:fill="auto"/>
          </w:tcPr>
          <w:p w14:paraId="04C1B0CD" w14:textId="77777777" w:rsidR="005F44BC" w:rsidRPr="00C9343F" w:rsidRDefault="005F44BC" w:rsidP="00F66D98">
            <w:pPr>
              <w:jc w:val="center"/>
              <w:rPr>
                <w:rFonts w:ascii="Arial (W1)" w:hAnsi="Arial (W1)"/>
                <w:b/>
                <w:sz w:val="20"/>
                <w:szCs w:val="22"/>
              </w:rPr>
            </w:pPr>
            <w:r w:rsidRPr="00C9343F">
              <w:rPr>
                <w:rFonts w:ascii="Arial (W1)" w:hAnsi="Arial (W1)"/>
                <w:b/>
                <w:sz w:val="20"/>
                <w:szCs w:val="22"/>
              </w:rPr>
              <w:t>Description of Benefit</w:t>
            </w:r>
          </w:p>
        </w:tc>
        <w:tc>
          <w:tcPr>
            <w:tcW w:w="2083" w:type="dxa"/>
            <w:shd w:val="clear" w:color="auto" w:fill="auto"/>
          </w:tcPr>
          <w:p w14:paraId="15A84F4A" w14:textId="6FC42564" w:rsidR="005F44BC" w:rsidRPr="00C9343F" w:rsidRDefault="005F44BC" w:rsidP="00F66D98">
            <w:pPr>
              <w:jc w:val="center"/>
              <w:rPr>
                <w:rFonts w:ascii="Arial (W1)" w:hAnsi="Arial (W1)"/>
                <w:b/>
                <w:sz w:val="20"/>
                <w:szCs w:val="22"/>
              </w:rPr>
            </w:pPr>
            <w:r w:rsidRPr="00C9343F">
              <w:rPr>
                <w:rFonts w:ascii="Arial (W1)" w:hAnsi="Arial (W1)"/>
                <w:b/>
                <w:sz w:val="20"/>
                <w:szCs w:val="22"/>
              </w:rPr>
              <w:t>Benefit available from</w:t>
            </w:r>
            <w:r w:rsidR="00D94006" w:rsidRPr="00C9343F">
              <w:rPr>
                <w:rFonts w:ascii="Arial (W1)" w:hAnsi="Arial (W1)"/>
                <w:b/>
                <w:sz w:val="20"/>
                <w:szCs w:val="22"/>
              </w:rPr>
              <w:t>    </w:t>
            </w:r>
          </w:p>
        </w:tc>
        <w:tc>
          <w:tcPr>
            <w:tcW w:w="1794" w:type="dxa"/>
            <w:shd w:val="clear" w:color="auto" w:fill="auto"/>
          </w:tcPr>
          <w:p w14:paraId="74F680CD" w14:textId="47A3E51D" w:rsidR="005F44BC" w:rsidRPr="00C9343F" w:rsidRDefault="005F44BC" w:rsidP="00F66D98">
            <w:pPr>
              <w:jc w:val="center"/>
              <w:rPr>
                <w:rFonts w:ascii="Arial (W1)" w:hAnsi="Arial (W1)"/>
                <w:b/>
                <w:sz w:val="20"/>
                <w:szCs w:val="22"/>
              </w:rPr>
            </w:pPr>
            <w:r w:rsidRPr="00C9343F">
              <w:rPr>
                <w:rFonts w:ascii="Arial (W1)" w:hAnsi="Arial (W1)"/>
                <w:b/>
                <w:sz w:val="20"/>
                <w:szCs w:val="22"/>
              </w:rPr>
              <w:t>until</w:t>
            </w:r>
            <w:r w:rsidR="00D94006" w:rsidRPr="00C9343F">
              <w:rPr>
                <w:rFonts w:ascii="Arial (W1)" w:hAnsi="Arial (W1)"/>
                <w:b/>
                <w:sz w:val="20"/>
                <w:szCs w:val="22"/>
              </w:rPr>
              <w:t>    </w:t>
            </w:r>
          </w:p>
        </w:tc>
      </w:tr>
      <w:tr w:rsidR="005F44BC" w:rsidRPr="00C9343F" w14:paraId="02154015" w14:textId="77777777" w:rsidTr="00D81CEA">
        <w:tc>
          <w:tcPr>
            <w:tcW w:w="628" w:type="dxa"/>
            <w:shd w:val="clear" w:color="auto" w:fill="auto"/>
          </w:tcPr>
          <w:p w14:paraId="4A34ED14" w14:textId="77777777" w:rsidR="005F44BC" w:rsidRPr="00C9343F" w:rsidRDefault="005F44BC" w:rsidP="00F66D98">
            <w:pPr>
              <w:jc w:val="center"/>
              <w:rPr>
                <w:rFonts w:ascii="Arial (W1)" w:hAnsi="Arial (W1)"/>
                <w:sz w:val="20"/>
                <w:szCs w:val="22"/>
              </w:rPr>
            </w:pPr>
            <w:r w:rsidRPr="00C9343F">
              <w:rPr>
                <w:rFonts w:ascii="Arial (W1)" w:hAnsi="Arial (W1)"/>
                <w:sz w:val="20"/>
                <w:szCs w:val="22"/>
              </w:rPr>
              <w:t>1.</w:t>
            </w:r>
          </w:p>
        </w:tc>
        <w:tc>
          <w:tcPr>
            <w:tcW w:w="4957" w:type="dxa"/>
            <w:shd w:val="clear" w:color="auto" w:fill="auto"/>
          </w:tcPr>
          <w:p w14:paraId="6B77F7B9" w14:textId="77777777" w:rsidR="005F44BC" w:rsidRPr="00C9343F" w:rsidRDefault="005F44BC" w:rsidP="00F66D98">
            <w:pPr>
              <w:pStyle w:val="TableTextArial-left"/>
            </w:pPr>
            <w:r w:rsidRPr="00C9343F">
              <w:t>Home purchase and sale assistance that includes the following:</w:t>
            </w:r>
          </w:p>
          <w:p w14:paraId="74675DC7" w14:textId="77777777" w:rsidR="005F44BC" w:rsidRPr="00C9343F" w:rsidRDefault="005F44BC" w:rsidP="00F66D98">
            <w:pPr>
              <w:pStyle w:val="TableTextArial-left"/>
              <w:numPr>
                <w:ilvl w:val="0"/>
                <w:numId w:val="36"/>
              </w:numPr>
              <w:tabs>
                <w:tab w:val="clear" w:pos="720"/>
                <w:tab w:val="num" w:pos="459"/>
              </w:tabs>
              <w:ind w:left="459" w:hanging="284"/>
            </w:pPr>
            <w:r w:rsidRPr="00C9343F">
              <w:t xml:space="preserve">Reimbursement of the costs of </w:t>
            </w:r>
            <w:r w:rsidRPr="00C9343F">
              <w:rPr>
                <w:b/>
              </w:rPr>
              <w:t>sale</w:t>
            </w:r>
            <w:r w:rsidRPr="00C9343F">
              <w:t xml:space="preserve"> of a home after the two year time period in subsection 7.3.23.1 has lapsed.</w:t>
            </w:r>
          </w:p>
          <w:p w14:paraId="3C8598F3" w14:textId="77777777" w:rsidR="005F44BC" w:rsidRPr="00C9343F" w:rsidRDefault="005F44BC" w:rsidP="00F66D98">
            <w:pPr>
              <w:pStyle w:val="TableTextArial-left"/>
              <w:numPr>
                <w:ilvl w:val="0"/>
                <w:numId w:val="36"/>
              </w:numPr>
              <w:tabs>
                <w:tab w:val="clear" w:pos="720"/>
                <w:tab w:val="num" w:pos="459"/>
              </w:tabs>
              <w:ind w:left="459" w:hanging="284"/>
            </w:pPr>
            <w:r w:rsidRPr="00C9343F">
              <w:t xml:space="preserve">Reimbursement of costs of </w:t>
            </w:r>
            <w:r w:rsidRPr="00C9343F">
              <w:rPr>
                <w:b/>
              </w:rPr>
              <w:t>purchasing</w:t>
            </w:r>
            <w:r w:rsidRPr="00C9343F">
              <w:t xml:space="preserve"> a home after the four year time period in paragraph 7.3.23.5.b has lapsed.</w:t>
            </w:r>
          </w:p>
        </w:tc>
        <w:tc>
          <w:tcPr>
            <w:tcW w:w="2083" w:type="dxa"/>
            <w:shd w:val="clear" w:color="auto" w:fill="auto"/>
          </w:tcPr>
          <w:p w14:paraId="6C496D47" w14:textId="77777777" w:rsidR="005F44BC" w:rsidRPr="00C9343F" w:rsidRDefault="005F44BC" w:rsidP="00F66D98">
            <w:pPr>
              <w:pStyle w:val="TableTextArial-left"/>
              <w:rPr>
                <w:rFonts w:cs="Arial"/>
              </w:rPr>
            </w:pPr>
            <w:r w:rsidRPr="00C9343F">
              <w:t>[</w:t>
            </w:r>
            <w:r w:rsidRPr="00C9343F">
              <w:rPr>
                <w:i/>
              </w:rPr>
              <w:t>insert date specified by CDF</w:t>
            </w:r>
            <w:r w:rsidRPr="00C9343F">
              <w:t>.]</w:t>
            </w:r>
          </w:p>
        </w:tc>
        <w:tc>
          <w:tcPr>
            <w:tcW w:w="1794" w:type="dxa"/>
            <w:shd w:val="clear" w:color="auto" w:fill="auto"/>
          </w:tcPr>
          <w:p w14:paraId="57F2362D" w14:textId="77777777" w:rsidR="005F44BC" w:rsidRPr="00C9343F" w:rsidRDefault="005F44BC" w:rsidP="00F66D98">
            <w:pPr>
              <w:pStyle w:val="tabletextarial-left0"/>
              <w:spacing w:before="0" w:after="0"/>
            </w:pPr>
            <w:r w:rsidRPr="00C9343F">
              <w:t>[</w:t>
            </w:r>
            <w:r w:rsidRPr="00C9343F">
              <w:rPr>
                <w:i/>
              </w:rPr>
              <w:t xml:space="preserve">insert date of expiry of the </w:t>
            </w:r>
            <w:r w:rsidRPr="00C9343F">
              <w:t>agreed period of service</w:t>
            </w:r>
            <w:r w:rsidRPr="00C9343F">
              <w:rPr>
                <w:i/>
              </w:rPr>
              <w:t>.</w:t>
            </w:r>
            <w:r w:rsidRPr="00C9343F">
              <w:t>]</w:t>
            </w:r>
          </w:p>
        </w:tc>
      </w:tr>
      <w:tr w:rsidR="005F44BC" w:rsidRPr="00C9343F" w14:paraId="60C9F926" w14:textId="77777777" w:rsidTr="00D81CEA">
        <w:tc>
          <w:tcPr>
            <w:tcW w:w="628" w:type="dxa"/>
            <w:shd w:val="clear" w:color="auto" w:fill="auto"/>
          </w:tcPr>
          <w:p w14:paraId="0448100B" w14:textId="77777777" w:rsidR="005F44BC" w:rsidRPr="00C9343F" w:rsidRDefault="005F44BC" w:rsidP="00F66D98">
            <w:pPr>
              <w:jc w:val="center"/>
              <w:rPr>
                <w:szCs w:val="22"/>
              </w:rPr>
            </w:pPr>
            <w:r w:rsidRPr="00C9343F">
              <w:rPr>
                <w:rFonts w:ascii="Arial (W1)" w:hAnsi="Arial (W1)"/>
                <w:sz w:val="20"/>
                <w:szCs w:val="22"/>
              </w:rPr>
              <w:t>2.</w:t>
            </w:r>
          </w:p>
        </w:tc>
        <w:tc>
          <w:tcPr>
            <w:tcW w:w="4957" w:type="dxa"/>
            <w:shd w:val="clear" w:color="auto" w:fill="auto"/>
          </w:tcPr>
          <w:p w14:paraId="5B9C2221" w14:textId="77777777" w:rsidR="005F44BC" w:rsidRPr="00C9343F" w:rsidRDefault="005F44BC" w:rsidP="00F66D98">
            <w:pPr>
              <w:pStyle w:val="TableTextArial-left"/>
            </w:pPr>
            <w:r w:rsidRPr="00C9343F">
              <w:t>Removal assistance that includes the following:</w:t>
            </w:r>
          </w:p>
          <w:p w14:paraId="0FD63C4D" w14:textId="77777777" w:rsidR="005F44BC" w:rsidRPr="00C9343F" w:rsidRDefault="005F44BC" w:rsidP="00F66D98">
            <w:pPr>
              <w:pStyle w:val="TableTextArial-left"/>
              <w:numPr>
                <w:ilvl w:val="0"/>
                <w:numId w:val="36"/>
              </w:numPr>
              <w:tabs>
                <w:tab w:val="clear" w:pos="720"/>
                <w:tab w:val="num" w:pos="459"/>
              </w:tabs>
              <w:ind w:left="459" w:hanging="284"/>
            </w:pPr>
            <w:r w:rsidRPr="00C9343F">
              <w:t>A removal and associated benefits to [a personal location/another residence within location]</w:t>
            </w:r>
          </w:p>
          <w:p w14:paraId="28D404E1" w14:textId="77777777" w:rsidR="005F44BC" w:rsidRPr="00C9343F" w:rsidRDefault="005F44BC" w:rsidP="00F66D98">
            <w:pPr>
              <w:pStyle w:val="TableTextArial-left"/>
              <w:numPr>
                <w:ilvl w:val="0"/>
                <w:numId w:val="36"/>
              </w:numPr>
              <w:tabs>
                <w:tab w:val="clear" w:pos="720"/>
                <w:tab w:val="num" w:pos="459"/>
              </w:tabs>
              <w:ind w:left="459" w:hanging="284"/>
            </w:pPr>
            <w:r w:rsidRPr="00C9343F">
              <w:t>It is not limited to compassionate circumstances.</w:t>
            </w:r>
          </w:p>
          <w:p w14:paraId="68CBFA56" w14:textId="77777777" w:rsidR="005F44BC" w:rsidRPr="00C9343F" w:rsidRDefault="005F44BC" w:rsidP="00F66D98">
            <w:pPr>
              <w:pStyle w:val="TableTextArial-left"/>
              <w:numPr>
                <w:ilvl w:val="0"/>
                <w:numId w:val="36"/>
              </w:numPr>
              <w:tabs>
                <w:tab w:val="clear" w:pos="720"/>
                <w:tab w:val="num" w:pos="459"/>
              </w:tabs>
              <w:ind w:left="459" w:hanging="284"/>
            </w:pPr>
            <w:r w:rsidRPr="00C9343F">
              <w:t>It is not cost limited.</w:t>
            </w:r>
          </w:p>
        </w:tc>
        <w:tc>
          <w:tcPr>
            <w:tcW w:w="2083" w:type="dxa"/>
            <w:shd w:val="clear" w:color="auto" w:fill="auto"/>
          </w:tcPr>
          <w:p w14:paraId="744FA3D5" w14:textId="77777777" w:rsidR="005F44BC" w:rsidRPr="00C9343F" w:rsidRDefault="005F44BC" w:rsidP="00F66D98">
            <w:pPr>
              <w:rPr>
                <w:sz w:val="20"/>
              </w:rPr>
            </w:pPr>
            <w:r w:rsidRPr="00C9343F">
              <w:rPr>
                <w:sz w:val="20"/>
              </w:rPr>
              <w:t>[</w:t>
            </w:r>
            <w:r w:rsidRPr="00C9343F">
              <w:rPr>
                <w:i/>
                <w:sz w:val="20"/>
              </w:rPr>
              <w:t>insert date specified by CDF</w:t>
            </w:r>
            <w:r w:rsidRPr="00C9343F">
              <w:rPr>
                <w:sz w:val="20"/>
              </w:rPr>
              <w:t>.]</w:t>
            </w:r>
          </w:p>
        </w:tc>
        <w:tc>
          <w:tcPr>
            <w:tcW w:w="1794" w:type="dxa"/>
            <w:shd w:val="clear" w:color="auto" w:fill="auto"/>
          </w:tcPr>
          <w:p w14:paraId="2E4D267B" w14:textId="77777777" w:rsidR="005F44BC" w:rsidRPr="00C9343F" w:rsidRDefault="005F44BC" w:rsidP="00F66D98">
            <w:pPr>
              <w:rPr>
                <w:sz w:val="20"/>
              </w:rPr>
            </w:pPr>
            <w:r w:rsidRPr="00C9343F">
              <w:rPr>
                <w:sz w:val="20"/>
              </w:rPr>
              <w:t>[</w:t>
            </w:r>
            <w:r w:rsidRPr="00C9343F">
              <w:rPr>
                <w:i/>
                <w:sz w:val="20"/>
              </w:rPr>
              <w:t xml:space="preserve">insert date of expiry of the </w:t>
            </w:r>
            <w:r w:rsidRPr="00C9343F">
              <w:rPr>
                <w:sz w:val="20"/>
              </w:rPr>
              <w:t>agreed period of service</w:t>
            </w:r>
            <w:r w:rsidRPr="00C9343F">
              <w:rPr>
                <w:i/>
                <w:sz w:val="20"/>
              </w:rPr>
              <w:t xml:space="preserve"> or a date specified by CDF</w:t>
            </w:r>
            <w:r w:rsidRPr="00C9343F">
              <w:rPr>
                <w:sz w:val="20"/>
              </w:rPr>
              <w:t>.]</w:t>
            </w:r>
          </w:p>
        </w:tc>
      </w:tr>
      <w:tr w:rsidR="005F44BC" w:rsidRPr="00C9343F" w14:paraId="6D06F1BA" w14:textId="77777777" w:rsidTr="00D81CEA">
        <w:tc>
          <w:tcPr>
            <w:tcW w:w="628" w:type="dxa"/>
            <w:shd w:val="clear" w:color="auto" w:fill="auto"/>
          </w:tcPr>
          <w:p w14:paraId="3F68170C" w14:textId="77777777" w:rsidR="005F44BC" w:rsidRPr="00C9343F" w:rsidRDefault="005F44BC" w:rsidP="00F66D98">
            <w:pPr>
              <w:jc w:val="center"/>
              <w:rPr>
                <w:szCs w:val="22"/>
              </w:rPr>
            </w:pPr>
            <w:r w:rsidRPr="00C9343F">
              <w:rPr>
                <w:rFonts w:ascii="Arial (W1)" w:hAnsi="Arial (W1)"/>
                <w:sz w:val="20"/>
                <w:szCs w:val="22"/>
              </w:rPr>
              <w:t>3.</w:t>
            </w:r>
          </w:p>
        </w:tc>
        <w:tc>
          <w:tcPr>
            <w:tcW w:w="4957" w:type="dxa"/>
            <w:shd w:val="clear" w:color="auto" w:fill="auto"/>
          </w:tcPr>
          <w:p w14:paraId="174904F3" w14:textId="77777777" w:rsidR="005F44BC" w:rsidRPr="00C9343F" w:rsidRDefault="005F44BC" w:rsidP="00F66D98">
            <w:pPr>
              <w:pStyle w:val="TableTextArial-left"/>
              <w:spacing w:after="120"/>
            </w:pPr>
            <w:r w:rsidRPr="00C9343F">
              <w:t>Allocation of a [service residence</w:t>
            </w:r>
            <w:r w:rsidRPr="00C9343F">
              <w:rPr>
                <w:i/>
              </w:rPr>
              <w:t>/rent band choice home</w:t>
            </w:r>
            <w:r w:rsidRPr="00C9343F">
              <w:t>] that [</w:t>
            </w:r>
            <w:r w:rsidRPr="00C9343F">
              <w:rPr>
                <w:i/>
              </w:rPr>
              <w:t>is/has</w:t>
            </w:r>
            <w:r w:rsidRPr="00C9343F">
              <w:t>] [</w:t>
            </w:r>
            <w:r w:rsidRPr="00C9343F">
              <w:rPr>
                <w:i/>
              </w:rPr>
              <w:t>insert the approved rent band or additional bedroom(s</w:t>
            </w:r>
            <w:r w:rsidRPr="00C9343F">
              <w:t>)].</w:t>
            </w:r>
          </w:p>
          <w:p w14:paraId="674F8CBB" w14:textId="77777777" w:rsidR="005F44BC" w:rsidRPr="00C9343F" w:rsidRDefault="005F44BC" w:rsidP="00F66D98">
            <w:pPr>
              <w:pStyle w:val="TableTextArial-left"/>
            </w:pPr>
            <w:r w:rsidRPr="00C9343F">
              <w:rPr>
                <w:b/>
              </w:rPr>
              <w:t>Note:</w:t>
            </w:r>
            <w:r w:rsidRPr="00C9343F">
              <w:t xml:space="preserve"> The higher contribution scheme set out in section 7.6.43 will not apply.</w:t>
            </w:r>
          </w:p>
        </w:tc>
        <w:tc>
          <w:tcPr>
            <w:tcW w:w="2083" w:type="dxa"/>
            <w:shd w:val="clear" w:color="auto" w:fill="auto"/>
          </w:tcPr>
          <w:p w14:paraId="71D6D372" w14:textId="77777777" w:rsidR="005F44BC" w:rsidRPr="00C9343F" w:rsidRDefault="005F44BC" w:rsidP="00F66D98">
            <w:r w:rsidRPr="00C9343F">
              <w:rPr>
                <w:sz w:val="20"/>
              </w:rPr>
              <w:t>[</w:t>
            </w:r>
            <w:r w:rsidRPr="00C9343F">
              <w:rPr>
                <w:i/>
                <w:sz w:val="20"/>
              </w:rPr>
              <w:t>insert date specified by CDF</w:t>
            </w:r>
            <w:r w:rsidRPr="00C9343F">
              <w:rPr>
                <w:sz w:val="20"/>
              </w:rPr>
              <w:t>.]</w:t>
            </w:r>
          </w:p>
        </w:tc>
        <w:tc>
          <w:tcPr>
            <w:tcW w:w="1794" w:type="dxa"/>
            <w:shd w:val="clear" w:color="auto" w:fill="auto"/>
          </w:tcPr>
          <w:p w14:paraId="597AC3BC" w14:textId="77777777" w:rsidR="005F44BC" w:rsidRPr="00C9343F" w:rsidRDefault="005F44BC" w:rsidP="00F66D98">
            <w:pPr>
              <w:rPr>
                <w:sz w:val="20"/>
              </w:rPr>
            </w:pPr>
            <w:r w:rsidRPr="00C9343F">
              <w:rPr>
                <w:sz w:val="20"/>
              </w:rPr>
              <w:t>the earlier of the following dates.</w:t>
            </w:r>
          </w:p>
          <w:p w14:paraId="55B3DEEF" w14:textId="77777777" w:rsidR="005F44BC" w:rsidRPr="00C9343F" w:rsidRDefault="005F44BC" w:rsidP="00F66D98">
            <w:pPr>
              <w:rPr>
                <w:sz w:val="20"/>
              </w:rPr>
            </w:pPr>
            <w:r w:rsidRPr="00C9343F">
              <w:rPr>
                <w:sz w:val="20"/>
              </w:rPr>
              <w:t>a. The date the member vacates the residence.</w:t>
            </w:r>
          </w:p>
          <w:p w14:paraId="707C5648" w14:textId="77777777" w:rsidR="005F44BC" w:rsidRPr="00C9343F" w:rsidRDefault="005F44BC" w:rsidP="00F66D98">
            <w:pPr>
              <w:rPr>
                <w:sz w:val="20"/>
              </w:rPr>
            </w:pPr>
            <w:r w:rsidRPr="00C9343F">
              <w:rPr>
                <w:sz w:val="20"/>
              </w:rPr>
              <w:t>b. [</w:t>
            </w:r>
            <w:r w:rsidRPr="00C9343F">
              <w:rPr>
                <w:i/>
                <w:sz w:val="20"/>
              </w:rPr>
              <w:t>insert date specified by CDF</w:t>
            </w:r>
            <w:r w:rsidRPr="00C9343F">
              <w:rPr>
                <w:sz w:val="20"/>
              </w:rPr>
              <w:t>].</w:t>
            </w:r>
          </w:p>
        </w:tc>
      </w:tr>
      <w:tr w:rsidR="005F44BC" w:rsidRPr="00C9343F" w14:paraId="181B04FB" w14:textId="77777777" w:rsidTr="00D81CEA">
        <w:tc>
          <w:tcPr>
            <w:tcW w:w="628" w:type="dxa"/>
            <w:shd w:val="clear" w:color="auto" w:fill="auto"/>
          </w:tcPr>
          <w:p w14:paraId="3E746A3A" w14:textId="77777777" w:rsidR="005F44BC" w:rsidRPr="00C9343F" w:rsidRDefault="005F44BC" w:rsidP="00F66D98">
            <w:pPr>
              <w:jc w:val="center"/>
              <w:rPr>
                <w:szCs w:val="22"/>
              </w:rPr>
            </w:pPr>
            <w:r w:rsidRPr="00C9343F">
              <w:rPr>
                <w:rFonts w:ascii="Arial (W1)" w:hAnsi="Arial (W1)"/>
                <w:sz w:val="20"/>
                <w:szCs w:val="22"/>
              </w:rPr>
              <w:t>4.</w:t>
            </w:r>
          </w:p>
        </w:tc>
        <w:tc>
          <w:tcPr>
            <w:tcW w:w="4957" w:type="dxa"/>
            <w:shd w:val="clear" w:color="auto" w:fill="auto"/>
          </w:tcPr>
          <w:p w14:paraId="131BFE14" w14:textId="77777777" w:rsidR="005F44BC" w:rsidRPr="00C9343F" w:rsidRDefault="005F44BC" w:rsidP="00F66D98">
            <w:pPr>
              <w:pStyle w:val="TableTextArial-left"/>
            </w:pPr>
            <w:r w:rsidRPr="00C9343F">
              <w:t>Increased rent ceiling to the amount of $</w:t>
            </w:r>
            <w:r w:rsidRPr="00C9343F">
              <w:rPr>
                <w:i/>
              </w:rPr>
              <w:t>[insert monetary amount]</w:t>
            </w:r>
          </w:p>
        </w:tc>
        <w:tc>
          <w:tcPr>
            <w:tcW w:w="2083" w:type="dxa"/>
            <w:shd w:val="clear" w:color="auto" w:fill="auto"/>
          </w:tcPr>
          <w:p w14:paraId="33EEF1ED" w14:textId="77777777" w:rsidR="005F44BC" w:rsidRPr="00C9343F" w:rsidRDefault="005F44BC" w:rsidP="00F66D98">
            <w:r w:rsidRPr="00C9343F">
              <w:rPr>
                <w:sz w:val="20"/>
              </w:rPr>
              <w:t>[</w:t>
            </w:r>
            <w:r w:rsidRPr="00C9343F">
              <w:rPr>
                <w:i/>
                <w:sz w:val="20"/>
              </w:rPr>
              <w:t>insert date specified by CDF</w:t>
            </w:r>
            <w:r w:rsidRPr="00C9343F">
              <w:rPr>
                <w:sz w:val="20"/>
              </w:rPr>
              <w:t>.]</w:t>
            </w:r>
          </w:p>
        </w:tc>
        <w:tc>
          <w:tcPr>
            <w:tcW w:w="1794" w:type="dxa"/>
            <w:shd w:val="clear" w:color="auto" w:fill="auto"/>
          </w:tcPr>
          <w:p w14:paraId="70C3CE76" w14:textId="77777777" w:rsidR="005F44BC" w:rsidRPr="00C9343F" w:rsidRDefault="005F44BC" w:rsidP="00F66D98">
            <w:pPr>
              <w:rPr>
                <w:sz w:val="20"/>
              </w:rPr>
            </w:pPr>
            <w:r w:rsidRPr="00C9343F">
              <w:rPr>
                <w:sz w:val="20"/>
              </w:rPr>
              <w:t>the earlier of the following dates.</w:t>
            </w:r>
          </w:p>
          <w:p w14:paraId="22D47C01" w14:textId="77777777" w:rsidR="005F44BC" w:rsidRPr="00C9343F" w:rsidRDefault="005F44BC" w:rsidP="00F66D98">
            <w:pPr>
              <w:rPr>
                <w:sz w:val="20"/>
              </w:rPr>
            </w:pPr>
            <w:r w:rsidRPr="00C9343F">
              <w:rPr>
                <w:sz w:val="20"/>
              </w:rPr>
              <w:t>a. The date the member vacates the residence.</w:t>
            </w:r>
          </w:p>
          <w:p w14:paraId="4CA60502" w14:textId="77777777" w:rsidR="005F44BC" w:rsidRPr="00C9343F" w:rsidRDefault="005F44BC" w:rsidP="00F66D98">
            <w:pPr>
              <w:rPr>
                <w:sz w:val="20"/>
              </w:rPr>
            </w:pPr>
            <w:r w:rsidRPr="00C9343F">
              <w:rPr>
                <w:sz w:val="20"/>
              </w:rPr>
              <w:t>b. [</w:t>
            </w:r>
            <w:r w:rsidRPr="00C9343F">
              <w:rPr>
                <w:i/>
                <w:sz w:val="20"/>
              </w:rPr>
              <w:t>insert date specified by CDF</w:t>
            </w:r>
            <w:r w:rsidRPr="00C9343F">
              <w:rPr>
                <w:sz w:val="20"/>
              </w:rPr>
              <w:t>].</w:t>
            </w:r>
          </w:p>
        </w:tc>
      </w:tr>
      <w:tr w:rsidR="005F44BC" w:rsidRPr="00C9343F" w14:paraId="2405F59A" w14:textId="77777777" w:rsidTr="00D81CEA">
        <w:tc>
          <w:tcPr>
            <w:tcW w:w="628" w:type="dxa"/>
            <w:shd w:val="clear" w:color="auto" w:fill="auto"/>
          </w:tcPr>
          <w:p w14:paraId="5F9AD032" w14:textId="77777777" w:rsidR="005F44BC" w:rsidRPr="00C9343F" w:rsidRDefault="005F44BC" w:rsidP="00F66D98">
            <w:pPr>
              <w:jc w:val="center"/>
              <w:rPr>
                <w:szCs w:val="22"/>
              </w:rPr>
            </w:pPr>
            <w:r w:rsidRPr="00C9343F">
              <w:rPr>
                <w:rFonts w:ascii="Arial (W1)" w:hAnsi="Arial (W1)"/>
                <w:sz w:val="20"/>
                <w:szCs w:val="22"/>
              </w:rPr>
              <w:t>5.</w:t>
            </w:r>
          </w:p>
        </w:tc>
        <w:tc>
          <w:tcPr>
            <w:tcW w:w="4957" w:type="dxa"/>
            <w:shd w:val="clear" w:color="auto" w:fill="auto"/>
          </w:tcPr>
          <w:p w14:paraId="51320526" w14:textId="77777777" w:rsidR="005F44BC" w:rsidRPr="00C9343F" w:rsidRDefault="005F44BC" w:rsidP="00F66D98">
            <w:pPr>
              <w:pStyle w:val="TableTextArial-left"/>
            </w:pPr>
            <w:r w:rsidRPr="00C9343F">
              <w:t xml:space="preserve">Additional number of travel trips for the following types of travel: </w:t>
            </w:r>
            <w:r w:rsidRPr="00C9343F">
              <w:rPr>
                <w:i/>
              </w:rPr>
              <w:t>[delete types of travel to which the member is currently not eligible for or not included as part of this offer]</w:t>
            </w:r>
          </w:p>
          <w:p w14:paraId="06FC6DBB" w14:textId="77777777" w:rsidR="005F44BC" w:rsidRPr="00C9343F" w:rsidRDefault="005F44BC" w:rsidP="00F66D98">
            <w:pPr>
              <w:pStyle w:val="TableTextArial-left"/>
              <w:numPr>
                <w:ilvl w:val="0"/>
                <w:numId w:val="36"/>
              </w:numPr>
              <w:tabs>
                <w:tab w:val="clear" w:pos="720"/>
                <w:tab w:val="num" w:pos="459"/>
              </w:tabs>
              <w:ind w:left="459" w:hanging="284"/>
            </w:pPr>
            <w:r w:rsidRPr="00C9343F">
              <w:t>[</w:t>
            </w:r>
            <w:r w:rsidRPr="00C9343F">
              <w:rPr>
                <w:i/>
              </w:rPr>
              <w:t>Insert number</w:t>
            </w:r>
            <w:r w:rsidRPr="00C9343F">
              <w:t>] of additional reunion travel under Chapter 9 Part 3 Division 4.</w:t>
            </w:r>
          </w:p>
          <w:p w14:paraId="1D0A5A21" w14:textId="77777777" w:rsidR="005F44BC" w:rsidRPr="00C9343F" w:rsidRDefault="005F44BC" w:rsidP="00F66D98">
            <w:pPr>
              <w:pStyle w:val="TableTextArial-left"/>
              <w:numPr>
                <w:ilvl w:val="0"/>
                <w:numId w:val="36"/>
              </w:numPr>
              <w:tabs>
                <w:tab w:val="clear" w:pos="720"/>
                <w:tab w:val="num" w:pos="459"/>
              </w:tabs>
              <w:ind w:left="459" w:hanging="284"/>
            </w:pPr>
            <w:r w:rsidRPr="00C9343F">
              <w:t>[</w:t>
            </w:r>
            <w:r w:rsidRPr="00C9343F">
              <w:rPr>
                <w:i/>
              </w:rPr>
              <w:t>Insert number</w:t>
            </w:r>
            <w:r w:rsidRPr="00C9343F">
              <w:t>] of additional student reunion travel under Chapter 9 Part 3 Division 5.</w:t>
            </w:r>
          </w:p>
          <w:p w14:paraId="31306A7F" w14:textId="77777777" w:rsidR="005F44BC" w:rsidRPr="00C9343F" w:rsidRDefault="005F44BC" w:rsidP="00F66D98">
            <w:pPr>
              <w:pStyle w:val="TableTextArial-left"/>
              <w:numPr>
                <w:ilvl w:val="0"/>
                <w:numId w:val="36"/>
              </w:numPr>
              <w:tabs>
                <w:tab w:val="clear" w:pos="720"/>
                <w:tab w:val="num" w:pos="459"/>
              </w:tabs>
              <w:ind w:left="459" w:hanging="284"/>
            </w:pPr>
            <w:r w:rsidRPr="00C9343F">
              <w:t>[</w:t>
            </w:r>
            <w:r w:rsidRPr="00C9343F">
              <w:rPr>
                <w:i/>
              </w:rPr>
              <w:t>Insert number</w:t>
            </w:r>
            <w:r w:rsidRPr="00C9343F">
              <w:t>] of additional recreation leave travel under Chapter 9 Part 4 Division 1.</w:t>
            </w:r>
          </w:p>
          <w:p w14:paraId="2972610E" w14:textId="77777777" w:rsidR="005F44BC" w:rsidRPr="00C9343F" w:rsidRDefault="005F44BC" w:rsidP="00F66D98">
            <w:pPr>
              <w:pStyle w:val="TableTextArial-left"/>
              <w:numPr>
                <w:ilvl w:val="0"/>
                <w:numId w:val="36"/>
              </w:numPr>
              <w:tabs>
                <w:tab w:val="clear" w:pos="720"/>
                <w:tab w:val="num" w:pos="459"/>
              </w:tabs>
              <w:ind w:left="459" w:hanging="284"/>
            </w:pPr>
            <w:r w:rsidRPr="00C9343F">
              <w:t>[</w:t>
            </w:r>
            <w:r w:rsidRPr="00C9343F">
              <w:rPr>
                <w:i/>
              </w:rPr>
              <w:t>Insert number</w:t>
            </w:r>
            <w:r w:rsidRPr="00C9343F">
              <w:t>] of additional remote location leave travel under Chapter 9 Part 4 Division 4.</w:t>
            </w:r>
          </w:p>
        </w:tc>
        <w:tc>
          <w:tcPr>
            <w:tcW w:w="2083" w:type="dxa"/>
            <w:shd w:val="clear" w:color="auto" w:fill="auto"/>
          </w:tcPr>
          <w:p w14:paraId="2402248A" w14:textId="77777777" w:rsidR="005F44BC" w:rsidRPr="00C9343F" w:rsidRDefault="005F44BC" w:rsidP="00F66D98">
            <w:pPr>
              <w:rPr>
                <w:sz w:val="20"/>
              </w:rPr>
            </w:pPr>
            <w:r w:rsidRPr="00C9343F">
              <w:rPr>
                <w:sz w:val="20"/>
              </w:rPr>
              <w:t>[</w:t>
            </w:r>
            <w:r w:rsidRPr="00C9343F">
              <w:rPr>
                <w:i/>
                <w:sz w:val="20"/>
              </w:rPr>
              <w:t xml:space="preserve">insert date that the </w:t>
            </w:r>
            <w:r w:rsidRPr="00C9343F">
              <w:rPr>
                <w:sz w:val="20"/>
              </w:rPr>
              <w:t>agreed period of service</w:t>
            </w:r>
            <w:r w:rsidRPr="00C9343F">
              <w:rPr>
                <w:i/>
                <w:sz w:val="20"/>
              </w:rPr>
              <w:t xml:space="preserve"> begins</w:t>
            </w:r>
            <w:r w:rsidRPr="00C9343F">
              <w:rPr>
                <w:sz w:val="20"/>
              </w:rPr>
              <w:t>].</w:t>
            </w:r>
          </w:p>
        </w:tc>
        <w:tc>
          <w:tcPr>
            <w:tcW w:w="1794" w:type="dxa"/>
            <w:shd w:val="clear" w:color="auto" w:fill="auto"/>
          </w:tcPr>
          <w:p w14:paraId="01407C6E" w14:textId="77777777" w:rsidR="005F44BC" w:rsidRPr="00C9343F" w:rsidRDefault="005F44BC" w:rsidP="00F66D98">
            <w:pPr>
              <w:rPr>
                <w:sz w:val="20"/>
              </w:rPr>
            </w:pPr>
            <w:r w:rsidRPr="00C9343F">
              <w:rPr>
                <w:sz w:val="20"/>
              </w:rPr>
              <w:t>the earlier of the following dates.</w:t>
            </w:r>
          </w:p>
          <w:p w14:paraId="21F24794" w14:textId="77777777" w:rsidR="005F44BC" w:rsidRPr="00C9343F" w:rsidRDefault="005F44BC" w:rsidP="00F66D98">
            <w:pPr>
              <w:rPr>
                <w:sz w:val="20"/>
              </w:rPr>
            </w:pPr>
            <w:r w:rsidRPr="00C9343F">
              <w:rPr>
                <w:sz w:val="20"/>
              </w:rPr>
              <w:t>a. [</w:t>
            </w:r>
            <w:r w:rsidRPr="00C9343F">
              <w:rPr>
                <w:i/>
                <w:sz w:val="20"/>
              </w:rPr>
              <w:t xml:space="preserve">insert date that is the expiry of the </w:t>
            </w:r>
            <w:r w:rsidRPr="00C9343F">
              <w:rPr>
                <w:sz w:val="20"/>
              </w:rPr>
              <w:t>agreed period of service]</w:t>
            </w:r>
          </w:p>
          <w:p w14:paraId="66B0B468" w14:textId="77777777" w:rsidR="005F44BC" w:rsidRPr="00C9343F" w:rsidRDefault="005F44BC" w:rsidP="00F66D98">
            <w:pPr>
              <w:rPr>
                <w:sz w:val="20"/>
              </w:rPr>
            </w:pPr>
            <w:r w:rsidRPr="00C9343F">
              <w:rPr>
                <w:sz w:val="20"/>
              </w:rPr>
              <w:t>b. [</w:t>
            </w:r>
            <w:r w:rsidRPr="00C9343F">
              <w:rPr>
                <w:i/>
                <w:sz w:val="20"/>
              </w:rPr>
              <w:t>insert date specified by CDF</w:t>
            </w:r>
            <w:r w:rsidRPr="00C9343F">
              <w:rPr>
                <w:sz w:val="20"/>
              </w:rPr>
              <w:t>].</w:t>
            </w:r>
          </w:p>
        </w:tc>
      </w:tr>
    </w:tbl>
    <w:p w14:paraId="13ABE1D3" w14:textId="77777777" w:rsidR="00950E66" w:rsidRPr="00C9343F" w:rsidRDefault="00950E66" w:rsidP="00F66D98">
      <w:r w:rsidRPr="00C9343F">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29"/>
        <w:gridCol w:w="4805"/>
        <w:gridCol w:w="2038"/>
        <w:gridCol w:w="1759"/>
      </w:tblGrid>
      <w:tr w:rsidR="00950E66" w:rsidRPr="00C9343F" w14:paraId="3F666A46" w14:textId="77777777" w:rsidTr="00D81CEA">
        <w:tc>
          <w:tcPr>
            <w:tcW w:w="628" w:type="dxa"/>
            <w:shd w:val="clear" w:color="auto" w:fill="auto"/>
          </w:tcPr>
          <w:p w14:paraId="44031D11" w14:textId="77777777" w:rsidR="00950E66" w:rsidRPr="00C9343F" w:rsidRDefault="00950E66" w:rsidP="00F66D98">
            <w:pPr>
              <w:jc w:val="center"/>
              <w:rPr>
                <w:rFonts w:ascii="Arial (W1)" w:hAnsi="Arial (W1)"/>
                <w:b/>
                <w:sz w:val="20"/>
                <w:szCs w:val="22"/>
              </w:rPr>
            </w:pPr>
            <w:r w:rsidRPr="00C9343F">
              <w:rPr>
                <w:rFonts w:ascii="Arial (W1)" w:hAnsi="Arial (W1)"/>
                <w:b/>
                <w:sz w:val="20"/>
                <w:szCs w:val="22"/>
              </w:rPr>
              <w:lastRenderedPageBreak/>
              <w:t>Item</w:t>
            </w:r>
          </w:p>
        </w:tc>
        <w:tc>
          <w:tcPr>
            <w:tcW w:w="4957" w:type="dxa"/>
            <w:shd w:val="clear" w:color="auto" w:fill="auto"/>
          </w:tcPr>
          <w:p w14:paraId="467EDE9B" w14:textId="77777777" w:rsidR="00950E66" w:rsidRPr="00C9343F" w:rsidRDefault="00950E66" w:rsidP="00F66D98">
            <w:pPr>
              <w:jc w:val="center"/>
              <w:rPr>
                <w:rFonts w:ascii="Arial (W1)" w:hAnsi="Arial (W1)"/>
                <w:b/>
                <w:sz w:val="20"/>
                <w:szCs w:val="22"/>
              </w:rPr>
            </w:pPr>
            <w:r w:rsidRPr="00C9343F">
              <w:rPr>
                <w:rFonts w:ascii="Arial (W1)" w:hAnsi="Arial (W1)"/>
                <w:b/>
                <w:sz w:val="20"/>
                <w:szCs w:val="22"/>
              </w:rPr>
              <w:t>Description of Benefit</w:t>
            </w:r>
          </w:p>
        </w:tc>
        <w:tc>
          <w:tcPr>
            <w:tcW w:w="2083" w:type="dxa"/>
            <w:shd w:val="clear" w:color="auto" w:fill="auto"/>
          </w:tcPr>
          <w:p w14:paraId="0C2EBA73" w14:textId="1B12AE31" w:rsidR="00950E66" w:rsidRPr="00C9343F" w:rsidRDefault="00950E66" w:rsidP="00F66D98">
            <w:pPr>
              <w:jc w:val="center"/>
              <w:rPr>
                <w:rFonts w:ascii="Arial (W1)" w:hAnsi="Arial (W1)"/>
                <w:b/>
                <w:sz w:val="20"/>
                <w:szCs w:val="22"/>
              </w:rPr>
            </w:pPr>
            <w:r w:rsidRPr="00C9343F">
              <w:rPr>
                <w:rFonts w:ascii="Arial (W1)" w:hAnsi="Arial (W1)"/>
                <w:b/>
                <w:sz w:val="20"/>
                <w:szCs w:val="22"/>
              </w:rPr>
              <w:t>Benefit available from</w:t>
            </w:r>
            <w:r w:rsidR="00D94006" w:rsidRPr="00C9343F">
              <w:rPr>
                <w:rFonts w:ascii="Arial (W1)" w:hAnsi="Arial (W1)"/>
                <w:b/>
                <w:sz w:val="20"/>
                <w:szCs w:val="22"/>
              </w:rPr>
              <w:t>    </w:t>
            </w:r>
          </w:p>
        </w:tc>
        <w:tc>
          <w:tcPr>
            <w:tcW w:w="1794" w:type="dxa"/>
            <w:shd w:val="clear" w:color="auto" w:fill="auto"/>
          </w:tcPr>
          <w:p w14:paraId="77B394F5" w14:textId="4C9D2A60" w:rsidR="00950E66" w:rsidRPr="00C9343F" w:rsidRDefault="00950E66" w:rsidP="00F66D98">
            <w:pPr>
              <w:jc w:val="center"/>
              <w:rPr>
                <w:rFonts w:ascii="Arial (W1)" w:hAnsi="Arial (W1)"/>
                <w:b/>
                <w:sz w:val="20"/>
                <w:szCs w:val="22"/>
              </w:rPr>
            </w:pPr>
            <w:r w:rsidRPr="00C9343F">
              <w:rPr>
                <w:rFonts w:ascii="Arial (W1)" w:hAnsi="Arial (W1)"/>
                <w:b/>
                <w:sz w:val="20"/>
                <w:szCs w:val="22"/>
              </w:rPr>
              <w:t>until</w:t>
            </w:r>
            <w:r w:rsidR="00D94006" w:rsidRPr="00C9343F">
              <w:rPr>
                <w:rFonts w:ascii="Arial (W1)" w:hAnsi="Arial (W1)"/>
                <w:b/>
                <w:sz w:val="20"/>
                <w:szCs w:val="22"/>
              </w:rPr>
              <w:t>    </w:t>
            </w:r>
          </w:p>
        </w:tc>
      </w:tr>
      <w:tr w:rsidR="005F44BC" w:rsidRPr="00C9343F" w14:paraId="4EECC772" w14:textId="77777777" w:rsidTr="00D81CEA">
        <w:tc>
          <w:tcPr>
            <w:tcW w:w="628" w:type="dxa"/>
            <w:shd w:val="clear" w:color="auto" w:fill="auto"/>
          </w:tcPr>
          <w:p w14:paraId="5707CF3A" w14:textId="77777777" w:rsidR="005F44BC" w:rsidRPr="00C9343F" w:rsidRDefault="005F44BC" w:rsidP="00F66D98">
            <w:pPr>
              <w:jc w:val="center"/>
              <w:rPr>
                <w:szCs w:val="22"/>
              </w:rPr>
            </w:pPr>
            <w:r w:rsidRPr="00C9343F">
              <w:rPr>
                <w:rFonts w:ascii="Arial (W1)" w:hAnsi="Arial (W1)"/>
                <w:sz w:val="20"/>
                <w:szCs w:val="22"/>
              </w:rPr>
              <w:t>6.</w:t>
            </w:r>
          </w:p>
        </w:tc>
        <w:tc>
          <w:tcPr>
            <w:tcW w:w="4957" w:type="dxa"/>
            <w:shd w:val="clear" w:color="auto" w:fill="auto"/>
          </w:tcPr>
          <w:p w14:paraId="61A5CF11" w14:textId="77777777" w:rsidR="005F44BC" w:rsidRPr="00C9343F" w:rsidRDefault="005F44BC" w:rsidP="00F66D98">
            <w:pPr>
              <w:pStyle w:val="TableTextArial-left"/>
              <w:spacing w:after="120"/>
            </w:pPr>
            <w:r w:rsidRPr="00C9343F">
              <w:t>[</w:t>
            </w:r>
            <w:r w:rsidRPr="00C9343F">
              <w:rPr>
                <w:i/>
              </w:rPr>
              <w:t>Insert number</w:t>
            </w:r>
            <w:r w:rsidRPr="00C9343F">
              <w:t>] days of paid leave per calendar year in addition to the member's normal leave accrual.</w:t>
            </w:r>
          </w:p>
          <w:p w14:paraId="3105A7B4" w14:textId="77777777" w:rsidR="005F44BC" w:rsidRPr="00C9343F" w:rsidRDefault="005F44BC" w:rsidP="00F66D98">
            <w:pPr>
              <w:pStyle w:val="TableTextArial-left"/>
            </w:pPr>
            <w:r w:rsidRPr="00C9343F">
              <w:rPr>
                <w:b/>
              </w:rPr>
              <w:t>Note:</w:t>
            </w:r>
            <w:r w:rsidRPr="00C9343F">
              <w:t xml:space="preserve"> This leave is not accruable and expires at the end of each 12 month period. It will not be paid in lieu.</w:t>
            </w:r>
          </w:p>
        </w:tc>
        <w:tc>
          <w:tcPr>
            <w:tcW w:w="2083" w:type="dxa"/>
            <w:shd w:val="clear" w:color="auto" w:fill="auto"/>
          </w:tcPr>
          <w:p w14:paraId="40FF66C7" w14:textId="77777777" w:rsidR="005F44BC" w:rsidRPr="00C9343F" w:rsidRDefault="005F44BC" w:rsidP="00F66D98">
            <w:pPr>
              <w:rPr>
                <w:sz w:val="20"/>
              </w:rPr>
            </w:pPr>
            <w:r w:rsidRPr="00C9343F">
              <w:rPr>
                <w:sz w:val="20"/>
              </w:rPr>
              <w:t>[</w:t>
            </w:r>
            <w:r w:rsidRPr="00C9343F">
              <w:rPr>
                <w:i/>
                <w:sz w:val="20"/>
              </w:rPr>
              <w:t xml:space="preserve">insert date that the </w:t>
            </w:r>
            <w:r w:rsidRPr="00C9343F">
              <w:rPr>
                <w:sz w:val="20"/>
              </w:rPr>
              <w:t>agreed period of service</w:t>
            </w:r>
            <w:r w:rsidRPr="00C9343F">
              <w:rPr>
                <w:i/>
                <w:sz w:val="20"/>
              </w:rPr>
              <w:t xml:space="preserve"> begins</w:t>
            </w:r>
            <w:r w:rsidRPr="00C9343F">
              <w:rPr>
                <w:sz w:val="20"/>
              </w:rPr>
              <w:t>].</w:t>
            </w:r>
          </w:p>
        </w:tc>
        <w:tc>
          <w:tcPr>
            <w:tcW w:w="1794" w:type="dxa"/>
            <w:shd w:val="clear" w:color="auto" w:fill="auto"/>
          </w:tcPr>
          <w:p w14:paraId="2116B796" w14:textId="77777777" w:rsidR="005F44BC" w:rsidRPr="00C9343F" w:rsidRDefault="005F44BC" w:rsidP="00F66D98">
            <w:pPr>
              <w:rPr>
                <w:sz w:val="20"/>
              </w:rPr>
            </w:pPr>
            <w:r w:rsidRPr="00C9343F">
              <w:rPr>
                <w:sz w:val="20"/>
              </w:rPr>
              <w:t>the earlier of the following dates.</w:t>
            </w:r>
          </w:p>
          <w:p w14:paraId="7F8DC06B" w14:textId="77777777" w:rsidR="005F44BC" w:rsidRPr="00C9343F" w:rsidRDefault="005F44BC" w:rsidP="00F66D98">
            <w:pPr>
              <w:rPr>
                <w:sz w:val="20"/>
              </w:rPr>
            </w:pPr>
            <w:r w:rsidRPr="00C9343F">
              <w:rPr>
                <w:sz w:val="20"/>
              </w:rPr>
              <w:t>a. [</w:t>
            </w:r>
            <w:r w:rsidRPr="00C9343F">
              <w:rPr>
                <w:i/>
                <w:sz w:val="20"/>
              </w:rPr>
              <w:t xml:space="preserve">insert date that is the expiry of the </w:t>
            </w:r>
            <w:r w:rsidRPr="00C9343F">
              <w:rPr>
                <w:sz w:val="20"/>
              </w:rPr>
              <w:t>agreed period of service]</w:t>
            </w:r>
          </w:p>
          <w:p w14:paraId="7C1BBB49" w14:textId="77777777" w:rsidR="005F44BC" w:rsidRPr="00C9343F" w:rsidRDefault="005F44BC" w:rsidP="00F66D98">
            <w:pPr>
              <w:pStyle w:val="TableTextArial-left"/>
            </w:pPr>
            <w:r w:rsidRPr="00C9343F">
              <w:t>b. [</w:t>
            </w:r>
            <w:r w:rsidRPr="00C9343F">
              <w:rPr>
                <w:i/>
              </w:rPr>
              <w:t>insert date specified by CDF</w:t>
            </w:r>
            <w:r w:rsidRPr="00C9343F">
              <w:t>].</w:t>
            </w:r>
          </w:p>
        </w:tc>
      </w:tr>
      <w:tr w:rsidR="005F44BC" w:rsidRPr="00C9343F" w14:paraId="2261EC03" w14:textId="77777777" w:rsidTr="00D81CEA">
        <w:tc>
          <w:tcPr>
            <w:tcW w:w="628" w:type="dxa"/>
            <w:shd w:val="clear" w:color="auto" w:fill="auto"/>
          </w:tcPr>
          <w:p w14:paraId="6CAC37DA" w14:textId="77777777" w:rsidR="005F44BC" w:rsidRPr="00C9343F" w:rsidRDefault="005F44BC" w:rsidP="00F66D98">
            <w:pPr>
              <w:jc w:val="center"/>
              <w:rPr>
                <w:szCs w:val="22"/>
              </w:rPr>
            </w:pPr>
            <w:r w:rsidRPr="00C9343F">
              <w:rPr>
                <w:rFonts w:ascii="Arial (W1)" w:hAnsi="Arial (W1)"/>
                <w:sz w:val="20"/>
                <w:szCs w:val="22"/>
              </w:rPr>
              <w:t>7.</w:t>
            </w:r>
          </w:p>
        </w:tc>
        <w:tc>
          <w:tcPr>
            <w:tcW w:w="4957" w:type="dxa"/>
            <w:shd w:val="clear" w:color="auto" w:fill="auto"/>
          </w:tcPr>
          <w:p w14:paraId="25E7A56D" w14:textId="77777777" w:rsidR="005F44BC" w:rsidRPr="00C9343F" w:rsidRDefault="005F44BC" w:rsidP="00F66D98">
            <w:pPr>
              <w:pStyle w:val="TableTextArial-left"/>
            </w:pPr>
            <w:r w:rsidRPr="00C9343F">
              <w:t xml:space="preserve">Flexible working arrangements provided </w:t>
            </w:r>
            <w:r w:rsidR="00017AD9" w:rsidRPr="00C9343F">
              <w:t>by Defence</w:t>
            </w:r>
            <w:r w:rsidRPr="00C9343F">
              <w:rPr>
                <w:i/>
              </w:rPr>
              <w:t>.</w:t>
            </w:r>
            <w:r w:rsidRPr="00C9343F">
              <w:t xml:space="preserve"> </w:t>
            </w:r>
          </w:p>
          <w:p w14:paraId="42C20A8F" w14:textId="77777777" w:rsidR="005F44BC" w:rsidRPr="00C9343F" w:rsidRDefault="005F44BC" w:rsidP="00F66D98">
            <w:pPr>
              <w:pStyle w:val="TableTextArial-left"/>
            </w:pPr>
            <w:r w:rsidRPr="00C9343F">
              <w:t>[</w:t>
            </w:r>
            <w:r w:rsidRPr="00C9343F">
              <w:rPr>
                <w:i/>
              </w:rPr>
              <w:t>Insert specific details of agreed flexible working arrangements</w:t>
            </w:r>
            <w:r w:rsidRPr="00C9343F">
              <w:t>]</w:t>
            </w:r>
          </w:p>
        </w:tc>
        <w:tc>
          <w:tcPr>
            <w:tcW w:w="2083" w:type="dxa"/>
            <w:shd w:val="clear" w:color="auto" w:fill="auto"/>
          </w:tcPr>
          <w:p w14:paraId="291BE020" w14:textId="77777777" w:rsidR="005F44BC" w:rsidRPr="00C9343F" w:rsidRDefault="005F44BC" w:rsidP="00F66D98">
            <w:pPr>
              <w:pStyle w:val="TableTextArial-left"/>
              <w:rPr>
                <w:rFonts w:cs="Arial"/>
              </w:rPr>
            </w:pPr>
            <w:r w:rsidRPr="00C9343F">
              <w:t>[</w:t>
            </w:r>
            <w:r w:rsidRPr="00C9343F">
              <w:rPr>
                <w:i/>
              </w:rPr>
              <w:t xml:space="preserve">insert date that the </w:t>
            </w:r>
            <w:r w:rsidRPr="00C9343F">
              <w:t>agreed period of service</w:t>
            </w:r>
            <w:r w:rsidRPr="00C9343F">
              <w:rPr>
                <w:i/>
              </w:rPr>
              <w:t xml:space="preserve"> begins</w:t>
            </w:r>
            <w:r w:rsidRPr="00C9343F">
              <w:t>].</w:t>
            </w:r>
          </w:p>
        </w:tc>
        <w:tc>
          <w:tcPr>
            <w:tcW w:w="1794" w:type="dxa"/>
            <w:shd w:val="clear" w:color="auto" w:fill="auto"/>
          </w:tcPr>
          <w:p w14:paraId="2D71ECBD" w14:textId="77777777" w:rsidR="005F44BC" w:rsidRPr="00C9343F" w:rsidRDefault="005F44BC" w:rsidP="00F66D98">
            <w:pPr>
              <w:rPr>
                <w:sz w:val="20"/>
              </w:rPr>
            </w:pPr>
            <w:r w:rsidRPr="00C9343F">
              <w:rPr>
                <w:sz w:val="20"/>
              </w:rPr>
              <w:t>the earlier of the following dates.</w:t>
            </w:r>
          </w:p>
          <w:p w14:paraId="0693E295" w14:textId="77777777" w:rsidR="005F44BC" w:rsidRPr="00C9343F" w:rsidRDefault="005F44BC" w:rsidP="00F66D98">
            <w:pPr>
              <w:rPr>
                <w:sz w:val="20"/>
              </w:rPr>
            </w:pPr>
            <w:r w:rsidRPr="00C9343F">
              <w:rPr>
                <w:sz w:val="20"/>
              </w:rPr>
              <w:t>a. [</w:t>
            </w:r>
            <w:r w:rsidRPr="00C9343F">
              <w:rPr>
                <w:i/>
                <w:sz w:val="20"/>
              </w:rPr>
              <w:t xml:space="preserve">insert date that is the expiry of the </w:t>
            </w:r>
            <w:r w:rsidRPr="00C9343F">
              <w:rPr>
                <w:sz w:val="20"/>
              </w:rPr>
              <w:t>agreed period of service]</w:t>
            </w:r>
          </w:p>
          <w:p w14:paraId="72683263" w14:textId="77777777" w:rsidR="005F44BC" w:rsidRPr="00C9343F" w:rsidRDefault="005F44BC" w:rsidP="00F66D98">
            <w:pPr>
              <w:pStyle w:val="TableTextArial-left"/>
            </w:pPr>
            <w:r w:rsidRPr="00C9343F">
              <w:t>b. [</w:t>
            </w:r>
            <w:r w:rsidRPr="00C9343F">
              <w:rPr>
                <w:i/>
              </w:rPr>
              <w:t>insert date specified by CDF</w:t>
            </w:r>
            <w:r w:rsidRPr="00C9343F">
              <w:t>].</w:t>
            </w:r>
          </w:p>
        </w:tc>
      </w:tr>
    </w:tbl>
    <w:p w14:paraId="21A8063C" w14:textId="77777777" w:rsidR="005F44BC" w:rsidRPr="00C9343F" w:rsidRDefault="005F44BC" w:rsidP="00F66D98">
      <w:pPr>
        <w:pStyle w:val="BlockText-Plain"/>
        <w:spacing w:after="0"/>
        <w:rPr>
          <w:rFonts w:cs="Arial"/>
        </w:rPr>
      </w:pPr>
    </w:p>
    <w:p w14:paraId="4603E8CA" w14:textId="77777777" w:rsidR="005F44BC" w:rsidRPr="00C9343F" w:rsidRDefault="005F44BC" w:rsidP="00F66D98">
      <w:pPr>
        <w:pStyle w:val="BlockText-Plain"/>
        <w:spacing w:after="0"/>
        <w:rPr>
          <w:rFonts w:cs="Arial"/>
        </w:rPr>
      </w:pPr>
      <w:r w:rsidRPr="00C9343F">
        <w:t>A retention bonus may also be offered under Chapter 3 Part 5 Division 2, Bonus framework, at the same time as this deliberately differentiated offer.  A retention bonus is separate from this offer. [</w:t>
      </w:r>
      <w:r w:rsidRPr="00C9343F">
        <w:rPr>
          <w:i/>
        </w:rPr>
        <w:t>delete as appropriate</w:t>
      </w:r>
      <w:r w:rsidRPr="00C9343F">
        <w:t>]</w:t>
      </w:r>
    </w:p>
    <w:p w14:paraId="1F0661AE" w14:textId="77777777" w:rsidR="005F44BC" w:rsidRPr="00C9343F" w:rsidRDefault="005F44BC" w:rsidP="00F66D98">
      <w:pPr>
        <w:pStyle w:val="BlockText-Plain"/>
        <w:spacing w:after="0"/>
        <w:rPr>
          <w:rFonts w:cs="Arial"/>
        </w:rPr>
      </w:pPr>
    </w:p>
    <w:p w14:paraId="52DE10F3" w14:textId="77777777" w:rsidR="005F44BC" w:rsidRPr="00C9343F" w:rsidRDefault="005F44BC" w:rsidP="00F66D98">
      <w:pPr>
        <w:pStyle w:val="BlockText-Plain"/>
        <w:spacing w:after="0"/>
        <w:rPr>
          <w:rFonts w:cs="Arial"/>
        </w:rPr>
      </w:pPr>
      <w:r w:rsidRPr="00C9343F">
        <w:rPr>
          <w:rFonts w:cs="Arial"/>
        </w:rPr>
        <w:t>Signed by:</w:t>
      </w:r>
    </w:p>
    <w:p w14:paraId="2C3D11B8" w14:textId="77777777" w:rsidR="005F44BC" w:rsidRPr="00C9343F" w:rsidRDefault="005F44BC" w:rsidP="00F66D98">
      <w:pPr>
        <w:pStyle w:val="BlockText-Plain"/>
        <w:spacing w:after="0"/>
        <w:rPr>
          <w:rFonts w:cs="Arial"/>
        </w:rPr>
      </w:pPr>
    </w:p>
    <w:p w14:paraId="3DDD98B6" w14:textId="77777777" w:rsidR="005F44BC" w:rsidRPr="00C9343F" w:rsidRDefault="005F44BC" w:rsidP="00F66D98">
      <w:pPr>
        <w:pStyle w:val="BlockText-Plain"/>
        <w:spacing w:after="0"/>
        <w:rPr>
          <w:rFonts w:cs="Arial"/>
        </w:rPr>
      </w:pPr>
    </w:p>
    <w:p w14:paraId="793841ED" w14:textId="05382405" w:rsidR="005F44BC" w:rsidRPr="00C9343F" w:rsidRDefault="005F44BC" w:rsidP="00F66D98">
      <w:pPr>
        <w:pStyle w:val="BlockText-Plain"/>
        <w:spacing w:after="0"/>
        <w:rPr>
          <w:rFonts w:cs="Arial"/>
        </w:rPr>
      </w:pPr>
      <w:r w:rsidRPr="00C9343F">
        <w:rPr>
          <w:rFonts w:cs="Arial"/>
        </w:rPr>
        <w:t>Name:</w:t>
      </w:r>
      <w:r w:rsidR="00D94006" w:rsidRPr="00C9343F">
        <w:rPr>
          <w:rFonts w:cs="Arial"/>
        </w:rPr>
        <w:t>                                                                                                       </w:t>
      </w:r>
      <w:r w:rsidRPr="00C9343F">
        <w:rPr>
          <w:rFonts w:cs="Arial"/>
        </w:rPr>
        <w:t>Rank:</w:t>
      </w:r>
      <w:r w:rsidR="00D94006" w:rsidRPr="00C9343F">
        <w:rPr>
          <w:rFonts w:cs="Arial"/>
        </w:rPr>
        <w:t>                                                                    </w:t>
      </w:r>
      <w:r w:rsidRPr="00C9343F">
        <w:rPr>
          <w:rFonts w:cs="Arial"/>
        </w:rPr>
        <w:t>Date:</w:t>
      </w:r>
      <w:r w:rsidR="00D94006" w:rsidRPr="00C9343F">
        <w:rPr>
          <w:rFonts w:cs="Arial"/>
        </w:rPr>
        <w:t>                          </w:t>
      </w:r>
      <w:r w:rsidRPr="00C9343F">
        <w:rPr>
          <w:rFonts w:cs="Arial"/>
        </w:rPr>
        <w:t>.</w:t>
      </w:r>
    </w:p>
    <w:p w14:paraId="7E4609B2" w14:textId="77777777" w:rsidR="005F44BC" w:rsidRPr="00C9343F" w:rsidRDefault="005F44BC" w:rsidP="00F66D98">
      <w:pPr>
        <w:pStyle w:val="BlockText-Plain"/>
        <w:spacing w:after="0"/>
        <w:rPr>
          <w:rFonts w:cs="Arial"/>
        </w:rPr>
      </w:pPr>
      <w:r w:rsidRPr="00C9343F">
        <w:t>Director General Navy People</w:t>
      </w:r>
      <w:r w:rsidRPr="00C9343F">
        <w:rPr>
          <w:rFonts w:cs="Arial"/>
        </w:rPr>
        <w:t>/</w:t>
      </w:r>
      <w:r w:rsidR="00C646A1" w:rsidRPr="00C9343F">
        <w:rPr>
          <w:iCs/>
        </w:rPr>
        <w:t xml:space="preserve"> Director General Army People Capability</w:t>
      </w:r>
      <w:r w:rsidR="00C646A1" w:rsidRPr="00C9343F">
        <w:rPr>
          <w:rFonts w:cs="Arial"/>
        </w:rPr>
        <w:t xml:space="preserve"> </w:t>
      </w:r>
      <w:r w:rsidRPr="00C9343F">
        <w:rPr>
          <w:rFonts w:cs="Arial"/>
        </w:rPr>
        <w:t>/Director General Personnel – Air Force [</w:t>
      </w:r>
      <w:r w:rsidRPr="00C9343F">
        <w:rPr>
          <w:rFonts w:cs="Arial"/>
          <w:i/>
        </w:rPr>
        <w:t>delete whichever is irrelevant</w:t>
      </w:r>
      <w:r w:rsidRPr="00C9343F">
        <w:rPr>
          <w:rFonts w:cs="Arial"/>
        </w:rPr>
        <w:t xml:space="preserve">].  </w:t>
      </w:r>
    </w:p>
    <w:p w14:paraId="6A493FD8" w14:textId="77777777" w:rsidR="005F44BC" w:rsidRPr="00C9343F" w:rsidRDefault="00950E66" w:rsidP="00F66D98">
      <w:pPr>
        <w:pStyle w:val="BlockText-Plain"/>
        <w:spacing w:after="0"/>
        <w:rPr>
          <w:b/>
          <w:sz w:val="24"/>
        </w:rPr>
      </w:pPr>
      <w:r w:rsidRPr="00C9343F">
        <w:rPr>
          <w:b/>
          <w:sz w:val="24"/>
        </w:rPr>
        <w:br w:type="page"/>
      </w:r>
      <w:r w:rsidR="005F44BC" w:rsidRPr="00C9343F">
        <w:rPr>
          <w:b/>
          <w:sz w:val="24"/>
        </w:rPr>
        <w:lastRenderedPageBreak/>
        <w:t xml:space="preserve">Information about the deliberately differentiated offer </w:t>
      </w:r>
    </w:p>
    <w:p w14:paraId="17233A1B" w14:textId="77777777" w:rsidR="005F44BC" w:rsidRPr="00C9343F" w:rsidRDefault="005F44BC" w:rsidP="00F66D98">
      <w:pPr>
        <w:pStyle w:val="BlockText-Plain"/>
        <w:spacing w:after="0"/>
        <w:rPr>
          <w:b/>
          <w:sz w:val="24"/>
        </w:rPr>
      </w:pPr>
    </w:p>
    <w:p w14:paraId="3D78E238" w14:textId="77777777" w:rsidR="005F44BC" w:rsidRPr="00C9343F" w:rsidRDefault="005F44BC" w:rsidP="00F66D98">
      <w:pPr>
        <w:pStyle w:val="BlockText-Plain"/>
        <w:spacing w:after="0"/>
        <w:rPr>
          <w:rFonts w:cs="Arial"/>
        </w:rPr>
      </w:pPr>
      <w:r w:rsidRPr="00C9343F">
        <w:rPr>
          <w:rFonts w:cs="Arial"/>
        </w:rPr>
        <w:t>I understand that my acceptance of this</w:t>
      </w:r>
      <w:r w:rsidRPr="00C9343F">
        <w:t xml:space="preserve"> offer</w:t>
      </w:r>
      <w:r w:rsidRPr="00C9343F">
        <w:rPr>
          <w:rFonts w:cs="Arial"/>
        </w:rPr>
        <w:t xml:space="preserve"> is subject to the following terms and conditions. </w:t>
      </w:r>
    </w:p>
    <w:p w14:paraId="618B51F6" w14:textId="77777777" w:rsidR="005F44BC" w:rsidRPr="00C9343F" w:rsidRDefault="005F44BC" w:rsidP="00F66D98">
      <w:pPr>
        <w:pStyle w:val="BlockText-Plain"/>
        <w:spacing w:after="0"/>
        <w:rPr>
          <w:rFonts w:cs="Arial"/>
        </w:rPr>
      </w:pPr>
    </w:p>
    <w:tbl>
      <w:tblPr>
        <w:tblW w:w="0" w:type="auto"/>
        <w:tblInd w:w="108" w:type="dxa"/>
        <w:tblLayout w:type="fixed"/>
        <w:tblLook w:val="0000" w:firstRow="0" w:lastRow="0" w:firstColumn="0" w:lastColumn="0" w:noHBand="0" w:noVBand="0"/>
      </w:tblPr>
      <w:tblGrid>
        <w:gridCol w:w="993"/>
        <w:gridCol w:w="567"/>
        <w:gridCol w:w="7796"/>
      </w:tblGrid>
      <w:tr w:rsidR="005F44BC" w:rsidRPr="00C9343F" w14:paraId="6BC9ABB0" w14:textId="77777777" w:rsidTr="005F44BC">
        <w:tc>
          <w:tcPr>
            <w:tcW w:w="993" w:type="dxa"/>
          </w:tcPr>
          <w:p w14:paraId="38D43F7B" w14:textId="77777777" w:rsidR="005F44BC" w:rsidRPr="00C9343F" w:rsidRDefault="005F44BC" w:rsidP="00F66D98">
            <w:pPr>
              <w:pStyle w:val="BlockText-Plain"/>
              <w:jc w:val="center"/>
            </w:pPr>
            <w:r w:rsidRPr="00C9343F">
              <w:t>1.</w:t>
            </w:r>
          </w:p>
        </w:tc>
        <w:tc>
          <w:tcPr>
            <w:tcW w:w="8363" w:type="dxa"/>
            <w:gridSpan w:val="2"/>
          </w:tcPr>
          <w:p w14:paraId="419427DA" w14:textId="77777777" w:rsidR="005F44BC" w:rsidRPr="00C9343F" w:rsidRDefault="005F44BC" w:rsidP="00F66D98">
            <w:pPr>
              <w:pStyle w:val="BlockText-Plain"/>
            </w:pPr>
            <w:r w:rsidRPr="00C9343F">
              <w:t>If I accept the deliberately differentiated offer under this Part, I agree to serve for the period specified in this offer.</w:t>
            </w:r>
            <w:bookmarkStart w:id="588" w:name="OLE_LINK14"/>
            <w:r w:rsidRPr="00C9343F">
              <w:t xml:space="preserve"> This period is called my 'agreed period of service'.</w:t>
            </w:r>
            <w:bookmarkEnd w:id="588"/>
            <w:r w:rsidRPr="00C9343F">
              <w:t xml:space="preserve"> The agreed period of service could be for either of the following circumstances:</w:t>
            </w:r>
          </w:p>
        </w:tc>
      </w:tr>
      <w:tr w:rsidR="005F44BC" w:rsidRPr="00C9343F" w14:paraId="22FFD9A5" w14:textId="77777777" w:rsidTr="005F44BC">
        <w:trPr>
          <w:cantSplit/>
        </w:trPr>
        <w:tc>
          <w:tcPr>
            <w:tcW w:w="993" w:type="dxa"/>
          </w:tcPr>
          <w:p w14:paraId="32CC6272" w14:textId="77777777" w:rsidR="005F44BC" w:rsidRPr="00C9343F" w:rsidRDefault="005F44BC" w:rsidP="00F66D98">
            <w:pPr>
              <w:pStyle w:val="BlockText-Plain"/>
            </w:pPr>
          </w:p>
        </w:tc>
        <w:tc>
          <w:tcPr>
            <w:tcW w:w="567" w:type="dxa"/>
          </w:tcPr>
          <w:p w14:paraId="65E96B48" w14:textId="77777777" w:rsidR="005F44BC" w:rsidRPr="00C9343F" w:rsidRDefault="005F44BC" w:rsidP="00B02B54">
            <w:pPr>
              <w:pStyle w:val="BlockText-Plain"/>
              <w:jc w:val="center"/>
            </w:pPr>
            <w:r w:rsidRPr="00C9343F">
              <w:t>a.</w:t>
            </w:r>
          </w:p>
        </w:tc>
        <w:tc>
          <w:tcPr>
            <w:tcW w:w="7796" w:type="dxa"/>
          </w:tcPr>
          <w:p w14:paraId="46C58804" w14:textId="77777777" w:rsidR="005F44BC" w:rsidRPr="00C9343F" w:rsidRDefault="005F44BC" w:rsidP="00F66D98">
            <w:pPr>
              <w:pStyle w:val="BlockText-Plain"/>
            </w:pPr>
            <w:r w:rsidRPr="00C9343F">
              <w:t>In a specified position critical to capability.</w:t>
            </w:r>
          </w:p>
        </w:tc>
      </w:tr>
      <w:tr w:rsidR="005F44BC" w:rsidRPr="00C9343F" w14:paraId="297F01D0" w14:textId="77777777" w:rsidTr="005F44BC">
        <w:trPr>
          <w:cantSplit/>
        </w:trPr>
        <w:tc>
          <w:tcPr>
            <w:tcW w:w="993" w:type="dxa"/>
          </w:tcPr>
          <w:p w14:paraId="4C4D60C3" w14:textId="77777777" w:rsidR="005F44BC" w:rsidRPr="00C9343F" w:rsidRDefault="005F44BC" w:rsidP="00F66D98">
            <w:pPr>
              <w:pStyle w:val="BlockText-Plain"/>
            </w:pPr>
          </w:p>
        </w:tc>
        <w:tc>
          <w:tcPr>
            <w:tcW w:w="567" w:type="dxa"/>
          </w:tcPr>
          <w:p w14:paraId="4F86002A" w14:textId="77777777" w:rsidR="005F44BC" w:rsidRPr="00C9343F" w:rsidRDefault="005F44BC" w:rsidP="00B02B54">
            <w:pPr>
              <w:pStyle w:val="BlockText-Plain"/>
              <w:jc w:val="center"/>
            </w:pPr>
            <w:r w:rsidRPr="00C9343F">
              <w:t>b.</w:t>
            </w:r>
          </w:p>
        </w:tc>
        <w:tc>
          <w:tcPr>
            <w:tcW w:w="7796" w:type="dxa"/>
          </w:tcPr>
          <w:p w14:paraId="62C1379A" w14:textId="77777777" w:rsidR="005F44BC" w:rsidRPr="00C9343F" w:rsidRDefault="005F44BC" w:rsidP="00F66D98">
            <w:pPr>
              <w:pStyle w:val="BlockText-Plain"/>
            </w:pPr>
            <w:r w:rsidRPr="00C9343F">
              <w:t xml:space="preserve">In relation to an identified workforce capability gap, </w:t>
            </w:r>
            <w:r w:rsidRPr="00C9343F">
              <w:rPr>
                <w:rFonts w:cs="Arial"/>
              </w:rPr>
              <w:t>where retention of my skills, knowledge and qualifications is essential to ADF strategic or operational capability.</w:t>
            </w:r>
          </w:p>
        </w:tc>
      </w:tr>
      <w:tr w:rsidR="005F44BC" w:rsidRPr="00C9343F" w14:paraId="62C07340" w14:textId="77777777" w:rsidTr="005F44BC">
        <w:tc>
          <w:tcPr>
            <w:tcW w:w="993" w:type="dxa"/>
          </w:tcPr>
          <w:p w14:paraId="08754D80" w14:textId="77777777" w:rsidR="005F44BC" w:rsidRPr="00C9343F" w:rsidRDefault="005F44BC" w:rsidP="00F66D98">
            <w:pPr>
              <w:pStyle w:val="BlockText-Plain"/>
              <w:jc w:val="center"/>
            </w:pPr>
            <w:r w:rsidRPr="00C9343F">
              <w:t>2.</w:t>
            </w:r>
          </w:p>
        </w:tc>
        <w:tc>
          <w:tcPr>
            <w:tcW w:w="8363" w:type="dxa"/>
            <w:gridSpan w:val="2"/>
          </w:tcPr>
          <w:p w14:paraId="172ADF2D" w14:textId="77777777" w:rsidR="005F44BC" w:rsidRPr="00C9343F" w:rsidRDefault="005F44BC" w:rsidP="00F66D98">
            <w:pPr>
              <w:pStyle w:val="BlockText-Plain"/>
            </w:pPr>
            <w:r w:rsidRPr="00C9343F">
              <w:t>I am entitled to the benefits listed in deliberately differentiated offer that was offered to me, until the day I cease serving toward my agreed period of service.  This could happen when I complete it or if I leave before I complete it.</w:t>
            </w:r>
          </w:p>
        </w:tc>
      </w:tr>
      <w:tr w:rsidR="005F44BC" w:rsidRPr="00C9343F" w14:paraId="07DAC778" w14:textId="77777777" w:rsidTr="005F44BC">
        <w:tc>
          <w:tcPr>
            <w:tcW w:w="993" w:type="dxa"/>
          </w:tcPr>
          <w:p w14:paraId="0C12370B" w14:textId="77777777" w:rsidR="005F44BC" w:rsidRPr="00C9343F" w:rsidRDefault="005F44BC" w:rsidP="00F66D98">
            <w:pPr>
              <w:pStyle w:val="BlockText-Plain"/>
              <w:jc w:val="center"/>
            </w:pPr>
            <w:r w:rsidRPr="00C9343F">
              <w:t>3.</w:t>
            </w:r>
          </w:p>
        </w:tc>
        <w:tc>
          <w:tcPr>
            <w:tcW w:w="8363" w:type="dxa"/>
            <w:gridSpan w:val="2"/>
          </w:tcPr>
          <w:p w14:paraId="31D65DD7" w14:textId="77777777" w:rsidR="005F44BC" w:rsidRPr="00C9343F" w:rsidRDefault="005F44BC" w:rsidP="00F66D98">
            <w:pPr>
              <w:pStyle w:val="BlockText-Plain"/>
              <w:rPr>
                <w:rFonts w:cs="Arial"/>
              </w:rPr>
            </w:pPr>
            <w:r w:rsidRPr="00C9343F">
              <w:t xml:space="preserve">I am aware that Defence will treat the information in this acceptance form as my personal information covered by the </w:t>
            </w:r>
            <w:r w:rsidRPr="00C9343F">
              <w:rPr>
                <w:i/>
              </w:rPr>
              <w:t>Privacy Act 1988</w:t>
            </w:r>
            <w:r w:rsidRPr="00C9343F">
              <w:t xml:space="preserve"> and I consent to Defence using it in de-identified form for reporting and statistical purposes. I am aware that if I publish this information to others, I may make the protections provided to me by the Privacy Act ineffective.</w:t>
            </w:r>
          </w:p>
        </w:tc>
      </w:tr>
    </w:tbl>
    <w:p w14:paraId="6F22E935" w14:textId="77777777" w:rsidR="005F44BC" w:rsidRPr="00C9343F" w:rsidRDefault="005F44BC" w:rsidP="00F66D98">
      <w:pPr>
        <w:rPr>
          <w:rFonts w:cs="Arial"/>
          <w:sz w:val="20"/>
        </w:rPr>
      </w:pPr>
    </w:p>
    <w:p w14:paraId="29599350" w14:textId="77777777" w:rsidR="005F44BC" w:rsidRPr="00C9343F" w:rsidRDefault="005F44BC" w:rsidP="00F66D98">
      <w:pPr>
        <w:rPr>
          <w:rFonts w:cs="Arial"/>
          <w:sz w:val="20"/>
        </w:rPr>
      </w:pPr>
      <w:r w:rsidRPr="00C9343F">
        <w:rPr>
          <w:rFonts w:cs="Arial"/>
          <w:sz w:val="20"/>
        </w:rPr>
        <w:t>Full details of the deliberately differentiated offer framework can be found in Chapter 3 Part 6 of</w:t>
      </w:r>
      <w:r w:rsidRPr="00C9343F">
        <w:rPr>
          <w:rFonts w:cs="Arial"/>
          <w:color w:val="008000"/>
          <w:sz w:val="20"/>
        </w:rPr>
        <w:t xml:space="preserve"> </w:t>
      </w:r>
      <w:r w:rsidRPr="00C9343F">
        <w:rPr>
          <w:rFonts w:cs="Arial"/>
          <w:i/>
          <w:sz w:val="20"/>
        </w:rPr>
        <w:t xml:space="preserve">Defence Determination </w:t>
      </w:r>
      <w:r w:rsidRPr="00C9343F">
        <w:rPr>
          <w:rFonts w:cs="Arial"/>
          <w:i/>
          <w:color w:val="000000"/>
          <w:sz w:val="20"/>
        </w:rPr>
        <w:t>2016/19</w:t>
      </w:r>
      <w:r w:rsidRPr="00C9343F">
        <w:rPr>
          <w:rFonts w:cs="Arial"/>
          <w:i/>
          <w:sz w:val="20"/>
        </w:rPr>
        <w:t>,</w:t>
      </w:r>
      <w:r w:rsidRPr="00C9343F">
        <w:rPr>
          <w:rFonts w:cs="Arial"/>
          <w:sz w:val="20"/>
        </w:rPr>
        <w:t xml:space="preserve"> </w:t>
      </w:r>
      <w:r w:rsidRPr="00C9343F">
        <w:rPr>
          <w:rFonts w:cs="Arial"/>
          <w:i/>
          <w:sz w:val="20"/>
        </w:rPr>
        <w:t>Conditions of service</w:t>
      </w:r>
      <w:r w:rsidRPr="00C9343F">
        <w:rPr>
          <w:rFonts w:cs="Arial"/>
          <w:sz w:val="20"/>
        </w:rPr>
        <w:t>.</w:t>
      </w:r>
    </w:p>
    <w:p w14:paraId="6C751DAE" w14:textId="77777777" w:rsidR="005F44BC" w:rsidRPr="00C9343F" w:rsidRDefault="005F44BC" w:rsidP="00F66D98">
      <w:pPr>
        <w:rPr>
          <w:rFonts w:cs="Arial"/>
          <w:sz w:val="20"/>
        </w:rPr>
      </w:pPr>
    </w:p>
    <w:p w14:paraId="64009033" w14:textId="77777777" w:rsidR="005F44BC" w:rsidRPr="00C9343F" w:rsidRDefault="005F44BC" w:rsidP="00F66D98">
      <w:pPr>
        <w:pStyle w:val="BlockText-Plain"/>
        <w:rPr>
          <w:rFonts w:cs="Arial"/>
        </w:rPr>
      </w:pPr>
      <w:r w:rsidRPr="00C9343F">
        <w:rPr>
          <w:rFonts w:cs="Arial"/>
        </w:rPr>
        <w:t xml:space="preserve">This acceptance form, and the related parts of Defence </w:t>
      </w:r>
      <w:r w:rsidRPr="00C9343F">
        <w:rPr>
          <w:rFonts w:cs="Arial"/>
          <w:color w:val="000000"/>
        </w:rPr>
        <w:t>Determination 2016/19,</w:t>
      </w:r>
      <w:r w:rsidRPr="00C9343F">
        <w:rPr>
          <w:rFonts w:cs="Arial"/>
        </w:rPr>
        <w:t xml:space="preserve"> is the whole agreement between us about the nature of this framework. It overrides any other prior understanding or agreement about the framework. This would include, for instance, things I may have been told about the framework or things I may have read elsewhere. </w:t>
      </w:r>
    </w:p>
    <w:p w14:paraId="0E2A089F" w14:textId="77777777" w:rsidR="005F44BC" w:rsidRPr="00C9343F" w:rsidRDefault="005F44BC" w:rsidP="00F66D98">
      <w:pPr>
        <w:pStyle w:val="BlockText-Plain"/>
        <w:rPr>
          <w:b/>
          <w:bCs/>
          <w:sz w:val="24"/>
        </w:rPr>
      </w:pPr>
      <w:r w:rsidRPr="00C9343F">
        <w:rPr>
          <w:b/>
          <w:bCs/>
          <w:sz w:val="24"/>
        </w:rPr>
        <w:br w:type="page"/>
      </w:r>
      <w:r w:rsidRPr="00C9343F">
        <w:rPr>
          <w:b/>
          <w:bCs/>
          <w:sz w:val="24"/>
        </w:rPr>
        <w:lastRenderedPageBreak/>
        <w:t>Acceptance of offer and undertaking to serve an agreed period</w:t>
      </w:r>
    </w:p>
    <w:tbl>
      <w:tblPr>
        <w:tblW w:w="0" w:type="auto"/>
        <w:tblInd w:w="56" w:type="dxa"/>
        <w:tblLayout w:type="fixed"/>
        <w:tblCellMar>
          <w:left w:w="56" w:type="dxa"/>
          <w:right w:w="56" w:type="dxa"/>
        </w:tblCellMar>
        <w:tblLook w:val="0000" w:firstRow="0" w:lastRow="0" w:firstColumn="0" w:lastColumn="0" w:noHBand="0" w:noVBand="0"/>
      </w:tblPr>
      <w:tblGrid>
        <w:gridCol w:w="567"/>
        <w:gridCol w:w="2929"/>
        <w:gridCol w:w="2930"/>
        <w:gridCol w:w="2930"/>
      </w:tblGrid>
      <w:tr w:rsidR="005F44BC" w:rsidRPr="00C9343F" w14:paraId="7860ABEE" w14:textId="77777777" w:rsidTr="005F44BC">
        <w:trPr>
          <w:cantSplit/>
        </w:trPr>
        <w:tc>
          <w:tcPr>
            <w:tcW w:w="567" w:type="dxa"/>
          </w:tcPr>
          <w:p w14:paraId="7D998616" w14:textId="1C11B5A2" w:rsidR="005F44BC" w:rsidRPr="00C9343F" w:rsidRDefault="005F44BC" w:rsidP="00F66D98">
            <w:pPr>
              <w:pStyle w:val="TableHeaderArial"/>
              <w:rPr>
                <w:b w:val="0"/>
              </w:rPr>
            </w:pPr>
            <w:r w:rsidRPr="00C9343F">
              <w:rPr>
                <w:b w:val="0"/>
              </w:rPr>
              <w:t>I,</w:t>
            </w:r>
            <w:r w:rsidR="00D94006" w:rsidRPr="00C9343F">
              <w:rPr>
                <w:b w:val="0"/>
              </w:rPr>
              <w:t>        </w:t>
            </w:r>
          </w:p>
        </w:tc>
        <w:tc>
          <w:tcPr>
            <w:tcW w:w="2929" w:type="dxa"/>
          </w:tcPr>
          <w:p w14:paraId="05BA0164" w14:textId="77777777" w:rsidR="005F44BC" w:rsidRPr="00C9343F" w:rsidRDefault="005F44BC" w:rsidP="00F66D98">
            <w:pPr>
              <w:pStyle w:val="TableHeaderArial"/>
              <w:rPr>
                <w:b w:val="0"/>
              </w:rPr>
            </w:pPr>
            <w:r w:rsidRPr="00C9343F">
              <w:rPr>
                <w:b w:val="0"/>
              </w:rPr>
              <w:t>……………………………………</w:t>
            </w:r>
          </w:p>
        </w:tc>
        <w:tc>
          <w:tcPr>
            <w:tcW w:w="2930" w:type="dxa"/>
          </w:tcPr>
          <w:p w14:paraId="4BD4157F" w14:textId="77777777" w:rsidR="005F44BC" w:rsidRPr="00C9343F" w:rsidRDefault="005F44BC" w:rsidP="00F66D98">
            <w:pPr>
              <w:pStyle w:val="TableHeaderArial"/>
              <w:rPr>
                <w:b w:val="0"/>
              </w:rPr>
            </w:pPr>
            <w:r w:rsidRPr="00C9343F">
              <w:rPr>
                <w:b w:val="0"/>
              </w:rPr>
              <w:t>……………………………………</w:t>
            </w:r>
          </w:p>
        </w:tc>
        <w:tc>
          <w:tcPr>
            <w:tcW w:w="2930" w:type="dxa"/>
          </w:tcPr>
          <w:p w14:paraId="22497D82" w14:textId="77777777" w:rsidR="005F44BC" w:rsidRPr="00C9343F" w:rsidRDefault="005F44BC" w:rsidP="00F66D98">
            <w:pPr>
              <w:pStyle w:val="TableHeaderArial"/>
              <w:rPr>
                <w:b w:val="0"/>
              </w:rPr>
            </w:pPr>
            <w:r w:rsidRPr="00C9343F">
              <w:rPr>
                <w:b w:val="0"/>
              </w:rPr>
              <w:t>……………………………………</w:t>
            </w:r>
          </w:p>
        </w:tc>
      </w:tr>
      <w:tr w:rsidR="005F44BC" w:rsidRPr="00C9343F" w14:paraId="725CBA47" w14:textId="77777777" w:rsidTr="005F44BC">
        <w:trPr>
          <w:cantSplit/>
        </w:trPr>
        <w:tc>
          <w:tcPr>
            <w:tcW w:w="3496" w:type="dxa"/>
            <w:gridSpan w:val="2"/>
          </w:tcPr>
          <w:p w14:paraId="2FB0C325" w14:textId="77777777" w:rsidR="005F44BC" w:rsidRPr="00C9343F" w:rsidRDefault="005F44BC" w:rsidP="00F66D98">
            <w:pPr>
              <w:pStyle w:val="TableTextArial-left"/>
              <w:jc w:val="center"/>
            </w:pPr>
            <w:r w:rsidRPr="00C9343F">
              <w:t>(Rank)</w:t>
            </w:r>
          </w:p>
        </w:tc>
        <w:tc>
          <w:tcPr>
            <w:tcW w:w="2930" w:type="dxa"/>
          </w:tcPr>
          <w:p w14:paraId="2B3B3BAF" w14:textId="77777777" w:rsidR="005F44BC" w:rsidRPr="00C9343F" w:rsidRDefault="005F44BC" w:rsidP="00F66D98">
            <w:pPr>
              <w:pStyle w:val="TableTextArial-left"/>
              <w:jc w:val="center"/>
            </w:pPr>
            <w:r w:rsidRPr="00C9343F">
              <w:t>(Last name)</w:t>
            </w:r>
          </w:p>
        </w:tc>
        <w:tc>
          <w:tcPr>
            <w:tcW w:w="2930" w:type="dxa"/>
          </w:tcPr>
          <w:p w14:paraId="1A6D68DE" w14:textId="77777777" w:rsidR="005F44BC" w:rsidRPr="00C9343F" w:rsidRDefault="005F44BC" w:rsidP="00F66D98">
            <w:pPr>
              <w:pStyle w:val="TableTextArial-left"/>
              <w:jc w:val="center"/>
            </w:pPr>
            <w:r w:rsidRPr="00C9343F">
              <w:t>(Given name)</w:t>
            </w:r>
          </w:p>
        </w:tc>
      </w:tr>
      <w:tr w:rsidR="005F44BC" w:rsidRPr="00C9343F" w14:paraId="5E586A31" w14:textId="77777777" w:rsidTr="005F44BC">
        <w:trPr>
          <w:cantSplit/>
        </w:trPr>
        <w:tc>
          <w:tcPr>
            <w:tcW w:w="3496" w:type="dxa"/>
            <w:gridSpan w:val="2"/>
          </w:tcPr>
          <w:p w14:paraId="6A632762" w14:textId="261AF700" w:rsidR="005F44BC" w:rsidRPr="00C9343F" w:rsidRDefault="005F44BC" w:rsidP="00F66D98">
            <w:pPr>
              <w:pStyle w:val="TableTextArial-left"/>
              <w:spacing w:before="200"/>
            </w:pPr>
            <w:r w:rsidRPr="00C9343F">
              <w:t>……………………………………</w:t>
            </w:r>
            <w:r w:rsidR="00D94006" w:rsidRPr="00C9343F">
              <w:t>             </w:t>
            </w:r>
            <w:r w:rsidRPr="00C9343F">
              <w:t>.</w:t>
            </w:r>
          </w:p>
        </w:tc>
        <w:tc>
          <w:tcPr>
            <w:tcW w:w="2930" w:type="dxa"/>
          </w:tcPr>
          <w:p w14:paraId="78EAC286" w14:textId="77777777" w:rsidR="005F44BC" w:rsidRPr="00C9343F" w:rsidRDefault="005F44BC" w:rsidP="00F66D98">
            <w:pPr>
              <w:pStyle w:val="TableTextArial-left"/>
              <w:spacing w:before="200"/>
            </w:pPr>
            <w:r w:rsidRPr="00C9343F">
              <w:t>……………………………………</w:t>
            </w:r>
          </w:p>
        </w:tc>
        <w:tc>
          <w:tcPr>
            <w:tcW w:w="2930" w:type="dxa"/>
          </w:tcPr>
          <w:p w14:paraId="61358C68" w14:textId="77777777" w:rsidR="005F44BC" w:rsidRPr="00C9343F" w:rsidRDefault="005F44BC" w:rsidP="00F66D98">
            <w:pPr>
              <w:pStyle w:val="TableTextArial-left"/>
              <w:spacing w:before="200"/>
            </w:pPr>
            <w:r w:rsidRPr="00C9343F">
              <w:t xml:space="preserve">, </w:t>
            </w:r>
          </w:p>
        </w:tc>
      </w:tr>
      <w:tr w:rsidR="005F44BC" w:rsidRPr="00C9343F" w14:paraId="688E4E85" w14:textId="77777777" w:rsidTr="005F44BC">
        <w:trPr>
          <w:cantSplit/>
        </w:trPr>
        <w:tc>
          <w:tcPr>
            <w:tcW w:w="3496" w:type="dxa"/>
            <w:gridSpan w:val="2"/>
          </w:tcPr>
          <w:p w14:paraId="00EEAFAC" w14:textId="77777777" w:rsidR="005F44BC" w:rsidRPr="00C9343F" w:rsidRDefault="005F44BC" w:rsidP="00F66D98">
            <w:pPr>
              <w:pStyle w:val="TableTextArial-left"/>
              <w:jc w:val="center"/>
            </w:pPr>
            <w:r w:rsidRPr="00C9343F">
              <w:t>(Service number)</w:t>
            </w:r>
          </w:p>
        </w:tc>
        <w:tc>
          <w:tcPr>
            <w:tcW w:w="2930" w:type="dxa"/>
          </w:tcPr>
          <w:p w14:paraId="5FD6131A" w14:textId="77777777" w:rsidR="005F44BC" w:rsidRPr="00C9343F" w:rsidRDefault="005F44BC" w:rsidP="00F66D98">
            <w:pPr>
              <w:pStyle w:val="TableTextArial-left"/>
              <w:jc w:val="center"/>
            </w:pPr>
            <w:r w:rsidRPr="00C9343F">
              <w:t>(Employee ID)</w:t>
            </w:r>
          </w:p>
        </w:tc>
        <w:tc>
          <w:tcPr>
            <w:tcW w:w="2930" w:type="dxa"/>
          </w:tcPr>
          <w:p w14:paraId="32A7C070" w14:textId="77777777" w:rsidR="005F44BC" w:rsidRPr="00C9343F" w:rsidRDefault="005F44BC" w:rsidP="00F66D98">
            <w:pPr>
              <w:pStyle w:val="TableTextArial-left"/>
              <w:jc w:val="center"/>
            </w:pPr>
          </w:p>
        </w:tc>
      </w:tr>
    </w:tbl>
    <w:p w14:paraId="3667293F" w14:textId="77777777" w:rsidR="005F44BC" w:rsidRPr="00C9343F" w:rsidRDefault="005F44BC" w:rsidP="00F66D98">
      <w:pPr>
        <w:pStyle w:val="BlockText-Plain"/>
        <w:spacing w:after="0"/>
      </w:pPr>
      <w:r w:rsidRPr="00C9343F">
        <w:rPr>
          <w:rFonts w:cs="Arial"/>
        </w:rPr>
        <w:t>accept the deliberately differentiated offer and undertake to serve</w:t>
      </w:r>
      <w:r w:rsidRPr="00C9343F">
        <w:rPr>
          <w:i/>
          <w:color w:val="0000FF"/>
        </w:rPr>
        <w:t xml:space="preserve"> </w:t>
      </w:r>
      <w:r w:rsidRPr="00C9343F">
        <w:rPr>
          <w:rFonts w:cs="Arial"/>
        </w:rPr>
        <w:t xml:space="preserve">for the </w:t>
      </w:r>
      <w:r w:rsidRPr="00C9343F">
        <w:t xml:space="preserve">agreed period of service starting on </w:t>
      </w:r>
    </w:p>
    <w:p w14:paraId="2EA62310" w14:textId="01DC8F3E" w:rsidR="005F44BC" w:rsidRPr="00C9343F" w:rsidRDefault="00D94006" w:rsidP="00F66D98">
      <w:pPr>
        <w:spacing w:before="120"/>
      </w:pPr>
      <w:r w:rsidRPr="00C9343F">
        <w:rPr>
          <w:sz w:val="20"/>
        </w:rPr>
        <w:t>                                                                </w:t>
      </w:r>
      <w:r w:rsidR="005F44BC" w:rsidRPr="00C9343F">
        <w:rPr>
          <w:sz w:val="20"/>
        </w:rPr>
        <w:t>. [</w:t>
      </w:r>
      <w:r w:rsidR="005F44BC" w:rsidRPr="00C9343F">
        <w:rPr>
          <w:i/>
          <w:sz w:val="20"/>
        </w:rPr>
        <w:t>day/month/year</w:t>
      </w:r>
      <w:r w:rsidR="005F44BC" w:rsidRPr="00C9343F">
        <w:rPr>
          <w:sz w:val="20"/>
        </w:rPr>
        <w:t xml:space="preserve">] and ending on </w:t>
      </w:r>
      <w:r w:rsidRPr="00C9343F">
        <w:rPr>
          <w:sz w:val="20"/>
        </w:rPr>
        <w:t>                                                        </w:t>
      </w:r>
      <w:r w:rsidR="005F44BC" w:rsidRPr="00C9343F">
        <w:rPr>
          <w:sz w:val="20"/>
        </w:rPr>
        <w:t>..[</w:t>
      </w:r>
      <w:r w:rsidR="005F44BC" w:rsidRPr="00C9343F">
        <w:rPr>
          <w:i/>
          <w:sz w:val="20"/>
        </w:rPr>
        <w:t>day/month/year</w:t>
      </w:r>
      <w:r w:rsidR="005F44BC" w:rsidRPr="00C9343F">
        <w:rPr>
          <w:sz w:val="20"/>
        </w:rPr>
        <w:t>].</w:t>
      </w:r>
    </w:p>
    <w:p w14:paraId="369BFA19" w14:textId="77777777" w:rsidR="005F44BC" w:rsidRPr="00C9343F" w:rsidRDefault="005F44BC" w:rsidP="00F66D98">
      <w:pPr>
        <w:spacing w:after="120"/>
        <w:rPr>
          <w:sz w:val="20"/>
        </w:rPr>
      </w:pPr>
    </w:p>
    <w:p w14:paraId="18D67065" w14:textId="77777777" w:rsidR="005F44BC" w:rsidRPr="00C9343F" w:rsidRDefault="005F44BC" w:rsidP="00F66D98">
      <w:pPr>
        <w:spacing w:after="120"/>
        <w:rPr>
          <w:rFonts w:cs="Arial"/>
          <w:sz w:val="20"/>
        </w:rPr>
      </w:pPr>
      <w:r w:rsidRPr="00C9343F">
        <w:rPr>
          <w:rFonts w:cs="Arial"/>
          <w:sz w:val="20"/>
        </w:rPr>
        <w:t xml:space="preserve">I acknowledge that the provisions of Chapter 3 Part 6 of </w:t>
      </w:r>
      <w:r w:rsidRPr="00C9343F">
        <w:rPr>
          <w:rFonts w:cs="Arial"/>
          <w:i/>
          <w:sz w:val="20"/>
        </w:rPr>
        <w:t>Defence Determination 2016/</w:t>
      </w:r>
      <w:r w:rsidRPr="00C9343F">
        <w:rPr>
          <w:rFonts w:cs="Arial"/>
          <w:i/>
          <w:color w:val="000000"/>
          <w:sz w:val="20"/>
        </w:rPr>
        <w:t>19</w:t>
      </w:r>
      <w:r w:rsidRPr="00C9343F">
        <w:rPr>
          <w:rFonts w:cs="Arial"/>
          <w:i/>
          <w:sz w:val="20"/>
        </w:rPr>
        <w:t>,</w:t>
      </w:r>
      <w:r w:rsidRPr="00C9343F">
        <w:rPr>
          <w:rFonts w:cs="Arial"/>
          <w:sz w:val="20"/>
        </w:rPr>
        <w:t xml:space="preserve"> </w:t>
      </w:r>
      <w:r w:rsidRPr="00C9343F">
        <w:rPr>
          <w:rFonts w:cs="Arial"/>
          <w:i/>
          <w:sz w:val="20"/>
        </w:rPr>
        <w:t>Conditions of service</w:t>
      </w:r>
      <w:r w:rsidRPr="00C9343F">
        <w:rPr>
          <w:rFonts w:cs="Arial"/>
          <w:sz w:val="20"/>
        </w:rPr>
        <w:t>, have been brought to my notice.</w:t>
      </w:r>
    </w:p>
    <w:p w14:paraId="75A287F6" w14:textId="77777777" w:rsidR="005F44BC" w:rsidRPr="00C9343F" w:rsidRDefault="005F44BC" w:rsidP="00F66D98">
      <w:pPr>
        <w:pStyle w:val="BlockText-PlainNoSpacing"/>
        <w:spacing w:before="120" w:after="0"/>
        <w:rPr>
          <w:rFonts w:cs="Arial"/>
          <w:i/>
        </w:rPr>
      </w:pPr>
      <w:r w:rsidRPr="00C9343F">
        <w:rPr>
          <w:rFonts w:cs="Arial"/>
          <w:i/>
        </w:rPr>
        <w:t>Please tick the boxes that apply below.</w:t>
      </w:r>
    </w:p>
    <w:p w14:paraId="7746EE30" w14:textId="77777777" w:rsidR="005F44BC" w:rsidRPr="00C9343F" w:rsidRDefault="005F44BC" w:rsidP="00F66D98">
      <w:pPr>
        <w:spacing w:after="12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9"/>
        <w:gridCol w:w="1510"/>
        <w:gridCol w:w="1508"/>
      </w:tblGrid>
      <w:tr w:rsidR="005F44BC" w:rsidRPr="00C9343F" w14:paraId="36D27F22" w14:textId="77777777" w:rsidTr="00D81CEA">
        <w:tc>
          <w:tcPr>
            <w:tcW w:w="6379" w:type="dxa"/>
            <w:shd w:val="clear" w:color="auto" w:fill="auto"/>
          </w:tcPr>
          <w:p w14:paraId="772C9129" w14:textId="77777777" w:rsidR="005F44BC" w:rsidRPr="00C9343F" w:rsidRDefault="005F44BC" w:rsidP="00F66D98">
            <w:pPr>
              <w:rPr>
                <w:rFonts w:cs="Arial"/>
                <w:sz w:val="20"/>
              </w:rPr>
            </w:pPr>
            <w:r w:rsidRPr="00C9343F">
              <w:rPr>
                <w:rFonts w:cs="Arial"/>
                <w:sz w:val="20"/>
              </w:rPr>
              <w:t>I have read and understood this form.</w:t>
            </w:r>
          </w:p>
          <w:p w14:paraId="03C9B720" w14:textId="77777777" w:rsidR="005F44BC" w:rsidRPr="00C9343F" w:rsidRDefault="005F44BC" w:rsidP="00F66D98">
            <w:pPr>
              <w:rPr>
                <w:rFonts w:cs="Arial"/>
                <w:sz w:val="20"/>
              </w:rPr>
            </w:pPr>
          </w:p>
        </w:tc>
        <w:tc>
          <w:tcPr>
            <w:tcW w:w="1541" w:type="dxa"/>
            <w:shd w:val="clear" w:color="auto" w:fill="auto"/>
          </w:tcPr>
          <w:p w14:paraId="6C830962"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7A0BEEBB" w14:textId="77777777" w:rsidR="005F44BC" w:rsidRPr="00C9343F" w:rsidRDefault="005F44BC" w:rsidP="00F66D98">
            <w:pPr>
              <w:jc w:val="center"/>
              <w:rPr>
                <w:rFonts w:cs="Arial"/>
                <w:sz w:val="20"/>
              </w:rPr>
            </w:pPr>
            <w:r w:rsidRPr="00C9343F">
              <w:rPr>
                <w:rFonts w:cs="Arial"/>
                <w:sz w:val="20"/>
              </w:rPr>
              <w:t>No  [   ]</w:t>
            </w:r>
          </w:p>
        </w:tc>
      </w:tr>
      <w:tr w:rsidR="005F44BC" w:rsidRPr="00C9343F" w14:paraId="4AC7E109" w14:textId="77777777" w:rsidTr="00D81CEA">
        <w:tc>
          <w:tcPr>
            <w:tcW w:w="6379" w:type="dxa"/>
            <w:shd w:val="clear" w:color="auto" w:fill="auto"/>
          </w:tcPr>
          <w:p w14:paraId="4464174A" w14:textId="77777777" w:rsidR="005F44BC" w:rsidRPr="00C9343F" w:rsidRDefault="005F44BC" w:rsidP="00F66D98">
            <w:pPr>
              <w:rPr>
                <w:rFonts w:cs="Arial"/>
                <w:sz w:val="20"/>
              </w:rPr>
            </w:pPr>
            <w:r w:rsidRPr="00C9343F">
              <w:rPr>
                <w:rFonts w:cs="Arial"/>
                <w:sz w:val="20"/>
              </w:rPr>
              <w:t>I have sought independent legal advice in relation to this undertaking.</w:t>
            </w:r>
          </w:p>
          <w:p w14:paraId="4EDE46DA" w14:textId="77777777" w:rsidR="005F44BC" w:rsidRPr="00C9343F" w:rsidRDefault="005F44BC" w:rsidP="00F66D98">
            <w:pPr>
              <w:rPr>
                <w:rFonts w:cs="Arial"/>
                <w:sz w:val="20"/>
              </w:rPr>
            </w:pPr>
          </w:p>
        </w:tc>
        <w:tc>
          <w:tcPr>
            <w:tcW w:w="1541" w:type="dxa"/>
            <w:shd w:val="clear" w:color="auto" w:fill="auto"/>
          </w:tcPr>
          <w:p w14:paraId="4050F249"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7C6BB33B" w14:textId="77777777" w:rsidR="005F44BC" w:rsidRPr="00C9343F" w:rsidRDefault="005F44BC" w:rsidP="00F66D98">
            <w:pPr>
              <w:jc w:val="center"/>
              <w:rPr>
                <w:rFonts w:cs="Arial"/>
                <w:sz w:val="20"/>
              </w:rPr>
            </w:pPr>
            <w:r w:rsidRPr="00C9343F">
              <w:rPr>
                <w:rFonts w:cs="Arial"/>
                <w:sz w:val="20"/>
              </w:rPr>
              <w:t>No  [   ]</w:t>
            </w:r>
          </w:p>
        </w:tc>
      </w:tr>
      <w:tr w:rsidR="005F44BC" w:rsidRPr="00C9343F" w14:paraId="05A4CE38" w14:textId="77777777" w:rsidTr="00D81CEA">
        <w:tc>
          <w:tcPr>
            <w:tcW w:w="6379" w:type="dxa"/>
            <w:shd w:val="clear" w:color="auto" w:fill="auto"/>
          </w:tcPr>
          <w:p w14:paraId="7110E0D2" w14:textId="77777777" w:rsidR="005F44BC" w:rsidRPr="00C9343F" w:rsidRDefault="005F44BC" w:rsidP="00F66D98">
            <w:pPr>
              <w:rPr>
                <w:rFonts w:cs="Arial"/>
                <w:sz w:val="20"/>
              </w:rPr>
            </w:pPr>
            <w:r w:rsidRPr="00C9343F">
              <w:rPr>
                <w:rFonts w:cs="Arial"/>
                <w:sz w:val="20"/>
              </w:rPr>
              <w:t>I have sought independent financial advice in relation to this undertaking.</w:t>
            </w:r>
          </w:p>
          <w:p w14:paraId="2F8DCE3A" w14:textId="77777777" w:rsidR="005F44BC" w:rsidRPr="00C9343F" w:rsidRDefault="005F44BC" w:rsidP="00F66D98">
            <w:pPr>
              <w:rPr>
                <w:rFonts w:cs="Arial"/>
                <w:sz w:val="20"/>
              </w:rPr>
            </w:pPr>
          </w:p>
        </w:tc>
        <w:tc>
          <w:tcPr>
            <w:tcW w:w="1541" w:type="dxa"/>
            <w:shd w:val="clear" w:color="auto" w:fill="auto"/>
          </w:tcPr>
          <w:p w14:paraId="6E2D5D4F" w14:textId="77777777" w:rsidR="005F44BC" w:rsidRPr="00C9343F" w:rsidRDefault="005F44BC" w:rsidP="00F66D98">
            <w:pPr>
              <w:jc w:val="center"/>
              <w:rPr>
                <w:rFonts w:cs="Arial"/>
                <w:sz w:val="20"/>
              </w:rPr>
            </w:pPr>
            <w:r w:rsidRPr="00C9343F">
              <w:rPr>
                <w:rFonts w:cs="Arial"/>
                <w:sz w:val="20"/>
              </w:rPr>
              <w:t>Yes  [   ]</w:t>
            </w:r>
          </w:p>
        </w:tc>
        <w:tc>
          <w:tcPr>
            <w:tcW w:w="1542" w:type="dxa"/>
            <w:shd w:val="clear" w:color="auto" w:fill="auto"/>
          </w:tcPr>
          <w:p w14:paraId="5D61A286" w14:textId="77777777" w:rsidR="005F44BC" w:rsidRPr="00C9343F" w:rsidRDefault="005F44BC" w:rsidP="00F66D98">
            <w:pPr>
              <w:jc w:val="center"/>
              <w:rPr>
                <w:rFonts w:cs="Arial"/>
                <w:sz w:val="20"/>
              </w:rPr>
            </w:pPr>
            <w:r w:rsidRPr="00C9343F">
              <w:rPr>
                <w:rFonts w:cs="Arial"/>
                <w:sz w:val="20"/>
              </w:rPr>
              <w:t>No  [   ]</w:t>
            </w:r>
          </w:p>
        </w:tc>
      </w:tr>
    </w:tbl>
    <w:p w14:paraId="1E87DE29" w14:textId="77777777" w:rsidR="005F44BC" w:rsidRPr="00C9343F" w:rsidRDefault="005F44BC" w:rsidP="00F66D98"/>
    <w:tbl>
      <w:tblPr>
        <w:tblW w:w="9498" w:type="dxa"/>
        <w:tblInd w:w="56" w:type="dxa"/>
        <w:tblLayout w:type="fixed"/>
        <w:tblCellMar>
          <w:left w:w="56" w:type="dxa"/>
          <w:right w:w="56" w:type="dxa"/>
        </w:tblCellMar>
        <w:tblLook w:val="0000" w:firstRow="0" w:lastRow="0" w:firstColumn="0" w:lastColumn="0" w:noHBand="0" w:noVBand="0"/>
      </w:tblPr>
      <w:tblGrid>
        <w:gridCol w:w="2410"/>
        <w:gridCol w:w="2268"/>
        <w:gridCol w:w="992"/>
        <w:gridCol w:w="3828"/>
      </w:tblGrid>
      <w:tr w:rsidR="005F44BC" w:rsidRPr="00C9343F" w14:paraId="4F18B8F9" w14:textId="77777777" w:rsidTr="005F44BC">
        <w:trPr>
          <w:cantSplit/>
        </w:trPr>
        <w:tc>
          <w:tcPr>
            <w:tcW w:w="2410" w:type="dxa"/>
          </w:tcPr>
          <w:p w14:paraId="5D629DFD" w14:textId="77777777" w:rsidR="005F44BC" w:rsidRPr="00C9343F" w:rsidRDefault="005F44BC" w:rsidP="00F66D98">
            <w:pPr>
              <w:pStyle w:val="TableHeaderArial"/>
              <w:jc w:val="left"/>
              <w:rPr>
                <w:rFonts w:cs="Arial"/>
              </w:rPr>
            </w:pPr>
            <w:r w:rsidRPr="00C9343F">
              <w:rPr>
                <w:rFonts w:cs="Arial"/>
                <w:b w:val="0"/>
              </w:rPr>
              <w:t>Dated this</w:t>
            </w:r>
          </w:p>
        </w:tc>
        <w:tc>
          <w:tcPr>
            <w:tcW w:w="2268" w:type="dxa"/>
          </w:tcPr>
          <w:p w14:paraId="2B53DD9C" w14:textId="77777777" w:rsidR="005F44BC" w:rsidRPr="00C9343F" w:rsidRDefault="005F44BC" w:rsidP="00F66D98">
            <w:pPr>
              <w:pStyle w:val="TableHeaderArial"/>
              <w:jc w:val="left"/>
              <w:rPr>
                <w:rFonts w:cs="Arial"/>
              </w:rPr>
            </w:pPr>
            <w:r w:rsidRPr="00C9343F">
              <w:rPr>
                <w:rFonts w:cs="Arial"/>
                <w:b w:val="0"/>
              </w:rPr>
              <w:t>day of</w:t>
            </w:r>
          </w:p>
        </w:tc>
        <w:tc>
          <w:tcPr>
            <w:tcW w:w="992" w:type="dxa"/>
          </w:tcPr>
          <w:p w14:paraId="4B697653" w14:textId="77777777" w:rsidR="005F44BC" w:rsidRPr="00C9343F" w:rsidRDefault="005F44BC" w:rsidP="00F66D98">
            <w:pPr>
              <w:pStyle w:val="TableHeaderArial"/>
              <w:rPr>
                <w:rFonts w:cs="Arial"/>
              </w:rPr>
            </w:pPr>
          </w:p>
        </w:tc>
        <w:tc>
          <w:tcPr>
            <w:tcW w:w="3828" w:type="dxa"/>
          </w:tcPr>
          <w:p w14:paraId="27ED2106" w14:textId="77777777" w:rsidR="005F44BC" w:rsidRPr="00C9343F" w:rsidRDefault="005F44BC" w:rsidP="00F66D98">
            <w:pPr>
              <w:pStyle w:val="TableHeaderArial"/>
              <w:jc w:val="left"/>
              <w:rPr>
                <w:rFonts w:cs="Arial"/>
              </w:rPr>
            </w:pPr>
            <w:r w:rsidRPr="00C9343F">
              <w:rPr>
                <w:rFonts w:cs="Arial"/>
                <w:b w:val="0"/>
              </w:rPr>
              <w:t>20</w:t>
            </w:r>
          </w:p>
        </w:tc>
      </w:tr>
      <w:tr w:rsidR="005F44BC" w:rsidRPr="00C9343F" w14:paraId="767B01D3" w14:textId="77777777" w:rsidTr="005F44BC">
        <w:trPr>
          <w:cantSplit/>
        </w:trPr>
        <w:tc>
          <w:tcPr>
            <w:tcW w:w="2410" w:type="dxa"/>
          </w:tcPr>
          <w:p w14:paraId="027D017A" w14:textId="77777777" w:rsidR="005F44BC" w:rsidRPr="00C9343F" w:rsidRDefault="005F44BC" w:rsidP="00F66D98">
            <w:pPr>
              <w:pStyle w:val="TableTextArial-leftCharChar"/>
              <w:rPr>
                <w:rFonts w:cs="Arial"/>
              </w:rPr>
            </w:pPr>
          </w:p>
        </w:tc>
        <w:tc>
          <w:tcPr>
            <w:tcW w:w="2268" w:type="dxa"/>
            <w:tcBorders>
              <w:bottom w:val="single" w:sz="4" w:space="0" w:color="auto"/>
            </w:tcBorders>
          </w:tcPr>
          <w:p w14:paraId="10AE50B5" w14:textId="77777777" w:rsidR="005F44BC" w:rsidRPr="00C9343F" w:rsidRDefault="005F44BC" w:rsidP="00F66D98">
            <w:pPr>
              <w:pStyle w:val="TableTextArial-leftCharChar"/>
              <w:rPr>
                <w:rFonts w:cs="Arial"/>
              </w:rPr>
            </w:pPr>
          </w:p>
        </w:tc>
        <w:tc>
          <w:tcPr>
            <w:tcW w:w="992" w:type="dxa"/>
          </w:tcPr>
          <w:p w14:paraId="0A5AE9C1" w14:textId="77777777" w:rsidR="005F44BC" w:rsidRPr="00C9343F" w:rsidRDefault="005F44BC" w:rsidP="00F66D98">
            <w:pPr>
              <w:pStyle w:val="TableTextArial-leftCharChar"/>
              <w:rPr>
                <w:rFonts w:cs="Arial"/>
              </w:rPr>
            </w:pPr>
          </w:p>
        </w:tc>
        <w:tc>
          <w:tcPr>
            <w:tcW w:w="3828" w:type="dxa"/>
            <w:tcBorders>
              <w:bottom w:val="single" w:sz="4" w:space="0" w:color="auto"/>
            </w:tcBorders>
          </w:tcPr>
          <w:p w14:paraId="5CC64BDB" w14:textId="77777777" w:rsidR="005F44BC" w:rsidRPr="00C9343F" w:rsidRDefault="005F44BC" w:rsidP="00F66D98">
            <w:pPr>
              <w:pStyle w:val="TableTextArial-leftCharChar"/>
              <w:rPr>
                <w:rFonts w:cs="Arial"/>
              </w:rPr>
            </w:pPr>
          </w:p>
          <w:p w14:paraId="3E58F9FC" w14:textId="77777777" w:rsidR="005F44BC" w:rsidRPr="00C9343F" w:rsidRDefault="005F44BC" w:rsidP="00F66D98">
            <w:pPr>
              <w:pStyle w:val="TableTextArial-leftCharChar"/>
              <w:rPr>
                <w:rFonts w:cs="Arial"/>
              </w:rPr>
            </w:pPr>
          </w:p>
        </w:tc>
      </w:tr>
      <w:tr w:rsidR="005F44BC" w:rsidRPr="00C9343F" w14:paraId="141B3C8A" w14:textId="77777777" w:rsidTr="005F44BC">
        <w:trPr>
          <w:cantSplit/>
        </w:trPr>
        <w:tc>
          <w:tcPr>
            <w:tcW w:w="2410" w:type="dxa"/>
          </w:tcPr>
          <w:p w14:paraId="6801EE37" w14:textId="77777777" w:rsidR="005F44BC" w:rsidRPr="00C9343F" w:rsidRDefault="005F44BC" w:rsidP="00F66D98">
            <w:pPr>
              <w:pStyle w:val="TableTextArial-leftCharChar"/>
              <w:rPr>
                <w:rFonts w:cs="Arial"/>
              </w:rPr>
            </w:pPr>
          </w:p>
        </w:tc>
        <w:tc>
          <w:tcPr>
            <w:tcW w:w="2268" w:type="dxa"/>
            <w:tcBorders>
              <w:top w:val="single" w:sz="4" w:space="0" w:color="auto"/>
            </w:tcBorders>
          </w:tcPr>
          <w:p w14:paraId="2D1CA9D8" w14:textId="77777777" w:rsidR="005F44BC" w:rsidRPr="00C9343F" w:rsidRDefault="005F44BC" w:rsidP="00F66D98">
            <w:pPr>
              <w:pStyle w:val="TableTextArial-leftCharChar"/>
              <w:jc w:val="center"/>
              <w:rPr>
                <w:rFonts w:cs="Arial"/>
                <w:sz w:val="20"/>
              </w:rPr>
            </w:pPr>
            <w:r w:rsidRPr="00C9343F">
              <w:rPr>
                <w:rFonts w:cs="Arial"/>
                <w:sz w:val="20"/>
              </w:rPr>
              <w:t>Signed</w:t>
            </w:r>
          </w:p>
        </w:tc>
        <w:tc>
          <w:tcPr>
            <w:tcW w:w="992" w:type="dxa"/>
          </w:tcPr>
          <w:p w14:paraId="3FAC9298" w14:textId="77777777" w:rsidR="005F44BC" w:rsidRPr="00C9343F" w:rsidRDefault="005F44BC" w:rsidP="00F66D98">
            <w:pPr>
              <w:pStyle w:val="TableTextArial-leftCharChar"/>
              <w:rPr>
                <w:rFonts w:cs="Arial"/>
              </w:rPr>
            </w:pPr>
          </w:p>
        </w:tc>
        <w:tc>
          <w:tcPr>
            <w:tcW w:w="3828" w:type="dxa"/>
            <w:tcBorders>
              <w:top w:val="single" w:sz="4" w:space="0" w:color="auto"/>
            </w:tcBorders>
          </w:tcPr>
          <w:p w14:paraId="5A80A3DD" w14:textId="77777777" w:rsidR="005F44BC" w:rsidRPr="00C9343F" w:rsidRDefault="005F44BC" w:rsidP="00F66D98">
            <w:pPr>
              <w:pStyle w:val="TableTextArial-leftCharChar"/>
              <w:jc w:val="center"/>
              <w:rPr>
                <w:rFonts w:cs="Arial"/>
                <w:sz w:val="20"/>
              </w:rPr>
            </w:pPr>
            <w:r w:rsidRPr="00C9343F">
              <w:rPr>
                <w:rFonts w:cs="Arial"/>
                <w:sz w:val="20"/>
              </w:rPr>
              <w:t>Printed name</w:t>
            </w:r>
          </w:p>
        </w:tc>
      </w:tr>
      <w:tr w:rsidR="005F44BC" w:rsidRPr="00C9343F" w14:paraId="2D6C3B10" w14:textId="77777777" w:rsidTr="005F44BC">
        <w:trPr>
          <w:cantSplit/>
        </w:trPr>
        <w:tc>
          <w:tcPr>
            <w:tcW w:w="2410" w:type="dxa"/>
            <w:vMerge w:val="restart"/>
          </w:tcPr>
          <w:p w14:paraId="73EE3925" w14:textId="77777777" w:rsidR="005F44BC" w:rsidRPr="00C9343F" w:rsidRDefault="005F44BC" w:rsidP="00F66D98">
            <w:pPr>
              <w:pStyle w:val="TableTextArial-leftCharChar"/>
              <w:jc w:val="right"/>
              <w:rPr>
                <w:sz w:val="20"/>
              </w:rPr>
            </w:pPr>
          </w:p>
          <w:p w14:paraId="1513376E" w14:textId="77777777" w:rsidR="005F44BC" w:rsidRPr="00C9343F" w:rsidRDefault="005F44BC" w:rsidP="00F66D98">
            <w:pPr>
              <w:pStyle w:val="TableTextArial-leftCharChar"/>
              <w:jc w:val="right"/>
              <w:rPr>
                <w:sz w:val="20"/>
              </w:rPr>
            </w:pPr>
          </w:p>
          <w:p w14:paraId="1D423B86" w14:textId="77777777" w:rsidR="005F44BC" w:rsidRPr="00C9343F" w:rsidRDefault="005F44BC" w:rsidP="00F66D98">
            <w:pPr>
              <w:pStyle w:val="TableTextArial-leftCharChar"/>
              <w:jc w:val="right"/>
              <w:rPr>
                <w:sz w:val="20"/>
              </w:rPr>
            </w:pPr>
            <w:r w:rsidRPr="00C9343F">
              <w:rPr>
                <w:sz w:val="20"/>
              </w:rPr>
              <w:t>Witness</w:t>
            </w:r>
          </w:p>
          <w:p w14:paraId="10F23EE0" w14:textId="77777777" w:rsidR="005F44BC" w:rsidRPr="00C9343F" w:rsidRDefault="005F44BC" w:rsidP="00F66D98">
            <w:pPr>
              <w:pStyle w:val="TableTextArial-leftCharChar"/>
              <w:rPr>
                <w:i/>
                <w:sz w:val="20"/>
              </w:rPr>
            </w:pPr>
            <w:r w:rsidRPr="00C9343F">
              <w:rPr>
                <w:i/>
                <w:sz w:val="20"/>
              </w:rPr>
              <w:t>(This person must be above the applicant in the chain of command)</w:t>
            </w:r>
          </w:p>
        </w:tc>
        <w:tc>
          <w:tcPr>
            <w:tcW w:w="2268" w:type="dxa"/>
            <w:tcBorders>
              <w:bottom w:val="single" w:sz="4" w:space="0" w:color="auto"/>
            </w:tcBorders>
          </w:tcPr>
          <w:p w14:paraId="3862DDE2" w14:textId="77777777" w:rsidR="005F44BC" w:rsidRPr="00C9343F" w:rsidRDefault="005F44BC" w:rsidP="00F66D98">
            <w:pPr>
              <w:pStyle w:val="TableTextArial-leftCharChar"/>
            </w:pPr>
          </w:p>
        </w:tc>
        <w:tc>
          <w:tcPr>
            <w:tcW w:w="992" w:type="dxa"/>
          </w:tcPr>
          <w:p w14:paraId="43E6FE05" w14:textId="77777777" w:rsidR="005F44BC" w:rsidRPr="00C9343F" w:rsidRDefault="005F44BC" w:rsidP="00F66D98">
            <w:pPr>
              <w:pStyle w:val="TableTextArial-leftCharChar"/>
            </w:pPr>
          </w:p>
        </w:tc>
        <w:tc>
          <w:tcPr>
            <w:tcW w:w="3828" w:type="dxa"/>
            <w:tcBorders>
              <w:bottom w:val="single" w:sz="4" w:space="0" w:color="auto"/>
            </w:tcBorders>
          </w:tcPr>
          <w:p w14:paraId="0FABD445" w14:textId="77777777" w:rsidR="005F44BC" w:rsidRPr="00C9343F" w:rsidRDefault="005F44BC" w:rsidP="00F66D98">
            <w:pPr>
              <w:pStyle w:val="TableTextArial-leftCharChar"/>
            </w:pPr>
          </w:p>
          <w:p w14:paraId="4DFB155C" w14:textId="77777777" w:rsidR="005F44BC" w:rsidRPr="00C9343F" w:rsidRDefault="005F44BC" w:rsidP="00F66D98">
            <w:pPr>
              <w:pStyle w:val="TableTextArial-leftCharChar"/>
            </w:pPr>
          </w:p>
          <w:p w14:paraId="346F5066" w14:textId="77777777" w:rsidR="005F44BC" w:rsidRPr="00C9343F" w:rsidRDefault="005F44BC" w:rsidP="00F66D98">
            <w:pPr>
              <w:pStyle w:val="TableTextArial-leftCharChar"/>
            </w:pPr>
          </w:p>
        </w:tc>
      </w:tr>
      <w:tr w:rsidR="005F44BC" w:rsidRPr="00C9343F" w14:paraId="7017BBCF" w14:textId="77777777" w:rsidTr="005F44BC">
        <w:trPr>
          <w:cantSplit/>
        </w:trPr>
        <w:tc>
          <w:tcPr>
            <w:tcW w:w="2410" w:type="dxa"/>
            <w:vMerge/>
          </w:tcPr>
          <w:p w14:paraId="2C229EC5" w14:textId="77777777" w:rsidR="005F44BC" w:rsidRPr="00C9343F" w:rsidRDefault="005F44BC" w:rsidP="00F66D98">
            <w:pPr>
              <w:pStyle w:val="TableTextArial-leftCharChar"/>
            </w:pPr>
          </w:p>
        </w:tc>
        <w:tc>
          <w:tcPr>
            <w:tcW w:w="2268" w:type="dxa"/>
            <w:tcBorders>
              <w:top w:val="single" w:sz="4" w:space="0" w:color="auto"/>
            </w:tcBorders>
          </w:tcPr>
          <w:p w14:paraId="4731A9C2" w14:textId="77777777" w:rsidR="005F44BC" w:rsidRPr="00C9343F" w:rsidRDefault="005F44BC" w:rsidP="00F66D98">
            <w:pPr>
              <w:pStyle w:val="TableTextArial-leftCharChar"/>
              <w:jc w:val="center"/>
              <w:rPr>
                <w:sz w:val="20"/>
              </w:rPr>
            </w:pPr>
            <w:r w:rsidRPr="00C9343F">
              <w:rPr>
                <w:sz w:val="20"/>
              </w:rPr>
              <w:t>Signed</w:t>
            </w:r>
          </w:p>
        </w:tc>
        <w:tc>
          <w:tcPr>
            <w:tcW w:w="992" w:type="dxa"/>
          </w:tcPr>
          <w:p w14:paraId="574A482C" w14:textId="77777777" w:rsidR="005F44BC" w:rsidRPr="00C9343F" w:rsidRDefault="005F44BC" w:rsidP="00F66D98">
            <w:pPr>
              <w:pStyle w:val="TableTextArial-leftCharChar"/>
            </w:pPr>
          </w:p>
        </w:tc>
        <w:tc>
          <w:tcPr>
            <w:tcW w:w="3828" w:type="dxa"/>
            <w:tcBorders>
              <w:top w:val="single" w:sz="4" w:space="0" w:color="auto"/>
            </w:tcBorders>
          </w:tcPr>
          <w:p w14:paraId="57BFB1E0" w14:textId="77777777" w:rsidR="005F44BC" w:rsidRPr="00C9343F" w:rsidRDefault="005F44BC" w:rsidP="00F66D98">
            <w:pPr>
              <w:pStyle w:val="TableTextArial-leftCharChar"/>
              <w:jc w:val="center"/>
              <w:rPr>
                <w:sz w:val="20"/>
              </w:rPr>
            </w:pPr>
            <w:r w:rsidRPr="00C9343F">
              <w:rPr>
                <w:sz w:val="20"/>
              </w:rPr>
              <w:t>Printed name and rank</w:t>
            </w:r>
          </w:p>
        </w:tc>
      </w:tr>
    </w:tbl>
    <w:p w14:paraId="598CE172" w14:textId="77777777" w:rsidR="005F44BC" w:rsidRPr="00C9343F" w:rsidRDefault="005F44BC" w:rsidP="00F66D98"/>
    <w:p w14:paraId="0CB1A5F6" w14:textId="77777777" w:rsidR="005F44BC" w:rsidRPr="00C9343F" w:rsidRDefault="005F44BC" w:rsidP="00F66D98"/>
    <w:p w14:paraId="16389627" w14:textId="77777777" w:rsidR="005F44BC" w:rsidRPr="00C9343F" w:rsidRDefault="005F44BC" w:rsidP="00F66D98"/>
    <w:p w14:paraId="13E50A19" w14:textId="77777777" w:rsidR="005F44BC" w:rsidRPr="00C9343F" w:rsidRDefault="005F44BC" w:rsidP="00F66D98">
      <w:pPr>
        <w:rPr>
          <w:rFonts w:cs="Arial"/>
        </w:rPr>
      </w:pPr>
      <w:r w:rsidRPr="00C9343F">
        <w:rPr>
          <w:rFonts w:cs="Arial"/>
        </w:rPr>
        <w:t xml:space="preserve">I, </w:t>
      </w:r>
    </w:p>
    <w:tbl>
      <w:tblPr>
        <w:tblW w:w="9356" w:type="dxa"/>
        <w:tblInd w:w="56" w:type="dxa"/>
        <w:tblLayout w:type="fixed"/>
        <w:tblCellMar>
          <w:left w:w="56" w:type="dxa"/>
          <w:right w:w="56" w:type="dxa"/>
        </w:tblCellMar>
        <w:tblLook w:val="0000" w:firstRow="0" w:lastRow="0" w:firstColumn="0" w:lastColumn="0" w:noHBand="0" w:noVBand="0"/>
      </w:tblPr>
      <w:tblGrid>
        <w:gridCol w:w="2339"/>
        <w:gridCol w:w="2339"/>
        <w:gridCol w:w="2339"/>
        <w:gridCol w:w="2339"/>
      </w:tblGrid>
      <w:tr w:rsidR="005F44BC" w:rsidRPr="00C9343F" w14:paraId="2106A046" w14:textId="77777777" w:rsidTr="005F44BC">
        <w:trPr>
          <w:cantSplit/>
        </w:trPr>
        <w:tc>
          <w:tcPr>
            <w:tcW w:w="2339" w:type="dxa"/>
          </w:tcPr>
          <w:p w14:paraId="54C10FD6" w14:textId="77777777" w:rsidR="005F44BC" w:rsidRPr="00C9343F" w:rsidRDefault="005F44BC" w:rsidP="00F66D98">
            <w:pPr>
              <w:pStyle w:val="TableHeaderArial"/>
              <w:rPr>
                <w:b w:val="0"/>
              </w:rPr>
            </w:pPr>
            <w:r w:rsidRPr="00C9343F">
              <w:rPr>
                <w:b w:val="0"/>
              </w:rPr>
              <w:t>……………………………</w:t>
            </w:r>
          </w:p>
        </w:tc>
        <w:tc>
          <w:tcPr>
            <w:tcW w:w="2339" w:type="dxa"/>
          </w:tcPr>
          <w:p w14:paraId="0D896BC6" w14:textId="77777777" w:rsidR="005F44BC" w:rsidRPr="00C9343F" w:rsidRDefault="005F44BC" w:rsidP="00F66D98">
            <w:pPr>
              <w:pStyle w:val="TableHeaderArial"/>
              <w:rPr>
                <w:b w:val="0"/>
              </w:rPr>
            </w:pPr>
            <w:r w:rsidRPr="00C9343F">
              <w:rPr>
                <w:b w:val="0"/>
              </w:rPr>
              <w:t>……………………………</w:t>
            </w:r>
          </w:p>
        </w:tc>
        <w:tc>
          <w:tcPr>
            <w:tcW w:w="2339" w:type="dxa"/>
          </w:tcPr>
          <w:p w14:paraId="6BF83509" w14:textId="77777777" w:rsidR="005F44BC" w:rsidRPr="00C9343F" w:rsidRDefault="005F44BC" w:rsidP="00F66D98">
            <w:pPr>
              <w:pStyle w:val="TableHeaderArial"/>
              <w:rPr>
                <w:b w:val="0"/>
              </w:rPr>
            </w:pPr>
            <w:r w:rsidRPr="00C9343F">
              <w:rPr>
                <w:b w:val="0"/>
              </w:rPr>
              <w:t>……………………………</w:t>
            </w:r>
          </w:p>
        </w:tc>
        <w:tc>
          <w:tcPr>
            <w:tcW w:w="2339" w:type="dxa"/>
          </w:tcPr>
          <w:p w14:paraId="2C179D9F" w14:textId="77777777" w:rsidR="005F44BC" w:rsidRPr="00C9343F" w:rsidRDefault="005F44BC" w:rsidP="00F66D98">
            <w:pPr>
              <w:pStyle w:val="TableHeaderArial"/>
              <w:rPr>
                <w:b w:val="0"/>
              </w:rPr>
            </w:pPr>
            <w:r w:rsidRPr="00C9343F">
              <w:rPr>
                <w:b w:val="0"/>
              </w:rPr>
              <w:t>……………………………</w:t>
            </w:r>
          </w:p>
        </w:tc>
      </w:tr>
      <w:tr w:rsidR="005F44BC" w:rsidRPr="00C9343F" w14:paraId="4E4E3774" w14:textId="77777777" w:rsidTr="005F44BC">
        <w:trPr>
          <w:cantSplit/>
        </w:trPr>
        <w:tc>
          <w:tcPr>
            <w:tcW w:w="2339" w:type="dxa"/>
          </w:tcPr>
          <w:p w14:paraId="163F6A29" w14:textId="77777777" w:rsidR="005F44BC" w:rsidRPr="00C9343F" w:rsidRDefault="005F44BC" w:rsidP="00F66D98">
            <w:pPr>
              <w:pStyle w:val="TableTextArial-left"/>
              <w:jc w:val="center"/>
            </w:pPr>
            <w:r w:rsidRPr="00C9343F">
              <w:t>(Rank)</w:t>
            </w:r>
          </w:p>
        </w:tc>
        <w:tc>
          <w:tcPr>
            <w:tcW w:w="2339" w:type="dxa"/>
          </w:tcPr>
          <w:p w14:paraId="19D85A5F" w14:textId="77777777" w:rsidR="005F44BC" w:rsidRPr="00C9343F" w:rsidRDefault="005F44BC" w:rsidP="00F66D98">
            <w:pPr>
              <w:pStyle w:val="TableTextArial-left"/>
              <w:jc w:val="center"/>
            </w:pPr>
            <w:r w:rsidRPr="00C9343F">
              <w:t>(Last name)</w:t>
            </w:r>
          </w:p>
        </w:tc>
        <w:tc>
          <w:tcPr>
            <w:tcW w:w="2339" w:type="dxa"/>
          </w:tcPr>
          <w:p w14:paraId="1C0FC030" w14:textId="77777777" w:rsidR="005F44BC" w:rsidRPr="00C9343F" w:rsidRDefault="005F44BC" w:rsidP="00F66D98">
            <w:pPr>
              <w:pStyle w:val="TableTextArial-left"/>
              <w:jc w:val="center"/>
            </w:pPr>
            <w:r w:rsidRPr="00C9343F">
              <w:t>(Given name)</w:t>
            </w:r>
          </w:p>
        </w:tc>
        <w:tc>
          <w:tcPr>
            <w:tcW w:w="2339" w:type="dxa"/>
          </w:tcPr>
          <w:p w14:paraId="234CA477" w14:textId="77777777" w:rsidR="005F44BC" w:rsidRPr="00C9343F" w:rsidRDefault="005F44BC" w:rsidP="00F66D98">
            <w:pPr>
              <w:pStyle w:val="TableTextArial-left"/>
              <w:jc w:val="center"/>
            </w:pPr>
            <w:r w:rsidRPr="00C9343F">
              <w:t>(Employee ID)</w:t>
            </w:r>
          </w:p>
        </w:tc>
      </w:tr>
    </w:tbl>
    <w:p w14:paraId="29B24F42" w14:textId="77777777" w:rsidR="005F44BC" w:rsidRPr="00C9343F" w:rsidRDefault="005F44BC" w:rsidP="00F66D98"/>
    <w:p w14:paraId="389762F4" w14:textId="77777777" w:rsidR="005F44BC" w:rsidRPr="00C9343F" w:rsidRDefault="005F44BC" w:rsidP="00F66D98">
      <w:pPr>
        <w:pStyle w:val="BlockText-Plain"/>
      </w:pPr>
      <w:r w:rsidRPr="00C9343F">
        <w:t>verify that the member has met all requirements of the deliberately differentiated offer.</w:t>
      </w:r>
    </w:p>
    <w:tbl>
      <w:tblPr>
        <w:tblW w:w="0" w:type="auto"/>
        <w:tblInd w:w="1049" w:type="dxa"/>
        <w:tblLayout w:type="fixed"/>
        <w:tblCellMar>
          <w:left w:w="56" w:type="dxa"/>
          <w:right w:w="56" w:type="dxa"/>
        </w:tblCellMar>
        <w:tblLook w:val="0000" w:firstRow="0" w:lastRow="0" w:firstColumn="0" w:lastColumn="0" w:noHBand="0" w:noVBand="0"/>
      </w:tblPr>
      <w:tblGrid>
        <w:gridCol w:w="4150"/>
        <w:gridCol w:w="4213"/>
      </w:tblGrid>
      <w:tr w:rsidR="005F44BC" w:rsidRPr="00C9343F" w14:paraId="2762C22C" w14:textId="77777777" w:rsidTr="005F44BC">
        <w:trPr>
          <w:cantSplit/>
          <w:trHeight w:val="527"/>
        </w:trPr>
        <w:tc>
          <w:tcPr>
            <w:tcW w:w="4150" w:type="dxa"/>
          </w:tcPr>
          <w:p w14:paraId="22BC0B86" w14:textId="77777777" w:rsidR="005F44BC" w:rsidRPr="00C9343F" w:rsidRDefault="005F44BC" w:rsidP="00F66D98">
            <w:pPr>
              <w:pStyle w:val="TableHeaderArial"/>
            </w:pPr>
          </w:p>
        </w:tc>
        <w:tc>
          <w:tcPr>
            <w:tcW w:w="4213" w:type="dxa"/>
            <w:tcBorders>
              <w:bottom w:val="single" w:sz="4" w:space="0" w:color="auto"/>
            </w:tcBorders>
          </w:tcPr>
          <w:p w14:paraId="2312E833" w14:textId="77777777" w:rsidR="005F44BC" w:rsidRPr="00C9343F" w:rsidRDefault="005F44BC" w:rsidP="00F66D98">
            <w:pPr>
              <w:pStyle w:val="TableHeaderArial"/>
            </w:pPr>
          </w:p>
        </w:tc>
      </w:tr>
      <w:tr w:rsidR="005F44BC" w:rsidRPr="00C9343F" w14:paraId="74DD0014" w14:textId="77777777" w:rsidTr="005F44BC">
        <w:trPr>
          <w:cantSplit/>
        </w:trPr>
        <w:tc>
          <w:tcPr>
            <w:tcW w:w="4150" w:type="dxa"/>
          </w:tcPr>
          <w:p w14:paraId="12BFDD11" w14:textId="77777777" w:rsidR="005F44BC" w:rsidRPr="00C9343F" w:rsidRDefault="005F44BC" w:rsidP="00F66D98">
            <w:pPr>
              <w:pStyle w:val="TableTextArial-leftChar"/>
            </w:pPr>
          </w:p>
        </w:tc>
        <w:tc>
          <w:tcPr>
            <w:tcW w:w="4213" w:type="dxa"/>
          </w:tcPr>
          <w:p w14:paraId="659088CD" w14:textId="77777777" w:rsidR="005F44BC" w:rsidRPr="00C9343F" w:rsidRDefault="005F44BC" w:rsidP="00F66D98">
            <w:pPr>
              <w:pStyle w:val="TableTextArial-leftChar"/>
              <w:rPr>
                <w:sz w:val="20"/>
              </w:rPr>
            </w:pPr>
            <w:r w:rsidRPr="00C9343F">
              <w:rPr>
                <w:sz w:val="20"/>
              </w:rPr>
              <w:t xml:space="preserve">Approved                                </w:t>
            </w:r>
          </w:p>
        </w:tc>
      </w:tr>
      <w:tr w:rsidR="005F44BC" w:rsidRPr="00C9343F" w14:paraId="4FF39EA5" w14:textId="77777777" w:rsidTr="005F44BC">
        <w:trPr>
          <w:cantSplit/>
        </w:trPr>
        <w:tc>
          <w:tcPr>
            <w:tcW w:w="4150" w:type="dxa"/>
          </w:tcPr>
          <w:p w14:paraId="5D58F6C6" w14:textId="77777777" w:rsidR="005F44BC" w:rsidRPr="00C9343F" w:rsidRDefault="005F44BC" w:rsidP="00F66D98">
            <w:pPr>
              <w:pStyle w:val="TableTextArial-leftChar"/>
            </w:pPr>
          </w:p>
        </w:tc>
        <w:tc>
          <w:tcPr>
            <w:tcW w:w="4213" w:type="dxa"/>
          </w:tcPr>
          <w:p w14:paraId="38FFFF58" w14:textId="77777777" w:rsidR="005F44BC" w:rsidRPr="00C9343F" w:rsidRDefault="005F44BC" w:rsidP="00F66D98">
            <w:pPr>
              <w:pStyle w:val="TableTextArial-leftChar"/>
              <w:rPr>
                <w:sz w:val="16"/>
                <w:szCs w:val="16"/>
              </w:rPr>
            </w:pPr>
            <w:r w:rsidRPr="00C9343F">
              <w:rPr>
                <w:sz w:val="16"/>
                <w:szCs w:val="16"/>
              </w:rPr>
              <w:t>Administrator authorised for and on behalf of the member's Service</w:t>
            </w:r>
          </w:p>
        </w:tc>
      </w:tr>
    </w:tbl>
    <w:p w14:paraId="5CF577C3" w14:textId="023936FB" w:rsidR="006D1E1C" w:rsidRPr="00C9343F" w:rsidRDefault="005F44BC" w:rsidP="00F66D98">
      <w:pPr>
        <w:pStyle w:val="Heading2"/>
        <w:shd w:val="clear" w:color="auto" w:fill="auto"/>
      </w:pPr>
      <w:r w:rsidRPr="00C9343F">
        <w:br w:type="page"/>
      </w:r>
      <w:r w:rsidR="00F357CF" w:rsidRPr="00C9343F" w:rsidDel="00F357CF">
        <w:lastRenderedPageBreak/>
        <w:t xml:space="preserve"> </w:t>
      </w:r>
      <w:bookmarkStart w:id="589" w:name="_Toc105053795"/>
      <w:r w:rsidR="006D1E1C" w:rsidRPr="00C9343F">
        <w:t>Chapter 4: ADF allowances and reimbursements</w:t>
      </w:r>
      <w:bookmarkEnd w:id="589"/>
    </w:p>
    <w:p w14:paraId="78824CB2" w14:textId="798536D5" w:rsidR="006D1E1C" w:rsidRPr="00C9343F" w:rsidRDefault="006D1E1C" w:rsidP="00F66D98">
      <w:pPr>
        <w:pStyle w:val="Heading3"/>
      </w:pPr>
      <w:bookmarkStart w:id="590" w:name="_Toc105053796"/>
      <w:r w:rsidRPr="00C9343F">
        <w:t>Part 1: Higher duties allowance</w:t>
      </w:r>
      <w:bookmarkEnd w:id="590"/>
    </w:p>
    <w:p w14:paraId="0F2A6003" w14:textId="7515326E" w:rsidR="00C57F1E" w:rsidRPr="00C9343F" w:rsidRDefault="00C57F1E" w:rsidP="00F66D98">
      <w:pPr>
        <w:pStyle w:val="Heading5"/>
      </w:pPr>
      <w:bookmarkStart w:id="591" w:name="_Toc105053797"/>
      <w:r w:rsidRPr="00C9343F">
        <w:t>4.1.1</w:t>
      </w:r>
      <w:r w:rsidR="00D94006" w:rsidRPr="00C9343F">
        <w:t>    </w:t>
      </w:r>
      <w:r w:rsidRPr="00C9343F">
        <w:t>Purpose</w:t>
      </w:r>
      <w:bookmarkEnd w:id="591"/>
    </w:p>
    <w:tbl>
      <w:tblPr>
        <w:tblW w:w="0" w:type="auto"/>
        <w:tblInd w:w="113" w:type="dxa"/>
        <w:tblLayout w:type="fixed"/>
        <w:tblLook w:val="0000" w:firstRow="0" w:lastRow="0" w:firstColumn="0" w:lastColumn="0" w:noHBand="0" w:noVBand="0"/>
      </w:tblPr>
      <w:tblGrid>
        <w:gridCol w:w="992"/>
        <w:gridCol w:w="8363"/>
      </w:tblGrid>
      <w:tr w:rsidR="00C57F1E" w:rsidRPr="00C9343F" w14:paraId="4B3C97D8" w14:textId="77777777" w:rsidTr="0027112A">
        <w:tc>
          <w:tcPr>
            <w:tcW w:w="992" w:type="dxa"/>
          </w:tcPr>
          <w:p w14:paraId="67B2025E" w14:textId="77777777" w:rsidR="00C57F1E" w:rsidRPr="00C9343F" w:rsidRDefault="00C57F1E" w:rsidP="00F66D98">
            <w:pPr>
              <w:pStyle w:val="BlockText-Plain"/>
              <w:jc w:val="center"/>
            </w:pPr>
          </w:p>
        </w:tc>
        <w:tc>
          <w:tcPr>
            <w:tcW w:w="8363" w:type="dxa"/>
          </w:tcPr>
          <w:p w14:paraId="3311C197" w14:textId="5E7BCEC4" w:rsidR="00C57F1E" w:rsidRPr="00C9343F" w:rsidRDefault="00C57F1E" w:rsidP="00F66D98">
            <w:pPr>
              <w:pStyle w:val="BlockText-Plain"/>
            </w:pPr>
            <w:r w:rsidRPr="00C9343F">
              <w:t>Higher duties allowance may be paid to recognise a member directed to perform duties attributed to a higher rank or higher position.</w:t>
            </w:r>
          </w:p>
        </w:tc>
      </w:tr>
    </w:tbl>
    <w:p w14:paraId="6E9A1913" w14:textId="2C93F10C" w:rsidR="00C57F1E" w:rsidRPr="00C9343F" w:rsidRDefault="00C57F1E" w:rsidP="00F66D98">
      <w:pPr>
        <w:pStyle w:val="Heading5"/>
      </w:pPr>
      <w:bookmarkStart w:id="592" w:name="_Toc105053798"/>
      <w:r w:rsidRPr="00C9343F">
        <w:t>4.1.2</w:t>
      </w:r>
      <w:r w:rsidR="00D94006" w:rsidRPr="00C9343F">
        <w:t>    </w:t>
      </w:r>
      <w:r w:rsidRPr="00C9343F">
        <w:t>Definitions</w:t>
      </w:r>
      <w:bookmarkEnd w:id="592"/>
    </w:p>
    <w:tbl>
      <w:tblPr>
        <w:tblW w:w="9360" w:type="dxa"/>
        <w:tblInd w:w="113" w:type="dxa"/>
        <w:tblLayout w:type="fixed"/>
        <w:tblLook w:val="0000" w:firstRow="0" w:lastRow="0" w:firstColumn="0" w:lastColumn="0" w:noHBand="0" w:noVBand="0"/>
      </w:tblPr>
      <w:tblGrid>
        <w:gridCol w:w="992"/>
        <w:gridCol w:w="8368"/>
      </w:tblGrid>
      <w:tr w:rsidR="00C57F1E" w:rsidRPr="00C9343F" w14:paraId="7A5953A0" w14:textId="77777777" w:rsidTr="0027112A">
        <w:tc>
          <w:tcPr>
            <w:tcW w:w="992" w:type="dxa"/>
          </w:tcPr>
          <w:p w14:paraId="28C0E56A" w14:textId="77777777" w:rsidR="00C57F1E" w:rsidRPr="00C9343F" w:rsidRDefault="00C57F1E" w:rsidP="00F66D98">
            <w:pPr>
              <w:pStyle w:val="BlockText-Plain"/>
              <w:jc w:val="center"/>
            </w:pPr>
          </w:p>
        </w:tc>
        <w:tc>
          <w:tcPr>
            <w:tcW w:w="8368" w:type="dxa"/>
          </w:tcPr>
          <w:p w14:paraId="0B2DE290" w14:textId="77777777" w:rsidR="00C57F1E" w:rsidRPr="00C9343F" w:rsidRDefault="00C57F1E" w:rsidP="00F66D98">
            <w:pPr>
              <w:pStyle w:val="BlockText-Plain"/>
            </w:pPr>
            <w:r w:rsidRPr="00C9343F">
              <w:t>In this Part the following apply.</w:t>
            </w:r>
          </w:p>
        </w:tc>
      </w:tr>
      <w:tr w:rsidR="00C57F1E" w:rsidRPr="00C9343F" w14:paraId="307B9E18" w14:textId="77777777" w:rsidTr="0027112A">
        <w:tc>
          <w:tcPr>
            <w:tcW w:w="992" w:type="dxa"/>
          </w:tcPr>
          <w:p w14:paraId="4FEA0C7F" w14:textId="77777777" w:rsidR="00C57F1E" w:rsidRPr="00C9343F" w:rsidRDefault="00C57F1E" w:rsidP="00F66D98">
            <w:pPr>
              <w:pStyle w:val="BlockText-Plain"/>
              <w:jc w:val="center"/>
            </w:pPr>
          </w:p>
        </w:tc>
        <w:tc>
          <w:tcPr>
            <w:tcW w:w="8368" w:type="dxa"/>
          </w:tcPr>
          <w:p w14:paraId="60EE4937" w14:textId="77777777" w:rsidR="00C57F1E" w:rsidRPr="00C9343F" w:rsidRDefault="00C57F1E" w:rsidP="00F66D98">
            <w:pPr>
              <w:pStyle w:val="BlockText-Plain"/>
            </w:pPr>
            <w:r w:rsidRPr="00C9343F">
              <w:rPr>
                <w:b/>
              </w:rPr>
              <w:t xml:space="preserve">Approver </w:t>
            </w:r>
            <w:r w:rsidRPr="00C9343F">
              <w:t>for a person described in column A in the following table means a member described in column B or a Defence APS employee described in column C of the same item.</w:t>
            </w:r>
          </w:p>
        </w:tc>
      </w:tr>
    </w:tbl>
    <w:p w14:paraId="116CD3C4" w14:textId="77777777" w:rsidR="00C57F1E" w:rsidRPr="00C9343F" w:rsidRDefault="00C57F1E" w:rsidP="00F66D98">
      <w:r w:rsidRPr="00C9343F">
        <w:t xml:space="preserve"> </w:t>
      </w:r>
    </w:p>
    <w:tbl>
      <w:tblPr>
        <w:tblStyle w:val="TableGrid"/>
        <w:tblW w:w="8505" w:type="dxa"/>
        <w:tblInd w:w="988" w:type="dxa"/>
        <w:tblLook w:val="04A0" w:firstRow="1" w:lastRow="0" w:firstColumn="1" w:lastColumn="0" w:noHBand="0" w:noVBand="1"/>
      </w:tblPr>
      <w:tblGrid>
        <w:gridCol w:w="850"/>
        <w:gridCol w:w="2551"/>
        <w:gridCol w:w="2552"/>
        <w:gridCol w:w="2552"/>
      </w:tblGrid>
      <w:tr w:rsidR="00C57F1E" w:rsidRPr="00C9343F" w14:paraId="3DB52B4C" w14:textId="77777777" w:rsidTr="0027112A">
        <w:tc>
          <w:tcPr>
            <w:tcW w:w="850" w:type="dxa"/>
          </w:tcPr>
          <w:p w14:paraId="1704BFE7" w14:textId="77777777" w:rsidR="00C57F1E" w:rsidRPr="00C9343F" w:rsidRDefault="00C57F1E" w:rsidP="00F66D98">
            <w:pPr>
              <w:jc w:val="center"/>
              <w:rPr>
                <w:b/>
              </w:rPr>
            </w:pPr>
            <w:r w:rsidRPr="00C9343F">
              <w:rPr>
                <w:rFonts w:cs="Arial"/>
                <w:b/>
                <w:sz w:val="20"/>
              </w:rPr>
              <w:t>Item</w:t>
            </w:r>
          </w:p>
        </w:tc>
        <w:tc>
          <w:tcPr>
            <w:tcW w:w="2551" w:type="dxa"/>
          </w:tcPr>
          <w:p w14:paraId="2C42AF26" w14:textId="77777777" w:rsidR="00C57F1E" w:rsidRPr="00C9343F" w:rsidRDefault="00C57F1E" w:rsidP="00F66D98">
            <w:pPr>
              <w:jc w:val="center"/>
              <w:rPr>
                <w:rFonts w:cs="Arial"/>
                <w:b/>
                <w:sz w:val="20"/>
              </w:rPr>
            </w:pPr>
            <w:r w:rsidRPr="00C9343F">
              <w:rPr>
                <w:rFonts w:cs="Arial"/>
                <w:b/>
                <w:sz w:val="20"/>
              </w:rPr>
              <w:t>Column A</w:t>
            </w:r>
          </w:p>
          <w:p w14:paraId="1546216B" w14:textId="77777777" w:rsidR="00C57F1E" w:rsidRPr="00C9343F" w:rsidRDefault="00C57F1E" w:rsidP="00F66D98">
            <w:pPr>
              <w:jc w:val="center"/>
              <w:rPr>
                <w:b/>
              </w:rPr>
            </w:pPr>
            <w:r w:rsidRPr="00C9343F">
              <w:rPr>
                <w:rFonts w:cs="Arial"/>
                <w:b/>
                <w:sz w:val="20"/>
              </w:rPr>
              <w:t>Member performing higher duties</w:t>
            </w:r>
          </w:p>
        </w:tc>
        <w:tc>
          <w:tcPr>
            <w:tcW w:w="2552" w:type="dxa"/>
          </w:tcPr>
          <w:p w14:paraId="3E7CCCD4" w14:textId="77777777" w:rsidR="00C57F1E" w:rsidRPr="00C9343F" w:rsidRDefault="00C57F1E" w:rsidP="00F66D98">
            <w:pPr>
              <w:jc w:val="center"/>
              <w:rPr>
                <w:rFonts w:cs="Arial"/>
                <w:b/>
                <w:sz w:val="20"/>
              </w:rPr>
            </w:pPr>
            <w:r w:rsidRPr="00C9343F">
              <w:rPr>
                <w:rFonts w:cs="Arial"/>
                <w:b/>
                <w:sz w:val="20"/>
              </w:rPr>
              <w:t>Column B</w:t>
            </w:r>
          </w:p>
          <w:p w14:paraId="54CABB61" w14:textId="77777777" w:rsidR="00C57F1E" w:rsidRPr="00C9343F" w:rsidRDefault="00C57F1E" w:rsidP="00F66D98">
            <w:pPr>
              <w:jc w:val="center"/>
              <w:rPr>
                <w:b/>
              </w:rPr>
            </w:pPr>
            <w:r w:rsidRPr="00C9343F">
              <w:rPr>
                <w:rFonts w:cs="Arial"/>
                <w:b/>
                <w:sz w:val="20"/>
              </w:rPr>
              <w:t>Defence member</w:t>
            </w:r>
          </w:p>
        </w:tc>
        <w:tc>
          <w:tcPr>
            <w:tcW w:w="2552" w:type="dxa"/>
          </w:tcPr>
          <w:p w14:paraId="00835454" w14:textId="77777777" w:rsidR="00C57F1E" w:rsidRPr="00C9343F" w:rsidRDefault="00C57F1E" w:rsidP="00F66D98">
            <w:pPr>
              <w:jc w:val="center"/>
              <w:rPr>
                <w:rFonts w:cs="Arial"/>
                <w:b/>
                <w:sz w:val="20"/>
              </w:rPr>
            </w:pPr>
            <w:r w:rsidRPr="00C9343F">
              <w:rPr>
                <w:rFonts w:cs="Arial"/>
                <w:b/>
                <w:sz w:val="20"/>
              </w:rPr>
              <w:t>Column C</w:t>
            </w:r>
          </w:p>
          <w:p w14:paraId="4946D70F" w14:textId="77777777" w:rsidR="00C57F1E" w:rsidRPr="00C9343F" w:rsidRDefault="00C57F1E" w:rsidP="00F66D98">
            <w:pPr>
              <w:jc w:val="center"/>
              <w:rPr>
                <w:b/>
              </w:rPr>
            </w:pPr>
            <w:r w:rsidRPr="00C9343F">
              <w:rPr>
                <w:rFonts w:cs="Arial"/>
                <w:b/>
                <w:sz w:val="20"/>
              </w:rPr>
              <w:t>Defence APS employee</w:t>
            </w:r>
          </w:p>
        </w:tc>
      </w:tr>
      <w:tr w:rsidR="00C57F1E" w:rsidRPr="00C9343F" w14:paraId="745D1E9B" w14:textId="77777777" w:rsidTr="0027112A">
        <w:tc>
          <w:tcPr>
            <w:tcW w:w="850" w:type="dxa"/>
          </w:tcPr>
          <w:p w14:paraId="6A4AE789" w14:textId="77777777" w:rsidR="00C57F1E" w:rsidRPr="00C9343F" w:rsidRDefault="00C57F1E" w:rsidP="00F66D98">
            <w:pPr>
              <w:jc w:val="center"/>
              <w:rPr>
                <w:rFonts w:cs="Arial"/>
                <w:sz w:val="20"/>
              </w:rPr>
            </w:pPr>
            <w:r w:rsidRPr="00C9343F">
              <w:rPr>
                <w:rFonts w:cs="Arial"/>
                <w:sz w:val="20"/>
              </w:rPr>
              <w:t>1.</w:t>
            </w:r>
          </w:p>
        </w:tc>
        <w:tc>
          <w:tcPr>
            <w:tcW w:w="2551" w:type="dxa"/>
          </w:tcPr>
          <w:p w14:paraId="56A1664F" w14:textId="77777777" w:rsidR="00C57F1E" w:rsidRPr="00C9343F" w:rsidRDefault="00C57F1E" w:rsidP="00F66D98">
            <w:pPr>
              <w:spacing w:after="120"/>
              <w:rPr>
                <w:rFonts w:cs="Arial"/>
                <w:sz w:val="20"/>
              </w:rPr>
            </w:pPr>
            <w:r w:rsidRPr="00C9343F">
              <w:rPr>
                <w:rFonts w:cs="Arial"/>
                <w:sz w:val="20"/>
              </w:rPr>
              <w:t>A member holding a rank of Colonel or lower who meets all of the following.</w:t>
            </w:r>
          </w:p>
          <w:p w14:paraId="08DEC1FD" w14:textId="77777777" w:rsidR="00C57F1E" w:rsidRPr="00C9343F" w:rsidRDefault="00C57F1E" w:rsidP="00F66D98">
            <w:pPr>
              <w:pStyle w:val="ListParagraph"/>
              <w:numPr>
                <w:ilvl w:val="0"/>
                <w:numId w:val="43"/>
              </w:numPr>
              <w:spacing w:before="120" w:after="120"/>
              <w:ind w:left="459" w:hanging="425"/>
              <w:rPr>
                <w:rFonts w:ascii="Arial" w:hAnsi="Arial" w:cs="Arial"/>
                <w:sz w:val="20"/>
              </w:rPr>
            </w:pPr>
            <w:r w:rsidRPr="00C9343F">
              <w:rPr>
                <w:rFonts w:ascii="Arial" w:hAnsi="Arial" w:cs="Arial"/>
                <w:sz w:val="20"/>
              </w:rPr>
              <w:t>The member has been directed to perform the primary duties of a position at higher rank.</w:t>
            </w:r>
          </w:p>
          <w:p w14:paraId="64C4BFDB" w14:textId="77777777" w:rsidR="00C57F1E" w:rsidRPr="00C9343F" w:rsidRDefault="00C57F1E" w:rsidP="00F66D98">
            <w:pPr>
              <w:pStyle w:val="ListParagraph"/>
              <w:numPr>
                <w:ilvl w:val="0"/>
                <w:numId w:val="43"/>
              </w:numPr>
              <w:spacing w:before="120" w:after="120"/>
              <w:ind w:left="459" w:hanging="426"/>
              <w:rPr>
                <w:rFonts w:ascii="Arial" w:hAnsi="Arial" w:cs="Arial"/>
                <w:sz w:val="20"/>
              </w:rPr>
            </w:pPr>
            <w:r w:rsidRPr="00C9343F">
              <w:rPr>
                <w:rFonts w:ascii="Arial" w:hAnsi="Arial" w:cs="Arial"/>
                <w:sz w:val="20"/>
              </w:rPr>
              <w:t>The primary duties of that position are not being undertaken by another person.</w:t>
            </w:r>
          </w:p>
        </w:tc>
        <w:tc>
          <w:tcPr>
            <w:tcW w:w="2552" w:type="dxa"/>
          </w:tcPr>
          <w:p w14:paraId="6B011032" w14:textId="77777777" w:rsidR="00C57F1E" w:rsidRPr="00C9343F" w:rsidRDefault="00C57F1E" w:rsidP="00F66D98">
            <w:pPr>
              <w:rPr>
                <w:rFonts w:cs="Arial"/>
                <w:sz w:val="20"/>
              </w:rPr>
            </w:pPr>
            <w:r w:rsidRPr="00C9343F">
              <w:rPr>
                <w:rFonts w:cs="Arial"/>
                <w:sz w:val="20"/>
              </w:rPr>
              <w:t>A member holding a rank of Sergeant or higher and meets all of the following.</w:t>
            </w:r>
          </w:p>
          <w:p w14:paraId="22D72DA0" w14:textId="77777777" w:rsidR="00C57F1E" w:rsidRPr="00C9343F" w:rsidRDefault="00C57F1E" w:rsidP="00F66D98">
            <w:pPr>
              <w:pStyle w:val="ListParagraph"/>
              <w:numPr>
                <w:ilvl w:val="0"/>
                <w:numId w:val="44"/>
              </w:numPr>
              <w:ind w:left="462" w:hanging="425"/>
              <w:rPr>
                <w:rFonts w:ascii="Arial" w:hAnsi="Arial" w:cs="Arial"/>
                <w:sz w:val="20"/>
              </w:rPr>
            </w:pPr>
            <w:r w:rsidRPr="00C9343F">
              <w:rPr>
                <w:rFonts w:ascii="Arial" w:hAnsi="Arial" w:cs="Arial"/>
                <w:sz w:val="20"/>
              </w:rPr>
              <w:t>The member is at least one rank higher than the position in which the duty is to be performed.</w:t>
            </w:r>
          </w:p>
          <w:p w14:paraId="33FE167D" w14:textId="77777777" w:rsidR="00C57F1E" w:rsidRPr="00C9343F" w:rsidRDefault="00C57F1E" w:rsidP="00F66D98">
            <w:pPr>
              <w:pStyle w:val="ListParagraph"/>
              <w:numPr>
                <w:ilvl w:val="0"/>
                <w:numId w:val="44"/>
              </w:numPr>
              <w:ind w:left="462" w:hanging="425"/>
              <w:rPr>
                <w:rFonts w:ascii="Arial" w:hAnsi="Arial" w:cs="Arial"/>
                <w:sz w:val="20"/>
              </w:rPr>
            </w:pPr>
            <w:r w:rsidRPr="00C9343F">
              <w:rPr>
                <w:rFonts w:ascii="Arial" w:hAnsi="Arial" w:cs="Arial"/>
                <w:sz w:val="20"/>
              </w:rPr>
              <w:t>The person who has been directed is in the member’s chain of command.</w:t>
            </w:r>
          </w:p>
        </w:tc>
        <w:tc>
          <w:tcPr>
            <w:tcW w:w="2552" w:type="dxa"/>
          </w:tcPr>
          <w:p w14:paraId="35B17833" w14:textId="77777777" w:rsidR="00C57F1E" w:rsidRPr="00C9343F" w:rsidRDefault="00C57F1E" w:rsidP="00F66D98">
            <w:pPr>
              <w:rPr>
                <w:rFonts w:cs="Arial"/>
                <w:sz w:val="20"/>
              </w:rPr>
            </w:pPr>
            <w:r w:rsidRPr="00C9343F">
              <w:rPr>
                <w:rFonts w:cs="Arial"/>
                <w:sz w:val="20"/>
              </w:rPr>
              <w:t>A Defence APS employee holding a classification of APS 4 or higher who has managerial or supervisory responsibility for the position in which the duty is to be performed.</w:t>
            </w:r>
          </w:p>
        </w:tc>
      </w:tr>
      <w:tr w:rsidR="00C57F1E" w:rsidRPr="00C9343F" w14:paraId="1D3652A9" w14:textId="77777777" w:rsidTr="0027112A">
        <w:tc>
          <w:tcPr>
            <w:tcW w:w="850" w:type="dxa"/>
          </w:tcPr>
          <w:p w14:paraId="336C1798" w14:textId="77777777" w:rsidR="00C57F1E" w:rsidRPr="00C9343F" w:rsidRDefault="00C57F1E" w:rsidP="00F66D98">
            <w:pPr>
              <w:jc w:val="center"/>
              <w:rPr>
                <w:rFonts w:cs="Arial"/>
                <w:sz w:val="20"/>
              </w:rPr>
            </w:pPr>
            <w:r w:rsidRPr="00C9343F">
              <w:rPr>
                <w:rFonts w:cs="Arial"/>
                <w:sz w:val="20"/>
              </w:rPr>
              <w:t>2.</w:t>
            </w:r>
          </w:p>
        </w:tc>
        <w:tc>
          <w:tcPr>
            <w:tcW w:w="2551" w:type="dxa"/>
          </w:tcPr>
          <w:p w14:paraId="54D202A7" w14:textId="77777777" w:rsidR="00C57F1E" w:rsidRPr="00C9343F" w:rsidRDefault="00C57F1E" w:rsidP="00F66D98">
            <w:pPr>
              <w:spacing w:after="120"/>
              <w:rPr>
                <w:rFonts w:cs="Arial"/>
                <w:sz w:val="20"/>
              </w:rPr>
            </w:pPr>
            <w:r w:rsidRPr="00C9343F">
              <w:rPr>
                <w:rFonts w:cs="Arial"/>
                <w:sz w:val="20"/>
              </w:rPr>
              <w:t>A member holding a rank of Brigadier or higher who meets all of the following.</w:t>
            </w:r>
          </w:p>
          <w:p w14:paraId="17BC91BE" w14:textId="77777777" w:rsidR="00C57F1E" w:rsidRPr="00C9343F" w:rsidRDefault="00C57F1E" w:rsidP="00F66D98">
            <w:pPr>
              <w:pStyle w:val="ListParagraph"/>
              <w:numPr>
                <w:ilvl w:val="0"/>
                <w:numId w:val="45"/>
              </w:numPr>
              <w:spacing w:before="120" w:after="120"/>
              <w:ind w:left="459" w:hanging="426"/>
              <w:rPr>
                <w:rFonts w:ascii="Arial" w:hAnsi="Arial" w:cs="Arial"/>
                <w:sz w:val="20"/>
              </w:rPr>
            </w:pPr>
            <w:r w:rsidRPr="00C9343F">
              <w:rPr>
                <w:rFonts w:ascii="Arial" w:hAnsi="Arial" w:cs="Arial"/>
                <w:sz w:val="20"/>
              </w:rPr>
              <w:t>The member has been directed to perform the primary duties of a position at higher rank.</w:t>
            </w:r>
          </w:p>
          <w:p w14:paraId="382FEE08" w14:textId="77777777" w:rsidR="00C57F1E" w:rsidRPr="00C9343F" w:rsidRDefault="00C57F1E" w:rsidP="00F66D98">
            <w:pPr>
              <w:pStyle w:val="ListParagraph"/>
              <w:numPr>
                <w:ilvl w:val="0"/>
                <w:numId w:val="45"/>
              </w:numPr>
              <w:spacing w:before="120" w:after="120"/>
              <w:ind w:left="459" w:hanging="426"/>
              <w:rPr>
                <w:rFonts w:ascii="Arial" w:hAnsi="Arial" w:cs="Arial"/>
                <w:sz w:val="20"/>
              </w:rPr>
            </w:pPr>
            <w:r w:rsidRPr="00C9343F">
              <w:rPr>
                <w:rFonts w:ascii="Arial" w:hAnsi="Arial" w:cs="Arial"/>
                <w:sz w:val="20"/>
              </w:rPr>
              <w:t>The primary duties of that position are not being undertaken by another person.</w:t>
            </w:r>
          </w:p>
        </w:tc>
        <w:tc>
          <w:tcPr>
            <w:tcW w:w="2552" w:type="dxa"/>
          </w:tcPr>
          <w:p w14:paraId="21CB71BD" w14:textId="77777777" w:rsidR="00C57F1E" w:rsidRPr="00C9343F" w:rsidRDefault="00C57F1E" w:rsidP="00F66D98">
            <w:pPr>
              <w:rPr>
                <w:rFonts w:cs="Arial"/>
                <w:sz w:val="20"/>
              </w:rPr>
            </w:pPr>
            <w:r w:rsidRPr="00C9343F">
              <w:rPr>
                <w:rFonts w:cs="Arial"/>
                <w:sz w:val="20"/>
              </w:rPr>
              <w:t>A member who has responsibility for the position in which the duty is to be performed.</w:t>
            </w:r>
          </w:p>
        </w:tc>
        <w:tc>
          <w:tcPr>
            <w:tcW w:w="2552" w:type="dxa"/>
          </w:tcPr>
          <w:p w14:paraId="14D7286B" w14:textId="77777777" w:rsidR="00C57F1E" w:rsidRPr="00C9343F" w:rsidRDefault="00C57F1E" w:rsidP="00F66D98">
            <w:pPr>
              <w:rPr>
                <w:rFonts w:cs="Arial"/>
                <w:sz w:val="20"/>
              </w:rPr>
            </w:pPr>
            <w:r w:rsidRPr="00C9343F">
              <w:rPr>
                <w:rFonts w:cs="Arial"/>
                <w:sz w:val="20"/>
              </w:rPr>
              <w:t>A Defence APS employee who has managerial or supervisory responsibility for the position in which the duty is to be performed.</w:t>
            </w:r>
          </w:p>
        </w:tc>
      </w:tr>
      <w:tr w:rsidR="00CC14F3" w:rsidRPr="00C9343F" w14:paraId="6CAD4404" w14:textId="77777777" w:rsidTr="0027112A">
        <w:tc>
          <w:tcPr>
            <w:tcW w:w="850" w:type="dxa"/>
          </w:tcPr>
          <w:p w14:paraId="480DE34D" w14:textId="77777777" w:rsidR="00CC14F3" w:rsidRPr="00C9343F" w:rsidRDefault="00CC14F3" w:rsidP="00F66D98">
            <w:pPr>
              <w:jc w:val="center"/>
              <w:rPr>
                <w:rFonts w:cs="Arial"/>
                <w:sz w:val="20"/>
              </w:rPr>
            </w:pPr>
            <w:r w:rsidRPr="00C9343F">
              <w:rPr>
                <w:rFonts w:cs="Arial"/>
                <w:sz w:val="20"/>
              </w:rPr>
              <w:t>3.</w:t>
            </w:r>
          </w:p>
        </w:tc>
        <w:tc>
          <w:tcPr>
            <w:tcW w:w="2551" w:type="dxa"/>
          </w:tcPr>
          <w:p w14:paraId="50C299D6" w14:textId="3784791C" w:rsidR="00CC14F3" w:rsidRPr="00C9343F" w:rsidRDefault="002850C6" w:rsidP="002850C6">
            <w:pPr>
              <w:spacing w:after="120"/>
              <w:rPr>
                <w:rFonts w:cs="Arial"/>
                <w:sz w:val="20"/>
              </w:rPr>
            </w:pPr>
            <w:r w:rsidRPr="00C9343F">
              <w:rPr>
                <w:rFonts w:cs="Arial"/>
                <w:sz w:val="20"/>
              </w:rPr>
              <w:t>A</w:t>
            </w:r>
            <w:r w:rsidR="00CC14F3" w:rsidRPr="00C9343F">
              <w:rPr>
                <w:rFonts w:cs="Arial"/>
                <w:sz w:val="20"/>
              </w:rPr>
              <w:t xml:space="preserve"> member of the Permanent Forces who is directed to p</w:t>
            </w:r>
            <w:r w:rsidRPr="00C9343F">
              <w:rPr>
                <w:rFonts w:cs="Arial"/>
                <w:sz w:val="20"/>
              </w:rPr>
              <w:t xml:space="preserve">erform the primary duties of a </w:t>
            </w:r>
            <w:r w:rsidR="00CC14F3" w:rsidRPr="00C9343F">
              <w:rPr>
                <w:rFonts w:cs="Arial"/>
                <w:sz w:val="20"/>
              </w:rPr>
              <w:t>Reserve position</w:t>
            </w:r>
            <w:r w:rsidRPr="00C9343F">
              <w:rPr>
                <w:rFonts w:cs="Arial"/>
                <w:sz w:val="20"/>
              </w:rPr>
              <w:t xml:space="preserve"> of a higher rank</w:t>
            </w:r>
            <w:r w:rsidR="00CC14F3" w:rsidRPr="00C9343F">
              <w:rPr>
                <w:rFonts w:cs="Arial"/>
                <w:sz w:val="20"/>
              </w:rPr>
              <w:t>.</w:t>
            </w:r>
          </w:p>
        </w:tc>
        <w:tc>
          <w:tcPr>
            <w:tcW w:w="2552" w:type="dxa"/>
            <w:vMerge w:val="restart"/>
          </w:tcPr>
          <w:p w14:paraId="54948287" w14:textId="77777777" w:rsidR="00CC14F3" w:rsidRPr="00C9343F" w:rsidRDefault="00CC14F3" w:rsidP="00F66D98">
            <w:pPr>
              <w:rPr>
                <w:rFonts w:cs="Arial"/>
                <w:sz w:val="20"/>
              </w:rPr>
            </w:pPr>
            <w:r w:rsidRPr="00C9343F">
              <w:rPr>
                <w:rFonts w:cs="Arial"/>
                <w:sz w:val="20"/>
              </w:rPr>
              <w:t>A member holding the rank of Brigadier or higher who has command over the member.</w:t>
            </w:r>
          </w:p>
        </w:tc>
        <w:tc>
          <w:tcPr>
            <w:tcW w:w="2552" w:type="dxa"/>
            <w:vMerge w:val="restart"/>
          </w:tcPr>
          <w:p w14:paraId="60606270" w14:textId="77777777" w:rsidR="00CC14F3" w:rsidRPr="00C9343F" w:rsidRDefault="00CC14F3" w:rsidP="00F66D98">
            <w:pPr>
              <w:rPr>
                <w:rFonts w:cs="Arial"/>
                <w:sz w:val="20"/>
              </w:rPr>
            </w:pPr>
            <w:r w:rsidRPr="00C9343F">
              <w:rPr>
                <w:rFonts w:cs="Arial"/>
                <w:sz w:val="20"/>
              </w:rPr>
              <w:t>A Defence APS Senior Executive Service Band 1 employee or higher who has managerial or supervisory responsibility for the position of which the duty is to be performed.</w:t>
            </w:r>
          </w:p>
        </w:tc>
      </w:tr>
      <w:tr w:rsidR="00CC14F3" w:rsidRPr="00C9343F" w14:paraId="062969A2" w14:textId="77777777" w:rsidTr="0027112A">
        <w:tc>
          <w:tcPr>
            <w:tcW w:w="850" w:type="dxa"/>
          </w:tcPr>
          <w:p w14:paraId="5E3B06A3" w14:textId="57CC280A" w:rsidR="00CC14F3" w:rsidRPr="00C9343F" w:rsidRDefault="00CC14F3" w:rsidP="00F66D98">
            <w:pPr>
              <w:jc w:val="center"/>
              <w:rPr>
                <w:rFonts w:cs="Arial"/>
                <w:sz w:val="20"/>
              </w:rPr>
            </w:pPr>
            <w:r w:rsidRPr="00C9343F">
              <w:rPr>
                <w:rFonts w:cs="Arial"/>
                <w:sz w:val="20"/>
              </w:rPr>
              <w:t>4.</w:t>
            </w:r>
          </w:p>
        </w:tc>
        <w:tc>
          <w:tcPr>
            <w:tcW w:w="2551" w:type="dxa"/>
          </w:tcPr>
          <w:p w14:paraId="197A9460" w14:textId="1D846386" w:rsidR="00CC14F3" w:rsidRPr="00C9343F" w:rsidRDefault="00CC14F3" w:rsidP="00F66D98">
            <w:pPr>
              <w:spacing w:after="120"/>
              <w:rPr>
                <w:rFonts w:cs="Arial"/>
                <w:sz w:val="20"/>
              </w:rPr>
            </w:pPr>
            <w:r w:rsidRPr="00C9343F">
              <w:rPr>
                <w:rFonts w:cs="Arial"/>
                <w:sz w:val="20"/>
              </w:rPr>
              <w:t>A member in all other circumstances.</w:t>
            </w:r>
          </w:p>
        </w:tc>
        <w:tc>
          <w:tcPr>
            <w:tcW w:w="2552" w:type="dxa"/>
            <w:vMerge/>
          </w:tcPr>
          <w:p w14:paraId="0E9AF5B4" w14:textId="77777777" w:rsidR="00CC14F3" w:rsidRPr="00C9343F" w:rsidRDefault="00CC14F3" w:rsidP="00F66D98">
            <w:pPr>
              <w:rPr>
                <w:rFonts w:cs="Arial"/>
                <w:sz w:val="20"/>
              </w:rPr>
            </w:pPr>
          </w:p>
        </w:tc>
        <w:tc>
          <w:tcPr>
            <w:tcW w:w="2552" w:type="dxa"/>
            <w:vMerge/>
          </w:tcPr>
          <w:p w14:paraId="69D0B129" w14:textId="77777777" w:rsidR="00CC14F3" w:rsidRPr="00C9343F" w:rsidRDefault="00CC14F3" w:rsidP="00F66D98">
            <w:pPr>
              <w:rPr>
                <w:rFonts w:cs="Arial"/>
                <w:sz w:val="20"/>
              </w:rPr>
            </w:pPr>
          </w:p>
        </w:tc>
      </w:tr>
    </w:tbl>
    <w:p w14:paraId="4E174BC8" w14:textId="77777777" w:rsidR="00C57F1E" w:rsidRPr="00C9343F" w:rsidRDefault="00C57F1E" w:rsidP="00F66D98"/>
    <w:tbl>
      <w:tblPr>
        <w:tblW w:w="9360" w:type="dxa"/>
        <w:tblInd w:w="113" w:type="dxa"/>
        <w:tblLayout w:type="fixed"/>
        <w:tblLook w:val="0000" w:firstRow="0" w:lastRow="0" w:firstColumn="0" w:lastColumn="0" w:noHBand="0" w:noVBand="0"/>
      </w:tblPr>
      <w:tblGrid>
        <w:gridCol w:w="992"/>
        <w:gridCol w:w="8368"/>
      </w:tblGrid>
      <w:tr w:rsidR="00C57F1E" w:rsidRPr="00C9343F" w14:paraId="7CDDFEBD" w14:textId="77777777" w:rsidTr="0027112A">
        <w:tc>
          <w:tcPr>
            <w:tcW w:w="992" w:type="dxa"/>
          </w:tcPr>
          <w:p w14:paraId="6EC31B15" w14:textId="77777777" w:rsidR="00C57F1E" w:rsidRPr="00C9343F" w:rsidRDefault="00C57F1E" w:rsidP="00F66D98">
            <w:pPr>
              <w:pStyle w:val="BlockText-Plain"/>
              <w:jc w:val="center"/>
            </w:pPr>
          </w:p>
        </w:tc>
        <w:tc>
          <w:tcPr>
            <w:tcW w:w="8368" w:type="dxa"/>
          </w:tcPr>
          <w:p w14:paraId="4DF2F641" w14:textId="3B4B166D" w:rsidR="00C57F1E" w:rsidRPr="00C9343F" w:rsidRDefault="00C57F1E" w:rsidP="00F66D98">
            <w:pPr>
              <w:pStyle w:val="BlockText-Plain"/>
              <w:rPr>
                <w:b/>
              </w:rPr>
            </w:pPr>
            <w:r w:rsidRPr="00C9343F">
              <w:rPr>
                <w:b/>
              </w:rPr>
              <w:t>Higher rank</w:t>
            </w:r>
            <w:r w:rsidRPr="00C9343F">
              <w:t xml:space="preserve"> includes an APS position or a Foreign Service rank which the duties are assessed as being equivalent to a rank higher than that held by the member directed to perform duties at a higher rank.</w:t>
            </w:r>
          </w:p>
        </w:tc>
      </w:tr>
    </w:tbl>
    <w:p w14:paraId="6B82A4C6" w14:textId="0D3D7BF0" w:rsidR="00C57F1E" w:rsidRPr="00C9343F" w:rsidRDefault="00C57F1E" w:rsidP="00F66D98">
      <w:pPr>
        <w:pStyle w:val="Heading5"/>
      </w:pPr>
      <w:bookmarkStart w:id="593" w:name="_Toc105053799"/>
      <w:r w:rsidRPr="00C9343F">
        <w:t>4.1.3</w:t>
      </w:r>
      <w:r w:rsidR="00D94006" w:rsidRPr="00C9343F">
        <w:t>    </w:t>
      </w:r>
      <w:r w:rsidRPr="00C9343F">
        <w:t xml:space="preserve">Member this </w:t>
      </w:r>
      <w:r w:rsidR="0027112A" w:rsidRPr="00C9343F">
        <w:t>P</w:t>
      </w:r>
      <w:r w:rsidRPr="00C9343F">
        <w:t>art applies to</w:t>
      </w:r>
      <w:bookmarkEnd w:id="593"/>
      <w:r w:rsidRPr="00C9343F">
        <w:t xml:space="preserve">  </w:t>
      </w:r>
    </w:p>
    <w:tbl>
      <w:tblPr>
        <w:tblW w:w="9355" w:type="dxa"/>
        <w:tblInd w:w="113" w:type="dxa"/>
        <w:tblLayout w:type="fixed"/>
        <w:tblLook w:val="0000" w:firstRow="0" w:lastRow="0" w:firstColumn="0" w:lastColumn="0" w:noHBand="0" w:noVBand="0"/>
      </w:tblPr>
      <w:tblGrid>
        <w:gridCol w:w="992"/>
        <w:gridCol w:w="567"/>
        <w:gridCol w:w="7796"/>
      </w:tblGrid>
      <w:tr w:rsidR="00C57F1E" w:rsidRPr="00C9343F" w14:paraId="3A4363CF" w14:textId="77777777" w:rsidTr="0027112A">
        <w:tc>
          <w:tcPr>
            <w:tcW w:w="992" w:type="dxa"/>
          </w:tcPr>
          <w:p w14:paraId="0DF8338C" w14:textId="77777777" w:rsidR="00C57F1E" w:rsidRPr="00C9343F" w:rsidRDefault="00C57F1E" w:rsidP="00F66D98">
            <w:pPr>
              <w:pStyle w:val="BlockText-Plain"/>
              <w:jc w:val="center"/>
            </w:pPr>
          </w:p>
        </w:tc>
        <w:tc>
          <w:tcPr>
            <w:tcW w:w="8363" w:type="dxa"/>
            <w:gridSpan w:val="2"/>
          </w:tcPr>
          <w:p w14:paraId="05DE3FD4" w14:textId="4864EFA0" w:rsidR="00C57F1E" w:rsidRPr="00C9343F" w:rsidRDefault="00C57F1E" w:rsidP="00F66D98">
            <w:pPr>
              <w:pStyle w:val="BlockText-Plain"/>
            </w:pPr>
            <w:r w:rsidRPr="00C9343F">
              <w:t xml:space="preserve">This </w:t>
            </w:r>
            <w:r w:rsidR="0027112A" w:rsidRPr="00C9343F">
              <w:t>P</w:t>
            </w:r>
            <w:r w:rsidRPr="00C9343F">
              <w:t>art applies to a</w:t>
            </w:r>
            <w:r w:rsidR="00FA3308" w:rsidRPr="00C9343F">
              <w:t xml:space="preserve"> member, including a member of the R</w:t>
            </w:r>
            <w:r w:rsidRPr="00C9343F">
              <w:t xml:space="preserve">eserves, who meets both of the following criteria. </w:t>
            </w:r>
          </w:p>
        </w:tc>
      </w:tr>
      <w:tr w:rsidR="00C57F1E" w:rsidRPr="00C9343F" w14:paraId="299F1486" w14:textId="77777777" w:rsidTr="0027112A">
        <w:trPr>
          <w:cantSplit/>
        </w:trPr>
        <w:tc>
          <w:tcPr>
            <w:tcW w:w="992" w:type="dxa"/>
          </w:tcPr>
          <w:p w14:paraId="4658D417" w14:textId="77777777" w:rsidR="00C57F1E" w:rsidRPr="00C9343F" w:rsidRDefault="00C57F1E" w:rsidP="00F66D98">
            <w:pPr>
              <w:pStyle w:val="BlockText-Plain"/>
            </w:pPr>
          </w:p>
        </w:tc>
        <w:tc>
          <w:tcPr>
            <w:tcW w:w="567" w:type="dxa"/>
          </w:tcPr>
          <w:p w14:paraId="58CD52AA" w14:textId="77777777" w:rsidR="00C57F1E" w:rsidRPr="00C9343F" w:rsidRDefault="00C57F1E" w:rsidP="00F66D98">
            <w:pPr>
              <w:pStyle w:val="BlockText-Plain"/>
              <w:jc w:val="center"/>
            </w:pPr>
            <w:r w:rsidRPr="00C9343F">
              <w:t>a.</w:t>
            </w:r>
          </w:p>
        </w:tc>
        <w:tc>
          <w:tcPr>
            <w:tcW w:w="7796" w:type="dxa"/>
          </w:tcPr>
          <w:p w14:paraId="57E93B91" w14:textId="77777777" w:rsidR="00C57F1E" w:rsidRPr="00C9343F" w:rsidRDefault="00C57F1E" w:rsidP="00F66D98">
            <w:pPr>
              <w:pStyle w:val="BlockText-Plain"/>
            </w:pPr>
            <w:r w:rsidRPr="00C9343F">
              <w:t>The member is performing duties attributed to a higher rank.</w:t>
            </w:r>
          </w:p>
        </w:tc>
      </w:tr>
      <w:tr w:rsidR="00C57F1E" w:rsidRPr="00C9343F" w14:paraId="08AF423B" w14:textId="77777777" w:rsidTr="0027112A">
        <w:trPr>
          <w:cantSplit/>
        </w:trPr>
        <w:tc>
          <w:tcPr>
            <w:tcW w:w="992" w:type="dxa"/>
          </w:tcPr>
          <w:p w14:paraId="56E33344" w14:textId="77777777" w:rsidR="00C57F1E" w:rsidRPr="00C9343F" w:rsidRDefault="00C57F1E" w:rsidP="00F66D98">
            <w:pPr>
              <w:pStyle w:val="BlockText-Plain"/>
            </w:pPr>
          </w:p>
        </w:tc>
        <w:tc>
          <w:tcPr>
            <w:tcW w:w="567" w:type="dxa"/>
          </w:tcPr>
          <w:p w14:paraId="6532A8B1" w14:textId="77777777" w:rsidR="00C57F1E" w:rsidRPr="00C9343F" w:rsidRDefault="00C57F1E" w:rsidP="00F66D98">
            <w:pPr>
              <w:pStyle w:val="BlockText-Plain"/>
              <w:jc w:val="center"/>
            </w:pPr>
            <w:r w:rsidRPr="00C9343F">
              <w:t>b.</w:t>
            </w:r>
          </w:p>
        </w:tc>
        <w:tc>
          <w:tcPr>
            <w:tcW w:w="7796" w:type="dxa"/>
          </w:tcPr>
          <w:p w14:paraId="637E8B34" w14:textId="77777777" w:rsidR="00C57F1E" w:rsidRPr="00C9343F" w:rsidRDefault="00C57F1E" w:rsidP="00F66D98">
            <w:pPr>
              <w:pStyle w:val="BlockText-Plain"/>
            </w:pPr>
            <w:r w:rsidRPr="00C9343F">
              <w:t>The member has been directed to perform the higher duties.</w:t>
            </w:r>
          </w:p>
        </w:tc>
      </w:tr>
    </w:tbl>
    <w:p w14:paraId="44C4021B" w14:textId="14289DB9" w:rsidR="00C57F1E" w:rsidRPr="00C9343F" w:rsidRDefault="00C57F1E" w:rsidP="00F66D98">
      <w:pPr>
        <w:pStyle w:val="Heading5"/>
      </w:pPr>
      <w:bookmarkStart w:id="594" w:name="_Toc105053800"/>
      <w:r w:rsidRPr="00C9343F">
        <w:t>4.1.4</w:t>
      </w:r>
      <w:r w:rsidR="00D94006" w:rsidRPr="00C9343F">
        <w:t>    </w:t>
      </w:r>
      <w:r w:rsidRPr="00C9343F">
        <w:t>Member not eligible for higher duties allowance</w:t>
      </w:r>
      <w:bookmarkEnd w:id="594"/>
    </w:p>
    <w:tbl>
      <w:tblPr>
        <w:tblW w:w="9359" w:type="dxa"/>
        <w:tblInd w:w="113" w:type="dxa"/>
        <w:tblLayout w:type="fixed"/>
        <w:tblLook w:val="04A0" w:firstRow="1" w:lastRow="0" w:firstColumn="1" w:lastColumn="0" w:noHBand="0" w:noVBand="1"/>
      </w:tblPr>
      <w:tblGrid>
        <w:gridCol w:w="992"/>
        <w:gridCol w:w="563"/>
        <w:gridCol w:w="7804"/>
      </w:tblGrid>
      <w:tr w:rsidR="00C57F1E" w:rsidRPr="00C9343F" w14:paraId="4DE15CF5" w14:textId="77777777" w:rsidTr="0027112A">
        <w:tc>
          <w:tcPr>
            <w:tcW w:w="992" w:type="dxa"/>
          </w:tcPr>
          <w:p w14:paraId="2E9199A8" w14:textId="77777777" w:rsidR="00C57F1E" w:rsidRPr="00C9343F" w:rsidRDefault="00C57F1E" w:rsidP="00F66D98">
            <w:pPr>
              <w:pStyle w:val="Sectiontext0"/>
              <w:jc w:val="center"/>
              <w:rPr>
                <w:lang w:eastAsia="en-US"/>
              </w:rPr>
            </w:pPr>
          </w:p>
        </w:tc>
        <w:tc>
          <w:tcPr>
            <w:tcW w:w="8367" w:type="dxa"/>
            <w:gridSpan w:val="2"/>
          </w:tcPr>
          <w:p w14:paraId="22C07F53" w14:textId="77777777" w:rsidR="00C57F1E" w:rsidRPr="00C9343F" w:rsidRDefault="00C57F1E" w:rsidP="00F66D98">
            <w:pPr>
              <w:pStyle w:val="Sectiontext0"/>
              <w:rPr>
                <w:rFonts w:cs="Arial"/>
                <w:lang w:eastAsia="en-US"/>
              </w:rPr>
            </w:pPr>
            <w:r w:rsidRPr="00C9343F">
              <w:t xml:space="preserve">The following members are not eligible for higher duties allowance. </w:t>
            </w:r>
          </w:p>
        </w:tc>
      </w:tr>
      <w:tr w:rsidR="00C57F1E" w:rsidRPr="00C9343F" w14:paraId="4C84731A" w14:textId="77777777" w:rsidTr="0027112A">
        <w:tc>
          <w:tcPr>
            <w:tcW w:w="992" w:type="dxa"/>
          </w:tcPr>
          <w:p w14:paraId="59B7F99F" w14:textId="77777777" w:rsidR="00C57F1E" w:rsidRPr="00C9343F" w:rsidRDefault="00C57F1E" w:rsidP="00F66D98">
            <w:pPr>
              <w:pStyle w:val="Sectiontext0"/>
              <w:jc w:val="center"/>
              <w:rPr>
                <w:lang w:eastAsia="en-US"/>
              </w:rPr>
            </w:pPr>
          </w:p>
        </w:tc>
        <w:tc>
          <w:tcPr>
            <w:tcW w:w="563" w:type="dxa"/>
            <w:hideMark/>
          </w:tcPr>
          <w:p w14:paraId="01F021B5" w14:textId="77777777" w:rsidR="00C57F1E" w:rsidRPr="00C9343F" w:rsidRDefault="00C57F1E" w:rsidP="00F66D98">
            <w:pPr>
              <w:pStyle w:val="Sectiontext0"/>
              <w:jc w:val="center"/>
              <w:rPr>
                <w:rFonts w:cs="Arial"/>
                <w:lang w:eastAsia="en-US"/>
              </w:rPr>
            </w:pPr>
            <w:r w:rsidRPr="00C9343F">
              <w:rPr>
                <w:rFonts w:cs="Arial"/>
                <w:lang w:eastAsia="en-US"/>
              </w:rPr>
              <w:t>a.</w:t>
            </w:r>
          </w:p>
        </w:tc>
        <w:tc>
          <w:tcPr>
            <w:tcW w:w="7804" w:type="dxa"/>
          </w:tcPr>
          <w:p w14:paraId="7449C12B" w14:textId="77777777" w:rsidR="00C57F1E" w:rsidRPr="00C9343F" w:rsidRDefault="00C57F1E" w:rsidP="00F66D98">
            <w:pPr>
              <w:pStyle w:val="Sectiontext0"/>
              <w:rPr>
                <w:rFonts w:cs="Arial"/>
                <w:lang w:eastAsia="en-US"/>
              </w:rPr>
            </w:pPr>
            <w:r w:rsidRPr="00C9343F">
              <w:t>A trainee or member undergoing training.</w:t>
            </w:r>
          </w:p>
        </w:tc>
      </w:tr>
      <w:tr w:rsidR="00C57F1E" w:rsidRPr="00C9343F" w14:paraId="59F0B5AE" w14:textId="77777777" w:rsidTr="0027112A">
        <w:tc>
          <w:tcPr>
            <w:tcW w:w="992" w:type="dxa"/>
          </w:tcPr>
          <w:p w14:paraId="10408D2E" w14:textId="77777777" w:rsidR="00C57F1E" w:rsidRPr="00C9343F" w:rsidRDefault="00C57F1E" w:rsidP="00F66D98">
            <w:pPr>
              <w:pStyle w:val="Sectiontext0"/>
              <w:jc w:val="center"/>
              <w:rPr>
                <w:lang w:eastAsia="en-US"/>
              </w:rPr>
            </w:pPr>
          </w:p>
        </w:tc>
        <w:tc>
          <w:tcPr>
            <w:tcW w:w="563" w:type="dxa"/>
            <w:hideMark/>
          </w:tcPr>
          <w:p w14:paraId="1774E44C" w14:textId="77777777" w:rsidR="00C57F1E" w:rsidRPr="00C9343F" w:rsidRDefault="00C57F1E" w:rsidP="00F66D98">
            <w:pPr>
              <w:pStyle w:val="Sectiontext0"/>
              <w:jc w:val="center"/>
              <w:rPr>
                <w:rFonts w:cs="Arial"/>
                <w:lang w:eastAsia="en-US"/>
              </w:rPr>
            </w:pPr>
            <w:r w:rsidRPr="00C9343F">
              <w:rPr>
                <w:rFonts w:cs="Arial"/>
                <w:lang w:eastAsia="en-US"/>
              </w:rPr>
              <w:t>b.</w:t>
            </w:r>
          </w:p>
        </w:tc>
        <w:tc>
          <w:tcPr>
            <w:tcW w:w="7804" w:type="dxa"/>
          </w:tcPr>
          <w:p w14:paraId="7A66EF21" w14:textId="77777777" w:rsidR="00C57F1E" w:rsidRPr="00C9343F" w:rsidRDefault="00C57F1E" w:rsidP="00F66D98">
            <w:pPr>
              <w:pStyle w:val="Sectiontext0"/>
              <w:rPr>
                <w:rFonts w:cs="Arial"/>
                <w:lang w:eastAsia="en-US"/>
              </w:rPr>
            </w:pPr>
            <w:r w:rsidRPr="00C9343F">
              <w:t>A member who is an Aviation Specialist.</w:t>
            </w:r>
          </w:p>
        </w:tc>
      </w:tr>
      <w:tr w:rsidR="00C57F1E" w:rsidRPr="00C9343F" w14:paraId="67CDF452" w14:textId="77777777" w:rsidTr="0027112A">
        <w:tc>
          <w:tcPr>
            <w:tcW w:w="992" w:type="dxa"/>
          </w:tcPr>
          <w:p w14:paraId="0276B53F" w14:textId="77777777" w:rsidR="00C57F1E" w:rsidRPr="00C9343F" w:rsidRDefault="00C57F1E" w:rsidP="00F66D98">
            <w:pPr>
              <w:pStyle w:val="Sectiontext0"/>
              <w:jc w:val="center"/>
              <w:rPr>
                <w:lang w:eastAsia="en-US"/>
              </w:rPr>
            </w:pPr>
          </w:p>
        </w:tc>
        <w:tc>
          <w:tcPr>
            <w:tcW w:w="563" w:type="dxa"/>
            <w:hideMark/>
          </w:tcPr>
          <w:p w14:paraId="1F13EDFB" w14:textId="77777777" w:rsidR="00C57F1E" w:rsidRPr="00C9343F" w:rsidRDefault="00C57F1E" w:rsidP="00F66D98">
            <w:pPr>
              <w:pStyle w:val="Sectiontext0"/>
              <w:jc w:val="center"/>
              <w:rPr>
                <w:rFonts w:cs="Arial"/>
                <w:lang w:eastAsia="en-US"/>
              </w:rPr>
            </w:pPr>
            <w:r w:rsidRPr="00C9343F">
              <w:rPr>
                <w:rFonts w:cs="Arial"/>
                <w:lang w:eastAsia="en-US"/>
              </w:rPr>
              <w:t>c.</w:t>
            </w:r>
          </w:p>
        </w:tc>
        <w:tc>
          <w:tcPr>
            <w:tcW w:w="7804" w:type="dxa"/>
          </w:tcPr>
          <w:p w14:paraId="5A9D8396" w14:textId="77777777" w:rsidR="00C57F1E" w:rsidRPr="00C9343F" w:rsidRDefault="00C57F1E" w:rsidP="00F66D98">
            <w:pPr>
              <w:pStyle w:val="Sectiontext0"/>
              <w:rPr>
                <w:rFonts w:cs="Arial"/>
                <w:lang w:eastAsia="en-US"/>
              </w:rPr>
            </w:pPr>
            <w:r w:rsidRPr="00C9343F">
              <w:rPr>
                <w:rFonts w:cs="Arial"/>
                <w:lang w:eastAsia="en-US"/>
              </w:rPr>
              <w:t>A member in the Navy or Air Force, who is in the Specialist Pathway of the Officer Aviation Pay Structure.</w:t>
            </w:r>
          </w:p>
        </w:tc>
      </w:tr>
      <w:tr w:rsidR="00C57F1E" w:rsidRPr="00C9343F" w14:paraId="61A5965F" w14:textId="77777777" w:rsidTr="0027112A">
        <w:tc>
          <w:tcPr>
            <w:tcW w:w="992" w:type="dxa"/>
          </w:tcPr>
          <w:p w14:paraId="6322DE08" w14:textId="77777777" w:rsidR="00C57F1E" w:rsidRPr="00C9343F" w:rsidRDefault="00C57F1E" w:rsidP="00F66D98">
            <w:pPr>
              <w:pStyle w:val="Sectiontext0"/>
              <w:jc w:val="center"/>
              <w:rPr>
                <w:lang w:eastAsia="en-US"/>
              </w:rPr>
            </w:pPr>
          </w:p>
        </w:tc>
        <w:tc>
          <w:tcPr>
            <w:tcW w:w="563" w:type="dxa"/>
            <w:hideMark/>
          </w:tcPr>
          <w:p w14:paraId="4BACB67E" w14:textId="2BAE360A" w:rsidR="00C57F1E" w:rsidRPr="00C9343F" w:rsidRDefault="00C57F1E" w:rsidP="00F66D98">
            <w:pPr>
              <w:pStyle w:val="Sectiontext0"/>
              <w:jc w:val="center"/>
              <w:rPr>
                <w:rFonts w:cs="Arial"/>
                <w:lang w:eastAsia="en-US"/>
              </w:rPr>
            </w:pPr>
            <w:r w:rsidRPr="00C9343F">
              <w:rPr>
                <w:rFonts w:cs="Arial"/>
                <w:lang w:eastAsia="en-US"/>
              </w:rPr>
              <w:t>d.</w:t>
            </w:r>
          </w:p>
        </w:tc>
        <w:tc>
          <w:tcPr>
            <w:tcW w:w="7804" w:type="dxa"/>
          </w:tcPr>
          <w:p w14:paraId="3BE1D498" w14:textId="77777777" w:rsidR="00C57F1E" w:rsidRPr="00C9343F" w:rsidRDefault="00C57F1E" w:rsidP="00F66D98">
            <w:pPr>
              <w:pStyle w:val="Sectiontext0"/>
              <w:rPr>
                <w:rFonts w:cs="Arial"/>
                <w:lang w:eastAsia="en-US"/>
              </w:rPr>
            </w:pPr>
            <w:r w:rsidRPr="00C9343F">
              <w:t>Statutory office holders.</w:t>
            </w:r>
          </w:p>
        </w:tc>
      </w:tr>
      <w:tr w:rsidR="00C57F1E" w:rsidRPr="00C9343F" w14:paraId="7C34349E" w14:textId="77777777" w:rsidTr="0027112A">
        <w:tc>
          <w:tcPr>
            <w:tcW w:w="992" w:type="dxa"/>
          </w:tcPr>
          <w:p w14:paraId="28869B78" w14:textId="77777777" w:rsidR="00C57F1E" w:rsidRPr="00C9343F" w:rsidRDefault="00C57F1E" w:rsidP="00F66D98">
            <w:pPr>
              <w:pStyle w:val="Sectiontext0"/>
              <w:jc w:val="center"/>
              <w:rPr>
                <w:lang w:eastAsia="en-US"/>
              </w:rPr>
            </w:pPr>
          </w:p>
        </w:tc>
        <w:tc>
          <w:tcPr>
            <w:tcW w:w="563" w:type="dxa"/>
            <w:hideMark/>
          </w:tcPr>
          <w:p w14:paraId="4F072615" w14:textId="77777777" w:rsidR="00C57F1E" w:rsidRPr="00C9343F" w:rsidRDefault="00C57F1E" w:rsidP="00F66D98">
            <w:pPr>
              <w:pStyle w:val="Sectiontext0"/>
              <w:jc w:val="center"/>
              <w:rPr>
                <w:rFonts w:cs="Arial"/>
                <w:lang w:eastAsia="en-US"/>
              </w:rPr>
            </w:pPr>
            <w:r w:rsidRPr="00C9343F">
              <w:rPr>
                <w:rFonts w:cs="Arial"/>
                <w:lang w:eastAsia="en-US"/>
              </w:rPr>
              <w:t>e.</w:t>
            </w:r>
          </w:p>
        </w:tc>
        <w:tc>
          <w:tcPr>
            <w:tcW w:w="7804" w:type="dxa"/>
          </w:tcPr>
          <w:p w14:paraId="604CC526" w14:textId="77777777" w:rsidR="00C57F1E" w:rsidRPr="00C9343F" w:rsidRDefault="00C57F1E" w:rsidP="00F66D98">
            <w:pPr>
              <w:pStyle w:val="Sectiontext0"/>
              <w:rPr>
                <w:rFonts w:cs="Arial"/>
                <w:lang w:eastAsia="en-US"/>
              </w:rPr>
            </w:pPr>
            <w:r w:rsidRPr="00C9343F">
              <w:t xml:space="preserve">A member holding a rank in an item column A of the following table, who has been directed to perform the higher duties at the rank or salary proficiency point described in column B of the same item. </w:t>
            </w:r>
          </w:p>
        </w:tc>
      </w:tr>
    </w:tbl>
    <w:p w14:paraId="79D38E3A" w14:textId="77777777" w:rsidR="00C57F1E" w:rsidRPr="00C9343F" w:rsidRDefault="00C57F1E" w:rsidP="00F66D98"/>
    <w:tbl>
      <w:tblPr>
        <w:tblStyle w:val="TableGrid"/>
        <w:tblW w:w="8222" w:type="dxa"/>
        <w:tblInd w:w="1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6"/>
        <w:gridCol w:w="3030"/>
        <w:gridCol w:w="4536"/>
      </w:tblGrid>
      <w:tr w:rsidR="00C57F1E" w:rsidRPr="00C9343F" w14:paraId="261FE161" w14:textId="77777777" w:rsidTr="0027112A">
        <w:tc>
          <w:tcPr>
            <w:tcW w:w="656" w:type="dxa"/>
          </w:tcPr>
          <w:p w14:paraId="44043896" w14:textId="77777777" w:rsidR="00C57F1E" w:rsidRPr="00C9343F" w:rsidRDefault="00C57F1E" w:rsidP="00F66D98">
            <w:pPr>
              <w:spacing w:before="20" w:after="120"/>
              <w:jc w:val="center"/>
              <w:rPr>
                <w:rFonts w:cs="Arial"/>
                <w:b/>
                <w:sz w:val="20"/>
              </w:rPr>
            </w:pPr>
            <w:r w:rsidRPr="00C9343F">
              <w:rPr>
                <w:rFonts w:cs="Arial"/>
                <w:b/>
                <w:sz w:val="20"/>
              </w:rPr>
              <w:t>Item</w:t>
            </w:r>
          </w:p>
        </w:tc>
        <w:tc>
          <w:tcPr>
            <w:tcW w:w="3030" w:type="dxa"/>
          </w:tcPr>
          <w:p w14:paraId="70FBB386" w14:textId="77777777" w:rsidR="00C57F1E" w:rsidRPr="00C9343F" w:rsidRDefault="00C57F1E" w:rsidP="00F66D98">
            <w:pPr>
              <w:spacing w:before="20" w:after="120"/>
              <w:jc w:val="center"/>
              <w:rPr>
                <w:rFonts w:cs="Arial"/>
                <w:b/>
                <w:sz w:val="20"/>
              </w:rPr>
            </w:pPr>
            <w:r w:rsidRPr="00C9343F">
              <w:rPr>
                <w:rFonts w:cs="Arial"/>
                <w:b/>
                <w:sz w:val="20"/>
              </w:rPr>
              <w:t>Column A</w:t>
            </w:r>
          </w:p>
          <w:p w14:paraId="0322FE24" w14:textId="77777777" w:rsidR="00C57F1E" w:rsidRPr="00C9343F" w:rsidRDefault="00C57F1E" w:rsidP="00F66D98">
            <w:pPr>
              <w:spacing w:before="20" w:after="120"/>
              <w:jc w:val="center"/>
              <w:rPr>
                <w:rFonts w:cs="Arial"/>
                <w:b/>
                <w:sz w:val="20"/>
              </w:rPr>
            </w:pPr>
            <w:r w:rsidRPr="00C9343F">
              <w:rPr>
                <w:rFonts w:cs="Arial"/>
                <w:b/>
                <w:sz w:val="20"/>
              </w:rPr>
              <w:t>Member’s rank</w:t>
            </w:r>
          </w:p>
        </w:tc>
        <w:tc>
          <w:tcPr>
            <w:tcW w:w="4536" w:type="dxa"/>
          </w:tcPr>
          <w:p w14:paraId="707C5243" w14:textId="77777777" w:rsidR="00C57F1E" w:rsidRPr="00C9343F" w:rsidRDefault="00C57F1E" w:rsidP="00F66D98">
            <w:pPr>
              <w:spacing w:before="20" w:after="120"/>
              <w:jc w:val="center"/>
              <w:rPr>
                <w:rFonts w:cs="Arial"/>
                <w:b/>
                <w:sz w:val="20"/>
              </w:rPr>
            </w:pPr>
            <w:r w:rsidRPr="00C9343F">
              <w:rPr>
                <w:rFonts w:cs="Arial"/>
                <w:b/>
                <w:sz w:val="20"/>
              </w:rPr>
              <w:t>Column B</w:t>
            </w:r>
          </w:p>
          <w:p w14:paraId="6C6CD478" w14:textId="77777777" w:rsidR="00C57F1E" w:rsidRPr="00C9343F" w:rsidRDefault="00C57F1E" w:rsidP="00F66D98">
            <w:pPr>
              <w:spacing w:before="20" w:after="120"/>
              <w:jc w:val="center"/>
              <w:rPr>
                <w:rFonts w:cs="Arial"/>
                <w:b/>
                <w:sz w:val="20"/>
              </w:rPr>
            </w:pPr>
            <w:r w:rsidRPr="00C9343F">
              <w:rPr>
                <w:rFonts w:cs="Arial"/>
                <w:b/>
                <w:sz w:val="20"/>
              </w:rPr>
              <w:t>Rank or salary proficiency point of the higher duties</w:t>
            </w:r>
          </w:p>
        </w:tc>
      </w:tr>
      <w:tr w:rsidR="00C57F1E" w:rsidRPr="00C9343F" w14:paraId="2015F8A3" w14:textId="77777777" w:rsidTr="0027112A">
        <w:tc>
          <w:tcPr>
            <w:tcW w:w="656" w:type="dxa"/>
          </w:tcPr>
          <w:p w14:paraId="3015FB5D" w14:textId="77777777" w:rsidR="00C57F1E" w:rsidRPr="00C9343F" w:rsidRDefault="00C57F1E" w:rsidP="00F66D98">
            <w:pPr>
              <w:spacing w:before="20" w:after="120"/>
              <w:jc w:val="center"/>
              <w:rPr>
                <w:rFonts w:cs="Arial"/>
                <w:sz w:val="20"/>
              </w:rPr>
            </w:pPr>
            <w:r w:rsidRPr="00C9343F">
              <w:rPr>
                <w:rFonts w:cs="Arial"/>
                <w:sz w:val="20"/>
              </w:rPr>
              <w:t>1.</w:t>
            </w:r>
          </w:p>
        </w:tc>
        <w:tc>
          <w:tcPr>
            <w:tcW w:w="3030" w:type="dxa"/>
          </w:tcPr>
          <w:p w14:paraId="5658F04E" w14:textId="77777777" w:rsidR="00C57F1E" w:rsidRPr="00C9343F" w:rsidRDefault="00C57F1E" w:rsidP="00F66D98">
            <w:pPr>
              <w:spacing w:before="20" w:after="120"/>
              <w:rPr>
                <w:rFonts w:cs="Arial"/>
                <w:sz w:val="20"/>
              </w:rPr>
            </w:pPr>
            <w:r w:rsidRPr="00C9343F">
              <w:rPr>
                <w:rFonts w:cs="Arial"/>
                <w:sz w:val="20"/>
              </w:rPr>
              <w:t>Seaman</w:t>
            </w:r>
          </w:p>
        </w:tc>
        <w:tc>
          <w:tcPr>
            <w:tcW w:w="4536" w:type="dxa"/>
          </w:tcPr>
          <w:p w14:paraId="2D07D227" w14:textId="77777777" w:rsidR="00C57F1E" w:rsidRPr="00C9343F" w:rsidRDefault="00C57F1E" w:rsidP="00F66D98">
            <w:pPr>
              <w:spacing w:before="20" w:after="120"/>
              <w:rPr>
                <w:rFonts w:cs="Arial"/>
                <w:sz w:val="20"/>
              </w:rPr>
            </w:pPr>
            <w:r w:rsidRPr="00C9343F">
              <w:rPr>
                <w:rFonts w:cs="Arial"/>
                <w:sz w:val="20"/>
              </w:rPr>
              <w:t>Able Seaman</w:t>
            </w:r>
          </w:p>
        </w:tc>
      </w:tr>
      <w:tr w:rsidR="00C57F1E" w:rsidRPr="00C9343F" w14:paraId="31A5FECD" w14:textId="77777777" w:rsidTr="0027112A">
        <w:tc>
          <w:tcPr>
            <w:tcW w:w="656" w:type="dxa"/>
          </w:tcPr>
          <w:p w14:paraId="05F05039" w14:textId="77777777" w:rsidR="00C57F1E" w:rsidRPr="00C9343F" w:rsidRDefault="00C57F1E" w:rsidP="00F66D98">
            <w:pPr>
              <w:spacing w:before="20" w:after="120"/>
              <w:jc w:val="center"/>
              <w:rPr>
                <w:rFonts w:cs="Arial"/>
                <w:sz w:val="20"/>
              </w:rPr>
            </w:pPr>
            <w:r w:rsidRPr="00C9343F">
              <w:rPr>
                <w:rFonts w:cs="Arial"/>
                <w:sz w:val="20"/>
              </w:rPr>
              <w:t>2.</w:t>
            </w:r>
          </w:p>
        </w:tc>
        <w:tc>
          <w:tcPr>
            <w:tcW w:w="3030" w:type="dxa"/>
          </w:tcPr>
          <w:p w14:paraId="6F42475D" w14:textId="77777777" w:rsidR="00C57F1E" w:rsidRPr="00C9343F" w:rsidRDefault="00C57F1E" w:rsidP="00F66D98">
            <w:pPr>
              <w:spacing w:before="20" w:after="120"/>
              <w:rPr>
                <w:rFonts w:cs="Arial"/>
                <w:sz w:val="20"/>
              </w:rPr>
            </w:pPr>
            <w:r w:rsidRPr="00C9343F">
              <w:rPr>
                <w:rFonts w:cs="Arial"/>
                <w:sz w:val="20"/>
              </w:rPr>
              <w:t>Private</w:t>
            </w:r>
          </w:p>
        </w:tc>
        <w:tc>
          <w:tcPr>
            <w:tcW w:w="4536" w:type="dxa"/>
          </w:tcPr>
          <w:p w14:paraId="5CB89E83" w14:textId="77777777" w:rsidR="00C57F1E" w:rsidRPr="00C9343F" w:rsidRDefault="00C57F1E" w:rsidP="00F66D98">
            <w:pPr>
              <w:spacing w:before="20" w:after="120"/>
              <w:rPr>
                <w:rFonts w:cs="Arial"/>
                <w:sz w:val="20"/>
              </w:rPr>
            </w:pPr>
            <w:r w:rsidRPr="00C9343F">
              <w:rPr>
                <w:rFonts w:cs="Arial"/>
                <w:sz w:val="20"/>
              </w:rPr>
              <w:t>Private Proficient</w:t>
            </w:r>
          </w:p>
        </w:tc>
      </w:tr>
      <w:tr w:rsidR="00C57F1E" w:rsidRPr="00C9343F" w14:paraId="417E6426" w14:textId="77777777" w:rsidTr="0027112A">
        <w:tc>
          <w:tcPr>
            <w:tcW w:w="656" w:type="dxa"/>
          </w:tcPr>
          <w:p w14:paraId="482CD7F0" w14:textId="77777777" w:rsidR="00C57F1E" w:rsidRPr="00C9343F" w:rsidRDefault="00C57F1E" w:rsidP="00F66D98">
            <w:pPr>
              <w:spacing w:before="20" w:after="120"/>
              <w:jc w:val="center"/>
              <w:rPr>
                <w:rFonts w:cs="Arial"/>
                <w:sz w:val="20"/>
              </w:rPr>
            </w:pPr>
            <w:r w:rsidRPr="00C9343F">
              <w:rPr>
                <w:rFonts w:cs="Arial"/>
                <w:sz w:val="20"/>
              </w:rPr>
              <w:t>3.</w:t>
            </w:r>
          </w:p>
        </w:tc>
        <w:tc>
          <w:tcPr>
            <w:tcW w:w="3030" w:type="dxa"/>
          </w:tcPr>
          <w:p w14:paraId="7B64E761" w14:textId="77777777" w:rsidR="00C57F1E" w:rsidRPr="00C9343F" w:rsidRDefault="00C57F1E" w:rsidP="00F66D98">
            <w:pPr>
              <w:spacing w:before="20" w:after="120"/>
              <w:rPr>
                <w:rFonts w:cs="Arial"/>
                <w:sz w:val="20"/>
              </w:rPr>
            </w:pPr>
            <w:r w:rsidRPr="00C9343F">
              <w:rPr>
                <w:rFonts w:cs="Arial"/>
                <w:sz w:val="20"/>
              </w:rPr>
              <w:t>Aircraftman</w:t>
            </w:r>
          </w:p>
        </w:tc>
        <w:tc>
          <w:tcPr>
            <w:tcW w:w="4536" w:type="dxa"/>
          </w:tcPr>
          <w:p w14:paraId="690D623B" w14:textId="77777777" w:rsidR="00C57F1E" w:rsidRPr="00C9343F" w:rsidRDefault="00C57F1E" w:rsidP="00F66D98">
            <w:pPr>
              <w:spacing w:before="20" w:after="120"/>
              <w:rPr>
                <w:rFonts w:cs="Arial"/>
                <w:sz w:val="20"/>
              </w:rPr>
            </w:pPr>
            <w:r w:rsidRPr="00C9343F">
              <w:rPr>
                <w:rFonts w:cs="Arial"/>
                <w:sz w:val="20"/>
              </w:rPr>
              <w:t xml:space="preserve">Leading Aircraftman </w:t>
            </w:r>
          </w:p>
        </w:tc>
      </w:tr>
      <w:tr w:rsidR="00C57F1E" w:rsidRPr="00C9343F" w14:paraId="1D103B5B" w14:textId="77777777" w:rsidTr="0027112A">
        <w:tc>
          <w:tcPr>
            <w:tcW w:w="656" w:type="dxa"/>
          </w:tcPr>
          <w:p w14:paraId="28D4E32B" w14:textId="77777777" w:rsidR="00C57F1E" w:rsidRPr="00C9343F" w:rsidRDefault="00C57F1E" w:rsidP="00F66D98">
            <w:pPr>
              <w:spacing w:before="20" w:after="120"/>
              <w:jc w:val="center"/>
              <w:rPr>
                <w:rFonts w:cs="Arial"/>
                <w:sz w:val="20"/>
              </w:rPr>
            </w:pPr>
            <w:r w:rsidRPr="00C9343F">
              <w:rPr>
                <w:rFonts w:cs="Arial"/>
                <w:sz w:val="20"/>
              </w:rPr>
              <w:t>4.</w:t>
            </w:r>
          </w:p>
        </w:tc>
        <w:tc>
          <w:tcPr>
            <w:tcW w:w="3030" w:type="dxa"/>
          </w:tcPr>
          <w:p w14:paraId="0A1BA88A" w14:textId="77777777" w:rsidR="00C57F1E" w:rsidRPr="00C9343F" w:rsidRDefault="00C57F1E" w:rsidP="00F66D98">
            <w:pPr>
              <w:spacing w:before="20" w:after="120"/>
              <w:rPr>
                <w:rFonts w:cs="Arial"/>
                <w:sz w:val="20"/>
              </w:rPr>
            </w:pPr>
            <w:r w:rsidRPr="00C9343F">
              <w:rPr>
                <w:rFonts w:cs="Arial"/>
                <w:sz w:val="20"/>
              </w:rPr>
              <w:t>Second Lieutenant</w:t>
            </w:r>
          </w:p>
        </w:tc>
        <w:tc>
          <w:tcPr>
            <w:tcW w:w="4536" w:type="dxa"/>
          </w:tcPr>
          <w:p w14:paraId="621D6749" w14:textId="77777777" w:rsidR="00C57F1E" w:rsidRPr="00C9343F" w:rsidRDefault="00C57F1E" w:rsidP="00F66D98">
            <w:pPr>
              <w:spacing w:before="20" w:after="120"/>
              <w:rPr>
                <w:rFonts w:cs="Arial"/>
                <w:sz w:val="20"/>
              </w:rPr>
            </w:pPr>
            <w:r w:rsidRPr="00C9343F">
              <w:rPr>
                <w:rFonts w:cs="Arial"/>
                <w:sz w:val="20"/>
              </w:rPr>
              <w:t>Lieutenant</w:t>
            </w:r>
          </w:p>
        </w:tc>
      </w:tr>
    </w:tbl>
    <w:p w14:paraId="628984C9" w14:textId="554435D9" w:rsidR="00C57F1E" w:rsidRPr="00C9343F" w:rsidRDefault="00C57F1E" w:rsidP="00F66D98">
      <w:pPr>
        <w:pStyle w:val="Heading5"/>
      </w:pPr>
      <w:bookmarkStart w:id="595" w:name="_Toc105053801"/>
      <w:r w:rsidRPr="00C9343F">
        <w:t>4.1.5</w:t>
      </w:r>
      <w:r w:rsidR="00D94006" w:rsidRPr="00C9343F">
        <w:t>    </w:t>
      </w:r>
      <w:r w:rsidRPr="00C9343F">
        <w:t>Eligibility for higher duties allowance</w:t>
      </w:r>
      <w:bookmarkEnd w:id="595"/>
    </w:p>
    <w:tbl>
      <w:tblPr>
        <w:tblW w:w="9385" w:type="dxa"/>
        <w:tblInd w:w="113" w:type="dxa"/>
        <w:tblLayout w:type="fixed"/>
        <w:tblLook w:val="0000" w:firstRow="0" w:lastRow="0" w:firstColumn="0" w:lastColumn="0" w:noHBand="0" w:noVBand="0"/>
      </w:tblPr>
      <w:tblGrid>
        <w:gridCol w:w="992"/>
        <w:gridCol w:w="567"/>
        <w:gridCol w:w="596"/>
        <w:gridCol w:w="7230"/>
      </w:tblGrid>
      <w:tr w:rsidR="00C57F1E" w:rsidRPr="00C9343F" w14:paraId="295BC7AE" w14:textId="77777777" w:rsidTr="0027112A">
        <w:tc>
          <w:tcPr>
            <w:tcW w:w="992" w:type="dxa"/>
          </w:tcPr>
          <w:p w14:paraId="50B7F925" w14:textId="77777777" w:rsidR="00C57F1E" w:rsidRPr="00C9343F" w:rsidRDefault="00C57F1E" w:rsidP="00F66D98">
            <w:pPr>
              <w:pStyle w:val="BlockText-Plain"/>
              <w:jc w:val="center"/>
            </w:pPr>
            <w:r w:rsidRPr="00C9343F">
              <w:t>1.</w:t>
            </w:r>
          </w:p>
        </w:tc>
        <w:tc>
          <w:tcPr>
            <w:tcW w:w="8393" w:type="dxa"/>
            <w:gridSpan w:val="3"/>
          </w:tcPr>
          <w:p w14:paraId="3CDDF063" w14:textId="77777777" w:rsidR="00C57F1E" w:rsidRPr="00C9343F" w:rsidRDefault="00C57F1E" w:rsidP="00F66D98">
            <w:pPr>
              <w:pStyle w:val="BlockText-Plain"/>
            </w:pPr>
            <w:r w:rsidRPr="00C9343F">
              <w:t>Subject to subsection 2, a member is eligible for higher duties allowance if the approver is satisfied of the following.</w:t>
            </w:r>
          </w:p>
        </w:tc>
      </w:tr>
      <w:tr w:rsidR="00C57F1E" w:rsidRPr="00C9343F" w14:paraId="35D30336" w14:textId="77777777" w:rsidTr="0027112A">
        <w:trPr>
          <w:cantSplit/>
        </w:trPr>
        <w:tc>
          <w:tcPr>
            <w:tcW w:w="992" w:type="dxa"/>
          </w:tcPr>
          <w:p w14:paraId="41081D27" w14:textId="77777777" w:rsidR="00C57F1E" w:rsidRPr="00C9343F" w:rsidRDefault="00C57F1E" w:rsidP="00F66D98">
            <w:pPr>
              <w:pStyle w:val="BlockText-Plain"/>
            </w:pPr>
          </w:p>
        </w:tc>
        <w:tc>
          <w:tcPr>
            <w:tcW w:w="567" w:type="dxa"/>
          </w:tcPr>
          <w:p w14:paraId="6F532AD2" w14:textId="77777777" w:rsidR="00C57F1E" w:rsidRPr="00C9343F" w:rsidRDefault="00C57F1E" w:rsidP="00F66D98">
            <w:pPr>
              <w:pStyle w:val="BlockText-Plain"/>
              <w:jc w:val="center"/>
            </w:pPr>
            <w:r w:rsidRPr="00C9343F">
              <w:t>a.</w:t>
            </w:r>
          </w:p>
        </w:tc>
        <w:tc>
          <w:tcPr>
            <w:tcW w:w="7826" w:type="dxa"/>
            <w:gridSpan w:val="2"/>
          </w:tcPr>
          <w:p w14:paraId="649EA955" w14:textId="77777777" w:rsidR="00C57F1E" w:rsidRPr="00C9343F" w:rsidRDefault="00C57F1E" w:rsidP="00F66D98">
            <w:pPr>
              <w:pStyle w:val="BlockText-Plain"/>
            </w:pPr>
            <w:r w:rsidRPr="00C9343F">
              <w:t>The member is capable of performing the required duties attributed to the higher rank.</w:t>
            </w:r>
          </w:p>
        </w:tc>
      </w:tr>
      <w:tr w:rsidR="00C57F1E" w:rsidRPr="00C9343F" w14:paraId="1EB1D8B0" w14:textId="77777777" w:rsidTr="0027112A">
        <w:trPr>
          <w:cantSplit/>
        </w:trPr>
        <w:tc>
          <w:tcPr>
            <w:tcW w:w="992" w:type="dxa"/>
          </w:tcPr>
          <w:p w14:paraId="7B2F0694" w14:textId="77777777" w:rsidR="00C57F1E" w:rsidRPr="00C9343F" w:rsidRDefault="00C57F1E" w:rsidP="00F66D98">
            <w:pPr>
              <w:pStyle w:val="BlockText-Plain"/>
            </w:pPr>
          </w:p>
        </w:tc>
        <w:tc>
          <w:tcPr>
            <w:tcW w:w="567" w:type="dxa"/>
          </w:tcPr>
          <w:p w14:paraId="561C6568" w14:textId="77777777" w:rsidR="00C57F1E" w:rsidRPr="00C9343F" w:rsidRDefault="00C57F1E" w:rsidP="00F66D98">
            <w:pPr>
              <w:pStyle w:val="BlockText-Plain"/>
              <w:jc w:val="center"/>
            </w:pPr>
            <w:r w:rsidRPr="00C9343F">
              <w:t>b.</w:t>
            </w:r>
          </w:p>
        </w:tc>
        <w:tc>
          <w:tcPr>
            <w:tcW w:w="7826" w:type="dxa"/>
            <w:gridSpan w:val="2"/>
          </w:tcPr>
          <w:p w14:paraId="1A6B3A8C" w14:textId="77777777" w:rsidR="00C57F1E" w:rsidRPr="00C9343F" w:rsidRDefault="00C57F1E" w:rsidP="00F66D98">
            <w:pPr>
              <w:pStyle w:val="BlockText-Plain"/>
            </w:pPr>
            <w:r w:rsidRPr="00C9343F">
              <w:t>The duties being performed are duties that would ordinarily be performed by a person holding a higher rank than the member.</w:t>
            </w:r>
          </w:p>
        </w:tc>
      </w:tr>
      <w:tr w:rsidR="00C57F1E" w:rsidRPr="00C9343F" w14:paraId="63C659D5" w14:textId="77777777" w:rsidTr="0027112A">
        <w:trPr>
          <w:cantSplit/>
        </w:trPr>
        <w:tc>
          <w:tcPr>
            <w:tcW w:w="992" w:type="dxa"/>
          </w:tcPr>
          <w:p w14:paraId="27D2AAE3" w14:textId="77777777" w:rsidR="00C57F1E" w:rsidRPr="00C9343F" w:rsidRDefault="00C57F1E" w:rsidP="00F66D98">
            <w:pPr>
              <w:pStyle w:val="BlockText-Plain"/>
            </w:pPr>
          </w:p>
        </w:tc>
        <w:tc>
          <w:tcPr>
            <w:tcW w:w="567" w:type="dxa"/>
          </w:tcPr>
          <w:p w14:paraId="57F27CDD" w14:textId="77777777" w:rsidR="00C57F1E" w:rsidRPr="00C9343F" w:rsidRDefault="00C57F1E" w:rsidP="00F66D98">
            <w:pPr>
              <w:pStyle w:val="BlockText-Plain"/>
              <w:jc w:val="center"/>
            </w:pPr>
            <w:r w:rsidRPr="00C9343F">
              <w:t>c.</w:t>
            </w:r>
          </w:p>
        </w:tc>
        <w:tc>
          <w:tcPr>
            <w:tcW w:w="7826" w:type="dxa"/>
            <w:gridSpan w:val="2"/>
          </w:tcPr>
          <w:p w14:paraId="0CACFF2F" w14:textId="77777777" w:rsidR="00C57F1E" w:rsidRPr="00C9343F" w:rsidRDefault="00C57F1E" w:rsidP="00F66D98">
            <w:pPr>
              <w:pStyle w:val="BlockText-Plain"/>
            </w:pPr>
            <w:r w:rsidRPr="00C9343F">
              <w:t>The member is not on leave, a medical absence, or short absence from duty on the day the payment of higher duties allowance would commence.</w:t>
            </w:r>
          </w:p>
        </w:tc>
      </w:tr>
      <w:tr w:rsidR="00144D08" w:rsidRPr="00C9343F" w14:paraId="292D7234" w14:textId="77777777" w:rsidTr="0027112A">
        <w:trPr>
          <w:cantSplit/>
        </w:trPr>
        <w:tc>
          <w:tcPr>
            <w:tcW w:w="992" w:type="dxa"/>
          </w:tcPr>
          <w:p w14:paraId="7059C384" w14:textId="77777777" w:rsidR="00144D08" w:rsidRPr="00C9343F" w:rsidRDefault="00144D08" w:rsidP="00144D08">
            <w:pPr>
              <w:pStyle w:val="BlockText-Plain"/>
            </w:pPr>
          </w:p>
        </w:tc>
        <w:tc>
          <w:tcPr>
            <w:tcW w:w="567" w:type="dxa"/>
          </w:tcPr>
          <w:p w14:paraId="3EAE89E0" w14:textId="6970BD17" w:rsidR="00144D08" w:rsidRPr="00C9343F" w:rsidRDefault="00144D08" w:rsidP="00144D08">
            <w:pPr>
              <w:pStyle w:val="BlockText-Plain"/>
              <w:jc w:val="center"/>
            </w:pPr>
            <w:r w:rsidRPr="00C9343F">
              <w:rPr>
                <w:rFonts w:cs="Arial"/>
                <w:lang w:eastAsia="en-US"/>
              </w:rPr>
              <w:t>d.</w:t>
            </w:r>
          </w:p>
        </w:tc>
        <w:tc>
          <w:tcPr>
            <w:tcW w:w="7826" w:type="dxa"/>
            <w:gridSpan w:val="2"/>
          </w:tcPr>
          <w:p w14:paraId="48EC3802" w14:textId="25131890" w:rsidR="00144D08" w:rsidRPr="00C9343F" w:rsidRDefault="00144D08" w:rsidP="00144D08">
            <w:pPr>
              <w:pStyle w:val="BlockText-Plain"/>
            </w:pPr>
            <w:r w:rsidRPr="00C9343F">
              <w:rPr>
                <w:rFonts w:cs="Arial"/>
                <w:lang w:eastAsia="en-US"/>
              </w:rPr>
              <w:t>There is a capability reason to pay higher duties other than the position or role being temporarily unfilled.</w:t>
            </w:r>
          </w:p>
        </w:tc>
      </w:tr>
      <w:tr w:rsidR="00144D08" w:rsidRPr="00C9343F" w14:paraId="74C60677" w14:textId="77777777" w:rsidTr="0027112A">
        <w:tc>
          <w:tcPr>
            <w:tcW w:w="992" w:type="dxa"/>
          </w:tcPr>
          <w:p w14:paraId="4B711D37" w14:textId="77777777" w:rsidR="00144D08" w:rsidRPr="00C9343F" w:rsidRDefault="00144D08" w:rsidP="00144D08">
            <w:pPr>
              <w:pStyle w:val="BlockText-Plain"/>
              <w:jc w:val="center"/>
            </w:pPr>
            <w:r w:rsidRPr="00C9343F">
              <w:t>2.</w:t>
            </w:r>
          </w:p>
        </w:tc>
        <w:tc>
          <w:tcPr>
            <w:tcW w:w="8393" w:type="dxa"/>
            <w:gridSpan w:val="3"/>
          </w:tcPr>
          <w:p w14:paraId="4D7AA2D8" w14:textId="61C4E0A9" w:rsidR="00144D08" w:rsidRPr="00C9343F" w:rsidRDefault="00144D08" w:rsidP="00144D08">
            <w:pPr>
              <w:pStyle w:val="BlockText-Plain"/>
            </w:pPr>
            <w:r w:rsidRPr="00C9343F">
              <w:rPr>
                <w:rFonts w:cs="Arial"/>
                <w:lang w:eastAsia="en-US"/>
              </w:rPr>
              <w:t>An approver must not approve higher duties allowance for any of the following.</w:t>
            </w:r>
          </w:p>
        </w:tc>
      </w:tr>
      <w:tr w:rsidR="00144D08" w:rsidRPr="00C9343F" w14:paraId="6984FDC3" w14:textId="77777777" w:rsidTr="0027112A">
        <w:trPr>
          <w:cantSplit/>
        </w:trPr>
        <w:tc>
          <w:tcPr>
            <w:tcW w:w="992" w:type="dxa"/>
          </w:tcPr>
          <w:p w14:paraId="6BF306CD" w14:textId="77777777" w:rsidR="00144D08" w:rsidRPr="00C9343F" w:rsidRDefault="00144D08" w:rsidP="00144D08">
            <w:pPr>
              <w:pStyle w:val="BlockText-Plain"/>
            </w:pPr>
          </w:p>
        </w:tc>
        <w:tc>
          <w:tcPr>
            <w:tcW w:w="567" w:type="dxa"/>
          </w:tcPr>
          <w:p w14:paraId="6558E52D" w14:textId="77777777" w:rsidR="00144D08" w:rsidRPr="00C9343F" w:rsidRDefault="00144D08" w:rsidP="00144D08">
            <w:pPr>
              <w:pStyle w:val="BlockText-Plain"/>
              <w:jc w:val="center"/>
            </w:pPr>
            <w:r w:rsidRPr="00C9343F">
              <w:t>a.</w:t>
            </w:r>
          </w:p>
        </w:tc>
        <w:tc>
          <w:tcPr>
            <w:tcW w:w="7826" w:type="dxa"/>
            <w:gridSpan w:val="2"/>
          </w:tcPr>
          <w:p w14:paraId="1E5CCF2F" w14:textId="193F6EFB" w:rsidR="00144D08" w:rsidRPr="00C9343F" w:rsidRDefault="00144D08" w:rsidP="00144D08">
            <w:pPr>
              <w:pStyle w:val="TableTextArial-left"/>
              <w:spacing w:after="200"/>
            </w:pPr>
            <w:r w:rsidRPr="00C9343F">
              <w:rPr>
                <w:rFonts w:cs="Arial"/>
                <w:color w:val="000000"/>
                <w:shd w:val="clear" w:color="auto" w:fill="FFFFFF"/>
              </w:rPr>
              <w:t>A period where a member has been directed to perform higher duties for less than 10 consecutive days.</w:t>
            </w:r>
          </w:p>
        </w:tc>
      </w:tr>
      <w:tr w:rsidR="00144D08" w:rsidRPr="00C9343F" w14:paraId="2B965EF5" w14:textId="77777777" w:rsidTr="0027112A">
        <w:trPr>
          <w:cantSplit/>
        </w:trPr>
        <w:tc>
          <w:tcPr>
            <w:tcW w:w="992" w:type="dxa"/>
          </w:tcPr>
          <w:p w14:paraId="2E080AD1" w14:textId="77777777" w:rsidR="00144D08" w:rsidRPr="00C9343F" w:rsidRDefault="00144D08" w:rsidP="00144D08">
            <w:pPr>
              <w:pStyle w:val="BlockText-Plain"/>
            </w:pPr>
          </w:p>
        </w:tc>
        <w:tc>
          <w:tcPr>
            <w:tcW w:w="567" w:type="dxa"/>
          </w:tcPr>
          <w:p w14:paraId="0593B9C3" w14:textId="77777777" w:rsidR="00144D08" w:rsidRPr="00C9343F" w:rsidRDefault="00144D08" w:rsidP="00144D08">
            <w:pPr>
              <w:pStyle w:val="BlockText-Plain"/>
              <w:jc w:val="center"/>
            </w:pPr>
            <w:r w:rsidRPr="00C9343F">
              <w:t>b.</w:t>
            </w:r>
          </w:p>
        </w:tc>
        <w:tc>
          <w:tcPr>
            <w:tcW w:w="7826" w:type="dxa"/>
            <w:gridSpan w:val="2"/>
          </w:tcPr>
          <w:p w14:paraId="0F4A2C69" w14:textId="687D811A" w:rsidR="00144D08" w:rsidRPr="00C9343F" w:rsidRDefault="00144D08" w:rsidP="00144D08">
            <w:pPr>
              <w:pStyle w:val="TableTextArial-left"/>
              <w:spacing w:after="200"/>
            </w:pPr>
            <w:r w:rsidRPr="00C9343F">
              <w:rPr>
                <w:rFonts w:cs="Arial"/>
                <w:iCs/>
                <w:lang w:eastAsia="en-US"/>
              </w:rPr>
              <w:t>A period that exceeds one of the following.</w:t>
            </w:r>
          </w:p>
        </w:tc>
      </w:tr>
      <w:tr w:rsidR="00144D08" w:rsidRPr="00C9343F" w14:paraId="68363003" w14:textId="77777777" w:rsidTr="0027112A">
        <w:trPr>
          <w:cantSplit/>
        </w:trPr>
        <w:tc>
          <w:tcPr>
            <w:tcW w:w="992" w:type="dxa"/>
          </w:tcPr>
          <w:p w14:paraId="42C5BA4A" w14:textId="77777777" w:rsidR="00144D08" w:rsidRPr="00C9343F" w:rsidRDefault="00144D08" w:rsidP="00144D08">
            <w:pPr>
              <w:pStyle w:val="BlockText-Plain"/>
            </w:pPr>
          </w:p>
        </w:tc>
        <w:tc>
          <w:tcPr>
            <w:tcW w:w="567" w:type="dxa"/>
          </w:tcPr>
          <w:p w14:paraId="36888831" w14:textId="77777777" w:rsidR="00144D08" w:rsidRPr="00C9343F" w:rsidRDefault="00144D08" w:rsidP="00144D08">
            <w:pPr>
              <w:pStyle w:val="BlockText-Plain"/>
            </w:pPr>
          </w:p>
        </w:tc>
        <w:tc>
          <w:tcPr>
            <w:tcW w:w="596" w:type="dxa"/>
          </w:tcPr>
          <w:p w14:paraId="2EDD9B71" w14:textId="77777777" w:rsidR="00144D08" w:rsidRPr="00C9343F" w:rsidRDefault="00144D08" w:rsidP="00144D08">
            <w:pPr>
              <w:pStyle w:val="TableTextArial-left"/>
              <w:spacing w:after="200"/>
            </w:pPr>
            <w:r w:rsidRPr="00C9343F">
              <w:t>i.</w:t>
            </w:r>
          </w:p>
        </w:tc>
        <w:tc>
          <w:tcPr>
            <w:tcW w:w="7230" w:type="dxa"/>
          </w:tcPr>
          <w:p w14:paraId="06A0F726" w14:textId="35351B14" w:rsidR="00144D08" w:rsidRPr="00C9343F" w:rsidRDefault="00144D08" w:rsidP="00144D08">
            <w:pPr>
              <w:pStyle w:val="BlockText-Plain"/>
              <w:keepNext/>
              <w:keepLines/>
              <w:rPr>
                <w:lang w:eastAsia="en-US"/>
              </w:rPr>
            </w:pPr>
            <w:r w:rsidRPr="00C9343F">
              <w:rPr>
                <w:rFonts w:cs="Arial"/>
                <w:color w:val="000000"/>
                <w:shd w:val="clear" w:color="auto" w:fill="FFFFFF"/>
              </w:rPr>
              <w:t>If the member has been posted to the position in which the higher duties is being performed — the duration of the member’s posting to that position.</w:t>
            </w:r>
          </w:p>
        </w:tc>
      </w:tr>
      <w:tr w:rsidR="00144D08" w:rsidRPr="00C9343F" w14:paraId="37721250" w14:textId="77777777" w:rsidTr="0027112A">
        <w:trPr>
          <w:cantSplit/>
        </w:trPr>
        <w:tc>
          <w:tcPr>
            <w:tcW w:w="992" w:type="dxa"/>
          </w:tcPr>
          <w:p w14:paraId="01DCE0AC" w14:textId="77777777" w:rsidR="00144D08" w:rsidRPr="00C9343F" w:rsidRDefault="00144D08" w:rsidP="00144D08">
            <w:pPr>
              <w:pStyle w:val="BlockText-Plain"/>
            </w:pPr>
          </w:p>
        </w:tc>
        <w:tc>
          <w:tcPr>
            <w:tcW w:w="567" w:type="dxa"/>
          </w:tcPr>
          <w:p w14:paraId="11A3EA73" w14:textId="77777777" w:rsidR="00144D08" w:rsidRPr="00C9343F" w:rsidRDefault="00144D08" w:rsidP="00144D08">
            <w:pPr>
              <w:pStyle w:val="BlockText-Plain"/>
            </w:pPr>
          </w:p>
        </w:tc>
        <w:tc>
          <w:tcPr>
            <w:tcW w:w="596" w:type="dxa"/>
          </w:tcPr>
          <w:p w14:paraId="5865E797" w14:textId="77777777" w:rsidR="00144D08" w:rsidRPr="00C9343F" w:rsidRDefault="00144D08" w:rsidP="00144D08">
            <w:pPr>
              <w:pStyle w:val="TableTextArial-left"/>
              <w:spacing w:after="200"/>
            </w:pPr>
            <w:r w:rsidRPr="00C9343F">
              <w:t>ii.</w:t>
            </w:r>
          </w:p>
        </w:tc>
        <w:tc>
          <w:tcPr>
            <w:tcW w:w="7230" w:type="dxa"/>
          </w:tcPr>
          <w:p w14:paraId="587263F8" w14:textId="3D970E57" w:rsidR="00144D08" w:rsidRPr="00C9343F" w:rsidRDefault="00144D08" w:rsidP="00144D08">
            <w:pPr>
              <w:pStyle w:val="BlockText-Plain"/>
              <w:keepNext/>
              <w:keepLines/>
              <w:rPr>
                <w:lang w:eastAsia="en-US"/>
              </w:rPr>
            </w:pPr>
            <w:r w:rsidRPr="00C9343F">
              <w:rPr>
                <w:rFonts w:cs="Arial"/>
                <w:iCs/>
                <w:lang w:eastAsia="en-US"/>
              </w:rPr>
              <w:t>If subparagraph i does not apply — 12 months.</w:t>
            </w:r>
          </w:p>
        </w:tc>
      </w:tr>
      <w:tr w:rsidR="00144D08" w:rsidRPr="00C9343F" w14:paraId="03709989" w14:textId="77777777" w:rsidTr="0027112A">
        <w:tc>
          <w:tcPr>
            <w:tcW w:w="992" w:type="dxa"/>
          </w:tcPr>
          <w:p w14:paraId="2E354C26" w14:textId="77777777" w:rsidR="00144D08" w:rsidRPr="00C9343F" w:rsidRDefault="00144D08" w:rsidP="00144D08">
            <w:pPr>
              <w:pStyle w:val="BlockText-Plain"/>
              <w:jc w:val="center"/>
            </w:pPr>
            <w:r w:rsidRPr="00C9343F">
              <w:t>3.</w:t>
            </w:r>
          </w:p>
        </w:tc>
        <w:tc>
          <w:tcPr>
            <w:tcW w:w="8393" w:type="dxa"/>
            <w:gridSpan w:val="3"/>
          </w:tcPr>
          <w:p w14:paraId="4DB7136A" w14:textId="77777777" w:rsidR="00144D08" w:rsidRPr="00C9343F" w:rsidRDefault="00144D08" w:rsidP="00144D08">
            <w:pPr>
              <w:pStyle w:val="BlockText-Plain"/>
            </w:pPr>
            <w:r w:rsidRPr="00C9343F">
              <w:t xml:space="preserve">For the purpose of subsection 2.a, </w:t>
            </w:r>
            <w:r w:rsidRPr="00C9343F">
              <w:rPr>
                <w:iCs/>
                <w:color w:val="000000"/>
              </w:rPr>
              <w:t>consecutive days are not broken by any of the following.</w:t>
            </w:r>
          </w:p>
        </w:tc>
      </w:tr>
      <w:tr w:rsidR="00144D08" w:rsidRPr="00C9343F" w14:paraId="4C544405" w14:textId="77777777" w:rsidTr="0027112A">
        <w:trPr>
          <w:cantSplit/>
        </w:trPr>
        <w:tc>
          <w:tcPr>
            <w:tcW w:w="992" w:type="dxa"/>
          </w:tcPr>
          <w:p w14:paraId="11BECFF3" w14:textId="77777777" w:rsidR="00144D08" w:rsidRPr="00C9343F" w:rsidRDefault="00144D08" w:rsidP="00144D08">
            <w:pPr>
              <w:pStyle w:val="BlockText-Plain"/>
            </w:pPr>
          </w:p>
        </w:tc>
        <w:tc>
          <w:tcPr>
            <w:tcW w:w="567" w:type="dxa"/>
          </w:tcPr>
          <w:p w14:paraId="603C5313" w14:textId="77777777" w:rsidR="00144D08" w:rsidRPr="00C9343F" w:rsidRDefault="00144D08" w:rsidP="00144D08">
            <w:pPr>
              <w:pStyle w:val="BlockText-Plain"/>
              <w:jc w:val="center"/>
            </w:pPr>
            <w:r w:rsidRPr="00C9343F">
              <w:t>a.</w:t>
            </w:r>
          </w:p>
        </w:tc>
        <w:tc>
          <w:tcPr>
            <w:tcW w:w="7826" w:type="dxa"/>
            <w:gridSpan w:val="2"/>
          </w:tcPr>
          <w:p w14:paraId="054BE9C8" w14:textId="487E1BC8" w:rsidR="00144D08" w:rsidRPr="00C9343F" w:rsidRDefault="00144D08" w:rsidP="00144D08">
            <w:pPr>
              <w:pStyle w:val="BlockText-Plain"/>
              <w:rPr>
                <w:color w:val="000000"/>
              </w:rPr>
            </w:pPr>
            <w:r w:rsidRPr="00C9343F">
              <w:rPr>
                <w:color w:val="000000"/>
              </w:rPr>
              <w:t>A day a member of the Reserves or Permanent Force</w:t>
            </w:r>
            <w:r w:rsidR="0020552B" w:rsidRPr="00C9343F">
              <w:rPr>
                <w:color w:val="000000"/>
              </w:rPr>
              <w:t>s</w:t>
            </w:r>
            <w:r w:rsidRPr="00C9343F">
              <w:rPr>
                <w:color w:val="000000"/>
              </w:rPr>
              <w:t xml:space="preserve"> is not required to attend for duty.</w:t>
            </w:r>
          </w:p>
        </w:tc>
      </w:tr>
      <w:tr w:rsidR="00144D08" w:rsidRPr="00C9343F" w14:paraId="3B1BFFE2" w14:textId="77777777" w:rsidTr="0027112A">
        <w:trPr>
          <w:cantSplit/>
        </w:trPr>
        <w:tc>
          <w:tcPr>
            <w:tcW w:w="992" w:type="dxa"/>
          </w:tcPr>
          <w:p w14:paraId="57C24DA8" w14:textId="77777777" w:rsidR="00144D08" w:rsidRPr="00C9343F" w:rsidRDefault="00144D08" w:rsidP="00144D08">
            <w:pPr>
              <w:pStyle w:val="BlockText-Plain"/>
            </w:pPr>
          </w:p>
        </w:tc>
        <w:tc>
          <w:tcPr>
            <w:tcW w:w="567" w:type="dxa"/>
          </w:tcPr>
          <w:p w14:paraId="5429F7B4" w14:textId="77777777" w:rsidR="00144D08" w:rsidRPr="00C9343F" w:rsidRDefault="00144D08" w:rsidP="00144D08">
            <w:pPr>
              <w:pStyle w:val="BlockText-Plain"/>
              <w:jc w:val="center"/>
            </w:pPr>
            <w:r w:rsidRPr="00C9343F">
              <w:t>b.</w:t>
            </w:r>
          </w:p>
        </w:tc>
        <w:tc>
          <w:tcPr>
            <w:tcW w:w="7826" w:type="dxa"/>
            <w:gridSpan w:val="2"/>
          </w:tcPr>
          <w:p w14:paraId="69108DC7" w14:textId="77777777" w:rsidR="00144D08" w:rsidRPr="00C9343F" w:rsidRDefault="00144D08" w:rsidP="00144D08">
            <w:pPr>
              <w:pStyle w:val="BlockText-Plain"/>
              <w:rPr>
                <w:color w:val="000000"/>
              </w:rPr>
            </w:pPr>
            <w:r w:rsidRPr="00C9343F">
              <w:rPr>
                <w:color w:val="000000"/>
              </w:rPr>
              <w:t>If a member is on a flexible service determination, a nonworking period that is 14 days or less.</w:t>
            </w:r>
          </w:p>
        </w:tc>
      </w:tr>
    </w:tbl>
    <w:p w14:paraId="3C344CDB" w14:textId="3D618103" w:rsidR="00C57F1E" w:rsidRPr="00C9343F" w:rsidRDefault="00C57F1E" w:rsidP="00F66D98">
      <w:pPr>
        <w:pStyle w:val="Heading5"/>
      </w:pPr>
      <w:bookmarkStart w:id="596" w:name="_Toc105053802"/>
      <w:r w:rsidRPr="00C9343F">
        <w:t>4.1.6</w:t>
      </w:r>
      <w:r w:rsidR="00D94006" w:rsidRPr="00C9343F">
        <w:t>    </w:t>
      </w:r>
      <w:r w:rsidRPr="00C9343F">
        <w:t>Rate of higher duties allowance</w:t>
      </w:r>
      <w:bookmarkEnd w:id="596"/>
      <w:r w:rsidRPr="00C9343F">
        <w:t xml:space="preserve"> </w:t>
      </w:r>
    </w:p>
    <w:tbl>
      <w:tblPr>
        <w:tblW w:w="9369" w:type="dxa"/>
        <w:tblInd w:w="108" w:type="dxa"/>
        <w:tblLayout w:type="fixed"/>
        <w:tblLook w:val="0000" w:firstRow="0" w:lastRow="0" w:firstColumn="0" w:lastColumn="0" w:noHBand="0" w:noVBand="0"/>
      </w:tblPr>
      <w:tblGrid>
        <w:gridCol w:w="997"/>
        <w:gridCol w:w="8372"/>
      </w:tblGrid>
      <w:tr w:rsidR="00C57F1E" w:rsidRPr="00C9343F" w14:paraId="3ED76430" w14:textId="77777777" w:rsidTr="0027112A">
        <w:tc>
          <w:tcPr>
            <w:tcW w:w="997" w:type="dxa"/>
          </w:tcPr>
          <w:p w14:paraId="3D753989" w14:textId="77777777" w:rsidR="00C57F1E" w:rsidRPr="00C9343F" w:rsidRDefault="00C57F1E" w:rsidP="00F66D98">
            <w:pPr>
              <w:pStyle w:val="BlockText-Plain"/>
              <w:jc w:val="center"/>
            </w:pPr>
          </w:p>
        </w:tc>
        <w:tc>
          <w:tcPr>
            <w:tcW w:w="8372" w:type="dxa"/>
          </w:tcPr>
          <w:p w14:paraId="552D1DA7" w14:textId="77777777" w:rsidR="00C57F1E" w:rsidRPr="00C9343F" w:rsidRDefault="00C57F1E" w:rsidP="00F66D98">
            <w:pPr>
              <w:pStyle w:val="BlockText-Plain"/>
            </w:pPr>
            <w:r w:rsidRPr="00C9343F">
              <w:t>The annual rate of higher duties allowance is calculated using the following formula.</w:t>
            </w:r>
          </w:p>
        </w:tc>
      </w:tr>
      <w:tr w:rsidR="00C57F1E" w:rsidRPr="00C9343F" w14:paraId="7ECB9CBD" w14:textId="77777777" w:rsidTr="0027112A">
        <w:tblPrEx>
          <w:tblLook w:val="04A0" w:firstRow="1" w:lastRow="0" w:firstColumn="1" w:lastColumn="0" w:noHBand="0" w:noVBand="1"/>
        </w:tblPrEx>
        <w:trPr>
          <w:cantSplit/>
        </w:trPr>
        <w:tc>
          <w:tcPr>
            <w:tcW w:w="997" w:type="dxa"/>
          </w:tcPr>
          <w:p w14:paraId="682B5B14" w14:textId="77777777" w:rsidR="00C57F1E" w:rsidRPr="00C9343F" w:rsidRDefault="00C57F1E" w:rsidP="00F66D98">
            <w:pPr>
              <w:pStyle w:val="BlockText-Plain"/>
            </w:pPr>
          </w:p>
        </w:tc>
        <w:tc>
          <w:tcPr>
            <w:tcW w:w="8372" w:type="dxa"/>
          </w:tcPr>
          <w:p w14:paraId="6251FFB5" w14:textId="77777777" w:rsidR="00C57F1E" w:rsidRPr="00C9343F" w:rsidRDefault="00C57F1E" w:rsidP="00F66D98">
            <w:pPr>
              <w:pStyle w:val="BlockText-Plain"/>
              <w:jc w:val="center"/>
            </w:pPr>
            <m:oMathPara>
              <m:oMath>
                <m:r>
                  <w:rPr>
                    <w:rFonts w:ascii="Cambria Math" w:hAnsi="Cambria Math"/>
                  </w:rPr>
                  <m:t>Higher duties allowance=Salary × 5%</m:t>
                </m:r>
              </m:oMath>
            </m:oMathPara>
          </w:p>
        </w:tc>
      </w:tr>
    </w:tbl>
    <w:p w14:paraId="644904A1" w14:textId="085EADA9" w:rsidR="00C57F1E" w:rsidRPr="00C9343F" w:rsidRDefault="00C57F1E" w:rsidP="00F66D98">
      <w:pPr>
        <w:pStyle w:val="Heading5"/>
      </w:pPr>
      <w:bookmarkStart w:id="597" w:name="_Toc105053803"/>
      <w:r w:rsidRPr="00C9343F">
        <w:t>4.1.7</w:t>
      </w:r>
      <w:r w:rsidR="00D94006" w:rsidRPr="00C9343F">
        <w:t>    </w:t>
      </w:r>
      <w:r w:rsidRPr="00C9343F">
        <w:t>End of higher duties allowance</w:t>
      </w:r>
      <w:bookmarkEnd w:id="597"/>
    </w:p>
    <w:tbl>
      <w:tblPr>
        <w:tblW w:w="9392" w:type="dxa"/>
        <w:tblInd w:w="113" w:type="dxa"/>
        <w:tblLayout w:type="fixed"/>
        <w:tblLook w:val="0000" w:firstRow="0" w:lastRow="0" w:firstColumn="0" w:lastColumn="0" w:noHBand="0" w:noVBand="0"/>
      </w:tblPr>
      <w:tblGrid>
        <w:gridCol w:w="992"/>
        <w:gridCol w:w="567"/>
        <w:gridCol w:w="596"/>
        <w:gridCol w:w="7237"/>
      </w:tblGrid>
      <w:tr w:rsidR="00C57F1E" w:rsidRPr="00C9343F" w14:paraId="3CD1FD88" w14:textId="77777777" w:rsidTr="0027112A">
        <w:tc>
          <w:tcPr>
            <w:tcW w:w="992" w:type="dxa"/>
          </w:tcPr>
          <w:p w14:paraId="60438BFF" w14:textId="77777777" w:rsidR="00C57F1E" w:rsidRPr="00C9343F" w:rsidRDefault="00C57F1E" w:rsidP="00F66D98">
            <w:pPr>
              <w:pStyle w:val="BlockText-Plain"/>
              <w:jc w:val="center"/>
            </w:pPr>
          </w:p>
        </w:tc>
        <w:tc>
          <w:tcPr>
            <w:tcW w:w="8400" w:type="dxa"/>
            <w:gridSpan w:val="3"/>
          </w:tcPr>
          <w:p w14:paraId="1A5EAAFA" w14:textId="77777777" w:rsidR="00C57F1E" w:rsidRPr="00C9343F" w:rsidRDefault="00C57F1E" w:rsidP="00F66D98">
            <w:pPr>
              <w:pStyle w:val="BlockText-Plain"/>
            </w:pPr>
            <w:r w:rsidRPr="00C9343F">
              <w:t>A member ceases to be eligible for higher duties allowance on the earlier of the following days</w:t>
            </w:r>
          </w:p>
        </w:tc>
      </w:tr>
      <w:tr w:rsidR="00C57F1E" w:rsidRPr="00C9343F" w14:paraId="01CA4BC5" w14:textId="77777777" w:rsidTr="0027112A">
        <w:trPr>
          <w:cantSplit/>
        </w:trPr>
        <w:tc>
          <w:tcPr>
            <w:tcW w:w="992" w:type="dxa"/>
          </w:tcPr>
          <w:p w14:paraId="5EF81389" w14:textId="77777777" w:rsidR="00C57F1E" w:rsidRPr="00C9343F" w:rsidRDefault="00C57F1E" w:rsidP="00F66D98">
            <w:pPr>
              <w:pStyle w:val="BlockText-Plain"/>
            </w:pPr>
          </w:p>
        </w:tc>
        <w:tc>
          <w:tcPr>
            <w:tcW w:w="567" w:type="dxa"/>
          </w:tcPr>
          <w:p w14:paraId="6E125365" w14:textId="77777777" w:rsidR="00C57F1E" w:rsidRPr="00C9343F" w:rsidRDefault="00C57F1E" w:rsidP="00F66D98">
            <w:pPr>
              <w:pStyle w:val="BlockText-Plain"/>
              <w:jc w:val="center"/>
            </w:pPr>
            <w:r w:rsidRPr="00C9343F">
              <w:t>a.</w:t>
            </w:r>
          </w:p>
        </w:tc>
        <w:tc>
          <w:tcPr>
            <w:tcW w:w="7833" w:type="dxa"/>
            <w:gridSpan w:val="2"/>
          </w:tcPr>
          <w:p w14:paraId="501647B8" w14:textId="77777777" w:rsidR="00C57F1E" w:rsidRPr="00C9343F" w:rsidRDefault="00C57F1E" w:rsidP="00F66D98">
            <w:pPr>
              <w:pStyle w:val="BlockText-Plain"/>
            </w:pPr>
            <w:r w:rsidRPr="00C9343F">
              <w:t xml:space="preserve">The day the approval to be paid higher duties allowance ends.  </w:t>
            </w:r>
          </w:p>
        </w:tc>
      </w:tr>
      <w:tr w:rsidR="00C57F1E" w:rsidRPr="00C9343F" w14:paraId="1C071CD6" w14:textId="77777777" w:rsidTr="0027112A">
        <w:trPr>
          <w:cantSplit/>
        </w:trPr>
        <w:tc>
          <w:tcPr>
            <w:tcW w:w="992" w:type="dxa"/>
          </w:tcPr>
          <w:p w14:paraId="48C96396" w14:textId="77777777" w:rsidR="00C57F1E" w:rsidRPr="00C9343F" w:rsidRDefault="00C57F1E" w:rsidP="00F66D98">
            <w:pPr>
              <w:pStyle w:val="BlockText-Plain"/>
            </w:pPr>
          </w:p>
        </w:tc>
        <w:tc>
          <w:tcPr>
            <w:tcW w:w="567" w:type="dxa"/>
          </w:tcPr>
          <w:p w14:paraId="70FE52F9" w14:textId="77777777" w:rsidR="00C57F1E" w:rsidRPr="00C9343F" w:rsidRDefault="00C57F1E" w:rsidP="00F66D98">
            <w:pPr>
              <w:pStyle w:val="BlockText-Plain"/>
              <w:jc w:val="center"/>
            </w:pPr>
            <w:r w:rsidRPr="00C9343F">
              <w:t>b.</w:t>
            </w:r>
          </w:p>
        </w:tc>
        <w:tc>
          <w:tcPr>
            <w:tcW w:w="7833" w:type="dxa"/>
            <w:gridSpan w:val="2"/>
          </w:tcPr>
          <w:p w14:paraId="67C2175C" w14:textId="77777777" w:rsidR="00C57F1E" w:rsidRPr="00C9343F" w:rsidRDefault="00C57F1E" w:rsidP="00F66D98">
            <w:pPr>
              <w:pStyle w:val="BlockText-Plain"/>
              <w:rPr>
                <w:rFonts w:cs="Arial"/>
              </w:rPr>
            </w:pPr>
            <w:r w:rsidRPr="00C9343F">
              <w:rPr>
                <w:rFonts w:cs="Arial"/>
              </w:rPr>
              <w:t xml:space="preserve">The day on which the member is directed to cease performing the higher duties. </w:t>
            </w:r>
          </w:p>
        </w:tc>
      </w:tr>
      <w:tr w:rsidR="00C57F1E" w:rsidRPr="00C9343F" w14:paraId="148E16F3" w14:textId="77777777" w:rsidTr="0027112A">
        <w:trPr>
          <w:cantSplit/>
        </w:trPr>
        <w:tc>
          <w:tcPr>
            <w:tcW w:w="992" w:type="dxa"/>
          </w:tcPr>
          <w:p w14:paraId="57E9ED3F" w14:textId="77777777" w:rsidR="00C57F1E" w:rsidRPr="00C9343F" w:rsidRDefault="00C57F1E" w:rsidP="00F66D98">
            <w:pPr>
              <w:pStyle w:val="BlockText-Plain"/>
            </w:pPr>
          </w:p>
        </w:tc>
        <w:tc>
          <w:tcPr>
            <w:tcW w:w="567" w:type="dxa"/>
          </w:tcPr>
          <w:p w14:paraId="443F69DF" w14:textId="77777777" w:rsidR="00C57F1E" w:rsidRPr="00C9343F" w:rsidRDefault="00C57F1E" w:rsidP="00F66D98">
            <w:pPr>
              <w:pStyle w:val="BlockText-Plain"/>
              <w:jc w:val="center"/>
            </w:pPr>
            <w:r w:rsidRPr="00C9343F">
              <w:t>c.</w:t>
            </w:r>
          </w:p>
        </w:tc>
        <w:tc>
          <w:tcPr>
            <w:tcW w:w="7833" w:type="dxa"/>
            <w:gridSpan w:val="2"/>
          </w:tcPr>
          <w:p w14:paraId="4FCD5DA3" w14:textId="77777777" w:rsidR="00C57F1E" w:rsidRPr="00C9343F" w:rsidRDefault="00C57F1E" w:rsidP="00F66D98">
            <w:pPr>
              <w:pStyle w:val="BlockText-Plain"/>
              <w:rPr>
                <w:rFonts w:cs="Arial"/>
              </w:rPr>
            </w:pPr>
            <w:r w:rsidRPr="00C9343F">
              <w:rPr>
                <w:rFonts w:cs="Arial"/>
              </w:rPr>
              <w:t>If the member is posted to a position for which they have been approved higher duties allowance, the day they cease to be posted to that position.</w:t>
            </w:r>
          </w:p>
        </w:tc>
      </w:tr>
      <w:tr w:rsidR="00C57F1E" w:rsidRPr="00C9343F" w14:paraId="4B527213" w14:textId="77777777" w:rsidTr="0027112A">
        <w:trPr>
          <w:cantSplit/>
        </w:trPr>
        <w:tc>
          <w:tcPr>
            <w:tcW w:w="992" w:type="dxa"/>
          </w:tcPr>
          <w:p w14:paraId="2A132EDD" w14:textId="77777777" w:rsidR="00C57F1E" w:rsidRPr="00C9343F" w:rsidRDefault="00C57F1E" w:rsidP="00F66D98">
            <w:pPr>
              <w:pStyle w:val="BlockText-Plain"/>
            </w:pPr>
          </w:p>
        </w:tc>
        <w:tc>
          <w:tcPr>
            <w:tcW w:w="567" w:type="dxa"/>
          </w:tcPr>
          <w:p w14:paraId="3CF98BCF" w14:textId="77777777" w:rsidR="00C57F1E" w:rsidRPr="00C9343F" w:rsidRDefault="00C57F1E" w:rsidP="00F66D98">
            <w:pPr>
              <w:pStyle w:val="BlockText-Plain"/>
              <w:jc w:val="center"/>
            </w:pPr>
            <w:r w:rsidRPr="00C9343F">
              <w:t>d.</w:t>
            </w:r>
          </w:p>
        </w:tc>
        <w:tc>
          <w:tcPr>
            <w:tcW w:w="7833" w:type="dxa"/>
            <w:gridSpan w:val="2"/>
          </w:tcPr>
          <w:p w14:paraId="4C754E87" w14:textId="77777777" w:rsidR="00C57F1E" w:rsidRPr="00C9343F" w:rsidRDefault="00C57F1E" w:rsidP="00F66D98">
            <w:pPr>
              <w:pStyle w:val="BlockText-Plain"/>
              <w:rPr>
                <w:rFonts w:cs="Arial"/>
              </w:rPr>
            </w:pPr>
            <w:r w:rsidRPr="00C9343F">
              <w:rPr>
                <w:rFonts w:cs="Arial"/>
              </w:rPr>
              <w:t xml:space="preserve">The day the member commences unpaid leave. </w:t>
            </w:r>
          </w:p>
        </w:tc>
      </w:tr>
      <w:tr w:rsidR="00C57F1E" w:rsidRPr="00C9343F" w14:paraId="412F42A1" w14:textId="77777777" w:rsidTr="0027112A">
        <w:trPr>
          <w:cantSplit/>
        </w:trPr>
        <w:tc>
          <w:tcPr>
            <w:tcW w:w="992" w:type="dxa"/>
          </w:tcPr>
          <w:p w14:paraId="34EF255C" w14:textId="77777777" w:rsidR="00C57F1E" w:rsidRPr="00C9343F" w:rsidRDefault="00C57F1E" w:rsidP="00F66D98">
            <w:pPr>
              <w:pStyle w:val="BlockText-Plain"/>
            </w:pPr>
          </w:p>
        </w:tc>
        <w:tc>
          <w:tcPr>
            <w:tcW w:w="567" w:type="dxa"/>
          </w:tcPr>
          <w:p w14:paraId="557907D2" w14:textId="77777777" w:rsidR="00C57F1E" w:rsidRPr="00C9343F" w:rsidRDefault="00C57F1E" w:rsidP="00F66D98">
            <w:pPr>
              <w:pStyle w:val="BlockText-Plain"/>
              <w:jc w:val="center"/>
            </w:pPr>
            <w:r w:rsidRPr="00C9343F">
              <w:t>e.</w:t>
            </w:r>
          </w:p>
        </w:tc>
        <w:tc>
          <w:tcPr>
            <w:tcW w:w="7833" w:type="dxa"/>
            <w:gridSpan w:val="2"/>
          </w:tcPr>
          <w:p w14:paraId="1F2DF57B" w14:textId="77777777" w:rsidR="00C57F1E" w:rsidRPr="00C9343F" w:rsidRDefault="00C57F1E" w:rsidP="00F66D98">
            <w:pPr>
              <w:pStyle w:val="BlockText-Plain"/>
              <w:rPr>
                <w:rFonts w:cs="Arial"/>
              </w:rPr>
            </w:pPr>
            <w:r w:rsidRPr="00C9343F">
              <w:t>The day that is 2 months after the commencement of any of the following.</w:t>
            </w:r>
          </w:p>
        </w:tc>
      </w:tr>
      <w:tr w:rsidR="00C57F1E" w:rsidRPr="00C9343F" w14:paraId="6A7562AA" w14:textId="77777777" w:rsidTr="0027112A">
        <w:trPr>
          <w:cantSplit/>
        </w:trPr>
        <w:tc>
          <w:tcPr>
            <w:tcW w:w="992" w:type="dxa"/>
          </w:tcPr>
          <w:p w14:paraId="4D1BF740" w14:textId="77777777" w:rsidR="00C57F1E" w:rsidRPr="00C9343F" w:rsidRDefault="00C57F1E" w:rsidP="00F66D98">
            <w:pPr>
              <w:pStyle w:val="BlockText-Plain"/>
            </w:pPr>
          </w:p>
        </w:tc>
        <w:tc>
          <w:tcPr>
            <w:tcW w:w="567" w:type="dxa"/>
          </w:tcPr>
          <w:p w14:paraId="44E92725" w14:textId="77777777" w:rsidR="00C57F1E" w:rsidRPr="00C9343F" w:rsidRDefault="00C57F1E" w:rsidP="00F66D98">
            <w:pPr>
              <w:pStyle w:val="BlockText-Plain"/>
            </w:pPr>
          </w:p>
        </w:tc>
        <w:tc>
          <w:tcPr>
            <w:tcW w:w="596" w:type="dxa"/>
          </w:tcPr>
          <w:p w14:paraId="3F8F8890" w14:textId="77777777" w:rsidR="00C57F1E" w:rsidRPr="00C9343F" w:rsidRDefault="00C57F1E" w:rsidP="00F66D98">
            <w:pPr>
              <w:pStyle w:val="TableTextArial-left"/>
              <w:spacing w:after="200"/>
            </w:pPr>
            <w:r w:rsidRPr="00C9343F">
              <w:t>i.</w:t>
            </w:r>
          </w:p>
        </w:tc>
        <w:tc>
          <w:tcPr>
            <w:tcW w:w="7237" w:type="dxa"/>
          </w:tcPr>
          <w:p w14:paraId="0076D927" w14:textId="77777777" w:rsidR="00C57F1E" w:rsidRPr="00C9343F" w:rsidRDefault="00C57F1E" w:rsidP="00F66D98">
            <w:pPr>
              <w:pStyle w:val="BlockText-Plain"/>
              <w:keepNext/>
              <w:keepLines/>
              <w:rPr>
                <w:lang w:eastAsia="en-US"/>
              </w:rPr>
            </w:pPr>
            <w:r w:rsidRPr="00C9343F">
              <w:t>The member commences paid leave that continues for more than two months.</w:t>
            </w:r>
          </w:p>
        </w:tc>
      </w:tr>
      <w:tr w:rsidR="00C57F1E" w:rsidRPr="00C9343F" w14:paraId="4F8A9741" w14:textId="77777777" w:rsidTr="0027112A">
        <w:trPr>
          <w:cantSplit/>
        </w:trPr>
        <w:tc>
          <w:tcPr>
            <w:tcW w:w="992" w:type="dxa"/>
          </w:tcPr>
          <w:p w14:paraId="34570820" w14:textId="77777777" w:rsidR="00C57F1E" w:rsidRPr="00C9343F" w:rsidRDefault="00C57F1E" w:rsidP="00F66D98">
            <w:pPr>
              <w:pStyle w:val="BlockText-Plain"/>
            </w:pPr>
          </w:p>
        </w:tc>
        <w:tc>
          <w:tcPr>
            <w:tcW w:w="567" w:type="dxa"/>
          </w:tcPr>
          <w:p w14:paraId="09DF75F1" w14:textId="77777777" w:rsidR="00C57F1E" w:rsidRPr="00C9343F" w:rsidRDefault="00C57F1E" w:rsidP="00F66D98">
            <w:pPr>
              <w:pStyle w:val="BlockText-Plain"/>
            </w:pPr>
          </w:p>
        </w:tc>
        <w:tc>
          <w:tcPr>
            <w:tcW w:w="596" w:type="dxa"/>
          </w:tcPr>
          <w:p w14:paraId="5CBC4882" w14:textId="77777777" w:rsidR="00C57F1E" w:rsidRPr="00C9343F" w:rsidRDefault="00C57F1E" w:rsidP="00F66D98">
            <w:pPr>
              <w:pStyle w:val="TableTextArial-left"/>
              <w:spacing w:after="200"/>
            </w:pPr>
            <w:r w:rsidRPr="00C9343F">
              <w:t>ii.</w:t>
            </w:r>
          </w:p>
        </w:tc>
        <w:tc>
          <w:tcPr>
            <w:tcW w:w="7237" w:type="dxa"/>
          </w:tcPr>
          <w:p w14:paraId="3E3698A4" w14:textId="77777777" w:rsidR="00C57F1E" w:rsidRPr="00C9343F" w:rsidRDefault="00C57F1E" w:rsidP="00F66D98">
            <w:pPr>
              <w:pStyle w:val="BlockText-Plain"/>
              <w:keepNext/>
              <w:keepLines/>
              <w:rPr>
                <w:lang w:eastAsia="en-US"/>
              </w:rPr>
            </w:pPr>
            <w:r w:rsidRPr="00C9343F">
              <w:t>The member commences another duty that causes them to be unable to fulfil the primary duties that they have been directed to do for which higher duties allowance is payable.</w:t>
            </w:r>
          </w:p>
        </w:tc>
      </w:tr>
      <w:tr w:rsidR="0053422B" w:rsidRPr="00C9343F" w14:paraId="4CD92491" w14:textId="77777777" w:rsidTr="00445FEB">
        <w:trPr>
          <w:cantSplit/>
        </w:trPr>
        <w:tc>
          <w:tcPr>
            <w:tcW w:w="992" w:type="dxa"/>
          </w:tcPr>
          <w:p w14:paraId="7B233814" w14:textId="77777777" w:rsidR="0053422B" w:rsidRPr="00C9343F" w:rsidRDefault="0053422B" w:rsidP="0053422B">
            <w:pPr>
              <w:pStyle w:val="BlockText-Plain"/>
            </w:pPr>
          </w:p>
        </w:tc>
        <w:tc>
          <w:tcPr>
            <w:tcW w:w="567" w:type="dxa"/>
          </w:tcPr>
          <w:p w14:paraId="112B5B11" w14:textId="45820B8F" w:rsidR="0053422B" w:rsidRPr="00C9343F" w:rsidRDefault="0053422B" w:rsidP="0053422B">
            <w:pPr>
              <w:pStyle w:val="BlockText-Plain"/>
            </w:pPr>
            <w:r w:rsidRPr="00C9343F">
              <w:rPr>
                <w:rFonts w:cs="Arial"/>
                <w:lang w:eastAsia="en-US"/>
              </w:rPr>
              <w:t>f.</w:t>
            </w:r>
          </w:p>
        </w:tc>
        <w:tc>
          <w:tcPr>
            <w:tcW w:w="7833" w:type="dxa"/>
            <w:gridSpan w:val="2"/>
          </w:tcPr>
          <w:p w14:paraId="182E8CB8" w14:textId="2902418C" w:rsidR="0053422B" w:rsidRPr="00C9343F" w:rsidRDefault="0053422B" w:rsidP="0053422B">
            <w:pPr>
              <w:pStyle w:val="BlockText-Plain"/>
              <w:keepNext/>
              <w:keepLines/>
            </w:pPr>
            <w:r w:rsidRPr="00C9343F">
              <w:rPr>
                <w:rFonts w:cs="Arial"/>
                <w:lang w:eastAsia="en-US"/>
              </w:rPr>
              <w:t>The day the member is promoted.</w:t>
            </w:r>
          </w:p>
        </w:tc>
      </w:tr>
    </w:tbl>
    <w:p w14:paraId="630999AC" w14:textId="3E605186" w:rsidR="006D1E1C" w:rsidRPr="00C9343F" w:rsidRDefault="006D1E1C" w:rsidP="00F66D98">
      <w:pPr>
        <w:pStyle w:val="Heading3"/>
      </w:pPr>
      <w:bookmarkStart w:id="598" w:name="_Toc105053804"/>
      <w:r w:rsidRPr="00C9343F">
        <w:t>Part 4: Location allowances</w:t>
      </w:r>
      <w:bookmarkEnd w:id="598"/>
    </w:p>
    <w:p w14:paraId="515C1377" w14:textId="774EE862" w:rsidR="006D1E1C" w:rsidRPr="00C9343F" w:rsidRDefault="006D1E1C" w:rsidP="00F66D98">
      <w:pPr>
        <w:pStyle w:val="Heading4"/>
      </w:pPr>
      <w:bookmarkStart w:id="599" w:name="_Toc105053805"/>
      <w:r w:rsidRPr="00C9343F">
        <w:t>Division 1: ADF district allowance – general and rates</w:t>
      </w:r>
      <w:bookmarkEnd w:id="599"/>
    </w:p>
    <w:p w14:paraId="5463A26F" w14:textId="5326DA6F" w:rsidR="006D1E1C" w:rsidRPr="00C9343F" w:rsidRDefault="006D1E1C" w:rsidP="00F66D98">
      <w:pPr>
        <w:pStyle w:val="Heading5"/>
      </w:pPr>
      <w:bookmarkStart w:id="600" w:name="_Toc105053806"/>
      <w:bookmarkStart w:id="601" w:name="bk134637483Purpose"/>
      <w:bookmarkStart w:id="602" w:name="bk164854483Purpose"/>
      <w:bookmarkStart w:id="603" w:name="bk92939AM483Purpose"/>
      <w:bookmarkStart w:id="604" w:name="bk100404AM483Purpose"/>
      <w:bookmarkStart w:id="605" w:name="bk42125PM483Purpose"/>
      <w:bookmarkStart w:id="606" w:name="bk162415483Purpose"/>
      <w:bookmarkStart w:id="607" w:name="bk121427483Purpose"/>
      <w:bookmarkStart w:id="608" w:name="bk132456483Purpose"/>
      <w:bookmarkStart w:id="609" w:name="bk115017463Purpose"/>
      <w:bookmarkStart w:id="610" w:name="bk132351463Purpose"/>
      <w:r w:rsidRPr="00C9343F">
        <w:t>4.4.3</w:t>
      </w:r>
      <w:r w:rsidR="00D94006" w:rsidRPr="00C9343F">
        <w:t>    </w:t>
      </w:r>
      <w:r w:rsidRPr="00C9343F">
        <w:t>Purpose</w:t>
      </w:r>
      <w:bookmarkEnd w:id="600"/>
    </w:p>
    <w:bookmarkEnd w:id="601"/>
    <w:bookmarkEnd w:id="602"/>
    <w:bookmarkEnd w:id="603"/>
    <w:bookmarkEnd w:id="604"/>
    <w:bookmarkEnd w:id="605"/>
    <w:bookmarkEnd w:id="606"/>
    <w:bookmarkEnd w:id="607"/>
    <w:bookmarkEnd w:id="608"/>
    <w:bookmarkEnd w:id="609"/>
    <w:bookmarkEnd w:id="610"/>
    <w:tbl>
      <w:tblPr>
        <w:tblW w:w="0" w:type="auto"/>
        <w:tblInd w:w="113" w:type="dxa"/>
        <w:tblLayout w:type="fixed"/>
        <w:tblLook w:val="0000" w:firstRow="0" w:lastRow="0" w:firstColumn="0" w:lastColumn="0" w:noHBand="0" w:noVBand="0"/>
      </w:tblPr>
      <w:tblGrid>
        <w:gridCol w:w="992"/>
        <w:gridCol w:w="8363"/>
      </w:tblGrid>
      <w:tr w:rsidR="006D1E1C" w:rsidRPr="00C9343F" w14:paraId="7262EB68" w14:textId="77777777" w:rsidTr="006D1E1C">
        <w:tc>
          <w:tcPr>
            <w:tcW w:w="992" w:type="dxa"/>
          </w:tcPr>
          <w:p w14:paraId="0D5B4CE0" w14:textId="77777777" w:rsidR="006D1E1C" w:rsidRPr="00C9343F" w:rsidRDefault="006D1E1C" w:rsidP="00F66D98">
            <w:pPr>
              <w:pStyle w:val="BlockText-Plain"/>
              <w:jc w:val="center"/>
            </w:pPr>
          </w:p>
        </w:tc>
        <w:tc>
          <w:tcPr>
            <w:tcW w:w="8363" w:type="dxa"/>
          </w:tcPr>
          <w:p w14:paraId="02A0EAF8" w14:textId="77777777" w:rsidR="006D1E1C" w:rsidRPr="00C9343F" w:rsidRDefault="006D1E1C" w:rsidP="00F66D98">
            <w:pPr>
              <w:pStyle w:val="BlockText-Plain"/>
            </w:pPr>
            <w:r w:rsidRPr="00C9343F">
              <w:t>District allowance compensates for service in a location in Australia that involves hardship. The hardship must be caused by remoteness, harsh climate and cost of living.</w:t>
            </w:r>
          </w:p>
        </w:tc>
      </w:tr>
    </w:tbl>
    <w:p w14:paraId="57EDE147" w14:textId="484C8E24" w:rsidR="006D1E1C" w:rsidRPr="00C9343F" w:rsidRDefault="006D1E1C" w:rsidP="00F66D98">
      <w:pPr>
        <w:pStyle w:val="Heading5"/>
      </w:pPr>
      <w:bookmarkStart w:id="611" w:name="_Toc105053807"/>
      <w:bookmarkStart w:id="612" w:name="bk134637484Definitions"/>
      <w:bookmarkStart w:id="613" w:name="bk164854484Definitions"/>
      <w:bookmarkStart w:id="614" w:name="bk92939AM484Definitions"/>
      <w:bookmarkStart w:id="615" w:name="bk100404AM484Definitions"/>
      <w:bookmarkStart w:id="616" w:name="bk42126PM484Definitions"/>
      <w:bookmarkStart w:id="617" w:name="bk162415484Definitions"/>
      <w:bookmarkStart w:id="618" w:name="bk121427484Definitions"/>
      <w:bookmarkStart w:id="619" w:name="bk132456484Definitions"/>
      <w:bookmarkStart w:id="620" w:name="bk115017464Definitions"/>
      <w:bookmarkStart w:id="621" w:name="bk132351464Definitions"/>
      <w:r w:rsidRPr="00C9343F">
        <w:t>4.4.4</w:t>
      </w:r>
      <w:r w:rsidR="00D94006" w:rsidRPr="00C9343F">
        <w:t>    </w:t>
      </w:r>
      <w:r w:rsidRPr="00C9343F">
        <w:t>Definitions</w:t>
      </w:r>
      <w:bookmarkEnd w:id="611"/>
    </w:p>
    <w:tbl>
      <w:tblPr>
        <w:tblW w:w="0" w:type="dxa"/>
        <w:tblInd w:w="113" w:type="dxa"/>
        <w:tblLayout w:type="fixed"/>
        <w:tblLook w:val="04A0" w:firstRow="1" w:lastRow="0" w:firstColumn="1" w:lastColumn="0" w:noHBand="0" w:noVBand="1"/>
      </w:tblPr>
      <w:tblGrid>
        <w:gridCol w:w="992"/>
        <w:gridCol w:w="563"/>
        <w:gridCol w:w="7804"/>
      </w:tblGrid>
      <w:tr w:rsidR="004A3D39" w:rsidRPr="00C9343F" w14:paraId="559BCA33" w14:textId="77777777" w:rsidTr="00445FEB">
        <w:tc>
          <w:tcPr>
            <w:tcW w:w="992" w:type="dxa"/>
          </w:tcPr>
          <w:p w14:paraId="5B04A2FF" w14:textId="77777777" w:rsidR="004A3D39" w:rsidRPr="00C9343F" w:rsidRDefault="004A3D39" w:rsidP="00445FEB">
            <w:pPr>
              <w:pStyle w:val="Sectiontext0"/>
              <w:spacing w:line="276" w:lineRule="auto"/>
              <w:jc w:val="center"/>
              <w:rPr>
                <w:lang w:eastAsia="en-US"/>
              </w:rPr>
            </w:pPr>
            <w:bookmarkStart w:id="622" w:name="bk134637485Memberswhoareentitled"/>
            <w:bookmarkStart w:id="623" w:name="bk164854485Memberswhoareentitled"/>
            <w:bookmarkStart w:id="624" w:name="bk92939AM485Memberswhoareentitled"/>
            <w:bookmarkStart w:id="625" w:name="bk100404AM485Memberswhoareentitled"/>
            <w:bookmarkStart w:id="626" w:name="bk42126PM485Memberswhoareentitled"/>
            <w:bookmarkStart w:id="627" w:name="bk162415485Memberswhoareentitled"/>
            <w:bookmarkStart w:id="628" w:name="bk121427485Memberswhoareentitled"/>
            <w:bookmarkStart w:id="629" w:name="bk132456485Memberswhoareentitled"/>
            <w:bookmarkStart w:id="630" w:name="bk115017465Memberswhoareentitled"/>
            <w:bookmarkStart w:id="631" w:name="bk132351465Memberswhoareentitled"/>
            <w:bookmarkEnd w:id="612"/>
            <w:bookmarkEnd w:id="613"/>
            <w:bookmarkEnd w:id="614"/>
            <w:bookmarkEnd w:id="615"/>
            <w:bookmarkEnd w:id="616"/>
            <w:bookmarkEnd w:id="617"/>
            <w:bookmarkEnd w:id="618"/>
            <w:bookmarkEnd w:id="619"/>
            <w:bookmarkEnd w:id="620"/>
            <w:bookmarkEnd w:id="621"/>
          </w:p>
        </w:tc>
        <w:tc>
          <w:tcPr>
            <w:tcW w:w="8367" w:type="dxa"/>
            <w:gridSpan w:val="2"/>
            <w:hideMark/>
          </w:tcPr>
          <w:p w14:paraId="5BEE0752" w14:textId="77777777" w:rsidR="004A3D39" w:rsidRPr="00C9343F" w:rsidRDefault="004A3D39" w:rsidP="00445FEB">
            <w:pPr>
              <w:pStyle w:val="Sectiontext0"/>
              <w:spacing w:line="276" w:lineRule="auto"/>
              <w:rPr>
                <w:rFonts w:cs="Arial"/>
                <w:lang w:eastAsia="en-US"/>
              </w:rPr>
            </w:pPr>
            <w:r w:rsidRPr="00C9343F">
              <w:rPr>
                <w:rFonts w:cs="Arial"/>
                <w:lang w:eastAsia="en-US"/>
              </w:rPr>
              <w:t>In this Division the following apply.</w:t>
            </w:r>
          </w:p>
        </w:tc>
      </w:tr>
      <w:tr w:rsidR="004A3D39" w:rsidRPr="00C9343F" w14:paraId="5B0BB75D" w14:textId="77777777" w:rsidTr="00445FEB">
        <w:tc>
          <w:tcPr>
            <w:tcW w:w="992" w:type="dxa"/>
          </w:tcPr>
          <w:p w14:paraId="54A8F891" w14:textId="77777777" w:rsidR="004A3D39" w:rsidRPr="00C9343F" w:rsidRDefault="004A3D39" w:rsidP="00445FEB">
            <w:pPr>
              <w:pStyle w:val="Sectiontext0"/>
              <w:spacing w:line="276" w:lineRule="auto"/>
              <w:jc w:val="center"/>
              <w:rPr>
                <w:lang w:eastAsia="en-US"/>
              </w:rPr>
            </w:pPr>
          </w:p>
        </w:tc>
        <w:tc>
          <w:tcPr>
            <w:tcW w:w="8367" w:type="dxa"/>
            <w:gridSpan w:val="2"/>
            <w:hideMark/>
          </w:tcPr>
          <w:p w14:paraId="7154BE0C" w14:textId="77777777" w:rsidR="004A3D39" w:rsidRPr="00C9343F" w:rsidRDefault="004A3D39" w:rsidP="00445FEB">
            <w:pPr>
              <w:pStyle w:val="Sectiontext0"/>
              <w:spacing w:line="276" w:lineRule="auto"/>
              <w:rPr>
                <w:rFonts w:cs="Arial"/>
                <w:lang w:eastAsia="en-US"/>
              </w:rPr>
            </w:pPr>
            <w:r w:rsidRPr="00C9343F">
              <w:rPr>
                <w:rFonts w:cs="Arial"/>
                <w:b/>
                <w:lang w:eastAsia="en-US"/>
              </w:rPr>
              <w:t xml:space="preserve">Continuous period </w:t>
            </w:r>
            <w:r w:rsidRPr="00C9343F">
              <w:rPr>
                <w:rFonts w:cs="Arial"/>
                <w:lang w:eastAsia="en-US"/>
              </w:rPr>
              <w:t xml:space="preserve">means the period that the member stays in the remote location, including any period they leave the remote location while any of the following apply. </w:t>
            </w:r>
          </w:p>
        </w:tc>
      </w:tr>
      <w:tr w:rsidR="004A3D39" w:rsidRPr="00C9343F" w14:paraId="6AA7830E" w14:textId="77777777" w:rsidTr="00445FEB">
        <w:trPr>
          <w:trHeight w:val="80"/>
        </w:trPr>
        <w:tc>
          <w:tcPr>
            <w:tcW w:w="992" w:type="dxa"/>
          </w:tcPr>
          <w:p w14:paraId="6B863EED" w14:textId="77777777" w:rsidR="004A3D39" w:rsidRPr="00C9343F" w:rsidRDefault="004A3D39" w:rsidP="00445FEB">
            <w:pPr>
              <w:pStyle w:val="Sectiontext0"/>
              <w:spacing w:line="276" w:lineRule="auto"/>
              <w:jc w:val="center"/>
              <w:rPr>
                <w:lang w:eastAsia="en-US"/>
              </w:rPr>
            </w:pPr>
          </w:p>
        </w:tc>
        <w:tc>
          <w:tcPr>
            <w:tcW w:w="563" w:type="dxa"/>
            <w:hideMark/>
          </w:tcPr>
          <w:p w14:paraId="182909A1" w14:textId="77777777" w:rsidR="004A3D39" w:rsidRPr="00C9343F" w:rsidRDefault="004A3D39" w:rsidP="00445FEB">
            <w:pPr>
              <w:pStyle w:val="Sectiontext0"/>
              <w:spacing w:line="276" w:lineRule="auto"/>
              <w:jc w:val="center"/>
              <w:rPr>
                <w:rFonts w:cs="Arial"/>
                <w:lang w:eastAsia="en-US"/>
              </w:rPr>
            </w:pPr>
            <w:r w:rsidRPr="00C9343F">
              <w:rPr>
                <w:rFonts w:cs="Arial"/>
                <w:lang w:eastAsia="en-US"/>
              </w:rPr>
              <w:t>a.</w:t>
            </w:r>
          </w:p>
        </w:tc>
        <w:tc>
          <w:tcPr>
            <w:tcW w:w="7804" w:type="dxa"/>
            <w:hideMark/>
          </w:tcPr>
          <w:p w14:paraId="79631EF5" w14:textId="77777777" w:rsidR="004A3D39" w:rsidRPr="00C9343F" w:rsidRDefault="004A3D39" w:rsidP="00445FEB">
            <w:pPr>
              <w:pStyle w:val="Default"/>
              <w:spacing w:line="276" w:lineRule="auto"/>
            </w:pPr>
            <w:r w:rsidRPr="00C9343F">
              <w:t xml:space="preserve">They are not required for duty. </w:t>
            </w:r>
          </w:p>
        </w:tc>
      </w:tr>
      <w:tr w:rsidR="004A3D39" w:rsidRPr="00C9343F" w14:paraId="59DEFE98" w14:textId="77777777" w:rsidTr="00445FEB">
        <w:tc>
          <w:tcPr>
            <w:tcW w:w="992" w:type="dxa"/>
          </w:tcPr>
          <w:p w14:paraId="375B9936" w14:textId="77777777" w:rsidR="004A3D39" w:rsidRPr="00C9343F" w:rsidRDefault="004A3D39" w:rsidP="00445FEB">
            <w:pPr>
              <w:pStyle w:val="Sectiontext0"/>
              <w:spacing w:line="276" w:lineRule="auto"/>
              <w:jc w:val="center"/>
              <w:rPr>
                <w:lang w:eastAsia="en-US"/>
              </w:rPr>
            </w:pPr>
          </w:p>
        </w:tc>
        <w:tc>
          <w:tcPr>
            <w:tcW w:w="563" w:type="dxa"/>
            <w:hideMark/>
          </w:tcPr>
          <w:p w14:paraId="50118063" w14:textId="77777777" w:rsidR="004A3D39" w:rsidRPr="00C9343F" w:rsidRDefault="004A3D39" w:rsidP="00445FEB">
            <w:pPr>
              <w:pStyle w:val="Sectiontext0"/>
              <w:spacing w:line="276" w:lineRule="auto"/>
              <w:jc w:val="center"/>
              <w:rPr>
                <w:rFonts w:cs="Arial"/>
                <w:lang w:eastAsia="en-US"/>
              </w:rPr>
            </w:pPr>
            <w:r w:rsidRPr="00C9343F">
              <w:rPr>
                <w:rFonts w:cs="Arial"/>
                <w:lang w:eastAsia="en-US"/>
              </w:rPr>
              <w:t>b.</w:t>
            </w:r>
          </w:p>
        </w:tc>
        <w:tc>
          <w:tcPr>
            <w:tcW w:w="7804" w:type="dxa"/>
            <w:hideMark/>
          </w:tcPr>
          <w:p w14:paraId="4A7732A7" w14:textId="77777777" w:rsidR="004A3D39" w:rsidRPr="00C9343F" w:rsidRDefault="004A3D39" w:rsidP="00445FEB">
            <w:pPr>
              <w:pStyle w:val="Default"/>
              <w:spacing w:line="276" w:lineRule="auto"/>
            </w:pPr>
            <w:r w:rsidRPr="00C9343F">
              <w:t xml:space="preserve">They are on a nonworking period. </w:t>
            </w:r>
          </w:p>
        </w:tc>
      </w:tr>
      <w:tr w:rsidR="004A3D39" w:rsidRPr="00C9343F" w14:paraId="0C7E2FE7" w14:textId="77777777" w:rsidTr="00445FEB">
        <w:tc>
          <w:tcPr>
            <w:tcW w:w="992" w:type="dxa"/>
          </w:tcPr>
          <w:p w14:paraId="5AD9E376" w14:textId="77777777" w:rsidR="004A3D39" w:rsidRPr="00C9343F" w:rsidRDefault="004A3D39" w:rsidP="00445FEB">
            <w:pPr>
              <w:pStyle w:val="Sectiontext0"/>
              <w:spacing w:line="276" w:lineRule="auto"/>
              <w:jc w:val="center"/>
              <w:rPr>
                <w:lang w:eastAsia="en-US"/>
              </w:rPr>
            </w:pPr>
          </w:p>
        </w:tc>
        <w:tc>
          <w:tcPr>
            <w:tcW w:w="8367" w:type="dxa"/>
            <w:gridSpan w:val="2"/>
            <w:hideMark/>
          </w:tcPr>
          <w:p w14:paraId="73F80253" w14:textId="77777777" w:rsidR="004A3D39" w:rsidRPr="00C9343F" w:rsidRDefault="004A3D39" w:rsidP="00445FEB">
            <w:pPr>
              <w:pStyle w:val="Sectiontext0"/>
              <w:spacing w:line="276" w:lineRule="auto"/>
              <w:rPr>
                <w:lang w:eastAsia="en-US"/>
              </w:rPr>
            </w:pPr>
            <w:r w:rsidRPr="00C9343F">
              <w:rPr>
                <w:rFonts w:cs="Arial"/>
                <w:b/>
                <w:lang w:eastAsia="en-US"/>
              </w:rPr>
              <w:t>Grade</w:t>
            </w:r>
            <w:r w:rsidRPr="00C9343F">
              <w:rPr>
                <w:rFonts w:cs="Arial"/>
                <w:lang w:eastAsia="en-US"/>
              </w:rPr>
              <w:t>, for a remote location</w:t>
            </w:r>
            <w:r w:rsidRPr="00C9343F">
              <w:rPr>
                <w:lang w:eastAsia="en-US"/>
              </w:rPr>
              <w:t xml:space="preserve">, means the grade specified for it in Annex 4.4.A. </w:t>
            </w:r>
          </w:p>
        </w:tc>
      </w:tr>
      <w:tr w:rsidR="004A3D39" w:rsidRPr="00C9343F" w14:paraId="3511C046" w14:textId="77777777" w:rsidTr="00445FEB">
        <w:tc>
          <w:tcPr>
            <w:tcW w:w="992" w:type="dxa"/>
          </w:tcPr>
          <w:p w14:paraId="60006D3C" w14:textId="77777777" w:rsidR="004A3D39" w:rsidRPr="00C9343F" w:rsidRDefault="004A3D39" w:rsidP="00445FEB">
            <w:pPr>
              <w:pStyle w:val="Sectiontext0"/>
              <w:spacing w:line="276" w:lineRule="auto"/>
              <w:jc w:val="center"/>
              <w:rPr>
                <w:lang w:eastAsia="en-US"/>
              </w:rPr>
            </w:pPr>
          </w:p>
        </w:tc>
        <w:tc>
          <w:tcPr>
            <w:tcW w:w="8367" w:type="dxa"/>
            <w:gridSpan w:val="2"/>
            <w:hideMark/>
          </w:tcPr>
          <w:p w14:paraId="0B6B791B" w14:textId="77777777" w:rsidR="004A3D39" w:rsidRPr="00C9343F" w:rsidRDefault="004A3D39" w:rsidP="00445FEB">
            <w:pPr>
              <w:pStyle w:val="Sectiontext0"/>
              <w:spacing w:line="276" w:lineRule="auto"/>
              <w:rPr>
                <w:rFonts w:cs="Arial"/>
                <w:lang w:eastAsia="en-US"/>
              </w:rPr>
            </w:pPr>
            <w:r w:rsidRPr="00C9343F">
              <w:rPr>
                <w:rFonts w:cs="Arial"/>
                <w:b/>
                <w:lang w:eastAsia="en-US"/>
              </w:rPr>
              <w:t xml:space="preserve">Harbour craft </w:t>
            </w:r>
            <w:r w:rsidRPr="00C9343F">
              <w:rPr>
                <w:rFonts w:cs="Arial"/>
                <w:lang w:eastAsia="en-US"/>
              </w:rPr>
              <w:t>means a vessel that is not liable, in the ordinary course of duty with the ADF, to be ordered to sea.</w:t>
            </w:r>
          </w:p>
        </w:tc>
      </w:tr>
      <w:tr w:rsidR="004A3D39" w:rsidRPr="00C9343F" w14:paraId="483BE978" w14:textId="77777777" w:rsidTr="00445FEB">
        <w:tc>
          <w:tcPr>
            <w:tcW w:w="992" w:type="dxa"/>
          </w:tcPr>
          <w:p w14:paraId="050A1181" w14:textId="77777777" w:rsidR="004A3D39" w:rsidRPr="00C9343F" w:rsidRDefault="004A3D39" w:rsidP="00445FEB">
            <w:pPr>
              <w:pStyle w:val="Sectiontext0"/>
              <w:spacing w:line="276" w:lineRule="auto"/>
              <w:jc w:val="center"/>
              <w:rPr>
                <w:lang w:eastAsia="en-US"/>
              </w:rPr>
            </w:pPr>
          </w:p>
        </w:tc>
        <w:tc>
          <w:tcPr>
            <w:tcW w:w="8367" w:type="dxa"/>
            <w:gridSpan w:val="2"/>
            <w:hideMark/>
          </w:tcPr>
          <w:p w14:paraId="6E4E2DB2" w14:textId="77777777" w:rsidR="004A3D39" w:rsidRPr="00C9343F" w:rsidRDefault="004A3D39" w:rsidP="00445FEB">
            <w:pPr>
              <w:pStyle w:val="Sectiontext0"/>
              <w:spacing w:line="276" w:lineRule="auto"/>
              <w:rPr>
                <w:rFonts w:cs="Arial"/>
                <w:lang w:eastAsia="en-US"/>
              </w:rPr>
            </w:pPr>
            <w:r w:rsidRPr="00C9343F">
              <w:rPr>
                <w:rFonts w:cs="Arial"/>
                <w:b/>
                <w:lang w:eastAsia="en-US"/>
              </w:rPr>
              <w:t>Remote location</w:t>
            </w:r>
            <w:r w:rsidRPr="00C9343F">
              <w:rPr>
                <w:rFonts w:cs="Arial"/>
                <w:lang w:eastAsia="en-US"/>
              </w:rPr>
              <w:t xml:space="preserve"> means a location mentioned in Annex 4.4.A.</w:t>
            </w:r>
          </w:p>
        </w:tc>
      </w:tr>
    </w:tbl>
    <w:p w14:paraId="2F7B3F88" w14:textId="2E65D074" w:rsidR="006D1E1C" w:rsidRPr="00C9343F" w:rsidRDefault="006D1E1C" w:rsidP="00F66D98">
      <w:pPr>
        <w:pStyle w:val="Heading5"/>
      </w:pPr>
      <w:bookmarkStart w:id="632" w:name="_Toc105053808"/>
      <w:r w:rsidRPr="00C9343F">
        <w:t>4.4.5</w:t>
      </w:r>
      <w:r w:rsidR="00D94006" w:rsidRPr="00C9343F">
        <w:t>    </w:t>
      </w:r>
      <w:r w:rsidRPr="00C9343F">
        <w:t>Members who are eligible</w:t>
      </w:r>
      <w:bookmarkEnd w:id="632"/>
    </w:p>
    <w:tbl>
      <w:tblPr>
        <w:tblW w:w="0" w:type="auto"/>
        <w:tblInd w:w="113" w:type="dxa"/>
        <w:tblLayout w:type="fixed"/>
        <w:tblLook w:val="0000" w:firstRow="0" w:lastRow="0" w:firstColumn="0" w:lastColumn="0" w:noHBand="0" w:noVBand="0"/>
      </w:tblPr>
      <w:tblGrid>
        <w:gridCol w:w="992"/>
        <w:gridCol w:w="567"/>
        <w:gridCol w:w="567"/>
        <w:gridCol w:w="7233"/>
      </w:tblGrid>
      <w:tr w:rsidR="006D1E1C" w:rsidRPr="00C9343F" w14:paraId="03A79B09" w14:textId="77777777" w:rsidTr="006D1E1C">
        <w:tc>
          <w:tcPr>
            <w:tcW w:w="992" w:type="dxa"/>
          </w:tcPr>
          <w:bookmarkEnd w:id="622"/>
          <w:bookmarkEnd w:id="623"/>
          <w:bookmarkEnd w:id="624"/>
          <w:bookmarkEnd w:id="625"/>
          <w:bookmarkEnd w:id="626"/>
          <w:bookmarkEnd w:id="627"/>
          <w:bookmarkEnd w:id="628"/>
          <w:bookmarkEnd w:id="629"/>
          <w:bookmarkEnd w:id="630"/>
          <w:bookmarkEnd w:id="631"/>
          <w:p w14:paraId="26410CA4" w14:textId="77777777" w:rsidR="006D1E1C" w:rsidRPr="00C9343F" w:rsidRDefault="006D1E1C" w:rsidP="00F66D98">
            <w:pPr>
              <w:pStyle w:val="BlockText-Plain"/>
              <w:jc w:val="center"/>
            </w:pPr>
            <w:r w:rsidRPr="00C9343F">
              <w:t>1.</w:t>
            </w:r>
          </w:p>
        </w:tc>
        <w:tc>
          <w:tcPr>
            <w:tcW w:w="8367" w:type="dxa"/>
            <w:gridSpan w:val="3"/>
          </w:tcPr>
          <w:p w14:paraId="288EA6F4" w14:textId="77777777" w:rsidR="006D1E1C" w:rsidRPr="00C9343F" w:rsidRDefault="006D1E1C" w:rsidP="00F66D98">
            <w:pPr>
              <w:pStyle w:val="BlockText-Plain"/>
            </w:pPr>
            <w:r w:rsidRPr="00C9343F">
              <w:t xml:space="preserve">A member is eligible for ADF district allowance if they meet any of these conditions. </w:t>
            </w:r>
          </w:p>
        </w:tc>
      </w:tr>
      <w:tr w:rsidR="006D1E1C" w:rsidRPr="00C9343F" w14:paraId="3F70C81A" w14:textId="77777777" w:rsidTr="006D1E1C">
        <w:trPr>
          <w:cantSplit/>
        </w:trPr>
        <w:tc>
          <w:tcPr>
            <w:tcW w:w="992" w:type="dxa"/>
          </w:tcPr>
          <w:p w14:paraId="4FF36B2E" w14:textId="77777777" w:rsidR="006D1E1C" w:rsidRPr="00C9343F" w:rsidRDefault="006D1E1C" w:rsidP="00F66D98">
            <w:pPr>
              <w:pStyle w:val="BlockText-Plain"/>
            </w:pPr>
          </w:p>
        </w:tc>
        <w:tc>
          <w:tcPr>
            <w:tcW w:w="567" w:type="dxa"/>
          </w:tcPr>
          <w:p w14:paraId="4863A56B" w14:textId="77777777" w:rsidR="006D1E1C" w:rsidRPr="00C9343F" w:rsidRDefault="006D1E1C" w:rsidP="007114B1">
            <w:pPr>
              <w:pStyle w:val="BlockText-Plain"/>
              <w:jc w:val="center"/>
            </w:pPr>
            <w:r w:rsidRPr="00C9343F">
              <w:t>a.</w:t>
            </w:r>
          </w:p>
        </w:tc>
        <w:tc>
          <w:tcPr>
            <w:tcW w:w="7800" w:type="dxa"/>
            <w:gridSpan w:val="2"/>
          </w:tcPr>
          <w:p w14:paraId="31CDCE51" w14:textId="77777777" w:rsidR="006D1E1C" w:rsidRPr="00C9343F" w:rsidRDefault="006D1E1C" w:rsidP="00F66D98">
            <w:pPr>
              <w:pStyle w:val="BlockText-Plain"/>
            </w:pPr>
            <w:r w:rsidRPr="00C9343F">
              <w:t>They are posted to, and live at, a remote location.</w:t>
            </w:r>
          </w:p>
        </w:tc>
      </w:tr>
      <w:tr w:rsidR="006D1E1C" w:rsidRPr="00C9343F" w14:paraId="5F53CB3B" w14:textId="77777777" w:rsidTr="006D1E1C">
        <w:trPr>
          <w:cantSplit/>
        </w:trPr>
        <w:tc>
          <w:tcPr>
            <w:tcW w:w="992" w:type="dxa"/>
          </w:tcPr>
          <w:p w14:paraId="64B95CA5" w14:textId="77777777" w:rsidR="006D1E1C" w:rsidRPr="00C9343F" w:rsidRDefault="006D1E1C" w:rsidP="00F66D98">
            <w:pPr>
              <w:pStyle w:val="BlockText-Plain"/>
            </w:pPr>
          </w:p>
        </w:tc>
        <w:tc>
          <w:tcPr>
            <w:tcW w:w="567" w:type="dxa"/>
          </w:tcPr>
          <w:p w14:paraId="3623FF8E" w14:textId="77777777" w:rsidR="006D1E1C" w:rsidRPr="00C9343F" w:rsidRDefault="006D1E1C" w:rsidP="007114B1">
            <w:pPr>
              <w:pStyle w:val="BlockText-Plain"/>
              <w:jc w:val="center"/>
            </w:pPr>
            <w:r w:rsidRPr="00C9343F">
              <w:t>b.</w:t>
            </w:r>
          </w:p>
        </w:tc>
        <w:tc>
          <w:tcPr>
            <w:tcW w:w="7800" w:type="dxa"/>
            <w:gridSpan w:val="2"/>
          </w:tcPr>
          <w:p w14:paraId="1E0FCDB8" w14:textId="77777777" w:rsidR="006D1E1C" w:rsidRPr="00C9343F" w:rsidRDefault="006D1E1C" w:rsidP="00F66D98">
            <w:pPr>
              <w:pStyle w:val="BlockText-Plain"/>
            </w:pPr>
            <w:r w:rsidRPr="00C9343F">
              <w:t>They serve on temporary duty at a remote location for a continuous period of more than 21 days.</w:t>
            </w:r>
          </w:p>
        </w:tc>
      </w:tr>
      <w:tr w:rsidR="006D1E1C" w:rsidRPr="00C9343F" w14:paraId="06D34251" w14:textId="77777777" w:rsidTr="006D1E1C">
        <w:trPr>
          <w:cantSplit/>
        </w:trPr>
        <w:tc>
          <w:tcPr>
            <w:tcW w:w="992" w:type="dxa"/>
          </w:tcPr>
          <w:p w14:paraId="2CA889E6" w14:textId="77777777" w:rsidR="006D1E1C" w:rsidRPr="00C9343F" w:rsidRDefault="006D1E1C" w:rsidP="00F66D98">
            <w:pPr>
              <w:pStyle w:val="BlockText-Plain"/>
            </w:pPr>
          </w:p>
        </w:tc>
        <w:tc>
          <w:tcPr>
            <w:tcW w:w="567" w:type="dxa"/>
          </w:tcPr>
          <w:p w14:paraId="58BF12DF" w14:textId="77777777" w:rsidR="006D1E1C" w:rsidRPr="00C9343F" w:rsidRDefault="006D1E1C" w:rsidP="007114B1">
            <w:pPr>
              <w:pStyle w:val="BlockText-Plain"/>
              <w:jc w:val="center"/>
            </w:pPr>
            <w:r w:rsidRPr="00C9343F">
              <w:t>c.</w:t>
            </w:r>
          </w:p>
        </w:tc>
        <w:tc>
          <w:tcPr>
            <w:tcW w:w="7800" w:type="dxa"/>
            <w:gridSpan w:val="2"/>
          </w:tcPr>
          <w:p w14:paraId="3543D871" w14:textId="77777777" w:rsidR="006D1E1C" w:rsidRPr="00C9343F" w:rsidRDefault="006D1E1C" w:rsidP="00F66D98">
            <w:pPr>
              <w:pStyle w:val="BlockText-Plain"/>
            </w:pPr>
            <w:r w:rsidRPr="00C9343F">
              <w:t>They are posted for service in a seagoing ship based at a remote location.</w:t>
            </w:r>
          </w:p>
        </w:tc>
      </w:tr>
      <w:tr w:rsidR="006D1E1C" w:rsidRPr="00C9343F" w14:paraId="1E5800DA" w14:textId="77777777" w:rsidTr="006D1E1C">
        <w:trPr>
          <w:cantSplit/>
        </w:trPr>
        <w:tc>
          <w:tcPr>
            <w:tcW w:w="992" w:type="dxa"/>
          </w:tcPr>
          <w:p w14:paraId="71A3DA0A" w14:textId="77777777" w:rsidR="006D1E1C" w:rsidRPr="00C9343F" w:rsidRDefault="006D1E1C" w:rsidP="00F66D98">
            <w:pPr>
              <w:pStyle w:val="BlockText-Plain"/>
            </w:pPr>
          </w:p>
        </w:tc>
        <w:tc>
          <w:tcPr>
            <w:tcW w:w="567" w:type="dxa"/>
          </w:tcPr>
          <w:p w14:paraId="35F0AFD0" w14:textId="77777777" w:rsidR="006D1E1C" w:rsidRPr="00C9343F" w:rsidRDefault="006D1E1C" w:rsidP="007114B1">
            <w:pPr>
              <w:pStyle w:val="BlockText-Plain"/>
              <w:jc w:val="center"/>
            </w:pPr>
            <w:r w:rsidRPr="00C9343F">
              <w:t>d.</w:t>
            </w:r>
          </w:p>
        </w:tc>
        <w:tc>
          <w:tcPr>
            <w:tcW w:w="7800" w:type="dxa"/>
            <w:gridSpan w:val="2"/>
          </w:tcPr>
          <w:p w14:paraId="6D9593E7" w14:textId="77777777" w:rsidR="006D1E1C" w:rsidRPr="00C9343F" w:rsidRDefault="006D1E1C" w:rsidP="00F66D98">
            <w:pPr>
              <w:pStyle w:val="BlockText-Plain"/>
            </w:pPr>
            <w:r w:rsidRPr="00C9343F">
              <w:t>The CDF recognises the member meets all of the following conditions.</w:t>
            </w:r>
          </w:p>
        </w:tc>
      </w:tr>
      <w:tr w:rsidR="006D1E1C" w:rsidRPr="00C9343F" w14:paraId="7868A260" w14:textId="77777777" w:rsidTr="006D1E1C">
        <w:trPr>
          <w:cantSplit/>
        </w:trPr>
        <w:tc>
          <w:tcPr>
            <w:tcW w:w="1559" w:type="dxa"/>
            <w:gridSpan w:val="2"/>
          </w:tcPr>
          <w:p w14:paraId="31256F75" w14:textId="77777777" w:rsidR="006D1E1C" w:rsidRPr="00C9343F" w:rsidRDefault="006D1E1C" w:rsidP="00F66D98">
            <w:pPr>
              <w:pStyle w:val="BlockText-Plain"/>
            </w:pPr>
          </w:p>
        </w:tc>
        <w:tc>
          <w:tcPr>
            <w:tcW w:w="567" w:type="dxa"/>
          </w:tcPr>
          <w:p w14:paraId="0431A131" w14:textId="77777777" w:rsidR="006D1E1C" w:rsidRPr="00C9343F" w:rsidRDefault="006D1E1C" w:rsidP="007114B1">
            <w:pPr>
              <w:pStyle w:val="BlockText-Plain"/>
            </w:pPr>
            <w:r w:rsidRPr="00C9343F">
              <w:t>i.</w:t>
            </w:r>
          </w:p>
        </w:tc>
        <w:tc>
          <w:tcPr>
            <w:tcW w:w="7233" w:type="dxa"/>
          </w:tcPr>
          <w:p w14:paraId="7F01856D" w14:textId="77777777" w:rsidR="006D1E1C" w:rsidRPr="00C9343F" w:rsidRDefault="006D1E1C" w:rsidP="00F66D98">
            <w:pPr>
              <w:pStyle w:val="BlockText-Plain"/>
            </w:pPr>
            <w:r w:rsidRPr="00C9343F">
              <w:t>They are performing duty at a location that is not listed in Annex 4.4.A.</w:t>
            </w:r>
          </w:p>
        </w:tc>
      </w:tr>
      <w:tr w:rsidR="006D1E1C" w:rsidRPr="00C9343F" w14:paraId="6835BE2E" w14:textId="77777777" w:rsidTr="006D1E1C">
        <w:trPr>
          <w:cantSplit/>
        </w:trPr>
        <w:tc>
          <w:tcPr>
            <w:tcW w:w="1559" w:type="dxa"/>
            <w:gridSpan w:val="2"/>
          </w:tcPr>
          <w:p w14:paraId="612A3FC6" w14:textId="77777777" w:rsidR="006D1E1C" w:rsidRPr="00C9343F" w:rsidRDefault="006D1E1C" w:rsidP="00F66D98">
            <w:pPr>
              <w:pStyle w:val="BlockText-Plain"/>
            </w:pPr>
          </w:p>
        </w:tc>
        <w:tc>
          <w:tcPr>
            <w:tcW w:w="567" w:type="dxa"/>
          </w:tcPr>
          <w:p w14:paraId="2CDD755C" w14:textId="77777777" w:rsidR="006D1E1C" w:rsidRPr="00C9343F" w:rsidRDefault="006D1E1C" w:rsidP="007114B1">
            <w:pPr>
              <w:pStyle w:val="BlockText-Plain"/>
            </w:pPr>
            <w:r w:rsidRPr="00C9343F">
              <w:t>ii.</w:t>
            </w:r>
          </w:p>
        </w:tc>
        <w:tc>
          <w:tcPr>
            <w:tcW w:w="7233" w:type="dxa"/>
          </w:tcPr>
          <w:p w14:paraId="46EC0983" w14:textId="77777777" w:rsidR="006D1E1C" w:rsidRPr="00C9343F" w:rsidRDefault="006D1E1C" w:rsidP="00F66D98">
            <w:pPr>
              <w:pStyle w:val="BlockText-Plain"/>
            </w:pPr>
            <w:r w:rsidRPr="00C9343F">
              <w:t>They serve at an isolated location.</w:t>
            </w:r>
          </w:p>
        </w:tc>
      </w:tr>
      <w:tr w:rsidR="006D1E1C" w:rsidRPr="00C9343F" w14:paraId="228C4D4E" w14:textId="77777777" w:rsidTr="006D1E1C">
        <w:trPr>
          <w:cantSplit/>
        </w:trPr>
        <w:tc>
          <w:tcPr>
            <w:tcW w:w="1559" w:type="dxa"/>
            <w:gridSpan w:val="2"/>
          </w:tcPr>
          <w:p w14:paraId="70CDD183" w14:textId="77777777" w:rsidR="006D1E1C" w:rsidRPr="00C9343F" w:rsidRDefault="006D1E1C" w:rsidP="00F66D98">
            <w:pPr>
              <w:pStyle w:val="BlockText-Plain"/>
            </w:pPr>
          </w:p>
        </w:tc>
        <w:tc>
          <w:tcPr>
            <w:tcW w:w="567" w:type="dxa"/>
          </w:tcPr>
          <w:p w14:paraId="22EB7086" w14:textId="77777777" w:rsidR="006D1E1C" w:rsidRPr="00C9343F" w:rsidRDefault="006D1E1C" w:rsidP="007114B1">
            <w:pPr>
              <w:pStyle w:val="BlockText-Plain"/>
            </w:pPr>
            <w:r w:rsidRPr="00C9343F">
              <w:t>iii.</w:t>
            </w:r>
          </w:p>
        </w:tc>
        <w:tc>
          <w:tcPr>
            <w:tcW w:w="7233" w:type="dxa"/>
          </w:tcPr>
          <w:p w14:paraId="3D4887BE" w14:textId="77777777" w:rsidR="006D1E1C" w:rsidRPr="00C9343F" w:rsidRDefault="006D1E1C" w:rsidP="00F66D98">
            <w:pPr>
              <w:pStyle w:val="BlockText-Plain"/>
            </w:pPr>
            <w:r w:rsidRPr="00C9343F">
              <w:t>Their</w:t>
            </w:r>
            <w:r w:rsidRPr="00C9343F">
              <w:rPr>
                <w:color w:val="FF0000"/>
              </w:rPr>
              <w:t xml:space="preserve"> </w:t>
            </w:r>
            <w:r w:rsidRPr="00C9343F">
              <w:t>duty is for a continuous period of more than 21 days.</w:t>
            </w:r>
          </w:p>
        </w:tc>
      </w:tr>
      <w:tr w:rsidR="006D1E1C" w:rsidRPr="00C9343F" w14:paraId="0C857C1C" w14:textId="77777777" w:rsidTr="006D1E1C">
        <w:tc>
          <w:tcPr>
            <w:tcW w:w="992" w:type="dxa"/>
          </w:tcPr>
          <w:p w14:paraId="7B7E7589" w14:textId="77777777" w:rsidR="006D1E1C" w:rsidRPr="00C9343F" w:rsidRDefault="006D1E1C" w:rsidP="00F66D98">
            <w:pPr>
              <w:pStyle w:val="BlockText-Plain"/>
              <w:jc w:val="center"/>
            </w:pPr>
            <w:bookmarkStart w:id="633" w:name="bk134637486Memberswhoarenotentitled"/>
            <w:bookmarkStart w:id="634" w:name="bk164854486Memberswhoarenotentitled"/>
            <w:bookmarkStart w:id="635" w:name="bk92939AM486Memberswhoarenotentitled"/>
            <w:bookmarkStart w:id="636" w:name="bk100404AM486Memberswhoarenotentitled"/>
            <w:bookmarkStart w:id="637" w:name="bk42126PM486Memberswhoarenotentitled"/>
            <w:bookmarkStart w:id="638" w:name="bk162415486Memberswhoarenotentitled"/>
            <w:bookmarkStart w:id="639" w:name="bk121427486Memberswhoarenotentitled"/>
            <w:bookmarkStart w:id="640" w:name="bk132456486Memberswhoarenotentitled"/>
            <w:bookmarkStart w:id="641" w:name="bk115017466Memberswhoarenotentitled"/>
            <w:bookmarkStart w:id="642" w:name="bk132351466Memberswhoarenotentitled"/>
            <w:r w:rsidRPr="00C9343F">
              <w:t>2.</w:t>
            </w:r>
          </w:p>
        </w:tc>
        <w:tc>
          <w:tcPr>
            <w:tcW w:w="8363" w:type="dxa"/>
            <w:gridSpan w:val="3"/>
          </w:tcPr>
          <w:p w14:paraId="3D6FFE8F" w14:textId="77777777" w:rsidR="006D1E1C" w:rsidRPr="00C9343F" w:rsidRDefault="006D1E1C" w:rsidP="00F66D98">
            <w:pPr>
              <w:pStyle w:val="BlockText-Plain"/>
            </w:pPr>
            <w:r w:rsidRPr="00C9343F">
              <w:t xml:space="preserve">A member on Reserve service is eligible for ADF district allowance if they meet both these conditions. </w:t>
            </w:r>
          </w:p>
        </w:tc>
      </w:tr>
      <w:tr w:rsidR="006D1E1C" w:rsidRPr="00C9343F" w14:paraId="0765AB67" w14:textId="77777777" w:rsidTr="006D1E1C">
        <w:trPr>
          <w:cantSplit/>
        </w:trPr>
        <w:tc>
          <w:tcPr>
            <w:tcW w:w="992" w:type="dxa"/>
          </w:tcPr>
          <w:p w14:paraId="77F6EE93" w14:textId="77777777" w:rsidR="006D1E1C" w:rsidRPr="00C9343F" w:rsidRDefault="006D1E1C" w:rsidP="00F66D98">
            <w:pPr>
              <w:pStyle w:val="BlockText-Plain"/>
            </w:pPr>
          </w:p>
        </w:tc>
        <w:tc>
          <w:tcPr>
            <w:tcW w:w="567" w:type="dxa"/>
          </w:tcPr>
          <w:p w14:paraId="572B6447" w14:textId="77777777" w:rsidR="006D1E1C" w:rsidRPr="00C9343F" w:rsidRDefault="006D1E1C" w:rsidP="007114B1">
            <w:pPr>
              <w:pStyle w:val="BlockText-Plain"/>
              <w:jc w:val="both"/>
            </w:pPr>
            <w:r w:rsidRPr="00C9343F">
              <w:t>a.</w:t>
            </w:r>
          </w:p>
        </w:tc>
        <w:tc>
          <w:tcPr>
            <w:tcW w:w="7796" w:type="dxa"/>
            <w:gridSpan w:val="2"/>
          </w:tcPr>
          <w:p w14:paraId="36B2E0C5" w14:textId="77777777" w:rsidR="006D1E1C" w:rsidRPr="00C9343F" w:rsidRDefault="006D1E1C" w:rsidP="00F66D98">
            <w:pPr>
              <w:pStyle w:val="BlockText-Plain"/>
            </w:pPr>
            <w:r w:rsidRPr="00C9343F">
              <w:t>They serve on temporary duty at a remote location.</w:t>
            </w:r>
          </w:p>
        </w:tc>
      </w:tr>
      <w:tr w:rsidR="006D1E1C" w:rsidRPr="00C9343F" w14:paraId="11A7CB16" w14:textId="77777777" w:rsidTr="006D1E1C">
        <w:trPr>
          <w:cantSplit/>
        </w:trPr>
        <w:tc>
          <w:tcPr>
            <w:tcW w:w="992" w:type="dxa"/>
          </w:tcPr>
          <w:p w14:paraId="626D4CFB" w14:textId="77777777" w:rsidR="006D1E1C" w:rsidRPr="00C9343F" w:rsidRDefault="006D1E1C" w:rsidP="00F66D98">
            <w:pPr>
              <w:pStyle w:val="BlockText-Plain"/>
            </w:pPr>
          </w:p>
        </w:tc>
        <w:tc>
          <w:tcPr>
            <w:tcW w:w="567" w:type="dxa"/>
          </w:tcPr>
          <w:p w14:paraId="162F2CBA" w14:textId="77777777" w:rsidR="006D1E1C" w:rsidRPr="00C9343F" w:rsidRDefault="006D1E1C" w:rsidP="007114B1">
            <w:pPr>
              <w:pStyle w:val="BlockText-Plain"/>
              <w:jc w:val="both"/>
            </w:pPr>
            <w:r w:rsidRPr="00C9343F">
              <w:t>b.</w:t>
            </w:r>
          </w:p>
        </w:tc>
        <w:tc>
          <w:tcPr>
            <w:tcW w:w="7796" w:type="dxa"/>
            <w:gridSpan w:val="2"/>
          </w:tcPr>
          <w:p w14:paraId="2AD3927F" w14:textId="77777777" w:rsidR="006D1E1C" w:rsidRPr="00C9343F" w:rsidRDefault="006D1E1C" w:rsidP="00F66D98">
            <w:pPr>
              <w:pStyle w:val="BlockText-Plain"/>
            </w:pPr>
            <w:r w:rsidRPr="00C9343F">
              <w:t>Their temporary duty is for a continuous period of more than 21 days.</w:t>
            </w:r>
          </w:p>
        </w:tc>
      </w:tr>
    </w:tbl>
    <w:p w14:paraId="5D2C5E7E" w14:textId="57314ACB" w:rsidR="0055302B" w:rsidRPr="00C9343F" w:rsidRDefault="0055302B" w:rsidP="0082653D">
      <w:pPr>
        <w:pStyle w:val="Heading5"/>
      </w:pPr>
      <w:bookmarkStart w:id="643" w:name="_Toc105053809"/>
      <w:r w:rsidRPr="00C9343F">
        <w:t>4.4.6</w:t>
      </w:r>
      <w:r w:rsidR="00D94006" w:rsidRPr="00C9343F">
        <w:t>    </w:t>
      </w:r>
      <w:r w:rsidRPr="00C9343F">
        <w:t>Members who are not eligible</w:t>
      </w:r>
      <w:bookmarkEnd w:id="643"/>
    </w:p>
    <w:tbl>
      <w:tblPr>
        <w:tblW w:w="9360" w:type="dxa"/>
        <w:tblInd w:w="108" w:type="dxa"/>
        <w:tblLayout w:type="fixed"/>
        <w:tblLook w:val="04A0" w:firstRow="1" w:lastRow="0" w:firstColumn="1" w:lastColumn="0" w:noHBand="0" w:noVBand="1"/>
      </w:tblPr>
      <w:tblGrid>
        <w:gridCol w:w="991"/>
        <w:gridCol w:w="8369"/>
      </w:tblGrid>
      <w:tr w:rsidR="0055302B" w:rsidRPr="00C9343F" w14:paraId="7B95AB8A" w14:textId="77777777" w:rsidTr="0055302B">
        <w:tc>
          <w:tcPr>
            <w:tcW w:w="991" w:type="dxa"/>
          </w:tcPr>
          <w:p w14:paraId="0A31F27A" w14:textId="77777777" w:rsidR="0055302B" w:rsidRPr="00C9343F" w:rsidRDefault="0055302B" w:rsidP="00573C94">
            <w:pPr>
              <w:pStyle w:val="Sectiontext0"/>
            </w:pPr>
          </w:p>
        </w:tc>
        <w:tc>
          <w:tcPr>
            <w:tcW w:w="8368" w:type="dxa"/>
            <w:hideMark/>
          </w:tcPr>
          <w:p w14:paraId="392FD89C" w14:textId="77777777" w:rsidR="0055302B" w:rsidRPr="00C9343F" w:rsidRDefault="0055302B" w:rsidP="00573C94">
            <w:pPr>
              <w:pStyle w:val="Sectiontext0"/>
            </w:pPr>
            <w:r w:rsidRPr="00C9343F">
              <w:rPr>
                <w:iCs/>
              </w:rPr>
              <w:t>A member is not eligible for ADF district allowance for any period they are eligible for Antarctic allowance under Division 6.</w:t>
            </w:r>
          </w:p>
        </w:tc>
      </w:tr>
    </w:tbl>
    <w:p w14:paraId="27A03ABC" w14:textId="7F741E0A" w:rsidR="006D1E1C" w:rsidRPr="00C9343F" w:rsidRDefault="006D1E1C" w:rsidP="00F66D98">
      <w:pPr>
        <w:pStyle w:val="Heading5"/>
      </w:pPr>
      <w:bookmarkStart w:id="644" w:name="_Toc105053810"/>
      <w:bookmarkStart w:id="645" w:name="bk134637487Periodofentitlement"/>
      <w:bookmarkStart w:id="646" w:name="bk164855487Periodofentitlement"/>
      <w:bookmarkStart w:id="647" w:name="bk92939AM487Periodofentitlement"/>
      <w:bookmarkStart w:id="648" w:name="bk100404AM487Periodofentitlement"/>
      <w:bookmarkStart w:id="649" w:name="bk42126PM487Periodofentitlement"/>
      <w:bookmarkStart w:id="650" w:name="bk162415487Periodofentitlement"/>
      <w:bookmarkStart w:id="651" w:name="bk121427487Periodofentitlement"/>
      <w:bookmarkStart w:id="652" w:name="bk132456487Periodofentitlement"/>
      <w:bookmarkStart w:id="653" w:name="bk115017467Periodofentitlement"/>
      <w:bookmarkStart w:id="654" w:name="bk132352467Periodofentitlement"/>
      <w:bookmarkEnd w:id="633"/>
      <w:bookmarkEnd w:id="634"/>
      <w:bookmarkEnd w:id="635"/>
      <w:bookmarkEnd w:id="636"/>
      <w:bookmarkEnd w:id="637"/>
      <w:bookmarkEnd w:id="638"/>
      <w:bookmarkEnd w:id="639"/>
      <w:bookmarkEnd w:id="640"/>
      <w:bookmarkEnd w:id="641"/>
      <w:bookmarkEnd w:id="642"/>
      <w:r w:rsidRPr="00C9343F">
        <w:t>4.4.7</w:t>
      </w:r>
      <w:r w:rsidR="00D94006" w:rsidRPr="00C9343F">
        <w:t>    </w:t>
      </w:r>
      <w:r w:rsidRPr="00C9343F">
        <w:t xml:space="preserve">Period of </w:t>
      </w:r>
      <w:r w:rsidR="00690594" w:rsidRPr="00C9343F">
        <w:t>benefit</w:t>
      </w:r>
      <w:bookmarkEnd w:id="644"/>
      <w:r w:rsidRPr="00C9343F">
        <w:t xml:space="preserve"> </w:t>
      </w:r>
    </w:p>
    <w:tbl>
      <w:tblPr>
        <w:tblW w:w="0" w:type="auto"/>
        <w:tblInd w:w="113" w:type="dxa"/>
        <w:tblLayout w:type="fixed"/>
        <w:tblLook w:val="0000" w:firstRow="0" w:lastRow="0" w:firstColumn="0" w:lastColumn="0" w:noHBand="0" w:noVBand="0"/>
      </w:tblPr>
      <w:tblGrid>
        <w:gridCol w:w="992"/>
        <w:gridCol w:w="8363"/>
      </w:tblGrid>
      <w:tr w:rsidR="006D1E1C" w:rsidRPr="00C9343F" w14:paraId="4A0B99B6" w14:textId="77777777" w:rsidTr="006D1E1C">
        <w:tc>
          <w:tcPr>
            <w:tcW w:w="992" w:type="dxa"/>
          </w:tcPr>
          <w:bookmarkEnd w:id="645"/>
          <w:bookmarkEnd w:id="646"/>
          <w:bookmarkEnd w:id="647"/>
          <w:bookmarkEnd w:id="648"/>
          <w:bookmarkEnd w:id="649"/>
          <w:bookmarkEnd w:id="650"/>
          <w:bookmarkEnd w:id="651"/>
          <w:bookmarkEnd w:id="652"/>
          <w:bookmarkEnd w:id="653"/>
          <w:bookmarkEnd w:id="654"/>
          <w:p w14:paraId="48FA0FAB" w14:textId="77777777" w:rsidR="006D1E1C" w:rsidRPr="00C9343F" w:rsidRDefault="00690594" w:rsidP="00F66D98">
            <w:pPr>
              <w:pStyle w:val="BlockText-Plain"/>
              <w:jc w:val="center"/>
            </w:pPr>
            <w:r w:rsidRPr="00C9343F">
              <w:t>1.</w:t>
            </w:r>
          </w:p>
        </w:tc>
        <w:tc>
          <w:tcPr>
            <w:tcW w:w="8363" w:type="dxa"/>
          </w:tcPr>
          <w:p w14:paraId="3C37F700" w14:textId="77777777" w:rsidR="006D1E1C" w:rsidRPr="00C9343F" w:rsidRDefault="00690594" w:rsidP="00F66D98">
            <w:pPr>
              <w:pStyle w:val="BlockText-PlainNoSpacing"/>
              <w:spacing w:before="0" w:after="200"/>
            </w:pPr>
            <w:r w:rsidRPr="00C9343F">
              <w:t>Subject to subsection 2, this table sets out the period for which a member may be paid ADF district allowance.</w:t>
            </w:r>
          </w:p>
        </w:tc>
      </w:tr>
    </w:tbl>
    <w:p w14:paraId="3A14A55F" w14:textId="77777777" w:rsidR="006D1E1C" w:rsidRPr="00C9343F" w:rsidRDefault="006D1E1C" w:rsidP="00F66D98">
      <w:pPr>
        <w:keepNext/>
      </w:pPr>
    </w:p>
    <w:tbl>
      <w:tblPr>
        <w:tblW w:w="8363" w:type="dxa"/>
        <w:tblInd w:w="1049" w:type="dxa"/>
        <w:tblLayout w:type="fixed"/>
        <w:tblCellMar>
          <w:left w:w="56" w:type="dxa"/>
          <w:right w:w="56" w:type="dxa"/>
        </w:tblCellMar>
        <w:tblLook w:val="0000" w:firstRow="0" w:lastRow="0" w:firstColumn="0" w:lastColumn="0" w:noHBand="0" w:noVBand="0"/>
      </w:tblPr>
      <w:tblGrid>
        <w:gridCol w:w="567"/>
        <w:gridCol w:w="2268"/>
        <w:gridCol w:w="2976"/>
        <w:gridCol w:w="2552"/>
      </w:tblGrid>
      <w:tr w:rsidR="00690594" w:rsidRPr="00C9343F" w14:paraId="0E7BA0F8" w14:textId="77777777" w:rsidTr="00AD54B6">
        <w:trPr>
          <w:cantSplit/>
        </w:trPr>
        <w:tc>
          <w:tcPr>
            <w:tcW w:w="567" w:type="dxa"/>
            <w:vMerge w:val="restart"/>
            <w:tcBorders>
              <w:top w:val="single" w:sz="6" w:space="0" w:color="auto"/>
              <w:left w:val="single" w:sz="6" w:space="0" w:color="auto"/>
              <w:right w:val="single" w:sz="6" w:space="0" w:color="auto"/>
            </w:tcBorders>
          </w:tcPr>
          <w:p w14:paraId="45190793" w14:textId="77777777" w:rsidR="00690594" w:rsidRPr="00C9343F" w:rsidRDefault="00690594" w:rsidP="00F66D98">
            <w:pPr>
              <w:pStyle w:val="TableHeaderArial"/>
            </w:pPr>
            <w:bookmarkStart w:id="655" w:name="bk134637488Gradingoflocations"/>
            <w:bookmarkStart w:id="656" w:name="bk164855488Gradingoflocations"/>
            <w:bookmarkStart w:id="657" w:name="bk92939AM488Gradingoflocations"/>
            <w:bookmarkStart w:id="658" w:name="bk100405AM488Gradingoflocations"/>
            <w:bookmarkStart w:id="659" w:name="bk42126PM488Gradingoflocations"/>
            <w:bookmarkStart w:id="660" w:name="bk162415488Gradingoflocations"/>
            <w:bookmarkStart w:id="661" w:name="bk121427488Gradingoflocations"/>
            <w:bookmarkStart w:id="662" w:name="bk132456488Gradingoflocations"/>
            <w:bookmarkStart w:id="663" w:name="bk115018468Gradingoflocations"/>
            <w:bookmarkStart w:id="664" w:name="bk132352468Gradingoflocations"/>
            <w:r w:rsidRPr="00C9343F">
              <w:t>Item</w:t>
            </w:r>
          </w:p>
        </w:tc>
        <w:tc>
          <w:tcPr>
            <w:tcW w:w="2268" w:type="dxa"/>
            <w:vMerge w:val="restart"/>
            <w:tcBorders>
              <w:top w:val="single" w:sz="6" w:space="0" w:color="auto"/>
              <w:left w:val="single" w:sz="6" w:space="0" w:color="auto"/>
              <w:right w:val="single" w:sz="6" w:space="0" w:color="auto"/>
            </w:tcBorders>
          </w:tcPr>
          <w:p w14:paraId="6C4478FA" w14:textId="77777777" w:rsidR="00690594" w:rsidRPr="00C9343F" w:rsidRDefault="00690594" w:rsidP="00F66D98">
            <w:pPr>
              <w:pStyle w:val="TableHeaderArial"/>
            </w:pPr>
            <w:r w:rsidRPr="00C9343F">
              <w:t>If the member is…</w:t>
            </w:r>
          </w:p>
        </w:tc>
        <w:tc>
          <w:tcPr>
            <w:tcW w:w="5528" w:type="dxa"/>
            <w:gridSpan w:val="2"/>
            <w:tcBorders>
              <w:top w:val="single" w:sz="6" w:space="0" w:color="auto"/>
              <w:left w:val="single" w:sz="6" w:space="0" w:color="auto"/>
              <w:bottom w:val="single" w:sz="6" w:space="0" w:color="auto"/>
              <w:right w:val="single" w:sz="6" w:space="0" w:color="auto"/>
            </w:tcBorders>
          </w:tcPr>
          <w:p w14:paraId="19E20236" w14:textId="77777777" w:rsidR="00690594" w:rsidRPr="00C9343F" w:rsidRDefault="00690594" w:rsidP="00F66D98">
            <w:pPr>
              <w:pStyle w:val="TableHeaderArial"/>
            </w:pPr>
            <w:r w:rsidRPr="00C9343F">
              <w:t>then the member may be paid the allowance for the period…</w:t>
            </w:r>
          </w:p>
        </w:tc>
      </w:tr>
      <w:tr w:rsidR="00690594" w:rsidRPr="00C9343F" w14:paraId="3E5D056B" w14:textId="77777777" w:rsidTr="00AD54B6">
        <w:trPr>
          <w:cantSplit/>
        </w:trPr>
        <w:tc>
          <w:tcPr>
            <w:tcW w:w="567" w:type="dxa"/>
            <w:vMerge/>
            <w:tcBorders>
              <w:left w:val="single" w:sz="6" w:space="0" w:color="auto"/>
              <w:bottom w:val="single" w:sz="6" w:space="0" w:color="auto"/>
              <w:right w:val="single" w:sz="6" w:space="0" w:color="auto"/>
            </w:tcBorders>
          </w:tcPr>
          <w:p w14:paraId="37DB0B48" w14:textId="77777777" w:rsidR="00690594" w:rsidRPr="00C9343F" w:rsidRDefault="00690594" w:rsidP="00F66D98">
            <w:pPr>
              <w:pStyle w:val="TableTextArial-left"/>
              <w:jc w:val="center"/>
            </w:pPr>
          </w:p>
        </w:tc>
        <w:tc>
          <w:tcPr>
            <w:tcW w:w="2268" w:type="dxa"/>
            <w:vMerge/>
            <w:tcBorders>
              <w:left w:val="single" w:sz="6" w:space="0" w:color="auto"/>
              <w:bottom w:val="single" w:sz="6" w:space="0" w:color="auto"/>
              <w:right w:val="single" w:sz="6" w:space="0" w:color="auto"/>
            </w:tcBorders>
          </w:tcPr>
          <w:p w14:paraId="694CA40B" w14:textId="77777777" w:rsidR="00690594" w:rsidRPr="00C9343F" w:rsidRDefault="00690594" w:rsidP="00F66D98">
            <w:pPr>
              <w:pStyle w:val="TableTextArial-left"/>
            </w:pPr>
          </w:p>
        </w:tc>
        <w:tc>
          <w:tcPr>
            <w:tcW w:w="2976" w:type="dxa"/>
            <w:tcBorders>
              <w:top w:val="single" w:sz="6" w:space="0" w:color="auto"/>
              <w:left w:val="single" w:sz="6" w:space="0" w:color="auto"/>
              <w:bottom w:val="single" w:sz="6" w:space="0" w:color="auto"/>
              <w:right w:val="single" w:sz="6" w:space="0" w:color="auto"/>
            </w:tcBorders>
            <w:shd w:val="pct10" w:color="auto" w:fill="FFFFFF"/>
          </w:tcPr>
          <w:p w14:paraId="3C3E2080" w14:textId="77777777" w:rsidR="00690594" w:rsidRPr="00C9343F" w:rsidRDefault="00690594" w:rsidP="00F66D98">
            <w:pPr>
              <w:pStyle w:val="TableTextArial-left"/>
              <w:jc w:val="center"/>
              <w:rPr>
                <w:i/>
              </w:rPr>
            </w:pPr>
            <w:r w:rsidRPr="00C9343F">
              <w:rPr>
                <w:i/>
              </w:rPr>
              <w:t>from</w:t>
            </w:r>
          </w:p>
        </w:tc>
        <w:tc>
          <w:tcPr>
            <w:tcW w:w="2552" w:type="dxa"/>
            <w:tcBorders>
              <w:top w:val="single" w:sz="6" w:space="0" w:color="auto"/>
              <w:left w:val="single" w:sz="6" w:space="0" w:color="auto"/>
              <w:bottom w:val="single" w:sz="6" w:space="0" w:color="auto"/>
              <w:right w:val="single" w:sz="6" w:space="0" w:color="auto"/>
            </w:tcBorders>
            <w:shd w:val="pct10" w:color="auto" w:fill="FFFFFF"/>
          </w:tcPr>
          <w:p w14:paraId="3671948F" w14:textId="77777777" w:rsidR="00690594" w:rsidRPr="00C9343F" w:rsidRDefault="00690594" w:rsidP="00F66D98">
            <w:pPr>
              <w:pStyle w:val="TableTextArial-left"/>
              <w:jc w:val="center"/>
              <w:rPr>
                <w:i/>
              </w:rPr>
            </w:pPr>
            <w:r w:rsidRPr="00C9343F">
              <w:rPr>
                <w:i/>
              </w:rPr>
              <w:t>to</w:t>
            </w:r>
          </w:p>
        </w:tc>
      </w:tr>
      <w:tr w:rsidR="00690594" w:rsidRPr="00C9343F" w14:paraId="01011084" w14:textId="77777777" w:rsidTr="00AD54B6">
        <w:trPr>
          <w:cantSplit/>
          <w:trHeight w:val="766"/>
        </w:trPr>
        <w:tc>
          <w:tcPr>
            <w:tcW w:w="567" w:type="dxa"/>
            <w:tcBorders>
              <w:top w:val="single" w:sz="6" w:space="0" w:color="auto"/>
              <w:left w:val="single" w:sz="6" w:space="0" w:color="auto"/>
              <w:bottom w:val="single" w:sz="6" w:space="0" w:color="auto"/>
              <w:right w:val="single" w:sz="6" w:space="0" w:color="auto"/>
            </w:tcBorders>
            <w:shd w:val="clear" w:color="auto" w:fill="auto"/>
          </w:tcPr>
          <w:p w14:paraId="11A5C10D" w14:textId="77777777" w:rsidR="00690594" w:rsidRPr="00C9343F" w:rsidRDefault="00690594" w:rsidP="00F66D98">
            <w:pPr>
              <w:pStyle w:val="TableTextArial-left"/>
              <w:jc w:val="center"/>
            </w:pPr>
            <w:r w:rsidRPr="00C9343F">
              <w:t>1.</w:t>
            </w:r>
          </w:p>
        </w:tc>
        <w:tc>
          <w:tcPr>
            <w:tcW w:w="2268" w:type="dxa"/>
            <w:tcBorders>
              <w:top w:val="single" w:sz="6" w:space="0" w:color="auto"/>
              <w:left w:val="single" w:sz="6" w:space="0" w:color="auto"/>
              <w:bottom w:val="single" w:sz="6" w:space="0" w:color="auto"/>
              <w:right w:val="single" w:sz="6" w:space="0" w:color="auto"/>
            </w:tcBorders>
          </w:tcPr>
          <w:p w14:paraId="1EEBC7C5" w14:textId="77777777" w:rsidR="00690594" w:rsidRPr="00C9343F" w:rsidRDefault="00690594" w:rsidP="00F66D98">
            <w:pPr>
              <w:pStyle w:val="TableTextArial-left"/>
            </w:pPr>
            <w:r w:rsidRPr="00C9343F">
              <w:t>posted for duty at a remote location and they live there</w:t>
            </w:r>
          </w:p>
        </w:tc>
        <w:tc>
          <w:tcPr>
            <w:tcW w:w="2976" w:type="dxa"/>
            <w:vMerge w:val="restart"/>
            <w:tcBorders>
              <w:top w:val="single" w:sz="6" w:space="0" w:color="auto"/>
              <w:left w:val="single" w:sz="6" w:space="0" w:color="auto"/>
              <w:right w:val="single" w:sz="6" w:space="0" w:color="auto"/>
            </w:tcBorders>
          </w:tcPr>
          <w:p w14:paraId="565BA54F" w14:textId="77777777" w:rsidR="00690594" w:rsidRPr="00C9343F" w:rsidRDefault="00690594" w:rsidP="00F66D98">
            <w:pPr>
              <w:pStyle w:val="TableTextArial-left"/>
            </w:pPr>
            <w:r w:rsidRPr="00C9343F">
              <w:t>the later of these two days:</w:t>
            </w:r>
          </w:p>
          <w:p w14:paraId="14E1B240" w14:textId="77777777" w:rsidR="00690594" w:rsidRPr="00C9343F" w:rsidRDefault="00690594" w:rsidP="00F66D98">
            <w:pPr>
              <w:pStyle w:val="TableTextNumbered"/>
            </w:pPr>
            <w:r w:rsidRPr="00C9343F">
              <w:t>a.</w:t>
            </w:r>
            <w:r w:rsidRPr="00C9343F">
              <w:tab/>
              <w:t>the effective date of the member's posting to the location</w:t>
            </w:r>
          </w:p>
          <w:p w14:paraId="317FFFF7" w14:textId="77777777" w:rsidR="00690594" w:rsidRPr="00C9343F" w:rsidRDefault="00690594" w:rsidP="00F66D98">
            <w:pPr>
              <w:pStyle w:val="TableTextNumbered"/>
            </w:pPr>
            <w:r w:rsidRPr="00C9343F">
              <w:t>b.</w:t>
            </w:r>
            <w:r w:rsidRPr="00C9343F">
              <w:tab/>
              <w:t xml:space="preserve">the day the member arrives at the location. </w:t>
            </w:r>
          </w:p>
        </w:tc>
        <w:tc>
          <w:tcPr>
            <w:tcW w:w="2552" w:type="dxa"/>
            <w:vMerge w:val="restart"/>
            <w:tcBorders>
              <w:top w:val="single" w:sz="6" w:space="0" w:color="auto"/>
              <w:left w:val="single" w:sz="6" w:space="0" w:color="auto"/>
              <w:right w:val="single" w:sz="6" w:space="0" w:color="auto"/>
            </w:tcBorders>
          </w:tcPr>
          <w:p w14:paraId="168B81D9" w14:textId="77777777" w:rsidR="00690594" w:rsidRPr="00C9343F" w:rsidRDefault="00690594" w:rsidP="00F66D98">
            <w:pPr>
              <w:pStyle w:val="TableTextArial-left"/>
            </w:pPr>
            <w:r w:rsidRPr="00C9343F">
              <w:t>the day immediately before they leave the location..</w:t>
            </w:r>
          </w:p>
        </w:tc>
      </w:tr>
      <w:tr w:rsidR="00690594" w:rsidRPr="00C9343F" w14:paraId="275B076A" w14:textId="77777777" w:rsidTr="00AD54B6">
        <w:trPr>
          <w:cantSplit/>
          <w:trHeight w:val="744"/>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0E351A6" w14:textId="77777777" w:rsidR="00690594" w:rsidRPr="00C9343F" w:rsidRDefault="00690594" w:rsidP="00F66D98">
            <w:pPr>
              <w:pStyle w:val="TableTextArial-left"/>
              <w:jc w:val="center"/>
            </w:pPr>
            <w:r w:rsidRPr="00C9343F">
              <w:t>2.</w:t>
            </w:r>
          </w:p>
        </w:tc>
        <w:tc>
          <w:tcPr>
            <w:tcW w:w="2268" w:type="dxa"/>
            <w:tcBorders>
              <w:top w:val="single" w:sz="6" w:space="0" w:color="auto"/>
              <w:left w:val="single" w:sz="6" w:space="0" w:color="auto"/>
              <w:bottom w:val="single" w:sz="6" w:space="0" w:color="auto"/>
              <w:right w:val="single" w:sz="6" w:space="0" w:color="auto"/>
            </w:tcBorders>
          </w:tcPr>
          <w:p w14:paraId="4BC021E6" w14:textId="77777777" w:rsidR="00690594" w:rsidRPr="00C9343F" w:rsidRDefault="00690594" w:rsidP="00F66D98">
            <w:pPr>
              <w:pStyle w:val="TableTextArial-left"/>
            </w:pPr>
            <w:r w:rsidRPr="00C9343F">
              <w:t>posted for service in a seagoing ship or submarine based at a remote location</w:t>
            </w:r>
          </w:p>
        </w:tc>
        <w:tc>
          <w:tcPr>
            <w:tcW w:w="2976" w:type="dxa"/>
            <w:vMerge/>
            <w:tcBorders>
              <w:left w:val="single" w:sz="6" w:space="0" w:color="auto"/>
              <w:bottom w:val="single" w:sz="6" w:space="0" w:color="auto"/>
              <w:right w:val="single" w:sz="6" w:space="0" w:color="auto"/>
            </w:tcBorders>
          </w:tcPr>
          <w:p w14:paraId="24E15CAB" w14:textId="77777777" w:rsidR="00690594" w:rsidRPr="00C9343F" w:rsidRDefault="00690594" w:rsidP="00F66D98">
            <w:pPr>
              <w:pStyle w:val="TableTextArial-left"/>
            </w:pPr>
          </w:p>
        </w:tc>
        <w:tc>
          <w:tcPr>
            <w:tcW w:w="2552" w:type="dxa"/>
            <w:vMerge/>
            <w:tcBorders>
              <w:left w:val="single" w:sz="6" w:space="0" w:color="auto"/>
              <w:bottom w:val="single" w:sz="6" w:space="0" w:color="auto"/>
              <w:right w:val="single" w:sz="6" w:space="0" w:color="auto"/>
            </w:tcBorders>
          </w:tcPr>
          <w:p w14:paraId="74ACE1B0" w14:textId="77777777" w:rsidR="00690594" w:rsidRPr="00C9343F" w:rsidRDefault="00690594" w:rsidP="00F66D98">
            <w:pPr>
              <w:pStyle w:val="TableTextArial-left"/>
            </w:pPr>
          </w:p>
        </w:tc>
      </w:tr>
      <w:tr w:rsidR="00690594" w:rsidRPr="00C9343F" w14:paraId="2B5D6BD6" w14:textId="77777777" w:rsidTr="00AD54B6">
        <w:trPr>
          <w:cantSplit/>
        </w:trPr>
        <w:tc>
          <w:tcPr>
            <w:tcW w:w="567" w:type="dxa"/>
            <w:tcBorders>
              <w:top w:val="single" w:sz="6" w:space="0" w:color="auto"/>
              <w:left w:val="single" w:sz="6" w:space="0" w:color="auto"/>
              <w:bottom w:val="single" w:sz="6" w:space="0" w:color="auto"/>
              <w:right w:val="single" w:sz="6" w:space="0" w:color="auto"/>
            </w:tcBorders>
          </w:tcPr>
          <w:p w14:paraId="6A382554" w14:textId="77777777" w:rsidR="00690594" w:rsidRPr="00C9343F" w:rsidRDefault="00690594" w:rsidP="00F66D98">
            <w:pPr>
              <w:pStyle w:val="TableTextArial-left"/>
              <w:jc w:val="center"/>
            </w:pPr>
            <w:r w:rsidRPr="00C9343F">
              <w:t>3.</w:t>
            </w:r>
          </w:p>
        </w:tc>
        <w:tc>
          <w:tcPr>
            <w:tcW w:w="2268" w:type="dxa"/>
            <w:tcBorders>
              <w:top w:val="single" w:sz="6" w:space="0" w:color="auto"/>
              <w:left w:val="single" w:sz="6" w:space="0" w:color="auto"/>
              <w:bottom w:val="single" w:sz="6" w:space="0" w:color="auto"/>
              <w:right w:val="single" w:sz="6" w:space="0" w:color="auto"/>
            </w:tcBorders>
          </w:tcPr>
          <w:p w14:paraId="06FCEDB9" w14:textId="77777777" w:rsidR="00690594" w:rsidRPr="00C9343F" w:rsidRDefault="00690594" w:rsidP="00F66D98">
            <w:pPr>
              <w:pStyle w:val="TableTextArial-left"/>
            </w:pPr>
            <w:r w:rsidRPr="00C9343F">
              <w:t>serving on temporary duty at a remote location for a continuous period of more than 21 days</w:t>
            </w:r>
          </w:p>
        </w:tc>
        <w:tc>
          <w:tcPr>
            <w:tcW w:w="2976" w:type="dxa"/>
            <w:tcBorders>
              <w:top w:val="single" w:sz="6" w:space="0" w:color="auto"/>
              <w:left w:val="single" w:sz="6" w:space="0" w:color="auto"/>
              <w:bottom w:val="single" w:sz="6" w:space="0" w:color="auto"/>
              <w:right w:val="single" w:sz="6" w:space="0" w:color="auto"/>
            </w:tcBorders>
          </w:tcPr>
          <w:p w14:paraId="30387C65" w14:textId="77777777" w:rsidR="00690594" w:rsidRPr="00C9343F" w:rsidRDefault="00690594" w:rsidP="00F66D98">
            <w:pPr>
              <w:pStyle w:val="TableTextArial-left"/>
            </w:pPr>
            <w:r w:rsidRPr="00C9343F">
              <w:t>the day the member begins the period of temporary duty</w:t>
            </w:r>
          </w:p>
        </w:tc>
        <w:tc>
          <w:tcPr>
            <w:tcW w:w="2552" w:type="dxa"/>
            <w:tcBorders>
              <w:top w:val="single" w:sz="6" w:space="0" w:color="auto"/>
              <w:left w:val="single" w:sz="6" w:space="0" w:color="auto"/>
              <w:bottom w:val="single" w:sz="6" w:space="0" w:color="auto"/>
              <w:right w:val="single" w:sz="6" w:space="0" w:color="auto"/>
            </w:tcBorders>
          </w:tcPr>
          <w:p w14:paraId="0208EC49" w14:textId="77777777" w:rsidR="00690594" w:rsidRPr="00C9343F" w:rsidRDefault="00690594" w:rsidP="00F66D98">
            <w:pPr>
              <w:pStyle w:val="TableTextArial-left"/>
            </w:pPr>
            <w:r w:rsidRPr="00C9343F">
              <w:t>the day immediately before they leave the location.</w:t>
            </w:r>
          </w:p>
        </w:tc>
      </w:tr>
    </w:tbl>
    <w:p w14:paraId="39FEB6E1" w14:textId="77777777" w:rsidR="00690594" w:rsidRPr="00C9343F" w:rsidRDefault="00690594" w:rsidP="00F66D98"/>
    <w:tbl>
      <w:tblPr>
        <w:tblW w:w="9745" w:type="dxa"/>
        <w:tblInd w:w="113" w:type="dxa"/>
        <w:tblLayout w:type="fixed"/>
        <w:tblLook w:val="0000" w:firstRow="0" w:lastRow="0" w:firstColumn="0" w:lastColumn="0" w:noHBand="0" w:noVBand="0"/>
      </w:tblPr>
      <w:tblGrid>
        <w:gridCol w:w="993"/>
        <w:gridCol w:w="8752"/>
      </w:tblGrid>
      <w:tr w:rsidR="00690594" w:rsidRPr="00C9343F" w14:paraId="56452FB1" w14:textId="77777777" w:rsidTr="00AD54B6">
        <w:tc>
          <w:tcPr>
            <w:tcW w:w="992" w:type="dxa"/>
          </w:tcPr>
          <w:p w14:paraId="7BBAA0D0" w14:textId="77777777" w:rsidR="00690594" w:rsidRPr="00C9343F" w:rsidRDefault="00690594" w:rsidP="00F66D98">
            <w:pPr>
              <w:pStyle w:val="BlockText-PlainNoSpacing"/>
              <w:jc w:val="center"/>
            </w:pPr>
            <w:r w:rsidRPr="00C9343F">
              <w:t>2.</w:t>
            </w:r>
          </w:p>
        </w:tc>
        <w:tc>
          <w:tcPr>
            <w:tcW w:w="8746" w:type="dxa"/>
          </w:tcPr>
          <w:p w14:paraId="41B84BEA" w14:textId="77777777" w:rsidR="00690594" w:rsidRPr="00C9343F" w:rsidRDefault="00690594" w:rsidP="00F66D98">
            <w:pPr>
              <w:pStyle w:val="BlockText-PlainNoSpacing"/>
              <w:spacing w:after="200"/>
            </w:pPr>
            <w:r w:rsidRPr="00C9343F">
              <w:t>A member on a flexible service determination is not eligible for the allowance for any continuous nonworking period of more than 28 days.</w:t>
            </w:r>
          </w:p>
        </w:tc>
      </w:tr>
      <w:tr w:rsidR="00690594" w:rsidRPr="00C9343F" w14:paraId="674366A3" w14:textId="77777777" w:rsidTr="00AD54B6">
        <w:tc>
          <w:tcPr>
            <w:tcW w:w="992" w:type="dxa"/>
          </w:tcPr>
          <w:p w14:paraId="3743716B" w14:textId="77777777" w:rsidR="00690594" w:rsidRPr="00C9343F" w:rsidRDefault="00690594" w:rsidP="00F66D98">
            <w:pPr>
              <w:pStyle w:val="BlockText-PlainNoSpacing"/>
            </w:pPr>
          </w:p>
        </w:tc>
        <w:tc>
          <w:tcPr>
            <w:tcW w:w="8746" w:type="dxa"/>
          </w:tcPr>
          <w:p w14:paraId="395404A8" w14:textId="4BAE27D0" w:rsidR="00690594" w:rsidRPr="00C9343F" w:rsidRDefault="00690594" w:rsidP="00BB747F">
            <w:pPr>
              <w:spacing w:after="200"/>
              <w:rPr>
                <w:sz w:val="20"/>
              </w:rPr>
            </w:pPr>
            <w:r w:rsidRPr="00C9343F">
              <w:rPr>
                <w:b/>
                <w:sz w:val="20"/>
              </w:rPr>
              <w:t>Note:</w:t>
            </w:r>
            <w:r w:rsidRPr="00C9343F">
              <w:rPr>
                <w:sz w:val="20"/>
              </w:rPr>
              <w:t xml:space="preserve"> The period for which a member who is away from the remote location on temporary duty or is</w:t>
            </w:r>
            <w:r w:rsidRPr="00C9343F">
              <w:t xml:space="preserve"> </w:t>
            </w:r>
            <w:r w:rsidRPr="00C9343F">
              <w:rPr>
                <w:sz w:val="20"/>
              </w:rPr>
              <w:t>posted for service in a seagoing ship or submarine that is away from its remote location may be paid the allowance is set out in section 4.4.11.</w:t>
            </w:r>
          </w:p>
        </w:tc>
      </w:tr>
    </w:tbl>
    <w:p w14:paraId="1FC5719B" w14:textId="1BEA8F18" w:rsidR="006D1E1C" w:rsidRPr="00C9343F" w:rsidRDefault="006D1E1C" w:rsidP="00F66D98">
      <w:pPr>
        <w:pStyle w:val="Heading5"/>
      </w:pPr>
      <w:bookmarkStart w:id="665" w:name="_Toc105053811"/>
      <w:r w:rsidRPr="00C9343F">
        <w:t>4.4.8</w:t>
      </w:r>
      <w:r w:rsidR="00D94006" w:rsidRPr="00C9343F">
        <w:t>    </w:t>
      </w:r>
      <w:r w:rsidRPr="00C9343F">
        <w:t>Grading of locations</w:t>
      </w:r>
      <w:bookmarkEnd w:id="665"/>
    </w:p>
    <w:tbl>
      <w:tblPr>
        <w:tblW w:w="9355" w:type="dxa"/>
        <w:tblInd w:w="113" w:type="dxa"/>
        <w:tblLayout w:type="fixed"/>
        <w:tblLook w:val="0000" w:firstRow="0" w:lastRow="0" w:firstColumn="0" w:lastColumn="0" w:noHBand="0" w:noVBand="0"/>
      </w:tblPr>
      <w:tblGrid>
        <w:gridCol w:w="992"/>
        <w:gridCol w:w="8363"/>
      </w:tblGrid>
      <w:tr w:rsidR="006D1E1C" w:rsidRPr="00C9343F" w14:paraId="4A983247" w14:textId="77777777" w:rsidTr="00BB747F">
        <w:tc>
          <w:tcPr>
            <w:tcW w:w="992" w:type="dxa"/>
          </w:tcPr>
          <w:bookmarkEnd w:id="655"/>
          <w:bookmarkEnd w:id="656"/>
          <w:bookmarkEnd w:id="657"/>
          <w:bookmarkEnd w:id="658"/>
          <w:bookmarkEnd w:id="659"/>
          <w:bookmarkEnd w:id="660"/>
          <w:bookmarkEnd w:id="661"/>
          <w:bookmarkEnd w:id="662"/>
          <w:bookmarkEnd w:id="663"/>
          <w:bookmarkEnd w:id="664"/>
          <w:p w14:paraId="74A3FA7B" w14:textId="77777777" w:rsidR="006D1E1C" w:rsidRPr="00C9343F" w:rsidRDefault="006D1E1C" w:rsidP="00F66D98">
            <w:pPr>
              <w:pStyle w:val="BlockText-Plain"/>
              <w:jc w:val="center"/>
            </w:pPr>
            <w:r w:rsidRPr="00C9343F">
              <w:t>1.</w:t>
            </w:r>
          </w:p>
        </w:tc>
        <w:tc>
          <w:tcPr>
            <w:tcW w:w="8363" w:type="dxa"/>
          </w:tcPr>
          <w:p w14:paraId="51CD4335" w14:textId="77777777" w:rsidR="006D1E1C" w:rsidRPr="00C9343F" w:rsidRDefault="006D1E1C" w:rsidP="00F66D98">
            <w:pPr>
              <w:pStyle w:val="BlockText-Plain"/>
            </w:pPr>
            <w:r w:rsidRPr="00C9343F">
              <w:t>Remote locations are graded A, B, C, D and E according to how difficult they are. Annex 4.4.A contains a list of currently approved locations and grades.</w:t>
            </w:r>
          </w:p>
        </w:tc>
      </w:tr>
      <w:tr w:rsidR="006D1E1C" w:rsidRPr="00C9343F" w14:paraId="242A48D8" w14:textId="77777777" w:rsidTr="00BB747F">
        <w:tc>
          <w:tcPr>
            <w:tcW w:w="992" w:type="dxa"/>
          </w:tcPr>
          <w:p w14:paraId="62F583FE" w14:textId="77777777" w:rsidR="006D1E1C" w:rsidRPr="00C9343F" w:rsidRDefault="006D1E1C" w:rsidP="00F66D98">
            <w:pPr>
              <w:pStyle w:val="BlockText-Plain"/>
              <w:jc w:val="center"/>
            </w:pPr>
            <w:r w:rsidRPr="00C9343F">
              <w:t>2.</w:t>
            </w:r>
          </w:p>
        </w:tc>
        <w:tc>
          <w:tcPr>
            <w:tcW w:w="8363" w:type="dxa"/>
          </w:tcPr>
          <w:p w14:paraId="405BFDF4" w14:textId="6489F317" w:rsidR="006D1E1C" w:rsidRPr="00C9343F" w:rsidRDefault="006D1E1C" w:rsidP="00F66D98">
            <w:pPr>
              <w:pStyle w:val="BlockText-Plain"/>
            </w:pPr>
            <w:r w:rsidRPr="00C9343F">
              <w:t xml:space="preserve">Members who are eligible under paragraph 4.4.5.1.d are paid at the grade of the remote location in Annex 4.4.A that the CDF decides is in the general area of the isolated location of duty. The CDF must have regard to the conditions expressed in section 4.4.3. </w:t>
            </w:r>
          </w:p>
        </w:tc>
      </w:tr>
    </w:tbl>
    <w:p w14:paraId="36217CDF" w14:textId="2C174C2F" w:rsidR="002939E8" w:rsidRPr="00C9343F" w:rsidRDefault="002939E8" w:rsidP="00F66D98">
      <w:pPr>
        <w:pStyle w:val="Heading5"/>
      </w:pPr>
      <w:bookmarkStart w:id="666" w:name="_Toc105053812"/>
      <w:bookmarkStart w:id="667" w:name="bk1346374810Rateofallowancememberliving"/>
      <w:bookmarkStart w:id="668" w:name="bk1648554810Rateofallowancememberliving"/>
      <w:bookmarkStart w:id="669" w:name="bk92940AM4810Rateofallowancememberlivin"/>
      <w:bookmarkStart w:id="670" w:name="bk100405AM4810Rateofallowancememberlivi"/>
      <w:bookmarkStart w:id="671" w:name="bk42126PM4811Rateofallowancememberlivin"/>
      <w:bookmarkStart w:id="672" w:name="bk1624154811Rateofallowancememberliving"/>
      <w:bookmarkStart w:id="673" w:name="bk1214274810Rateofallowancememberliving"/>
      <w:bookmarkStart w:id="674" w:name="bk1324564810Rateofallowancememberliving"/>
      <w:bookmarkStart w:id="675" w:name="bk1150184610Rateofallowancememberliving"/>
      <w:bookmarkStart w:id="676" w:name="bk1323524610Rateofallowancememberliving"/>
      <w:r w:rsidRPr="00C9343F">
        <w:t>4.4.9</w:t>
      </w:r>
      <w:r w:rsidR="00D94006" w:rsidRPr="00C9343F">
        <w:t>    </w:t>
      </w:r>
      <w:r w:rsidRPr="00C9343F">
        <w:t>Rate of allowance</w:t>
      </w:r>
      <w:bookmarkEnd w:id="666"/>
    </w:p>
    <w:tbl>
      <w:tblPr>
        <w:tblW w:w="9359" w:type="dxa"/>
        <w:tblInd w:w="113" w:type="dxa"/>
        <w:tblLayout w:type="fixed"/>
        <w:tblLook w:val="04A0" w:firstRow="1" w:lastRow="0" w:firstColumn="1" w:lastColumn="0" w:noHBand="0" w:noVBand="1"/>
      </w:tblPr>
      <w:tblGrid>
        <w:gridCol w:w="992"/>
        <w:gridCol w:w="8367"/>
      </w:tblGrid>
      <w:tr w:rsidR="002939E8" w:rsidRPr="00C9343F" w14:paraId="3592B0D2" w14:textId="77777777" w:rsidTr="00996C76">
        <w:tc>
          <w:tcPr>
            <w:tcW w:w="992" w:type="dxa"/>
          </w:tcPr>
          <w:p w14:paraId="3DC034E7" w14:textId="77777777" w:rsidR="002939E8" w:rsidRPr="00C9343F" w:rsidRDefault="002939E8" w:rsidP="00F66D98">
            <w:pPr>
              <w:pStyle w:val="Sectiontext0"/>
              <w:jc w:val="center"/>
              <w:rPr>
                <w:lang w:eastAsia="en-US"/>
              </w:rPr>
            </w:pPr>
            <w:r w:rsidRPr="00C9343F">
              <w:rPr>
                <w:lang w:eastAsia="en-US"/>
              </w:rPr>
              <w:t>1.</w:t>
            </w:r>
          </w:p>
        </w:tc>
        <w:tc>
          <w:tcPr>
            <w:tcW w:w="8367" w:type="dxa"/>
          </w:tcPr>
          <w:p w14:paraId="11BA5D1C" w14:textId="1C6D6DB6" w:rsidR="002939E8" w:rsidRPr="00C9343F" w:rsidRDefault="002939E8" w:rsidP="00F66D98">
            <w:pPr>
              <w:pStyle w:val="Sectiontext0"/>
              <w:rPr>
                <w:lang w:eastAsia="en-US"/>
              </w:rPr>
            </w:pPr>
            <w:r w:rsidRPr="00C9343F">
              <w:rPr>
                <w:lang w:eastAsia="en-US"/>
              </w:rPr>
              <w:t>The</w:t>
            </w:r>
            <w:r w:rsidR="00715861" w:rsidRPr="00C9343F">
              <w:rPr>
                <w:lang w:eastAsia="en-US"/>
              </w:rPr>
              <w:t xml:space="preserve"> annual</w:t>
            </w:r>
            <w:r w:rsidRPr="00C9343F">
              <w:rPr>
                <w:lang w:eastAsia="en-US"/>
              </w:rPr>
              <w:t xml:space="preserve"> rate of allowance for a member who meets the condition in column A and is living at a location with a grade in column B is the rate in column C.</w:t>
            </w:r>
          </w:p>
        </w:tc>
      </w:tr>
    </w:tbl>
    <w:p w14:paraId="45E2A0B7" w14:textId="21DCAACB" w:rsidR="001B3CCE" w:rsidRPr="00C9343F" w:rsidRDefault="001B3CCE" w:rsidP="00216568">
      <w:pPr>
        <w:pStyle w:val="Blocks"/>
      </w:pPr>
    </w:p>
    <w:tbl>
      <w:tblPr>
        <w:tblW w:w="8363"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4A0" w:firstRow="1" w:lastRow="0" w:firstColumn="1" w:lastColumn="0" w:noHBand="0" w:noVBand="1"/>
      </w:tblPr>
      <w:tblGrid>
        <w:gridCol w:w="708"/>
        <w:gridCol w:w="4331"/>
        <w:gridCol w:w="1417"/>
        <w:gridCol w:w="1907"/>
      </w:tblGrid>
      <w:tr w:rsidR="001B3CCE" w:rsidRPr="00C9343F" w14:paraId="01D77883" w14:textId="77777777" w:rsidTr="00445FEB">
        <w:trPr>
          <w:cantSplit/>
        </w:trPr>
        <w:tc>
          <w:tcPr>
            <w:tcW w:w="708" w:type="dxa"/>
            <w:hideMark/>
          </w:tcPr>
          <w:p w14:paraId="223C5503" w14:textId="77777777" w:rsidR="001B3CCE" w:rsidRPr="00C9343F" w:rsidRDefault="001B3CCE" w:rsidP="00445FEB">
            <w:pPr>
              <w:pStyle w:val="TableHeaderArial"/>
              <w:keepNext w:val="0"/>
              <w:keepLines w:val="0"/>
              <w:rPr>
                <w:lang w:eastAsia="en-US"/>
              </w:rPr>
            </w:pPr>
            <w:r w:rsidRPr="00C9343F">
              <w:rPr>
                <w:lang w:eastAsia="en-US"/>
              </w:rPr>
              <w:t>Item</w:t>
            </w:r>
          </w:p>
        </w:tc>
        <w:tc>
          <w:tcPr>
            <w:tcW w:w="4331" w:type="dxa"/>
            <w:hideMark/>
          </w:tcPr>
          <w:p w14:paraId="7F962755" w14:textId="77777777" w:rsidR="001B3CCE" w:rsidRPr="00C9343F" w:rsidRDefault="001B3CCE" w:rsidP="00445FEB">
            <w:pPr>
              <w:pStyle w:val="TableHeaderArial"/>
              <w:keepNext w:val="0"/>
              <w:keepLines w:val="0"/>
              <w:rPr>
                <w:lang w:eastAsia="en-US"/>
              </w:rPr>
            </w:pPr>
            <w:r w:rsidRPr="00C9343F">
              <w:rPr>
                <w:lang w:eastAsia="en-US"/>
              </w:rPr>
              <w:t>Column A</w:t>
            </w:r>
          </w:p>
          <w:p w14:paraId="3E6FE084" w14:textId="77777777" w:rsidR="001B3CCE" w:rsidRPr="00C9343F" w:rsidRDefault="001B3CCE" w:rsidP="00445FEB">
            <w:pPr>
              <w:pStyle w:val="TableHeaderArial"/>
              <w:keepNext w:val="0"/>
              <w:keepLines w:val="0"/>
              <w:rPr>
                <w:lang w:eastAsia="en-US"/>
              </w:rPr>
            </w:pPr>
            <w:r w:rsidRPr="00C9343F">
              <w:rPr>
                <w:lang w:eastAsia="en-US"/>
              </w:rPr>
              <w:t>Condition</w:t>
            </w:r>
          </w:p>
        </w:tc>
        <w:tc>
          <w:tcPr>
            <w:tcW w:w="1417" w:type="dxa"/>
            <w:hideMark/>
          </w:tcPr>
          <w:p w14:paraId="6504EC83" w14:textId="77777777" w:rsidR="001B3CCE" w:rsidRPr="00C9343F" w:rsidRDefault="001B3CCE" w:rsidP="00445FEB">
            <w:pPr>
              <w:pStyle w:val="TableHeaderArial"/>
              <w:keepNext w:val="0"/>
              <w:keepLines w:val="0"/>
              <w:rPr>
                <w:lang w:eastAsia="en-US"/>
              </w:rPr>
            </w:pPr>
            <w:r w:rsidRPr="00C9343F">
              <w:rPr>
                <w:lang w:eastAsia="en-US"/>
              </w:rPr>
              <w:t>Column B</w:t>
            </w:r>
          </w:p>
          <w:p w14:paraId="08F23F26" w14:textId="77777777" w:rsidR="001B3CCE" w:rsidRPr="00C9343F" w:rsidRDefault="001B3CCE" w:rsidP="00445FEB">
            <w:pPr>
              <w:pStyle w:val="TableHeaderArial"/>
              <w:keepNext w:val="0"/>
              <w:keepLines w:val="0"/>
              <w:rPr>
                <w:lang w:eastAsia="en-US"/>
              </w:rPr>
            </w:pPr>
            <w:r w:rsidRPr="00C9343F">
              <w:rPr>
                <w:lang w:eastAsia="en-US"/>
              </w:rPr>
              <w:t>Location grade</w:t>
            </w:r>
          </w:p>
        </w:tc>
        <w:tc>
          <w:tcPr>
            <w:tcW w:w="1907" w:type="dxa"/>
            <w:hideMark/>
          </w:tcPr>
          <w:p w14:paraId="506D5B50" w14:textId="77777777" w:rsidR="001B3CCE" w:rsidRPr="00C9343F" w:rsidRDefault="001B3CCE" w:rsidP="00445FEB">
            <w:pPr>
              <w:pStyle w:val="TableHeaderArial"/>
              <w:keepNext w:val="0"/>
              <w:keepLines w:val="0"/>
              <w:rPr>
                <w:lang w:eastAsia="en-US"/>
              </w:rPr>
            </w:pPr>
            <w:r w:rsidRPr="00C9343F">
              <w:rPr>
                <w:lang w:eastAsia="en-US"/>
              </w:rPr>
              <w:t>Column C</w:t>
            </w:r>
          </w:p>
          <w:p w14:paraId="0E54E2FC" w14:textId="77777777" w:rsidR="001B3CCE" w:rsidRPr="00C9343F" w:rsidRDefault="001B3CCE" w:rsidP="00445FEB">
            <w:pPr>
              <w:pStyle w:val="TableHeaderArial"/>
              <w:keepNext w:val="0"/>
              <w:keepLines w:val="0"/>
              <w:rPr>
                <w:lang w:eastAsia="en-US"/>
              </w:rPr>
            </w:pPr>
            <w:r w:rsidRPr="00C9343F">
              <w:rPr>
                <w:lang w:eastAsia="en-US"/>
              </w:rPr>
              <w:t>Rate</w:t>
            </w:r>
          </w:p>
          <w:p w14:paraId="699485A2" w14:textId="77777777" w:rsidR="001B3CCE" w:rsidRPr="00C9343F" w:rsidRDefault="001B3CCE" w:rsidP="00445FEB">
            <w:pPr>
              <w:pStyle w:val="TableHeaderArial"/>
              <w:keepNext w:val="0"/>
              <w:keepLines w:val="0"/>
              <w:rPr>
                <w:lang w:eastAsia="en-US"/>
              </w:rPr>
            </w:pPr>
            <w:r w:rsidRPr="00C9343F">
              <w:rPr>
                <w:lang w:eastAsia="en-US"/>
              </w:rPr>
              <w:t>($)</w:t>
            </w:r>
          </w:p>
        </w:tc>
      </w:tr>
      <w:tr w:rsidR="001B3CCE" w:rsidRPr="00C9343F" w14:paraId="7B66F6C9" w14:textId="77777777" w:rsidTr="00445FEB">
        <w:trPr>
          <w:cantSplit/>
        </w:trPr>
        <w:tc>
          <w:tcPr>
            <w:tcW w:w="708" w:type="dxa"/>
            <w:vMerge w:val="restart"/>
          </w:tcPr>
          <w:p w14:paraId="4236F934" w14:textId="77777777" w:rsidR="001B3CCE" w:rsidRPr="00C9343F" w:rsidRDefault="001B3CCE" w:rsidP="00445FEB">
            <w:pPr>
              <w:pStyle w:val="TableTextArial-left"/>
              <w:jc w:val="center"/>
              <w:rPr>
                <w:lang w:eastAsia="en-US"/>
              </w:rPr>
            </w:pPr>
            <w:r w:rsidRPr="00C9343F">
              <w:rPr>
                <w:lang w:eastAsia="en-US"/>
              </w:rPr>
              <w:t>1.</w:t>
            </w:r>
          </w:p>
        </w:tc>
        <w:tc>
          <w:tcPr>
            <w:tcW w:w="4331" w:type="dxa"/>
            <w:vMerge w:val="restart"/>
          </w:tcPr>
          <w:p w14:paraId="520321E6" w14:textId="77777777" w:rsidR="001B3CCE" w:rsidRPr="00C9343F" w:rsidRDefault="001B3CCE" w:rsidP="00445FEB">
            <w:pPr>
              <w:pStyle w:val="TableTextArial-left"/>
              <w:rPr>
                <w:lang w:eastAsia="en-US"/>
              </w:rPr>
            </w:pPr>
            <w:r w:rsidRPr="00C9343F">
              <w:rPr>
                <w:lang w:eastAsia="en-US"/>
              </w:rPr>
              <w:t>A member who lives in.</w:t>
            </w:r>
          </w:p>
        </w:tc>
        <w:tc>
          <w:tcPr>
            <w:tcW w:w="1417" w:type="dxa"/>
          </w:tcPr>
          <w:p w14:paraId="5D385583" w14:textId="77777777" w:rsidR="001B3CCE" w:rsidRPr="00C9343F" w:rsidRDefault="001B3CCE" w:rsidP="00445FEB">
            <w:pPr>
              <w:pStyle w:val="TableTextArial-left"/>
              <w:jc w:val="center"/>
              <w:rPr>
                <w:lang w:eastAsia="en-US"/>
              </w:rPr>
            </w:pPr>
            <w:r w:rsidRPr="00C9343F">
              <w:rPr>
                <w:lang w:eastAsia="en-US"/>
              </w:rPr>
              <w:t>A</w:t>
            </w:r>
          </w:p>
        </w:tc>
        <w:tc>
          <w:tcPr>
            <w:tcW w:w="1907" w:type="dxa"/>
          </w:tcPr>
          <w:p w14:paraId="55355E14" w14:textId="77777777" w:rsidR="001B3CCE" w:rsidRPr="00C9343F" w:rsidRDefault="001B3CCE" w:rsidP="00445FEB">
            <w:pPr>
              <w:pStyle w:val="TableTextArial-left"/>
              <w:jc w:val="center"/>
              <w:rPr>
                <w:lang w:eastAsia="en-US"/>
              </w:rPr>
            </w:pPr>
            <w:r w:rsidRPr="00C9343F">
              <w:rPr>
                <w:lang w:eastAsia="en-US"/>
              </w:rPr>
              <w:t>1,005</w:t>
            </w:r>
          </w:p>
        </w:tc>
      </w:tr>
      <w:tr w:rsidR="001B3CCE" w:rsidRPr="00C9343F" w14:paraId="1D5D4297" w14:textId="77777777" w:rsidTr="00445FEB">
        <w:trPr>
          <w:cantSplit/>
        </w:trPr>
        <w:tc>
          <w:tcPr>
            <w:tcW w:w="708" w:type="dxa"/>
            <w:vMerge/>
          </w:tcPr>
          <w:p w14:paraId="38166ED6" w14:textId="77777777" w:rsidR="001B3CCE" w:rsidRPr="00C9343F" w:rsidRDefault="001B3CCE" w:rsidP="00445FEB">
            <w:pPr>
              <w:pStyle w:val="TableTextArial-left"/>
              <w:jc w:val="center"/>
              <w:rPr>
                <w:lang w:eastAsia="en-US"/>
              </w:rPr>
            </w:pPr>
          </w:p>
        </w:tc>
        <w:tc>
          <w:tcPr>
            <w:tcW w:w="4331" w:type="dxa"/>
            <w:vMerge/>
          </w:tcPr>
          <w:p w14:paraId="4FA6DE49" w14:textId="77777777" w:rsidR="001B3CCE" w:rsidRPr="00C9343F" w:rsidRDefault="001B3CCE" w:rsidP="00445FEB">
            <w:pPr>
              <w:pStyle w:val="TableTextArial-left"/>
              <w:rPr>
                <w:lang w:eastAsia="en-US"/>
              </w:rPr>
            </w:pPr>
          </w:p>
        </w:tc>
        <w:tc>
          <w:tcPr>
            <w:tcW w:w="1417" w:type="dxa"/>
          </w:tcPr>
          <w:p w14:paraId="4FAA687E" w14:textId="77777777" w:rsidR="001B3CCE" w:rsidRPr="00C9343F" w:rsidRDefault="001B3CCE" w:rsidP="00445FEB">
            <w:pPr>
              <w:pStyle w:val="TableTextArial-left"/>
              <w:jc w:val="center"/>
              <w:rPr>
                <w:lang w:eastAsia="en-US"/>
              </w:rPr>
            </w:pPr>
            <w:r w:rsidRPr="00C9343F">
              <w:rPr>
                <w:lang w:eastAsia="en-US"/>
              </w:rPr>
              <w:t>B</w:t>
            </w:r>
          </w:p>
        </w:tc>
        <w:tc>
          <w:tcPr>
            <w:tcW w:w="1907" w:type="dxa"/>
          </w:tcPr>
          <w:p w14:paraId="577778AC" w14:textId="77777777" w:rsidR="001B3CCE" w:rsidRPr="00C9343F" w:rsidRDefault="001B3CCE" w:rsidP="00445FEB">
            <w:pPr>
              <w:pStyle w:val="TableTextArial-left"/>
              <w:jc w:val="center"/>
              <w:rPr>
                <w:lang w:eastAsia="en-US"/>
              </w:rPr>
            </w:pPr>
            <w:r w:rsidRPr="00C9343F">
              <w:rPr>
                <w:lang w:eastAsia="en-US"/>
              </w:rPr>
              <w:t>2,865</w:t>
            </w:r>
          </w:p>
        </w:tc>
      </w:tr>
      <w:tr w:rsidR="001B3CCE" w:rsidRPr="00C9343F" w14:paraId="1C29DC08" w14:textId="77777777" w:rsidTr="00445FEB">
        <w:trPr>
          <w:cantSplit/>
        </w:trPr>
        <w:tc>
          <w:tcPr>
            <w:tcW w:w="708" w:type="dxa"/>
            <w:vMerge/>
          </w:tcPr>
          <w:p w14:paraId="1DD0681C" w14:textId="77777777" w:rsidR="001B3CCE" w:rsidRPr="00C9343F" w:rsidRDefault="001B3CCE" w:rsidP="00445FEB">
            <w:pPr>
              <w:pStyle w:val="TableTextArial-left"/>
              <w:jc w:val="center"/>
              <w:rPr>
                <w:lang w:eastAsia="en-US"/>
              </w:rPr>
            </w:pPr>
          </w:p>
        </w:tc>
        <w:tc>
          <w:tcPr>
            <w:tcW w:w="4331" w:type="dxa"/>
            <w:vMerge/>
          </w:tcPr>
          <w:p w14:paraId="5F36B810" w14:textId="77777777" w:rsidR="001B3CCE" w:rsidRPr="00C9343F" w:rsidRDefault="001B3CCE" w:rsidP="00445FEB">
            <w:pPr>
              <w:pStyle w:val="TableTextArial-left"/>
              <w:rPr>
                <w:lang w:eastAsia="en-US"/>
              </w:rPr>
            </w:pPr>
          </w:p>
        </w:tc>
        <w:tc>
          <w:tcPr>
            <w:tcW w:w="1417" w:type="dxa"/>
          </w:tcPr>
          <w:p w14:paraId="51401900" w14:textId="77777777" w:rsidR="001B3CCE" w:rsidRPr="00C9343F" w:rsidRDefault="001B3CCE" w:rsidP="00445FEB">
            <w:pPr>
              <w:pStyle w:val="TableTextArial-left"/>
              <w:jc w:val="center"/>
              <w:rPr>
                <w:lang w:eastAsia="en-US"/>
              </w:rPr>
            </w:pPr>
            <w:r w:rsidRPr="00C9343F">
              <w:rPr>
                <w:lang w:eastAsia="en-US"/>
              </w:rPr>
              <w:t>C</w:t>
            </w:r>
          </w:p>
        </w:tc>
        <w:tc>
          <w:tcPr>
            <w:tcW w:w="1907" w:type="dxa"/>
          </w:tcPr>
          <w:p w14:paraId="230BF104" w14:textId="77777777" w:rsidR="001B3CCE" w:rsidRPr="00C9343F" w:rsidRDefault="001B3CCE" w:rsidP="00445FEB">
            <w:pPr>
              <w:pStyle w:val="TableTextArial-left"/>
              <w:jc w:val="center"/>
              <w:rPr>
                <w:lang w:eastAsia="en-US"/>
              </w:rPr>
            </w:pPr>
            <w:r w:rsidRPr="00C9343F">
              <w:rPr>
                <w:lang w:eastAsia="en-US"/>
              </w:rPr>
              <w:t>3,585</w:t>
            </w:r>
          </w:p>
        </w:tc>
      </w:tr>
      <w:tr w:rsidR="001B3CCE" w:rsidRPr="00C9343F" w14:paraId="2518CFB9" w14:textId="77777777" w:rsidTr="00445FEB">
        <w:trPr>
          <w:cantSplit/>
        </w:trPr>
        <w:tc>
          <w:tcPr>
            <w:tcW w:w="708" w:type="dxa"/>
            <w:vMerge/>
          </w:tcPr>
          <w:p w14:paraId="0CEACD84" w14:textId="77777777" w:rsidR="001B3CCE" w:rsidRPr="00C9343F" w:rsidRDefault="001B3CCE" w:rsidP="00445FEB">
            <w:pPr>
              <w:pStyle w:val="TableTextArial-left"/>
              <w:jc w:val="center"/>
              <w:rPr>
                <w:lang w:eastAsia="en-US"/>
              </w:rPr>
            </w:pPr>
          </w:p>
        </w:tc>
        <w:tc>
          <w:tcPr>
            <w:tcW w:w="4331" w:type="dxa"/>
            <w:vMerge/>
          </w:tcPr>
          <w:p w14:paraId="26DAF3AE" w14:textId="77777777" w:rsidR="001B3CCE" w:rsidRPr="00C9343F" w:rsidRDefault="001B3CCE" w:rsidP="00445FEB">
            <w:pPr>
              <w:pStyle w:val="TableTextArial-left"/>
              <w:rPr>
                <w:lang w:eastAsia="en-US"/>
              </w:rPr>
            </w:pPr>
          </w:p>
        </w:tc>
        <w:tc>
          <w:tcPr>
            <w:tcW w:w="1417" w:type="dxa"/>
          </w:tcPr>
          <w:p w14:paraId="38C332ED" w14:textId="77777777" w:rsidR="001B3CCE" w:rsidRPr="00C9343F" w:rsidRDefault="001B3CCE" w:rsidP="00445FEB">
            <w:pPr>
              <w:pStyle w:val="TableTextArial-left"/>
              <w:jc w:val="center"/>
              <w:rPr>
                <w:lang w:eastAsia="en-US"/>
              </w:rPr>
            </w:pPr>
            <w:r w:rsidRPr="00C9343F">
              <w:rPr>
                <w:lang w:eastAsia="en-US"/>
              </w:rPr>
              <w:t>D</w:t>
            </w:r>
          </w:p>
        </w:tc>
        <w:tc>
          <w:tcPr>
            <w:tcW w:w="1907" w:type="dxa"/>
          </w:tcPr>
          <w:p w14:paraId="33858A56" w14:textId="77777777" w:rsidR="001B3CCE" w:rsidRPr="00C9343F" w:rsidRDefault="001B3CCE" w:rsidP="00445FEB">
            <w:pPr>
              <w:pStyle w:val="TableTextArial-left"/>
              <w:jc w:val="center"/>
              <w:rPr>
                <w:lang w:eastAsia="en-US"/>
              </w:rPr>
            </w:pPr>
            <w:r w:rsidRPr="00C9343F">
              <w:rPr>
                <w:lang w:eastAsia="en-US"/>
              </w:rPr>
              <w:t>5,020</w:t>
            </w:r>
          </w:p>
        </w:tc>
      </w:tr>
      <w:tr w:rsidR="001B3CCE" w:rsidRPr="00C9343F" w14:paraId="7498539F" w14:textId="77777777" w:rsidTr="00445FEB">
        <w:trPr>
          <w:cantSplit/>
        </w:trPr>
        <w:tc>
          <w:tcPr>
            <w:tcW w:w="708" w:type="dxa"/>
            <w:vMerge/>
          </w:tcPr>
          <w:p w14:paraId="43E5B4D0" w14:textId="77777777" w:rsidR="001B3CCE" w:rsidRPr="00C9343F" w:rsidRDefault="001B3CCE" w:rsidP="00445FEB">
            <w:pPr>
              <w:pStyle w:val="TableTextArial-left"/>
              <w:jc w:val="center"/>
              <w:rPr>
                <w:lang w:eastAsia="en-US"/>
              </w:rPr>
            </w:pPr>
          </w:p>
        </w:tc>
        <w:tc>
          <w:tcPr>
            <w:tcW w:w="4331" w:type="dxa"/>
            <w:vMerge/>
          </w:tcPr>
          <w:p w14:paraId="5E5669C6" w14:textId="77777777" w:rsidR="001B3CCE" w:rsidRPr="00C9343F" w:rsidRDefault="001B3CCE" w:rsidP="00445FEB">
            <w:pPr>
              <w:pStyle w:val="TableTextArial-left"/>
              <w:rPr>
                <w:lang w:eastAsia="en-US"/>
              </w:rPr>
            </w:pPr>
          </w:p>
        </w:tc>
        <w:tc>
          <w:tcPr>
            <w:tcW w:w="1417" w:type="dxa"/>
          </w:tcPr>
          <w:p w14:paraId="3424C572" w14:textId="77777777" w:rsidR="001B3CCE" w:rsidRPr="00C9343F" w:rsidRDefault="001B3CCE" w:rsidP="00445FEB">
            <w:pPr>
              <w:pStyle w:val="TableTextArial-left"/>
              <w:jc w:val="center"/>
              <w:rPr>
                <w:lang w:eastAsia="en-US"/>
              </w:rPr>
            </w:pPr>
            <w:r w:rsidRPr="00C9343F">
              <w:rPr>
                <w:lang w:eastAsia="en-US"/>
              </w:rPr>
              <w:t>E</w:t>
            </w:r>
          </w:p>
        </w:tc>
        <w:tc>
          <w:tcPr>
            <w:tcW w:w="1907" w:type="dxa"/>
          </w:tcPr>
          <w:p w14:paraId="01B76B34" w14:textId="77777777" w:rsidR="001B3CCE" w:rsidRPr="00C9343F" w:rsidRDefault="001B3CCE" w:rsidP="00445FEB">
            <w:pPr>
              <w:pStyle w:val="TableTextArial-left"/>
              <w:jc w:val="center"/>
              <w:rPr>
                <w:lang w:eastAsia="en-US"/>
              </w:rPr>
            </w:pPr>
            <w:r w:rsidRPr="00C9343F">
              <w:rPr>
                <w:lang w:eastAsia="en-US"/>
              </w:rPr>
              <w:t>5,735</w:t>
            </w:r>
          </w:p>
        </w:tc>
      </w:tr>
      <w:tr w:rsidR="001B3CCE" w:rsidRPr="00C9343F" w14:paraId="3AC1F1A5" w14:textId="77777777" w:rsidTr="00445FEB">
        <w:trPr>
          <w:cantSplit/>
        </w:trPr>
        <w:tc>
          <w:tcPr>
            <w:tcW w:w="708" w:type="dxa"/>
            <w:vMerge w:val="restart"/>
            <w:hideMark/>
          </w:tcPr>
          <w:p w14:paraId="12CD01A3" w14:textId="77777777" w:rsidR="001B3CCE" w:rsidRPr="00C9343F" w:rsidRDefault="001B3CCE" w:rsidP="00445FEB">
            <w:pPr>
              <w:pStyle w:val="TableTextArial-left"/>
              <w:jc w:val="center"/>
              <w:rPr>
                <w:lang w:eastAsia="en-US"/>
              </w:rPr>
            </w:pPr>
            <w:r w:rsidRPr="00C9343F">
              <w:rPr>
                <w:lang w:eastAsia="en-US"/>
              </w:rPr>
              <w:t>2.</w:t>
            </w:r>
          </w:p>
        </w:tc>
        <w:tc>
          <w:tcPr>
            <w:tcW w:w="4331" w:type="dxa"/>
            <w:vMerge w:val="restart"/>
          </w:tcPr>
          <w:p w14:paraId="5DC492F8" w14:textId="77777777" w:rsidR="001B3CCE" w:rsidRPr="00C9343F" w:rsidRDefault="001B3CCE" w:rsidP="00445FEB">
            <w:pPr>
              <w:pStyle w:val="TableTextArial-left"/>
              <w:rPr>
                <w:lang w:eastAsia="en-US"/>
              </w:rPr>
            </w:pPr>
            <w:r w:rsidRPr="00C9343F">
              <w:rPr>
                <w:lang w:eastAsia="en-US"/>
              </w:rPr>
              <w:t>A member with dependants who lives out, and item 3.a of this table does not apply.</w:t>
            </w:r>
          </w:p>
        </w:tc>
        <w:tc>
          <w:tcPr>
            <w:tcW w:w="1417" w:type="dxa"/>
          </w:tcPr>
          <w:p w14:paraId="59471C3E" w14:textId="77777777" w:rsidR="001B3CCE" w:rsidRPr="00C9343F" w:rsidRDefault="001B3CCE" w:rsidP="00445FEB">
            <w:pPr>
              <w:pStyle w:val="TableTextArial-left"/>
              <w:jc w:val="center"/>
              <w:rPr>
                <w:lang w:eastAsia="en-US"/>
              </w:rPr>
            </w:pPr>
            <w:r w:rsidRPr="00C9343F">
              <w:rPr>
                <w:lang w:eastAsia="en-US"/>
              </w:rPr>
              <w:t>A</w:t>
            </w:r>
          </w:p>
        </w:tc>
        <w:tc>
          <w:tcPr>
            <w:tcW w:w="1907" w:type="dxa"/>
          </w:tcPr>
          <w:p w14:paraId="181362CC" w14:textId="77777777" w:rsidR="001B3CCE" w:rsidRPr="00C9343F" w:rsidRDefault="001B3CCE" w:rsidP="00445FEB">
            <w:pPr>
              <w:pStyle w:val="TableTextArial-left"/>
              <w:jc w:val="center"/>
              <w:rPr>
                <w:lang w:eastAsia="en-US"/>
              </w:rPr>
            </w:pPr>
            <w:r w:rsidRPr="00C9343F">
              <w:rPr>
                <w:lang w:eastAsia="en-US"/>
              </w:rPr>
              <w:t>2,870</w:t>
            </w:r>
          </w:p>
        </w:tc>
      </w:tr>
      <w:tr w:rsidR="001B3CCE" w:rsidRPr="00C9343F" w14:paraId="59431753" w14:textId="77777777" w:rsidTr="00445FEB">
        <w:trPr>
          <w:cantSplit/>
        </w:trPr>
        <w:tc>
          <w:tcPr>
            <w:tcW w:w="708" w:type="dxa"/>
            <w:vMerge/>
          </w:tcPr>
          <w:p w14:paraId="3D600FFF" w14:textId="77777777" w:rsidR="001B3CCE" w:rsidRPr="00C9343F" w:rsidRDefault="001B3CCE" w:rsidP="00445FEB">
            <w:pPr>
              <w:pStyle w:val="TableTextArial-left"/>
              <w:jc w:val="center"/>
              <w:rPr>
                <w:lang w:eastAsia="en-US"/>
              </w:rPr>
            </w:pPr>
          </w:p>
        </w:tc>
        <w:tc>
          <w:tcPr>
            <w:tcW w:w="4331" w:type="dxa"/>
            <w:vMerge/>
          </w:tcPr>
          <w:p w14:paraId="2952874C" w14:textId="77777777" w:rsidR="001B3CCE" w:rsidRPr="00C9343F" w:rsidRDefault="001B3CCE" w:rsidP="00445FEB">
            <w:pPr>
              <w:pStyle w:val="TableTextArial-left"/>
              <w:rPr>
                <w:lang w:eastAsia="en-US"/>
              </w:rPr>
            </w:pPr>
          </w:p>
        </w:tc>
        <w:tc>
          <w:tcPr>
            <w:tcW w:w="1417" w:type="dxa"/>
          </w:tcPr>
          <w:p w14:paraId="5E1D4A65" w14:textId="77777777" w:rsidR="001B3CCE" w:rsidRPr="00C9343F" w:rsidRDefault="001B3CCE" w:rsidP="00445FEB">
            <w:pPr>
              <w:pStyle w:val="TableTextArial-left"/>
              <w:jc w:val="center"/>
              <w:rPr>
                <w:lang w:eastAsia="en-US"/>
              </w:rPr>
            </w:pPr>
            <w:r w:rsidRPr="00C9343F">
              <w:rPr>
                <w:lang w:eastAsia="en-US"/>
              </w:rPr>
              <w:t>B</w:t>
            </w:r>
          </w:p>
        </w:tc>
        <w:tc>
          <w:tcPr>
            <w:tcW w:w="1907" w:type="dxa"/>
          </w:tcPr>
          <w:p w14:paraId="24BBF217" w14:textId="77777777" w:rsidR="001B3CCE" w:rsidRPr="00C9343F" w:rsidRDefault="001B3CCE" w:rsidP="00445FEB">
            <w:pPr>
              <w:pStyle w:val="TableTextArial-left"/>
              <w:jc w:val="center"/>
              <w:rPr>
                <w:lang w:eastAsia="en-US"/>
              </w:rPr>
            </w:pPr>
            <w:r w:rsidRPr="00C9343F">
              <w:rPr>
                <w:lang w:eastAsia="en-US"/>
              </w:rPr>
              <w:t>8,185</w:t>
            </w:r>
          </w:p>
        </w:tc>
      </w:tr>
      <w:tr w:rsidR="001B3CCE" w:rsidRPr="00C9343F" w14:paraId="4E13759A" w14:textId="77777777" w:rsidTr="00445FEB">
        <w:trPr>
          <w:cantSplit/>
        </w:trPr>
        <w:tc>
          <w:tcPr>
            <w:tcW w:w="708" w:type="dxa"/>
            <w:vMerge/>
          </w:tcPr>
          <w:p w14:paraId="7DE2A31D" w14:textId="77777777" w:rsidR="001B3CCE" w:rsidRPr="00C9343F" w:rsidRDefault="001B3CCE" w:rsidP="00445FEB">
            <w:pPr>
              <w:pStyle w:val="TableTextArial-left"/>
              <w:jc w:val="center"/>
              <w:rPr>
                <w:lang w:eastAsia="en-US"/>
              </w:rPr>
            </w:pPr>
          </w:p>
        </w:tc>
        <w:tc>
          <w:tcPr>
            <w:tcW w:w="4331" w:type="dxa"/>
            <w:vMerge/>
          </w:tcPr>
          <w:p w14:paraId="7A98992D" w14:textId="77777777" w:rsidR="001B3CCE" w:rsidRPr="00C9343F" w:rsidRDefault="001B3CCE" w:rsidP="00445FEB">
            <w:pPr>
              <w:pStyle w:val="TableTextArial-left"/>
              <w:rPr>
                <w:lang w:eastAsia="en-US"/>
              </w:rPr>
            </w:pPr>
          </w:p>
        </w:tc>
        <w:tc>
          <w:tcPr>
            <w:tcW w:w="1417" w:type="dxa"/>
          </w:tcPr>
          <w:p w14:paraId="4B39471D" w14:textId="77777777" w:rsidR="001B3CCE" w:rsidRPr="00C9343F" w:rsidRDefault="001B3CCE" w:rsidP="00445FEB">
            <w:pPr>
              <w:pStyle w:val="TableTextArial-left"/>
              <w:jc w:val="center"/>
              <w:rPr>
                <w:lang w:eastAsia="en-US"/>
              </w:rPr>
            </w:pPr>
            <w:r w:rsidRPr="00C9343F">
              <w:rPr>
                <w:lang w:eastAsia="en-US"/>
              </w:rPr>
              <w:t>C</w:t>
            </w:r>
          </w:p>
        </w:tc>
        <w:tc>
          <w:tcPr>
            <w:tcW w:w="1907" w:type="dxa"/>
          </w:tcPr>
          <w:p w14:paraId="6F69EF6F" w14:textId="77777777" w:rsidR="001B3CCE" w:rsidRPr="00C9343F" w:rsidRDefault="001B3CCE" w:rsidP="00445FEB">
            <w:pPr>
              <w:pStyle w:val="TableTextArial-left"/>
              <w:jc w:val="center"/>
              <w:rPr>
                <w:lang w:eastAsia="en-US"/>
              </w:rPr>
            </w:pPr>
            <w:r w:rsidRPr="00C9343F">
              <w:rPr>
                <w:lang w:eastAsia="en-US"/>
              </w:rPr>
              <w:t>10,240</w:t>
            </w:r>
          </w:p>
        </w:tc>
      </w:tr>
      <w:tr w:rsidR="001B3CCE" w:rsidRPr="00C9343F" w14:paraId="60D729E4" w14:textId="77777777" w:rsidTr="00445FEB">
        <w:trPr>
          <w:cantSplit/>
        </w:trPr>
        <w:tc>
          <w:tcPr>
            <w:tcW w:w="708" w:type="dxa"/>
            <w:vMerge/>
          </w:tcPr>
          <w:p w14:paraId="5B936D96" w14:textId="77777777" w:rsidR="001B3CCE" w:rsidRPr="00C9343F" w:rsidRDefault="001B3CCE" w:rsidP="00445FEB">
            <w:pPr>
              <w:pStyle w:val="TableTextArial-left"/>
              <w:jc w:val="center"/>
              <w:rPr>
                <w:lang w:eastAsia="en-US"/>
              </w:rPr>
            </w:pPr>
          </w:p>
        </w:tc>
        <w:tc>
          <w:tcPr>
            <w:tcW w:w="4331" w:type="dxa"/>
            <w:vMerge/>
          </w:tcPr>
          <w:p w14:paraId="41DFE8C3" w14:textId="77777777" w:rsidR="001B3CCE" w:rsidRPr="00C9343F" w:rsidRDefault="001B3CCE" w:rsidP="00445FEB">
            <w:pPr>
              <w:pStyle w:val="TableTextArial-left"/>
              <w:rPr>
                <w:lang w:eastAsia="en-US"/>
              </w:rPr>
            </w:pPr>
          </w:p>
        </w:tc>
        <w:tc>
          <w:tcPr>
            <w:tcW w:w="1417" w:type="dxa"/>
          </w:tcPr>
          <w:p w14:paraId="45F14F71" w14:textId="77777777" w:rsidR="001B3CCE" w:rsidRPr="00C9343F" w:rsidRDefault="001B3CCE" w:rsidP="00445FEB">
            <w:pPr>
              <w:pStyle w:val="TableTextArial-left"/>
              <w:jc w:val="center"/>
              <w:rPr>
                <w:lang w:eastAsia="en-US"/>
              </w:rPr>
            </w:pPr>
            <w:r w:rsidRPr="00C9343F">
              <w:rPr>
                <w:lang w:eastAsia="en-US"/>
              </w:rPr>
              <w:t>D</w:t>
            </w:r>
          </w:p>
        </w:tc>
        <w:tc>
          <w:tcPr>
            <w:tcW w:w="1907" w:type="dxa"/>
          </w:tcPr>
          <w:p w14:paraId="55816A48" w14:textId="77777777" w:rsidR="001B3CCE" w:rsidRPr="00C9343F" w:rsidRDefault="001B3CCE" w:rsidP="00445FEB">
            <w:pPr>
              <w:pStyle w:val="TableTextArial-left"/>
              <w:jc w:val="center"/>
              <w:rPr>
                <w:lang w:eastAsia="en-US"/>
              </w:rPr>
            </w:pPr>
            <w:r w:rsidRPr="00C9343F">
              <w:rPr>
                <w:lang w:eastAsia="en-US"/>
              </w:rPr>
              <w:t>14,340</w:t>
            </w:r>
          </w:p>
        </w:tc>
      </w:tr>
      <w:tr w:rsidR="001B3CCE" w:rsidRPr="00C9343F" w14:paraId="4B88FD37" w14:textId="77777777" w:rsidTr="00445FEB">
        <w:trPr>
          <w:cantSplit/>
        </w:trPr>
        <w:tc>
          <w:tcPr>
            <w:tcW w:w="708" w:type="dxa"/>
            <w:vMerge/>
          </w:tcPr>
          <w:p w14:paraId="396EF296" w14:textId="77777777" w:rsidR="001B3CCE" w:rsidRPr="00C9343F" w:rsidRDefault="001B3CCE" w:rsidP="00445FEB">
            <w:pPr>
              <w:pStyle w:val="TableTextArial-left"/>
              <w:jc w:val="center"/>
              <w:rPr>
                <w:lang w:eastAsia="en-US"/>
              </w:rPr>
            </w:pPr>
          </w:p>
        </w:tc>
        <w:tc>
          <w:tcPr>
            <w:tcW w:w="4331" w:type="dxa"/>
            <w:vMerge/>
          </w:tcPr>
          <w:p w14:paraId="705D2767" w14:textId="77777777" w:rsidR="001B3CCE" w:rsidRPr="00C9343F" w:rsidRDefault="001B3CCE" w:rsidP="00445FEB">
            <w:pPr>
              <w:pStyle w:val="TableTextArial-left"/>
              <w:rPr>
                <w:lang w:eastAsia="en-US"/>
              </w:rPr>
            </w:pPr>
          </w:p>
        </w:tc>
        <w:tc>
          <w:tcPr>
            <w:tcW w:w="1417" w:type="dxa"/>
          </w:tcPr>
          <w:p w14:paraId="40BD7C20" w14:textId="77777777" w:rsidR="001B3CCE" w:rsidRPr="00C9343F" w:rsidRDefault="001B3CCE" w:rsidP="00445FEB">
            <w:pPr>
              <w:pStyle w:val="TableTextArial-left"/>
              <w:jc w:val="center"/>
              <w:rPr>
                <w:lang w:eastAsia="en-US"/>
              </w:rPr>
            </w:pPr>
            <w:r w:rsidRPr="00C9343F">
              <w:rPr>
                <w:lang w:eastAsia="en-US"/>
              </w:rPr>
              <w:t>E</w:t>
            </w:r>
          </w:p>
        </w:tc>
        <w:tc>
          <w:tcPr>
            <w:tcW w:w="1907" w:type="dxa"/>
          </w:tcPr>
          <w:p w14:paraId="404FAC12" w14:textId="77777777" w:rsidR="001B3CCE" w:rsidRPr="00C9343F" w:rsidRDefault="001B3CCE" w:rsidP="00445FEB">
            <w:pPr>
              <w:pStyle w:val="TableTextArial-left"/>
              <w:jc w:val="center"/>
              <w:rPr>
                <w:lang w:eastAsia="en-US"/>
              </w:rPr>
            </w:pPr>
            <w:r w:rsidRPr="00C9343F">
              <w:rPr>
                <w:lang w:eastAsia="en-US"/>
              </w:rPr>
              <w:t>16,390</w:t>
            </w:r>
          </w:p>
        </w:tc>
      </w:tr>
      <w:tr w:rsidR="001B3CCE" w:rsidRPr="00C9343F" w14:paraId="71DE9818" w14:textId="77777777" w:rsidTr="00445FEB">
        <w:trPr>
          <w:cantSplit/>
        </w:trPr>
        <w:tc>
          <w:tcPr>
            <w:tcW w:w="708" w:type="dxa"/>
            <w:vMerge w:val="restart"/>
            <w:hideMark/>
          </w:tcPr>
          <w:p w14:paraId="6166F62E" w14:textId="77777777" w:rsidR="001B3CCE" w:rsidRPr="00C9343F" w:rsidRDefault="001B3CCE" w:rsidP="00445FEB">
            <w:pPr>
              <w:pStyle w:val="TableTextArial-left"/>
              <w:jc w:val="center"/>
              <w:rPr>
                <w:lang w:eastAsia="en-US"/>
              </w:rPr>
            </w:pPr>
            <w:r w:rsidRPr="00C9343F">
              <w:rPr>
                <w:lang w:eastAsia="en-US"/>
              </w:rPr>
              <w:t>3.</w:t>
            </w:r>
          </w:p>
        </w:tc>
        <w:tc>
          <w:tcPr>
            <w:tcW w:w="4331" w:type="dxa"/>
            <w:vMerge w:val="restart"/>
          </w:tcPr>
          <w:p w14:paraId="45FF1C53" w14:textId="77777777" w:rsidR="001B3CCE" w:rsidRPr="00C9343F" w:rsidRDefault="001B3CCE" w:rsidP="00445FEB">
            <w:pPr>
              <w:pStyle w:val="TableTextArial-left"/>
              <w:spacing w:after="120"/>
              <w:ind w:left="312" w:hanging="284"/>
              <w:rPr>
                <w:lang w:eastAsia="en-US"/>
              </w:rPr>
            </w:pPr>
            <w:r w:rsidRPr="00C9343F">
              <w:rPr>
                <w:lang w:eastAsia="en-US"/>
              </w:rPr>
              <w:t>Any of the following.</w:t>
            </w:r>
          </w:p>
          <w:p w14:paraId="66EE7F48" w14:textId="77777777" w:rsidR="001B3CCE" w:rsidRPr="00C9343F" w:rsidRDefault="001B3CCE" w:rsidP="00445FEB">
            <w:pPr>
              <w:pStyle w:val="TableTextArial-left"/>
              <w:spacing w:after="120"/>
              <w:ind w:left="312" w:hanging="284"/>
              <w:rPr>
                <w:lang w:eastAsia="en-US"/>
              </w:rPr>
            </w:pPr>
            <w:r w:rsidRPr="00C9343F">
              <w:rPr>
                <w:lang w:eastAsia="en-US"/>
              </w:rPr>
              <w:t>a.</w:t>
            </w:r>
            <w:r w:rsidRPr="00C9343F">
              <w:rPr>
                <w:lang w:eastAsia="en-US"/>
              </w:rPr>
              <w:tab/>
              <w:t>A member with dependants who lives out and one or more of those dependants meet all of these conditions.</w:t>
            </w:r>
          </w:p>
          <w:p w14:paraId="6695D2E8" w14:textId="77777777" w:rsidR="001B3CCE" w:rsidRPr="00C9343F" w:rsidRDefault="001B3CCE" w:rsidP="00445FEB">
            <w:pPr>
              <w:pStyle w:val="TableTextArial-left"/>
              <w:spacing w:after="120"/>
              <w:ind w:left="595" w:hanging="283"/>
              <w:rPr>
                <w:lang w:eastAsia="en-US"/>
              </w:rPr>
            </w:pPr>
            <w:r w:rsidRPr="00C9343F">
              <w:rPr>
                <w:lang w:eastAsia="en-US"/>
              </w:rPr>
              <w:t>i.</w:t>
            </w:r>
            <w:r w:rsidRPr="00C9343F">
              <w:rPr>
                <w:lang w:eastAsia="en-US"/>
              </w:rPr>
              <w:tab/>
              <w:t>The dependant is an ADF member or an APS employee in Defence.</w:t>
            </w:r>
          </w:p>
          <w:p w14:paraId="1CC901C0" w14:textId="77777777" w:rsidR="001B3CCE" w:rsidRPr="00C9343F" w:rsidRDefault="001B3CCE" w:rsidP="00445FEB">
            <w:pPr>
              <w:pStyle w:val="TableTextArial-left"/>
              <w:spacing w:after="120"/>
              <w:ind w:left="595" w:hanging="283"/>
              <w:rPr>
                <w:lang w:eastAsia="en-US"/>
              </w:rPr>
            </w:pPr>
            <w:r w:rsidRPr="00C9343F">
              <w:rPr>
                <w:lang w:eastAsia="en-US"/>
              </w:rPr>
              <w:t>ii.</w:t>
            </w:r>
            <w:r w:rsidRPr="00C9343F">
              <w:rPr>
                <w:lang w:eastAsia="en-US"/>
              </w:rPr>
              <w:tab/>
              <w:t xml:space="preserve">The dependant is paid ADF district allowance or district allowance under the </w:t>
            </w:r>
            <w:r w:rsidRPr="00C9343F">
              <w:rPr>
                <w:i/>
                <w:lang w:eastAsia="en-US"/>
              </w:rPr>
              <w:t>Defence Enterprise Agreement 2017-2020</w:t>
            </w:r>
            <w:r w:rsidRPr="00C9343F">
              <w:rPr>
                <w:lang w:eastAsia="en-US"/>
              </w:rPr>
              <w:t xml:space="preserve"> as in force on 16 August 2017.</w:t>
            </w:r>
          </w:p>
          <w:p w14:paraId="6654D2B4" w14:textId="77777777" w:rsidR="001B3CCE" w:rsidRPr="00C9343F" w:rsidRDefault="001B3CCE" w:rsidP="00445FEB">
            <w:pPr>
              <w:pStyle w:val="TableTextArial-left"/>
              <w:spacing w:after="120"/>
              <w:ind w:left="312" w:hanging="284"/>
              <w:rPr>
                <w:lang w:eastAsia="en-US"/>
              </w:rPr>
            </w:pPr>
            <w:r w:rsidRPr="00C9343F">
              <w:rPr>
                <w:lang w:eastAsia="en-US"/>
              </w:rPr>
              <w:t>b.</w:t>
            </w:r>
            <w:r w:rsidRPr="00C9343F">
              <w:rPr>
                <w:lang w:eastAsia="en-US"/>
              </w:rPr>
              <w:tab/>
              <w:t>A member with dependants (unaccompanied) who lives out.</w:t>
            </w:r>
          </w:p>
          <w:p w14:paraId="5F2426D2" w14:textId="77777777" w:rsidR="001B3CCE" w:rsidRPr="00C9343F" w:rsidRDefault="001B3CCE" w:rsidP="00445FEB">
            <w:pPr>
              <w:pStyle w:val="TableTextArial-left"/>
              <w:spacing w:after="120"/>
              <w:ind w:left="312" w:hanging="284"/>
              <w:rPr>
                <w:lang w:eastAsia="en-US"/>
              </w:rPr>
            </w:pPr>
            <w:r w:rsidRPr="00C9343F">
              <w:rPr>
                <w:lang w:eastAsia="en-US"/>
              </w:rPr>
              <w:t>c.</w:t>
            </w:r>
            <w:r w:rsidRPr="00C9343F">
              <w:rPr>
                <w:lang w:eastAsia="en-US"/>
              </w:rPr>
              <w:tab/>
              <w:t>A member without dependants who lives out.</w:t>
            </w:r>
          </w:p>
          <w:p w14:paraId="08F2218E" w14:textId="77777777" w:rsidR="001B3CCE" w:rsidRPr="00C9343F" w:rsidRDefault="001B3CCE" w:rsidP="00445FEB">
            <w:pPr>
              <w:pStyle w:val="TableTextArial-left"/>
              <w:spacing w:after="120"/>
              <w:ind w:left="312" w:hanging="284"/>
              <w:rPr>
                <w:lang w:eastAsia="en-US"/>
              </w:rPr>
            </w:pPr>
            <w:r w:rsidRPr="00C9343F">
              <w:rPr>
                <w:rFonts w:cs="Arial"/>
                <w:color w:val="000000"/>
                <w:shd w:val="clear" w:color="auto" w:fill="FFFFFF"/>
              </w:rPr>
              <w:t>d.</w:t>
            </w:r>
            <w:r w:rsidRPr="00C9343F">
              <w:rPr>
                <w:lang w:eastAsia="en-US"/>
              </w:rPr>
              <w:t xml:space="preserve"> </w:t>
            </w:r>
            <w:r w:rsidRPr="00C9343F">
              <w:rPr>
                <w:lang w:eastAsia="en-US"/>
              </w:rPr>
              <w:tab/>
            </w:r>
            <w:r w:rsidRPr="00C9343F">
              <w:rPr>
                <w:rFonts w:cs="Arial"/>
                <w:color w:val="000000"/>
                <w:shd w:val="clear" w:color="auto" w:fill="FFFFFF"/>
              </w:rPr>
              <w:t>A member of the Reserves who is undertaking Reserve Service and who is required to live out.</w:t>
            </w:r>
          </w:p>
        </w:tc>
        <w:tc>
          <w:tcPr>
            <w:tcW w:w="1417" w:type="dxa"/>
          </w:tcPr>
          <w:p w14:paraId="4BFE0134" w14:textId="77777777" w:rsidR="001B3CCE" w:rsidRPr="00C9343F" w:rsidRDefault="001B3CCE" w:rsidP="00445FEB">
            <w:pPr>
              <w:pStyle w:val="TableTextArial-left"/>
              <w:jc w:val="center"/>
              <w:rPr>
                <w:lang w:eastAsia="en-US"/>
              </w:rPr>
            </w:pPr>
            <w:r w:rsidRPr="00C9343F">
              <w:rPr>
                <w:lang w:eastAsia="en-US"/>
              </w:rPr>
              <w:t>A</w:t>
            </w:r>
          </w:p>
        </w:tc>
        <w:tc>
          <w:tcPr>
            <w:tcW w:w="1907" w:type="dxa"/>
          </w:tcPr>
          <w:p w14:paraId="6A80FFB4" w14:textId="77777777" w:rsidR="001B3CCE" w:rsidRPr="00C9343F" w:rsidRDefault="001B3CCE" w:rsidP="00445FEB">
            <w:pPr>
              <w:pStyle w:val="TableTextArial-left"/>
              <w:jc w:val="center"/>
              <w:rPr>
                <w:lang w:eastAsia="en-US"/>
              </w:rPr>
            </w:pPr>
            <w:r w:rsidRPr="00C9343F">
              <w:rPr>
                <w:lang w:eastAsia="en-US"/>
              </w:rPr>
              <w:t>1,435</w:t>
            </w:r>
          </w:p>
        </w:tc>
      </w:tr>
      <w:tr w:rsidR="001B3CCE" w:rsidRPr="00C9343F" w14:paraId="59637FBE" w14:textId="77777777" w:rsidTr="00445FEB">
        <w:trPr>
          <w:cantSplit/>
        </w:trPr>
        <w:tc>
          <w:tcPr>
            <w:tcW w:w="708" w:type="dxa"/>
            <w:vMerge/>
          </w:tcPr>
          <w:p w14:paraId="037DCCA7" w14:textId="77777777" w:rsidR="001B3CCE" w:rsidRPr="00C9343F" w:rsidRDefault="001B3CCE" w:rsidP="00445FEB">
            <w:pPr>
              <w:pStyle w:val="TableTextArial-left"/>
              <w:jc w:val="center"/>
              <w:rPr>
                <w:lang w:eastAsia="en-US"/>
              </w:rPr>
            </w:pPr>
          </w:p>
        </w:tc>
        <w:tc>
          <w:tcPr>
            <w:tcW w:w="4331" w:type="dxa"/>
            <w:vMerge/>
          </w:tcPr>
          <w:p w14:paraId="0C20E6EE" w14:textId="77777777" w:rsidR="001B3CCE" w:rsidRPr="00C9343F" w:rsidRDefault="001B3CCE" w:rsidP="00445FEB">
            <w:pPr>
              <w:pStyle w:val="TableTextArial-left"/>
              <w:spacing w:after="120"/>
              <w:rPr>
                <w:lang w:eastAsia="en-US"/>
              </w:rPr>
            </w:pPr>
          </w:p>
        </w:tc>
        <w:tc>
          <w:tcPr>
            <w:tcW w:w="1417" w:type="dxa"/>
          </w:tcPr>
          <w:p w14:paraId="6547FE24" w14:textId="77777777" w:rsidR="001B3CCE" w:rsidRPr="00C9343F" w:rsidRDefault="001B3CCE" w:rsidP="00445FEB">
            <w:pPr>
              <w:pStyle w:val="TableTextArial-left"/>
              <w:jc w:val="center"/>
              <w:rPr>
                <w:lang w:eastAsia="en-US"/>
              </w:rPr>
            </w:pPr>
            <w:r w:rsidRPr="00C9343F">
              <w:rPr>
                <w:lang w:eastAsia="en-US"/>
              </w:rPr>
              <w:t>B</w:t>
            </w:r>
          </w:p>
        </w:tc>
        <w:tc>
          <w:tcPr>
            <w:tcW w:w="1907" w:type="dxa"/>
          </w:tcPr>
          <w:p w14:paraId="15EDA870" w14:textId="77777777" w:rsidR="001B3CCE" w:rsidRPr="00C9343F" w:rsidRDefault="001B3CCE" w:rsidP="00445FEB">
            <w:pPr>
              <w:pStyle w:val="TableTextArial-left"/>
              <w:jc w:val="center"/>
              <w:rPr>
                <w:lang w:eastAsia="en-US"/>
              </w:rPr>
            </w:pPr>
            <w:r w:rsidRPr="00C9343F">
              <w:rPr>
                <w:lang w:eastAsia="en-US"/>
              </w:rPr>
              <w:t>4,095</w:t>
            </w:r>
          </w:p>
        </w:tc>
      </w:tr>
      <w:tr w:rsidR="001B3CCE" w:rsidRPr="00C9343F" w14:paraId="0286C7F3" w14:textId="77777777" w:rsidTr="00445FEB">
        <w:trPr>
          <w:cantSplit/>
        </w:trPr>
        <w:tc>
          <w:tcPr>
            <w:tcW w:w="708" w:type="dxa"/>
            <w:vMerge/>
          </w:tcPr>
          <w:p w14:paraId="5928788F" w14:textId="77777777" w:rsidR="001B3CCE" w:rsidRPr="00C9343F" w:rsidRDefault="001B3CCE" w:rsidP="00445FEB">
            <w:pPr>
              <w:pStyle w:val="TableTextArial-left"/>
              <w:jc w:val="center"/>
              <w:rPr>
                <w:lang w:eastAsia="en-US"/>
              </w:rPr>
            </w:pPr>
          </w:p>
        </w:tc>
        <w:tc>
          <w:tcPr>
            <w:tcW w:w="4331" w:type="dxa"/>
            <w:vMerge/>
          </w:tcPr>
          <w:p w14:paraId="00A5EC4E" w14:textId="77777777" w:rsidR="001B3CCE" w:rsidRPr="00C9343F" w:rsidRDefault="001B3CCE" w:rsidP="00445FEB">
            <w:pPr>
              <w:pStyle w:val="TableTextArial-left"/>
              <w:spacing w:after="120"/>
              <w:rPr>
                <w:lang w:eastAsia="en-US"/>
              </w:rPr>
            </w:pPr>
          </w:p>
        </w:tc>
        <w:tc>
          <w:tcPr>
            <w:tcW w:w="1417" w:type="dxa"/>
          </w:tcPr>
          <w:p w14:paraId="78672474" w14:textId="77777777" w:rsidR="001B3CCE" w:rsidRPr="00C9343F" w:rsidRDefault="001B3CCE" w:rsidP="00445FEB">
            <w:pPr>
              <w:pStyle w:val="TableTextArial-left"/>
              <w:jc w:val="center"/>
              <w:rPr>
                <w:lang w:eastAsia="en-US"/>
              </w:rPr>
            </w:pPr>
            <w:r w:rsidRPr="00C9343F">
              <w:rPr>
                <w:lang w:eastAsia="en-US"/>
              </w:rPr>
              <w:t>C</w:t>
            </w:r>
          </w:p>
        </w:tc>
        <w:tc>
          <w:tcPr>
            <w:tcW w:w="1907" w:type="dxa"/>
          </w:tcPr>
          <w:p w14:paraId="27EE7838" w14:textId="77777777" w:rsidR="001B3CCE" w:rsidRPr="00C9343F" w:rsidRDefault="001B3CCE" w:rsidP="00445FEB">
            <w:pPr>
              <w:pStyle w:val="TableTextArial-left"/>
              <w:jc w:val="center"/>
              <w:rPr>
                <w:lang w:eastAsia="en-US"/>
              </w:rPr>
            </w:pPr>
            <w:r w:rsidRPr="00C9343F">
              <w:rPr>
                <w:lang w:eastAsia="en-US"/>
              </w:rPr>
              <w:t>5,120</w:t>
            </w:r>
          </w:p>
        </w:tc>
      </w:tr>
      <w:tr w:rsidR="001B3CCE" w:rsidRPr="00C9343F" w14:paraId="312E358A" w14:textId="77777777" w:rsidTr="00445FEB">
        <w:trPr>
          <w:cantSplit/>
        </w:trPr>
        <w:tc>
          <w:tcPr>
            <w:tcW w:w="708" w:type="dxa"/>
            <w:vMerge/>
          </w:tcPr>
          <w:p w14:paraId="07B17352" w14:textId="77777777" w:rsidR="001B3CCE" w:rsidRPr="00C9343F" w:rsidRDefault="001B3CCE" w:rsidP="00445FEB">
            <w:pPr>
              <w:pStyle w:val="TableTextArial-left"/>
              <w:jc w:val="center"/>
              <w:rPr>
                <w:lang w:eastAsia="en-US"/>
              </w:rPr>
            </w:pPr>
          </w:p>
        </w:tc>
        <w:tc>
          <w:tcPr>
            <w:tcW w:w="4331" w:type="dxa"/>
            <w:vMerge/>
          </w:tcPr>
          <w:p w14:paraId="3DA1D38E" w14:textId="77777777" w:rsidR="001B3CCE" w:rsidRPr="00C9343F" w:rsidRDefault="001B3CCE" w:rsidP="00445FEB">
            <w:pPr>
              <w:pStyle w:val="TableTextArial-left"/>
              <w:spacing w:after="120"/>
              <w:rPr>
                <w:lang w:eastAsia="en-US"/>
              </w:rPr>
            </w:pPr>
          </w:p>
        </w:tc>
        <w:tc>
          <w:tcPr>
            <w:tcW w:w="1417" w:type="dxa"/>
          </w:tcPr>
          <w:p w14:paraId="043DB2FD" w14:textId="77777777" w:rsidR="001B3CCE" w:rsidRPr="00C9343F" w:rsidRDefault="001B3CCE" w:rsidP="00445FEB">
            <w:pPr>
              <w:pStyle w:val="TableTextArial-left"/>
              <w:jc w:val="center"/>
              <w:rPr>
                <w:lang w:eastAsia="en-US"/>
              </w:rPr>
            </w:pPr>
            <w:r w:rsidRPr="00C9343F">
              <w:rPr>
                <w:lang w:eastAsia="en-US"/>
              </w:rPr>
              <w:t>D</w:t>
            </w:r>
          </w:p>
        </w:tc>
        <w:tc>
          <w:tcPr>
            <w:tcW w:w="1907" w:type="dxa"/>
          </w:tcPr>
          <w:p w14:paraId="4E08583F" w14:textId="77777777" w:rsidR="001B3CCE" w:rsidRPr="00C9343F" w:rsidRDefault="001B3CCE" w:rsidP="00445FEB">
            <w:pPr>
              <w:pStyle w:val="TableTextArial-left"/>
              <w:jc w:val="center"/>
              <w:rPr>
                <w:lang w:eastAsia="en-US"/>
              </w:rPr>
            </w:pPr>
            <w:r w:rsidRPr="00C9343F">
              <w:rPr>
                <w:lang w:eastAsia="en-US"/>
              </w:rPr>
              <w:t>7,170</w:t>
            </w:r>
          </w:p>
        </w:tc>
      </w:tr>
      <w:tr w:rsidR="001B3CCE" w:rsidRPr="00C9343F" w14:paraId="2C4E53AB" w14:textId="77777777" w:rsidTr="00445FEB">
        <w:trPr>
          <w:cantSplit/>
        </w:trPr>
        <w:tc>
          <w:tcPr>
            <w:tcW w:w="708" w:type="dxa"/>
            <w:vMerge/>
          </w:tcPr>
          <w:p w14:paraId="54C8C201" w14:textId="77777777" w:rsidR="001B3CCE" w:rsidRPr="00C9343F" w:rsidRDefault="001B3CCE" w:rsidP="00445FEB">
            <w:pPr>
              <w:pStyle w:val="TableTextArial-left"/>
              <w:jc w:val="center"/>
              <w:rPr>
                <w:lang w:eastAsia="en-US"/>
              </w:rPr>
            </w:pPr>
          </w:p>
        </w:tc>
        <w:tc>
          <w:tcPr>
            <w:tcW w:w="4331" w:type="dxa"/>
            <w:vMerge/>
          </w:tcPr>
          <w:p w14:paraId="34C77628" w14:textId="77777777" w:rsidR="001B3CCE" w:rsidRPr="00C9343F" w:rsidRDefault="001B3CCE" w:rsidP="00445FEB">
            <w:pPr>
              <w:pStyle w:val="TableTextArial-left"/>
              <w:spacing w:after="120"/>
              <w:rPr>
                <w:lang w:eastAsia="en-US"/>
              </w:rPr>
            </w:pPr>
          </w:p>
        </w:tc>
        <w:tc>
          <w:tcPr>
            <w:tcW w:w="1417" w:type="dxa"/>
          </w:tcPr>
          <w:p w14:paraId="630CB58B" w14:textId="77777777" w:rsidR="001B3CCE" w:rsidRPr="00C9343F" w:rsidRDefault="001B3CCE" w:rsidP="00445FEB">
            <w:pPr>
              <w:pStyle w:val="TableTextArial-left"/>
              <w:jc w:val="center"/>
              <w:rPr>
                <w:lang w:eastAsia="en-US"/>
              </w:rPr>
            </w:pPr>
            <w:r w:rsidRPr="00C9343F">
              <w:rPr>
                <w:lang w:eastAsia="en-US"/>
              </w:rPr>
              <w:t>E</w:t>
            </w:r>
          </w:p>
        </w:tc>
        <w:tc>
          <w:tcPr>
            <w:tcW w:w="1907" w:type="dxa"/>
          </w:tcPr>
          <w:p w14:paraId="799D8D9A" w14:textId="77777777" w:rsidR="001B3CCE" w:rsidRPr="00C9343F" w:rsidRDefault="001B3CCE" w:rsidP="00445FEB">
            <w:pPr>
              <w:pStyle w:val="TableTextArial-left"/>
              <w:jc w:val="center"/>
              <w:rPr>
                <w:lang w:eastAsia="en-US"/>
              </w:rPr>
            </w:pPr>
            <w:r w:rsidRPr="00C9343F">
              <w:rPr>
                <w:lang w:eastAsia="en-US"/>
              </w:rPr>
              <w:t>8,195</w:t>
            </w:r>
          </w:p>
        </w:tc>
      </w:tr>
    </w:tbl>
    <w:p w14:paraId="53EC9160" w14:textId="77777777" w:rsidR="001B3CCE" w:rsidRPr="00C9343F" w:rsidRDefault="001B3CCE" w:rsidP="001B3CCE">
      <w:pPr>
        <w:pStyle w:val="Item"/>
      </w:pPr>
    </w:p>
    <w:tbl>
      <w:tblPr>
        <w:tblW w:w="9359" w:type="dxa"/>
        <w:tblInd w:w="113" w:type="dxa"/>
        <w:tblLayout w:type="fixed"/>
        <w:tblLook w:val="04A0" w:firstRow="1" w:lastRow="0" w:firstColumn="1" w:lastColumn="0" w:noHBand="0" w:noVBand="1"/>
      </w:tblPr>
      <w:tblGrid>
        <w:gridCol w:w="992"/>
        <w:gridCol w:w="596"/>
        <w:gridCol w:w="7771"/>
      </w:tblGrid>
      <w:tr w:rsidR="002939E8" w:rsidRPr="00C9343F" w14:paraId="1D40FB6D" w14:textId="77777777" w:rsidTr="00996C76">
        <w:tc>
          <w:tcPr>
            <w:tcW w:w="992" w:type="dxa"/>
          </w:tcPr>
          <w:p w14:paraId="5B604C20" w14:textId="77777777" w:rsidR="002939E8" w:rsidRPr="00C9343F" w:rsidRDefault="002939E8" w:rsidP="00F66D98">
            <w:pPr>
              <w:pStyle w:val="Sectiontext0"/>
              <w:jc w:val="center"/>
            </w:pPr>
            <w:r w:rsidRPr="00C9343F">
              <w:rPr>
                <w:lang w:eastAsia="en-US"/>
              </w:rPr>
              <w:t>2.</w:t>
            </w:r>
          </w:p>
        </w:tc>
        <w:tc>
          <w:tcPr>
            <w:tcW w:w="8367" w:type="dxa"/>
            <w:gridSpan w:val="2"/>
          </w:tcPr>
          <w:p w14:paraId="185558EB" w14:textId="77777777" w:rsidR="002939E8" w:rsidRPr="00C9343F" w:rsidRDefault="002939E8" w:rsidP="00F66D98">
            <w:pPr>
              <w:pStyle w:val="Sectiontext0"/>
            </w:pPr>
            <w:r w:rsidRPr="00C9343F">
              <w:rPr>
                <w:lang w:eastAsia="en-US"/>
              </w:rPr>
              <w:t>A member who lives out and must live in for Service reasons is taken to be living out for the following periods.</w:t>
            </w:r>
          </w:p>
        </w:tc>
      </w:tr>
      <w:tr w:rsidR="002939E8" w:rsidRPr="00C9343F" w14:paraId="3B46C1E4" w14:textId="77777777" w:rsidTr="00996C76">
        <w:tc>
          <w:tcPr>
            <w:tcW w:w="992" w:type="dxa"/>
          </w:tcPr>
          <w:p w14:paraId="60FA4615" w14:textId="77777777" w:rsidR="002939E8" w:rsidRPr="00C9343F" w:rsidRDefault="002939E8" w:rsidP="00F66D98">
            <w:pPr>
              <w:pStyle w:val="Sectiontext0"/>
              <w:jc w:val="center"/>
            </w:pPr>
          </w:p>
        </w:tc>
        <w:tc>
          <w:tcPr>
            <w:tcW w:w="596" w:type="dxa"/>
          </w:tcPr>
          <w:p w14:paraId="7C5F8A63" w14:textId="77777777" w:rsidR="002939E8" w:rsidRPr="00C9343F" w:rsidRDefault="002939E8" w:rsidP="007114B1">
            <w:pPr>
              <w:pStyle w:val="Sectiontext0"/>
              <w:jc w:val="center"/>
              <w:rPr>
                <w:lang w:eastAsia="en-US"/>
              </w:rPr>
            </w:pPr>
            <w:r w:rsidRPr="00C9343F">
              <w:rPr>
                <w:lang w:eastAsia="en-US"/>
              </w:rPr>
              <w:t>a.</w:t>
            </w:r>
          </w:p>
        </w:tc>
        <w:tc>
          <w:tcPr>
            <w:tcW w:w="7771" w:type="dxa"/>
          </w:tcPr>
          <w:p w14:paraId="784CF458" w14:textId="77777777" w:rsidR="002939E8" w:rsidRPr="00C9343F" w:rsidRDefault="002939E8" w:rsidP="00F66D98">
            <w:pPr>
              <w:pStyle w:val="Sectiontext0"/>
            </w:pPr>
            <w:r w:rsidRPr="00C9343F">
              <w:rPr>
                <w:lang w:eastAsia="en-US"/>
              </w:rPr>
              <w:t>The period they live in, up to 30 days.</w:t>
            </w:r>
          </w:p>
        </w:tc>
      </w:tr>
      <w:tr w:rsidR="002939E8" w:rsidRPr="00C9343F" w14:paraId="720444C9" w14:textId="77777777" w:rsidTr="00996C76">
        <w:tc>
          <w:tcPr>
            <w:tcW w:w="992" w:type="dxa"/>
          </w:tcPr>
          <w:p w14:paraId="24890D4A" w14:textId="77777777" w:rsidR="002939E8" w:rsidRPr="00C9343F" w:rsidRDefault="002939E8" w:rsidP="00F66D98">
            <w:pPr>
              <w:pStyle w:val="Sectiontext0"/>
              <w:jc w:val="center"/>
              <w:rPr>
                <w:lang w:eastAsia="en-US"/>
              </w:rPr>
            </w:pPr>
          </w:p>
        </w:tc>
        <w:tc>
          <w:tcPr>
            <w:tcW w:w="596" w:type="dxa"/>
          </w:tcPr>
          <w:p w14:paraId="38CF91F8" w14:textId="77777777" w:rsidR="002939E8" w:rsidRPr="00C9343F" w:rsidRDefault="002939E8" w:rsidP="007114B1">
            <w:pPr>
              <w:pStyle w:val="Sectiontext0"/>
              <w:jc w:val="center"/>
              <w:rPr>
                <w:lang w:eastAsia="en-US"/>
              </w:rPr>
            </w:pPr>
            <w:r w:rsidRPr="00C9343F">
              <w:rPr>
                <w:lang w:eastAsia="en-US"/>
              </w:rPr>
              <w:t>b.</w:t>
            </w:r>
          </w:p>
        </w:tc>
        <w:tc>
          <w:tcPr>
            <w:tcW w:w="7771" w:type="dxa"/>
          </w:tcPr>
          <w:p w14:paraId="0E1FB8E1" w14:textId="77777777" w:rsidR="002939E8" w:rsidRPr="00C9343F" w:rsidRDefault="002939E8" w:rsidP="00F66D98">
            <w:pPr>
              <w:pStyle w:val="Sectiontext0"/>
              <w:rPr>
                <w:lang w:eastAsia="en-US"/>
              </w:rPr>
            </w:pPr>
            <w:r w:rsidRPr="00C9343F">
              <w:rPr>
                <w:lang w:eastAsia="en-US"/>
              </w:rPr>
              <w:t>Any further part of the period they live in while any dependants remain at the remote location.</w:t>
            </w:r>
          </w:p>
        </w:tc>
      </w:tr>
    </w:tbl>
    <w:p w14:paraId="28CFC3F0" w14:textId="77777777" w:rsidR="006D1E1C" w:rsidRPr="00C9343F" w:rsidRDefault="006D1E1C" w:rsidP="00F66D98">
      <w:r w:rsidRPr="00C9343F">
        <w:t xml:space="preserve"> </w:t>
      </w:r>
    </w:p>
    <w:p w14:paraId="459C9DD6" w14:textId="77777777" w:rsidR="006D1E1C" w:rsidRPr="00C9343F" w:rsidRDefault="006D1E1C" w:rsidP="0043336A">
      <w:pPr>
        <w:pStyle w:val="Heading4"/>
        <w:pageBreakBefore/>
      </w:pPr>
      <w:bookmarkStart w:id="677" w:name="_Toc105053813"/>
      <w:bookmarkEnd w:id="667"/>
      <w:bookmarkEnd w:id="668"/>
      <w:bookmarkEnd w:id="669"/>
      <w:bookmarkEnd w:id="670"/>
      <w:bookmarkEnd w:id="671"/>
      <w:bookmarkEnd w:id="672"/>
      <w:bookmarkEnd w:id="673"/>
      <w:bookmarkEnd w:id="674"/>
      <w:bookmarkEnd w:id="675"/>
      <w:bookmarkEnd w:id="676"/>
      <w:r w:rsidRPr="00C9343F">
        <w:t>Division 2: ADF district allowance – movement to or from remote location</w:t>
      </w:r>
      <w:bookmarkEnd w:id="677"/>
    </w:p>
    <w:p w14:paraId="245FF7CE" w14:textId="04471800" w:rsidR="006D1E1C" w:rsidRPr="00C9343F" w:rsidRDefault="006D1E1C" w:rsidP="00F66D98">
      <w:pPr>
        <w:pStyle w:val="Heading5"/>
      </w:pPr>
      <w:bookmarkStart w:id="678" w:name="_Toc105053814"/>
      <w:bookmarkStart w:id="679" w:name="bk1624034812Absencefortemporaryduty"/>
      <w:bookmarkStart w:id="680" w:name="bk1635094812Absencefortemporaryduty"/>
      <w:bookmarkStart w:id="681" w:name="bk1636364812Absencefortemporaryduty"/>
      <w:bookmarkStart w:id="682" w:name="bk1215024811Absencefortemporaryduty"/>
      <w:bookmarkStart w:id="683" w:name="bk1325044811Absencefortemporaryduty"/>
      <w:bookmarkStart w:id="684" w:name="bk1150254611Absencefortemporaryduty"/>
      <w:r w:rsidRPr="00C9343F">
        <w:t>4.4.11</w:t>
      </w:r>
      <w:r w:rsidR="00D94006" w:rsidRPr="00C9343F">
        <w:t>    </w:t>
      </w:r>
      <w:r w:rsidRPr="00C9343F">
        <w:t>Absence for temporary duty</w:t>
      </w:r>
      <w:bookmarkEnd w:id="678"/>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23C1E33B" w14:textId="77777777" w:rsidTr="006D1E1C">
        <w:tc>
          <w:tcPr>
            <w:tcW w:w="992" w:type="dxa"/>
          </w:tcPr>
          <w:bookmarkEnd w:id="679"/>
          <w:bookmarkEnd w:id="680"/>
          <w:bookmarkEnd w:id="681"/>
          <w:bookmarkEnd w:id="682"/>
          <w:bookmarkEnd w:id="683"/>
          <w:bookmarkEnd w:id="684"/>
          <w:p w14:paraId="10B2643E" w14:textId="77777777" w:rsidR="006D1E1C" w:rsidRPr="00C9343F" w:rsidRDefault="006D1E1C" w:rsidP="00F66D98">
            <w:pPr>
              <w:pStyle w:val="BlockText-Plain"/>
              <w:jc w:val="center"/>
            </w:pPr>
            <w:r w:rsidRPr="00C9343F">
              <w:t>1.</w:t>
            </w:r>
          </w:p>
        </w:tc>
        <w:tc>
          <w:tcPr>
            <w:tcW w:w="8363" w:type="dxa"/>
            <w:gridSpan w:val="2"/>
          </w:tcPr>
          <w:p w14:paraId="26BC602A" w14:textId="77777777" w:rsidR="006D1E1C" w:rsidRPr="00C9343F" w:rsidRDefault="006D1E1C" w:rsidP="00F66D98">
            <w:pPr>
              <w:pStyle w:val="BlockText-Plain"/>
            </w:pPr>
            <w:r w:rsidRPr="00C9343F">
              <w:rPr>
                <w:rFonts w:cs="Arial"/>
              </w:rPr>
              <w:t>This section applies if a member on ADF district allowance is away from a remote location for any of the following reasons.</w:t>
            </w:r>
          </w:p>
        </w:tc>
      </w:tr>
      <w:tr w:rsidR="006D1E1C" w:rsidRPr="00C9343F" w14:paraId="356B4453" w14:textId="77777777" w:rsidTr="006D1E1C">
        <w:trPr>
          <w:cantSplit/>
        </w:trPr>
        <w:tc>
          <w:tcPr>
            <w:tcW w:w="992" w:type="dxa"/>
          </w:tcPr>
          <w:p w14:paraId="60371C35" w14:textId="77777777" w:rsidR="006D1E1C" w:rsidRPr="00C9343F" w:rsidRDefault="006D1E1C" w:rsidP="00F66D98">
            <w:pPr>
              <w:pStyle w:val="BlockText-Plain"/>
            </w:pPr>
          </w:p>
        </w:tc>
        <w:tc>
          <w:tcPr>
            <w:tcW w:w="567" w:type="dxa"/>
          </w:tcPr>
          <w:p w14:paraId="3D420BEC" w14:textId="77777777" w:rsidR="006D1E1C" w:rsidRPr="00C9343F" w:rsidRDefault="006D1E1C" w:rsidP="007114B1">
            <w:pPr>
              <w:pStyle w:val="BlockText-Plain"/>
              <w:jc w:val="center"/>
            </w:pPr>
            <w:r w:rsidRPr="00C9343F">
              <w:t>a.</w:t>
            </w:r>
          </w:p>
        </w:tc>
        <w:tc>
          <w:tcPr>
            <w:tcW w:w="7796" w:type="dxa"/>
          </w:tcPr>
          <w:p w14:paraId="29D04171" w14:textId="77777777" w:rsidR="006D1E1C" w:rsidRPr="00C9343F" w:rsidRDefault="006D1E1C" w:rsidP="00F66D98">
            <w:pPr>
              <w:pStyle w:val="BlockText-Plain"/>
            </w:pPr>
            <w:r w:rsidRPr="00C9343F">
              <w:rPr>
                <w:rFonts w:cs="Arial"/>
              </w:rPr>
              <w:t>They are serving a period of temporary duty.</w:t>
            </w:r>
          </w:p>
        </w:tc>
      </w:tr>
      <w:tr w:rsidR="006D1E1C" w:rsidRPr="00C9343F" w14:paraId="680B3466" w14:textId="77777777" w:rsidTr="006D1E1C">
        <w:trPr>
          <w:cantSplit/>
        </w:trPr>
        <w:tc>
          <w:tcPr>
            <w:tcW w:w="992" w:type="dxa"/>
          </w:tcPr>
          <w:p w14:paraId="6F28E76F" w14:textId="77777777" w:rsidR="006D1E1C" w:rsidRPr="00C9343F" w:rsidRDefault="006D1E1C" w:rsidP="00F66D98">
            <w:pPr>
              <w:pStyle w:val="BlockText-Plain"/>
            </w:pPr>
          </w:p>
        </w:tc>
        <w:tc>
          <w:tcPr>
            <w:tcW w:w="567" w:type="dxa"/>
          </w:tcPr>
          <w:p w14:paraId="0F4391E0" w14:textId="77777777" w:rsidR="006D1E1C" w:rsidRPr="00C9343F" w:rsidRDefault="006D1E1C" w:rsidP="007114B1">
            <w:pPr>
              <w:pStyle w:val="BlockText-Plain"/>
              <w:jc w:val="center"/>
            </w:pPr>
            <w:r w:rsidRPr="00C9343F">
              <w:t>b.</w:t>
            </w:r>
          </w:p>
        </w:tc>
        <w:tc>
          <w:tcPr>
            <w:tcW w:w="7796" w:type="dxa"/>
          </w:tcPr>
          <w:p w14:paraId="2E3FFE4A" w14:textId="77777777" w:rsidR="006D1E1C" w:rsidRPr="00C9343F" w:rsidRDefault="006D1E1C" w:rsidP="00F66D98">
            <w:pPr>
              <w:pStyle w:val="BlockText-Plain"/>
            </w:pPr>
            <w:r w:rsidRPr="00C9343F">
              <w:rPr>
                <w:rFonts w:cs="Arial"/>
              </w:rPr>
              <w:t>They are serving in a harbour craft temporarily commissioned as a seagoing ship.</w:t>
            </w:r>
          </w:p>
        </w:tc>
      </w:tr>
      <w:tr w:rsidR="006D1E1C" w:rsidRPr="00C9343F" w14:paraId="52A6564B" w14:textId="77777777" w:rsidTr="006D1E1C">
        <w:trPr>
          <w:cantSplit/>
        </w:trPr>
        <w:tc>
          <w:tcPr>
            <w:tcW w:w="992" w:type="dxa"/>
          </w:tcPr>
          <w:p w14:paraId="10E60CE4" w14:textId="77777777" w:rsidR="006D1E1C" w:rsidRPr="00C9343F" w:rsidRDefault="006D1E1C" w:rsidP="00F66D98">
            <w:pPr>
              <w:pStyle w:val="BlockText-Plain"/>
            </w:pPr>
          </w:p>
        </w:tc>
        <w:tc>
          <w:tcPr>
            <w:tcW w:w="567" w:type="dxa"/>
          </w:tcPr>
          <w:p w14:paraId="64894684" w14:textId="77777777" w:rsidR="006D1E1C" w:rsidRPr="00C9343F" w:rsidRDefault="006D1E1C" w:rsidP="007114B1">
            <w:pPr>
              <w:pStyle w:val="BlockText-Plain"/>
              <w:jc w:val="center"/>
            </w:pPr>
            <w:r w:rsidRPr="00C9343F">
              <w:t>c.</w:t>
            </w:r>
          </w:p>
        </w:tc>
        <w:tc>
          <w:tcPr>
            <w:tcW w:w="7796" w:type="dxa"/>
          </w:tcPr>
          <w:p w14:paraId="01631EEF" w14:textId="77777777" w:rsidR="006D1E1C" w:rsidRPr="00C9343F" w:rsidRDefault="006D1E1C" w:rsidP="00F66D98">
            <w:pPr>
              <w:pStyle w:val="BlockText-Plain"/>
              <w:rPr>
                <w:rFonts w:cs="Arial"/>
              </w:rPr>
            </w:pPr>
            <w:r w:rsidRPr="00C9343F">
              <w:t>They are serving in a seagoing ship or submarine.</w:t>
            </w:r>
          </w:p>
        </w:tc>
      </w:tr>
      <w:tr w:rsidR="006D1E1C" w:rsidRPr="00C9343F" w14:paraId="41109D2E" w14:textId="77777777" w:rsidTr="006D1E1C">
        <w:trPr>
          <w:trHeight w:val="469"/>
        </w:trPr>
        <w:tc>
          <w:tcPr>
            <w:tcW w:w="992" w:type="dxa"/>
          </w:tcPr>
          <w:p w14:paraId="5249602D" w14:textId="77777777" w:rsidR="006D1E1C" w:rsidRPr="00C9343F" w:rsidRDefault="006D1E1C" w:rsidP="00F66D98">
            <w:pPr>
              <w:pStyle w:val="BlockText-Plain"/>
              <w:jc w:val="center"/>
            </w:pPr>
            <w:r w:rsidRPr="00C9343F">
              <w:t>2.</w:t>
            </w:r>
          </w:p>
        </w:tc>
        <w:tc>
          <w:tcPr>
            <w:tcW w:w="8363" w:type="dxa"/>
            <w:gridSpan w:val="2"/>
          </w:tcPr>
          <w:p w14:paraId="63FB76FC" w14:textId="77777777" w:rsidR="006D1E1C" w:rsidRPr="00C9343F" w:rsidRDefault="006D1E1C" w:rsidP="00F66D98">
            <w:pPr>
              <w:pStyle w:val="BlockText-Plain"/>
            </w:pPr>
            <w:r w:rsidRPr="00C9343F">
              <w:t>The following table sets out the circumstances where a member may be eligible for district allowance under this section.</w:t>
            </w:r>
          </w:p>
        </w:tc>
      </w:tr>
    </w:tbl>
    <w:p w14:paraId="356ABC50" w14:textId="77777777" w:rsidR="006D1E1C" w:rsidRPr="00C9343F" w:rsidRDefault="006D1E1C" w:rsidP="00F66D98">
      <w:bookmarkStart w:id="685" w:name="bk1346374812Memberonleave"/>
      <w:bookmarkStart w:id="686" w:name="bk1648554812Allowanceonleaveandreturnin"/>
      <w:bookmarkStart w:id="687" w:name="bk92940AM4812Onleaveandreturningtoduty"/>
      <w:bookmarkStart w:id="688" w:name="bk100405AM4812Onleaveandreturningtoduty"/>
      <w:bookmarkStart w:id="689" w:name="bk42127PM4813Onleaveandreturningtoduty"/>
      <w:bookmarkStart w:id="690" w:name="bk1624034813Onleaveandreturningtoduty"/>
      <w:bookmarkStart w:id="691" w:name="bk1635094813Onleaveandreturningtoduty"/>
      <w:bookmarkStart w:id="692" w:name="bk1636364813Onleaveandreturningtoduty"/>
      <w:bookmarkStart w:id="693" w:name="bk1215024812Onleaveandreturningtoduty"/>
      <w:bookmarkStart w:id="694" w:name="bk1325054812Onleaveandreturningtoduty"/>
      <w:bookmarkStart w:id="695" w:name="bk1150254612Onleaveandreturningtoduty"/>
    </w:p>
    <w:tbl>
      <w:tblPr>
        <w:tblW w:w="0" w:type="auto"/>
        <w:tblInd w:w="1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8"/>
        <w:gridCol w:w="2694"/>
        <w:gridCol w:w="4957"/>
      </w:tblGrid>
      <w:tr w:rsidR="006D1E1C" w:rsidRPr="00C9343F" w14:paraId="40ACC276" w14:textId="77777777" w:rsidTr="006D1E1C">
        <w:trPr>
          <w:cantSplit/>
        </w:trPr>
        <w:tc>
          <w:tcPr>
            <w:tcW w:w="708" w:type="dxa"/>
          </w:tcPr>
          <w:p w14:paraId="5AC7114B" w14:textId="77777777" w:rsidR="006D1E1C" w:rsidRPr="00C9343F" w:rsidRDefault="006D1E1C" w:rsidP="00F66D98">
            <w:pPr>
              <w:pStyle w:val="TableHeaderArial"/>
            </w:pPr>
            <w:r w:rsidRPr="00C9343F">
              <w:t>Item</w:t>
            </w:r>
          </w:p>
        </w:tc>
        <w:tc>
          <w:tcPr>
            <w:tcW w:w="2694" w:type="dxa"/>
          </w:tcPr>
          <w:p w14:paraId="21EF47FC" w14:textId="7CC0A487" w:rsidR="006D1E1C" w:rsidRPr="00C9343F" w:rsidRDefault="006D1E1C" w:rsidP="00F66D98">
            <w:pPr>
              <w:pStyle w:val="TableHeaderArial"/>
            </w:pPr>
            <w:r w:rsidRPr="00C9343F">
              <w:t>If the member</w:t>
            </w:r>
            <w:r w:rsidR="00D94006" w:rsidRPr="00C9343F">
              <w:t>    </w:t>
            </w:r>
          </w:p>
        </w:tc>
        <w:tc>
          <w:tcPr>
            <w:tcW w:w="4957" w:type="dxa"/>
          </w:tcPr>
          <w:p w14:paraId="73A94AF0" w14:textId="6C22E25C" w:rsidR="006D1E1C" w:rsidRPr="00C9343F" w:rsidRDefault="006D1E1C" w:rsidP="00F66D98">
            <w:pPr>
              <w:pStyle w:val="TableHeaderArial"/>
            </w:pPr>
            <w:r w:rsidRPr="00C9343F">
              <w:t>then they may be paid ADF district allowance for an absence from location that is for a period of</w:t>
            </w:r>
            <w:r w:rsidR="00D94006" w:rsidRPr="00C9343F">
              <w:t>    </w:t>
            </w:r>
          </w:p>
        </w:tc>
      </w:tr>
      <w:tr w:rsidR="006D1E1C" w:rsidRPr="00C9343F" w14:paraId="4E73E6A1" w14:textId="77777777" w:rsidTr="006D1E1C">
        <w:trPr>
          <w:cantSplit/>
        </w:trPr>
        <w:tc>
          <w:tcPr>
            <w:tcW w:w="708" w:type="dxa"/>
          </w:tcPr>
          <w:p w14:paraId="3EAD0AA6"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1.</w:t>
            </w:r>
          </w:p>
        </w:tc>
        <w:tc>
          <w:tcPr>
            <w:tcW w:w="2694" w:type="dxa"/>
          </w:tcPr>
          <w:p w14:paraId="0F7E5DB8" w14:textId="77777777" w:rsidR="006D1E1C" w:rsidRPr="00C9343F" w:rsidRDefault="006D1E1C" w:rsidP="00F66D98">
            <w:pPr>
              <w:pStyle w:val="TableTextArial-left"/>
            </w:pPr>
            <w:r w:rsidRPr="00C9343F">
              <w:t>returns to the remote location immediately after the absence</w:t>
            </w:r>
          </w:p>
        </w:tc>
        <w:tc>
          <w:tcPr>
            <w:tcW w:w="4957" w:type="dxa"/>
          </w:tcPr>
          <w:p w14:paraId="7DDE2665" w14:textId="77777777" w:rsidR="006D1E1C" w:rsidRPr="00C9343F" w:rsidRDefault="006D1E1C" w:rsidP="00F66D98">
            <w:pPr>
              <w:pStyle w:val="TableTextArial-left"/>
            </w:pPr>
            <w:r w:rsidRPr="00C9343F">
              <w:t>30 days or less.</w:t>
            </w:r>
          </w:p>
        </w:tc>
      </w:tr>
      <w:tr w:rsidR="006D1E1C" w:rsidRPr="00C9343F" w14:paraId="5E8A4F42" w14:textId="77777777" w:rsidTr="006D1E1C">
        <w:trPr>
          <w:cantSplit/>
        </w:trPr>
        <w:tc>
          <w:tcPr>
            <w:tcW w:w="708" w:type="dxa"/>
          </w:tcPr>
          <w:p w14:paraId="4F6384BB"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2.</w:t>
            </w:r>
          </w:p>
        </w:tc>
        <w:tc>
          <w:tcPr>
            <w:tcW w:w="2694" w:type="dxa"/>
          </w:tcPr>
          <w:p w14:paraId="37E7D665" w14:textId="77777777" w:rsidR="006D1E1C" w:rsidRPr="00C9343F" w:rsidRDefault="006D1E1C" w:rsidP="00F66D98">
            <w:pPr>
              <w:pStyle w:val="TableTextArial-left"/>
            </w:pPr>
            <w:r w:rsidRPr="00C9343F">
              <w:t xml:space="preserve">is a </w:t>
            </w:r>
            <w:r w:rsidRPr="00C9343F">
              <w:rPr>
                <w:b/>
                <w:i/>
              </w:rPr>
              <w:t>member</w:t>
            </w:r>
            <w:r w:rsidRPr="00C9343F">
              <w:t xml:space="preserve"> </w:t>
            </w:r>
          </w:p>
          <w:p w14:paraId="5418C013" w14:textId="77777777" w:rsidR="006D1E1C" w:rsidRPr="00C9343F" w:rsidRDefault="006D1E1C" w:rsidP="00F66D98">
            <w:pPr>
              <w:pStyle w:val="TableTextArial-left"/>
            </w:pPr>
            <w:r w:rsidRPr="00C9343F">
              <w:t xml:space="preserve">a. </w:t>
            </w:r>
            <w:r w:rsidRPr="00C9343F">
              <w:rPr>
                <w:b/>
                <w:i/>
              </w:rPr>
              <w:t>with dependants</w:t>
            </w:r>
            <w:r w:rsidRPr="00C9343F">
              <w:t xml:space="preserve"> </w:t>
            </w:r>
            <w:r w:rsidRPr="00C9343F">
              <w:rPr>
                <w:b/>
                <w:i/>
              </w:rPr>
              <w:t>(unaccompanied</w:t>
            </w:r>
            <w:r w:rsidRPr="00C9343F">
              <w:t xml:space="preserve">) and </w:t>
            </w:r>
          </w:p>
          <w:p w14:paraId="548D7B82" w14:textId="77777777" w:rsidR="006D1E1C" w:rsidRPr="00C9343F" w:rsidRDefault="006D1E1C" w:rsidP="00F66D98">
            <w:pPr>
              <w:pStyle w:val="TableTextArial-left"/>
            </w:pPr>
            <w:r w:rsidRPr="00C9343F">
              <w:t xml:space="preserve">b. the </w:t>
            </w:r>
            <w:r w:rsidRPr="00C9343F">
              <w:rPr>
                <w:b/>
                <w:i/>
              </w:rPr>
              <w:t>dependants</w:t>
            </w:r>
            <w:r w:rsidRPr="00C9343F">
              <w:t xml:space="preserve"> stay at the </w:t>
            </w:r>
            <w:r w:rsidRPr="00C9343F">
              <w:rPr>
                <w:b/>
                <w:i/>
              </w:rPr>
              <w:t>remote location</w:t>
            </w:r>
            <w:r w:rsidRPr="00C9343F">
              <w:t xml:space="preserve"> for the period of the absence</w:t>
            </w:r>
          </w:p>
        </w:tc>
        <w:tc>
          <w:tcPr>
            <w:tcW w:w="4957" w:type="dxa"/>
          </w:tcPr>
          <w:p w14:paraId="52C80590" w14:textId="77777777" w:rsidR="006D1E1C" w:rsidRPr="00C9343F" w:rsidRDefault="006D1E1C" w:rsidP="00F66D98">
            <w:pPr>
              <w:pStyle w:val="TableTextArial-left"/>
            </w:pPr>
            <w:r w:rsidRPr="00C9343F">
              <w:t>more than 30 days.</w:t>
            </w:r>
          </w:p>
        </w:tc>
      </w:tr>
      <w:tr w:rsidR="006D1E1C" w:rsidRPr="00C9343F" w14:paraId="7C534442" w14:textId="77777777" w:rsidTr="006D1E1C">
        <w:trPr>
          <w:cantSplit/>
        </w:trPr>
        <w:tc>
          <w:tcPr>
            <w:tcW w:w="708" w:type="dxa"/>
          </w:tcPr>
          <w:p w14:paraId="7B0F9108"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3.</w:t>
            </w:r>
          </w:p>
        </w:tc>
        <w:tc>
          <w:tcPr>
            <w:tcW w:w="2694" w:type="dxa"/>
          </w:tcPr>
          <w:p w14:paraId="1F3BDBFD" w14:textId="77777777" w:rsidR="006D1E1C" w:rsidRPr="00C9343F" w:rsidRDefault="006D1E1C" w:rsidP="00F66D98">
            <w:pPr>
              <w:pStyle w:val="TableTextArial-left"/>
            </w:pPr>
            <w:r w:rsidRPr="00C9343F">
              <w:t xml:space="preserve">is a member </w:t>
            </w:r>
          </w:p>
          <w:p w14:paraId="56734AF5" w14:textId="77777777" w:rsidR="006D1E1C" w:rsidRPr="00C9343F" w:rsidRDefault="006D1E1C" w:rsidP="00F66D98">
            <w:pPr>
              <w:pStyle w:val="TableTextArial-left"/>
            </w:pPr>
            <w:r w:rsidRPr="00C9343F">
              <w:t xml:space="preserve">a. with dependants (unaccompanied) or a member with no dependants living at the remote location and </w:t>
            </w:r>
          </w:p>
          <w:p w14:paraId="200F6EE0" w14:textId="77777777" w:rsidR="006D1E1C" w:rsidRPr="00C9343F" w:rsidRDefault="006D1E1C" w:rsidP="00F66D98">
            <w:pPr>
              <w:pStyle w:val="TableTextArial-left"/>
            </w:pPr>
            <w:r w:rsidRPr="00C9343F">
              <w:t>b. the temporary duty is in another remote location</w:t>
            </w:r>
          </w:p>
        </w:tc>
        <w:tc>
          <w:tcPr>
            <w:tcW w:w="4957" w:type="dxa"/>
          </w:tcPr>
          <w:p w14:paraId="0B1D4100" w14:textId="77777777" w:rsidR="006D1E1C" w:rsidRPr="00C9343F" w:rsidRDefault="006D1E1C" w:rsidP="00F66D98">
            <w:pPr>
              <w:pStyle w:val="TableTextArial-left"/>
            </w:pPr>
            <w:r w:rsidRPr="00C9343F">
              <w:t>more than 30 days.</w:t>
            </w:r>
          </w:p>
        </w:tc>
      </w:tr>
      <w:tr w:rsidR="006D1E1C" w:rsidRPr="00C9343F" w14:paraId="17D7610C" w14:textId="77777777" w:rsidTr="006D1E1C">
        <w:trPr>
          <w:cantSplit/>
        </w:trPr>
        <w:tc>
          <w:tcPr>
            <w:tcW w:w="708" w:type="dxa"/>
          </w:tcPr>
          <w:p w14:paraId="216E9F13"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4.</w:t>
            </w:r>
          </w:p>
        </w:tc>
        <w:tc>
          <w:tcPr>
            <w:tcW w:w="2694" w:type="dxa"/>
          </w:tcPr>
          <w:p w14:paraId="2BD96290" w14:textId="77777777" w:rsidR="006D1E1C" w:rsidRPr="00C9343F" w:rsidRDefault="006D1E1C" w:rsidP="00F66D98">
            <w:pPr>
              <w:pStyle w:val="TableTextArial-left"/>
            </w:pPr>
            <w:r w:rsidRPr="00C9343F">
              <w:t>is posted to another location (away from the remote location) while on temporary duty</w:t>
            </w:r>
          </w:p>
        </w:tc>
        <w:tc>
          <w:tcPr>
            <w:tcW w:w="4957" w:type="dxa"/>
          </w:tcPr>
          <w:p w14:paraId="4DA6ECCD" w14:textId="77777777" w:rsidR="006D1E1C" w:rsidRPr="00C9343F" w:rsidRDefault="006D1E1C" w:rsidP="00F66D98">
            <w:pPr>
              <w:pStyle w:val="TableTextArial-left"/>
            </w:pPr>
            <w:r w:rsidRPr="00C9343F">
              <w:t>the period of temporary duty, up to the day the posting begins in the location that is not remote.</w:t>
            </w:r>
          </w:p>
        </w:tc>
      </w:tr>
    </w:tbl>
    <w:p w14:paraId="3CB2C467" w14:textId="77777777" w:rsidR="006D1E1C" w:rsidRPr="00C9343F" w:rsidRDefault="006D1E1C" w:rsidP="00F66D98"/>
    <w:tbl>
      <w:tblPr>
        <w:tblW w:w="0" w:type="auto"/>
        <w:tblInd w:w="113" w:type="dxa"/>
        <w:tblLayout w:type="fixed"/>
        <w:tblLook w:val="0000" w:firstRow="0" w:lastRow="0" w:firstColumn="0" w:lastColumn="0" w:noHBand="0" w:noVBand="0"/>
      </w:tblPr>
      <w:tblGrid>
        <w:gridCol w:w="992"/>
        <w:gridCol w:w="8363"/>
      </w:tblGrid>
      <w:tr w:rsidR="006D1E1C" w:rsidRPr="00C9343F" w14:paraId="22AFC043" w14:textId="77777777" w:rsidTr="006D1E1C">
        <w:tc>
          <w:tcPr>
            <w:tcW w:w="992" w:type="dxa"/>
          </w:tcPr>
          <w:p w14:paraId="3125825A" w14:textId="77777777" w:rsidR="006D1E1C" w:rsidRPr="00C9343F" w:rsidRDefault="006D1E1C" w:rsidP="00F66D98">
            <w:pPr>
              <w:pStyle w:val="BlockText-Plain"/>
              <w:jc w:val="center"/>
            </w:pPr>
          </w:p>
        </w:tc>
        <w:tc>
          <w:tcPr>
            <w:tcW w:w="8363" w:type="dxa"/>
          </w:tcPr>
          <w:p w14:paraId="070695DC" w14:textId="77777777" w:rsidR="006D1E1C" w:rsidRPr="00C9343F" w:rsidRDefault="006D1E1C" w:rsidP="00F66D98">
            <w:pPr>
              <w:pStyle w:val="BlockText-Plain"/>
            </w:pPr>
            <w:r w:rsidRPr="00C9343F">
              <w:rPr>
                <w:b/>
                <w:bCs/>
              </w:rPr>
              <w:t>Exceptions:</w:t>
            </w:r>
            <w:r w:rsidRPr="00C9343F">
              <w:t xml:space="preserve"> This subsection does not apply if any of the following sections apply: 4.4.12, 4.4.13, 4.4.14 or 4.4.15.</w:t>
            </w:r>
          </w:p>
        </w:tc>
      </w:tr>
    </w:tbl>
    <w:p w14:paraId="114E54AD" w14:textId="022EDBDB" w:rsidR="006D1E1C" w:rsidRPr="00C9343F" w:rsidRDefault="006D1E1C" w:rsidP="00F66D98">
      <w:pPr>
        <w:pStyle w:val="Heading5"/>
      </w:pPr>
      <w:bookmarkStart w:id="696" w:name="_Toc105053815"/>
      <w:r w:rsidRPr="00C9343F">
        <w:t>4.4.12</w:t>
      </w:r>
      <w:r w:rsidR="00D94006" w:rsidRPr="00C9343F">
        <w:t>    </w:t>
      </w:r>
      <w:r w:rsidRPr="00C9343F">
        <w:t>On leave and returning to duty</w:t>
      </w:r>
      <w:bookmarkEnd w:id="696"/>
      <w:r w:rsidRPr="00C9343F">
        <w:t xml:space="preserve"> </w:t>
      </w:r>
    </w:p>
    <w:bookmarkEnd w:id="685"/>
    <w:bookmarkEnd w:id="686"/>
    <w:bookmarkEnd w:id="687"/>
    <w:bookmarkEnd w:id="688"/>
    <w:bookmarkEnd w:id="689"/>
    <w:bookmarkEnd w:id="690"/>
    <w:bookmarkEnd w:id="691"/>
    <w:bookmarkEnd w:id="692"/>
    <w:bookmarkEnd w:id="693"/>
    <w:bookmarkEnd w:id="694"/>
    <w:bookmarkEnd w:id="695"/>
    <w:tbl>
      <w:tblPr>
        <w:tblW w:w="9355" w:type="dxa"/>
        <w:tblInd w:w="113" w:type="dxa"/>
        <w:tblLayout w:type="fixed"/>
        <w:tblLook w:val="0000" w:firstRow="0" w:lastRow="0" w:firstColumn="0" w:lastColumn="0" w:noHBand="0" w:noVBand="0"/>
      </w:tblPr>
      <w:tblGrid>
        <w:gridCol w:w="944"/>
        <w:gridCol w:w="48"/>
        <w:gridCol w:w="660"/>
        <w:gridCol w:w="2694"/>
        <w:gridCol w:w="4820"/>
        <w:gridCol w:w="189"/>
      </w:tblGrid>
      <w:tr w:rsidR="006D1E1C" w:rsidRPr="00C9343F" w14:paraId="16D4C098" w14:textId="77777777" w:rsidTr="008B152E">
        <w:tc>
          <w:tcPr>
            <w:tcW w:w="992" w:type="dxa"/>
            <w:gridSpan w:val="2"/>
          </w:tcPr>
          <w:p w14:paraId="051328C0" w14:textId="77777777" w:rsidR="006D1E1C" w:rsidRPr="00C9343F" w:rsidRDefault="006D1E1C" w:rsidP="00F66D98">
            <w:pPr>
              <w:pStyle w:val="BlockText-PlainNoSpacing"/>
              <w:jc w:val="center"/>
            </w:pPr>
          </w:p>
        </w:tc>
        <w:tc>
          <w:tcPr>
            <w:tcW w:w="8363" w:type="dxa"/>
            <w:gridSpan w:val="4"/>
          </w:tcPr>
          <w:p w14:paraId="4B0EEE32" w14:textId="77777777" w:rsidR="006D1E1C" w:rsidRPr="00C9343F" w:rsidRDefault="006D1E1C" w:rsidP="00F66D98">
            <w:pPr>
              <w:pStyle w:val="BlockText-PlainNoSpacing"/>
              <w:spacing w:after="200"/>
              <w:rPr>
                <w:b/>
              </w:rPr>
            </w:pPr>
            <w:r w:rsidRPr="00C9343F">
              <w:t xml:space="preserve">This table sets out a member's eligibility for ADF district allowance if they go on leave while they are getting the allowance. </w:t>
            </w:r>
          </w:p>
        </w:tc>
      </w:tr>
      <w:tr w:rsidR="006D1E1C" w:rsidRPr="00C9343F" w14:paraId="4A645354" w14:textId="77777777" w:rsidTr="008B1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Before w:val="1"/>
          <w:gridAfter w:val="1"/>
          <w:wBefore w:w="944" w:type="dxa"/>
          <w:wAfter w:w="189" w:type="dxa"/>
          <w:cantSplit/>
        </w:trPr>
        <w:tc>
          <w:tcPr>
            <w:tcW w:w="708" w:type="dxa"/>
            <w:gridSpan w:val="2"/>
          </w:tcPr>
          <w:p w14:paraId="7B83FE3A" w14:textId="77777777" w:rsidR="006D1E1C" w:rsidRPr="00C9343F" w:rsidRDefault="006D1E1C" w:rsidP="00F66D98">
            <w:pPr>
              <w:pStyle w:val="TableHeaderArial"/>
            </w:pPr>
            <w:r w:rsidRPr="00C9343F">
              <w:t>Item</w:t>
            </w:r>
          </w:p>
        </w:tc>
        <w:tc>
          <w:tcPr>
            <w:tcW w:w="2694" w:type="dxa"/>
          </w:tcPr>
          <w:p w14:paraId="11BCF57A" w14:textId="69EBC696" w:rsidR="006D1E1C" w:rsidRPr="00C9343F" w:rsidRDefault="006D1E1C" w:rsidP="00F66D98">
            <w:pPr>
              <w:pStyle w:val="TableHeaderArial"/>
            </w:pPr>
            <w:r w:rsidRPr="00C9343F">
              <w:t>If the member goes on a period of</w:t>
            </w:r>
            <w:r w:rsidR="00D94006" w:rsidRPr="00C9343F">
              <w:t>    </w:t>
            </w:r>
          </w:p>
        </w:tc>
        <w:tc>
          <w:tcPr>
            <w:tcW w:w="4820" w:type="dxa"/>
          </w:tcPr>
          <w:p w14:paraId="19220D48" w14:textId="2C6E34A3" w:rsidR="006D1E1C" w:rsidRPr="00C9343F" w:rsidRDefault="006D1E1C" w:rsidP="00F66D98">
            <w:pPr>
              <w:pStyle w:val="TableHeaderArial"/>
            </w:pPr>
            <w:r w:rsidRPr="00C9343F">
              <w:t>then they are to be paid the allowance for</w:t>
            </w:r>
            <w:r w:rsidR="00D94006" w:rsidRPr="00C9343F">
              <w:t>    </w:t>
            </w:r>
          </w:p>
        </w:tc>
      </w:tr>
      <w:tr w:rsidR="006D1E1C" w:rsidRPr="00C9343F" w14:paraId="6E024D47" w14:textId="77777777" w:rsidTr="008B1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Before w:val="1"/>
          <w:gridAfter w:val="1"/>
          <w:wBefore w:w="944" w:type="dxa"/>
          <w:wAfter w:w="189" w:type="dxa"/>
          <w:cantSplit/>
        </w:trPr>
        <w:tc>
          <w:tcPr>
            <w:tcW w:w="708" w:type="dxa"/>
            <w:gridSpan w:val="2"/>
          </w:tcPr>
          <w:p w14:paraId="05DDA4FF"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1.</w:t>
            </w:r>
          </w:p>
        </w:tc>
        <w:tc>
          <w:tcPr>
            <w:tcW w:w="2694" w:type="dxa"/>
          </w:tcPr>
          <w:p w14:paraId="230F7832" w14:textId="77777777" w:rsidR="006D1E1C" w:rsidRPr="00C9343F" w:rsidRDefault="006D1E1C" w:rsidP="00F66D98">
            <w:pPr>
              <w:pStyle w:val="TableTextArial-left"/>
            </w:pPr>
            <w:r w:rsidRPr="00C9343F">
              <w:t>long service leave</w:t>
            </w:r>
          </w:p>
        </w:tc>
        <w:tc>
          <w:tcPr>
            <w:tcW w:w="4820" w:type="dxa"/>
          </w:tcPr>
          <w:p w14:paraId="2382DA6D" w14:textId="77777777" w:rsidR="006D1E1C" w:rsidRPr="00C9343F" w:rsidRDefault="006D1E1C" w:rsidP="00F66D98">
            <w:pPr>
              <w:pStyle w:val="TableTextArial-left"/>
            </w:pPr>
            <w:r w:rsidRPr="00C9343F">
              <w:t>the period of the leave in which the member, or at least one of their dependants, continues to live at the remote location. The remote location must be the location that the member was paid the allowance for prior to taking long service leave.</w:t>
            </w:r>
          </w:p>
        </w:tc>
      </w:tr>
      <w:tr w:rsidR="006D1E1C" w:rsidRPr="00C9343F" w14:paraId="42BE06C4" w14:textId="77777777" w:rsidTr="008B1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Before w:val="1"/>
          <w:gridAfter w:val="1"/>
          <w:wBefore w:w="944" w:type="dxa"/>
          <w:wAfter w:w="189" w:type="dxa"/>
          <w:cantSplit/>
        </w:trPr>
        <w:tc>
          <w:tcPr>
            <w:tcW w:w="708" w:type="dxa"/>
            <w:gridSpan w:val="2"/>
          </w:tcPr>
          <w:p w14:paraId="695B9A25"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2.</w:t>
            </w:r>
          </w:p>
        </w:tc>
        <w:tc>
          <w:tcPr>
            <w:tcW w:w="2694" w:type="dxa"/>
          </w:tcPr>
          <w:p w14:paraId="7A35794B" w14:textId="77777777" w:rsidR="006D1E1C" w:rsidRPr="00C9343F" w:rsidRDefault="006D1E1C" w:rsidP="00F66D98">
            <w:pPr>
              <w:pStyle w:val="TableTextArial-left"/>
            </w:pPr>
            <w:r w:rsidRPr="00C9343F">
              <w:t>recreation leave</w:t>
            </w:r>
          </w:p>
        </w:tc>
        <w:tc>
          <w:tcPr>
            <w:tcW w:w="4820" w:type="dxa"/>
            <w:vMerge w:val="restart"/>
          </w:tcPr>
          <w:p w14:paraId="707B3C1D" w14:textId="77777777" w:rsidR="006D1E1C" w:rsidRPr="00C9343F" w:rsidRDefault="006D1E1C" w:rsidP="00F66D98">
            <w:pPr>
              <w:pStyle w:val="TableTextArial-left"/>
            </w:pPr>
            <w:r w:rsidRPr="00C9343F">
              <w:t>the whole period of the leave, if they are to return to duty at a remote location at the end of that period.</w:t>
            </w:r>
          </w:p>
        </w:tc>
      </w:tr>
      <w:tr w:rsidR="006D1E1C" w:rsidRPr="00C9343F" w14:paraId="7474249A" w14:textId="77777777" w:rsidTr="008B1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Before w:val="1"/>
          <w:gridAfter w:val="1"/>
          <w:wBefore w:w="944" w:type="dxa"/>
          <w:wAfter w:w="189" w:type="dxa"/>
          <w:cantSplit/>
        </w:trPr>
        <w:tc>
          <w:tcPr>
            <w:tcW w:w="708" w:type="dxa"/>
            <w:gridSpan w:val="2"/>
          </w:tcPr>
          <w:p w14:paraId="0F166C24"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3.</w:t>
            </w:r>
          </w:p>
        </w:tc>
        <w:tc>
          <w:tcPr>
            <w:tcW w:w="2694" w:type="dxa"/>
          </w:tcPr>
          <w:p w14:paraId="6A3F59DF" w14:textId="77777777" w:rsidR="006D1E1C" w:rsidRPr="00C9343F" w:rsidRDefault="006D1E1C" w:rsidP="00F66D98">
            <w:pPr>
              <w:pStyle w:val="TableTextArial-left"/>
            </w:pPr>
            <w:r w:rsidRPr="00C9343F">
              <w:t>compassionate or carer's leave</w:t>
            </w:r>
          </w:p>
        </w:tc>
        <w:tc>
          <w:tcPr>
            <w:tcW w:w="4820" w:type="dxa"/>
            <w:vMerge/>
          </w:tcPr>
          <w:p w14:paraId="1B67B414" w14:textId="77777777" w:rsidR="006D1E1C" w:rsidRPr="00C9343F" w:rsidRDefault="006D1E1C" w:rsidP="00F66D98">
            <w:pPr>
              <w:pStyle w:val="TableTextArial-left"/>
            </w:pPr>
          </w:p>
        </w:tc>
      </w:tr>
      <w:tr w:rsidR="006D1E1C" w:rsidRPr="00C9343F" w14:paraId="27835EF9" w14:textId="77777777" w:rsidTr="008B1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Before w:val="1"/>
          <w:gridAfter w:val="1"/>
          <w:wBefore w:w="944" w:type="dxa"/>
          <w:wAfter w:w="189" w:type="dxa"/>
          <w:cantSplit/>
        </w:trPr>
        <w:tc>
          <w:tcPr>
            <w:tcW w:w="708" w:type="dxa"/>
            <w:gridSpan w:val="2"/>
          </w:tcPr>
          <w:p w14:paraId="26AD10C6"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4.</w:t>
            </w:r>
          </w:p>
        </w:tc>
        <w:tc>
          <w:tcPr>
            <w:tcW w:w="2694" w:type="dxa"/>
          </w:tcPr>
          <w:p w14:paraId="586933E6" w14:textId="77777777" w:rsidR="006D1E1C" w:rsidRPr="00C9343F" w:rsidRDefault="006D1E1C" w:rsidP="00F66D98">
            <w:pPr>
              <w:pStyle w:val="TableTextArial-left"/>
            </w:pPr>
            <w:r w:rsidRPr="00C9343F">
              <w:t>absence from duty while ill or in hospital</w:t>
            </w:r>
          </w:p>
        </w:tc>
        <w:tc>
          <w:tcPr>
            <w:tcW w:w="4820" w:type="dxa"/>
            <w:vMerge/>
          </w:tcPr>
          <w:p w14:paraId="56F8F2B1" w14:textId="77777777" w:rsidR="006D1E1C" w:rsidRPr="00C9343F" w:rsidRDefault="006D1E1C" w:rsidP="00F66D98">
            <w:pPr>
              <w:pStyle w:val="TableTextArial-left"/>
            </w:pPr>
          </w:p>
        </w:tc>
      </w:tr>
      <w:tr w:rsidR="006D1E1C" w:rsidRPr="00C9343F" w14:paraId="1E85128B" w14:textId="77777777" w:rsidTr="008B1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Before w:val="1"/>
          <w:gridAfter w:val="1"/>
          <w:wBefore w:w="944" w:type="dxa"/>
          <w:wAfter w:w="189" w:type="dxa"/>
          <w:cantSplit/>
        </w:trPr>
        <w:tc>
          <w:tcPr>
            <w:tcW w:w="708" w:type="dxa"/>
            <w:gridSpan w:val="2"/>
          </w:tcPr>
          <w:p w14:paraId="75DF34CB"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5.</w:t>
            </w:r>
          </w:p>
        </w:tc>
        <w:tc>
          <w:tcPr>
            <w:tcW w:w="2694" w:type="dxa"/>
          </w:tcPr>
          <w:p w14:paraId="0EF954BF" w14:textId="77777777" w:rsidR="006D1E1C" w:rsidRPr="00C9343F" w:rsidRDefault="006D1E1C" w:rsidP="00F66D98">
            <w:pPr>
              <w:pStyle w:val="TableTextArial-left"/>
            </w:pPr>
            <w:r w:rsidRPr="00C9343F">
              <w:t>paid maternity leave</w:t>
            </w:r>
          </w:p>
        </w:tc>
        <w:tc>
          <w:tcPr>
            <w:tcW w:w="4820" w:type="dxa"/>
            <w:vMerge/>
          </w:tcPr>
          <w:p w14:paraId="0E34E6C0" w14:textId="77777777" w:rsidR="006D1E1C" w:rsidRPr="00C9343F" w:rsidRDefault="006D1E1C" w:rsidP="00F66D98">
            <w:pPr>
              <w:pStyle w:val="TableTextArial-left"/>
            </w:pPr>
          </w:p>
        </w:tc>
      </w:tr>
      <w:tr w:rsidR="006D1E1C" w:rsidRPr="00C9343F" w14:paraId="6DF693C4" w14:textId="77777777" w:rsidTr="008B1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Before w:val="1"/>
          <w:gridAfter w:val="1"/>
          <w:wBefore w:w="944" w:type="dxa"/>
          <w:wAfter w:w="189" w:type="dxa"/>
          <w:cantSplit/>
        </w:trPr>
        <w:tc>
          <w:tcPr>
            <w:tcW w:w="708" w:type="dxa"/>
            <w:gridSpan w:val="2"/>
          </w:tcPr>
          <w:p w14:paraId="72251A36"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6.</w:t>
            </w:r>
          </w:p>
        </w:tc>
        <w:tc>
          <w:tcPr>
            <w:tcW w:w="2694" w:type="dxa"/>
          </w:tcPr>
          <w:p w14:paraId="146B80E8" w14:textId="77777777" w:rsidR="006D1E1C" w:rsidRPr="00C9343F" w:rsidRDefault="006D1E1C" w:rsidP="00F66D98">
            <w:pPr>
              <w:pStyle w:val="TableTextArial-left"/>
            </w:pPr>
            <w:r w:rsidRPr="00C9343F">
              <w:t>paid parental leave</w:t>
            </w:r>
          </w:p>
        </w:tc>
        <w:tc>
          <w:tcPr>
            <w:tcW w:w="4820" w:type="dxa"/>
            <w:vMerge/>
          </w:tcPr>
          <w:p w14:paraId="7B3CFE59" w14:textId="77777777" w:rsidR="006D1E1C" w:rsidRPr="00C9343F" w:rsidRDefault="006D1E1C" w:rsidP="00F66D98">
            <w:pPr>
              <w:pStyle w:val="TableTextArial-left"/>
            </w:pPr>
          </w:p>
        </w:tc>
      </w:tr>
      <w:tr w:rsidR="006D1E1C" w:rsidRPr="00C9343F" w14:paraId="3AA1D5AB" w14:textId="77777777" w:rsidTr="008B1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Before w:val="1"/>
          <w:gridAfter w:val="1"/>
          <w:wBefore w:w="944" w:type="dxa"/>
          <w:wAfter w:w="189" w:type="dxa"/>
          <w:cantSplit/>
        </w:trPr>
        <w:tc>
          <w:tcPr>
            <w:tcW w:w="708" w:type="dxa"/>
            <w:gridSpan w:val="2"/>
          </w:tcPr>
          <w:p w14:paraId="278FB4B9" w14:textId="77777777" w:rsidR="006D1E1C" w:rsidRPr="00C9343F" w:rsidRDefault="006D1E1C" w:rsidP="00F66D98">
            <w:pPr>
              <w:pStyle w:val="TableTextArial-ctrd"/>
              <w:keepLines/>
              <w:numPr>
                <w:ilvl w:val="0"/>
                <w:numId w:val="0"/>
              </w:numPr>
              <w:tabs>
                <w:tab w:val="left" w:pos="0"/>
                <w:tab w:val="left" w:pos="1276"/>
              </w:tabs>
              <w:spacing w:before="0" w:after="60"/>
            </w:pPr>
            <w:r w:rsidRPr="00C9343F">
              <w:t>7.</w:t>
            </w:r>
          </w:p>
        </w:tc>
        <w:tc>
          <w:tcPr>
            <w:tcW w:w="2694" w:type="dxa"/>
          </w:tcPr>
          <w:p w14:paraId="4F14F40C" w14:textId="77777777" w:rsidR="006D1E1C" w:rsidRPr="00C9343F" w:rsidRDefault="006D1E1C" w:rsidP="00F66D98">
            <w:pPr>
              <w:pStyle w:val="TableTextArial-left"/>
            </w:pPr>
            <w:r w:rsidRPr="00C9343F">
              <w:t>leave without pay</w:t>
            </w:r>
          </w:p>
        </w:tc>
        <w:tc>
          <w:tcPr>
            <w:tcW w:w="4820" w:type="dxa"/>
          </w:tcPr>
          <w:p w14:paraId="71E35E34" w14:textId="77777777" w:rsidR="006D1E1C" w:rsidRPr="00C9343F" w:rsidRDefault="006D1E1C" w:rsidP="00F66D98">
            <w:pPr>
              <w:pStyle w:val="TableTextArial-left"/>
            </w:pPr>
            <w:r w:rsidRPr="00C9343F">
              <w:t>no time during the leave period.</w:t>
            </w:r>
          </w:p>
        </w:tc>
      </w:tr>
    </w:tbl>
    <w:p w14:paraId="6D8EE6CC" w14:textId="77777777" w:rsidR="006D1E1C" w:rsidRPr="00C9343F" w:rsidRDefault="006D1E1C" w:rsidP="00F66D98">
      <w:bookmarkStart w:id="697" w:name="bk1648554813Allowanceonleaveaftercomple"/>
      <w:bookmarkStart w:id="698" w:name="bk92940AM4813Onleaveaftercompletionofdu"/>
      <w:bookmarkStart w:id="699" w:name="bk100405AM4813Onleaveaftercompletionofd"/>
      <w:bookmarkStart w:id="700" w:name="bk42127PM4814Onleaveaftercompletionofdu"/>
      <w:bookmarkStart w:id="701" w:name="bk1624034814Onleaveaftercompletionofdut"/>
      <w:bookmarkStart w:id="702" w:name="bk1635094814Paymentaftercompletionofdut"/>
      <w:bookmarkStart w:id="703" w:name="bk1636364814Paymentaftercompletionofdut"/>
      <w:bookmarkStart w:id="704" w:name="bk1215024813Paymentaftercompletionofdut"/>
      <w:bookmarkStart w:id="705" w:name="bk1325054813Paymentaftercompletionofdut"/>
      <w:bookmarkStart w:id="706" w:name="bk1150254613Paymentaftercompletionofdut"/>
    </w:p>
    <w:p w14:paraId="20E6C770" w14:textId="38EC36E6" w:rsidR="006D1E1C" w:rsidRPr="00C9343F" w:rsidRDefault="006D1E1C" w:rsidP="00F66D98">
      <w:pPr>
        <w:pStyle w:val="Heading5"/>
      </w:pPr>
      <w:bookmarkStart w:id="707" w:name="_Toc105053816"/>
      <w:r w:rsidRPr="00C9343F">
        <w:t>4.4.13</w:t>
      </w:r>
      <w:r w:rsidR="00D94006" w:rsidRPr="00C9343F">
        <w:t>    </w:t>
      </w:r>
      <w:r w:rsidRPr="00C9343F">
        <w:t>Payment after completion of duty</w:t>
      </w:r>
      <w:bookmarkEnd w:id="707"/>
    </w:p>
    <w:tbl>
      <w:tblPr>
        <w:tblW w:w="9355" w:type="dxa"/>
        <w:tblInd w:w="113" w:type="dxa"/>
        <w:tblLayout w:type="fixed"/>
        <w:tblLook w:val="0000" w:firstRow="0" w:lastRow="0" w:firstColumn="0" w:lastColumn="0" w:noHBand="0" w:noVBand="0"/>
      </w:tblPr>
      <w:tblGrid>
        <w:gridCol w:w="992"/>
        <w:gridCol w:w="567"/>
        <w:gridCol w:w="7796"/>
      </w:tblGrid>
      <w:tr w:rsidR="006D1E1C" w:rsidRPr="00C9343F" w14:paraId="73D38AB4" w14:textId="77777777" w:rsidTr="00B42668">
        <w:tc>
          <w:tcPr>
            <w:tcW w:w="992" w:type="dxa"/>
          </w:tcPr>
          <w:bookmarkEnd w:id="697"/>
          <w:bookmarkEnd w:id="698"/>
          <w:bookmarkEnd w:id="699"/>
          <w:bookmarkEnd w:id="700"/>
          <w:bookmarkEnd w:id="701"/>
          <w:bookmarkEnd w:id="702"/>
          <w:bookmarkEnd w:id="703"/>
          <w:bookmarkEnd w:id="704"/>
          <w:bookmarkEnd w:id="705"/>
          <w:bookmarkEnd w:id="706"/>
          <w:p w14:paraId="507DDD31" w14:textId="77777777" w:rsidR="006D1E1C" w:rsidRPr="00C9343F" w:rsidRDefault="006D1E1C" w:rsidP="00F66D98">
            <w:pPr>
              <w:pStyle w:val="BlockText-PlainNoSpacing"/>
              <w:jc w:val="center"/>
            </w:pPr>
            <w:r w:rsidRPr="00C9343F">
              <w:t>1.</w:t>
            </w:r>
          </w:p>
        </w:tc>
        <w:tc>
          <w:tcPr>
            <w:tcW w:w="8363" w:type="dxa"/>
            <w:gridSpan w:val="2"/>
          </w:tcPr>
          <w:p w14:paraId="079B81E9" w14:textId="77777777" w:rsidR="006D1E1C" w:rsidRPr="00C9343F" w:rsidRDefault="006D1E1C" w:rsidP="00F66D98">
            <w:pPr>
              <w:pStyle w:val="BlockText-Plain"/>
            </w:pPr>
            <w:r w:rsidRPr="00C9343F">
              <w:t>This section applies if a member meets any of these conditions immediately after the end of a period of duty at a remote location.</w:t>
            </w:r>
          </w:p>
        </w:tc>
      </w:tr>
      <w:tr w:rsidR="006D1E1C" w:rsidRPr="00C9343F" w14:paraId="61211CB0" w14:textId="77777777" w:rsidTr="00B42668">
        <w:trPr>
          <w:cantSplit/>
        </w:trPr>
        <w:tc>
          <w:tcPr>
            <w:tcW w:w="992" w:type="dxa"/>
          </w:tcPr>
          <w:p w14:paraId="157D0B09" w14:textId="77777777" w:rsidR="006D1E1C" w:rsidRPr="00C9343F" w:rsidRDefault="006D1E1C" w:rsidP="00F66D98">
            <w:pPr>
              <w:pStyle w:val="BlockText-Plain"/>
            </w:pPr>
          </w:p>
        </w:tc>
        <w:tc>
          <w:tcPr>
            <w:tcW w:w="567" w:type="dxa"/>
          </w:tcPr>
          <w:p w14:paraId="791D249E" w14:textId="77777777" w:rsidR="006D1E1C" w:rsidRPr="00C9343F" w:rsidRDefault="006D1E1C" w:rsidP="007114B1">
            <w:pPr>
              <w:pStyle w:val="BlockText-Plain"/>
              <w:jc w:val="center"/>
            </w:pPr>
            <w:r w:rsidRPr="00C9343F">
              <w:t>a.</w:t>
            </w:r>
          </w:p>
        </w:tc>
        <w:tc>
          <w:tcPr>
            <w:tcW w:w="7796" w:type="dxa"/>
          </w:tcPr>
          <w:p w14:paraId="6E12C51F" w14:textId="77777777" w:rsidR="006D1E1C" w:rsidRPr="00C9343F" w:rsidRDefault="006D1E1C" w:rsidP="00F66D98">
            <w:pPr>
              <w:pStyle w:val="BlockText-Plain"/>
            </w:pPr>
            <w:r w:rsidRPr="00C9343F">
              <w:t>They are granted a period of recreation leave. This includes any period of travelling leave.</w:t>
            </w:r>
          </w:p>
        </w:tc>
      </w:tr>
      <w:tr w:rsidR="006D1E1C" w:rsidRPr="00C9343F" w14:paraId="16E6901F" w14:textId="77777777" w:rsidTr="00B42668">
        <w:trPr>
          <w:cantSplit/>
        </w:trPr>
        <w:tc>
          <w:tcPr>
            <w:tcW w:w="992" w:type="dxa"/>
          </w:tcPr>
          <w:p w14:paraId="4E567177" w14:textId="77777777" w:rsidR="006D1E1C" w:rsidRPr="00C9343F" w:rsidRDefault="006D1E1C" w:rsidP="00F66D98">
            <w:pPr>
              <w:pStyle w:val="BlockText-Plain"/>
            </w:pPr>
          </w:p>
        </w:tc>
        <w:tc>
          <w:tcPr>
            <w:tcW w:w="567" w:type="dxa"/>
          </w:tcPr>
          <w:p w14:paraId="654BC0CA" w14:textId="77777777" w:rsidR="006D1E1C" w:rsidRPr="00C9343F" w:rsidRDefault="006D1E1C" w:rsidP="007114B1">
            <w:pPr>
              <w:pStyle w:val="BlockText-Plain"/>
              <w:jc w:val="center"/>
            </w:pPr>
            <w:r w:rsidRPr="00C9343F">
              <w:t>b.</w:t>
            </w:r>
          </w:p>
        </w:tc>
        <w:tc>
          <w:tcPr>
            <w:tcW w:w="7796" w:type="dxa"/>
          </w:tcPr>
          <w:p w14:paraId="262FE811" w14:textId="77777777" w:rsidR="006D1E1C" w:rsidRPr="00C9343F" w:rsidRDefault="006D1E1C" w:rsidP="00F66D98">
            <w:pPr>
              <w:pStyle w:val="BlockText-Plain"/>
            </w:pPr>
            <w:r w:rsidRPr="00C9343F">
              <w:t>They are granted an absence from duty for illness.</w:t>
            </w:r>
          </w:p>
        </w:tc>
      </w:tr>
      <w:tr w:rsidR="006D1E1C" w:rsidRPr="00C9343F" w14:paraId="707C4FBB" w14:textId="77777777" w:rsidTr="00B42668">
        <w:trPr>
          <w:cantSplit/>
        </w:trPr>
        <w:tc>
          <w:tcPr>
            <w:tcW w:w="992" w:type="dxa"/>
          </w:tcPr>
          <w:p w14:paraId="2633B4BA" w14:textId="77777777" w:rsidR="006D1E1C" w:rsidRPr="00C9343F" w:rsidRDefault="006D1E1C" w:rsidP="00F66D98">
            <w:pPr>
              <w:pStyle w:val="BlockText-Plain"/>
            </w:pPr>
          </w:p>
        </w:tc>
        <w:tc>
          <w:tcPr>
            <w:tcW w:w="567" w:type="dxa"/>
          </w:tcPr>
          <w:p w14:paraId="28A917A4" w14:textId="77777777" w:rsidR="006D1E1C" w:rsidRPr="00C9343F" w:rsidRDefault="006D1E1C" w:rsidP="007114B1">
            <w:pPr>
              <w:pStyle w:val="BlockText-Plain"/>
              <w:jc w:val="center"/>
            </w:pPr>
            <w:r w:rsidRPr="00C9343F">
              <w:t>c.</w:t>
            </w:r>
          </w:p>
        </w:tc>
        <w:tc>
          <w:tcPr>
            <w:tcW w:w="7796" w:type="dxa"/>
          </w:tcPr>
          <w:p w14:paraId="79FCC0C5" w14:textId="77777777" w:rsidR="006D1E1C" w:rsidRPr="00C9343F" w:rsidRDefault="006D1E1C" w:rsidP="00F66D98">
            <w:pPr>
              <w:pStyle w:val="BlockText-Plain"/>
            </w:pPr>
            <w:r w:rsidRPr="00C9343F">
              <w:t>They are hospitalised.</w:t>
            </w:r>
          </w:p>
        </w:tc>
      </w:tr>
      <w:tr w:rsidR="006D1E1C" w:rsidRPr="00C9343F" w14:paraId="13240B5D" w14:textId="77777777" w:rsidTr="00B42668">
        <w:tc>
          <w:tcPr>
            <w:tcW w:w="992" w:type="dxa"/>
          </w:tcPr>
          <w:p w14:paraId="6C0BB709" w14:textId="77777777" w:rsidR="006D1E1C" w:rsidRPr="00C9343F" w:rsidRDefault="006D1E1C" w:rsidP="00F66D98">
            <w:pPr>
              <w:pStyle w:val="BlockText-Plain"/>
              <w:jc w:val="center"/>
            </w:pPr>
            <w:r w:rsidRPr="00C9343F">
              <w:t>2.</w:t>
            </w:r>
          </w:p>
        </w:tc>
        <w:tc>
          <w:tcPr>
            <w:tcW w:w="8363" w:type="dxa"/>
            <w:gridSpan w:val="2"/>
          </w:tcPr>
          <w:p w14:paraId="1879C916" w14:textId="77777777" w:rsidR="006D1E1C" w:rsidRPr="00C9343F" w:rsidRDefault="006D1E1C" w:rsidP="00F66D98">
            <w:pPr>
              <w:pStyle w:val="BlockText-Plain"/>
            </w:pPr>
            <w:r w:rsidRPr="00C9343F">
              <w:t>The period of leave or absence is taken to be a period of duty at the remote location. The member is eligible for ADF district allowance for the period, subject to subsection 3.</w:t>
            </w:r>
          </w:p>
        </w:tc>
      </w:tr>
      <w:tr w:rsidR="006D1E1C" w:rsidRPr="00C9343F" w14:paraId="57B3E499" w14:textId="77777777" w:rsidTr="00B42668">
        <w:tc>
          <w:tcPr>
            <w:tcW w:w="992" w:type="dxa"/>
          </w:tcPr>
          <w:p w14:paraId="68D4B55E" w14:textId="77777777" w:rsidR="006D1E1C" w:rsidRPr="00C9343F" w:rsidRDefault="006D1E1C" w:rsidP="00F66D98">
            <w:pPr>
              <w:pStyle w:val="BlockText-Plain"/>
              <w:jc w:val="center"/>
            </w:pPr>
            <w:r w:rsidRPr="00C9343F">
              <w:t>3.</w:t>
            </w:r>
          </w:p>
        </w:tc>
        <w:tc>
          <w:tcPr>
            <w:tcW w:w="8363" w:type="dxa"/>
            <w:gridSpan w:val="2"/>
          </w:tcPr>
          <w:p w14:paraId="433EB509" w14:textId="77777777" w:rsidR="006D1E1C" w:rsidRPr="00C9343F" w:rsidRDefault="006D1E1C" w:rsidP="00F66D98">
            <w:pPr>
              <w:pStyle w:val="BlockText-Plain"/>
            </w:pPr>
            <w:r w:rsidRPr="00C9343F">
              <w:t>The period under subsection 2 must not be more than the period of recreation leave that the member accrued for service at the remote location.</w:t>
            </w:r>
          </w:p>
        </w:tc>
      </w:tr>
      <w:tr w:rsidR="006D1E1C" w:rsidRPr="00C9343F" w14:paraId="7BC6062C" w14:textId="77777777" w:rsidTr="00B42668">
        <w:tc>
          <w:tcPr>
            <w:tcW w:w="992" w:type="dxa"/>
          </w:tcPr>
          <w:p w14:paraId="2B55A29E" w14:textId="77777777" w:rsidR="006D1E1C" w:rsidRPr="00C9343F" w:rsidRDefault="006D1E1C" w:rsidP="00F66D98">
            <w:pPr>
              <w:pStyle w:val="BlockText-Plain"/>
              <w:jc w:val="center"/>
            </w:pPr>
            <w:r w:rsidRPr="00C9343F">
              <w:t>4.</w:t>
            </w:r>
          </w:p>
        </w:tc>
        <w:tc>
          <w:tcPr>
            <w:tcW w:w="8363" w:type="dxa"/>
            <w:gridSpan w:val="2"/>
          </w:tcPr>
          <w:p w14:paraId="0F4C437F" w14:textId="77777777" w:rsidR="006D1E1C" w:rsidRPr="00C9343F" w:rsidRDefault="006D1E1C" w:rsidP="00F66D98">
            <w:pPr>
              <w:pStyle w:val="BlockText-Plain"/>
            </w:pPr>
            <w:r w:rsidRPr="00C9343F">
              <w:t>For Service reasons, the member may not be able to take a period of recreation leave immediately after a period of duty at the remote location. In this case, they are eligible for the allowance as if they had taken the leave.</w:t>
            </w:r>
          </w:p>
        </w:tc>
      </w:tr>
      <w:tr w:rsidR="006D1E1C" w:rsidRPr="00C9343F" w14:paraId="6C5DE47D" w14:textId="77777777" w:rsidTr="00B42668">
        <w:tc>
          <w:tcPr>
            <w:tcW w:w="992" w:type="dxa"/>
          </w:tcPr>
          <w:p w14:paraId="3291694B" w14:textId="77777777" w:rsidR="006D1E1C" w:rsidRPr="00C9343F" w:rsidRDefault="006D1E1C" w:rsidP="00F66D98">
            <w:pPr>
              <w:pStyle w:val="BlockText-Plain"/>
              <w:jc w:val="center"/>
            </w:pPr>
            <w:r w:rsidRPr="00C9343F">
              <w:t>5.</w:t>
            </w:r>
          </w:p>
        </w:tc>
        <w:tc>
          <w:tcPr>
            <w:tcW w:w="8363" w:type="dxa"/>
            <w:gridSpan w:val="2"/>
          </w:tcPr>
          <w:p w14:paraId="0F813F16" w14:textId="77777777" w:rsidR="006D1E1C" w:rsidRPr="00C9343F" w:rsidRDefault="006D1E1C" w:rsidP="00F66D98">
            <w:pPr>
              <w:pStyle w:val="BlockText-Plain"/>
            </w:pPr>
            <w:r w:rsidRPr="00C9343F">
              <w:t>For Service reasons, the member may not be able to take all or part of the leave they accrued in the remote location immediately after they complete their posting. In this case, they are eligible for a lump sum. The lump sum will be equal to the amount of ADF district allowance for the leave they accrued and did not take.</w:t>
            </w:r>
          </w:p>
        </w:tc>
      </w:tr>
    </w:tbl>
    <w:p w14:paraId="691383C6" w14:textId="3F7BCAFC" w:rsidR="006D1E1C" w:rsidRPr="00C9343F" w:rsidRDefault="006D1E1C" w:rsidP="00F66D98">
      <w:pPr>
        <w:pStyle w:val="Heading5"/>
      </w:pPr>
      <w:bookmarkStart w:id="708" w:name="_Toc105053817"/>
      <w:bookmarkStart w:id="709" w:name="bk1648554814Postingfromonedifficultloca"/>
      <w:bookmarkStart w:id="710" w:name="bk92940AM4814Postingfromadifficultlocat"/>
      <w:bookmarkStart w:id="711" w:name="bk100405AM4814Postingfromadifficultloca"/>
      <w:bookmarkStart w:id="712" w:name="bk42127PM4815Postingfromadifficultlocat"/>
      <w:bookmarkStart w:id="713" w:name="bk1624034815Postingfromadifficultlocati"/>
      <w:bookmarkStart w:id="714" w:name="bk1635094815Postingfromadifficultlocati"/>
      <w:bookmarkStart w:id="715" w:name="bk1636364815Postingfromonedifficultloca"/>
      <w:bookmarkStart w:id="716" w:name="bk1215024814Postingfromonedifficultloca"/>
      <w:bookmarkStart w:id="717" w:name="bk1325054814Postingfromonedifficultloca"/>
      <w:bookmarkStart w:id="718" w:name="bk1150254614Postingfromonedifficultloca"/>
      <w:r w:rsidRPr="00C9343F">
        <w:t>4.4.14</w:t>
      </w:r>
      <w:r w:rsidR="00D94006" w:rsidRPr="00C9343F">
        <w:t>    </w:t>
      </w:r>
      <w:r w:rsidRPr="00C9343F">
        <w:t xml:space="preserve">Posting from </w:t>
      </w:r>
      <w:bookmarkStart w:id="719" w:name="_Hlt82252714"/>
      <w:bookmarkEnd w:id="719"/>
      <w:r w:rsidRPr="00C9343F">
        <w:t>one remote location to another remote location</w:t>
      </w:r>
      <w:bookmarkEnd w:id="708"/>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4B559B85" w14:textId="77777777" w:rsidTr="006D1E1C">
        <w:tc>
          <w:tcPr>
            <w:tcW w:w="992" w:type="dxa"/>
          </w:tcPr>
          <w:bookmarkEnd w:id="709"/>
          <w:bookmarkEnd w:id="710"/>
          <w:bookmarkEnd w:id="711"/>
          <w:bookmarkEnd w:id="712"/>
          <w:bookmarkEnd w:id="713"/>
          <w:bookmarkEnd w:id="714"/>
          <w:bookmarkEnd w:id="715"/>
          <w:bookmarkEnd w:id="716"/>
          <w:bookmarkEnd w:id="717"/>
          <w:bookmarkEnd w:id="718"/>
          <w:p w14:paraId="2CB32038" w14:textId="77777777" w:rsidR="006D1E1C" w:rsidRPr="00C9343F" w:rsidRDefault="006D1E1C" w:rsidP="00F66D98">
            <w:pPr>
              <w:pStyle w:val="BlockText-PlainNoSpacing"/>
              <w:jc w:val="center"/>
            </w:pPr>
            <w:r w:rsidRPr="00C9343F">
              <w:t>1.</w:t>
            </w:r>
          </w:p>
        </w:tc>
        <w:tc>
          <w:tcPr>
            <w:tcW w:w="8363" w:type="dxa"/>
            <w:gridSpan w:val="2"/>
          </w:tcPr>
          <w:p w14:paraId="6EE7BD49" w14:textId="77777777" w:rsidR="006D1E1C" w:rsidRPr="00C9343F" w:rsidRDefault="006D1E1C" w:rsidP="00F66D98">
            <w:pPr>
              <w:pStyle w:val="BlockText-Plain"/>
            </w:pPr>
            <w:r w:rsidRPr="00C9343F">
              <w:t xml:space="preserve">This subsection applies if a member is posted from one </w:t>
            </w:r>
            <w:r w:rsidRPr="00C9343F">
              <w:rPr>
                <w:b/>
                <w:i/>
              </w:rPr>
              <w:t>remote</w:t>
            </w:r>
            <w:r w:rsidRPr="00C9343F">
              <w:t xml:space="preserve"> </w:t>
            </w:r>
            <w:r w:rsidRPr="00C9343F">
              <w:rPr>
                <w:b/>
                <w:i/>
              </w:rPr>
              <w:t>location</w:t>
            </w:r>
            <w:r w:rsidRPr="00C9343F">
              <w:t xml:space="preserve"> to another remote location.</w:t>
            </w:r>
          </w:p>
        </w:tc>
      </w:tr>
      <w:tr w:rsidR="006D1E1C" w:rsidRPr="00C9343F" w14:paraId="2010BECB" w14:textId="77777777" w:rsidTr="006D1E1C">
        <w:tc>
          <w:tcPr>
            <w:tcW w:w="992" w:type="dxa"/>
          </w:tcPr>
          <w:p w14:paraId="2E3C1CDA" w14:textId="77777777" w:rsidR="006D1E1C" w:rsidRPr="00C9343F" w:rsidRDefault="006D1E1C" w:rsidP="00F66D98">
            <w:pPr>
              <w:pStyle w:val="BlockText-Plain"/>
              <w:jc w:val="center"/>
            </w:pPr>
            <w:r w:rsidRPr="00C9343F">
              <w:t>2.</w:t>
            </w:r>
          </w:p>
        </w:tc>
        <w:tc>
          <w:tcPr>
            <w:tcW w:w="8363" w:type="dxa"/>
            <w:gridSpan w:val="2"/>
          </w:tcPr>
          <w:p w14:paraId="4BDAB2F8" w14:textId="7B7914DD" w:rsidR="006D1E1C" w:rsidRPr="00C9343F" w:rsidRDefault="006D1E1C" w:rsidP="00F66D98">
            <w:pPr>
              <w:pStyle w:val="BlockText-Plain"/>
            </w:pPr>
            <w:r w:rsidRPr="00C9343F">
              <w:t>The member is eligible for ADF district allowance at the rate for the old posting until the beginning of their posting period at the new location. This is unless subsection 4 applies.</w:t>
            </w:r>
          </w:p>
        </w:tc>
      </w:tr>
      <w:tr w:rsidR="006D1E1C" w:rsidRPr="00C9343F" w14:paraId="7472D6E3" w14:textId="77777777" w:rsidTr="006D1E1C">
        <w:tc>
          <w:tcPr>
            <w:tcW w:w="992" w:type="dxa"/>
          </w:tcPr>
          <w:p w14:paraId="3D743E66" w14:textId="77777777" w:rsidR="006D1E1C" w:rsidRPr="00C9343F" w:rsidRDefault="006D1E1C" w:rsidP="00F66D98">
            <w:pPr>
              <w:pStyle w:val="BlockText-Plain"/>
              <w:jc w:val="center"/>
            </w:pPr>
            <w:r w:rsidRPr="00C9343F">
              <w:t>3.</w:t>
            </w:r>
          </w:p>
        </w:tc>
        <w:tc>
          <w:tcPr>
            <w:tcW w:w="8363" w:type="dxa"/>
            <w:gridSpan w:val="2"/>
          </w:tcPr>
          <w:p w14:paraId="2F8AA1ED" w14:textId="77777777" w:rsidR="006D1E1C" w:rsidRPr="00C9343F" w:rsidRDefault="006D1E1C" w:rsidP="00F66D98">
            <w:pPr>
              <w:pStyle w:val="BlockText-Plain"/>
            </w:pPr>
            <w:r w:rsidRPr="00C9343F">
              <w:t>Subsection 4 applies if a member meets all these conditions.</w:t>
            </w:r>
          </w:p>
        </w:tc>
      </w:tr>
      <w:tr w:rsidR="006D1E1C" w:rsidRPr="00C9343F" w14:paraId="58450E94" w14:textId="77777777" w:rsidTr="006D1E1C">
        <w:trPr>
          <w:cantSplit/>
        </w:trPr>
        <w:tc>
          <w:tcPr>
            <w:tcW w:w="992" w:type="dxa"/>
          </w:tcPr>
          <w:p w14:paraId="74AAC1D7" w14:textId="77777777" w:rsidR="006D1E1C" w:rsidRPr="00C9343F" w:rsidRDefault="006D1E1C" w:rsidP="00F66D98">
            <w:pPr>
              <w:pStyle w:val="BlockText-Plain"/>
            </w:pPr>
          </w:p>
        </w:tc>
        <w:tc>
          <w:tcPr>
            <w:tcW w:w="567" w:type="dxa"/>
          </w:tcPr>
          <w:p w14:paraId="55DB4D37" w14:textId="77777777" w:rsidR="006D1E1C" w:rsidRPr="00C9343F" w:rsidRDefault="006D1E1C" w:rsidP="007114B1">
            <w:pPr>
              <w:pStyle w:val="BlockText-Plain"/>
              <w:jc w:val="center"/>
            </w:pPr>
            <w:r w:rsidRPr="00C9343F">
              <w:t>a.</w:t>
            </w:r>
          </w:p>
        </w:tc>
        <w:tc>
          <w:tcPr>
            <w:tcW w:w="7796" w:type="dxa"/>
          </w:tcPr>
          <w:p w14:paraId="592E1769" w14:textId="77777777" w:rsidR="006D1E1C" w:rsidRPr="00C9343F" w:rsidRDefault="006D1E1C" w:rsidP="00F66D98">
            <w:pPr>
              <w:pStyle w:val="BlockText-Plain"/>
            </w:pPr>
            <w:r w:rsidRPr="00C9343F">
              <w:t>The member is posted from one remote location to another remote location.</w:t>
            </w:r>
          </w:p>
        </w:tc>
      </w:tr>
      <w:tr w:rsidR="006D1E1C" w:rsidRPr="00C9343F" w14:paraId="653EBF2F" w14:textId="77777777" w:rsidTr="006D1E1C">
        <w:trPr>
          <w:cantSplit/>
        </w:trPr>
        <w:tc>
          <w:tcPr>
            <w:tcW w:w="992" w:type="dxa"/>
          </w:tcPr>
          <w:p w14:paraId="6C4D3222" w14:textId="77777777" w:rsidR="006D1E1C" w:rsidRPr="00C9343F" w:rsidRDefault="006D1E1C" w:rsidP="00F66D98">
            <w:pPr>
              <w:pStyle w:val="BlockText-Plain"/>
            </w:pPr>
          </w:p>
        </w:tc>
        <w:tc>
          <w:tcPr>
            <w:tcW w:w="567" w:type="dxa"/>
          </w:tcPr>
          <w:p w14:paraId="6889318B" w14:textId="77777777" w:rsidR="006D1E1C" w:rsidRPr="00C9343F" w:rsidRDefault="006D1E1C" w:rsidP="007114B1">
            <w:pPr>
              <w:pStyle w:val="BlockText-Plain"/>
              <w:jc w:val="center"/>
            </w:pPr>
            <w:r w:rsidRPr="00C9343F">
              <w:t>b.</w:t>
            </w:r>
          </w:p>
        </w:tc>
        <w:tc>
          <w:tcPr>
            <w:tcW w:w="7796" w:type="dxa"/>
          </w:tcPr>
          <w:p w14:paraId="723E909D" w14:textId="77777777" w:rsidR="006D1E1C" w:rsidRPr="00C9343F" w:rsidRDefault="006D1E1C" w:rsidP="00F66D98">
            <w:pPr>
              <w:pStyle w:val="BlockText-Plain"/>
            </w:pPr>
            <w:r w:rsidRPr="00C9343F">
              <w:t>They are a member with dependants (unaccompanied).</w:t>
            </w:r>
          </w:p>
        </w:tc>
      </w:tr>
      <w:tr w:rsidR="006D1E1C" w:rsidRPr="00C9343F" w14:paraId="06462576" w14:textId="77777777" w:rsidTr="006D1E1C">
        <w:trPr>
          <w:cantSplit/>
        </w:trPr>
        <w:tc>
          <w:tcPr>
            <w:tcW w:w="992" w:type="dxa"/>
          </w:tcPr>
          <w:p w14:paraId="33395A7F" w14:textId="77777777" w:rsidR="006D1E1C" w:rsidRPr="00C9343F" w:rsidRDefault="006D1E1C" w:rsidP="00F66D98">
            <w:pPr>
              <w:pStyle w:val="BlockText-Plain"/>
            </w:pPr>
          </w:p>
        </w:tc>
        <w:tc>
          <w:tcPr>
            <w:tcW w:w="567" w:type="dxa"/>
          </w:tcPr>
          <w:p w14:paraId="3A518D9C" w14:textId="77777777" w:rsidR="006D1E1C" w:rsidRPr="00C9343F" w:rsidRDefault="006D1E1C" w:rsidP="007114B1">
            <w:pPr>
              <w:pStyle w:val="BlockText-Plain"/>
              <w:jc w:val="center"/>
            </w:pPr>
            <w:r w:rsidRPr="00C9343F">
              <w:t>c.</w:t>
            </w:r>
          </w:p>
        </w:tc>
        <w:tc>
          <w:tcPr>
            <w:tcW w:w="7796" w:type="dxa"/>
          </w:tcPr>
          <w:p w14:paraId="65B25A7C" w14:textId="77777777" w:rsidR="006D1E1C" w:rsidRPr="00C9343F" w:rsidRDefault="006D1E1C" w:rsidP="00F66D98">
            <w:pPr>
              <w:pStyle w:val="BlockText-Plain"/>
            </w:pPr>
            <w:r w:rsidRPr="00C9343F">
              <w:t>Their dependants remain at the former remote location.</w:t>
            </w:r>
          </w:p>
        </w:tc>
      </w:tr>
      <w:tr w:rsidR="006D1E1C" w:rsidRPr="00C9343F" w14:paraId="47855467" w14:textId="77777777" w:rsidTr="006D1E1C">
        <w:tc>
          <w:tcPr>
            <w:tcW w:w="992" w:type="dxa"/>
          </w:tcPr>
          <w:p w14:paraId="4C17CE3F" w14:textId="77777777" w:rsidR="006D1E1C" w:rsidRPr="00C9343F" w:rsidRDefault="006D1E1C" w:rsidP="00F66D98">
            <w:pPr>
              <w:pStyle w:val="BlockText-Plain"/>
              <w:jc w:val="center"/>
            </w:pPr>
            <w:r w:rsidRPr="00C9343F">
              <w:t>4.</w:t>
            </w:r>
          </w:p>
        </w:tc>
        <w:tc>
          <w:tcPr>
            <w:tcW w:w="8363" w:type="dxa"/>
            <w:gridSpan w:val="2"/>
          </w:tcPr>
          <w:p w14:paraId="4850316F" w14:textId="77777777" w:rsidR="006D1E1C" w:rsidRPr="00C9343F" w:rsidRDefault="006D1E1C" w:rsidP="00F66D98">
            <w:pPr>
              <w:pStyle w:val="BlockText-Plain"/>
            </w:pPr>
            <w:r w:rsidRPr="00C9343F">
              <w:t xml:space="preserve">This subsection applies to a member described in subsection 3. The member's allowance rate for the period is the greater of these two amounts. </w:t>
            </w:r>
          </w:p>
        </w:tc>
      </w:tr>
      <w:tr w:rsidR="006D1E1C" w:rsidRPr="00C9343F" w14:paraId="31132156" w14:textId="77777777" w:rsidTr="006D1E1C">
        <w:trPr>
          <w:cantSplit/>
        </w:trPr>
        <w:tc>
          <w:tcPr>
            <w:tcW w:w="992" w:type="dxa"/>
          </w:tcPr>
          <w:p w14:paraId="6103CE87" w14:textId="77777777" w:rsidR="006D1E1C" w:rsidRPr="00C9343F" w:rsidRDefault="006D1E1C" w:rsidP="00F66D98">
            <w:pPr>
              <w:pStyle w:val="BlockText-Plain"/>
            </w:pPr>
          </w:p>
        </w:tc>
        <w:tc>
          <w:tcPr>
            <w:tcW w:w="567" w:type="dxa"/>
          </w:tcPr>
          <w:p w14:paraId="6A170C73" w14:textId="77777777" w:rsidR="006D1E1C" w:rsidRPr="00C9343F" w:rsidRDefault="006D1E1C" w:rsidP="007114B1">
            <w:pPr>
              <w:pStyle w:val="BlockText-Plain"/>
              <w:jc w:val="center"/>
            </w:pPr>
            <w:r w:rsidRPr="00C9343F">
              <w:t>a.</w:t>
            </w:r>
          </w:p>
        </w:tc>
        <w:tc>
          <w:tcPr>
            <w:tcW w:w="7796" w:type="dxa"/>
          </w:tcPr>
          <w:p w14:paraId="114577D7" w14:textId="77777777" w:rsidR="006D1E1C" w:rsidRPr="00C9343F" w:rsidRDefault="006D1E1C" w:rsidP="00F66D98">
            <w:pPr>
              <w:pStyle w:val="BlockText-Plain"/>
            </w:pPr>
            <w:r w:rsidRPr="00C9343F">
              <w:t>Their rate at the remote location they are posted from.</w:t>
            </w:r>
          </w:p>
        </w:tc>
      </w:tr>
      <w:tr w:rsidR="006D1E1C" w:rsidRPr="00C9343F" w14:paraId="2AA1DD84" w14:textId="77777777" w:rsidTr="006D1E1C">
        <w:trPr>
          <w:cantSplit/>
        </w:trPr>
        <w:tc>
          <w:tcPr>
            <w:tcW w:w="992" w:type="dxa"/>
          </w:tcPr>
          <w:p w14:paraId="45F2BCDB" w14:textId="77777777" w:rsidR="006D1E1C" w:rsidRPr="00C9343F" w:rsidRDefault="006D1E1C" w:rsidP="00F66D98">
            <w:pPr>
              <w:pStyle w:val="BlockText-Plain"/>
            </w:pPr>
          </w:p>
        </w:tc>
        <w:tc>
          <w:tcPr>
            <w:tcW w:w="567" w:type="dxa"/>
          </w:tcPr>
          <w:p w14:paraId="0C43E485" w14:textId="77777777" w:rsidR="006D1E1C" w:rsidRPr="00C9343F" w:rsidRDefault="006D1E1C" w:rsidP="007114B1">
            <w:pPr>
              <w:pStyle w:val="BlockText-Plain"/>
              <w:jc w:val="center"/>
            </w:pPr>
            <w:r w:rsidRPr="00C9343F">
              <w:t>b.</w:t>
            </w:r>
          </w:p>
        </w:tc>
        <w:tc>
          <w:tcPr>
            <w:tcW w:w="7796" w:type="dxa"/>
          </w:tcPr>
          <w:p w14:paraId="23A27652" w14:textId="77777777" w:rsidR="006D1E1C" w:rsidRPr="00C9343F" w:rsidRDefault="006D1E1C" w:rsidP="00F66D98">
            <w:pPr>
              <w:pStyle w:val="BlockText-Plain"/>
            </w:pPr>
            <w:r w:rsidRPr="00C9343F">
              <w:t>Their rate if their dependants had accompanied them to the remote location they are posted to.</w:t>
            </w:r>
          </w:p>
        </w:tc>
      </w:tr>
    </w:tbl>
    <w:p w14:paraId="1EBBCD7F" w14:textId="6EFFF729" w:rsidR="006D1E1C" w:rsidRPr="00C9343F" w:rsidRDefault="006D1E1C" w:rsidP="00F66D98">
      <w:pPr>
        <w:pStyle w:val="Heading5"/>
      </w:pPr>
      <w:bookmarkStart w:id="720" w:name="_Toc105053818"/>
      <w:bookmarkStart w:id="721" w:name="bk1648554815Postingfromadifficultlocati"/>
      <w:bookmarkStart w:id="722" w:name="bk92940AM4815Postingfromadifficultlocat"/>
      <w:bookmarkStart w:id="723" w:name="bk100405AM4815Postingfromadifficultloca"/>
      <w:bookmarkStart w:id="724" w:name="bk42127PM4816Postingfromadifficultlocat"/>
      <w:bookmarkStart w:id="725" w:name="bk1624034816Postingfromadifficultlocati"/>
      <w:bookmarkStart w:id="726" w:name="bk1635094816Postingfromadifficultlocati"/>
      <w:bookmarkStart w:id="727" w:name="bk1636364816Postingfromadifficultlocati"/>
      <w:bookmarkStart w:id="728" w:name="bk1215024815Postingfromadifficultlocati"/>
      <w:bookmarkStart w:id="729" w:name="bk1325054815Postingfromadifficultlocati"/>
      <w:bookmarkStart w:id="730" w:name="bk1150254615Postingfromadifficultlocati"/>
      <w:r w:rsidRPr="00C9343F">
        <w:t>4.4.15</w:t>
      </w:r>
      <w:r w:rsidR="00D94006" w:rsidRPr="00C9343F">
        <w:t>    </w:t>
      </w:r>
      <w:r w:rsidRPr="00C9343F">
        <w:t>Posting from a remote location to non-remote location</w:t>
      </w:r>
      <w:bookmarkEnd w:id="720"/>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3F09EA49" w14:textId="77777777" w:rsidTr="006D1E1C">
        <w:tc>
          <w:tcPr>
            <w:tcW w:w="992" w:type="dxa"/>
          </w:tcPr>
          <w:bookmarkEnd w:id="721"/>
          <w:bookmarkEnd w:id="722"/>
          <w:bookmarkEnd w:id="723"/>
          <w:bookmarkEnd w:id="724"/>
          <w:bookmarkEnd w:id="725"/>
          <w:bookmarkEnd w:id="726"/>
          <w:bookmarkEnd w:id="727"/>
          <w:bookmarkEnd w:id="728"/>
          <w:bookmarkEnd w:id="729"/>
          <w:bookmarkEnd w:id="730"/>
          <w:p w14:paraId="25C751FC" w14:textId="77777777" w:rsidR="006D1E1C" w:rsidRPr="00C9343F" w:rsidRDefault="006D1E1C" w:rsidP="00F66D98">
            <w:pPr>
              <w:pStyle w:val="BlockText-PlainNoSpacing"/>
              <w:jc w:val="center"/>
            </w:pPr>
            <w:r w:rsidRPr="00C9343F">
              <w:t>1.</w:t>
            </w:r>
          </w:p>
        </w:tc>
        <w:tc>
          <w:tcPr>
            <w:tcW w:w="8363" w:type="dxa"/>
            <w:gridSpan w:val="2"/>
          </w:tcPr>
          <w:p w14:paraId="6AA10A02" w14:textId="77777777" w:rsidR="006D1E1C" w:rsidRPr="00C9343F" w:rsidRDefault="006D1E1C" w:rsidP="00F66D98">
            <w:pPr>
              <w:pStyle w:val="BlockText-Plain"/>
            </w:pPr>
            <w:r w:rsidRPr="00C9343F">
              <w:t xml:space="preserve">This section applies if a member meets all these conditions. </w:t>
            </w:r>
          </w:p>
        </w:tc>
      </w:tr>
      <w:tr w:rsidR="006D1E1C" w:rsidRPr="00C9343F" w14:paraId="2060D7FF" w14:textId="77777777" w:rsidTr="006D1E1C">
        <w:trPr>
          <w:cantSplit/>
        </w:trPr>
        <w:tc>
          <w:tcPr>
            <w:tcW w:w="992" w:type="dxa"/>
          </w:tcPr>
          <w:p w14:paraId="7A6DBA26" w14:textId="77777777" w:rsidR="006D1E1C" w:rsidRPr="00C9343F" w:rsidRDefault="006D1E1C" w:rsidP="00F66D98">
            <w:pPr>
              <w:pStyle w:val="BlockText-Plain"/>
            </w:pPr>
          </w:p>
        </w:tc>
        <w:tc>
          <w:tcPr>
            <w:tcW w:w="567" w:type="dxa"/>
          </w:tcPr>
          <w:p w14:paraId="5E8B3685" w14:textId="77777777" w:rsidR="006D1E1C" w:rsidRPr="00C9343F" w:rsidRDefault="006D1E1C" w:rsidP="007114B1">
            <w:pPr>
              <w:pStyle w:val="BlockText-Plain"/>
              <w:jc w:val="center"/>
            </w:pPr>
            <w:r w:rsidRPr="00C9343F">
              <w:t>a.</w:t>
            </w:r>
          </w:p>
        </w:tc>
        <w:tc>
          <w:tcPr>
            <w:tcW w:w="7796" w:type="dxa"/>
          </w:tcPr>
          <w:p w14:paraId="1DB769C1" w14:textId="77777777" w:rsidR="006D1E1C" w:rsidRPr="00C9343F" w:rsidRDefault="006D1E1C" w:rsidP="00F66D98">
            <w:pPr>
              <w:pStyle w:val="BlockText-Plain"/>
            </w:pPr>
            <w:r w:rsidRPr="00C9343F">
              <w:t>They are posted from a remote location to another location. The new location is not a remote location.</w:t>
            </w:r>
          </w:p>
        </w:tc>
      </w:tr>
      <w:tr w:rsidR="006D1E1C" w:rsidRPr="00C9343F" w14:paraId="3987738C" w14:textId="77777777" w:rsidTr="006D1E1C">
        <w:trPr>
          <w:cantSplit/>
        </w:trPr>
        <w:tc>
          <w:tcPr>
            <w:tcW w:w="992" w:type="dxa"/>
          </w:tcPr>
          <w:p w14:paraId="3E4B2508" w14:textId="77777777" w:rsidR="006D1E1C" w:rsidRPr="00C9343F" w:rsidRDefault="006D1E1C" w:rsidP="00F66D98">
            <w:pPr>
              <w:pStyle w:val="BlockText-Plain"/>
            </w:pPr>
          </w:p>
        </w:tc>
        <w:tc>
          <w:tcPr>
            <w:tcW w:w="567" w:type="dxa"/>
          </w:tcPr>
          <w:p w14:paraId="63D8841D" w14:textId="77777777" w:rsidR="006D1E1C" w:rsidRPr="00C9343F" w:rsidRDefault="006D1E1C" w:rsidP="007114B1">
            <w:pPr>
              <w:pStyle w:val="BlockText-Plain"/>
              <w:jc w:val="center"/>
            </w:pPr>
            <w:r w:rsidRPr="00C9343F">
              <w:t>b.</w:t>
            </w:r>
          </w:p>
        </w:tc>
        <w:tc>
          <w:tcPr>
            <w:tcW w:w="7796" w:type="dxa"/>
          </w:tcPr>
          <w:p w14:paraId="04512F12" w14:textId="77777777" w:rsidR="006D1E1C" w:rsidRPr="00C9343F" w:rsidRDefault="006D1E1C" w:rsidP="00F66D98">
            <w:pPr>
              <w:pStyle w:val="BlockText-Plain"/>
            </w:pPr>
            <w:r w:rsidRPr="00C9343F">
              <w:t>They are a member with dependants (unaccompanied).</w:t>
            </w:r>
          </w:p>
        </w:tc>
      </w:tr>
      <w:tr w:rsidR="006D1E1C" w:rsidRPr="00C9343F" w14:paraId="38414D1A" w14:textId="77777777" w:rsidTr="006D1E1C">
        <w:trPr>
          <w:cantSplit/>
        </w:trPr>
        <w:tc>
          <w:tcPr>
            <w:tcW w:w="992" w:type="dxa"/>
          </w:tcPr>
          <w:p w14:paraId="1C688991" w14:textId="77777777" w:rsidR="006D1E1C" w:rsidRPr="00C9343F" w:rsidRDefault="006D1E1C" w:rsidP="00F66D98">
            <w:pPr>
              <w:pStyle w:val="BlockText-Plain"/>
            </w:pPr>
          </w:p>
        </w:tc>
        <w:tc>
          <w:tcPr>
            <w:tcW w:w="567" w:type="dxa"/>
          </w:tcPr>
          <w:p w14:paraId="717252FE" w14:textId="77777777" w:rsidR="006D1E1C" w:rsidRPr="00C9343F" w:rsidRDefault="006D1E1C" w:rsidP="007114B1">
            <w:pPr>
              <w:pStyle w:val="BlockText-Plain"/>
              <w:jc w:val="center"/>
            </w:pPr>
            <w:r w:rsidRPr="00C9343F">
              <w:t>c.</w:t>
            </w:r>
          </w:p>
        </w:tc>
        <w:tc>
          <w:tcPr>
            <w:tcW w:w="7796" w:type="dxa"/>
          </w:tcPr>
          <w:p w14:paraId="49E6D9E0" w14:textId="77777777" w:rsidR="006D1E1C" w:rsidRPr="00C9343F" w:rsidRDefault="006D1E1C" w:rsidP="00F66D98">
            <w:pPr>
              <w:pStyle w:val="BlockText-Plain"/>
            </w:pPr>
            <w:r w:rsidRPr="00C9343F">
              <w:t>Their dependants stay at the remote location.</w:t>
            </w:r>
          </w:p>
        </w:tc>
      </w:tr>
      <w:tr w:rsidR="006D1E1C" w:rsidRPr="00C9343F" w14:paraId="2239578D" w14:textId="77777777" w:rsidTr="006D1E1C">
        <w:tc>
          <w:tcPr>
            <w:tcW w:w="992" w:type="dxa"/>
          </w:tcPr>
          <w:p w14:paraId="3C37B969" w14:textId="77777777" w:rsidR="006D1E1C" w:rsidRPr="00C9343F" w:rsidRDefault="006D1E1C" w:rsidP="00F66D98">
            <w:pPr>
              <w:pStyle w:val="BlockText-Plain"/>
              <w:jc w:val="center"/>
            </w:pPr>
            <w:r w:rsidRPr="00C9343F">
              <w:t>2.</w:t>
            </w:r>
          </w:p>
        </w:tc>
        <w:tc>
          <w:tcPr>
            <w:tcW w:w="8363" w:type="dxa"/>
            <w:gridSpan w:val="2"/>
          </w:tcPr>
          <w:p w14:paraId="40D0B840" w14:textId="77777777" w:rsidR="006D1E1C" w:rsidRPr="00C9343F" w:rsidRDefault="006D1E1C" w:rsidP="00F66D98">
            <w:pPr>
              <w:pStyle w:val="BlockText-Plain"/>
            </w:pPr>
            <w:r w:rsidRPr="00C9343F">
              <w:t>The member is eligible for ADF district allowance for the period their dependants stay at the remote location.</w:t>
            </w:r>
          </w:p>
        </w:tc>
      </w:tr>
    </w:tbl>
    <w:p w14:paraId="1E03BFD5" w14:textId="6F1D1BEE" w:rsidR="006D1E1C" w:rsidRPr="00C9343F" w:rsidRDefault="006D1E1C" w:rsidP="00F66D98">
      <w:pPr>
        <w:pStyle w:val="Heading5"/>
      </w:pPr>
      <w:bookmarkStart w:id="731" w:name="_Toc105053819"/>
      <w:bookmarkStart w:id="732" w:name="bk1648554817Memberservingaperiodofdeten"/>
      <w:bookmarkStart w:id="733" w:name="bk92940AM4817Memberservingaperiodofdete"/>
      <w:bookmarkStart w:id="734" w:name="bk100405AM4817Memberservingaperiodofdet"/>
      <w:bookmarkStart w:id="735" w:name="bk42127PM4817Memberservingaperiodofdete"/>
      <w:bookmarkStart w:id="736" w:name="bk1624034817Memberservingaperiodofdeten"/>
      <w:bookmarkStart w:id="737" w:name="bk1635094817Memberservingaperiodofdeten"/>
      <w:bookmarkStart w:id="738" w:name="bk1636364817Memberservingaperiodofdeten"/>
      <w:bookmarkStart w:id="739" w:name="bk1215024816Memberservingaperiodofdeten"/>
      <w:bookmarkStart w:id="740" w:name="bk1325054816Memberservingaperiodofdeten"/>
      <w:bookmarkStart w:id="741" w:name="bk1150254616Memberservingaperiodofdeten"/>
      <w:r w:rsidRPr="00C9343F">
        <w:t>4.4.16</w:t>
      </w:r>
      <w:r w:rsidR="00D94006" w:rsidRPr="00C9343F">
        <w:t>    </w:t>
      </w:r>
      <w:r w:rsidRPr="00C9343F">
        <w:t>Member serving a period of detention</w:t>
      </w:r>
      <w:r w:rsidR="009B2471" w:rsidRPr="00C9343F">
        <w:t>s</w:t>
      </w:r>
      <w:bookmarkEnd w:id="731"/>
    </w:p>
    <w:tbl>
      <w:tblPr>
        <w:tblW w:w="9355" w:type="dxa"/>
        <w:tblInd w:w="113" w:type="dxa"/>
        <w:tblLayout w:type="fixed"/>
        <w:tblLook w:val="0000" w:firstRow="0" w:lastRow="0" w:firstColumn="0" w:lastColumn="0" w:noHBand="0" w:noVBand="0"/>
      </w:tblPr>
      <w:tblGrid>
        <w:gridCol w:w="992"/>
        <w:gridCol w:w="567"/>
        <w:gridCol w:w="7796"/>
      </w:tblGrid>
      <w:tr w:rsidR="006D1E1C" w:rsidRPr="00C9343F" w14:paraId="37CBF43E" w14:textId="77777777" w:rsidTr="000E33D8">
        <w:tc>
          <w:tcPr>
            <w:tcW w:w="992" w:type="dxa"/>
          </w:tcPr>
          <w:bookmarkEnd w:id="732"/>
          <w:bookmarkEnd w:id="733"/>
          <w:bookmarkEnd w:id="734"/>
          <w:bookmarkEnd w:id="735"/>
          <w:bookmarkEnd w:id="736"/>
          <w:bookmarkEnd w:id="737"/>
          <w:bookmarkEnd w:id="738"/>
          <w:bookmarkEnd w:id="739"/>
          <w:bookmarkEnd w:id="740"/>
          <w:bookmarkEnd w:id="741"/>
          <w:p w14:paraId="10E31830" w14:textId="77777777" w:rsidR="006D1E1C" w:rsidRPr="00C9343F" w:rsidRDefault="006D1E1C" w:rsidP="00F66D98">
            <w:pPr>
              <w:pStyle w:val="BlockText-PlainNoSpacing"/>
              <w:jc w:val="center"/>
            </w:pPr>
            <w:r w:rsidRPr="00C9343F">
              <w:t>1.</w:t>
            </w:r>
          </w:p>
        </w:tc>
        <w:tc>
          <w:tcPr>
            <w:tcW w:w="8363" w:type="dxa"/>
            <w:gridSpan w:val="2"/>
          </w:tcPr>
          <w:p w14:paraId="732399B0" w14:textId="77777777" w:rsidR="006D1E1C" w:rsidRPr="00C9343F" w:rsidRDefault="006D1E1C" w:rsidP="00F66D98">
            <w:pPr>
              <w:pStyle w:val="BlockText-Plain"/>
            </w:pPr>
            <w:r w:rsidRPr="00C9343F">
              <w:t>This section applies to a member with dependants who is serving a period of detention under Service law.</w:t>
            </w:r>
          </w:p>
        </w:tc>
      </w:tr>
      <w:tr w:rsidR="006D1E1C" w:rsidRPr="00C9343F" w14:paraId="480BCCC3" w14:textId="77777777" w:rsidTr="000E33D8">
        <w:tc>
          <w:tcPr>
            <w:tcW w:w="992" w:type="dxa"/>
          </w:tcPr>
          <w:p w14:paraId="2665B961" w14:textId="77777777" w:rsidR="006D1E1C" w:rsidRPr="00C9343F" w:rsidRDefault="006D1E1C" w:rsidP="00F66D98">
            <w:pPr>
              <w:pStyle w:val="BlockText-PlainNoSpacing"/>
              <w:jc w:val="center"/>
            </w:pPr>
            <w:r w:rsidRPr="00C9343F">
              <w:t>2.</w:t>
            </w:r>
          </w:p>
        </w:tc>
        <w:tc>
          <w:tcPr>
            <w:tcW w:w="8363" w:type="dxa"/>
            <w:gridSpan w:val="2"/>
          </w:tcPr>
          <w:p w14:paraId="27858353" w14:textId="77777777" w:rsidR="006D1E1C" w:rsidRPr="00C9343F" w:rsidRDefault="006D1E1C" w:rsidP="00F66D98">
            <w:pPr>
              <w:pStyle w:val="BlockText-Plain"/>
            </w:pPr>
            <w:r w:rsidRPr="00C9343F">
              <w:t>The member is eligible for the allowance they would have been paid if they meet all these conditions.</w:t>
            </w:r>
          </w:p>
        </w:tc>
      </w:tr>
      <w:tr w:rsidR="006D1E1C" w:rsidRPr="00C9343F" w14:paraId="2AAA0A70" w14:textId="77777777" w:rsidTr="000E33D8">
        <w:trPr>
          <w:cantSplit/>
        </w:trPr>
        <w:tc>
          <w:tcPr>
            <w:tcW w:w="992" w:type="dxa"/>
          </w:tcPr>
          <w:p w14:paraId="07BB24DE" w14:textId="77777777" w:rsidR="006D1E1C" w:rsidRPr="00C9343F" w:rsidRDefault="006D1E1C" w:rsidP="00F66D98">
            <w:pPr>
              <w:pStyle w:val="BlockText-Plain"/>
            </w:pPr>
          </w:p>
        </w:tc>
        <w:tc>
          <w:tcPr>
            <w:tcW w:w="567" w:type="dxa"/>
          </w:tcPr>
          <w:p w14:paraId="31820BD3" w14:textId="77777777" w:rsidR="006D1E1C" w:rsidRPr="00C9343F" w:rsidRDefault="006D1E1C" w:rsidP="007114B1">
            <w:pPr>
              <w:pStyle w:val="BlockText-Plain"/>
              <w:jc w:val="center"/>
            </w:pPr>
            <w:r w:rsidRPr="00C9343F">
              <w:t>a.</w:t>
            </w:r>
          </w:p>
        </w:tc>
        <w:tc>
          <w:tcPr>
            <w:tcW w:w="7796" w:type="dxa"/>
          </w:tcPr>
          <w:p w14:paraId="650C79D0" w14:textId="77777777" w:rsidR="006D1E1C" w:rsidRPr="00C9343F" w:rsidRDefault="006D1E1C" w:rsidP="00F66D98">
            <w:pPr>
              <w:pStyle w:val="BlockText-Plain"/>
            </w:pPr>
            <w:r w:rsidRPr="00C9343F">
              <w:t>The allowance was payable to them immediately before they began to serve a period of detention.</w:t>
            </w:r>
          </w:p>
        </w:tc>
      </w:tr>
      <w:tr w:rsidR="006D1E1C" w:rsidRPr="00C9343F" w14:paraId="0BAD36C2" w14:textId="77777777" w:rsidTr="000E33D8">
        <w:trPr>
          <w:cantSplit/>
        </w:trPr>
        <w:tc>
          <w:tcPr>
            <w:tcW w:w="992" w:type="dxa"/>
          </w:tcPr>
          <w:p w14:paraId="585F376A" w14:textId="77777777" w:rsidR="006D1E1C" w:rsidRPr="00C9343F" w:rsidRDefault="006D1E1C" w:rsidP="00F66D98">
            <w:pPr>
              <w:pStyle w:val="BlockText-Plain"/>
            </w:pPr>
          </w:p>
        </w:tc>
        <w:tc>
          <w:tcPr>
            <w:tcW w:w="567" w:type="dxa"/>
          </w:tcPr>
          <w:p w14:paraId="57DDB759" w14:textId="77777777" w:rsidR="006D1E1C" w:rsidRPr="00C9343F" w:rsidRDefault="006D1E1C" w:rsidP="007114B1">
            <w:pPr>
              <w:pStyle w:val="BlockText-Plain"/>
              <w:jc w:val="center"/>
            </w:pPr>
            <w:r w:rsidRPr="00C9343F">
              <w:t>b.</w:t>
            </w:r>
          </w:p>
        </w:tc>
        <w:tc>
          <w:tcPr>
            <w:tcW w:w="7796" w:type="dxa"/>
          </w:tcPr>
          <w:p w14:paraId="6FCFA300" w14:textId="77777777" w:rsidR="006D1E1C" w:rsidRPr="00C9343F" w:rsidRDefault="006D1E1C" w:rsidP="00F66D98">
            <w:pPr>
              <w:pStyle w:val="BlockText-Plain"/>
            </w:pPr>
            <w:r w:rsidRPr="00C9343F">
              <w:t>At that time, they were eligible for the allowance at the full rate for a member with dependants.</w:t>
            </w:r>
          </w:p>
        </w:tc>
      </w:tr>
      <w:tr w:rsidR="006D1E1C" w:rsidRPr="00C9343F" w14:paraId="15FB9025" w14:textId="77777777" w:rsidTr="000E33D8">
        <w:trPr>
          <w:cantSplit/>
        </w:trPr>
        <w:tc>
          <w:tcPr>
            <w:tcW w:w="992" w:type="dxa"/>
          </w:tcPr>
          <w:p w14:paraId="0F1A586B" w14:textId="77777777" w:rsidR="006D1E1C" w:rsidRPr="00C9343F" w:rsidRDefault="006D1E1C" w:rsidP="00F66D98">
            <w:pPr>
              <w:pStyle w:val="BlockText-Plain"/>
            </w:pPr>
          </w:p>
        </w:tc>
        <w:tc>
          <w:tcPr>
            <w:tcW w:w="567" w:type="dxa"/>
          </w:tcPr>
          <w:p w14:paraId="00BEAD3C" w14:textId="77777777" w:rsidR="006D1E1C" w:rsidRPr="00C9343F" w:rsidRDefault="006D1E1C" w:rsidP="007114B1">
            <w:pPr>
              <w:pStyle w:val="BlockText-Plain"/>
              <w:jc w:val="center"/>
            </w:pPr>
            <w:r w:rsidRPr="00C9343F">
              <w:t>c.</w:t>
            </w:r>
          </w:p>
        </w:tc>
        <w:tc>
          <w:tcPr>
            <w:tcW w:w="7796" w:type="dxa"/>
          </w:tcPr>
          <w:p w14:paraId="2E08784B" w14:textId="77777777" w:rsidR="006D1E1C" w:rsidRPr="00C9343F" w:rsidRDefault="006D1E1C" w:rsidP="00F66D98">
            <w:pPr>
              <w:pStyle w:val="BlockText-Plain"/>
            </w:pPr>
            <w:r w:rsidRPr="00C9343F">
              <w:t>Their dependants continue to live in the location that the allowance was payable for.</w:t>
            </w:r>
          </w:p>
        </w:tc>
      </w:tr>
    </w:tbl>
    <w:p w14:paraId="5CC82D52" w14:textId="77777777" w:rsidR="006D1E1C" w:rsidRPr="00C9343F" w:rsidRDefault="006D1E1C" w:rsidP="00F66D98"/>
    <w:p w14:paraId="067F9C1A" w14:textId="6A3F7F61" w:rsidR="006D1E1C" w:rsidRPr="00C9343F" w:rsidRDefault="006D1E1C" w:rsidP="00BB747F">
      <w:pPr>
        <w:pStyle w:val="Heading4"/>
        <w:pageBreakBefore/>
      </w:pPr>
      <w:bookmarkStart w:id="742" w:name="div3"/>
      <w:bookmarkStart w:id="743" w:name="_Toc105053820"/>
      <w:bookmarkEnd w:id="742"/>
      <w:r w:rsidRPr="00C9343F">
        <w:t>Division 3: Port Wakefield allowance</w:t>
      </w:r>
      <w:bookmarkEnd w:id="743"/>
    </w:p>
    <w:p w14:paraId="689447D7" w14:textId="28F8C71C" w:rsidR="006D1E1C" w:rsidRPr="00C9343F" w:rsidRDefault="006D1E1C" w:rsidP="00F66D98">
      <w:pPr>
        <w:pStyle w:val="Heading5"/>
      </w:pPr>
      <w:bookmarkStart w:id="744" w:name="_Toc105053821"/>
      <w:bookmarkStart w:id="745" w:name="bk31555PM4827Purpose"/>
      <w:bookmarkStart w:id="746" w:name="bk1024514827Purpose"/>
      <w:bookmarkStart w:id="747" w:name="bk1701444827Purpose"/>
      <w:bookmarkStart w:id="748" w:name="bk1058174825Purpose"/>
      <w:bookmarkStart w:id="749" w:name="bk1325214824Purpose"/>
      <w:bookmarkStart w:id="750" w:name="bk1150384624Purpose"/>
      <w:r w:rsidRPr="00C9343F">
        <w:t>4.4.17</w:t>
      </w:r>
      <w:r w:rsidR="00D94006" w:rsidRPr="00C9343F">
        <w:t>    </w:t>
      </w:r>
      <w:r w:rsidRPr="00C9343F">
        <w:t>Purpose</w:t>
      </w:r>
      <w:bookmarkEnd w:id="744"/>
    </w:p>
    <w:bookmarkEnd w:id="745"/>
    <w:bookmarkEnd w:id="746"/>
    <w:bookmarkEnd w:id="747"/>
    <w:bookmarkEnd w:id="748"/>
    <w:bookmarkEnd w:id="749"/>
    <w:bookmarkEnd w:id="750"/>
    <w:tbl>
      <w:tblPr>
        <w:tblW w:w="0" w:type="auto"/>
        <w:tblInd w:w="113" w:type="dxa"/>
        <w:tblLayout w:type="fixed"/>
        <w:tblLook w:val="0000" w:firstRow="0" w:lastRow="0" w:firstColumn="0" w:lastColumn="0" w:noHBand="0" w:noVBand="0"/>
      </w:tblPr>
      <w:tblGrid>
        <w:gridCol w:w="992"/>
        <w:gridCol w:w="8363"/>
      </w:tblGrid>
      <w:tr w:rsidR="006D1E1C" w:rsidRPr="00C9343F" w14:paraId="160F2C1F" w14:textId="77777777" w:rsidTr="006D1E1C">
        <w:tc>
          <w:tcPr>
            <w:tcW w:w="992" w:type="dxa"/>
          </w:tcPr>
          <w:p w14:paraId="1B94FE5D" w14:textId="77777777" w:rsidR="006D1E1C" w:rsidRPr="00C9343F" w:rsidRDefault="006D1E1C" w:rsidP="00F66D98">
            <w:pPr>
              <w:pStyle w:val="BlockText-Plain"/>
              <w:jc w:val="center"/>
            </w:pPr>
          </w:p>
        </w:tc>
        <w:tc>
          <w:tcPr>
            <w:tcW w:w="8363" w:type="dxa"/>
          </w:tcPr>
          <w:p w14:paraId="3DEF07E8" w14:textId="77777777" w:rsidR="006D1E1C" w:rsidRPr="00C9343F" w:rsidRDefault="006D1E1C" w:rsidP="00F66D98">
            <w:pPr>
              <w:pStyle w:val="BlockText-Plain"/>
            </w:pPr>
            <w:r w:rsidRPr="00C9343F">
              <w:t>Port Wakefield allowance compensates a member for the isolation, harsh climate and cost of living involved in serving at the Port Wakefield establishment.</w:t>
            </w:r>
          </w:p>
        </w:tc>
      </w:tr>
    </w:tbl>
    <w:p w14:paraId="6A0A2186" w14:textId="5FCDD13D" w:rsidR="006D1E1C" w:rsidRPr="00C9343F" w:rsidRDefault="006D1E1C" w:rsidP="00F66D98">
      <w:pPr>
        <w:pStyle w:val="Heading5"/>
      </w:pPr>
      <w:bookmarkStart w:id="751" w:name="_Toc105053822"/>
      <w:bookmarkStart w:id="752" w:name="bk31555PM4829Entitlement"/>
      <w:bookmarkStart w:id="753" w:name="bk1024514829Entitlement"/>
      <w:bookmarkStart w:id="754" w:name="bk1701444829Entitlement"/>
      <w:bookmarkStart w:id="755" w:name="bk1058174827Entitlement"/>
      <w:bookmarkStart w:id="756" w:name="bk1325214826Entitlement"/>
      <w:bookmarkStart w:id="757" w:name="bk1150384626Entitlement"/>
      <w:r w:rsidRPr="00C9343F">
        <w:t>4.4.19</w:t>
      </w:r>
      <w:r w:rsidR="00D94006" w:rsidRPr="00C9343F">
        <w:t>    </w:t>
      </w:r>
      <w:r w:rsidRPr="00C9343F">
        <w:t>Benefit</w:t>
      </w:r>
      <w:bookmarkEnd w:id="751"/>
    </w:p>
    <w:tbl>
      <w:tblPr>
        <w:tblW w:w="9355" w:type="dxa"/>
        <w:tblInd w:w="113" w:type="dxa"/>
        <w:tblLayout w:type="fixed"/>
        <w:tblLook w:val="0000" w:firstRow="0" w:lastRow="0" w:firstColumn="0" w:lastColumn="0" w:noHBand="0" w:noVBand="0"/>
      </w:tblPr>
      <w:tblGrid>
        <w:gridCol w:w="992"/>
        <w:gridCol w:w="8363"/>
      </w:tblGrid>
      <w:tr w:rsidR="006D1E1C" w:rsidRPr="00C9343F" w14:paraId="1DC79EC4" w14:textId="77777777" w:rsidTr="0043336A">
        <w:tc>
          <w:tcPr>
            <w:tcW w:w="992" w:type="dxa"/>
          </w:tcPr>
          <w:bookmarkEnd w:id="752"/>
          <w:bookmarkEnd w:id="753"/>
          <w:bookmarkEnd w:id="754"/>
          <w:bookmarkEnd w:id="755"/>
          <w:bookmarkEnd w:id="756"/>
          <w:bookmarkEnd w:id="757"/>
          <w:p w14:paraId="21B4FF14" w14:textId="77777777" w:rsidR="006D1E1C" w:rsidRPr="00C9343F" w:rsidRDefault="006D1E1C" w:rsidP="00F66D98">
            <w:pPr>
              <w:pStyle w:val="BlockText-PlainNoSpacing"/>
              <w:jc w:val="center"/>
            </w:pPr>
            <w:r w:rsidRPr="00C9343F">
              <w:t>1.</w:t>
            </w:r>
          </w:p>
        </w:tc>
        <w:tc>
          <w:tcPr>
            <w:tcW w:w="8363" w:type="dxa"/>
          </w:tcPr>
          <w:p w14:paraId="37AA5D3C" w14:textId="2F54D06B" w:rsidR="006D1E1C" w:rsidRPr="00C9343F" w:rsidRDefault="00690594" w:rsidP="00F66D98">
            <w:pPr>
              <w:pStyle w:val="BlockText-Plain"/>
            </w:pPr>
            <w:r w:rsidRPr="00C9343F">
              <w:t xml:space="preserve">Subject to subsection 1A, a member is eligible for Port Wakefield allowance if the member is posted to </w:t>
            </w:r>
            <w:r w:rsidR="00033E24" w:rsidRPr="00C9343F">
              <w:rPr>
                <w:iCs/>
                <w:lang w:eastAsia="en-US"/>
              </w:rPr>
              <w:t>the Proof and Experimental Establishment at Port Wakefield</w:t>
            </w:r>
            <w:r w:rsidRPr="00C9343F">
              <w:t xml:space="preserve"> and must live there.</w:t>
            </w:r>
          </w:p>
        </w:tc>
      </w:tr>
      <w:tr w:rsidR="00690594" w:rsidRPr="00C9343F" w14:paraId="1877E1B8" w14:textId="77777777" w:rsidTr="0043336A">
        <w:tc>
          <w:tcPr>
            <w:tcW w:w="992" w:type="dxa"/>
          </w:tcPr>
          <w:p w14:paraId="0E228220" w14:textId="77777777" w:rsidR="00690594" w:rsidRPr="00C9343F" w:rsidRDefault="00690594" w:rsidP="00F66D98">
            <w:pPr>
              <w:pStyle w:val="BlockText-PlainNoSpacing"/>
              <w:jc w:val="center"/>
            </w:pPr>
            <w:r w:rsidRPr="00C9343F">
              <w:t>1A.</w:t>
            </w:r>
          </w:p>
        </w:tc>
        <w:tc>
          <w:tcPr>
            <w:tcW w:w="8363" w:type="dxa"/>
          </w:tcPr>
          <w:p w14:paraId="5CE6AC96" w14:textId="77777777" w:rsidR="00690594" w:rsidRPr="00C9343F" w:rsidRDefault="00690594" w:rsidP="00F66D98">
            <w:pPr>
              <w:pStyle w:val="BlockText-Plain"/>
            </w:pPr>
            <w:r w:rsidRPr="00C9343F">
              <w:t>Port Wakefield allowance is not payable during a nonworking period that exceeds 28 days under a member's flexible service determination.</w:t>
            </w:r>
          </w:p>
        </w:tc>
      </w:tr>
      <w:tr w:rsidR="00E16472" w:rsidRPr="00C9343F" w14:paraId="1A7E644E" w14:textId="77777777" w:rsidTr="0043336A">
        <w:tc>
          <w:tcPr>
            <w:tcW w:w="992" w:type="dxa"/>
          </w:tcPr>
          <w:p w14:paraId="4A1B008C" w14:textId="77777777" w:rsidR="00E16472" w:rsidRPr="00C9343F" w:rsidRDefault="00E16472" w:rsidP="00F66D98">
            <w:pPr>
              <w:pStyle w:val="Sectiontext0"/>
              <w:jc w:val="center"/>
              <w:rPr>
                <w:lang w:eastAsia="en-US"/>
              </w:rPr>
            </w:pPr>
            <w:r w:rsidRPr="00C9343F">
              <w:rPr>
                <w:lang w:eastAsia="en-US"/>
              </w:rPr>
              <w:t>2.</w:t>
            </w:r>
          </w:p>
        </w:tc>
        <w:tc>
          <w:tcPr>
            <w:tcW w:w="8363" w:type="dxa"/>
          </w:tcPr>
          <w:p w14:paraId="08F0D740" w14:textId="77777777" w:rsidR="00E16472" w:rsidRPr="00C9343F" w:rsidRDefault="00E16472" w:rsidP="00F66D98">
            <w:pPr>
              <w:pStyle w:val="Sectiontext0"/>
              <w:rPr>
                <w:iCs/>
                <w:lang w:eastAsia="en-US"/>
              </w:rPr>
            </w:pPr>
            <w:r w:rsidRPr="00C9343F">
              <w:rPr>
                <w:lang w:eastAsia="en-US"/>
              </w:rPr>
              <w:t>The rate of allowance for a member who meets the condition in column A is the rate in column B.</w:t>
            </w:r>
          </w:p>
        </w:tc>
      </w:tr>
    </w:tbl>
    <w:p w14:paraId="3EC259E5" w14:textId="77777777" w:rsidR="00385CB5" w:rsidRPr="00C9343F" w:rsidRDefault="00385CB5" w:rsidP="00385CB5">
      <w:pPr>
        <w:spacing w:before="20" w:after="20"/>
      </w:pPr>
    </w:p>
    <w:tbl>
      <w:tblPr>
        <w:tblW w:w="8422" w:type="dxa"/>
        <w:tblInd w:w="991" w:type="dxa"/>
        <w:tblLayout w:type="fixed"/>
        <w:tblCellMar>
          <w:top w:w="57" w:type="dxa"/>
          <w:left w:w="56" w:type="dxa"/>
          <w:bottom w:w="57" w:type="dxa"/>
          <w:right w:w="56" w:type="dxa"/>
        </w:tblCellMar>
        <w:tblLook w:val="0000" w:firstRow="0" w:lastRow="0" w:firstColumn="0" w:lastColumn="0" w:noHBand="0" w:noVBand="0"/>
      </w:tblPr>
      <w:tblGrid>
        <w:gridCol w:w="709"/>
        <w:gridCol w:w="4955"/>
        <w:gridCol w:w="2758"/>
      </w:tblGrid>
      <w:tr w:rsidR="00385CB5" w:rsidRPr="00C9343F" w14:paraId="7FA95BF1" w14:textId="77777777" w:rsidTr="00445FEB">
        <w:trPr>
          <w:cantSplit/>
        </w:trPr>
        <w:tc>
          <w:tcPr>
            <w:tcW w:w="709" w:type="dxa"/>
            <w:tcBorders>
              <w:top w:val="single" w:sz="6" w:space="0" w:color="auto"/>
              <w:left w:val="single" w:sz="6" w:space="0" w:color="auto"/>
              <w:bottom w:val="single" w:sz="6" w:space="0" w:color="auto"/>
              <w:right w:val="single" w:sz="6" w:space="0" w:color="auto"/>
            </w:tcBorders>
          </w:tcPr>
          <w:p w14:paraId="40FF8D38" w14:textId="77777777" w:rsidR="00385CB5" w:rsidRPr="00C9343F" w:rsidRDefault="00385CB5" w:rsidP="00445FEB">
            <w:pPr>
              <w:pStyle w:val="TableHeaderArial"/>
            </w:pPr>
            <w:r w:rsidRPr="00C9343F">
              <w:t>Item</w:t>
            </w:r>
          </w:p>
        </w:tc>
        <w:tc>
          <w:tcPr>
            <w:tcW w:w="4955" w:type="dxa"/>
            <w:tcBorders>
              <w:top w:val="single" w:sz="6" w:space="0" w:color="auto"/>
              <w:left w:val="single" w:sz="6" w:space="0" w:color="auto"/>
              <w:bottom w:val="single" w:sz="6" w:space="0" w:color="auto"/>
              <w:right w:val="single" w:sz="6" w:space="0" w:color="auto"/>
            </w:tcBorders>
          </w:tcPr>
          <w:p w14:paraId="26D96DD2" w14:textId="77777777" w:rsidR="00385CB5" w:rsidRPr="00C9343F" w:rsidRDefault="00385CB5" w:rsidP="00445FEB">
            <w:pPr>
              <w:pStyle w:val="TableHeaderArial"/>
            </w:pPr>
            <w:r w:rsidRPr="00C9343F">
              <w:t>Column A</w:t>
            </w:r>
          </w:p>
          <w:p w14:paraId="7E56C7E9" w14:textId="77777777" w:rsidR="00385CB5" w:rsidRPr="00C9343F" w:rsidRDefault="00385CB5" w:rsidP="00445FEB">
            <w:pPr>
              <w:pStyle w:val="TableHeaderArial"/>
            </w:pPr>
            <w:r w:rsidRPr="00C9343F">
              <w:t>Condition</w:t>
            </w:r>
          </w:p>
        </w:tc>
        <w:tc>
          <w:tcPr>
            <w:tcW w:w="2758" w:type="dxa"/>
            <w:tcBorders>
              <w:top w:val="single" w:sz="6" w:space="0" w:color="auto"/>
              <w:left w:val="single" w:sz="6" w:space="0" w:color="auto"/>
              <w:bottom w:val="single" w:sz="6" w:space="0" w:color="auto"/>
              <w:right w:val="single" w:sz="6" w:space="0" w:color="auto"/>
            </w:tcBorders>
          </w:tcPr>
          <w:p w14:paraId="62401F71" w14:textId="77777777" w:rsidR="00385CB5" w:rsidRPr="00C9343F" w:rsidRDefault="00385CB5" w:rsidP="00445FEB">
            <w:pPr>
              <w:pStyle w:val="TableHeaderArial"/>
            </w:pPr>
            <w:r w:rsidRPr="00C9343F">
              <w:t>Column B</w:t>
            </w:r>
          </w:p>
          <w:p w14:paraId="51031E2C" w14:textId="77777777" w:rsidR="00385CB5" w:rsidRPr="00C9343F" w:rsidRDefault="00385CB5" w:rsidP="00445FEB">
            <w:pPr>
              <w:pStyle w:val="TableHeaderArial"/>
            </w:pPr>
            <w:r w:rsidRPr="00C9343F">
              <w:t>Annual rate ($)</w:t>
            </w:r>
          </w:p>
        </w:tc>
      </w:tr>
      <w:tr w:rsidR="00385CB5" w:rsidRPr="00C9343F" w14:paraId="029F9626" w14:textId="77777777" w:rsidTr="00445FEB">
        <w:trPr>
          <w:cantSplit/>
        </w:trPr>
        <w:tc>
          <w:tcPr>
            <w:tcW w:w="709" w:type="dxa"/>
            <w:tcBorders>
              <w:top w:val="single" w:sz="6" w:space="0" w:color="auto"/>
              <w:left w:val="single" w:sz="6" w:space="0" w:color="auto"/>
              <w:bottom w:val="single" w:sz="6" w:space="0" w:color="auto"/>
              <w:right w:val="single" w:sz="6" w:space="0" w:color="auto"/>
            </w:tcBorders>
          </w:tcPr>
          <w:p w14:paraId="1F392437" w14:textId="77777777" w:rsidR="00385CB5" w:rsidRPr="00C9343F" w:rsidRDefault="00385CB5" w:rsidP="00445FEB">
            <w:pPr>
              <w:pStyle w:val="TableTextArial-left"/>
              <w:jc w:val="center"/>
            </w:pPr>
            <w:r w:rsidRPr="00C9343F">
              <w:t>1.</w:t>
            </w:r>
          </w:p>
        </w:tc>
        <w:tc>
          <w:tcPr>
            <w:tcW w:w="4955" w:type="dxa"/>
            <w:tcBorders>
              <w:top w:val="single" w:sz="6" w:space="0" w:color="auto"/>
              <w:left w:val="single" w:sz="6" w:space="0" w:color="auto"/>
              <w:bottom w:val="single" w:sz="6" w:space="0" w:color="auto"/>
              <w:right w:val="single" w:sz="6" w:space="0" w:color="auto"/>
            </w:tcBorders>
          </w:tcPr>
          <w:p w14:paraId="6E2F089A" w14:textId="7F60480D" w:rsidR="00385CB5" w:rsidRPr="00C9343F" w:rsidRDefault="00385CB5" w:rsidP="00445FEB">
            <w:pPr>
              <w:pStyle w:val="TableTextArial-left"/>
            </w:pPr>
            <w:r w:rsidRPr="00C9343F">
              <w:t xml:space="preserve">The member has at least one dependant living at </w:t>
            </w:r>
            <w:r w:rsidR="00033E24" w:rsidRPr="00C9343F">
              <w:rPr>
                <w:iCs/>
                <w:lang w:eastAsia="en-US"/>
              </w:rPr>
              <w:t>the Proof and Experimental Establishment at Port Wakefield</w:t>
            </w:r>
            <w:r w:rsidRPr="00C9343F">
              <w:t>.</w:t>
            </w:r>
          </w:p>
        </w:tc>
        <w:tc>
          <w:tcPr>
            <w:tcW w:w="2758" w:type="dxa"/>
            <w:tcBorders>
              <w:top w:val="single" w:sz="6" w:space="0" w:color="auto"/>
              <w:left w:val="single" w:sz="6" w:space="0" w:color="auto"/>
              <w:bottom w:val="single" w:sz="6" w:space="0" w:color="auto"/>
              <w:right w:val="single" w:sz="6" w:space="0" w:color="auto"/>
            </w:tcBorders>
          </w:tcPr>
          <w:p w14:paraId="1D69E5BF" w14:textId="77777777" w:rsidR="00385CB5" w:rsidRPr="00C9343F" w:rsidRDefault="00385CB5" w:rsidP="00445FEB">
            <w:pPr>
              <w:pStyle w:val="TableTextArial-left"/>
              <w:jc w:val="center"/>
            </w:pPr>
            <w:r w:rsidRPr="00C9343F">
              <w:t>2,870</w:t>
            </w:r>
          </w:p>
        </w:tc>
      </w:tr>
      <w:tr w:rsidR="00385CB5" w:rsidRPr="00C9343F" w14:paraId="697C9F87" w14:textId="77777777" w:rsidTr="00445FEB">
        <w:trPr>
          <w:cantSplit/>
        </w:trPr>
        <w:tc>
          <w:tcPr>
            <w:tcW w:w="709" w:type="dxa"/>
            <w:tcBorders>
              <w:top w:val="single" w:sz="6" w:space="0" w:color="auto"/>
              <w:left w:val="single" w:sz="6" w:space="0" w:color="auto"/>
              <w:bottom w:val="single" w:sz="6" w:space="0" w:color="auto"/>
              <w:right w:val="single" w:sz="6" w:space="0" w:color="auto"/>
            </w:tcBorders>
          </w:tcPr>
          <w:p w14:paraId="3F4FE767" w14:textId="77777777" w:rsidR="00385CB5" w:rsidRPr="00C9343F" w:rsidRDefault="00385CB5" w:rsidP="00445FEB">
            <w:pPr>
              <w:pStyle w:val="TableTextArial-left"/>
              <w:jc w:val="center"/>
            </w:pPr>
            <w:r w:rsidRPr="00C9343F">
              <w:t>2.</w:t>
            </w:r>
          </w:p>
        </w:tc>
        <w:tc>
          <w:tcPr>
            <w:tcW w:w="4955" w:type="dxa"/>
            <w:tcBorders>
              <w:top w:val="single" w:sz="6" w:space="0" w:color="auto"/>
              <w:left w:val="single" w:sz="6" w:space="0" w:color="auto"/>
              <w:bottom w:val="single" w:sz="6" w:space="0" w:color="auto"/>
              <w:right w:val="single" w:sz="6" w:space="0" w:color="auto"/>
            </w:tcBorders>
          </w:tcPr>
          <w:p w14:paraId="776D2BB7" w14:textId="77777777" w:rsidR="00385CB5" w:rsidRPr="00C9343F" w:rsidRDefault="00385CB5" w:rsidP="00445FEB">
            <w:pPr>
              <w:pStyle w:val="TableTextArial-left"/>
            </w:pPr>
            <w:r w:rsidRPr="00C9343F">
              <w:t>Any other member.</w:t>
            </w:r>
          </w:p>
        </w:tc>
        <w:tc>
          <w:tcPr>
            <w:tcW w:w="2758" w:type="dxa"/>
            <w:tcBorders>
              <w:top w:val="single" w:sz="6" w:space="0" w:color="auto"/>
              <w:left w:val="single" w:sz="6" w:space="0" w:color="auto"/>
              <w:bottom w:val="single" w:sz="6" w:space="0" w:color="auto"/>
              <w:right w:val="single" w:sz="6" w:space="0" w:color="auto"/>
            </w:tcBorders>
          </w:tcPr>
          <w:p w14:paraId="3232FF65" w14:textId="77777777" w:rsidR="00385CB5" w:rsidRPr="00C9343F" w:rsidRDefault="00385CB5" w:rsidP="00445FEB">
            <w:pPr>
              <w:pStyle w:val="TableTextArial-left"/>
              <w:jc w:val="center"/>
            </w:pPr>
            <w:r w:rsidRPr="00C9343F">
              <w:t>1,435</w:t>
            </w:r>
          </w:p>
        </w:tc>
      </w:tr>
    </w:tbl>
    <w:p w14:paraId="6D00F613" w14:textId="77777777" w:rsidR="00385CB5" w:rsidRPr="00C9343F" w:rsidRDefault="00385CB5" w:rsidP="00385CB5">
      <w:pPr>
        <w:pStyle w:val="Item"/>
        <w:ind w:left="0"/>
        <w:jc w:val="both"/>
      </w:pPr>
    </w:p>
    <w:tbl>
      <w:tblPr>
        <w:tblW w:w="9355" w:type="dxa"/>
        <w:tblInd w:w="113" w:type="dxa"/>
        <w:tblLayout w:type="fixed"/>
        <w:tblLook w:val="0000" w:firstRow="0" w:lastRow="0" w:firstColumn="0" w:lastColumn="0" w:noHBand="0" w:noVBand="0"/>
      </w:tblPr>
      <w:tblGrid>
        <w:gridCol w:w="992"/>
        <w:gridCol w:w="8363"/>
      </w:tblGrid>
      <w:tr w:rsidR="006D1E1C" w:rsidRPr="00C9343F" w14:paraId="0588ADEE" w14:textId="77777777" w:rsidTr="0043336A">
        <w:tc>
          <w:tcPr>
            <w:tcW w:w="992" w:type="dxa"/>
          </w:tcPr>
          <w:p w14:paraId="182612BB" w14:textId="77777777" w:rsidR="006D1E1C" w:rsidRPr="00C9343F" w:rsidRDefault="006D1E1C" w:rsidP="00F66D98">
            <w:pPr>
              <w:pStyle w:val="BlockText-Plain"/>
              <w:jc w:val="center"/>
            </w:pPr>
            <w:r w:rsidRPr="00C9343F">
              <w:t>3.</w:t>
            </w:r>
          </w:p>
        </w:tc>
        <w:tc>
          <w:tcPr>
            <w:tcW w:w="8363" w:type="dxa"/>
          </w:tcPr>
          <w:p w14:paraId="07A950AD" w14:textId="3538BD70" w:rsidR="006D1E1C" w:rsidRPr="00C9343F" w:rsidRDefault="006D1E1C" w:rsidP="00F66D98">
            <w:pPr>
              <w:pStyle w:val="BlockText-Plain"/>
            </w:pPr>
            <w:r w:rsidRPr="00C9343F">
              <w:t xml:space="preserve">Port Wakefield allowance is paid from the date the member takes up residence at </w:t>
            </w:r>
            <w:r w:rsidR="00033E24" w:rsidRPr="00C9343F">
              <w:rPr>
                <w:iCs/>
                <w:lang w:eastAsia="en-US"/>
              </w:rPr>
              <w:t>the Proof and Experimental Establishment at Port Wakefield</w:t>
            </w:r>
            <w:r w:rsidRPr="00C9343F">
              <w:t xml:space="preserve"> and ends when they leave it. </w:t>
            </w:r>
          </w:p>
        </w:tc>
      </w:tr>
    </w:tbl>
    <w:p w14:paraId="678535F6" w14:textId="545CFE31" w:rsidR="006D1E1C" w:rsidRPr="00C9343F" w:rsidRDefault="006D1E1C" w:rsidP="00F66D98">
      <w:pPr>
        <w:pStyle w:val="Heading5"/>
      </w:pPr>
      <w:bookmarkStart w:id="758" w:name="_Toc105053823"/>
      <w:bookmarkStart w:id="759" w:name="bk1701444830Membernotentitled"/>
      <w:bookmarkStart w:id="760" w:name="bk1058174828Membernotentitled"/>
      <w:bookmarkStart w:id="761" w:name="bk1325214827Membernotentitled"/>
      <w:bookmarkStart w:id="762" w:name="bk1150384627Membernotentitled"/>
      <w:bookmarkStart w:id="763" w:name="bk31555PM4830Absencefortemporaryduty"/>
      <w:bookmarkStart w:id="764" w:name="bk1024514830Absencefortemporaryduty"/>
      <w:r w:rsidRPr="00C9343F">
        <w:t>4.4.20</w:t>
      </w:r>
      <w:r w:rsidR="00D94006" w:rsidRPr="00C9343F">
        <w:t>    </w:t>
      </w:r>
      <w:r w:rsidRPr="00C9343F">
        <w:t>Member not eligible</w:t>
      </w:r>
      <w:bookmarkEnd w:id="758"/>
    </w:p>
    <w:bookmarkEnd w:id="759"/>
    <w:bookmarkEnd w:id="760"/>
    <w:bookmarkEnd w:id="761"/>
    <w:bookmarkEnd w:id="762"/>
    <w:tbl>
      <w:tblPr>
        <w:tblW w:w="0" w:type="auto"/>
        <w:tblInd w:w="113" w:type="dxa"/>
        <w:tblLayout w:type="fixed"/>
        <w:tblLook w:val="0000" w:firstRow="0" w:lastRow="0" w:firstColumn="0" w:lastColumn="0" w:noHBand="0" w:noVBand="0"/>
      </w:tblPr>
      <w:tblGrid>
        <w:gridCol w:w="992"/>
        <w:gridCol w:w="8363"/>
      </w:tblGrid>
      <w:tr w:rsidR="006D1E1C" w:rsidRPr="00C9343F" w14:paraId="4BA2BBA7" w14:textId="77777777" w:rsidTr="006D1E1C">
        <w:tc>
          <w:tcPr>
            <w:tcW w:w="992" w:type="dxa"/>
          </w:tcPr>
          <w:p w14:paraId="7C74088A" w14:textId="77777777" w:rsidR="006D1E1C" w:rsidRPr="00C9343F" w:rsidRDefault="006D1E1C" w:rsidP="00F66D98">
            <w:pPr>
              <w:pStyle w:val="BlockText-PlainNoSpacing"/>
              <w:jc w:val="center"/>
            </w:pPr>
          </w:p>
        </w:tc>
        <w:tc>
          <w:tcPr>
            <w:tcW w:w="8363" w:type="dxa"/>
          </w:tcPr>
          <w:p w14:paraId="0A787EBC" w14:textId="2E5F685A" w:rsidR="006D1E1C" w:rsidRPr="00C9343F" w:rsidRDefault="006D1E1C" w:rsidP="00F66D98">
            <w:pPr>
              <w:pStyle w:val="BlockText-Plain"/>
            </w:pPr>
            <w:r w:rsidRPr="00C9343F">
              <w:t xml:space="preserve">A member serving at </w:t>
            </w:r>
            <w:r w:rsidR="00033E24" w:rsidRPr="00C9343F">
              <w:rPr>
                <w:iCs/>
                <w:lang w:eastAsia="en-US"/>
              </w:rPr>
              <w:t>the Proof and Experimental Establishment at Port Wakefield</w:t>
            </w:r>
            <w:r w:rsidRPr="00C9343F">
              <w:t xml:space="preserve"> on temporary duty is not eligible for the allowance.</w:t>
            </w:r>
          </w:p>
        </w:tc>
      </w:tr>
    </w:tbl>
    <w:p w14:paraId="3D05C8D7" w14:textId="372140C9" w:rsidR="006D1E1C" w:rsidRPr="00C9343F" w:rsidRDefault="006D1E1C" w:rsidP="00F66D98">
      <w:pPr>
        <w:pStyle w:val="Heading5"/>
      </w:pPr>
      <w:bookmarkStart w:id="765" w:name="_Toc105053824"/>
      <w:bookmarkStart w:id="766" w:name="bk1701444831Absencefromtheestablishment"/>
      <w:bookmarkStart w:id="767" w:name="bk1058174829Absencefromtheestablishment"/>
      <w:bookmarkStart w:id="768" w:name="bk1325214828Absencefromtheestablishment"/>
      <w:bookmarkStart w:id="769" w:name="bk1150384628Absencefromtheestablishment"/>
      <w:r w:rsidRPr="00C9343F">
        <w:t>4.4.21</w:t>
      </w:r>
      <w:r w:rsidR="00D94006" w:rsidRPr="00C9343F">
        <w:t>    </w:t>
      </w:r>
      <w:r w:rsidRPr="00C9343F">
        <w:t xml:space="preserve">Absence from </w:t>
      </w:r>
      <w:r w:rsidR="00033E24" w:rsidRPr="00C9343F">
        <w:rPr>
          <w:iCs/>
          <w:lang w:eastAsia="en-US"/>
        </w:rPr>
        <w:t>the Proof and Experimental Establishment at Port Wakefield</w:t>
      </w:r>
      <w:bookmarkEnd w:id="765"/>
    </w:p>
    <w:bookmarkEnd w:id="763"/>
    <w:bookmarkEnd w:id="764"/>
    <w:bookmarkEnd w:id="766"/>
    <w:bookmarkEnd w:id="767"/>
    <w:bookmarkEnd w:id="768"/>
    <w:bookmarkEnd w:id="769"/>
    <w:tbl>
      <w:tblPr>
        <w:tblW w:w="0" w:type="auto"/>
        <w:tblInd w:w="113" w:type="dxa"/>
        <w:tblLayout w:type="fixed"/>
        <w:tblLook w:val="0000" w:firstRow="0" w:lastRow="0" w:firstColumn="0" w:lastColumn="0" w:noHBand="0" w:noVBand="0"/>
      </w:tblPr>
      <w:tblGrid>
        <w:gridCol w:w="992"/>
        <w:gridCol w:w="8363"/>
      </w:tblGrid>
      <w:tr w:rsidR="006D1E1C" w:rsidRPr="00C9343F" w14:paraId="0C05F719" w14:textId="77777777" w:rsidTr="006D1E1C">
        <w:tc>
          <w:tcPr>
            <w:tcW w:w="992" w:type="dxa"/>
          </w:tcPr>
          <w:p w14:paraId="21F6AB69" w14:textId="77777777" w:rsidR="006D1E1C" w:rsidRPr="00C9343F" w:rsidRDefault="006D1E1C" w:rsidP="00F66D98">
            <w:pPr>
              <w:pStyle w:val="BlockText-Plain"/>
              <w:jc w:val="center"/>
            </w:pPr>
          </w:p>
        </w:tc>
        <w:tc>
          <w:tcPr>
            <w:tcW w:w="8363" w:type="dxa"/>
          </w:tcPr>
          <w:p w14:paraId="0F1AA3AE" w14:textId="576B738F" w:rsidR="006D1E1C" w:rsidRPr="00C9343F" w:rsidRDefault="006D1E1C" w:rsidP="00F66D98">
            <w:pPr>
              <w:pStyle w:val="BlockText-Plain"/>
            </w:pPr>
            <w:r w:rsidRPr="00C9343F">
              <w:t xml:space="preserve">The conditions for absence from a remote location under Division 2 apply to a member's absence from </w:t>
            </w:r>
            <w:r w:rsidR="00033E24" w:rsidRPr="00C9343F">
              <w:rPr>
                <w:iCs/>
                <w:lang w:eastAsia="en-US"/>
              </w:rPr>
              <w:t>the Proof and Experimental Establishment at Port Wakefield</w:t>
            </w:r>
            <w:r w:rsidRPr="00C9343F">
              <w:t>.</w:t>
            </w:r>
          </w:p>
        </w:tc>
      </w:tr>
    </w:tbl>
    <w:p w14:paraId="5BE525FD" w14:textId="77777777" w:rsidR="006D1E1C" w:rsidRPr="00C9343F" w:rsidRDefault="006D1E1C" w:rsidP="00F66D98"/>
    <w:p w14:paraId="00EF45B0" w14:textId="1795D860" w:rsidR="006D1E1C" w:rsidRPr="00C9343F" w:rsidRDefault="006D1E1C" w:rsidP="001E76CE">
      <w:pPr>
        <w:pStyle w:val="Heading4"/>
        <w:pageBreakBefore/>
      </w:pPr>
      <w:bookmarkStart w:id="770" w:name="div5"/>
      <w:bookmarkStart w:id="771" w:name="div6"/>
      <w:bookmarkStart w:id="772" w:name="_Toc105053825"/>
      <w:bookmarkEnd w:id="770"/>
      <w:bookmarkEnd w:id="771"/>
      <w:r w:rsidRPr="00C9343F">
        <w:t>Division 4: Scherger allowance</w:t>
      </w:r>
      <w:bookmarkEnd w:id="772"/>
    </w:p>
    <w:p w14:paraId="76511E31" w14:textId="1D6D1238" w:rsidR="006D1E1C" w:rsidRPr="00C9343F" w:rsidRDefault="006D1E1C" w:rsidP="00F66D98">
      <w:pPr>
        <w:pStyle w:val="Heading5"/>
      </w:pPr>
      <w:bookmarkStart w:id="773" w:name="_Toc105053826"/>
      <w:bookmarkStart w:id="774" w:name="bk1054164842Purpose"/>
      <w:bookmarkStart w:id="775" w:name="bk1101224839Purpose"/>
      <w:bookmarkStart w:id="776" w:name="bk1325364838Purpose"/>
      <w:bookmarkStart w:id="777" w:name="bk1150494638Purpose"/>
      <w:bookmarkStart w:id="778" w:name="bk1517334438Purpose"/>
      <w:bookmarkStart w:id="779" w:name="bk1519134438Purpose"/>
      <w:r w:rsidRPr="00C9343F">
        <w:t>4.4.22</w:t>
      </w:r>
      <w:r w:rsidR="00D94006" w:rsidRPr="00C9343F">
        <w:t>    </w:t>
      </w:r>
      <w:r w:rsidRPr="00C9343F">
        <w:t>Purpose</w:t>
      </w:r>
      <w:bookmarkEnd w:id="773"/>
    </w:p>
    <w:bookmarkEnd w:id="774"/>
    <w:bookmarkEnd w:id="775"/>
    <w:bookmarkEnd w:id="776"/>
    <w:bookmarkEnd w:id="777"/>
    <w:bookmarkEnd w:id="778"/>
    <w:bookmarkEnd w:id="779"/>
    <w:tbl>
      <w:tblPr>
        <w:tblW w:w="0" w:type="auto"/>
        <w:tblInd w:w="113" w:type="dxa"/>
        <w:tblLayout w:type="fixed"/>
        <w:tblLook w:val="0000" w:firstRow="0" w:lastRow="0" w:firstColumn="0" w:lastColumn="0" w:noHBand="0" w:noVBand="0"/>
      </w:tblPr>
      <w:tblGrid>
        <w:gridCol w:w="992"/>
        <w:gridCol w:w="8363"/>
      </w:tblGrid>
      <w:tr w:rsidR="006D1E1C" w:rsidRPr="00C9343F" w14:paraId="75934CCB" w14:textId="77777777" w:rsidTr="006D1E1C">
        <w:tc>
          <w:tcPr>
            <w:tcW w:w="992" w:type="dxa"/>
          </w:tcPr>
          <w:p w14:paraId="210032EB" w14:textId="77777777" w:rsidR="006D1E1C" w:rsidRPr="00C9343F" w:rsidRDefault="006D1E1C" w:rsidP="00F66D98">
            <w:pPr>
              <w:pStyle w:val="BlockText-Plain"/>
              <w:jc w:val="center"/>
            </w:pPr>
          </w:p>
        </w:tc>
        <w:tc>
          <w:tcPr>
            <w:tcW w:w="8363" w:type="dxa"/>
          </w:tcPr>
          <w:p w14:paraId="1FAE1CCB" w14:textId="77777777" w:rsidR="006D1E1C" w:rsidRPr="00C9343F" w:rsidRDefault="006D1E1C" w:rsidP="00F66D98">
            <w:pPr>
              <w:pStyle w:val="BlockText-Plain"/>
            </w:pPr>
            <w:r w:rsidRPr="00C9343F">
              <w:t>Scherger allowance recognises hardship at RAAF Scherger. This is caused by the generally poor state of the unsealed road to Weipa.</w:t>
            </w:r>
          </w:p>
        </w:tc>
      </w:tr>
    </w:tbl>
    <w:p w14:paraId="2EF5F8AA" w14:textId="78719C1F" w:rsidR="006D1E1C" w:rsidRPr="00C9343F" w:rsidRDefault="006D1E1C" w:rsidP="00F66D98">
      <w:pPr>
        <w:pStyle w:val="Heading5"/>
      </w:pPr>
      <w:bookmarkStart w:id="780" w:name="_Toc105053827"/>
      <w:bookmarkStart w:id="781" w:name="bk1054164843Definition"/>
      <w:bookmarkStart w:id="782" w:name="bk1101224840Definition"/>
      <w:bookmarkStart w:id="783" w:name="bk1325364839Definition"/>
      <w:bookmarkStart w:id="784" w:name="bk1150494639Definition"/>
      <w:bookmarkStart w:id="785" w:name="bk1517334439Memberwhoiseligible"/>
      <w:bookmarkStart w:id="786" w:name="bk1519134439Memberwhoiseligible"/>
      <w:r w:rsidRPr="00C9343F">
        <w:t>4.4.23</w:t>
      </w:r>
      <w:r w:rsidR="00D94006" w:rsidRPr="00C9343F">
        <w:t>    </w:t>
      </w:r>
      <w:r w:rsidRPr="00C9343F">
        <w:t>Member who is eligible</w:t>
      </w:r>
      <w:bookmarkEnd w:id="780"/>
    </w:p>
    <w:bookmarkEnd w:id="781"/>
    <w:bookmarkEnd w:id="782"/>
    <w:bookmarkEnd w:id="783"/>
    <w:bookmarkEnd w:id="784"/>
    <w:bookmarkEnd w:id="785"/>
    <w:bookmarkEnd w:id="786"/>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35F0BBE0" w14:textId="77777777" w:rsidTr="006D1E1C">
        <w:tc>
          <w:tcPr>
            <w:tcW w:w="992" w:type="dxa"/>
          </w:tcPr>
          <w:p w14:paraId="2D516168" w14:textId="77777777" w:rsidR="006D1E1C" w:rsidRPr="00C9343F" w:rsidRDefault="006D1E1C" w:rsidP="00F66D98">
            <w:pPr>
              <w:pStyle w:val="BlockText-Plain"/>
              <w:jc w:val="center"/>
            </w:pPr>
          </w:p>
        </w:tc>
        <w:tc>
          <w:tcPr>
            <w:tcW w:w="8363" w:type="dxa"/>
            <w:gridSpan w:val="2"/>
          </w:tcPr>
          <w:p w14:paraId="2612AFD8" w14:textId="77777777" w:rsidR="006D1E1C" w:rsidRPr="00C9343F" w:rsidRDefault="006D1E1C" w:rsidP="00F66D98">
            <w:pPr>
              <w:pStyle w:val="BlockText-Plain"/>
            </w:pPr>
            <w:r w:rsidRPr="00C9343F">
              <w:t>A member is eligible for Scherger allowance if they meet all these conditions.</w:t>
            </w:r>
          </w:p>
        </w:tc>
      </w:tr>
      <w:tr w:rsidR="006D1E1C" w:rsidRPr="00C9343F" w14:paraId="2FACA521" w14:textId="77777777" w:rsidTr="006D1E1C">
        <w:trPr>
          <w:cantSplit/>
        </w:trPr>
        <w:tc>
          <w:tcPr>
            <w:tcW w:w="992" w:type="dxa"/>
          </w:tcPr>
          <w:p w14:paraId="6F644202" w14:textId="77777777" w:rsidR="006D1E1C" w:rsidRPr="00C9343F" w:rsidRDefault="006D1E1C" w:rsidP="00F66D98">
            <w:pPr>
              <w:pStyle w:val="BlockText-Plain"/>
            </w:pPr>
            <w:bookmarkStart w:id="787" w:name="bk1054164844Memberwhoiseligible"/>
            <w:bookmarkStart w:id="788" w:name="bk1101224841Memberwhoiseligible"/>
            <w:bookmarkStart w:id="789" w:name="bk1325364840Memberwhoiseligible"/>
            <w:bookmarkStart w:id="790" w:name="bk1150494640Memberwhoiseligible"/>
          </w:p>
        </w:tc>
        <w:tc>
          <w:tcPr>
            <w:tcW w:w="567" w:type="dxa"/>
          </w:tcPr>
          <w:p w14:paraId="74454B6C" w14:textId="77777777" w:rsidR="006D1E1C" w:rsidRPr="00C9343F" w:rsidRDefault="006D1E1C" w:rsidP="008D1B5D">
            <w:pPr>
              <w:pStyle w:val="BlockText-Plain"/>
              <w:jc w:val="center"/>
            </w:pPr>
            <w:r w:rsidRPr="00C9343F">
              <w:t>a.</w:t>
            </w:r>
          </w:p>
        </w:tc>
        <w:tc>
          <w:tcPr>
            <w:tcW w:w="7796" w:type="dxa"/>
          </w:tcPr>
          <w:p w14:paraId="216B6273" w14:textId="77777777" w:rsidR="006D1E1C" w:rsidRPr="00C9343F" w:rsidRDefault="006D1E1C" w:rsidP="00F66D98">
            <w:pPr>
              <w:pStyle w:val="BlockText-Plain"/>
            </w:pPr>
            <w:r w:rsidRPr="00C9343F">
              <w:t>They are posted in a caretaker role to RAAF Scherger for at least 12 months.</w:t>
            </w:r>
          </w:p>
        </w:tc>
      </w:tr>
      <w:tr w:rsidR="006D1E1C" w:rsidRPr="00C9343F" w14:paraId="79C27907" w14:textId="77777777" w:rsidTr="006D1E1C">
        <w:trPr>
          <w:cantSplit/>
        </w:trPr>
        <w:tc>
          <w:tcPr>
            <w:tcW w:w="992" w:type="dxa"/>
          </w:tcPr>
          <w:p w14:paraId="0D47A42E" w14:textId="77777777" w:rsidR="006D1E1C" w:rsidRPr="00C9343F" w:rsidRDefault="006D1E1C" w:rsidP="00F66D98">
            <w:pPr>
              <w:pStyle w:val="BlockText-Plain"/>
            </w:pPr>
          </w:p>
        </w:tc>
        <w:tc>
          <w:tcPr>
            <w:tcW w:w="567" w:type="dxa"/>
          </w:tcPr>
          <w:p w14:paraId="10722D3D" w14:textId="77777777" w:rsidR="006D1E1C" w:rsidRPr="00C9343F" w:rsidRDefault="006D1E1C" w:rsidP="008D1B5D">
            <w:pPr>
              <w:pStyle w:val="BlockText-Plain"/>
              <w:jc w:val="center"/>
            </w:pPr>
            <w:r w:rsidRPr="00C9343F">
              <w:t>b.</w:t>
            </w:r>
          </w:p>
        </w:tc>
        <w:tc>
          <w:tcPr>
            <w:tcW w:w="7796" w:type="dxa"/>
          </w:tcPr>
          <w:p w14:paraId="073E3D4D" w14:textId="77777777" w:rsidR="006D1E1C" w:rsidRPr="00C9343F" w:rsidRDefault="006D1E1C" w:rsidP="00F66D98">
            <w:pPr>
              <w:pStyle w:val="BlockText-Plain"/>
            </w:pPr>
            <w:r w:rsidRPr="00C9343F">
              <w:t>They are required for operational reasons to live on the base.</w:t>
            </w:r>
          </w:p>
        </w:tc>
      </w:tr>
      <w:tr w:rsidR="006D1E1C" w:rsidRPr="00C9343F" w14:paraId="577FAF07" w14:textId="77777777" w:rsidTr="006D1E1C">
        <w:trPr>
          <w:cantSplit/>
        </w:trPr>
        <w:tc>
          <w:tcPr>
            <w:tcW w:w="992" w:type="dxa"/>
          </w:tcPr>
          <w:p w14:paraId="34A9FB61" w14:textId="77777777" w:rsidR="006D1E1C" w:rsidRPr="00C9343F" w:rsidRDefault="006D1E1C" w:rsidP="00F66D98">
            <w:pPr>
              <w:pStyle w:val="BlockText-Plain"/>
            </w:pPr>
          </w:p>
        </w:tc>
        <w:tc>
          <w:tcPr>
            <w:tcW w:w="567" w:type="dxa"/>
          </w:tcPr>
          <w:p w14:paraId="781D7933" w14:textId="77777777" w:rsidR="006D1E1C" w:rsidRPr="00C9343F" w:rsidRDefault="006D1E1C" w:rsidP="008D1B5D">
            <w:pPr>
              <w:pStyle w:val="BlockText-Plain"/>
              <w:jc w:val="center"/>
            </w:pPr>
            <w:r w:rsidRPr="00C9343F">
              <w:t>c.</w:t>
            </w:r>
          </w:p>
        </w:tc>
        <w:tc>
          <w:tcPr>
            <w:tcW w:w="7796" w:type="dxa"/>
          </w:tcPr>
          <w:p w14:paraId="1DBF85E0" w14:textId="77777777" w:rsidR="006D1E1C" w:rsidRPr="00C9343F" w:rsidRDefault="006D1E1C" w:rsidP="00F66D98">
            <w:pPr>
              <w:pStyle w:val="BlockText-Plain"/>
            </w:pPr>
            <w:r w:rsidRPr="00C9343F">
              <w:t>They live on the base for the period of the posting.</w:t>
            </w:r>
          </w:p>
        </w:tc>
      </w:tr>
    </w:tbl>
    <w:p w14:paraId="586A726A" w14:textId="77777777" w:rsidR="00CE1A07" w:rsidRPr="00C9343F" w:rsidRDefault="00CE1A07" w:rsidP="00F66D98">
      <w:pPr>
        <w:pStyle w:val="Heading5"/>
      </w:pPr>
      <w:bookmarkStart w:id="791" w:name="_Toc105053828"/>
      <w:bookmarkStart w:id="792" w:name="bk1517334440Rateofallowance"/>
      <w:bookmarkStart w:id="793" w:name="bk1519134440Rateofallowance"/>
      <w:r w:rsidRPr="00C9343F">
        <w:t>4.4.23A  Member not eligible</w:t>
      </w:r>
      <w:bookmarkEnd w:id="791"/>
    </w:p>
    <w:tbl>
      <w:tblPr>
        <w:tblW w:w="0" w:type="auto"/>
        <w:tblInd w:w="113" w:type="dxa"/>
        <w:tblLayout w:type="fixed"/>
        <w:tblLook w:val="0000" w:firstRow="0" w:lastRow="0" w:firstColumn="0" w:lastColumn="0" w:noHBand="0" w:noVBand="0"/>
      </w:tblPr>
      <w:tblGrid>
        <w:gridCol w:w="992"/>
        <w:gridCol w:w="8363"/>
      </w:tblGrid>
      <w:tr w:rsidR="00CE1A07" w:rsidRPr="00C9343F" w14:paraId="302307A9" w14:textId="77777777" w:rsidTr="00CE1E6B">
        <w:tc>
          <w:tcPr>
            <w:tcW w:w="992" w:type="dxa"/>
          </w:tcPr>
          <w:p w14:paraId="06B4224E" w14:textId="77777777" w:rsidR="00CE1A07" w:rsidRPr="00C9343F" w:rsidRDefault="00CE1A07" w:rsidP="00F66D98">
            <w:pPr>
              <w:pStyle w:val="BlockText-Plain"/>
              <w:jc w:val="center"/>
            </w:pPr>
          </w:p>
        </w:tc>
        <w:tc>
          <w:tcPr>
            <w:tcW w:w="8363" w:type="dxa"/>
          </w:tcPr>
          <w:p w14:paraId="4794BCFD" w14:textId="77777777" w:rsidR="00CE1A07" w:rsidRPr="00C9343F" w:rsidRDefault="00CE1A07" w:rsidP="00F66D98">
            <w:pPr>
              <w:pStyle w:val="BlockText-Plain"/>
            </w:pPr>
            <w:r w:rsidRPr="00C9343F">
              <w:t>A member on a flexible service determination is not eligible for the allowance for any continuous nonworking period of more than 28 days.</w:t>
            </w:r>
          </w:p>
        </w:tc>
      </w:tr>
    </w:tbl>
    <w:p w14:paraId="4AE99864" w14:textId="5E34D8A6" w:rsidR="006D1E1C" w:rsidRPr="00C9343F" w:rsidRDefault="006D1E1C" w:rsidP="00F66D98">
      <w:pPr>
        <w:pStyle w:val="Heading5"/>
      </w:pPr>
      <w:bookmarkStart w:id="794" w:name="_Toc105053829"/>
      <w:r w:rsidRPr="00C9343F">
        <w:t>4.4.24</w:t>
      </w:r>
      <w:r w:rsidR="00D94006" w:rsidRPr="00C9343F">
        <w:t>    </w:t>
      </w:r>
      <w:r w:rsidRPr="00C9343F">
        <w:t>Rate of allowance</w:t>
      </w:r>
      <w:bookmarkEnd w:id="794"/>
    </w:p>
    <w:bookmarkEnd w:id="787"/>
    <w:bookmarkEnd w:id="788"/>
    <w:bookmarkEnd w:id="789"/>
    <w:bookmarkEnd w:id="790"/>
    <w:bookmarkEnd w:id="792"/>
    <w:bookmarkEnd w:id="793"/>
    <w:tbl>
      <w:tblPr>
        <w:tblW w:w="0" w:type="auto"/>
        <w:tblInd w:w="113" w:type="dxa"/>
        <w:tblLayout w:type="fixed"/>
        <w:tblLook w:val="0000" w:firstRow="0" w:lastRow="0" w:firstColumn="0" w:lastColumn="0" w:noHBand="0" w:noVBand="0"/>
      </w:tblPr>
      <w:tblGrid>
        <w:gridCol w:w="992"/>
        <w:gridCol w:w="8363"/>
      </w:tblGrid>
      <w:tr w:rsidR="006D1E1C" w:rsidRPr="00C9343F" w14:paraId="146F8E99" w14:textId="77777777" w:rsidTr="006D1E1C">
        <w:tc>
          <w:tcPr>
            <w:tcW w:w="992" w:type="dxa"/>
          </w:tcPr>
          <w:p w14:paraId="7E87FE6E" w14:textId="77777777" w:rsidR="006D1E1C" w:rsidRPr="00C9343F" w:rsidRDefault="006D1E1C" w:rsidP="00F66D98">
            <w:pPr>
              <w:pStyle w:val="BlockText-Plain"/>
              <w:jc w:val="center"/>
            </w:pPr>
          </w:p>
        </w:tc>
        <w:tc>
          <w:tcPr>
            <w:tcW w:w="8363" w:type="dxa"/>
          </w:tcPr>
          <w:p w14:paraId="4238B474" w14:textId="352D70F8" w:rsidR="006D1E1C" w:rsidRPr="00C9343F" w:rsidRDefault="006D1E1C" w:rsidP="00F66D98">
            <w:pPr>
              <w:pStyle w:val="BlockText-Plain"/>
            </w:pPr>
            <w:r w:rsidRPr="00C9343F">
              <w:t>The rat</w:t>
            </w:r>
            <w:r w:rsidR="006A5689" w:rsidRPr="00C9343F">
              <w:t>e of Scherger allowance is $</w:t>
            </w:r>
            <w:r w:rsidR="00764EDD" w:rsidRPr="00C9343F">
              <w:rPr>
                <w:iCs/>
              </w:rPr>
              <w:t>6</w:t>
            </w:r>
            <w:r w:rsidR="00CF606B" w:rsidRPr="00C9343F">
              <w:rPr>
                <w:iCs/>
              </w:rPr>
              <w:t>,</w:t>
            </w:r>
            <w:r w:rsidR="00C66F77" w:rsidRPr="00C9343F">
              <w:rPr>
                <w:iCs/>
              </w:rPr>
              <w:t>045</w:t>
            </w:r>
            <w:r w:rsidR="00CF606B" w:rsidRPr="00C9343F">
              <w:rPr>
                <w:iCs/>
              </w:rPr>
              <w:t xml:space="preserve"> </w:t>
            </w:r>
            <w:r w:rsidRPr="00C9343F">
              <w:t>a year.</w:t>
            </w:r>
          </w:p>
        </w:tc>
      </w:tr>
    </w:tbl>
    <w:p w14:paraId="16BE4FDD" w14:textId="6D184CDA" w:rsidR="006D1E1C" w:rsidRPr="00C9343F" w:rsidRDefault="006D1E1C" w:rsidP="00BB747F">
      <w:pPr>
        <w:pStyle w:val="Heading4"/>
        <w:pageBreakBefore/>
      </w:pPr>
      <w:bookmarkStart w:id="795" w:name="div7"/>
      <w:bookmarkStart w:id="796" w:name="_Toc105053830"/>
      <w:bookmarkEnd w:id="795"/>
      <w:r w:rsidRPr="00C9343F">
        <w:t xml:space="preserve">Division 5: Allowances for services in Antarctica – </w:t>
      </w:r>
      <w:r w:rsidR="00BB747F" w:rsidRPr="00C9343F">
        <w:t>general provisions</w:t>
      </w:r>
      <w:bookmarkEnd w:id="796"/>
    </w:p>
    <w:p w14:paraId="34F133F9" w14:textId="3712FFFC" w:rsidR="007C315A" w:rsidRPr="00C9343F" w:rsidRDefault="007C315A" w:rsidP="007C315A">
      <w:pPr>
        <w:pStyle w:val="Heading5"/>
      </w:pPr>
      <w:bookmarkStart w:id="797" w:name="_Toc105053831"/>
      <w:r w:rsidRPr="00C9343F">
        <w:t>4.4.25    Definitions</w:t>
      </w:r>
      <w:bookmarkEnd w:id="797"/>
    </w:p>
    <w:tbl>
      <w:tblPr>
        <w:tblW w:w="0" w:type="dxa"/>
        <w:tblInd w:w="113" w:type="dxa"/>
        <w:tblLayout w:type="fixed"/>
        <w:tblLook w:val="04A0" w:firstRow="1" w:lastRow="0" w:firstColumn="1" w:lastColumn="0" w:noHBand="0" w:noVBand="1"/>
      </w:tblPr>
      <w:tblGrid>
        <w:gridCol w:w="992"/>
        <w:gridCol w:w="563"/>
        <w:gridCol w:w="7804"/>
      </w:tblGrid>
      <w:tr w:rsidR="007C315A" w:rsidRPr="00C9343F" w14:paraId="2078EA5F" w14:textId="77777777" w:rsidTr="00445FEB">
        <w:tc>
          <w:tcPr>
            <w:tcW w:w="992" w:type="dxa"/>
          </w:tcPr>
          <w:p w14:paraId="2463A9E1" w14:textId="77777777" w:rsidR="007C315A" w:rsidRPr="00C9343F" w:rsidRDefault="007C315A" w:rsidP="00445FEB">
            <w:pPr>
              <w:pStyle w:val="Sectiontext0"/>
              <w:spacing w:line="276" w:lineRule="auto"/>
              <w:jc w:val="center"/>
              <w:rPr>
                <w:lang w:eastAsia="en-US"/>
              </w:rPr>
            </w:pPr>
          </w:p>
        </w:tc>
        <w:tc>
          <w:tcPr>
            <w:tcW w:w="8367" w:type="dxa"/>
            <w:gridSpan w:val="2"/>
            <w:hideMark/>
          </w:tcPr>
          <w:p w14:paraId="1E78EF16" w14:textId="77777777" w:rsidR="007C315A" w:rsidRPr="00C9343F" w:rsidRDefault="007C315A" w:rsidP="00445FEB">
            <w:pPr>
              <w:pStyle w:val="Sectiontext0"/>
              <w:spacing w:line="276" w:lineRule="auto"/>
              <w:rPr>
                <w:rFonts w:cs="Arial"/>
                <w:lang w:eastAsia="en-US"/>
              </w:rPr>
            </w:pPr>
            <w:r w:rsidRPr="00C9343F">
              <w:rPr>
                <w:rFonts w:cs="Arial"/>
                <w:lang w:eastAsia="en-US"/>
              </w:rPr>
              <w:t>In Division 5, 6, 7 and 8 the following apply.</w:t>
            </w:r>
          </w:p>
        </w:tc>
      </w:tr>
      <w:tr w:rsidR="007C315A" w:rsidRPr="00C9343F" w14:paraId="11F708A1" w14:textId="77777777" w:rsidTr="00445FEB">
        <w:tc>
          <w:tcPr>
            <w:tcW w:w="992" w:type="dxa"/>
          </w:tcPr>
          <w:p w14:paraId="59C40E02" w14:textId="77777777" w:rsidR="007C315A" w:rsidRPr="00C9343F" w:rsidRDefault="007C315A" w:rsidP="00445FEB">
            <w:pPr>
              <w:pStyle w:val="Sectiontext0"/>
              <w:spacing w:line="276" w:lineRule="auto"/>
              <w:jc w:val="center"/>
              <w:rPr>
                <w:lang w:eastAsia="en-US"/>
              </w:rPr>
            </w:pPr>
          </w:p>
        </w:tc>
        <w:tc>
          <w:tcPr>
            <w:tcW w:w="8367" w:type="dxa"/>
            <w:gridSpan w:val="2"/>
            <w:hideMark/>
          </w:tcPr>
          <w:p w14:paraId="515A5837" w14:textId="77777777" w:rsidR="007C315A" w:rsidRPr="00C9343F" w:rsidRDefault="007C315A" w:rsidP="00445FEB">
            <w:pPr>
              <w:pStyle w:val="Sectiontext0"/>
              <w:spacing w:line="276" w:lineRule="auto"/>
              <w:rPr>
                <w:rFonts w:cs="Arial"/>
                <w:lang w:eastAsia="en-US"/>
              </w:rPr>
            </w:pPr>
            <w:r w:rsidRPr="00C9343F">
              <w:rPr>
                <w:rFonts w:cs="Arial"/>
                <w:b/>
                <w:lang w:eastAsia="en-US"/>
              </w:rPr>
              <w:t xml:space="preserve">Antarctica </w:t>
            </w:r>
            <w:r w:rsidRPr="00C9343F">
              <w:rPr>
                <w:rFonts w:cs="Arial"/>
                <w:lang w:eastAsia="en-US"/>
              </w:rPr>
              <w:t>means the area south of the Antarctic Convergence, and includes Macquarie Island.</w:t>
            </w:r>
          </w:p>
        </w:tc>
      </w:tr>
      <w:tr w:rsidR="007C315A" w:rsidRPr="00C9343F" w14:paraId="59D4873C" w14:textId="77777777" w:rsidTr="00445FEB">
        <w:tc>
          <w:tcPr>
            <w:tcW w:w="992" w:type="dxa"/>
          </w:tcPr>
          <w:p w14:paraId="4D12C960" w14:textId="77777777" w:rsidR="007C315A" w:rsidRPr="00C9343F" w:rsidRDefault="007C315A" w:rsidP="00445FEB">
            <w:pPr>
              <w:pStyle w:val="Sectiontext0"/>
              <w:spacing w:line="276" w:lineRule="auto"/>
              <w:jc w:val="center"/>
              <w:rPr>
                <w:lang w:eastAsia="en-US"/>
              </w:rPr>
            </w:pPr>
          </w:p>
        </w:tc>
        <w:tc>
          <w:tcPr>
            <w:tcW w:w="8367" w:type="dxa"/>
            <w:gridSpan w:val="2"/>
            <w:hideMark/>
          </w:tcPr>
          <w:p w14:paraId="64C44D40" w14:textId="77777777" w:rsidR="007C315A" w:rsidRPr="00C9343F" w:rsidRDefault="007C315A" w:rsidP="00445FEB">
            <w:pPr>
              <w:pStyle w:val="Sectiontext0"/>
              <w:spacing w:line="276" w:lineRule="auto"/>
              <w:rPr>
                <w:rFonts w:cs="Arial"/>
                <w:i/>
                <w:lang w:eastAsia="en-US"/>
              </w:rPr>
            </w:pPr>
            <w:r w:rsidRPr="00C9343F">
              <w:rPr>
                <w:rFonts w:cs="Arial"/>
                <w:b/>
                <w:lang w:eastAsia="en-US"/>
              </w:rPr>
              <w:t xml:space="preserve">Antarctic Convergence </w:t>
            </w:r>
            <w:r w:rsidRPr="00C9343F">
              <w:rPr>
                <w:rFonts w:cs="Arial"/>
                <w:lang w:eastAsia="en-US"/>
              </w:rPr>
              <w:t xml:space="preserve">has the same meaning as in the Convention on the Conservation of Antarctic Marine Living Resources, as set out in the Schedule to the </w:t>
            </w:r>
            <w:r w:rsidRPr="00C9343F">
              <w:rPr>
                <w:rFonts w:cs="Arial"/>
                <w:i/>
                <w:lang w:eastAsia="en-US"/>
              </w:rPr>
              <w:t>Antarctic Marine Living Resources Conservation Act 1981.</w:t>
            </w:r>
          </w:p>
        </w:tc>
      </w:tr>
      <w:tr w:rsidR="007C315A" w:rsidRPr="00C9343F" w14:paraId="122024EE" w14:textId="77777777" w:rsidTr="00445FEB">
        <w:tc>
          <w:tcPr>
            <w:tcW w:w="992" w:type="dxa"/>
          </w:tcPr>
          <w:p w14:paraId="4954F3B8" w14:textId="77777777" w:rsidR="007C315A" w:rsidRPr="00C9343F" w:rsidRDefault="007C315A" w:rsidP="00445FEB">
            <w:pPr>
              <w:pStyle w:val="Sectiontext0"/>
              <w:spacing w:line="276" w:lineRule="auto"/>
              <w:jc w:val="center"/>
              <w:rPr>
                <w:lang w:eastAsia="en-US"/>
              </w:rPr>
            </w:pPr>
          </w:p>
        </w:tc>
        <w:tc>
          <w:tcPr>
            <w:tcW w:w="8367" w:type="dxa"/>
            <w:gridSpan w:val="2"/>
            <w:hideMark/>
          </w:tcPr>
          <w:p w14:paraId="5B16BB66" w14:textId="77777777" w:rsidR="007C315A" w:rsidRPr="00C9343F" w:rsidRDefault="007C315A" w:rsidP="00445FEB">
            <w:pPr>
              <w:pStyle w:val="Sectiontext0"/>
              <w:spacing w:line="276" w:lineRule="auto"/>
              <w:rPr>
                <w:rFonts w:cs="Arial"/>
                <w:lang w:eastAsia="en-US"/>
              </w:rPr>
            </w:pPr>
            <w:r w:rsidRPr="00C9343F">
              <w:rPr>
                <w:rFonts w:cs="Arial"/>
                <w:b/>
                <w:lang w:eastAsia="en-US"/>
              </w:rPr>
              <w:t xml:space="preserve">Day of embarkation </w:t>
            </w:r>
            <w:r w:rsidRPr="00C9343F">
              <w:rPr>
                <w:rFonts w:cs="Arial"/>
                <w:lang w:eastAsia="en-US"/>
              </w:rPr>
              <w:t>means one of the following.</w:t>
            </w:r>
          </w:p>
        </w:tc>
      </w:tr>
      <w:tr w:rsidR="007C315A" w:rsidRPr="00C9343F" w14:paraId="0E6E9D54" w14:textId="77777777" w:rsidTr="00445FEB">
        <w:tc>
          <w:tcPr>
            <w:tcW w:w="992" w:type="dxa"/>
          </w:tcPr>
          <w:p w14:paraId="76356F03" w14:textId="77777777" w:rsidR="007C315A" w:rsidRPr="00C9343F" w:rsidRDefault="007C315A" w:rsidP="00445FEB">
            <w:pPr>
              <w:pStyle w:val="Sectiontext0"/>
              <w:spacing w:line="276" w:lineRule="auto"/>
              <w:jc w:val="center"/>
              <w:rPr>
                <w:lang w:eastAsia="en-US"/>
              </w:rPr>
            </w:pPr>
          </w:p>
        </w:tc>
        <w:tc>
          <w:tcPr>
            <w:tcW w:w="563" w:type="dxa"/>
            <w:hideMark/>
          </w:tcPr>
          <w:p w14:paraId="7AF0BAE6" w14:textId="77777777" w:rsidR="007C315A" w:rsidRPr="00C9343F" w:rsidRDefault="007C315A" w:rsidP="00445FEB">
            <w:pPr>
              <w:pStyle w:val="Sectiontext0"/>
              <w:spacing w:line="276" w:lineRule="auto"/>
              <w:jc w:val="center"/>
              <w:rPr>
                <w:rFonts w:cs="Arial"/>
                <w:lang w:eastAsia="en-US"/>
              </w:rPr>
            </w:pPr>
            <w:r w:rsidRPr="00C9343F">
              <w:rPr>
                <w:rFonts w:cs="Arial"/>
                <w:lang w:eastAsia="en-US"/>
              </w:rPr>
              <w:t>a.</w:t>
            </w:r>
          </w:p>
        </w:tc>
        <w:tc>
          <w:tcPr>
            <w:tcW w:w="7804" w:type="dxa"/>
            <w:hideMark/>
          </w:tcPr>
          <w:p w14:paraId="003F10A8" w14:textId="77777777" w:rsidR="007C315A" w:rsidRPr="00C9343F" w:rsidRDefault="007C315A" w:rsidP="00445FEB">
            <w:pPr>
              <w:pStyle w:val="Sectiontext0"/>
              <w:spacing w:line="276" w:lineRule="auto"/>
              <w:rPr>
                <w:lang w:eastAsia="en-US"/>
              </w:rPr>
            </w:pPr>
            <w:r w:rsidRPr="00C9343F">
              <w:rPr>
                <w:rFonts w:cs="Arial"/>
                <w:lang w:eastAsia="en-US"/>
              </w:rPr>
              <w:t>If the ship sails from a port at or before 1200 — the day of embarkation is the day the ship sails.</w:t>
            </w:r>
            <w:r w:rsidRPr="00C9343F">
              <w:rPr>
                <w:lang w:eastAsia="en-US"/>
              </w:rPr>
              <w:t xml:space="preserve"> </w:t>
            </w:r>
          </w:p>
        </w:tc>
      </w:tr>
      <w:tr w:rsidR="007C315A" w:rsidRPr="00C9343F" w14:paraId="6B5DE0DE" w14:textId="77777777" w:rsidTr="00445FEB">
        <w:tc>
          <w:tcPr>
            <w:tcW w:w="992" w:type="dxa"/>
          </w:tcPr>
          <w:p w14:paraId="44965E02" w14:textId="77777777" w:rsidR="007C315A" w:rsidRPr="00C9343F" w:rsidRDefault="007C315A" w:rsidP="00445FEB">
            <w:pPr>
              <w:pStyle w:val="Sectiontext0"/>
              <w:spacing w:line="276" w:lineRule="auto"/>
              <w:jc w:val="center"/>
              <w:rPr>
                <w:lang w:eastAsia="en-US"/>
              </w:rPr>
            </w:pPr>
          </w:p>
        </w:tc>
        <w:tc>
          <w:tcPr>
            <w:tcW w:w="563" w:type="dxa"/>
            <w:hideMark/>
          </w:tcPr>
          <w:p w14:paraId="57A1474D" w14:textId="77777777" w:rsidR="007C315A" w:rsidRPr="00C9343F" w:rsidRDefault="007C315A" w:rsidP="00445FEB">
            <w:pPr>
              <w:pStyle w:val="Sectiontext0"/>
              <w:spacing w:line="276" w:lineRule="auto"/>
              <w:jc w:val="center"/>
              <w:rPr>
                <w:rFonts w:cs="Arial"/>
                <w:lang w:eastAsia="en-US"/>
              </w:rPr>
            </w:pPr>
            <w:r w:rsidRPr="00C9343F">
              <w:rPr>
                <w:rFonts w:cs="Arial"/>
                <w:lang w:eastAsia="en-US"/>
              </w:rPr>
              <w:t>b.</w:t>
            </w:r>
          </w:p>
        </w:tc>
        <w:tc>
          <w:tcPr>
            <w:tcW w:w="7804" w:type="dxa"/>
            <w:hideMark/>
          </w:tcPr>
          <w:p w14:paraId="61393973" w14:textId="77777777" w:rsidR="007C315A" w:rsidRPr="00C9343F" w:rsidRDefault="007C315A" w:rsidP="00445FEB">
            <w:pPr>
              <w:pStyle w:val="Sectiontext0"/>
              <w:spacing w:line="276" w:lineRule="auto"/>
              <w:rPr>
                <w:lang w:eastAsia="en-US"/>
              </w:rPr>
            </w:pPr>
            <w:r w:rsidRPr="00C9343F">
              <w:rPr>
                <w:rFonts w:cs="Arial"/>
                <w:lang w:eastAsia="en-US"/>
              </w:rPr>
              <w:t xml:space="preserve">If the ship sails from a port after 1200 — the day of embarkation is the day after the ship sails. </w:t>
            </w:r>
          </w:p>
        </w:tc>
      </w:tr>
      <w:tr w:rsidR="007C315A" w:rsidRPr="00C9343F" w14:paraId="71138CC7" w14:textId="77777777" w:rsidTr="00445FEB">
        <w:tc>
          <w:tcPr>
            <w:tcW w:w="992" w:type="dxa"/>
          </w:tcPr>
          <w:p w14:paraId="0B889AAA" w14:textId="77777777" w:rsidR="007C315A" w:rsidRPr="00C9343F" w:rsidRDefault="007C315A" w:rsidP="00445FEB">
            <w:pPr>
              <w:pStyle w:val="Sectiontext0"/>
              <w:spacing w:line="276" w:lineRule="auto"/>
              <w:jc w:val="center"/>
              <w:rPr>
                <w:lang w:eastAsia="en-US"/>
              </w:rPr>
            </w:pPr>
          </w:p>
        </w:tc>
        <w:tc>
          <w:tcPr>
            <w:tcW w:w="8367" w:type="dxa"/>
            <w:gridSpan w:val="2"/>
            <w:hideMark/>
          </w:tcPr>
          <w:p w14:paraId="12A22289" w14:textId="77777777" w:rsidR="007C315A" w:rsidRPr="00C9343F" w:rsidRDefault="007C315A" w:rsidP="00445FEB">
            <w:pPr>
              <w:pStyle w:val="Sectiontext0"/>
              <w:spacing w:line="276" w:lineRule="auto"/>
              <w:rPr>
                <w:rFonts w:cs="Arial"/>
                <w:lang w:eastAsia="en-US"/>
              </w:rPr>
            </w:pPr>
            <w:r w:rsidRPr="00C9343F">
              <w:rPr>
                <w:rFonts w:cs="Arial"/>
                <w:b/>
                <w:lang w:eastAsia="en-US"/>
              </w:rPr>
              <w:t xml:space="preserve">Day of disembarkation </w:t>
            </w:r>
            <w:r w:rsidRPr="00C9343F">
              <w:rPr>
                <w:rFonts w:cs="Arial"/>
                <w:lang w:eastAsia="en-US"/>
              </w:rPr>
              <w:t>means one of the following.</w:t>
            </w:r>
          </w:p>
        </w:tc>
      </w:tr>
      <w:tr w:rsidR="007C315A" w:rsidRPr="00C9343F" w14:paraId="0304D954" w14:textId="77777777" w:rsidTr="00445FEB">
        <w:tc>
          <w:tcPr>
            <w:tcW w:w="992" w:type="dxa"/>
          </w:tcPr>
          <w:p w14:paraId="160C922D" w14:textId="77777777" w:rsidR="007C315A" w:rsidRPr="00C9343F" w:rsidRDefault="007C315A" w:rsidP="00445FEB">
            <w:pPr>
              <w:pStyle w:val="Sectiontext0"/>
              <w:spacing w:line="276" w:lineRule="auto"/>
              <w:jc w:val="center"/>
              <w:rPr>
                <w:lang w:eastAsia="en-US"/>
              </w:rPr>
            </w:pPr>
          </w:p>
        </w:tc>
        <w:tc>
          <w:tcPr>
            <w:tcW w:w="563" w:type="dxa"/>
            <w:hideMark/>
          </w:tcPr>
          <w:p w14:paraId="7B5080C4" w14:textId="77777777" w:rsidR="007C315A" w:rsidRPr="00C9343F" w:rsidRDefault="007C315A" w:rsidP="00445FEB">
            <w:pPr>
              <w:pStyle w:val="Sectiontext0"/>
              <w:spacing w:line="276" w:lineRule="auto"/>
              <w:jc w:val="center"/>
              <w:rPr>
                <w:rFonts w:cs="Arial"/>
                <w:lang w:eastAsia="en-US"/>
              </w:rPr>
            </w:pPr>
            <w:r w:rsidRPr="00C9343F">
              <w:rPr>
                <w:rFonts w:cs="Arial"/>
                <w:lang w:eastAsia="en-US"/>
              </w:rPr>
              <w:t>a.</w:t>
            </w:r>
          </w:p>
        </w:tc>
        <w:tc>
          <w:tcPr>
            <w:tcW w:w="7804" w:type="dxa"/>
            <w:hideMark/>
          </w:tcPr>
          <w:p w14:paraId="5A68D6CA" w14:textId="77777777" w:rsidR="007C315A" w:rsidRPr="00C9343F" w:rsidRDefault="007C315A" w:rsidP="00445FEB">
            <w:pPr>
              <w:pStyle w:val="Sectiontext0"/>
              <w:spacing w:line="276" w:lineRule="auto"/>
              <w:rPr>
                <w:lang w:eastAsia="en-US"/>
              </w:rPr>
            </w:pPr>
            <w:r w:rsidRPr="00C9343F">
              <w:rPr>
                <w:rFonts w:cs="Arial"/>
                <w:lang w:eastAsia="en-US"/>
              </w:rPr>
              <w:t>If the ship docks in a port at or before 1200 — the day of disembarkation is the day before the ship docks.</w:t>
            </w:r>
            <w:r w:rsidRPr="00C9343F">
              <w:rPr>
                <w:lang w:eastAsia="en-US"/>
              </w:rPr>
              <w:t xml:space="preserve"> </w:t>
            </w:r>
          </w:p>
        </w:tc>
      </w:tr>
      <w:tr w:rsidR="007C315A" w:rsidRPr="00C9343F" w14:paraId="52B59257" w14:textId="77777777" w:rsidTr="00445FEB">
        <w:tc>
          <w:tcPr>
            <w:tcW w:w="992" w:type="dxa"/>
          </w:tcPr>
          <w:p w14:paraId="6C122C1A" w14:textId="77777777" w:rsidR="007C315A" w:rsidRPr="00C9343F" w:rsidRDefault="007C315A" w:rsidP="00445FEB">
            <w:pPr>
              <w:pStyle w:val="Sectiontext0"/>
              <w:spacing w:line="276" w:lineRule="auto"/>
              <w:jc w:val="center"/>
              <w:rPr>
                <w:lang w:eastAsia="en-US"/>
              </w:rPr>
            </w:pPr>
          </w:p>
        </w:tc>
        <w:tc>
          <w:tcPr>
            <w:tcW w:w="563" w:type="dxa"/>
            <w:hideMark/>
          </w:tcPr>
          <w:p w14:paraId="1032D152" w14:textId="77777777" w:rsidR="007C315A" w:rsidRPr="00C9343F" w:rsidRDefault="007C315A" w:rsidP="00445FEB">
            <w:pPr>
              <w:pStyle w:val="Sectiontext0"/>
              <w:spacing w:line="276" w:lineRule="auto"/>
              <w:jc w:val="center"/>
              <w:rPr>
                <w:rFonts w:cs="Arial"/>
                <w:lang w:eastAsia="en-US"/>
              </w:rPr>
            </w:pPr>
            <w:r w:rsidRPr="00C9343F">
              <w:rPr>
                <w:rFonts w:cs="Arial"/>
                <w:lang w:eastAsia="en-US"/>
              </w:rPr>
              <w:t>b.</w:t>
            </w:r>
          </w:p>
        </w:tc>
        <w:tc>
          <w:tcPr>
            <w:tcW w:w="7804" w:type="dxa"/>
            <w:hideMark/>
          </w:tcPr>
          <w:p w14:paraId="0894E22D" w14:textId="77777777" w:rsidR="007C315A" w:rsidRPr="00C9343F" w:rsidRDefault="007C315A" w:rsidP="00445FEB">
            <w:pPr>
              <w:pStyle w:val="Sectiontext0"/>
              <w:spacing w:line="276" w:lineRule="auto"/>
              <w:rPr>
                <w:lang w:eastAsia="en-US"/>
              </w:rPr>
            </w:pPr>
            <w:r w:rsidRPr="00C9343F">
              <w:rPr>
                <w:rFonts w:cs="Arial"/>
                <w:lang w:eastAsia="en-US"/>
              </w:rPr>
              <w:t>If the ship docks in a port after 1200 — the day of disembarkation is the day the ship docks.</w:t>
            </w:r>
            <w:r w:rsidRPr="00C9343F">
              <w:rPr>
                <w:lang w:eastAsia="en-US"/>
              </w:rPr>
              <w:t xml:space="preserve"> </w:t>
            </w:r>
          </w:p>
        </w:tc>
      </w:tr>
      <w:tr w:rsidR="007C315A" w:rsidRPr="00C9343F" w14:paraId="0ACE105E" w14:textId="77777777" w:rsidTr="00445FEB">
        <w:tc>
          <w:tcPr>
            <w:tcW w:w="992" w:type="dxa"/>
          </w:tcPr>
          <w:p w14:paraId="1ABC0413" w14:textId="77777777" w:rsidR="007C315A" w:rsidRPr="00C9343F" w:rsidRDefault="007C315A" w:rsidP="00445FEB">
            <w:pPr>
              <w:pStyle w:val="Sectiontext0"/>
              <w:spacing w:line="276" w:lineRule="auto"/>
              <w:jc w:val="center"/>
              <w:rPr>
                <w:lang w:eastAsia="en-US"/>
              </w:rPr>
            </w:pPr>
          </w:p>
        </w:tc>
        <w:tc>
          <w:tcPr>
            <w:tcW w:w="8367" w:type="dxa"/>
            <w:gridSpan w:val="2"/>
            <w:hideMark/>
          </w:tcPr>
          <w:p w14:paraId="39F51908" w14:textId="77777777" w:rsidR="007C315A" w:rsidRPr="00C9343F" w:rsidRDefault="007C315A" w:rsidP="00445FEB">
            <w:pPr>
              <w:pStyle w:val="Sectiontext0"/>
              <w:spacing w:line="276" w:lineRule="auto"/>
              <w:rPr>
                <w:rFonts w:cs="Arial"/>
                <w:lang w:eastAsia="en-US"/>
              </w:rPr>
            </w:pPr>
            <w:r w:rsidRPr="00C9343F">
              <w:rPr>
                <w:rFonts w:cs="Arial"/>
                <w:b/>
                <w:lang w:eastAsia="en-US"/>
              </w:rPr>
              <w:t>Expedition</w:t>
            </w:r>
            <w:r w:rsidRPr="00C9343F">
              <w:rPr>
                <w:rFonts w:cs="Arial"/>
                <w:lang w:eastAsia="en-US"/>
              </w:rPr>
              <w:t xml:space="preserve"> mean an Australian National Antarctic Research Expedition to Antarctica. </w:t>
            </w:r>
          </w:p>
        </w:tc>
      </w:tr>
      <w:tr w:rsidR="007C315A" w:rsidRPr="00C9343F" w14:paraId="5DD56D4A" w14:textId="77777777" w:rsidTr="00445FEB">
        <w:tc>
          <w:tcPr>
            <w:tcW w:w="992" w:type="dxa"/>
          </w:tcPr>
          <w:p w14:paraId="1E568C11" w14:textId="77777777" w:rsidR="007C315A" w:rsidRPr="00C9343F" w:rsidRDefault="007C315A" w:rsidP="00445FEB">
            <w:pPr>
              <w:pStyle w:val="Sectiontext0"/>
              <w:spacing w:line="276" w:lineRule="auto"/>
              <w:jc w:val="center"/>
              <w:rPr>
                <w:lang w:eastAsia="en-US"/>
              </w:rPr>
            </w:pPr>
          </w:p>
        </w:tc>
        <w:tc>
          <w:tcPr>
            <w:tcW w:w="8367" w:type="dxa"/>
            <w:gridSpan w:val="2"/>
            <w:hideMark/>
          </w:tcPr>
          <w:p w14:paraId="79481834" w14:textId="77777777" w:rsidR="007C315A" w:rsidRPr="00C9343F" w:rsidRDefault="007C315A" w:rsidP="00445FEB">
            <w:pPr>
              <w:pStyle w:val="Sectiontext0"/>
              <w:spacing w:line="276" w:lineRule="auto"/>
              <w:rPr>
                <w:rFonts w:cs="Arial"/>
                <w:lang w:eastAsia="en-US"/>
              </w:rPr>
            </w:pPr>
            <w:r w:rsidRPr="00C9343F">
              <w:rPr>
                <w:rFonts w:cs="Arial"/>
                <w:b/>
                <w:lang w:eastAsia="en-US"/>
              </w:rPr>
              <w:t xml:space="preserve">Port </w:t>
            </w:r>
            <w:r w:rsidRPr="00C9343F">
              <w:rPr>
                <w:rFonts w:cs="Arial"/>
                <w:lang w:eastAsia="en-US"/>
              </w:rPr>
              <w:t>means the port specified in the expedition itinerary as the port of embarkation or disembarkation of the expedition.</w:t>
            </w:r>
          </w:p>
        </w:tc>
      </w:tr>
    </w:tbl>
    <w:p w14:paraId="0F2C537E" w14:textId="77777777" w:rsidR="006D1E1C" w:rsidRPr="00C9343F" w:rsidRDefault="006D1E1C" w:rsidP="00F66D98">
      <w:pPr>
        <w:pStyle w:val="BlockText-Plain"/>
      </w:pPr>
    </w:p>
    <w:p w14:paraId="328BB1AF" w14:textId="1BD0669A" w:rsidR="006D1E1C" w:rsidRPr="00C9343F" w:rsidRDefault="006D1E1C" w:rsidP="00BB747F">
      <w:pPr>
        <w:pStyle w:val="Heading4"/>
        <w:pageBreakBefore/>
      </w:pPr>
      <w:bookmarkStart w:id="798" w:name="_Toc105053832"/>
      <w:r w:rsidRPr="00C9343F">
        <w:t>Division 6: Allowances for services in Antarctica – Antarctic allowance</w:t>
      </w:r>
      <w:bookmarkEnd w:id="798"/>
    </w:p>
    <w:p w14:paraId="342C6728" w14:textId="67DA3936" w:rsidR="006D1E1C" w:rsidRPr="00C9343F" w:rsidRDefault="006D1E1C" w:rsidP="00F66D98">
      <w:pPr>
        <w:pStyle w:val="Heading5"/>
      </w:pPr>
      <w:bookmarkStart w:id="799" w:name="_Toc105053833"/>
      <w:bookmarkStart w:id="800" w:name="bk121854PM4845Purpose"/>
      <w:bookmarkStart w:id="801" w:name="bk10723PM4845Purpose"/>
      <w:bookmarkStart w:id="802" w:name="bk1635464851Purpose"/>
      <w:bookmarkStart w:id="803" w:name="bk1637114851Purpose"/>
      <w:bookmarkStart w:id="804" w:name="bk85021PM4850Purpose"/>
      <w:bookmarkStart w:id="805" w:name="bk1105054847Purpose"/>
      <w:bookmarkStart w:id="806" w:name="bk1221224845Purpose"/>
      <w:bookmarkStart w:id="807" w:name="bk1325524845Purpose"/>
      <w:bookmarkStart w:id="808" w:name="bk1526164646Purpose"/>
      <w:bookmarkStart w:id="809" w:name="bk1150584646Purpose"/>
      <w:r w:rsidRPr="00C9343F">
        <w:t>4.4.29</w:t>
      </w:r>
      <w:r w:rsidR="00D94006" w:rsidRPr="00C9343F">
        <w:t>    </w:t>
      </w:r>
      <w:r w:rsidRPr="00C9343F">
        <w:t>Purpose</w:t>
      </w:r>
      <w:bookmarkEnd w:id="799"/>
    </w:p>
    <w:bookmarkEnd w:id="800"/>
    <w:bookmarkEnd w:id="801"/>
    <w:bookmarkEnd w:id="802"/>
    <w:bookmarkEnd w:id="803"/>
    <w:bookmarkEnd w:id="804"/>
    <w:bookmarkEnd w:id="805"/>
    <w:bookmarkEnd w:id="806"/>
    <w:bookmarkEnd w:id="807"/>
    <w:bookmarkEnd w:id="808"/>
    <w:bookmarkEnd w:id="809"/>
    <w:tbl>
      <w:tblPr>
        <w:tblW w:w="0" w:type="auto"/>
        <w:tblInd w:w="113" w:type="dxa"/>
        <w:tblLayout w:type="fixed"/>
        <w:tblLook w:val="0000" w:firstRow="0" w:lastRow="0" w:firstColumn="0" w:lastColumn="0" w:noHBand="0" w:noVBand="0"/>
      </w:tblPr>
      <w:tblGrid>
        <w:gridCol w:w="992"/>
        <w:gridCol w:w="8363"/>
      </w:tblGrid>
      <w:tr w:rsidR="006D1E1C" w:rsidRPr="00C9343F" w14:paraId="1E901FEC" w14:textId="77777777" w:rsidTr="006D1E1C">
        <w:tc>
          <w:tcPr>
            <w:tcW w:w="992" w:type="dxa"/>
          </w:tcPr>
          <w:p w14:paraId="267E488B" w14:textId="77777777" w:rsidR="006D1E1C" w:rsidRPr="00C9343F" w:rsidRDefault="006D1E1C" w:rsidP="00F66D98">
            <w:pPr>
              <w:pStyle w:val="BlockText-Plain"/>
              <w:jc w:val="center"/>
            </w:pPr>
          </w:p>
        </w:tc>
        <w:tc>
          <w:tcPr>
            <w:tcW w:w="8363" w:type="dxa"/>
          </w:tcPr>
          <w:p w14:paraId="55B1BC42" w14:textId="77777777" w:rsidR="006D1E1C" w:rsidRPr="00C9343F" w:rsidRDefault="006D1E1C" w:rsidP="00F66D98">
            <w:pPr>
              <w:pStyle w:val="BlockText-Plain"/>
            </w:pPr>
            <w:r w:rsidRPr="00C9343F">
              <w:t>Antarctic allowance compensates a member for the demands of service in Antarctica.</w:t>
            </w:r>
          </w:p>
        </w:tc>
      </w:tr>
    </w:tbl>
    <w:p w14:paraId="1A256273" w14:textId="772AB4E6" w:rsidR="006D1E1C" w:rsidRPr="00C9343F" w:rsidRDefault="006D1E1C" w:rsidP="00F66D98">
      <w:pPr>
        <w:pStyle w:val="Heading5"/>
      </w:pPr>
      <w:bookmarkStart w:id="810" w:name="_Toc105053834"/>
      <w:bookmarkStart w:id="811" w:name="bk121854PM4846MemberthisSubdivisionappl"/>
      <w:bookmarkStart w:id="812" w:name="bk10723PM4846MemberthisSubdivisionappli"/>
      <w:bookmarkStart w:id="813" w:name="bk1635464852MemberthisSubdivisionapplie"/>
      <w:bookmarkStart w:id="814" w:name="bk1637114852MemberthisDivisionappliesto"/>
      <w:bookmarkStart w:id="815" w:name="bk85021PM4851MemberthisDivisionappliest"/>
      <w:bookmarkStart w:id="816" w:name="bk1105054848MemberthisDivisionappliesto"/>
      <w:bookmarkStart w:id="817" w:name="bk1221224846MemberthisDivisionappliesto"/>
      <w:bookmarkStart w:id="818" w:name="bk1325524846MemberthisDivisionappliesto"/>
      <w:bookmarkStart w:id="819" w:name="bk1526164647MemberthisDivisionappliesto"/>
      <w:bookmarkStart w:id="820" w:name="bk1150584647MemberthisDivisionappliesto"/>
      <w:r w:rsidRPr="00C9343F">
        <w:t>4.4.30</w:t>
      </w:r>
      <w:r w:rsidR="00D94006" w:rsidRPr="00C9343F">
        <w:t>    </w:t>
      </w:r>
      <w:r w:rsidRPr="00C9343F">
        <w:t>Member this Division applies to</w:t>
      </w:r>
      <w:bookmarkEnd w:id="810"/>
    </w:p>
    <w:bookmarkEnd w:id="811"/>
    <w:bookmarkEnd w:id="812"/>
    <w:bookmarkEnd w:id="813"/>
    <w:bookmarkEnd w:id="814"/>
    <w:bookmarkEnd w:id="815"/>
    <w:bookmarkEnd w:id="816"/>
    <w:bookmarkEnd w:id="817"/>
    <w:bookmarkEnd w:id="818"/>
    <w:bookmarkEnd w:id="819"/>
    <w:bookmarkEnd w:id="820"/>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65D7972E" w14:textId="77777777" w:rsidTr="006D1E1C">
        <w:tc>
          <w:tcPr>
            <w:tcW w:w="992" w:type="dxa"/>
          </w:tcPr>
          <w:p w14:paraId="273E94B8" w14:textId="77777777" w:rsidR="006D1E1C" w:rsidRPr="00C9343F" w:rsidRDefault="006D1E1C" w:rsidP="00F66D98">
            <w:pPr>
              <w:pStyle w:val="BlockText-PlainNoSpacing"/>
              <w:jc w:val="center"/>
            </w:pPr>
          </w:p>
        </w:tc>
        <w:tc>
          <w:tcPr>
            <w:tcW w:w="8363" w:type="dxa"/>
            <w:gridSpan w:val="2"/>
          </w:tcPr>
          <w:p w14:paraId="26DC2080" w14:textId="77777777" w:rsidR="006D1E1C" w:rsidRPr="00C9343F" w:rsidRDefault="006D1E1C" w:rsidP="00F66D98">
            <w:pPr>
              <w:pStyle w:val="BlockText-Plain"/>
            </w:pPr>
            <w:r w:rsidRPr="00C9343F">
              <w:t>This Division applies to a member posted for duty or serving in Antarctica who meets either of these conditions.</w:t>
            </w:r>
          </w:p>
        </w:tc>
      </w:tr>
      <w:tr w:rsidR="006D1E1C" w:rsidRPr="00C9343F" w14:paraId="7A9F1739" w14:textId="77777777" w:rsidTr="006D1E1C">
        <w:trPr>
          <w:cantSplit/>
        </w:trPr>
        <w:tc>
          <w:tcPr>
            <w:tcW w:w="992" w:type="dxa"/>
          </w:tcPr>
          <w:p w14:paraId="1ACFA0E5" w14:textId="77777777" w:rsidR="006D1E1C" w:rsidRPr="00C9343F" w:rsidRDefault="006D1E1C" w:rsidP="00F66D98">
            <w:pPr>
              <w:pStyle w:val="BlockText-PlainNoSpacing"/>
            </w:pPr>
          </w:p>
        </w:tc>
        <w:tc>
          <w:tcPr>
            <w:tcW w:w="567" w:type="dxa"/>
          </w:tcPr>
          <w:p w14:paraId="2A5C3B39" w14:textId="77777777" w:rsidR="006D1E1C" w:rsidRPr="00C9343F" w:rsidRDefault="006D1E1C" w:rsidP="008D1B5D">
            <w:pPr>
              <w:pStyle w:val="BlockText-PlainNoSpacing"/>
              <w:jc w:val="center"/>
            </w:pPr>
            <w:r w:rsidRPr="00C9343F">
              <w:t>a.</w:t>
            </w:r>
          </w:p>
        </w:tc>
        <w:tc>
          <w:tcPr>
            <w:tcW w:w="7796" w:type="dxa"/>
          </w:tcPr>
          <w:p w14:paraId="2F58BEDE" w14:textId="77777777" w:rsidR="006D1E1C" w:rsidRPr="00C9343F" w:rsidRDefault="006D1E1C" w:rsidP="00F66D98">
            <w:pPr>
              <w:pStyle w:val="BlockText-Plain"/>
            </w:pPr>
            <w:r w:rsidRPr="00C9343F">
              <w:t>They are directed to undertake duties as an integral part of an expedition. It must be intended that they remain on duty with, or support, that expedition during the summer or winter season in Antarctica.</w:t>
            </w:r>
          </w:p>
        </w:tc>
      </w:tr>
      <w:tr w:rsidR="006D1E1C" w:rsidRPr="00C9343F" w14:paraId="2320E554" w14:textId="77777777" w:rsidTr="006D1E1C">
        <w:trPr>
          <w:cantSplit/>
        </w:trPr>
        <w:tc>
          <w:tcPr>
            <w:tcW w:w="992" w:type="dxa"/>
          </w:tcPr>
          <w:p w14:paraId="444AD7F9" w14:textId="77777777" w:rsidR="006D1E1C" w:rsidRPr="00C9343F" w:rsidRDefault="006D1E1C" w:rsidP="00F66D98">
            <w:pPr>
              <w:pStyle w:val="BlockText-PlainNoSpacing"/>
            </w:pPr>
          </w:p>
        </w:tc>
        <w:tc>
          <w:tcPr>
            <w:tcW w:w="567" w:type="dxa"/>
          </w:tcPr>
          <w:p w14:paraId="064C4573" w14:textId="77777777" w:rsidR="006D1E1C" w:rsidRPr="00C9343F" w:rsidRDefault="006D1E1C" w:rsidP="008D1B5D">
            <w:pPr>
              <w:pStyle w:val="BlockText-PlainNoSpacing"/>
              <w:jc w:val="center"/>
            </w:pPr>
            <w:r w:rsidRPr="00C9343F">
              <w:t>b.</w:t>
            </w:r>
          </w:p>
        </w:tc>
        <w:tc>
          <w:tcPr>
            <w:tcW w:w="7796" w:type="dxa"/>
          </w:tcPr>
          <w:p w14:paraId="37110606" w14:textId="77777777" w:rsidR="006D1E1C" w:rsidRPr="00C9343F" w:rsidRDefault="006D1E1C" w:rsidP="00F66D98">
            <w:pPr>
              <w:pStyle w:val="BlockText-Plain"/>
            </w:pPr>
            <w:r w:rsidRPr="00C9343F">
              <w:t>They travel to Antarctica with an expedition but are not part of the expedition.</w:t>
            </w:r>
          </w:p>
        </w:tc>
      </w:tr>
    </w:tbl>
    <w:p w14:paraId="400A967E" w14:textId="07DE2E7D" w:rsidR="00324316" w:rsidRPr="00C9343F" w:rsidRDefault="00324316" w:rsidP="00F66D98">
      <w:pPr>
        <w:pStyle w:val="Heading5"/>
      </w:pPr>
      <w:bookmarkStart w:id="821" w:name="_Toc105053835"/>
      <w:bookmarkStart w:id="822" w:name="bk121854PM4848Periodofentitlement"/>
      <w:bookmarkStart w:id="823" w:name="bk10723PM4848Periodofentitlement"/>
      <w:bookmarkStart w:id="824" w:name="bk1635464854Periodofentitlement"/>
      <w:bookmarkStart w:id="825" w:name="bk1637114854Periodofentitlement"/>
      <w:bookmarkStart w:id="826" w:name="bk85021PM4853Periodofentitlement"/>
      <w:bookmarkStart w:id="827" w:name="bk1105054850Periodofentitlement"/>
      <w:bookmarkStart w:id="828" w:name="bk1221224848Periodofentitlement"/>
      <w:bookmarkStart w:id="829" w:name="bk1325524848Periodofentitlement"/>
      <w:bookmarkStart w:id="830" w:name="bk1526164649Periodofentitlement"/>
      <w:bookmarkStart w:id="831" w:name="bk1150584649Periodofentitlement"/>
      <w:r w:rsidRPr="00C9343F">
        <w:t>4.4.31</w:t>
      </w:r>
      <w:r w:rsidR="00D94006" w:rsidRPr="00C9343F">
        <w:t>    </w:t>
      </w:r>
      <w:r w:rsidRPr="00C9343F">
        <w:t>Rate of allowance</w:t>
      </w:r>
      <w:bookmarkEnd w:id="821"/>
    </w:p>
    <w:tbl>
      <w:tblPr>
        <w:tblW w:w="9359" w:type="dxa"/>
        <w:tblInd w:w="113" w:type="dxa"/>
        <w:tblLayout w:type="fixed"/>
        <w:tblLook w:val="04A0" w:firstRow="1" w:lastRow="0" w:firstColumn="1" w:lastColumn="0" w:noHBand="0" w:noVBand="1"/>
      </w:tblPr>
      <w:tblGrid>
        <w:gridCol w:w="992"/>
        <w:gridCol w:w="8367"/>
      </w:tblGrid>
      <w:tr w:rsidR="00E4451C" w:rsidRPr="00C9343F" w14:paraId="48390CFA" w14:textId="77777777" w:rsidTr="00996C76">
        <w:tc>
          <w:tcPr>
            <w:tcW w:w="992" w:type="dxa"/>
          </w:tcPr>
          <w:p w14:paraId="713C247B" w14:textId="77777777" w:rsidR="00E4451C" w:rsidRPr="00C9343F" w:rsidRDefault="00E4451C" w:rsidP="00F66D98">
            <w:pPr>
              <w:pStyle w:val="Sectiontext0"/>
              <w:jc w:val="center"/>
              <w:rPr>
                <w:lang w:eastAsia="en-US"/>
              </w:rPr>
            </w:pPr>
          </w:p>
        </w:tc>
        <w:tc>
          <w:tcPr>
            <w:tcW w:w="8367" w:type="dxa"/>
          </w:tcPr>
          <w:p w14:paraId="2B50722E" w14:textId="77777777" w:rsidR="00E80CFC" w:rsidRPr="00C9343F" w:rsidRDefault="00E80CFC" w:rsidP="00F66D98">
            <w:pPr>
              <w:pStyle w:val="Sectiontext0"/>
              <w:rPr>
                <w:iCs/>
                <w:lang w:eastAsia="en-US"/>
              </w:rPr>
            </w:pPr>
            <w:r w:rsidRPr="00C9343F">
              <w:rPr>
                <w:lang w:eastAsia="en-US"/>
              </w:rPr>
              <w:t>The rate of allowance for a member who the paragraph</w:t>
            </w:r>
            <w:r w:rsidRPr="00C9343F">
              <w:rPr>
                <w:rFonts w:cs="Arial"/>
              </w:rPr>
              <w:t xml:space="preserve"> in an item in column A is the rate in column B of the same item</w:t>
            </w:r>
            <w:r w:rsidRPr="00C9343F">
              <w:rPr>
                <w:lang w:eastAsia="en-US"/>
              </w:rPr>
              <w:t>.</w:t>
            </w:r>
          </w:p>
        </w:tc>
      </w:tr>
    </w:tbl>
    <w:p w14:paraId="03C50461" w14:textId="77777777" w:rsidR="00C66F77" w:rsidRPr="00C9343F" w:rsidRDefault="00C66F77" w:rsidP="00C66F77">
      <w:pPr>
        <w:spacing w:before="20" w:after="20"/>
        <w:rPr>
          <w:szCs w:val="22"/>
        </w:rPr>
      </w:pPr>
    </w:p>
    <w:tbl>
      <w:tblPr>
        <w:tblW w:w="8363" w:type="dxa"/>
        <w:tblInd w:w="1049" w:type="dxa"/>
        <w:tblLayout w:type="fixed"/>
        <w:tblCellMar>
          <w:top w:w="57" w:type="dxa"/>
          <w:left w:w="56" w:type="dxa"/>
          <w:bottom w:w="57" w:type="dxa"/>
          <w:right w:w="56" w:type="dxa"/>
        </w:tblCellMar>
        <w:tblLook w:val="0000" w:firstRow="0" w:lastRow="0" w:firstColumn="0" w:lastColumn="0" w:noHBand="0" w:noVBand="0"/>
      </w:tblPr>
      <w:tblGrid>
        <w:gridCol w:w="708"/>
        <w:gridCol w:w="3544"/>
        <w:gridCol w:w="4111"/>
      </w:tblGrid>
      <w:tr w:rsidR="00C66F77" w:rsidRPr="00C9343F" w14:paraId="3293893A" w14:textId="77777777" w:rsidTr="00445FEB">
        <w:trPr>
          <w:cantSplit/>
        </w:trPr>
        <w:tc>
          <w:tcPr>
            <w:tcW w:w="708" w:type="dxa"/>
            <w:tcBorders>
              <w:top w:val="single" w:sz="6" w:space="0" w:color="auto"/>
              <w:left w:val="single" w:sz="6" w:space="0" w:color="auto"/>
              <w:bottom w:val="single" w:sz="6" w:space="0" w:color="auto"/>
              <w:right w:val="single" w:sz="6" w:space="0" w:color="auto"/>
            </w:tcBorders>
          </w:tcPr>
          <w:p w14:paraId="3845BA61" w14:textId="77777777" w:rsidR="00C66F77" w:rsidRPr="00C9343F" w:rsidRDefault="00C66F77" w:rsidP="00445FEB">
            <w:pPr>
              <w:pStyle w:val="TableHeaderArial"/>
            </w:pPr>
            <w:r w:rsidRPr="00C9343F">
              <w:t>Item</w:t>
            </w:r>
          </w:p>
        </w:tc>
        <w:tc>
          <w:tcPr>
            <w:tcW w:w="3544" w:type="dxa"/>
            <w:tcBorders>
              <w:top w:val="single" w:sz="6" w:space="0" w:color="auto"/>
              <w:left w:val="single" w:sz="6" w:space="0" w:color="auto"/>
              <w:bottom w:val="single" w:sz="6" w:space="0" w:color="auto"/>
              <w:right w:val="single" w:sz="6" w:space="0" w:color="auto"/>
            </w:tcBorders>
          </w:tcPr>
          <w:p w14:paraId="660BFD78" w14:textId="77777777" w:rsidR="00C66F77" w:rsidRPr="00C9343F" w:rsidRDefault="00C66F77" w:rsidP="00445FEB">
            <w:pPr>
              <w:pStyle w:val="TableHeaderArial"/>
            </w:pPr>
            <w:r w:rsidRPr="00C9343F">
              <w:t>Column A</w:t>
            </w:r>
          </w:p>
          <w:p w14:paraId="7507C373" w14:textId="77777777" w:rsidR="00C66F77" w:rsidRPr="00C9343F" w:rsidRDefault="00C66F77" w:rsidP="00445FEB">
            <w:pPr>
              <w:pStyle w:val="TableHeaderArial"/>
            </w:pPr>
            <w:r w:rsidRPr="00C9343F">
              <w:t>Paragraph</w:t>
            </w:r>
          </w:p>
        </w:tc>
        <w:tc>
          <w:tcPr>
            <w:tcW w:w="4111" w:type="dxa"/>
            <w:tcBorders>
              <w:top w:val="single" w:sz="6" w:space="0" w:color="auto"/>
              <w:left w:val="single" w:sz="6" w:space="0" w:color="auto"/>
              <w:bottom w:val="single" w:sz="6" w:space="0" w:color="auto"/>
              <w:right w:val="single" w:sz="6" w:space="0" w:color="auto"/>
            </w:tcBorders>
          </w:tcPr>
          <w:p w14:paraId="45E21155" w14:textId="77777777" w:rsidR="00C66F77" w:rsidRPr="00C9343F" w:rsidRDefault="00C66F77" w:rsidP="00445FEB">
            <w:pPr>
              <w:pStyle w:val="TableHeaderArial"/>
            </w:pPr>
            <w:r w:rsidRPr="00C9343F">
              <w:t>Column B</w:t>
            </w:r>
          </w:p>
          <w:p w14:paraId="0CBFBBC7" w14:textId="77777777" w:rsidR="00C66F77" w:rsidRPr="00C9343F" w:rsidRDefault="00C66F77" w:rsidP="00445FEB">
            <w:pPr>
              <w:pStyle w:val="TableHeaderArial"/>
            </w:pPr>
            <w:r w:rsidRPr="00C9343F">
              <w:t>Annual rate ($)</w:t>
            </w:r>
          </w:p>
        </w:tc>
      </w:tr>
      <w:tr w:rsidR="00C66F77" w:rsidRPr="00C9343F" w14:paraId="43579257" w14:textId="77777777" w:rsidTr="00445FEB">
        <w:trPr>
          <w:cantSplit/>
        </w:trPr>
        <w:tc>
          <w:tcPr>
            <w:tcW w:w="708" w:type="dxa"/>
            <w:tcBorders>
              <w:top w:val="single" w:sz="6" w:space="0" w:color="auto"/>
              <w:left w:val="single" w:sz="6" w:space="0" w:color="auto"/>
              <w:bottom w:val="single" w:sz="6" w:space="0" w:color="auto"/>
              <w:right w:val="single" w:sz="6" w:space="0" w:color="auto"/>
            </w:tcBorders>
          </w:tcPr>
          <w:p w14:paraId="610437EE" w14:textId="77777777" w:rsidR="00C66F77" w:rsidRPr="00C9343F" w:rsidRDefault="00C66F77" w:rsidP="00445FEB">
            <w:pPr>
              <w:pStyle w:val="TableTextArial-left"/>
              <w:jc w:val="center"/>
            </w:pPr>
            <w:r w:rsidRPr="00C9343F">
              <w:t>1.</w:t>
            </w:r>
          </w:p>
        </w:tc>
        <w:tc>
          <w:tcPr>
            <w:tcW w:w="3544" w:type="dxa"/>
            <w:tcBorders>
              <w:top w:val="single" w:sz="6" w:space="0" w:color="auto"/>
              <w:left w:val="single" w:sz="6" w:space="0" w:color="auto"/>
              <w:bottom w:val="single" w:sz="6" w:space="0" w:color="auto"/>
              <w:right w:val="single" w:sz="6" w:space="0" w:color="auto"/>
            </w:tcBorders>
          </w:tcPr>
          <w:p w14:paraId="79E298B3" w14:textId="77777777" w:rsidR="00C66F77" w:rsidRPr="00C9343F" w:rsidRDefault="00C66F77" w:rsidP="00445FEB">
            <w:pPr>
              <w:pStyle w:val="TableTextArial-left"/>
            </w:pPr>
            <w:r w:rsidRPr="00C9343F">
              <w:t xml:space="preserve">Paragraph 4.4.30.a </w:t>
            </w:r>
          </w:p>
        </w:tc>
        <w:tc>
          <w:tcPr>
            <w:tcW w:w="4111" w:type="dxa"/>
            <w:tcBorders>
              <w:top w:val="single" w:sz="6" w:space="0" w:color="auto"/>
              <w:left w:val="single" w:sz="6" w:space="0" w:color="auto"/>
              <w:bottom w:val="single" w:sz="6" w:space="0" w:color="auto"/>
              <w:right w:val="single" w:sz="6" w:space="0" w:color="auto"/>
            </w:tcBorders>
          </w:tcPr>
          <w:p w14:paraId="0508F2CF" w14:textId="77777777" w:rsidR="00C66F77" w:rsidRPr="00C9343F" w:rsidRDefault="00C66F77" w:rsidP="00445FEB">
            <w:pPr>
              <w:pStyle w:val="TableTextArial-left"/>
              <w:jc w:val="center"/>
            </w:pPr>
            <w:r w:rsidRPr="00C9343F">
              <w:t>14,348</w:t>
            </w:r>
          </w:p>
        </w:tc>
      </w:tr>
      <w:tr w:rsidR="00C66F77" w:rsidRPr="00C9343F" w14:paraId="1C7C527F" w14:textId="77777777" w:rsidTr="00445FEB">
        <w:trPr>
          <w:cantSplit/>
        </w:trPr>
        <w:tc>
          <w:tcPr>
            <w:tcW w:w="708" w:type="dxa"/>
            <w:tcBorders>
              <w:top w:val="single" w:sz="6" w:space="0" w:color="auto"/>
              <w:left w:val="single" w:sz="6" w:space="0" w:color="auto"/>
              <w:bottom w:val="single" w:sz="4" w:space="0" w:color="auto"/>
              <w:right w:val="single" w:sz="6" w:space="0" w:color="auto"/>
            </w:tcBorders>
          </w:tcPr>
          <w:p w14:paraId="1195F4B7" w14:textId="77777777" w:rsidR="00C66F77" w:rsidRPr="00C9343F" w:rsidRDefault="00C66F77" w:rsidP="00445FEB">
            <w:pPr>
              <w:pStyle w:val="TableTextArial-left"/>
              <w:jc w:val="center"/>
            </w:pPr>
            <w:r w:rsidRPr="00C9343F">
              <w:t>2.</w:t>
            </w:r>
          </w:p>
        </w:tc>
        <w:tc>
          <w:tcPr>
            <w:tcW w:w="3544" w:type="dxa"/>
            <w:tcBorders>
              <w:top w:val="single" w:sz="6" w:space="0" w:color="auto"/>
              <w:left w:val="single" w:sz="6" w:space="0" w:color="auto"/>
              <w:bottom w:val="single" w:sz="4" w:space="0" w:color="auto"/>
              <w:right w:val="single" w:sz="6" w:space="0" w:color="auto"/>
            </w:tcBorders>
          </w:tcPr>
          <w:p w14:paraId="40D9D38B" w14:textId="77777777" w:rsidR="00C66F77" w:rsidRPr="00C9343F" w:rsidRDefault="00C66F77" w:rsidP="00445FEB">
            <w:pPr>
              <w:pStyle w:val="TableTextArial-left"/>
            </w:pPr>
            <w:r w:rsidRPr="00C9343F">
              <w:t xml:space="preserve">Paragraph 4.4.30.b </w:t>
            </w:r>
          </w:p>
        </w:tc>
        <w:tc>
          <w:tcPr>
            <w:tcW w:w="4111" w:type="dxa"/>
            <w:tcBorders>
              <w:top w:val="single" w:sz="6" w:space="0" w:color="auto"/>
              <w:left w:val="single" w:sz="6" w:space="0" w:color="auto"/>
              <w:bottom w:val="single" w:sz="4" w:space="0" w:color="auto"/>
              <w:right w:val="single" w:sz="6" w:space="0" w:color="auto"/>
            </w:tcBorders>
          </w:tcPr>
          <w:p w14:paraId="7F9544C6" w14:textId="77777777" w:rsidR="00C66F77" w:rsidRPr="00C9343F" w:rsidRDefault="00C66F77" w:rsidP="00445FEB">
            <w:pPr>
              <w:pStyle w:val="TableTextArial-left"/>
              <w:jc w:val="center"/>
            </w:pPr>
            <w:r w:rsidRPr="00C9343F">
              <w:t>7,904</w:t>
            </w:r>
          </w:p>
        </w:tc>
      </w:tr>
    </w:tbl>
    <w:p w14:paraId="6875A1A2" w14:textId="77777777" w:rsidR="00C66F77" w:rsidRPr="00C9343F" w:rsidRDefault="00C66F77" w:rsidP="00D27DD3">
      <w:pPr>
        <w:spacing w:before="20" w:after="20"/>
      </w:pPr>
    </w:p>
    <w:p w14:paraId="25C588CD" w14:textId="172E4756" w:rsidR="00E4451C" w:rsidRPr="00C9343F" w:rsidRDefault="00BE23A8" w:rsidP="00F66D98">
      <w:pPr>
        <w:pStyle w:val="Heading5"/>
        <w:rPr>
          <w:rStyle w:val="CharAmSchNo0"/>
          <w:rFonts w:cs="Arial"/>
          <w:color w:val="000000"/>
          <w:szCs w:val="22"/>
        </w:rPr>
      </w:pPr>
      <w:bookmarkStart w:id="832" w:name="_Toc105053836"/>
      <w:r w:rsidRPr="00C9343F">
        <w:t>4.4.32</w:t>
      </w:r>
      <w:r w:rsidR="00D94006" w:rsidRPr="00C9343F">
        <w:t>    </w:t>
      </w:r>
      <w:r w:rsidRPr="00C9343F">
        <w:t>Period of eligibility</w:t>
      </w:r>
      <w:bookmarkEnd w:id="832"/>
    </w:p>
    <w:tbl>
      <w:tblPr>
        <w:tblW w:w="0" w:type="auto"/>
        <w:tblInd w:w="113" w:type="dxa"/>
        <w:tblLayout w:type="fixed"/>
        <w:tblLook w:val="0000" w:firstRow="0" w:lastRow="0" w:firstColumn="0" w:lastColumn="0" w:noHBand="0" w:noVBand="0"/>
      </w:tblPr>
      <w:tblGrid>
        <w:gridCol w:w="992"/>
        <w:gridCol w:w="8363"/>
      </w:tblGrid>
      <w:tr w:rsidR="006D1E1C" w:rsidRPr="00C9343F" w14:paraId="13C550CB" w14:textId="77777777" w:rsidTr="006D1E1C">
        <w:tc>
          <w:tcPr>
            <w:tcW w:w="992" w:type="dxa"/>
          </w:tcPr>
          <w:bookmarkEnd w:id="822"/>
          <w:bookmarkEnd w:id="823"/>
          <w:bookmarkEnd w:id="824"/>
          <w:bookmarkEnd w:id="825"/>
          <w:bookmarkEnd w:id="826"/>
          <w:bookmarkEnd w:id="827"/>
          <w:bookmarkEnd w:id="828"/>
          <w:bookmarkEnd w:id="829"/>
          <w:bookmarkEnd w:id="830"/>
          <w:bookmarkEnd w:id="831"/>
          <w:p w14:paraId="261DEBDA" w14:textId="77777777" w:rsidR="006D1E1C" w:rsidRPr="00C9343F" w:rsidRDefault="006D1E1C" w:rsidP="00F66D98">
            <w:pPr>
              <w:pStyle w:val="BlockText-Plain"/>
              <w:jc w:val="center"/>
            </w:pPr>
            <w:r w:rsidRPr="00C9343F">
              <w:t>1.</w:t>
            </w:r>
          </w:p>
        </w:tc>
        <w:tc>
          <w:tcPr>
            <w:tcW w:w="8363" w:type="dxa"/>
          </w:tcPr>
          <w:p w14:paraId="64EDD9B1" w14:textId="77777777" w:rsidR="006D1E1C" w:rsidRPr="00C9343F" w:rsidRDefault="00E523DD" w:rsidP="00F66D98">
            <w:pPr>
              <w:pStyle w:val="BlockText-Plain"/>
            </w:pPr>
            <w:r w:rsidRPr="00C9343F">
              <w:t>Subject to subsection 1A, a member is eligible for Antarctic allowance from 0001 on the day of embarkation until 2359 on the day of disembarkation.</w:t>
            </w:r>
          </w:p>
        </w:tc>
      </w:tr>
      <w:tr w:rsidR="00E523DD" w:rsidRPr="00C9343F" w14:paraId="08370021" w14:textId="77777777" w:rsidTr="006D1E1C">
        <w:tc>
          <w:tcPr>
            <w:tcW w:w="992" w:type="dxa"/>
          </w:tcPr>
          <w:p w14:paraId="13B92808" w14:textId="77777777" w:rsidR="00E523DD" w:rsidRPr="00C9343F" w:rsidRDefault="00E523DD" w:rsidP="00F66D98">
            <w:pPr>
              <w:pStyle w:val="BlockText-Plain"/>
              <w:jc w:val="center"/>
            </w:pPr>
            <w:r w:rsidRPr="00C9343F">
              <w:t>1A.</w:t>
            </w:r>
          </w:p>
        </w:tc>
        <w:tc>
          <w:tcPr>
            <w:tcW w:w="8363" w:type="dxa"/>
          </w:tcPr>
          <w:p w14:paraId="41417BCB" w14:textId="77777777" w:rsidR="00E523DD" w:rsidRPr="00C9343F" w:rsidRDefault="00E523DD" w:rsidP="00F66D98">
            <w:pPr>
              <w:pStyle w:val="BlockText-Plain"/>
            </w:pPr>
            <w:r w:rsidRPr="00C9343F">
              <w:t>Antarctic allowance is not payable during a nonworking period that exceeds 28 days under a member's flexible service determination.</w:t>
            </w:r>
          </w:p>
        </w:tc>
      </w:tr>
      <w:tr w:rsidR="006D1E1C" w:rsidRPr="00C9343F" w14:paraId="5C1BE5FC" w14:textId="77777777" w:rsidTr="006D1E1C">
        <w:tc>
          <w:tcPr>
            <w:tcW w:w="992" w:type="dxa"/>
          </w:tcPr>
          <w:p w14:paraId="410C9C40" w14:textId="77777777" w:rsidR="006D1E1C" w:rsidRPr="00C9343F" w:rsidRDefault="006D1E1C" w:rsidP="00F66D98">
            <w:pPr>
              <w:pStyle w:val="BlockText-Plain"/>
              <w:jc w:val="center"/>
            </w:pPr>
            <w:r w:rsidRPr="00C9343F">
              <w:t>2.</w:t>
            </w:r>
          </w:p>
        </w:tc>
        <w:tc>
          <w:tcPr>
            <w:tcW w:w="8363" w:type="dxa"/>
          </w:tcPr>
          <w:p w14:paraId="1BD307D0" w14:textId="77777777" w:rsidR="006D1E1C" w:rsidRPr="00C9343F" w:rsidRDefault="006D1E1C" w:rsidP="00F66D98">
            <w:pPr>
              <w:pStyle w:val="BlockText-Plain"/>
            </w:pPr>
            <w:r w:rsidRPr="00C9343F">
              <w:t>If a member does not return directly to Australia immediately after service in Antarctica, payment of the allowance ends at 2359 on the last day they serve in Antarctica.</w:t>
            </w:r>
          </w:p>
          <w:p w14:paraId="09DF71C2" w14:textId="77777777" w:rsidR="006D1E1C" w:rsidRPr="00C9343F" w:rsidRDefault="006D1E1C" w:rsidP="00F66D98">
            <w:pPr>
              <w:pStyle w:val="BlockText-Plain"/>
            </w:pPr>
            <w:r w:rsidRPr="00C9343F">
              <w:rPr>
                <w:b/>
              </w:rPr>
              <w:t>Exception:</w:t>
            </w:r>
            <w:r w:rsidRPr="00C9343F">
              <w:t xml:space="preserve"> If section 4.4.35 applies.</w:t>
            </w:r>
          </w:p>
        </w:tc>
      </w:tr>
    </w:tbl>
    <w:p w14:paraId="3552CB77" w14:textId="6B7A65EC" w:rsidR="006D1E1C" w:rsidRPr="00C9343F" w:rsidRDefault="006D1E1C" w:rsidP="00F66D98">
      <w:pPr>
        <w:pStyle w:val="Heading5"/>
      </w:pPr>
      <w:bookmarkStart w:id="833" w:name="_Toc105053837"/>
      <w:bookmarkStart w:id="834" w:name="bk10723PM4849Effectofreceivingotherallo"/>
      <w:bookmarkStart w:id="835" w:name="bk1635464855Effectofreceivingotherallow"/>
      <w:bookmarkStart w:id="836" w:name="bk1637114855Effectofreceivingotherallow"/>
      <w:bookmarkStart w:id="837" w:name="bk85022PM4854Effectofreceivingotherallo"/>
      <w:bookmarkStart w:id="838" w:name="bk1105054851Effectofreceivingotherallow"/>
      <w:bookmarkStart w:id="839" w:name="bk1221224849Effectofreceivingotherallow"/>
      <w:bookmarkStart w:id="840" w:name="bk1325524849Effectofreceivingotherallow"/>
      <w:bookmarkStart w:id="841" w:name="bk1526174650Effectofreceivingotherallow"/>
      <w:bookmarkStart w:id="842" w:name="bk1150584650Effectofreceivingotherallow"/>
      <w:bookmarkStart w:id="843" w:name="bk121854PM4849Memberonlongserviceleave"/>
      <w:r w:rsidRPr="00C9343F">
        <w:t>4.4.33</w:t>
      </w:r>
      <w:r w:rsidR="00D94006" w:rsidRPr="00C9343F">
        <w:t>    </w:t>
      </w:r>
      <w:r w:rsidRPr="00C9343F">
        <w:t>Effect of receiving other allowances</w:t>
      </w:r>
      <w:bookmarkEnd w:id="833"/>
    </w:p>
    <w:tbl>
      <w:tblPr>
        <w:tblW w:w="0" w:type="auto"/>
        <w:tblInd w:w="108" w:type="dxa"/>
        <w:tblLayout w:type="fixed"/>
        <w:tblLook w:val="0000" w:firstRow="0" w:lastRow="0" w:firstColumn="0" w:lastColumn="0" w:noHBand="0" w:noVBand="0"/>
      </w:tblPr>
      <w:tblGrid>
        <w:gridCol w:w="993"/>
        <w:gridCol w:w="8371"/>
      </w:tblGrid>
      <w:tr w:rsidR="006D1E1C" w:rsidRPr="00C9343F" w14:paraId="510163A0" w14:textId="77777777" w:rsidTr="006D1E1C">
        <w:tc>
          <w:tcPr>
            <w:tcW w:w="993" w:type="dxa"/>
          </w:tcPr>
          <w:p w14:paraId="445462AE" w14:textId="77777777" w:rsidR="006D1E1C" w:rsidRPr="00C9343F" w:rsidRDefault="006D1E1C" w:rsidP="00F66D98">
            <w:pPr>
              <w:pStyle w:val="BlockText-Plain"/>
              <w:jc w:val="center"/>
            </w:pPr>
            <w:r w:rsidRPr="00C9343F">
              <w:t>1.</w:t>
            </w:r>
          </w:p>
        </w:tc>
        <w:tc>
          <w:tcPr>
            <w:tcW w:w="8371" w:type="dxa"/>
          </w:tcPr>
          <w:p w14:paraId="745A8DDE" w14:textId="77777777" w:rsidR="006D1E1C" w:rsidRPr="00C9343F" w:rsidRDefault="006D1E1C" w:rsidP="00F66D98">
            <w:pPr>
              <w:pStyle w:val="BlockText-Plain"/>
            </w:pPr>
            <w:r w:rsidRPr="00C9343F">
              <w:t>This section applies to a member for the period that they are eligible for both Antarctic allowance and maritime disability allowance.</w:t>
            </w:r>
          </w:p>
        </w:tc>
      </w:tr>
      <w:bookmarkEnd w:id="834"/>
      <w:bookmarkEnd w:id="835"/>
      <w:bookmarkEnd w:id="836"/>
      <w:bookmarkEnd w:id="837"/>
      <w:bookmarkEnd w:id="838"/>
      <w:bookmarkEnd w:id="839"/>
      <w:bookmarkEnd w:id="840"/>
      <w:bookmarkEnd w:id="841"/>
      <w:bookmarkEnd w:id="842"/>
      <w:tr w:rsidR="006D1E1C" w:rsidRPr="00C9343F" w14:paraId="7425C3C7" w14:textId="77777777" w:rsidTr="006D1E1C">
        <w:tc>
          <w:tcPr>
            <w:tcW w:w="992" w:type="dxa"/>
          </w:tcPr>
          <w:p w14:paraId="3D57D335" w14:textId="77777777" w:rsidR="006D1E1C" w:rsidRPr="00C9343F" w:rsidRDefault="006D1E1C" w:rsidP="00F66D98">
            <w:pPr>
              <w:pStyle w:val="BlockText-Plain"/>
              <w:jc w:val="center"/>
            </w:pPr>
            <w:r w:rsidRPr="00C9343F">
              <w:t>2.</w:t>
            </w:r>
          </w:p>
        </w:tc>
        <w:tc>
          <w:tcPr>
            <w:tcW w:w="8363" w:type="dxa"/>
          </w:tcPr>
          <w:p w14:paraId="6D4E692D" w14:textId="77777777" w:rsidR="006D1E1C" w:rsidRPr="00C9343F" w:rsidRDefault="006D1E1C" w:rsidP="00F66D98">
            <w:pPr>
              <w:pStyle w:val="BlockText-Plain"/>
            </w:pPr>
            <w:r w:rsidRPr="00C9343F">
              <w:t>The member is paid only the higher of the two allowances.</w:t>
            </w:r>
          </w:p>
        </w:tc>
      </w:tr>
    </w:tbl>
    <w:p w14:paraId="67D4A0CD" w14:textId="4094A90A" w:rsidR="006D1E1C" w:rsidRPr="00C9343F" w:rsidRDefault="006D1E1C" w:rsidP="00F66D98">
      <w:pPr>
        <w:pStyle w:val="Heading5"/>
      </w:pPr>
      <w:bookmarkStart w:id="844" w:name="_Toc105053838"/>
      <w:bookmarkStart w:id="845" w:name="bk10723PM4850Memberonlongserviceleave"/>
      <w:bookmarkStart w:id="846" w:name="bk1635464856Memberonlongserviceleave"/>
      <w:bookmarkStart w:id="847" w:name="bk1637114856Memberonlongserviceleave"/>
      <w:bookmarkStart w:id="848" w:name="bk85022PM4855Memberonlongserviceleave"/>
      <w:bookmarkStart w:id="849" w:name="bk1105054852Memberonlongserviceleave"/>
      <w:bookmarkStart w:id="850" w:name="bk1221224850Memberonlongserviceleave"/>
      <w:bookmarkStart w:id="851" w:name="bk1325524850Memberonlongserviceleave"/>
      <w:bookmarkStart w:id="852" w:name="bk1526174651Memberonlongserviceleave"/>
      <w:bookmarkStart w:id="853" w:name="bk1150584651Memberonlongserviceleave"/>
      <w:r w:rsidRPr="00C9343F">
        <w:t>4.4.34</w:t>
      </w:r>
      <w:r w:rsidR="00D94006" w:rsidRPr="00C9343F">
        <w:t>    </w:t>
      </w:r>
      <w:r w:rsidRPr="00C9343F">
        <w:t>Member on long service leave</w:t>
      </w:r>
      <w:bookmarkEnd w:id="844"/>
    </w:p>
    <w:bookmarkEnd w:id="843"/>
    <w:bookmarkEnd w:id="845"/>
    <w:bookmarkEnd w:id="846"/>
    <w:bookmarkEnd w:id="847"/>
    <w:bookmarkEnd w:id="848"/>
    <w:bookmarkEnd w:id="849"/>
    <w:bookmarkEnd w:id="850"/>
    <w:bookmarkEnd w:id="851"/>
    <w:bookmarkEnd w:id="852"/>
    <w:bookmarkEnd w:id="853"/>
    <w:tbl>
      <w:tblPr>
        <w:tblW w:w="0" w:type="auto"/>
        <w:tblInd w:w="113" w:type="dxa"/>
        <w:tblLayout w:type="fixed"/>
        <w:tblLook w:val="0000" w:firstRow="0" w:lastRow="0" w:firstColumn="0" w:lastColumn="0" w:noHBand="0" w:noVBand="0"/>
      </w:tblPr>
      <w:tblGrid>
        <w:gridCol w:w="992"/>
        <w:gridCol w:w="8363"/>
      </w:tblGrid>
      <w:tr w:rsidR="006D1E1C" w:rsidRPr="00C9343F" w14:paraId="191ED574" w14:textId="77777777" w:rsidTr="006D1E1C">
        <w:tc>
          <w:tcPr>
            <w:tcW w:w="992" w:type="dxa"/>
          </w:tcPr>
          <w:p w14:paraId="6329CDE2" w14:textId="77777777" w:rsidR="006D1E1C" w:rsidRPr="00C9343F" w:rsidRDefault="006D1E1C" w:rsidP="00F66D98">
            <w:pPr>
              <w:pStyle w:val="BlockText-Plain"/>
              <w:jc w:val="center"/>
            </w:pPr>
          </w:p>
        </w:tc>
        <w:tc>
          <w:tcPr>
            <w:tcW w:w="8363" w:type="dxa"/>
          </w:tcPr>
          <w:p w14:paraId="55CC4924" w14:textId="77777777" w:rsidR="006D1E1C" w:rsidRPr="00C9343F" w:rsidRDefault="006D1E1C" w:rsidP="00F66D98">
            <w:pPr>
              <w:pStyle w:val="BlockText-Plain"/>
            </w:pPr>
            <w:r w:rsidRPr="00C9343F">
              <w:t>The allowance is not included in a member’s salary during a period of long service leave unless they remain in Antarctica during the period.</w:t>
            </w:r>
          </w:p>
        </w:tc>
      </w:tr>
    </w:tbl>
    <w:p w14:paraId="4EEF81C8" w14:textId="0F596F66" w:rsidR="006D1E1C" w:rsidRPr="00C9343F" w:rsidRDefault="006D1E1C" w:rsidP="00F66D98">
      <w:pPr>
        <w:pStyle w:val="Heading5"/>
      </w:pPr>
      <w:bookmarkStart w:id="854" w:name="_Toc105053839"/>
      <w:bookmarkStart w:id="855" w:name="bk121854PM4850Recreationleaveafterdutyi"/>
      <w:bookmarkStart w:id="856" w:name="bk10723PM4851Recreationleaveafterdutyin"/>
      <w:bookmarkStart w:id="857" w:name="bk1635464857RecreationleaveafterdutyinA"/>
      <w:bookmarkStart w:id="858" w:name="bk1637114857RecreationleaveafterdutyinA"/>
      <w:bookmarkStart w:id="859" w:name="bk85022PM4856Recreationleaveafterdutyin"/>
      <w:bookmarkStart w:id="860" w:name="bk1105054853RecreationleaveafterdutyinA"/>
      <w:bookmarkStart w:id="861" w:name="bk1221224851RecreationleaveafterdutyinA"/>
      <w:bookmarkStart w:id="862" w:name="bk1325524851RecreationleaveafterdutyinA"/>
      <w:bookmarkStart w:id="863" w:name="bk1526174652RecreationleaveafterdutyinA"/>
      <w:bookmarkStart w:id="864" w:name="bk1150584652RecreationleaveafterdutyinA"/>
      <w:r w:rsidRPr="00C9343F">
        <w:t>4.4.35</w:t>
      </w:r>
      <w:r w:rsidR="00D94006" w:rsidRPr="00C9343F">
        <w:t>    </w:t>
      </w:r>
      <w:r w:rsidRPr="00C9343F">
        <w:t>Recreation leave after duty in Antarctica</w:t>
      </w:r>
      <w:bookmarkEnd w:id="854"/>
    </w:p>
    <w:tbl>
      <w:tblPr>
        <w:tblW w:w="0" w:type="auto"/>
        <w:tblInd w:w="113" w:type="dxa"/>
        <w:tblLayout w:type="fixed"/>
        <w:tblLook w:val="0000" w:firstRow="0" w:lastRow="0" w:firstColumn="0" w:lastColumn="0" w:noHBand="0" w:noVBand="0"/>
      </w:tblPr>
      <w:tblGrid>
        <w:gridCol w:w="992"/>
        <w:gridCol w:w="567"/>
        <w:gridCol w:w="567"/>
        <w:gridCol w:w="7233"/>
      </w:tblGrid>
      <w:tr w:rsidR="006D1E1C" w:rsidRPr="00C9343F" w14:paraId="0D2AAAE7" w14:textId="77777777" w:rsidTr="006D1E1C">
        <w:tc>
          <w:tcPr>
            <w:tcW w:w="992" w:type="dxa"/>
          </w:tcPr>
          <w:bookmarkEnd w:id="855"/>
          <w:bookmarkEnd w:id="856"/>
          <w:bookmarkEnd w:id="857"/>
          <w:bookmarkEnd w:id="858"/>
          <w:bookmarkEnd w:id="859"/>
          <w:bookmarkEnd w:id="860"/>
          <w:bookmarkEnd w:id="861"/>
          <w:bookmarkEnd w:id="862"/>
          <w:bookmarkEnd w:id="863"/>
          <w:bookmarkEnd w:id="864"/>
          <w:p w14:paraId="5552A9CD" w14:textId="77777777" w:rsidR="006D1E1C" w:rsidRPr="00C9343F" w:rsidRDefault="006D1E1C" w:rsidP="00F66D98">
            <w:pPr>
              <w:pStyle w:val="BlockText-Plain"/>
              <w:jc w:val="center"/>
            </w:pPr>
            <w:r w:rsidRPr="00C9343F">
              <w:t>1.</w:t>
            </w:r>
          </w:p>
        </w:tc>
        <w:tc>
          <w:tcPr>
            <w:tcW w:w="8367" w:type="dxa"/>
            <w:gridSpan w:val="3"/>
          </w:tcPr>
          <w:p w14:paraId="5F48F6A3" w14:textId="77777777" w:rsidR="006D1E1C" w:rsidRPr="00C9343F" w:rsidRDefault="006D1E1C" w:rsidP="00F66D98">
            <w:pPr>
              <w:pStyle w:val="BlockText-Plain"/>
            </w:pPr>
            <w:r w:rsidRPr="00C9343F">
              <w:t>This section applies to a member who completes service in Antarctica and is granted a period of recreation leave before beginning duty in Australia.</w:t>
            </w:r>
          </w:p>
        </w:tc>
      </w:tr>
      <w:tr w:rsidR="006D1E1C" w:rsidRPr="00C9343F" w14:paraId="1CBFD4B1" w14:textId="77777777" w:rsidTr="006D1E1C">
        <w:tc>
          <w:tcPr>
            <w:tcW w:w="992" w:type="dxa"/>
          </w:tcPr>
          <w:p w14:paraId="38EB11AC" w14:textId="77777777" w:rsidR="006D1E1C" w:rsidRPr="00C9343F" w:rsidRDefault="006D1E1C" w:rsidP="00F66D98">
            <w:pPr>
              <w:pStyle w:val="BlockText-Plain"/>
              <w:jc w:val="center"/>
            </w:pPr>
            <w:r w:rsidRPr="00C9343F">
              <w:t>2.</w:t>
            </w:r>
          </w:p>
        </w:tc>
        <w:tc>
          <w:tcPr>
            <w:tcW w:w="8367" w:type="dxa"/>
            <w:gridSpan w:val="3"/>
          </w:tcPr>
          <w:p w14:paraId="2D11BE57" w14:textId="77777777" w:rsidR="006D1E1C" w:rsidRPr="00C9343F" w:rsidRDefault="006D1E1C" w:rsidP="00F66D98">
            <w:pPr>
              <w:pStyle w:val="BlockText-Plain"/>
            </w:pPr>
            <w:r w:rsidRPr="00C9343F">
              <w:t>The member is eligible for Antarctic allowance for the number of days of recreation leave they accrued for service in Antarctica. The rate of allowance is the rate that applies under section 4.4.31.</w:t>
            </w:r>
          </w:p>
        </w:tc>
      </w:tr>
      <w:tr w:rsidR="006D1E1C" w:rsidRPr="00C9343F" w14:paraId="03B112AA" w14:textId="77777777" w:rsidTr="006D1E1C">
        <w:tc>
          <w:tcPr>
            <w:tcW w:w="992" w:type="dxa"/>
          </w:tcPr>
          <w:p w14:paraId="064F4FEA" w14:textId="77777777" w:rsidR="006D1E1C" w:rsidRPr="00C9343F" w:rsidRDefault="006D1E1C" w:rsidP="00F66D98">
            <w:pPr>
              <w:pStyle w:val="BlockText-Plain"/>
              <w:jc w:val="center"/>
            </w:pPr>
            <w:r w:rsidRPr="00C9343F">
              <w:t>3.</w:t>
            </w:r>
          </w:p>
        </w:tc>
        <w:tc>
          <w:tcPr>
            <w:tcW w:w="8367" w:type="dxa"/>
            <w:gridSpan w:val="3"/>
          </w:tcPr>
          <w:p w14:paraId="2BB96DAB" w14:textId="77777777" w:rsidR="006D1E1C" w:rsidRPr="00C9343F" w:rsidRDefault="006D1E1C" w:rsidP="00F66D98">
            <w:pPr>
              <w:pStyle w:val="BlockText-Plain"/>
            </w:pPr>
            <w:r w:rsidRPr="00C9343F">
              <w:t>Subsection 1 applies to recreation leave granted immediately after any of these periods.</w:t>
            </w:r>
          </w:p>
        </w:tc>
      </w:tr>
      <w:tr w:rsidR="006D1E1C" w:rsidRPr="00C9343F" w14:paraId="31C2660F" w14:textId="77777777" w:rsidTr="006D1E1C">
        <w:trPr>
          <w:cantSplit/>
        </w:trPr>
        <w:tc>
          <w:tcPr>
            <w:tcW w:w="992" w:type="dxa"/>
          </w:tcPr>
          <w:p w14:paraId="3B25B98F" w14:textId="77777777" w:rsidR="006D1E1C" w:rsidRPr="00C9343F" w:rsidRDefault="006D1E1C" w:rsidP="00F66D98">
            <w:pPr>
              <w:pStyle w:val="BlockText-Plain"/>
            </w:pPr>
          </w:p>
        </w:tc>
        <w:tc>
          <w:tcPr>
            <w:tcW w:w="567" w:type="dxa"/>
          </w:tcPr>
          <w:p w14:paraId="314C6676" w14:textId="77777777" w:rsidR="006D1E1C" w:rsidRPr="00C9343F" w:rsidRDefault="006D1E1C" w:rsidP="008D1B5D">
            <w:pPr>
              <w:pStyle w:val="BlockText-Plain"/>
              <w:jc w:val="center"/>
            </w:pPr>
            <w:r w:rsidRPr="00C9343F">
              <w:t>a.</w:t>
            </w:r>
          </w:p>
        </w:tc>
        <w:tc>
          <w:tcPr>
            <w:tcW w:w="7800" w:type="dxa"/>
            <w:gridSpan w:val="2"/>
          </w:tcPr>
          <w:p w14:paraId="5B038998" w14:textId="77777777" w:rsidR="006D1E1C" w:rsidRPr="00C9343F" w:rsidRDefault="006D1E1C" w:rsidP="00F66D98">
            <w:pPr>
              <w:pStyle w:val="BlockText-Plain"/>
            </w:pPr>
            <w:r w:rsidRPr="00C9343F">
              <w:t>A period of travelling leave taken immediately after the member’s period of service in Antarctica.</w:t>
            </w:r>
          </w:p>
        </w:tc>
      </w:tr>
      <w:tr w:rsidR="006D1E1C" w:rsidRPr="00C9343F" w14:paraId="2879A9F2" w14:textId="77777777" w:rsidTr="006D1E1C">
        <w:trPr>
          <w:cantSplit/>
        </w:trPr>
        <w:tc>
          <w:tcPr>
            <w:tcW w:w="992" w:type="dxa"/>
          </w:tcPr>
          <w:p w14:paraId="09D21F20" w14:textId="77777777" w:rsidR="006D1E1C" w:rsidRPr="00C9343F" w:rsidRDefault="006D1E1C" w:rsidP="00F66D98">
            <w:pPr>
              <w:pStyle w:val="BlockText-Plain"/>
            </w:pPr>
          </w:p>
        </w:tc>
        <w:tc>
          <w:tcPr>
            <w:tcW w:w="567" w:type="dxa"/>
          </w:tcPr>
          <w:p w14:paraId="5D00C1A6" w14:textId="77777777" w:rsidR="006D1E1C" w:rsidRPr="00C9343F" w:rsidRDefault="006D1E1C" w:rsidP="008D1B5D">
            <w:pPr>
              <w:pStyle w:val="BlockText-Plain"/>
              <w:jc w:val="center"/>
            </w:pPr>
            <w:r w:rsidRPr="00C9343F">
              <w:t>b.</w:t>
            </w:r>
          </w:p>
        </w:tc>
        <w:tc>
          <w:tcPr>
            <w:tcW w:w="7800" w:type="dxa"/>
            <w:gridSpan w:val="2"/>
          </w:tcPr>
          <w:p w14:paraId="0111F1E6" w14:textId="77777777" w:rsidR="006D1E1C" w:rsidRPr="00C9343F" w:rsidRDefault="006D1E1C" w:rsidP="00F66D98">
            <w:pPr>
              <w:pStyle w:val="BlockText-Plain"/>
            </w:pPr>
            <w:r w:rsidRPr="00C9343F">
              <w:t>A period of hospitalisation or absence from duty for an illness that began on or before the day the member completed service in Antarctica.</w:t>
            </w:r>
          </w:p>
        </w:tc>
      </w:tr>
      <w:tr w:rsidR="006D1E1C" w:rsidRPr="00C9343F" w14:paraId="2ADA8A03" w14:textId="77777777" w:rsidTr="006D1E1C">
        <w:trPr>
          <w:cantSplit/>
        </w:trPr>
        <w:tc>
          <w:tcPr>
            <w:tcW w:w="992" w:type="dxa"/>
          </w:tcPr>
          <w:p w14:paraId="5E7974E4" w14:textId="77777777" w:rsidR="006D1E1C" w:rsidRPr="00C9343F" w:rsidRDefault="006D1E1C" w:rsidP="00F66D98">
            <w:pPr>
              <w:pStyle w:val="BlockText-Plain"/>
            </w:pPr>
          </w:p>
        </w:tc>
        <w:tc>
          <w:tcPr>
            <w:tcW w:w="567" w:type="dxa"/>
          </w:tcPr>
          <w:p w14:paraId="74863B36" w14:textId="77777777" w:rsidR="006D1E1C" w:rsidRPr="00C9343F" w:rsidRDefault="006D1E1C" w:rsidP="008D1B5D">
            <w:pPr>
              <w:pStyle w:val="BlockText-Plain"/>
              <w:jc w:val="center"/>
            </w:pPr>
            <w:r w:rsidRPr="00C9343F">
              <w:t>c.</w:t>
            </w:r>
          </w:p>
        </w:tc>
        <w:tc>
          <w:tcPr>
            <w:tcW w:w="7800" w:type="dxa"/>
            <w:gridSpan w:val="2"/>
          </w:tcPr>
          <w:p w14:paraId="5C9A69D2" w14:textId="77777777" w:rsidR="006D1E1C" w:rsidRPr="00C9343F" w:rsidRDefault="006D1E1C" w:rsidP="00F66D98">
            <w:pPr>
              <w:pStyle w:val="BlockText-Plain"/>
            </w:pPr>
            <w:r w:rsidRPr="00C9343F">
              <w:t>A period of duty that meets both these criteria.</w:t>
            </w:r>
          </w:p>
        </w:tc>
      </w:tr>
      <w:tr w:rsidR="006D1E1C" w:rsidRPr="00C9343F" w14:paraId="1591D8A1" w14:textId="77777777" w:rsidTr="006D1E1C">
        <w:trPr>
          <w:cantSplit/>
        </w:trPr>
        <w:tc>
          <w:tcPr>
            <w:tcW w:w="1559" w:type="dxa"/>
            <w:gridSpan w:val="2"/>
          </w:tcPr>
          <w:p w14:paraId="1CED5E13" w14:textId="77777777" w:rsidR="006D1E1C" w:rsidRPr="00C9343F" w:rsidRDefault="006D1E1C" w:rsidP="00F66D98">
            <w:pPr>
              <w:pStyle w:val="BlockText-Plain"/>
            </w:pPr>
          </w:p>
        </w:tc>
        <w:tc>
          <w:tcPr>
            <w:tcW w:w="567" w:type="dxa"/>
          </w:tcPr>
          <w:p w14:paraId="593EAF3B" w14:textId="77777777" w:rsidR="006D1E1C" w:rsidRPr="00C9343F" w:rsidRDefault="006D1E1C" w:rsidP="008D1B5D">
            <w:pPr>
              <w:pStyle w:val="BlockText-Plain"/>
            </w:pPr>
            <w:r w:rsidRPr="00C9343F">
              <w:t>i.</w:t>
            </w:r>
          </w:p>
        </w:tc>
        <w:tc>
          <w:tcPr>
            <w:tcW w:w="7233" w:type="dxa"/>
          </w:tcPr>
          <w:p w14:paraId="54D54A57" w14:textId="77777777" w:rsidR="006D1E1C" w:rsidRPr="00C9343F" w:rsidRDefault="006D1E1C" w:rsidP="00F66D98">
            <w:pPr>
              <w:pStyle w:val="BlockText-Plain"/>
            </w:pPr>
            <w:r w:rsidRPr="00C9343F">
              <w:t>It must be performed by the member before recreation leave can be granted.</w:t>
            </w:r>
          </w:p>
        </w:tc>
      </w:tr>
      <w:tr w:rsidR="006D1E1C" w:rsidRPr="00C9343F" w14:paraId="1ADEBD3C" w14:textId="77777777" w:rsidTr="006D1E1C">
        <w:trPr>
          <w:cantSplit/>
        </w:trPr>
        <w:tc>
          <w:tcPr>
            <w:tcW w:w="1559" w:type="dxa"/>
            <w:gridSpan w:val="2"/>
          </w:tcPr>
          <w:p w14:paraId="173056FB" w14:textId="77777777" w:rsidR="006D1E1C" w:rsidRPr="00C9343F" w:rsidRDefault="006D1E1C" w:rsidP="00F66D98">
            <w:pPr>
              <w:pStyle w:val="BlockText-Plain"/>
            </w:pPr>
          </w:p>
        </w:tc>
        <w:tc>
          <w:tcPr>
            <w:tcW w:w="567" w:type="dxa"/>
          </w:tcPr>
          <w:p w14:paraId="3485A164" w14:textId="77777777" w:rsidR="006D1E1C" w:rsidRPr="00C9343F" w:rsidRDefault="006D1E1C" w:rsidP="008D1B5D">
            <w:pPr>
              <w:pStyle w:val="BlockText-Plain"/>
            </w:pPr>
            <w:r w:rsidRPr="00C9343F">
              <w:t>ii.</w:t>
            </w:r>
          </w:p>
        </w:tc>
        <w:tc>
          <w:tcPr>
            <w:tcW w:w="7233" w:type="dxa"/>
          </w:tcPr>
          <w:p w14:paraId="058D5ABD" w14:textId="77777777" w:rsidR="006D1E1C" w:rsidRPr="00C9343F" w:rsidRDefault="006D1E1C" w:rsidP="00F66D98">
            <w:pPr>
              <w:pStyle w:val="BlockText-Plain"/>
            </w:pPr>
            <w:r w:rsidRPr="00C9343F">
              <w:t>It is performed immediately after the member's period of service in Antarctica.</w:t>
            </w:r>
          </w:p>
        </w:tc>
      </w:tr>
    </w:tbl>
    <w:p w14:paraId="64101008" w14:textId="77777777" w:rsidR="00561E1A" w:rsidRPr="00C9343F" w:rsidRDefault="00561E1A" w:rsidP="00F66D98">
      <w:pPr>
        <w:pStyle w:val="Heading4"/>
        <w:rPr>
          <w:sz w:val="20"/>
        </w:rPr>
      </w:pPr>
    </w:p>
    <w:p w14:paraId="6E0E5F97" w14:textId="416AF4A4" w:rsidR="006D1E1C" w:rsidRPr="00C9343F" w:rsidRDefault="006D1E1C" w:rsidP="00561E1A">
      <w:pPr>
        <w:pStyle w:val="Heading4"/>
        <w:pageBreakBefore/>
      </w:pPr>
      <w:bookmarkStart w:id="865" w:name="div9"/>
      <w:bookmarkStart w:id="866" w:name="_Toc105053840"/>
      <w:bookmarkEnd w:id="865"/>
      <w:r w:rsidRPr="00C9343F">
        <w:t>Division 7: Allowances for service in the Antarctic – Common duties allowance</w:t>
      </w:r>
      <w:bookmarkEnd w:id="866"/>
    </w:p>
    <w:p w14:paraId="387617EC" w14:textId="70BA01A2" w:rsidR="006D1E1C" w:rsidRPr="00C9343F" w:rsidRDefault="006D1E1C" w:rsidP="00F66D98">
      <w:pPr>
        <w:pStyle w:val="Heading5"/>
      </w:pPr>
      <w:bookmarkStart w:id="867" w:name="_Toc105053841"/>
      <w:bookmarkStart w:id="868" w:name="bk10723PM4852Entitlement"/>
      <w:bookmarkStart w:id="869" w:name="bk1635464858Entitlement"/>
      <w:bookmarkStart w:id="870" w:name="bk1222574852Entitlement"/>
      <w:bookmarkStart w:id="871" w:name="bk1325584852Entitlement"/>
      <w:bookmarkStart w:id="872" w:name="bk1527494653Entitlement"/>
      <w:r w:rsidRPr="00C9343F">
        <w:t>4.4.36</w:t>
      </w:r>
      <w:r w:rsidR="00D94006" w:rsidRPr="00C9343F">
        <w:t>    </w:t>
      </w:r>
      <w:r w:rsidRPr="00C9343F">
        <w:t>Eligibility</w:t>
      </w:r>
      <w:bookmarkEnd w:id="867"/>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010050F1" w14:textId="77777777" w:rsidTr="006D1E1C">
        <w:tc>
          <w:tcPr>
            <w:tcW w:w="992" w:type="dxa"/>
          </w:tcPr>
          <w:bookmarkEnd w:id="868"/>
          <w:bookmarkEnd w:id="869"/>
          <w:bookmarkEnd w:id="870"/>
          <w:bookmarkEnd w:id="871"/>
          <w:bookmarkEnd w:id="872"/>
          <w:p w14:paraId="25807A26" w14:textId="77777777" w:rsidR="006D1E1C" w:rsidRPr="00C9343F" w:rsidRDefault="006D1E1C" w:rsidP="00F66D98">
            <w:pPr>
              <w:pStyle w:val="BlockText-Plain"/>
              <w:jc w:val="center"/>
            </w:pPr>
            <w:r w:rsidRPr="00C9343F">
              <w:t>1.</w:t>
            </w:r>
          </w:p>
        </w:tc>
        <w:tc>
          <w:tcPr>
            <w:tcW w:w="8363" w:type="dxa"/>
            <w:gridSpan w:val="2"/>
          </w:tcPr>
          <w:p w14:paraId="4CDACD3C" w14:textId="77777777" w:rsidR="006D1E1C" w:rsidRPr="00C9343F" w:rsidRDefault="006D1E1C" w:rsidP="00F66D98">
            <w:pPr>
              <w:pStyle w:val="BlockText-Plain"/>
            </w:pPr>
            <w:r w:rsidRPr="00C9343F">
              <w:t xml:space="preserve">This Division applies to a member who meets all these conditions. </w:t>
            </w:r>
          </w:p>
        </w:tc>
      </w:tr>
      <w:tr w:rsidR="006D1E1C" w:rsidRPr="00C9343F" w14:paraId="5C24246D" w14:textId="77777777" w:rsidTr="006D1E1C">
        <w:trPr>
          <w:cantSplit/>
        </w:trPr>
        <w:tc>
          <w:tcPr>
            <w:tcW w:w="992" w:type="dxa"/>
          </w:tcPr>
          <w:p w14:paraId="042DCE60" w14:textId="77777777" w:rsidR="006D1E1C" w:rsidRPr="00C9343F" w:rsidRDefault="006D1E1C" w:rsidP="00F66D98">
            <w:pPr>
              <w:pStyle w:val="BlockText-Plain"/>
            </w:pPr>
          </w:p>
        </w:tc>
        <w:tc>
          <w:tcPr>
            <w:tcW w:w="567" w:type="dxa"/>
          </w:tcPr>
          <w:p w14:paraId="6C52DB6A" w14:textId="77777777" w:rsidR="006D1E1C" w:rsidRPr="00C9343F" w:rsidRDefault="006D1E1C" w:rsidP="008D1B5D">
            <w:pPr>
              <w:pStyle w:val="BlockText-Plain"/>
              <w:jc w:val="center"/>
            </w:pPr>
            <w:r w:rsidRPr="00C9343F">
              <w:t>a.</w:t>
            </w:r>
          </w:p>
        </w:tc>
        <w:tc>
          <w:tcPr>
            <w:tcW w:w="7796" w:type="dxa"/>
          </w:tcPr>
          <w:p w14:paraId="41B87318" w14:textId="77777777" w:rsidR="006D1E1C" w:rsidRPr="00C9343F" w:rsidRDefault="006D1E1C" w:rsidP="00F66D98">
            <w:pPr>
              <w:pStyle w:val="BlockText-Plain"/>
            </w:pPr>
            <w:r w:rsidRPr="00C9343F">
              <w:t>They are eligible for Antarctic allowance.</w:t>
            </w:r>
          </w:p>
        </w:tc>
      </w:tr>
      <w:tr w:rsidR="006D1E1C" w:rsidRPr="00C9343F" w14:paraId="01457743" w14:textId="77777777" w:rsidTr="006D1E1C">
        <w:trPr>
          <w:cantSplit/>
        </w:trPr>
        <w:tc>
          <w:tcPr>
            <w:tcW w:w="992" w:type="dxa"/>
          </w:tcPr>
          <w:p w14:paraId="71965917" w14:textId="77777777" w:rsidR="006D1E1C" w:rsidRPr="00C9343F" w:rsidRDefault="006D1E1C" w:rsidP="00F66D98">
            <w:pPr>
              <w:pStyle w:val="BlockText-Plain"/>
            </w:pPr>
          </w:p>
        </w:tc>
        <w:tc>
          <w:tcPr>
            <w:tcW w:w="567" w:type="dxa"/>
          </w:tcPr>
          <w:p w14:paraId="2FE4ABFC" w14:textId="77777777" w:rsidR="006D1E1C" w:rsidRPr="00C9343F" w:rsidRDefault="006D1E1C" w:rsidP="008D1B5D">
            <w:pPr>
              <w:pStyle w:val="BlockText-Plain"/>
              <w:jc w:val="center"/>
            </w:pPr>
            <w:r w:rsidRPr="00C9343F">
              <w:t>b.</w:t>
            </w:r>
          </w:p>
        </w:tc>
        <w:tc>
          <w:tcPr>
            <w:tcW w:w="7796" w:type="dxa"/>
          </w:tcPr>
          <w:p w14:paraId="72A6BA49" w14:textId="77777777" w:rsidR="006D1E1C" w:rsidRPr="00C9343F" w:rsidRDefault="006D1E1C" w:rsidP="00F66D98">
            <w:pPr>
              <w:pStyle w:val="BlockText-Plain"/>
            </w:pPr>
            <w:r w:rsidRPr="00C9343F">
              <w:t>The officer-in-charge of an expedition directs them to perform duties that are additional and unrelated to their ordinary duties.</w:t>
            </w:r>
          </w:p>
        </w:tc>
      </w:tr>
      <w:tr w:rsidR="006D1E1C" w:rsidRPr="00C9343F" w14:paraId="3F7C2BE5" w14:textId="77777777" w:rsidTr="006D1E1C">
        <w:trPr>
          <w:cantSplit/>
        </w:trPr>
        <w:tc>
          <w:tcPr>
            <w:tcW w:w="992" w:type="dxa"/>
          </w:tcPr>
          <w:p w14:paraId="60FCF8D0" w14:textId="77777777" w:rsidR="006D1E1C" w:rsidRPr="00C9343F" w:rsidRDefault="006D1E1C" w:rsidP="00F66D98">
            <w:pPr>
              <w:pStyle w:val="BlockText-Plain"/>
            </w:pPr>
          </w:p>
        </w:tc>
        <w:tc>
          <w:tcPr>
            <w:tcW w:w="567" w:type="dxa"/>
          </w:tcPr>
          <w:p w14:paraId="63E23B99" w14:textId="77777777" w:rsidR="006D1E1C" w:rsidRPr="00C9343F" w:rsidRDefault="006D1E1C" w:rsidP="008D1B5D">
            <w:pPr>
              <w:pStyle w:val="BlockText-Plain"/>
              <w:jc w:val="center"/>
            </w:pPr>
            <w:r w:rsidRPr="00C9343F">
              <w:t>c.</w:t>
            </w:r>
          </w:p>
        </w:tc>
        <w:tc>
          <w:tcPr>
            <w:tcW w:w="7796" w:type="dxa"/>
          </w:tcPr>
          <w:p w14:paraId="7915416F" w14:textId="77777777" w:rsidR="006D1E1C" w:rsidRPr="00C9343F" w:rsidRDefault="006D1E1C" w:rsidP="00F66D98">
            <w:pPr>
              <w:pStyle w:val="BlockText-Plain"/>
            </w:pPr>
            <w:r w:rsidRPr="00C9343F">
              <w:t>They perform the duties for a period.</w:t>
            </w:r>
          </w:p>
        </w:tc>
      </w:tr>
      <w:tr w:rsidR="006D1E1C" w:rsidRPr="00C9343F" w14:paraId="63AD4600" w14:textId="77777777" w:rsidTr="006D1E1C">
        <w:tc>
          <w:tcPr>
            <w:tcW w:w="992" w:type="dxa"/>
          </w:tcPr>
          <w:p w14:paraId="19ACD1AD" w14:textId="77777777" w:rsidR="006D1E1C" w:rsidRPr="00C9343F" w:rsidRDefault="006D1E1C" w:rsidP="00F66D98">
            <w:pPr>
              <w:pStyle w:val="BlockText-Plain"/>
              <w:jc w:val="center"/>
            </w:pPr>
            <w:r w:rsidRPr="00C9343F">
              <w:t>2.</w:t>
            </w:r>
          </w:p>
        </w:tc>
        <w:tc>
          <w:tcPr>
            <w:tcW w:w="8363" w:type="dxa"/>
            <w:gridSpan w:val="2"/>
          </w:tcPr>
          <w:p w14:paraId="15F49964" w14:textId="77777777" w:rsidR="006D1E1C" w:rsidRPr="00C9343F" w:rsidRDefault="006D1E1C" w:rsidP="00F66D98">
            <w:pPr>
              <w:pStyle w:val="BlockText-Plain"/>
            </w:pPr>
            <w:r w:rsidRPr="00C9343F">
              <w:t>The member is eligible for common duties allowance for the period at the rate of $8,221 a year.</w:t>
            </w:r>
          </w:p>
        </w:tc>
      </w:tr>
    </w:tbl>
    <w:p w14:paraId="44C446DE" w14:textId="43E149DF" w:rsidR="006D1E1C" w:rsidRPr="00C9343F" w:rsidRDefault="006D1E1C" w:rsidP="00561E1A">
      <w:pPr>
        <w:pStyle w:val="Heading4"/>
        <w:pageBreakBefore/>
      </w:pPr>
      <w:bookmarkStart w:id="873" w:name="annex46a"/>
      <w:bookmarkStart w:id="874" w:name="div10"/>
      <w:bookmarkStart w:id="875" w:name="_Toc105053842"/>
      <w:bookmarkEnd w:id="873"/>
      <w:bookmarkEnd w:id="874"/>
      <w:r w:rsidRPr="00C9343F">
        <w:t>Division 8: Allowances for service in the Antarctic – Antarctic parity allowance</w:t>
      </w:r>
      <w:bookmarkEnd w:id="875"/>
    </w:p>
    <w:p w14:paraId="38DF86DE" w14:textId="7824D915" w:rsidR="006D1E1C" w:rsidRPr="00C9343F" w:rsidRDefault="006D1E1C" w:rsidP="00F66D98">
      <w:pPr>
        <w:pStyle w:val="Heading5"/>
      </w:pPr>
      <w:bookmarkStart w:id="876" w:name="_Toc105053843"/>
      <w:bookmarkStart w:id="877" w:name="bk10723PM4853Purpose"/>
      <w:bookmarkStart w:id="878" w:name="bk1635464859Purpose"/>
      <w:bookmarkStart w:id="879" w:name="bk1637364859Purpose"/>
      <w:bookmarkStart w:id="880" w:name="bk85012PM4858Purpose"/>
      <w:bookmarkStart w:id="881" w:name="bk90049PM4858Purpose"/>
      <w:bookmarkStart w:id="882" w:name="bk1107474855Purpose"/>
      <w:bookmarkStart w:id="883" w:name="bk1223064853Purpose"/>
      <w:bookmarkStart w:id="884" w:name="bk1326054853Purpose"/>
      <w:bookmarkStart w:id="885" w:name="bk1528254654Purpose"/>
      <w:bookmarkStart w:id="886" w:name="bk1151034654Purpose"/>
      <w:r w:rsidRPr="00C9343F">
        <w:t>4.4.37</w:t>
      </w:r>
      <w:r w:rsidR="00D94006" w:rsidRPr="00C9343F">
        <w:t>    </w:t>
      </w:r>
      <w:r w:rsidRPr="00C9343F">
        <w:t>Purpose</w:t>
      </w:r>
      <w:bookmarkEnd w:id="876"/>
    </w:p>
    <w:bookmarkEnd w:id="877"/>
    <w:bookmarkEnd w:id="878"/>
    <w:bookmarkEnd w:id="879"/>
    <w:bookmarkEnd w:id="880"/>
    <w:bookmarkEnd w:id="881"/>
    <w:bookmarkEnd w:id="882"/>
    <w:bookmarkEnd w:id="883"/>
    <w:bookmarkEnd w:id="884"/>
    <w:bookmarkEnd w:id="885"/>
    <w:bookmarkEnd w:id="886"/>
    <w:tbl>
      <w:tblPr>
        <w:tblW w:w="0" w:type="auto"/>
        <w:tblInd w:w="113" w:type="dxa"/>
        <w:tblLayout w:type="fixed"/>
        <w:tblLook w:val="0000" w:firstRow="0" w:lastRow="0" w:firstColumn="0" w:lastColumn="0" w:noHBand="0" w:noVBand="0"/>
      </w:tblPr>
      <w:tblGrid>
        <w:gridCol w:w="992"/>
        <w:gridCol w:w="8363"/>
      </w:tblGrid>
      <w:tr w:rsidR="006D1E1C" w:rsidRPr="00C9343F" w14:paraId="47F822FC" w14:textId="77777777" w:rsidTr="006D1E1C">
        <w:tc>
          <w:tcPr>
            <w:tcW w:w="992" w:type="dxa"/>
          </w:tcPr>
          <w:p w14:paraId="7245D2C7" w14:textId="77777777" w:rsidR="006D1E1C" w:rsidRPr="00C9343F" w:rsidRDefault="006D1E1C" w:rsidP="00F66D98">
            <w:pPr>
              <w:pStyle w:val="BlockText-Plain"/>
              <w:jc w:val="center"/>
            </w:pPr>
          </w:p>
        </w:tc>
        <w:tc>
          <w:tcPr>
            <w:tcW w:w="8363" w:type="dxa"/>
          </w:tcPr>
          <w:p w14:paraId="7BB41E37" w14:textId="77777777" w:rsidR="006D1E1C" w:rsidRPr="00C9343F" w:rsidRDefault="006D1E1C" w:rsidP="00F66D98">
            <w:pPr>
              <w:pStyle w:val="BlockText-Plain"/>
            </w:pPr>
            <w:r w:rsidRPr="00C9343F">
              <w:t xml:space="preserve">Antarctic parity allowance provides for payment to a member who volunteers for service in Antarctica in an APS position as a member of an expedition. </w:t>
            </w:r>
          </w:p>
        </w:tc>
      </w:tr>
    </w:tbl>
    <w:p w14:paraId="1562F2E5" w14:textId="0B2BA3C5" w:rsidR="006D1E1C" w:rsidRPr="00C9343F" w:rsidRDefault="006D1E1C" w:rsidP="00F66D98">
      <w:pPr>
        <w:pStyle w:val="Heading5"/>
      </w:pPr>
      <w:bookmarkStart w:id="887" w:name="_Toc105053844"/>
      <w:bookmarkStart w:id="888" w:name="bk10723PM4854MemberthisSubdivisionappli"/>
      <w:bookmarkStart w:id="889" w:name="bk1635464860MemberthisSubdivisionapplie"/>
      <w:bookmarkStart w:id="890" w:name="bk1637364860MemberthisSubdivisionapplie"/>
      <w:bookmarkStart w:id="891" w:name="bk85012PM4859MemberthisSubdivisionappli"/>
      <w:bookmarkStart w:id="892" w:name="bk90049PM4859MemberthisDivisionappliest"/>
      <w:bookmarkStart w:id="893" w:name="bk1107474856MemberthisDivisionappliesto"/>
      <w:bookmarkStart w:id="894" w:name="bk1223074854MemberthisDivisionappliesto"/>
      <w:bookmarkStart w:id="895" w:name="bk1326054854MemberthisDivisionappliesto"/>
      <w:bookmarkStart w:id="896" w:name="bk1528254655MemberthisDivisionappliesto"/>
      <w:bookmarkStart w:id="897" w:name="bk1151034655MemberthisDivisionappliesto"/>
      <w:r w:rsidRPr="00C9343F">
        <w:t>4.4.38</w:t>
      </w:r>
      <w:r w:rsidR="00D94006" w:rsidRPr="00C9343F">
        <w:t>    </w:t>
      </w:r>
      <w:r w:rsidRPr="00C9343F">
        <w:t>Definitions</w:t>
      </w:r>
      <w:bookmarkEnd w:id="887"/>
    </w:p>
    <w:tbl>
      <w:tblPr>
        <w:tblW w:w="0" w:type="dxa"/>
        <w:tblInd w:w="113" w:type="dxa"/>
        <w:tblLayout w:type="fixed"/>
        <w:tblLook w:val="04A0" w:firstRow="1" w:lastRow="0" w:firstColumn="1" w:lastColumn="0" w:noHBand="0" w:noVBand="1"/>
      </w:tblPr>
      <w:tblGrid>
        <w:gridCol w:w="992"/>
        <w:gridCol w:w="8367"/>
      </w:tblGrid>
      <w:tr w:rsidR="00D46033" w:rsidRPr="00C9343F" w14:paraId="165896B0" w14:textId="77777777" w:rsidTr="00445FEB">
        <w:tc>
          <w:tcPr>
            <w:tcW w:w="992" w:type="dxa"/>
          </w:tcPr>
          <w:p w14:paraId="15DC0DF2" w14:textId="77777777" w:rsidR="00D46033" w:rsidRPr="00C9343F" w:rsidRDefault="00D46033" w:rsidP="00445FEB">
            <w:pPr>
              <w:pStyle w:val="Sectiontext0"/>
              <w:spacing w:line="276" w:lineRule="auto"/>
              <w:jc w:val="center"/>
              <w:rPr>
                <w:lang w:eastAsia="en-US"/>
              </w:rPr>
            </w:pPr>
          </w:p>
        </w:tc>
        <w:tc>
          <w:tcPr>
            <w:tcW w:w="8367" w:type="dxa"/>
            <w:hideMark/>
          </w:tcPr>
          <w:p w14:paraId="360FC72B" w14:textId="77777777" w:rsidR="00D46033" w:rsidRPr="00C9343F" w:rsidRDefault="00D46033" w:rsidP="00445FEB">
            <w:pPr>
              <w:pStyle w:val="Sectiontext0"/>
              <w:spacing w:line="276" w:lineRule="auto"/>
              <w:rPr>
                <w:rFonts w:cs="Arial"/>
                <w:lang w:eastAsia="en-US"/>
              </w:rPr>
            </w:pPr>
            <w:r w:rsidRPr="00C9343F">
              <w:rPr>
                <w:rFonts w:cs="Arial"/>
                <w:lang w:eastAsia="en-US"/>
              </w:rPr>
              <w:t>In this Division the following apply.</w:t>
            </w:r>
          </w:p>
        </w:tc>
      </w:tr>
      <w:tr w:rsidR="00D46033" w:rsidRPr="00C9343F" w14:paraId="109B4C84" w14:textId="77777777" w:rsidTr="00445FEB">
        <w:tc>
          <w:tcPr>
            <w:tcW w:w="992" w:type="dxa"/>
          </w:tcPr>
          <w:p w14:paraId="5F999E26" w14:textId="77777777" w:rsidR="00D46033" w:rsidRPr="00C9343F" w:rsidRDefault="00D46033" w:rsidP="00445FEB">
            <w:pPr>
              <w:pStyle w:val="Sectiontext0"/>
              <w:spacing w:line="276" w:lineRule="auto"/>
              <w:jc w:val="center"/>
              <w:rPr>
                <w:lang w:eastAsia="en-US"/>
              </w:rPr>
            </w:pPr>
          </w:p>
        </w:tc>
        <w:tc>
          <w:tcPr>
            <w:tcW w:w="8367" w:type="dxa"/>
            <w:hideMark/>
          </w:tcPr>
          <w:p w14:paraId="23550B32" w14:textId="77777777" w:rsidR="00D46033" w:rsidRPr="00C9343F" w:rsidRDefault="00D46033" w:rsidP="00445FEB">
            <w:pPr>
              <w:pStyle w:val="Sectiontext0"/>
              <w:spacing w:line="276" w:lineRule="auto"/>
              <w:rPr>
                <w:rFonts w:cs="Arial"/>
                <w:lang w:eastAsia="en-US"/>
              </w:rPr>
            </w:pPr>
            <w:r w:rsidRPr="00C9343F">
              <w:rPr>
                <w:rFonts w:cs="Arial"/>
                <w:b/>
                <w:lang w:eastAsia="en-US"/>
              </w:rPr>
              <w:t>ADF amount</w:t>
            </w:r>
            <w:r w:rsidRPr="00C9343F">
              <w:rPr>
                <w:rFonts w:cs="Arial"/>
                <w:lang w:eastAsia="en-US"/>
              </w:rPr>
              <w:t xml:space="preserve"> means the sum of the amounts of salary and maritime disability allowance that the member would be eligible for if the duty was for an ADF posting.</w:t>
            </w:r>
          </w:p>
        </w:tc>
      </w:tr>
      <w:tr w:rsidR="00D46033" w:rsidRPr="00C9343F" w14:paraId="07D1F5DC" w14:textId="77777777" w:rsidTr="00445FEB">
        <w:tc>
          <w:tcPr>
            <w:tcW w:w="992" w:type="dxa"/>
          </w:tcPr>
          <w:p w14:paraId="30D32524" w14:textId="77777777" w:rsidR="00D46033" w:rsidRPr="00C9343F" w:rsidRDefault="00D46033" w:rsidP="00445FEB">
            <w:pPr>
              <w:pStyle w:val="Sectiontext0"/>
              <w:spacing w:line="276" w:lineRule="auto"/>
              <w:jc w:val="center"/>
              <w:rPr>
                <w:lang w:eastAsia="en-US"/>
              </w:rPr>
            </w:pPr>
          </w:p>
        </w:tc>
        <w:tc>
          <w:tcPr>
            <w:tcW w:w="8367" w:type="dxa"/>
            <w:hideMark/>
          </w:tcPr>
          <w:p w14:paraId="2F44B0F8" w14:textId="77777777" w:rsidR="00D46033" w:rsidRPr="00C9343F" w:rsidRDefault="00D46033" w:rsidP="00445FEB">
            <w:pPr>
              <w:pStyle w:val="Sectiontext0"/>
              <w:spacing w:line="276" w:lineRule="auto"/>
              <w:rPr>
                <w:rFonts w:cs="Arial"/>
                <w:lang w:eastAsia="en-US"/>
              </w:rPr>
            </w:pPr>
            <w:r w:rsidRPr="00C9343F">
              <w:rPr>
                <w:rFonts w:cs="Arial"/>
                <w:b/>
                <w:lang w:eastAsia="en-US"/>
              </w:rPr>
              <w:t>APS amount</w:t>
            </w:r>
            <w:r w:rsidRPr="00C9343F">
              <w:rPr>
                <w:rFonts w:cs="Arial"/>
                <w:lang w:eastAsia="en-US"/>
              </w:rPr>
              <w:t xml:space="preserve"> means the sum of the amounts of salary and allowance instead of overtime that the member would be eligible for in the APS position.</w:t>
            </w:r>
          </w:p>
          <w:p w14:paraId="7945DA3B" w14:textId="77777777" w:rsidR="00D46033" w:rsidRPr="00C9343F" w:rsidRDefault="00D46033" w:rsidP="00445FEB">
            <w:pPr>
              <w:pStyle w:val="Sectiontext0"/>
              <w:spacing w:line="276" w:lineRule="auto"/>
              <w:rPr>
                <w:rFonts w:cs="Arial"/>
                <w:lang w:eastAsia="en-US"/>
              </w:rPr>
            </w:pPr>
            <w:r w:rsidRPr="00C9343F">
              <w:rPr>
                <w:rFonts w:cs="Arial"/>
                <w:b/>
                <w:lang w:eastAsia="en-US"/>
              </w:rPr>
              <w:t xml:space="preserve">Note: </w:t>
            </w:r>
            <w:r w:rsidRPr="00C9343F">
              <w:rPr>
                <w:rFonts w:cs="Arial"/>
                <w:lang w:eastAsia="en-US"/>
              </w:rPr>
              <w:t xml:space="preserve"> If the member is not an APS employee, this amount will always be zero. </w:t>
            </w:r>
          </w:p>
        </w:tc>
      </w:tr>
    </w:tbl>
    <w:p w14:paraId="0DD49EA8" w14:textId="55951D44" w:rsidR="006D1E1C" w:rsidRPr="00C9343F" w:rsidRDefault="006D1E1C" w:rsidP="00F66D98">
      <w:pPr>
        <w:pStyle w:val="Heading5"/>
      </w:pPr>
      <w:bookmarkStart w:id="898" w:name="_Toc105053845"/>
      <w:r w:rsidRPr="00C9343F">
        <w:t>4.4.39</w:t>
      </w:r>
      <w:r w:rsidR="00D94006" w:rsidRPr="00C9343F">
        <w:t>    </w:t>
      </w:r>
      <w:r w:rsidRPr="00C9343F">
        <w:t>Member this Division applies to</w:t>
      </w:r>
      <w:bookmarkEnd w:id="898"/>
    </w:p>
    <w:bookmarkEnd w:id="888"/>
    <w:bookmarkEnd w:id="889"/>
    <w:bookmarkEnd w:id="890"/>
    <w:bookmarkEnd w:id="891"/>
    <w:bookmarkEnd w:id="892"/>
    <w:bookmarkEnd w:id="893"/>
    <w:bookmarkEnd w:id="894"/>
    <w:bookmarkEnd w:id="895"/>
    <w:bookmarkEnd w:id="896"/>
    <w:bookmarkEnd w:id="897"/>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52F7CF34" w14:textId="77777777" w:rsidTr="006D1E1C">
        <w:tc>
          <w:tcPr>
            <w:tcW w:w="992" w:type="dxa"/>
          </w:tcPr>
          <w:p w14:paraId="30D739FF" w14:textId="77777777" w:rsidR="006D1E1C" w:rsidRPr="00C9343F" w:rsidRDefault="006D1E1C" w:rsidP="00F66D98">
            <w:pPr>
              <w:pStyle w:val="BlockText-PlainNoSpacing"/>
              <w:jc w:val="center"/>
            </w:pPr>
          </w:p>
        </w:tc>
        <w:tc>
          <w:tcPr>
            <w:tcW w:w="8363" w:type="dxa"/>
            <w:gridSpan w:val="2"/>
          </w:tcPr>
          <w:p w14:paraId="4BD8B07F" w14:textId="77777777" w:rsidR="006D1E1C" w:rsidRPr="00C9343F" w:rsidRDefault="006D1E1C" w:rsidP="00F66D98">
            <w:pPr>
              <w:pStyle w:val="BlockText-Plain"/>
            </w:pPr>
            <w:r w:rsidRPr="00C9343F">
              <w:t xml:space="preserve">This Division applies to a member who meets all these conditions. </w:t>
            </w:r>
          </w:p>
        </w:tc>
      </w:tr>
      <w:tr w:rsidR="006D1E1C" w:rsidRPr="00C9343F" w14:paraId="49233125" w14:textId="77777777" w:rsidTr="006D1E1C">
        <w:trPr>
          <w:cantSplit/>
        </w:trPr>
        <w:tc>
          <w:tcPr>
            <w:tcW w:w="992" w:type="dxa"/>
          </w:tcPr>
          <w:p w14:paraId="07D4DA48" w14:textId="77777777" w:rsidR="006D1E1C" w:rsidRPr="00C9343F" w:rsidRDefault="006D1E1C" w:rsidP="00F66D98">
            <w:pPr>
              <w:pStyle w:val="BlockText-PlainNoSpacing"/>
            </w:pPr>
          </w:p>
        </w:tc>
        <w:tc>
          <w:tcPr>
            <w:tcW w:w="567" w:type="dxa"/>
          </w:tcPr>
          <w:p w14:paraId="0BC6AE36" w14:textId="77777777" w:rsidR="006D1E1C" w:rsidRPr="00C9343F" w:rsidRDefault="006D1E1C" w:rsidP="008D1B5D">
            <w:pPr>
              <w:pStyle w:val="BlockText-PlainNoSpacing"/>
              <w:jc w:val="center"/>
            </w:pPr>
            <w:r w:rsidRPr="00C9343F">
              <w:t>a.</w:t>
            </w:r>
          </w:p>
        </w:tc>
        <w:tc>
          <w:tcPr>
            <w:tcW w:w="7796" w:type="dxa"/>
          </w:tcPr>
          <w:p w14:paraId="60160DFB" w14:textId="77777777" w:rsidR="006D1E1C" w:rsidRPr="00C9343F" w:rsidRDefault="006D1E1C" w:rsidP="00F66D98">
            <w:pPr>
              <w:pStyle w:val="BlockText-Plain"/>
            </w:pPr>
            <w:r w:rsidRPr="00C9343F">
              <w:t>They are serving with an expedition in a voluntary capacity in an established APS position.</w:t>
            </w:r>
          </w:p>
        </w:tc>
      </w:tr>
      <w:tr w:rsidR="006D1E1C" w:rsidRPr="00C9343F" w14:paraId="758D8C21" w14:textId="77777777" w:rsidTr="006D1E1C">
        <w:trPr>
          <w:cantSplit/>
        </w:trPr>
        <w:tc>
          <w:tcPr>
            <w:tcW w:w="992" w:type="dxa"/>
          </w:tcPr>
          <w:p w14:paraId="662145E9" w14:textId="77777777" w:rsidR="006D1E1C" w:rsidRPr="00C9343F" w:rsidRDefault="006D1E1C" w:rsidP="00F66D98">
            <w:pPr>
              <w:pStyle w:val="BlockText-PlainNoSpacing"/>
            </w:pPr>
          </w:p>
        </w:tc>
        <w:tc>
          <w:tcPr>
            <w:tcW w:w="567" w:type="dxa"/>
          </w:tcPr>
          <w:p w14:paraId="2583E3F2" w14:textId="77777777" w:rsidR="006D1E1C" w:rsidRPr="00C9343F" w:rsidRDefault="006D1E1C" w:rsidP="008D1B5D">
            <w:pPr>
              <w:pStyle w:val="BlockText-PlainNoSpacing"/>
              <w:jc w:val="center"/>
            </w:pPr>
            <w:r w:rsidRPr="00C9343F">
              <w:t>b.</w:t>
            </w:r>
          </w:p>
        </w:tc>
        <w:tc>
          <w:tcPr>
            <w:tcW w:w="7796" w:type="dxa"/>
          </w:tcPr>
          <w:p w14:paraId="4FCC8EC2" w14:textId="77777777" w:rsidR="006D1E1C" w:rsidRPr="00C9343F" w:rsidRDefault="006D1E1C" w:rsidP="00F66D98">
            <w:pPr>
              <w:pStyle w:val="BlockText-Plain"/>
            </w:pPr>
            <w:r w:rsidRPr="00C9343F">
              <w:t>They are not entitled to the full APS salary and allowances that apply to the position.</w:t>
            </w:r>
          </w:p>
        </w:tc>
      </w:tr>
      <w:tr w:rsidR="006D1E1C" w:rsidRPr="00C9343F" w14:paraId="657EE90E" w14:textId="77777777" w:rsidTr="006D1E1C">
        <w:trPr>
          <w:cantSplit/>
        </w:trPr>
        <w:tc>
          <w:tcPr>
            <w:tcW w:w="992" w:type="dxa"/>
          </w:tcPr>
          <w:p w14:paraId="5245BE28" w14:textId="77777777" w:rsidR="006D1E1C" w:rsidRPr="00C9343F" w:rsidRDefault="006D1E1C" w:rsidP="00F66D98">
            <w:pPr>
              <w:pStyle w:val="BlockText-PlainNoSpacing"/>
            </w:pPr>
          </w:p>
        </w:tc>
        <w:tc>
          <w:tcPr>
            <w:tcW w:w="567" w:type="dxa"/>
          </w:tcPr>
          <w:p w14:paraId="589CDB39" w14:textId="77777777" w:rsidR="006D1E1C" w:rsidRPr="00C9343F" w:rsidRDefault="006D1E1C" w:rsidP="008D1B5D">
            <w:pPr>
              <w:pStyle w:val="BlockText-PlainNoSpacing"/>
              <w:jc w:val="center"/>
            </w:pPr>
            <w:r w:rsidRPr="00C9343F">
              <w:t>c.</w:t>
            </w:r>
          </w:p>
        </w:tc>
        <w:tc>
          <w:tcPr>
            <w:tcW w:w="7796" w:type="dxa"/>
          </w:tcPr>
          <w:p w14:paraId="1492F99E" w14:textId="77777777" w:rsidR="006D1E1C" w:rsidRPr="00C9343F" w:rsidRDefault="006D1E1C" w:rsidP="00F66D98">
            <w:pPr>
              <w:pStyle w:val="BlockText-Plain"/>
            </w:pPr>
            <w:r w:rsidRPr="00C9343F">
              <w:t>They are not posted to a ship or establishment.</w:t>
            </w:r>
          </w:p>
        </w:tc>
      </w:tr>
      <w:tr w:rsidR="006D1E1C" w:rsidRPr="00C9343F" w14:paraId="51C56909" w14:textId="77777777" w:rsidTr="006D1E1C">
        <w:trPr>
          <w:cantSplit/>
        </w:trPr>
        <w:tc>
          <w:tcPr>
            <w:tcW w:w="992" w:type="dxa"/>
          </w:tcPr>
          <w:p w14:paraId="50BFA2F0" w14:textId="77777777" w:rsidR="006D1E1C" w:rsidRPr="00C9343F" w:rsidRDefault="006D1E1C" w:rsidP="00F66D98">
            <w:pPr>
              <w:pStyle w:val="BlockText-PlainNoSpacing"/>
            </w:pPr>
          </w:p>
        </w:tc>
        <w:tc>
          <w:tcPr>
            <w:tcW w:w="567" w:type="dxa"/>
          </w:tcPr>
          <w:p w14:paraId="62DABDC2" w14:textId="77777777" w:rsidR="006D1E1C" w:rsidRPr="00C9343F" w:rsidRDefault="006D1E1C" w:rsidP="008D1B5D">
            <w:pPr>
              <w:pStyle w:val="BlockText-PlainNoSpacing"/>
              <w:jc w:val="center"/>
            </w:pPr>
            <w:r w:rsidRPr="00C9343F">
              <w:t>d.</w:t>
            </w:r>
          </w:p>
        </w:tc>
        <w:tc>
          <w:tcPr>
            <w:tcW w:w="7796" w:type="dxa"/>
          </w:tcPr>
          <w:p w14:paraId="7CAE9CE1" w14:textId="77777777" w:rsidR="006D1E1C" w:rsidRPr="00C9343F" w:rsidRDefault="006D1E1C" w:rsidP="00F66D98">
            <w:pPr>
              <w:pStyle w:val="BlockText-Plain"/>
            </w:pPr>
            <w:r w:rsidRPr="00C9343F">
              <w:t>They are not on leave without pay.</w:t>
            </w:r>
          </w:p>
        </w:tc>
      </w:tr>
    </w:tbl>
    <w:p w14:paraId="1D5B5D81" w14:textId="7040F526" w:rsidR="006D1E1C" w:rsidRPr="00C9343F" w:rsidRDefault="006D1E1C" w:rsidP="00F66D98">
      <w:pPr>
        <w:pStyle w:val="Heading5"/>
      </w:pPr>
      <w:bookmarkStart w:id="899" w:name="_Toc105053846"/>
      <w:bookmarkStart w:id="900" w:name="bk10723PM4855Entitlement"/>
      <w:bookmarkStart w:id="901" w:name="bk1635464861Entitlement"/>
      <w:bookmarkStart w:id="902" w:name="bk1637364861Entitlement"/>
      <w:bookmarkStart w:id="903" w:name="bk1107474857Entitlement"/>
      <w:bookmarkStart w:id="904" w:name="bk1223074855Entitlement"/>
      <w:bookmarkStart w:id="905" w:name="bk1326054855Entitlement"/>
      <w:bookmarkStart w:id="906" w:name="bk1528254656Entitlement"/>
      <w:bookmarkStart w:id="907" w:name="bk1151034656Entitlement"/>
      <w:bookmarkStart w:id="908" w:name="bk10724PM4855Periodofentitlement"/>
      <w:bookmarkStart w:id="909" w:name="bk1635464862Periodofentitlement"/>
      <w:bookmarkStart w:id="910" w:name="bk1637364862Periodofentitlement"/>
      <w:bookmarkStart w:id="911" w:name="bk85012PM4861Periodofentitlement"/>
      <w:bookmarkStart w:id="912" w:name="bk90049PM4861Entitlementperiod"/>
      <w:r w:rsidRPr="00C9343F">
        <w:t>4.4.40</w:t>
      </w:r>
      <w:r w:rsidR="00D94006" w:rsidRPr="00C9343F">
        <w:t>    </w:t>
      </w:r>
      <w:r w:rsidRPr="00C9343F">
        <w:t>Eligibility</w:t>
      </w:r>
      <w:bookmarkEnd w:id="899"/>
    </w:p>
    <w:bookmarkEnd w:id="900"/>
    <w:bookmarkEnd w:id="901"/>
    <w:bookmarkEnd w:id="902"/>
    <w:bookmarkEnd w:id="903"/>
    <w:bookmarkEnd w:id="904"/>
    <w:bookmarkEnd w:id="905"/>
    <w:bookmarkEnd w:id="906"/>
    <w:bookmarkEnd w:id="907"/>
    <w:tbl>
      <w:tblPr>
        <w:tblW w:w="0" w:type="auto"/>
        <w:tblInd w:w="113" w:type="dxa"/>
        <w:tblLayout w:type="fixed"/>
        <w:tblLook w:val="0000" w:firstRow="0" w:lastRow="0" w:firstColumn="0" w:lastColumn="0" w:noHBand="0" w:noVBand="0"/>
      </w:tblPr>
      <w:tblGrid>
        <w:gridCol w:w="992"/>
        <w:gridCol w:w="8363"/>
      </w:tblGrid>
      <w:tr w:rsidR="006D1E1C" w:rsidRPr="00C9343F" w14:paraId="225662C0" w14:textId="77777777" w:rsidTr="006D1E1C">
        <w:tc>
          <w:tcPr>
            <w:tcW w:w="992" w:type="dxa"/>
          </w:tcPr>
          <w:p w14:paraId="551EF288" w14:textId="77777777" w:rsidR="006D1E1C" w:rsidRPr="00C9343F" w:rsidRDefault="006D1E1C" w:rsidP="00F66D98">
            <w:pPr>
              <w:pStyle w:val="BlockText-PlainNoSpacing"/>
              <w:jc w:val="center"/>
            </w:pPr>
          </w:p>
        </w:tc>
        <w:tc>
          <w:tcPr>
            <w:tcW w:w="8363" w:type="dxa"/>
          </w:tcPr>
          <w:p w14:paraId="1F4B2EFD" w14:textId="77777777" w:rsidR="006D1E1C" w:rsidRPr="00C9343F" w:rsidRDefault="006D1E1C" w:rsidP="00F66D98">
            <w:pPr>
              <w:pStyle w:val="BlockText-Plain"/>
            </w:pPr>
            <w:r w:rsidRPr="00C9343F">
              <w:t xml:space="preserve">The member is eligible for an allowance in a pay period at a rate equal to the difference between the APS amount and the ADF amount. </w:t>
            </w:r>
          </w:p>
        </w:tc>
      </w:tr>
    </w:tbl>
    <w:p w14:paraId="6717141F" w14:textId="16902EA8" w:rsidR="006D1E1C" w:rsidRPr="00C9343F" w:rsidRDefault="006D1E1C" w:rsidP="00F66D98">
      <w:pPr>
        <w:pStyle w:val="Heading5"/>
      </w:pPr>
      <w:bookmarkStart w:id="913" w:name="_Toc105053847"/>
      <w:bookmarkStart w:id="914" w:name="bk1107474858Entitlementperiod"/>
      <w:bookmarkStart w:id="915" w:name="bk1223074856Entitlementperiod"/>
      <w:bookmarkStart w:id="916" w:name="bk1326054856Entitlementperiod"/>
      <w:bookmarkStart w:id="917" w:name="bk1528254657Entitlementperiod"/>
      <w:bookmarkStart w:id="918" w:name="bk1151034657Entitlementperiod"/>
      <w:r w:rsidRPr="00C9343F">
        <w:t>4.4.41</w:t>
      </w:r>
      <w:r w:rsidR="00D94006" w:rsidRPr="00C9343F">
        <w:t>    </w:t>
      </w:r>
      <w:r w:rsidRPr="00C9343F">
        <w:t>Period of eligibility</w:t>
      </w:r>
      <w:bookmarkEnd w:id="913"/>
    </w:p>
    <w:bookmarkEnd w:id="908"/>
    <w:bookmarkEnd w:id="909"/>
    <w:bookmarkEnd w:id="910"/>
    <w:bookmarkEnd w:id="911"/>
    <w:bookmarkEnd w:id="912"/>
    <w:bookmarkEnd w:id="914"/>
    <w:bookmarkEnd w:id="915"/>
    <w:bookmarkEnd w:id="916"/>
    <w:bookmarkEnd w:id="917"/>
    <w:bookmarkEnd w:id="918"/>
    <w:tbl>
      <w:tblPr>
        <w:tblW w:w="0" w:type="auto"/>
        <w:tblInd w:w="113" w:type="dxa"/>
        <w:tblLayout w:type="fixed"/>
        <w:tblLook w:val="0000" w:firstRow="0" w:lastRow="0" w:firstColumn="0" w:lastColumn="0" w:noHBand="0" w:noVBand="0"/>
      </w:tblPr>
      <w:tblGrid>
        <w:gridCol w:w="992"/>
        <w:gridCol w:w="8363"/>
      </w:tblGrid>
      <w:tr w:rsidR="006D1E1C" w:rsidRPr="00C9343F" w14:paraId="1907AE3E" w14:textId="77777777" w:rsidTr="006D1E1C">
        <w:tc>
          <w:tcPr>
            <w:tcW w:w="992" w:type="dxa"/>
          </w:tcPr>
          <w:p w14:paraId="7B6BE830" w14:textId="77777777" w:rsidR="006D1E1C" w:rsidRPr="00C9343F" w:rsidRDefault="006D1E1C" w:rsidP="00F66D98">
            <w:pPr>
              <w:pStyle w:val="BlockText-Plain"/>
              <w:jc w:val="center"/>
            </w:pPr>
          </w:p>
        </w:tc>
        <w:tc>
          <w:tcPr>
            <w:tcW w:w="8363" w:type="dxa"/>
          </w:tcPr>
          <w:p w14:paraId="75B76E19" w14:textId="77777777" w:rsidR="006D1E1C" w:rsidRPr="00C9343F" w:rsidRDefault="006D1E1C" w:rsidP="00F66D98">
            <w:pPr>
              <w:pStyle w:val="BlockText-Plain"/>
            </w:pPr>
            <w:r w:rsidRPr="00C9343F">
              <w:t>The period of eligibility to the allowance is the same as for Antarctic allowance under Division 6 section</w:t>
            </w:r>
            <w:r w:rsidRPr="00C9343F">
              <w:rPr>
                <w:color w:val="008000"/>
              </w:rPr>
              <w:t xml:space="preserve"> </w:t>
            </w:r>
            <w:r w:rsidRPr="00C9343F">
              <w:t>4.4.31 (but Division 5 section 4.4.35 does not apply).</w:t>
            </w:r>
          </w:p>
        </w:tc>
      </w:tr>
    </w:tbl>
    <w:p w14:paraId="56B44F6C" w14:textId="77777777" w:rsidR="006D1E1C" w:rsidRPr="00C9343F" w:rsidRDefault="006D1E1C" w:rsidP="00F66D98"/>
    <w:p w14:paraId="5E57C656" w14:textId="68C6AC2A" w:rsidR="006D1E1C" w:rsidRPr="00C9343F" w:rsidRDefault="006D1E1C" w:rsidP="00F11422">
      <w:pPr>
        <w:pStyle w:val="Heading4"/>
        <w:pageBreakBefore/>
      </w:pPr>
      <w:bookmarkStart w:id="919" w:name="_Toc105053848"/>
      <w:r w:rsidRPr="00C9343F">
        <w:t>Annex 4.4.A: Remote locations for ADF district allowance</w:t>
      </w:r>
      <w:bookmarkEnd w:id="919"/>
    </w:p>
    <w:tbl>
      <w:tblPr>
        <w:tblW w:w="9355" w:type="dxa"/>
        <w:tblInd w:w="113" w:type="dxa"/>
        <w:tblLayout w:type="fixed"/>
        <w:tblLook w:val="0000" w:firstRow="0" w:lastRow="0" w:firstColumn="0" w:lastColumn="0" w:noHBand="0" w:noVBand="0"/>
      </w:tblPr>
      <w:tblGrid>
        <w:gridCol w:w="992"/>
        <w:gridCol w:w="8363"/>
      </w:tblGrid>
      <w:tr w:rsidR="006D1E1C" w:rsidRPr="00C9343F" w14:paraId="5293C0C3" w14:textId="77777777" w:rsidTr="00BB747F">
        <w:tc>
          <w:tcPr>
            <w:tcW w:w="992" w:type="dxa"/>
          </w:tcPr>
          <w:p w14:paraId="636CE9D0" w14:textId="77777777" w:rsidR="006D1E1C" w:rsidRPr="00C9343F" w:rsidRDefault="006D1E1C" w:rsidP="00F66D98">
            <w:pPr>
              <w:pStyle w:val="BlockText-PlainNoSpacing"/>
            </w:pPr>
          </w:p>
        </w:tc>
        <w:tc>
          <w:tcPr>
            <w:tcW w:w="8363" w:type="dxa"/>
          </w:tcPr>
          <w:p w14:paraId="6452ABC0" w14:textId="77777777" w:rsidR="006D1E1C" w:rsidRPr="00C9343F" w:rsidRDefault="006D1E1C" w:rsidP="00F66D98">
            <w:pPr>
              <w:pStyle w:val="BlockText-PlainNoSpacing"/>
              <w:spacing w:after="200"/>
            </w:pPr>
            <w:r w:rsidRPr="00C9343F">
              <w:t>This table sets out the grades of ADF district allowance at remote locations.</w:t>
            </w:r>
          </w:p>
        </w:tc>
      </w:tr>
    </w:tbl>
    <w:p w14:paraId="0956D4C8" w14:textId="77777777" w:rsidR="006D1E1C" w:rsidRPr="00C9343F" w:rsidRDefault="006D1E1C" w:rsidP="00F66D98">
      <w:pPr>
        <w:pStyle w:val="BlockText-PlainNoSpacing"/>
      </w:pPr>
    </w:p>
    <w:tbl>
      <w:tblPr>
        <w:tblW w:w="0" w:type="auto"/>
        <w:tblInd w:w="1049" w:type="dxa"/>
        <w:tblLayout w:type="fixed"/>
        <w:tblCellMar>
          <w:left w:w="56" w:type="dxa"/>
          <w:right w:w="56" w:type="dxa"/>
        </w:tblCellMar>
        <w:tblLook w:val="0000" w:firstRow="0" w:lastRow="0" w:firstColumn="0" w:lastColumn="0" w:noHBand="0" w:noVBand="0"/>
      </w:tblPr>
      <w:tblGrid>
        <w:gridCol w:w="3543"/>
        <w:gridCol w:w="2693"/>
      </w:tblGrid>
      <w:tr w:rsidR="006D1E1C" w:rsidRPr="00C9343F" w14:paraId="033A0EAE" w14:textId="77777777" w:rsidTr="006D1E1C">
        <w:trPr>
          <w:cantSplit/>
        </w:trPr>
        <w:tc>
          <w:tcPr>
            <w:tcW w:w="3543" w:type="dxa"/>
            <w:tcBorders>
              <w:top w:val="single" w:sz="6" w:space="0" w:color="auto"/>
              <w:left w:val="single" w:sz="6" w:space="0" w:color="auto"/>
              <w:right w:val="single" w:sz="6" w:space="0" w:color="auto"/>
            </w:tcBorders>
          </w:tcPr>
          <w:p w14:paraId="632DAB43" w14:textId="77777777" w:rsidR="006D1E1C" w:rsidRPr="00C9343F" w:rsidRDefault="006D1E1C" w:rsidP="00F66D98">
            <w:pPr>
              <w:pStyle w:val="TableHeaderArial"/>
            </w:pPr>
            <w:r w:rsidRPr="00C9343F">
              <w:t>Remote location</w:t>
            </w:r>
          </w:p>
        </w:tc>
        <w:tc>
          <w:tcPr>
            <w:tcW w:w="2693" w:type="dxa"/>
            <w:tcBorders>
              <w:top w:val="single" w:sz="6" w:space="0" w:color="auto"/>
              <w:left w:val="single" w:sz="6" w:space="0" w:color="auto"/>
              <w:right w:val="single" w:sz="6" w:space="0" w:color="auto"/>
            </w:tcBorders>
          </w:tcPr>
          <w:p w14:paraId="6A10026D" w14:textId="77777777" w:rsidR="006D1E1C" w:rsidRPr="00C9343F" w:rsidRDefault="006D1E1C" w:rsidP="00F66D98">
            <w:pPr>
              <w:pStyle w:val="TableHeaderArial"/>
            </w:pPr>
            <w:r w:rsidRPr="00C9343F">
              <w:t>Grade</w:t>
            </w:r>
          </w:p>
        </w:tc>
      </w:tr>
      <w:tr w:rsidR="006D1E1C" w:rsidRPr="00C9343F" w14:paraId="10E8197A" w14:textId="77777777" w:rsidTr="006D1E1C">
        <w:trPr>
          <w:cantSplit/>
        </w:trPr>
        <w:tc>
          <w:tcPr>
            <w:tcW w:w="6236" w:type="dxa"/>
            <w:gridSpan w:val="2"/>
            <w:tcBorders>
              <w:top w:val="single" w:sz="6" w:space="0" w:color="auto"/>
              <w:left w:val="single" w:sz="6" w:space="0" w:color="auto"/>
              <w:bottom w:val="single" w:sz="6" w:space="0" w:color="auto"/>
              <w:right w:val="single" w:sz="6" w:space="0" w:color="auto"/>
            </w:tcBorders>
            <w:shd w:val="pct15" w:color="000000" w:fill="FFFFFF"/>
          </w:tcPr>
          <w:p w14:paraId="6551DF15" w14:textId="77777777" w:rsidR="006D1E1C" w:rsidRPr="00C9343F" w:rsidRDefault="006D1E1C" w:rsidP="00F66D98">
            <w:pPr>
              <w:pStyle w:val="TableTextArial-left"/>
              <w:rPr>
                <w:i/>
              </w:rPr>
            </w:pPr>
            <w:r w:rsidRPr="00C9343F">
              <w:rPr>
                <w:i/>
              </w:rPr>
              <w:t>New South Wales</w:t>
            </w:r>
          </w:p>
        </w:tc>
      </w:tr>
      <w:tr w:rsidR="006D1E1C" w:rsidRPr="00C9343F" w14:paraId="488032A0"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3261691" w14:textId="77777777" w:rsidR="006D1E1C" w:rsidRPr="00C9343F" w:rsidRDefault="006D1E1C" w:rsidP="00F66D98">
            <w:pPr>
              <w:pStyle w:val="TableTextArial-left"/>
            </w:pPr>
            <w:r w:rsidRPr="00C9343F">
              <w:rPr>
                <w:snapToGrid w:val="0"/>
              </w:rPr>
              <w:t>Bogan Gate</w:t>
            </w:r>
          </w:p>
        </w:tc>
        <w:tc>
          <w:tcPr>
            <w:tcW w:w="2693" w:type="dxa"/>
            <w:tcBorders>
              <w:top w:val="single" w:sz="6" w:space="0" w:color="auto"/>
              <w:left w:val="single" w:sz="6" w:space="0" w:color="auto"/>
              <w:bottom w:val="single" w:sz="6" w:space="0" w:color="auto"/>
              <w:right w:val="single" w:sz="6" w:space="0" w:color="auto"/>
            </w:tcBorders>
          </w:tcPr>
          <w:p w14:paraId="573C89D2" w14:textId="77777777" w:rsidR="006D1E1C" w:rsidRPr="00C9343F" w:rsidRDefault="006D1E1C" w:rsidP="00F66D98">
            <w:pPr>
              <w:pStyle w:val="TableTextArial-left"/>
              <w:jc w:val="center"/>
            </w:pPr>
            <w:r w:rsidRPr="00C9343F">
              <w:t>A</w:t>
            </w:r>
          </w:p>
        </w:tc>
      </w:tr>
      <w:tr w:rsidR="006D1E1C" w:rsidRPr="00C9343F" w14:paraId="295971A9" w14:textId="77777777" w:rsidTr="006D1E1C">
        <w:trPr>
          <w:cantSplit/>
        </w:trPr>
        <w:tc>
          <w:tcPr>
            <w:tcW w:w="3543" w:type="dxa"/>
            <w:tcBorders>
              <w:top w:val="single" w:sz="6" w:space="0" w:color="auto"/>
              <w:left w:val="single" w:sz="6" w:space="0" w:color="auto"/>
              <w:right w:val="single" w:sz="6" w:space="0" w:color="auto"/>
            </w:tcBorders>
          </w:tcPr>
          <w:p w14:paraId="79230F32" w14:textId="77777777" w:rsidR="006D1E1C" w:rsidRPr="00C9343F" w:rsidRDefault="006D1E1C" w:rsidP="00F66D98">
            <w:pPr>
              <w:pStyle w:val="TableTextArial-left"/>
            </w:pPr>
            <w:r w:rsidRPr="00C9343F">
              <w:rPr>
                <w:snapToGrid w:val="0"/>
              </w:rPr>
              <w:t>Broken Hill</w:t>
            </w:r>
          </w:p>
        </w:tc>
        <w:tc>
          <w:tcPr>
            <w:tcW w:w="2693" w:type="dxa"/>
            <w:tcBorders>
              <w:top w:val="single" w:sz="6" w:space="0" w:color="auto"/>
              <w:left w:val="single" w:sz="6" w:space="0" w:color="auto"/>
              <w:right w:val="single" w:sz="6" w:space="0" w:color="auto"/>
            </w:tcBorders>
          </w:tcPr>
          <w:p w14:paraId="510AE0A8" w14:textId="77777777" w:rsidR="006D1E1C" w:rsidRPr="00C9343F" w:rsidRDefault="006D1E1C" w:rsidP="00F66D98">
            <w:pPr>
              <w:pStyle w:val="TableTextArial-left"/>
              <w:jc w:val="center"/>
            </w:pPr>
            <w:r w:rsidRPr="00C9343F">
              <w:t>A</w:t>
            </w:r>
          </w:p>
        </w:tc>
      </w:tr>
      <w:tr w:rsidR="006D1E1C" w:rsidRPr="00C9343F" w14:paraId="70F58537" w14:textId="77777777" w:rsidTr="006D1E1C">
        <w:trPr>
          <w:cantSplit/>
        </w:trPr>
        <w:tc>
          <w:tcPr>
            <w:tcW w:w="6236" w:type="dxa"/>
            <w:gridSpan w:val="2"/>
            <w:tcBorders>
              <w:top w:val="single" w:sz="6" w:space="0" w:color="auto"/>
              <w:left w:val="single" w:sz="6" w:space="0" w:color="auto"/>
              <w:bottom w:val="single" w:sz="6" w:space="0" w:color="auto"/>
              <w:right w:val="single" w:sz="6" w:space="0" w:color="auto"/>
            </w:tcBorders>
            <w:shd w:val="pct15" w:color="000000" w:fill="FFFFFF"/>
          </w:tcPr>
          <w:p w14:paraId="676A380F" w14:textId="77777777" w:rsidR="006D1E1C" w:rsidRPr="00C9343F" w:rsidRDefault="006D1E1C" w:rsidP="00F66D98">
            <w:pPr>
              <w:pStyle w:val="TableTextArial-left"/>
              <w:rPr>
                <w:i/>
              </w:rPr>
            </w:pPr>
            <w:r w:rsidRPr="00C9343F">
              <w:rPr>
                <w:i/>
              </w:rPr>
              <w:t>Northern Territory</w:t>
            </w:r>
          </w:p>
        </w:tc>
      </w:tr>
      <w:tr w:rsidR="006D1E1C" w:rsidRPr="00C9343F" w14:paraId="10C397FC"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16049328" w14:textId="77777777" w:rsidR="006D1E1C" w:rsidRPr="00C9343F" w:rsidRDefault="006D1E1C" w:rsidP="00F66D98">
            <w:pPr>
              <w:pStyle w:val="TableTextArial-left"/>
            </w:pPr>
            <w:r w:rsidRPr="00C9343F">
              <w:t>Alice Springs</w:t>
            </w:r>
          </w:p>
        </w:tc>
        <w:tc>
          <w:tcPr>
            <w:tcW w:w="2693" w:type="dxa"/>
            <w:tcBorders>
              <w:top w:val="single" w:sz="6" w:space="0" w:color="auto"/>
              <w:left w:val="single" w:sz="6" w:space="0" w:color="auto"/>
              <w:bottom w:val="single" w:sz="6" w:space="0" w:color="auto"/>
              <w:right w:val="single" w:sz="6" w:space="0" w:color="auto"/>
            </w:tcBorders>
          </w:tcPr>
          <w:p w14:paraId="488E28E4" w14:textId="77777777" w:rsidR="006D1E1C" w:rsidRPr="00C9343F" w:rsidRDefault="006D1E1C" w:rsidP="00F66D98">
            <w:pPr>
              <w:pStyle w:val="TableTextArial-left"/>
              <w:jc w:val="center"/>
            </w:pPr>
            <w:r w:rsidRPr="00C9343F">
              <w:t>C</w:t>
            </w:r>
          </w:p>
        </w:tc>
      </w:tr>
      <w:tr w:rsidR="006D1E1C" w:rsidRPr="00C9343F" w14:paraId="56D8E18F"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AAA5A44" w14:textId="77777777" w:rsidR="006D1E1C" w:rsidRPr="00C9343F" w:rsidRDefault="006D1E1C" w:rsidP="00F66D98">
            <w:pPr>
              <w:pStyle w:val="TableTextArial-left"/>
            </w:pPr>
            <w:r w:rsidRPr="00C9343F">
              <w:t>Darwin</w:t>
            </w:r>
          </w:p>
        </w:tc>
        <w:tc>
          <w:tcPr>
            <w:tcW w:w="2693" w:type="dxa"/>
            <w:tcBorders>
              <w:top w:val="single" w:sz="6" w:space="0" w:color="auto"/>
              <w:left w:val="single" w:sz="6" w:space="0" w:color="auto"/>
              <w:bottom w:val="single" w:sz="6" w:space="0" w:color="auto"/>
              <w:right w:val="single" w:sz="6" w:space="0" w:color="auto"/>
            </w:tcBorders>
          </w:tcPr>
          <w:p w14:paraId="3455B3A0" w14:textId="77777777" w:rsidR="006D1E1C" w:rsidRPr="00C9343F" w:rsidRDefault="006D1E1C" w:rsidP="00F66D98">
            <w:pPr>
              <w:pStyle w:val="TableTextArial-left"/>
              <w:jc w:val="center"/>
            </w:pPr>
            <w:r w:rsidRPr="00C9343F">
              <w:t>B</w:t>
            </w:r>
          </w:p>
        </w:tc>
      </w:tr>
      <w:tr w:rsidR="006D1E1C" w:rsidRPr="00C9343F" w14:paraId="234B0C45"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5951FC05" w14:textId="77777777" w:rsidR="006D1E1C" w:rsidRPr="00C9343F" w:rsidRDefault="006D1E1C" w:rsidP="00F66D98">
            <w:pPr>
              <w:pStyle w:val="TableTextArial-left"/>
            </w:pPr>
            <w:r w:rsidRPr="00C9343F">
              <w:t>Jabiru</w:t>
            </w:r>
          </w:p>
        </w:tc>
        <w:tc>
          <w:tcPr>
            <w:tcW w:w="2693" w:type="dxa"/>
            <w:tcBorders>
              <w:top w:val="single" w:sz="6" w:space="0" w:color="auto"/>
              <w:left w:val="single" w:sz="6" w:space="0" w:color="auto"/>
              <w:bottom w:val="single" w:sz="6" w:space="0" w:color="auto"/>
              <w:right w:val="single" w:sz="6" w:space="0" w:color="auto"/>
            </w:tcBorders>
          </w:tcPr>
          <w:p w14:paraId="393E3A30" w14:textId="77777777" w:rsidR="006D1E1C" w:rsidRPr="00C9343F" w:rsidRDefault="006D1E1C" w:rsidP="00F66D98">
            <w:pPr>
              <w:pStyle w:val="TableTextArial-left"/>
              <w:jc w:val="center"/>
            </w:pPr>
            <w:r w:rsidRPr="00C9343F">
              <w:t>E</w:t>
            </w:r>
          </w:p>
        </w:tc>
      </w:tr>
      <w:tr w:rsidR="006D1E1C" w:rsidRPr="00C9343F" w14:paraId="3E5E27F6"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11227BD3" w14:textId="77777777" w:rsidR="006D1E1C" w:rsidRPr="00C9343F" w:rsidRDefault="006D1E1C" w:rsidP="00F66D98">
            <w:pPr>
              <w:pStyle w:val="TableTextArial-left"/>
            </w:pPr>
            <w:r w:rsidRPr="00C9343F">
              <w:t>Katherine</w:t>
            </w:r>
          </w:p>
        </w:tc>
        <w:tc>
          <w:tcPr>
            <w:tcW w:w="2693" w:type="dxa"/>
            <w:tcBorders>
              <w:top w:val="single" w:sz="6" w:space="0" w:color="auto"/>
              <w:left w:val="single" w:sz="6" w:space="0" w:color="auto"/>
              <w:bottom w:val="single" w:sz="6" w:space="0" w:color="auto"/>
              <w:right w:val="single" w:sz="6" w:space="0" w:color="auto"/>
            </w:tcBorders>
          </w:tcPr>
          <w:p w14:paraId="72F50F70" w14:textId="77777777" w:rsidR="006D1E1C" w:rsidRPr="00C9343F" w:rsidRDefault="006D1E1C" w:rsidP="00F66D98">
            <w:pPr>
              <w:pStyle w:val="TableTextArial-left"/>
              <w:jc w:val="center"/>
            </w:pPr>
            <w:r w:rsidRPr="00C9343F">
              <w:t>D</w:t>
            </w:r>
          </w:p>
        </w:tc>
      </w:tr>
      <w:tr w:rsidR="006D1E1C" w:rsidRPr="00C9343F" w14:paraId="3AB59B02"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D2FCDFA" w14:textId="77777777" w:rsidR="006D1E1C" w:rsidRPr="00C9343F" w:rsidRDefault="006D1E1C" w:rsidP="00F66D98">
            <w:pPr>
              <w:pStyle w:val="TableTextArial-left"/>
            </w:pPr>
            <w:r w:rsidRPr="00C9343F">
              <w:t>Nhulunbuy</w:t>
            </w:r>
          </w:p>
        </w:tc>
        <w:tc>
          <w:tcPr>
            <w:tcW w:w="2693" w:type="dxa"/>
            <w:tcBorders>
              <w:top w:val="single" w:sz="6" w:space="0" w:color="auto"/>
              <w:left w:val="single" w:sz="6" w:space="0" w:color="auto"/>
              <w:bottom w:val="single" w:sz="6" w:space="0" w:color="auto"/>
              <w:right w:val="single" w:sz="6" w:space="0" w:color="auto"/>
            </w:tcBorders>
          </w:tcPr>
          <w:p w14:paraId="6DFDBFD7" w14:textId="77777777" w:rsidR="006D1E1C" w:rsidRPr="00C9343F" w:rsidRDefault="006D1E1C" w:rsidP="00F66D98">
            <w:pPr>
              <w:pStyle w:val="TableTextArial-left"/>
              <w:jc w:val="center"/>
            </w:pPr>
            <w:r w:rsidRPr="00C9343F">
              <w:t>E</w:t>
            </w:r>
          </w:p>
        </w:tc>
      </w:tr>
      <w:tr w:rsidR="006D1E1C" w:rsidRPr="00C9343F" w14:paraId="74412538"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640877F6" w14:textId="77777777" w:rsidR="006D1E1C" w:rsidRPr="00C9343F" w:rsidRDefault="006D1E1C" w:rsidP="00F66D98">
            <w:pPr>
              <w:pStyle w:val="TableTextArial-left"/>
            </w:pPr>
            <w:r w:rsidRPr="00C9343F">
              <w:t>Tennant Creek</w:t>
            </w:r>
          </w:p>
        </w:tc>
        <w:tc>
          <w:tcPr>
            <w:tcW w:w="2693" w:type="dxa"/>
            <w:tcBorders>
              <w:top w:val="single" w:sz="6" w:space="0" w:color="auto"/>
              <w:left w:val="single" w:sz="6" w:space="0" w:color="auto"/>
              <w:bottom w:val="single" w:sz="6" w:space="0" w:color="auto"/>
              <w:right w:val="single" w:sz="6" w:space="0" w:color="auto"/>
            </w:tcBorders>
          </w:tcPr>
          <w:p w14:paraId="33EF0936" w14:textId="77777777" w:rsidR="006D1E1C" w:rsidRPr="00C9343F" w:rsidRDefault="006D1E1C" w:rsidP="00F66D98">
            <w:pPr>
              <w:pStyle w:val="TableTextArial-left"/>
              <w:jc w:val="center"/>
            </w:pPr>
            <w:r w:rsidRPr="00C9343F">
              <w:t>E</w:t>
            </w:r>
          </w:p>
        </w:tc>
      </w:tr>
      <w:tr w:rsidR="006D1E1C" w:rsidRPr="00C9343F" w14:paraId="75DDA540"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023DD5ED" w14:textId="77777777" w:rsidR="006D1E1C" w:rsidRPr="00C9343F" w:rsidRDefault="006D1E1C" w:rsidP="00F66D98">
            <w:pPr>
              <w:pStyle w:val="TableTextArial-left"/>
            </w:pPr>
            <w:r w:rsidRPr="00C9343F">
              <w:t>Tindal</w:t>
            </w:r>
          </w:p>
        </w:tc>
        <w:tc>
          <w:tcPr>
            <w:tcW w:w="2693" w:type="dxa"/>
            <w:tcBorders>
              <w:top w:val="single" w:sz="6" w:space="0" w:color="auto"/>
              <w:left w:val="single" w:sz="6" w:space="0" w:color="auto"/>
              <w:bottom w:val="single" w:sz="6" w:space="0" w:color="auto"/>
              <w:right w:val="single" w:sz="6" w:space="0" w:color="auto"/>
            </w:tcBorders>
          </w:tcPr>
          <w:p w14:paraId="19448CE3" w14:textId="77777777" w:rsidR="006D1E1C" w:rsidRPr="00C9343F" w:rsidRDefault="006D1E1C" w:rsidP="00F66D98">
            <w:pPr>
              <w:pStyle w:val="TableTextArial-left"/>
              <w:jc w:val="center"/>
            </w:pPr>
            <w:r w:rsidRPr="00C9343F">
              <w:t>D</w:t>
            </w:r>
          </w:p>
        </w:tc>
      </w:tr>
      <w:tr w:rsidR="006D1E1C" w:rsidRPr="00C9343F" w14:paraId="11D1A724" w14:textId="77777777" w:rsidTr="006D1E1C">
        <w:trPr>
          <w:cantSplit/>
        </w:trPr>
        <w:tc>
          <w:tcPr>
            <w:tcW w:w="6236" w:type="dxa"/>
            <w:gridSpan w:val="2"/>
            <w:tcBorders>
              <w:top w:val="single" w:sz="6" w:space="0" w:color="auto"/>
              <w:left w:val="single" w:sz="6" w:space="0" w:color="auto"/>
              <w:bottom w:val="single" w:sz="6" w:space="0" w:color="auto"/>
              <w:right w:val="single" w:sz="6" w:space="0" w:color="auto"/>
            </w:tcBorders>
            <w:shd w:val="pct15" w:color="000000" w:fill="FFFFFF"/>
          </w:tcPr>
          <w:p w14:paraId="53196F5A" w14:textId="77777777" w:rsidR="006D1E1C" w:rsidRPr="00C9343F" w:rsidRDefault="006D1E1C" w:rsidP="00F66D98">
            <w:pPr>
              <w:pStyle w:val="TableTextArial-left"/>
              <w:rPr>
                <w:i/>
              </w:rPr>
            </w:pPr>
            <w:r w:rsidRPr="00C9343F">
              <w:rPr>
                <w:i/>
              </w:rPr>
              <w:t>Queensland</w:t>
            </w:r>
          </w:p>
        </w:tc>
      </w:tr>
      <w:tr w:rsidR="006D1E1C" w:rsidRPr="00C9343F" w14:paraId="3A198CCA"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305C295" w14:textId="77777777" w:rsidR="006D1E1C" w:rsidRPr="00C9343F" w:rsidRDefault="006D1E1C" w:rsidP="00F66D98">
            <w:pPr>
              <w:pStyle w:val="TableTextArial-left"/>
            </w:pPr>
            <w:r w:rsidRPr="00C9343F">
              <w:t>Atherton</w:t>
            </w:r>
          </w:p>
        </w:tc>
        <w:tc>
          <w:tcPr>
            <w:tcW w:w="2693" w:type="dxa"/>
            <w:tcBorders>
              <w:top w:val="single" w:sz="6" w:space="0" w:color="auto"/>
              <w:left w:val="single" w:sz="6" w:space="0" w:color="auto"/>
              <w:bottom w:val="single" w:sz="6" w:space="0" w:color="auto"/>
              <w:right w:val="single" w:sz="6" w:space="0" w:color="auto"/>
            </w:tcBorders>
          </w:tcPr>
          <w:p w14:paraId="7F0691EF" w14:textId="77777777" w:rsidR="006D1E1C" w:rsidRPr="00C9343F" w:rsidRDefault="006D1E1C" w:rsidP="00F66D98">
            <w:pPr>
              <w:pStyle w:val="TableTextArial-left"/>
              <w:jc w:val="center"/>
            </w:pPr>
            <w:r w:rsidRPr="00C9343F">
              <w:t>A</w:t>
            </w:r>
          </w:p>
        </w:tc>
      </w:tr>
      <w:tr w:rsidR="006D1E1C" w:rsidRPr="00C9343F" w14:paraId="20A0E1AF"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013AEABE" w14:textId="77777777" w:rsidR="006D1E1C" w:rsidRPr="00C9343F" w:rsidRDefault="006D1E1C" w:rsidP="00F66D98">
            <w:pPr>
              <w:pStyle w:val="TableTextArial-left"/>
            </w:pPr>
            <w:r w:rsidRPr="00C9343F">
              <w:t>Ayr</w:t>
            </w:r>
          </w:p>
        </w:tc>
        <w:tc>
          <w:tcPr>
            <w:tcW w:w="2693" w:type="dxa"/>
            <w:tcBorders>
              <w:top w:val="single" w:sz="6" w:space="0" w:color="auto"/>
              <w:left w:val="single" w:sz="6" w:space="0" w:color="auto"/>
              <w:bottom w:val="single" w:sz="6" w:space="0" w:color="auto"/>
              <w:right w:val="single" w:sz="6" w:space="0" w:color="auto"/>
            </w:tcBorders>
          </w:tcPr>
          <w:p w14:paraId="4C4C27D5" w14:textId="77777777" w:rsidR="006D1E1C" w:rsidRPr="00C9343F" w:rsidRDefault="006D1E1C" w:rsidP="00F66D98">
            <w:pPr>
              <w:pStyle w:val="TableTextArial-left"/>
              <w:jc w:val="center"/>
            </w:pPr>
            <w:r w:rsidRPr="00C9343F">
              <w:t>A</w:t>
            </w:r>
          </w:p>
        </w:tc>
      </w:tr>
      <w:tr w:rsidR="006D1E1C" w:rsidRPr="00C9343F" w14:paraId="3B662EA1"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56FECA91" w14:textId="77777777" w:rsidR="006D1E1C" w:rsidRPr="00C9343F" w:rsidRDefault="006D1E1C" w:rsidP="00F66D98">
            <w:pPr>
              <w:pStyle w:val="TableTextArial-left"/>
            </w:pPr>
            <w:r w:rsidRPr="00C9343F">
              <w:t>Bowen</w:t>
            </w:r>
          </w:p>
        </w:tc>
        <w:tc>
          <w:tcPr>
            <w:tcW w:w="2693" w:type="dxa"/>
            <w:tcBorders>
              <w:top w:val="single" w:sz="6" w:space="0" w:color="auto"/>
              <w:left w:val="single" w:sz="6" w:space="0" w:color="auto"/>
              <w:bottom w:val="single" w:sz="6" w:space="0" w:color="auto"/>
              <w:right w:val="single" w:sz="6" w:space="0" w:color="auto"/>
            </w:tcBorders>
          </w:tcPr>
          <w:p w14:paraId="07AE0E45" w14:textId="77777777" w:rsidR="006D1E1C" w:rsidRPr="00C9343F" w:rsidRDefault="006D1E1C" w:rsidP="00F66D98">
            <w:pPr>
              <w:pStyle w:val="TableTextArial-left"/>
              <w:jc w:val="center"/>
            </w:pPr>
            <w:r w:rsidRPr="00C9343F">
              <w:t>A</w:t>
            </w:r>
          </w:p>
        </w:tc>
      </w:tr>
      <w:tr w:rsidR="006D1E1C" w:rsidRPr="00C9343F" w14:paraId="0B345C70"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5A17ADDA" w14:textId="77777777" w:rsidR="006D1E1C" w:rsidRPr="00C9343F" w:rsidRDefault="006D1E1C" w:rsidP="00F66D98">
            <w:pPr>
              <w:pStyle w:val="TableTextArial-left"/>
            </w:pPr>
            <w:r w:rsidRPr="00C9343F">
              <w:t>Cairns</w:t>
            </w:r>
          </w:p>
        </w:tc>
        <w:tc>
          <w:tcPr>
            <w:tcW w:w="2693" w:type="dxa"/>
            <w:tcBorders>
              <w:top w:val="single" w:sz="6" w:space="0" w:color="auto"/>
              <w:left w:val="single" w:sz="6" w:space="0" w:color="auto"/>
              <w:bottom w:val="single" w:sz="6" w:space="0" w:color="auto"/>
              <w:right w:val="single" w:sz="6" w:space="0" w:color="auto"/>
            </w:tcBorders>
          </w:tcPr>
          <w:p w14:paraId="59757C74" w14:textId="77777777" w:rsidR="006D1E1C" w:rsidRPr="00C9343F" w:rsidRDefault="006D1E1C" w:rsidP="00F66D98">
            <w:pPr>
              <w:pStyle w:val="TableTextArial-left"/>
              <w:jc w:val="center"/>
            </w:pPr>
            <w:r w:rsidRPr="00C9343F">
              <w:t>A</w:t>
            </w:r>
          </w:p>
        </w:tc>
      </w:tr>
      <w:tr w:rsidR="006D1E1C" w:rsidRPr="00C9343F" w14:paraId="02B14303"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72CAF68C" w14:textId="77777777" w:rsidR="006D1E1C" w:rsidRPr="00C9343F" w:rsidRDefault="006D1E1C" w:rsidP="00F66D98">
            <w:pPr>
              <w:pStyle w:val="TableTextArial-left"/>
            </w:pPr>
            <w:r w:rsidRPr="00C9343F">
              <w:t>Charters Towers</w:t>
            </w:r>
          </w:p>
        </w:tc>
        <w:tc>
          <w:tcPr>
            <w:tcW w:w="2693" w:type="dxa"/>
            <w:tcBorders>
              <w:top w:val="single" w:sz="6" w:space="0" w:color="auto"/>
              <w:left w:val="single" w:sz="6" w:space="0" w:color="auto"/>
              <w:bottom w:val="single" w:sz="6" w:space="0" w:color="auto"/>
              <w:right w:val="single" w:sz="6" w:space="0" w:color="auto"/>
            </w:tcBorders>
          </w:tcPr>
          <w:p w14:paraId="6F614C19" w14:textId="77777777" w:rsidR="006D1E1C" w:rsidRPr="00C9343F" w:rsidRDefault="006D1E1C" w:rsidP="00F66D98">
            <w:pPr>
              <w:pStyle w:val="TableTextArial-left"/>
              <w:jc w:val="center"/>
            </w:pPr>
            <w:r w:rsidRPr="00C9343F">
              <w:t>A</w:t>
            </w:r>
          </w:p>
        </w:tc>
      </w:tr>
      <w:tr w:rsidR="006D1E1C" w:rsidRPr="00C9343F" w14:paraId="5DD10B39"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65647B2A" w14:textId="77777777" w:rsidR="006D1E1C" w:rsidRPr="00C9343F" w:rsidRDefault="006D1E1C" w:rsidP="00F66D98">
            <w:pPr>
              <w:pStyle w:val="TableTextArial-left"/>
            </w:pPr>
            <w:r w:rsidRPr="00C9343F">
              <w:t>Ingham</w:t>
            </w:r>
          </w:p>
        </w:tc>
        <w:tc>
          <w:tcPr>
            <w:tcW w:w="2693" w:type="dxa"/>
            <w:tcBorders>
              <w:top w:val="single" w:sz="6" w:space="0" w:color="auto"/>
              <w:left w:val="single" w:sz="6" w:space="0" w:color="auto"/>
              <w:bottom w:val="single" w:sz="6" w:space="0" w:color="auto"/>
              <w:right w:val="single" w:sz="6" w:space="0" w:color="auto"/>
            </w:tcBorders>
          </w:tcPr>
          <w:p w14:paraId="5AD5F97D" w14:textId="77777777" w:rsidR="006D1E1C" w:rsidRPr="00C9343F" w:rsidRDefault="006D1E1C" w:rsidP="00F66D98">
            <w:pPr>
              <w:pStyle w:val="TableTextArial-left"/>
              <w:jc w:val="center"/>
            </w:pPr>
            <w:r w:rsidRPr="00C9343F">
              <w:t>A</w:t>
            </w:r>
          </w:p>
        </w:tc>
      </w:tr>
      <w:tr w:rsidR="006D1E1C" w:rsidRPr="00C9343F" w14:paraId="18E4817D"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7A8693E" w14:textId="77777777" w:rsidR="006D1E1C" w:rsidRPr="00C9343F" w:rsidRDefault="006D1E1C" w:rsidP="00F66D98">
            <w:pPr>
              <w:pStyle w:val="TableTextArial-left"/>
            </w:pPr>
            <w:r w:rsidRPr="00C9343F">
              <w:t>Innisfail</w:t>
            </w:r>
          </w:p>
        </w:tc>
        <w:tc>
          <w:tcPr>
            <w:tcW w:w="2693" w:type="dxa"/>
            <w:tcBorders>
              <w:top w:val="single" w:sz="6" w:space="0" w:color="auto"/>
              <w:left w:val="single" w:sz="6" w:space="0" w:color="auto"/>
              <w:bottom w:val="single" w:sz="6" w:space="0" w:color="auto"/>
              <w:right w:val="single" w:sz="6" w:space="0" w:color="auto"/>
            </w:tcBorders>
          </w:tcPr>
          <w:p w14:paraId="52DA39B4" w14:textId="77777777" w:rsidR="006D1E1C" w:rsidRPr="00C9343F" w:rsidRDefault="006D1E1C" w:rsidP="00F66D98">
            <w:pPr>
              <w:pStyle w:val="TableTextArial-left"/>
              <w:jc w:val="center"/>
            </w:pPr>
            <w:r w:rsidRPr="00C9343F">
              <w:t>A</w:t>
            </w:r>
          </w:p>
        </w:tc>
      </w:tr>
      <w:tr w:rsidR="006D1E1C" w:rsidRPr="00C9343F" w14:paraId="40DECA81"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11485CBF" w14:textId="77777777" w:rsidR="006D1E1C" w:rsidRPr="00C9343F" w:rsidRDefault="006D1E1C" w:rsidP="00F66D98">
            <w:pPr>
              <w:pStyle w:val="TableTextArial-left"/>
            </w:pPr>
            <w:r w:rsidRPr="00C9343F">
              <w:t>Macrossan</w:t>
            </w:r>
          </w:p>
        </w:tc>
        <w:tc>
          <w:tcPr>
            <w:tcW w:w="2693" w:type="dxa"/>
            <w:tcBorders>
              <w:top w:val="single" w:sz="6" w:space="0" w:color="auto"/>
              <w:left w:val="single" w:sz="6" w:space="0" w:color="auto"/>
              <w:bottom w:val="single" w:sz="6" w:space="0" w:color="auto"/>
              <w:right w:val="single" w:sz="6" w:space="0" w:color="auto"/>
            </w:tcBorders>
          </w:tcPr>
          <w:p w14:paraId="201AD80A" w14:textId="77777777" w:rsidR="006D1E1C" w:rsidRPr="00C9343F" w:rsidRDefault="006D1E1C" w:rsidP="00F66D98">
            <w:pPr>
              <w:pStyle w:val="TableTextArial-left"/>
              <w:jc w:val="center"/>
            </w:pPr>
            <w:r w:rsidRPr="00C9343F">
              <w:t>A</w:t>
            </w:r>
          </w:p>
        </w:tc>
      </w:tr>
      <w:tr w:rsidR="006D1E1C" w:rsidRPr="00C9343F" w14:paraId="4E2FB81B"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E0B8CA8" w14:textId="77777777" w:rsidR="006D1E1C" w:rsidRPr="00C9343F" w:rsidRDefault="006D1E1C" w:rsidP="00F66D98">
            <w:pPr>
              <w:pStyle w:val="TableTextArial-left"/>
            </w:pPr>
            <w:r w:rsidRPr="00C9343F">
              <w:t>Mount Isa</w:t>
            </w:r>
          </w:p>
        </w:tc>
        <w:tc>
          <w:tcPr>
            <w:tcW w:w="2693" w:type="dxa"/>
            <w:tcBorders>
              <w:top w:val="single" w:sz="6" w:space="0" w:color="auto"/>
              <w:left w:val="single" w:sz="6" w:space="0" w:color="auto"/>
              <w:bottom w:val="single" w:sz="6" w:space="0" w:color="auto"/>
              <w:right w:val="single" w:sz="6" w:space="0" w:color="auto"/>
            </w:tcBorders>
          </w:tcPr>
          <w:p w14:paraId="5C1FE20B" w14:textId="77777777" w:rsidR="006D1E1C" w:rsidRPr="00C9343F" w:rsidRDefault="006D1E1C" w:rsidP="00F66D98">
            <w:pPr>
              <w:pStyle w:val="TableTextArial-left"/>
              <w:jc w:val="center"/>
            </w:pPr>
            <w:r w:rsidRPr="00C9343F">
              <w:t>C</w:t>
            </w:r>
          </w:p>
        </w:tc>
      </w:tr>
      <w:tr w:rsidR="006D1E1C" w:rsidRPr="00C9343F" w14:paraId="151AFEB3"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17B6C42B" w14:textId="77777777" w:rsidR="006D1E1C" w:rsidRPr="00C9343F" w:rsidRDefault="006D1E1C" w:rsidP="00F66D98">
            <w:pPr>
              <w:pStyle w:val="TableTextArial-left"/>
            </w:pPr>
            <w:r w:rsidRPr="00C9343F">
              <w:t>Palm Island</w:t>
            </w:r>
          </w:p>
        </w:tc>
        <w:tc>
          <w:tcPr>
            <w:tcW w:w="2693" w:type="dxa"/>
            <w:tcBorders>
              <w:top w:val="single" w:sz="6" w:space="0" w:color="auto"/>
              <w:left w:val="single" w:sz="6" w:space="0" w:color="auto"/>
              <w:bottom w:val="single" w:sz="6" w:space="0" w:color="auto"/>
              <w:right w:val="single" w:sz="6" w:space="0" w:color="auto"/>
            </w:tcBorders>
          </w:tcPr>
          <w:p w14:paraId="59906FB9" w14:textId="77777777" w:rsidR="006D1E1C" w:rsidRPr="00C9343F" w:rsidRDefault="006D1E1C" w:rsidP="00F66D98">
            <w:pPr>
              <w:pStyle w:val="TableTextArial-left"/>
              <w:jc w:val="center"/>
            </w:pPr>
            <w:r w:rsidRPr="00C9343F">
              <w:t>E</w:t>
            </w:r>
          </w:p>
        </w:tc>
      </w:tr>
      <w:tr w:rsidR="006D1E1C" w:rsidRPr="00C9343F" w14:paraId="2C642C8C"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47A9E17C" w14:textId="77777777" w:rsidR="006D1E1C" w:rsidRPr="00C9343F" w:rsidRDefault="006D1E1C" w:rsidP="00F66D98">
            <w:pPr>
              <w:pStyle w:val="TableTextArial-left"/>
            </w:pPr>
            <w:r w:rsidRPr="00C9343F">
              <w:t>RAAF Scherger</w:t>
            </w:r>
          </w:p>
        </w:tc>
        <w:tc>
          <w:tcPr>
            <w:tcW w:w="2693" w:type="dxa"/>
            <w:tcBorders>
              <w:top w:val="single" w:sz="6" w:space="0" w:color="auto"/>
              <w:left w:val="single" w:sz="6" w:space="0" w:color="auto"/>
              <w:bottom w:val="single" w:sz="6" w:space="0" w:color="auto"/>
              <w:right w:val="single" w:sz="6" w:space="0" w:color="auto"/>
            </w:tcBorders>
          </w:tcPr>
          <w:p w14:paraId="5B3C1E53" w14:textId="77777777" w:rsidR="006D1E1C" w:rsidRPr="00C9343F" w:rsidRDefault="006D1E1C" w:rsidP="00F66D98">
            <w:pPr>
              <w:pStyle w:val="TableTextArial-left"/>
              <w:jc w:val="center"/>
            </w:pPr>
            <w:r w:rsidRPr="00C9343F">
              <w:t>E</w:t>
            </w:r>
          </w:p>
        </w:tc>
      </w:tr>
      <w:tr w:rsidR="006D1E1C" w:rsidRPr="00C9343F" w14:paraId="5844323C"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1A0DBAE6" w14:textId="77777777" w:rsidR="006D1E1C" w:rsidRPr="00C9343F" w:rsidRDefault="006D1E1C" w:rsidP="00F66D98">
            <w:pPr>
              <w:pStyle w:val="TableTextArial-left"/>
            </w:pPr>
            <w:r w:rsidRPr="00C9343F">
              <w:rPr>
                <w:snapToGrid w:val="0"/>
              </w:rPr>
              <w:t>Roma</w:t>
            </w:r>
          </w:p>
        </w:tc>
        <w:tc>
          <w:tcPr>
            <w:tcW w:w="2693" w:type="dxa"/>
            <w:tcBorders>
              <w:top w:val="single" w:sz="6" w:space="0" w:color="auto"/>
              <w:left w:val="single" w:sz="6" w:space="0" w:color="auto"/>
              <w:bottom w:val="single" w:sz="6" w:space="0" w:color="auto"/>
              <w:right w:val="single" w:sz="6" w:space="0" w:color="auto"/>
            </w:tcBorders>
          </w:tcPr>
          <w:p w14:paraId="1BC7BA56" w14:textId="77777777" w:rsidR="006D1E1C" w:rsidRPr="00C9343F" w:rsidRDefault="006D1E1C" w:rsidP="00F66D98">
            <w:pPr>
              <w:pStyle w:val="TableTextArial-left"/>
              <w:jc w:val="center"/>
            </w:pPr>
            <w:r w:rsidRPr="00C9343F">
              <w:t>A</w:t>
            </w:r>
          </w:p>
        </w:tc>
      </w:tr>
      <w:tr w:rsidR="006D1E1C" w:rsidRPr="00C9343F" w14:paraId="21D590F3"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4B47FC17" w14:textId="77777777" w:rsidR="006D1E1C" w:rsidRPr="00C9343F" w:rsidRDefault="006D1E1C" w:rsidP="00F66D98">
            <w:pPr>
              <w:pStyle w:val="TableTextArial-left"/>
            </w:pPr>
            <w:r w:rsidRPr="00C9343F">
              <w:t>Shoalwater Bay training area</w:t>
            </w:r>
          </w:p>
        </w:tc>
        <w:tc>
          <w:tcPr>
            <w:tcW w:w="2693" w:type="dxa"/>
            <w:tcBorders>
              <w:top w:val="single" w:sz="6" w:space="0" w:color="auto"/>
              <w:left w:val="single" w:sz="6" w:space="0" w:color="auto"/>
              <w:bottom w:val="single" w:sz="6" w:space="0" w:color="auto"/>
              <w:right w:val="single" w:sz="6" w:space="0" w:color="auto"/>
            </w:tcBorders>
          </w:tcPr>
          <w:p w14:paraId="239EE575" w14:textId="77777777" w:rsidR="006D1E1C" w:rsidRPr="00C9343F" w:rsidRDefault="006D1E1C" w:rsidP="00F66D98">
            <w:pPr>
              <w:pStyle w:val="TableTextArial-left"/>
              <w:jc w:val="center"/>
            </w:pPr>
            <w:r w:rsidRPr="00C9343F">
              <w:t>A</w:t>
            </w:r>
          </w:p>
        </w:tc>
      </w:tr>
      <w:tr w:rsidR="006D1E1C" w:rsidRPr="00C9343F" w14:paraId="0273D5D6"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19266CC8" w14:textId="77777777" w:rsidR="006D1E1C" w:rsidRPr="00C9343F" w:rsidRDefault="006D1E1C" w:rsidP="00F66D98">
            <w:pPr>
              <w:pStyle w:val="TableTextArial-left"/>
              <w:rPr>
                <w:i/>
              </w:rPr>
            </w:pPr>
            <w:r w:rsidRPr="00C9343F">
              <w:t>Thursday Island</w:t>
            </w:r>
          </w:p>
        </w:tc>
        <w:tc>
          <w:tcPr>
            <w:tcW w:w="2693" w:type="dxa"/>
            <w:tcBorders>
              <w:top w:val="single" w:sz="6" w:space="0" w:color="auto"/>
              <w:left w:val="single" w:sz="6" w:space="0" w:color="auto"/>
              <w:bottom w:val="single" w:sz="6" w:space="0" w:color="auto"/>
              <w:right w:val="single" w:sz="6" w:space="0" w:color="auto"/>
            </w:tcBorders>
          </w:tcPr>
          <w:p w14:paraId="7227F877" w14:textId="77777777" w:rsidR="006D1E1C" w:rsidRPr="00C9343F" w:rsidRDefault="006D1E1C" w:rsidP="00F66D98">
            <w:pPr>
              <w:pStyle w:val="TableTextArial-left"/>
              <w:jc w:val="center"/>
            </w:pPr>
            <w:r w:rsidRPr="00C9343F">
              <w:t>E</w:t>
            </w:r>
          </w:p>
        </w:tc>
      </w:tr>
      <w:tr w:rsidR="006D1E1C" w:rsidRPr="00C9343F" w14:paraId="4B85FDE6"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0DF15BC" w14:textId="77777777" w:rsidR="006D1E1C" w:rsidRPr="00C9343F" w:rsidRDefault="006D1E1C" w:rsidP="00F66D98">
            <w:pPr>
              <w:pStyle w:val="TableTextArial-left"/>
            </w:pPr>
            <w:r w:rsidRPr="00C9343F">
              <w:t>Townsville</w:t>
            </w:r>
          </w:p>
        </w:tc>
        <w:tc>
          <w:tcPr>
            <w:tcW w:w="2693" w:type="dxa"/>
            <w:tcBorders>
              <w:top w:val="single" w:sz="6" w:space="0" w:color="auto"/>
              <w:left w:val="single" w:sz="6" w:space="0" w:color="auto"/>
              <w:bottom w:val="single" w:sz="6" w:space="0" w:color="auto"/>
              <w:right w:val="single" w:sz="6" w:space="0" w:color="auto"/>
            </w:tcBorders>
          </w:tcPr>
          <w:p w14:paraId="7951A077" w14:textId="77777777" w:rsidR="006D1E1C" w:rsidRPr="00C9343F" w:rsidRDefault="006D1E1C" w:rsidP="00F66D98">
            <w:pPr>
              <w:pStyle w:val="TableTextArial-left"/>
              <w:jc w:val="center"/>
            </w:pPr>
            <w:r w:rsidRPr="00C9343F">
              <w:t>A</w:t>
            </w:r>
          </w:p>
        </w:tc>
      </w:tr>
      <w:tr w:rsidR="006D1E1C" w:rsidRPr="00C9343F" w14:paraId="6AB625D4" w14:textId="77777777" w:rsidTr="006D1E1C">
        <w:trPr>
          <w:cantSplit/>
        </w:trPr>
        <w:tc>
          <w:tcPr>
            <w:tcW w:w="3543" w:type="dxa"/>
            <w:tcBorders>
              <w:top w:val="single" w:sz="6" w:space="0" w:color="auto"/>
              <w:left w:val="single" w:sz="6" w:space="0" w:color="auto"/>
              <w:right w:val="single" w:sz="6" w:space="0" w:color="auto"/>
            </w:tcBorders>
          </w:tcPr>
          <w:p w14:paraId="6E6A4661" w14:textId="77777777" w:rsidR="006D1E1C" w:rsidRPr="00C9343F" w:rsidRDefault="006D1E1C" w:rsidP="00F66D98">
            <w:pPr>
              <w:pStyle w:val="TableTextArial-left"/>
            </w:pPr>
            <w:r w:rsidRPr="00C9343F">
              <w:t>Tully</w:t>
            </w:r>
          </w:p>
        </w:tc>
        <w:tc>
          <w:tcPr>
            <w:tcW w:w="2693" w:type="dxa"/>
            <w:tcBorders>
              <w:top w:val="single" w:sz="6" w:space="0" w:color="auto"/>
              <w:left w:val="single" w:sz="6" w:space="0" w:color="auto"/>
              <w:right w:val="single" w:sz="6" w:space="0" w:color="auto"/>
            </w:tcBorders>
          </w:tcPr>
          <w:p w14:paraId="7E1AF1AB" w14:textId="77777777" w:rsidR="006D1E1C" w:rsidRPr="00C9343F" w:rsidRDefault="006D1E1C" w:rsidP="00F66D98">
            <w:pPr>
              <w:pStyle w:val="TableTextArial-left"/>
              <w:jc w:val="center"/>
            </w:pPr>
            <w:r w:rsidRPr="00C9343F">
              <w:t>A</w:t>
            </w:r>
          </w:p>
        </w:tc>
      </w:tr>
      <w:tr w:rsidR="006D1E1C" w:rsidRPr="00C9343F" w14:paraId="23050BD6"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68D627D4" w14:textId="77777777" w:rsidR="006D1E1C" w:rsidRPr="00C9343F" w:rsidRDefault="006D1E1C" w:rsidP="00F66D98">
            <w:pPr>
              <w:pStyle w:val="TableTextArial-left"/>
            </w:pPr>
            <w:r w:rsidRPr="00C9343F">
              <w:t>Weipa</w:t>
            </w:r>
          </w:p>
        </w:tc>
        <w:tc>
          <w:tcPr>
            <w:tcW w:w="2693" w:type="dxa"/>
            <w:tcBorders>
              <w:top w:val="single" w:sz="6" w:space="0" w:color="auto"/>
              <w:left w:val="single" w:sz="6" w:space="0" w:color="auto"/>
              <w:bottom w:val="single" w:sz="6" w:space="0" w:color="auto"/>
              <w:right w:val="single" w:sz="6" w:space="0" w:color="auto"/>
            </w:tcBorders>
          </w:tcPr>
          <w:p w14:paraId="7AC2ECD8" w14:textId="77777777" w:rsidR="006D1E1C" w:rsidRPr="00C9343F" w:rsidRDefault="006D1E1C" w:rsidP="00F66D98">
            <w:pPr>
              <w:pStyle w:val="TableTextArial-left"/>
              <w:jc w:val="center"/>
            </w:pPr>
            <w:r w:rsidRPr="00C9343F">
              <w:t>E</w:t>
            </w:r>
          </w:p>
        </w:tc>
      </w:tr>
      <w:tr w:rsidR="006D1E1C" w:rsidRPr="00C9343F" w14:paraId="11687371" w14:textId="77777777" w:rsidTr="006D1E1C">
        <w:trPr>
          <w:cantSplit/>
        </w:trPr>
        <w:tc>
          <w:tcPr>
            <w:tcW w:w="6236" w:type="dxa"/>
            <w:gridSpan w:val="2"/>
            <w:tcBorders>
              <w:top w:val="single" w:sz="6" w:space="0" w:color="auto"/>
              <w:left w:val="single" w:sz="6" w:space="0" w:color="auto"/>
              <w:bottom w:val="single" w:sz="6" w:space="0" w:color="auto"/>
              <w:right w:val="single" w:sz="6" w:space="0" w:color="auto"/>
            </w:tcBorders>
            <w:shd w:val="pct15" w:color="000000" w:fill="FFFFFF"/>
          </w:tcPr>
          <w:p w14:paraId="13A3E3D7" w14:textId="77777777" w:rsidR="006D1E1C" w:rsidRPr="00C9343F" w:rsidRDefault="006D1E1C" w:rsidP="00F66D98">
            <w:pPr>
              <w:pStyle w:val="TableTextArial-left"/>
              <w:rPr>
                <w:i/>
              </w:rPr>
            </w:pPr>
            <w:r w:rsidRPr="00C9343F">
              <w:rPr>
                <w:i/>
              </w:rPr>
              <w:t>South Australia</w:t>
            </w:r>
          </w:p>
        </w:tc>
      </w:tr>
      <w:tr w:rsidR="006D1E1C" w:rsidRPr="00C9343F" w14:paraId="5D1D0E48"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6F2182B3" w14:textId="77777777" w:rsidR="006D1E1C" w:rsidRPr="00C9343F" w:rsidRDefault="006D1E1C" w:rsidP="00F66D98">
            <w:pPr>
              <w:pStyle w:val="TableTextArial-left"/>
            </w:pPr>
            <w:r w:rsidRPr="00C9343F">
              <w:rPr>
                <w:snapToGrid w:val="0"/>
              </w:rPr>
              <w:t>Woomera</w:t>
            </w:r>
          </w:p>
        </w:tc>
        <w:tc>
          <w:tcPr>
            <w:tcW w:w="2693" w:type="dxa"/>
            <w:tcBorders>
              <w:top w:val="single" w:sz="6" w:space="0" w:color="auto"/>
              <w:left w:val="single" w:sz="6" w:space="0" w:color="auto"/>
              <w:bottom w:val="single" w:sz="6" w:space="0" w:color="auto"/>
              <w:right w:val="single" w:sz="6" w:space="0" w:color="auto"/>
            </w:tcBorders>
          </w:tcPr>
          <w:p w14:paraId="73A00642" w14:textId="77777777" w:rsidR="006D1E1C" w:rsidRPr="00C9343F" w:rsidRDefault="00D76C81" w:rsidP="00F66D98">
            <w:pPr>
              <w:pStyle w:val="TableTextArial-left"/>
              <w:jc w:val="center"/>
            </w:pPr>
            <w:r w:rsidRPr="00C9343F">
              <w:t>E</w:t>
            </w:r>
          </w:p>
        </w:tc>
      </w:tr>
      <w:tr w:rsidR="006D1E1C" w:rsidRPr="00C9343F" w14:paraId="2A20CD89" w14:textId="77777777" w:rsidTr="006D1E1C">
        <w:trPr>
          <w:cantSplit/>
        </w:trPr>
        <w:tc>
          <w:tcPr>
            <w:tcW w:w="6236" w:type="dxa"/>
            <w:gridSpan w:val="2"/>
            <w:tcBorders>
              <w:top w:val="single" w:sz="6" w:space="0" w:color="auto"/>
              <w:left w:val="single" w:sz="6" w:space="0" w:color="auto"/>
              <w:bottom w:val="single" w:sz="6" w:space="0" w:color="auto"/>
              <w:right w:val="single" w:sz="6" w:space="0" w:color="auto"/>
            </w:tcBorders>
            <w:shd w:val="pct15" w:color="000000" w:fill="FFFFFF"/>
          </w:tcPr>
          <w:p w14:paraId="32CAD381" w14:textId="77777777" w:rsidR="006D1E1C" w:rsidRPr="00C9343F" w:rsidRDefault="006D1E1C" w:rsidP="00F66D98">
            <w:pPr>
              <w:pStyle w:val="TableTextArial-left"/>
              <w:rPr>
                <w:i/>
              </w:rPr>
            </w:pPr>
            <w:r w:rsidRPr="00C9343F">
              <w:rPr>
                <w:i/>
              </w:rPr>
              <w:t>Western Australia</w:t>
            </w:r>
          </w:p>
        </w:tc>
      </w:tr>
      <w:tr w:rsidR="006D1E1C" w:rsidRPr="00C9343F" w14:paraId="7BA3E203"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4779DA29" w14:textId="77777777" w:rsidR="006D1E1C" w:rsidRPr="00C9343F" w:rsidRDefault="006D1E1C" w:rsidP="00F66D98">
            <w:pPr>
              <w:pStyle w:val="TableTextArial-left"/>
            </w:pPr>
            <w:r w:rsidRPr="00C9343F">
              <w:t>Broome</w:t>
            </w:r>
          </w:p>
        </w:tc>
        <w:tc>
          <w:tcPr>
            <w:tcW w:w="2693" w:type="dxa"/>
            <w:tcBorders>
              <w:top w:val="single" w:sz="6" w:space="0" w:color="auto"/>
              <w:left w:val="single" w:sz="6" w:space="0" w:color="auto"/>
              <w:bottom w:val="single" w:sz="6" w:space="0" w:color="auto"/>
              <w:right w:val="single" w:sz="6" w:space="0" w:color="auto"/>
            </w:tcBorders>
          </w:tcPr>
          <w:p w14:paraId="28B3251F" w14:textId="77777777" w:rsidR="006D1E1C" w:rsidRPr="00C9343F" w:rsidRDefault="006D1E1C" w:rsidP="00F66D98">
            <w:pPr>
              <w:pStyle w:val="TableTextArial-left"/>
              <w:jc w:val="center"/>
            </w:pPr>
            <w:r w:rsidRPr="00C9343F">
              <w:t>E</w:t>
            </w:r>
          </w:p>
        </w:tc>
      </w:tr>
      <w:tr w:rsidR="006D1E1C" w:rsidRPr="00C9343F" w14:paraId="055E15BC"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59227F6E" w14:textId="77777777" w:rsidR="006D1E1C" w:rsidRPr="00C9343F" w:rsidRDefault="006D1E1C" w:rsidP="00F66D98">
            <w:pPr>
              <w:pStyle w:val="TableTextArial-left"/>
            </w:pPr>
            <w:r w:rsidRPr="00C9343F">
              <w:t>Carnarvon</w:t>
            </w:r>
          </w:p>
        </w:tc>
        <w:tc>
          <w:tcPr>
            <w:tcW w:w="2693" w:type="dxa"/>
            <w:tcBorders>
              <w:top w:val="single" w:sz="6" w:space="0" w:color="auto"/>
              <w:left w:val="single" w:sz="6" w:space="0" w:color="auto"/>
              <w:bottom w:val="single" w:sz="6" w:space="0" w:color="auto"/>
              <w:right w:val="single" w:sz="6" w:space="0" w:color="auto"/>
            </w:tcBorders>
          </w:tcPr>
          <w:p w14:paraId="1B7F7FFF" w14:textId="77777777" w:rsidR="006D1E1C" w:rsidRPr="00C9343F" w:rsidRDefault="006D1E1C" w:rsidP="00F66D98">
            <w:pPr>
              <w:pStyle w:val="TableTextArial-left"/>
              <w:jc w:val="center"/>
            </w:pPr>
            <w:r w:rsidRPr="00C9343F">
              <w:t>E</w:t>
            </w:r>
          </w:p>
        </w:tc>
      </w:tr>
      <w:tr w:rsidR="006D1E1C" w:rsidRPr="00C9343F" w14:paraId="11712C7D"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05747457" w14:textId="77777777" w:rsidR="006D1E1C" w:rsidRPr="00C9343F" w:rsidRDefault="006D1E1C" w:rsidP="00F66D98">
            <w:pPr>
              <w:pStyle w:val="TableTextArial-left"/>
            </w:pPr>
            <w:r w:rsidRPr="00C9343F">
              <w:t>Dampier</w:t>
            </w:r>
          </w:p>
        </w:tc>
        <w:tc>
          <w:tcPr>
            <w:tcW w:w="2693" w:type="dxa"/>
            <w:tcBorders>
              <w:top w:val="single" w:sz="6" w:space="0" w:color="auto"/>
              <w:left w:val="single" w:sz="6" w:space="0" w:color="auto"/>
              <w:bottom w:val="single" w:sz="6" w:space="0" w:color="auto"/>
              <w:right w:val="single" w:sz="6" w:space="0" w:color="auto"/>
            </w:tcBorders>
          </w:tcPr>
          <w:p w14:paraId="5F9FD311" w14:textId="77777777" w:rsidR="006D1E1C" w:rsidRPr="00C9343F" w:rsidRDefault="006D1E1C" w:rsidP="00F66D98">
            <w:pPr>
              <w:pStyle w:val="TableTextArial-left"/>
              <w:jc w:val="center"/>
            </w:pPr>
            <w:r w:rsidRPr="00C9343F">
              <w:t>E</w:t>
            </w:r>
          </w:p>
        </w:tc>
      </w:tr>
      <w:tr w:rsidR="006D1E1C" w:rsidRPr="00C9343F" w14:paraId="530D31D7"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DC46DCF" w14:textId="77777777" w:rsidR="006D1E1C" w:rsidRPr="00C9343F" w:rsidRDefault="006D1E1C" w:rsidP="00F66D98">
            <w:pPr>
              <w:pStyle w:val="TableTextArial-left"/>
            </w:pPr>
            <w:r w:rsidRPr="00C9343F">
              <w:t>Derby</w:t>
            </w:r>
          </w:p>
        </w:tc>
        <w:tc>
          <w:tcPr>
            <w:tcW w:w="2693" w:type="dxa"/>
            <w:tcBorders>
              <w:top w:val="single" w:sz="6" w:space="0" w:color="auto"/>
              <w:left w:val="single" w:sz="6" w:space="0" w:color="auto"/>
              <w:bottom w:val="single" w:sz="6" w:space="0" w:color="auto"/>
              <w:right w:val="single" w:sz="6" w:space="0" w:color="auto"/>
            </w:tcBorders>
          </w:tcPr>
          <w:p w14:paraId="33B57318" w14:textId="77777777" w:rsidR="006D1E1C" w:rsidRPr="00C9343F" w:rsidRDefault="006D1E1C" w:rsidP="00F66D98">
            <w:pPr>
              <w:pStyle w:val="TableTextArial-left"/>
              <w:jc w:val="center"/>
            </w:pPr>
            <w:r w:rsidRPr="00C9343F">
              <w:t>E</w:t>
            </w:r>
          </w:p>
        </w:tc>
      </w:tr>
      <w:tr w:rsidR="006D1E1C" w:rsidRPr="00C9343F" w14:paraId="1B8FCE83"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C3DE1F1" w14:textId="77777777" w:rsidR="006D1E1C" w:rsidRPr="00C9343F" w:rsidRDefault="006D1E1C" w:rsidP="00F66D98">
            <w:pPr>
              <w:pStyle w:val="TableTextArial-left"/>
            </w:pPr>
            <w:r w:rsidRPr="00C9343F">
              <w:t>Exmouth</w:t>
            </w:r>
          </w:p>
        </w:tc>
        <w:tc>
          <w:tcPr>
            <w:tcW w:w="2693" w:type="dxa"/>
            <w:tcBorders>
              <w:top w:val="single" w:sz="6" w:space="0" w:color="auto"/>
              <w:left w:val="single" w:sz="6" w:space="0" w:color="auto"/>
              <w:bottom w:val="single" w:sz="6" w:space="0" w:color="auto"/>
              <w:right w:val="single" w:sz="6" w:space="0" w:color="auto"/>
            </w:tcBorders>
          </w:tcPr>
          <w:p w14:paraId="2D11B66A" w14:textId="77777777" w:rsidR="006D1E1C" w:rsidRPr="00C9343F" w:rsidRDefault="006D1E1C" w:rsidP="00F66D98">
            <w:pPr>
              <w:pStyle w:val="TableTextArial-left"/>
              <w:jc w:val="center"/>
            </w:pPr>
            <w:r w:rsidRPr="00C9343F">
              <w:t>E</w:t>
            </w:r>
          </w:p>
        </w:tc>
      </w:tr>
      <w:tr w:rsidR="006D1E1C" w:rsidRPr="00C9343F" w14:paraId="5CD38760"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76F22E6F" w14:textId="77777777" w:rsidR="006D1E1C" w:rsidRPr="00C9343F" w:rsidRDefault="006D1E1C" w:rsidP="00F66D98">
            <w:pPr>
              <w:pStyle w:val="TableTextArial-left"/>
            </w:pPr>
            <w:r w:rsidRPr="00C9343F">
              <w:rPr>
                <w:snapToGrid w:val="0"/>
              </w:rPr>
              <w:t>Kalgoorlie</w:t>
            </w:r>
          </w:p>
        </w:tc>
        <w:tc>
          <w:tcPr>
            <w:tcW w:w="2693" w:type="dxa"/>
            <w:tcBorders>
              <w:top w:val="single" w:sz="6" w:space="0" w:color="auto"/>
              <w:left w:val="single" w:sz="6" w:space="0" w:color="auto"/>
              <w:bottom w:val="single" w:sz="6" w:space="0" w:color="auto"/>
              <w:right w:val="single" w:sz="6" w:space="0" w:color="auto"/>
            </w:tcBorders>
          </w:tcPr>
          <w:p w14:paraId="43EC5707" w14:textId="77777777" w:rsidR="006D1E1C" w:rsidRPr="00C9343F" w:rsidRDefault="006D1E1C" w:rsidP="00F66D98">
            <w:pPr>
              <w:pStyle w:val="TableTextArial-left"/>
              <w:jc w:val="center"/>
            </w:pPr>
            <w:r w:rsidRPr="00C9343F">
              <w:t>A</w:t>
            </w:r>
          </w:p>
        </w:tc>
      </w:tr>
      <w:tr w:rsidR="006D1E1C" w:rsidRPr="00C9343F" w14:paraId="270262BD"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39FD53EE" w14:textId="77777777" w:rsidR="006D1E1C" w:rsidRPr="00C9343F" w:rsidRDefault="006D1E1C" w:rsidP="00F66D98">
            <w:pPr>
              <w:pStyle w:val="TableTextArial-left"/>
            </w:pPr>
            <w:r w:rsidRPr="00C9343F">
              <w:t>Karratha</w:t>
            </w:r>
          </w:p>
        </w:tc>
        <w:tc>
          <w:tcPr>
            <w:tcW w:w="2693" w:type="dxa"/>
            <w:tcBorders>
              <w:top w:val="single" w:sz="6" w:space="0" w:color="auto"/>
              <w:left w:val="single" w:sz="6" w:space="0" w:color="auto"/>
              <w:bottom w:val="single" w:sz="6" w:space="0" w:color="auto"/>
              <w:right w:val="single" w:sz="6" w:space="0" w:color="auto"/>
            </w:tcBorders>
          </w:tcPr>
          <w:p w14:paraId="46899412" w14:textId="77777777" w:rsidR="006D1E1C" w:rsidRPr="00C9343F" w:rsidRDefault="006D1E1C" w:rsidP="00F66D98">
            <w:pPr>
              <w:pStyle w:val="TableTextArial-left"/>
              <w:jc w:val="center"/>
            </w:pPr>
            <w:r w:rsidRPr="00C9343F">
              <w:t>E</w:t>
            </w:r>
          </w:p>
        </w:tc>
      </w:tr>
      <w:tr w:rsidR="006D1E1C" w:rsidRPr="00C9343F" w14:paraId="5C00572C" w14:textId="77777777" w:rsidTr="006D1E1C">
        <w:trPr>
          <w:cantSplit/>
        </w:trPr>
        <w:tc>
          <w:tcPr>
            <w:tcW w:w="3543" w:type="dxa"/>
            <w:tcBorders>
              <w:top w:val="single" w:sz="6" w:space="0" w:color="auto"/>
              <w:left w:val="single" w:sz="6" w:space="0" w:color="auto"/>
              <w:right w:val="single" w:sz="6" w:space="0" w:color="auto"/>
            </w:tcBorders>
          </w:tcPr>
          <w:p w14:paraId="2192AB3A" w14:textId="77777777" w:rsidR="006D1E1C" w:rsidRPr="00C9343F" w:rsidRDefault="006D1E1C" w:rsidP="00F66D98">
            <w:pPr>
              <w:pStyle w:val="TableTextArial-left"/>
            </w:pPr>
            <w:r w:rsidRPr="00C9343F">
              <w:t>Kununurra</w:t>
            </w:r>
          </w:p>
        </w:tc>
        <w:tc>
          <w:tcPr>
            <w:tcW w:w="2693" w:type="dxa"/>
            <w:tcBorders>
              <w:top w:val="single" w:sz="6" w:space="0" w:color="auto"/>
              <w:left w:val="single" w:sz="6" w:space="0" w:color="auto"/>
              <w:right w:val="single" w:sz="6" w:space="0" w:color="auto"/>
            </w:tcBorders>
          </w:tcPr>
          <w:p w14:paraId="12BF9D40" w14:textId="77777777" w:rsidR="006D1E1C" w:rsidRPr="00C9343F" w:rsidRDefault="006D1E1C" w:rsidP="00F66D98">
            <w:pPr>
              <w:pStyle w:val="TableTextArial-left"/>
              <w:jc w:val="center"/>
            </w:pPr>
            <w:r w:rsidRPr="00C9343F">
              <w:t>E</w:t>
            </w:r>
          </w:p>
        </w:tc>
      </w:tr>
      <w:tr w:rsidR="006D1E1C" w:rsidRPr="00C9343F" w14:paraId="359C9790" w14:textId="77777777" w:rsidTr="006D1E1C">
        <w:trPr>
          <w:cantSplit/>
        </w:trPr>
        <w:tc>
          <w:tcPr>
            <w:tcW w:w="3543" w:type="dxa"/>
            <w:tcBorders>
              <w:top w:val="single" w:sz="4" w:space="0" w:color="auto"/>
              <w:left w:val="single" w:sz="4" w:space="0" w:color="auto"/>
              <w:bottom w:val="single" w:sz="4" w:space="0" w:color="auto"/>
              <w:right w:val="single" w:sz="6" w:space="0" w:color="auto"/>
            </w:tcBorders>
          </w:tcPr>
          <w:p w14:paraId="141D124C" w14:textId="77777777" w:rsidR="006D1E1C" w:rsidRPr="00C9343F" w:rsidRDefault="006D1E1C" w:rsidP="00F66D98">
            <w:pPr>
              <w:pStyle w:val="TableTextArial-left"/>
            </w:pPr>
            <w:r w:rsidRPr="00C9343F">
              <w:t>Newman</w:t>
            </w:r>
          </w:p>
        </w:tc>
        <w:tc>
          <w:tcPr>
            <w:tcW w:w="2693" w:type="dxa"/>
            <w:tcBorders>
              <w:top w:val="single" w:sz="4" w:space="0" w:color="auto"/>
              <w:left w:val="single" w:sz="6" w:space="0" w:color="auto"/>
              <w:bottom w:val="single" w:sz="4" w:space="0" w:color="auto"/>
              <w:right w:val="single" w:sz="4" w:space="0" w:color="auto"/>
            </w:tcBorders>
          </w:tcPr>
          <w:p w14:paraId="3A53A2E2" w14:textId="77777777" w:rsidR="006D1E1C" w:rsidRPr="00C9343F" w:rsidRDefault="006D1E1C" w:rsidP="00F66D98">
            <w:pPr>
              <w:pStyle w:val="TableTextArial-left"/>
              <w:jc w:val="center"/>
            </w:pPr>
            <w:r w:rsidRPr="00C9343F">
              <w:t>E</w:t>
            </w:r>
          </w:p>
        </w:tc>
      </w:tr>
      <w:tr w:rsidR="006D1E1C" w:rsidRPr="00C9343F" w14:paraId="413EDC84" w14:textId="77777777" w:rsidTr="006D1E1C">
        <w:trPr>
          <w:cantSplit/>
        </w:trPr>
        <w:tc>
          <w:tcPr>
            <w:tcW w:w="3543" w:type="dxa"/>
            <w:tcBorders>
              <w:top w:val="single" w:sz="6" w:space="0" w:color="auto"/>
              <w:left w:val="single" w:sz="6" w:space="0" w:color="auto"/>
              <w:right w:val="single" w:sz="6" w:space="0" w:color="auto"/>
            </w:tcBorders>
          </w:tcPr>
          <w:p w14:paraId="536F3286" w14:textId="77777777" w:rsidR="006D1E1C" w:rsidRPr="00C9343F" w:rsidRDefault="006D1E1C" w:rsidP="00F66D98">
            <w:pPr>
              <w:pStyle w:val="TableTextArial-left"/>
            </w:pPr>
            <w:r w:rsidRPr="00C9343F">
              <w:t>Port Hedland</w:t>
            </w:r>
          </w:p>
        </w:tc>
        <w:tc>
          <w:tcPr>
            <w:tcW w:w="2693" w:type="dxa"/>
            <w:tcBorders>
              <w:top w:val="single" w:sz="6" w:space="0" w:color="auto"/>
              <w:left w:val="single" w:sz="6" w:space="0" w:color="auto"/>
              <w:right w:val="single" w:sz="6" w:space="0" w:color="auto"/>
            </w:tcBorders>
          </w:tcPr>
          <w:p w14:paraId="6BF215E5" w14:textId="77777777" w:rsidR="006D1E1C" w:rsidRPr="00C9343F" w:rsidRDefault="006D1E1C" w:rsidP="00F66D98">
            <w:pPr>
              <w:pStyle w:val="TableTextArial-left"/>
              <w:jc w:val="center"/>
            </w:pPr>
            <w:r w:rsidRPr="00C9343F">
              <w:t>E</w:t>
            </w:r>
          </w:p>
        </w:tc>
      </w:tr>
      <w:tr w:rsidR="006D1E1C" w:rsidRPr="00C9343F" w14:paraId="7A40CE41" w14:textId="77777777" w:rsidTr="006D1E1C">
        <w:trPr>
          <w:cantSplit/>
        </w:trPr>
        <w:tc>
          <w:tcPr>
            <w:tcW w:w="3543" w:type="dxa"/>
            <w:tcBorders>
              <w:top w:val="single" w:sz="6" w:space="0" w:color="auto"/>
              <w:left w:val="single" w:sz="6" w:space="0" w:color="auto"/>
              <w:right w:val="single" w:sz="6" w:space="0" w:color="auto"/>
            </w:tcBorders>
          </w:tcPr>
          <w:p w14:paraId="239E8434" w14:textId="77777777" w:rsidR="006D1E1C" w:rsidRPr="00C9343F" w:rsidRDefault="006D1E1C" w:rsidP="00F66D98">
            <w:pPr>
              <w:pStyle w:val="TableTextArial-left"/>
            </w:pPr>
            <w:r w:rsidRPr="00C9343F">
              <w:t>RAAF Curtin</w:t>
            </w:r>
          </w:p>
        </w:tc>
        <w:tc>
          <w:tcPr>
            <w:tcW w:w="2693" w:type="dxa"/>
            <w:tcBorders>
              <w:top w:val="single" w:sz="6" w:space="0" w:color="auto"/>
              <w:left w:val="single" w:sz="6" w:space="0" w:color="auto"/>
              <w:right w:val="single" w:sz="6" w:space="0" w:color="auto"/>
            </w:tcBorders>
          </w:tcPr>
          <w:p w14:paraId="134286FA" w14:textId="77777777" w:rsidR="006D1E1C" w:rsidRPr="00C9343F" w:rsidRDefault="006D1E1C" w:rsidP="00F66D98">
            <w:pPr>
              <w:pStyle w:val="TableTextArial-left"/>
              <w:jc w:val="center"/>
            </w:pPr>
            <w:r w:rsidRPr="00C9343F">
              <w:t>E</w:t>
            </w:r>
          </w:p>
        </w:tc>
      </w:tr>
      <w:tr w:rsidR="006D1E1C" w:rsidRPr="00C9343F" w14:paraId="7F1ED9E9" w14:textId="77777777" w:rsidTr="006D1E1C">
        <w:trPr>
          <w:cantSplit/>
        </w:trPr>
        <w:tc>
          <w:tcPr>
            <w:tcW w:w="3543" w:type="dxa"/>
            <w:tcBorders>
              <w:top w:val="single" w:sz="6" w:space="0" w:color="auto"/>
              <w:left w:val="single" w:sz="6" w:space="0" w:color="auto"/>
              <w:right w:val="single" w:sz="6" w:space="0" w:color="auto"/>
            </w:tcBorders>
          </w:tcPr>
          <w:p w14:paraId="23357E9D" w14:textId="77777777" w:rsidR="006D1E1C" w:rsidRPr="00C9343F" w:rsidRDefault="006D1E1C" w:rsidP="00F66D98">
            <w:pPr>
              <w:pStyle w:val="TableTextArial-left"/>
            </w:pPr>
            <w:r w:rsidRPr="00C9343F">
              <w:t>RAAF Learmonth</w:t>
            </w:r>
          </w:p>
        </w:tc>
        <w:tc>
          <w:tcPr>
            <w:tcW w:w="2693" w:type="dxa"/>
            <w:tcBorders>
              <w:top w:val="single" w:sz="6" w:space="0" w:color="auto"/>
              <w:left w:val="single" w:sz="6" w:space="0" w:color="auto"/>
              <w:right w:val="single" w:sz="6" w:space="0" w:color="auto"/>
            </w:tcBorders>
          </w:tcPr>
          <w:p w14:paraId="56470F32" w14:textId="77777777" w:rsidR="006D1E1C" w:rsidRPr="00C9343F" w:rsidRDefault="006D1E1C" w:rsidP="00F66D98">
            <w:pPr>
              <w:pStyle w:val="TableTextArial-left"/>
              <w:jc w:val="center"/>
            </w:pPr>
            <w:r w:rsidRPr="00C9343F">
              <w:t>E</w:t>
            </w:r>
          </w:p>
        </w:tc>
      </w:tr>
      <w:tr w:rsidR="006D1E1C" w:rsidRPr="00C9343F" w14:paraId="4E8832D7" w14:textId="77777777" w:rsidTr="006D1E1C">
        <w:trPr>
          <w:cantSplit/>
        </w:trPr>
        <w:tc>
          <w:tcPr>
            <w:tcW w:w="3543" w:type="dxa"/>
            <w:tcBorders>
              <w:top w:val="single" w:sz="6" w:space="0" w:color="auto"/>
              <w:left w:val="single" w:sz="6" w:space="0" w:color="auto"/>
              <w:right w:val="single" w:sz="6" w:space="0" w:color="auto"/>
            </w:tcBorders>
          </w:tcPr>
          <w:p w14:paraId="5D9ABD4C" w14:textId="77777777" w:rsidR="006D1E1C" w:rsidRPr="00C9343F" w:rsidRDefault="006D1E1C" w:rsidP="00F66D98">
            <w:pPr>
              <w:pStyle w:val="TableTextArial-left"/>
            </w:pPr>
            <w:r w:rsidRPr="00C9343F">
              <w:t>Tom Price</w:t>
            </w:r>
          </w:p>
        </w:tc>
        <w:tc>
          <w:tcPr>
            <w:tcW w:w="2693" w:type="dxa"/>
            <w:tcBorders>
              <w:top w:val="single" w:sz="6" w:space="0" w:color="auto"/>
              <w:left w:val="single" w:sz="6" w:space="0" w:color="auto"/>
              <w:right w:val="single" w:sz="6" w:space="0" w:color="auto"/>
            </w:tcBorders>
          </w:tcPr>
          <w:p w14:paraId="145CFDFB" w14:textId="77777777" w:rsidR="006D1E1C" w:rsidRPr="00C9343F" w:rsidRDefault="006D1E1C" w:rsidP="00F66D98">
            <w:pPr>
              <w:pStyle w:val="TableTextArial-left"/>
              <w:jc w:val="center"/>
            </w:pPr>
            <w:r w:rsidRPr="00C9343F">
              <w:t>E</w:t>
            </w:r>
          </w:p>
        </w:tc>
      </w:tr>
      <w:tr w:rsidR="006D1E1C" w:rsidRPr="00C9343F" w14:paraId="306AF384" w14:textId="77777777" w:rsidTr="006D1E1C">
        <w:trPr>
          <w:cantSplit/>
        </w:trPr>
        <w:tc>
          <w:tcPr>
            <w:tcW w:w="6236" w:type="dxa"/>
            <w:gridSpan w:val="2"/>
            <w:tcBorders>
              <w:top w:val="single" w:sz="6" w:space="0" w:color="auto"/>
              <w:left w:val="single" w:sz="6" w:space="0" w:color="auto"/>
              <w:bottom w:val="single" w:sz="6" w:space="0" w:color="auto"/>
              <w:right w:val="single" w:sz="6" w:space="0" w:color="auto"/>
            </w:tcBorders>
            <w:shd w:val="pct15" w:color="000000" w:fill="FFFFFF"/>
          </w:tcPr>
          <w:p w14:paraId="5A1345D5" w14:textId="77777777" w:rsidR="006D1E1C" w:rsidRPr="00C9343F" w:rsidRDefault="006D1E1C" w:rsidP="00F66D98">
            <w:pPr>
              <w:pStyle w:val="TableTextArial-left"/>
              <w:rPr>
                <w:i/>
              </w:rPr>
            </w:pPr>
            <w:r w:rsidRPr="00C9343F">
              <w:rPr>
                <w:i/>
              </w:rPr>
              <w:t>Other Territories</w:t>
            </w:r>
          </w:p>
        </w:tc>
      </w:tr>
      <w:tr w:rsidR="006D1E1C" w:rsidRPr="00C9343F" w14:paraId="7955A9F9"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120CE174" w14:textId="77777777" w:rsidR="006D1E1C" w:rsidRPr="00C9343F" w:rsidRDefault="006D1E1C" w:rsidP="00F66D98">
            <w:pPr>
              <w:pStyle w:val="TableTextArial-left"/>
            </w:pPr>
            <w:r w:rsidRPr="00C9343F">
              <w:t>Christmas Island</w:t>
            </w:r>
          </w:p>
        </w:tc>
        <w:tc>
          <w:tcPr>
            <w:tcW w:w="2693" w:type="dxa"/>
            <w:tcBorders>
              <w:top w:val="single" w:sz="6" w:space="0" w:color="auto"/>
              <w:left w:val="single" w:sz="6" w:space="0" w:color="auto"/>
              <w:bottom w:val="single" w:sz="6" w:space="0" w:color="auto"/>
              <w:right w:val="single" w:sz="6" w:space="0" w:color="auto"/>
            </w:tcBorders>
          </w:tcPr>
          <w:p w14:paraId="1331D218" w14:textId="77777777" w:rsidR="006D1E1C" w:rsidRPr="00C9343F" w:rsidRDefault="006D1E1C" w:rsidP="00F66D98">
            <w:pPr>
              <w:pStyle w:val="TableTextArial-left"/>
              <w:jc w:val="center"/>
            </w:pPr>
            <w:r w:rsidRPr="00C9343F">
              <w:t>E</w:t>
            </w:r>
          </w:p>
        </w:tc>
      </w:tr>
      <w:tr w:rsidR="006D1E1C" w:rsidRPr="00C9343F" w14:paraId="1C1EAFDA" w14:textId="77777777" w:rsidTr="006D1E1C">
        <w:trPr>
          <w:cantSplit/>
        </w:trPr>
        <w:tc>
          <w:tcPr>
            <w:tcW w:w="3543" w:type="dxa"/>
            <w:tcBorders>
              <w:top w:val="single" w:sz="6" w:space="0" w:color="auto"/>
              <w:left w:val="single" w:sz="6" w:space="0" w:color="auto"/>
              <w:bottom w:val="single" w:sz="6" w:space="0" w:color="auto"/>
              <w:right w:val="single" w:sz="6" w:space="0" w:color="auto"/>
            </w:tcBorders>
          </w:tcPr>
          <w:p w14:paraId="6666ABB1" w14:textId="77777777" w:rsidR="006D1E1C" w:rsidRPr="00C9343F" w:rsidRDefault="006D1E1C" w:rsidP="00F66D98">
            <w:pPr>
              <w:pStyle w:val="TableTextArial-left"/>
            </w:pPr>
            <w:r w:rsidRPr="00C9343F">
              <w:t>Cocos Island</w:t>
            </w:r>
          </w:p>
        </w:tc>
        <w:tc>
          <w:tcPr>
            <w:tcW w:w="2693" w:type="dxa"/>
            <w:tcBorders>
              <w:top w:val="single" w:sz="6" w:space="0" w:color="auto"/>
              <w:left w:val="single" w:sz="6" w:space="0" w:color="auto"/>
              <w:bottom w:val="single" w:sz="6" w:space="0" w:color="auto"/>
              <w:right w:val="single" w:sz="6" w:space="0" w:color="auto"/>
            </w:tcBorders>
          </w:tcPr>
          <w:p w14:paraId="0BD5976C" w14:textId="77777777" w:rsidR="006D1E1C" w:rsidRPr="00C9343F" w:rsidRDefault="006D1E1C" w:rsidP="00F66D98">
            <w:pPr>
              <w:pStyle w:val="TableTextArial-left"/>
              <w:jc w:val="center"/>
            </w:pPr>
            <w:r w:rsidRPr="00C9343F">
              <w:t>E</w:t>
            </w:r>
          </w:p>
        </w:tc>
      </w:tr>
    </w:tbl>
    <w:p w14:paraId="604CF8B6" w14:textId="48C07D6E" w:rsidR="006D1E1C" w:rsidRPr="00C9343F" w:rsidRDefault="006D1E1C" w:rsidP="00F11422">
      <w:pPr>
        <w:pStyle w:val="Heading3"/>
        <w:pageBreakBefore/>
      </w:pPr>
      <w:bookmarkStart w:id="920" w:name="_Toc105053849"/>
      <w:r w:rsidRPr="00C9343F">
        <w:t>Part 5: Meal allowance</w:t>
      </w:r>
      <w:bookmarkEnd w:id="920"/>
    </w:p>
    <w:p w14:paraId="49122B07" w14:textId="15764982" w:rsidR="006D1E1C" w:rsidRPr="00C9343F" w:rsidRDefault="006D1E1C" w:rsidP="00F66D98">
      <w:pPr>
        <w:pStyle w:val="Heading5"/>
      </w:pPr>
      <w:bookmarkStart w:id="921" w:name="_Toc105053850"/>
      <w:bookmarkStart w:id="922" w:name="bk12934PM7x1Purpose"/>
      <w:bookmarkStart w:id="923" w:name="bk40354PM7x1Purpose"/>
      <w:bookmarkStart w:id="924" w:name="bk84858AM761Purpose"/>
      <w:bookmarkStart w:id="925" w:name="bk85538AM761Purpose"/>
      <w:bookmarkStart w:id="926" w:name="bk93406761Purpose"/>
      <w:bookmarkStart w:id="927" w:name="bk134051773Purpose"/>
      <w:r w:rsidRPr="00C9343F">
        <w:t>4.5.2</w:t>
      </w:r>
      <w:r w:rsidR="00D94006" w:rsidRPr="00C9343F">
        <w:t>    </w:t>
      </w:r>
      <w:r w:rsidRPr="00C9343F">
        <w:t>Purpose</w:t>
      </w:r>
      <w:bookmarkEnd w:id="921"/>
    </w:p>
    <w:bookmarkEnd w:id="922"/>
    <w:bookmarkEnd w:id="923"/>
    <w:bookmarkEnd w:id="924"/>
    <w:bookmarkEnd w:id="925"/>
    <w:bookmarkEnd w:id="926"/>
    <w:bookmarkEnd w:id="927"/>
    <w:tbl>
      <w:tblPr>
        <w:tblW w:w="9355" w:type="dxa"/>
        <w:tblInd w:w="113" w:type="dxa"/>
        <w:tblLayout w:type="fixed"/>
        <w:tblLook w:val="0000" w:firstRow="0" w:lastRow="0" w:firstColumn="0" w:lastColumn="0" w:noHBand="0" w:noVBand="0"/>
      </w:tblPr>
      <w:tblGrid>
        <w:gridCol w:w="992"/>
        <w:gridCol w:w="8363"/>
      </w:tblGrid>
      <w:tr w:rsidR="006D1E1C" w:rsidRPr="00C9343F" w14:paraId="3B8FA9BE" w14:textId="77777777" w:rsidTr="00586DA0">
        <w:tc>
          <w:tcPr>
            <w:tcW w:w="992" w:type="dxa"/>
          </w:tcPr>
          <w:p w14:paraId="590980A9" w14:textId="77777777" w:rsidR="006D1E1C" w:rsidRPr="00C9343F" w:rsidRDefault="006D1E1C" w:rsidP="00F66D98">
            <w:pPr>
              <w:pStyle w:val="BlockText-PlainNoSpacing"/>
              <w:jc w:val="center"/>
            </w:pPr>
          </w:p>
        </w:tc>
        <w:tc>
          <w:tcPr>
            <w:tcW w:w="8363" w:type="dxa"/>
          </w:tcPr>
          <w:p w14:paraId="109191B6" w14:textId="39759CF3" w:rsidR="006D1E1C" w:rsidRPr="00C9343F" w:rsidRDefault="006D1E1C" w:rsidP="00F66D98">
            <w:pPr>
              <w:pStyle w:val="BlockText-Plain"/>
            </w:pPr>
            <w:r w:rsidRPr="00C9343F">
              <w:t>Meal allowance assists a member to buy a meal if a Service-provided meal is not available.</w:t>
            </w:r>
          </w:p>
        </w:tc>
      </w:tr>
    </w:tbl>
    <w:p w14:paraId="54457AA0" w14:textId="3983CAB1" w:rsidR="00586DA0" w:rsidRPr="00C9343F" w:rsidRDefault="00586DA0" w:rsidP="00586DA0">
      <w:pPr>
        <w:pStyle w:val="Heading5"/>
      </w:pPr>
      <w:bookmarkStart w:id="928" w:name="_Toc105053851"/>
      <w:bookmarkStart w:id="929" w:name="bk12934PM7x2MemberthisPartappliesto"/>
      <w:bookmarkStart w:id="930" w:name="bk40354PM762MemberthisPartappliesto"/>
      <w:bookmarkStart w:id="931" w:name="bk84858AM762MemberthisPartappliesto"/>
      <w:bookmarkStart w:id="932" w:name="bk85538AM762MemberthisPartappliesto"/>
      <w:bookmarkStart w:id="933" w:name="bk93406762MemberthisPartappliesto"/>
      <w:bookmarkStart w:id="934" w:name="bk134051774MemberthisDivisionappliesto"/>
      <w:r w:rsidRPr="00C9343F">
        <w:t>4.5.2A    Definitions</w:t>
      </w:r>
      <w:bookmarkEnd w:id="928"/>
    </w:p>
    <w:tbl>
      <w:tblPr>
        <w:tblW w:w="0" w:type="dxa"/>
        <w:tblInd w:w="113" w:type="dxa"/>
        <w:tblLayout w:type="fixed"/>
        <w:tblLook w:val="04A0" w:firstRow="1" w:lastRow="0" w:firstColumn="1" w:lastColumn="0" w:noHBand="0" w:noVBand="1"/>
      </w:tblPr>
      <w:tblGrid>
        <w:gridCol w:w="992"/>
        <w:gridCol w:w="8367"/>
      </w:tblGrid>
      <w:tr w:rsidR="00586DA0" w:rsidRPr="00C9343F" w14:paraId="54D84967" w14:textId="77777777" w:rsidTr="00445FEB">
        <w:tc>
          <w:tcPr>
            <w:tcW w:w="992" w:type="dxa"/>
          </w:tcPr>
          <w:p w14:paraId="087E2C69" w14:textId="77777777" w:rsidR="00586DA0" w:rsidRPr="00C9343F" w:rsidRDefault="00586DA0" w:rsidP="00445FEB">
            <w:pPr>
              <w:pStyle w:val="Sectiontext0"/>
              <w:spacing w:line="276" w:lineRule="auto"/>
              <w:jc w:val="center"/>
              <w:rPr>
                <w:lang w:eastAsia="en-US"/>
              </w:rPr>
            </w:pPr>
          </w:p>
        </w:tc>
        <w:tc>
          <w:tcPr>
            <w:tcW w:w="8367" w:type="dxa"/>
            <w:hideMark/>
          </w:tcPr>
          <w:p w14:paraId="6B7A7B47" w14:textId="77777777" w:rsidR="00586DA0" w:rsidRPr="00C9343F" w:rsidRDefault="00586DA0" w:rsidP="00445FEB">
            <w:pPr>
              <w:pStyle w:val="Sectiontext0"/>
              <w:spacing w:line="276" w:lineRule="auto"/>
              <w:rPr>
                <w:rFonts w:cs="Arial"/>
                <w:lang w:eastAsia="en-US"/>
              </w:rPr>
            </w:pPr>
            <w:r w:rsidRPr="00C9343F">
              <w:rPr>
                <w:rFonts w:cs="Arial"/>
                <w:lang w:eastAsia="en-US"/>
              </w:rPr>
              <w:t xml:space="preserve">In this Part the following apply. </w:t>
            </w:r>
          </w:p>
        </w:tc>
      </w:tr>
      <w:tr w:rsidR="00586DA0" w:rsidRPr="00C9343F" w14:paraId="23896285" w14:textId="77777777" w:rsidTr="00445FEB">
        <w:tc>
          <w:tcPr>
            <w:tcW w:w="992" w:type="dxa"/>
          </w:tcPr>
          <w:p w14:paraId="0884E2F1" w14:textId="77777777" w:rsidR="00586DA0" w:rsidRPr="00C9343F" w:rsidRDefault="00586DA0" w:rsidP="00445FEB">
            <w:pPr>
              <w:pStyle w:val="Sectiontext0"/>
              <w:spacing w:line="276" w:lineRule="auto"/>
              <w:jc w:val="center"/>
              <w:rPr>
                <w:lang w:eastAsia="en-US"/>
              </w:rPr>
            </w:pPr>
          </w:p>
        </w:tc>
        <w:tc>
          <w:tcPr>
            <w:tcW w:w="8367" w:type="dxa"/>
            <w:hideMark/>
          </w:tcPr>
          <w:p w14:paraId="6D02E7F4" w14:textId="77777777" w:rsidR="00586DA0" w:rsidRPr="00C9343F" w:rsidRDefault="00586DA0" w:rsidP="00445FEB">
            <w:pPr>
              <w:pStyle w:val="Sectiontext0"/>
              <w:spacing w:line="276" w:lineRule="auto"/>
              <w:rPr>
                <w:rFonts w:cs="Arial"/>
                <w:lang w:eastAsia="en-US"/>
              </w:rPr>
            </w:pPr>
            <w:r w:rsidRPr="00C9343F">
              <w:rPr>
                <w:rFonts w:cs="Arial"/>
                <w:b/>
                <w:lang w:eastAsia="en-US"/>
              </w:rPr>
              <w:t xml:space="preserve">Meal period </w:t>
            </w:r>
            <w:r w:rsidRPr="00C9343F">
              <w:rPr>
                <w:rFonts w:cs="Arial"/>
                <w:lang w:eastAsia="en-US"/>
              </w:rPr>
              <w:t xml:space="preserve">for a member who occupies living in accommodation means a period that the mess at the location of their living in accommodation provides meals for them. </w:t>
            </w:r>
          </w:p>
        </w:tc>
      </w:tr>
    </w:tbl>
    <w:p w14:paraId="116FA176" w14:textId="3BCB972D" w:rsidR="006D1E1C" w:rsidRPr="00C9343F" w:rsidRDefault="006D1E1C" w:rsidP="00F66D98">
      <w:pPr>
        <w:pStyle w:val="Heading5"/>
      </w:pPr>
      <w:bookmarkStart w:id="935" w:name="_Toc105053852"/>
      <w:r w:rsidRPr="00C9343F">
        <w:t>4.5.3</w:t>
      </w:r>
      <w:r w:rsidR="00D94006" w:rsidRPr="00C9343F">
        <w:t>    </w:t>
      </w:r>
      <w:r w:rsidRPr="00C9343F">
        <w:t>Member this Part applies to</w:t>
      </w:r>
      <w:bookmarkEnd w:id="935"/>
    </w:p>
    <w:bookmarkEnd w:id="929"/>
    <w:bookmarkEnd w:id="930"/>
    <w:bookmarkEnd w:id="931"/>
    <w:bookmarkEnd w:id="932"/>
    <w:bookmarkEnd w:id="933"/>
    <w:bookmarkEnd w:id="934"/>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0205CE4C" w14:textId="77777777" w:rsidTr="006D1E1C">
        <w:tc>
          <w:tcPr>
            <w:tcW w:w="992" w:type="dxa"/>
          </w:tcPr>
          <w:p w14:paraId="0291F1A1" w14:textId="77777777" w:rsidR="006D1E1C" w:rsidRPr="00C9343F" w:rsidRDefault="006D1E1C" w:rsidP="00F66D98">
            <w:pPr>
              <w:pStyle w:val="BlockText-Plain"/>
              <w:jc w:val="center"/>
            </w:pPr>
          </w:p>
        </w:tc>
        <w:tc>
          <w:tcPr>
            <w:tcW w:w="8363" w:type="dxa"/>
            <w:gridSpan w:val="2"/>
          </w:tcPr>
          <w:p w14:paraId="33EF6516" w14:textId="77777777" w:rsidR="006D1E1C" w:rsidRPr="00C9343F" w:rsidRDefault="006D1E1C" w:rsidP="00F66D98">
            <w:pPr>
              <w:pStyle w:val="BlockText-Plain"/>
            </w:pPr>
            <w:r w:rsidRPr="00C9343F">
              <w:t>This Part applies to a member who meets either of these conditions, unless section 4.5.4 applies.</w:t>
            </w:r>
          </w:p>
        </w:tc>
      </w:tr>
      <w:tr w:rsidR="006D1E1C" w:rsidRPr="00C9343F" w14:paraId="61FF2412" w14:textId="77777777" w:rsidTr="006D1E1C">
        <w:trPr>
          <w:cantSplit/>
        </w:trPr>
        <w:tc>
          <w:tcPr>
            <w:tcW w:w="992" w:type="dxa"/>
          </w:tcPr>
          <w:p w14:paraId="33C7E0CC" w14:textId="77777777" w:rsidR="006D1E1C" w:rsidRPr="00C9343F" w:rsidRDefault="006D1E1C" w:rsidP="00F66D98">
            <w:pPr>
              <w:pStyle w:val="BlockText-Plain"/>
            </w:pPr>
          </w:p>
        </w:tc>
        <w:tc>
          <w:tcPr>
            <w:tcW w:w="567" w:type="dxa"/>
          </w:tcPr>
          <w:p w14:paraId="1607CBE1" w14:textId="77777777" w:rsidR="006D1E1C" w:rsidRPr="00C9343F" w:rsidRDefault="006D1E1C" w:rsidP="008D1B5D">
            <w:pPr>
              <w:pStyle w:val="BlockText-Plain"/>
              <w:jc w:val="center"/>
            </w:pPr>
            <w:r w:rsidRPr="00C9343F">
              <w:t>a.</w:t>
            </w:r>
          </w:p>
        </w:tc>
        <w:tc>
          <w:tcPr>
            <w:tcW w:w="7796" w:type="dxa"/>
          </w:tcPr>
          <w:p w14:paraId="44253215" w14:textId="77777777" w:rsidR="006D1E1C" w:rsidRPr="00C9343F" w:rsidRDefault="006D1E1C" w:rsidP="00F66D98">
            <w:pPr>
              <w:pStyle w:val="BlockText-Plain"/>
            </w:pPr>
            <w:r w:rsidRPr="00C9343F">
              <w:t>They are serving in Australia. This includes a member on Reserve service.</w:t>
            </w:r>
          </w:p>
        </w:tc>
      </w:tr>
      <w:tr w:rsidR="006D1E1C" w:rsidRPr="00C9343F" w14:paraId="43D6A7E9" w14:textId="77777777" w:rsidTr="006D1E1C">
        <w:trPr>
          <w:cantSplit/>
        </w:trPr>
        <w:tc>
          <w:tcPr>
            <w:tcW w:w="992" w:type="dxa"/>
          </w:tcPr>
          <w:p w14:paraId="1417BB94" w14:textId="77777777" w:rsidR="006D1E1C" w:rsidRPr="00C9343F" w:rsidRDefault="006D1E1C" w:rsidP="00F66D98">
            <w:pPr>
              <w:pStyle w:val="BlockText-Plain"/>
            </w:pPr>
          </w:p>
        </w:tc>
        <w:tc>
          <w:tcPr>
            <w:tcW w:w="567" w:type="dxa"/>
          </w:tcPr>
          <w:p w14:paraId="6D83EBF6" w14:textId="77777777" w:rsidR="006D1E1C" w:rsidRPr="00C9343F" w:rsidRDefault="006D1E1C" w:rsidP="008D1B5D">
            <w:pPr>
              <w:pStyle w:val="BlockText-Plain"/>
              <w:jc w:val="center"/>
            </w:pPr>
            <w:r w:rsidRPr="00C9343F">
              <w:t>b.</w:t>
            </w:r>
          </w:p>
        </w:tc>
        <w:tc>
          <w:tcPr>
            <w:tcW w:w="7796" w:type="dxa"/>
          </w:tcPr>
          <w:p w14:paraId="1917DF1A" w14:textId="1CE6F6C1" w:rsidR="006D1E1C" w:rsidRPr="00C9343F" w:rsidRDefault="006D1E1C" w:rsidP="00BB747F">
            <w:pPr>
              <w:pStyle w:val="BlockText-Plain"/>
            </w:pPr>
            <w:r w:rsidRPr="00C9343F">
              <w:t>They are an applicant for entry into the ADF and section 2.1.4 applies to them.</w:t>
            </w:r>
          </w:p>
        </w:tc>
      </w:tr>
    </w:tbl>
    <w:p w14:paraId="1CF469B7" w14:textId="530EA02B" w:rsidR="006D1E1C" w:rsidRPr="00C9343F" w:rsidRDefault="006D1E1C" w:rsidP="00F66D98">
      <w:pPr>
        <w:pStyle w:val="Heading5"/>
      </w:pPr>
      <w:bookmarkStart w:id="936" w:name="_Toc105053853"/>
      <w:bookmarkStart w:id="937" w:name="bk12935PM7x3Mealallowancenotpaid"/>
      <w:bookmarkStart w:id="938" w:name="bk40354PM763Mealallowancenotpaid"/>
      <w:bookmarkStart w:id="939" w:name="bk84859AM763Mealallowancenotpaid"/>
      <w:bookmarkStart w:id="940" w:name="bk85538AM763Mealallowancenotpaid"/>
      <w:bookmarkStart w:id="941" w:name="bk93406763Mealallowancenotpaid"/>
      <w:bookmarkStart w:id="942" w:name="bk134051775Mealallowancenotpaid"/>
      <w:r w:rsidRPr="00C9343F">
        <w:t>4.5.4</w:t>
      </w:r>
      <w:r w:rsidR="00D94006" w:rsidRPr="00C9343F">
        <w:t>    </w:t>
      </w:r>
      <w:r w:rsidRPr="00C9343F">
        <w:t>Meal allowance not paid</w:t>
      </w:r>
      <w:bookmarkEnd w:id="936"/>
    </w:p>
    <w:bookmarkEnd w:id="937"/>
    <w:bookmarkEnd w:id="938"/>
    <w:bookmarkEnd w:id="939"/>
    <w:bookmarkEnd w:id="940"/>
    <w:bookmarkEnd w:id="941"/>
    <w:bookmarkEnd w:id="942"/>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134C2969" w14:textId="77777777" w:rsidTr="006D1E1C">
        <w:tc>
          <w:tcPr>
            <w:tcW w:w="992" w:type="dxa"/>
          </w:tcPr>
          <w:p w14:paraId="678863AD" w14:textId="77777777" w:rsidR="006D1E1C" w:rsidRPr="00C9343F" w:rsidRDefault="006D1E1C" w:rsidP="00F66D98">
            <w:pPr>
              <w:pStyle w:val="BlockText-Plain"/>
              <w:jc w:val="center"/>
            </w:pPr>
          </w:p>
        </w:tc>
        <w:tc>
          <w:tcPr>
            <w:tcW w:w="8363" w:type="dxa"/>
            <w:gridSpan w:val="2"/>
          </w:tcPr>
          <w:p w14:paraId="7664C7A6" w14:textId="77777777" w:rsidR="006D1E1C" w:rsidRPr="00C9343F" w:rsidRDefault="006D1E1C" w:rsidP="00F66D98">
            <w:pPr>
              <w:pStyle w:val="BlockText-Plain"/>
            </w:pPr>
            <w:r w:rsidRPr="00C9343F">
              <w:t xml:space="preserve">Meal allowance is not paid for a meal period when any of these conditions are met. </w:t>
            </w:r>
          </w:p>
        </w:tc>
      </w:tr>
      <w:tr w:rsidR="006D1E1C" w:rsidRPr="00C9343F" w14:paraId="31FFA372" w14:textId="77777777" w:rsidTr="006D1E1C">
        <w:trPr>
          <w:cantSplit/>
        </w:trPr>
        <w:tc>
          <w:tcPr>
            <w:tcW w:w="992" w:type="dxa"/>
          </w:tcPr>
          <w:p w14:paraId="6BDD6F98" w14:textId="77777777" w:rsidR="006D1E1C" w:rsidRPr="00C9343F" w:rsidRDefault="006D1E1C" w:rsidP="00F66D98">
            <w:pPr>
              <w:pStyle w:val="BlockText-Plain"/>
            </w:pPr>
          </w:p>
        </w:tc>
        <w:tc>
          <w:tcPr>
            <w:tcW w:w="567" w:type="dxa"/>
          </w:tcPr>
          <w:p w14:paraId="290EFAE1" w14:textId="77777777" w:rsidR="006D1E1C" w:rsidRPr="00C9343F" w:rsidRDefault="006D1E1C" w:rsidP="008D1B5D">
            <w:pPr>
              <w:pStyle w:val="BlockText-Plain"/>
              <w:jc w:val="center"/>
            </w:pPr>
            <w:r w:rsidRPr="00C9343F">
              <w:t>a.</w:t>
            </w:r>
          </w:p>
        </w:tc>
        <w:tc>
          <w:tcPr>
            <w:tcW w:w="7796" w:type="dxa"/>
          </w:tcPr>
          <w:p w14:paraId="3EBB4981" w14:textId="77777777" w:rsidR="006D1E1C" w:rsidRPr="00C9343F" w:rsidRDefault="006D1E1C" w:rsidP="00F66D98">
            <w:pPr>
              <w:pStyle w:val="BlockText-Plain"/>
            </w:pPr>
            <w:r w:rsidRPr="00C9343F">
              <w:t>The member is eligible for travelling allowance or use of the travel card.</w:t>
            </w:r>
          </w:p>
        </w:tc>
      </w:tr>
      <w:tr w:rsidR="006D1E1C" w:rsidRPr="00C9343F" w14:paraId="658CE1A7" w14:textId="77777777" w:rsidTr="006D1E1C">
        <w:trPr>
          <w:cantSplit/>
        </w:trPr>
        <w:tc>
          <w:tcPr>
            <w:tcW w:w="992" w:type="dxa"/>
          </w:tcPr>
          <w:p w14:paraId="372E0E21" w14:textId="77777777" w:rsidR="006D1E1C" w:rsidRPr="00C9343F" w:rsidRDefault="006D1E1C" w:rsidP="00F66D98">
            <w:pPr>
              <w:pStyle w:val="BlockText-Plain"/>
            </w:pPr>
          </w:p>
        </w:tc>
        <w:tc>
          <w:tcPr>
            <w:tcW w:w="567" w:type="dxa"/>
          </w:tcPr>
          <w:p w14:paraId="7CE0C6ED" w14:textId="77777777" w:rsidR="006D1E1C" w:rsidRPr="00C9343F" w:rsidRDefault="006D1E1C" w:rsidP="008D1B5D">
            <w:pPr>
              <w:pStyle w:val="BlockText-Plain"/>
              <w:jc w:val="center"/>
            </w:pPr>
            <w:r w:rsidRPr="00C9343F">
              <w:t>b.</w:t>
            </w:r>
          </w:p>
        </w:tc>
        <w:tc>
          <w:tcPr>
            <w:tcW w:w="7796" w:type="dxa"/>
          </w:tcPr>
          <w:p w14:paraId="563C621D" w14:textId="77777777" w:rsidR="006D1E1C" w:rsidRPr="00C9343F" w:rsidRDefault="006D1E1C" w:rsidP="00F66D98">
            <w:pPr>
              <w:pStyle w:val="BlockText-Plain"/>
            </w:pPr>
            <w:r w:rsidRPr="00C9343F">
              <w:t>The Commonwealth makes a meal available to the member.</w:t>
            </w:r>
          </w:p>
        </w:tc>
      </w:tr>
      <w:tr w:rsidR="006D1E1C" w:rsidRPr="00C9343F" w14:paraId="44F0B5DE" w14:textId="77777777" w:rsidTr="006D1E1C">
        <w:trPr>
          <w:cantSplit/>
        </w:trPr>
        <w:tc>
          <w:tcPr>
            <w:tcW w:w="992" w:type="dxa"/>
          </w:tcPr>
          <w:p w14:paraId="68B9ABD1" w14:textId="77777777" w:rsidR="006D1E1C" w:rsidRPr="00C9343F" w:rsidRDefault="006D1E1C" w:rsidP="00F66D98">
            <w:pPr>
              <w:pStyle w:val="BlockText-Plain"/>
            </w:pPr>
          </w:p>
        </w:tc>
        <w:tc>
          <w:tcPr>
            <w:tcW w:w="567" w:type="dxa"/>
          </w:tcPr>
          <w:p w14:paraId="36015D33" w14:textId="77777777" w:rsidR="006D1E1C" w:rsidRPr="00C9343F" w:rsidRDefault="006D1E1C" w:rsidP="008D1B5D">
            <w:pPr>
              <w:pStyle w:val="BlockText-Plain"/>
              <w:jc w:val="center"/>
            </w:pPr>
            <w:r w:rsidRPr="00C9343F">
              <w:t>c.</w:t>
            </w:r>
          </w:p>
        </w:tc>
        <w:tc>
          <w:tcPr>
            <w:tcW w:w="7796" w:type="dxa"/>
          </w:tcPr>
          <w:p w14:paraId="6D61330F" w14:textId="77777777" w:rsidR="006D1E1C" w:rsidRPr="00C9343F" w:rsidRDefault="006D1E1C" w:rsidP="00F66D98">
            <w:pPr>
              <w:pStyle w:val="BlockText-Plain"/>
            </w:pPr>
            <w:r w:rsidRPr="00C9343F">
              <w:t>A meal is included in the fare for a journey.</w:t>
            </w:r>
          </w:p>
        </w:tc>
      </w:tr>
      <w:tr w:rsidR="006D1E1C" w:rsidRPr="00C9343F" w14:paraId="4FC38B96" w14:textId="77777777" w:rsidTr="006D1E1C">
        <w:trPr>
          <w:cantSplit/>
        </w:trPr>
        <w:tc>
          <w:tcPr>
            <w:tcW w:w="992" w:type="dxa"/>
          </w:tcPr>
          <w:p w14:paraId="617DE362" w14:textId="77777777" w:rsidR="006D1E1C" w:rsidRPr="00C9343F" w:rsidRDefault="006D1E1C" w:rsidP="00F66D98">
            <w:pPr>
              <w:pStyle w:val="BlockText-Plain"/>
            </w:pPr>
            <w:bookmarkStart w:id="943" w:name="bk12935PM7x4Mealperioddefinition"/>
            <w:bookmarkStart w:id="944" w:name="bk40354PM764Mealperioddefinition"/>
            <w:bookmarkStart w:id="945" w:name="bk84859AM764Mealperioddefinition"/>
            <w:bookmarkStart w:id="946" w:name="bk85538AM764Mealperioddefinition"/>
            <w:bookmarkStart w:id="947" w:name="bk93406764Mealperioddefinition"/>
          </w:p>
        </w:tc>
        <w:tc>
          <w:tcPr>
            <w:tcW w:w="567" w:type="dxa"/>
          </w:tcPr>
          <w:p w14:paraId="3589095C" w14:textId="77777777" w:rsidR="006D1E1C" w:rsidRPr="00C9343F" w:rsidRDefault="006D1E1C" w:rsidP="008D1B5D">
            <w:pPr>
              <w:pStyle w:val="BlockText-Plain"/>
              <w:jc w:val="center"/>
            </w:pPr>
            <w:r w:rsidRPr="00C9343F">
              <w:t>d.</w:t>
            </w:r>
          </w:p>
        </w:tc>
        <w:tc>
          <w:tcPr>
            <w:tcW w:w="7796" w:type="dxa"/>
          </w:tcPr>
          <w:p w14:paraId="6538D155" w14:textId="77777777" w:rsidR="006D1E1C" w:rsidRPr="00C9343F" w:rsidRDefault="006D1E1C" w:rsidP="00F66D98">
            <w:pPr>
              <w:pStyle w:val="BlockText-Plain"/>
            </w:pPr>
            <w:r w:rsidRPr="00C9343F">
              <w:t>A transport operator makes a meal available to the member.</w:t>
            </w:r>
          </w:p>
        </w:tc>
      </w:tr>
      <w:tr w:rsidR="006D1E1C" w:rsidRPr="00C9343F" w14:paraId="33EA35AA" w14:textId="77777777" w:rsidTr="006D1E1C">
        <w:trPr>
          <w:cantSplit/>
        </w:trPr>
        <w:tc>
          <w:tcPr>
            <w:tcW w:w="992" w:type="dxa"/>
          </w:tcPr>
          <w:p w14:paraId="1BCECDF0" w14:textId="77777777" w:rsidR="006D1E1C" w:rsidRPr="00C9343F" w:rsidRDefault="006D1E1C" w:rsidP="00F66D98">
            <w:pPr>
              <w:pStyle w:val="BlockText-Plain"/>
            </w:pPr>
          </w:p>
        </w:tc>
        <w:tc>
          <w:tcPr>
            <w:tcW w:w="567" w:type="dxa"/>
          </w:tcPr>
          <w:p w14:paraId="67BF3EDC" w14:textId="77777777" w:rsidR="006D1E1C" w:rsidRPr="00C9343F" w:rsidRDefault="006D1E1C" w:rsidP="00F66D98">
            <w:pPr>
              <w:pStyle w:val="BlockText-Plain"/>
            </w:pPr>
          </w:p>
        </w:tc>
        <w:tc>
          <w:tcPr>
            <w:tcW w:w="7796" w:type="dxa"/>
          </w:tcPr>
          <w:p w14:paraId="2EDB737C" w14:textId="77777777" w:rsidR="006D1E1C" w:rsidRPr="00C9343F" w:rsidRDefault="006D1E1C" w:rsidP="00F66D98">
            <w:pPr>
              <w:pStyle w:val="BlockText-Plain"/>
            </w:pPr>
            <w:r w:rsidRPr="00C9343F">
              <w:rPr>
                <w:b/>
              </w:rPr>
              <w:t>Exception:</w:t>
            </w:r>
            <w:r w:rsidRPr="00C9343F">
              <w:t xml:space="preserve"> An in-flight meal on a commercial aircraft does not count as a meal for this Part. Meal allowance is still payable to a member who gets an in-flight meal.</w:t>
            </w:r>
          </w:p>
        </w:tc>
      </w:tr>
    </w:tbl>
    <w:p w14:paraId="56D9C370" w14:textId="76760EAA" w:rsidR="006D1E1C" w:rsidRPr="00C9343F" w:rsidRDefault="006D1E1C" w:rsidP="00F66D98">
      <w:pPr>
        <w:pStyle w:val="Heading5"/>
      </w:pPr>
      <w:bookmarkStart w:id="948" w:name="_Toc105053854"/>
      <w:bookmarkStart w:id="949" w:name="bk12935PM7x5Memberwholivesin"/>
      <w:bookmarkStart w:id="950" w:name="bk40354PM765Memberwholivesin"/>
      <w:bookmarkStart w:id="951" w:name="bk84859AM765Memberwholivesin"/>
      <w:bookmarkStart w:id="952" w:name="bk85539AM765Memberwholivesin"/>
      <w:bookmarkStart w:id="953" w:name="bk93406765Memberwholivesin"/>
      <w:bookmarkStart w:id="954" w:name="bk134052777Memberwholivesin"/>
      <w:bookmarkEnd w:id="943"/>
      <w:bookmarkEnd w:id="944"/>
      <w:bookmarkEnd w:id="945"/>
      <w:bookmarkEnd w:id="946"/>
      <w:bookmarkEnd w:id="947"/>
      <w:r w:rsidRPr="00C9343F">
        <w:t>4.5.6</w:t>
      </w:r>
      <w:r w:rsidR="00D94006" w:rsidRPr="00C9343F">
        <w:t>    </w:t>
      </w:r>
      <w:r w:rsidRPr="00C9343F">
        <w:t>Member who lives in</w:t>
      </w:r>
      <w:bookmarkEnd w:id="948"/>
    </w:p>
    <w:tbl>
      <w:tblPr>
        <w:tblW w:w="0" w:type="auto"/>
        <w:tblInd w:w="113" w:type="dxa"/>
        <w:tblLayout w:type="fixed"/>
        <w:tblLook w:val="0000" w:firstRow="0" w:lastRow="0" w:firstColumn="0" w:lastColumn="0" w:noHBand="0" w:noVBand="0"/>
      </w:tblPr>
      <w:tblGrid>
        <w:gridCol w:w="992"/>
        <w:gridCol w:w="567"/>
        <w:gridCol w:w="567"/>
        <w:gridCol w:w="7233"/>
      </w:tblGrid>
      <w:tr w:rsidR="006D1E1C" w:rsidRPr="00C9343F" w14:paraId="21A27EDF" w14:textId="77777777" w:rsidTr="006D1E1C">
        <w:tc>
          <w:tcPr>
            <w:tcW w:w="992" w:type="dxa"/>
          </w:tcPr>
          <w:bookmarkEnd w:id="949"/>
          <w:bookmarkEnd w:id="950"/>
          <w:bookmarkEnd w:id="951"/>
          <w:bookmarkEnd w:id="952"/>
          <w:bookmarkEnd w:id="953"/>
          <w:bookmarkEnd w:id="954"/>
          <w:p w14:paraId="7B2B7AF2" w14:textId="77777777" w:rsidR="006D1E1C" w:rsidRPr="00C9343F" w:rsidRDefault="006D1E1C" w:rsidP="00F66D98">
            <w:pPr>
              <w:pStyle w:val="BlockText-Plain"/>
              <w:jc w:val="center"/>
            </w:pPr>
            <w:r w:rsidRPr="00C9343F">
              <w:t>1.</w:t>
            </w:r>
          </w:p>
        </w:tc>
        <w:tc>
          <w:tcPr>
            <w:tcW w:w="8367" w:type="dxa"/>
            <w:gridSpan w:val="3"/>
          </w:tcPr>
          <w:p w14:paraId="4E189F42" w14:textId="77777777" w:rsidR="006D1E1C" w:rsidRPr="00C9343F" w:rsidRDefault="006D1E1C" w:rsidP="00F66D98">
            <w:pPr>
              <w:pStyle w:val="BlockText-Plain"/>
            </w:pPr>
            <w:r w:rsidRPr="00C9343F">
              <w:t xml:space="preserve">This section applies to a member who lives in and pays a contribution for meals under Chapter 7 Part 9 </w:t>
            </w:r>
            <w:r w:rsidR="009B08CE" w:rsidRPr="00C9343F">
              <w:rPr>
                <w:iCs/>
              </w:rPr>
              <w:t>Division 1</w:t>
            </w:r>
            <w:r w:rsidRPr="00C9343F">
              <w:t xml:space="preserve">. The member must meet one of these conditions. </w:t>
            </w:r>
          </w:p>
        </w:tc>
      </w:tr>
      <w:tr w:rsidR="006D1E1C" w:rsidRPr="00C9343F" w14:paraId="6620909A" w14:textId="77777777" w:rsidTr="006D1E1C">
        <w:trPr>
          <w:cantSplit/>
        </w:trPr>
        <w:tc>
          <w:tcPr>
            <w:tcW w:w="992" w:type="dxa"/>
          </w:tcPr>
          <w:p w14:paraId="71E9E6F5" w14:textId="77777777" w:rsidR="006D1E1C" w:rsidRPr="00C9343F" w:rsidRDefault="006D1E1C" w:rsidP="00F66D98">
            <w:pPr>
              <w:pStyle w:val="BlockText-Plain"/>
            </w:pPr>
          </w:p>
        </w:tc>
        <w:tc>
          <w:tcPr>
            <w:tcW w:w="567" w:type="dxa"/>
          </w:tcPr>
          <w:p w14:paraId="354E3CD1" w14:textId="77777777" w:rsidR="006D1E1C" w:rsidRPr="00C9343F" w:rsidRDefault="006D1E1C" w:rsidP="008D1B5D">
            <w:pPr>
              <w:pStyle w:val="BlockText-Plain"/>
              <w:jc w:val="center"/>
            </w:pPr>
            <w:r w:rsidRPr="00C9343F">
              <w:t>a.</w:t>
            </w:r>
          </w:p>
        </w:tc>
        <w:tc>
          <w:tcPr>
            <w:tcW w:w="7800" w:type="dxa"/>
            <w:gridSpan w:val="2"/>
          </w:tcPr>
          <w:p w14:paraId="157FE27D" w14:textId="77777777" w:rsidR="006D1E1C" w:rsidRPr="00C9343F" w:rsidRDefault="006D1E1C" w:rsidP="00F66D98">
            <w:pPr>
              <w:pStyle w:val="BlockText-Plain"/>
            </w:pPr>
            <w:r w:rsidRPr="00C9343F">
              <w:t>They are on duty away from their normal place of duty during a meal period.</w:t>
            </w:r>
          </w:p>
        </w:tc>
      </w:tr>
      <w:tr w:rsidR="006D1E1C" w:rsidRPr="00C9343F" w14:paraId="188E0C1B" w14:textId="77777777" w:rsidTr="006D1E1C">
        <w:trPr>
          <w:cantSplit/>
        </w:trPr>
        <w:tc>
          <w:tcPr>
            <w:tcW w:w="992" w:type="dxa"/>
          </w:tcPr>
          <w:p w14:paraId="0A5850D2" w14:textId="77777777" w:rsidR="006D1E1C" w:rsidRPr="00C9343F" w:rsidRDefault="006D1E1C" w:rsidP="00F66D98">
            <w:pPr>
              <w:pStyle w:val="BlockText-Plain"/>
            </w:pPr>
          </w:p>
        </w:tc>
        <w:tc>
          <w:tcPr>
            <w:tcW w:w="567" w:type="dxa"/>
          </w:tcPr>
          <w:p w14:paraId="792138D7" w14:textId="77777777" w:rsidR="006D1E1C" w:rsidRPr="00C9343F" w:rsidRDefault="006D1E1C" w:rsidP="008D1B5D">
            <w:pPr>
              <w:pStyle w:val="BlockText-Plain"/>
              <w:jc w:val="center"/>
            </w:pPr>
            <w:r w:rsidRPr="00C9343F">
              <w:t>b.</w:t>
            </w:r>
          </w:p>
        </w:tc>
        <w:tc>
          <w:tcPr>
            <w:tcW w:w="7800" w:type="dxa"/>
            <w:gridSpan w:val="2"/>
          </w:tcPr>
          <w:p w14:paraId="0A8E84EC" w14:textId="77777777" w:rsidR="006D1E1C" w:rsidRPr="00C9343F" w:rsidRDefault="006D1E1C" w:rsidP="00F66D98">
            <w:pPr>
              <w:pStyle w:val="BlockText-Plain"/>
            </w:pPr>
            <w:r w:rsidRPr="00C9343F">
              <w:t>They are performing duty at their normal place of duty during a meal period.</w:t>
            </w:r>
          </w:p>
        </w:tc>
      </w:tr>
      <w:tr w:rsidR="006D1E1C" w:rsidRPr="00C9343F" w14:paraId="03ECAFBC" w14:textId="77777777" w:rsidTr="006D1E1C">
        <w:trPr>
          <w:cantSplit/>
        </w:trPr>
        <w:tc>
          <w:tcPr>
            <w:tcW w:w="992" w:type="dxa"/>
          </w:tcPr>
          <w:p w14:paraId="1C732E65" w14:textId="77777777" w:rsidR="006D1E1C" w:rsidRPr="00C9343F" w:rsidRDefault="006D1E1C" w:rsidP="00F66D98">
            <w:pPr>
              <w:pStyle w:val="BlockText-Plain"/>
            </w:pPr>
          </w:p>
        </w:tc>
        <w:tc>
          <w:tcPr>
            <w:tcW w:w="567" w:type="dxa"/>
          </w:tcPr>
          <w:p w14:paraId="09C79038" w14:textId="77777777" w:rsidR="006D1E1C" w:rsidRPr="00C9343F" w:rsidRDefault="006D1E1C" w:rsidP="008D1B5D">
            <w:pPr>
              <w:pStyle w:val="BlockText-Plain"/>
              <w:jc w:val="center"/>
            </w:pPr>
            <w:r w:rsidRPr="00C9343F">
              <w:t>c.</w:t>
            </w:r>
          </w:p>
        </w:tc>
        <w:tc>
          <w:tcPr>
            <w:tcW w:w="7800" w:type="dxa"/>
            <w:gridSpan w:val="2"/>
          </w:tcPr>
          <w:p w14:paraId="47F4584F" w14:textId="77777777" w:rsidR="006D1E1C" w:rsidRPr="00C9343F" w:rsidRDefault="006D1E1C" w:rsidP="00F66D98">
            <w:pPr>
              <w:pStyle w:val="BlockText-Plain"/>
            </w:pPr>
            <w:r w:rsidRPr="00C9343F">
              <w:t>They perform extra duty before or after normal duty and one of these conditions is met.</w:t>
            </w:r>
          </w:p>
        </w:tc>
      </w:tr>
      <w:tr w:rsidR="006D1E1C" w:rsidRPr="00C9343F" w14:paraId="4EEA30C9" w14:textId="77777777" w:rsidTr="006D1E1C">
        <w:trPr>
          <w:cantSplit/>
        </w:trPr>
        <w:tc>
          <w:tcPr>
            <w:tcW w:w="1559" w:type="dxa"/>
            <w:gridSpan w:val="2"/>
          </w:tcPr>
          <w:p w14:paraId="2A1E7B64" w14:textId="77777777" w:rsidR="006D1E1C" w:rsidRPr="00C9343F" w:rsidRDefault="006D1E1C" w:rsidP="00F66D98">
            <w:pPr>
              <w:pStyle w:val="BlockText-Plain"/>
            </w:pPr>
          </w:p>
        </w:tc>
        <w:tc>
          <w:tcPr>
            <w:tcW w:w="567" w:type="dxa"/>
          </w:tcPr>
          <w:p w14:paraId="6E7078BA" w14:textId="77777777" w:rsidR="006D1E1C" w:rsidRPr="00C9343F" w:rsidRDefault="006D1E1C" w:rsidP="00E62EB5">
            <w:pPr>
              <w:pStyle w:val="BlockText-Plain"/>
            </w:pPr>
            <w:r w:rsidRPr="00C9343F">
              <w:t>i.</w:t>
            </w:r>
          </w:p>
        </w:tc>
        <w:tc>
          <w:tcPr>
            <w:tcW w:w="7233" w:type="dxa"/>
          </w:tcPr>
          <w:p w14:paraId="6BD469C2" w14:textId="77777777" w:rsidR="006D1E1C" w:rsidRPr="00C9343F" w:rsidRDefault="006D1E1C" w:rsidP="00F66D98">
            <w:pPr>
              <w:pStyle w:val="BlockText-Plain"/>
            </w:pPr>
            <w:r w:rsidRPr="00C9343F">
              <w:t>They get a meal break between the normal duty and the extra duty.</w:t>
            </w:r>
          </w:p>
        </w:tc>
      </w:tr>
      <w:tr w:rsidR="006D1E1C" w:rsidRPr="00C9343F" w14:paraId="0831B003" w14:textId="77777777" w:rsidTr="006D1E1C">
        <w:trPr>
          <w:cantSplit/>
        </w:trPr>
        <w:tc>
          <w:tcPr>
            <w:tcW w:w="1559" w:type="dxa"/>
            <w:gridSpan w:val="2"/>
          </w:tcPr>
          <w:p w14:paraId="095E6BDC" w14:textId="77777777" w:rsidR="006D1E1C" w:rsidRPr="00C9343F" w:rsidRDefault="006D1E1C" w:rsidP="00F66D98">
            <w:pPr>
              <w:pStyle w:val="BlockText-Plain"/>
            </w:pPr>
          </w:p>
        </w:tc>
        <w:tc>
          <w:tcPr>
            <w:tcW w:w="567" w:type="dxa"/>
          </w:tcPr>
          <w:p w14:paraId="065C8C6D" w14:textId="77777777" w:rsidR="006D1E1C" w:rsidRPr="00C9343F" w:rsidRDefault="006D1E1C" w:rsidP="00E62EB5">
            <w:pPr>
              <w:pStyle w:val="BlockText-Plain"/>
            </w:pPr>
            <w:r w:rsidRPr="00C9343F">
              <w:t>ii.</w:t>
            </w:r>
          </w:p>
        </w:tc>
        <w:tc>
          <w:tcPr>
            <w:tcW w:w="7233" w:type="dxa"/>
          </w:tcPr>
          <w:p w14:paraId="2783D93D" w14:textId="77777777" w:rsidR="006D1E1C" w:rsidRPr="00C9343F" w:rsidRDefault="006D1E1C" w:rsidP="00F66D98">
            <w:pPr>
              <w:pStyle w:val="BlockText-Plain"/>
            </w:pPr>
            <w:r w:rsidRPr="00C9343F">
              <w:t>They do not get a meal break after the normal duty. The extra duty runs until after the next meal period.</w:t>
            </w:r>
          </w:p>
        </w:tc>
      </w:tr>
      <w:tr w:rsidR="006D1E1C" w:rsidRPr="00C9343F" w14:paraId="2583701F" w14:textId="77777777" w:rsidTr="006D1E1C">
        <w:trPr>
          <w:cantSplit/>
        </w:trPr>
        <w:tc>
          <w:tcPr>
            <w:tcW w:w="992" w:type="dxa"/>
          </w:tcPr>
          <w:p w14:paraId="753A1510" w14:textId="77777777" w:rsidR="006D1E1C" w:rsidRPr="00C9343F" w:rsidRDefault="006D1E1C" w:rsidP="00F66D98">
            <w:pPr>
              <w:pStyle w:val="BlockText-Plain"/>
            </w:pPr>
          </w:p>
        </w:tc>
        <w:tc>
          <w:tcPr>
            <w:tcW w:w="567" w:type="dxa"/>
          </w:tcPr>
          <w:p w14:paraId="50470CEF" w14:textId="77777777" w:rsidR="006D1E1C" w:rsidRPr="00C9343F" w:rsidRDefault="006D1E1C" w:rsidP="008D1B5D">
            <w:pPr>
              <w:pStyle w:val="BlockText-Plain"/>
              <w:jc w:val="center"/>
            </w:pPr>
            <w:r w:rsidRPr="00C9343F">
              <w:t>d.</w:t>
            </w:r>
          </w:p>
        </w:tc>
        <w:tc>
          <w:tcPr>
            <w:tcW w:w="7800" w:type="dxa"/>
            <w:gridSpan w:val="2"/>
          </w:tcPr>
          <w:p w14:paraId="50C80C0F" w14:textId="77777777" w:rsidR="006D1E1C" w:rsidRPr="00C9343F" w:rsidRDefault="006D1E1C" w:rsidP="00F66D98">
            <w:pPr>
              <w:pStyle w:val="BlockText-Plain"/>
            </w:pPr>
            <w:r w:rsidRPr="00C9343F">
              <w:t>Their normal place of duty is in a capital city. This applies for lunch only.</w:t>
            </w:r>
          </w:p>
        </w:tc>
      </w:tr>
      <w:tr w:rsidR="006D1E1C" w:rsidRPr="00C9343F" w14:paraId="05CCB80F" w14:textId="77777777" w:rsidTr="006D1E1C">
        <w:tc>
          <w:tcPr>
            <w:tcW w:w="992" w:type="dxa"/>
          </w:tcPr>
          <w:p w14:paraId="3E71127B" w14:textId="77777777" w:rsidR="006D1E1C" w:rsidRPr="00C9343F" w:rsidRDefault="006D1E1C" w:rsidP="00F66D98">
            <w:pPr>
              <w:pStyle w:val="BlockText-Plain"/>
              <w:jc w:val="center"/>
            </w:pPr>
            <w:r w:rsidRPr="00C9343F">
              <w:t>2.</w:t>
            </w:r>
          </w:p>
        </w:tc>
        <w:tc>
          <w:tcPr>
            <w:tcW w:w="8367" w:type="dxa"/>
            <w:gridSpan w:val="3"/>
          </w:tcPr>
          <w:p w14:paraId="12DEBB86" w14:textId="77777777" w:rsidR="006D1E1C" w:rsidRPr="00C9343F" w:rsidRDefault="006D1E1C" w:rsidP="00F66D98">
            <w:pPr>
              <w:pStyle w:val="BlockText-Plain"/>
            </w:pPr>
            <w:r w:rsidRPr="00C9343F">
              <w:t>The member is eligible for a meal allowance for the meal period. This is only if it is not reasonably practical for them to do one of the following.</w:t>
            </w:r>
          </w:p>
        </w:tc>
      </w:tr>
      <w:tr w:rsidR="006D1E1C" w:rsidRPr="00C9343F" w14:paraId="42B106C8" w14:textId="77777777" w:rsidTr="006D1E1C">
        <w:trPr>
          <w:cantSplit/>
        </w:trPr>
        <w:tc>
          <w:tcPr>
            <w:tcW w:w="992" w:type="dxa"/>
          </w:tcPr>
          <w:p w14:paraId="19BDC9A7" w14:textId="77777777" w:rsidR="006D1E1C" w:rsidRPr="00C9343F" w:rsidRDefault="006D1E1C" w:rsidP="00F66D98">
            <w:pPr>
              <w:pStyle w:val="BlockText-Plain"/>
            </w:pPr>
          </w:p>
        </w:tc>
        <w:tc>
          <w:tcPr>
            <w:tcW w:w="567" w:type="dxa"/>
          </w:tcPr>
          <w:p w14:paraId="20EDD9F8" w14:textId="77777777" w:rsidR="006D1E1C" w:rsidRPr="00C9343F" w:rsidRDefault="006D1E1C" w:rsidP="008D1B5D">
            <w:pPr>
              <w:pStyle w:val="BlockText-Plain"/>
              <w:jc w:val="center"/>
            </w:pPr>
            <w:r w:rsidRPr="00C9343F">
              <w:t>a.</w:t>
            </w:r>
          </w:p>
        </w:tc>
        <w:tc>
          <w:tcPr>
            <w:tcW w:w="7800" w:type="dxa"/>
            <w:gridSpan w:val="2"/>
          </w:tcPr>
          <w:p w14:paraId="5FCFD1D0" w14:textId="77777777" w:rsidR="006D1E1C" w:rsidRPr="00C9343F" w:rsidRDefault="006D1E1C" w:rsidP="00F66D98">
            <w:pPr>
              <w:pStyle w:val="BlockText-Plain"/>
            </w:pPr>
            <w:r w:rsidRPr="00C9343F">
              <w:t>Return to their normal mess during the meal period.</w:t>
            </w:r>
          </w:p>
        </w:tc>
      </w:tr>
      <w:tr w:rsidR="006D1E1C" w:rsidRPr="00C9343F" w14:paraId="77967A27" w14:textId="77777777" w:rsidTr="006D1E1C">
        <w:trPr>
          <w:cantSplit/>
        </w:trPr>
        <w:tc>
          <w:tcPr>
            <w:tcW w:w="992" w:type="dxa"/>
          </w:tcPr>
          <w:p w14:paraId="1C5E07EA" w14:textId="77777777" w:rsidR="006D1E1C" w:rsidRPr="00C9343F" w:rsidRDefault="006D1E1C" w:rsidP="00F66D98">
            <w:pPr>
              <w:pStyle w:val="BlockText-Plain"/>
            </w:pPr>
          </w:p>
        </w:tc>
        <w:tc>
          <w:tcPr>
            <w:tcW w:w="567" w:type="dxa"/>
          </w:tcPr>
          <w:p w14:paraId="5E626D01" w14:textId="77777777" w:rsidR="006D1E1C" w:rsidRPr="00C9343F" w:rsidRDefault="006D1E1C" w:rsidP="008D1B5D">
            <w:pPr>
              <w:pStyle w:val="BlockText-Plain"/>
              <w:jc w:val="center"/>
            </w:pPr>
            <w:r w:rsidRPr="00C9343F">
              <w:t>b.</w:t>
            </w:r>
          </w:p>
        </w:tc>
        <w:tc>
          <w:tcPr>
            <w:tcW w:w="7800" w:type="dxa"/>
            <w:gridSpan w:val="2"/>
          </w:tcPr>
          <w:p w14:paraId="00FCA6C5" w14:textId="77777777" w:rsidR="006D1E1C" w:rsidRPr="00C9343F" w:rsidRDefault="006D1E1C" w:rsidP="00F66D98">
            <w:pPr>
              <w:pStyle w:val="BlockText-Plain"/>
            </w:pPr>
            <w:r w:rsidRPr="00C9343F">
              <w:t>Get a meal at Commonwealth expense during the meal period.</w:t>
            </w:r>
          </w:p>
        </w:tc>
      </w:tr>
    </w:tbl>
    <w:p w14:paraId="62D918E9" w14:textId="178D4395" w:rsidR="006D1E1C" w:rsidRPr="00C9343F" w:rsidRDefault="006D1E1C" w:rsidP="00F66D98">
      <w:pPr>
        <w:pStyle w:val="Heading5"/>
      </w:pPr>
      <w:bookmarkStart w:id="955" w:name="_Toc105053855"/>
      <w:bookmarkStart w:id="956" w:name="bk12935PM7x6Memberwholivesout"/>
      <w:bookmarkStart w:id="957" w:name="bk40354PM766Memberwholivesout"/>
      <w:bookmarkStart w:id="958" w:name="bk84859AM766Memberwholivesout"/>
      <w:bookmarkStart w:id="959" w:name="bk85539AM766Memberwholivesout"/>
      <w:bookmarkStart w:id="960" w:name="bk93406766Memberwholivesout"/>
      <w:bookmarkStart w:id="961" w:name="bk134052778Memberwholivesout"/>
      <w:r w:rsidRPr="00C9343F">
        <w:t>4.5.7</w:t>
      </w:r>
      <w:r w:rsidR="00D94006" w:rsidRPr="00C9343F">
        <w:t>    </w:t>
      </w:r>
      <w:r w:rsidRPr="00C9343F">
        <w:t>Member who lives out</w:t>
      </w:r>
      <w:bookmarkEnd w:id="955"/>
    </w:p>
    <w:tbl>
      <w:tblPr>
        <w:tblW w:w="0" w:type="auto"/>
        <w:tblInd w:w="113" w:type="dxa"/>
        <w:tblLayout w:type="fixed"/>
        <w:tblLook w:val="0000" w:firstRow="0" w:lastRow="0" w:firstColumn="0" w:lastColumn="0" w:noHBand="0" w:noVBand="0"/>
      </w:tblPr>
      <w:tblGrid>
        <w:gridCol w:w="992"/>
        <w:gridCol w:w="567"/>
        <w:gridCol w:w="567"/>
        <w:gridCol w:w="7233"/>
      </w:tblGrid>
      <w:tr w:rsidR="006D1E1C" w:rsidRPr="00C9343F" w14:paraId="23B8FB60" w14:textId="77777777" w:rsidTr="006D1E1C">
        <w:tc>
          <w:tcPr>
            <w:tcW w:w="992" w:type="dxa"/>
          </w:tcPr>
          <w:bookmarkEnd w:id="956"/>
          <w:bookmarkEnd w:id="957"/>
          <w:bookmarkEnd w:id="958"/>
          <w:bookmarkEnd w:id="959"/>
          <w:bookmarkEnd w:id="960"/>
          <w:bookmarkEnd w:id="961"/>
          <w:p w14:paraId="3D9D99DB" w14:textId="77777777" w:rsidR="006D1E1C" w:rsidRPr="00C9343F" w:rsidRDefault="006D1E1C" w:rsidP="00F66D98">
            <w:pPr>
              <w:pStyle w:val="BlockText-Plain"/>
              <w:jc w:val="center"/>
            </w:pPr>
            <w:r w:rsidRPr="00C9343F">
              <w:t>1.</w:t>
            </w:r>
          </w:p>
        </w:tc>
        <w:tc>
          <w:tcPr>
            <w:tcW w:w="8367" w:type="dxa"/>
            <w:gridSpan w:val="3"/>
          </w:tcPr>
          <w:p w14:paraId="62244005" w14:textId="77777777" w:rsidR="006D1E1C" w:rsidRPr="00C9343F" w:rsidRDefault="006D1E1C" w:rsidP="00F66D98">
            <w:pPr>
              <w:pStyle w:val="BlockText-Plain"/>
            </w:pPr>
            <w:r w:rsidRPr="00C9343F">
              <w:t>This section applies to a member who lives out and buys a meal during a meal period.</w:t>
            </w:r>
          </w:p>
        </w:tc>
      </w:tr>
      <w:tr w:rsidR="006D1E1C" w:rsidRPr="00C9343F" w14:paraId="0471B721" w14:textId="77777777" w:rsidTr="006D1E1C">
        <w:tc>
          <w:tcPr>
            <w:tcW w:w="992" w:type="dxa"/>
          </w:tcPr>
          <w:p w14:paraId="0A905983" w14:textId="77777777" w:rsidR="006D1E1C" w:rsidRPr="00C9343F" w:rsidRDefault="006D1E1C" w:rsidP="00F66D98">
            <w:pPr>
              <w:pStyle w:val="BlockText-Plain"/>
              <w:jc w:val="center"/>
            </w:pPr>
            <w:r w:rsidRPr="00C9343F">
              <w:t>2.</w:t>
            </w:r>
          </w:p>
        </w:tc>
        <w:tc>
          <w:tcPr>
            <w:tcW w:w="8367" w:type="dxa"/>
            <w:gridSpan w:val="3"/>
          </w:tcPr>
          <w:p w14:paraId="5EC69C94" w14:textId="77777777" w:rsidR="006D1E1C" w:rsidRPr="00C9343F" w:rsidRDefault="006D1E1C" w:rsidP="00F66D98">
            <w:pPr>
              <w:pStyle w:val="BlockText-Plain"/>
            </w:pPr>
            <w:r w:rsidRPr="00C9343F">
              <w:t xml:space="preserve">The member is eligible for a meal allowance for the meal period if they cannot go home for the meal for any of these reasons. </w:t>
            </w:r>
          </w:p>
        </w:tc>
      </w:tr>
      <w:tr w:rsidR="006D1E1C" w:rsidRPr="00C9343F" w14:paraId="00D2D796" w14:textId="77777777" w:rsidTr="006D1E1C">
        <w:trPr>
          <w:cantSplit/>
        </w:trPr>
        <w:tc>
          <w:tcPr>
            <w:tcW w:w="992" w:type="dxa"/>
          </w:tcPr>
          <w:p w14:paraId="198B2CE8" w14:textId="77777777" w:rsidR="006D1E1C" w:rsidRPr="00C9343F" w:rsidRDefault="006D1E1C" w:rsidP="00F66D98">
            <w:pPr>
              <w:pStyle w:val="BlockText-Plain"/>
            </w:pPr>
          </w:p>
        </w:tc>
        <w:tc>
          <w:tcPr>
            <w:tcW w:w="567" w:type="dxa"/>
          </w:tcPr>
          <w:p w14:paraId="0B467170" w14:textId="77777777" w:rsidR="006D1E1C" w:rsidRPr="00C9343F" w:rsidRDefault="006D1E1C" w:rsidP="008D1B5D">
            <w:pPr>
              <w:pStyle w:val="BlockText-Plain"/>
              <w:jc w:val="center"/>
            </w:pPr>
            <w:r w:rsidRPr="00C9343F">
              <w:t>a.</w:t>
            </w:r>
          </w:p>
        </w:tc>
        <w:tc>
          <w:tcPr>
            <w:tcW w:w="7800" w:type="dxa"/>
            <w:gridSpan w:val="2"/>
          </w:tcPr>
          <w:p w14:paraId="287A8F29" w14:textId="77777777" w:rsidR="006D1E1C" w:rsidRPr="00C9343F" w:rsidRDefault="006D1E1C" w:rsidP="00F66D98">
            <w:pPr>
              <w:pStyle w:val="BlockText-Plain"/>
            </w:pPr>
            <w:r w:rsidRPr="00C9343F">
              <w:t>They perform extra duty before or after normal duty and one of the following happens.</w:t>
            </w:r>
          </w:p>
        </w:tc>
      </w:tr>
      <w:tr w:rsidR="006D1E1C" w:rsidRPr="00C9343F" w14:paraId="59C1ED96" w14:textId="77777777" w:rsidTr="006D1E1C">
        <w:trPr>
          <w:cantSplit/>
        </w:trPr>
        <w:tc>
          <w:tcPr>
            <w:tcW w:w="1559" w:type="dxa"/>
            <w:gridSpan w:val="2"/>
          </w:tcPr>
          <w:p w14:paraId="33A5581B" w14:textId="77777777" w:rsidR="006D1E1C" w:rsidRPr="00C9343F" w:rsidRDefault="006D1E1C" w:rsidP="00F66D98">
            <w:pPr>
              <w:pStyle w:val="BlockText-Plain"/>
            </w:pPr>
          </w:p>
        </w:tc>
        <w:tc>
          <w:tcPr>
            <w:tcW w:w="567" w:type="dxa"/>
          </w:tcPr>
          <w:p w14:paraId="6931C9A4" w14:textId="77777777" w:rsidR="006D1E1C" w:rsidRPr="00C9343F" w:rsidRDefault="006D1E1C" w:rsidP="008D1B5D">
            <w:pPr>
              <w:pStyle w:val="BlockText-Plain"/>
            </w:pPr>
            <w:r w:rsidRPr="00C9343F">
              <w:t>i.</w:t>
            </w:r>
          </w:p>
        </w:tc>
        <w:tc>
          <w:tcPr>
            <w:tcW w:w="7233" w:type="dxa"/>
          </w:tcPr>
          <w:p w14:paraId="36118902" w14:textId="77777777" w:rsidR="006D1E1C" w:rsidRPr="00C9343F" w:rsidRDefault="006D1E1C" w:rsidP="00F66D98">
            <w:pPr>
              <w:pStyle w:val="BlockText-Plain"/>
            </w:pPr>
            <w:r w:rsidRPr="00C9343F">
              <w:t>They get a meal break between the normal duty and the extra duty.</w:t>
            </w:r>
          </w:p>
        </w:tc>
      </w:tr>
      <w:tr w:rsidR="006D1E1C" w:rsidRPr="00C9343F" w14:paraId="7303AE09" w14:textId="77777777" w:rsidTr="006D1E1C">
        <w:trPr>
          <w:cantSplit/>
        </w:trPr>
        <w:tc>
          <w:tcPr>
            <w:tcW w:w="1559" w:type="dxa"/>
            <w:gridSpan w:val="2"/>
          </w:tcPr>
          <w:p w14:paraId="7FC487DA" w14:textId="77777777" w:rsidR="006D1E1C" w:rsidRPr="00C9343F" w:rsidRDefault="006D1E1C" w:rsidP="00F66D98">
            <w:pPr>
              <w:pStyle w:val="BlockText-Plain"/>
            </w:pPr>
          </w:p>
        </w:tc>
        <w:tc>
          <w:tcPr>
            <w:tcW w:w="567" w:type="dxa"/>
          </w:tcPr>
          <w:p w14:paraId="319CB9C5" w14:textId="77777777" w:rsidR="006D1E1C" w:rsidRPr="00C9343F" w:rsidRDefault="006D1E1C" w:rsidP="008D1B5D">
            <w:pPr>
              <w:pStyle w:val="BlockText-Plain"/>
            </w:pPr>
            <w:r w:rsidRPr="00C9343F">
              <w:t>ii.</w:t>
            </w:r>
          </w:p>
        </w:tc>
        <w:tc>
          <w:tcPr>
            <w:tcW w:w="7233" w:type="dxa"/>
          </w:tcPr>
          <w:p w14:paraId="648F92E8" w14:textId="77777777" w:rsidR="006D1E1C" w:rsidRPr="00C9343F" w:rsidRDefault="006D1E1C" w:rsidP="00F66D98">
            <w:pPr>
              <w:pStyle w:val="BlockText-Plain"/>
            </w:pPr>
            <w:r w:rsidRPr="00C9343F">
              <w:t>They do not get a meal break and the extra duty extends through the next meal period after the normal hours of duty.</w:t>
            </w:r>
          </w:p>
        </w:tc>
      </w:tr>
      <w:tr w:rsidR="006D1E1C" w:rsidRPr="00C9343F" w14:paraId="7440C8EA" w14:textId="77777777" w:rsidTr="006D1E1C">
        <w:trPr>
          <w:cantSplit/>
        </w:trPr>
        <w:tc>
          <w:tcPr>
            <w:tcW w:w="992" w:type="dxa"/>
          </w:tcPr>
          <w:p w14:paraId="6F3894B7" w14:textId="77777777" w:rsidR="006D1E1C" w:rsidRPr="00C9343F" w:rsidRDefault="006D1E1C" w:rsidP="00F66D98">
            <w:pPr>
              <w:pStyle w:val="BlockText-Plain"/>
            </w:pPr>
          </w:p>
        </w:tc>
        <w:tc>
          <w:tcPr>
            <w:tcW w:w="567" w:type="dxa"/>
          </w:tcPr>
          <w:p w14:paraId="68AE1DA6" w14:textId="77777777" w:rsidR="006D1E1C" w:rsidRPr="00C9343F" w:rsidRDefault="006D1E1C" w:rsidP="008D1B5D">
            <w:pPr>
              <w:pStyle w:val="BlockText-Plain"/>
              <w:jc w:val="center"/>
            </w:pPr>
            <w:r w:rsidRPr="00C9343F">
              <w:t>b.</w:t>
            </w:r>
          </w:p>
        </w:tc>
        <w:tc>
          <w:tcPr>
            <w:tcW w:w="7800" w:type="dxa"/>
            <w:gridSpan w:val="2"/>
          </w:tcPr>
          <w:p w14:paraId="7AB45C2B" w14:textId="77777777" w:rsidR="006D1E1C" w:rsidRPr="00C9343F" w:rsidRDefault="006D1E1C" w:rsidP="00F66D98">
            <w:pPr>
              <w:pStyle w:val="BlockText-Plain"/>
            </w:pPr>
            <w:r w:rsidRPr="00C9343F">
              <w:t xml:space="preserve">They are on duty at a place where the Commonwealth does not provide a meal and the duty meets one of these conditions. </w:t>
            </w:r>
          </w:p>
        </w:tc>
      </w:tr>
      <w:tr w:rsidR="006D1E1C" w:rsidRPr="00C9343F" w14:paraId="4367DED9" w14:textId="77777777" w:rsidTr="006D1E1C">
        <w:trPr>
          <w:cantSplit/>
        </w:trPr>
        <w:tc>
          <w:tcPr>
            <w:tcW w:w="1559" w:type="dxa"/>
            <w:gridSpan w:val="2"/>
          </w:tcPr>
          <w:p w14:paraId="7468BD67" w14:textId="77777777" w:rsidR="006D1E1C" w:rsidRPr="00C9343F" w:rsidRDefault="006D1E1C" w:rsidP="00F66D98">
            <w:pPr>
              <w:pStyle w:val="BlockText-Plain"/>
            </w:pPr>
          </w:p>
        </w:tc>
        <w:tc>
          <w:tcPr>
            <w:tcW w:w="567" w:type="dxa"/>
          </w:tcPr>
          <w:p w14:paraId="7137171E" w14:textId="77777777" w:rsidR="006D1E1C" w:rsidRPr="00C9343F" w:rsidRDefault="006D1E1C" w:rsidP="008D1B5D">
            <w:pPr>
              <w:pStyle w:val="BlockText-Plain"/>
            </w:pPr>
            <w:r w:rsidRPr="00C9343F">
              <w:t>i.</w:t>
            </w:r>
          </w:p>
        </w:tc>
        <w:tc>
          <w:tcPr>
            <w:tcW w:w="7233" w:type="dxa"/>
          </w:tcPr>
          <w:p w14:paraId="697EE018" w14:textId="77777777" w:rsidR="006D1E1C" w:rsidRPr="00C9343F" w:rsidRDefault="006D1E1C" w:rsidP="00F66D98">
            <w:pPr>
              <w:pStyle w:val="BlockText-Plain"/>
            </w:pPr>
            <w:r w:rsidRPr="00C9343F">
              <w:t>It starts three or more hours before their rostered time for starting duty.</w:t>
            </w:r>
          </w:p>
        </w:tc>
      </w:tr>
      <w:tr w:rsidR="006D1E1C" w:rsidRPr="00C9343F" w14:paraId="2E38CE0A" w14:textId="77777777" w:rsidTr="006D1E1C">
        <w:trPr>
          <w:cantSplit/>
        </w:trPr>
        <w:tc>
          <w:tcPr>
            <w:tcW w:w="1559" w:type="dxa"/>
            <w:gridSpan w:val="2"/>
          </w:tcPr>
          <w:p w14:paraId="02DCF46A" w14:textId="77777777" w:rsidR="006D1E1C" w:rsidRPr="00C9343F" w:rsidRDefault="006D1E1C" w:rsidP="00F66D98">
            <w:pPr>
              <w:pStyle w:val="BlockText-Plain"/>
            </w:pPr>
          </w:p>
        </w:tc>
        <w:tc>
          <w:tcPr>
            <w:tcW w:w="567" w:type="dxa"/>
          </w:tcPr>
          <w:p w14:paraId="71994838" w14:textId="77777777" w:rsidR="006D1E1C" w:rsidRPr="00C9343F" w:rsidRDefault="006D1E1C" w:rsidP="008D1B5D">
            <w:pPr>
              <w:pStyle w:val="BlockText-Plain"/>
            </w:pPr>
            <w:r w:rsidRPr="00C9343F">
              <w:t>ii.</w:t>
            </w:r>
          </w:p>
        </w:tc>
        <w:tc>
          <w:tcPr>
            <w:tcW w:w="7233" w:type="dxa"/>
          </w:tcPr>
          <w:p w14:paraId="207471A7" w14:textId="77777777" w:rsidR="006D1E1C" w:rsidRPr="00C9343F" w:rsidRDefault="006D1E1C" w:rsidP="00F66D98">
            <w:pPr>
              <w:pStyle w:val="BlockText-Plain"/>
            </w:pPr>
            <w:r w:rsidRPr="00C9343F">
              <w:t>It finishes three or more hours after their rostered time for finishing duty.</w:t>
            </w:r>
          </w:p>
        </w:tc>
      </w:tr>
      <w:tr w:rsidR="006D1E1C" w:rsidRPr="00C9343F" w14:paraId="05BC2CDB" w14:textId="77777777" w:rsidTr="006D1E1C">
        <w:trPr>
          <w:cantSplit/>
        </w:trPr>
        <w:tc>
          <w:tcPr>
            <w:tcW w:w="992" w:type="dxa"/>
          </w:tcPr>
          <w:p w14:paraId="54451C37" w14:textId="77777777" w:rsidR="006D1E1C" w:rsidRPr="00C9343F" w:rsidRDefault="006D1E1C" w:rsidP="00F66D98">
            <w:pPr>
              <w:pStyle w:val="BlockText-Plain"/>
            </w:pPr>
          </w:p>
        </w:tc>
        <w:tc>
          <w:tcPr>
            <w:tcW w:w="567" w:type="dxa"/>
          </w:tcPr>
          <w:p w14:paraId="7A5847DD" w14:textId="77777777" w:rsidR="006D1E1C" w:rsidRPr="00C9343F" w:rsidRDefault="006D1E1C" w:rsidP="008D1B5D">
            <w:pPr>
              <w:pStyle w:val="BlockText-Plain"/>
              <w:jc w:val="center"/>
            </w:pPr>
            <w:r w:rsidRPr="00C9343F">
              <w:t>c.</w:t>
            </w:r>
          </w:p>
        </w:tc>
        <w:tc>
          <w:tcPr>
            <w:tcW w:w="7800" w:type="dxa"/>
            <w:gridSpan w:val="2"/>
          </w:tcPr>
          <w:p w14:paraId="27C9D9FB" w14:textId="77777777" w:rsidR="006D1E1C" w:rsidRPr="00C9343F" w:rsidRDefault="006D1E1C" w:rsidP="00F66D98">
            <w:pPr>
              <w:pStyle w:val="BlockText-Plain"/>
            </w:pPr>
            <w:r w:rsidRPr="00C9343F">
              <w:t>All of these circumstances prevent the member going home for lunch.</w:t>
            </w:r>
          </w:p>
        </w:tc>
      </w:tr>
      <w:tr w:rsidR="006D1E1C" w:rsidRPr="00C9343F" w14:paraId="6006D018" w14:textId="77777777" w:rsidTr="006D1E1C">
        <w:trPr>
          <w:cantSplit/>
        </w:trPr>
        <w:tc>
          <w:tcPr>
            <w:tcW w:w="1559" w:type="dxa"/>
            <w:gridSpan w:val="2"/>
          </w:tcPr>
          <w:p w14:paraId="1F1189A7" w14:textId="77777777" w:rsidR="006D1E1C" w:rsidRPr="00C9343F" w:rsidRDefault="006D1E1C" w:rsidP="00F66D98">
            <w:pPr>
              <w:pStyle w:val="BlockText-Plain"/>
            </w:pPr>
          </w:p>
        </w:tc>
        <w:tc>
          <w:tcPr>
            <w:tcW w:w="567" w:type="dxa"/>
          </w:tcPr>
          <w:p w14:paraId="7EDA9911" w14:textId="77777777" w:rsidR="006D1E1C" w:rsidRPr="00C9343F" w:rsidRDefault="006D1E1C" w:rsidP="008D1B5D">
            <w:pPr>
              <w:pStyle w:val="BlockText-Plain"/>
            </w:pPr>
            <w:r w:rsidRPr="00C9343F">
              <w:t>i.</w:t>
            </w:r>
          </w:p>
        </w:tc>
        <w:tc>
          <w:tcPr>
            <w:tcW w:w="7233" w:type="dxa"/>
          </w:tcPr>
          <w:p w14:paraId="232F135E" w14:textId="77777777" w:rsidR="006D1E1C" w:rsidRPr="00C9343F" w:rsidRDefault="006D1E1C" w:rsidP="00F66D98">
            <w:pPr>
              <w:pStyle w:val="BlockText-Plain"/>
            </w:pPr>
            <w:r w:rsidRPr="00C9343F">
              <w:t>They begin normal duty after a period of extra duty overnight.</w:t>
            </w:r>
          </w:p>
        </w:tc>
      </w:tr>
      <w:tr w:rsidR="006D1E1C" w:rsidRPr="00C9343F" w14:paraId="7ABC46AF" w14:textId="77777777" w:rsidTr="006D1E1C">
        <w:trPr>
          <w:cantSplit/>
        </w:trPr>
        <w:tc>
          <w:tcPr>
            <w:tcW w:w="1559" w:type="dxa"/>
            <w:gridSpan w:val="2"/>
          </w:tcPr>
          <w:p w14:paraId="006A057C" w14:textId="77777777" w:rsidR="006D1E1C" w:rsidRPr="00C9343F" w:rsidRDefault="006D1E1C" w:rsidP="00F66D98">
            <w:pPr>
              <w:pStyle w:val="BlockText-Plain"/>
            </w:pPr>
          </w:p>
        </w:tc>
        <w:tc>
          <w:tcPr>
            <w:tcW w:w="567" w:type="dxa"/>
          </w:tcPr>
          <w:p w14:paraId="7E611493" w14:textId="77777777" w:rsidR="006D1E1C" w:rsidRPr="00C9343F" w:rsidRDefault="006D1E1C" w:rsidP="008D1B5D">
            <w:pPr>
              <w:pStyle w:val="BlockText-Plain"/>
            </w:pPr>
            <w:r w:rsidRPr="00C9343F">
              <w:t>ii.</w:t>
            </w:r>
          </w:p>
        </w:tc>
        <w:tc>
          <w:tcPr>
            <w:tcW w:w="7233" w:type="dxa"/>
          </w:tcPr>
          <w:p w14:paraId="6D5F43E3" w14:textId="77777777" w:rsidR="006D1E1C" w:rsidRPr="00C9343F" w:rsidRDefault="006D1E1C" w:rsidP="00F66D98">
            <w:pPr>
              <w:pStyle w:val="BlockText-Plain"/>
            </w:pPr>
            <w:r w:rsidRPr="00C9343F">
              <w:t>They cannot go home before starting the normal duty.</w:t>
            </w:r>
          </w:p>
        </w:tc>
      </w:tr>
      <w:tr w:rsidR="006D1E1C" w:rsidRPr="00C9343F" w14:paraId="21841D15" w14:textId="77777777" w:rsidTr="006D1E1C">
        <w:trPr>
          <w:cantSplit/>
        </w:trPr>
        <w:tc>
          <w:tcPr>
            <w:tcW w:w="1559" w:type="dxa"/>
            <w:gridSpan w:val="2"/>
          </w:tcPr>
          <w:p w14:paraId="23F0A515" w14:textId="77777777" w:rsidR="006D1E1C" w:rsidRPr="00C9343F" w:rsidRDefault="006D1E1C" w:rsidP="00F66D98">
            <w:pPr>
              <w:pStyle w:val="BlockText-Plain"/>
            </w:pPr>
          </w:p>
        </w:tc>
        <w:tc>
          <w:tcPr>
            <w:tcW w:w="567" w:type="dxa"/>
          </w:tcPr>
          <w:p w14:paraId="61F9D3B2" w14:textId="77777777" w:rsidR="006D1E1C" w:rsidRPr="00C9343F" w:rsidRDefault="006D1E1C" w:rsidP="008D1B5D">
            <w:pPr>
              <w:pStyle w:val="BlockText-Plain"/>
            </w:pPr>
            <w:r w:rsidRPr="00C9343F">
              <w:t>iii.</w:t>
            </w:r>
          </w:p>
        </w:tc>
        <w:tc>
          <w:tcPr>
            <w:tcW w:w="7233" w:type="dxa"/>
          </w:tcPr>
          <w:p w14:paraId="483B2EED" w14:textId="77777777" w:rsidR="006D1E1C" w:rsidRPr="00C9343F" w:rsidRDefault="006D1E1C" w:rsidP="00F66D98">
            <w:pPr>
              <w:pStyle w:val="BlockText-Plain"/>
            </w:pPr>
            <w:r w:rsidRPr="00C9343F">
              <w:t>They finish the normal duty at or after 1400 hours.</w:t>
            </w:r>
          </w:p>
        </w:tc>
      </w:tr>
    </w:tbl>
    <w:p w14:paraId="645C6014" w14:textId="3CA6C870" w:rsidR="006D1E1C" w:rsidRPr="00C9343F" w:rsidRDefault="006D1E1C" w:rsidP="00F66D98">
      <w:pPr>
        <w:pStyle w:val="Heading5"/>
      </w:pPr>
      <w:bookmarkStart w:id="962" w:name="_Toc105053856"/>
      <w:bookmarkStart w:id="963" w:name="bk12935PM7x10Ratesofallowance"/>
      <w:bookmarkStart w:id="964" w:name="bk40354PM7610Ratesofallowance"/>
      <w:bookmarkStart w:id="965" w:name="bk84859AM7610Ratesofallowance"/>
      <w:bookmarkStart w:id="966" w:name="bk85539AM769Ratesofallowance"/>
      <w:bookmarkStart w:id="967" w:name="bk93406769Ratesofallowance"/>
      <w:bookmarkStart w:id="968" w:name="bk1340527711Ratesofallowance"/>
      <w:r w:rsidRPr="00C9343F">
        <w:t>4.5.9</w:t>
      </w:r>
      <w:r w:rsidR="00D94006" w:rsidRPr="00C9343F">
        <w:t>    </w:t>
      </w:r>
      <w:r w:rsidRPr="00C9343F">
        <w:t>Rates of allowance</w:t>
      </w:r>
      <w:bookmarkEnd w:id="962"/>
    </w:p>
    <w:bookmarkEnd w:id="963"/>
    <w:bookmarkEnd w:id="964"/>
    <w:bookmarkEnd w:id="965"/>
    <w:bookmarkEnd w:id="966"/>
    <w:bookmarkEnd w:id="967"/>
    <w:bookmarkEnd w:id="968"/>
    <w:tbl>
      <w:tblPr>
        <w:tblW w:w="9355" w:type="dxa"/>
        <w:tblInd w:w="113" w:type="dxa"/>
        <w:tblLayout w:type="fixed"/>
        <w:tblLook w:val="0000" w:firstRow="0" w:lastRow="0" w:firstColumn="0" w:lastColumn="0" w:noHBand="0" w:noVBand="0"/>
      </w:tblPr>
      <w:tblGrid>
        <w:gridCol w:w="992"/>
        <w:gridCol w:w="8363"/>
      </w:tblGrid>
      <w:tr w:rsidR="00B961ED" w:rsidRPr="00C9343F" w14:paraId="3FD4C8A7" w14:textId="77777777" w:rsidTr="001209E2">
        <w:tc>
          <w:tcPr>
            <w:tcW w:w="992" w:type="dxa"/>
          </w:tcPr>
          <w:p w14:paraId="46DEDAF9" w14:textId="77777777" w:rsidR="00B961ED" w:rsidRPr="00C9343F" w:rsidRDefault="00B961ED" w:rsidP="00F66D98">
            <w:pPr>
              <w:pStyle w:val="Sectiontext0"/>
              <w:jc w:val="center"/>
            </w:pPr>
          </w:p>
        </w:tc>
        <w:tc>
          <w:tcPr>
            <w:tcW w:w="8363" w:type="dxa"/>
          </w:tcPr>
          <w:p w14:paraId="6E835806" w14:textId="77777777" w:rsidR="00B961ED" w:rsidRPr="00C9343F" w:rsidRDefault="00B961ED" w:rsidP="00F66D98">
            <w:pPr>
              <w:pStyle w:val="Sectiontext0"/>
              <w:rPr>
                <w:iCs/>
              </w:rPr>
            </w:pPr>
            <w:r w:rsidRPr="00C9343F">
              <w:rPr>
                <w:iCs/>
              </w:rPr>
              <w:t xml:space="preserve">The rate of meal allowance for each meal period in column A is the rate in column B. </w:t>
            </w:r>
          </w:p>
        </w:tc>
      </w:tr>
    </w:tbl>
    <w:p w14:paraId="13CFC147" w14:textId="77777777" w:rsidR="001209E2" w:rsidRPr="00C9343F" w:rsidRDefault="001209E2" w:rsidP="001209E2"/>
    <w:tbl>
      <w:tblPr>
        <w:tblW w:w="8363" w:type="dxa"/>
        <w:tblInd w:w="1049" w:type="dxa"/>
        <w:tblLayout w:type="fixed"/>
        <w:tblCellMar>
          <w:left w:w="56" w:type="dxa"/>
          <w:right w:w="56" w:type="dxa"/>
        </w:tblCellMar>
        <w:tblLook w:val="0000" w:firstRow="0" w:lastRow="0" w:firstColumn="0" w:lastColumn="0" w:noHBand="0" w:noVBand="0"/>
      </w:tblPr>
      <w:tblGrid>
        <w:gridCol w:w="708"/>
        <w:gridCol w:w="3544"/>
        <w:gridCol w:w="4111"/>
      </w:tblGrid>
      <w:tr w:rsidR="001209E2" w:rsidRPr="00C9343F" w14:paraId="1D13D0A1" w14:textId="77777777" w:rsidTr="005E243D">
        <w:trPr>
          <w:cantSplit/>
        </w:trPr>
        <w:tc>
          <w:tcPr>
            <w:tcW w:w="708" w:type="dxa"/>
            <w:tcBorders>
              <w:top w:val="single" w:sz="6" w:space="0" w:color="auto"/>
              <w:left w:val="single" w:sz="6" w:space="0" w:color="auto"/>
              <w:bottom w:val="single" w:sz="6" w:space="0" w:color="auto"/>
              <w:right w:val="single" w:sz="6" w:space="0" w:color="auto"/>
            </w:tcBorders>
          </w:tcPr>
          <w:p w14:paraId="24367146" w14:textId="77777777" w:rsidR="001209E2" w:rsidRPr="00C9343F" w:rsidRDefault="001209E2" w:rsidP="005E243D">
            <w:pPr>
              <w:pStyle w:val="TableHeaderArial"/>
            </w:pPr>
            <w:r w:rsidRPr="00C9343F">
              <w:t>Item</w:t>
            </w:r>
          </w:p>
        </w:tc>
        <w:tc>
          <w:tcPr>
            <w:tcW w:w="3544" w:type="dxa"/>
            <w:tcBorders>
              <w:top w:val="single" w:sz="6" w:space="0" w:color="auto"/>
              <w:left w:val="single" w:sz="6" w:space="0" w:color="auto"/>
              <w:bottom w:val="single" w:sz="6" w:space="0" w:color="auto"/>
              <w:right w:val="single" w:sz="6" w:space="0" w:color="auto"/>
            </w:tcBorders>
          </w:tcPr>
          <w:p w14:paraId="57A451E9" w14:textId="77777777" w:rsidR="001209E2" w:rsidRPr="00C9343F" w:rsidRDefault="001209E2" w:rsidP="005E243D">
            <w:pPr>
              <w:pStyle w:val="TableHeaderArial"/>
            </w:pPr>
            <w:r w:rsidRPr="00C9343F">
              <w:t>Column A</w:t>
            </w:r>
          </w:p>
          <w:p w14:paraId="55E73C6C" w14:textId="77777777" w:rsidR="001209E2" w:rsidRPr="00C9343F" w:rsidRDefault="001209E2" w:rsidP="005E243D">
            <w:pPr>
              <w:pStyle w:val="TableHeaderArial"/>
            </w:pPr>
            <w:r w:rsidRPr="00C9343F">
              <w:t>Meal period</w:t>
            </w:r>
          </w:p>
        </w:tc>
        <w:tc>
          <w:tcPr>
            <w:tcW w:w="4111" w:type="dxa"/>
            <w:tcBorders>
              <w:top w:val="single" w:sz="6" w:space="0" w:color="auto"/>
              <w:left w:val="single" w:sz="6" w:space="0" w:color="auto"/>
              <w:bottom w:val="single" w:sz="6" w:space="0" w:color="auto"/>
              <w:right w:val="single" w:sz="6" w:space="0" w:color="auto"/>
            </w:tcBorders>
          </w:tcPr>
          <w:p w14:paraId="2305E0D7" w14:textId="77777777" w:rsidR="001209E2" w:rsidRPr="00C9343F" w:rsidRDefault="001209E2" w:rsidP="005E243D">
            <w:pPr>
              <w:pStyle w:val="TableHeaderArial"/>
            </w:pPr>
            <w:r w:rsidRPr="00C9343F">
              <w:t>Column B</w:t>
            </w:r>
          </w:p>
          <w:p w14:paraId="338F5745" w14:textId="77777777" w:rsidR="001209E2" w:rsidRPr="00C9343F" w:rsidRDefault="001209E2" w:rsidP="005E243D">
            <w:pPr>
              <w:pStyle w:val="TableHeaderArial"/>
            </w:pPr>
            <w:r w:rsidRPr="00C9343F">
              <w:t>Rate ($)</w:t>
            </w:r>
          </w:p>
        </w:tc>
      </w:tr>
      <w:tr w:rsidR="002D6ADE" w:rsidRPr="00C9343F" w14:paraId="271D1F5A" w14:textId="77777777" w:rsidTr="005E243D">
        <w:trPr>
          <w:cantSplit/>
        </w:trPr>
        <w:tc>
          <w:tcPr>
            <w:tcW w:w="708" w:type="dxa"/>
            <w:tcBorders>
              <w:top w:val="single" w:sz="6" w:space="0" w:color="auto"/>
              <w:left w:val="single" w:sz="6" w:space="0" w:color="auto"/>
              <w:bottom w:val="single" w:sz="6" w:space="0" w:color="auto"/>
              <w:right w:val="single" w:sz="6" w:space="0" w:color="auto"/>
            </w:tcBorders>
          </w:tcPr>
          <w:p w14:paraId="1C376CCF" w14:textId="77777777" w:rsidR="002D6ADE" w:rsidRPr="00C9343F" w:rsidRDefault="002D6ADE" w:rsidP="002D6ADE">
            <w:pPr>
              <w:pStyle w:val="TableTextArial-left"/>
              <w:jc w:val="center"/>
            </w:pPr>
            <w:r w:rsidRPr="00C9343F">
              <w:t>1.</w:t>
            </w:r>
          </w:p>
        </w:tc>
        <w:tc>
          <w:tcPr>
            <w:tcW w:w="3544" w:type="dxa"/>
            <w:tcBorders>
              <w:top w:val="single" w:sz="6" w:space="0" w:color="auto"/>
              <w:left w:val="single" w:sz="6" w:space="0" w:color="auto"/>
              <w:bottom w:val="single" w:sz="6" w:space="0" w:color="auto"/>
              <w:right w:val="single" w:sz="6" w:space="0" w:color="auto"/>
            </w:tcBorders>
          </w:tcPr>
          <w:p w14:paraId="1555FD25" w14:textId="13884535" w:rsidR="002D6ADE" w:rsidRPr="00C9343F" w:rsidRDefault="002D6ADE" w:rsidP="002D6ADE">
            <w:pPr>
              <w:pStyle w:val="TableTextArial-left"/>
            </w:pPr>
            <w:r w:rsidRPr="00C9343F">
              <w:t>breakfast</w:t>
            </w:r>
          </w:p>
        </w:tc>
        <w:tc>
          <w:tcPr>
            <w:tcW w:w="4111" w:type="dxa"/>
            <w:tcBorders>
              <w:top w:val="single" w:sz="6" w:space="0" w:color="auto"/>
              <w:left w:val="single" w:sz="6" w:space="0" w:color="auto"/>
              <w:bottom w:val="single" w:sz="6" w:space="0" w:color="auto"/>
              <w:right w:val="single" w:sz="6" w:space="0" w:color="auto"/>
            </w:tcBorders>
          </w:tcPr>
          <w:p w14:paraId="1EDD33E8" w14:textId="6D825D84" w:rsidR="002D6ADE" w:rsidRPr="00C9343F" w:rsidRDefault="002D6ADE" w:rsidP="002D6ADE">
            <w:pPr>
              <w:pStyle w:val="TableTextArial-left"/>
              <w:jc w:val="center"/>
            </w:pPr>
            <w:r w:rsidRPr="00C9343F">
              <w:t>26.15</w:t>
            </w:r>
          </w:p>
        </w:tc>
      </w:tr>
      <w:tr w:rsidR="002D6ADE" w:rsidRPr="00C9343F" w14:paraId="660E4E97" w14:textId="77777777" w:rsidTr="005E243D">
        <w:trPr>
          <w:cantSplit/>
        </w:trPr>
        <w:tc>
          <w:tcPr>
            <w:tcW w:w="708" w:type="dxa"/>
            <w:tcBorders>
              <w:top w:val="single" w:sz="6" w:space="0" w:color="auto"/>
              <w:left w:val="single" w:sz="6" w:space="0" w:color="auto"/>
              <w:bottom w:val="single" w:sz="6" w:space="0" w:color="auto"/>
              <w:right w:val="single" w:sz="6" w:space="0" w:color="auto"/>
            </w:tcBorders>
          </w:tcPr>
          <w:p w14:paraId="234891E5" w14:textId="77777777" w:rsidR="002D6ADE" w:rsidRPr="00C9343F" w:rsidRDefault="002D6ADE" w:rsidP="002D6ADE">
            <w:pPr>
              <w:pStyle w:val="TableTextArial-left"/>
              <w:jc w:val="center"/>
            </w:pPr>
            <w:r w:rsidRPr="00C9343F">
              <w:t>2.</w:t>
            </w:r>
          </w:p>
        </w:tc>
        <w:tc>
          <w:tcPr>
            <w:tcW w:w="3544" w:type="dxa"/>
            <w:tcBorders>
              <w:top w:val="single" w:sz="6" w:space="0" w:color="auto"/>
              <w:left w:val="single" w:sz="6" w:space="0" w:color="auto"/>
              <w:bottom w:val="single" w:sz="6" w:space="0" w:color="auto"/>
              <w:right w:val="single" w:sz="6" w:space="0" w:color="auto"/>
            </w:tcBorders>
          </w:tcPr>
          <w:p w14:paraId="3211BBA2" w14:textId="7116F89F" w:rsidR="002D6ADE" w:rsidRPr="00C9343F" w:rsidRDefault="002D6ADE" w:rsidP="002D6ADE">
            <w:pPr>
              <w:pStyle w:val="TableTextArial-left"/>
            </w:pPr>
            <w:r w:rsidRPr="00C9343F">
              <w:t>lunch under paragraph 4.5.6.1.d</w:t>
            </w:r>
          </w:p>
        </w:tc>
        <w:tc>
          <w:tcPr>
            <w:tcW w:w="4111" w:type="dxa"/>
            <w:tcBorders>
              <w:top w:val="single" w:sz="6" w:space="0" w:color="auto"/>
              <w:left w:val="single" w:sz="6" w:space="0" w:color="auto"/>
              <w:bottom w:val="single" w:sz="6" w:space="0" w:color="auto"/>
              <w:right w:val="single" w:sz="6" w:space="0" w:color="auto"/>
            </w:tcBorders>
          </w:tcPr>
          <w:p w14:paraId="6D580D97" w14:textId="330302B9" w:rsidR="002D6ADE" w:rsidRPr="00C9343F" w:rsidRDefault="002D6ADE" w:rsidP="002D6ADE">
            <w:pPr>
              <w:pStyle w:val="TableTextArial-left"/>
              <w:jc w:val="center"/>
            </w:pPr>
            <w:r w:rsidRPr="00C9343F">
              <w:t>12.00</w:t>
            </w:r>
          </w:p>
        </w:tc>
      </w:tr>
      <w:tr w:rsidR="002D6ADE" w:rsidRPr="00C9343F" w14:paraId="7A1FC6E4" w14:textId="77777777" w:rsidTr="005E243D">
        <w:trPr>
          <w:cantSplit/>
        </w:trPr>
        <w:tc>
          <w:tcPr>
            <w:tcW w:w="708" w:type="dxa"/>
            <w:tcBorders>
              <w:top w:val="single" w:sz="6" w:space="0" w:color="auto"/>
              <w:left w:val="single" w:sz="6" w:space="0" w:color="auto"/>
              <w:bottom w:val="single" w:sz="6" w:space="0" w:color="auto"/>
              <w:right w:val="single" w:sz="6" w:space="0" w:color="auto"/>
            </w:tcBorders>
          </w:tcPr>
          <w:p w14:paraId="4DE9F70F" w14:textId="77777777" w:rsidR="002D6ADE" w:rsidRPr="00C9343F" w:rsidRDefault="002D6ADE" w:rsidP="002D6ADE">
            <w:pPr>
              <w:pStyle w:val="TableTextArial-left"/>
              <w:jc w:val="center"/>
            </w:pPr>
            <w:r w:rsidRPr="00C9343F">
              <w:t>3.</w:t>
            </w:r>
          </w:p>
        </w:tc>
        <w:tc>
          <w:tcPr>
            <w:tcW w:w="3544" w:type="dxa"/>
            <w:tcBorders>
              <w:top w:val="single" w:sz="6" w:space="0" w:color="auto"/>
              <w:left w:val="single" w:sz="6" w:space="0" w:color="auto"/>
              <w:bottom w:val="single" w:sz="6" w:space="0" w:color="auto"/>
              <w:right w:val="single" w:sz="6" w:space="0" w:color="auto"/>
            </w:tcBorders>
          </w:tcPr>
          <w:p w14:paraId="23B7CC20" w14:textId="40BCCAD1" w:rsidR="002D6ADE" w:rsidRPr="00C9343F" w:rsidRDefault="002D6ADE" w:rsidP="002D6ADE">
            <w:pPr>
              <w:pStyle w:val="TableTextArial-left"/>
            </w:pPr>
            <w:r w:rsidRPr="00C9343F">
              <w:t>any other lunch</w:t>
            </w:r>
          </w:p>
        </w:tc>
        <w:tc>
          <w:tcPr>
            <w:tcW w:w="4111" w:type="dxa"/>
            <w:tcBorders>
              <w:top w:val="single" w:sz="6" w:space="0" w:color="auto"/>
              <w:left w:val="single" w:sz="6" w:space="0" w:color="auto"/>
              <w:bottom w:val="single" w:sz="6" w:space="0" w:color="auto"/>
              <w:right w:val="single" w:sz="6" w:space="0" w:color="auto"/>
            </w:tcBorders>
          </w:tcPr>
          <w:p w14:paraId="5D1E9AA6" w14:textId="76642DCF" w:rsidR="002D6ADE" w:rsidRPr="00C9343F" w:rsidRDefault="002D6ADE" w:rsidP="002D6ADE">
            <w:pPr>
              <w:pStyle w:val="TableTextArial-left"/>
              <w:jc w:val="center"/>
            </w:pPr>
            <w:r w:rsidRPr="00C9343F">
              <w:t>29.85</w:t>
            </w:r>
          </w:p>
        </w:tc>
      </w:tr>
      <w:tr w:rsidR="002D6ADE" w:rsidRPr="00C9343F" w14:paraId="4E257C87" w14:textId="77777777" w:rsidTr="005E243D">
        <w:trPr>
          <w:cantSplit/>
        </w:trPr>
        <w:tc>
          <w:tcPr>
            <w:tcW w:w="708" w:type="dxa"/>
            <w:tcBorders>
              <w:top w:val="single" w:sz="6" w:space="0" w:color="auto"/>
              <w:left w:val="single" w:sz="6" w:space="0" w:color="auto"/>
              <w:bottom w:val="single" w:sz="6" w:space="0" w:color="auto"/>
              <w:right w:val="single" w:sz="6" w:space="0" w:color="auto"/>
            </w:tcBorders>
          </w:tcPr>
          <w:p w14:paraId="301E0AF2" w14:textId="77777777" w:rsidR="002D6ADE" w:rsidRPr="00C9343F" w:rsidRDefault="002D6ADE" w:rsidP="002D6ADE">
            <w:pPr>
              <w:pStyle w:val="TableTextArial-left"/>
              <w:jc w:val="center"/>
            </w:pPr>
            <w:r w:rsidRPr="00C9343F">
              <w:t>4.</w:t>
            </w:r>
          </w:p>
        </w:tc>
        <w:tc>
          <w:tcPr>
            <w:tcW w:w="3544" w:type="dxa"/>
            <w:tcBorders>
              <w:top w:val="single" w:sz="6" w:space="0" w:color="auto"/>
              <w:left w:val="single" w:sz="6" w:space="0" w:color="auto"/>
              <w:bottom w:val="single" w:sz="6" w:space="0" w:color="auto"/>
              <w:right w:val="single" w:sz="6" w:space="0" w:color="auto"/>
            </w:tcBorders>
          </w:tcPr>
          <w:p w14:paraId="0B96B1F8" w14:textId="7DDE1C93" w:rsidR="002D6ADE" w:rsidRPr="00C9343F" w:rsidRDefault="002D6ADE" w:rsidP="002D6ADE">
            <w:pPr>
              <w:pStyle w:val="TableTextArial-left"/>
            </w:pPr>
            <w:r w:rsidRPr="00C9343F">
              <w:t>dinner</w:t>
            </w:r>
          </w:p>
        </w:tc>
        <w:tc>
          <w:tcPr>
            <w:tcW w:w="4111" w:type="dxa"/>
            <w:tcBorders>
              <w:top w:val="single" w:sz="6" w:space="0" w:color="auto"/>
              <w:left w:val="single" w:sz="6" w:space="0" w:color="auto"/>
              <w:bottom w:val="single" w:sz="6" w:space="0" w:color="auto"/>
              <w:right w:val="single" w:sz="6" w:space="0" w:color="auto"/>
            </w:tcBorders>
          </w:tcPr>
          <w:p w14:paraId="2F363895" w14:textId="5C6A8DE2" w:rsidR="002D6ADE" w:rsidRPr="00C9343F" w:rsidRDefault="002D6ADE" w:rsidP="002D6ADE">
            <w:pPr>
              <w:pStyle w:val="TableTextArial-left"/>
              <w:jc w:val="center"/>
            </w:pPr>
            <w:r w:rsidRPr="00C9343F">
              <w:t>51.50</w:t>
            </w:r>
          </w:p>
        </w:tc>
      </w:tr>
    </w:tbl>
    <w:p w14:paraId="06239126" w14:textId="4C9D5E0A" w:rsidR="006D1E1C" w:rsidRPr="00C9343F" w:rsidRDefault="006D1E1C" w:rsidP="00F66D98">
      <w:pPr>
        <w:pStyle w:val="Heading3"/>
        <w:pageBreakBefore/>
      </w:pPr>
      <w:bookmarkStart w:id="969" w:name="_Toc105053857"/>
      <w:r w:rsidRPr="00C9343F">
        <w:t>Part 6: Additional benefits for star rank officers</w:t>
      </w:r>
      <w:bookmarkEnd w:id="969"/>
    </w:p>
    <w:p w14:paraId="1D840D6A" w14:textId="3EBC5EEA" w:rsidR="006D1E1C" w:rsidRPr="00C9343F" w:rsidRDefault="006D1E1C" w:rsidP="00F66D98">
      <w:pPr>
        <w:pStyle w:val="Heading5"/>
      </w:pPr>
      <w:bookmarkStart w:id="970" w:name="_Toc105053858"/>
      <w:bookmarkStart w:id="971" w:name="bk15024011A31Purpose"/>
      <w:bookmarkStart w:id="972" w:name="bk11293146111A31Purpose"/>
      <w:bookmarkStart w:id="973" w:name="bk92507461Purpose"/>
      <w:bookmarkStart w:id="974" w:name="bk92541461Purpose"/>
      <w:r w:rsidRPr="00C9343F">
        <w:t>4.6.1</w:t>
      </w:r>
      <w:r w:rsidR="00D94006" w:rsidRPr="00C9343F">
        <w:t>    </w:t>
      </w:r>
      <w:r w:rsidRPr="00C9343F">
        <w:t>Purpose</w:t>
      </w:r>
      <w:bookmarkEnd w:id="970"/>
    </w:p>
    <w:bookmarkEnd w:id="971"/>
    <w:bookmarkEnd w:id="972"/>
    <w:bookmarkEnd w:id="973"/>
    <w:bookmarkEnd w:id="974"/>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330179D4" w14:textId="77777777" w:rsidTr="006D1E1C">
        <w:tc>
          <w:tcPr>
            <w:tcW w:w="992" w:type="dxa"/>
          </w:tcPr>
          <w:p w14:paraId="6E034E3B" w14:textId="77777777" w:rsidR="006D1E1C" w:rsidRPr="00C9343F" w:rsidRDefault="006D1E1C" w:rsidP="00F66D98">
            <w:pPr>
              <w:pStyle w:val="BlockText-Plain"/>
              <w:rPr>
                <w:color w:val="000000"/>
              </w:rPr>
            </w:pPr>
          </w:p>
        </w:tc>
        <w:tc>
          <w:tcPr>
            <w:tcW w:w="8363" w:type="dxa"/>
            <w:gridSpan w:val="2"/>
          </w:tcPr>
          <w:p w14:paraId="0FDD2C84" w14:textId="77777777" w:rsidR="006D1E1C" w:rsidRPr="00C9343F" w:rsidRDefault="006D1E1C" w:rsidP="00F66D98">
            <w:pPr>
              <w:pStyle w:val="BlockText-Plain"/>
              <w:rPr>
                <w:color w:val="000000"/>
              </w:rPr>
            </w:pPr>
            <w:r w:rsidRPr="00C9343F">
              <w:rPr>
                <w:color w:val="000000"/>
              </w:rPr>
              <w:t xml:space="preserve">The purpose of this Part is threefold. </w:t>
            </w:r>
          </w:p>
        </w:tc>
      </w:tr>
      <w:tr w:rsidR="006D1E1C" w:rsidRPr="00C9343F" w14:paraId="246EFD50" w14:textId="77777777" w:rsidTr="006D1E1C">
        <w:trPr>
          <w:cantSplit/>
        </w:trPr>
        <w:tc>
          <w:tcPr>
            <w:tcW w:w="992" w:type="dxa"/>
          </w:tcPr>
          <w:p w14:paraId="5AAB847E" w14:textId="77777777" w:rsidR="006D1E1C" w:rsidRPr="00C9343F" w:rsidRDefault="006D1E1C" w:rsidP="00F66D98">
            <w:pPr>
              <w:pStyle w:val="BlockText-Plain"/>
              <w:rPr>
                <w:color w:val="000000"/>
              </w:rPr>
            </w:pPr>
          </w:p>
        </w:tc>
        <w:tc>
          <w:tcPr>
            <w:tcW w:w="567" w:type="dxa"/>
          </w:tcPr>
          <w:p w14:paraId="0106C4BF" w14:textId="77777777" w:rsidR="006D1E1C" w:rsidRPr="00C9343F" w:rsidRDefault="006D1E1C" w:rsidP="008D1B5D">
            <w:pPr>
              <w:pStyle w:val="BlockText-Plain"/>
              <w:jc w:val="center"/>
              <w:rPr>
                <w:color w:val="000000"/>
              </w:rPr>
            </w:pPr>
            <w:r w:rsidRPr="00C9343F">
              <w:rPr>
                <w:color w:val="000000"/>
              </w:rPr>
              <w:t>a.</w:t>
            </w:r>
          </w:p>
        </w:tc>
        <w:tc>
          <w:tcPr>
            <w:tcW w:w="7796" w:type="dxa"/>
          </w:tcPr>
          <w:p w14:paraId="7BB6873C" w14:textId="77777777" w:rsidR="006D1E1C" w:rsidRPr="00C9343F" w:rsidRDefault="006D1E1C" w:rsidP="00F66D98">
            <w:pPr>
              <w:pStyle w:val="BlockText-Plain"/>
              <w:rPr>
                <w:color w:val="000000"/>
              </w:rPr>
            </w:pPr>
            <w:r w:rsidRPr="00C9343F">
              <w:rPr>
                <w:color w:val="000000"/>
              </w:rPr>
              <w:t>To recognise and reward the professional contribution of star rank officers in meeting the greater internal and external demands involved in giving effect to the Government’s Defence policy.</w:t>
            </w:r>
          </w:p>
        </w:tc>
      </w:tr>
      <w:tr w:rsidR="006D1E1C" w:rsidRPr="00C9343F" w14:paraId="20CAF9A4" w14:textId="77777777" w:rsidTr="006D1E1C">
        <w:trPr>
          <w:cantSplit/>
        </w:trPr>
        <w:tc>
          <w:tcPr>
            <w:tcW w:w="992" w:type="dxa"/>
          </w:tcPr>
          <w:p w14:paraId="50F8B676" w14:textId="77777777" w:rsidR="006D1E1C" w:rsidRPr="00C9343F" w:rsidRDefault="006D1E1C" w:rsidP="00F66D98">
            <w:pPr>
              <w:pStyle w:val="BlockText-Plain"/>
              <w:rPr>
                <w:color w:val="000000"/>
              </w:rPr>
            </w:pPr>
          </w:p>
        </w:tc>
        <w:tc>
          <w:tcPr>
            <w:tcW w:w="567" w:type="dxa"/>
          </w:tcPr>
          <w:p w14:paraId="707CA2E2" w14:textId="77777777" w:rsidR="006D1E1C" w:rsidRPr="00C9343F" w:rsidRDefault="006D1E1C" w:rsidP="008D1B5D">
            <w:pPr>
              <w:pStyle w:val="BlockText-Plain"/>
              <w:jc w:val="center"/>
              <w:rPr>
                <w:color w:val="000000"/>
              </w:rPr>
            </w:pPr>
            <w:r w:rsidRPr="00C9343F">
              <w:rPr>
                <w:color w:val="000000"/>
              </w:rPr>
              <w:t>b.</w:t>
            </w:r>
          </w:p>
        </w:tc>
        <w:tc>
          <w:tcPr>
            <w:tcW w:w="7796" w:type="dxa"/>
          </w:tcPr>
          <w:p w14:paraId="7881A605" w14:textId="77777777" w:rsidR="006D1E1C" w:rsidRPr="00C9343F" w:rsidRDefault="006D1E1C" w:rsidP="00F66D98">
            <w:pPr>
              <w:pStyle w:val="BlockText-Plain"/>
              <w:rPr>
                <w:color w:val="000000"/>
              </w:rPr>
            </w:pPr>
            <w:r w:rsidRPr="00C9343F">
              <w:rPr>
                <w:color w:val="000000"/>
              </w:rPr>
              <w:t>To provide employment conditions that reflect contemporary management practices.</w:t>
            </w:r>
          </w:p>
        </w:tc>
      </w:tr>
      <w:tr w:rsidR="006D1E1C" w:rsidRPr="00C9343F" w14:paraId="4C463F9E" w14:textId="77777777" w:rsidTr="006D1E1C">
        <w:trPr>
          <w:cantSplit/>
        </w:trPr>
        <w:tc>
          <w:tcPr>
            <w:tcW w:w="992" w:type="dxa"/>
          </w:tcPr>
          <w:p w14:paraId="25D7CABE" w14:textId="77777777" w:rsidR="006D1E1C" w:rsidRPr="00C9343F" w:rsidRDefault="006D1E1C" w:rsidP="00F66D98">
            <w:pPr>
              <w:pStyle w:val="BlockText-Plain"/>
              <w:rPr>
                <w:color w:val="000000"/>
              </w:rPr>
            </w:pPr>
          </w:p>
        </w:tc>
        <w:tc>
          <w:tcPr>
            <w:tcW w:w="567" w:type="dxa"/>
          </w:tcPr>
          <w:p w14:paraId="62899D68" w14:textId="77777777" w:rsidR="006D1E1C" w:rsidRPr="00C9343F" w:rsidRDefault="006D1E1C" w:rsidP="008D1B5D">
            <w:pPr>
              <w:pStyle w:val="BlockText-Plain"/>
              <w:jc w:val="center"/>
              <w:rPr>
                <w:color w:val="000000"/>
              </w:rPr>
            </w:pPr>
            <w:r w:rsidRPr="00C9343F">
              <w:rPr>
                <w:color w:val="000000"/>
              </w:rPr>
              <w:t>c.</w:t>
            </w:r>
          </w:p>
        </w:tc>
        <w:tc>
          <w:tcPr>
            <w:tcW w:w="7796" w:type="dxa"/>
          </w:tcPr>
          <w:p w14:paraId="54689C6F" w14:textId="77777777" w:rsidR="006D1E1C" w:rsidRPr="00C9343F" w:rsidRDefault="006D1E1C" w:rsidP="00F66D98">
            <w:pPr>
              <w:pStyle w:val="BlockText-Plain"/>
              <w:rPr>
                <w:color w:val="000000"/>
              </w:rPr>
            </w:pPr>
            <w:r w:rsidRPr="00C9343F">
              <w:rPr>
                <w:color w:val="000000"/>
              </w:rPr>
              <w:t>To retain highly skilled star rank officers.</w:t>
            </w:r>
          </w:p>
        </w:tc>
      </w:tr>
    </w:tbl>
    <w:p w14:paraId="3E035C73" w14:textId="07DCF5AA" w:rsidR="00A44906" w:rsidRPr="00C9343F" w:rsidRDefault="00A44906" w:rsidP="00F66D98">
      <w:pPr>
        <w:pStyle w:val="Heading5"/>
      </w:pPr>
      <w:bookmarkStart w:id="975" w:name="_Toc105053859"/>
      <w:bookmarkStart w:id="976" w:name="bk11293111A32463Definitions"/>
      <w:bookmarkStart w:id="977" w:name="bk92508463Definitions"/>
      <w:bookmarkStart w:id="978" w:name="bk92541463Definitions"/>
      <w:bookmarkStart w:id="979" w:name="bk15024011A32Definitions"/>
      <w:r w:rsidRPr="00C9343F">
        <w:t>4.6.2</w:t>
      </w:r>
      <w:r w:rsidR="00D94006" w:rsidRPr="00C9343F">
        <w:t>    </w:t>
      </w:r>
      <w:r w:rsidRPr="00C9343F">
        <w:t>Member this Part applies to</w:t>
      </w:r>
      <w:bookmarkEnd w:id="975"/>
    </w:p>
    <w:tbl>
      <w:tblPr>
        <w:tblW w:w="9365" w:type="dxa"/>
        <w:tblInd w:w="108" w:type="dxa"/>
        <w:tblLayout w:type="fixed"/>
        <w:tblLook w:val="0000" w:firstRow="0" w:lastRow="0" w:firstColumn="0" w:lastColumn="0" w:noHBand="0" w:noVBand="0"/>
      </w:tblPr>
      <w:tblGrid>
        <w:gridCol w:w="994"/>
        <w:gridCol w:w="8371"/>
      </w:tblGrid>
      <w:tr w:rsidR="00946C58" w:rsidRPr="00C9343F" w14:paraId="44AB517C" w14:textId="77777777" w:rsidTr="00BE0FFE">
        <w:tc>
          <w:tcPr>
            <w:tcW w:w="994" w:type="dxa"/>
          </w:tcPr>
          <w:p w14:paraId="21FE8FA1" w14:textId="442E7858" w:rsidR="00946C58" w:rsidRPr="00C9343F" w:rsidRDefault="00946C58" w:rsidP="00946C58">
            <w:pPr>
              <w:pStyle w:val="BlockText-Plain"/>
              <w:jc w:val="center"/>
            </w:pPr>
            <w:r w:rsidRPr="00C9343F">
              <w:rPr>
                <w:lang w:eastAsia="en-US"/>
              </w:rPr>
              <w:t>1.</w:t>
            </w:r>
          </w:p>
        </w:tc>
        <w:tc>
          <w:tcPr>
            <w:tcW w:w="8371" w:type="dxa"/>
          </w:tcPr>
          <w:p w14:paraId="3DD8E3E3" w14:textId="30A96CC2" w:rsidR="00946C58" w:rsidRPr="00C9343F" w:rsidRDefault="00946C58" w:rsidP="00946C58">
            <w:pPr>
              <w:pStyle w:val="BlockText-Plain"/>
              <w:rPr>
                <w:iCs/>
              </w:rPr>
            </w:pPr>
            <w:r w:rsidRPr="00C9343F">
              <w:rPr>
                <w:rFonts w:cs="Arial"/>
                <w:lang w:eastAsia="en-US"/>
              </w:rPr>
              <w:t>This Part applies to a member who holds a rank of Brigadier or higher.</w:t>
            </w:r>
          </w:p>
        </w:tc>
      </w:tr>
      <w:tr w:rsidR="00946C58" w:rsidRPr="00C9343F" w14:paraId="5740DBEE" w14:textId="77777777" w:rsidTr="00BE0FFE">
        <w:tc>
          <w:tcPr>
            <w:tcW w:w="994" w:type="dxa"/>
          </w:tcPr>
          <w:p w14:paraId="7B61C99A" w14:textId="109357CC" w:rsidR="00946C58" w:rsidRPr="00C9343F" w:rsidRDefault="00946C58" w:rsidP="00946C58">
            <w:pPr>
              <w:pStyle w:val="BlockText-Plain"/>
              <w:jc w:val="center"/>
            </w:pPr>
            <w:r w:rsidRPr="00C9343F">
              <w:rPr>
                <w:lang w:eastAsia="en-US"/>
              </w:rPr>
              <w:t>2.</w:t>
            </w:r>
          </w:p>
        </w:tc>
        <w:tc>
          <w:tcPr>
            <w:tcW w:w="8371" w:type="dxa"/>
          </w:tcPr>
          <w:p w14:paraId="718004B1" w14:textId="1D62055E" w:rsidR="00946C58" w:rsidRPr="00C9343F" w:rsidRDefault="00946C58" w:rsidP="00946C58">
            <w:pPr>
              <w:pStyle w:val="BlockText-Plain"/>
              <w:rPr>
                <w:iCs/>
              </w:rPr>
            </w:pPr>
            <w:r w:rsidRPr="00C9343F">
              <w:rPr>
                <w:rFonts w:cs="Arial"/>
                <w:lang w:eastAsia="en-US"/>
              </w:rPr>
              <w:t>Sections 4.6.4, 4.6.5 and 4.6.6 apply to a member of the Reserves who holds a rank of Brigadier or higher.</w:t>
            </w:r>
          </w:p>
        </w:tc>
      </w:tr>
    </w:tbl>
    <w:p w14:paraId="79DB181C" w14:textId="77777777" w:rsidR="00A32D8A" w:rsidRPr="00C9343F" w:rsidRDefault="00A32D8A" w:rsidP="00A32D8A">
      <w:pPr>
        <w:pStyle w:val="Heading5"/>
      </w:pPr>
      <w:bookmarkStart w:id="980" w:name="_Toc53747523"/>
      <w:bookmarkStart w:id="981" w:name="_Toc105053860"/>
      <w:bookmarkStart w:id="982" w:name="bk15024011A37Mobiletelephone"/>
      <w:bookmarkStart w:id="983" w:name="bk11293111A3467Mobiletelephone"/>
      <w:bookmarkStart w:id="984" w:name="bk92508467Mobiletelephone"/>
      <w:bookmarkStart w:id="985" w:name="bk92542467Mobiletelephone"/>
      <w:bookmarkEnd w:id="976"/>
      <w:bookmarkEnd w:id="977"/>
      <w:bookmarkEnd w:id="978"/>
      <w:bookmarkEnd w:id="979"/>
      <w:r w:rsidRPr="00C9343F">
        <w:t>4.6.4    Membership of airline club</w:t>
      </w:r>
      <w:bookmarkEnd w:id="980"/>
      <w:bookmarkEnd w:id="981"/>
    </w:p>
    <w:tbl>
      <w:tblPr>
        <w:tblStyle w:val="TableGrid"/>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363"/>
      </w:tblGrid>
      <w:tr w:rsidR="00A32D8A" w:rsidRPr="00C9343F" w14:paraId="2FEED226" w14:textId="77777777" w:rsidTr="005E243D">
        <w:tc>
          <w:tcPr>
            <w:tcW w:w="530" w:type="pct"/>
          </w:tcPr>
          <w:p w14:paraId="6538E221" w14:textId="77777777" w:rsidR="00A32D8A" w:rsidRPr="00C9343F" w:rsidRDefault="00A32D8A" w:rsidP="005E243D">
            <w:pPr>
              <w:pStyle w:val="BlockText-Plain"/>
              <w:jc w:val="center"/>
            </w:pPr>
          </w:p>
        </w:tc>
        <w:tc>
          <w:tcPr>
            <w:tcW w:w="4470" w:type="pct"/>
          </w:tcPr>
          <w:p w14:paraId="524804D9" w14:textId="77777777" w:rsidR="00A32D8A" w:rsidRPr="00C9343F" w:rsidRDefault="00A32D8A" w:rsidP="005E243D">
            <w:pPr>
              <w:pStyle w:val="BlockText-Plain"/>
            </w:pPr>
            <w:r w:rsidRPr="00C9343F">
              <w:t>A member is eligible for the basic membership of an airline club of a government-contracted carrier.</w:t>
            </w:r>
          </w:p>
        </w:tc>
      </w:tr>
    </w:tbl>
    <w:p w14:paraId="4D7604E4" w14:textId="511B57BC" w:rsidR="006D1E1C" w:rsidRPr="00C9343F" w:rsidRDefault="006D1E1C" w:rsidP="00F66D98">
      <w:pPr>
        <w:pStyle w:val="Heading5"/>
      </w:pPr>
      <w:bookmarkStart w:id="986" w:name="_Toc105053861"/>
      <w:r w:rsidRPr="00C9343F">
        <w:t>4.6.5</w:t>
      </w:r>
      <w:r w:rsidR="00D94006" w:rsidRPr="00C9343F">
        <w:t>    </w:t>
      </w:r>
      <w:r w:rsidRPr="00C9343F">
        <w:t>Mobile telephones and hand held devices</w:t>
      </w:r>
      <w:bookmarkEnd w:id="986"/>
    </w:p>
    <w:tbl>
      <w:tblPr>
        <w:tblW w:w="0" w:type="auto"/>
        <w:tblInd w:w="113" w:type="dxa"/>
        <w:tblLayout w:type="fixed"/>
        <w:tblLook w:val="0000" w:firstRow="0" w:lastRow="0" w:firstColumn="0" w:lastColumn="0" w:noHBand="0" w:noVBand="0"/>
      </w:tblPr>
      <w:tblGrid>
        <w:gridCol w:w="992"/>
        <w:gridCol w:w="567"/>
        <w:gridCol w:w="7800"/>
      </w:tblGrid>
      <w:tr w:rsidR="006D1E1C" w:rsidRPr="00C9343F" w14:paraId="67154A7A" w14:textId="77777777" w:rsidTr="006D1E1C">
        <w:tc>
          <w:tcPr>
            <w:tcW w:w="992" w:type="dxa"/>
          </w:tcPr>
          <w:p w14:paraId="43A67705" w14:textId="77777777" w:rsidR="006D1E1C" w:rsidRPr="00C9343F" w:rsidRDefault="006D1E1C" w:rsidP="00F66D98">
            <w:pPr>
              <w:pStyle w:val="BlockText-Plain"/>
              <w:jc w:val="center"/>
            </w:pPr>
            <w:bookmarkStart w:id="987" w:name="bk15024011A38PrivatelyplatedDefenceVehi"/>
            <w:bookmarkStart w:id="988" w:name="bk11293111A3468PrivatelyplatedDefenceve"/>
            <w:bookmarkStart w:id="989" w:name="bk92508468PrivatelyplatedDefencevehicle"/>
            <w:bookmarkStart w:id="990" w:name="bk92542468PrivatelyplatedDefencevehicle"/>
            <w:bookmarkEnd w:id="982"/>
            <w:bookmarkEnd w:id="983"/>
            <w:bookmarkEnd w:id="984"/>
            <w:bookmarkEnd w:id="985"/>
            <w:r w:rsidRPr="00C9343F">
              <w:t>1.</w:t>
            </w:r>
          </w:p>
        </w:tc>
        <w:tc>
          <w:tcPr>
            <w:tcW w:w="8367" w:type="dxa"/>
            <w:gridSpan w:val="2"/>
          </w:tcPr>
          <w:p w14:paraId="3F27708B" w14:textId="5F446D45" w:rsidR="006D1E1C" w:rsidRPr="00C9343F" w:rsidRDefault="006D1E1C" w:rsidP="00F66D98">
            <w:pPr>
              <w:pStyle w:val="BlockText-Plain"/>
            </w:pPr>
            <w:r w:rsidRPr="00C9343F">
              <w:t>The member is eligible for a mobile telephone or other handheld device.</w:t>
            </w:r>
          </w:p>
        </w:tc>
      </w:tr>
      <w:tr w:rsidR="006D1E1C" w:rsidRPr="00C9343F" w14:paraId="6A2E3D8B" w14:textId="77777777" w:rsidTr="006D1E1C">
        <w:tc>
          <w:tcPr>
            <w:tcW w:w="992" w:type="dxa"/>
          </w:tcPr>
          <w:p w14:paraId="36D71D30" w14:textId="77777777" w:rsidR="006D1E1C" w:rsidRPr="00C9343F" w:rsidRDefault="006D1E1C" w:rsidP="00F66D98">
            <w:pPr>
              <w:pStyle w:val="BlockText-Plain"/>
              <w:jc w:val="center"/>
            </w:pPr>
            <w:r w:rsidRPr="00C9343F">
              <w:t>2.</w:t>
            </w:r>
          </w:p>
        </w:tc>
        <w:tc>
          <w:tcPr>
            <w:tcW w:w="8367" w:type="dxa"/>
            <w:gridSpan w:val="2"/>
          </w:tcPr>
          <w:p w14:paraId="75877F5E" w14:textId="77777777" w:rsidR="006D1E1C" w:rsidRPr="00C9343F" w:rsidRDefault="006D1E1C" w:rsidP="00F66D98">
            <w:pPr>
              <w:pStyle w:val="BlockText-Plain"/>
            </w:pPr>
            <w:r w:rsidRPr="00C9343F">
              <w:t>The Department of Defence will meet the cost of providing and operating the telephone or device, including limited personal use.</w:t>
            </w:r>
          </w:p>
        </w:tc>
      </w:tr>
      <w:tr w:rsidR="006D1E1C" w:rsidRPr="00C9343F" w14:paraId="2A089F9B" w14:textId="77777777" w:rsidTr="006D1E1C">
        <w:tc>
          <w:tcPr>
            <w:tcW w:w="992" w:type="dxa"/>
          </w:tcPr>
          <w:p w14:paraId="0AFBFC34" w14:textId="77777777" w:rsidR="006D1E1C" w:rsidRPr="00C9343F" w:rsidRDefault="006D1E1C" w:rsidP="00F66D98">
            <w:pPr>
              <w:pStyle w:val="BlockText-Plain"/>
              <w:jc w:val="center"/>
            </w:pPr>
            <w:r w:rsidRPr="00C9343F">
              <w:t>3.</w:t>
            </w:r>
          </w:p>
        </w:tc>
        <w:tc>
          <w:tcPr>
            <w:tcW w:w="8367" w:type="dxa"/>
            <w:gridSpan w:val="2"/>
          </w:tcPr>
          <w:p w14:paraId="0007104A" w14:textId="77777777" w:rsidR="006D1E1C" w:rsidRPr="00C9343F" w:rsidRDefault="006D1E1C" w:rsidP="00F66D98">
            <w:pPr>
              <w:pStyle w:val="BlockText-Plain"/>
            </w:pPr>
            <w:r w:rsidRPr="00C9343F">
              <w:t>A member of the Reserves is only eligible under this section when both the following apply.</w:t>
            </w:r>
          </w:p>
        </w:tc>
      </w:tr>
      <w:tr w:rsidR="006D1E1C" w:rsidRPr="00C9343F" w14:paraId="36FF83BD" w14:textId="77777777" w:rsidTr="006D1E1C">
        <w:trPr>
          <w:cantSplit/>
        </w:trPr>
        <w:tc>
          <w:tcPr>
            <w:tcW w:w="992" w:type="dxa"/>
          </w:tcPr>
          <w:p w14:paraId="27DFC40B" w14:textId="77777777" w:rsidR="006D1E1C" w:rsidRPr="00C9343F" w:rsidRDefault="006D1E1C" w:rsidP="00F66D98">
            <w:pPr>
              <w:pStyle w:val="BlockText-Plain"/>
            </w:pPr>
          </w:p>
        </w:tc>
        <w:tc>
          <w:tcPr>
            <w:tcW w:w="567" w:type="dxa"/>
          </w:tcPr>
          <w:p w14:paraId="4E70AD17" w14:textId="77777777" w:rsidR="006D1E1C" w:rsidRPr="00C9343F" w:rsidRDefault="006D1E1C" w:rsidP="008D1B5D">
            <w:pPr>
              <w:pStyle w:val="BlockText-Plain"/>
              <w:jc w:val="center"/>
            </w:pPr>
            <w:r w:rsidRPr="00C9343F">
              <w:t>a.</w:t>
            </w:r>
          </w:p>
        </w:tc>
        <w:tc>
          <w:tcPr>
            <w:tcW w:w="7800" w:type="dxa"/>
          </w:tcPr>
          <w:p w14:paraId="53AD360D" w14:textId="77777777" w:rsidR="006D1E1C" w:rsidRPr="00C9343F" w:rsidRDefault="006D1E1C" w:rsidP="00F66D98">
            <w:pPr>
              <w:pStyle w:val="BlockText-Plain"/>
            </w:pPr>
            <w:r w:rsidRPr="00C9343F">
              <w:t>The member has 100 days of expected liability to serve in the financial year.</w:t>
            </w:r>
          </w:p>
        </w:tc>
      </w:tr>
      <w:tr w:rsidR="006D1E1C" w:rsidRPr="00C9343F" w14:paraId="17D4EA3F" w14:textId="77777777" w:rsidTr="006D1E1C">
        <w:trPr>
          <w:cantSplit/>
        </w:trPr>
        <w:tc>
          <w:tcPr>
            <w:tcW w:w="992" w:type="dxa"/>
          </w:tcPr>
          <w:p w14:paraId="036DBC89" w14:textId="77777777" w:rsidR="006D1E1C" w:rsidRPr="00C9343F" w:rsidRDefault="006D1E1C" w:rsidP="00F66D98">
            <w:pPr>
              <w:pStyle w:val="BlockText-Plain"/>
            </w:pPr>
          </w:p>
        </w:tc>
        <w:tc>
          <w:tcPr>
            <w:tcW w:w="567" w:type="dxa"/>
          </w:tcPr>
          <w:p w14:paraId="23E68334" w14:textId="77777777" w:rsidR="006D1E1C" w:rsidRPr="00C9343F" w:rsidRDefault="006D1E1C" w:rsidP="008D1B5D">
            <w:pPr>
              <w:pStyle w:val="BlockText-Plain"/>
              <w:jc w:val="center"/>
            </w:pPr>
            <w:r w:rsidRPr="00C9343F">
              <w:t>b.</w:t>
            </w:r>
          </w:p>
        </w:tc>
        <w:tc>
          <w:tcPr>
            <w:tcW w:w="7800" w:type="dxa"/>
          </w:tcPr>
          <w:p w14:paraId="5D44148A" w14:textId="77777777" w:rsidR="006D1E1C" w:rsidRPr="00C9343F" w:rsidRDefault="006D1E1C" w:rsidP="00F66D98">
            <w:pPr>
              <w:pStyle w:val="BlockText-Plain"/>
            </w:pPr>
            <w:r w:rsidRPr="00C9343F">
              <w:t>The member’s commanding officer or manager approves that the benefit be made available, having regard to the duties that the member is required to perform.</w:t>
            </w:r>
          </w:p>
        </w:tc>
      </w:tr>
    </w:tbl>
    <w:p w14:paraId="5E2B2CE1" w14:textId="565BCFB7" w:rsidR="00A44906" w:rsidRPr="00C9343F" w:rsidRDefault="00A44906" w:rsidP="00F66D98">
      <w:pPr>
        <w:pStyle w:val="Heading5"/>
      </w:pPr>
      <w:bookmarkStart w:id="991" w:name="_Toc105053862"/>
      <w:r w:rsidRPr="00C9343F">
        <w:t>4.6.6</w:t>
      </w:r>
      <w:r w:rsidR="00D94006" w:rsidRPr="00C9343F">
        <w:t>    </w:t>
      </w:r>
      <w:r w:rsidRPr="00C9343F">
        <w:t>Executive vehicle allowance</w:t>
      </w:r>
      <w:bookmarkEnd w:id="991"/>
    </w:p>
    <w:tbl>
      <w:tblPr>
        <w:tblW w:w="9369" w:type="dxa"/>
        <w:tblInd w:w="108" w:type="dxa"/>
        <w:tblLayout w:type="fixed"/>
        <w:tblLook w:val="0000" w:firstRow="0" w:lastRow="0" w:firstColumn="0" w:lastColumn="0" w:noHBand="0" w:noVBand="0"/>
      </w:tblPr>
      <w:tblGrid>
        <w:gridCol w:w="994"/>
        <w:gridCol w:w="459"/>
        <w:gridCol w:w="7916"/>
      </w:tblGrid>
      <w:tr w:rsidR="00A44906" w:rsidRPr="00C9343F" w14:paraId="7C93E50E" w14:textId="77777777" w:rsidTr="00BE0FFE">
        <w:tc>
          <w:tcPr>
            <w:tcW w:w="994" w:type="dxa"/>
          </w:tcPr>
          <w:p w14:paraId="3965A435" w14:textId="77777777" w:rsidR="00A44906" w:rsidRPr="00C9343F" w:rsidRDefault="00A44906" w:rsidP="00F66D98">
            <w:pPr>
              <w:pStyle w:val="BlockText-Plain"/>
              <w:jc w:val="center"/>
            </w:pPr>
            <w:r w:rsidRPr="00C9343F">
              <w:t>1.</w:t>
            </w:r>
          </w:p>
        </w:tc>
        <w:tc>
          <w:tcPr>
            <w:tcW w:w="8375" w:type="dxa"/>
            <w:gridSpan w:val="2"/>
          </w:tcPr>
          <w:p w14:paraId="0B595162" w14:textId="77777777" w:rsidR="00A44906" w:rsidRPr="00C9343F" w:rsidRDefault="00A44906" w:rsidP="00F66D98">
            <w:pPr>
              <w:pStyle w:val="BlockText-Plain"/>
              <w:rPr>
                <w:iCs/>
              </w:rPr>
            </w:pPr>
            <w:r w:rsidRPr="00C9343F">
              <w:rPr>
                <w:iCs/>
              </w:rPr>
              <w:t>This section does not apply to a member holding the rank of Lieutenant General or higher.</w:t>
            </w:r>
          </w:p>
        </w:tc>
      </w:tr>
      <w:tr w:rsidR="00A44906" w:rsidRPr="00C9343F" w14:paraId="4B996482" w14:textId="77777777" w:rsidTr="00BE0FFE">
        <w:tc>
          <w:tcPr>
            <w:tcW w:w="994" w:type="dxa"/>
          </w:tcPr>
          <w:p w14:paraId="50C73CBA" w14:textId="77777777" w:rsidR="00A44906" w:rsidRPr="00C9343F" w:rsidRDefault="00A44906" w:rsidP="00F66D98">
            <w:pPr>
              <w:pStyle w:val="BlockText-Plain"/>
              <w:jc w:val="center"/>
            </w:pPr>
            <w:r w:rsidRPr="00C9343F">
              <w:t>2.</w:t>
            </w:r>
          </w:p>
        </w:tc>
        <w:tc>
          <w:tcPr>
            <w:tcW w:w="8375" w:type="dxa"/>
            <w:gridSpan w:val="2"/>
          </w:tcPr>
          <w:p w14:paraId="0671821E" w14:textId="77777777" w:rsidR="00A44906" w:rsidRPr="00C9343F" w:rsidRDefault="00A44906" w:rsidP="00F66D98">
            <w:pPr>
              <w:pStyle w:val="BlockText-Plain"/>
              <w:rPr>
                <w:iCs/>
              </w:rPr>
            </w:pPr>
            <w:r w:rsidRPr="00C9343F">
              <w:rPr>
                <w:iCs/>
              </w:rPr>
              <w:t xml:space="preserve">The member is eligible for executive vehicle allowance if any of the following apply. </w:t>
            </w:r>
          </w:p>
        </w:tc>
      </w:tr>
      <w:tr w:rsidR="00A44906" w:rsidRPr="00C9343F" w14:paraId="17381368" w14:textId="77777777" w:rsidTr="00BE0FFE">
        <w:tblPrEx>
          <w:tblLook w:val="04A0" w:firstRow="1" w:lastRow="0" w:firstColumn="1" w:lastColumn="0" w:noHBand="0" w:noVBand="1"/>
        </w:tblPrEx>
        <w:tc>
          <w:tcPr>
            <w:tcW w:w="994" w:type="dxa"/>
          </w:tcPr>
          <w:p w14:paraId="56B19E20" w14:textId="77777777" w:rsidR="00A44906" w:rsidRPr="00C9343F" w:rsidRDefault="00A44906" w:rsidP="00F66D98">
            <w:pPr>
              <w:pStyle w:val="BlockText-Plain"/>
              <w:jc w:val="center"/>
              <w:rPr>
                <w:lang w:eastAsia="en-US"/>
              </w:rPr>
            </w:pPr>
          </w:p>
        </w:tc>
        <w:tc>
          <w:tcPr>
            <w:tcW w:w="459" w:type="dxa"/>
          </w:tcPr>
          <w:p w14:paraId="770C15BA" w14:textId="77777777" w:rsidR="00A44906" w:rsidRPr="00C9343F" w:rsidRDefault="00A44906" w:rsidP="00F66D98">
            <w:pPr>
              <w:pStyle w:val="BlockText-Plain"/>
              <w:jc w:val="center"/>
            </w:pPr>
            <w:r w:rsidRPr="00C9343F">
              <w:t>a.</w:t>
            </w:r>
          </w:p>
        </w:tc>
        <w:tc>
          <w:tcPr>
            <w:tcW w:w="7916" w:type="dxa"/>
          </w:tcPr>
          <w:p w14:paraId="25AA7430" w14:textId="272B3A95" w:rsidR="00A44906" w:rsidRPr="00C9343F" w:rsidRDefault="00E95F77" w:rsidP="00F66D98">
            <w:pPr>
              <w:pStyle w:val="Default"/>
            </w:pPr>
            <w:r w:rsidRPr="00C9343F">
              <w:t xml:space="preserve">They hold a </w:t>
            </w:r>
            <w:r w:rsidR="007C63BD" w:rsidRPr="00C9343F">
              <w:rPr>
                <w:iCs/>
              </w:rPr>
              <w:t>rank of Brigadier or higher</w:t>
            </w:r>
            <w:r w:rsidRPr="00C9343F">
              <w:t xml:space="preserve">, other than under paragraph 13(1)(b) of the Defence Regulation. </w:t>
            </w:r>
          </w:p>
        </w:tc>
      </w:tr>
      <w:tr w:rsidR="00E95F77" w:rsidRPr="00C9343F" w14:paraId="42DF8365" w14:textId="77777777" w:rsidTr="00BE0FFE">
        <w:tblPrEx>
          <w:tblLook w:val="04A0" w:firstRow="1" w:lastRow="0" w:firstColumn="1" w:lastColumn="0" w:noHBand="0" w:noVBand="1"/>
        </w:tblPrEx>
        <w:tc>
          <w:tcPr>
            <w:tcW w:w="994" w:type="dxa"/>
          </w:tcPr>
          <w:p w14:paraId="5D4D3893" w14:textId="77777777" w:rsidR="00E95F77" w:rsidRPr="00C9343F" w:rsidRDefault="00E95F77" w:rsidP="00F66D98">
            <w:pPr>
              <w:pStyle w:val="BlockText-Plain"/>
              <w:jc w:val="center"/>
              <w:rPr>
                <w:lang w:eastAsia="en-US"/>
              </w:rPr>
            </w:pPr>
          </w:p>
        </w:tc>
        <w:tc>
          <w:tcPr>
            <w:tcW w:w="459" w:type="dxa"/>
          </w:tcPr>
          <w:p w14:paraId="7680374A" w14:textId="77777777" w:rsidR="00E95F77" w:rsidRPr="00C9343F" w:rsidRDefault="00E95F77" w:rsidP="00F66D98">
            <w:pPr>
              <w:pStyle w:val="BlockText-Plain"/>
              <w:jc w:val="center"/>
            </w:pPr>
            <w:r w:rsidRPr="00C9343F">
              <w:t>b.</w:t>
            </w:r>
          </w:p>
        </w:tc>
        <w:tc>
          <w:tcPr>
            <w:tcW w:w="7916" w:type="dxa"/>
          </w:tcPr>
          <w:p w14:paraId="2FD6148F" w14:textId="300824C5" w:rsidR="00E95F77" w:rsidRPr="00C9343F" w:rsidRDefault="00E95F77" w:rsidP="00F66D98">
            <w:pPr>
              <w:pStyle w:val="BlockText-Plain"/>
            </w:pPr>
            <w:r w:rsidRPr="00C9343F">
              <w:t xml:space="preserve">They have been directed to act at a </w:t>
            </w:r>
            <w:r w:rsidR="007C63BD" w:rsidRPr="00C9343F">
              <w:rPr>
                <w:iCs/>
                <w:lang w:eastAsia="en-US"/>
              </w:rPr>
              <w:t>rank of Brigadier or higher</w:t>
            </w:r>
            <w:r w:rsidRPr="00C9343F">
              <w:t xml:space="preserve"> under paragraph 13(1)(b) of the Regulation for a continuous period of four weeks or more.</w:t>
            </w:r>
          </w:p>
        </w:tc>
      </w:tr>
      <w:tr w:rsidR="00A44906" w:rsidRPr="00C9343F" w14:paraId="11F57B4A" w14:textId="77777777" w:rsidTr="00BE0FFE">
        <w:tblPrEx>
          <w:tblLook w:val="04A0" w:firstRow="1" w:lastRow="0" w:firstColumn="1" w:lastColumn="0" w:noHBand="0" w:noVBand="1"/>
        </w:tblPrEx>
        <w:tc>
          <w:tcPr>
            <w:tcW w:w="994" w:type="dxa"/>
          </w:tcPr>
          <w:p w14:paraId="13C0A48B" w14:textId="77777777" w:rsidR="00A44906" w:rsidRPr="00C9343F" w:rsidRDefault="00A44906" w:rsidP="00F66D98">
            <w:pPr>
              <w:pStyle w:val="BlockText-Plain"/>
              <w:jc w:val="center"/>
              <w:rPr>
                <w:lang w:eastAsia="en-US"/>
              </w:rPr>
            </w:pPr>
          </w:p>
        </w:tc>
        <w:tc>
          <w:tcPr>
            <w:tcW w:w="459" w:type="dxa"/>
          </w:tcPr>
          <w:p w14:paraId="60751CB8" w14:textId="77777777" w:rsidR="00A44906" w:rsidRPr="00C9343F" w:rsidRDefault="00E95F77" w:rsidP="00F66D98">
            <w:pPr>
              <w:pStyle w:val="BlockText-Plain"/>
              <w:jc w:val="center"/>
            </w:pPr>
            <w:r w:rsidRPr="00C9343F">
              <w:t>c</w:t>
            </w:r>
            <w:r w:rsidR="00A44906" w:rsidRPr="00C9343F">
              <w:t>.</w:t>
            </w:r>
          </w:p>
        </w:tc>
        <w:tc>
          <w:tcPr>
            <w:tcW w:w="7916" w:type="dxa"/>
          </w:tcPr>
          <w:p w14:paraId="07DBAFD7" w14:textId="5CB49DBA" w:rsidR="00A44906" w:rsidRPr="00C9343F" w:rsidRDefault="00236D2E" w:rsidP="00F66D98">
            <w:pPr>
              <w:pStyle w:val="BlockText-Plain"/>
            </w:pPr>
            <w:r w:rsidRPr="00C9343F">
              <w:t xml:space="preserve">They have been directed to perform higher duties of a </w:t>
            </w:r>
            <w:r w:rsidR="007C63BD" w:rsidRPr="00C9343F">
              <w:rPr>
                <w:iCs/>
                <w:lang w:eastAsia="en-US"/>
              </w:rPr>
              <w:t>rank of Brigadier or higher</w:t>
            </w:r>
            <w:r w:rsidRPr="00C9343F">
              <w:t xml:space="preserve"> for a continuous period of three months or more.</w:t>
            </w:r>
          </w:p>
        </w:tc>
      </w:tr>
      <w:tr w:rsidR="00A44906" w:rsidRPr="00C9343F" w14:paraId="3A8E5397" w14:textId="77777777" w:rsidTr="00BE0FFE">
        <w:tblPrEx>
          <w:tblLook w:val="04A0" w:firstRow="1" w:lastRow="0" w:firstColumn="1" w:lastColumn="0" w:noHBand="0" w:noVBand="1"/>
        </w:tblPrEx>
        <w:tc>
          <w:tcPr>
            <w:tcW w:w="994" w:type="dxa"/>
          </w:tcPr>
          <w:p w14:paraId="1187717F" w14:textId="77777777" w:rsidR="00A44906" w:rsidRPr="00C9343F" w:rsidRDefault="00A44906" w:rsidP="00F66D98">
            <w:pPr>
              <w:pStyle w:val="BlockText-Plain"/>
              <w:jc w:val="center"/>
              <w:rPr>
                <w:lang w:eastAsia="en-US"/>
              </w:rPr>
            </w:pPr>
            <w:r w:rsidRPr="00C9343F">
              <w:rPr>
                <w:lang w:eastAsia="en-US"/>
              </w:rPr>
              <w:t>3.</w:t>
            </w:r>
          </w:p>
        </w:tc>
        <w:tc>
          <w:tcPr>
            <w:tcW w:w="8375" w:type="dxa"/>
            <w:gridSpan w:val="2"/>
          </w:tcPr>
          <w:p w14:paraId="1419BDAD" w14:textId="77777777" w:rsidR="00A44906" w:rsidRPr="00C9343F" w:rsidRDefault="00A44906" w:rsidP="00F66D98">
            <w:pPr>
              <w:pStyle w:val="BlockText-Plain"/>
            </w:pPr>
            <w:r w:rsidRPr="00C9343F">
              <w:t xml:space="preserve">Subject to subsection 4, the rate of executive vehicle allowance for a member who performs the type of service in column A and holds the rank in column B is the rate in column C of the following table. </w:t>
            </w:r>
          </w:p>
        </w:tc>
      </w:tr>
      <w:tr w:rsidR="00A44906" w:rsidRPr="00C9343F" w14:paraId="3B7D6E01" w14:textId="77777777" w:rsidTr="00BE0FFE">
        <w:tblPrEx>
          <w:tblLook w:val="04A0" w:firstRow="1" w:lastRow="0" w:firstColumn="1" w:lastColumn="0" w:noHBand="0" w:noVBand="1"/>
        </w:tblPrEx>
        <w:tc>
          <w:tcPr>
            <w:tcW w:w="994" w:type="dxa"/>
          </w:tcPr>
          <w:p w14:paraId="0129951C" w14:textId="77777777" w:rsidR="00A44906" w:rsidRPr="00C9343F" w:rsidRDefault="00A44906" w:rsidP="00F66D98">
            <w:pPr>
              <w:pStyle w:val="BlockText-Plain"/>
              <w:jc w:val="center"/>
              <w:rPr>
                <w:lang w:eastAsia="en-US"/>
              </w:rPr>
            </w:pPr>
          </w:p>
        </w:tc>
        <w:tc>
          <w:tcPr>
            <w:tcW w:w="8375" w:type="dxa"/>
            <w:gridSpan w:val="2"/>
          </w:tcPr>
          <w:p w14:paraId="334A1110" w14:textId="6AAD1350" w:rsidR="00A44906" w:rsidRPr="00C9343F" w:rsidRDefault="00A44906" w:rsidP="00F66D98">
            <w:pPr>
              <w:pStyle w:val="BlockText-Plain"/>
            </w:pPr>
            <w:r w:rsidRPr="00C9343F">
              <w:rPr>
                <w:b/>
              </w:rPr>
              <w:t>Note:</w:t>
            </w:r>
            <w:r w:rsidRPr="00C9343F">
              <w:t xml:space="preserve"> A member who is directed to act at a higher rank (including a </w:t>
            </w:r>
            <w:r w:rsidR="007C63BD" w:rsidRPr="00C9343F">
              <w:rPr>
                <w:iCs/>
                <w:lang w:eastAsia="en-US"/>
              </w:rPr>
              <w:t>rank of Brigadier or higher</w:t>
            </w:r>
            <w:r w:rsidRPr="00C9343F">
              <w:t>) under paragraph 13(1)(b) of the Defence Regulation is considered to be holding the higher rank.</w:t>
            </w:r>
          </w:p>
        </w:tc>
      </w:tr>
    </w:tbl>
    <w:p w14:paraId="3ACBD523" w14:textId="77777777" w:rsidR="00A44906" w:rsidRPr="00C9343F" w:rsidRDefault="00A44906" w:rsidP="00F66D98">
      <w:pPr>
        <w:jc w:val="center"/>
      </w:pPr>
    </w:p>
    <w:tbl>
      <w:tblPr>
        <w:tblW w:w="8363" w:type="dxa"/>
        <w:tblInd w:w="1049" w:type="dxa"/>
        <w:tblLayout w:type="fixed"/>
        <w:tblCellMar>
          <w:left w:w="56" w:type="dxa"/>
          <w:right w:w="56" w:type="dxa"/>
        </w:tblCellMar>
        <w:tblLook w:val="0000" w:firstRow="0" w:lastRow="0" w:firstColumn="0" w:lastColumn="0" w:noHBand="0" w:noVBand="0"/>
      </w:tblPr>
      <w:tblGrid>
        <w:gridCol w:w="567"/>
        <w:gridCol w:w="2409"/>
        <w:gridCol w:w="2552"/>
        <w:gridCol w:w="2835"/>
      </w:tblGrid>
      <w:tr w:rsidR="00A44906" w:rsidRPr="00C9343F" w14:paraId="19619449" w14:textId="77777777" w:rsidTr="00BE0FFE">
        <w:trPr>
          <w:cantSplit/>
        </w:trPr>
        <w:tc>
          <w:tcPr>
            <w:tcW w:w="567" w:type="dxa"/>
            <w:tcBorders>
              <w:top w:val="single" w:sz="6" w:space="0" w:color="auto"/>
              <w:left w:val="single" w:sz="6" w:space="0" w:color="auto"/>
              <w:bottom w:val="single" w:sz="6" w:space="0" w:color="auto"/>
              <w:right w:val="single" w:sz="6" w:space="0" w:color="auto"/>
            </w:tcBorders>
          </w:tcPr>
          <w:p w14:paraId="38BC84CB" w14:textId="77777777" w:rsidR="00A44906" w:rsidRPr="00C9343F" w:rsidRDefault="00A44906" w:rsidP="00F66D98">
            <w:pPr>
              <w:pStyle w:val="TableHeaderArial"/>
              <w:jc w:val="left"/>
            </w:pPr>
            <w:r w:rsidRPr="00C9343F">
              <w:t>Item</w:t>
            </w:r>
          </w:p>
        </w:tc>
        <w:tc>
          <w:tcPr>
            <w:tcW w:w="2409" w:type="dxa"/>
            <w:tcBorders>
              <w:top w:val="single" w:sz="6" w:space="0" w:color="auto"/>
              <w:left w:val="single" w:sz="6" w:space="0" w:color="auto"/>
              <w:bottom w:val="single" w:sz="6" w:space="0" w:color="auto"/>
              <w:right w:val="single" w:sz="6" w:space="0" w:color="auto"/>
            </w:tcBorders>
          </w:tcPr>
          <w:p w14:paraId="333F3ADC" w14:textId="77777777" w:rsidR="00A44906" w:rsidRPr="00C9343F" w:rsidRDefault="00A44906" w:rsidP="00F66D98">
            <w:pPr>
              <w:pStyle w:val="TableHeaderArial"/>
            </w:pPr>
            <w:r w:rsidRPr="00C9343F">
              <w:t>Column A</w:t>
            </w:r>
          </w:p>
          <w:p w14:paraId="1BC1DEF8" w14:textId="77777777" w:rsidR="00A44906" w:rsidRPr="00C9343F" w:rsidRDefault="00A44906" w:rsidP="00F66D98">
            <w:pPr>
              <w:pStyle w:val="TableHeaderArial"/>
            </w:pPr>
            <w:r w:rsidRPr="00C9343F">
              <w:t>Service type</w:t>
            </w:r>
          </w:p>
        </w:tc>
        <w:tc>
          <w:tcPr>
            <w:tcW w:w="2552" w:type="dxa"/>
            <w:tcBorders>
              <w:top w:val="single" w:sz="6" w:space="0" w:color="auto"/>
              <w:left w:val="single" w:sz="6" w:space="0" w:color="auto"/>
              <w:bottom w:val="single" w:sz="6" w:space="0" w:color="auto"/>
              <w:right w:val="single" w:sz="6" w:space="0" w:color="auto"/>
            </w:tcBorders>
          </w:tcPr>
          <w:p w14:paraId="779389C9" w14:textId="77777777" w:rsidR="00A44906" w:rsidRPr="00C9343F" w:rsidRDefault="00A44906" w:rsidP="00F66D98">
            <w:pPr>
              <w:pStyle w:val="TableHeaderArial"/>
            </w:pPr>
            <w:r w:rsidRPr="00C9343F">
              <w:t>Column B</w:t>
            </w:r>
          </w:p>
          <w:p w14:paraId="7219DEF9" w14:textId="77777777" w:rsidR="00A44906" w:rsidRPr="00C9343F" w:rsidRDefault="00A44906" w:rsidP="00F66D98">
            <w:pPr>
              <w:pStyle w:val="TableHeaderArial"/>
            </w:pPr>
            <w:r w:rsidRPr="00C9343F">
              <w:t>Rank</w:t>
            </w:r>
          </w:p>
        </w:tc>
        <w:tc>
          <w:tcPr>
            <w:tcW w:w="2835" w:type="dxa"/>
            <w:tcBorders>
              <w:top w:val="single" w:sz="6" w:space="0" w:color="auto"/>
              <w:left w:val="single" w:sz="6" w:space="0" w:color="auto"/>
              <w:bottom w:val="single" w:sz="6" w:space="0" w:color="auto"/>
              <w:right w:val="single" w:sz="6" w:space="0" w:color="auto"/>
            </w:tcBorders>
          </w:tcPr>
          <w:p w14:paraId="658BF981" w14:textId="77777777" w:rsidR="00A44906" w:rsidRPr="00C9343F" w:rsidRDefault="00A44906" w:rsidP="00F66D98">
            <w:pPr>
              <w:pStyle w:val="TableHeaderArial"/>
            </w:pPr>
            <w:r w:rsidRPr="00C9343F">
              <w:t>Column C</w:t>
            </w:r>
          </w:p>
          <w:p w14:paraId="45EFBE3A" w14:textId="77777777" w:rsidR="00A44906" w:rsidRPr="00C9343F" w:rsidRDefault="00A44906" w:rsidP="00F66D98">
            <w:pPr>
              <w:pStyle w:val="TableHeaderArial"/>
            </w:pPr>
            <w:r w:rsidRPr="00C9343F">
              <w:t>Rate</w:t>
            </w:r>
          </w:p>
        </w:tc>
      </w:tr>
      <w:tr w:rsidR="00A44906" w:rsidRPr="00C9343F" w14:paraId="6471FB80" w14:textId="77777777" w:rsidTr="00BE0FFE">
        <w:trPr>
          <w:cantSplit/>
        </w:trPr>
        <w:tc>
          <w:tcPr>
            <w:tcW w:w="567" w:type="dxa"/>
            <w:vMerge w:val="restart"/>
            <w:tcBorders>
              <w:top w:val="single" w:sz="6" w:space="0" w:color="auto"/>
              <w:left w:val="single" w:sz="6" w:space="0" w:color="auto"/>
              <w:bottom w:val="single" w:sz="6" w:space="0" w:color="auto"/>
              <w:right w:val="single" w:sz="6" w:space="0" w:color="auto"/>
            </w:tcBorders>
          </w:tcPr>
          <w:p w14:paraId="4F82667F" w14:textId="77777777" w:rsidR="00A44906" w:rsidRPr="00C9343F" w:rsidRDefault="00A44906" w:rsidP="00F66D98">
            <w:pPr>
              <w:pStyle w:val="TableTextArial-left"/>
              <w:jc w:val="center"/>
            </w:pPr>
            <w:r w:rsidRPr="00C9343F">
              <w:t>1.</w:t>
            </w:r>
          </w:p>
        </w:tc>
        <w:tc>
          <w:tcPr>
            <w:tcW w:w="2409" w:type="dxa"/>
            <w:vMerge w:val="restart"/>
            <w:tcBorders>
              <w:top w:val="single" w:sz="6" w:space="0" w:color="auto"/>
              <w:left w:val="single" w:sz="6" w:space="0" w:color="auto"/>
              <w:bottom w:val="single" w:sz="6" w:space="0" w:color="auto"/>
              <w:right w:val="single" w:sz="6" w:space="0" w:color="auto"/>
            </w:tcBorders>
          </w:tcPr>
          <w:p w14:paraId="58A2F5E5" w14:textId="77777777" w:rsidR="00A44906" w:rsidRPr="00C9343F" w:rsidRDefault="00A44906" w:rsidP="00F66D98">
            <w:pPr>
              <w:pStyle w:val="TableTextArial-left"/>
              <w:widowControl w:val="0"/>
            </w:pPr>
            <w:r w:rsidRPr="00C9343F">
              <w:t>The member is performing continuous full-time service.</w:t>
            </w:r>
          </w:p>
        </w:tc>
        <w:tc>
          <w:tcPr>
            <w:tcW w:w="2552" w:type="dxa"/>
            <w:tcBorders>
              <w:top w:val="single" w:sz="6" w:space="0" w:color="auto"/>
              <w:left w:val="single" w:sz="6" w:space="0" w:color="auto"/>
              <w:bottom w:val="single" w:sz="6" w:space="0" w:color="auto"/>
              <w:right w:val="single" w:sz="6" w:space="0" w:color="auto"/>
            </w:tcBorders>
          </w:tcPr>
          <w:p w14:paraId="7EC03146" w14:textId="77777777" w:rsidR="00A44906" w:rsidRPr="00C9343F" w:rsidRDefault="00A44906" w:rsidP="00F66D98">
            <w:pPr>
              <w:pStyle w:val="TableTextArial-left"/>
              <w:jc w:val="center"/>
            </w:pPr>
            <w:r w:rsidRPr="00C9343F">
              <w:t>Brigadier</w:t>
            </w:r>
          </w:p>
        </w:tc>
        <w:tc>
          <w:tcPr>
            <w:tcW w:w="2835" w:type="dxa"/>
            <w:tcBorders>
              <w:top w:val="single" w:sz="6" w:space="0" w:color="auto"/>
              <w:left w:val="single" w:sz="6" w:space="0" w:color="auto"/>
              <w:bottom w:val="single" w:sz="6" w:space="0" w:color="auto"/>
              <w:right w:val="single" w:sz="6" w:space="0" w:color="auto"/>
            </w:tcBorders>
          </w:tcPr>
          <w:p w14:paraId="2E2F3787" w14:textId="77777777" w:rsidR="00A44906" w:rsidRPr="00C9343F" w:rsidRDefault="00A44906" w:rsidP="00F66D98">
            <w:pPr>
              <w:pStyle w:val="TableTextArial-left"/>
              <w:tabs>
                <w:tab w:val="center" w:pos="1220"/>
              </w:tabs>
              <w:jc w:val="center"/>
            </w:pPr>
            <w:r w:rsidRPr="00C9343F">
              <w:t>$25,208 a year.</w:t>
            </w:r>
          </w:p>
        </w:tc>
      </w:tr>
      <w:tr w:rsidR="00A44906" w:rsidRPr="00C9343F" w14:paraId="5F93A1AE" w14:textId="77777777" w:rsidTr="00BE0FFE">
        <w:trPr>
          <w:cantSplit/>
        </w:trPr>
        <w:tc>
          <w:tcPr>
            <w:tcW w:w="567" w:type="dxa"/>
            <w:vMerge/>
            <w:tcBorders>
              <w:top w:val="single" w:sz="6" w:space="0" w:color="auto"/>
              <w:left w:val="single" w:sz="6" w:space="0" w:color="auto"/>
              <w:bottom w:val="single" w:sz="6" w:space="0" w:color="auto"/>
              <w:right w:val="single" w:sz="6" w:space="0" w:color="auto"/>
            </w:tcBorders>
            <w:vAlign w:val="center"/>
          </w:tcPr>
          <w:p w14:paraId="03CA45F4" w14:textId="77777777" w:rsidR="00A44906" w:rsidRPr="00C9343F" w:rsidRDefault="00A44906" w:rsidP="00F66D98">
            <w:pPr>
              <w:rPr>
                <w:sz w:val="20"/>
              </w:rPr>
            </w:pPr>
          </w:p>
        </w:tc>
        <w:tc>
          <w:tcPr>
            <w:tcW w:w="2409" w:type="dxa"/>
            <w:vMerge/>
            <w:tcBorders>
              <w:top w:val="single" w:sz="6" w:space="0" w:color="auto"/>
              <w:left w:val="single" w:sz="6" w:space="0" w:color="auto"/>
              <w:bottom w:val="single" w:sz="6" w:space="0" w:color="auto"/>
              <w:right w:val="single" w:sz="6" w:space="0" w:color="auto"/>
            </w:tcBorders>
            <w:vAlign w:val="center"/>
          </w:tcPr>
          <w:p w14:paraId="01EA5D10" w14:textId="77777777" w:rsidR="00A44906" w:rsidRPr="00C9343F" w:rsidRDefault="00A44906" w:rsidP="00F66D98">
            <w:pPr>
              <w:rPr>
                <w:sz w:val="20"/>
              </w:rPr>
            </w:pPr>
          </w:p>
        </w:tc>
        <w:tc>
          <w:tcPr>
            <w:tcW w:w="2552" w:type="dxa"/>
            <w:tcBorders>
              <w:top w:val="single" w:sz="6" w:space="0" w:color="auto"/>
              <w:left w:val="single" w:sz="6" w:space="0" w:color="auto"/>
              <w:bottom w:val="single" w:sz="6" w:space="0" w:color="auto"/>
              <w:right w:val="single" w:sz="6" w:space="0" w:color="auto"/>
            </w:tcBorders>
          </w:tcPr>
          <w:p w14:paraId="1700E3DD" w14:textId="77777777" w:rsidR="00A44906" w:rsidRPr="00C9343F" w:rsidRDefault="00A44906" w:rsidP="00F66D98">
            <w:pPr>
              <w:pStyle w:val="TableTextArial-left"/>
              <w:jc w:val="center"/>
            </w:pPr>
            <w:r w:rsidRPr="00C9343F">
              <w:t>Major General</w:t>
            </w:r>
          </w:p>
        </w:tc>
        <w:tc>
          <w:tcPr>
            <w:tcW w:w="2835" w:type="dxa"/>
            <w:tcBorders>
              <w:top w:val="single" w:sz="6" w:space="0" w:color="auto"/>
              <w:left w:val="single" w:sz="6" w:space="0" w:color="auto"/>
              <w:bottom w:val="single" w:sz="6" w:space="0" w:color="auto"/>
              <w:right w:val="single" w:sz="6" w:space="0" w:color="auto"/>
            </w:tcBorders>
          </w:tcPr>
          <w:p w14:paraId="18325FD8" w14:textId="77777777" w:rsidR="00A44906" w:rsidRPr="00C9343F" w:rsidRDefault="00A44906" w:rsidP="00F66D98">
            <w:pPr>
              <w:pStyle w:val="TableTextArial-left"/>
              <w:tabs>
                <w:tab w:val="left" w:pos="608"/>
              </w:tabs>
              <w:jc w:val="center"/>
            </w:pPr>
            <w:r w:rsidRPr="00C9343F">
              <w:t>$26,928 a year.</w:t>
            </w:r>
          </w:p>
        </w:tc>
      </w:tr>
      <w:tr w:rsidR="00A44906" w:rsidRPr="00C9343F" w14:paraId="7CC8BEE0" w14:textId="77777777" w:rsidTr="00BE0FFE">
        <w:trPr>
          <w:cantSplit/>
        </w:trPr>
        <w:tc>
          <w:tcPr>
            <w:tcW w:w="567" w:type="dxa"/>
            <w:vMerge w:val="restart"/>
            <w:tcBorders>
              <w:top w:val="single" w:sz="6" w:space="0" w:color="auto"/>
              <w:left w:val="single" w:sz="6" w:space="0" w:color="auto"/>
              <w:bottom w:val="single" w:sz="6" w:space="0" w:color="auto"/>
              <w:right w:val="single" w:sz="6" w:space="0" w:color="auto"/>
            </w:tcBorders>
          </w:tcPr>
          <w:p w14:paraId="3DAE839A" w14:textId="77777777" w:rsidR="00A44906" w:rsidRPr="00C9343F" w:rsidRDefault="00A44906" w:rsidP="00F66D98">
            <w:pPr>
              <w:pStyle w:val="TableTextArial-left"/>
              <w:jc w:val="center"/>
            </w:pPr>
            <w:r w:rsidRPr="00C9343F">
              <w:t>2.</w:t>
            </w:r>
          </w:p>
        </w:tc>
        <w:tc>
          <w:tcPr>
            <w:tcW w:w="2409" w:type="dxa"/>
            <w:vMerge w:val="restart"/>
            <w:tcBorders>
              <w:top w:val="single" w:sz="6" w:space="0" w:color="auto"/>
              <w:left w:val="single" w:sz="6" w:space="0" w:color="auto"/>
              <w:bottom w:val="single" w:sz="6" w:space="0" w:color="auto"/>
              <w:right w:val="single" w:sz="6" w:space="0" w:color="auto"/>
            </w:tcBorders>
          </w:tcPr>
          <w:p w14:paraId="6AFB7A4B" w14:textId="77777777" w:rsidR="00A44906" w:rsidRPr="00C9343F" w:rsidRDefault="00A44906" w:rsidP="00F66D98">
            <w:pPr>
              <w:pStyle w:val="TableTextArial-left"/>
            </w:pPr>
            <w:r w:rsidRPr="00C9343F">
              <w:t xml:space="preserve">The member is performing Reserve service </w:t>
            </w:r>
          </w:p>
        </w:tc>
        <w:tc>
          <w:tcPr>
            <w:tcW w:w="2552" w:type="dxa"/>
            <w:tcBorders>
              <w:top w:val="single" w:sz="6" w:space="0" w:color="auto"/>
              <w:left w:val="single" w:sz="6" w:space="0" w:color="auto"/>
              <w:bottom w:val="single" w:sz="6" w:space="0" w:color="auto"/>
              <w:right w:val="single" w:sz="6" w:space="0" w:color="auto"/>
            </w:tcBorders>
          </w:tcPr>
          <w:p w14:paraId="4C8F76CC" w14:textId="77777777" w:rsidR="00A44906" w:rsidRPr="00C9343F" w:rsidRDefault="00A44906" w:rsidP="00F66D98">
            <w:pPr>
              <w:pStyle w:val="TableTextArial-left"/>
              <w:jc w:val="center"/>
            </w:pPr>
            <w:r w:rsidRPr="00C9343F">
              <w:t>Brigadier</w:t>
            </w:r>
          </w:p>
        </w:tc>
        <w:tc>
          <w:tcPr>
            <w:tcW w:w="2835" w:type="dxa"/>
            <w:tcBorders>
              <w:top w:val="single" w:sz="6" w:space="0" w:color="auto"/>
              <w:left w:val="single" w:sz="6" w:space="0" w:color="auto"/>
              <w:bottom w:val="single" w:sz="6" w:space="0" w:color="auto"/>
              <w:right w:val="single" w:sz="6" w:space="0" w:color="auto"/>
            </w:tcBorders>
          </w:tcPr>
          <w:p w14:paraId="36CD4B26" w14:textId="77777777" w:rsidR="00A44906" w:rsidRPr="00C9343F" w:rsidRDefault="00A44906" w:rsidP="00F66D98">
            <w:pPr>
              <w:pStyle w:val="TableTextArial-left"/>
              <w:tabs>
                <w:tab w:val="left" w:pos="608"/>
              </w:tabs>
              <w:jc w:val="center"/>
            </w:pPr>
            <w:r w:rsidRPr="00C9343F">
              <w:t>$69.06 a day.</w:t>
            </w:r>
          </w:p>
        </w:tc>
      </w:tr>
      <w:tr w:rsidR="00A44906" w:rsidRPr="00C9343F" w14:paraId="15CC03A7" w14:textId="77777777" w:rsidTr="00BE0FFE">
        <w:trPr>
          <w:cantSplit/>
        </w:trPr>
        <w:tc>
          <w:tcPr>
            <w:tcW w:w="567" w:type="dxa"/>
            <w:vMerge/>
            <w:tcBorders>
              <w:top w:val="single" w:sz="6" w:space="0" w:color="auto"/>
              <w:left w:val="single" w:sz="6" w:space="0" w:color="auto"/>
              <w:bottom w:val="single" w:sz="6" w:space="0" w:color="auto"/>
              <w:right w:val="single" w:sz="6" w:space="0" w:color="auto"/>
            </w:tcBorders>
            <w:vAlign w:val="center"/>
          </w:tcPr>
          <w:p w14:paraId="3C4FA1EB" w14:textId="77777777" w:rsidR="00A44906" w:rsidRPr="00C9343F" w:rsidRDefault="00A44906" w:rsidP="00F66D98">
            <w:pPr>
              <w:rPr>
                <w:sz w:val="20"/>
              </w:rPr>
            </w:pPr>
          </w:p>
        </w:tc>
        <w:tc>
          <w:tcPr>
            <w:tcW w:w="2409" w:type="dxa"/>
            <w:vMerge/>
            <w:tcBorders>
              <w:top w:val="single" w:sz="6" w:space="0" w:color="auto"/>
              <w:left w:val="single" w:sz="6" w:space="0" w:color="auto"/>
              <w:bottom w:val="single" w:sz="6" w:space="0" w:color="auto"/>
              <w:right w:val="single" w:sz="6" w:space="0" w:color="auto"/>
            </w:tcBorders>
            <w:vAlign w:val="center"/>
          </w:tcPr>
          <w:p w14:paraId="560388AA" w14:textId="77777777" w:rsidR="00A44906" w:rsidRPr="00C9343F" w:rsidRDefault="00A44906" w:rsidP="00F66D98">
            <w:pPr>
              <w:rPr>
                <w:sz w:val="20"/>
              </w:rPr>
            </w:pPr>
          </w:p>
        </w:tc>
        <w:tc>
          <w:tcPr>
            <w:tcW w:w="2552" w:type="dxa"/>
            <w:tcBorders>
              <w:top w:val="single" w:sz="6" w:space="0" w:color="auto"/>
              <w:left w:val="single" w:sz="6" w:space="0" w:color="auto"/>
              <w:bottom w:val="single" w:sz="6" w:space="0" w:color="auto"/>
              <w:right w:val="single" w:sz="6" w:space="0" w:color="auto"/>
            </w:tcBorders>
          </w:tcPr>
          <w:p w14:paraId="609EC8DC" w14:textId="77777777" w:rsidR="00A44906" w:rsidRPr="00C9343F" w:rsidRDefault="00A44906" w:rsidP="00F66D98">
            <w:pPr>
              <w:pStyle w:val="TableTextArial-left"/>
              <w:jc w:val="center"/>
            </w:pPr>
            <w:r w:rsidRPr="00C9343F">
              <w:t>Major General</w:t>
            </w:r>
          </w:p>
        </w:tc>
        <w:tc>
          <w:tcPr>
            <w:tcW w:w="2835" w:type="dxa"/>
            <w:tcBorders>
              <w:top w:val="single" w:sz="6" w:space="0" w:color="auto"/>
              <w:left w:val="single" w:sz="6" w:space="0" w:color="auto"/>
              <w:bottom w:val="single" w:sz="6" w:space="0" w:color="auto"/>
              <w:right w:val="single" w:sz="6" w:space="0" w:color="auto"/>
            </w:tcBorders>
          </w:tcPr>
          <w:p w14:paraId="468C775D" w14:textId="77777777" w:rsidR="00A44906" w:rsidRPr="00C9343F" w:rsidRDefault="00A44906" w:rsidP="00F66D98">
            <w:pPr>
              <w:pStyle w:val="TableTextArial-left"/>
              <w:tabs>
                <w:tab w:val="left" w:pos="608"/>
              </w:tabs>
              <w:jc w:val="center"/>
            </w:pPr>
            <w:r w:rsidRPr="00C9343F">
              <w:t>$73.78 a day.</w:t>
            </w:r>
          </w:p>
        </w:tc>
      </w:tr>
    </w:tbl>
    <w:p w14:paraId="4EB4E17A" w14:textId="77777777" w:rsidR="00A44906" w:rsidRPr="00C9343F" w:rsidRDefault="00A44906" w:rsidP="00F66D98"/>
    <w:tbl>
      <w:tblPr>
        <w:tblW w:w="9365" w:type="dxa"/>
        <w:tblInd w:w="108" w:type="dxa"/>
        <w:tblLayout w:type="fixed"/>
        <w:tblLook w:val="0000" w:firstRow="0" w:lastRow="0" w:firstColumn="0" w:lastColumn="0" w:noHBand="0" w:noVBand="0"/>
      </w:tblPr>
      <w:tblGrid>
        <w:gridCol w:w="994"/>
        <w:gridCol w:w="8371"/>
      </w:tblGrid>
      <w:tr w:rsidR="00A44906" w:rsidRPr="00C9343F" w14:paraId="394E2688" w14:textId="77777777" w:rsidTr="00BE0FFE">
        <w:trPr>
          <w:trHeight w:val="1940"/>
        </w:trPr>
        <w:tc>
          <w:tcPr>
            <w:tcW w:w="994" w:type="dxa"/>
          </w:tcPr>
          <w:p w14:paraId="0C3AEDEC" w14:textId="77777777" w:rsidR="00A44906" w:rsidRPr="00C9343F" w:rsidRDefault="00A44906" w:rsidP="00F66D98">
            <w:pPr>
              <w:pStyle w:val="BlockText-Plain"/>
              <w:jc w:val="center"/>
            </w:pPr>
          </w:p>
        </w:tc>
        <w:tc>
          <w:tcPr>
            <w:tcW w:w="8371" w:type="dxa"/>
          </w:tcPr>
          <w:p w14:paraId="4BC64017" w14:textId="77777777" w:rsidR="00A44906" w:rsidRPr="00C9343F" w:rsidRDefault="00A44906" w:rsidP="00F66D98">
            <w:pPr>
              <w:pStyle w:val="BlockText-Plain"/>
              <w:rPr>
                <w:b/>
              </w:rPr>
            </w:pPr>
            <w:r w:rsidRPr="00C9343F">
              <w:rPr>
                <w:b/>
              </w:rPr>
              <w:t>Note 1:</w:t>
            </w:r>
            <w:r w:rsidRPr="00C9343F">
              <w:t xml:space="preserve"> The method used to calculate the amount of allowance is provided under:</w:t>
            </w:r>
            <w:r w:rsidRPr="00C9343F">
              <w:br/>
              <w:t>1. Subsection 3.2.7, for members on continuous full-time service.</w:t>
            </w:r>
            <w:r w:rsidRPr="00C9343F">
              <w:br/>
              <w:t>2. Subsection 3.2.7A, for members on a flexible service determination.</w:t>
            </w:r>
          </w:p>
          <w:p w14:paraId="0F958587" w14:textId="77777777" w:rsidR="00A44906" w:rsidRPr="00C9343F" w:rsidRDefault="00A44906" w:rsidP="00F66D98">
            <w:pPr>
              <w:pStyle w:val="BlockText-Plain"/>
              <w:spacing w:after="120"/>
            </w:pPr>
            <w:r w:rsidRPr="00C9343F">
              <w:rPr>
                <w:b/>
              </w:rPr>
              <w:t xml:space="preserve">Note 2: </w:t>
            </w:r>
            <w:r w:rsidRPr="00C9343F">
              <w:t>The allowance is paid fortnightly in addition to salary.</w:t>
            </w:r>
          </w:p>
          <w:p w14:paraId="76305758" w14:textId="77777777" w:rsidR="00A44906" w:rsidRPr="00C9343F" w:rsidRDefault="00A44906" w:rsidP="00F66D98">
            <w:pPr>
              <w:pStyle w:val="BlockText-Plain"/>
              <w:spacing w:after="120"/>
            </w:pPr>
            <w:r w:rsidRPr="00C9343F">
              <w:rPr>
                <w:b/>
              </w:rPr>
              <w:t xml:space="preserve">Note 3: </w:t>
            </w:r>
            <w:r w:rsidRPr="00C9343F">
              <w:t>Calculation of the payment is based on a 14 day fortnight.</w:t>
            </w:r>
          </w:p>
          <w:p w14:paraId="3793B9DD" w14:textId="77777777" w:rsidR="00A44906" w:rsidRPr="00C9343F" w:rsidRDefault="00A44906" w:rsidP="00F66D98">
            <w:pPr>
              <w:pStyle w:val="BlockText-Plain"/>
              <w:spacing w:after="120"/>
              <w:rPr>
                <w:b/>
              </w:rPr>
            </w:pPr>
            <w:r w:rsidRPr="00C9343F">
              <w:rPr>
                <w:b/>
              </w:rPr>
              <w:t xml:space="preserve">Note 4: </w:t>
            </w:r>
            <w:r w:rsidRPr="00C9343F">
              <w:t xml:space="preserve">The allowance does not count as salary for superannuation purposes. </w:t>
            </w:r>
          </w:p>
        </w:tc>
      </w:tr>
      <w:tr w:rsidR="00A44906" w:rsidRPr="00C9343F" w14:paraId="17198B62" w14:textId="77777777" w:rsidTr="00BE0FFE">
        <w:tblPrEx>
          <w:tblLook w:val="04A0" w:firstRow="1" w:lastRow="0" w:firstColumn="1" w:lastColumn="0" w:noHBand="0" w:noVBand="1"/>
        </w:tblPrEx>
        <w:tc>
          <w:tcPr>
            <w:tcW w:w="994" w:type="dxa"/>
          </w:tcPr>
          <w:p w14:paraId="062901AE" w14:textId="77777777" w:rsidR="00A44906" w:rsidRPr="00C9343F" w:rsidRDefault="00A44906" w:rsidP="00F66D98">
            <w:pPr>
              <w:pStyle w:val="BlockText-Plain"/>
              <w:jc w:val="center"/>
              <w:rPr>
                <w:lang w:eastAsia="en-US"/>
              </w:rPr>
            </w:pPr>
            <w:r w:rsidRPr="00C9343F">
              <w:rPr>
                <w:lang w:eastAsia="en-US"/>
              </w:rPr>
              <w:t>4.</w:t>
            </w:r>
          </w:p>
        </w:tc>
        <w:tc>
          <w:tcPr>
            <w:tcW w:w="8371" w:type="dxa"/>
          </w:tcPr>
          <w:p w14:paraId="6E32349E" w14:textId="77777777" w:rsidR="00A44906" w:rsidRPr="00C9343F" w:rsidRDefault="00A44906" w:rsidP="00F66D98">
            <w:pPr>
              <w:pStyle w:val="BlockText-Plain"/>
              <w:rPr>
                <w:rFonts w:cs="Arial"/>
                <w:iCs/>
                <w:lang w:eastAsia="en-US"/>
              </w:rPr>
            </w:pPr>
            <w:r w:rsidRPr="00C9343F">
              <w:rPr>
                <w:rFonts w:cs="Arial"/>
                <w:iCs/>
                <w:lang w:eastAsia="en-US"/>
              </w:rPr>
              <w:t>For the purpose of column B in subsection 3, a member holding the rank in column A who is directed to perform the duties of the rank in column B is taken to hold the rank in column C of the following table.</w:t>
            </w:r>
          </w:p>
        </w:tc>
      </w:tr>
    </w:tbl>
    <w:p w14:paraId="4A04FD5A" w14:textId="77777777" w:rsidR="00A44906" w:rsidRPr="00C9343F" w:rsidRDefault="00A44906" w:rsidP="00F66D98">
      <w:pPr>
        <w:jc w:val="center"/>
      </w:pPr>
    </w:p>
    <w:tbl>
      <w:tblPr>
        <w:tblW w:w="8363" w:type="dxa"/>
        <w:tblInd w:w="1049" w:type="dxa"/>
        <w:tblLayout w:type="fixed"/>
        <w:tblCellMar>
          <w:left w:w="56" w:type="dxa"/>
          <w:right w:w="56" w:type="dxa"/>
        </w:tblCellMar>
        <w:tblLook w:val="0000" w:firstRow="0" w:lastRow="0" w:firstColumn="0" w:lastColumn="0" w:noHBand="0" w:noVBand="0"/>
      </w:tblPr>
      <w:tblGrid>
        <w:gridCol w:w="567"/>
        <w:gridCol w:w="2598"/>
        <w:gridCol w:w="2599"/>
        <w:gridCol w:w="2599"/>
      </w:tblGrid>
      <w:tr w:rsidR="00A44906" w:rsidRPr="00C9343F" w14:paraId="28E71377" w14:textId="77777777" w:rsidTr="00BE0FFE">
        <w:trPr>
          <w:cantSplit/>
        </w:trPr>
        <w:tc>
          <w:tcPr>
            <w:tcW w:w="567" w:type="dxa"/>
            <w:tcBorders>
              <w:top w:val="single" w:sz="6" w:space="0" w:color="auto"/>
              <w:left w:val="single" w:sz="6" w:space="0" w:color="auto"/>
              <w:bottom w:val="single" w:sz="6" w:space="0" w:color="auto"/>
              <w:right w:val="single" w:sz="6" w:space="0" w:color="auto"/>
            </w:tcBorders>
          </w:tcPr>
          <w:p w14:paraId="3C783BDD" w14:textId="77777777" w:rsidR="00A44906" w:rsidRPr="00C9343F" w:rsidRDefault="00A44906" w:rsidP="00F66D98">
            <w:pPr>
              <w:pStyle w:val="TableHeaderArial"/>
            </w:pPr>
            <w:r w:rsidRPr="00C9343F">
              <w:t>Item</w:t>
            </w:r>
          </w:p>
        </w:tc>
        <w:tc>
          <w:tcPr>
            <w:tcW w:w="2598" w:type="dxa"/>
            <w:tcBorders>
              <w:top w:val="single" w:sz="6" w:space="0" w:color="auto"/>
              <w:left w:val="single" w:sz="6" w:space="0" w:color="auto"/>
              <w:bottom w:val="single" w:sz="6" w:space="0" w:color="auto"/>
              <w:right w:val="single" w:sz="6" w:space="0" w:color="auto"/>
            </w:tcBorders>
          </w:tcPr>
          <w:p w14:paraId="6B9D62C7" w14:textId="77777777" w:rsidR="00A44906" w:rsidRPr="00C9343F" w:rsidRDefault="00A44906" w:rsidP="00F66D98">
            <w:pPr>
              <w:pStyle w:val="TableHeaderArial"/>
            </w:pPr>
            <w:r w:rsidRPr="00C9343F">
              <w:t>Column A</w:t>
            </w:r>
          </w:p>
        </w:tc>
        <w:tc>
          <w:tcPr>
            <w:tcW w:w="2599" w:type="dxa"/>
            <w:tcBorders>
              <w:top w:val="single" w:sz="6" w:space="0" w:color="auto"/>
              <w:left w:val="single" w:sz="6" w:space="0" w:color="auto"/>
              <w:bottom w:val="single" w:sz="6" w:space="0" w:color="auto"/>
              <w:right w:val="single" w:sz="6" w:space="0" w:color="auto"/>
            </w:tcBorders>
          </w:tcPr>
          <w:p w14:paraId="0FE34FCD" w14:textId="77777777" w:rsidR="00A44906" w:rsidRPr="00C9343F" w:rsidRDefault="00A44906" w:rsidP="00F66D98">
            <w:pPr>
              <w:pStyle w:val="TableHeaderArial"/>
            </w:pPr>
            <w:r w:rsidRPr="00C9343F">
              <w:t>Column B</w:t>
            </w:r>
          </w:p>
        </w:tc>
        <w:tc>
          <w:tcPr>
            <w:tcW w:w="2599" w:type="dxa"/>
            <w:tcBorders>
              <w:top w:val="single" w:sz="6" w:space="0" w:color="auto"/>
              <w:left w:val="single" w:sz="6" w:space="0" w:color="auto"/>
              <w:bottom w:val="single" w:sz="6" w:space="0" w:color="auto"/>
              <w:right w:val="single" w:sz="6" w:space="0" w:color="auto"/>
            </w:tcBorders>
          </w:tcPr>
          <w:p w14:paraId="1E792758" w14:textId="77777777" w:rsidR="00A44906" w:rsidRPr="00C9343F" w:rsidRDefault="00A44906" w:rsidP="00F66D98">
            <w:pPr>
              <w:pStyle w:val="TableHeaderArial"/>
            </w:pPr>
            <w:r w:rsidRPr="00C9343F">
              <w:t>Column C</w:t>
            </w:r>
          </w:p>
        </w:tc>
      </w:tr>
      <w:tr w:rsidR="00A44906" w:rsidRPr="00C9343F" w14:paraId="201F8F47" w14:textId="77777777" w:rsidTr="00BE0FFE">
        <w:trPr>
          <w:cantSplit/>
        </w:trPr>
        <w:tc>
          <w:tcPr>
            <w:tcW w:w="567" w:type="dxa"/>
            <w:tcBorders>
              <w:top w:val="single" w:sz="6" w:space="0" w:color="auto"/>
              <w:left w:val="single" w:sz="6" w:space="0" w:color="auto"/>
              <w:bottom w:val="single" w:sz="6" w:space="0" w:color="auto"/>
              <w:right w:val="single" w:sz="6" w:space="0" w:color="auto"/>
            </w:tcBorders>
          </w:tcPr>
          <w:p w14:paraId="43E2946C" w14:textId="77777777" w:rsidR="00A44906" w:rsidRPr="00C9343F" w:rsidRDefault="00A44906" w:rsidP="00F66D98">
            <w:pPr>
              <w:pStyle w:val="TableTextArial-left"/>
              <w:jc w:val="center"/>
            </w:pPr>
            <w:r w:rsidRPr="00C9343F">
              <w:t>1.</w:t>
            </w:r>
          </w:p>
        </w:tc>
        <w:tc>
          <w:tcPr>
            <w:tcW w:w="2598" w:type="dxa"/>
            <w:tcBorders>
              <w:top w:val="single" w:sz="6" w:space="0" w:color="auto"/>
              <w:left w:val="single" w:sz="6" w:space="0" w:color="auto"/>
              <w:bottom w:val="single" w:sz="6" w:space="0" w:color="auto"/>
              <w:right w:val="single" w:sz="6" w:space="0" w:color="auto"/>
            </w:tcBorders>
          </w:tcPr>
          <w:p w14:paraId="6664C50E" w14:textId="77777777" w:rsidR="00A44906" w:rsidRPr="00C9343F" w:rsidRDefault="00A44906" w:rsidP="00F66D98">
            <w:pPr>
              <w:pStyle w:val="TableTextArial-left"/>
              <w:jc w:val="center"/>
            </w:pPr>
            <w:r w:rsidRPr="00C9343F">
              <w:t>Colonel or lower</w:t>
            </w:r>
          </w:p>
        </w:tc>
        <w:tc>
          <w:tcPr>
            <w:tcW w:w="2599" w:type="dxa"/>
            <w:tcBorders>
              <w:top w:val="single" w:sz="6" w:space="0" w:color="auto"/>
              <w:left w:val="single" w:sz="6" w:space="0" w:color="auto"/>
              <w:bottom w:val="single" w:sz="6" w:space="0" w:color="auto"/>
              <w:right w:val="single" w:sz="6" w:space="0" w:color="auto"/>
            </w:tcBorders>
          </w:tcPr>
          <w:p w14:paraId="42E8916A" w14:textId="77777777" w:rsidR="00A44906" w:rsidRPr="00C9343F" w:rsidRDefault="00A44906" w:rsidP="00F66D98">
            <w:pPr>
              <w:pStyle w:val="TableTextArial-left"/>
              <w:jc w:val="center"/>
            </w:pPr>
            <w:r w:rsidRPr="00C9343F">
              <w:t>Brigadier</w:t>
            </w:r>
          </w:p>
        </w:tc>
        <w:tc>
          <w:tcPr>
            <w:tcW w:w="2599" w:type="dxa"/>
            <w:tcBorders>
              <w:top w:val="single" w:sz="6" w:space="0" w:color="auto"/>
              <w:left w:val="single" w:sz="6" w:space="0" w:color="auto"/>
              <w:bottom w:val="single" w:sz="6" w:space="0" w:color="auto"/>
              <w:right w:val="single" w:sz="6" w:space="0" w:color="auto"/>
            </w:tcBorders>
          </w:tcPr>
          <w:p w14:paraId="6F1F557D" w14:textId="77777777" w:rsidR="00A44906" w:rsidRPr="00C9343F" w:rsidRDefault="00A44906" w:rsidP="00F66D98">
            <w:pPr>
              <w:pStyle w:val="TableTextArial-left"/>
              <w:jc w:val="center"/>
            </w:pPr>
            <w:r w:rsidRPr="00C9343F">
              <w:t>Brigadier</w:t>
            </w:r>
          </w:p>
        </w:tc>
      </w:tr>
      <w:tr w:rsidR="00A44906" w:rsidRPr="00C9343F" w14:paraId="50DF9060" w14:textId="77777777" w:rsidTr="00BE0FFE">
        <w:trPr>
          <w:cantSplit/>
        </w:trPr>
        <w:tc>
          <w:tcPr>
            <w:tcW w:w="567" w:type="dxa"/>
            <w:tcBorders>
              <w:top w:val="single" w:sz="6" w:space="0" w:color="auto"/>
              <w:left w:val="single" w:sz="6" w:space="0" w:color="auto"/>
              <w:bottom w:val="single" w:sz="6" w:space="0" w:color="auto"/>
              <w:right w:val="single" w:sz="6" w:space="0" w:color="auto"/>
            </w:tcBorders>
          </w:tcPr>
          <w:p w14:paraId="75C85BCD" w14:textId="77777777" w:rsidR="00A44906" w:rsidRPr="00C9343F" w:rsidRDefault="00A44906" w:rsidP="00F66D98">
            <w:pPr>
              <w:pStyle w:val="TableTextArial-left"/>
              <w:jc w:val="center"/>
            </w:pPr>
            <w:r w:rsidRPr="00C9343F">
              <w:t>2.</w:t>
            </w:r>
          </w:p>
        </w:tc>
        <w:tc>
          <w:tcPr>
            <w:tcW w:w="2598" w:type="dxa"/>
            <w:tcBorders>
              <w:top w:val="single" w:sz="6" w:space="0" w:color="auto"/>
              <w:left w:val="single" w:sz="6" w:space="0" w:color="auto"/>
              <w:bottom w:val="single" w:sz="6" w:space="0" w:color="auto"/>
              <w:right w:val="single" w:sz="6" w:space="0" w:color="auto"/>
            </w:tcBorders>
          </w:tcPr>
          <w:p w14:paraId="2276AC7A" w14:textId="77777777" w:rsidR="00A44906" w:rsidRPr="00C9343F" w:rsidRDefault="00A44906" w:rsidP="00F66D98">
            <w:pPr>
              <w:pStyle w:val="TableTextArial-left"/>
              <w:jc w:val="center"/>
            </w:pPr>
            <w:r w:rsidRPr="00C9343F">
              <w:t>Brigadier or Major General</w:t>
            </w:r>
          </w:p>
        </w:tc>
        <w:tc>
          <w:tcPr>
            <w:tcW w:w="2599" w:type="dxa"/>
            <w:tcBorders>
              <w:top w:val="single" w:sz="6" w:space="0" w:color="auto"/>
              <w:left w:val="single" w:sz="6" w:space="0" w:color="auto"/>
              <w:bottom w:val="single" w:sz="6" w:space="0" w:color="auto"/>
              <w:right w:val="single" w:sz="6" w:space="0" w:color="auto"/>
            </w:tcBorders>
          </w:tcPr>
          <w:p w14:paraId="3DC39877" w14:textId="77777777" w:rsidR="00A44906" w:rsidRPr="00C9343F" w:rsidRDefault="00A44906" w:rsidP="00F66D98">
            <w:pPr>
              <w:pStyle w:val="TableTextArial-left"/>
              <w:jc w:val="center"/>
            </w:pPr>
            <w:r w:rsidRPr="00C9343F">
              <w:t>Major General or higher</w:t>
            </w:r>
          </w:p>
        </w:tc>
        <w:tc>
          <w:tcPr>
            <w:tcW w:w="2599" w:type="dxa"/>
            <w:tcBorders>
              <w:top w:val="single" w:sz="6" w:space="0" w:color="auto"/>
              <w:left w:val="single" w:sz="6" w:space="0" w:color="auto"/>
              <w:bottom w:val="single" w:sz="6" w:space="0" w:color="auto"/>
              <w:right w:val="single" w:sz="6" w:space="0" w:color="auto"/>
            </w:tcBorders>
          </w:tcPr>
          <w:p w14:paraId="13BCE666" w14:textId="77777777" w:rsidR="00A44906" w:rsidRPr="00C9343F" w:rsidRDefault="00A44906" w:rsidP="00F66D98">
            <w:pPr>
              <w:pStyle w:val="TableTextArial-left"/>
              <w:jc w:val="center"/>
            </w:pPr>
            <w:r w:rsidRPr="00C9343F">
              <w:t xml:space="preserve">Major General </w:t>
            </w:r>
          </w:p>
        </w:tc>
      </w:tr>
    </w:tbl>
    <w:p w14:paraId="7B8AFD20" w14:textId="799415A1" w:rsidR="006D1E1C" w:rsidRPr="00C9343F" w:rsidRDefault="006D1E1C" w:rsidP="00F66D98">
      <w:pPr>
        <w:pStyle w:val="Heading5"/>
      </w:pPr>
      <w:bookmarkStart w:id="992" w:name="_Toc105053863"/>
      <w:r w:rsidRPr="00C9343F">
        <w:t>4.6.7</w:t>
      </w:r>
      <w:r w:rsidR="00D94006" w:rsidRPr="00C9343F">
        <w:t>    </w:t>
      </w:r>
      <w:bookmarkStart w:id="993" w:name="bk15024011A310Parkingspace"/>
      <w:bookmarkStart w:id="994" w:name="bk11293211A34610Parkingspace"/>
      <w:bookmarkStart w:id="995" w:name="bk925084610Parkingspace"/>
      <w:bookmarkStart w:id="996" w:name="bk925424610Parkingspace"/>
      <w:bookmarkEnd w:id="987"/>
      <w:bookmarkEnd w:id="988"/>
      <w:bookmarkEnd w:id="989"/>
      <w:bookmarkEnd w:id="990"/>
      <w:r w:rsidRPr="00C9343F">
        <w:t>Parking space or permit</w:t>
      </w:r>
      <w:bookmarkEnd w:id="992"/>
    </w:p>
    <w:tbl>
      <w:tblPr>
        <w:tblW w:w="9355" w:type="dxa"/>
        <w:tblInd w:w="113" w:type="dxa"/>
        <w:tblLayout w:type="fixed"/>
        <w:tblLook w:val="0000" w:firstRow="0" w:lastRow="0" w:firstColumn="0" w:lastColumn="0" w:noHBand="0" w:noVBand="0"/>
      </w:tblPr>
      <w:tblGrid>
        <w:gridCol w:w="992"/>
        <w:gridCol w:w="567"/>
        <w:gridCol w:w="7796"/>
      </w:tblGrid>
      <w:tr w:rsidR="006D1E1C" w:rsidRPr="00C9343F" w14:paraId="25A9375B" w14:textId="77777777" w:rsidTr="00BB747F">
        <w:tc>
          <w:tcPr>
            <w:tcW w:w="992" w:type="dxa"/>
          </w:tcPr>
          <w:bookmarkEnd w:id="993"/>
          <w:bookmarkEnd w:id="994"/>
          <w:bookmarkEnd w:id="995"/>
          <w:bookmarkEnd w:id="996"/>
          <w:p w14:paraId="1E1DA013" w14:textId="019F2E0B" w:rsidR="006D1E1C" w:rsidRPr="00C9343F" w:rsidRDefault="00806EE9" w:rsidP="00F66D98">
            <w:pPr>
              <w:pStyle w:val="BlockText-Plain"/>
              <w:jc w:val="center"/>
            </w:pPr>
            <w:r w:rsidRPr="00C9343F">
              <w:t>1.</w:t>
            </w:r>
          </w:p>
        </w:tc>
        <w:tc>
          <w:tcPr>
            <w:tcW w:w="8363" w:type="dxa"/>
            <w:gridSpan w:val="2"/>
          </w:tcPr>
          <w:p w14:paraId="7192BEA8" w14:textId="77777777" w:rsidR="006D1E1C" w:rsidRPr="00C9343F" w:rsidRDefault="006D1E1C" w:rsidP="00F66D98">
            <w:pPr>
              <w:pStyle w:val="BlockText-Plain"/>
              <w:tabs>
                <w:tab w:val="left" w:pos="6915"/>
              </w:tabs>
            </w:pPr>
            <w:r w:rsidRPr="00C9343F">
              <w:t>A member is eligible for either of the following.</w:t>
            </w:r>
          </w:p>
        </w:tc>
      </w:tr>
      <w:tr w:rsidR="006D1E1C" w:rsidRPr="00C9343F" w14:paraId="0BBB2C63" w14:textId="77777777" w:rsidTr="00BB747F">
        <w:trPr>
          <w:cantSplit/>
        </w:trPr>
        <w:tc>
          <w:tcPr>
            <w:tcW w:w="992" w:type="dxa"/>
          </w:tcPr>
          <w:p w14:paraId="67BD6F81" w14:textId="77777777" w:rsidR="006D1E1C" w:rsidRPr="00C9343F" w:rsidRDefault="006D1E1C" w:rsidP="00F66D98">
            <w:pPr>
              <w:pStyle w:val="BlockText-Plain"/>
            </w:pPr>
          </w:p>
        </w:tc>
        <w:tc>
          <w:tcPr>
            <w:tcW w:w="567" w:type="dxa"/>
          </w:tcPr>
          <w:p w14:paraId="696B92B5" w14:textId="77777777" w:rsidR="006D1E1C" w:rsidRPr="00C9343F" w:rsidRDefault="006D1E1C" w:rsidP="008D1B5D">
            <w:pPr>
              <w:pStyle w:val="BlockText-Plain"/>
              <w:jc w:val="center"/>
            </w:pPr>
            <w:r w:rsidRPr="00C9343F">
              <w:t>a.</w:t>
            </w:r>
          </w:p>
        </w:tc>
        <w:tc>
          <w:tcPr>
            <w:tcW w:w="7796" w:type="dxa"/>
          </w:tcPr>
          <w:p w14:paraId="5EE82AB4" w14:textId="77777777" w:rsidR="006D1E1C" w:rsidRPr="00C9343F" w:rsidRDefault="006D1E1C" w:rsidP="00F66D98">
            <w:pPr>
              <w:pStyle w:val="BlockText-Plain"/>
            </w:pPr>
            <w:r w:rsidRPr="00C9343F">
              <w:t>A parking space at or near their posting location.</w:t>
            </w:r>
          </w:p>
        </w:tc>
      </w:tr>
      <w:tr w:rsidR="006D1E1C" w:rsidRPr="00C9343F" w14:paraId="469F55E3" w14:textId="77777777" w:rsidTr="00BB747F">
        <w:trPr>
          <w:cantSplit/>
        </w:trPr>
        <w:tc>
          <w:tcPr>
            <w:tcW w:w="992" w:type="dxa"/>
          </w:tcPr>
          <w:p w14:paraId="26A28225" w14:textId="77777777" w:rsidR="006D1E1C" w:rsidRPr="00C9343F" w:rsidRDefault="006D1E1C" w:rsidP="00F66D98">
            <w:pPr>
              <w:pStyle w:val="BlockText-Plain"/>
            </w:pPr>
          </w:p>
        </w:tc>
        <w:tc>
          <w:tcPr>
            <w:tcW w:w="567" w:type="dxa"/>
          </w:tcPr>
          <w:p w14:paraId="4367976A" w14:textId="77777777" w:rsidR="006D1E1C" w:rsidRPr="00C9343F" w:rsidRDefault="006D1E1C" w:rsidP="008D1B5D">
            <w:pPr>
              <w:pStyle w:val="BlockText-Plain"/>
              <w:jc w:val="center"/>
            </w:pPr>
            <w:r w:rsidRPr="00C9343F">
              <w:t>b.</w:t>
            </w:r>
          </w:p>
        </w:tc>
        <w:tc>
          <w:tcPr>
            <w:tcW w:w="7796" w:type="dxa"/>
          </w:tcPr>
          <w:p w14:paraId="78288C67" w14:textId="77777777" w:rsidR="006D1E1C" w:rsidRPr="00C9343F" w:rsidRDefault="006D1E1C" w:rsidP="00F66D98">
            <w:pPr>
              <w:pStyle w:val="BlockText-Plain"/>
            </w:pPr>
            <w:r w:rsidRPr="00C9343F">
              <w:t>A parking permit.</w:t>
            </w:r>
          </w:p>
        </w:tc>
      </w:tr>
      <w:tr w:rsidR="006D1E1C" w:rsidRPr="00C9343F" w14:paraId="3641D97C" w14:textId="77777777" w:rsidTr="00BB747F">
        <w:tc>
          <w:tcPr>
            <w:tcW w:w="992" w:type="dxa"/>
          </w:tcPr>
          <w:p w14:paraId="69AEB2B7" w14:textId="77777777" w:rsidR="006D1E1C" w:rsidRPr="00C9343F" w:rsidRDefault="006D1E1C" w:rsidP="00F66D98">
            <w:pPr>
              <w:pStyle w:val="BlockText-Plain"/>
              <w:jc w:val="center"/>
            </w:pPr>
            <w:r w:rsidRPr="00C9343F">
              <w:t>2.</w:t>
            </w:r>
          </w:p>
        </w:tc>
        <w:tc>
          <w:tcPr>
            <w:tcW w:w="8363" w:type="dxa"/>
            <w:gridSpan w:val="2"/>
          </w:tcPr>
          <w:p w14:paraId="6E0AFABB" w14:textId="06625958" w:rsidR="006D1E1C" w:rsidRPr="00C9343F" w:rsidRDefault="006D1E1C" w:rsidP="00F66D98">
            <w:pPr>
              <w:pStyle w:val="BlockText-Plain"/>
            </w:pPr>
            <w:r w:rsidRPr="00C9343F">
              <w:t>The member may be required to make a contribution towards the parking space or permit</w:t>
            </w:r>
            <w:r w:rsidR="00BB747F" w:rsidRPr="00C9343F">
              <w:t xml:space="preserve"> under Part 11</w:t>
            </w:r>
            <w:r w:rsidRPr="00C9343F">
              <w:t>.</w:t>
            </w:r>
          </w:p>
        </w:tc>
      </w:tr>
    </w:tbl>
    <w:p w14:paraId="15E8595A" w14:textId="0A2978C8" w:rsidR="006D1E1C" w:rsidRPr="00C9343F" w:rsidRDefault="006D1E1C" w:rsidP="00F66D98">
      <w:pPr>
        <w:pStyle w:val="Heading3"/>
        <w:pageBreakBefore/>
      </w:pPr>
      <w:bookmarkStart w:id="997" w:name="_Toc105053864"/>
      <w:r w:rsidRPr="00C9343F">
        <w:t>Part 7: Victoria Cross for Australia representational duties</w:t>
      </w:r>
      <w:bookmarkEnd w:id="997"/>
    </w:p>
    <w:p w14:paraId="0DB89E0D" w14:textId="1EF5CB48" w:rsidR="006D1E1C" w:rsidRPr="00C9343F" w:rsidRDefault="006D1E1C" w:rsidP="00F66D98">
      <w:pPr>
        <w:pStyle w:val="Heading5"/>
      </w:pPr>
      <w:bookmarkStart w:id="998" w:name="_Toc105053865"/>
      <w:r w:rsidRPr="00C9343F">
        <w:t>4.7.1</w:t>
      </w:r>
      <w:r w:rsidR="00D94006" w:rsidRPr="00C9343F">
        <w:t>    </w:t>
      </w:r>
      <w:r w:rsidRPr="00C9343F">
        <w:t>Purpose</w:t>
      </w:r>
      <w:bookmarkEnd w:id="998"/>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5D0E38DA" w14:textId="77777777" w:rsidTr="006D1E1C">
        <w:tc>
          <w:tcPr>
            <w:tcW w:w="992" w:type="dxa"/>
          </w:tcPr>
          <w:p w14:paraId="7E940FB7" w14:textId="77777777" w:rsidR="006D1E1C" w:rsidRPr="00C9343F" w:rsidRDefault="006D1E1C" w:rsidP="00F66D98">
            <w:pPr>
              <w:pStyle w:val="BlockText-Plain"/>
              <w:jc w:val="center"/>
            </w:pPr>
          </w:p>
        </w:tc>
        <w:tc>
          <w:tcPr>
            <w:tcW w:w="8363" w:type="dxa"/>
            <w:gridSpan w:val="2"/>
          </w:tcPr>
          <w:p w14:paraId="112BEC20" w14:textId="77777777" w:rsidR="006D1E1C" w:rsidRPr="00C9343F" w:rsidRDefault="006D1E1C" w:rsidP="00F66D98">
            <w:pPr>
              <w:pStyle w:val="BlockText-Plain"/>
            </w:pPr>
            <w:r w:rsidRPr="00C9343F">
              <w:t>This Part has two purposes.</w:t>
            </w:r>
          </w:p>
        </w:tc>
      </w:tr>
      <w:tr w:rsidR="006D1E1C" w:rsidRPr="00C9343F" w14:paraId="6C20C7DA" w14:textId="77777777" w:rsidTr="006D1E1C">
        <w:trPr>
          <w:cantSplit/>
        </w:trPr>
        <w:tc>
          <w:tcPr>
            <w:tcW w:w="992" w:type="dxa"/>
          </w:tcPr>
          <w:p w14:paraId="05A7EA00" w14:textId="77777777" w:rsidR="006D1E1C" w:rsidRPr="00C9343F" w:rsidRDefault="006D1E1C" w:rsidP="00F66D98">
            <w:pPr>
              <w:pStyle w:val="BlockText-Plain"/>
            </w:pPr>
          </w:p>
        </w:tc>
        <w:tc>
          <w:tcPr>
            <w:tcW w:w="567" w:type="dxa"/>
          </w:tcPr>
          <w:p w14:paraId="15C8BD92" w14:textId="77777777" w:rsidR="006D1E1C" w:rsidRPr="00C9343F" w:rsidRDefault="006D1E1C" w:rsidP="008D1B5D">
            <w:pPr>
              <w:pStyle w:val="BlockText-Plain"/>
              <w:jc w:val="center"/>
            </w:pPr>
            <w:r w:rsidRPr="00C9343F">
              <w:t>a.</w:t>
            </w:r>
          </w:p>
        </w:tc>
        <w:tc>
          <w:tcPr>
            <w:tcW w:w="7796" w:type="dxa"/>
          </w:tcPr>
          <w:p w14:paraId="511D4D06" w14:textId="77777777" w:rsidR="006D1E1C" w:rsidRPr="00C9343F" w:rsidRDefault="006D1E1C" w:rsidP="00F66D98">
            <w:pPr>
              <w:pStyle w:val="BlockText-Plain"/>
            </w:pPr>
            <w:r w:rsidRPr="00C9343F">
              <w:t xml:space="preserve">To recognise and reward the contribution of Victoria Cross for Australia recipients. </w:t>
            </w:r>
          </w:p>
        </w:tc>
      </w:tr>
      <w:tr w:rsidR="006D1E1C" w:rsidRPr="00C9343F" w14:paraId="4D02F1D7" w14:textId="77777777" w:rsidTr="006D1E1C">
        <w:trPr>
          <w:cantSplit/>
        </w:trPr>
        <w:tc>
          <w:tcPr>
            <w:tcW w:w="992" w:type="dxa"/>
          </w:tcPr>
          <w:p w14:paraId="409FECE2" w14:textId="77777777" w:rsidR="006D1E1C" w:rsidRPr="00C9343F" w:rsidRDefault="006D1E1C" w:rsidP="00F66D98">
            <w:pPr>
              <w:pStyle w:val="BlockText-Plain"/>
            </w:pPr>
          </w:p>
        </w:tc>
        <w:tc>
          <w:tcPr>
            <w:tcW w:w="567" w:type="dxa"/>
          </w:tcPr>
          <w:p w14:paraId="524F6926" w14:textId="77777777" w:rsidR="006D1E1C" w:rsidRPr="00C9343F" w:rsidRDefault="006D1E1C" w:rsidP="008D1B5D">
            <w:pPr>
              <w:pStyle w:val="BlockText-Plain"/>
              <w:jc w:val="center"/>
            </w:pPr>
            <w:r w:rsidRPr="00C9343F">
              <w:t>b.</w:t>
            </w:r>
          </w:p>
        </w:tc>
        <w:tc>
          <w:tcPr>
            <w:tcW w:w="7796" w:type="dxa"/>
          </w:tcPr>
          <w:p w14:paraId="4B81C8D8" w14:textId="77777777" w:rsidR="006D1E1C" w:rsidRPr="00C9343F" w:rsidRDefault="006D1E1C" w:rsidP="00F66D98">
            <w:pPr>
              <w:pStyle w:val="BlockText-Plain"/>
            </w:pPr>
            <w:r w:rsidRPr="00C9343F">
              <w:t>To provide a package of benefits for Victoria Cross for Australia recipients to allow them to perform the representational duties associated with the award.</w:t>
            </w:r>
          </w:p>
        </w:tc>
      </w:tr>
    </w:tbl>
    <w:p w14:paraId="0504AA1D" w14:textId="63841E42" w:rsidR="006D1E1C" w:rsidRPr="00C9343F" w:rsidRDefault="006D1E1C" w:rsidP="00F66D98">
      <w:pPr>
        <w:pStyle w:val="Heading5"/>
      </w:pPr>
      <w:bookmarkStart w:id="999" w:name="_Toc105053866"/>
      <w:r w:rsidRPr="00C9343F">
        <w:t>4.7.2</w:t>
      </w:r>
      <w:r w:rsidR="00D94006" w:rsidRPr="00C9343F">
        <w:t>    </w:t>
      </w:r>
      <w:r w:rsidRPr="00C9343F">
        <w:t>Persons this Part applies to</w:t>
      </w:r>
      <w:bookmarkEnd w:id="999"/>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5052148A" w14:textId="77777777" w:rsidTr="006D1E1C">
        <w:tc>
          <w:tcPr>
            <w:tcW w:w="992" w:type="dxa"/>
          </w:tcPr>
          <w:p w14:paraId="1EFEC852" w14:textId="77777777" w:rsidR="006D1E1C" w:rsidRPr="00C9343F" w:rsidRDefault="006D1E1C" w:rsidP="00F66D98">
            <w:pPr>
              <w:pStyle w:val="BlockText-Plain"/>
              <w:jc w:val="center"/>
            </w:pPr>
          </w:p>
        </w:tc>
        <w:tc>
          <w:tcPr>
            <w:tcW w:w="8363" w:type="dxa"/>
            <w:gridSpan w:val="2"/>
          </w:tcPr>
          <w:p w14:paraId="2F57A497" w14:textId="77777777" w:rsidR="006D1E1C" w:rsidRPr="00C9343F" w:rsidRDefault="006D1E1C" w:rsidP="00F66D98">
            <w:pPr>
              <w:pStyle w:val="BlockText-Plain"/>
            </w:pPr>
            <w:r w:rsidRPr="00C9343F">
              <w:t>This Part applies to any of the following persons.</w:t>
            </w:r>
          </w:p>
        </w:tc>
      </w:tr>
      <w:tr w:rsidR="006D1E1C" w:rsidRPr="00C9343F" w14:paraId="1B806AAC" w14:textId="77777777" w:rsidTr="006D1E1C">
        <w:trPr>
          <w:cantSplit/>
        </w:trPr>
        <w:tc>
          <w:tcPr>
            <w:tcW w:w="992" w:type="dxa"/>
          </w:tcPr>
          <w:p w14:paraId="77EACA3F" w14:textId="77777777" w:rsidR="006D1E1C" w:rsidRPr="00C9343F" w:rsidRDefault="006D1E1C" w:rsidP="00F66D98">
            <w:pPr>
              <w:pStyle w:val="BlockText-Plain"/>
            </w:pPr>
          </w:p>
        </w:tc>
        <w:tc>
          <w:tcPr>
            <w:tcW w:w="567" w:type="dxa"/>
          </w:tcPr>
          <w:p w14:paraId="055DC41B" w14:textId="77777777" w:rsidR="006D1E1C" w:rsidRPr="00C9343F" w:rsidRDefault="006D1E1C" w:rsidP="008D1B5D">
            <w:pPr>
              <w:pStyle w:val="BlockText-Plain"/>
              <w:jc w:val="center"/>
            </w:pPr>
            <w:r w:rsidRPr="00C9343F">
              <w:t>a.</w:t>
            </w:r>
          </w:p>
        </w:tc>
        <w:tc>
          <w:tcPr>
            <w:tcW w:w="7796" w:type="dxa"/>
          </w:tcPr>
          <w:p w14:paraId="793904F7" w14:textId="77777777" w:rsidR="006D1E1C" w:rsidRPr="00C9343F" w:rsidRDefault="006D1E1C" w:rsidP="00F66D98">
            <w:pPr>
              <w:pStyle w:val="BlockText-Plain"/>
              <w:tabs>
                <w:tab w:val="left" w:pos="6165"/>
              </w:tabs>
            </w:pPr>
            <w:r w:rsidRPr="00C9343F">
              <w:t>A member who has been awarded the Victoria Cross for Australia.</w:t>
            </w:r>
          </w:p>
        </w:tc>
      </w:tr>
      <w:tr w:rsidR="006D1E1C" w:rsidRPr="00C9343F" w14:paraId="133B19EA" w14:textId="77777777" w:rsidTr="006D1E1C">
        <w:trPr>
          <w:cantSplit/>
        </w:trPr>
        <w:tc>
          <w:tcPr>
            <w:tcW w:w="992" w:type="dxa"/>
          </w:tcPr>
          <w:p w14:paraId="2889148A" w14:textId="77777777" w:rsidR="006D1E1C" w:rsidRPr="00C9343F" w:rsidRDefault="006D1E1C" w:rsidP="00F66D98">
            <w:pPr>
              <w:pStyle w:val="BlockText-Plain"/>
            </w:pPr>
          </w:p>
        </w:tc>
        <w:tc>
          <w:tcPr>
            <w:tcW w:w="567" w:type="dxa"/>
          </w:tcPr>
          <w:p w14:paraId="2DE5B39F" w14:textId="77777777" w:rsidR="006D1E1C" w:rsidRPr="00C9343F" w:rsidRDefault="006D1E1C" w:rsidP="008D1B5D">
            <w:pPr>
              <w:pStyle w:val="BlockText-Plain"/>
              <w:jc w:val="center"/>
            </w:pPr>
            <w:r w:rsidRPr="00C9343F">
              <w:t>b.</w:t>
            </w:r>
          </w:p>
        </w:tc>
        <w:tc>
          <w:tcPr>
            <w:tcW w:w="7796" w:type="dxa"/>
          </w:tcPr>
          <w:p w14:paraId="6028AB28" w14:textId="77777777" w:rsidR="006D1E1C" w:rsidRPr="00C9343F" w:rsidRDefault="006D1E1C" w:rsidP="00F66D98">
            <w:pPr>
              <w:pStyle w:val="BlockText-Plain"/>
            </w:pPr>
            <w:r w:rsidRPr="00C9343F">
              <w:t>A member who has been approved to perform escort duties for a Victoria Cross for Australia holder.</w:t>
            </w:r>
          </w:p>
        </w:tc>
      </w:tr>
      <w:tr w:rsidR="006D1E1C" w:rsidRPr="00C9343F" w14:paraId="00035171" w14:textId="77777777" w:rsidTr="006D1E1C">
        <w:trPr>
          <w:cantSplit/>
        </w:trPr>
        <w:tc>
          <w:tcPr>
            <w:tcW w:w="992" w:type="dxa"/>
          </w:tcPr>
          <w:p w14:paraId="5D5DED90" w14:textId="77777777" w:rsidR="006D1E1C" w:rsidRPr="00C9343F" w:rsidRDefault="006D1E1C" w:rsidP="00F66D98">
            <w:pPr>
              <w:pStyle w:val="BlockText-Plain"/>
            </w:pPr>
          </w:p>
        </w:tc>
        <w:tc>
          <w:tcPr>
            <w:tcW w:w="567" w:type="dxa"/>
          </w:tcPr>
          <w:p w14:paraId="776F990E" w14:textId="77777777" w:rsidR="006D1E1C" w:rsidRPr="00C9343F" w:rsidRDefault="006D1E1C" w:rsidP="008D1B5D">
            <w:pPr>
              <w:pStyle w:val="BlockText-Plain"/>
              <w:jc w:val="center"/>
            </w:pPr>
            <w:r w:rsidRPr="00C9343F">
              <w:t>c.</w:t>
            </w:r>
          </w:p>
        </w:tc>
        <w:tc>
          <w:tcPr>
            <w:tcW w:w="7796" w:type="dxa"/>
          </w:tcPr>
          <w:p w14:paraId="0F4FB5EF" w14:textId="77777777" w:rsidR="006D1E1C" w:rsidRPr="00C9343F" w:rsidRDefault="006D1E1C" w:rsidP="00F66D98">
            <w:pPr>
              <w:pStyle w:val="BlockText-Plain"/>
            </w:pPr>
            <w:r w:rsidRPr="00C9343F">
              <w:t>The family of a member posthumously awarded the Victoria Cross for Australia.</w:t>
            </w:r>
          </w:p>
        </w:tc>
      </w:tr>
    </w:tbl>
    <w:p w14:paraId="1A5817B2" w14:textId="4C89449A" w:rsidR="006D1E1C" w:rsidRPr="00C9343F" w:rsidRDefault="006D1E1C" w:rsidP="00F66D98">
      <w:pPr>
        <w:pStyle w:val="Heading5"/>
      </w:pPr>
      <w:bookmarkStart w:id="1000" w:name="_Toc105053867"/>
      <w:r w:rsidRPr="00C9343F">
        <w:t>4.7.3</w:t>
      </w:r>
      <w:r w:rsidR="00D94006" w:rsidRPr="00C9343F">
        <w:t>    </w:t>
      </w:r>
      <w:r w:rsidRPr="00C9343F">
        <w:t>Nominated family of member posthumously awarded</w:t>
      </w:r>
      <w:bookmarkEnd w:id="1000"/>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2FDC7F84" w14:textId="77777777" w:rsidTr="006D1E1C">
        <w:tc>
          <w:tcPr>
            <w:tcW w:w="992" w:type="dxa"/>
          </w:tcPr>
          <w:p w14:paraId="4091D19F" w14:textId="77777777" w:rsidR="006D1E1C" w:rsidRPr="00C9343F" w:rsidRDefault="006D1E1C" w:rsidP="00F66D98">
            <w:pPr>
              <w:pStyle w:val="BlockText-Plain"/>
              <w:jc w:val="center"/>
            </w:pPr>
          </w:p>
        </w:tc>
        <w:tc>
          <w:tcPr>
            <w:tcW w:w="8363" w:type="dxa"/>
            <w:gridSpan w:val="2"/>
          </w:tcPr>
          <w:p w14:paraId="35238CC7" w14:textId="753EBA04" w:rsidR="006D1E1C" w:rsidRPr="00C9343F" w:rsidRDefault="00A32D8A" w:rsidP="00F66D98">
            <w:pPr>
              <w:pStyle w:val="BlockText-Plain"/>
            </w:pPr>
            <w:r w:rsidRPr="00C9343F">
              <w:t>A</w:t>
            </w:r>
            <w:r w:rsidR="006D1E1C" w:rsidRPr="00C9343F">
              <w:t>ssistance may be provided to the family of a member posthumously awarded the Victoria Cross for Australia, to attend representational activities. All the following limits apply.</w:t>
            </w:r>
          </w:p>
        </w:tc>
      </w:tr>
      <w:tr w:rsidR="006D1E1C" w:rsidRPr="00C9343F" w14:paraId="39246119" w14:textId="77777777" w:rsidTr="006D1E1C">
        <w:trPr>
          <w:cantSplit/>
        </w:trPr>
        <w:tc>
          <w:tcPr>
            <w:tcW w:w="992" w:type="dxa"/>
          </w:tcPr>
          <w:p w14:paraId="3914C0E6" w14:textId="77777777" w:rsidR="006D1E1C" w:rsidRPr="00C9343F" w:rsidRDefault="006D1E1C" w:rsidP="00F66D98">
            <w:pPr>
              <w:pStyle w:val="BlockText-Plain"/>
            </w:pPr>
          </w:p>
        </w:tc>
        <w:tc>
          <w:tcPr>
            <w:tcW w:w="567" w:type="dxa"/>
          </w:tcPr>
          <w:p w14:paraId="6C38F824" w14:textId="77777777" w:rsidR="006D1E1C" w:rsidRPr="00C9343F" w:rsidRDefault="006D1E1C" w:rsidP="008D1B5D">
            <w:pPr>
              <w:pStyle w:val="BlockText-Plain"/>
              <w:jc w:val="center"/>
            </w:pPr>
            <w:r w:rsidRPr="00C9343F">
              <w:t>a.</w:t>
            </w:r>
          </w:p>
        </w:tc>
        <w:tc>
          <w:tcPr>
            <w:tcW w:w="7796" w:type="dxa"/>
          </w:tcPr>
          <w:p w14:paraId="60946CF2" w14:textId="77777777" w:rsidR="006D1E1C" w:rsidRPr="00C9343F" w:rsidRDefault="006D1E1C" w:rsidP="00F66D98">
            <w:pPr>
              <w:pStyle w:val="BlockText-Plain"/>
            </w:pPr>
            <w:r w:rsidRPr="00C9343F">
              <w:t>The CDF must decide that it is reasonable in the circumstances for family to represent the Victoria Cross recipient, having regard to the advice of the relevant Service Chief.</w:t>
            </w:r>
          </w:p>
        </w:tc>
      </w:tr>
      <w:tr w:rsidR="006D1E1C" w:rsidRPr="00C9343F" w14:paraId="2F462541" w14:textId="77777777" w:rsidTr="006D1E1C">
        <w:trPr>
          <w:cantSplit/>
        </w:trPr>
        <w:tc>
          <w:tcPr>
            <w:tcW w:w="992" w:type="dxa"/>
          </w:tcPr>
          <w:p w14:paraId="43ADC61C" w14:textId="77777777" w:rsidR="006D1E1C" w:rsidRPr="00C9343F" w:rsidRDefault="006D1E1C" w:rsidP="00F66D98">
            <w:pPr>
              <w:pStyle w:val="BlockText-Plain"/>
            </w:pPr>
          </w:p>
        </w:tc>
        <w:tc>
          <w:tcPr>
            <w:tcW w:w="567" w:type="dxa"/>
          </w:tcPr>
          <w:p w14:paraId="7C960BB1" w14:textId="77777777" w:rsidR="006D1E1C" w:rsidRPr="00C9343F" w:rsidRDefault="006D1E1C" w:rsidP="008D1B5D">
            <w:pPr>
              <w:pStyle w:val="BlockText-Plain"/>
              <w:jc w:val="center"/>
            </w:pPr>
            <w:r w:rsidRPr="00C9343F">
              <w:t>b.</w:t>
            </w:r>
          </w:p>
        </w:tc>
        <w:tc>
          <w:tcPr>
            <w:tcW w:w="7796" w:type="dxa"/>
          </w:tcPr>
          <w:p w14:paraId="2150AE94" w14:textId="02A1EAF0" w:rsidR="006D1E1C" w:rsidRPr="00C9343F" w:rsidRDefault="006D1E1C" w:rsidP="00F66D98">
            <w:pPr>
              <w:pStyle w:val="BlockText-Plain"/>
            </w:pPr>
            <w:r w:rsidRPr="00C9343F">
              <w:t xml:space="preserve">The Victoria Cross recipient's family may nominate a maximum of two family members to attend an activity. </w:t>
            </w:r>
          </w:p>
        </w:tc>
      </w:tr>
      <w:tr w:rsidR="006D1E1C" w:rsidRPr="00C9343F" w14:paraId="1A248C52" w14:textId="77777777" w:rsidTr="006D1E1C">
        <w:trPr>
          <w:cantSplit/>
        </w:trPr>
        <w:tc>
          <w:tcPr>
            <w:tcW w:w="992" w:type="dxa"/>
          </w:tcPr>
          <w:p w14:paraId="310FFF03" w14:textId="77777777" w:rsidR="006D1E1C" w:rsidRPr="00C9343F" w:rsidRDefault="006D1E1C" w:rsidP="00F66D98">
            <w:pPr>
              <w:pStyle w:val="BlockText-Plain"/>
            </w:pPr>
          </w:p>
        </w:tc>
        <w:tc>
          <w:tcPr>
            <w:tcW w:w="567" w:type="dxa"/>
          </w:tcPr>
          <w:p w14:paraId="4DB6EC1B" w14:textId="77777777" w:rsidR="006D1E1C" w:rsidRPr="00C9343F" w:rsidRDefault="006D1E1C" w:rsidP="008D1B5D">
            <w:pPr>
              <w:pStyle w:val="BlockText-Plain"/>
              <w:jc w:val="center"/>
            </w:pPr>
            <w:r w:rsidRPr="00C9343F">
              <w:t>c.</w:t>
            </w:r>
          </w:p>
        </w:tc>
        <w:tc>
          <w:tcPr>
            <w:tcW w:w="7796" w:type="dxa"/>
          </w:tcPr>
          <w:p w14:paraId="7D8CB5BA" w14:textId="77777777" w:rsidR="006D1E1C" w:rsidRPr="00C9343F" w:rsidRDefault="006D1E1C" w:rsidP="00F66D98">
            <w:pPr>
              <w:pStyle w:val="BlockText-Plain"/>
            </w:pPr>
            <w:r w:rsidRPr="00C9343F">
              <w:t>Benefits may only be provided up to five years from the date of investiture of the Victoria Cross for Australia.</w:t>
            </w:r>
          </w:p>
        </w:tc>
      </w:tr>
    </w:tbl>
    <w:p w14:paraId="0727E110" w14:textId="73D28C8D" w:rsidR="006D1E1C" w:rsidRPr="00C9343F" w:rsidRDefault="006D1E1C" w:rsidP="00F66D98">
      <w:pPr>
        <w:pStyle w:val="Heading5"/>
      </w:pPr>
      <w:bookmarkStart w:id="1001" w:name="_Toc105053868"/>
      <w:r w:rsidRPr="00C9343F">
        <w:t>4.7.4</w:t>
      </w:r>
      <w:r w:rsidR="00D94006" w:rsidRPr="00C9343F">
        <w:t>    </w:t>
      </w:r>
      <w:r w:rsidRPr="00C9343F">
        <w:t>Expenses related to representational duties</w:t>
      </w:r>
      <w:bookmarkEnd w:id="1001"/>
    </w:p>
    <w:tbl>
      <w:tblPr>
        <w:tblW w:w="9365" w:type="dxa"/>
        <w:tblInd w:w="108" w:type="dxa"/>
        <w:tblLayout w:type="fixed"/>
        <w:tblLook w:val="0000" w:firstRow="0" w:lastRow="0" w:firstColumn="0" w:lastColumn="0" w:noHBand="0" w:noVBand="0"/>
      </w:tblPr>
      <w:tblGrid>
        <w:gridCol w:w="992"/>
        <w:gridCol w:w="567"/>
        <w:gridCol w:w="673"/>
        <w:gridCol w:w="7133"/>
      </w:tblGrid>
      <w:tr w:rsidR="006D1E1C" w:rsidRPr="00C9343F" w14:paraId="5C1E8996" w14:textId="77777777" w:rsidTr="00C341DF">
        <w:tc>
          <w:tcPr>
            <w:tcW w:w="992" w:type="dxa"/>
          </w:tcPr>
          <w:p w14:paraId="1FF1C9ED" w14:textId="77777777" w:rsidR="006D1E1C" w:rsidRPr="00C9343F" w:rsidRDefault="006D1E1C" w:rsidP="00F66D98">
            <w:pPr>
              <w:pStyle w:val="BlockText-Plain"/>
              <w:jc w:val="center"/>
            </w:pPr>
            <w:r w:rsidRPr="00C9343F">
              <w:t>1.</w:t>
            </w:r>
          </w:p>
        </w:tc>
        <w:tc>
          <w:tcPr>
            <w:tcW w:w="8363" w:type="dxa"/>
            <w:gridSpan w:val="3"/>
          </w:tcPr>
          <w:p w14:paraId="19DC5BE5" w14:textId="77777777" w:rsidR="006D1E1C" w:rsidRPr="00C9343F" w:rsidRDefault="006D1E1C" w:rsidP="00F66D98">
            <w:pPr>
              <w:pStyle w:val="BlockText-Plain"/>
            </w:pPr>
            <w:r w:rsidRPr="00C9343F">
              <w:t>For the purposes of this section the term member also applies to a family member of a posthumously awarded Victoria Cross recipient, who has been nominated under section 4.7.3.</w:t>
            </w:r>
          </w:p>
          <w:p w14:paraId="35BE2F04" w14:textId="77777777" w:rsidR="006D1E1C" w:rsidRPr="00C9343F" w:rsidRDefault="006D1E1C" w:rsidP="00F66D98">
            <w:pPr>
              <w:pStyle w:val="BlockText-Plain"/>
            </w:pPr>
            <w:r w:rsidRPr="00C9343F">
              <w:rPr>
                <w:b/>
              </w:rPr>
              <w:t>See:</w:t>
            </w:r>
            <w:r w:rsidRPr="00C9343F">
              <w:t xml:space="preserve"> Section 4.7.3, Nominated family of member posthumously awarded</w:t>
            </w:r>
          </w:p>
        </w:tc>
      </w:tr>
      <w:tr w:rsidR="006D1E1C" w:rsidRPr="00C9343F" w14:paraId="409F3BFD" w14:textId="77777777" w:rsidTr="00C341DF">
        <w:tc>
          <w:tcPr>
            <w:tcW w:w="992" w:type="dxa"/>
          </w:tcPr>
          <w:p w14:paraId="1A91373B" w14:textId="77777777" w:rsidR="006D1E1C" w:rsidRPr="00C9343F" w:rsidRDefault="006D1E1C" w:rsidP="00F66D98">
            <w:pPr>
              <w:pStyle w:val="BlockText-Plain"/>
              <w:jc w:val="center"/>
            </w:pPr>
            <w:r w:rsidRPr="00C9343F">
              <w:t>2.</w:t>
            </w:r>
          </w:p>
        </w:tc>
        <w:tc>
          <w:tcPr>
            <w:tcW w:w="8363" w:type="dxa"/>
            <w:gridSpan w:val="3"/>
          </w:tcPr>
          <w:p w14:paraId="50008FF3" w14:textId="77777777" w:rsidR="006D1E1C" w:rsidRPr="00C9343F" w:rsidRDefault="001978D2" w:rsidP="00F66D98">
            <w:pPr>
              <w:pStyle w:val="BlockText-Plain"/>
            </w:pPr>
            <w:r w:rsidRPr="00C9343F">
              <w:t>The CDF may approve the payment or reimbursement of costs for the following expenses that are directly related to the member's representational duties.</w:t>
            </w:r>
          </w:p>
        </w:tc>
      </w:tr>
      <w:tr w:rsidR="006D1E1C" w:rsidRPr="00C9343F" w14:paraId="63140F2C" w14:textId="77777777" w:rsidTr="00C341DF">
        <w:trPr>
          <w:cantSplit/>
        </w:trPr>
        <w:tc>
          <w:tcPr>
            <w:tcW w:w="992" w:type="dxa"/>
          </w:tcPr>
          <w:p w14:paraId="37CD232A" w14:textId="77777777" w:rsidR="006D1E1C" w:rsidRPr="00C9343F" w:rsidRDefault="006D1E1C" w:rsidP="00F66D98">
            <w:pPr>
              <w:pStyle w:val="BlockText-Plain"/>
            </w:pPr>
          </w:p>
        </w:tc>
        <w:tc>
          <w:tcPr>
            <w:tcW w:w="567" w:type="dxa"/>
          </w:tcPr>
          <w:p w14:paraId="53CADC52" w14:textId="77777777" w:rsidR="006D1E1C" w:rsidRPr="00C9343F" w:rsidRDefault="006D1E1C" w:rsidP="008D1B5D">
            <w:pPr>
              <w:pStyle w:val="BlockText-Plain"/>
              <w:jc w:val="center"/>
            </w:pPr>
            <w:r w:rsidRPr="00C9343F">
              <w:t>a.</w:t>
            </w:r>
          </w:p>
        </w:tc>
        <w:tc>
          <w:tcPr>
            <w:tcW w:w="7796" w:type="dxa"/>
            <w:gridSpan w:val="2"/>
          </w:tcPr>
          <w:p w14:paraId="28731C5E" w14:textId="77777777" w:rsidR="006D1E1C" w:rsidRPr="00C9343F" w:rsidRDefault="001978D2" w:rsidP="00F66D98">
            <w:pPr>
              <w:pStyle w:val="BlockText-Plain"/>
            </w:pPr>
            <w:r w:rsidRPr="00C9343F">
              <w:t>The purchase of civilian clothing for the member or the member's dependants.</w:t>
            </w:r>
          </w:p>
        </w:tc>
      </w:tr>
      <w:tr w:rsidR="006D1E1C" w:rsidRPr="00C9343F" w14:paraId="63B21726" w14:textId="77777777" w:rsidTr="00C341DF">
        <w:trPr>
          <w:cantSplit/>
        </w:trPr>
        <w:tc>
          <w:tcPr>
            <w:tcW w:w="992" w:type="dxa"/>
          </w:tcPr>
          <w:p w14:paraId="139700B3" w14:textId="77777777" w:rsidR="006D1E1C" w:rsidRPr="00C9343F" w:rsidRDefault="006D1E1C" w:rsidP="00F66D98">
            <w:pPr>
              <w:pStyle w:val="BlockText-Plain"/>
            </w:pPr>
          </w:p>
        </w:tc>
        <w:tc>
          <w:tcPr>
            <w:tcW w:w="567" w:type="dxa"/>
          </w:tcPr>
          <w:p w14:paraId="23029438" w14:textId="77777777" w:rsidR="006D1E1C" w:rsidRPr="00C9343F" w:rsidRDefault="006D1E1C" w:rsidP="008D1B5D">
            <w:pPr>
              <w:pStyle w:val="BlockText-Plain"/>
              <w:jc w:val="center"/>
            </w:pPr>
            <w:r w:rsidRPr="00C9343F">
              <w:t>b.</w:t>
            </w:r>
          </w:p>
        </w:tc>
        <w:tc>
          <w:tcPr>
            <w:tcW w:w="7796" w:type="dxa"/>
            <w:gridSpan w:val="2"/>
          </w:tcPr>
          <w:p w14:paraId="34FCDCDF" w14:textId="77777777" w:rsidR="006D1E1C" w:rsidRPr="00C9343F" w:rsidRDefault="001978D2" w:rsidP="00F66D98">
            <w:pPr>
              <w:pStyle w:val="BlockText-Plain"/>
            </w:pPr>
            <w:r w:rsidRPr="00C9343F">
              <w:t>The hire of civilian clothing for the member or the member's dependants.</w:t>
            </w:r>
          </w:p>
        </w:tc>
      </w:tr>
      <w:tr w:rsidR="006D1E1C" w:rsidRPr="00C9343F" w14:paraId="4D35571C" w14:textId="77777777" w:rsidTr="00C341DF">
        <w:trPr>
          <w:cantSplit/>
        </w:trPr>
        <w:tc>
          <w:tcPr>
            <w:tcW w:w="992" w:type="dxa"/>
          </w:tcPr>
          <w:p w14:paraId="422EF93A" w14:textId="77777777" w:rsidR="006D1E1C" w:rsidRPr="00C9343F" w:rsidRDefault="006D1E1C" w:rsidP="00F66D98">
            <w:pPr>
              <w:pStyle w:val="BlockText-Plain"/>
            </w:pPr>
          </w:p>
        </w:tc>
        <w:tc>
          <w:tcPr>
            <w:tcW w:w="567" w:type="dxa"/>
          </w:tcPr>
          <w:p w14:paraId="1F1BF98B" w14:textId="77777777" w:rsidR="006D1E1C" w:rsidRPr="00C9343F" w:rsidRDefault="006D1E1C" w:rsidP="008D1B5D">
            <w:pPr>
              <w:pStyle w:val="BlockText-Plain"/>
              <w:jc w:val="center"/>
            </w:pPr>
            <w:r w:rsidRPr="00C9343F">
              <w:t>c.</w:t>
            </w:r>
          </w:p>
        </w:tc>
        <w:tc>
          <w:tcPr>
            <w:tcW w:w="7796" w:type="dxa"/>
            <w:gridSpan w:val="2"/>
          </w:tcPr>
          <w:p w14:paraId="0F410A50" w14:textId="77777777" w:rsidR="006D1E1C" w:rsidRPr="00C9343F" w:rsidRDefault="001978D2" w:rsidP="00F66D98">
            <w:pPr>
              <w:pStyle w:val="BlockText-Plain"/>
            </w:pPr>
            <w:r w:rsidRPr="00C9343F">
              <w:t>Laundry and dry cleaning costs.</w:t>
            </w:r>
          </w:p>
        </w:tc>
      </w:tr>
      <w:tr w:rsidR="006D1E1C" w:rsidRPr="00C9343F" w14:paraId="6480A80E" w14:textId="77777777" w:rsidTr="00C341DF">
        <w:trPr>
          <w:cantSplit/>
        </w:trPr>
        <w:tc>
          <w:tcPr>
            <w:tcW w:w="992" w:type="dxa"/>
          </w:tcPr>
          <w:p w14:paraId="605F788E" w14:textId="77777777" w:rsidR="006D1E1C" w:rsidRPr="00C9343F" w:rsidRDefault="006D1E1C" w:rsidP="00F66D98">
            <w:pPr>
              <w:pStyle w:val="BlockText-Plain"/>
            </w:pPr>
          </w:p>
        </w:tc>
        <w:tc>
          <w:tcPr>
            <w:tcW w:w="567" w:type="dxa"/>
          </w:tcPr>
          <w:p w14:paraId="49A0C4AA" w14:textId="77777777" w:rsidR="006D1E1C" w:rsidRPr="00C9343F" w:rsidRDefault="006D1E1C" w:rsidP="008D1B5D">
            <w:pPr>
              <w:pStyle w:val="BlockText-Plain"/>
              <w:jc w:val="center"/>
            </w:pPr>
            <w:r w:rsidRPr="00C9343F">
              <w:t>d.</w:t>
            </w:r>
          </w:p>
        </w:tc>
        <w:tc>
          <w:tcPr>
            <w:tcW w:w="7796" w:type="dxa"/>
            <w:gridSpan w:val="2"/>
          </w:tcPr>
          <w:p w14:paraId="37A588DF" w14:textId="77777777" w:rsidR="006D1E1C" w:rsidRPr="00C9343F" w:rsidRDefault="001978D2" w:rsidP="00F66D98">
            <w:pPr>
              <w:pStyle w:val="BlockText-Plain"/>
            </w:pPr>
            <w:r w:rsidRPr="00C9343F">
              <w:t>Babysitting costs for a child who is a dependant, if any of the following are attending a representational activity.</w:t>
            </w:r>
          </w:p>
        </w:tc>
      </w:tr>
      <w:tr w:rsidR="001978D2" w:rsidRPr="00C9343F" w14:paraId="42F74B0F" w14:textId="77777777" w:rsidTr="00C341DF">
        <w:trPr>
          <w:cantSplit/>
        </w:trPr>
        <w:tc>
          <w:tcPr>
            <w:tcW w:w="1559" w:type="dxa"/>
            <w:gridSpan w:val="2"/>
          </w:tcPr>
          <w:p w14:paraId="36BC0125" w14:textId="77777777" w:rsidR="001978D2" w:rsidRPr="00C9343F" w:rsidRDefault="001978D2" w:rsidP="00F66D98">
            <w:pPr>
              <w:pStyle w:val="BlockText-Plain"/>
            </w:pPr>
          </w:p>
        </w:tc>
        <w:tc>
          <w:tcPr>
            <w:tcW w:w="673" w:type="dxa"/>
          </w:tcPr>
          <w:p w14:paraId="6584BD09" w14:textId="77777777" w:rsidR="001978D2" w:rsidRPr="00C9343F" w:rsidRDefault="001978D2" w:rsidP="008D1B5D">
            <w:pPr>
              <w:pStyle w:val="BlockText-Plain"/>
            </w:pPr>
            <w:r w:rsidRPr="00C9343F">
              <w:t>i.</w:t>
            </w:r>
          </w:p>
        </w:tc>
        <w:tc>
          <w:tcPr>
            <w:tcW w:w="7133" w:type="dxa"/>
          </w:tcPr>
          <w:p w14:paraId="3054DEE2" w14:textId="77777777" w:rsidR="001978D2" w:rsidRPr="00C9343F" w:rsidRDefault="001978D2" w:rsidP="00F66D98">
            <w:pPr>
              <w:pStyle w:val="BlockText-Plain"/>
            </w:pPr>
            <w:r w:rsidRPr="00C9343F">
              <w:t>The member and their spouse or partner.</w:t>
            </w:r>
          </w:p>
        </w:tc>
      </w:tr>
      <w:tr w:rsidR="001978D2" w:rsidRPr="00C9343F" w14:paraId="1B5FF678" w14:textId="77777777" w:rsidTr="00C341DF">
        <w:trPr>
          <w:cantSplit/>
        </w:trPr>
        <w:tc>
          <w:tcPr>
            <w:tcW w:w="1559" w:type="dxa"/>
            <w:gridSpan w:val="2"/>
          </w:tcPr>
          <w:p w14:paraId="240758D1" w14:textId="77777777" w:rsidR="001978D2" w:rsidRPr="00C9343F" w:rsidRDefault="001978D2" w:rsidP="00F66D98">
            <w:pPr>
              <w:pStyle w:val="BlockText-Plain"/>
            </w:pPr>
          </w:p>
        </w:tc>
        <w:tc>
          <w:tcPr>
            <w:tcW w:w="673" w:type="dxa"/>
          </w:tcPr>
          <w:p w14:paraId="48E6FFA6" w14:textId="77777777" w:rsidR="001978D2" w:rsidRPr="00C9343F" w:rsidRDefault="001978D2" w:rsidP="008D1B5D">
            <w:pPr>
              <w:pStyle w:val="BlockText-Plain"/>
            </w:pPr>
            <w:r w:rsidRPr="00C9343F">
              <w:t>ii.</w:t>
            </w:r>
          </w:p>
        </w:tc>
        <w:tc>
          <w:tcPr>
            <w:tcW w:w="7133" w:type="dxa"/>
          </w:tcPr>
          <w:p w14:paraId="60EA6635" w14:textId="77777777" w:rsidR="001978D2" w:rsidRPr="00C9343F" w:rsidRDefault="001978D2" w:rsidP="00F66D98">
            <w:pPr>
              <w:pStyle w:val="BlockText-Plain"/>
            </w:pPr>
            <w:r w:rsidRPr="00C9343F">
              <w:t>If the member does not have a spouse or partner, the member.</w:t>
            </w:r>
          </w:p>
        </w:tc>
      </w:tr>
      <w:tr w:rsidR="0068358F" w:rsidRPr="00C9343F" w14:paraId="5C4A088D" w14:textId="77777777" w:rsidTr="00C341DF">
        <w:tc>
          <w:tcPr>
            <w:tcW w:w="992" w:type="dxa"/>
          </w:tcPr>
          <w:p w14:paraId="4B7F0CB2" w14:textId="77777777" w:rsidR="0068358F" w:rsidRPr="00C9343F" w:rsidRDefault="0068358F" w:rsidP="00F66D98">
            <w:pPr>
              <w:pStyle w:val="BlockText-Plain"/>
              <w:jc w:val="center"/>
            </w:pPr>
            <w:r w:rsidRPr="00C9343F">
              <w:t>2A.</w:t>
            </w:r>
          </w:p>
        </w:tc>
        <w:tc>
          <w:tcPr>
            <w:tcW w:w="8363" w:type="dxa"/>
            <w:gridSpan w:val="3"/>
          </w:tcPr>
          <w:p w14:paraId="6416DDDB" w14:textId="77777777" w:rsidR="0068358F" w:rsidRPr="00C9343F" w:rsidRDefault="0068358F" w:rsidP="00F66D98">
            <w:pPr>
              <w:pStyle w:val="BlockText-Plain"/>
            </w:pPr>
            <w:r w:rsidRPr="00C9343F">
              <w:t>The CDF must only approve a payment or reimbursement under subsection 2 if satisfied that the costs and the frequency of the payment or reimbursement are reasonable for the member's representational duties.</w:t>
            </w:r>
          </w:p>
        </w:tc>
      </w:tr>
      <w:tr w:rsidR="006D1E1C" w:rsidRPr="00C9343F" w14:paraId="19D0F824" w14:textId="77777777" w:rsidTr="00C341DF">
        <w:tc>
          <w:tcPr>
            <w:tcW w:w="992" w:type="dxa"/>
          </w:tcPr>
          <w:p w14:paraId="1F36FBF1" w14:textId="77777777" w:rsidR="006D1E1C" w:rsidRPr="00C9343F" w:rsidRDefault="006D1E1C" w:rsidP="00F66D98">
            <w:pPr>
              <w:pStyle w:val="BlockText-Plain"/>
              <w:jc w:val="center"/>
            </w:pPr>
            <w:r w:rsidRPr="00C9343F">
              <w:t>3.</w:t>
            </w:r>
          </w:p>
        </w:tc>
        <w:tc>
          <w:tcPr>
            <w:tcW w:w="8363" w:type="dxa"/>
            <w:gridSpan w:val="3"/>
          </w:tcPr>
          <w:p w14:paraId="1B6C038D" w14:textId="77777777" w:rsidR="006D1E1C" w:rsidRPr="00C9343F" w:rsidRDefault="006D1E1C" w:rsidP="00F66D98">
            <w:pPr>
              <w:pStyle w:val="BlockText-Plain"/>
            </w:pPr>
            <w:r w:rsidRPr="00C9343F">
              <w:t xml:space="preserve">The CDF may approve any additional costs not listed in subsection 2 that relate directly to the member's representational duties. </w:t>
            </w:r>
          </w:p>
        </w:tc>
      </w:tr>
      <w:tr w:rsidR="006D1E1C" w:rsidRPr="00C9343F" w14:paraId="5B6AAFC1" w14:textId="77777777" w:rsidTr="00C341DF">
        <w:tc>
          <w:tcPr>
            <w:tcW w:w="992" w:type="dxa"/>
          </w:tcPr>
          <w:p w14:paraId="00CC2E3C" w14:textId="77777777" w:rsidR="006D1E1C" w:rsidRPr="00C9343F" w:rsidRDefault="006D1E1C" w:rsidP="00F66D98">
            <w:pPr>
              <w:pStyle w:val="BlockText-Plain"/>
              <w:jc w:val="center"/>
            </w:pPr>
            <w:r w:rsidRPr="00C9343F">
              <w:t>4.</w:t>
            </w:r>
          </w:p>
        </w:tc>
        <w:tc>
          <w:tcPr>
            <w:tcW w:w="8363" w:type="dxa"/>
            <w:gridSpan w:val="3"/>
          </w:tcPr>
          <w:p w14:paraId="34166D45" w14:textId="77777777" w:rsidR="006D1E1C" w:rsidRPr="00C9343F" w:rsidRDefault="006D1E1C" w:rsidP="00F66D98">
            <w:pPr>
              <w:pStyle w:val="BlockText-Plain"/>
            </w:pPr>
            <w:r w:rsidRPr="00C9343F">
              <w:t>The CDF may approve reimbursement of the cost of clothing hire for the escort personnel who must attend representational events with the Victoria Cross for Australia recipient.</w:t>
            </w:r>
          </w:p>
        </w:tc>
      </w:tr>
    </w:tbl>
    <w:p w14:paraId="26E57397" w14:textId="059ED259" w:rsidR="006D1E1C" w:rsidRPr="00C9343F" w:rsidRDefault="006D1E1C" w:rsidP="00F66D98">
      <w:pPr>
        <w:pStyle w:val="Heading5"/>
      </w:pPr>
      <w:bookmarkStart w:id="1002" w:name="_Toc105053869"/>
      <w:r w:rsidRPr="00C9343F">
        <w:t>4.7.5</w:t>
      </w:r>
      <w:r w:rsidR="00D94006" w:rsidRPr="00C9343F">
        <w:t>    </w:t>
      </w:r>
      <w:r w:rsidRPr="00C9343F">
        <w:t>Business class travel</w:t>
      </w:r>
      <w:bookmarkEnd w:id="1002"/>
    </w:p>
    <w:tbl>
      <w:tblPr>
        <w:tblW w:w="9355" w:type="dxa"/>
        <w:tblInd w:w="113" w:type="dxa"/>
        <w:tblLayout w:type="fixed"/>
        <w:tblLook w:val="0000" w:firstRow="0" w:lastRow="0" w:firstColumn="0" w:lastColumn="0" w:noHBand="0" w:noVBand="0"/>
      </w:tblPr>
      <w:tblGrid>
        <w:gridCol w:w="992"/>
        <w:gridCol w:w="567"/>
        <w:gridCol w:w="7796"/>
      </w:tblGrid>
      <w:tr w:rsidR="006D1E1C" w:rsidRPr="00C9343F" w14:paraId="16DD55D5" w14:textId="77777777" w:rsidTr="00BB747F">
        <w:tc>
          <w:tcPr>
            <w:tcW w:w="992" w:type="dxa"/>
          </w:tcPr>
          <w:p w14:paraId="4B903C60" w14:textId="77777777" w:rsidR="006D1E1C" w:rsidRPr="00C9343F" w:rsidRDefault="006D1E1C" w:rsidP="00F66D98">
            <w:pPr>
              <w:pStyle w:val="BlockText-Plain"/>
              <w:jc w:val="center"/>
            </w:pPr>
            <w:r w:rsidRPr="00C9343F">
              <w:t>1.</w:t>
            </w:r>
          </w:p>
        </w:tc>
        <w:tc>
          <w:tcPr>
            <w:tcW w:w="8363" w:type="dxa"/>
            <w:gridSpan w:val="2"/>
          </w:tcPr>
          <w:p w14:paraId="12DF2D66" w14:textId="35C095F4" w:rsidR="006D1E1C" w:rsidRPr="00C9343F" w:rsidRDefault="006D1E1C" w:rsidP="00A32D8A">
            <w:pPr>
              <w:pStyle w:val="BlockText-Plain"/>
            </w:pPr>
            <w:r w:rsidRPr="00C9343F">
              <w:t>The CDF may approve travel for the member and their escort for travel to and from Victoria Cross for Australia representational activities.</w:t>
            </w:r>
          </w:p>
        </w:tc>
      </w:tr>
      <w:tr w:rsidR="006D1E1C" w:rsidRPr="00C9343F" w14:paraId="1F9B6812" w14:textId="77777777" w:rsidTr="00BB747F">
        <w:tc>
          <w:tcPr>
            <w:tcW w:w="992" w:type="dxa"/>
          </w:tcPr>
          <w:p w14:paraId="44329390" w14:textId="77777777" w:rsidR="006D1E1C" w:rsidRPr="00C9343F" w:rsidRDefault="006D1E1C" w:rsidP="00F66D98">
            <w:pPr>
              <w:pStyle w:val="BlockText-Plain"/>
              <w:jc w:val="center"/>
            </w:pPr>
            <w:r w:rsidRPr="00C9343F">
              <w:t>2.</w:t>
            </w:r>
          </w:p>
        </w:tc>
        <w:tc>
          <w:tcPr>
            <w:tcW w:w="8363" w:type="dxa"/>
            <w:gridSpan w:val="2"/>
          </w:tcPr>
          <w:p w14:paraId="6353C437" w14:textId="4CF71C0E" w:rsidR="006D1E1C" w:rsidRPr="00C9343F" w:rsidRDefault="006D1E1C" w:rsidP="00A32D8A">
            <w:pPr>
              <w:pStyle w:val="BlockText-Plain"/>
            </w:pPr>
            <w:r w:rsidRPr="00C9343F">
              <w:t>The CDF may approve business class travel for the following people for travel to and from Victoria Cross for Australia representational activities.</w:t>
            </w:r>
          </w:p>
        </w:tc>
      </w:tr>
      <w:tr w:rsidR="006D1E1C" w:rsidRPr="00C9343F" w14:paraId="3FBBDD41" w14:textId="77777777" w:rsidTr="00BB747F">
        <w:trPr>
          <w:cantSplit/>
        </w:trPr>
        <w:tc>
          <w:tcPr>
            <w:tcW w:w="992" w:type="dxa"/>
          </w:tcPr>
          <w:p w14:paraId="27F43835" w14:textId="77777777" w:rsidR="006D1E1C" w:rsidRPr="00C9343F" w:rsidRDefault="006D1E1C" w:rsidP="00F66D98">
            <w:pPr>
              <w:pStyle w:val="BlockText-Plain"/>
            </w:pPr>
          </w:p>
        </w:tc>
        <w:tc>
          <w:tcPr>
            <w:tcW w:w="567" w:type="dxa"/>
          </w:tcPr>
          <w:p w14:paraId="5F1D0F89" w14:textId="77777777" w:rsidR="006D1E1C" w:rsidRPr="00C9343F" w:rsidRDefault="006D1E1C" w:rsidP="008D1B5D">
            <w:pPr>
              <w:pStyle w:val="BlockText-Plain"/>
              <w:jc w:val="center"/>
            </w:pPr>
            <w:r w:rsidRPr="00C9343F">
              <w:t>a.</w:t>
            </w:r>
          </w:p>
        </w:tc>
        <w:tc>
          <w:tcPr>
            <w:tcW w:w="7796" w:type="dxa"/>
          </w:tcPr>
          <w:p w14:paraId="78E9E324" w14:textId="77777777" w:rsidR="006D1E1C" w:rsidRPr="00C9343F" w:rsidRDefault="006D1E1C" w:rsidP="00F66D98">
            <w:pPr>
              <w:pStyle w:val="BlockText-Plain"/>
            </w:pPr>
            <w:r w:rsidRPr="00C9343F">
              <w:t>The member's spouse or partner.</w:t>
            </w:r>
          </w:p>
        </w:tc>
      </w:tr>
      <w:tr w:rsidR="006D1E1C" w:rsidRPr="00C9343F" w14:paraId="017F0D5B" w14:textId="77777777" w:rsidTr="00BB747F">
        <w:trPr>
          <w:cantSplit/>
          <w:trHeight w:val="387"/>
        </w:trPr>
        <w:tc>
          <w:tcPr>
            <w:tcW w:w="992" w:type="dxa"/>
          </w:tcPr>
          <w:p w14:paraId="2523E626" w14:textId="77777777" w:rsidR="006D1E1C" w:rsidRPr="00C9343F" w:rsidRDefault="006D1E1C" w:rsidP="00F66D98">
            <w:pPr>
              <w:pStyle w:val="BlockText-Plain"/>
            </w:pPr>
          </w:p>
        </w:tc>
        <w:tc>
          <w:tcPr>
            <w:tcW w:w="567" w:type="dxa"/>
          </w:tcPr>
          <w:p w14:paraId="6D4109FB" w14:textId="77777777" w:rsidR="006D1E1C" w:rsidRPr="00C9343F" w:rsidRDefault="006D1E1C" w:rsidP="008D1B5D">
            <w:pPr>
              <w:pStyle w:val="BlockText-Plain"/>
              <w:jc w:val="center"/>
            </w:pPr>
            <w:r w:rsidRPr="00C9343F">
              <w:t>b.</w:t>
            </w:r>
          </w:p>
        </w:tc>
        <w:tc>
          <w:tcPr>
            <w:tcW w:w="7796" w:type="dxa"/>
          </w:tcPr>
          <w:p w14:paraId="7328DBA4" w14:textId="77777777" w:rsidR="006D1E1C" w:rsidRPr="00C9343F" w:rsidRDefault="006D1E1C" w:rsidP="00F66D98">
            <w:pPr>
              <w:pStyle w:val="BlockText-Plain"/>
            </w:pPr>
            <w:r w:rsidRPr="00C9343F">
              <w:t>The member's recognised dependants.</w:t>
            </w:r>
          </w:p>
        </w:tc>
      </w:tr>
      <w:tr w:rsidR="006D1E1C" w:rsidRPr="00C9343F" w14:paraId="49B28255" w14:textId="77777777" w:rsidTr="00BB747F">
        <w:trPr>
          <w:cantSplit/>
          <w:trHeight w:val="387"/>
        </w:trPr>
        <w:tc>
          <w:tcPr>
            <w:tcW w:w="992" w:type="dxa"/>
          </w:tcPr>
          <w:p w14:paraId="02300965" w14:textId="77777777" w:rsidR="006D1E1C" w:rsidRPr="00C9343F" w:rsidRDefault="006D1E1C" w:rsidP="00F66D98">
            <w:pPr>
              <w:pStyle w:val="BlockText-Plain"/>
            </w:pPr>
          </w:p>
        </w:tc>
        <w:tc>
          <w:tcPr>
            <w:tcW w:w="567" w:type="dxa"/>
          </w:tcPr>
          <w:p w14:paraId="07E5170D" w14:textId="77777777" w:rsidR="006D1E1C" w:rsidRPr="00C9343F" w:rsidRDefault="006D1E1C" w:rsidP="008D1B5D">
            <w:pPr>
              <w:pStyle w:val="BlockText-Plain"/>
              <w:jc w:val="center"/>
            </w:pPr>
            <w:r w:rsidRPr="00C9343F">
              <w:t>c.</w:t>
            </w:r>
          </w:p>
        </w:tc>
        <w:tc>
          <w:tcPr>
            <w:tcW w:w="7796" w:type="dxa"/>
          </w:tcPr>
          <w:p w14:paraId="1A7305CE" w14:textId="0A0DC1E8" w:rsidR="006D1E1C" w:rsidRPr="00C9343F" w:rsidRDefault="006D1E1C" w:rsidP="00F66D98">
            <w:pPr>
              <w:pStyle w:val="BlockText-Plain"/>
            </w:pPr>
            <w:r w:rsidRPr="00C9343F">
              <w:t>The family of a member posthumously awarded the Victoria Cross for Australia, nominated under section 4.7.3.</w:t>
            </w:r>
          </w:p>
        </w:tc>
      </w:tr>
    </w:tbl>
    <w:p w14:paraId="5B08DDC6" w14:textId="132402F5" w:rsidR="006D1E1C" w:rsidRPr="00C9343F" w:rsidRDefault="006D1E1C" w:rsidP="00F66D98">
      <w:pPr>
        <w:pStyle w:val="Heading5"/>
      </w:pPr>
      <w:bookmarkStart w:id="1003" w:name="_Toc105053870"/>
      <w:r w:rsidRPr="00C9343F">
        <w:t>4.7.6</w:t>
      </w:r>
      <w:r w:rsidR="00D94006" w:rsidRPr="00C9343F">
        <w:t>    </w:t>
      </w:r>
      <w:r w:rsidRPr="00C9343F">
        <w:t>Travel allowance</w:t>
      </w:r>
      <w:bookmarkEnd w:id="1003"/>
    </w:p>
    <w:tbl>
      <w:tblPr>
        <w:tblW w:w="0" w:type="auto"/>
        <w:tblInd w:w="113" w:type="dxa"/>
        <w:tblLayout w:type="fixed"/>
        <w:tblLook w:val="0000" w:firstRow="0" w:lastRow="0" w:firstColumn="0" w:lastColumn="0" w:noHBand="0" w:noVBand="0"/>
      </w:tblPr>
      <w:tblGrid>
        <w:gridCol w:w="992"/>
        <w:gridCol w:w="567"/>
        <w:gridCol w:w="7800"/>
      </w:tblGrid>
      <w:tr w:rsidR="006D1E1C" w:rsidRPr="00C9343F" w14:paraId="4D91A935" w14:textId="77777777" w:rsidTr="006D1E1C">
        <w:tc>
          <w:tcPr>
            <w:tcW w:w="992" w:type="dxa"/>
          </w:tcPr>
          <w:p w14:paraId="7E30D955" w14:textId="77777777" w:rsidR="006D1E1C" w:rsidRPr="00C9343F" w:rsidRDefault="006D1E1C" w:rsidP="00F66D98">
            <w:pPr>
              <w:pStyle w:val="BlockText-Plain"/>
              <w:jc w:val="center"/>
            </w:pPr>
          </w:p>
        </w:tc>
        <w:tc>
          <w:tcPr>
            <w:tcW w:w="8367" w:type="dxa"/>
            <w:gridSpan w:val="2"/>
          </w:tcPr>
          <w:p w14:paraId="330E7B01" w14:textId="77777777" w:rsidR="006D1E1C" w:rsidRPr="00C9343F" w:rsidRDefault="006D1E1C" w:rsidP="00F66D98">
            <w:pPr>
              <w:pStyle w:val="BlockText-Plain"/>
            </w:pPr>
            <w:r w:rsidRPr="00C9343F">
              <w:t xml:space="preserve">Travel costs or travel allowance rates, specified in </w:t>
            </w:r>
            <w:r w:rsidR="00644576" w:rsidRPr="00C9343F">
              <w:rPr>
                <w:rFonts w:cs="Arial"/>
                <w:color w:val="000000"/>
                <w:shd w:val="clear" w:color="auto" w:fill="FFFFFF"/>
              </w:rPr>
              <w:t>Annex 9.5.A Part 1 column B and Part 4</w:t>
            </w:r>
            <w:r w:rsidRPr="00C9343F">
              <w:t>, are payable to the member and the following people for travel on Victoria Cross for Australia representational activities.</w:t>
            </w:r>
          </w:p>
        </w:tc>
      </w:tr>
      <w:tr w:rsidR="006D1E1C" w:rsidRPr="00C9343F" w14:paraId="5FFEF6A1" w14:textId="77777777" w:rsidTr="006D1E1C">
        <w:trPr>
          <w:cantSplit/>
        </w:trPr>
        <w:tc>
          <w:tcPr>
            <w:tcW w:w="992" w:type="dxa"/>
          </w:tcPr>
          <w:p w14:paraId="681539E8" w14:textId="77777777" w:rsidR="006D1E1C" w:rsidRPr="00C9343F" w:rsidRDefault="006D1E1C" w:rsidP="00F66D98">
            <w:pPr>
              <w:pStyle w:val="BlockText-Plain"/>
            </w:pPr>
          </w:p>
        </w:tc>
        <w:tc>
          <w:tcPr>
            <w:tcW w:w="567" w:type="dxa"/>
          </w:tcPr>
          <w:p w14:paraId="115B6974" w14:textId="77777777" w:rsidR="006D1E1C" w:rsidRPr="00C9343F" w:rsidRDefault="006D1E1C" w:rsidP="008D1B5D">
            <w:pPr>
              <w:pStyle w:val="BlockText-Plain"/>
              <w:jc w:val="center"/>
            </w:pPr>
            <w:r w:rsidRPr="00C9343F">
              <w:t>a.</w:t>
            </w:r>
          </w:p>
        </w:tc>
        <w:tc>
          <w:tcPr>
            <w:tcW w:w="7800" w:type="dxa"/>
          </w:tcPr>
          <w:p w14:paraId="7AE93764" w14:textId="77777777" w:rsidR="006D1E1C" w:rsidRPr="00C9343F" w:rsidRDefault="006D1E1C" w:rsidP="00F66D98">
            <w:pPr>
              <w:pStyle w:val="BlockText-Plain"/>
            </w:pPr>
            <w:r w:rsidRPr="00C9343F">
              <w:t>The member's dependants.</w:t>
            </w:r>
          </w:p>
        </w:tc>
      </w:tr>
      <w:tr w:rsidR="006D1E1C" w:rsidRPr="00C9343F" w14:paraId="3DD65481" w14:textId="77777777" w:rsidTr="006D1E1C">
        <w:trPr>
          <w:cantSplit/>
        </w:trPr>
        <w:tc>
          <w:tcPr>
            <w:tcW w:w="992" w:type="dxa"/>
          </w:tcPr>
          <w:p w14:paraId="53486FB4" w14:textId="77777777" w:rsidR="006D1E1C" w:rsidRPr="00C9343F" w:rsidRDefault="006D1E1C" w:rsidP="00F66D98">
            <w:pPr>
              <w:pStyle w:val="BlockText-Plain"/>
            </w:pPr>
          </w:p>
        </w:tc>
        <w:tc>
          <w:tcPr>
            <w:tcW w:w="567" w:type="dxa"/>
          </w:tcPr>
          <w:p w14:paraId="1CF237D7" w14:textId="77777777" w:rsidR="006D1E1C" w:rsidRPr="00C9343F" w:rsidRDefault="006D1E1C" w:rsidP="008D1B5D">
            <w:pPr>
              <w:pStyle w:val="BlockText-Plain"/>
              <w:jc w:val="center"/>
            </w:pPr>
            <w:r w:rsidRPr="00C9343F">
              <w:t>b.</w:t>
            </w:r>
          </w:p>
        </w:tc>
        <w:tc>
          <w:tcPr>
            <w:tcW w:w="7800" w:type="dxa"/>
          </w:tcPr>
          <w:p w14:paraId="1354F8B8" w14:textId="77777777" w:rsidR="006D1E1C" w:rsidRPr="00C9343F" w:rsidRDefault="006D1E1C" w:rsidP="00F66D98">
            <w:pPr>
              <w:pStyle w:val="BlockText-Plain"/>
            </w:pPr>
            <w:r w:rsidRPr="00C9343F">
              <w:t>Escort personnel.</w:t>
            </w:r>
          </w:p>
        </w:tc>
      </w:tr>
      <w:tr w:rsidR="006D1E1C" w:rsidRPr="00C9343F" w14:paraId="1B3C184F" w14:textId="77777777" w:rsidTr="006D1E1C">
        <w:trPr>
          <w:cantSplit/>
        </w:trPr>
        <w:tc>
          <w:tcPr>
            <w:tcW w:w="992" w:type="dxa"/>
          </w:tcPr>
          <w:p w14:paraId="6274B267" w14:textId="77777777" w:rsidR="006D1E1C" w:rsidRPr="00C9343F" w:rsidRDefault="006D1E1C" w:rsidP="00F66D98">
            <w:pPr>
              <w:pStyle w:val="BlockText-Plain"/>
            </w:pPr>
          </w:p>
        </w:tc>
        <w:tc>
          <w:tcPr>
            <w:tcW w:w="567" w:type="dxa"/>
          </w:tcPr>
          <w:p w14:paraId="31ECF595" w14:textId="77777777" w:rsidR="006D1E1C" w:rsidRPr="00C9343F" w:rsidRDefault="006D1E1C" w:rsidP="008D1B5D">
            <w:pPr>
              <w:pStyle w:val="BlockText-Plain"/>
              <w:jc w:val="center"/>
            </w:pPr>
            <w:r w:rsidRPr="00C9343F">
              <w:t>c.</w:t>
            </w:r>
          </w:p>
        </w:tc>
        <w:tc>
          <w:tcPr>
            <w:tcW w:w="7800" w:type="dxa"/>
          </w:tcPr>
          <w:p w14:paraId="6A9618A3" w14:textId="77777777" w:rsidR="006D1E1C" w:rsidRPr="00C9343F" w:rsidRDefault="006D1E1C" w:rsidP="00F66D98">
            <w:pPr>
              <w:pStyle w:val="BlockText-Plain"/>
            </w:pPr>
            <w:r w:rsidRPr="00C9343F">
              <w:t>Up to two nominated family members of a member posthumously awarded the Victoria Cross for Australia.</w:t>
            </w:r>
          </w:p>
        </w:tc>
      </w:tr>
    </w:tbl>
    <w:p w14:paraId="3F608A05" w14:textId="13E2D3B1" w:rsidR="006D1E1C" w:rsidRPr="00C9343F" w:rsidRDefault="006D1E1C" w:rsidP="00283374">
      <w:pPr>
        <w:pStyle w:val="Heading3"/>
        <w:pageBreakBefore/>
      </w:pPr>
      <w:bookmarkStart w:id="1004" w:name="_Toc105053871"/>
      <w:r w:rsidRPr="00C9343F">
        <w:t>Part 8: Training payments</w:t>
      </w:r>
      <w:bookmarkEnd w:id="1004"/>
    </w:p>
    <w:p w14:paraId="76CBA0AA" w14:textId="77777777" w:rsidR="0076144A" w:rsidRPr="00C9343F" w:rsidRDefault="0076144A" w:rsidP="0076144A">
      <w:pPr>
        <w:pStyle w:val="Heading4"/>
        <w:rPr>
          <w:b w:val="0"/>
          <w:bCs/>
        </w:rPr>
      </w:pPr>
      <w:bookmarkStart w:id="1005" w:name="_Toc105053872"/>
      <w:r w:rsidRPr="00C9343F">
        <w:rPr>
          <w:b w:val="0"/>
        </w:rPr>
        <w:t>Division 1: General provisions</w:t>
      </w:r>
      <w:bookmarkEnd w:id="1005"/>
    </w:p>
    <w:p w14:paraId="7CDF8294" w14:textId="4897A3EE" w:rsidR="0076144A" w:rsidRPr="00C9343F" w:rsidRDefault="0076144A" w:rsidP="0076144A">
      <w:pPr>
        <w:pStyle w:val="Heading5"/>
      </w:pPr>
      <w:bookmarkStart w:id="1006" w:name="_Toc105053873"/>
      <w:r w:rsidRPr="00C9343F">
        <w:t>4.8.1    Definitions</w:t>
      </w:r>
      <w:bookmarkEnd w:id="1006"/>
    </w:p>
    <w:tbl>
      <w:tblPr>
        <w:tblW w:w="0" w:type="dxa"/>
        <w:tblInd w:w="113" w:type="dxa"/>
        <w:tblLayout w:type="fixed"/>
        <w:tblLook w:val="04A0" w:firstRow="1" w:lastRow="0" w:firstColumn="1" w:lastColumn="0" w:noHBand="0" w:noVBand="1"/>
      </w:tblPr>
      <w:tblGrid>
        <w:gridCol w:w="992"/>
        <w:gridCol w:w="8367"/>
      </w:tblGrid>
      <w:tr w:rsidR="0076144A" w:rsidRPr="00C9343F" w14:paraId="4DDCF7E7" w14:textId="77777777" w:rsidTr="00445FEB">
        <w:tc>
          <w:tcPr>
            <w:tcW w:w="992" w:type="dxa"/>
          </w:tcPr>
          <w:p w14:paraId="25A16C77" w14:textId="77777777" w:rsidR="0076144A" w:rsidRPr="00C9343F" w:rsidRDefault="0076144A" w:rsidP="00445FEB">
            <w:pPr>
              <w:pStyle w:val="Sectiontext0"/>
              <w:spacing w:line="276" w:lineRule="auto"/>
              <w:jc w:val="center"/>
              <w:rPr>
                <w:lang w:eastAsia="en-US"/>
              </w:rPr>
            </w:pPr>
          </w:p>
        </w:tc>
        <w:tc>
          <w:tcPr>
            <w:tcW w:w="8367" w:type="dxa"/>
            <w:hideMark/>
          </w:tcPr>
          <w:p w14:paraId="3CCADF15" w14:textId="77777777" w:rsidR="0076144A" w:rsidRPr="00C9343F" w:rsidRDefault="0076144A" w:rsidP="00445FEB">
            <w:pPr>
              <w:pStyle w:val="Sectiontext0"/>
              <w:spacing w:line="276" w:lineRule="auto"/>
              <w:rPr>
                <w:rFonts w:cs="Arial"/>
                <w:lang w:eastAsia="en-US"/>
              </w:rPr>
            </w:pPr>
            <w:r w:rsidRPr="00C9343F">
              <w:rPr>
                <w:rFonts w:cs="Arial"/>
                <w:lang w:eastAsia="en-US"/>
              </w:rPr>
              <w:t xml:space="preserve">In this Part the following apply. </w:t>
            </w:r>
          </w:p>
        </w:tc>
      </w:tr>
      <w:tr w:rsidR="0076144A" w:rsidRPr="00C9343F" w14:paraId="5D4BDB5A" w14:textId="77777777" w:rsidTr="00445FEB">
        <w:tc>
          <w:tcPr>
            <w:tcW w:w="992" w:type="dxa"/>
          </w:tcPr>
          <w:p w14:paraId="311F3980" w14:textId="77777777" w:rsidR="0076144A" w:rsidRPr="00C9343F" w:rsidRDefault="0076144A" w:rsidP="00445FEB">
            <w:pPr>
              <w:pStyle w:val="Sectiontext0"/>
              <w:spacing w:line="276" w:lineRule="auto"/>
              <w:jc w:val="center"/>
              <w:rPr>
                <w:lang w:eastAsia="en-US"/>
              </w:rPr>
            </w:pPr>
          </w:p>
        </w:tc>
        <w:tc>
          <w:tcPr>
            <w:tcW w:w="8367" w:type="dxa"/>
            <w:hideMark/>
          </w:tcPr>
          <w:p w14:paraId="15EDC283" w14:textId="77777777" w:rsidR="0076144A" w:rsidRPr="00C9343F" w:rsidRDefault="0076144A" w:rsidP="00445FEB">
            <w:pPr>
              <w:pStyle w:val="Sectiontext0"/>
              <w:spacing w:line="276" w:lineRule="auto"/>
              <w:rPr>
                <w:rFonts w:cs="Arial"/>
                <w:i/>
                <w:lang w:eastAsia="en-US"/>
              </w:rPr>
            </w:pPr>
            <w:r w:rsidRPr="00C9343F">
              <w:rPr>
                <w:rFonts w:cs="Arial"/>
                <w:b/>
                <w:lang w:eastAsia="en-US"/>
              </w:rPr>
              <w:t xml:space="preserve">Dental officer </w:t>
            </w:r>
            <w:r w:rsidRPr="00C9343F">
              <w:rPr>
                <w:rFonts w:cs="Arial"/>
                <w:lang w:eastAsia="en-US"/>
              </w:rPr>
              <w:t xml:space="preserve">has the same meaning given in section A.1.12 of DFRT Determination No. 2 of 2017, </w:t>
            </w:r>
            <w:r w:rsidRPr="00C9343F">
              <w:rPr>
                <w:rFonts w:cs="Arial"/>
                <w:i/>
                <w:lang w:eastAsia="en-US"/>
              </w:rPr>
              <w:t>Salaries.</w:t>
            </w:r>
          </w:p>
        </w:tc>
      </w:tr>
    </w:tbl>
    <w:p w14:paraId="18057108" w14:textId="28958776" w:rsidR="006D1E1C" w:rsidRPr="00C9343F" w:rsidRDefault="006D1E1C" w:rsidP="0076144A">
      <w:pPr>
        <w:pStyle w:val="Heading4"/>
        <w:pageBreakBefore/>
      </w:pPr>
      <w:bookmarkStart w:id="1007" w:name="_Toc105053874"/>
      <w:r w:rsidRPr="00C9343F">
        <w:t>Division 1</w:t>
      </w:r>
      <w:r w:rsidR="006A40E7" w:rsidRPr="00C9343F">
        <w:t>A</w:t>
      </w:r>
      <w:r w:rsidRPr="00C9343F">
        <w:t xml:space="preserve">: </w:t>
      </w:r>
      <w:r w:rsidR="006A40E7" w:rsidRPr="00C9343F">
        <w:rPr>
          <w:b w:val="0"/>
        </w:rPr>
        <w:t>Trainee’s dependant allowance</w:t>
      </w:r>
      <w:bookmarkEnd w:id="1007"/>
    </w:p>
    <w:p w14:paraId="23CE0E35" w14:textId="37EE5772" w:rsidR="006D1E1C" w:rsidRPr="00C9343F" w:rsidRDefault="006D1E1C" w:rsidP="00F66D98">
      <w:pPr>
        <w:pStyle w:val="Heading5"/>
      </w:pPr>
      <w:bookmarkStart w:id="1008" w:name="_Toc105053875"/>
      <w:bookmarkStart w:id="1009" w:name="bk1605444114Purpose"/>
      <w:bookmarkStart w:id="1010" w:name="bk145514494Purpose"/>
      <w:bookmarkStart w:id="1011" w:name="bk94143493Purpose"/>
      <w:bookmarkStart w:id="1012" w:name="bk114954493Purpose"/>
      <w:r w:rsidRPr="00C9343F">
        <w:t>4.8.3</w:t>
      </w:r>
      <w:r w:rsidR="00D94006" w:rsidRPr="00C9343F">
        <w:t>    </w:t>
      </w:r>
      <w:r w:rsidRPr="00C9343F">
        <w:t>Purpose</w:t>
      </w:r>
      <w:bookmarkEnd w:id="1008"/>
    </w:p>
    <w:bookmarkEnd w:id="1009"/>
    <w:bookmarkEnd w:id="1010"/>
    <w:bookmarkEnd w:id="1011"/>
    <w:bookmarkEnd w:id="1012"/>
    <w:tbl>
      <w:tblPr>
        <w:tblW w:w="0" w:type="auto"/>
        <w:tblInd w:w="113" w:type="dxa"/>
        <w:tblLayout w:type="fixed"/>
        <w:tblLook w:val="0000" w:firstRow="0" w:lastRow="0" w:firstColumn="0" w:lastColumn="0" w:noHBand="0" w:noVBand="0"/>
      </w:tblPr>
      <w:tblGrid>
        <w:gridCol w:w="992"/>
        <w:gridCol w:w="8363"/>
      </w:tblGrid>
      <w:tr w:rsidR="006D1E1C" w:rsidRPr="00C9343F" w14:paraId="3DD5B51B" w14:textId="77777777" w:rsidTr="006D1E1C">
        <w:tc>
          <w:tcPr>
            <w:tcW w:w="992" w:type="dxa"/>
          </w:tcPr>
          <w:p w14:paraId="3303D9FA" w14:textId="77777777" w:rsidR="006D1E1C" w:rsidRPr="00C9343F" w:rsidRDefault="006D1E1C" w:rsidP="00F66D98">
            <w:pPr>
              <w:pStyle w:val="BlockText-Plain"/>
              <w:jc w:val="center"/>
            </w:pPr>
          </w:p>
        </w:tc>
        <w:tc>
          <w:tcPr>
            <w:tcW w:w="8363" w:type="dxa"/>
          </w:tcPr>
          <w:p w14:paraId="35CE13AD" w14:textId="77777777" w:rsidR="006D1E1C" w:rsidRPr="00C9343F" w:rsidRDefault="006D1E1C" w:rsidP="00F66D98">
            <w:pPr>
              <w:pStyle w:val="BlockText-Plain"/>
            </w:pPr>
            <w:r w:rsidRPr="00C9343F">
              <w:t>Trainee's dependant allowance supplements a trainee's salary when they are supporting one or more eligible dependants.</w:t>
            </w:r>
          </w:p>
        </w:tc>
      </w:tr>
    </w:tbl>
    <w:p w14:paraId="5E41B712" w14:textId="70F4D576" w:rsidR="006D1E1C" w:rsidRPr="00C9343F" w:rsidRDefault="006D1E1C" w:rsidP="00F66D98">
      <w:pPr>
        <w:pStyle w:val="Heading5"/>
      </w:pPr>
      <w:bookmarkStart w:id="1013" w:name="_Toc105053876"/>
      <w:bookmarkStart w:id="1014" w:name="bk1605444116MembersthisDivisionappliest"/>
      <w:bookmarkStart w:id="1015" w:name="bk145514496MembersthisDivisionappliesto"/>
      <w:bookmarkStart w:id="1016" w:name="bk94143495MembersthisDivisionappliesto"/>
      <w:bookmarkStart w:id="1017" w:name="bk114954495MemberthisDivisionappliesto"/>
      <w:r w:rsidRPr="00C9343F">
        <w:t>4.8.5</w:t>
      </w:r>
      <w:r w:rsidR="00D94006" w:rsidRPr="00C9343F">
        <w:t>    </w:t>
      </w:r>
      <w:r w:rsidRPr="00C9343F">
        <w:t>Member this Division applies to</w:t>
      </w:r>
      <w:bookmarkEnd w:id="1013"/>
    </w:p>
    <w:bookmarkEnd w:id="1014"/>
    <w:bookmarkEnd w:id="1015"/>
    <w:bookmarkEnd w:id="1016"/>
    <w:bookmarkEnd w:id="1017"/>
    <w:tbl>
      <w:tblPr>
        <w:tblW w:w="9355" w:type="dxa"/>
        <w:tblInd w:w="113" w:type="dxa"/>
        <w:tblLayout w:type="fixed"/>
        <w:tblLook w:val="0000" w:firstRow="0" w:lastRow="0" w:firstColumn="0" w:lastColumn="0" w:noHBand="0" w:noVBand="0"/>
      </w:tblPr>
      <w:tblGrid>
        <w:gridCol w:w="992"/>
        <w:gridCol w:w="8363"/>
      </w:tblGrid>
      <w:tr w:rsidR="006D1E1C" w:rsidRPr="00C9343F" w14:paraId="10A5E133" w14:textId="77777777" w:rsidTr="00852474">
        <w:tc>
          <w:tcPr>
            <w:tcW w:w="992" w:type="dxa"/>
          </w:tcPr>
          <w:p w14:paraId="1A1904AF" w14:textId="77777777" w:rsidR="006D1E1C" w:rsidRPr="00C9343F" w:rsidRDefault="006D1E1C" w:rsidP="00F66D98">
            <w:pPr>
              <w:pStyle w:val="BlockText-PlainNoSpacing"/>
              <w:jc w:val="center"/>
            </w:pPr>
          </w:p>
        </w:tc>
        <w:tc>
          <w:tcPr>
            <w:tcW w:w="8363" w:type="dxa"/>
          </w:tcPr>
          <w:p w14:paraId="326610F9" w14:textId="2CE06FA4" w:rsidR="006D1E1C" w:rsidRPr="00C9343F" w:rsidRDefault="006D1E1C" w:rsidP="00F66D98">
            <w:pPr>
              <w:pStyle w:val="BlockText-Plain"/>
              <w:keepNext/>
              <w:keepLines/>
            </w:pPr>
            <w:r w:rsidRPr="00C9343F">
              <w:t>This Division applies to a trainee in the Permanent Forces whose salary is less than the salary of a Private in Pay Grade 1.</w:t>
            </w:r>
          </w:p>
        </w:tc>
      </w:tr>
    </w:tbl>
    <w:p w14:paraId="62906621" w14:textId="7CE96472" w:rsidR="006D1E1C" w:rsidRPr="00C9343F" w:rsidRDefault="006D1E1C" w:rsidP="00F66D98">
      <w:pPr>
        <w:pStyle w:val="Heading5"/>
      </w:pPr>
      <w:bookmarkStart w:id="1018" w:name="_Toc105053877"/>
      <w:bookmarkStart w:id="1019" w:name="bk1605444117WhenthisDivisiondoesnotappl"/>
      <w:bookmarkStart w:id="1020" w:name="bk145514497WhenthisDivisiondoesnotapply"/>
      <w:bookmarkStart w:id="1021" w:name="bk94143496WhenthisDivisiondoesnotapply"/>
      <w:bookmarkStart w:id="1022" w:name="bk114954496WhenthisDivisiondoesnotapply"/>
      <w:r w:rsidRPr="00C9343F">
        <w:t>4.8.6</w:t>
      </w:r>
      <w:r w:rsidR="00D94006" w:rsidRPr="00C9343F">
        <w:t>    </w:t>
      </w:r>
      <w:r w:rsidRPr="00C9343F">
        <w:t>When this Division does not apply</w:t>
      </w:r>
      <w:bookmarkEnd w:id="1018"/>
      <w:r w:rsidRPr="00C9343F">
        <w:t xml:space="preserve"> </w:t>
      </w:r>
    </w:p>
    <w:tbl>
      <w:tblPr>
        <w:tblW w:w="9359" w:type="dxa"/>
        <w:tblInd w:w="113" w:type="dxa"/>
        <w:tblLayout w:type="fixed"/>
        <w:tblLook w:val="04A0" w:firstRow="1" w:lastRow="0" w:firstColumn="1" w:lastColumn="0" w:noHBand="0" w:noVBand="1"/>
      </w:tblPr>
      <w:tblGrid>
        <w:gridCol w:w="992"/>
        <w:gridCol w:w="563"/>
        <w:gridCol w:w="567"/>
        <w:gridCol w:w="7237"/>
      </w:tblGrid>
      <w:tr w:rsidR="00217913" w:rsidRPr="00C9343F" w14:paraId="4E064615" w14:textId="77777777" w:rsidTr="00DD70CC">
        <w:tc>
          <w:tcPr>
            <w:tcW w:w="992" w:type="dxa"/>
            <w:hideMark/>
          </w:tcPr>
          <w:p w14:paraId="1CD82212" w14:textId="77777777" w:rsidR="00217913" w:rsidRPr="00C9343F" w:rsidRDefault="00217913" w:rsidP="00445FEB">
            <w:pPr>
              <w:pStyle w:val="Sectiontext0"/>
              <w:spacing w:line="276" w:lineRule="auto"/>
              <w:jc w:val="center"/>
              <w:rPr>
                <w:lang w:eastAsia="en-US"/>
              </w:rPr>
            </w:pPr>
            <w:r w:rsidRPr="00C9343F">
              <w:rPr>
                <w:lang w:eastAsia="en-US"/>
              </w:rPr>
              <w:t>1.</w:t>
            </w:r>
          </w:p>
        </w:tc>
        <w:tc>
          <w:tcPr>
            <w:tcW w:w="8367" w:type="dxa"/>
            <w:gridSpan w:val="3"/>
            <w:hideMark/>
          </w:tcPr>
          <w:p w14:paraId="2A9FC2F0" w14:textId="77777777" w:rsidR="00217913" w:rsidRPr="00C9343F" w:rsidRDefault="00217913" w:rsidP="00445FEB">
            <w:pPr>
              <w:pStyle w:val="Sectiontext0"/>
              <w:spacing w:line="276" w:lineRule="auto"/>
              <w:rPr>
                <w:lang w:eastAsia="en-US"/>
              </w:rPr>
            </w:pPr>
            <w:r w:rsidRPr="00C9343F">
              <w:rPr>
                <w:lang w:eastAsia="en-US"/>
              </w:rPr>
              <w:t>This Division does not apply if any of the following criteria are met.</w:t>
            </w:r>
          </w:p>
        </w:tc>
      </w:tr>
      <w:tr w:rsidR="00217913" w:rsidRPr="00C9343F" w14:paraId="328FDA36" w14:textId="77777777" w:rsidTr="00DD70CC">
        <w:tc>
          <w:tcPr>
            <w:tcW w:w="992" w:type="dxa"/>
          </w:tcPr>
          <w:p w14:paraId="61BB65C0" w14:textId="77777777" w:rsidR="00217913" w:rsidRPr="00C9343F" w:rsidRDefault="00217913" w:rsidP="00445FEB">
            <w:pPr>
              <w:pStyle w:val="Sectiontext0"/>
              <w:spacing w:line="276" w:lineRule="auto"/>
              <w:jc w:val="center"/>
              <w:rPr>
                <w:lang w:eastAsia="en-US"/>
              </w:rPr>
            </w:pPr>
          </w:p>
        </w:tc>
        <w:tc>
          <w:tcPr>
            <w:tcW w:w="563" w:type="dxa"/>
            <w:hideMark/>
          </w:tcPr>
          <w:p w14:paraId="6D3B5395" w14:textId="77777777" w:rsidR="00217913" w:rsidRPr="00C9343F" w:rsidRDefault="00217913" w:rsidP="00445FEB">
            <w:pPr>
              <w:pStyle w:val="Sectiontext0"/>
              <w:spacing w:line="276" w:lineRule="auto"/>
              <w:jc w:val="center"/>
              <w:rPr>
                <w:rFonts w:cs="Arial"/>
                <w:lang w:eastAsia="en-US"/>
              </w:rPr>
            </w:pPr>
            <w:r w:rsidRPr="00C9343F">
              <w:rPr>
                <w:rFonts w:cs="Arial"/>
                <w:lang w:eastAsia="en-US"/>
              </w:rPr>
              <w:t>a.</w:t>
            </w:r>
          </w:p>
        </w:tc>
        <w:tc>
          <w:tcPr>
            <w:tcW w:w="7804" w:type="dxa"/>
            <w:gridSpan w:val="2"/>
            <w:hideMark/>
          </w:tcPr>
          <w:p w14:paraId="18027D5B" w14:textId="3C8C0341" w:rsidR="00217913" w:rsidRPr="00C9343F" w:rsidRDefault="00DD70CC" w:rsidP="00445FEB">
            <w:pPr>
              <w:pStyle w:val="Sectiontext0"/>
              <w:spacing w:line="276" w:lineRule="auto"/>
              <w:rPr>
                <w:lang w:eastAsia="en-US"/>
              </w:rPr>
            </w:pPr>
            <w:r w:rsidRPr="00C9343F">
              <w:rPr>
                <w:rFonts w:cs="Arial"/>
                <w:lang w:eastAsia="en-US"/>
              </w:rPr>
              <w:t>If any of the trainee’s eligible dependants has an expected income of $40,175.20 or more in the current financial year.</w:t>
            </w:r>
          </w:p>
        </w:tc>
      </w:tr>
      <w:tr w:rsidR="00217913" w:rsidRPr="00C9343F" w14:paraId="030B4BE9" w14:textId="77777777" w:rsidTr="00DD70CC">
        <w:tc>
          <w:tcPr>
            <w:tcW w:w="992" w:type="dxa"/>
          </w:tcPr>
          <w:p w14:paraId="53B30E67" w14:textId="77777777" w:rsidR="00217913" w:rsidRPr="00C9343F" w:rsidRDefault="00217913" w:rsidP="00445FEB">
            <w:pPr>
              <w:pStyle w:val="Sectiontext0"/>
              <w:spacing w:line="276" w:lineRule="auto"/>
              <w:jc w:val="center"/>
              <w:rPr>
                <w:lang w:eastAsia="en-US"/>
              </w:rPr>
            </w:pPr>
          </w:p>
        </w:tc>
        <w:tc>
          <w:tcPr>
            <w:tcW w:w="563" w:type="dxa"/>
            <w:hideMark/>
          </w:tcPr>
          <w:p w14:paraId="173C5585" w14:textId="77777777" w:rsidR="00217913" w:rsidRPr="00C9343F" w:rsidRDefault="00217913" w:rsidP="00445FEB">
            <w:pPr>
              <w:pStyle w:val="Sectiontext0"/>
              <w:spacing w:line="276" w:lineRule="auto"/>
              <w:jc w:val="center"/>
              <w:rPr>
                <w:rFonts w:cs="Arial"/>
                <w:lang w:eastAsia="en-US"/>
              </w:rPr>
            </w:pPr>
            <w:r w:rsidRPr="00C9343F">
              <w:rPr>
                <w:rFonts w:cs="Arial"/>
                <w:lang w:eastAsia="en-US"/>
              </w:rPr>
              <w:t>b.</w:t>
            </w:r>
          </w:p>
        </w:tc>
        <w:tc>
          <w:tcPr>
            <w:tcW w:w="7804" w:type="dxa"/>
            <w:gridSpan w:val="2"/>
            <w:hideMark/>
          </w:tcPr>
          <w:p w14:paraId="00A98977" w14:textId="77777777" w:rsidR="00217913" w:rsidRPr="00C9343F" w:rsidRDefault="00217913" w:rsidP="00445FEB">
            <w:pPr>
              <w:pStyle w:val="Default"/>
              <w:spacing w:line="276" w:lineRule="auto"/>
            </w:pPr>
            <w:r w:rsidRPr="00C9343F">
              <w:t>The trainee is not entitled to salary.</w:t>
            </w:r>
          </w:p>
        </w:tc>
      </w:tr>
      <w:tr w:rsidR="00217913" w:rsidRPr="00C9343F" w14:paraId="2EA5D778" w14:textId="77777777" w:rsidTr="00DD70CC">
        <w:tc>
          <w:tcPr>
            <w:tcW w:w="992" w:type="dxa"/>
          </w:tcPr>
          <w:p w14:paraId="636BED87" w14:textId="77777777" w:rsidR="00217913" w:rsidRPr="00C9343F" w:rsidRDefault="00217913" w:rsidP="00445FEB">
            <w:pPr>
              <w:pStyle w:val="Sectiontext0"/>
              <w:spacing w:line="276" w:lineRule="auto"/>
              <w:jc w:val="center"/>
              <w:rPr>
                <w:lang w:eastAsia="en-US"/>
              </w:rPr>
            </w:pPr>
          </w:p>
        </w:tc>
        <w:tc>
          <w:tcPr>
            <w:tcW w:w="563" w:type="dxa"/>
            <w:hideMark/>
          </w:tcPr>
          <w:p w14:paraId="3E844F1C" w14:textId="77777777" w:rsidR="00217913" w:rsidRPr="00C9343F" w:rsidRDefault="00217913" w:rsidP="00445FEB">
            <w:pPr>
              <w:pStyle w:val="Sectiontext0"/>
              <w:spacing w:line="276" w:lineRule="auto"/>
              <w:jc w:val="center"/>
              <w:rPr>
                <w:rFonts w:cs="Arial"/>
                <w:lang w:eastAsia="en-US"/>
              </w:rPr>
            </w:pPr>
            <w:r w:rsidRPr="00C9343F">
              <w:rPr>
                <w:rFonts w:cs="Arial"/>
                <w:lang w:eastAsia="en-US"/>
              </w:rPr>
              <w:t>c.</w:t>
            </w:r>
          </w:p>
        </w:tc>
        <w:tc>
          <w:tcPr>
            <w:tcW w:w="7804" w:type="dxa"/>
            <w:gridSpan w:val="2"/>
            <w:hideMark/>
          </w:tcPr>
          <w:p w14:paraId="74DBC873" w14:textId="77777777" w:rsidR="00217913" w:rsidRPr="00C9343F" w:rsidRDefault="00217913" w:rsidP="00445FEB">
            <w:pPr>
              <w:pStyle w:val="Default"/>
              <w:spacing w:line="276" w:lineRule="auto"/>
            </w:pPr>
            <w:r w:rsidRPr="00C9343F">
              <w:t>The member is on Reserve service.</w:t>
            </w:r>
          </w:p>
        </w:tc>
      </w:tr>
      <w:tr w:rsidR="00217913" w:rsidRPr="00C9343F" w14:paraId="5E9F75A4" w14:textId="77777777" w:rsidTr="00DD70CC">
        <w:tc>
          <w:tcPr>
            <w:tcW w:w="992" w:type="dxa"/>
            <w:hideMark/>
          </w:tcPr>
          <w:p w14:paraId="2B47DB74" w14:textId="77777777" w:rsidR="00217913" w:rsidRPr="00C9343F" w:rsidRDefault="00217913" w:rsidP="00445FEB">
            <w:pPr>
              <w:pStyle w:val="Sectiontext0"/>
              <w:spacing w:line="276" w:lineRule="auto"/>
              <w:jc w:val="center"/>
              <w:rPr>
                <w:lang w:eastAsia="en-US"/>
              </w:rPr>
            </w:pPr>
            <w:r w:rsidRPr="00C9343F">
              <w:rPr>
                <w:lang w:eastAsia="en-US"/>
              </w:rPr>
              <w:t>2.</w:t>
            </w:r>
          </w:p>
        </w:tc>
        <w:tc>
          <w:tcPr>
            <w:tcW w:w="8367" w:type="dxa"/>
            <w:gridSpan w:val="3"/>
            <w:hideMark/>
          </w:tcPr>
          <w:p w14:paraId="7EBAC834" w14:textId="77777777" w:rsidR="00217913" w:rsidRPr="00C9343F" w:rsidRDefault="00217913" w:rsidP="00445FEB">
            <w:pPr>
              <w:pStyle w:val="Sectiontext0"/>
              <w:spacing w:line="276" w:lineRule="auto"/>
              <w:rPr>
                <w:lang w:eastAsia="en-US"/>
              </w:rPr>
            </w:pPr>
            <w:r w:rsidRPr="00C9343F">
              <w:rPr>
                <w:lang w:eastAsia="en-US"/>
              </w:rPr>
              <w:t xml:space="preserve">In this section, </w:t>
            </w:r>
            <w:r w:rsidRPr="00C9343F">
              <w:rPr>
                <w:b/>
                <w:lang w:eastAsia="en-US"/>
              </w:rPr>
              <w:t xml:space="preserve">eligible dependant </w:t>
            </w:r>
            <w:r w:rsidRPr="00C9343F">
              <w:rPr>
                <w:lang w:eastAsia="en-US"/>
              </w:rPr>
              <w:t>means one of the following.</w:t>
            </w:r>
          </w:p>
        </w:tc>
      </w:tr>
      <w:tr w:rsidR="00217913" w:rsidRPr="00C9343F" w14:paraId="1B78D80B" w14:textId="77777777" w:rsidTr="00DD70CC">
        <w:tc>
          <w:tcPr>
            <w:tcW w:w="992" w:type="dxa"/>
          </w:tcPr>
          <w:p w14:paraId="2670ED12" w14:textId="77777777" w:rsidR="00217913" w:rsidRPr="00C9343F" w:rsidRDefault="00217913" w:rsidP="00445FEB">
            <w:pPr>
              <w:pStyle w:val="Sectiontext0"/>
              <w:spacing w:line="276" w:lineRule="auto"/>
              <w:jc w:val="center"/>
              <w:rPr>
                <w:lang w:eastAsia="en-US"/>
              </w:rPr>
            </w:pPr>
          </w:p>
        </w:tc>
        <w:tc>
          <w:tcPr>
            <w:tcW w:w="563" w:type="dxa"/>
            <w:hideMark/>
          </w:tcPr>
          <w:p w14:paraId="554392DF" w14:textId="77777777" w:rsidR="00217913" w:rsidRPr="00C9343F" w:rsidRDefault="00217913" w:rsidP="00445FEB">
            <w:pPr>
              <w:pStyle w:val="Sectiontext0"/>
              <w:spacing w:line="276" w:lineRule="auto"/>
              <w:jc w:val="center"/>
              <w:rPr>
                <w:rFonts w:cs="Arial"/>
                <w:lang w:eastAsia="en-US"/>
              </w:rPr>
            </w:pPr>
            <w:r w:rsidRPr="00C9343F">
              <w:rPr>
                <w:rFonts w:cs="Arial"/>
                <w:lang w:eastAsia="en-US"/>
              </w:rPr>
              <w:t>a.</w:t>
            </w:r>
          </w:p>
        </w:tc>
        <w:tc>
          <w:tcPr>
            <w:tcW w:w="7804" w:type="dxa"/>
            <w:gridSpan w:val="2"/>
            <w:hideMark/>
          </w:tcPr>
          <w:p w14:paraId="1C664BDB" w14:textId="77777777" w:rsidR="00217913" w:rsidRPr="00C9343F" w:rsidRDefault="00217913" w:rsidP="00445FEB">
            <w:pPr>
              <w:pStyle w:val="Default"/>
              <w:spacing w:line="276" w:lineRule="auto"/>
            </w:pPr>
            <w:r w:rsidRPr="00C9343F">
              <w:t>The trainee’s dependant.</w:t>
            </w:r>
          </w:p>
        </w:tc>
      </w:tr>
      <w:tr w:rsidR="00217913" w:rsidRPr="00C9343F" w14:paraId="6C2C9891" w14:textId="77777777" w:rsidTr="00DD70CC">
        <w:tc>
          <w:tcPr>
            <w:tcW w:w="992" w:type="dxa"/>
          </w:tcPr>
          <w:p w14:paraId="0604DC6A" w14:textId="77777777" w:rsidR="00217913" w:rsidRPr="00C9343F" w:rsidRDefault="00217913" w:rsidP="00445FEB">
            <w:pPr>
              <w:pStyle w:val="Sectiontext0"/>
              <w:spacing w:line="276" w:lineRule="auto"/>
              <w:jc w:val="center"/>
              <w:rPr>
                <w:lang w:eastAsia="en-US"/>
              </w:rPr>
            </w:pPr>
          </w:p>
        </w:tc>
        <w:tc>
          <w:tcPr>
            <w:tcW w:w="563" w:type="dxa"/>
            <w:hideMark/>
          </w:tcPr>
          <w:p w14:paraId="03888DC0" w14:textId="77777777" w:rsidR="00217913" w:rsidRPr="00C9343F" w:rsidRDefault="00217913" w:rsidP="00445FEB">
            <w:pPr>
              <w:pStyle w:val="Sectiontext0"/>
              <w:spacing w:line="276" w:lineRule="auto"/>
              <w:jc w:val="center"/>
              <w:rPr>
                <w:rFonts w:cs="Arial"/>
                <w:lang w:eastAsia="en-US"/>
              </w:rPr>
            </w:pPr>
            <w:r w:rsidRPr="00C9343F">
              <w:rPr>
                <w:rFonts w:cs="Arial"/>
                <w:lang w:eastAsia="en-US"/>
              </w:rPr>
              <w:t>b.</w:t>
            </w:r>
          </w:p>
        </w:tc>
        <w:tc>
          <w:tcPr>
            <w:tcW w:w="7804" w:type="dxa"/>
            <w:gridSpan w:val="2"/>
            <w:hideMark/>
          </w:tcPr>
          <w:p w14:paraId="28B2BDEB" w14:textId="77777777" w:rsidR="00217913" w:rsidRPr="00C9343F" w:rsidRDefault="00217913" w:rsidP="00445FEB">
            <w:pPr>
              <w:pStyle w:val="Default"/>
              <w:spacing w:line="276" w:lineRule="auto"/>
            </w:pPr>
            <w:r w:rsidRPr="00C9343F">
              <w:t xml:space="preserve">A person who meets all of the following. </w:t>
            </w:r>
          </w:p>
        </w:tc>
      </w:tr>
      <w:tr w:rsidR="00217913" w:rsidRPr="00C9343F" w14:paraId="2A28F836" w14:textId="77777777" w:rsidTr="00DD70CC">
        <w:tc>
          <w:tcPr>
            <w:tcW w:w="992" w:type="dxa"/>
          </w:tcPr>
          <w:p w14:paraId="05E5D55C" w14:textId="77777777" w:rsidR="00217913" w:rsidRPr="00C9343F" w:rsidRDefault="00217913" w:rsidP="00445FEB">
            <w:pPr>
              <w:pStyle w:val="Sectiontext0"/>
              <w:spacing w:line="276" w:lineRule="auto"/>
              <w:jc w:val="center"/>
              <w:rPr>
                <w:lang w:eastAsia="en-US"/>
              </w:rPr>
            </w:pPr>
          </w:p>
        </w:tc>
        <w:tc>
          <w:tcPr>
            <w:tcW w:w="563" w:type="dxa"/>
          </w:tcPr>
          <w:p w14:paraId="5D36E670" w14:textId="77777777" w:rsidR="00217913" w:rsidRPr="00C9343F" w:rsidRDefault="00217913" w:rsidP="00445FEB">
            <w:pPr>
              <w:pStyle w:val="Sectiontext0"/>
              <w:spacing w:line="276" w:lineRule="auto"/>
              <w:rPr>
                <w:rFonts w:cs="Arial"/>
                <w:iCs/>
                <w:lang w:eastAsia="en-US"/>
              </w:rPr>
            </w:pPr>
          </w:p>
        </w:tc>
        <w:tc>
          <w:tcPr>
            <w:tcW w:w="567" w:type="dxa"/>
            <w:hideMark/>
          </w:tcPr>
          <w:p w14:paraId="1E33437C" w14:textId="77777777" w:rsidR="00217913" w:rsidRPr="00C9343F" w:rsidRDefault="00217913" w:rsidP="00E62EB5">
            <w:pPr>
              <w:pStyle w:val="Sectiontext0"/>
              <w:spacing w:line="276" w:lineRule="auto"/>
              <w:rPr>
                <w:rFonts w:cs="Arial"/>
                <w:iCs/>
                <w:lang w:eastAsia="en-US"/>
              </w:rPr>
            </w:pPr>
            <w:r w:rsidRPr="00C9343F">
              <w:rPr>
                <w:rFonts w:cs="Arial"/>
                <w:iCs/>
                <w:lang w:eastAsia="en-US"/>
              </w:rPr>
              <w:t>i.</w:t>
            </w:r>
          </w:p>
        </w:tc>
        <w:tc>
          <w:tcPr>
            <w:tcW w:w="7237" w:type="dxa"/>
            <w:hideMark/>
          </w:tcPr>
          <w:p w14:paraId="2FB0BBFF" w14:textId="77777777" w:rsidR="00217913" w:rsidRPr="00C9343F" w:rsidRDefault="00217913" w:rsidP="00445FEB">
            <w:pPr>
              <w:pStyle w:val="Sectiontext0"/>
              <w:spacing w:line="276" w:lineRule="auto"/>
              <w:rPr>
                <w:rFonts w:cs="Arial"/>
                <w:iCs/>
                <w:lang w:eastAsia="en-US"/>
              </w:rPr>
            </w:pPr>
            <w:r w:rsidRPr="00C9343F">
              <w:rPr>
                <w:rFonts w:cs="Arial"/>
                <w:iCs/>
                <w:lang w:eastAsia="en-US"/>
              </w:rPr>
              <w:t>They are under 16 years of age.</w:t>
            </w:r>
          </w:p>
        </w:tc>
      </w:tr>
      <w:tr w:rsidR="00217913" w:rsidRPr="00C9343F" w14:paraId="32D2833D" w14:textId="77777777" w:rsidTr="00DD70CC">
        <w:tc>
          <w:tcPr>
            <w:tcW w:w="992" w:type="dxa"/>
          </w:tcPr>
          <w:p w14:paraId="00C6E98A" w14:textId="77777777" w:rsidR="00217913" w:rsidRPr="00C9343F" w:rsidRDefault="00217913" w:rsidP="00445FEB">
            <w:pPr>
              <w:pStyle w:val="Sectiontext0"/>
              <w:spacing w:line="276" w:lineRule="auto"/>
              <w:jc w:val="center"/>
              <w:rPr>
                <w:lang w:eastAsia="en-US"/>
              </w:rPr>
            </w:pPr>
          </w:p>
        </w:tc>
        <w:tc>
          <w:tcPr>
            <w:tcW w:w="563" w:type="dxa"/>
          </w:tcPr>
          <w:p w14:paraId="69FA1644" w14:textId="77777777" w:rsidR="00217913" w:rsidRPr="00C9343F" w:rsidRDefault="00217913" w:rsidP="00445FEB">
            <w:pPr>
              <w:pStyle w:val="Sectiontext0"/>
              <w:spacing w:line="276" w:lineRule="auto"/>
              <w:rPr>
                <w:rFonts w:cs="Arial"/>
                <w:iCs/>
                <w:lang w:eastAsia="en-US"/>
              </w:rPr>
            </w:pPr>
          </w:p>
        </w:tc>
        <w:tc>
          <w:tcPr>
            <w:tcW w:w="567" w:type="dxa"/>
            <w:hideMark/>
          </w:tcPr>
          <w:p w14:paraId="3A352551" w14:textId="77777777" w:rsidR="00217913" w:rsidRPr="00C9343F" w:rsidRDefault="00217913" w:rsidP="00E62EB5">
            <w:pPr>
              <w:pStyle w:val="Sectiontext0"/>
              <w:spacing w:line="276" w:lineRule="auto"/>
              <w:rPr>
                <w:rFonts w:cs="Arial"/>
                <w:iCs/>
                <w:lang w:eastAsia="en-US"/>
              </w:rPr>
            </w:pPr>
            <w:r w:rsidRPr="00C9343F">
              <w:rPr>
                <w:rFonts w:cs="Arial"/>
                <w:iCs/>
                <w:lang w:eastAsia="en-US"/>
              </w:rPr>
              <w:t>ii.</w:t>
            </w:r>
          </w:p>
        </w:tc>
        <w:tc>
          <w:tcPr>
            <w:tcW w:w="7237" w:type="dxa"/>
            <w:hideMark/>
          </w:tcPr>
          <w:p w14:paraId="23E567F9" w14:textId="77777777" w:rsidR="00217913" w:rsidRPr="00C9343F" w:rsidRDefault="00217913" w:rsidP="00445FEB">
            <w:pPr>
              <w:pStyle w:val="Sectiontext0"/>
              <w:spacing w:line="276" w:lineRule="auto"/>
              <w:rPr>
                <w:rFonts w:cs="Arial"/>
                <w:iCs/>
                <w:lang w:eastAsia="en-US"/>
              </w:rPr>
            </w:pPr>
            <w:r w:rsidRPr="00C9343F">
              <w:rPr>
                <w:rFonts w:cs="Arial"/>
                <w:iCs/>
                <w:lang w:eastAsia="en-US"/>
              </w:rPr>
              <w:t>They are living with the trainee.</w:t>
            </w:r>
          </w:p>
        </w:tc>
      </w:tr>
      <w:tr w:rsidR="00217913" w:rsidRPr="00C9343F" w14:paraId="2D56FFEA" w14:textId="77777777" w:rsidTr="00DD70CC">
        <w:tc>
          <w:tcPr>
            <w:tcW w:w="992" w:type="dxa"/>
          </w:tcPr>
          <w:p w14:paraId="51019573" w14:textId="77777777" w:rsidR="00217913" w:rsidRPr="00C9343F" w:rsidRDefault="00217913" w:rsidP="00445FEB">
            <w:pPr>
              <w:pStyle w:val="Sectiontext0"/>
              <w:spacing w:line="276" w:lineRule="auto"/>
              <w:jc w:val="center"/>
              <w:rPr>
                <w:lang w:eastAsia="en-US"/>
              </w:rPr>
            </w:pPr>
          </w:p>
        </w:tc>
        <w:tc>
          <w:tcPr>
            <w:tcW w:w="563" w:type="dxa"/>
          </w:tcPr>
          <w:p w14:paraId="44CF31E5" w14:textId="77777777" w:rsidR="00217913" w:rsidRPr="00C9343F" w:rsidRDefault="00217913" w:rsidP="00445FEB">
            <w:pPr>
              <w:pStyle w:val="Sectiontext0"/>
              <w:spacing w:line="276" w:lineRule="auto"/>
              <w:rPr>
                <w:rFonts w:cs="Arial"/>
                <w:iCs/>
                <w:lang w:eastAsia="en-US"/>
              </w:rPr>
            </w:pPr>
          </w:p>
        </w:tc>
        <w:tc>
          <w:tcPr>
            <w:tcW w:w="567" w:type="dxa"/>
            <w:hideMark/>
          </w:tcPr>
          <w:p w14:paraId="5BBA0537" w14:textId="77777777" w:rsidR="00217913" w:rsidRPr="00C9343F" w:rsidRDefault="00217913" w:rsidP="00E62EB5">
            <w:pPr>
              <w:pStyle w:val="Sectiontext0"/>
              <w:spacing w:line="276" w:lineRule="auto"/>
              <w:rPr>
                <w:rFonts w:cs="Arial"/>
                <w:iCs/>
                <w:lang w:eastAsia="en-US"/>
              </w:rPr>
            </w:pPr>
            <w:r w:rsidRPr="00C9343F">
              <w:rPr>
                <w:rFonts w:cs="Arial"/>
                <w:iCs/>
                <w:lang w:eastAsia="en-US"/>
              </w:rPr>
              <w:t>iii.</w:t>
            </w:r>
          </w:p>
        </w:tc>
        <w:tc>
          <w:tcPr>
            <w:tcW w:w="7237" w:type="dxa"/>
            <w:hideMark/>
          </w:tcPr>
          <w:p w14:paraId="0A6705D2" w14:textId="77777777" w:rsidR="00217913" w:rsidRPr="00C9343F" w:rsidRDefault="00217913" w:rsidP="00445FEB">
            <w:pPr>
              <w:pStyle w:val="Sectiontext0"/>
              <w:spacing w:line="276" w:lineRule="auto"/>
              <w:rPr>
                <w:rFonts w:cs="Arial"/>
                <w:iCs/>
                <w:lang w:eastAsia="en-US"/>
              </w:rPr>
            </w:pPr>
            <w:r w:rsidRPr="00C9343F">
              <w:rPr>
                <w:rFonts w:cs="Arial"/>
                <w:iCs/>
                <w:lang w:eastAsia="en-US"/>
              </w:rPr>
              <w:t>They are wholly or substantially dependant on the trainee.</w:t>
            </w:r>
          </w:p>
        </w:tc>
      </w:tr>
    </w:tbl>
    <w:p w14:paraId="5C8D702F" w14:textId="77777777" w:rsidR="00DD70CC" w:rsidRPr="00C9343F" w:rsidRDefault="00DD70CC" w:rsidP="00DD70CC">
      <w:pPr>
        <w:pStyle w:val="Heading5"/>
      </w:pPr>
      <w:bookmarkStart w:id="1023" w:name="_Toc105053878"/>
      <w:bookmarkStart w:id="1024" w:name="bk1605444118Rateofentitlement"/>
      <w:bookmarkStart w:id="1025" w:name="bk145514498Rateofentitlement"/>
      <w:bookmarkStart w:id="1026" w:name="bk94143497Rateofentitlement"/>
      <w:bookmarkStart w:id="1027" w:name="bk114954497Rateofentitlement"/>
      <w:bookmarkEnd w:id="1019"/>
      <w:bookmarkEnd w:id="1020"/>
      <w:bookmarkEnd w:id="1021"/>
      <w:bookmarkEnd w:id="1022"/>
      <w:r w:rsidRPr="00C9343F">
        <w:t>4.8.6A    Applying for trainee’s dependant allowance and notification of change in expected income</w:t>
      </w:r>
      <w:bookmarkEnd w:id="1023"/>
    </w:p>
    <w:tbl>
      <w:tblPr>
        <w:tblW w:w="9367" w:type="dxa"/>
        <w:tblInd w:w="105" w:type="dxa"/>
        <w:tblLook w:val="04A0" w:firstRow="1" w:lastRow="0" w:firstColumn="1" w:lastColumn="0" w:noHBand="0" w:noVBand="1"/>
      </w:tblPr>
      <w:tblGrid>
        <w:gridCol w:w="982"/>
        <w:gridCol w:w="567"/>
        <w:gridCol w:w="7818"/>
      </w:tblGrid>
      <w:tr w:rsidR="00DD70CC" w:rsidRPr="00C9343F" w14:paraId="03760340" w14:textId="77777777" w:rsidTr="00AA4E4D">
        <w:trPr>
          <w:trHeight w:val="300"/>
        </w:trPr>
        <w:tc>
          <w:tcPr>
            <w:tcW w:w="982" w:type="dxa"/>
          </w:tcPr>
          <w:p w14:paraId="3915ABEB" w14:textId="77777777" w:rsidR="00DD70CC" w:rsidRPr="00C9343F" w:rsidRDefault="00DD70CC" w:rsidP="00AA4E4D">
            <w:pPr>
              <w:pStyle w:val="Sectiontext0"/>
              <w:jc w:val="center"/>
              <w:rPr>
                <w:lang w:eastAsia="en-US"/>
              </w:rPr>
            </w:pPr>
          </w:p>
        </w:tc>
        <w:tc>
          <w:tcPr>
            <w:tcW w:w="8385" w:type="dxa"/>
            <w:gridSpan w:val="2"/>
          </w:tcPr>
          <w:p w14:paraId="0F712A72" w14:textId="77777777" w:rsidR="00DD70CC" w:rsidRPr="00C9343F" w:rsidRDefault="00DD70CC" w:rsidP="00AA4E4D">
            <w:pPr>
              <w:pStyle w:val="Sectiontext0"/>
              <w:rPr>
                <w:lang w:val="en"/>
              </w:rPr>
            </w:pPr>
            <w:r w:rsidRPr="00C9343F">
              <w:rPr>
                <w:lang w:val="en"/>
              </w:rPr>
              <w:t xml:space="preserve">A member must use the approved form to do any of the following. </w:t>
            </w:r>
          </w:p>
        </w:tc>
      </w:tr>
      <w:tr w:rsidR="00DD70CC" w:rsidRPr="00C9343F" w14:paraId="7C7F1F33" w14:textId="77777777" w:rsidTr="00AA4E4D">
        <w:tblPrEx>
          <w:tblLook w:val="0000" w:firstRow="0" w:lastRow="0" w:firstColumn="0" w:lastColumn="0" w:noHBand="0" w:noVBand="0"/>
        </w:tblPrEx>
        <w:tc>
          <w:tcPr>
            <w:tcW w:w="982" w:type="dxa"/>
          </w:tcPr>
          <w:p w14:paraId="61676BB1" w14:textId="77777777" w:rsidR="00DD70CC" w:rsidRPr="00C9343F" w:rsidRDefault="00DD70CC" w:rsidP="00AA4E4D">
            <w:pPr>
              <w:spacing w:after="200"/>
              <w:jc w:val="center"/>
              <w:rPr>
                <w:rFonts w:eastAsia="Arial" w:cs="Arial"/>
                <w:sz w:val="20"/>
              </w:rPr>
            </w:pPr>
          </w:p>
        </w:tc>
        <w:tc>
          <w:tcPr>
            <w:tcW w:w="567" w:type="dxa"/>
          </w:tcPr>
          <w:p w14:paraId="579B3D0A" w14:textId="77777777" w:rsidR="00DD70CC" w:rsidRPr="00C9343F" w:rsidRDefault="00DD70CC" w:rsidP="00AA4E4D">
            <w:pPr>
              <w:pStyle w:val="Sectiontext0"/>
              <w:jc w:val="center"/>
              <w:rPr>
                <w:rFonts w:eastAsia="Arial" w:cs="Arial"/>
              </w:rPr>
            </w:pPr>
            <w:r w:rsidRPr="00C9343F">
              <w:rPr>
                <w:rFonts w:eastAsia="Arial" w:cs="Arial"/>
              </w:rPr>
              <w:t>a.</w:t>
            </w:r>
          </w:p>
        </w:tc>
        <w:tc>
          <w:tcPr>
            <w:tcW w:w="7818" w:type="dxa"/>
          </w:tcPr>
          <w:p w14:paraId="79819D5E" w14:textId="77777777" w:rsidR="00DD70CC" w:rsidRPr="00C9343F" w:rsidRDefault="00DD70CC" w:rsidP="00AA4E4D">
            <w:pPr>
              <w:pStyle w:val="Sectiontext0"/>
              <w:rPr>
                <w:rFonts w:eastAsia="Arial" w:cs="Arial"/>
              </w:rPr>
            </w:pPr>
            <w:r w:rsidRPr="00C9343F">
              <w:rPr>
                <w:lang w:val="en"/>
              </w:rPr>
              <w:t>Apply for the trainee’s dependant allowance under this Division.</w:t>
            </w:r>
          </w:p>
        </w:tc>
      </w:tr>
      <w:tr w:rsidR="00DD70CC" w:rsidRPr="00C9343F" w14:paraId="564B2887" w14:textId="77777777" w:rsidTr="00AA4E4D">
        <w:tblPrEx>
          <w:tblLook w:val="0000" w:firstRow="0" w:lastRow="0" w:firstColumn="0" w:lastColumn="0" w:noHBand="0" w:noVBand="0"/>
        </w:tblPrEx>
        <w:tc>
          <w:tcPr>
            <w:tcW w:w="982" w:type="dxa"/>
          </w:tcPr>
          <w:p w14:paraId="33DCD1B4" w14:textId="77777777" w:rsidR="00DD70CC" w:rsidRPr="00C9343F" w:rsidRDefault="00DD70CC" w:rsidP="00AA4E4D">
            <w:pPr>
              <w:spacing w:after="200"/>
              <w:jc w:val="center"/>
              <w:rPr>
                <w:rFonts w:eastAsia="Arial" w:cs="Arial"/>
                <w:sz w:val="20"/>
              </w:rPr>
            </w:pPr>
          </w:p>
        </w:tc>
        <w:tc>
          <w:tcPr>
            <w:tcW w:w="567" w:type="dxa"/>
          </w:tcPr>
          <w:p w14:paraId="3965A8B4" w14:textId="77777777" w:rsidR="00DD70CC" w:rsidRPr="00C9343F" w:rsidRDefault="00DD70CC" w:rsidP="00AA4E4D">
            <w:pPr>
              <w:pStyle w:val="Sectiontext0"/>
              <w:jc w:val="center"/>
              <w:rPr>
                <w:rFonts w:eastAsia="Arial" w:cs="Arial"/>
              </w:rPr>
            </w:pPr>
            <w:r w:rsidRPr="00C9343F">
              <w:rPr>
                <w:rFonts w:eastAsia="Arial" w:cs="Arial"/>
              </w:rPr>
              <w:t>b.</w:t>
            </w:r>
          </w:p>
        </w:tc>
        <w:tc>
          <w:tcPr>
            <w:tcW w:w="7818" w:type="dxa"/>
          </w:tcPr>
          <w:p w14:paraId="0C05D1B8" w14:textId="77777777" w:rsidR="00DD70CC" w:rsidRPr="00C9343F" w:rsidRDefault="00DD70CC" w:rsidP="00AA4E4D">
            <w:pPr>
              <w:pStyle w:val="Sectiontext0"/>
              <w:rPr>
                <w:lang w:val="en"/>
              </w:rPr>
            </w:pPr>
            <w:r w:rsidRPr="00C9343F">
              <w:rPr>
                <w:lang w:val="en"/>
              </w:rPr>
              <w:t>Notify of any change in an eligible dependant’s expected income.</w:t>
            </w:r>
          </w:p>
        </w:tc>
      </w:tr>
    </w:tbl>
    <w:p w14:paraId="40E0B8D8" w14:textId="21F5DD47" w:rsidR="006D1E1C" w:rsidRPr="00C9343F" w:rsidRDefault="006D1E1C" w:rsidP="00F66D98">
      <w:pPr>
        <w:pStyle w:val="Heading5"/>
      </w:pPr>
      <w:bookmarkStart w:id="1028" w:name="_Toc105053879"/>
      <w:r w:rsidRPr="00C9343F">
        <w:t>4.8.7</w:t>
      </w:r>
      <w:r w:rsidR="00D94006" w:rsidRPr="00C9343F">
        <w:t>    </w:t>
      </w:r>
      <w:r w:rsidRPr="00C9343F">
        <w:t>Rate of benefit</w:t>
      </w:r>
      <w:bookmarkEnd w:id="1028"/>
    </w:p>
    <w:tbl>
      <w:tblPr>
        <w:tblW w:w="9355" w:type="dxa"/>
        <w:tblInd w:w="113" w:type="dxa"/>
        <w:tblLayout w:type="fixed"/>
        <w:tblLook w:val="0000" w:firstRow="0" w:lastRow="0" w:firstColumn="0" w:lastColumn="0" w:noHBand="0" w:noVBand="0"/>
      </w:tblPr>
      <w:tblGrid>
        <w:gridCol w:w="992"/>
        <w:gridCol w:w="8363"/>
      </w:tblGrid>
      <w:tr w:rsidR="006D1E1C" w:rsidRPr="00C9343F" w14:paraId="1C6964AF" w14:textId="77777777" w:rsidTr="00360337">
        <w:tc>
          <w:tcPr>
            <w:tcW w:w="992" w:type="dxa"/>
          </w:tcPr>
          <w:bookmarkEnd w:id="1024"/>
          <w:bookmarkEnd w:id="1025"/>
          <w:bookmarkEnd w:id="1026"/>
          <w:bookmarkEnd w:id="1027"/>
          <w:p w14:paraId="081FFE67" w14:textId="77777777" w:rsidR="006D1E1C" w:rsidRPr="00C9343F" w:rsidRDefault="006D1E1C" w:rsidP="00F66D98">
            <w:pPr>
              <w:pStyle w:val="BlockText-Plain"/>
              <w:jc w:val="center"/>
            </w:pPr>
            <w:r w:rsidRPr="00C9343F">
              <w:t>1.</w:t>
            </w:r>
          </w:p>
        </w:tc>
        <w:tc>
          <w:tcPr>
            <w:tcW w:w="8363" w:type="dxa"/>
          </w:tcPr>
          <w:p w14:paraId="253FD209" w14:textId="0F9BCBAC" w:rsidR="006D1E1C" w:rsidRPr="00C9343F" w:rsidRDefault="006D1E1C" w:rsidP="00F66D98">
            <w:pPr>
              <w:pStyle w:val="BlockText-Plain"/>
            </w:pPr>
            <w:r w:rsidRPr="00C9343F">
              <w:t>The rate of trainee's dependant allowance is the difference between their rate of salary and the annual rate of salary for a Private in Pay Grade 1.</w:t>
            </w:r>
          </w:p>
        </w:tc>
      </w:tr>
      <w:tr w:rsidR="006D1E1C" w:rsidRPr="00C9343F" w14:paraId="08E06B0D" w14:textId="77777777" w:rsidTr="00360337">
        <w:tc>
          <w:tcPr>
            <w:tcW w:w="992" w:type="dxa"/>
          </w:tcPr>
          <w:p w14:paraId="12485702" w14:textId="77777777" w:rsidR="006D1E1C" w:rsidRPr="00C9343F" w:rsidRDefault="006D1E1C" w:rsidP="00F66D98">
            <w:pPr>
              <w:pStyle w:val="BlockText-Plain"/>
              <w:jc w:val="center"/>
            </w:pPr>
            <w:r w:rsidRPr="00C9343F">
              <w:t>2.</w:t>
            </w:r>
          </w:p>
        </w:tc>
        <w:tc>
          <w:tcPr>
            <w:tcW w:w="8363" w:type="dxa"/>
          </w:tcPr>
          <w:p w14:paraId="7C3E9B80" w14:textId="77777777" w:rsidR="006D1E1C" w:rsidRPr="00C9343F" w:rsidRDefault="006D1E1C" w:rsidP="00F66D98">
            <w:pPr>
              <w:pStyle w:val="BlockText-Plain"/>
            </w:pPr>
            <w:r w:rsidRPr="00C9343F">
              <w:t>Trainee's dependant allowance is paid fortnightly based on the annual amount.</w:t>
            </w:r>
          </w:p>
        </w:tc>
      </w:tr>
      <w:tr w:rsidR="00002924" w:rsidRPr="00C9343F" w14:paraId="17732169" w14:textId="77777777" w:rsidTr="00360337">
        <w:tc>
          <w:tcPr>
            <w:tcW w:w="992" w:type="dxa"/>
          </w:tcPr>
          <w:p w14:paraId="2477746B" w14:textId="77777777" w:rsidR="00002924" w:rsidRPr="00C9343F" w:rsidRDefault="00002924" w:rsidP="00F66D98">
            <w:pPr>
              <w:pStyle w:val="BlockText-Plain"/>
              <w:jc w:val="center"/>
            </w:pPr>
            <w:r w:rsidRPr="00C9343F">
              <w:t>3.</w:t>
            </w:r>
          </w:p>
        </w:tc>
        <w:tc>
          <w:tcPr>
            <w:tcW w:w="8363" w:type="dxa"/>
          </w:tcPr>
          <w:p w14:paraId="15B9E42C" w14:textId="6B847353" w:rsidR="00002924" w:rsidRPr="00C9343F" w:rsidRDefault="00002924" w:rsidP="00F66D98">
            <w:pPr>
              <w:pStyle w:val="BlockText-Plain"/>
            </w:pPr>
            <w:r w:rsidRPr="00C9343F">
              <w:rPr>
                <w:iCs/>
              </w:rPr>
              <w:t>If the trainee is on a flexible service determination, the trainee is to be paid trainee's dependant allowance on a pro rata basis as calculated under section 3.2.7</w:t>
            </w:r>
            <w:r w:rsidR="005E243D" w:rsidRPr="00C9343F">
              <w:rPr>
                <w:iCs/>
              </w:rPr>
              <w:t>A</w:t>
            </w:r>
            <w:r w:rsidRPr="00C9343F">
              <w:rPr>
                <w:iCs/>
              </w:rPr>
              <w:t>.</w:t>
            </w:r>
          </w:p>
        </w:tc>
      </w:tr>
    </w:tbl>
    <w:p w14:paraId="2CA6034F" w14:textId="77777777" w:rsidR="00360337" w:rsidRPr="00C9343F" w:rsidRDefault="00360337" w:rsidP="00360337">
      <w:pPr>
        <w:pStyle w:val="Heading5"/>
      </w:pPr>
      <w:bookmarkStart w:id="1029" w:name="_Toc79054662"/>
      <w:bookmarkStart w:id="1030" w:name="_Toc105053880"/>
      <w:bookmarkStart w:id="1031" w:name="bk1605444119Dualentitlement"/>
      <w:bookmarkStart w:id="1032" w:name="bk145514499Dualentitlement"/>
      <w:bookmarkStart w:id="1033" w:name="bk94143498Dualentitlement"/>
      <w:bookmarkStart w:id="1034" w:name="bk114954498Dualentitlement"/>
      <w:r w:rsidRPr="00C9343F">
        <w:t>4.8.8    Dual entitlement</w:t>
      </w:r>
      <w:bookmarkEnd w:id="1029"/>
      <w:bookmarkEnd w:id="1030"/>
    </w:p>
    <w:tbl>
      <w:tblPr>
        <w:tblW w:w="9360" w:type="dxa"/>
        <w:tblInd w:w="113" w:type="dxa"/>
        <w:tblLayout w:type="fixed"/>
        <w:tblLook w:val="0000" w:firstRow="0" w:lastRow="0" w:firstColumn="0" w:lastColumn="0" w:noHBand="0" w:noVBand="0"/>
      </w:tblPr>
      <w:tblGrid>
        <w:gridCol w:w="992"/>
        <w:gridCol w:w="567"/>
        <w:gridCol w:w="7801"/>
      </w:tblGrid>
      <w:tr w:rsidR="00360337" w:rsidRPr="00C9343F" w14:paraId="6FD081E7" w14:textId="77777777" w:rsidTr="00445FEB">
        <w:tc>
          <w:tcPr>
            <w:tcW w:w="992" w:type="dxa"/>
          </w:tcPr>
          <w:p w14:paraId="77D9BB79" w14:textId="77777777" w:rsidR="00360337" w:rsidRPr="00C9343F" w:rsidRDefault="00360337" w:rsidP="00445FEB">
            <w:pPr>
              <w:pStyle w:val="BlockText-Plain"/>
              <w:jc w:val="center"/>
            </w:pPr>
          </w:p>
        </w:tc>
        <w:tc>
          <w:tcPr>
            <w:tcW w:w="8368" w:type="dxa"/>
            <w:gridSpan w:val="2"/>
          </w:tcPr>
          <w:p w14:paraId="76F9FFA0" w14:textId="77777777" w:rsidR="00360337" w:rsidRPr="00C9343F" w:rsidRDefault="00360337" w:rsidP="00445FEB">
            <w:pPr>
              <w:pStyle w:val="BlockText-Plain"/>
            </w:pPr>
            <w:r w:rsidRPr="00C9343F">
              <w:t>If the trainee's dependant is a member and is also eligible for the trainee's dependant allowance, the rate for each member is one of the following.</w:t>
            </w:r>
          </w:p>
        </w:tc>
      </w:tr>
      <w:tr w:rsidR="00360337" w:rsidRPr="00C9343F" w14:paraId="05105D53" w14:textId="77777777" w:rsidTr="00445FEB">
        <w:tc>
          <w:tcPr>
            <w:tcW w:w="992" w:type="dxa"/>
          </w:tcPr>
          <w:p w14:paraId="2D146099" w14:textId="77777777" w:rsidR="00360337" w:rsidRPr="00C9343F" w:rsidRDefault="00360337" w:rsidP="00445FEB">
            <w:pPr>
              <w:pStyle w:val="Sectiontext0"/>
              <w:jc w:val="center"/>
            </w:pPr>
          </w:p>
        </w:tc>
        <w:tc>
          <w:tcPr>
            <w:tcW w:w="567" w:type="dxa"/>
          </w:tcPr>
          <w:p w14:paraId="01CA93CB" w14:textId="77777777" w:rsidR="00360337" w:rsidRPr="00C9343F" w:rsidRDefault="00360337" w:rsidP="00445FEB">
            <w:pPr>
              <w:pStyle w:val="Sectiontext0"/>
              <w:jc w:val="center"/>
            </w:pPr>
            <w:r w:rsidRPr="00C9343F">
              <w:t>a.</w:t>
            </w:r>
          </w:p>
        </w:tc>
        <w:tc>
          <w:tcPr>
            <w:tcW w:w="7801" w:type="dxa"/>
          </w:tcPr>
          <w:p w14:paraId="53948DCA" w14:textId="77777777" w:rsidR="00360337" w:rsidRPr="00C9343F" w:rsidRDefault="00360337" w:rsidP="00445FEB">
            <w:pPr>
              <w:pStyle w:val="Sectiontext0"/>
            </w:pPr>
            <w:r w:rsidRPr="00C9343F">
              <w:t xml:space="preserve">If the trainee and dependant have the same rate of salary </w:t>
            </w:r>
            <w:r w:rsidRPr="00C9343F">
              <w:rPr>
                <w:rFonts w:cs="Arial"/>
              </w:rPr>
              <w:t>—</w:t>
            </w:r>
            <w:r w:rsidRPr="00C9343F">
              <w:t xml:space="preserve"> half the difference between their individual rate and the salary of a Private in Pay Grade 1.</w:t>
            </w:r>
          </w:p>
        </w:tc>
      </w:tr>
      <w:tr w:rsidR="00360337" w:rsidRPr="00C9343F" w14:paraId="0908A794" w14:textId="77777777" w:rsidTr="00445FEB">
        <w:tc>
          <w:tcPr>
            <w:tcW w:w="992" w:type="dxa"/>
          </w:tcPr>
          <w:p w14:paraId="5FD8E296" w14:textId="77777777" w:rsidR="00360337" w:rsidRPr="00C9343F" w:rsidRDefault="00360337" w:rsidP="00445FEB">
            <w:pPr>
              <w:pStyle w:val="Sectiontext0"/>
              <w:jc w:val="center"/>
            </w:pPr>
          </w:p>
        </w:tc>
        <w:tc>
          <w:tcPr>
            <w:tcW w:w="567" w:type="dxa"/>
          </w:tcPr>
          <w:p w14:paraId="1E797F7E" w14:textId="77777777" w:rsidR="00360337" w:rsidRPr="00C9343F" w:rsidRDefault="00360337" w:rsidP="00445FEB">
            <w:pPr>
              <w:pStyle w:val="Sectiontext0"/>
              <w:jc w:val="center"/>
            </w:pPr>
            <w:r w:rsidRPr="00C9343F">
              <w:t>b.</w:t>
            </w:r>
          </w:p>
        </w:tc>
        <w:tc>
          <w:tcPr>
            <w:tcW w:w="7801" w:type="dxa"/>
          </w:tcPr>
          <w:p w14:paraId="361CC6F0" w14:textId="77777777" w:rsidR="00360337" w:rsidRPr="00C9343F" w:rsidRDefault="00360337" w:rsidP="00445FEB">
            <w:pPr>
              <w:pStyle w:val="Sectiontext0"/>
            </w:pPr>
            <w:r w:rsidRPr="00C9343F">
              <w:t xml:space="preserve">If the trainee and dependant have different rates of salary </w:t>
            </w:r>
            <w:r w:rsidRPr="00C9343F">
              <w:rPr>
                <w:rFonts w:cs="Arial"/>
              </w:rPr>
              <w:t>—</w:t>
            </w:r>
            <w:r w:rsidRPr="00C9343F">
              <w:t xml:space="preserve"> half the difference between the lower individual rate and the salary of a Private in Pay Grade 1.</w:t>
            </w:r>
          </w:p>
        </w:tc>
      </w:tr>
    </w:tbl>
    <w:p w14:paraId="629A7990" w14:textId="07B682C9" w:rsidR="006D1E1C" w:rsidRPr="00C9343F" w:rsidRDefault="006D1E1C" w:rsidP="00360337">
      <w:pPr>
        <w:pStyle w:val="Heading4"/>
        <w:pageBreakBefore/>
      </w:pPr>
      <w:bookmarkStart w:id="1035" w:name="_Toc105053881"/>
      <w:bookmarkEnd w:id="1031"/>
      <w:bookmarkEnd w:id="1032"/>
      <w:bookmarkEnd w:id="1033"/>
      <w:bookmarkEnd w:id="1034"/>
      <w:r w:rsidRPr="00C9343F">
        <w:t>Division 2: Medical residency – additional salary</w:t>
      </w:r>
      <w:bookmarkEnd w:id="1035"/>
    </w:p>
    <w:p w14:paraId="5B36689F" w14:textId="6F92B537" w:rsidR="006D1E1C" w:rsidRPr="00C9343F" w:rsidRDefault="006D1E1C" w:rsidP="00F66D98">
      <w:pPr>
        <w:pStyle w:val="Heading5"/>
      </w:pPr>
      <w:bookmarkStart w:id="1036" w:name="_Toc105053882"/>
      <w:bookmarkStart w:id="1037" w:name="bk50032PM41110Purpose"/>
      <w:bookmarkStart w:id="1038" w:name="bk14574441110Purpose"/>
      <w:bookmarkStart w:id="1039" w:name="bk14582341110Purpose"/>
      <w:bookmarkStart w:id="1040" w:name="bk1456004910Purpose"/>
      <w:bookmarkStart w:id="1041" w:name="bk94155499Purpose"/>
      <w:bookmarkStart w:id="1042" w:name="bk115000499Purpose"/>
      <w:r w:rsidRPr="00C9343F">
        <w:t>4.8.9</w:t>
      </w:r>
      <w:r w:rsidR="00D94006" w:rsidRPr="00C9343F">
        <w:t>    </w:t>
      </w:r>
      <w:r w:rsidRPr="00C9343F">
        <w:t>Purpose</w:t>
      </w:r>
      <w:bookmarkEnd w:id="1036"/>
    </w:p>
    <w:tbl>
      <w:tblPr>
        <w:tblW w:w="0" w:type="auto"/>
        <w:tblInd w:w="113" w:type="dxa"/>
        <w:tblLayout w:type="fixed"/>
        <w:tblLook w:val="0000" w:firstRow="0" w:lastRow="0" w:firstColumn="0" w:lastColumn="0" w:noHBand="0" w:noVBand="0"/>
      </w:tblPr>
      <w:tblGrid>
        <w:gridCol w:w="992"/>
        <w:gridCol w:w="8363"/>
      </w:tblGrid>
      <w:tr w:rsidR="006D1E1C" w:rsidRPr="00C9343F" w14:paraId="199B822B" w14:textId="77777777" w:rsidTr="006D1E1C">
        <w:tc>
          <w:tcPr>
            <w:tcW w:w="992" w:type="dxa"/>
          </w:tcPr>
          <w:bookmarkEnd w:id="1037"/>
          <w:bookmarkEnd w:id="1038"/>
          <w:bookmarkEnd w:id="1039"/>
          <w:bookmarkEnd w:id="1040"/>
          <w:bookmarkEnd w:id="1041"/>
          <w:bookmarkEnd w:id="1042"/>
          <w:p w14:paraId="51587766" w14:textId="77777777" w:rsidR="006D1E1C" w:rsidRPr="00C9343F" w:rsidRDefault="006D1E1C" w:rsidP="00F66D98">
            <w:pPr>
              <w:pStyle w:val="BlockText-Plain"/>
              <w:jc w:val="center"/>
            </w:pPr>
            <w:r w:rsidRPr="00C9343F">
              <w:t>1.</w:t>
            </w:r>
          </w:p>
        </w:tc>
        <w:tc>
          <w:tcPr>
            <w:tcW w:w="8363" w:type="dxa"/>
          </w:tcPr>
          <w:p w14:paraId="49E96383" w14:textId="77777777" w:rsidR="006D1E1C" w:rsidRPr="00C9343F" w:rsidRDefault="006D1E1C" w:rsidP="00F66D98">
            <w:pPr>
              <w:pStyle w:val="BlockText-Plain"/>
            </w:pPr>
            <w:r w:rsidRPr="00C9343F">
              <w:t xml:space="preserve">This Division supplements the salary for a member who works as a resident medical officer at a civilian hospital. </w:t>
            </w:r>
          </w:p>
        </w:tc>
      </w:tr>
      <w:tr w:rsidR="006D1E1C" w:rsidRPr="00C9343F" w14:paraId="74E03267" w14:textId="77777777" w:rsidTr="006D1E1C">
        <w:tc>
          <w:tcPr>
            <w:tcW w:w="992" w:type="dxa"/>
          </w:tcPr>
          <w:p w14:paraId="7DDD5C79" w14:textId="77777777" w:rsidR="006D1E1C" w:rsidRPr="00C9343F" w:rsidRDefault="006D1E1C" w:rsidP="00F66D98">
            <w:pPr>
              <w:pStyle w:val="BlockText-Plain"/>
              <w:jc w:val="center"/>
            </w:pPr>
            <w:r w:rsidRPr="00C9343F">
              <w:t>2.</w:t>
            </w:r>
          </w:p>
        </w:tc>
        <w:tc>
          <w:tcPr>
            <w:tcW w:w="8363" w:type="dxa"/>
          </w:tcPr>
          <w:p w14:paraId="30317848" w14:textId="77777777" w:rsidR="006D1E1C" w:rsidRPr="00C9343F" w:rsidRDefault="006D1E1C" w:rsidP="00F66D98">
            <w:pPr>
              <w:pStyle w:val="BlockText-Plain"/>
            </w:pPr>
            <w:r w:rsidRPr="00C9343F">
              <w:t>A member is paid additional salary to equal the salary and allowances they would have received if they had been a civilian resident medical officer at the hospital.</w:t>
            </w:r>
          </w:p>
        </w:tc>
      </w:tr>
    </w:tbl>
    <w:p w14:paraId="57FA87DC" w14:textId="33DAD0EE" w:rsidR="006D1E1C" w:rsidRPr="00C9343F" w:rsidRDefault="006D1E1C" w:rsidP="00F66D98">
      <w:pPr>
        <w:pStyle w:val="Heading5"/>
      </w:pPr>
      <w:bookmarkStart w:id="1043" w:name="_Toc105053883"/>
      <w:bookmarkStart w:id="1044" w:name="bk50032PM41111MembersthisDivisionapplie"/>
      <w:bookmarkStart w:id="1045" w:name="bk14574441111MembersthisDivisionapplies"/>
      <w:bookmarkStart w:id="1046" w:name="bk14582341111MembersthisDivisionapplies"/>
      <w:bookmarkStart w:id="1047" w:name="bk1456004911MembersthisDivisionappliest"/>
      <w:bookmarkStart w:id="1048" w:name="bk941554910MembersthisDivisionappliesto"/>
      <w:bookmarkStart w:id="1049" w:name="bk1150004910MembersthisDivisionappliest"/>
      <w:r w:rsidRPr="00C9343F">
        <w:t>4.8.10</w:t>
      </w:r>
      <w:r w:rsidR="00D94006" w:rsidRPr="00C9343F">
        <w:t>    </w:t>
      </w:r>
      <w:r w:rsidRPr="00C9343F">
        <w:t>Members this Division applies to</w:t>
      </w:r>
      <w:bookmarkEnd w:id="1043"/>
    </w:p>
    <w:bookmarkEnd w:id="1044"/>
    <w:bookmarkEnd w:id="1045"/>
    <w:bookmarkEnd w:id="1046"/>
    <w:bookmarkEnd w:id="1047"/>
    <w:bookmarkEnd w:id="1048"/>
    <w:bookmarkEnd w:id="1049"/>
    <w:tbl>
      <w:tblPr>
        <w:tblW w:w="9355" w:type="dxa"/>
        <w:tblInd w:w="113" w:type="dxa"/>
        <w:tblLayout w:type="fixed"/>
        <w:tblLook w:val="0000" w:firstRow="0" w:lastRow="0" w:firstColumn="0" w:lastColumn="0" w:noHBand="0" w:noVBand="0"/>
      </w:tblPr>
      <w:tblGrid>
        <w:gridCol w:w="992"/>
        <w:gridCol w:w="8363"/>
      </w:tblGrid>
      <w:tr w:rsidR="006D1E1C" w:rsidRPr="00C9343F" w14:paraId="370A076F" w14:textId="77777777" w:rsidTr="004E5563">
        <w:tc>
          <w:tcPr>
            <w:tcW w:w="992" w:type="dxa"/>
          </w:tcPr>
          <w:p w14:paraId="413AF93C" w14:textId="77777777" w:rsidR="006D1E1C" w:rsidRPr="00C9343F" w:rsidRDefault="006D1E1C" w:rsidP="00F66D98">
            <w:pPr>
              <w:pStyle w:val="BlockText-PlainNoSpacing"/>
              <w:jc w:val="center"/>
            </w:pPr>
          </w:p>
        </w:tc>
        <w:tc>
          <w:tcPr>
            <w:tcW w:w="8363" w:type="dxa"/>
          </w:tcPr>
          <w:p w14:paraId="0E78455F" w14:textId="77777777" w:rsidR="006D1E1C" w:rsidRPr="00C9343F" w:rsidRDefault="006D1E1C" w:rsidP="00F66D98">
            <w:pPr>
              <w:pStyle w:val="BlockText-Plain"/>
            </w:pPr>
            <w:r w:rsidRPr="00C9343F">
              <w:t>This Division applies to a member who undertakes a period of compulsory residency at a civilian hospital with the approval of the CDF.</w:t>
            </w:r>
          </w:p>
        </w:tc>
      </w:tr>
    </w:tbl>
    <w:p w14:paraId="72E08FD1" w14:textId="3CC695EE" w:rsidR="004E5563" w:rsidRPr="00C9343F" w:rsidRDefault="004E5563" w:rsidP="00F66D98">
      <w:pPr>
        <w:pStyle w:val="Heading5"/>
      </w:pPr>
      <w:bookmarkStart w:id="1050" w:name="_Toc105053884"/>
      <w:bookmarkStart w:id="1051" w:name="bk50032PM41113Paymentforaccruedleave"/>
      <w:bookmarkStart w:id="1052" w:name="bk14574441113Paymentforaccruedleave"/>
      <w:bookmarkStart w:id="1053" w:name="bk14582341114Paymentforaccruedleave"/>
      <w:bookmarkStart w:id="1054" w:name="bk1456004914Paymentforaccruedleave"/>
      <w:bookmarkStart w:id="1055" w:name="bk941554913Paymentforaccruedleave"/>
      <w:bookmarkStart w:id="1056" w:name="bk1150004913Paymentforaccruedleave"/>
      <w:r w:rsidRPr="00C9343F">
        <w:t>4.8.11</w:t>
      </w:r>
      <w:r w:rsidR="00D94006" w:rsidRPr="00C9343F">
        <w:t>    </w:t>
      </w:r>
      <w:r w:rsidRPr="00C9343F">
        <w:t>Rate of additional payment</w:t>
      </w:r>
      <w:bookmarkEnd w:id="1050"/>
    </w:p>
    <w:tbl>
      <w:tblPr>
        <w:tblW w:w="9359" w:type="dxa"/>
        <w:tblInd w:w="113" w:type="dxa"/>
        <w:tblLayout w:type="fixed"/>
        <w:tblLook w:val="0000" w:firstRow="0" w:lastRow="0" w:firstColumn="0" w:lastColumn="0" w:noHBand="0" w:noVBand="0"/>
      </w:tblPr>
      <w:tblGrid>
        <w:gridCol w:w="992"/>
        <w:gridCol w:w="563"/>
        <w:gridCol w:w="7804"/>
      </w:tblGrid>
      <w:tr w:rsidR="004E5563" w:rsidRPr="00C9343F" w14:paraId="281789B7" w14:textId="77777777" w:rsidTr="0027112A">
        <w:tc>
          <w:tcPr>
            <w:tcW w:w="992" w:type="dxa"/>
          </w:tcPr>
          <w:p w14:paraId="2BFA3971" w14:textId="77777777" w:rsidR="004E5563" w:rsidRPr="00C9343F" w:rsidRDefault="004E5563" w:rsidP="00F66D98">
            <w:pPr>
              <w:pStyle w:val="Sectiontext0"/>
            </w:pPr>
          </w:p>
        </w:tc>
        <w:tc>
          <w:tcPr>
            <w:tcW w:w="8367" w:type="dxa"/>
            <w:gridSpan w:val="2"/>
          </w:tcPr>
          <w:p w14:paraId="397A68E9" w14:textId="77777777" w:rsidR="004E5563" w:rsidRPr="00C9343F" w:rsidRDefault="004E5563" w:rsidP="00F66D98">
            <w:pPr>
              <w:pStyle w:val="Sectiontext0"/>
            </w:pPr>
            <w:r w:rsidRPr="00C9343F">
              <w:t>A member is eligible for an additional payment at the end of each 3-month period calculated using the following formula.</w:t>
            </w:r>
          </w:p>
        </w:tc>
      </w:tr>
      <w:tr w:rsidR="004E5563" w:rsidRPr="00C9343F" w14:paraId="24904286" w14:textId="77777777" w:rsidTr="0027112A">
        <w:tc>
          <w:tcPr>
            <w:tcW w:w="992" w:type="dxa"/>
          </w:tcPr>
          <w:p w14:paraId="2A0AE781" w14:textId="77777777" w:rsidR="004E5563" w:rsidRPr="00C9343F" w:rsidRDefault="004E5563" w:rsidP="00F66D98">
            <w:pPr>
              <w:pStyle w:val="Sectiontext0"/>
              <w:jc w:val="center"/>
            </w:pPr>
          </w:p>
        </w:tc>
        <w:tc>
          <w:tcPr>
            <w:tcW w:w="8367" w:type="dxa"/>
            <w:gridSpan w:val="2"/>
          </w:tcPr>
          <w:p w14:paraId="7F601846" w14:textId="77777777" w:rsidR="004E5563" w:rsidRPr="00C9343F" w:rsidRDefault="004E5563" w:rsidP="00F66D98">
            <w:pPr>
              <w:pStyle w:val="Sectiontext0"/>
              <w:jc w:val="center"/>
              <w:rPr>
                <w:b/>
                <w:bCs/>
              </w:rPr>
            </w:pPr>
            <m:oMathPara>
              <m:oMath>
                <m:r>
                  <m:rPr>
                    <m:sty m:val="bi"/>
                  </m:rPr>
                  <w:rPr>
                    <w:rFonts w:ascii="Cambria Math" w:hAnsi="Cambria Math"/>
                  </w:rPr>
                  <m:t>additional payment=</m:t>
                </m:r>
                <m:f>
                  <m:fPr>
                    <m:ctrlPr>
                      <w:rPr>
                        <w:rFonts w:ascii="Cambria Math" w:hAnsi="Cambria Math"/>
                        <w:b/>
                        <w:i/>
                      </w:rPr>
                    </m:ctrlPr>
                  </m:fPr>
                  <m:num>
                    <m:r>
                      <m:rPr>
                        <m:sty m:val="bi"/>
                      </m:rPr>
                      <w:rPr>
                        <w:rFonts w:ascii="Cambria Math" w:hAnsi="Cambria Math"/>
                      </w:rPr>
                      <m:t>A-(B+C)</m:t>
                    </m:r>
                  </m:num>
                  <m:den>
                    <m:r>
                      <m:rPr>
                        <m:sty m:val="bi"/>
                      </m:rPr>
                      <w:rPr>
                        <w:rFonts w:ascii="Cambria Math" w:hAnsi="Cambria Math"/>
                      </w:rPr>
                      <m:t>4</m:t>
                    </m:r>
                  </m:den>
                </m:f>
              </m:oMath>
            </m:oMathPara>
          </w:p>
        </w:tc>
      </w:tr>
      <w:tr w:rsidR="004E5563" w:rsidRPr="00C9343F" w14:paraId="28F72488" w14:textId="77777777" w:rsidTr="0027112A">
        <w:tc>
          <w:tcPr>
            <w:tcW w:w="992" w:type="dxa"/>
          </w:tcPr>
          <w:p w14:paraId="4D54C35B" w14:textId="77777777" w:rsidR="004E5563" w:rsidRPr="00C9343F" w:rsidRDefault="004E5563" w:rsidP="00F66D98">
            <w:pPr>
              <w:pStyle w:val="Sectiontext0"/>
              <w:jc w:val="center"/>
            </w:pPr>
          </w:p>
        </w:tc>
        <w:tc>
          <w:tcPr>
            <w:tcW w:w="8367" w:type="dxa"/>
            <w:gridSpan w:val="2"/>
          </w:tcPr>
          <w:p w14:paraId="47D74822" w14:textId="77777777" w:rsidR="004E5563" w:rsidRPr="00C9343F" w:rsidRDefault="004E5563" w:rsidP="00F66D98">
            <w:pPr>
              <w:pStyle w:val="Sectiontext0"/>
            </w:pPr>
            <w:r w:rsidRPr="00C9343F">
              <w:t>Where:</w:t>
            </w:r>
          </w:p>
        </w:tc>
      </w:tr>
      <w:tr w:rsidR="004E5563" w:rsidRPr="00C9343F" w14:paraId="06EE80A0" w14:textId="77777777" w:rsidTr="0027112A">
        <w:tblPrEx>
          <w:tblLook w:val="04A0" w:firstRow="1" w:lastRow="0" w:firstColumn="1" w:lastColumn="0" w:noHBand="0" w:noVBand="1"/>
        </w:tblPrEx>
        <w:tc>
          <w:tcPr>
            <w:tcW w:w="992" w:type="dxa"/>
          </w:tcPr>
          <w:p w14:paraId="2C4149A1" w14:textId="77777777" w:rsidR="004E5563" w:rsidRPr="00C9343F" w:rsidRDefault="004E5563" w:rsidP="00F66D98">
            <w:pPr>
              <w:pStyle w:val="Sectiontext0"/>
              <w:jc w:val="center"/>
              <w:rPr>
                <w:lang w:eastAsia="en-US"/>
              </w:rPr>
            </w:pPr>
          </w:p>
        </w:tc>
        <w:tc>
          <w:tcPr>
            <w:tcW w:w="563" w:type="dxa"/>
          </w:tcPr>
          <w:p w14:paraId="5FB25F42" w14:textId="77777777" w:rsidR="004E5563" w:rsidRPr="00C9343F" w:rsidRDefault="004E5563" w:rsidP="00F66D98">
            <w:pPr>
              <w:pStyle w:val="Sectiontext0"/>
              <w:jc w:val="center"/>
              <w:rPr>
                <w:rFonts w:cs="Arial"/>
                <w:b/>
                <w:bCs/>
                <w:lang w:eastAsia="en-US"/>
              </w:rPr>
            </w:pPr>
            <w:r w:rsidRPr="00C9343F">
              <w:rPr>
                <w:rFonts w:cs="Arial"/>
                <w:b/>
                <w:bCs/>
                <w:lang w:eastAsia="en-US"/>
              </w:rPr>
              <w:t>A</w:t>
            </w:r>
          </w:p>
        </w:tc>
        <w:tc>
          <w:tcPr>
            <w:tcW w:w="7804" w:type="dxa"/>
          </w:tcPr>
          <w:p w14:paraId="58FD428A" w14:textId="77777777" w:rsidR="004E5563" w:rsidRPr="00C9343F" w:rsidRDefault="004E5563" w:rsidP="00F66D98">
            <w:pPr>
              <w:pStyle w:val="Sectiontext0"/>
              <w:rPr>
                <w:rFonts w:cs="Arial"/>
                <w:lang w:eastAsia="en-US"/>
              </w:rPr>
            </w:pPr>
            <w:r w:rsidRPr="00C9343F">
              <w:rPr>
                <w:rFonts w:cs="Arial"/>
                <w:lang w:eastAsia="en-US"/>
              </w:rPr>
              <w:t>The annual salary the member would have received if they were paid by the hospital.</w:t>
            </w:r>
          </w:p>
        </w:tc>
      </w:tr>
      <w:tr w:rsidR="004E5563" w:rsidRPr="00C9343F" w14:paraId="5BA8757D" w14:textId="77777777" w:rsidTr="0027112A">
        <w:tblPrEx>
          <w:tblLook w:val="04A0" w:firstRow="1" w:lastRow="0" w:firstColumn="1" w:lastColumn="0" w:noHBand="0" w:noVBand="1"/>
        </w:tblPrEx>
        <w:tc>
          <w:tcPr>
            <w:tcW w:w="992" w:type="dxa"/>
          </w:tcPr>
          <w:p w14:paraId="06C94176" w14:textId="77777777" w:rsidR="004E5563" w:rsidRPr="00C9343F" w:rsidRDefault="004E5563" w:rsidP="00F66D98">
            <w:pPr>
              <w:pStyle w:val="Sectiontext0"/>
              <w:jc w:val="center"/>
              <w:rPr>
                <w:lang w:eastAsia="en-US"/>
              </w:rPr>
            </w:pPr>
          </w:p>
        </w:tc>
        <w:tc>
          <w:tcPr>
            <w:tcW w:w="563" w:type="dxa"/>
          </w:tcPr>
          <w:p w14:paraId="71E0FC58" w14:textId="77777777" w:rsidR="004E5563" w:rsidRPr="00C9343F" w:rsidRDefault="004E5563" w:rsidP="00F66D98">
            <w:pPr>
              <w:pStyle w:val="Sectiontext0"/>
              <w:jc w:val="center"/>
              <w:rPr>
                <w:rFonts w:cs="Arial"/>
                <w:b/>
                <w:bCs/>
                <w:lang w:eastAsia="en-US"/>
              </w:rPr>
            </w:pPr>
            <w:r w:rsidRPr="00C9343F">
              <w:rPr>
                <w:rFonts w:cs="Arial"/>
                <w:b/>
                <w:bCs/>
                <w:lang w:eastAsia="en-US"/>
              </w:rPr>
              <w:t>B</w:t>
            </w:r>
          </w:p>
        </w:tc>
        <w:tc>
          <w:tcPr>
            <w:tcW w:w="7804" w:type="dxa"/>
          </w:tcPr>
          <w:p w14:paraId="5F3DA9D0" w14:textId="77777777" w:rsidR="004E5563" w:rsidRPr="00C9343F" w:rsidRDefault="004E5563" w:rsidP="00F66D98">
            <w:pPr>
              <w:pStyle w:val="Sectiontext0"/>
              <w:rPr>
                <w:rFonts w:cs="Arial"/>
                <w:lang w:eastAsia="en-US"/>
              </w:rPr>
            </w:pPr>
            <w:r w:rsidRPr="00C9343F">
              <w:rPr>
                <w:rFonts w:cs="Arial"/>
                <w:lang w:eastAsia="en-US"/>
              </w:rPr>
              <w:t>The member’s annual salary.</w:t>
            </w:r>
          </w:p>
        </w:tc>
      </w:tr>
      <w:tr w:rsidR="004E5563" w:rsidRPr="00C9343F" w14:paraId="34FF2066" w14:textId="77777777" w:rsidTr="0027112A">
        <w:tblPrEx>
          <w:tblLook w:val="04A0" w:firstRow="1" w:lastRow="0" w:firstColumn="1" w:lastColumn="0" w:noHBand="0" w:noVBand="1"/>
        </w:tblPrEx>
        <w:tc>
          <w:tcPr>
            <w:tcW w:w="992" w:type="dxa"/>
          </w:tcPr>
          <w:p w14:paraId="68B02FF3" w14:textId="77777777" w:rsidR="004E5563" w:rsidRPr="00C9343F" w:rsidRDefault="004E5563" w:rsidP="00F66D98">
            <w:pPr>
              <w:pStyle w:val="Sectiontext0"/>
              <w:jc w:val="center"/>
              <w:rPr>
                <w:lang w:eastAsia="en-US"/>
              </w:rPr>
            </w:pPr>
          </w:p>
        </w:tc>
        <w:tc>
          <w:tcPr>
            <w:tcW w:w="563" w:type="dxa"/>
          </w:tcPr>
          <w:p w14:paraId="4A2C5A90" w14:textId="77777777" w:rsidR="004E5563" w:rsidRPr="00C9343F" w:rsidRDefault="004E5563" w:rsidP="00F66D98">
            <w:pPr>
              <w:pStyle w:val="Sectiontext0"/>
              <w:jc w:val="center"/>
              <w:rPr>
                <w:rFonts w:cs="Arial"/>
                <w:b/>
                <w:bCs/>
                <w:lang w:eastAsia="en-US"/>
              </w:rPr>
            </w:pPr>
            <w:r w:rsidRPr="00C9343F">
              <w:rPr>
                <w:rFonts w:cs="Arial"/>
                <w:b/>
                <w:bCs/>
                <w:lang w:eastAsia="en-US"/>
              </w:rPr>
              <w:t>C</w:t>
            </w:r>
          </w:p>
        </w:tc>
        <w:tc>
          <w:tcPr>
            <w:tcW w:w="7804" w:type="dxa"/>
          </w:tcPr>
          <w:p w14:paraId="229B25A0" w14:textId="77777777" w:rsidR="004E5563" w:rsidRPr="00C9343F" w:rsidRDefault="004E5563" w:rsidP="00F66D98">
            <w:pPr>
              <w:pStyle w:val="Sectiontext0"/>
              <w:rPr>
                <w:rFonts w:cs="Arial"/>
                <w:lang w:eastAsia="en-US"/>
              </w:rPr>
            </w:pPr>
            <w:r w:rsidRPr="00C9343F">
              <w:rPr>
                <w:rFonts w:cs="Arial"/>
                <w:lang w:eastAsia="en-US"/>
              </w:rPr>
              <w:t>The annual rate of district allowance payable to the member, if applicable.</w:t>
            </w:r>
          </w:p>
        </w:tc>
      </w:tr>
    </w:tbl>
    <w:p w14:paraId="168B6C2A" w14:textId="520A759F" w:rsidR="006D1E1C" w:rsidRPr="00C9343F" w:rsidRDefault="006D1E1C" w:rsidP="00F66D98">
      <w:pPr>
        <w:pStyle w:val="Heading5"/>
      </w:pPr>
      <w:bookmarkStart w:id="1057" w:name="_Toc105053885"/>
      <w:r w:rsidRPr="00C9343F">
        <w:t>4.8.12</w:t>
      </w:r>
      <w:r w:rsidR="00D94006" w:rsidRPr="00C9343F">
        <w:t>    </w:t>
      </w:r>
      <w:r w:rsidRPr="00C9343F">
        <w:t>Payment for accrued leave</w:t>
      </w:r>
      <w:bookmarkEnd w:id="1057"/>
    </w:p>
    <w:bookmarkEnd w:id="1051"/>
    <w:bookmarkEnd w:id="1052"/>
    <w:bookmarkEnd w:id="1053"/>
    <w:bookmarkEnd w:id="1054"/>
    <w:bookmarkEnd w:id="1055"/>
    <w:bookmarkEnd w:id="1056"/>
    <w:tbl>
      <w:tblPr>
        <w:tblW w:w="0" w:type="auto"/>
        <w:tblInd w:w="113" w:type="dxa"/>
        <w:tblLayout w:type="fixed"/>
        <w:tblLook w:val="0000" w:firstRow="0" w:lastRow="0" w:firstColumn="0" w:lastColumn="0" w:noHBand="0" w:noVBand="0"/>
      </w:tblPr>
      <w:tblGrid>
        <w:gridCol w:w="992"/>
        <w:gridCol w:w="8363"/>
      </w:tblGrid>
      <w:tr w:rsidR="006D1E1C" w:rsidRPr="00C9343F" w14:paraId="3A96E645" w14:textId="77777777" w:rsidTr="006D1E1C">
        <w:tc>
          <w:tcPr>
            <w:tcW w:w="992" w:type="dxa"/>
          </w:tcPr>
          <w:p w14:paraId="7DC150E9" w14:textId="77777777" w:rsidR="006D1E1C" w:rsidRPr="00C9343F" w:rsidRDefault="006D1E1C" w:rsidP="00F66D98">
            <w:pPr>
              <w:pStyle w:val="BlockText-Plain"/>
              <w:jc w:val="center"/>
            </w:pPr>
          </w:p>
        </w:tc>
        <w:tc>
          <w:tcPr>
            <w:tcW w:w="8363" w:type="dxa"/>
          </w:tcPr>
          <w:p w14:paraId="7C49E9AF" w14:textId="77777777" w:rsidR="006D1E1C" w:rsidRPr="00C9343F" w:rsidRDefault="006D1E1C" w:rsidP="00F66D98">
            <w:pPr>
              <w:pStyle w:val="BlockText-Plain"/>
            </w:pPr>
            <w:r w:rsidRPr="00C9343F">
              <w:t>The member is eligible for payment for any leave accrued but not granted during their period of compulsory residency, less any payment instead of leave made by the hospital.</w:t>
            </w:r>
          </w:p>
        </w:tc>
      </w:tr>
    </w:tbl>
    <w:p w14:paraId="4A0CBD1B" w14:textId="6B545D7D" w:rsidR="006D1E1C" w:rsidRPr="00C9343F" w:rsidRDefault="006D1E1C" w:rsidP="00F66D98">
      <w:pPr>
        <w:pStyle w:val="Heading5"/>
      </w:pPr>
      <w:bookmarkStart w:id="1058" w:name="_Toc105053886"/>
      <w:bookmarkStart w:id="1059" w:name="bk50032PM41114Conditionsofentitlement"/>
      <w:bookmarkStart w:id="1060" w:name="bk14574441114Conditionsofentitlement"/>
      <w:bookmarkStart w:id="1061" w:name="bk14582341115Conditionsofentitlement"/>
      <w:bookmarkStart w:id="1062" w:name="bk1456004915Conditionsofentitlement"/>
      <w:bookmarkStart w:id="1063" w:name="bk941554914Conditionsofentitlement"/>
      <w:bookmarkStart w:id="1064" w:name="bk1150004914Conditionsofentitlement"/>
      <w:r w:rsidRPr="00C9343F">
        <w:t>4.8.13</w:t>
      </w:r>
      <w:r w:rsidR="00D94006" w:rsidRPr="00C9343F">
        <w:t>    </w:t>
      </w:r>
      <w:r w:rsidRPr="00C9343F">
        <w:t>Conditions of entitlement</w:t>
      </w:r>
      <w:bookmarkEnd w:id="1058"/>
    </w:p>
    <w:tbl>
      <w:tblPr>
        <w:tblW w:w="0" w:type="auto"/>
        <w:tblInd w:w="113" w:type="dxa"/>
        <w:tblLayout w:type="fixed"/>
        <w:tblLook w:val="0000" w:firstRow="0" w:lastRow="0" w:firstColumn="0" w:lastColumn="0" w:noHBand="0" w:noVBand="0"/>
      </w:tblPr>
      <w:tblGrid>
        <w:gridCol w:w="992"/>
        <w:gridCol w:w="8363"/>
      </w:tblGrid>
      <w:tr w:rsidR="006D1E1C" w:rsidRPr="00C9343F" w14:paraId="27A2B144" w14:textId="77777777" w:rsidTr="006D1E1C">
        <w:tc>
          <w:tcPr>
            <w:tcW w:w="992" w:type="dxa"/>
          </w:tcPr>
          <w:bookmarkEnd w:id="1059"/>
          <w:bookmarkEnd w:id="1060"/>
          <w:bookmarkEnd w:id="1061"/>
          <w:bookmarkEnd w:id="1062"/>
          <w:bookmarkEnd w:id="1063"/>
          <w:bookmarkEnd w:id="1064"/>
          <w:p w14:paraId="65BF9F0E" w14:textId="77777777" w:rsidR="006D1E1C" w:rsidRPr="00C9343F" w:rsidRDefault="006D1E1C" w:rsidP="00F66D98">
            <w:pPr>
              <w:pStyle w:val="BlockText-PlainNoSpacing"/>
              <w:jc w:val="center"/>
            </w:pPr>
            <w:r w:rsidRPr="00C9343F">
              <w:t>1.</w:t>
            </w:r>
          </w:p>
        </w:tc>
        <w:tc>
          <w:tcPr>
            <w:tcW w:w="8363" w:type="dxa"/>
          </w:tcPr>
          <w:p w14:paraId="0345CBA8" w14:textId="77777777" w:rsidR="006D1E1C" w:rsidRPr="00C9343F" w:rsidRDefault="006D1E1C" w:rsidP="00F66D98">
            <w:pPr>
              <w:pStyle w:val="BlockText-Plain"/>
            </w:pPr>
            <w:r w:rsidRPr="00C9343F">
              <w:t>The sponsored member works full-time at the hospital providing the training.</w:t>
            </w:r>
          </w:p>
        </w:tc>
      </w:tr>
      <w:tr w:rsidR="006D1E1C" w:rsidRPr="00C9343F" w14:paraId="4A36A17E" w14:textId="77777777" w:rsidTr="006D1E1C">
        <w:tc>
          <w:tcPr>
            <w:tcW w:w="992" w:type="dxa"/>
          </w:tcPr>
          <w:p w14:paraId="27775141" w14:textId="77777777" w:rsidR="006D1E1C" w:rsidRPr="00C9343F" w:rsidRDefault="006D1E1C" w:rsidP="00F66D98">
            <w:pPr>
              <w:pStyle w:val="BlockText-Plain"/>
              <w:jc w:val="center"/>
            </w:pPr>
            <w:r w:rsidRPr="00C9343F">
              <w:t>2.</w:t>
            </w:r>
          </w:p>
        </w:tc>
        <w:tc>
          <w:tcPr>
            <w:tcW w:w="8363" w:type="dxa"/>
          </w:tcPr>
          <w:p w14:paraId="2774E309" w14:textId="77777777" w:rsidR="006D1E1C" w:rsidRPr="00C9343F" w:rsidRDefault="006D1E1C" w:rsidP="00F66D98">
            <w:pPr>
              <w:pStyle w:val="BlockText-Plain"/>
            </w:pPr>
            <w:r w:rsidRPr="00C9343F">
              <w:t>The member remains in ADF service. They work under an arrangement agreed between the hospital and the Commonwealth. The member will not become an employee of the hospital.</w:t>
            </w:r>
          </w:p>
        </w:tc>
      </w:tr>
      <w:tr w:rsidR="006D1E1C" w:rsidRPr="00C9343F" w14:paraId="07F066D5" w14:textId="77777777" w:rsidTr="006D1E1C">
        <w:tc>
          <w:tcPr>
            <w:tcW w:w="992" w:type="dxa"/>
          </w:tcPr>
          <w:p w14:paraId="2CDE34B8" w14:textId="77777777" w:rsidR="006D1E1C" w:rsidRPr="00C9343F" w:rsidRDefault="006D1E1C" w:rsidP="00F66D98">
            <w:pPr>
              <w:pStyle w:val="BlockText-Plain"/>
              <w:jc w:val="center"/>
            </w:pPr>
            <w:r w:rsidRPr="00C9343F">
              <w:t>3.</w:t>
            </w:r>
          </w:p>
        </w:tc>
        <w:tc>
          <w:tcPr>
            <w:tcW w:w="8363" w:type="dxa"/>
          </w:tcPr>
          <w:p w14:paraId="6399376E" w14:textId="77777777" w:rsidR="006D1E1C" w:rsidRPr="00C9343F" w:rsidRDefault="006D1E1C" w:rsidP="00F66D98">
            <w:pPr>
              <w:pStyle w:val="BlockText-Plain"/>
            </w:pPr>
            <w:r w:rsidRPr="00C9343F">
              <w:t>The member retains all the conditions of service of full-time members.</w:t>
            </w:r>
          </w:p>
        </w:tc>
      </w:tr>
    </w:tbl>
    <w:p w14:paraId="6BFBF2AF" w14:textId="6AA12D41" w:rsidR="006D1E1C" w:rsidRPr="00C9343F" w:rsidRDefault="006D1E1C" w:rsidP="00283374">
      <w:pPr>
        <w:pStyle w:val="Heading4"/>
        <w:pageBreakBefore/>
      </w:pPr>
      <w:bookmarkStart w:id="1065" w:name="_Toc105053887"/>
      <w:r w:rsidRPr="00C9343F">
        <w:t>Division 3:</w:t>
      </w:r>
      <w:bookmarkStart w:id="1066" w:name="bk1219224131Purpose"/>
      <w:r w:rsidRPr="00C9343F">
        <w:t xml:space="preserve"> Former medical or dental officer – refresher training</w:t>
      </w:r>
      <w:bookmarkStart w:id="1067" w:name="bk1219224132MembersthisPartappliesto"/>
      <w:bookmarkEnd w:id="1066"/>
      <w:bookmarkEnd w:id="1065"/>
    </w:p>
    <w:p w14:paraId="3B9A1338" w14:textId="01700D29" w:rsidR="006D1E1C" w:rsidRPr="00C9343F" w:rsidRDefault="006D1E1C" w:rsidP="00F66D98">
      <w:pPr>
        <w:pStyle w:val="Heading5"/>
      </w:pPr>
      <w:bookmarkStart w:id="1068" w:name="_Toc105053888"/>
      <w:bookmarkStart w:id="1069" w:name="bk1559314148Purpose"/>
      <w:bookmarkStart w:id="1070" w:name="bk1216034148Purpose"/>
      <w:bookmarkStart w:id="1071" w:name="bk1216324148Purpose"/>
      <w:bookmarkStart w:id="1072" w:name="bk1439464141Purpose"/>
      <w:bookmarkStart w:id="1073" w:name="bk1138324141Purpose"/>
      <w:bookmarkEnd w:id="1067"/>
      <w:r w:rsidRPr="00C9343F">
        <w:t>4.8.14</w:t>
      </w:r>
      <w:r w:rsidR="00D94006" w:rsidRPr="00C9343F">
        <w:t>    </w:t>
      </w:r>
      <w:r w:rsidRPr="00C9343F">
        <w:t>Purpose</w:t>
      </w:r>
      <w:bookmarkEnd w:id="1068"/>
    </w:p>
    <w:bookmarkEnd w:id="1069"/>
    <w:bookmarkEnd w:id="1070"/>
    <w:bookmarkEnd w:id="1071"/>
    <w:bookmarkEnd w:id="1072"/>
    <w:bookmarkEnd w:id="1073"/>
    <w:tbl>
      <w:tblPr>
        <w:tblW w:w="0" w:type="auto"/>
        <w:tblInd w:w="113" w:type="dxa"/>
        <w:tblLayout w:type="fixed"/>
        <w:tblLook w:val="0000" w:firstRow="0" w:lastRow="0" w:firstColumn="0" w:lastColumn="0" w:noHBand="0" w:noVBand="0"/>
      </w:tblPr>
      <w:tblGrid>
        <w:gridCol w:w="992"/>
        <w:gridCol w:w="8363"/>
      </w:tblGrid>
      <w:tr w:rsidR="006D1E1C" w:rsidRPr="00C9343F" w14:paraId="40D3FD75" w14:textId="77777777" w:rsidTr="006D1E1C">
        <w:tc>
          <w:tcPr>
            <w:tcW w:w="992" w:type="dxa"/>
          </w:tcPr>
          <w:p w14:paraId="20E017B3" w14:textId="77777777" w:rsidR="006D1E1C" w:rsidRPr="00C9343F" w:rsidRDefault="006D1E1C" w:rsidP="00F66D98">
            <w:pPr>
              <w:pStyle w:val="BlockText-PlainNoSpacing"/>
              <w:jc w:val="center"/>
            </w:pPr>
          </w:p>
        </w:tc>
        <w:tc>
          <w:tcPr>
            <w:tcW w:w="8363" w:type="dxa"/>
          </w:tcPr>
          <w:p w14:paraId="4FF9E506" w14:textId="77777777" w:rsidR="006D1E1C" w:rsidRPr="00C9343F" w:rsidRDefault="006D1E1C" w:rsidP="00F66D98">
            <w:pPr>
              <w:pStyle w:val="BlockText-Plain"/>
            </w:pPr>
            <w:r w:rsidRPr="00C9343F">
              <w:t>Refresher training assistance assists a former member who served as a medical or dental officer with the costs of training to better equip them for civilian practice or employment.</w:t>
            </w:r>
          </w:p>
        </w:tc>
      </w:tr>
    </w:tbl>
    <w:p w14:paraId="1FAF4906" w14:textId="25856279" w:rsidR="006D1E1C" w:rsidRPr="00C9343F" w:rsidRDefault="006D1E1C" w:rsidP="00F66D98">
      <w:pPr>
        <w:pStyle w:val="Heading5"/>
      </w:pPr>
      <w:bookmarkStart w:id="1074" w:name="_Toc105053889"/>
      <w:bookmarkStart w:id="1075" w:name="bk1559314149Definition"/>
      <w:bookmarkStart w:id="1076" w:name="bk1216034149Definition"/>
      <w:bookmarkStart w:id="1077" w:name="bk1216324149Definition"/>
      <w:bookmarkStart w:id="1078" w:name="bk1439464142Definition"/>
      <w:bookmarkStart w:id="1079" w:name="bk1138324142Definition"/>
      <w:r w:rsidRPr="00C9343F">
        <w:t>4.8.15</w:t>
      </w:r>
      <w:r w:rsidR="00D94006" w:rsidRPr="00C9343F">
        <w:t>    </w:t>
      </w:r>
      <w:r w:rsidRPr="00C9343F">
        <w:t>Definition</w:t>
      </w:r>
      <w:bookmarkEnd w:id="1074"/>
    </w:p>
    <w:tbl>
      <w:tblPr>
        <w:tblW w:w="0" w:type="dxa"/>
        <w:tblInd w:w="113" w:type="dxa"/>
        <w:tblLayout w:type="fixed"/>
        <w:tblLook w:val="04A0" w:firstRow="1" w:lastRow="0" w:firstColumn="1" w:lastColumn="0" w:noHBand="0" w:noVBand="1"/>
      </w:tblPr>
      <w:tblGrid>
        <w:gridCol w:w="992"/>
        <w:gridCol w:w="8367"/>
      </w:tblGrid>
      <w:tr w:rsidR="00E82CC4" w:rsidRPr="00C9343F" w14:paraId="5246CC8E" w14:textId="77777777" w:rsidTr="00445FEB">
        <w:tc>
          <w:tcPr>
            <w:tcW w:w="992" w:type="dxa"/>
          </w:tcPr>
          <w:p w14:paraId="193459A3" w14:textId="77777777" w:rsidR="00E82CC4" w:rsidRPr="00C9343F" w:rsidRDefault="00E82CC4" w:rsidP="00445FEB">
            <w:pPr>
              <w:pStyle w:val="Sectiontext0"/>
              <w:spacing w:line="276" w:lineRule="auto"/>
              <w:jc w:val="center"/>
              <w:rPr>
                <w:lang w:eastAsia="en-US"/>
              </w:rPr>
            </w:pPr>
            <w:bookmarkStart w:id="1080" w:name="bk15593141410MembersthisDivisionapplies"/>
            <w:bookmarkStart w:id="1081" w:name="bk12160341410MembersthisDivisionapplies"/>
            <w:bookmarkStart w:id="1082" w:name="bk12163241410MembersthisDivisionapplies"/>
            <w:bookmarkStart w:id="1083" w:name="bk1439464143MembersthisDivisionappliest"/>
            <w:bookmarkStart w:id="1084" w:name="bk1138334143MembersthisDivisionappliest"/>
            <w:bookmarkEnd w:id="1075"/>
            <w:bookmarkEnd w:id="1076"/>
            <w:bookmarkEnd w:id="1077"/>
            <w:bookmarkEnd w:id="1078"/>
            <w:bookmarkEnd w:id="1079"/>
          </w:p>
        </w:tc>
        <w:tc>
          <w:tcPr>
            <w:tcW w:w="8367" w:type="dxa"/>
            <w:hideMark/>
          </w:tcPr>
          <w:p w14:paraId="085F7CE3" w14:textId="77777777" w:rsidR="00E82CC4" w:rsidRPr="00C9343F" w:rsidRDefault="00E82CC4" w:rsidP="00445FEB">
            <w:pPr>
              <w:pStyle w:val="Sectiontext0"/>
              <w:spacing w:line="276" w:lineRule="auto"/>
              <w:rPr>
                <w:lang w:eastAsia="en-US"/>
              </w:rPr>
            </w:pPr>
            <w:r w:rsidRPr="00C9343F">
              <w:rPr>
                <w:lang w:eastAsia="en-US"/>
              </w:rPr>
              <w:t>In this Division, the following apply.</w:t>
            </w:r>
          </w:p>
        </w:tc>
      </w:tr>
      <w:tr w:rsidR="00E82CC4" w:rsidRPr="00C9343F" w14:paraId="018E5EA1" w14:textId="77777777" w:rsidTr="00445FEB">
        <w:tc>
          <w:tcPr>
            <w:tcW w:w="992" w:type="dxa"/>
          </w:tcPr>
          <w:p w14:paraId="0122575B" w14:textId="77777777" w:rsidR="00E82CC4" w:rsidRPr="00C9343F" w:rsidRDefault="00E82CC4" w:rsidP="00445FEB">
            <w:pPr>
              <w:pStyle w:val="Sectiontext0"/>
              <w:spacing w:line="276" w:lineRule="auto"/>
              <w:jc w:val="center"/>
              <w:rPr>
                <w:lang w:eastAsia="en-US"/>
              </w:rPr>
            </w:pPr>
          </w:p>
        </w:tc>
        <w:tc>
          <w:tcPr>
            <w:tcW w:w="8367" w:type="dxa"/>
            <w:hideMark/>
          </w:tcPr>
          <w:p w14:paraId="1D7DE386" w14:textId="77777777" w:rsidR="00E82CC4" w:rsidRPr="00C9343F" w:rsidRDefault="00E82CC4" w:rsidP="00445FEB">
            <w:pPr>
              <w:pStyle w:val="Sectiontext0"/>
              <w:spacing w:line="276" w:lineRule="auto"/>
              <w:rPr>
                <w:lang w:eastAsia="en-US"/>
              </w:rPr>
            </w:pPr>
            <w:r w:rsidRPr="00C9343F">
              <w:rPr>
                <w:b/>
                <w:lang w:eastAsia="en-US"/>
              </w:rPr>
              <w:t>Refresher training course</w:t>
            </w:r>
            <w:r w:rsidRPr="00C9343F">
              <w:rPr>
                <w:lang w:eastAsia="en-US"/>
              </w:rPr>
              <w:t xml:space="preserve"> means an approved course of study to be undertaken by a former member in aspects of medical or dental practice that are not normally found in the ADF.</w:t>
            </w:r>
          </w:p>
        </w:tc>
      </w:tr>
    </w:tbl>
    <w:p w14:paraId="560E263C" w14:textId="50197FA8" w:rsidR="006D1E1C" w:rsidRPr="00C9343F" w:rsidRDefault="006D1E1C" w:rsidP="00F66D98">
      <w:pPr>
        <w:pStyle w:val="Heading5"/>
      </w:pPr>
      <w:bookmarkStart w:id="1085" w:name="_Toc105053890"/>
      <w:r w:rsidRPr="00C9343F">
        <w:t>4.8.16</w:t>
      </w:r>
      <w:r w:rsidR="00D94006" w:rsidRPr="00C9343F">
        <w:t>    </w:t>
      </w:r>
      <w:r w:rsidRPr="00C9343F">
        <w:t>Members this Division applies to</w:t>
      </w:r>
      <w:bookmarkEnd w:id="1085"/>
    </w:p>
    <w:bookmarkEnd w:id="1080"/>
    <w:bookmarkEnd w:id="1081"/>
    <w:bookmarkEnd w:id="1082"/>
    <w:bookmarkEnd w:id="1083"/>
    <w:bookmarkEnd w:id="1084"/>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462176C2" w14:textId="77777777" w:rsidTr="006D1E1C">
        <w:tc>
          <w:tcPr>
            <w:tcW w:w="992" w:type="dxa"/>
          </w:tcPr>
          <w:p w14:paraId="77DDA303" w14:textId="77777777" w:rsidR="006D1E1C" w:rsidRPr="00C9343F" w:rsidRDefault="006D1E1C" w:rsidP="00F66D98">
            <w:pPr>
              <w:pStyle w:val="BlockText-PlainNoSpacing"/>
              <w:jc w:val="center"/>
            </w:pPr>
          </w:p>
        </w:tc>
        <w:tc>
          <w:tcPr>
            <w:tcW w:w="8363" w:type="dxa"/>
            <w:gridSpan w:val="2"/>
          </w:tcPr>
          <w:p w14:paraId="0CC3946B" w14:textId="77777777" w:rsidR="006D1E1C" w:rsidRPr="00C9343F" w:rsidRDefault="006D1E1C" w:rsidP="00F66D98">
            <w:pPr>
              <w:pStyle w:val="BlockText-Plain"/>
            </w:pPr>
            <w:r w:rsidRPr="00C9343F">
              <w:t>This Division applies to a former member who served on a fixed-term appointment as a medical or dental officer, if they meet all of these criteria.</w:t>
            </w:r>
          </w:p>
        </w:tc>
      </w:tr>
      <w:tr w:rsidR="006D1E1C" w:rsidRPr="00C9343F" w14:paraId="1B863721" w14:textId="77777777" w:rsidTr="006D1E1C">
        <w:trPr>
          <w:cantSplit/>
        </w:trPr>
        <w:tc>
          <w:tcPr>
            <w:tcW w:w="992" w:type="dxa"/>
          </w:tcPr>
          <w:p w14:paraId="0CD5B890" w14:textId="77777777" w:rsidR="006D1E1C" w:rsidRPr="00C9343F" w:rsidRDefault="006D1E1C" w:rsidP="00F66D98">
            <w:pPr>
              <w:pStyle w:val="BlockText-PlainNoSpacing"/>
            </w:pPr>
          </w:p>
        </w:tc>
        <w:tc>
          <w:tcPr>
            <w:tcW w:w="567" w:type="dxa"/>
          </w:tcPr>
          <w:p w14:paraId="7E1615BF" w14:textId="77777777" w:rsidR="006D1E1C" w:rsidRPr="00C9343F" w:rsidRDefault="006D1E1C" w:rsidP="008D1B5D">
            <w:pPr>
              <w:pStyle w:val="BlockText-PlainNoSpacing"/>
              <w:jc w:val="center"/>
            </w:pPr>
            <w:r w:rsidRPr="00C9343F">
              <w:t>a.</w:t>
            </w:r>
          </w:p>
        </w:tc>
        <w:tc>
          <w:tcPr>
            <w:tcW w:w="7796" w:type="dxa"/>
          </w:tcPr>
          <w:p w14:paraId="304D2B63" w14:textId="77777777" w:rsidR="006D1E1C" w:rsidRPr="00C9343F" w:rsidRDefault="006D1E1C" w:rsidP="00F66D98">
            <w:pPr>
              <w:pStyle w:val="BlockText-Plain"/>
            </w:pPr>
            <w:r w:rsidRPr="00C9343F">
              <w:t>They were appointed before graduation or within two years after first registration as a medical or dental practitioner.</w:t>
            </w:r>
          </w:p>
        </w:tc>
      </w:tr>
      <w:tr w:rsidR="006D1E1C" w:rsidRPr="00C9343F" w14:paraId="04E5AE47" w14:textId="77777777" w:rsidTr="006D1E1C">
        <w:trPr>
          <w:cantSplit/>
        </w:trPr>
        <w:tc>
          <w:tcPr>
            <w:tcW w:w="992" w:type="dxa"/>
          </w:tcPr>
          <w:p w14:paraId="06FDAF61" w14:textId="77777777" w:rsidR="006D1E1C" w:rsidRPr="00C9343F" w:rsidRDefault="006D1E1C" w:rsidP="00F66D98">
            <w:pPr>
              <w:pStyle w:val="BlockText-PlainNoSpacing"/>
            </w:pPr>
          </w:p>
        </w:tc>
        <w:tc>
          <w:tcPr>
            <w:tcW w:w="567" w:type="dxa"/>
          </w:tcPr>
          <w:p w14:paraId="4D3DCD2A" w14:textId="77777777" w:rsidR="006D1E1C" w:rsidRPr="00C9343F" w:rsidRDefault="006D1E1C" w:rsidP="008D1B5D">
            <w:pPr>
              <w:pStyle w:val="BlockText-PlainNoSpacing"/>
              <w:jc w:val="center"/>
            </w:pPr>
            <w:r w:rsidRPr="00C9343F">
              <w:t>b.</w:t>
            </w:r>
          </w:p>
        </w:tc>
        <w:tc>
          <w:tcPr>
            <w:tcW w:w="7796" w:type="dxa"/>
          </w:tcPr>
          <w:p w14:paraId="56F4B58C" w14:textId="77777777" w:rsidR="006D1E1C" w:rsidRPr="00C9343F" w:rsidRDefault="006D1E1C" w:rsidP="00F66D98">
            <w:pPr>
              <w:pStyle w:val="BlockText-Plain"/>
            </w:pPr>
            <w:r w:rsidRPr="00C9343F">
              <w:t>They completed at least four years’ continuous full-time service as a medical or dental officer before ceasing to be a member.</w:t>
            </w:r>
          </w:p>
        </w:tc>
      </w:tr>
      <w:tr w:rsidR="006D1E1C" w:rsidRPr="00C9343F" w14:paraId="54F55BBC" w14:textId="77777777" w:rsidTr="006D1E1C">
        <w:trPr>
          <w:cantSplit/>
        </w:trPr>
        <w:tc>
          <w:tcPr>
            <w:tcW w:w="992" w:type="dxa"/>
          </w:tcPr>
          <w:p w14:paraId="7A5B9B47" w14:textId="77777777" w:rsidR="006D1E1C" w:rsidRPr="00C9343F" w:rsidRDefault="006D1E1C" w:rsidP="00F66D98">
            <w:pPr>
              <w:pStyle w:val="BlockText-PlainNoSpacing"/>
            </w:pPr>
          </w:p>
        </w:tc>
        <w:tc>
          <w:tcPr>
            <w:tcW w:w="567" w:type="dxa"/>
          </w:tcPr>
          <w:p w14:paraId="2760E98E" w14:textId="77777777" w:rsidR="006D1E1C" w:rsidRPr="00C9343F" w:rsidRDefault="006D1E1C" w:rsidP="008D1B5D">
            <w:pPr>
              <w:pStyle w:val="BlockText-PlainNoSpacing"/>
              <w:jc w:val="center"/>
            </w:pPr>
            <w:r w:rsidRPr="00C9343F">
              <w:t>c.</w:t>
            </w:r>
          </w:p>
        </w:tc>
        <w:tc>
          <w:tcPr>
            <w:tcW w:w="7796" w:type="dxa"/>
          </w:tcPr>
          <w:p w14:paraId="4BECC2AE" w14:textId="77777777" w:rsidR="006D1E1C" w:rsidRPr="00C9343F" w:rsidRDefault="006D1E1C" w:rsidP="00F66D98">
            <w:pPr>
              <w:pStyle w:val="BlockText-Plain"/>
            </w:pPr>
            <w:r w:rsidRPr="00C9343F">
              <w:t>They begin a refresher training course within 12 months of ceasing service.</w:t>
            </w:r>
          </w:p>
        </w:tc>
      </w:tr>
      <w:tr w:rsidR="006D1E1C" w:rsidRPr="00C9343F" w14:paraId="7064A297" w14:textId="77777777" w:rsidTr="006D1E1C">
        <w:trPr>
          <w:cantSplit/>
        </w:trPr>
        <w:tc>
          <w:tcPr>
            <w:tcW w:w="992" w:type="dxa"/>
          </w:tcPr>
          <w:p w14:paraId="63CD22EC" w14:textId="77777777" w:rsidR="006D1E1C" w:rsidRPr="00C9343F" w:rsidRDefault="006D1E1C" w:rsidP="00F66D98">
            <w:pPr>
              <w:pStyle w:val="BlockText-PlainNoSpacing"/>
            </w:pPr>
          </w:p>
        </w:tc>
        <w:tc>
          <w:tcPr>
            <w:tcW w:w="567" w:type="dxa"/>
          </w:tcPr>
          <w:p w14:paraId="4FC19997" w14:textId="77777777" w:rsidR="006D1E1C" w:rsidRPr="00C9343F" w:rsidRDefault="006D1E1C" w:rsidP="008D1B5D">
            <w:pPr>
              <w:pStyle w:val="BlockText-PlainNoSpacing"/>
              <w:jc w:val="center"/>
            </w:pPr>
            <w:r w:rsidRPr="00C9343F">
              <w:t>d.</w:t>
            </w:r>
          </w:p>
        </w:tc>
        <w:tc>
          <w:tcPr>
            <w:tcW w:w="7796" w:type="dxa"/>
          </w:tcPr>
          <w:p w14:paraId="512E183C" w14:textId="77777777" w:rsidR="006D1E1C" w:rsidRPr="00C9343F" w:rsidRDefault="006D1E1C" w:rsidP="00F66D98">
            <w:pPr>
              <w:pStyle w:val="BlockText-Plain"/>
            </w:pPr>
            <w:r w:rsidRPr="00C9343F">
              <w:t>They have not, on the day they begin the training course, been appointed as an officer on an indefinite appointment.</w:t>
            </w:r>
          </w:p>
        </w:tc>
      </w:tr>
    </w:tbl>
    <w:p w14:paraId="5FBE712A" w14:textId="76495F81" w:rsidR="006D1E1C" w:rsidRPr="00C9343F" w:rsidRDefault="006D1E1C" w:rsidP="00F66D98">
      <w:pPr>
        <w:pStyle w:val="Heading5"/>
      </w:pPr>
      <w:bookmarkStart w:id="1086" w:name="_Toc105053891"/>
      <w:bookmarkStart w:id="1087" w:name="bk15593141411Conditionsforrefreshertrai"/>
      <w:bookmarkStart w:id="1088" w:name="bk12160341411Conditionsforrefreshertrai"/>
      <w:bookmarkStart w:id="1089" w:name="bk12163241411Conditionsforrefreshertrai"/>
      <w:bookmarkStart w:id="1090" w:name="bk1439464144Conditionsforrefreshertrain"/>
      <w:bookmarkStart w:id="1091" w:name="bk1138334144Conditionsforrefreshertrain"/>
      <w:r w:rsidRPr="00C9343F">
        <w:t>4.8.17</w:t>
      </w:r>
      <w:r w:rsidR="00D94006" w:rsidRPr="00C9343F">
        <w:t>    </w:t>
      </w:r>
      <w:r w:rsidRPr="00C9343F">
        <w:t>Conditions for refresher training payment</w:t>
      </w:r>
      <w:bookmarkEnd w:id="1086"/>
    </w:p>
    <w:tbl>
      <w:tblPr>
        <w:tblW w:w="9355" w:type="dxa"/>
        <w:tblInd w:w="113" w:type="dxa"/>
        <w:tblLayout w:type="fixed"/>
        <w:tblLook w:val="0000" w:firstRow="0" w:lastRow="0" w:firstColumn="0" w:lastColumn="0" w:noHBand="0" w:noVBand="0"/>
      </w:tblPr>
      <w:tblGrid>
        <w:gridCol w:w="992"/>
        <w:gridCol w:w="567"/>
        <w:gridCol w:w="7796"/>
      </w:tblGrid>
      <w:tr w:rsidR="006D1E1C" w:rsidRPr="00C9343F" w14:paraId="61536A04" w14:textId="77777777" w:rsidTr="00852474">
        <w:tc>
          <w:tcPr>
            <w:tcW w:w="992" w:type="dxa"/>
          </w:tcPr>
          <w:bookmarkEnd w:id="1087"/>
          <w:bookmarkEnd w:id="1088"/>
          <w:bookmarkEnd w:id="1089"/>
          <w:bookmarkEnd w:id="1090"/>
          <w:bookmarkEnd w:id="1091"/>
          <w:p w14:paraId="28085145" w14:textId="77777777" w:rsidR="006D1E1C" w:rsidRPr="00C9343F" w:rsidRDefault="006D1E1C" w:rsidP="00F66D98">
            <w:pPr>
              <w:pStyle w:val="BlockText-Plain"/>
              <w:jc w:val="center"/>
            </w:pPr>
            <w:r w:rsidRPr="00C9343F">
              <w:t>1.</w:t>
            </w:r>
          </w:p>
        </w:tc>
        <w:tc>
          <w:tcPr>
            <w:tcW w:w="8363" w:type="dxa"/>
            <w:gridSpan w:val="2"/>
          </w:tcPr>
          <w:p w14:paraId="622284F4" w14:textId="77777777" w:rsidR="006D1E1C" w:rsidRPr="00C9343F" w:rsidRDefault="006D1E1C" w:rsidP="00F66D98">
            <w:pPr>
              <w:pStyle w:val="BlockText-Plain"/>
            </w:pPr>
            <w:r w:rsidRPr="00C9343F">
              <w:t>The former member is eligible for a payment for the refresher training course if the CDF considers it reasonable for them to undertake it.</w:t>
            </w:r>
          </w:p>
        </w:tc>
      </w:tr>
      <w:tr w:rsidR="006D1E1C" w:rsidRPr="00C9343F" w14:paraId="7DE76B3A" w14:textId="77777777" w:rsidTr="00852474">
        <w:tc>
          <w:tcPr>
            <w:tcW w:w="992" w:type="dxa"/>
          </w:tcPr>
          <w:p w14:paraId="58171270" w14:textId="77777777" w:rsidR="006D1E1C" w:rsidRPr="00C9343F" w:rsidRDefault="006D1E1C" w:rsidP="00F66D98">
            <w:pPr>
              <w:pStyle w:val="BlockText-Plain"/>
              <w:jc w:val="center"/>
            </w:pPr>
            <w:r w:rsidRPr="00C9343F">
              <w:t>2.</w:t>
            </w:r>
          </w:p>
        </w:tc>
        <w:tc>
          <w:tcPr>
            <w:tcW w:w="8363" w:type="dxa"/>
            <w:gridSpan w:val="2"/>
          </w:tcPr>
          <w:p w14:paraId="082B3D9D" w14:textId="77777777" w:rsidR="006D1E1C" w:rsidRPr="00C9343F" w:rsidRDefault="006D1E1C" w:rsidP="00F66D98">
            <w:pPr>
              <w:pStyle w:val="BlockText-Plain"/>
            </w:pPr>
            <w:r w:rsidRPr="00C9343F">
              <w:t>In deeming it reasonable, the CDF must consider all of these criteria.</w:t>
            </w:r>
          </w:p>
        </w:tc>
      </w:tr>
      <w:tr w:rsidR="006D1E1C" w:rsidRPr="00C9343F" w14:paraId="1623528C" w14:textId="77777777" w:rsidTr="00852474">
        <w:trPr>
          <w:cantSplit/>
        </w:trPr>
        <w:tc>
          <w:tcPr>
            <w:tcW w:w="992" w:type="dxa"/>
          </w:tcPr>
          <w:p w14:paraId="32097CF1" w14:textId="77777777" w:rsidR="006D1E1C" w:rsidRPr="00C9343F" w:rsidRDefault="006D1E1C" w:rsidP="00F66D98">
            <w:pPr>
              <w:pStyle w:val="BlockText-Plain"/>
            </w:pPr>
          </w:p>
        </w:tc>
        <w:tc>
          <w:tcPr>
            <w:tcW w:w="567" w:type="dxa"/>
          </w:tcPr>
          <w:p w14:paraId="310B008B" w14:textId="77777777" w:rsidR="006D1E1C" w:rsidRPr="00C9343F" w:rsidRDefault="006D1E1C" w:rsidP="008D1B5D">
            <w:pPr>
              <w:pStyle w:val="BlockText-Plain"/>
              <w:jc w:val="center"/>
            </w:pPr>
            <w:r w:rsidRPr="00C9343F">
              <w:t>a.</w:t>
            </w:r>
          </w:p>
        </w:tc>
        <w:tc>
          <w:tcPr>
            <w:tcW w:w="7796" w:type="dxa"/>
          </w:tcPr>
          <w:p w14:paraId="0E20A9EB" w14:textId="77777777" w:rsidR="006D1E1C" w:rsidRPr="00C9343F" w:rsidRDefault="006D1E1C" w:rsidP="00F66D98">
            <w:pPr>
              <w:pStyle w:val="BlockText-Plain"/>
            </w:pPr>
            <w:r w:rsidRPr="00C9343F">
              <w:t>How much the length and nature of the former member’s service has impaired their ability to undertake civilian medical or dental practice or employment.</w:t>
            </w:r>
          </w:p>
        </w:tc>
      </w:tr>
      <w:tr w:rsidR="006D1E1C" w:rsidRPr="00C9343F" w14:paraId="16871725" w14:textId="77777777" w:rsidTr="00852474">
        <w:trPr>
          <w:cantSplit/>
        </w:trPr>
        <w:tc>
          <w:tcPr>
            <w:tcW w:w="992" w:type="dxa"/>
          </w:tcPr>
          <w:p w14:paraId="642284D9" w14:textId="77777777" w:rsidR="006D1E1C" w:rsidRPr="00C9343F" w:rsidRDefault="006D1E1C" w:rsidP="00F66D98">
            <w:pPr>
              <w:pStyle w:val="BlockText-Plain"/>
            </w:pPr>
          </w:p>
        </w:tc>
        <w:tc>
          <w:tcPr>
            <w:tcW w:w="567" w:type="dxa"/>
          </w:tcPr>
          <w:p w14:paraId="1B4F5752" w14:textId="77777777" w:rsidR="006D1E1C" w:rsidRPr="00C9343F" w:rsidRDefault="006D1E1C" w:rsidP="008D1B5D">
            <w:pPr>
              <w:pStyle w:val="BlockText-Plain"/>
              <w:jc w:val="center"/>
            </w:pPr>
            <w:r w:rsidRPr="00C9343F">
              <w:t>b.</w:t>
            </w:r>
          </w:p>
        </w:tc>
        <w:tc>
          <w:tcPr>
            <w:tcW w:w="7796" w:type="dxa"/>
          </w:tcPr>
          <w:p w14:paraId="4DD59A23" w14:textId="585EB149" w:rsidR="006D1E1C" w:rsidRPr="00C9343F" w:rsidRDefault="006D1E1C" w:rsidP="00F66D98">
            <w:pPr>
              <w:pStyle w:val="BlockText-Plain"/>
            </w:pPr>
            <w:r w:rsidRPr="00C9343F">
              <w:t xml:space="preserve">How much the former member’s completion of the </w:t>
            </w:r>
            <w:r w:rsidR="001D6300" w:rsidRPr="00C9343F">
              <w:rPr>
                <w:iCs/>
                <w:lang w:eastAsia="en-US"/>
              </w:rPr>
              <w:t>refresher training course</w:t>
            </w:r>
            <w:r w:rsidR="001D6300" w:rsidRPr="00C9343F">
              <w:t xml:space="preserve"> </w:t>
            </w:r>
            <w:r w:rsidRPr="00C9343F">
              <w:t>would remedy any impairment.</w:t>
            </w:r>
          </w:p>
        </w:tc>
      </w:tr>
      <w:tr w:rsidR="006D1E1C" w:rsidRPr="00C9343F" w14:paraId="1C20649F" w14:textId="77777777" w:rsidTr="00852474">
        <w:trPr>
          <w:cantSplit/>
        </w:trPr>
        <w:tc>
          <w:tcPr>
            <w:tcW w:w="992" w:type="dxa"/>
          </w:tcPr>
          <w:p w14:paraId="578FA588" w14:textId="77777777" w:rsidR="006D1E1C" w:rsidRPr="00C9343F" w:rsidRDefault="006D1E1C" w:rsidP="00F66D98">
            <w:pPr>
              <w:pStyle w:val="BlockText-Plain"/>
            </w:pPr>
          </w:p>
        </w:tc>
        <w:tc>
          <w:tcPr>
            <w:tcW w:w="567" w:type="dxa"/>
          </w:tcPr>
          <w:p w14:paraId="3CCE29FF" w14:textId="77777777" w:rsidR="006D1E1C" w:rsidRPr="00C9343F" w:rsidRDefault="006D1E1C" w:rsidP="008D1B5D">
            <w:pPr>
              <w:pStyle w:val="BlockText-Plain"/>
              <w:jc w:val="center"/>
            </w:pPr>
            <w:r w:rsidRPr="00C9343F">
              <w:t>c.</w:t>
            </w:r>
          </w:p>
        </w:tc>
        <w:tc>
          <w:tcPr>
            <w:tcW w:w="7796" w:type="dxa"/>
          </w:tcPr>
          <w:p w14:paraId="4C2E0270" w14:textId="77777777" w:rsidR="006D1E1C" w:rsidRPr="00C9343F" w:rsidRDefault="006D1E1C" w:rsidP="00F66D98">
            <w:pPr>
              <w:pStyle w:val="BlockText-Plain"/>
            </w:pPr>
            <w:r w:rsidRPr="00C9343F">
              <w:t>Any other factor relevant to the former member’s ability to undertake such practice or employment.</w:t>
            </w:r>
          </w:p>
        </w:tc>
      </w:tr>
      <w:tr w:rsidR="006D1E1C" w:rsidRPr="00C9343F" w14:paraId="268F5823" w14:textId="77777777" w:rsidTr="00852474">
        <w:tc>
          <w:tcPr>
            <w:tcW w:w="992" w:type="dxa"/>
          </w:tcPr>
          <w:p w14:paraId="21C0EAC0" w14:textId="77777777" w:rsidR="006D1E1C" w:rsidRPr="00C9343F" w:rsidRDefault="006D1E1C" w:rsidP="00F66D98">
            <w:pPr>
              <w:pStyle w:val="BlockText-Plain"/>
              <w:jc w:val="center"/>
            </w:pPr>
            <w:r w:rsidRPr="00C9343F">
              <w:t>3.</w:t>
            </w:r>
          </w:p>
        </w:tc>
        <w:tc>
          <w:tcPr>
            <w:tcW w:w="8363" w:type="dxa"/>
            <w:gridSpan w:val="2"/>
          </w:tcPr>
          <w:p w14:paraId="00FA8A11" w14:textId="10C85134" w:rsidR="006D1E1C" w:rsidRPr="00C9343F" w:rsidRDefault="006D1E1C" w:rsidP="00F66D98">
            <w:pPr>
              <w:pStyle w:val="BlockText-Plain"/>
            </w:pPr>
            <w:r w:rsidRPr="00C9343F">
              <w:t xml:space="preserve">Payment is available for the period of a </w:t>
            </w:r>
            <w:r w:rsidR="0092747B" w:rsidRPr="00C9343F">
              <w:rPr>
                <w:iCs/>
                <w:lang w:eastAsia="en-US"/>
              </w:rPr>
              <w:t>refresher training course</w:t>
            </w:r>
            <w:r w:rsidR="0092747B" w:rsidRPr="00C9343F">
              <w:t xml:space="preserve"> </w:t>
            </w:r>
            <w:r w:rsidRPr="00C9343F">
              <w:t>to a maximum of 90 days.</w:t>
            </w:r>
          </w:p>
        </w:tc>
      </w:tr>
      <w:tr w:rsidR="006D1E1C" w:rsidRPr="00C9343F" w14:paraId="4AC70E39" w14:textId="77777777" w:rsidTr="00852474">
        <w:tc>
          <w:tcPr>
            <w:tcW w:w="992" w:type="dxa"/>
          </w:tcPr>
          <w:p w14:paraId="643505C3" w14:textId="77777777" w:rsidR="006D1E1C" w:rsidRPr="00C9343F" w:rsidRDefault="006D1E1C" w:rsidP="00F66D98">
            <w:pPr>
              <w:pStyle w:val="BlockText-Plain"/>
              <w:jc w:val="center"/>
            </w:pPr>
            <w:bookmarkStart w:id="1092" w:name="_Hlt64710507"/>
            <w:bookmarkStart w:id="1093" w:name="bk15593141412Amountofpayment"/>
            <w:bookmarkEnd w:id="1092"/>
            <w:r w:rsidRPr="00C9343F">
              <w:t>4.</w:t>
            </w:r>
          </w:p>
        </w:tc>
        <w:tc>
          <w:tcPr>
            <w:tcW w:w="8363" w:type="dxa"/>
            <w:gridSpan w:val="2"/>
          </w:tcPr>
          <w:p w14:paraId="612B0761" w14:textId="77777777" w:rsidR="006D1E1C" w:rsidRPr="00C9343F" w:rsidRDefault="006D1E1C" w:rsidP="00F66D98">
            <w:pPr>
              <w:pStyle w:val="BlockText-Plain"/>
            </w:pPr>
            <w:r w:rsidRPr="00C9343F">
              <w:t>Only one payment can be made to a member under this Division.</w:t>
            </w:r>
          </w:p>
        </w:tc>
      </w:tr>
    </w:tbl>
    <w:p w14:paraId="685BE2A4" w14:textId="687CADB8" w:rsidR="0092747B" w:rsidRPr="00C9343F" w:rsidRDefault="0092747B" w:rsidP="0092747B">
      <w:pPr>
        <w:pStyle w:val="Heading5"/>
      </w:pPr>
      <w:bookmarkStart w:id="1094" w:name="_Toc105053892"/>
      <w:bookmarkEnd w:id="1093"/>
      <w:r w:rsidRPr="00C9343F">
        <w:t>4.8.18    Amount of payment</w:t>
      </w:r>
      <w:bookmarkEnd w:id="1094"/>
    </w:p>
    <w:tbl>
      <w:tblPr>
        <w:tblW w:w="0" w:type="dxa"/>
        <w:tblInd w:w="113" w:type="dxa"/>
        <w:tblLayout w:type="fixed"/>
        <w:tblLook w:val="04A0" w:firstRow="1" w:lastRow="0" w:firstColumn="1" w:lastColumn="0" w:noHBand="0" w:noVBand="1"/>
      </w:tblPr>
      <w:tblGrid>
        <w:gridCol w:w="992"/>
        <w:gridCol w:w="596"/>
        <w:gridCol w:w="7771"/>
      </w:tblGrid>
      <w:tr w:rsidR="0092747B" w:rsidRPr="00C9343F" w14:paraId="08380E91" w14:textId="77777777" w:rsidTr="00445FEB">
        <w:tc>
          <w:tcPr>
            <w:tcW w:w="992" w:type="dxa"/>
          </w:tcPr>
          <w:p w14:paraId="2812913C" w14:textId="77777777" w:rsidR="0092747B" w:rsidRPr="00C9343F" w:rsidRDefault="0092747B" w:rsidP="00445FEB">
            <w:pPr>
              <w:pStyle w:val="Sectiontext0"/>
              <w:spacing w:line="276" w:lineRule="auto"/>
              <w:jc w:val="center"/>
              <w:rPr>
                <w:lang w:eastAsia="en-US"/>
              </w:rPr>
            </w:pPr>
          </w:p>
        </w:tc>
        <w:tc>
          <w:tcPr>
            <w:tcW w:w="8367" w:type="dxa"/>
            <w:gridSpan w:val="2"/>
            <w:hideMark/>
          </w:tcPr>
          <w:p w14:paraId="6B5A7499" w14:textId="77777777" w:rsidR="0092747B" w:rsidRPr="00C9343F" w:rsidRDefault="0092747B" w:rsidP="00445FEB">
            <w:pPr>
              <w:pStyle w:val="Sectiontext0"/>
              <w:spacing w:line="276" w:lineRule="auto"/>
              <w:rPr>
                <w:lang w:eastAsia="en-US"/>
              </w:rPr>
            </w:pPr>
            <w:r w:rsidRPr="00C9343F">
              <w:rPr>
                <w:iCs/>
                <w:lang w:eastAsia="en-US"/>
              </w:rPr>
              <w:t>The former member is eligible for a daily payment calculated using the following formula.</w:t>
            </w:r>
          </w:p>
        </w:tc>
      </w:tr>
      <w:tr w:rsidR="0092747B" w:rsidRPr="00C9343F" w14:paraId="540423CE" w14:textId="77777777" w:rsidTr="00445FEB">
        <w:tc>
          <w:tcPr>
            <w:tcW w:w="992" w:type="dxa"/>
          </w:tcPr>
          <w:p w14:paraId="69938340" w14:textId="77777777" w:rsidR="0092747B" w:rsidRPr="00C9343F" w:rsidRDefault="0092747B" w:rsidP="00445FEB">
            <w:pPr>
              <w:pStyle w:val="Sectiontext0"/>
              <w:spacing w:line="276" w:lineRule="auto"/>
              <w:jc w:val="center"/>
              <w:rPr>
                <w:lang w:eastAsia="en-US"/>
              </w:rPr>
            </w:pPr>
          </w:p>
        </w:tc>
        <w:tc>
          <w:tcPr>
            <w:tcW w:w="8367" w:type="dxa"/>
            <w:gridSpan w:val="2"/>
            <w:hideMark/>
          </w:tcPr>
          <w:p w14:paraId="5B1F1F64" w14:textId="77777777" w:rsidR="0092747B" w:rsidRPr="00C9343F" w:rsidRDefault="0092747B" w:rsidP="00445FEB">
            <w:pPr>
              <w:pStyle w:val="Sectiontext0"/>
              <w:spacing w:line="276" w:lineRule="auto"/>
              <w:rPr>
                <w:b/>
                <w:lang w:eastAsia="en-US"/>
              </w:rPr>
            </w:pPr>
            <m:oMathPara>
              <m:oMath>
                <m:r>
                  <m:rPr>
                    <m:sty m:val="bi"/>
                  </m:rPr>
                  <w:rPr>
                    <w:rFonts w:ascii="Cambria Math" w:hAnsi="Cambria Math"/>
                    <w:lang w:eastAsia="en-US"/>
                  </w:rPr>
                  <m:t>payment=</m:t>
                </m:r>
                <m:f>
                  <m:fPr>
                    <m:ctrlPr>
                      <w:rPr>
                        <w:rFonts w:ascii="Cambria Math" w:hAnsi="Cambria Math"/>
                        <w:b/>
                        <w:i/>
                        <w:lang w:eastAsia="en-US"/>
                      </w:rPr>
                    </m:ctrlPr>
                  </m:fPr>
                  <m:num>
                    <m:r>
                      <m:rPr>
                        <m:sty m:val="bi"/>
                      </m:rPr>
                      <w:rPr>
                        <w:rFonts w:ascii="Cambria Math" w:hAnsi="Cambria Math"/>
                        <w:lang w:eastAsia="en-US"/>
                      </w:rPr>
                      <m:t>A-B</m:t>
                    </m:r>
                  </m:num>
                  <m:den>
                    <m:r>
                      <m:rPr>
                        <m:sty m:val="bi"/>
                      </m:rPr>
                      <w:rPr>
                        <w:rFonts w:ascii="Cambria Math" w:hAnsi="Cambria Math"/>
                        <w:lang w:eastAsia="en-US"/>
                      </w:rPr>
                      <m:t>C</m:t>
                    </m:r>
                  </m:den>
                </m:f>
              </m:oMath>
            </m:oMathPara>
          </w:p>
        </w:tc>
      </w:tr>
      <w:tr w:rsidR="0092747B" w:rsidRPr="00C9343F" w14:paraId="44B0CE3C" w14:textId="77777777" w:rsidTr="00445FEB">
        <w:tc>
          <w:tcPr>
            <w:tcW w:w="992" w:type="dxa"/>
          </w:tcPr>
          <w:p w14:paraId="3DDE85EE" w14:textId="77777777" w:rsidR="0092747B" w:rsidRPr="00C9343F" w:rsidRDefault="0092747B" w:rsidP="00445FEB">
            <w:pPr>
              <w:pStyle w:val="Sectiontext0"/>
              <w:spacing w:line="276" w:lineRule="auto"/>
              <w:jc w:val="center"/>
              <w:rPr>
                <w:lang w:eastAsia="en-US"/>
              </w:rPr>
            </w:pPr>
          </w:p>
        </w:tc>
        <w:tc>
          <w:tcPr>
            <w:tcW w:w="8367" w:type="dxa"/>
            <w:gridSpan w:val="2"/>
            <w:hideMark/>
          </w:tcPr>
          <w:p w14:paraId="1CC4CB1D" w14:textId="77777777" w:rsidR="0092747B" w:rsidRPr="00C9343F" w:rsidRDefault="0092747B" w:rsidP="00445FEB">
            <w:pPr>
              <w:pStyle w:val="Sectiontext0"/>
              <w:spacing w:line="276" w:lineRule="auto"/>
              <w:rPr>
                <w:lang w:eastAsia="en-US"/>
              </w:rPr>
            </w:pPr>
            <w:r w:rsidRPr="00C9343F">
              <w:rPr>
                <w:iCs/>
                <w:lang w:eastAsia="en-US"/>
              </w:rPr>
              <w:t>Where:</w:t>
            </w:r>
          </w:p>
        </w:tc>
      </w:tr>
      <w:tr w:rsidR="0092747B" w:rsidRPr="00C9343F" w14:paraId="1D3C6E04" w14:textId="77777777" w:rsidTr="00445FEB">
        <w:tc>
          <w:tcPr>
            <w:tcW w:w="992" w:type="dxa"/>
          </w:tcPr>
          <w:p w14:paraId="4DE49E33" w14:textId="77777777" w:rsidR="0092747B" w:rsidRPr="00C9343F" w:rsidRDefault="0092747B" w:rsidP="00445FEB">
            <w:pPr>
              <w:pStyle w:val="Sectiontext0"/>
              <w:spacing w:line="276" w:lineRule="auto"/>
              <w:jc w:val="center"/>
              <w:rPr>
                <w:lang w:eastAsia="en-US"/>
              </w:rPr>
            </w:pPr>
          </w:p>
        </w:tc>
        <w:tc>
          <w:tcPr>
            <w:tcW w:w="596" w:type="dxa"/>
            <w:hideMark/>
          </w:tcPr>
          <w:p w14:paraId="5695F287" w14:textId="77777777" w:rsidR="0092747B" w:rsidRPr="00C9343F" w:rsidRDefault="0092747B" w:rsidP="00445FEB">
            <w:pPr>
              <w:pStyle w:val="Sectiontext0"/>
              <w:spacing w:line="276" w:lineRule="auto"/>
              <w:rPr>
                <w:b/>
                <w:lang w:eastAsia="en-US"/>
              </w:rPr>
            </w:pPr>
            <w:r w:rsidRPr="00C9343F">
              <w:rPr>
                <w:b/>
                <w:iCs/>
                <w:lang w:eastAsia="en-US"/>
              </w:rPr>
              <w:t>A</w:t>
            </w:r>
          </w:p>
        </w:tc>
        <w:tc>
          <w:tcPr>
            <w:tcW w:w="7771" w:type="dxa"/>
            <w:hideMark/>
          </w:tcPr>
          <w:p w14:paraId="51860360" w14:textId="77777777" w:rsidR="0092747B" w:rsidRPr="00C9343F" w:rsidRDefault="0092747B" w:rsidP="00445FEB">
            <w:pPr>
              <w:pStyle w:val="Sectiontext0"/>
              <w:spacing w:line="276" w:lineRule="auto"/>
              <w:rPr>
                <w:lang w:eastAsia="en-US"/>
              </w:rPr>
            </w:pPr>
            <w:r w:rsidRPr="00C9343F">
              <w:rPr>
                <w:lang w:eastAsia="en-US"/>
              </w:rPr>
              <w:t>is the rate of salary the former member would have received, including any higher duties allowance, on the day the refresher training course begins at the rank they held on the day before they left the ADF.</w:t>
            </w:r>
          </w:p>
        </w:tc>
      </w:tr>
      <w:tr w:rsidR="0092747B" w:rsidRPr="00C9343F" w14:paraId="552A929E" w14:textId="77777777" w:rsidTr="00445FEB">
        <w:tc>
          <w:tcPr>
            <w:tcW w:w="992" w:type="dxa"/>
          </w:tcPr>
          <w:p w14:paraId="325557C3" w14:textId="77777777" w:rsidR="0092747B" w:rsidRPr="00C9343F" w:rsidRDefault="0092747B" w:rsidP="00445FEB">
            <w:pPr>
              <w:pStyle w:val="Sectiontext0"/>
              <w:spacing w:line="276" w:lineRule="auto"/>
              <w:jc w:val="center"/>
              <w:rPr>
                <w:lang w:eastAsia="en-US"/>
              </w:rPr>
            </w:pPr>
          </w:p>
        </w:tc>
        <w:tc>
          <w:tcPr>
            <w:tcW w:w="596" w:type="dxa"/>
            <w:hideMark/>
          </w:tcPr>
          <w:p w14:paraId="0F14922F" w14:textId="77777777" w:rsidR="0092747B" w:rsidRPr="00C9343F" w:rsidRDefault="0092747B" w:rsidP="00445FEB">
            <w:pPr>
              <w:pStyle w:val="Sectiontext0"/>
              <w:spacing w:line="276" w:lineRule="auto"/>
              <w:rPr>
                <w:b/>
                <w:lang w:eastAsia="en-US"/>
              </w:rPr>
            </w:pPr>
            <w:r w:rsidRPr="00C9343F">
              <w:rPr>
                <w:b/>
                <w:iCs/>
                <w:lang w:eastAsia="en-US"/>
              </w:rPr>
              <w:t>B</w:t>
            </w:r>
          </w:p>
        </w:tc>
        <w:tc>
          <w:tcPr>
            <w:tcW w:w="7771" w:type="dxa"/>
            <w:hideMark/>
          </w:tcPr>
          <w:p w14:paraId="2338CD59" w14:textId="77777777" w:rsidR="0092747B" w:rsidRPr="00C9343F" w:rsidRDefault="0092747B" w:rsidP="00445FEB">
            <w:pPr>
              <w:pStyle w:val="Sectiontext0"/>
              <w:spacing w:line="276" w:lineRule="auto"/>
              <w:rPr>
                <w:lang w:eastAsia="en-US"/>
              </w:rPr>
            </w:pPr>
            <w:r w:rsidRPr="00C9343F">
              <w:rPr>
                <w:lang w:eastAsia="en-US"/>
              </w:rPr>
              <w:t>is the salary, excluding overtime or penalty rates, a civilian employer would pay them on the day the refresher training course begins.</w:t>
            </w:r>
          </w:p>
        </w:tc>
      </w:tr>
      <w:tr w:rsidR="0092747B" w:rsidRPr="00C9343F" w14:paraId="629BE58D" w14:textId="77777777" w:rsidTr="00445FEB">
        <w:tc>
          <w:tcPr>
            <w:tcW w:w="992" w:type="dxa"/>
          </w:tcPr>
          <w:p w14:paraId="5D479595" w14:textId="77777777" w:rsidR="0092747B" w:rsidRPr="00C9343F" w:rsidRDefault="0092747B" w:rsidP="00445FEB">
            <w:pPr>
              <w:pStyle w:val="Sectiontext0"/>
              <w:spacing w:line="276" w:lineRule="auto"/>
              <w:jc w:val="center"/>
              <w:rPr>
                <w:lang w:eastAsia="en-US"/>
              </w:rPr>
            </w:pPr>
          </w:p>
        </w:tc>
        <w:tc>
          <w:tcPr>
            <w:tcW w:w="596" w:type="dxa"/>
            <w:hideMark/>
          </w:tcPr>
          <w:p w14:paraId="1E425B55" w14:textId="77777777" w:rsidR="0092747B" w:rsidRPr="00C9343F" w:rsidRDefault="0092747B" w:rsidP="00445FEB">
            <w:pPr>
              <w:pStyle w:val="Sectiontext0"/>
              <w:spacing w:line="276" w:lineRule="auto"/>
              <w:rPr>
                <w:b/>
                <w:lang w:eastAsia="en-US"/>
              </w:rPr>
            </w:pPr>
            <w:r w:rsidRPr="00C9343F">
              <w:rPr>
                <w:b/>
                <w:iCs/>
                <w:lang w:eastAsia="en-US"/>
              </w:rPr>
              <w:t>C</w:t>
            </w:r>
          </w:p>
        </w:tc>
        <w:tc>
          <w:tcPr>
            <w:tcW w:w="7771" w:type="dxa"/>
            <w:hideMark/>
          </w:tcPr>
          <w:p w14:paraId="72B69C6D" w14:textId="77777777" w:rsidR="0092747B" w:rsidRPr="00C9343F" w:rsidRDefault="0092747B" w:rsidP="00445FEB">
            <w:pPr>
              <w:pStyle w:val="Default"/>
              <w:spacing w:line="276" w:lineRule="auto"/>
            </w:pPr>
            <w:r w:rsidRPr="00C9343F">
              <w:t xml:space="preserve">is the period of the refresher training course up to a maximum of 90 days. </w:t>
            </w:r>
          </w:p>
        </w:tc>
      </w:tr>
    </w:tbl>
    <w:p w14:paraId="130ACDA0" w14:textId="77777777" w:rsidR="006D1E1C" w:rsidRPr="00C9343F" w:rsidRDefault="006D1E1C" w:rsidP="00F66D98"/>
    <w:p w14:paraId="207F264E" w14:textId="434AFAE5" w:rsidR="006D1E1C" w:rsidRPr="00C9343F" w:rsidRDefault="006D1E1C" w:rsidP="00F66D98">
      <w:pPr>
        <w:pStyle w:val="Heading4"/>
        <w:pageBreakBefore/>
      </w:pPr>
      <w:bookmarkStart w:id="1095" w:name="_Toc105053893"/>
      <w:r w:rsidRPr="00C9343F">
        <w:t xml:space="preserve">Division 4: Australian Defence Force Academy </w:t>
      </w:r>
      <w:r w:rsidR="002E0C4C" w:rsidRPr="00C9343F">
        <w:t>learning materials</w:t>
      </w:r>
      <w:bookmarkEnd w:id="1095"/>
    </w:p>
    <w:p w14:paraId="48ED3422" w14:textId="6037B7BE" w:rsidR="006D1E1C" w:rsidRPr="00C9343F" w:rsidRDefault="006D1E1C" w:rsidP="00F66D98">
      <w:pPr>
        <w:pStyle w:val="Heading5"/>
      </w:pPr>
      <w:bookmarkStart w:id="1096" w:name="_Toc105053894"/>
      <w:r w:rsidRPr="00C9343F">
        <w:t>4.8.19</w:t>
      </w:r>
      <w:r w:rsidR="00D94006" w:rsidRPr="00C9343F">
        <w:t>    </w:t>
      </w:r>
      <w:r w:rsidRPr="00C9343F">
        <w:t>Purpose</w:t>
      </w:r>
      <w:bookmarkEnd w:id="1096"/>
    </w:p>
    <w:tbl>
      <w:tblPr>
        <w:tblW w:w="9355" w:type="dxa"/>
        <w:tblInd w:w="113" w:type="dxa"/>
        <w:tblLayout w:type="fixed"/>
        <w:tblLook w:val="0000" w:firstRow="0" w:lastRow="0" w:firstColumn="0" w:lastColumn="0" w:noHBand="0" w:noVBand="0"/>
      </w:tblPr>
      <w:tblGrid>
        <w:gridCol w:w="992"/>
        <w:gridCol w:w="8363"/>
      </w:tblGrid>
      <w:tr w:rsidR="002E0C4C" w:rsidRPr="00C9343F" w14:paraId="46676AF3" w14:textId="77777777" w:rsidTr="002E0C4C">
        <w:tc>
          <w:tcPr>
            <w:tcW w:w="992" w:type="dxa"/>
          </w:tcPr>
          <w:p w14:paraId="4EF5E63A" w14:textId="77777777" w:rsidR="002E0C4C" w:rsidRPr="00C9343F" w:rsidRDefault="002E0C4C" w:rsidP="00F66D98">
            <w:pPr>
              <w:pStyle w:val="BlockText-PlainNoSpacing"/>
              <w:jc w:val="center"/>
            </w:pPr>
          </w:p>
        </w:tc>
        <w:tc>
          <w:tcPr>
            <w:tcW w:w="8363" w:type="dxa"/>
          </w:tcPr>
          <w:p w14:paraId="4A8E0BCC" w14:textId="0DB73C67" w:rsidR="002E0C4C" w:rsidRPr="00C9343F" w:rsidRDefault="002E0C4C" w:rsidP="00F66D98">
            <w:pPr>
              <w:pStyle w:val="BlockText-PlainNoSpacing"/>
              <w:spacing w:before="0" w:after="200"/>
            </w:pPr>
            <w:r w:rsidRPr="00C9343F">
              <w:rPr>
                <w:iCs/>
              </w:rPr>
              <w:t>This Division provides members who are trainees and undertaking undergraduate studies at the Australian Defence Force Academy with a benefit to cover the costs of certain learning materials required for their studies.</w:t>
            </w:r>
          </w:p>
        </w:tc>
      </w:tr>
    </w:tbl>
    <w:p w14:paraId="087EBDF4" w14:textId="5733D56D" w:rsidR="006D1E1C" w:rsidRPr="00C9343F" w:rsidRDefault="006D1E1C" w:rsidP="00F66D98">
      <w:pPr>
        <w:pStyle w:val="Heading5"/>
      </w:pPr>
      <w:bookmarkStart w:id="1097" w:name="_Toc105053895"/>
      <w:r w:rsidRPr="00C9343F">
        <w:t>4.8.20</w:t>
      </w:r>
      <w:r w:rsidR="00D94006" w:rsidRPr="00C9343F">
        <w:t>    </w:t>
      </w:r>
      <w:r w:rsidRPr="00C9343F">
        <w:t>Member this Part applies to</w:t>
      </w:r>
      <w:bookmarkEnd w:id="1097"/>
    </w:p>
    <w:tbl>
      <w:tblPr>
        <w:tblW w:w="9355" w:type="dxa"/>
        <w:tblInd w:w="113" w:type="dxa"/>
        <w:tblLayout w:type="fixed"/>
        <w:tblLook w:val="0000" w:firstRow="0" w:lastRow="0" w:firstColumn="0" w:lastColumn="0" w:noHBand="0" w:noVBand="0"/>
      </w:tblPr>
      <w:tblGrid>
        <w:gridCol w:w="992"/>
        <w:gridCol w:w="8363"/>
      </w:tblGrid>
      <w:tr w:rsidR="006D1E1C" w:rsidRPr="00C9343F" w14:paraId="56AA6416" w14:textId="77777777" w:rsidTr="002E0C4C">
        <w:tc>
          <w:tcPr>
            <w:tcW w:w="992" w:type="dxa"/>
          </w:tcPr>
          <w:p w14:paraId="0149ECAC" w14:textId="77777777" w:rsidR="006D1E1C" w:rsidRPr="00C9343F" w:rsidRDefault="006D1E1C" w:rsidP="00F66D98">
            <w:pPr>
              <w:pStyle w:val="BlockText-PlainNoSpacing"/>
              <w:jc w:val="center"/>
            </w:pPr>
          </w:p>
        </w:tc>
        <w:tc>
          <w:tcPr>
            <w:tcW w:w="8363" w:type="dxa"/>
          </w:tcPr>
          <w:p w14:paraId="0C092A5A" w14:textId="77777777" w:rsidR="006D1E1C" w:rsidRPr="00C9343F" w:rsidRDefault="006D1E1C" w:rsidP="00F66D98">
            <w:pPr>
              <w:pStyle w:val="BlockText-PlainNoSpacing"/>
              <w:spacing w:before="0" w:after="200"/>
            </w:pPr>
            <w:r w:rsidRPr="00C9343F">
              <w:t>This Part applies to a trainee who is an undergraduate posted to the Australian Defence Force Academy.</w:t>
            </w:r>
          </w:p>
        </w:tc>
      </w:tr>
    </w:tbl>
    <w:p w14:paraId="6C28403B" w14:textId="77777777" w:rsidR="002E0C4C" w:rsidRPr="00C9343F" w:rsidRDefault="002E0C4C" w:rsidP="00F66D98">
      <w:pPr>
        <w:pStyle w:val="Heading5"/>
      </w:pPr>
      <w:bookmarkStart w:id="1098" w:name="_Toc105053896"/>
      <w:bookmarkStart w:id="1099" w:name="_Toc71899618"/>
      <w:bookmarkStart w:id="1100" w:name="bk1219224133Reimbursementfortextbooks"/>
      <w:r w:rsidRPr="00C9343F">
        <w:t>4.8.21    Learning materials</w:t>
      </w:r>
      <w:bookmarkEnd w:id="1098"/>
      <w:r w:rsidRPr="00C9343F">
        <w:t xml:space="preserve"> </w:t>
      </w:r>
    </w:p>
    <w:tbl>
      <w:tblPr>
        <w:tblW w:w="9359" w:type="dxa"/>
        <w:tblInd w:w="113" w:type="dxa"/>
        <w:tblLayout w:type="fixed"/>
        <w:tblLook w:val="0000" w:firstRow="0" w:lastRow="0" w:firstColumn="0" w:lastColumn="0" w:noHBand="0" w:noVBand="0"/>
      </w:tblPr>
      <w:tblGrid>
        <w:gridCol w:w="992"/>
        <w:gridCol w:w="567"/>
        <w:gridCol w:w="7800"/>
      </w:tblGrid>
      <w:tr w:rsidR="002E0C4C" w:rsidRPr="00C9343F" w14:paraId="2D2AB496" w14:textId="77777777" w:rsidTr="002E0C4C">
        <w:tc>
          <w:tcPr>
            <w:tcW w:w="992" w:type="dxa"/>
          </w:tcPr>
          <w:p w14:paraId="5F34F578" w14:textId="77777777" w:rsidR="002E0C4C" w:rsidRPr="00C9343F" w:rsidRDefault="002E0C4C" w:rsidP="00F66D98">
            <w:pPr>
              <w:pStyle w:val="BlockText-Plain"/>
              <w:jc w:val="center"/>
            </w:pPr>
          </w:p>
        </w:tc>
        <w:tc>
          <w:tcPr>
            <w:tcW w:w="8367" w:type="dxa"/>
            <w:gridSpan w:val="2"/>
          </w:tcPr>
          <w:p w14:paraId="0DB9D4F0" w14:textId="77777777" w:rsidR="002E0C4C" w:rsidRPr="00C9343F" w:rsidRDefault="002E0C4C" w:rsidP="00F66D98">
            <w:pPr>
              <w:pStyle w:val="BlockText-Plain"/>
            </w:pPr>
            <w:r w:rsidRPr="00C9343F">
              <w:t>A member is eligible to be reimbursed the costs of compulsory learning material purchased by the member if all of the following apply.</w:t>
            </w:r>
          </w:p>
        </w:tc>
      </w:tr>
      <w:tr w:rsidR="002E0C4C" w:rsidRPr="00C9343F" w14:paraId="5255C3B6" w14:textId="77777777" w:rsidTr="002E0C4C">
        <w:tc>
          <w:tcPr>
            <w:tcW w:w="992" w:type="dxa"/>
          </w:tcPr>
          <w:p w14:paraId="5A5E9736" w14:textId="77777777" w:rsidR="002E0C4C" w:rsidRPr="00C9343F" w:rsidRDefault="002E0C4C" w:rsidP="00F66D98">
            <w:pPr>
              <w:pStyle w:val="BlockText-Plain"/>
              <w:jc w:val="center"/>
            </w:pPr>
          </w:p>
        </w:tc>
        <w:tc>
          <w:tcPr>
            <w:tcW w:w="567" w:type="dxa"/>
          </w:tcPr>
          <w:p w14:paraId="79DBDFB6" w14:textId="77777777" w:rsidR="002E0C4C" w:rsidRPr="00C9343F" w:rsidRDefault="002E0C4C" w:rsidP="00F66D98">
            <w:pPr>
              <w:pStyle w:val="BlockText-Plain"/>
              <w:jc w:val="center"/>
            </w:pPr>
            <w:r w:rsidRPr="00C9343F">
              <w:t>a.</w:t>
            </w:r>
          </w:p>
        </w:tc>
        <w:tc>
          <w:tcPr>
            <w:tcW w:w="7800" w:type="dxa"/>
          </w:tcPr>
          <w:p w14:paraId="032234F1" w14:textId="77777777" w:rsidR="002E0C4C" w:rsidRPr="00C9343F" w:rsidRDefault="002E0C4C" w:rsidP="00F66D98">
            <w:pPr>
              <w:pStyle w:val="BlockText-Plain"/>
              <w:rPr>
                <w:b/>
              </w:rPr>
            </w:pPr>
            <w:r w:rsidRPr="00C9343F">
              <w:t>The compulsory learning materials have not been provided to the member.</w:t>
            </w:r>
          </w:p>
        </w:tc>
      </w:tr>
      <w:tr w:rsidR="002E0C4C" w:rsidRPr="00C9343F" w14:paraId="7218CB2B" w14:textId="77777777" w:rsidTr="002E0C4C">
        <w:tc>
          <w:tcPr>
            <w:tcW w:w="992" w:type="dxa"/>
          </w:tcPr>
          <w:p w14:paraId="3F4205DF" w14:textId="77777777" w:rsidR="002E0C4C" w:rsidRPr="00C9343F" w:rsidRDefault="002E0C4C" w:rsidP="00F66D98">
            <w:pPr>
              <w:pStyle w:val="BlockText-Plain"/>
              <w:jc w:val="center"/>
            </w:pPr>
          </w:p>
        </w:tc>
        <w:tc>
          <w:tcPr>
            <w:tcW w:w="567" w:type="dxa"/>
          </w:tcPr>
          <w:p w14:paraId="62E803F1" w14:textId="77777777" w:rsidR="002E0C4C" w:rsidRPr="00C9343F" w:rsidRDefault="002E0C4C" w:rsidP="00F66D98">
            <w:pPr>
              <w:pStyle w:val="BlockText-Plain"/>
              <w:jc w:val="center"/>
            </w:pPr>
            <w:r w:rsidRPr="00C9343F">
              <w:t>b.</w:t>
            </w:r>
          </w:p>
        </w:tc>
        <w:tc>
          <w:tcPr>
            <w:tcW w:w="7800" w:type="dxa"/>
          </w:tcPr>
          <w:p w14:paraId="79EC1CC6" w14:textId="77777777" w:rsidR="002E0C4C" w:rsidRPr="00C9343F" w:rsidRDefault="002E0C4C" w:rsidP="00F66D98">
            <w:pPr>
              <w:pStyle w:val="BlockText-Plain"/>
            </w:pPr>
            <w:r w:rsidRPr="00C9343F">
              <w:t>The</w:t>
            </w:r>
            <w:r w:rsidRPr="00C9343F">
              <w:rPr>
                <w:b/>
              </w:rPr>
              <w:t xml:space="preserve"> </w:t>
            </w:r>
            <w:r w:rsidRPr="00C9343F">
              <w:t xml:space="preserve">compulsory learning materials have been approved by the Commandant </w:t>
            </w:r>
            <w:r w:rsidRPr="00C9343F">
              <w:rPr>
                <w:iCs/>
              </w:rPr>
              <w:t>Australian Defence Force Academy</w:t>
            </w:r>
            <w:r w:rsidRPr="00C9343F">
              <w:t>.</w:t>
            </w:r>
          </w:p>
        </w:tc>
      </w:tr>
      <w:bookmarkEnd w:id="1099"/>
      <w:bookmarkEnd w:id="1100"/>
    </w:tbl>
    <w:p w14:paraId="55810E63" w14:textId="77777777" w:rsidR="006D1E1C" w:rsidRPr="00C9343F" w:rsidRDefault="006D1E1C" w:rsidP="00F66D98"/>
    <w:p w14:paraId="5311D35D" w14:textId="7F40060D" w:rsidR="006D1E1C" w:rsidRPr="00C9343F" w:rsidRDefault="006D1E1C" w:rsidP="006F4E50">
      <w:pPr>
        <w:pStyle w:val="Heading4"/>
        <w:pageBreakBefore/>
      </w:pPr>
      <w:bookmarkStart w:id="1101" w:name="_Toc105053897"/>
      <w:r w:rsidRPr="00C9343F">
        <w:t>Division 5: In-service medical officers – refresher training</w:t>
      </w:r>
      <w:bookmarkEnd w:id="1101"/>
    </w:p>
    <w:p w14:paraId="6DE68A19" w14:textId="1E31395F" w:rsidR="006D1E1C" w:rsidRPr="00C9343F" w:rsidRDefault="006D1E1C" w:rsidP="00F66D98">
      <w:pPr>
        <w:pStyle w:val="Heading5"/>
      </w:pPr>
      <w:bookmarkStart w:id="1102" w:name="_Toc105053898"/>
      <w:r w:rsidRPr="00C9343F">
        <w:t>4.8.22</w:t>
      </w:r>
      <w:r w:rsidR="00D94006" w:rsidRPr="00C9343F">
        <w:t>    </w:t>
      </w:r>
      <w:r w:rsidRPr="00C9343F">
        <w:t>Purpose</w:t>
      </w:r>
      <w:bookmarkEnd w:id="1102"/>
    </w:p>
    <w:tbl>
      <w:tblPr>
        <w:tblW w:w="0" w:type="auto"/>
        <w:tblInd w:w="113" w:type="dxa"/>
        <w:tblLayout w:type="fixed"/>
        <w:tblLook w:val="0000" w:firstRow="0" w:lastRow="0" w:firstColumn="0" w:lastColumn="0" w:noHBand="0" w:noVBand="0"/>
      </w:tblPr>
      <w:tblGrid>
        <w:gridCol w:w="992"/>
        <w:gridCol w:w="8363"/>
      </w:tblGrid>
      <w:tr w:rsidR="006D1E1C" w:rsidRPr="00C9343F" w14:paraId="38EAB368" w14:textId="77777777" w:rsidTr="006D1E1C">
        <w:tc>
          <w:tcPr>
            <w:tcW w:w="992" w:type="dxa"/>
          </w:tcPr>
          <w:p w14:paraId="404CCFD4" w14:textId="77777777" w:rsidR="006D1E1C" w:rsidRPr="00C9343F" w:rsidRDefault="006D1E1C" w:rsidP="00F66D98">
            <w:pPr>
              <w:pStyle w:val="BlockText-Plain"/>
              <w:jc w:val="center"/>
            </w:pPr>
          </w:p>
        </w:tc>
        <w:tc>
          <w:tcPr>
            <w:tcW w:w="8363" w:type="dxa"/>
          </w:tcPr>
          <w:p w14:paraId="5DCDBD79" w14:textId="77777777" w:rsidR="006D1E1C" w:rsidRPr="00C9343F" w:rsidRDefault="006D1E1C" w:rsidP="00F66D98">
            <w:pPr>
              <w:pStyle w:val="BlockText-Plain"/>
            </w:pPr>
            <w:r w:rsidRPr="00C9343F">
              <w:t>In-service training assistance is provided to serving medical officers to allow them to undertake refresher training or experience, except where the training is a Service requirement.</w:t>
            </w:r>
          </w:p>
        </w:tc>
      </w:tr>
    </w:tbl>
    <w:p w14:paraId="1EF17E91" w14:textId="0FA9B636" w:rsidR="006D1E1C" w:rsidRPr="00C9343F" w:rsidRDefault="006D1E1C" w:rsidP="00F66D98">
      <w:pPr>
        <w:pStyle w:val="Heading5"/>
      </w:pPr>
      <w:bookmarkStart w:id="1103" w:name="_Toc105053899"/>
      <w:r w:rsidRPr="00C9343F">
        <w:t>4.8.23</w:t>
      </w:r>
      <w:r w:rsidR="00D94006" w:rsidRPr="00C9343F">
        <w:t>    </w:t>
      </w:r>
      <w:r w:rsidRPr="00C9343F">
        <w:t>Members this Division applies to</w:t>
      </w:r>
      <w:bookmarkEnd w:id="1103"/>
    </w:p>
    <w:tbl>
      <w:tblPr>
        <w:tblW w:w="0" w:type="auto"/>
        <w:tblInd w:w="113" w:type="dxa"/>
        <w:tblLayout w:type="fixed"/>
        <w:tblLook w:val="0000" w:firstRow="0" w:lastRow="0" w:firstColumn="0" w:lastColumn="0" w:noHBand="0" w:noVBand="0"/>
      </w:tblPr>
      <w:tblGrid>
        <w:gridCol w:w="992"/>
        <w:gridCol w:w="8363"/>
      </w:tblGrid>
      <w:tr w:rsidR="006D1E1C" w:rsidRPr="00C9343F" w14:paraId="2C36FA33" w14:textId="77777777" w:rsidTr="006D1E1C">
        <w:tc>
          <w:tcPr>
            <w:tcW w:w="992" w:type="dxa"/>
          </w:tcPr>
          <w:p w14:paraId="319135BA" w14:textId="77777777" w:rsidR="006D1E1C" w:rsidRPr="00C9343F" w:rsidRDefault="006D1E1C" w:rsidP="00F66D98">
            <w:pPr>
              <w:pStyle w:val="BlockText-Plain"/>
              <w:jc w:val="center"/>
            </w:pPr>
          </w:p>
        </w:tc>
        <w:tc>
          <w:tcPr>
            <w:tcW w:w="8363" w:type="dxa"/>
          </w:tcPr>
          <w:p w14:paraId="2AC6EB20" w14:textId="77777777" w:rsidR="006D1E1C" w:rsidRPr="00C9343F" w:rsidRDefault="006D1E1C" w:rsidP="00F66D98">
            <w:pPr>
              <w:pStyle w:val="BlockText-Plain"/>
            </w:pPr>
            <w:r w:rsidRPr="00C9343F">
              <w:t>This Division applies to a medical officer serving on an indefinite appointment.</w:t>
            </w:r>
          </w:p>
        </w:tc>
      </w:tr>
    </w:tbl>
    <w:p w14:paraId="54294C9E" w14:textId="7195307D" w:rsidR="006D1E1C" w:rsidRPr="00C9343F" w:rsidRDefault="006D1E1C" w:rsidP="00F66D98">
      <w:pPr>
        <w:pStyle w:val="Heading5"/>
      </w:pPr>
      <w:bookmarkStart w:id="1104" w:name="_Toc105053900"/>
      <w:r w:rsidRPr="00C9343F">
        <w:t>4.8.24</w:t>
      </w:r>
      <w:r w:rsidR="00D94006" w:rsidRPr="00C9343F">
        <w:t>    </w:t>
      </w:r>
      <w:r w:rsidRPr="00C9343F">
        <w:t>Conditions of training</w:t>
      </w:r>
      <w:bookmarkEnd w:id="1104"/>
    </w:p>
    <w:tbl>
      <w:tblPr>
        <w:tblW w:w="9355" w:type="dxa"/>
        <w:tblInd w:w="113" w:type="dxa"/>
        <w:tblLayout w:type="fixed"/>
        <w:tblLook w:val="0000" w:firstRow="0" w:lastRow="0" w:firstColumn="0" w:lastColumn="0" w:noHBand="0" w:noVBand="0"/>
      </w:tblPr>
      <w:tblGrid>
        <w:gridCol w:w="992"/>
        <w:gridCol w:w="8363"/>
      </w:tblGrid>
      <w:tr w:rsidR="006D1E1C" w:rsidRPr="00C9343F" w14:paraId="4257934C" w14:textId="77777777" w:rsidTr="004E5563">
        <w:tc>
          <w:tcPr>
            <w:tcW w:w="992" w:type="dxa"/>
          </w:tcPr>
          <w:p w14:paraId="4F6D3E49" w14:textId="77777777" w:rsidR="006D1E1C" w:rsidRPr="00C9343F" w:rsidRDefault="006D1E1C" w:rsidP="00F66D98">
            <w:pPr>
              <w:pStyle w:val="BlockText-Plain"/>
              <w:jc w:val="center"/>
            </w:pPr>
            <w:r w:rsidRPr="00C9343F">
              <w:t>1.</w:t>
            </w:r>
          </w:p>
        </w:tc>
        <w:tc>
          <w:tcPr>
            <w:tcW w:w="8363" w:type="dxa"/>
          </w:tcPr>
          <w:p w14:paraId="2CFB5E26" w14:textId="77777777" w:rsidR="006D1E1C" w:rsidRPr="00C9343F" w:rsidRDefault="006D1E1C" w:rsidP="00F66D98">
            <w:pPr>
              <w:pStyle w:val="BlockText-Plain"/>
            </w:pPr>
            <w:r w:rsidRPr="00C9343F">
              <w:t>The CDF may approve the member to undertake refresher training for a maximum of 12 months on full salary after each completed six years of service.</w:t>
            </w:r>
          </w:p>
        </w:tc>
      </w:tr>
      <w:tr w:rsidR="006D1E1C" w:rsidRPr="00C9343F" w14:paraId="13F0B9B5" w14:textId="77777777" w:rsidTr="004E5563">
        <w:tc>
          <w:tcPr>
            <w:tcW w:w="992" w:type="dxa"/>
          </w:tcPr>
          <w:p w14:paraId="34BAACFE" w14:textId="77777777" w:rsidR="006D1E1C" w:rsidRPr="00C9343F" w:rsidRDefault="006D1E1C" w:rsidP="00F66D98">
            <w:pPr>
              <w:pStyle w:val="BlockText-Plain"/>
              <w:jc w:val="center"/>
            </w:pPr>
            <w:r w:rsidRPr="00C9343F">
              <w:t>2.</w:t>
            </w:r>
          </w:p>
        </w:tc>
        <w:tc>
          <w:tcPr>
            <w:tcW w:w="8363" w:type="dxa"/>
          </w:tcPr>
          <w:p w14:paraId="788B52B4" w14:textId="77777777" w:rsidR="006D1E1C" w:rsidRPr="00C9343F" w:rsidRDefault="006D1E1C" w:rsidP="00F66D98">
            <w:pPr>
              <w:pStyle w:val="BlockText-Plain"/>
            </w:pPr>
            <w:r w:rsidRPr="00C9343F">
              <w:t>The CDF may approve the member to do the training in one or more periods over the member's service, subject to Service requirements.</w:t>
            </w:r>
          </w:p>
        </w:tc>
      </w:tr>
    </w:tbl>
    <w:p w14:paraId="1AA91979" w14:textId="3F850539" w:rsidR="004E5563" w:rsidRPr="00C9343F" w:rsidRDefault="004E5563" w:rsidP="00F66D98">
      <w:pPr>
        <w:pStyle w:val="Heading5"/>
      </w:pPr>
      <w:bookmarkStart w:id="1105" w:name="_Toc105053901"/>
      <w:r w:rsidRPr="00C9343F">
        <w:t>4.8.25</w:t>
      </w:r>
      <w:r w:rsidR="00D94006" w:rsidRPr="00C9343F">
        <w:t>    </w:t>
      </w:r>
      <w:r w:rsidRPr="00C9343F">
        <w:t>Refresher training allowance</w:t>
      </w:r>
      <w:bookmarkEnd w:id="1105"/>
    </w:p>
    <w:tbl>
      <w:tblPr>
        <w:tblW w:w="9359" w:type="dxa"/>
        <w:tblInd w:w="113" w:type="dxa"/>
        <w:tblLayout w:type="fixed"/>
        <w:tblLook w:val="0000" w:firstRow="0" w:lastRow="0" w:firstColumn="0" w:lastColumn="0" w:noHBand="0" w:noVBand="0"/>
      </w:tblPr>
      <w:tblGrid>
        <w:gridCol w:w="992"/>
        <w:gridCol w:w="563"/>
        <w:gridCol w:w="33"/>
        <w:gridCol w:w="7771"/>
      </w:tblGrid>
      <w:tr w:rsidR="004E5563" w:rsidRPr="00C9343F" w14:paraId="5DF69A56" w14:textId="77777777" w:rsidTr="0027112A">
        <w:tc>
          <w:tcPr>
            <w:tcW w:w="992" w:type="dxa"/>
          </w:tcPr>
          <w:p w14:paraId="6442E988" w14:textId="77777777" w:rsidR="004E5563" w:rsidRPr="00C9343F" w:rsidRDefault="004E5563" w:rsidP="00F66D98">
            <w:pPr>
              <w:pStyle w:val="Sectiontext0"/>
              <w:jc w:val="center"/>
            </w:pPr>
            <w:r w:rsidRPr="00C9343F">
              <w:t>1.</w:t>
            </w:r>
          </w:p>
        </w:tc>
        <w:tc>
          <w:tcPr>
            <w:tcW w:w="8367" w:type="dxa"/>
            <w:gridSpan w:val="3"/>
          </w:tcPr>
          <w:p w14:paraId="7605F78C" w14:textId="77777777" w:rsidR="004E5563" w:rsidRPr="00C9343F" w:rsidRDefault="004E5563" w:rsidP="00F66D98">
            <w:pPr>
              <w:pStyle w:val="Sectiontext0"/>
            </w:pPr>
            <w:r w:rsidRPr="00C9343F">
              <w:t xml:space="preserve">A member is eligible for an allowance payable at the end of each 3-month period if all of the following are met. </w:t>
            </w:r>
          </w:p>
        </w:tc>
      </w:tr>
      <w:tr w:rsidR="004E5563" w:rsidRPr="00C9343F" w14:paraId="52D46B6F" w14:textId="77777777" w:rsidTr="0027112A">
        <w:tc>
          <w:tcPr>
            <w:tcW w:w="992" w:type="dxa"/>
          </w:tcPr>
          <w:p w14:paraId="588BC569" w14:textId="77777777" w:rsidR="004E5563" w:rsidRPr="00C9343F" w:rsidRDefault="004E5563" w:rsidP="00F66D98">
            <w:pPr>
              <w:pStyle w:val="Sectiontext0"/>
              <w:jc w:val="center"/>
            </w:pPr>
          </w:p>
        </w:tc>
        <w:tc>
          <w:tcPr>
            <w:tcW w:w="596" w:type="dxa"/>
            <w:gridSpan w:val="2"/>
          </w:tcPr>
          <w:p w14:paraId="052123C4" w14:textId="77777777" w:rsidR="004E5563" w:rsidRPr="00C9343F" w:rsidRDefault="004E5563" w:rsidP="00F66D98">
            <w:pPr>
              <w:pStyle w:val="Sectiontext0"/>
              <w:jc w:val="center"/>
            </w:pPr>
            <w:r w:rsidRPr="00C9343F">
              <w:t>a.</w:t>
            </w:r>
          </w:p>
        </w:tc>
        <w:tc>
          <w:tcPr>
            <w:tcW w:w="7771" w:type="dxa"/>
          </w:tcPr>
          <w:p w14:paraId="6365C8C7" w14:textId="77777777" w:rsidR="004E5563" w:rsidRPr="00C9343F" w:rsidRDefault="004E5563" w:rsidP="00F66D98">
            <w:pPr>
              <w:pStyle w:val="Sectiontext0"/>
            </w:pPr>
            <w:r w:rsidRPr="00C9343F">
              <w:t>The member’s refresher training takes place at a civilian hospital.</w:t>
            </w:r>
          </w:p>
        </w:tc>
      </w:tr>
      <w:tr w:rsidR="004E5563" w:rsidRPr="00C9343F" w14:paraId="002C5038" w14:textId="77777777" w:rsidTr="0027112A">
        <w:tc>
          <w:tcPr>
            <w:tcW w:w="992" w:type="dxa"/>
          </w:tcPr>
          <w:p w14:paraId="3A2A65CE" w14:textId="77777777" w:rsidR="004E5563" w:rsidRPr="00C9343F" w:rsidRDefault="004E5563" w:rsidP="00F66D98">
            <w:pPr>
              <w:pStyle w:val="Sectiontext0"/>
              <w:jc w:val="center"/>
            </w:pPr>
          </w:p>
        </w:tc>
        <w:tc>
          <w:tcPr>
            <w:tcW w:w="596" w:type="dxa"/>
            <w:gridSpan w:val="2"/>
          </w:tcPr>
          <w:p w14:paraId="07905992" w14:textId="77777777" w:rsidR="004E5563" w:rsidRPr="00C9343F" w:rsidRDefault="004E5563" w:rsidP="00F66D98">
            <w:pPr>
              <w:pStyle w:val="Sectiontext0"/>
              <w:jc w:val="center"/>
            </w:pPr>
            <w:r w:rsidRPr="00C9343F">
              <w:t>b.</w:t>
            </w:r>
          </w:p>
        </w:tc>
        <w:tc>
          <w:tcPr>
            <w:tcW w:w="7771" w:type="dxa"/>
          </w:tcPr>
          <w:p w14:paraId="47C8DF53" w14:textId="77777777" w:rsidR="004E5563" w:rsidRPr="00C9343F" w:rsidRDefault="004E5563" w:rsidP="00F66D98">
            <w:pPr>
              <w:pStyle w:val="Sectiontext0"/>
            </w:pPr>
            <w:r w:rsidRPr="00C9343F">
              <w:t>The member’s salary is less than the salary the member would have received if they were paid by the hospital.</w:t>
            </w:r>
          </w:p>
        </w:tc>
      </w:tr>
      <w:tr w:rsidR="004E5563" w:rsidRPr="00C9343F" w14:paraId="5E5CB3AA" w14:textId="77777777" w:rsidTr="0027112A">
        <w:tc>
          <w:tcPr>
            <w:tcW w:w="992" w:type="dxa"/>
          </w:tcPr>
          <w:p w14:paraId="3F0E1862" w14:textId="77777777" w:rsidR="004E5563" w:rsidRPr="00C9343F" w:rsidRDefault="004E5563" w:rsidP="00F66D98">
            <w:pPr>
              <w:pStyle w:val="Sectiontext0"/>
              <w:jc w:val="center"/>
            </w:pPr>
            <w:r w:rsidRPr="00C9343F">
              <w:t>2.</w:t>
            </w:r>
          </w:p>
        </w:tc>
        <w:tc>
          <w:tcPr>
            <w:tcW w:w="8367" w:type="dxa"/>
            <w:gridSpan w:val="3"/>
          </w:tcPr>
          <w:p w14:paraId="1ACA4F9B" w14:textId="77777777" w:rsidR="004E5563" w:rsidRPr="00C9343F" w:rsidRDefault="004E5563" w:rsidP="00F66D98">
            <w:pPr>
              <w:pStyle w:val="Sectiontext0"/>
              <w:rPr>
                <w:b/>
              </w:rPr>
            </w:pPr>
            <w:r w:rsidRPr="00C9343F">
              <w:t>The allowance payable under subsection 1 is calculated using the following formula.</w:t>
            </w:r>
          </w:p>
        </w:tc>
      </w:tr>
      <w:tr w:rsidR="004E5563" w:rsidRPr="00C9343F" w14:paraId="3C635AA0" w14:textId="77777777" w:rsidTr="0027112A">
        <w:tc>
          <w:tcPr>
            <w:tcW w:w="992" w:type="dxa"/>
          </w:tcPr>
          <w:p w14:paraId="2565701A" w14:textId="77777777" w:rsidR="004E5563" w:rsidRPr="00C9343F" w:rsidRDefault="004E5563" w:rsidP="00F66D98">
            <w:pPr>
              <w:pStyle w:val="Sectiontext0"/>
              <w:jc w:val="center"/>
            </w:pPr>
          </w:p>
        </w:tc>
        <w:tc>
          <w:tcPr>
            <w:tcW w:w="8367" w:type="dxa"/>
            <w:gridSpan w:val="3"/>
          </w:tcPr>
          <w:p w14:paraId="3F8A6C23" w14:textId="77777777" w:rsidR="004E5563" w:rsidRPr="00C9343F" w:rsidRDefault="004E5563" w:rsidP="00F66D98">
            <w:pPr>
              <w:pStyle w:val="Sectiontext0"/>
              <w:jc w:val="center"/>
              <w:rPr>
                <w:b/>
                <w:bCs/>
              </w:rPr>
            </w:pPr>
            <m:oMathPara>
              <m:oMath>
                <m:r>
                  <m:rPr>
                    <m:sty m:val="bi"/>
                  </m:rPr>
                  <w:rPr>
                    <w:rFonts w:ascii="Cambria Math" w:hAnsi="Cambria Math"/>
                  </w:rPr>
                  <m:t>allowance=</m:t>
                </m:r>
                <m:f>
                  <m:fPr>
                    <m:ctrlPr>
                      <w:rPr>
                        <w:rFonts w:ascii="Cambria Math" w:hAnsi="Cambria Math"/>
                        <w:b/>
                        <w:bCs/>
                        <w:i/>
                      </w:rPr>
                    </m:ctrlPr>
                  </m:fPr>
                  <m:num>
                    <m:r>
                      <m:rPr>
                        <m:sty m:val="bi"/>
                      </m:rPr>
                      <w:rPr>
                        <w:rFonts w:ascii="Cambria Math" w:hAnsi="Cambria Math"/>
                      </w:rPr>
                      <m:t>A-B</m:t>
                    </m:r>
                  </m:num>
                  <m:den>
                    <m:r>
                      <m:rPr>
                        <m:sty m:val="bi"/>
                      </m:rPr>
                      <w:rPr>
                        <w:rFonts w:ascii="Cambria Math" w:hAnsi="Cambria Math"/>
                      </w:rPr>
                      <m:t>4</m:t>
                    </m:r>
                  </m:den>
                </m:f>
              </m:oMath>
            </m:oMathPara>
          </w:p>
        </w:tc>
      </w:tr>
      <w:tr w:rsidR="004E5563" w:rsidRPr="00C9343F" w14:paraId="025C32CD" w14:textId="77777777" w:rsidTr="0027112A">
        <w:tc>
          <w:tcPr>
            <w:tcW w:w="992" w:type="dxa"/>
          </w:tcPr>
          <w:p w14:paraId="4A9872C8" w14:textId="77777777" w:rsidR="004E5563" w:rsidRPr="00C9343F" w:rsidRDefault="004E5563" w:rsidP="00F66D98">
            <w:pPr>
              <w:pStyle w:val="Sectiontext0"/>
              <w:jc w:val="center"/>
            </w:pPr>
          </w:p>
        </w:tc>
        <w:tc>
          <w:tcPr>
            <w:tcW w:w="8367" w:type="dxa"/>
            <w:gridSpan w:val="3"/>
          </w:tcPr>
          <w:p w14:paraId="55784782" w14:textId="77777777" w:rsidR="004E5563" w:rsidRPr="00C9343F" w:rsidRDefault="004E5563" w:rsidP="00F66D98">
            <w:pPr>
              <w:pStyle w:val="Sectiontext0"/>
            </w:pPr>
            <w:r w:rsidRPr="00C9343F">
              <w:t>Where:</w:t>
            </w:r>
          </w:p>
        </w:tc>
      </w:tr>
      <w:tr w:rsidR="004E5563" w:rsidRPr="00C9343F" w14:paraId="3D961E20" w14:textId="77777777" w:rsidTr="0027112A">
        <w:tblPrEx>
          <w:tblLook w:val="04A0" w:firstRow="1" w:lastRow="0" w:firstColumn="1" w:lastColumn="0" w:noHBand="0" w:noVBand="1"/>
        </w:tblPrEx>
        <w:tc>
          <w:tcPr>
            <w:tcW w:w="992" w:type="dxa"/>
          </w:tcPr>
          <w:p w14:paraId="26159D85" w14:textId="77777777" w:rsidR="004E5563" w:rsidRPr="00C9343F" w:rsidRDefault="004E5563" w:rsidP="00F66D98">
            <w:pPr>
              <w:pStyle w:val="Sectiontext0"/>
              <w:jc w:val="center"/>
              <w:rPr>
                <w:lang w:eastAsia="en-US"/>
              </w:rPr>
            </w:pPr>
          </w:p>
        </w:tc>
        <w:tc>
          <w:tcPr>
            <w:tcW w:w="563" w:type="dxa"/>
          </w:tcPr>
          <w:p w14:paraId="2648AFE4" w14:textId="77777777" w:rsidR="004E5563" w:rsidRPr="00C9343F" w:rsidRDefault="004E5563" w:rsidP="00F66D98">
            <w:pPr>
              <w:pStyle w:val="Sectiontext0"/>
              <w:jc w:val="center"/>
              <w:rPr>
                <w:rFonts w:cs="Arial"/>
                <w:b/>
                <w:bCs/>
                <w:lang w:eastAsia="en-US"/>
              </w:rPr>
            </w:pPr>
            <w:r w:rsidRPr="00C9343F">
              <w:rPr>
                <w:rFonts w:cs="Arial"/>
                <w:b/>
                <w:bCs/>
                <w:lang w:eastAsia="en-US"/>
              </w:rPr>
              <w:t>A</w:t>
            </w:r>
          </w:p>
        </w:tc>
        <w:tc>
          <w:tcPr>
            <w:tcW w:w="7804" w:type="dxa"/>
            <w:gridSpan w:val="2"/>
          </w:tcPr>
          <w:p w14:paraId="4D908DA0" w14:textId="77777777" w:rsidR="004E5563" w:rsidRPr="00C9343F" w:rsidRDefault="004E5563" w:rsidP="00F66D98">
            <w:pPr>
              <w:pStyle w:val="Sectiontext0"/>
              <w:rPr>
                <w:rFonts w:cs="Arial"/>
                <w:lang w:eastAsia="en-US"/>
              </w:rPr>
            </w:pPr>
            <w:r w:rsidRPr="00C9343F">
              <w:rPr>
                <w:rFonts w:cs="Arial"/>
                <w:lang w:eastAsia="en-US"/>
              </w:rPr>
              <w:t>The annual salary the member would have received if they were paid by the hospital.</w:t>
            </w:r>
          </w:p>
        </w:tc>
      </w:tr>
      <w:tr w:rsidR="004E5563" w:rsidRPr="00C9343F" w14:paraId="774CECD9" w14:textId="77777777" w:rsidTr="0027112A">
        <w:tblPrEx>
          <w:tblLook w:val="04A0" w:firstRow="1" w:lastRow="0" w:firstColumn="1" w:lastColumn="0" w:noHBand="0" w:noVBand="1"/>
        </w:tblPrEx>
        <w:tc>
          <w:tcPr>
            <w:tcW w:w="992" w:type="dxa"/>
          </w:tcPr>
          <w:p w14:paraId="430E73C9" w14:textId="77777777" w:rsidR="004E5563" w:rsidRPr="00C9343F" w:rsidRDefault="004E5563" w:rsidP="00F66D98">
            <w:pPr>
              <w:pStyle w:val="Sectiontext0"/>
              <w:jc w:val="center"/>
              <w:rPr>
                <w:lang w:eastAsia="en-US"/>
              </w:rPr>
            </w:pPr>
          </w:p>
        </w:tc>
        <w:tc>
          <w:tcPr>
            <w:tcW w:w="563" w:type="dxa"/>
          </w:tcPr>
          <w:p w14:paraId="1C7CCEC6" w14:textId="77777777" w:rsidR="004E5563" w:rsidRPr="00C9343F" w:rsidRDefault="004E5563" w:rsidP="00F66D98">
            <w:pPr>
              <w:pStyle w:val="Sectiontext0"/>
              <w:jc w:val="center"/>
              <w:rPr>
                <w:rFonts w:cs="Arial"/>
                <w:b/>
                <w:bCs/>
                <w:lang w:eastAsia="en-US"/>
              </w:rPr>
            </w:pPr>
            <w:r w:rsidRPr="00C9343F">
              <w:rPr>
                <w:rFonts w:cs="Arial"/>
                <w:b/>
                <w:bCs/>
                <w:lang w:eastAsia="en-US"/>
              </w:rPr>
              <w:t>B</w:t>
            </w:r>
          </w:p>
        </w:tc>
        <w:tc>
          <w:tcPr>
            <w:tcW w:w="7804" w:type="dxa"/>
            <w:gridSpan w:val="2"/>
          </w:tcPr>
          <w:p w14:paraId="7B1532DB" w14:textId="77777777" w:rsidR="004E5563" w:rsidRPr="00C9343F" w:rsidRDefault="004E5563" w:rsidP="00F66D98">
            <w:pPr>
              <w:pStyle w:val="Sectiontext0"/>
              <w:rPr>
                <w:rFonts w:cs="Arial"/>
                <w:lang w:eastAsia="en-US"/>
              </w:rPr>
            </w:pPr>
            <w:r w:rsidRPr="00C9343F">
              <w:rPr>
                <w:rFonts w:cs="Arial"/>
                <w:lang w:eastAsia="en-US"/>
              </w:rPr>
              <w:t>The member’s annual salary.</w:t>
            </w:r>
          </w:p>
        </w:tc>
      </w:tr>
    </w:tbl>
    <w:p w14:paraId="06423C20" w14:textId="22DF04B8" w:rsidR="006D1E1C" w:rsidRPr="00C9343F" w:rsidRDefault="006D1E1C" w:rsidP="00F66D98">
      <w:pPr>
        <w:pStyle w:val="Heading5"/>
      </w:pPr>
      <w:bookmarkStart w:id="1106" w:name="_Toc105053902"/>
      <w:r w:rsidRPr="00C9343F">
        <w:t>4.8.26</w:t>
      </w:r>
      <w:r w:rsidR="00D94006" w:rsidRPr="00C9343F">
        <w:t>    </w:t>
      </w:r>
      <w:r w:rsidRPr="00C9343F">
        <w:t>Expenses associated with training</w:t>
      </w:r>
      <w:bookmarkEnd w:id="1106"/>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00EFFAFD" w14:textId="77777777" w:rsidTr="006D1E1C">
        <w:tc>
          <w:tcPr>
            <w:tcW w:w="992" w:type="dxa"/>
          </w:tcPr>
          <w:p w14:paraId="36093E4A" w14:textId="77777777" w:rsidR="006D1E1C" w:rsidRPr="00C9343F" w:rsidRDefault="006D1E1C" w:rsidP="00F66D98">
            <w:pPr>
              <w:pStyle w:val="BlockText-Plain"/>
              <w:jc w:val="center"/>
            </w:pPr>
            <w:r w:rsidRPr="00C9343F">
              <w:t>1.</w:t>
            </w:r>
          </w:p>
        </w:tc>
        <w:tc>
          <w:tcPr>
            <w:tcW w:w="8363" w:type="dxa"/>
            <w:gridSpan w:val="2"/>
          </w:tcPr>
          <w:p w14:paraId="1BA76C3C" w14:textId="77777777" w:rsidR="006D1E1C" w:rsidRPr="00C9343F" w:rsidRDefault="006D1E1C" w:rsidP="00F66D98">
            <w:pPr>
              <w:pStyle w:val="BlockText-Plain"/>
            </w:pPr>
            <w:r w:rsidRPr="00C9343F">
              <w:t>The member is to be reimbursed for these costs.</w:t>
            </w:r>
          </w:p>
        </w:tc>
      </w:tr>
      <w:tr w:rsidR="006D1E1C" w:rsidRPr="00C9343F" w14:paraId="071F5FA3" w14:textId="77777777" w:rsidTr="006D1E1C">
        <w:trPr>
          <w:cantSplit/>
        </w:trPr>
        <w:tc>
          <w:tcPr>
            <w:tcW w:w="992" w:type="dxa"/>
          </w:tcPr>
          <w:p w14:paraId="117C7070" w14:textId="77777777" w:rsidR="006D1E1C" w:rsidRPr="00C9343F" w:rsidRDefault="006D1E1C" w:rsidP="00F66D98">
            <w:pPr>
              <w:pStyle w:val="BlockText-Plain"/>
            </w:pPr>
          </w:p>
        </w:tc>
        <w:tc>
          <w:tcPr>
            <w:tcW w:w="567" w:type="dxa"/>
          </w:tcPr>
          <w:p w14:paraId="6DF238D3" w14:textId="77777777" w:rsidR="006D1E1C" w:rsidRPr="00C9343F" w:rsidRDefault="006D1E1C" w:rsidP="008D1B5D">
            <w:pPr>
              <w:pStyle w:val="BlockText-Plain"/>
              <w:jc w:val="center"/>
            </w:pPr>
            <w:r w:rsidRPr="00C9343F">
              <w:t>a.</w:t>
            </w:r>
          </w:p>
        </w:tc>
        <w:tc>
          <w:tcPr>
            <w:tcW w:w="7796" w:type="dxa"/>
          </w:tcPr>
          <w:p w14:paraId="007AEE94" w14:textId="77777777" w:rsidR="006D1E1C" w:rsidRPr="00C9343F" w:rsidRDefault="006D1E1C" w:rsidP="00F66D98">
            <w:pPr>
              <w:pStyle w:val="BlockText-Plain"/>
            </w:pPr>
            <w:r w:rsidRPr="00C9343F">
              <w:t>Compulsory fees for the training.</w:t>
            </w:r>
          </w:p>
        </w:tc>
      </w:tr>
      <w:tr w:rsidR="006D1E1C" w:rsidRPr="00C9343F" w14:paraId="695CA1CB" w14:textId="77777777" w:rsidTr="006D1E1C">
        <w:trPr>
          <w:cantSplit/>
        </w:trPr>
        <w:tc>
          <w:tcPr>
            <w:tcW w:w="992" w:type="dxa"/>
          </w:tcPr>
          <w:p w14:paraId="59A4A8B6" w14:textId="77777777" w:rsidR="006D1E1C" w:rsidRPr="00C9343F" w:rsidRDefault="006D1E1C" w:rsidP="00F66D98">
            <w:pPr>
              <w:pStyle w:val="BlockText-Plain"/>
            </w:pPr>
          </w:p>
        </w:tc>
        <w:tc>
          <w:tcPr>
            <w:tcW w:w="567" w:type="dxa"/>
          </w:tcPr>
          <w:p w14:paraId="1CE931D0" w14:textId="77777777" w:rsidR="006D1E1C" w:rsidRPr="00C9343F" w:rsidRDefault="006D1E1C" w:rsidP="008D1B5D">
            <w:pPr>
              <w:pStyle w:val="BlockText-Plain"/>
              <w:jc w:val="center"/>
            </w:pPr>
            <w:r w:rsidRPr="00C9343F">
              <w:t>b.</w:t>
            </w:r>
          </w:p>
        </w:tc>
        <w:tc>
          <w:tcPr>
            <w:tcW w:w="7796" w:type="dxa"/>
          </w:tcPr>
          <w:p w14:paraId="3928B2B5" w14:textId="77777777" w:rsidR="006D1E1C" w:rsidRPr="00C9343F" w:rsidRDefault="006D1E1C" w:rsidP="00F66D98">
            <w:pPr>
              <w:pStyle w:val="BlockText-Plain"/>
            </w:pPr>
            <w:r w:rsidRPr="00C9343F">
              <w:t>The cost of textbooks prescribed for a course.</w:t>
            </w:r>
          </w:p>
        </w:tc>
      </w:tr>
      <w:tr w:rsidR="006D1E1C" w:rsidRPr="00C9343F" w14:paraId="6BEBA8B3" w14:textId="77777777" w:rsidTr="006D1E1C">
        <w:tc>
          <w:tcPr>
            <w:tcW w:w="992" w:type="dxa"/>
          </w:tcPr>
          <w:p w14:paraId="21B7D2FF" w14:textId="77777777" w:rsidR="006D1E1C" w:rsidRPr="00C9343F" w:rsidRDefault="006D1E1C" w:rsidP="00F66D98">
            <w:pPr>
              <w:pStyle w:val="BlockText-Plain"/>
              <w:jc w:val="center"/>
            </w:pPr>
            <w:r w:rsidRPr="00C9343F">
              <w:t>2.</w:t>
            </w:r>
          </w:p>
        </w:tc>
        <w:tc>
          <w:tcPr>
            <w:tcW w:w="8363" w:type="dxa"/>
            <w:gridSpan w:val="2"/>
          </w:tcPr>
          <w:p w14:paraId="242649D8" w14:textId="77777777" w:rsidR="006D1E1C" w:rsidRPr="00C9343F" w:rsidRDefault="006D1E1C" w:rsidP="00F66D98">
            <w:pPr>
              <w:pStyle w:val="BlockText-Plain"/>
            </w:pPr>
            <w:r w:rsidRPr="00C9343F">
              <w:t>The ADF may make available, for the duration of the training, medical instruments the member must use in the training.</w:t>
            </w:r>
          </w:p>
        </w:tc>
      </w:tr>
      <w:tr w:rsidR="006D1E1C" w:rsidRPr="00C9343F" w14:paraId="4ED35E41" w14:textId="77777777" w:rsidTr="006D1E1C">
        <w:tc>
          <w:tcPr>
            <w:tcW w:w="992" w:type="dxa"/>
          </w:tcPr>
          <w:p w14:paraId="4AB3D4EF" w14:textId="77777777" w:rsidR="006D1E1C" w:rsidRPr="00C9343F" w:rsidRDefault="006D1E1C" w:rsidP="00F66D98">
            <w:pPr>
              <w:pStyle w:val="BlockText-Plain"/>
              <w:jc w:val="center"/>
            </w:pPr>
            <w:r w:rsidRPr="00C9343F">
              <w:t>3.</w:t>
            </w:r>
          </w:p>
        </w:tc>
        <w:tc>
          <w:tcPr>
            <w:tcW w:w="8363" w:type="dxa"/>
            <w:gridSpan w:val="2"/>
          </w:tcPr>
          <w:p w14:paraId="6FFCC30B" w14:textId="77777777" w:rsidR="006D1E1C" w:rsidRPr="00C9343F" w:rsidRDefault="006D1E1C" w:rsidP="00F66D98">
            <w:pPr>
              <w:pStyle w:val="BlockText-Plain"/>
            </w:pPr>
            <w:r w:rsidRPr="00C9343F">
              <w:t>The member is responsible for costs of any travel or removal needed to complete the training.</w:t>
            </w:r>
          </w:p>
        </w:tc>
      </w:tr>
    </w:tbl>
    <w:p w14:paraId="5DCA6BD0" w14:textId="4CFCC731" w:rsidR="006D1E1C" w:rsidRPr="00C9343F" w:rsidRDefault="006D1E1C" w:rsidP="006F4E50">
      <w:pPr>
        <w:pStyle w:val="Heading4"/>
        <w:pageBreakBefore/>
        <w:rPr>
          <w:b w:val="0"/>
        </w:rPr>
      </w:pPr>
      <w:bookmarkStart w:id="1107" w:name="_Toc105053903"/>
      <w:r w:rsidRPr="00C9343F">
        <w:t>Division 6: Army dental officer professional development scheme</w:t>
      </w:r>
      <w:bookmarkEnd w:id="1107"/>
      <w:r w:rsidRPr="00C9343F">
        <w:t xml:space="preserve"> </w:t>
      </w:r>
    </w:p>
    <w:p w14:paraId="3996F5A3" w14:textId="455769C5" w:rsidR="006D1E1C" w:rsidRPr="00C9343F" w:rsidRDefault="006D1E1C" w:rsidP="00F66D98">
      <w:pPr>
        <w:pStyle w:val="Heading5"/>
      </w:pPr>
      <w:bookmarkStart w:id="1108" w:name="_Toc105053904"/>
      <w:r w:rsidRPr="00C9343F">
        <w:t>4.8.27</w:t>
      </w:r>
      <w:r w:rsidR="00D94006" w:rsidRPr="00C9343F">
        <w:t>    </w:t>
      </w:r>
      <w:bookmarkStart w:id="1109" w:name="bk11272635246Purpose"/>
      <w:r w:rsidRPr="00C9343F">
        <w:t>Purpose</w:t>
      </w:r>
      <w:bookmarkEnd w:id="1109"/>
      <w:bookmarkEnd w:id="1108"/>
      <w:r w:rsidRPr="00C9343F">
        <w:t xml:space="preserve"> </w:t>
      </w:r>
    </w:p>
    <w:tbl>
      <w:tblPr>
        <w:tblW w:w="0" w:type="auto"/>
        <w:tblInd w:w="113" w:type="dxa"/>
        <w:tblLayout w:type="fixed"/>
        <w:tblLook w:val="0000" w:firstRow="0" w:lastRow="0" w:firstColumn="0" w:lastColumn="0" w:noHBand="0" w:noVBand="0"/>
      </w:tblPr>
      <w:tblGrid>
        <w:gridCol w:w="992"/>
        <w:gridCol w:w="8363"/>
      </w:tblGrid>
      <w:tr w:rsidR="006D1E1C" w:rsidRPr="00C9343F" w14:paraId="64053852" w14:textId="77777777" w:rsidTr="006D1E1C">
        <w:tc>
          <w:tcPr>
            <w:tcW w:w="992" w:type="dxa"/>
          </w:tcPr>
          <w:p w14:paraId="6F5A3758" w14:textId="77777777" w:rsidR="006D1E1C" w:rsidRPr="00C9343F" w:rsidRDefault="006D1E1C" w:rsidP="00F66D98">
            <w:pPr>
              <w:pStyle w:val="BlockText-Plain"/>
              <w:jc w:val="center"/>
            </w:pPr>
          </w:p>
        </w:tc>
        <w:tc>
          <w:tcPr>
            <w:tcW w:w="8363" w:type="dxa"/>
          </w:tcPr>
          <w:p w14:paraId="730A0F98" w14:textId="77777777" w:rsidR="006D1E1C" w:rsidRPr="00C9343F" w:rsidRDefault="006D1E1C" w:rsidP="00F66D98">
            <w:pPr>
              <w:pStyle w:val="BlockText-Plain"/>
            </w:pPr>
            <w:r w:rsidRPr="00C9343F">
              <w:t>The Division sets out the reimbursement a dental officer may get when they participate in approved professional development activities.</w:t>
            </w:r>
          </w:p>
        </w:tc>
      </w:tr>
    </w:tbl>
    <w:p w14:paraId="43122D01" w14:textId="39E80285" w:rsidR="006D1E1C" w:rsidRPr="00C9343F" w:rsidRDefault="006D1E1C" w:rsidP="00F66D98">
      <w:pPr>
        <w:pStyle w:val="Heading5"/>
      </w:pPr>
      <w:bookmarkStart w:id="1110" w:name="_Toc105053905"/>
      <w:r w:rsidRPr="00C9343F">
        <w:t>4.8.29</w:t>
      </w:r>
      <w:r w:rsidR="00D94006" w:rsidRPr="00C9343F">
        <w:t>    </w:t>
      </w:r>
      <w:bookmarkStart w:id="1111" w:name="bk11272635248MemberthisDivisionappliest"/>
      <w:r w:rsidRPr="00C9343F">
        <w:t>Member this Division applies to</w:t>
      </w:r>
      <w:bookmarkEnd w:id="1111"/>
      <w:bookmarkEnd w:id="1110"/>
      <w:r w:rsidRPr="00C9343F">
        <w:t xml:space="preserve"> </w:t>
      </w:r>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1B8DB72E" w14:textId="77777777" w:rsidTr="006D1E1C">
        <w:tc>
          <w:tcPr>
            <w:tcW w:w="992" w:type="dxa"/>
          </w:tcPr>
          <w:p w14:paraId="2B5563D8" w14:textId="77777777" w:rsidR="006D1E1C" w:rsidRPr="00C9343F" w:rsidRDefault="006D1E1C" w:rsidP="00F66D98">
            <w:pPr>
              <w:pStyle w:val="BlockText-Plain"/>
              <w:jc w:val="center"/>
            </w:pPr>
            <w:r w:rsidRPr="00C9343F">
              <w:t>1.</w:t>
            </w:r>
          </w:p>
        </w:tc>
        <w:tc>
          <w:tcPr>
            <w:tcW w:w="8363" w:type="dxa"/>
            <w:gridSpan w:val="2"/>
          </w:tcPr>
          <w:p w14:paraId="05E41F34" w14:textId="77777777" w:rsidR="006D1E1C" w:rsidRPr="00C9343F" w:rsidRDefault="006D1E1C" w:rsidP="00F66D98">
            <w:pPr>
              <w:pStyle w:val="BlockText-Plain"/>
            </w:pPr>
            <w:r w:rsidRPr="00C9343F">
              <w:t>This Division applies to a member who meets all of the following conditions.</w:t>
            </w:r>
          </w:p>
        </w:tc>
      </w:tr>
      <w:tr w:rsidR="006D1E1C" w:rsidRPr="00C9343F" w14:paraId="4D299442" w14:textId="77777777" w:rsidTr="006D1E1C">
        <w:trPr>
          <w:cantSplit/>
        </w:trPr>
        <w:tc>
          <w:tcPr>
            <w:tcW w:w="992" w:type="dxa"/>
          </w:tcPr>
          <w:p w14:paraId="26B91669" w14:textId="77777777" w:rsidR="006D1E1C" w:rsidRPr="00C9343F" w:rsidRDefault="006D1E1C" w:rsidP="00F66D98">
            <w:pPr>
              <w:pStyle w:val="BlockText-Plain"/>
            </w:pPr>
          </w:p>
        </w:tc>
        <w:tc>
          <w:tcPr>
            <w:tcW w:w="567" w:type="dxa"/>
          </w:tcPr>
          <w:p w14:paraId="259D848D" w14:textId="77777777" w:rsidR="006D1E1C" w:rsidRPr="00C9343F" w:rsidRDefault="006D1E1C" w:rsidP="008D1B5D">
            <w:pPr>
              <w:pStyle w:val="BlockText-Plain"/>
              <w:jc w:val="center"/>
            </w:pPr>
            <w:r w:rsidRPr="00C9343F">
              <w:t>a.</w:t>
            </w:r>
          </w:p>
        </w:tc>
        <w:tc>
          <w:tcPr>
            <w:tcW w:w="7796" w:type="dxa"/>
          </w:tcPr>
          <w:p w14:paraId="26F2D6DD" w14:textId="77777777" w:rsidR="006D1E1C" w:rsidRPr="00C9343F" w:rsidRDefault="006D1E1C" w:rsidP="00F66D98">
            <w:pPr>
              <w:pStyle w:val="BlockText-Plain"/>
            </w:pPr>
            <w:r w:rsidRPr="00C9343F">
              <w:t>The member is an Army dental officer who provides a clinical dental capability.</w:t>
            </w:r>
          </w:p>
        </w:tc>
      </w:tr>
      <w:tr w:rsidR="006D1E1C" w:rsidRPr="00C9343F" w14:paraId="07AC9C0A" w14:textId="77777777" w:rsidTr="006D1E1C">
        <w:trPr>
          <w:cantSplit/>
        </w:trPr>
        <w:tc>
          <w:tcPr>
            <w:tcW w:w="992" w:type="dxa"/>
          </w:tcPr>
          <w:p w14:paraId="4F2975C0" w14:textId="77777777" w:rsidR="006D1E1C" w:rsidRPr="00C9343F" w:rsidRDefault="006D1E1C" w:rsidP="00F66D98">
            <w:pPr>
              <w:pStyle w:val="BlockText-Plain"/>
            </w:pPr>
          </w:p>
        </w:tc>
        <w:tc>
          <w:tcPr>
            <w:tcW w:w="567" w:type="dxa"/>
          </w:tcPr>
          <w:p w14:paraId="0497356C" w14:textId="77777777" w:rsidR="006D1E1C" w:rsidRPr="00C9343F" w:rsidRDefault="006D1E1C" w:rsidP="008D1B5D">
            <w:pPr>
              <w:pStyle w:val="BlockText-Plain"/>
              <w:jc w:val="center"/>
            </w:pPr>
            <w:r w:rsidRPr="00C9343F">
              <w:t>b.</w:t>
            </w:r>
          </w:p>
        </w:tc>
        <w:tc>
          <w:tcPr>
            <w:tcW w:w="7796" w:type="dxa"/>
          </w:tcPr>
          <w:p w14:paraId="37E92E93" w14:textId="77777777" w:rsidR="006D1E1C" w:rsidRPr="00C9343F" w:rsidRDefault="006D1E1C" w:rsidP="00F66D98">
            <w:pPr>
              <w:pStyle w:val="BlockText-Plain"/>
            </w:pPr>
            <w:r w:rsidRPr="00C9343F">
              <w:t>The member is on either continuous full-time service or Reserve service.</w:t>
            </w:r>
          </w:p>
        </w:tc>
      </w:tr>
      <w:tr w:rsidR="006D1E1C" w:rsidRPr="00C9343F" w14:paraId="5AEA3B6A" w14:textId="77777777" w:rsidTr="006D1E1C">
        <w:trPr>
          <w:cantSplit/>
        </w:trPr>
        <w:tc>
          <w:tcPr>
            <w:tcW w:w="992" w:type="dxa"/>
          </w:tcPr>
          <w:p w14:paraId="03EAEEEC" w14:textId="77777777" w:rsidR="006D1E1C" w:rsidRPr="00C9343F" w:rsidRDefault="006D1E1C" w:rsidP="00F66D98">
            <w:pPr>
              <w:pStyle w:val="BlockText-Plain"/>
            </w:pPr>
          </w:p>
        </w:tc>
        <w:tc>
          <w:tcPr>
            <w:tcW w:w="567" w:type="dxa"/>
          </w:tcPr>
          <w:p w14:paraId="66DC8B8E" w14:textId="77777777" w:rsidR="006D1E1C" w:rsidRPr="00C9343F" w:rsidRDefault="006D1E1C" w:rsidP="008D1B5D">
            <w:pPr>
              <w:pStyle w:val="BlockText-Plain"/>
              <w:jc w:val="center"/>
            </w:pPr>
            <w:r w:rsidRPr="00C9343F">
              <w:t>c.</w:t>
            </w:r>
          </w:p>
        </w:tc>
        <w:tc>
          <w:tcPr>
            <w:tcW w:w="7796" w:type="dxa"/>
          </w:tcPr>
          <w:p w14:paraId="540B91EE" w14:textId="57EDC11B" w:rsidR="006D1E1C" w:rsidRPr="00C9343F" w:rsidRDefault="006D1E1C" w:rsidP="00F66D98">
            <w:pPr>
              <w:pStyle w:val="BlockText-Plain"/>
            </w:pPr>
            <w:r w:rsidRPr="00C9343F">
              <w:t>The member is Army Individual Readiness Notice (AIRN) compliant on the day the expense is incurred.</w:t>
            </w:r>
          </w:p>
        </w:tc>
      </w:tr>
      <w:tr w:rsidR="006D1E1C" w:rsidRPr="00C9343F" w14:paraId="1A4E1C61" w14:textId="77777777" w:rsidTr="006D1E1C">
        <w:trPr>
          <w:cantSplit/>
        </w:trPr>
        <w:tc>
          <w:tcPr>
            <w:tcW w:w="992" w:type="dxa"/>
          </w:tcPr>
          <w:p w14:paraId="66F6372F" w14:textId="77777777" w:rsidR="006D1E1C" w:rsidRPr="00C9343F" w:rsidRDefault="006D1E1C" w:rsidP="00F66D98">
            <w:pPr>
              <w:pStyle w:val="BlockText-Plain"/>
            </w:pPr>
          </w:p>
        </w:tc>
        <w:tc>
          <w:tcPr>
            <w:tcW w:w="567" w:type="dxa"/>
          </w:tcPr>
          <w:p w14:paraId="0EAFF293" w14:textId="77777777" w:rsidR="006D1E1C" w:rsidRPr="00C9343F" w:rsidRDefault="006D1E1C" w:rsidP="00F66D98">
            <w:pPr>
              <w:pStyle w:val="BlockText-Plain"/>
            </w:pPr>
          </w:p>
        </w:tc>
        <w:tc>
          <w:tcPr>
            <w:tcW w:w="7796" w:type="dxa"/>
          </w:tcPr>
          <w:p w14:paraId="0EF9A57B" w14:textId="77777777" w:rsidR="006D1E1C" w:rsidRPr="00C9343F" w:rsidRDefault="006D1E1C" w:rsidP="00F66D98">
            <w:pPr>
              <w:pStyle w:val="BlockText-Plain"/>
            </w:pPr>
            <w:r w:rsidRPr="00C9343F">
              <w:rPr>
                <w:b/>
              </w:rPr>
              <w:t>Exception:</w:t>
            </w:r>
            <w:r w:rsidRPr="00C9343F">
              <w:t xml:space="preserve"> The member does not have to be fit for operational deployment.</w:t>
            </w:r>
          </w:p>
        </w:tc>
      </w:tr>
      <w:tr w:rsidR="006D1E1C" w:rsidRPr="00C9343F" w14:paraId="25212C58" w14:textId="77777777" w:rsidTr="006D1E1C">
        <w:tc>
          <w:tcPr>
            <w:tcW w:w="992" w:type="dxa"/>
          </w:tcPr>
          <w:p w14:paraId="41A36DA9" w14:textId="77777777" w:rsidR="006D1E1C" w:rsidRPr="00C9343F" w:rsidRDefault="006D1E1C" w:rsidP="00F66D98">
            <w:pPr>
              <w:pStyle w:val="BlockText-Plain"/>
              <w:jc w:val="center"/>
            </w:pPr>
            <w:r w:rsidRPr="00C9343F">
              <w:t>2.</w:t>
            </w:r>
          </w:p>
        </w:tc>
        <w:tc>
          <w:tcPr>
            <w:tcW w:w="8363" w:type="dxa"/>
            <w:gridSpan w:val="2"/>
          </w:tcPr>
          <w:p w14:paraId="35B2BD9E" w14:textId="6C10F8FE" w:rsidR="006D1E1C" w:rsidRPr="00C9343F" w:rsidRDefault="006D1E1C" w:rsidP="00F66D98">
            <w:pPr>
              <w:pStyle w:val="BlockText-Plain"/>
            </w:pPr>
            <w:r w:rsidRPr="00C9343F">
              <w:t>This Division ceases to appl</w:t>
            </w:r>
            <w:r w:rsidR="00792505" w:rsidRPr="00C9343F">
              <w:t>y to all members on 30 June 2023</w:t>
            </w:r>
            <w:r w:rsidRPr="00C9343F">
              <w:t>.</w:t>
            </w:r>
          </w:p>
        </w:tc>
      </w:tr>
    </w:tbl>
    <w:p w14:paraId="04AEEC90" w14:textId="09EABF66" w:rsidR="006D1E1C" w:rsidRPr="00C9343F" w:rsidRDefault="006D1E1C" w:rsidP="00F66D98">
      <w:pPr>
        <w:pStyle w:val="Heading5"/>
      </w:pPr>
      <w:bookmarkStart w:id="1112" w:name="_Toc105053906"/>
      <w:r w:rsidRPr="00C9343F">
        <w:t>4.8.30</w:t>
      </w:r>
      <w:r w:rsidR="00D94006" w:rsidRPr="00C9343F">
        <w:t>    </w:t>
      </w:r>
      <w:r w:rsidRPr="00C9343F">
        <w:t>Payment</w:t>
      </w:r>
      <w:bookmarkEnd w:id="1112"/>
      <w:r w:rsidRPr="00C9343F">
        <w:t xml:space="preserve"> </w:t>
      </w:r>
    </w:p>
    <w:tbl>
      <w:tblPr>
        <w:tblW w:w="9355" w:type="dxa"/>
        <w:tblInd w:w="113" w:type="dxa"/>
        <w:tblLayout w:type="fixed"/>
        <w:tblLook w:val="0000" w:firstRow="0" w:lastRow="0" w:firstColumn="0" w:lastColumn="0" w:noHBand="0" w:noVBand="0"/>
      </w:tblPr>
      <w:tblGrid>
        <w:gridCol w:w="992"/>
        <w:gridCol w:w="567"/>
        <w:gridCol w:w="7796"/>
      </w:tblGrid>
      <w:tr w:rsidR="006D1E1C" w:rsidRPr="00C9343F" w14:paraId="50497C4F" w14:textId="77777777" w:rsidTr="00AA0658">
        <w:tc>
          <w:tcPr>
            <w:tcW w:w="992" w:type="dxa"/>
          </w:tcPr>
          <w:p w14:paraId="45B5F374" w14:textId="77777777" w:rsidR="006D1E1C" w:rsidRPr="00C9343F" w:rsidRDefault="006D1E1C" w:rsidP="00F66D98">
            <w:pPr>
              <w:pStyle w:val="BlockText-Plain"/>
              <w:jc w:val="center"/>
            </w:pPr>
            <w:r w:rsidRPr="00C9343F">
              <w:t>1.</w:t>
            </w:r>
          </w:p>
        </w:tc>
        <w:tc>
          <w:tcPr>
            <w:tcW w:w="8363" w:type="dxa"/>
            <w:gridSpan w:val="2"/>
          </w:tcPr>
          <w:p w14:paraId="70498A3F" w14:textId="77777777" w:rsidR="006D1E1C" w:rsidRPr="00C9343F" w:rsidRDefault="006D1E1C" w:rsidP="00F66D98">
            <w:pPr>
              <w:pStyle w:val="BlockText-Plain"/>
            </w:pPr>
            <w:r w:rsidRPr="00C9343F">
              <w:t>A member may be reimbursed the cost of approved professional development activities up to a maximum amount.</w:t>
            </w:r>
          </w:p>
        </w:tc>
      </w:tr>
      <w:tr w:rsidR="006D1E1C" w:rsidRPr="00C9343F" w14:paraId="175448FB" w14:textId="77777777" w:rsidTr="00AA0658">
        <w:trPr>
          <w:cantSplit/>
        </w:trPr>
        <w:tc>
          <w:tcPr>
            <w:tcW w:w="992" w:type="dxa"/>
          </w:tcPr>
          <w:p w14:paraId="2E32D26B" w14:textId="77777777" w:rsidR="006D1E1C" w:rsidRPr="00C9343F" w:rsidRDefault="006D1E1C" w:rsidP="00F66D98">
            <w:pPr>
              <w:pStyle w:val="BlockText-Plain"/>
            </w:pPr>
          </w:p>
        </w:tc>
        <w:tc>
          <w:tcPr>
            <w:tcW w:w="567" w:type="dxa"/>
          </w:tcPr>
          <w:p w14:paraId="6EBF260A" w14:textId="77777777" w:rsidR="006D1E1C" w:rsidRPr="00C9343F" w:rsidRDefault="006D1E1C" w:rsidP="008D1B5D">
            <w:pPr>
              <w:pStyle w:val="BlockText-Plain"/>
              <w:jc w:val="center"/>
            </w:pPr>
            <w:r w:rsidRPr="00C9343F">
              <w:t>a.</w:t>
            </w:r>
          </w:p>
        </w:tc>
        <w:tc>
          <w:tcPr>
            <w:tcW w:w="7796" w:type="dxa"/>
          </w:tcPr>
          <w:p w14:paraId="01403595" w14:textId="754BACEE" w:rsidR="006D1E1C" w:rsidRPr="00C9343F" w:rsidRDefault="006D1E1C" w:rsidP="00F66D98">
            <w:pPr>
              <w:pStyle w:val="BlockText-Plain"/>
            </w:pPr>
            <w:r w:rsidRPr="00C9343F">
              <w:t xml:space="preserve">Professional development activities are described in section 4.8.31. </w:t>
            </w:r>
          </w:p>
        </w:tc>
      </w:tr>
      <w:tr w:rsidR="006D1E1C" w:rsidRPr="00C9343F" w14:paraId="3451D618" w14:textId="77777777" w:rsidTr="00AA0658">
        <w:trPr>
          <w:cantSplit/>
        </w:trPr>
        <w:tc>
          <w:tcPr>
            <w:tcW w:w="992" w:type="dxa"/>
          </w:tcPr>
          <w:p w14:paraId="17809356" w14:textId="77777777" w:rsidR="006D1E1C" w:rsidRPr="00C9343F" w:rsidRDefault="006D1E1C" w:rsidP="00F66D98">
            <w:pPr>
              <w:pStyle w:val="BlockText-Plain"/>
            </w:pPr>
          </w:p>
        </w:tc>
        <w:tc>
          <w:tcPr>
            <w:tcW w:w="567" w:type="dxa"/>
          </w:tcPr>
          <w:p w14:paraId="3AA11A87" w14:textId="77777777" w:rsidR="006D1E1C" w:rsidRPr="00C9343F" w:rsidRDefault="006D1E1C" w:rsidP="008D1B5D">
            <w:pPr>
              <w:pStyle w:val="BlockText-Plain"/>
              <w:jc w:val="center"/>
            </w:pPr>
            <w:r w:rsidRPr="00C9343F">
              <w:t>b.</w:t>
            </w:r>
          </w:p>
        </w:tc>
        <w:tc>
          <w:tcPr>
            <w:tcW w:w="7796" w:type="dxa"/>
          </w:tcPr>
          <w:p w14:paraId="3E96A557" w14:textId="3BE7BAC7" w:rsidR="006D1E1C" w:rsidRPr="00C9343F" w:rsidRDefault="006D1E1C" w:rsidP="00F66D98">
            <w:pPr>
              <w:pStyle w:val="BlockText-Plain"/>
            </w:pPr>
            <w:r w:rsidRPr="00C9343F">
              <w:t xml:space="preserve">The process for calculating the maximum amount of reimbursement for a member is set out in section 4.8.32. </w:t>
            </w:r>
          </w:p>
        </w:tc>
      </w:tr>
      <w:tr w:rsidR="006D1E1C" w:rsidRPr="00C9343F" w14:paraId="0D80C5B7" w14:textId="77777777" w:rsidTr="00AA0658">
        <w:tc>
          <w:tcPr>
            <w:tcW w:w="992" w:type="dxa"/>
          </w:tcPr>
          <w:p w14:paraId="024199F0" w14:textId="77777777" w:rsidR="006D1E1C" w:rsidRPr="00C9343F" w:rsidRDefault="006D1E1C" w:rsidP="00F66D98">
            <w:pPr>
              <w:pStyle w:val="BlockText-Plain"/>
              <w:jc w:val="center"/>
            </w:pPr>
            <w:r w:rsidRPr="00C9343F">
              <w:t>2.</w:t>
            </w:r>
          </w:p>
        </w:tc>
        <w:tc>
          <w:tcPr>
            <w:tcW w:w="8363" w:type="dxa"/>
            <w:gridSpan w:val="2"/>
          </w:tcPr>
          <w:p w14:paraId="29BB322E" w14:textId="77777777" w:rsidR="006D1E1C" w:rsidRPr="00C9343F" w:rsidRDefault="006D1E1C" w:rsidP="00F66D98">
            <w:pPr>
              <w:pStyle w:val="BlockText-Plain"/>
            </w:pPr>
            <w:r w:rsidRPr="00C9343F">
              <w:t>Costs for professional development activities must be paid in full before reimbursement may be paid.</w:t>
            </w:r>
          </w:p>
        </w:tc>
      </w:tr>
      <w:tr w:rsidR="006D1E1C" w:rsidRPr="00C9343F" w14:paraId="7E9FE079" w14:textId="77777777" w:rsidTr="00AA0658">
        <w:tc>
          <w:tcPr>
            <w:tcW w:w="992" w:type="dxa"/>
          </w:tcPr>
          <w:p w14:paraId="202DAE09" w14:textId="77777777" w:rsidR="006D1E1C" w:rsidRPr="00C9343F" w:rsidRDefault="006D1E1C" w:rsidP="00F66D98">
            <w:pPr>
              <w:pStyle w:val="BlockText-Plain"/>
              <w:jc w:val="center"/>
            </w:pPr>
            <w:r w:rsidRPr="00C9343F">
              <w:t>3.</w:t>
            </w:r>
          </w:p>
        </w:tc>
        <w:tc>
          <w:tcPr>
            <w:tcW w:w="8363" w:type="dxa"/>
            <w:gridSpan w:val="2"/>
          </w:tcPr>
          <w:p w14:paraId="586A3C80" w14:textId="7B540194" w:rsidR="006D1E1C" w:rsidRPr="00C9343F" w:rsidRDefault="006D1E1C" w:rsidP="00F66D98">
            <w:pPr>
              <w:pStyle w:val="BlockText-Plain"/>
            </w:pPr>
            <w:r w:rsidRPr="00C9343F">
              <w:t>The maximum under section 4.8.32 applies to a single financial year. Unused funds cannot be paid to the member or carried over to future financial years. If the costs reimbursed are less than the maximum, the member is not eligible for the difference.</w:t>
            </w:r>
          </w:p>
        </w:tc>
      </w:tr>
      <w:tr w:rsidR="006D1E1C" w:rsidRPr="00C9343F" w14:paraId="5B301A25" w14:textId="77777777" w:rsidTr="00AA0658">
        <w:tc>
          <w:tcPr>
            <w:tcW w:w="992" w:type="dxa"/>
          </w:tcPr>
          <w:p w14:paraId="56738A53" w14:textId="77777777" w:rsidR="006D1E1C" w:rsidRPr="00C9343F" w:rsidRDefault="006D1E1C" w:rsidP="00F66D98">
            <w:pPr>
              <w:pStyle w:val="BlockText-Plain"/>
              <w:jc w:val="center"/>
            </w:pPr>
            <w:r w:rsidRPr="00C9343F">
              <w:t>4.</w:t>
            </w:r>
          </w:p>
        </w:tc>
        <w:tc>
          <w:tcPr>
            <w:tcW w:w="8363" w:type="dxa"/>
            <w:gridSpan w:val="2"/>
          </w:tcPr>
          <w:p w14:paraId="298E8279" w14:textId="77777777" w:rsidR="006D1E1C" w:rsidRPr="00C9343F" w:rsidRDefault="006D1E1C" w:rsidP="00F66D98">
            <w:pPr>
              <w:pStyle w:val="BlockText-Plain"/>
            </w:pPr>
            <w:r w:rsidRPr="00C9343F">
              <w:t>Incurred costs must be paid for and reimbursed in the same financial year.</w:t>
            </w:r>
          </w:p>
        </w:tc>
      </w:tr>
      <w:tr w:rsidR="006D1E1C" w:rsidRPr="00C9343F" w14:paraId="6E4A0DC3" w14:textId="77777777" w:rsidTr="00AA0658">
        <w:tc>
          <w:tcPr>
            <w:tcW w:w="992" w:type="dxa"/>
          </w:tcPr>
          <w:p w14:paraId="5F67F480" w14:textId="77777777" w:rsidR="006D1E1C" w:rsidRPr="00C9343F" w:rsidRDefault="006D1E1C" w:rsidP="00F66D98">
            <w:pPr>
              <w:pStyle w:val="BlockText-Plain"/>
              <w:jc w:val="center"/>
            </w:pPr>
            <w:r w:rsidRPr="00C9343F">
              <w:t>5.</w:t>
            </w:r>
          </w:p>
        </w:tc>
        <w:tc>
          <w:tcPr>
            <w:tcW w:w="8363" w:type="dxa"/>
            <w:gridSpan w:val="2"/>
          </w:tcPr>
          <w:p w14:paraId="321BC464" w14:textId="77777777" w:rsidR="006D1E1C" w:rsidRPr="00C9343F" w:rsidRDefault="006D1E1C" w:rsidP="00F66D98">
            <w:pPr>
              <w:pStyle w:val="BlockText-Plain"/>
            </w:pPr>
            <w:r w:rsidRPr="00C9343F">
              <w:rPr>
                <w:rFonts w:cs="Arial"/>
              </w:rPr>
              <w:t>A member can be provided financial support under this Division by direct payment to a supplier for an approved professional development activity. Any amount paid directly is counted as part of the costs that may be reimbursed within the maximum under section 4.8.32.</w:t>
            </w:r>
          </w:p>
        </w:tc>
      </w:tr>
      <w:tr w:rsidR="006D1E1C" w:rsidRPr="00C9343F" w14:paraId="5956CFEA" w14:textId="77777777" w:rsidTr="00AA0658">
        <w:tc>
          <w:tcPr>
            <w:tcW w:w="992" w:type="dxa"/>
          </w:tcPr>
          <w:p w14:paraId="29FEDF16" w14:textId="77777777" w:rsidR="006D1E1C" w:rsidRPr="00C9343F" w:rsidRDefault="006D1E1C" w:rsidP="00F66D98">
            <w:pPr>
              <w:pStyle w:val="BlockText-Plain"/>
              <w:jc w:val="center"/>
            </w:pPr>
            <w:r w:rsidRPr="00C9343F">
              <w:t>6.</w:t>
            </w:r>
          </w:p>
        </w:tc>
        <w:tc>
          <w:tcPr>
            <w:tcW w:w="8363" w:type="dxa"/>
            <w:gridSpan w:val="2"/>
          </w:tcPr>
          <w:p w14:paraId="31C1228A" w14:textId="77777777" w:rsidR="006D1E1C" w:rsidRPr="00C9343F" w:rsidRDefault="006D1E1C" w:rsidP="00F66D98">
            <w:pPr>
              <w:pStyle w:val="BlockText-Plain"/>
              <w:rPr>
                <w:rFonts w:cs="Arial"/>
              </w:rPr>
            </w:pPr>
            <w:r w:rsidRPr="00C9343F">
              <w:t>Travel costs for professional development activities are included as part of the costs that may be reimbursed within the maximum under section 4.8.32.</w:t>
            </w:r>
          </w:p>
        </w:tc>
      </w:tr>
      <w:tr w:rsidR="006D1E1C" w:rsidRPr="00C9343F" w14:paraId="46CDAC99" w14:textId="77777777" w:rsidTr="00AA0658">
        <w:tc>
          <w:tcPr>
            <w:tcW w:w="992" w:type="dxa"/>
          </w:tcPr>
          <w:p w14:paraId="72731E4B" w14:textId="77777777" w:rsidR="006D1E1C" w:rsidRPr="00C9343F" w:rsidRDefault="006D1E1C" w:rsidP="00F66D98">
            <w:pPr>
              <w:pStyle w:val="BlockText-Plain"/>
              <w:jc w:val="center"/>
            </w:pPr>
            <w:r w:rsidRPr="00C9343F">
              <w:t>7.</w:t>
            </w:r>
          </w:p>
        </w:tc>
        <w:tc>
          <w:tcPr>
            <w:tcW w:w="8363" w:type="dxa"/>
            <w:gridSpan w:val="2"/>
          </w:tcPr>
          <w:p w14:paraId="455E1EBA" w14:textId="77777777" w:rsidR="006D1E1C" w:rsidRPr="00C9343F" w:rsidRDefault="006D1E1C" w:rsidP="00F66D98">
            <w:pPr>
              <w:pStyle w:val="BlockText-Plain"/>
            </w:pPr>
            <w:r w:rsidRPr="00C9343F">
              <w:t>A member may use their Defence travel card for travel associated with an approved professional development activity.</w:t>
            </w:r>
          </w:p>
        </w:tc>
      </w:tr>
    </w:tbl>
    <w:p w14:paraId="5B633A0E" w14:textId="14BFFF21" w:rsidR="006D1E1C" w:rsidRPr="00C9343F" w:rsidRDefault="006D1E1C" w:rsidP="00F66D98">
      <w:pPr>
        <w:pStyle w:val="Heading5"/>
      </w:pPr>
      <w:bookmarkStart w:id="1113" w:name="_Toc105053907"/>
      <w:r w:rsidRPr="00C9343F">
        <w:t>4.8.31</w:t>
      </w:r>
      <w:r w:rsidR="00D94006" w:rsidRPr="00C9343F">
        <w:t>    </w:t>
      </w:r>
      <w:r w:rsidRPr="00C9343F">
        <w:t>Professional development activities</w:t>
      </w:r>
      <w:bookmarkEnd w:id="1113"/>
      <w:r w:rsidRPr="00C9343F">
        <w:t xml:space="preserve"> </w:t>
      </w:r>
    </w:p>
    <w:tbl>
      <w:tblPr>
        <w:tblW w:w="9364" w:type="dxa"/>
        <w:tblInd w:w="108" w:type="dxa"/>
        <w:tblLayout w:type="fixed"/>
        <w:tblLook w:val="0000" w:firstRow="0" w:lastRow="0" w:firstColumn="0" w:lastColumn="0" w:noHBand="0" w:noVBand="0"/>
      </w:tblPr>
      <w:tblGrid>
        <w:gridCol w:w="997"/>
        <w:gridCol w:w="567"/>
        <w:gridCol w:w="7800"/>
      </w:tblGrid>
      <w:tr w:rsidR="006D1E1C" w:rsidRPr="00C9343F" w14:paraId="318AC35D" w14:textId="77777777" w:rsidTr="00B4505C">
        <w:tc>
          <w:tcPr>
            <w:tcW w:w="997" w:type="dxa"/>
          </w:tcPr>
          <w:p w14:paraId="08B70813" w14:textId="77777777" w:rsidR="006D1E1C" w:rsidRPr="00C9343F" w:rsidRDefault="006D1E1C" w:rsidP="00F66D98">
            <w:pPr>
              <w:pStyle w:val="BlockText-Plain"/>
              <w:jc w:val="center"/>
            </w:pPr>
            <w:r w:rsidRPr="00C9343F">
              <w:t>1.</w:t>
            </w:r>
          </w:p>
        </w:tc>
        <w:tc>
          <w:tcPr>
            <w:tcW w:w="8367" w:type="dxa"/>
            <w:gridSpan w:val="2"/>
          </w:tcPr>
          <w:p w14:paraId="70BD8456" w14:textId="77777777" w:rsidR="006D1E1C" w:rsidRPr="00C9343F" w:rsidRDefault="006D1E1C" w:rsidP="00F66D98">
            <w:pPr>
              <w:pStyle w:val="BlockText-Plain"/>
            </w:pPr>
            <w:r w:rsidRPr="00C9343F">
              <w:t>The CDF may approve activities, travel or the purchase of equipment as professional development activities. The CDF must consider all the following criteria.</w:t>
            </w:r>
          </w:p>
        </w:tc>
      </w:tr>
      <w:tr w:rsidR="006D1E1C" w:rsidRPr="00C9343F" w14:paraId="5987EA14" w14:textId="77777777" w:rsidTr="00B4505C">
        <w:trPr>
          <w:cantSplit/>
        </w:trPr>
        <w:tc>
          <w:tcPr>
            <w:tcW w:w="997" w:type="dxa"/>
          </w:tcPr>
          <w:p w14:paraId="3375A4D2" w14:textId="77777777" w:rsidR="006D1E1C" w:rsidRPr="00C9343F" w:rsidRDefault="006D1E1C" w:rsidP="00F66D98">
            <w:pPr>
              <w:pStyle w:val="BlockText-Plain"/>
            </w:pPr>
          </w:p>
        </w:tc>
        <w:tc>
          <w:tcPr>
            <w:tcW w:w="567" w:type="dxa"/>
          </w:tcPr>
          <w:p w14:paraId="4340E48E" w14:textId="77777777" w:rsidR="006D1E1C" w:rsidRPr="00C9343F" w:rsidRDefault="006D1E1C" w:rsidP="008D1B5D">
            <w:pPr>
              <w:pStyle w:val="BlockText-Plain"/>
              <w:jc w:val="center"/>
            </w:pPr>
            <w:r w:rsidRPr="00C9343F">
              <w:t>a.</w:t>
            </w:r>
          </w:p>
        </w:tc>
        <w:tc>
          <w:tcPr>
            <w:tcW w:w="7800" w:type="dxa"/>
          </w:tcPr>
          <w:p w14:paraId="2B8CF461" w14:textId="77777777" w:rsidR="006D1E1C" w:rsidRPr="00C9343F" w:rsidRDefault="006D1E1C" w:rsidP="00F66D98">
            <w:pPr>
              <w:pStyle w:val="BlockText-Plain"/>
            </w:pPr>
            <w:r w:rsidRPr="00C9343F">
              <w:t>Whether the activity will enhance the member's clinical and professional skills.</w:t>
            </w:r>
          </w:p>
        </w:tc>
      </w:tr>
      <w:tr w:rsidR="006D1E1C" w:rsidRPr="00C9343F" w14:paraId="3A958E3A" w14:textId="77777777" w:rsidTr="00B4505C">
        <w:trPr>
          <w:cantSplit/>
        </w:trPr>
        <w:tc>
          <w:tcPr>
            <w:tcW w:w="997" w:type="dxa"/>
          </w:tcPr>
          <w:p w14:paraId="4E2BEDFC" w14:textId="77777777" w:rsidR="006D1E1C" w:rsidRPr="00C9343F" w:rsidRDefault="006D1E1C" w:rsidP="00F66D98">
            <w:pPr>
              <w:pStyle w:val="BlockText-Plain"/>
            </w:pPr>
          </w:p>
        </w:tc>
        <w:tc>
          <w:tcPr>
            <w:tcW w:w="567" w:type="dxa"/>
          </w:tcPr>
          <w:p w14:paraId="0655CBE5" w14:textId="77777777" w:rsidR="006D1E1C" w:rsidRPr="00C9343F" w:rsidRDefault="006D1E1C" w:rsidP="008D1B5D">
            <w:pPr>
              <w:pStyle w:val="BlockText-Plain"/>
              <w:jc w:val="center"/>
            </w:pPr>
            <w:r w:rsidRPr="00C9343F">
              <w:t>b.</w:t>
            </w:r>
          </w:p>
        </w:tc>
        <w:tc>
          <w:tcPr>
            <w:tcW w:w="7800" w:type="dxa"/>
          </w:tcPr>
          <w:p w14:paraId="247BC086" w14:textId="77777777" w:rsidR="006D1E1C" w:rsidRPr="00C9343F" w:rsidRDefault="006D1E1C" w:rsidP="00F66D98">
            <w:pPr>
              <w:pStyle w:val="BlockText-Plain"/>
            </w:pPr>
            <w:r w:rsidRPr="00C9343F">
              <w:t>Whether the activity could be funded by other means.</w:t>
            </w:r>
          </w:p>
        </w:tc>
      </w:tr>
      <w:tr w:rsidR="006D1E1C" w:rsidRPr="00C9343F" w14:paraId="5E3102C6" w14:textId="77777777" w:rsidTr="00B4505C">
        <w:trPr>
          <w:cantSplit/>
        </w:trPr>
        <w:tc>
          <w:tcPr>
            <w:tcW w:w="997" w:type="dxa"/>
          </w:tcPr>
          <w:p w14:paraId="05566D68" w14:textId="77777777" w:rsidR="006D1E1C" w:rsidRPr="00C9343F" w:rsidRDefault="006D1E1C" w:rsidP="00F66D98">
            <w:pPr>
              <w:pStyle w:val="BlockText-Plain"/>
            </w:pPr>
          </w:p>
        </w:tc>
        <w:tc>
          <w:tcPr>
            <w:tcW w:w="567" w:type="dxa"/>
          </w:tcPr>
          <w:p w14:paraId="5FAFEA6C" w14:textId="77777777" w:rsidR="006D1E1C" w:rsidRPr="00C9343F" w:rsidRDefault="006D1E1C" w:rsidP="008D1B5D">
            <w:pPr>
              <w:pStyle w:val="BlockText-Plain"/>
              <w:jc w:val="center"/>
            </w:pPr>
            <w:r w:rsidRPr="00C9343F">
              <w:t>c.</w:t>
            </w:r>
          </w:p>
        </w:tc>
        <w:tc>
          <w:tcPr>
            <w:tcW w:w="7800" w:type="dxa"/>
          </w:tcPr>
          <w:p w14:paraId="7AC1218C" w14:textId="77777777" w:rsidR="006D1E1C" w:rsidRPr="00C9343F" w:rsidRDefault="006D1E1C" w:rsidP="00F66D98">
            <w:pPr>
              <w:pStyle w:val="BlockText-Plain"/>
            </w:pPr>
            <w:r w:rsidRPr="00C9343F">
              <w:t>The cost of the activity.</w:t>
            </w:r>
          </w:p>
        </w:tc>
      </w:tr>
      <w:tr w:rsidR="006D1E1C" w:rsidRPr="00C9343F" w14:paraId="7E8E3201" w14:textId="77777777" w:rsidTr="00B4505C">
        <w:trPr>
          <w:cantSplit/>
        </w:trPr>
        <w:tc>
          <w:tcPr>
            <w:tcW w:w="997" w:type="dxa"/>
          </w:tcPr>
          <w:p w14:paraId="19445D25" w14:textId="77777777" w:rsidR="006D1E1C" w:rsidRPr="00C9343F" w:rsidRDefault="006D1E1C" w:rsidP="00F66D98">
            <w:pPr>
              <w:pStyle w:val="BlockText-Plain"/>
            </w:pPr>
          </w:p>
        </w:tc>
        <w:tc>
          <w:tcPr>
            <w:tcW w:w="567" w:type="dxa"/>
          </w:tcPr>
          <w:p w14:paraId="6EB6078A" w14:textId="77777777" w:rsidR="006D1E1C" w:rsidRPr="00C9343F" w:rsidRDefault="006D1E1C" w:rsidP="008D1B5D">
            <w:pPr>
              <w:pStyle w:val="BlockText-Plain"/>
              <w:jc w:val="center"/>
            </w:pPr>
            <w:r w:rsidRPr="00C9343F">
              <w:t>d.</w:t>
            </w:r>
          </w:p>
        </w:tc>
        <w:tc>
          <w:tcPr>
            <w:tcW w:w="7800" w:type="dxa"/>
          </w:tcPr>
          <w:p w14:paraId="584C34B0" w14:textId="77777777" w:rsidR="006D1E1C" w:rsidRPr="00C9343F" w:rsidRDefault="006D1E1C" w:rsidP="00F66D98">
            <w:pPr>
              <w:pStyle w:val="BlockText-Plain"/>
            </w:pPr>
            <w:r w:rsidRPr="00C9343F">
              <w:t>The interests of the Commonwealth.</w:t>
            </w:r>
          </w:p>
        </w:tc>
      </w:tr>
      <w:tr w:rsidR="006D1E1C" w:rsidRPr="00C9343F" w14:paraId="6258D4CA" w14:textId="77777777" w:rsidTr="00B4505C">
        <w:trPr>
          <w:cantSplit/>
        </w:trPr>
        <w:tc>
          <w:tcPr>
            <w:tcW w:w="997" w:type="dxa"/>
          </w:tcPr>
          <w:p w14:paraId="30214A0C" w14:textId="77777777" w:rsidR="006D1E1C" w:rsidRPr="00C9343F" w:rsidRDefault="006D1E1C" w:rsidP="00F66D98">
            <w:pPr>
              <w:pStyle w:val="BlockText-Plain"/>
            </w:pPr>
          </w:p>
        </w:tc>
        <w:tc>
          <w:tcPr>
            <w:tcW w:w="567" w:type="dxa"/>
          </w:tcPr>
          <w:p w14:paraId="0822879A" w14:textId="77777777" w:rsidR="006D1E1C" w:rsidRPr="00C9343F" w:rsidRDefault="006D1E1C" w:rsidP="008D1B5D">
            <w:pPr>
              <w:pStyle w:val="BlockText-Plain"/>
              <w:jc w:val="center"/>
            </w:pPr>
            <w:r w:rsidRPr="00C9343F">
              <w:t>e.</w:t>
            </w:r>
          </w:p>
        </w:tc>
        <w:tc>
          <w:tcPr>
            <w:tcW w:w="7800" w:type="dxa"/>
          </w:tcPr>
          <w:p w14:paraId="2FB8DF3C" w14:textId="77777777" w:rsidR="006D1E1C" w:rsidRPr="00C9343F" w:rsidRDefault="006D1E1C" w:rsidP="00F66D98">
            <w:pPr>
              <w:pStyle w:val="BlockText-Plain"/>
            </w:pPr>
            <w:r w:rsidRPr="00C9343F">
              <w:t>Any other factors relevant to the member's personal development.</w:t>
            </w:r>
          </w:p>
        </w:tc>
      </w:tr>
      <w:tr w:rsidR="006D1E1C" w:rsidRPr="00C9343F" w14:paraId="03D168F9" w14:textId="77777777" w:rsidTr="00B4505C">
        <w:tc>
          <w:tcPr>
            <w:tcW w:w="997" w:type="dxa"/>
          </w:tcPr>
          <w:p w14:paraId="04E83AFA" w14:textId="77777777" w:rsidR="006D1E1C" w:rsidRPr="00C9343F" w:rsidRDefault="006D1E1C" w:rsidP="00F66D98">
            <w:pPr>
              <w:pStyle w:val="BlockText-Plain"/>
              <w:jc w:val="center"/>
            </w:pPr>
            <w:r w:rsidRPr="00C9343F">
              <w:t>2.</w:t>
            </w:r>
          </w:p>
        </w:tc>
        <w:tc>
          <w:tcPr>
            <w:tcW w:w="8367" w:type="dxa"/>
            <w:gridSpan w:val="2"/>
          </w:tcPr>
          <w:p w14:paraId="5C2B4A62" w14:textId="77777777" w:rsidR="006D1E1C" w:rsidRPr="00C9343F" w:rsidRDefault="006D1E1C" w:rsidP="00F66D98">
            <w:pPr>
              <w:pStyle w:val="BlockText-Plain"/>
              <w:rPr>
                <w:b/>
              </w:rPr>
            </w:pPr>
            <w:r w:rsidRPr="00C9343F">
              <w:t>The following activities cannot be approved as professional development activities under this Division.</w:t>
            </w:r>
          </w:p>
        </w:tc>
      </w:tr>
      <w:tr w:rsidR="006D1E1C" w:rsidRPr="00C9343F" w14:paraId="646BB9C6" w14:textId="77777777" w:rsidTr="00B4505C">
        <w:trPr>
          <w:cantSplit/>
        </w:trPr>
        <w:tc>
          <w:tcPr>
            <w:tcW w:w="997" w:type="dxa"/>
          </w:tcPr>
          <w:p w14:paraId="13B4C3FE" w14:textId="77777777" w:rsidR="006D1E1C" w:rsidRPr="00C9343F" w:rsidRDefault="006D1E1C" w:rsidP="00F66D98">
            <w:pPr>
              <w:pStyle w:val="BlockText-Plain"/>
            </w:pPr>
          </w:p>
        </w:tc>
        <w:tc>
          <w:tcPr>
            <w:tcW w:w="567" w:type="dxa"/>
          </w:tcPr>
          <w:p w14:paraId="18CFAF35" w14:textId="77777777" w:rsidR="006D1E1C" w:rsidRPr="00C9343F" w:rsidRDefault="006D1E1C" w:rsidP="008D1B5D">
            <w:pPr>
              <w:pStyle w:val="BlockText-Plain"/>
              <w:jc w:val="center"/>
            </w:pPr>
            <w:r w:rsidRPr="00C9343F">
              <w:t>a.</w:t>
            </w:r>
          </w:p>
        </w:tc>
        <w:tc>
          <w:tcPr>
            <w:tcW w:w="7800" w:type="dxa"/>
          </w:tcPr>
          <w:p w14:paraId="7281461D" w14:textId="77777777" w:rsidR="006D1E1C" w:rsidRPr="00C9343F" w:rsidRDefault="006D1E1C" w:rsidP="00F66D98">
            <w:pPr>
              <w:pStyle w:val="BlockText-Plain"/>
            </w:pPr>
            <w:r w:rsidRPr="00C9343F">
              <w:t>Membership of groups that have a primary purpose that is political in nature.</w:t>
            </w:r>
          </w:p>
        </w:tc>
      </w:tr>
      <w:tr w:rsidR="006D1E1C" w:rsidRPr="00C9343F" w14:paraId="734EAF91" w14:textId="77777777" w:rsidTr="00B4505C">
        <w:trPr>
          <w:cantSplit/>
        </w:trPr>
        <w:tc>
          <w:tcPr>
            <w:tcW w:w="997" w:type="dxa"/>
          </w:tcPr>
          <w:p w14:paraId="13C2C8DC" w14:textId="77777777" w:rsidR="006D1E1C" w:rsidRPr="00C9343F" w:rsidRDefault="006D1E1C" w:rsidP="00F66D98">
            <w:pPr>
              <w:pStyle w:val="BlockText-Plain"/>
            </w:pPr>
          </w:p>
        </w:tc>
        <w:tc>
          <w:tcPr>
            <w:tcW w:w="567" w:type="dxa"/>
          </w:tcPr>
          <w:p w14:paraId="32A050ED" w14:textId="77777777" w:rsidR="006D1E1C" w:rsidRPr="00C9343F" w:rsidRDefault="006D1E1C" w:rsidP="008D1B5D">
            <w:pPr>
              <w:pStyle w:val="BlockText-Plain"/>
              <w:jc w:val="center"/>
            </w:pPr>
            <w:r w:rsidRPr="00C9343F">
              <w:t>b.</w:t>
            </w:r>
          </w:p>
        </w:tc>
        <w:tc>
          <w:tcPr>
            <w:tcW w:w="7800" w:type="dxa"/>
          </w:tcPr>
          <w:p w14:paraId="4B4D65FE" w14:textId="77777777" w:rsidR="006D1E1C" w:rsidRPr="00C9343F" w:rsidRDefault="006D1E1C" w:rsidP="00F66D98">
            <w:pPr>
              <w:pStyle w:val="BlockText-Plain"/>
            </w:pPr>
            <w:r w:rsidRPr="00C9343F">
              <w:t>Activities associated with Specialist officer career structure competency-based training.</w:t>
            </w:r>
          </w:p>
        </w:tc>
      </w:tr>
      <w:tr w:rsidR="006D1E1C" w:rsidRPr="00C9343F" w14:paraId="0DD5B201" w14:textId="77777777" w:rsidTr="00B4505C">
        <w:trPr>
          <w:cantSplit/>
        </w:trPr>
        <w:tc>
          <w:tcPr>
            <w:tcW w:w="997" w:type="dxa"/>
          </w:tcPr>
          <w:p w14:paraId="2CB235E7" w14:textId="77777777" w:rsidR="006D1E1C" w:rsidRPr="00C9343F" w:rsidRDefault="006D1E1C" w:rsidP="00F66D98">
            <w:pPr>
              <w:pStyle w:val="BlockText-Plain"/>
            </w:pPr>
          </w:p>
        </w:tc>
        <w:tc>
          <w:tcPr>
            <w:tcW w:w="567" w:type="dxa"/>
          </w:tcPr>
          <w:p w14:paraId="4BCAABDE" w14:textId="77777777" w:rsidR="006D1E1C" w:rsidRPr="00C9343F" w:rsidRDefault="006D1E1C" w:rsidP="008D1B5D">
            <w:pPr>
              <w:pStyle w:val="BlockText-Plain"/>
              <w:jc w:val="center"/>
            </w:pPr>
            <w:r w:rsidRPr="00C9343F">
              <w:t>c.</w:t>
            </w:r>
          </w:p>
        </w:tc>
        <w:tc>
          <w:tcPr>
            <w:tcW w:w="7800" w:type="dxa"/>
          </w:tcPr>
          <w:p w14:paraId="39305265" w14:textId="77777777" w:rsidR="006D1E1C" w:rsidRPr="00C9343F" w:rsidRDefault="006D1E1C" w:rsidP="00F66D98">
            <w:pPr>
              <w:pStyle w:val="BlockText-Plain"/>
            </w:pPr>
            <w:r w:rsidRPr="00C9343F">
              <w:t>Activities that can be accessed through the Defence Assisted Study Scheme.</w:t>
            </w:r>
          </w:p>
        </w:tc>
      </w:tr>
      <w:tr w:rsidR="006D1E1C" w:rsidRPr="00C9343F" w14:paraId="2B9598A0" w14:textId="77777777" w:rsidTr="00B4505C">
        <w:trPr>
          <w:cantSplit/>
        </w:trPr>
        <w:tc>
          <w:tcPr>
            <w:tcW w:w="997" w:type="dxa"/>
          </w:tcPr>
          <w:p w14:paraId="5A1A8483" w14:textId="77777777" w:rsidR="006D1E1C" w:rsidRPr="00C9343F" w:rsidRDefault="006D1E1C" w:rsidP="00F66D98">
            <w:pPr>
              <w:pStyle w:val="BlockText-Plain"/>
            </w:pPr>
          </w:p>
        </w:tc>
        <w:tc>
          <w:tcPr>
            <w:tcW w:w="567" w:type="dxa"/>
          </w:tcPr>
          <w:p w14:paraId="465A7F9D" w14:textId="77777777" w:rsidR="006D1E1C" w:rsidRPr="00C9343F" w:rsidRDefault="006D1E1C" w:rsidP="008D1B5D">
            <w:pPr>
              <w:pStyle w:val="BlockText-Plain"/>
              <w:jc w:val="center"/>
            </w:pPr>
            <w:r w:rsidRPr="00C9343F">
              <w:t>d.</w:t>
            </w:r>
          </w:p>
        </w:tc>
        <w:tc>
          <w:tcPr>
            <w:tcW w:w="7800" w:type="dxa"/>
          </w:tcPr>
          <w:p w14:paraId="18DE84B3" w14:textId="77777777" w:rsidR="006D1E1C" w:rsidRPr="00C9343F" w:rsidRDefault="006D1E1C" w:rsidP="00F66D98">
            <w:pPr>
              <w:pStyle w:val="BlockText-Plain"/>
            </w:pPr>
            <w:r w:rsidRPr="00C9343F">
              <w:t>The purchase of non-dental specific computer hardware, software or internet access.</w:t>
            </w:r>
          </w:p>
        </w:tc>
      </w:tr>
    </w:tbl>
    <w:p w14:paraId="751C60DD" w14:textId="655C66E2" w:rsidR="006D1E1C" w:rsidRPr="00C9343F" w:rsidRDefault="006D1E1C" w:rsidP="00F66D98">
      <w:pPr>
        <w:pStyle w:val="Heading5"/>
      </w:pPr>
      <w:bookmarkStart w:id="1114" w:name="_Toc105053908"/>
      <w:r w:rsidRPr="00C9343F">
        <w:t>4.8.32</w:t>
      </w:r>
      <w:r w:rsidR="00D94006" w:rsidRPr="00C9343F">
        <w:t>    </w:t>
      </w:r>
      <w:r w:rsidRPr="00C9343F">
        <w:t>Calculation of the maximum</w:t>
      </w:r>
      <w:bookmarkEnd w:id="1114"/>
      <w:r w:rsidRPr="00C9343F">
        <w:t xml:space="preserve"> </w:t>
      </w:r>
    </w:p>
    <w:tbl>
      <w:tblPr>
        <w:tblW w:w="9364" w:type="dxa"/>
        <w:tblInd w:w="108" w:type="dxa"/>
        <w:tblLayout w:type="fixed"/>
        <w:tblLook w:val="0000" w:firstRow="0" w:lastRow="0" w:firstColumn="0" w:lastColumn="0" w:noHBand="0" w:noVBand="0"/>
      </w:tblPr>
      <w:tblGrid>
        <w:gridCol w:w="997"/>
        <w:gridCol w:w="567"/>
        <w:gridCol w:w="7800"/>
      </w:tblGrid>
      <w:tr w:rsidR="006D1E1C" w:rsidRPr="00C9343F" w14:paraId="026CC40C" w14:textId="77777777" w:rsidTr="00D332F4">
        <w:tc>
          <w:tcPr>
            <w:tcW w:w="997" w:type="dxa"/>
          </w:tcPr>
          <w:p w14:paraId="5CBCF439" w14:textId="77777777" w:rsidR="006D1E1C" w:rsidRPr="00C9343F" w:rsidRDefault="006D1E1C" w:rsidP="00F66D98">
            <w:pPr>
              <w:pStyle w:val="BlockText-Plain"/>
              <w:jc w:val="center"/>
            </w:pPr>
            <w:r w:rsidRPr="00C9343F">
              <w:t>1.</w:t>
            </w:r>
          </w:p>
        </w:tc>
        <w:tc>
          <w:tcPr>
            <w:tcW w:w="8367" w:type="dxa"/>
            <w:gridSpan w:val="2"/>
          </w:tcPr>
          <w:p w14:paraId="7AB4BABC" w14:textId="65736281" w:rsidR="006D1E1C" w:rsidRPr="00C9343F" w:rsidRDefault="006D1E1C" w:rsidP="00F66D98">
            <w:pPr>
              <w:pStyle w:val="BlockText-Plain"/>
            </w:pPr>
            <w:r w:rsidRPr="00C9343F">
              <w:t>This section sets out how to calculate the maximum reimbursement that may be paid to a member under section 4.8.30.</w:t>
            </w:r>
          </w:p>
        </w:tc>
      </w:tr>
      <w:tr w:rsidR="006D1E1C" w:rsidRPr="00C9343F" w14:paraId="3CF6A400" w14:textId="77777777" w:rsidTr="00D332F4">
        <w:tc>
          <w:tcPr>
            <w:tcW w:w="997" w:type="dxa"/>
          </w:tcPr>
          <w:p w14:paraId="21A9BCAE" w14:textId="77777777" w:rsidR="006D1E1C" w:rsidRPr="00C9343F" w:rsidRDefault="006D1E1C" w:rsidP="00F66D98">
            <w:pPr>
              <w:pStyle w:val="BlockText-Plain"/>
              <w:jc w:val="center"/>
            </w:pPr>
            <w:r w:rsidRPr="00C9343F">
              <w:t>2.</w:t>
            </w:r>
          </w:p>
        </w:tc>
        <w:tc>
          <w:tcPr>
            <w:tcW w:w="8367" w:type="dxa"/>
            <w:gridSpan w:val="2"/>
          </w:tcPr>
          <w:p w14:paraId="07B81B29" w14:textId="77777777" w:rsidR="006D1E1C" w:rsidRPr="00C9343F" w:rsidRDefault="006D1E1C" w:rsidP="00F66D98">
            <w:pPr>
              <w:pStyle w:val="BlockText-Plain"/>
            </w:pPr>
            <w:r w:rsidRPr="00C9343F">
              <w:t>The maximum for a member of the Permanent Forces is $10,000 in a financial year.</w:t>
            </w:r>
          </w:p>
        </w:tc>
      </w:tr>
      <w:tr w:rsidR="006D1E1C" w:rsidRPr="00C9343F" w14:paraId="0CA39F56" w14:textId="77777777" w:rsidTr="00D332F4">
        <w:tc>
          <w:tcPr>
            <w:tcW w:w="997" w:type="dxa"/>
          </w:tcPr>
          <w:p w14:paraId="5CFE5F00" w14:textId="77777777" w:rsidR="006D1E1C" w:rsidRPr="00C9343F" w:rsidRDefault="006D1E1C" w:rsidP="00F66D98">
            <w:pPr>
              <w:pStyle w:val="BlockText-Plain"/>
              <w:jc w:val="center"/>
            </w:pPr>
            <w:r w:rsidRPr="00C9343F">
              <w:t>3.</w:t>
            </w:r>
          </w:p>
        </w:tc>
        <w:tc>
          <w:tcPr>
            <w:tcW w:w="8367" w:type="dxa"/>
            <w:gridSpan w:val="2"/>
          </w:tcPr>
          <w:p w14:paraId="258F7C63" w14:textId="77777777" w:rsidR="006D1E1C" w:rsidRPr="00C9343F" w:rsidRDefault="006D1E1C" w:rsidP="00F66D98">
            <w:pPr>
              <w:pStyle w:val="BlockText-Plain"/>
            </w:pPr>
            <w:r w:rsidRPr="00C9343F">
              <w:t xml:space="preserve">This subsection applies to a member of the </w:t>
            </w:r>
            <w:r w:rsidR="00780A98" w:rsidRPr="00C9343F">
              <w:rPr>
                <w:color w:val="000000"/>
              </w:rPr>
              <w:t>Army Reserve</w:t>
            </w:r>
            <w:r w:rsidR="00780A98" w:rsidRPr="00C9343F">
              <w:t xml:space="preserve"> </w:t>
            </w:r>
            <w:r w:rsidRPr="00C9343F">
              <w:t>on continuous full-time service. The member's maximum claim is as follows.</w:t>
            </w:r>
          </w:p>
        </w:tc>
      </w:tr>
      <w:tr w:rsidR="006D1E1C" w:rsidRPr="00C9343F" w14:paraId="2C93B388" w14:textId="77777777" w:rsidTr="00D332F4">
        <w:trPr>
          <w:cantSplit/>
        </w:trPr>
        <w:tc>
          <w:tcPr>
            <w:tcW w:w="997" w:type="dxa"/>
          </w:tcPr>
          <w:p w14:paraId="7C2450A6" w14:textId="77777777" w:rsidR="006D1E1C" w:rsidRPr="00C9343F" w:rsidRDefault="006D1E1C" w:rsidP="00F66D98">
            <w:pPr>
              <w:pStyle w:val="BlockText-Plain"/>
            </w:pPr>
          </w:p>
        </w:tc>
        <w:tc>
          <w:tcPr>
            <w:tcW w:w="567" w:type="dxa"/>
          </w:tcPr>
          <w:p w14:paraId="1836E92B" w14:textId="77777777" w:rsidR="006D1E1C" w:rsidRPr="00C9343F" w:rsidRDefault="006D1E1C" w:rsidP="008D1B5D">
            <w:pPr>
              <w:pStyle w:val="BlockText-Plain"/>
              <w:jc w:val="center"/>
            </w:pPr>
            <w:r w:rsidRPr="00C9343F">
              <w:t>a.</w:t>
            </w:r>
          </w:p>
        </w:tc>
        <w:tc>
          <w:tcPr>
            <w:tcW w:w="7800" w:type="dxa"/>
          </w:tcPr>
          <w:p w14:paraId="0D9BC9A7" w14:textId="77777777" w:rsidR="006D1E1C" w:rsidRPr="00C9343F" w:rsidRDefault="006D1E1C" w:rsidP="00F66D98">
            <w:pPr>
              <w:pStyle w:val="BlockText-Plain"/>
            </w:pPr>
            <w:r w:rsidRPr="00C9343F">
              <w:t>The maximum is $833.33 for each period of 30 consecutive days of service in a financial year.</w:t>
            </w:r>
          </w:p>
        </w:tc>
      </w:tr>
      <w:tr w:rsidR="006D1E1C" w:rsidRPr="00C9343F" w14:paraId="6298D8C9" w14:textId="77777777" w:rsidTr="00D332F4">
        <w:trPr>
          <w:cantSplit/>
        </w:trPr>
        <w:tc>
          <w:tcPr>
            <w:tcW w:w="997" w:type="dxa"/>
          </w:tcPr>
          <w:p w14:paraId="395B3429" w14:textId="77777777" w:rsidR="006D1E1C" w:rsidRPr="00C9343F" w:rsidRDefault="006D1E1C" w:rsidP="00F66D98">
            <w:pPr>
              <w:pStyle w:val="BlockText-Plain"/>
            </w:pPr>
          </w:p>
        </w:tc>
        <w:tc>
          <w:tcPr>
            <w:tcW w:w="567" w:type="dxa"/>
          </w:tcPr>
          <w:p w14:paraId="7AECD4DE" w14:textId="77777777" w:rsidR="006D1E1C" w:rsidRPr="00C9343F" w:rsidRDefault="006D1E1C" w:rsidP="008D1B5D">
            <w:pPr>
              <w:pStyle w:val="BlockText-Plain"/>
              <w:jc w:val="center"/>
            </w:pPr>
            <w:r w:rsidRPr="00C9343F">
              <w:t>b.</w:t>
            </w:r>
          </w:p>
        </w:tc>
        <w:tc>
          <w:tcPr>
            <w:tcW w:w="7800" w:type="dxa"/>
          </w:tcPr>
          <w:p w14:paraId="6AAF4FE4" w14:textId="77777777" w:rsidR="006D1E1C" w:rsidRPr="00C9343F" w:rsidRDefault="006D1E1C" w:rsidP="00F66D98">
            <w:pPr>
              <w:pStyle w:val="BlockText-Plain"/>
            </w:pPr>
            <w:r w:rsidRPr="00C9343F">
              <w:t>The financial year reimbursement may not exceed $10,000.</w:t>
            </w:r>
          </w:p>
        </w:tc>
      </w:tr>
      <w:tr w:rsidR="006D1E1C" w:rsidRPr="00C9343F" w14:paraId="557BE766" w14:textId="77777777" w:rsidTr="00D332F4">
        <w:trPr>
          <w:cantSplit/>
        </w:trPr>
        <w:tc>
          <w:tcPr>
            <w:tcW w:w="997" w:type="dxa"/>
          </w:tcPr>
          <w:p w14:paraId="1CC173A2" w14:textId="77777777" w:rsidR="006D1E1C" w:rsidRPr="00C9343F" w:rsidRDefault="006D1E1C" w:rsidP="00F66D98">
            <w:pPr>
              <w:pStyle w:val="BlockText-Plain"/>
            </w:pPr>
          </w:p>
        </w:tc>
        <w:tc>
          <w:tcPr>
            <w:tcW w:w="567" w:type="dxa"/>
          </w:tcPr>
          <w:p w14:paraId="447DD4CF" w14:textId="77777777" w:rsidR="006D1E1C" w:rsidRPr="00C9343F" w:rsidRDefault="006D1E1C" w:rsidP="008D1B5D">
            <w:pPr>
              <w:pStyle w:val="BlockText-Plain"/>
              <w:jc w:val="center"/>
            </w:pPr>
            <w:r w:rsidRPr="00C9343F">
              <w:t>c.</w:t>
            </w:r>
          </w:p>
        </w:tc>
        <w:tc>
          <w:tcPr>
            <w:tcW w:w="7800" w:type="dxa"/>
          </w:tcPr>
          <w:p w14:paraId="2A59E390" w14:textId="77777777" w:rsidR="006D1E1C" w:rsidRPr="00C9343F" w:rsidRDefault="006D1E1C" w:rsidP="00F66D98">
            <w:pPr>
              <w:pStyle w:val="BlockText-Plain"/>
            </w:pPr>
            <w:r w:rsidRPr="00C9343F">
              <w:t>Any period of less than 30 consecutive days of service in a financial year does not count towards the maximum.</w:t>
            </w:r>
          </w:p>
        </w:tc>
      </w:tr>
      <w:tr w:rsidR="006D1E1C" w:rsidRPr="00C9343F" w14:paraId="6AE6519B" w14:textId="77777777" w:rsidTr="00D332F4">
        <w:trPr>
          <w:cantSplit/>
        </w:trPr>
        <w:tc>
          <w:tcPr>
            <w:tcW w:w="997" w:type="dxa"/>
          </w:tcPr>
          <w:p w14:paraId="0D6916F7" w14:textId="77777777" w:rsidR="006D1E1C" w:rsidRPr="00C9343F" w:rsidRDefault="006D1E1C" w:rsidP="00F66D98">
            <w:pPr>
              <w:pStyle w:val="BlockText-Plain"/>
            </w:pPr>
          </w:p>
        </w:tc>
        <w:tc>
          <w:tcPr>
            <w:tcW w:w="567" w:type="dxa"/>
          </w:tcPr>
          <w:p w14:paraId="13A2AC38" w14:textId="77777777" w:rsidR="006D1E1C" w:rsidRPr="00C9343F" w:rsidRDefault="006D1E1C" w:rsidP="008D1B5D">
            <w:pPr>
              <w:pStyle w:val="BlockText-Plain"/>
              <w:jc w:val="center"/>
            </w:pPr>
            <w:r w:rsidRPr="00C9343F">
              <w:t>d.</w:t>
            </w:r>
          </w:p>
        </w:tc>
        <w:tc>
          <w:tcPr>
            <w:tcW w:w="7800" w:type="dxa"/>
          </w:tcPr>
          <w:p w14:paraId="62B59371" w14:textId="77777777" w:rsidR="006D1E1C" w:rsidRPr="00C9343F" w:rsidRDefault="006D1E1C" w:rsidP="00F66D98">
            <w:pPr>
              <w:pStyle w:val="BlockText-Plain"/>
            </w:pPr>
            <w:r w:rsidRPr="00C9343F">
              <w:t>Unused days of service not claimed in a financial year cannot be carried over to the next financial year.</w:t>
            </w:r>
          </w:p>
        </w:tc>
      </w:tr>
      <w:tr w:rsidR="006D1E1C" w:rsidRPr="00C9343F" w14:paraId="78C0B7E2" w14:textId="77777777" w:rsidTr="00D332F4">
        <w:trPr>
          <w:cantSplit/>
        </w:trPr>
        <w:tc>
          <w:tcPr>
            <w:tcW w:w="997" w:type="dxa"/>
          </w:tcPr>
          <w:p w14:paraId="20D5954E" w14:textId="77777777" w:rsidR="006D1E1C" w:rsidRPr="00C9343F" w:rsidRDefault="006D1E1C" w:rsidP="00F66D98">
            <w:pPr>
              <w:pStyle w:val="BlockText-Plain"/>
            </w:pPr>
          </w:p>
        </w:tc>
        <w:tc>
          <w:tcPr>
            <w:tcW w:w="567" w:type="dxa"/>
          </w:tcPr>
          <w:p w14:paraId="3CCD9DB0" w14:textId="77777777" w:rsidR="006D1E1C" w:rsidRPr="00C9343F" w:rsidRDefault="006D1E1C" w:rsidP="008D1B5D">
            <w:pPr>
              <w:pStyle w:val="BlockText-Plain"/>
              <w:jc w:val="center"/>
            </w:pPr>
            <w:r w:rsidRPr="00C9343F">
              <w:t>e.</w:t>
            </w:r>
          </w:p>
        </w:tc>
        <w:tc>
          <w:tcPr>
            <w:tcW w:w="7800" w:type="dxa"/>
          </w:tcPr>
          <w:p w14:paraId="3727464D" w14:textId="77777777" w:rsidR="006D1E1C" w:rsidRPr="00C9343F" w:rsidRDefault="006D1E1C" w:rsidP="00F66D98">
            <w:pPr>
              <w:pStyle w:val="BlockText-Plain"/>
            </w:pPr>
            <w:r w:rsidRPr="00C9343F">
              <w:t>A member who has worked both permanent service and Reserve service cannot claim more than $10 000 in a financial year.</w:t>
            </w:r>
          </w:p>
        </w:tc>
      </w:tr>
      <w:tr w:rsidR="006D1E1C" w:rsidRPr="00C9343F" w14:paraId="0824D01F" w14:textId="77777777" w:rsidTr="00D332F4">
        <w:tc>
          <w:tcPr>
            <w:tcW w:w="997" w:type="dxa"/>
          </w:tcPr>
          <w:p w14:paraId="76C733D6" w14:textId="77777777" w:rsidR="006D1E1C" w:rsidRPr="00C9343F" w:rsidRDefault="006D1E1C" w:rsidP="00F66D98">
            <w:pPr>
              <w:pStyle w:val="BlockText-Plain"/>
              <w:jc w:val="center"/>
            </w:pPr>
            <w:r w:rsidRPr="00C9343F">
              <w:t>4.</w:t>
            </w:r>
          </w:p>
        </w:tc>
        <w:tc>
          <w:tcPr>
            <w:tcW w:w="8367" w:type="dxa"/>
            <w:gridSpan w:val="2"/>
          </w:tcPr>
          <w:p w14:paraId="531C84F0" w14:textId="77777777" w:rsidR="006D1E1C" w:rsidRPr="00C9343F" w:rsidRDefault="006D1E1C" w:rsidP="00F66D98">
            <w:pPr>
              <w:pStyle w:val="BlockText-Plain"/>
            </w:pPr>
            <w:r w:rsidRPr="00C9343F">
              <w:t>This subsection applies to a member of the Reserves on Reserve service. The member's maximum is calculated as follows.</w:t>
            </w:r>
          </w:p>
        </w:tc>
      </w:tr>
      <w:tr w:rsidR="006D1E1C" w:rsidRPr="00C9343F" w14:paraId="32FB7D06" w14:textId="77777777" w:rsidTr="00D332F4">
        <w:trPr>
          <w:cantSplit/>
        </w:trPr>
        <w:tc>
          <w:tcPr>
            <w:tcW w:w="997" w:type="dxa"/>
          </w:tcPr>
          <w:p w14:paraId="0750DC14" w14:textId="77777777" w:rsidR="006D1E1C" w:rsidRPr="00C9343F" w:rsidRDefault="006D1E1C" w:rsidP="00F66D98">
            <w:pPr>
              <w:pStyle w:val="BlockText-Plain"/>
            </w:pPr>
          </w:p>
        </w:tc>
        <w:tc>
          <w:tcPr>
            <w:tcW w:w="567" w:type="dxa"/>
          </w:tcPr>
          <w:p w14:paraId="4417A230" w14:textId="77777777" w:rsidR="006D1E1C" w:rsidRPr="00C9343F" w:rsidRDefault="006D1E1C" w:rsidP="008D1B5D">
            <w:pPr>
              <w:pStyle w:val="BlockText-Plain"/>
              <w:jc w:val="center"/>
            </w:pPr>
            <w:r w:rsidRPr="00C9343F">
              <w:t>a.</w:t>
            </w:r>
          </w:p>
        </w:tc>
        <w:tc>
          <w:tcPr>
            <w:tcW w:w="7800" w:type="dxa"/>
          </w:tcPr>
          <w:p w14:paraId="59B5EABF" w14:textId="77777777" w:rsidR="006D1E1C" w:rsidRPr="00C9343F" w:rsidRDefault="006D1E1C" w:rsidP="00F66D98">
            <w:pPr>
              <w:pStyle w:val="BlockText-Plain"/>
            </w:pPr>
            <w:r w:rsidRPr="00C9343F">
              <w:t>The maximum is $27.39 for each day of service. The days do not need to be consecutive. A day of service is a minimum of six hours of duty on a day.</w:t>
            </w:r>
          </w:p>
        </w:tc>
      </w:tr>
      <w:tr w:rsidR="006D1E1C" w:rsidRPr="00C9343F" w14:paraId="018F4FDB" w14:textId="77777777" w:rsidTr="00D332F4">
        <w:trPr>
          <w:cantSplit/>
        </w:trPr>
        <w:tc>
          <w:tcPr>
            <w:tcW w:w="997" w:type="dxa"/>
          </w:tcPr>
          <w:p w14:paraId="74F82EA3" w14:textId="77777777" w:rsidR="006D1E1C" w:rsidRPr="00C9343F" w:rsidRDefault="006D1E1C" w:rsidP="00F66D98">
            <w:pPr>
              <w:pStyle w:val="BlockText-Plain"/>
            </w:pPr>
          </w:p>
        </w:tc>
        <w:tc>
          <w:tcPr>
            <w:tcW w:w="567" w:type="dxa"/>
          </w:tcPr>
          <w:p w14:paraId="70220CC9" w14:textId="77777777" w:rsidR="006D1E1C" w:rsidRPr="00C9343F" w:rsidRDefault="006D1E1C" w:rsidP="008D1B5D">
            <w:pPr>
              <w:pStyle w:val="BlockText-Plain"/>
              <w:jc w:val="center"/>
            </w:pPr>
            <w:r w:rsidRPr="00C9343F">
              <w:t>b.</w:t>
            </w:r>
          </w:p>
        </w:tc>
        <w:tc>
          <w:tcPr>
            <w:tcW w:w="7800" w:type="dxa"/>
          </w:tcPr>
          <w:p w14:paraId="655178AC" w14:textId="77777777" w:rsidR="006D1E1C" w:rsidRPr="00C9343F" w:rsidRDefault="006D1E1C" w:rsidP="00F66D98">
            <w:pPr>
              <w:pStyle w:val="BlockText-Plain"/>
            </w:pPr>
            <w:r w:rsidRPr="00C9343F">
              <w:t>The financial year reimbursement may not exceed $10,000.</w:t>
            </w:r>
          </w:p>
        </w:tc>
      </w:tr>
      <w:tr w:rsidR="006D1E1C" w:rsidRPr="00C9343F" w14:paraId="24D06548" w14:textId="77777777" w:rsidTr="00D332F4">
        <w:trPr>
          <w:cantSplit/>
        </w:trPr>
        <w:tc>
          <w:tcPr>
            <w:tcW w:w="997" w:type="dxa"/>
          </w:tcPr>
          <w:p w14:paraId="71F73137" w14:textId="77777777" w:rsidR="006D1E1C" w:rsidRPr="00C9343F" w:rsidRDefault="006D1E1C" w:rsidP="00F66D98">
            <w:pPr>
              <w:pStyle w:val="BlockText-Plain"/>
            </w:pPr>
          </w:p>
        </w:tc>
        <w:tc>
          <w:tcPr>
            <w:tcW w:w="567" w:type="dxa"/>
          </w:tcPr>
          <w:p w14:paraId="3327EEB6" w14:textId="77777777" w:rsidR="006D1E1C" w:rsidRPr="00C9343F" w:rsidRDefault="006D1E1C" w:rsidP="008D1B5D">
            <w:pPr>
              <w:pStyle w:val="BlockText-Plain"/>
              <w:jc w:val="center"/>
            </w:pPr>
            <w:r w:rsidRPr="00C9343F">
              <w:t>c.</w:t>
            </w:r>
          </w:p>
        </w:tc>
        <w:tc>
          <w:tcPr>
            <w:tcW w:w="7800" w:type="dxa"/>
          </w:tcPr>
          <w:p w14:paraId="1DFD9882" w14:textId="77777777" w:rsidR="006D1E1C" w:rsidRPr="00C9343F" w:rsidRDefault="006D1E1C" w:rsidP="00F66D98">
            <w:pPr>
              <w:pStyle w:val="BlockText-Plain"/>
            </w:pPr>
            <w:r w:rsidRPr="00C9343F">
              <w:t>Twenty days or more of Reserve service must be served within a financial year before a claim can be made.</w:t>
            </w:r>
          </w:p>
        </w:tc>
      </w:tr>
      <w:tr w:rsidR="006D1E1C" w:rsidRPr="00C9343F" w14:paraId="1A5A97A5" w14:textId="77777777" w:rsidTr="00D332F4">
        <w:trPr>
          <w:cantSplit/>
        </w:trPr>
        <w:tc>
          <w:tcPr>
            <w:tcW w:w="997" w:type="dxa"/>
          </w:tcPr>
          <w:p w14:paraId="69CA3B84" w14:textId="77777777" w:rsidR="006D1E1C" w:rsidRPr="00C9343F" w:rsidRDefault="006D1E1C" w:rsidP="00F66D98">
            <w:pPr>
              <w:pStyle w:val="BlockText-Plain"/>
            </w:pPr>
          </w:p>
        </w:tc>
        <w:tc>
          <w:tcPr>
            <w:tcW w:w="567" w:type="dxa"/>
          </w:tcPr>
          <w:p w14:paraId="0E5A3848" w14:textId="77777777" w:rsidR="006D1E1C" w:rsidRPr="00C9343F" w:rsidRDefault="006D1E1C" w:rsidP="008D1B5D">
            <w:pPr>
              <w:pStyle w:val="BlockText-Plain"/>
              <w:jc w:val="center"/>
            </w:pPr>
            <w:r w:rsidRPr="00C9343F">
              <w:t>d.</w:t>
            </w:r>
          </w:p>
        </w:tc>
        <w:tc>
          <w:tcPr>
            <w:tcW w:w="7800" w:type="dxa"/>
          </w:tcPr>
          <w:p w14:paraId="362DE944" w14:textId="77777777" w:rsidR="006D1E1C" w:rsidRPr="00C9343F" w:rsidRDefault="006D1E1C" w:rsidP="00F66D98">
            <w:pPr>
              <w:pStyle w:val="BlockText-Plain"/>
            </w:pPr>
            <w:r w:rsidRPr="00C9343F">
              <w:t>Any total of less than 20 days of Reserve service in a financial year does not count towards the maximum.</w:t>
            </w:r>
          </w:p>
        </w:tc>
      </w:tr>
      <w:tr w:rsidR="006D1E1C" w:rsidRPr="00C9343F" w14:paraId="1D722D79" w14:textId="77777777" w:rsidTr="00D332F4">
        <w:trPr>
          <w:cantSplit/>
        </w:trPr>
        <w:tc>
          <w:tcPr>
            <w:tcW w:w="997" w:type="dxa"/>
          </w:tcPr>
          <w:p w14:paraId="2078426D" w14:textId="77777777" w:rsidR="006D1E1C" w:rsidRPr="00C9343F" w:rsidRDefault="006D1E1C" w:rsidP="00F66D98">
            <w:pPr>
              <w:pStyle w:val="BlockText-Plain"/>
            </w:pPr>
          </w:p>
        </w:tc>
        <w:tc>
          <w:tcPr>
            <w:tcW w:w="567" w:type="dxa"/>
          </w:tcPr>
          <w:p w14:paraId="40990CE4" w14:textId="77777777" w:rsidR="006D1E1C" w:rsidRPr="00C9343F" w:rsidRDefault="006D1E1C" w:rsidP="008D1B5D">
            <w:pPr>
              <w:pStyle w:val="BlockText-Plain"/>
              <w:jc w:val="center"/>
            </w:pPr>
            <w:r w:rsidRPr="00C9343F">
              <w:t>e.</w:t>
            </w:r>
          </w:p>
        </w:tc>
        <w:tc>
          <w:tcPr>
            <w:tcW w:w="7800" w:type="dxa"/>
          </w:tcPr>
          <w:p w14:paraId="4A9050A2" w14:textId="77777777" w:rsidR="006D1E1C" w:rsidRPr="00C9343F" w:rsidRDefault="006D1E1C" w:rsidP="00F66D98">
            <w:pPr>
              <w:pStyle w:val="BlockText-Plain"/>
            </w:pPr>
            <w:r w:rsidRPr="00C9343F">
              <w:t>Unused days of service not claimed in a financial year cannot be carried over to the next financial year.</w:t>
            </w:r>
          </w:p>
        </w:tc>
      </w:tr>
      <w:tr w:rsidR="006D1E1C" w:rsidRPr="00C9343F" w14:paraId="1732BF3C" w14:textId="77777777" w:rsidTr="00D332F4">
        <w:trPr>
          <w:cantSplit/>
        </w:trPr>
        <w:tc>
          <w:tcPr>
            <w:tcW w:w="997" w:type="dxa"/>
          </w:tcPr>
          <w:p w14:paraId="5BF5C7E4" w14:textId="77777777" w:rsidR="006D1E1C" w:rsidRPr="00C9343F" w:rsidRDefault="006D1E1C" w:rsidP="00F66D98">
            <w:pPr>
              <w:pStyle w:val="BlockText-Plain"/>
              <w:jc w:val="center"/>
            </w:pPr>
            <w:r w:rsidRPr="00C9343F">
              <w:t>5.</w:t>
            </w:r>
          </w:p>
        </w:tc>
        <w:tc>
          <w:tcPr>
            <w:tcW w:w="8367" w:type="dxa"/>
            <w:gridSpan w:val="2"/>
          </w:tcPr>
          <w:p w14:paraId="7F0252E3" w14:textId="77777777" w:rsidR="006D1E1C" w:rsidRPr="00C9343F" w:rsidRDefault="006D1E1C" w:rsidP="00F66D98">
            <w:pPr>
              <w:pStyle w:val="BlockText-Plain"/>
            </w:pPr>
            <w:r w:rsidRPr="00C9343F">
              <w:t xml:space="preserve">This subsection applies to a Reserve member who has worked both continuous full-time service and Reserve service in a financial year. </w:t>
            </w:r>
          </w:p>
        </w:tc>
      </w:tr>
      <w:tr w:rsidR="006D1E1C" w:rsidRPr="00C9343F" w14:paraId="4EBBDDF4" w14:textId="77777777" w:rsidTr="00D332F4">
        <w:trPr>
          <w:cantSplit/>
        </w:trPr>
        <w:tc>
          <w:tcPr>
            <w:tcW w:w="997" w:type="dxa"/>
          </w:tcPr>
          <w:p w14:paraId="10DF2283" w14:textId="77777777" w:rsidR="006D1E1C" w:rsidRPr="00C9343F" w:rsidRDefault="006D1E1C" w:rsidP="00F66D98">
            <w:pPr>
              <w:pStyle w:val="BlockText-Plain"/>
            </w:pPr>
          </w:p>
        </w:tc>
        <w:tc>
          <w:tcPr>
            <w:tcW w:w="567" w:type="dxa"/>
          </w:tcPr>
          <w:p w14:paraId="5B3BBA87" w14:textId="77777777" w:rsidR="006D1E1C" w:rsidRPr="00C9343F" w:rsidRDefault="006D1E1C" w:rsidP="008D1B5D">
            <w:pPr>
              <w:pStyle w:val="BlockText-Plain"/>
              <w:jc w:val="center"/>
            </w:pPr>
            <w:r w:rsidRPr="00C9343F">
              <w:t>a.</w:t>
            </w:r>
          </w:p>
        </w:tc>
        <w:tc>
          <w:tcPr>
            <w:tcW w:w="7800" w:type="dxa"/>
          </w:tcPr>
          <w:p w14:paraId="62B4D77E" w14:textId="0CE27FF7" w:rsidR="006D1E1C" w:rsidRPr="00C9343F" w:rsidRDefault="006D1E1C" w:rsidP="00F66D98">
            <w:pPr>
              <w:pStyle w:val="BlockText-Plain"/>
            </w:pPr>
            <w:r w:rsidRPr="00C9343F">
              <w:t>The member's maximum is the sum of the limits as calculated under each type of service.</w:t>
            </w:r>
          </w:p>
        </w:tc>
      </w:tr>
      <w:tr w:rsidR="006D1E1C" w:rsidRPr="00C9343F" w14:paraId="5EBA2209" w14:textId="77777777" w:rsidTr="00D332F4">
        <w:trPr>
          <w:cantSplit/>
        </w:trPr>
        <w:tc>
          <w:tcPr>
            <w:tcW w:w="997" w:type="dxa"/>
          </w:tcPr>
          <w:p w14:paraId="183ECA09" w14:textId="77777777" w:rsidR="006D1E1C" w:rsidRPr="00C9343F" w:rsidRDefault="006D1E1C" w:rsidP="00F66D98">
            <w:pPr>
              <w:pStyle w:val="BlockText-Plain"/>
            </w:pPr>
          </w:p>
        </w:tc>
        <w:tc>
          <w:tcPr>
            <w:tcW w:w="567" w:type="dxa"/>
          </w:tcPr>
          <w:p w14:paraId="3BD9806E" w14:textId="77777777" w:rsidR="006D1E1C" w:rsidRPr="00C9343F" w:rsidRDefault="006D1E1C" w:rsidP="008D1B5D">
            <w:pPr>
              <w:pStyle w:val="BlockText-Plain"/>
              <w:jc w:val="center"/>
            </w:pPr>
            <w:r w:rsidRPr="00C9343F">
              <w:t>b.</w:t>
            </w:r>
          </w:p>
        </w:tc>
        <w:tc>
          <w:tcPr>
            <w:tcW w:w="7800" w:type="dxa"/>
          </w:tcPr>
          <w:p w14:paraId="2220C88A" w14:textId="77777777" w:rsidR="006D1E1C" w:rsidRPr="00C9343F" w:rsidRDefault="006D1E1C" w:rsidP="00F66D98">
            <w:pPr>
              <w:pStyle w:val="BlockText-Plain"/>
            </w:pPr>
            <w:r w:rsidRPr="00C9343F">
              <w:t>The member can not combine unused days from continuous full-time service and Reserve service to be eligible for a claim.</w:t>
            </w:r>
          </w:p>
        </w:tc>
      </w:tr>
    </w:tbl>
    <w:p w14:paraId="74841BCF" w14:textId="2B83B5CD" w:rsidR="006D1E1C" w:rsidRPr="00C9343F" w:rsidRDefault="006D1E1C" w:rsidP="00283374">
      <w:pPr>
        <w:pStyle w:val="Heading3"/>
        <w:pageBreakBefore/>
      </w:pPr>
      <w:bookmarkStart w:id="1115" w:name="_Toc105053909"/>
      <w:r w:rsidRPr="00C9343F">
        <w:t>Part 9: Reserves</w:t>
      </w:r>
      <w:bookmarkEnd w:id="1115"/>
      <w:r w:rsidRPr="00C9343F">
        <w:t xml:space="preserve"> </w:t>
      </w:r>
    </w:p>
    <w:p w14:paraId="78605292" w14:textId="3DAD93F3" w:rsidR="006D1E1C" w:rsidRPr="00C9343F" w:rsidRDefault="006D1E1C" w:rsidP="00F66D98">
      <w:pPr>
        <w:pStyle w:val="Heading4"/>
      </w:pPr>
      <w:bookmarkStart w:id="1116" w:name="_Toc105053910"/>
      <w:r w:rsidRPr="00C9343F">
        <w:t>Division 1: Legal officer sessional fee</w:t>
      </w:r>
      <w:bookmarkEnd w:id="1116"/>
    </w:p>
    <w:p w14:paraId="224CB117" w14:textId="71367EBA" w:rsidR="006D1E1C" w:rsidRPr="00C9343F" w:rsidRDefault="006D1E1C" w:rsidP="00F66D98">
      <w:pPr>
        <w:pStyle w:val="Heading5"/>
      </w:pPr>
      <w:bookmarkStart w:id="1117" w:name="_Toc105053911"/>
      <w:bookmarkStart w:id="1118" w:name="bk1501284123Purpose"/>
      <w:bookmarkStart w:id="1119" w:name="bk1502124123Purpose"/>
      <w:bookmarkStart w:id="1120" w:name="bk1503044123Purpose"/>
      <w:bookmarkStart w:id="1121" w:name="bk912254103Purpose"/>
      <w:bookmarkStart w:id="1122" w:name="bk922564103Purpose"/>
      <w:r w:rsidRPr="00C9343F">
        <w:t>4.9.3</w:t>
      </w:r>
      <w:r w:rsidR="00D94006" w:rsidRPr="00C9343F">
        <w:t>    </w:t>
      </w:r>
      <w:r w:rsidRPr="00C9343F">
        <w:t>Purpose</w:t>
      </w:r>
      <w:bookmarkEnd w:id="1117"/>
    </w:p>
    <w:bookmarkEnd w:id="1118"/>
    <w:bookmarkEnd w:id="1119"/>
    <w:bookmarkEnd w:id="1120"/>
    <w:bookmarkEnd w:id="1121"/>
    <w:bookmarkEnd w:id="1122"/>
    <w:tbl>
      <w:tblPr>
        <w:tblW w:w="9355" w:type="dxa"/>
        <w:tblInd w:w="113" w:type="dxa"/>
        <w:tblLayout w:type="fixed"/>
        <w:tblLook w:val="0000" w:firstRow="0" w:lastRow="0" w:firstColumn="0" w:lastColumn="0" w:noHBand="0" w:noVBand="0"/>
      </w:tblPr>
      <w:tblGrid>
        <w:gridCol w:w="992"/>
        <w:gridCol w:w="567"/>
        <w:gridCol w:w="7796"/>
      </w:tblGrid>
      <w:tr w:rsidR="006D1E1C" w:rsidRPr="00C9343F" w14:paraId="6315DD84" w14:textId="77777777" w:rsidTr="00B4505C">
        <w:tc>
          <w:tcPr>
            <w:tcW w:w="992" w:type="dxa"/>
          </w:tcPr>
          <w:p w14:paraId="7332712E" w14:textId="77777777" w:rsidR="006D1E1C" w:rsidRPr="00C9343F" w:rsidRDefault="006D1E1C" w:rsidP="00F66D98">
            <w:pPr>
              <w:pStyle w:val="BlockText-Plain"/>
              <w:jc w:val="center"/>
            </w:pPr>
          </w:p>
        </w:tc>
        <w:tc>
          <w:tcPr>
            <w:tcW w:w="8363" w:type="dxa"/>
            <w:gridSpan w:val="2"/>
          </w:tcPr>
          <w:p w14:paraId="712CE9E5" w14:textId="77777777" w:rsidR="006D1E1C" w:rsidRPr="00C9343F" w:rsidRDefault="006D1E1C" w:rsidP="00F66D98">
            <w:pPr>
              <w:pStyle w:val="BlockText-PlainNoSpacing"/>
              <w:spacing w:after="200"/>
            </w:pPr>
            <w:r w:rsidRPr="00C9343F">
              <w:t>Legal officer sessional fee compensates Reserve legal officers for the following.</w:t>
            </w:r>
          </w:p>
        </w:tc>
      </w:tr>
      <w:tr w:rsidR="006D1E1C" w:rsidRPr="00C9343F" w14:paraId="3D3A1BDA" w14:textId="77777777" w:rsidTr="00B4505C">
        <w:trPr>
          <w:cantSplit/>
        </w:trPr>
        <w:tc>
          <w:tcPr>
            <w:tcW w:w="992" w:type="dxa"/>
          </w:tcPr>
          <w:p w14:paraId="58DFFD60" w14:textId="77777777" w:rsidR="006D1E1C" w:rsidRPr="00C9343F" w:rsidRDefault="006D1E1C" w:rsidP="00F66D98">
            <w:pPr>
              <w:pStyle w:val="BlockText-Plain"/>
            </w:pPr>
            <w:bookmarkStart w:id="1123" w:name="bk1501284124MembersthisDivisionappliest"/>
            <w:bookmarkStart w:id="1124" w:name="bk1502124124MembersthisDivisionappliest"/>
            <w:bookmarkStart w:id="1125" w:name="bk1503044124MembersthisDivisionappliest"/>
            <w:bookmarkStart w:id="1126" w:name="bk912254104MembersthisDivisionappliesto"/>
            <w:bookmarkStart w:id="1127" w:name="bk922564104MembersthisDivisionappliesto"/>
          </w:p>
        </w:tc>
        <w:tc>
          <w:tcPr>
            <w:tcW w:w="567" w:type="dxa"/>
          </w:tcPr>
          <w:p w14:paraId="24081F59" w14:textId="77777777" w:rsidR="006D1E1C" w:rsidRPr="00C9343F" w:rsidRDefault="006D1E1C" w:rsidP="008D1B5D">
            <w:pPr>
              <w:pStyle w:val="BlockText-Plain"/>
              <w:jc w:val="center"/>
            </w:pPr>
            <w:r w:rsidRPr="00C9343F">
              <w:t>a.</w:t>
            </w:r>
          </w:p>
        </w:tc>
        <w:tc>
          <w:tcPr>
            <w:tcW w:w="7796" w:type="dxa"/>
          </w:tcPr>
          <w:p w14:paraId="66A75A25" w14:textId="77777777" w:rsidR="006D1E1C" w:rsidRPr="00C9343F" w:rsidRDefault="006D1E1C" w:rsidP="00F66D98">
            <w:pPr>
              <w:pStyle w:val="BlockText-Plain"/>
            </w:pPr>
            <w:r w:rsidRPr="00C9343F">
              <w:t>For certain professional work they perform for the ADF.</w:t>
            </w:r>
          </w:p>
        </w:tc>
      </w:tr>
      <w:tr w:rsidR="006D1E1C" w:rsidRPr="00C9343F" w14:paraId="6D1727BC" w14:textId="77777777" w:rsidTr="00B4505C">
        <w:trPr>
          <w:cantSplit/>
        </w:trPr>
        <w:tc>
          <w:tcPr>
            <w:tcW w:w="992" w:type="dxa"/>
          </w:tcPr>
          <w:p w14:paraId="794B4EF0" w14:textId="77777777" w:rsidR="006D1E1C" w:rsidRPr="00C9343F" w:rsidRDefault="006D1E1C" w:rsidP="00F66D98">
            <w:pPr>
              <w:pStyle w:val="BlockText-Plain"/>
            </w:pPr>
          </w:p>
        </w:tc>
        <w:tc>
          <w:tcPr>
            <w:tcW w:w="567" w:type="dxa"/>
          </w:tcPr>
          <w:p w14:paraId="592037BC" w14:textId="77777777" w:rsidR="006D1E1C" w:rsidRPr="00C9343F" w:rsidRDefault="006D1E1C" w:rsidP="008D1B5D">
            <w:pPr>
              <w:pStyle w:val="BlockText-Plain"/>
              <w:jc w:val="center"/>
            </w:pPr>
            <w:r w:rsidRPr="00C9343F">
              <w:t>b.</w:t>
            </w:r>
          </w:p>
        </w:tc>
        <w:tc>
          <w:tcPr>
            <w:tcW w:w="7796" w:type="dxa"/>
          </w:tcPr>
          <w:p w14:paraId="5D7859BA" w14:textId="07134166" w:rsidR="006D1E1C" w:rsidRPr="00C9343F" w:rsidRDefault="006D1E1C" w:rsidP="00F66D98">
            <w:pPr>
              <w:pStyle w:val="BlockText-Plain"/>
            </w:pPr>
            <w:r w:rsidRPr="00C9343F">
              <w:t>For practice costs associated with the duties in paragraph a.</w:t>
            </w:r>
          </w:p>
        </w:tc>
      </w:tr>
    </w:tbl>
    <w:p w14:paraId="41C9920B" w14:textId="77777777" w:rsidR="00B4505C" w:rsidRPr="00C9343F" w:rsidRDefault="00B4505C" w:rsidP="00F66D98">
      <w:pPr>
        <w:pStyle w:val="Heading5"/>
      </w:pPr>
      <w:bookmarkStart w:id="1128" w:name="_Toc105053912"/>
      <w:r w:rsidRPr="00C9343F">
        <w:t>4.9.4    Definitions</w:t>
      </w:r>
      <w:bookmarkEnd w:id="1128"/>
    </w:p>
    <w:tbl>
      <w:tblPr>
        <w:tblW w:w="9359" w:type="dxa"/>
        <w:tblInd w:w="113" w:type="dxa"/>
        <w:tblLayout w:type="fixed"/>
        <w:tblLook w:val="0000" w:firstRow="0" w:lastRow="0" w:firstColumn="0" w:lastColumn="0" w:noHBand="0" w:noVBand="0"/>
      </w:tblPr>
      <w:tblGrid>
        <w:gridCol w:w="992"/>
        <w:gridCol w:w="8367"/>
      </w:tblGrid>
      <w:tr w:rsidR="00B4505C" w:rsidRPr="00C9343F" w14:paraId="2D0A168F" w14:textId="77777777" w:rsidTr="00B4505C">
        <w:tc>
          <w:tcPr>
            <w:tcW w:w="992" w:type="dxa"/>
          </w:tcPr>
          <w:p w14:paraId="6CF49466" w14:textId="77777777" w:rsidR="00B4505C" w:rsidRPr="00C9343F" w:rsidRDefault="00B4505C" w:rsidP="00F66D98">
            <w:pPr>
              <w:pStyle w:val="Sectiontext0"/>
              <w:jc w:val="center"/>
            </w:pPr>
          </w:p>
        </w:tc>
        <w:tc>
          <w:tcPr>
            <w:tcW w:w="8367" w:type="dxa"/>
          </w:tcPr>
          <w:p w14:paraId="7DEDF62D" w14:textId="77777777" w:rsidR="00B4505C" w:rsidRPr="00C9343F" w:rsidRDefault="00B4505C" w:rsidP="00F66D98">
            <w:pPr>
              <w:pStyle w:val="Sectiontext0"/>
            </w:pPr>
            <w:r w:rsidRPr="00C9343F">
              <w:rPr>
                <w:iCs/>
              </w:rPr>
              <w:t>The definitions apply in this Division.</w:t>
            </w:r>
          </w:p>
        </w:tc>
      </w:tr>
      <w:tr w:rsidR="00B4505C" w:rsidRPr="00C9343F" w14:paraId="28524C2D" w14:textId="77777777" w:rsidTr="00B4505C">
        <w:tc>
          <w:tcPr>
            <w:tcW w:w="992" w:type="dxa"/>
          </w:tcPr>
          <w:p w14:paraId="77102950" w14:textId="77777777" w:rsidR="00B4505C" w:rsidRPr="00C9343F" w:rsidRDefault="00B4505C" w:rsidP="00F66D98">
            <w:pPr>
              <w:pStyle w:val="Sectiontext0"/>
              <w:jc w:val="center"/>
            </w:pPr>
          </w:p>
        </w:tc>
        <w:tc>
          <w:tcPr>
            <w:tcW w:w="8367" w:type="dxa"/>
          </w:tcPr>
          <w:p w14:paraId="420DD933" w14:textId="77777777" w:rsidR="00B4505C" w:rsidRPr="00C9343F" w:rsidRDefault="00B4505C" w:rsidP="00F66D98">
            <w:pPr>
              <w:pStyle w:val="Sectiontext0"/>
              <w:rPr>
                <w:iCs/>
              </w:rPr>
            </w:pPr>
            <w:r w:rsidRPr="00C9343F">
              <w:rPr>
                <w:b/>
                <w:iCs/>
              </w:rPr>
              <w:t>Commission of Inquiry</w:t>
            </w:r>
            <w:r w:rsidRPr="00C9343F">
              <w:rPr>
                <w:iCs/>
              </w:rPr>
              <w:t xml:space="preserve"> means an inquiry made under the </w:t>
            </w:r>
            <w:r w:rsidRPr="00C9343F">
              <w:rPr>
                <w:rFonts w:cs="Arial"/>
                <w:i/>
              </w:rPr>
              <w:t>Defence (Inquiry) Regulations 2018.</w:t>
            </w:r>
          </w:p>
        </w:tc>
      </w:tr>
    </w:tbl>
    <w:p w14:paraId="563520EA" w14:textId="5BE5E36F" w:rsidR="006D1E1C" w:rsidRPr="00C9343F" w:rsidRDefault="006D1E1C" w:rsidP="00F66D98">
      <w:pPr>
        <w:pStyle w:val="Heading5"/>
      </w:pPr>
      <w:bookmarkStart w:id="1129" w:name="_Toc105053913"/>
      <w:r w:rsidRPr="00C9343F">
        <w:t>4.9.5</w:t>
      </w:r>
      <w:r w:rsidR="00D94006" w:rsidRPr="00C9343F">
        <w:t>    </w:t>
      </w:r>
      <w:r w:rsidRPr="00C9343F">
        <w:t>Members this Division applies to</w:t>
      </w:r>
      <w:bookmarkEnd w:id="1129"/>
    </w:p>
    <w:bookmarkEnd w:id="1123"/>
    <w:bookmarkEnd w:id="1124"/>
    <w:bookmarkEnd w:id="1125"/>
    <w:bookmarkEnd w:id="1126"/>
    <w:bookmarkEnd w:id="1127"/>
    <w:tbl>
      <w:tblPr>
        <w:tblW w:w="0" w:type="auto"/>
        <w:tblInd w:w="113" w:type="dxa"/>
        <w:tblLayout w:type="fixed"/>
        <w:tblLook w:val="0000" w:firstRow="0" w:lastRow="0" w:firstColumn="0" w:lastColumn="0" w:noHBand="0" w:noVBand="0"/>
      </w:tblPr>
      <w:tblGrid>
        <w:gridCol w:w="992"/>
        <w:gridCol w:w="8363"/>
      </w:tblGrid>
      <w:tr w:rsidR="006D1E1C" w:rsidRPr="00C9343F" w14:paraId="7D93DBBC" w14:textId="77777777" w:rsidTr="006D1E1C">
        <w:tc>
          <w:tcPr>
            <w:tcW w:w="992" w:type="dxa"/>
          </w:tcPr>
          <w:p w14:paraId="4F3C9650" w14:textId="77777777" w:rsidR="006D1E1C" w:rsidRPr="00C9343F" w:rsidRDefault="006D1E1C" w:rsidP="00F66D98">
            <w:pPr>
              <w:pStyle w:val="BlockText-PlainNoSpacing"/>
              <w:jc w:val="center"/>
            </w:pPr>
          </w:p>
        </w:tc>
        <w:tc>
          <w:tcPr>
            <w:tcW w:w="8363" w:type="dxa"/>
          </w:tcPr>
          <w:p w14:paraId="625F502E" w14:textId="77777777" w:rsidR="006D1E1C" w:rsidRPr="00C9343F" w:rsidRDefault="006D1E1C" w:rsidP="00F66D98">
            <w:pPr>
              <w:pStyle w:val="BlockText-PlainNoSpacing"/>
              <w:spacing w:before="0" w:after="200"/>
            </w:pPr>
            <w:r w:rsidRPr="00C9343F">
              <w:t>This Division applies to a legal officer who is a member of the Reserves.</w:t>
            </w:r>
          </w:p>
        </w:tc>
      </w:tr>
    </w:tbl>
    <w:p w14:paraId="2C61B222" w14:textId="2B1D9DF8" w:rsidR="006D1E1C" w:rsidRPr="00C9343F" w:rsidRDefault="006D1E1C" w:rsidP="00F66D98">
      <w:pPr>
        <w:pStyle w:val="Heading5"/>
      </w:pPr>
      <w:bookmarkStart w:id="1130" w:name="_Toc105053914"/>
      <w:bookmarkStart w:id="1131" w:name="bk1501284125Dutiesattractingasessionalf"/>
      <w:bookmarkStart w:id="1132" w:name="bk1502124125Dutiesattractingasessionalf"/>
      <w:bookmarkStart w:id="1133" w:name="bk1503044125Dutiesattractingasessionalf"/>
      <w:bookmarkStart w:id="1134" w:name="bk912254105Dutiesattractingasessionalfe"/>
      <w:bookmarkStart w:id="1135" w:name="bk922564105Dutiesattractingasessionalfe"/>
      <w:r w:rsidRPr="00C9343F">
        <w:t>4.9.6</w:t>
      </w:r>
      <w:r w:rsidR="00D94006" w:rsidRPr="00C9343F">
        <w:t>    </w:t>
      </w:r>
      <w:r w:rsidRPr="00C9343F">
        <w:t>Duties attracting a sessional fee</w:t>
      </w:r>
      <w:bookmarkEnd w:id="1130"/>
    </w:p>
    <w:tbl>
      <w:tblPr>
        <w:tblW w:w="9359" w:type="dxa"/>
        <w:tblInd w:w="113" w:type="dxa"/>
        <w:tblLayout w:type="fixed"/>
        <w:tblLook w:val="0000" w:firstRow="0" w:lastRow="0" w:firstColumn="0" w:lastColumn="0" w:noHBand="0" w:noVBand="0"/>
      </w:tblPr>
      <w:tblGrid>
        <w:gridCol w:w="992"/>
        <w:gridCol w:w="567"/>
        <w:gridCol w:w="567"/>
        <w:gridCol w:w="7233"/>
      </w:tblGrid>
      <w:tr w:rsidR="006D1E1C" w:rsidRPr="00C9343F" w14:paraId="595B8F89" w14:textId="77777777" w:rsidTr="008730BC">
        <w:tc>
          <w:tcPr>
            <w:tcW w:w="992" w:type="dxa"/>
          </w:tcPr>
          <w:p w14:paraId="3AFB9F7D" w14:textId="77777777" w:rsidR="006D1E1C" w:rsidRPr="00C9343F" w:rsidRDefault="006D1E1C" w:rsidP="00F66D98">
            <w:pPr>
              <w:pStyle w:val="BlockText-Plain"/>
              <w:jc w:val="center"/>
            </w:pPr>
            <w:r w:rsidRPr="00C9343F">
              <w:t>1.</w:t>
            </w:r>
          </w:p>
        </w:tc>
        <w:tc>
          <w:tcPr>
            <w:tcW w:w="8367" w:type="dxa"/>
            <w:gridSpan w:val="3"/>
          </w:tcPr>
          <w:p w14:paraId="62224FC8" w14:textId="77777777" w:rsidR="006D1E1C" w:rsidRPr="00C9343F" w:rsidRDefault="006D1E1C" w:rsidP="00F66D98">
            <w:pPr>
              <w:pStyle w:val="BlockText-Plain"/>
            </w:pPr>
            <w:r w:rsidRPr="00C9343F">
              <w:t>A legal officer is eligible for a sessional fee if all the following conditions are met.</w:t>
            </w:r>
          </w:p>
        </w:tc>
      </w:tr>
      <w:tr w:rsidR="006D1E1C" w:rsidRPr="00C9343F" w14:paraId="36531FD4" w14:textId="77777777" w:rsidTr="008730BC">
        <w:trPr>
          <w:cantSplit/>
        </w:trPr>
        <w:tc>
          <w:tcPr>
            <w:tcW w:w="992" w:type="dxa"/>
          </w:tcPr>
          <w:p w14:paraId="289E597B" w14:textId="77777777" w:rsidR="006D1E1C" w:rsidRPr="00C9343F" w:rsidRDefault="006D1E1C" w:rsidP="00F66D98">
            <w:pPr>
              <w:pStyle w:val="BlockText-Plain"/>
            </w:pPr>
          </w:p>
        </w:tc>
        <w:tc>
          <w:tcPr>
            <w:tcW w:w="567" w:type="dxa"/>
          </w:tcPr>
          <w:p w14:paraId="5DDB8DF0" w14:textId="77777777" w:rsidR="006D1E1C" w:rsidRPr="00C9343F" w:rsidRDefault="006D1E1C" w:rsidP="008D1B5D">
            <w:pPr>
              <w:pStyle w:val="BlockText-Plain"/>
              <w:jc w:val="center"/>
            </w:pPr>
            <w:r w:rsidRPr="00C9343F">
              <w:t>a.</w:t>
            </w:r>
          </w:p>
        </w:tc>
        <w:tc>
          <w:tcPr>
            <w:tcW w:w="7800" w:type="dxa"/>
            <w:gridSpan w:val="2"/>
          </w:tcPr>
          <w:p w14:paraId="4AE10A40" w14:textId="77777777" w:rsidR="006D1E1C" w:rsidRPr="00C9343F" w:rsidRDefault="006D1E1C" w:rsidP="00F66D98">
            <w:pPr>
              <w:pStyle w:val="BlockText-Plain"/>
            </w:pPr>
            <w:r w:rsidRPr="00C9343F">
              <w:t>The legal officer performs legal duties in the ADF when they would otherwise be working in a private professional capacity as a barrister or solicitor</w:t>
            </w:r>
            <w:r w:rsidRPr="00C9343F">
              <w:rPr>
                <w:color w:val="FF0000"/>
              </w:rPr>
              <w:t>.</w:t>
            </w:r>
          </w:p>
        </w:tc>
      </w:tr>
      <w:tr w:rsidR="006D1E1C" w:rsidRPr="00C9343F" w14:paraId="64042A34" w14:textId="77777777" w:rsidTr="008730BC">
        <w:trPr>
          <w:cantSplit/>
        </w:trPr>
        <w:tc>
          <w:tcPr>
            <w:tcW w:w="992" w:type="dxa"/>
          </w:tcPr>
          <w:p w14:paraId="2DF8D50B" w14:textId="77777777" w:rsidR="006D1E1C" w:rsidRPr="00C9343F" w:rsidRDefault="006D1E1C" w:rsidP="00F66D98">
            <w:pPr>
              <w:pStyle w:val="BlockText-Plain"/>
            </w:pPr>
          </w:p>
        </w:tc>
        <w:tc>
          <w:tcPr>
            <w:tcW w:w="567" w:type="dxa"/>
          </w:tcPr>
          <w:p w14:paraId="3E11D658" w14:textId="77777777" w:rsidR="006D1E1C" w:rsidRPr="00C9343F" w:rsidRDefault="006D1E1C" w:rsidP="008D1B5D">
            <w:pPr>
              <w:pStyle w:val="BlockText-Plain"/>
              <w:jc w:val="center"/>
            </w:pPr>
            <w:r w:rsidRPr="00C9343F">
              <w:t>b.</w:t>
            </w:r>
          </w:p>
        </w:tc>
        <w:tc>
          <w:tcPr>
            <w:tcW w:w="7800" w:type="dxa"/>
            <w:gridSpan w:val="2"/>
          </w:tcPr>
          <w:p w14:paraId="4D58D585" w14:textId="77777777" w:rsidR="006D1E1C" w:rsidRPr="00C9343F" w:rsidRDefault="006D1E1C" w:rsidP="00F66D98">
            <w:pPr>
              <w:pStyle w:val="BlockText-Plain"/>
            </w:pPr>
            <w:r w:rsidRPr="00C9343F">
              <w:t>Any of the following persons approves a period of the duty described in the table at paragraph c, before it is performed.</w:t>
            </w:r>
          </w:p>
        </w:tc>
      </w:tr>
      <w:tr w:rsidR="006D1E1C" w:rsidRPr="00C9343F" w14:paraId="4A14C7AB" w14:textId="77777777" w:rsidTr="008730BC">
        <w:trPr>
          <w:cantSplit/>
        </w:trPr>
        <w:tc>
          <w:tcPr>
            <w:tcW w:w="1559" w:type="dxa"/>
            <w:gridSpan w:val="2"/>
          </w:tcPr>
          <w:p w14:paraId="0ED3F365" w14:textId="77777777" w:rsidR="006D1E1C" w:rsidRPr="00C9343F" w:rsidRDefault="006D1E1C" w:rsidP="00F66D98">
            <w:pPr>
              <w:pStyle w:val="BlockText-Plain"/>
            </w:pPr>
          </w:p>
        </w:tc>
        <w:tc>
          <w:tcPr>
            <w:tcW w:w="567" w:type="dxa"/>
          </w:tcPr>
          <w:p w14:paraId="742D2FBF" w14:textId="77777777" w:rsidR="006D1E1C" w:rsidRPr="00C9343F" w:rsidRDefault="006D1E1C" w:rsidP="008D1B5D">
            <w:pPr>
              <w:pStyle w:val="BlockText-Plain"/>
            </w:pPr>
            <w:r w:rsidRPr="00C9343F">
              <w:t>i.</w:t>
            </w:r>
          </w:p>
        </w:tc>
        <w:tc>
          <w:tcPr>
            <w:tcW w:w="7233" w:type="dxa"/>
          </w:tcPr>
          <w:p w14:paraId="048DAC39" w14:textId="77777777" w:rsidR="006D1E1C" w:rsidRPr="00C9343F" w:rsidRDefault="006D1E1C" w:rsidP="00F66D98">
            <w:pPr>
              <w:pStyle w:val="BlockText-Plain"/>
            </w:pPr>
            <w:r w:rsidRPr="00C9343F">
              <w:t>CDF.</w:t>
            </w:r>
          </w:p>
        </w:tc>
      </w:tr>
      <w:tr w:rsidR="006D1E1C" w:rsidRPr="00C9343F" w14:paraId="60A0A67D" w14:textId="77777777" w:rsidTr="008730BC">
        <w:trPr>
          <w:cantSplit/>
        </w:trPr>
        <w:tc>
          <w:tcPr>
            <w:tcW w:w="1559" w:type="dxa"/>
            <w:gridSpan w:val="2"/>
          </w:tcPr>
          <w:p w14:paraId="1A3CD778" w14:textId="77777777" w:rsidR="006D1E1C" w:rsidRPr="00C9343F" w:rsidRDefault="006D1E1C" w:rsidP="00F66D98">
            <w:pPr>
              <w:pStyle w:val="BlockText-Plain"/>
            </w:pPr>
          </w:p>
        </w:tc>
        <w:tc>
          <w:tcPr>
            <w:tcW w:w="567" w:type="dxa"/>
          </w:tcPr>
          <w:p w14:paraId="2B22E319" w14:textId="77777777" w:rsidR="006D1E1C" w:rsidRPr="00C9343F" w:rsidRDefault="006D1E1C" w:rsidP="008D1B5D">
            <w:pPr>
              <w:pStyle w:val="BlockText-Plain"/>
            </w:pPr>
            <w:r w:rsidRPr="00C9343F">
              <w:t>ii.</w:t>
            </w:r>
          </w:p>
        </w:tc>
        <w:tc>
          <w:tcPr>
            <w:tcW w:w="7233" w:type="dxa"/>
          </w:tcPr>
          <w:p w14:paraId="746EFB03" w14:textId="77777777" w:rsidR="006D1E1C" w:rsidRPr="00C9343F" w:rsidRDefault="006D1E1C" w:rsidP="00F66D98">
            <w:pPr>
              <w:pStyle w:val="BlockText-Plain"/>
            </w:pPr>
            <w:r w:rsidRPr="00C9343F">
              <w:t>Director General Australian Defence Force Legal Services.</w:t>
            </w:r>
          </w:p>
        </w:tc>
      </w:tr>
      <w:tr w:rsidR="006D1E1C" w:rsidRPr="00C9343F" w14:paraId="003DA271" w14:textId="77777777" w:rsidTr="008730BC">
        <w:trPr>
          <w:cantSplit/>
        </w:trPr>
        <w:tc>
          <w:tcPr>
            <w:tcW w:w="992" w:type="dxa"/>
          </w:tcPr>
          <w:p w14:paraId="78246281" w14:textId="77777777" w:rsidR="006D1E1C" w:rsidRPr="00C9343F" w:rsidRDefault="006D1E1C" w:rsidP="00F66D98">
            <w:pPr>
              <w:pStyle w:val="BlockText-Plain"/>
            </w:pPr>
          </w:p>
        </w:tc>
        <w:tc>
          <w:tcPr>
            <w:tcW w:w="567" w:type="dxa"/>
          </w:tcPr>
          <w:p w14:paraId="26E3F450" w14:textId="77777777" w:rsidR="006D1E1C" w:rsidRPr="00C9343F" w:rsidRDefault="006D1E1C" w:rsidP="008D1B5D">
            <w:pPr>
              <w:pStyle w:val="BlockText-Plain"/>
              <w:jc w:val="center"/>
            </w:pPr>
            <w:r w:rsidRPr="00C9343F">
              <w:t>c.</w:t>
            </w:r>
          </w:p>
        </w:tc>
        <w:tc>
          <w:tcPr>
            <w:tcW w:w="7800" w:type="dxa"/>
            <w:gridSpan w:val="2"/>
          </w:tcPr>
          <w:p w14:paraId="122067DF" w14:textId="77777777" w:rsidR="006D1E1C" w:rsidRPr="00C9343F" w:rsidRDefault="006D1E1C" w:rsidP="00F66D98">
            <w:pPr>
              <w:pStyle w:val="BlockText-Plain"/>
            </w:pPr>
            <w:r w:rsidRPr="00C9343F">
              <w:t xml:space="preserve">The </w:t>
            </w:r>
            <w:r w:rsidRPr="00C9343F">
              <w:rPr>
                <w:b/>
                <w:i/>
              </w:rPr>
              <w:t>legal officer</w:t>
            </w:r>
            <w:r w:rsidRPr="00C9343F">
              <w:t xml:space="preserve"> performs one or more of the duties described in the following table.</w:t>
            </w:r>
          </w:p>
        </w:tc>
      </w:tr>
    </w:tbl>
    <w:p w14:paraId="578D8704" w14:textId="77777777" w:rsidR="006D1E1C" w:rsidRPr="00C9343F" w:rsidRDefault="006D1E1C" w:rsidP="00F66D98"/>
    <w:tbl>
      <w:tblPr>
        <w:tblW w:w="8367" w:type="dxa"/>
        <w:tblInd w:w="1049" w:type="dxa"/>
        <w:tblLayout w:type="fixed"/>
        <w:tblCellMar>
          <w:left w:w="56" w:type="dxa"/>
          <w:right w:w="56" w:type="dxa"/>
        </w:tblCellMar>
        <w:tblLook w:val="0000" w:firstRow="0" w:lastRow="0" w:firstColumn="0" w:lastColumn="0" w:noHBand="0" w:noVBand="0"/>
      </w:tblPr>
      <w:tblGrid>
        <w:gridCol w:w="627"/>
        <w:gridCol w:w="540"/>
        <w:gridCol w:w="534"/>
        <w:gridCol w:w="6"/>
        <w:gridCol w:w="6660"/>
      </w:tblGrid>
      <w:tr w:rsidR="006D1E1C" w:rsidRPr="00C9343F" w14:paraId="5C62E5DE" w14:textId="77777777" w:rsidTr="008730BC">
        <w:trPr>
          <w:cantSplit/>
        </w:trPr>
        <w:tc>
          <w:tcPr>
            <w:tcW w:w="627" w:type="dxa"/>
            <w:tcBorders>
              <w:top w:val="single" w:sz="6" w:space="0" w:color="auto"/>
              <w:left w:val="single" w:sz="6" w:space="0" w:color="auto"/>
              <w:bottom w:val="single" w:sz="6" w:space="0" w:color="auto"/>
              <w:right w:val="single" w:sz="6" w:space="0" w:color="auto"/>
            </w:tcBorders>
          </w:tcPr>
          <w:p w14:paraId="6B81869C" w14:textId="77777777" w:rsidR="006D1E1C" w:rsidRPr="00C9343F" w:rsidRDefault="006D1E1C" w:rsidP="00F66D98">
            <w:pPr>
              <w:pStyle w:val="TableHeaderArial"/>
            </w:pPr>
            <w:r w:rsidRPr="00C9343F">
              <w:t>Item</w:t>
            </w:r>
          </w:p>
        </w:tc>
        <w:tc>
          <w:tcPr>
            <w:tcW w:w="7740" w:type="dxa"/>
            <w:gridSpan w:val="4"/>
            <w:tcBorders>
              <w:top w:val="single" w:sz="6" w:space="0" w:color="auto"/>
              <w:left w:val="single" w:sz="6" w:space="0" w:color="auto"/>
              <w:bottom w:val="single" w:sz="6" w:space="0" w:color="auto"/>
              <w:right w:val="single" w:sz="6" w:space="0" w:color="auto"/>
            </w:tcBorders>
          </w:tcPr>
          <w:p w14:paraId="6315F4F2" w14:textId="77777777" w:rsidR="006D1E1C" w:rsidRPr="00C9343F" w:rsidRDefault="006D1E1C" w:rsidP="00F66D98">
            <w:pPr>
              <w:pStyle w:val="TableHeaderArial"/>
            </w:pPr>
            <w:r w:rsidRPr="00C9343F">
              <w:t>Duties</w:t>
            </w:r>
          </w:p>
        </w:tc>
      </w:tr>
      <w:tr w:rsidR="006D1E1C" w:rsidRPr="00C9343F" w14:paraId="3F3BCE1A" w14:textId="77777777" w:rsidTr="008730BC">
        <w:trPr>
          <w:cantSplit/>
        </w:trPr>
        <w:tc>
          <w:tcPr>
            <w:tcW w:w="627" w:type="dxa"/>
            <w:vMerge w:val="restart"/>
            <w:tcBorders>
              <w:top w:val="single" w:sz="6" w:space="0" w:color="auto"/>
              <w:left w:val="single" w:sz="6" w:space="0" w:color="auto"/>
              <w:right w:val="single" w:sz="6" w:space="0" w:color="auto"/>
            </w:tcBorders>
          </w:tcPr>
          <w:p w14:paraId="59195C73" w14:textId="77777777" w:rsidR="006D1E1C" w:rsidRPr="00C9343F" w:rsidRDefault="006D1E1C" w:rsidP="00F66D98">
            <w:pPr>
              <w:pStyle w:val="TableTextArial-left"/>
              <w:jc w:val="center"/>
            </w:pPr>
            <w:r w:rsidRPr="00C9343F">
              <w:t>1.</w:t>
            </w:r>
          </w:p>
        </w:tc>
        <w:tc>
          <w:tcPr>
            <w:tcW w:w="7740" w:type="dxa"/>
            <w:gridSpan w:val="4"/>
            <w:tcBorders>
              <w:top w:val="single" w:sz="6" w:space="0" w:color="auto"/>
              <w:left w:val="single" w:sz="6" w:space="0" w:color="auto"/>
              <w:right w:val="single" w:sz="6" w:space="0" w:color="auto"/>
            </w:tcBorders>
          </w:tcPr>
          <w:p w14:paraId="3CFC89B6" w14:textId="77777777" w:rsidR="006D1E1C" w:rsidRPr="00C9343F" w:rsidRDefault="006D1E1C" w:rsidP="00F66D98">
            <w:pPr>
              <w:pStyle w:val="blocktext-plainnospacing0"/>
              <w:spacing w:after="200"/>
            </w:pPr>
            <w:r w:rsidRPr="00C9343F">
              <w:t>Military duty as a counsel or assistant counsel performing any of the following duties.</w:t>
            </w:r>
          </w:p>
        </w:tc>
      </w:tr>
      <w:tr w:rsidR="006D1E1C" w:rsidRPr="00C9343F" w14:paraId="04D83641" w14:textId="77777777" w:rsidTr="008730BC">
        <w:trPr>
          <w:cantSplit/>
        </w:trPr>
        <w:tc>
          <w:tcPr>
            <w:tcW w:w="627" w:type="dxa"/>
            <w:vMerge/>
            <w:tcBorders>
              <w:left w:val="single" w:sz="6" w:space="0" w:color="auto"/>
              <w:right w:val="single" w:sz="6" w:space="0" w:color="auto"/>
            </w:tcBorders>
          </w:tcPr>
          <w:p w14:paraId="745EA41E" w14:textId="77777777" w:rsidR="006D1E1C" w:rsidRPr="00C9343F" w:rsidRDefault="006D1E1C" w:rsidP="00F66D98">
            <w:pPr>
              <w:pStyle w:val="TableTextArial-left"/>
              <w:jc w:val="center"/>
            </w:pPr>
          </w:p>
        </w:tc>
        <w:tc>
          <w:tcPr>
            <w:tcW w:w="540" w:type="dxa"/>
            <w:tcBorders>
              <w:left w:val="single" w:sz="6" w:space="0" w:color="auto"/>
            </w:tcBorders>
            <w:shd w:val="clear" w:color="auto" w:fill="auto"/>
          </w:tcPr>
          <w:p w14:paraId="6DCB0995" w14:textId="77777777" w:rsidR="006D1E1C" w:rsidRPr="00C9343F" w:rsidRDefault="006D1E1C" w:rsidP="00F66D98">
            <w:pPr>
              <w:pStyle w:val="blocktext-plainnospacing0"/>
              <w:spacing w:after="200"/>
              <w:jc w:val="center"/>
            </w:pPr>
            <w:r w:rsidRPr="00C9343F">
              <w:t>a.</w:t>
            </w:r>
          </w:p>
        </w:tc>
        <w:tc>
          <w:tcPr>
            <w:tcW w:w="7200" w:type="dxa"/>
            <w:gridSpan w:val="3"/>
            <w:tcBorders>
              <w:left w:val="nil"/>
              <w:right w:val="single" w:sz="6" w:space="0" w:color="auto"/>
            </w:tcBorders>
            <w:shd w:val="clear" w:color="auto" w:fill="auto"/>
          </w:tcPr>
          <w:p w14:paraId="213B8E8B" w14:textId="77777777" w:rsidR="006D1E1C" w:rsidRPr="00C9343F" w:rsidRDefault="006D1E1C" w:rsidP="00F66D98">
            <w:pPr>
              <w:pStyle w:val="blocktext-plainnospacing0"/>
              <w:spacing w:after="200"/>
              <w:rPr>
                <w:strike/>
              </w:rPr>
            </w:pPr>
            <w:r w:rsidRPr="00C9343F">
              <w:t>Appearing before a summary authority.</w:t>
            </w:r>
          </w:p>
        </w:tc>
      </w:tr>
      <w:tr w:rsidR="006D1E1C" w:rsidRPr="00C9343F" w14:paraId="0007697D" w14:textId="77777777" w:rsidTr="008730BC">
        <w:trPr>
          <w:cantSplit/>
        </w:trPr>
        <w:tc>
          <w:tcPr>
            <w:tcW w:w="627" w:type="dxa"/>
            <w:vMerge/>
            <w:tcBorders>
              <w:left w:val="single" w:sz="6" w:space="0" w:color="auto"/>
              <w:right w:val="single" w:sz="6" w:space="0" w:color="auto"/>
            </w:tcBorders>
          </w:tcPr>
          <w:p w14:paraId="75A60139" w14:textId="77777777" w:rsidR="006D1E1C" w:rsidRPr="00C9343F" w:rsidRDefault="006D1E1C" w:rsidP="00F66D98">
            <w:pPr>
              <w:pStyle w:val="TableTextArial-left"/>
              <w:jc w:val="center"/>
            </w:pPr>
          </w:p>
        </w:tc>
        <w:tc>
          <w:tcPr>
            <w:tcW w:w="540" w:type="dxa"/>
            <w:tcBorders>
              <w:left w:val="single" w:sz="6" w:space="0" w:color="auto"/>
            </w:tcBorders>
            <w:shd w:val="clear" w:color="auto" w:fill="auto"/>
          </w:tcPr>
          <w:p w14:paraId="7C89EEF3" w14:textId="77777777" w:rsidR="006D1E1C" w:rsidRPr="00C9343F" w:rsidRDefault="006D1E1C" w:rsidP="00F66D98">
            <w:pPr>
              <w:pStyle w:val="blocktext-plainnospacing0"/>
              <w:spacing w:after="200"/>
              <w:jc w:val="center"/>
            </w:pPr>
            <w:r w:rsidRPr="00C9343F">
              <w:t>b.</w:t>
            </w:r>
          </w:p>
        </w:tc>
        <w:tc>
          <w:tcPr>
            <w:tcW w:w="7200" w:type="dxa"/>
            <w:gridSpan w:val="3"/>
            <w:tcBorders>
              <w:left w:val="nil"/>
              <w:right w:val="single" w:sz="6" w:space="0" w:color="auto"/>
            </w:tcBorders>
            <w:shd w:val="clear" w:color="auto" w:fill="auto"/>
          </w:tcPr>
          <w:p w14:paraId="52A0DB3C" w14:textId="77777777" w:rsidR="006D1E1C" w:rsidRPr="00C9343F" w:rsidRDefault="006D1E1C" w:rsidP="00F66D98">
            <w:pPr>
              <w:pStyle w:val="blocktext-plainnospacing0"/>
              <w:spacing w:after="200"/>
            </w:pPr>
            <w:r w:rsidRPr="00C9343F">
              <w:t>Any of the following duties performed in relation to a Court Martial or Defence Force Magistrate proceeding.</w:t>
            </w:r>
          </w:p>
        </w:tc>
      </w:tr>
      <w:tr w:rsidR="006D1E1C" w:rsidRPr="00C9343F" w14:paraId="1E9CE474" w14:textId="77777777" w:rsidTr="008730BC">
        <w:trPr>
          <w:cantSplit/>
        </w:trPr>
        <w:tc>
          <w:tcPr>
            <w:tcW w:w="627" w:type="dxa"/>
            <w:vMerge/>
            <w:tcBorders>
              <w:left w:val="single" w:sz="6" w:space="0" w:color="auto"/>
              <w:right w:val="single" w:sz="6" w:space="0" w:color="auto"/>
            </w:tcBorders>
          </w:tcPr>
          <w:p w14:paraId="376687F9" w14:textId="77777777" w:rsidR="006D1E1C" w:rsidRPr="00C9343F" w:rsidRDefault="006D1E1C" w:rsidP="00F66D98">
            <w:pPr>
              <w:pStyle w:val="TableTextArial-left"/>
              <w:jc w:val="center"/>
            </w:pPr>
          </w:p>
        </w:tc>
        <w:tc>
          <w:tcPr>
            <w:tcW w:w="540" w:type="dxa"/>
            <w:tcBorders>
              <w:left w:val="single" w:sz="6" w:space="0" w:color="auto"/>
            </w:tcBorders>
            <w:shd w:val="clear" w:color="auto" w:fill="auto"/>
          </w:tcPr>
          <w:p w14:paraId="737B31B3" w14:textId="77777777" w:rsidR="006D1E1C" w:rsidRPr="00C9343F" w:rsidRDefault="006D1E1C" w:rsidP="00F66D98">
            <w:pPr>
              <w:pStyle w:val="blocktext-plainnospacing0"/>
              <w:spacing w:after="200"/>
              <w:jc w:val="center"/>
            </w:pPr>
          </w:p>
        </w:tc>
        <w:tc>
          <w:tcPr>
            <w:tcW w:w="534" w:type="dxa"/>
            <w:tcBorders>
              <w:left w:val="nil"/>
            </w:tcBorders>
            <w:shd w:val="clear" w:color="auto" w:fill="auto"/>
          </w:tcPr>
          <w:p w14:paraId="582E8A20" w14:textId="77777777" w:rsidR="006D1E1C" w:rsidRPr="00C9343F" w:rsidRDefault="006D1E1C" w:rsidP="00E62EB5">
            <w:pPr>
              <w:pStyle w:val="blocktext-plainnospacing0"/>
              <w:spacing w:after="200"/>
            </w:pPr>
            <w:r w:rsidRPr="00C9343F">
              <w:t>i.</w:t>
            </w:r>
          </w:p>
        </w:tc>
        <w:tc>
          <w:tcPr>
            <w:tcW w:w="6666" w:type="dxa"/>
            <w:gridSpan w:val="2"/>
            <w:tcBorders>
              <w:right w:val="single" w:sz="6" w:space="0" w:color="auto"/>
            </w:tcBorders>
            <w:shd w:val="clear" w:color="auto" w:fill="auto"/>
          </w:tcPr>
          <w:p w14:paraId="0C75CF43" w14:textId="77777777" w:rsidR="006D1E1C" w:rsidRPr="00C9343F" w:rsidRDefault="006D1E1C" w:rsidP="00F66D98">
            <w:pPr>
              <w:pStyle w:val="blocktext-plainnospacing0"/>
              <w:spacing w:after="200"/>
            </w:pPr>
            <w:r w:rsidRPr="00C9343F">
              <w:t>Appearing in the proceeding.</w:t>
            </w:r>
          </w:p>
        </w:tc>
      </w:tr>
      <w:tr w:rsidR="006D1E1C" w:rsidRPr="00C9343F" w14:paraId="0AA542EF" w14:textId="77777777" w:rsidTr="008730BC">
        <w:trPr>
          <w:cantSplit/>
        </w:trPr>
        <w:tc>
          <w:tcPr>
            <w:tcW w:w="627" w:type="dxa"/>
            <w:vMerge/>
            <w:tcBorders>
              <w:left w:val="single" w:sz="6" w:space="0" w:color="auto"/>
              <w:right w:val="single" w:sz="6" w:space="0" w:color="auto"/>
            </w:tcBorders>
          </w:tcPr>
          <w:p w14:paraId="03F508F1" w14:textId="77777777" w:rsidR="006D1E1C" w:rsidRPr="00C9343F" w:rsidRDefault="006D1E1C" w:rsidP="00F66D98">
            <w:pPr>
              <w:pStyle w:val="TableTextArial-left"/>
              <w:jc w:val="center"/>
            </w:pPr>
          </w:p>
        </w:tc>
        <w:tc>
          <w:tcPr>
            <w:tcW w:w="540" w:type="dxa"/>
            <w:tcBorders>
              <w:left w:val="single" w:sz="6" w:space="0" w:color="auto"/>
            </w:tcBorders>
            <w:shd w:val="clear" w:color="auto" w:fill="auto"/>
          </w:tcPr>
          <w:p w14:paraId="6A64AE03" w14:textId="77777777" w:rsidR="006D1E1C" w:rsidRPr="00C9343F" w:rsidRDefault="006D1E1C" w:rsidP="00F66D98">
            <w:pPr>
              <w:pStyle w:val="blocktext-plainnospacing0"/>
              <w:spacing w:after="200"/>
              <w:jc w:val="center"/>
            </w:pPr>
          </w:p>
        </w:tc>
        <w:tc>
          <w:tcPr>
            <w:tcW w:w="534" w:type="dxa"/>
            <w:tcBorders>
              <w:left w:val="nil"/>
            </w:tcBorders>
            <w:shd w:val="clear" w:color="auto" w:fill="auto"/>
          </w:tcPr>
          <w:p w14:paraId="3374863A" w14:textId="77777777" w:rsidR="006D1E1C" w:rsidRPr="00C9343F" w:rsidRDefault="006D1E1C" w:rsidP="00E62EB5">
            <w:pPr>
              <w:pStyle w:val="blocktext-plainnospacing0"/>
              <w:spacing w:after="200"/>
            </w:pPr>
            <w:r w:rsidRPr="00C9343F">
              <w:t>ii.</w:t>
            </w:r>
          </w:p>
        </w:tc>
        <w:tc>
          <w:tcPr>
            <w:tcW w:w="6666" w:type="dxa"/>
            <w:gridSpan w:val="2"/>
            <w:tcBorders>
              <w:right w:val="single" w:sz="6" w:space="0" w:color="auto"/>
            </w:tcBorders>
            <w:shd w:val="clear" w:color="auto" w:fill="auto"/>
          </w:tcPr>
          <w:p w14:paraId="184E3072" w14:textId="77777777" w:rsidR="006D1E1C" w:rsidRPr="00C9343F" w:rsidRDefault="006D1E1C" w:rsidP="00F66D98">
            <w:pPr>
              <w:pStyle w:val="blocktext-plainnospacing0"/>
              <w:spacing w:after="200"/>
            </w:pPr>
            <w:r w:rsidRPr="00C9343F">
              <w:t>Participating in a pre-trial directions hearing.</w:t>
            </w:r>
          </w:p>
        </w:tc>
      </w:tr>
      <w:tr w:rsidR="006D1E1C" w:rsidRPr="00C9343F" w14:paraId="044FE1EA" w14:textId="77777777" w:rsidTr="008730BC">
        <w:trPr>
          <w:cantSplit/>
        </w:trPr>
        <w:tc>
          <w:tcPr>
            <w:tcW w:w="627" w:type="dxa"/>
            <w:vMerge/>
            <w:tcBorders>
              <w:left w:val="single" w:sz="6" w:space="0" w:color="auto"/>
              <w:right w:val="single" w:sz="6" w:space="0" w:color="auto"/>
            </w:tcBorders>
          </w:tcPr>
          <w:p w14:paraId="0105832D" w14:textId="77777777" w:rsidR="006D1E1C" w:rsidRPr="00C9343F" w:rsidRDefault="006D1E1C" w:rsidP="00F66D98">
            <w:pPr>
              <w:pStyle w:val="TableTextArial-left"/>
              <w:jc w:val="center"/>
            </w:pPr>
          </w:p>
        </w:tc>
        <w:tc>
          <w:tcPr>
            <w:tcW w:w="540" w:type="dxa"/>
            <w:tcBorders>
              <w:left w:val="single" w:sz="6" w:space="0" w:color="auto"/>
            </w:tcBorders>
            <w:shd w:val="clear" w:color="auto" w:fill="auto"/>
          </w:tcPr>
          <w:p w14:paraId="4B85F93D" w14:textId="77777777" w:rsidR="006D1E1C" w:rsidRPr="00C9343F" w:rsidRDefault="006D1E1C" w:rsidP="00F66D98">
            <w:pPr>
              <w:pStyle w:val="blocktext-plainnospacing0"/>
              <w:spacing w:after="200"/>
              <w:jc w:val="center"/>
            </w:pPr>
          </w:p>
        </w:tc>
        <w:tc>
          <w:tcPr>
            <w:tcW w:w="534" w:type="dxa"/>
            <w:tcBorders>
              <w:left w:val="nil"/>
            </w:tcBorders>
            <w:shd w:val="clear" w:color="auto" w:fill="auto"/>
          </w:tcPr>
          <w:p w14:paraId="6DB77339" w14:textId="77777777" w:rsidR="006D1E1C" w:rsidRPr="00C9343F" w:rsidRDefault="006D1E1C" w:rsidP="00E62EB5">
            <w:pPr>
              <w:pStyle w:val="blocktext-plainnospacing0"/>
              <w:spacing w:after="200"/>
            </w:pPr>
            <w:r w:rsidRPr="00C9343F">
              <w:t>iii.</w:t>
            </w:r>
          </w:p>
        </w:tc>
        <w:tc>
          <w:tcPr>
            <w:tcW w:w="6666" w:type="dxa"/>
            <w:gridSpan w:val="2"/>
            <w:tcBorders>
              <w:right w:val="single" w:sz="6" w:space="0" w:color="auto"/>
            </w:tcBorders>
            <w:shd w:val="clear" w:color="auto" w:fill="auto"/>
          </w:tcPr>
          <w:p w14:paraId="31CC43C0" w14:textId="77777777" w:rsidR="006D1E1C" w:rsidRPr="00C9343F" w:rsidRDefault="006D1E1C" w:rsidP="00F66D98">
            <w:pPr>
              <w:pStyle w:val="blocktext-plainnospacing0"/>
              <w:spacing w:after="200"/>
            </w:pPr>
            <w:r w:rsidRPr="00C9343F">
              <w:t xml:space="preserve">Participating in a case management conference. </w:t>
            </w:r>
          </w:p>
        </w:tc>
      </w:tr>
      <w:tr w:rsidR="006D1E1C" w:rsidRPr="00C9343F" w14:paraId="3836FBA4" w14:textId="77777777" w:rsidTr="008730BC">
        <w:trPr>
          <w:cantSplit/>
        </w:trPr>
        <w:tc>
          <w:tcPr>
            <w:tcW w:w="627" w:type="dxa"/>
            <w:vMerge/>
            <w:tcBorders>
              <w:left w:val="single" w:sz="6" w:space="0" w:color="auto"/>
              <w:right w:val="single" w:sz="6" w:space="0" w:color="auto"/>
            </w:tcBorders>
          </w:tcPr>
          <w:p w14:paraId="77DC009E" w14:textId="77777777" w:rsidR="006D1E1C" w:rsidRPr="00C9343F" w:rsidRDefault="006D1E1C" w:rsidP="00F66D98">
            <w:pPr>
              <w:pStyle w:val="TableTextArial-left"/>
              <w:jc w:val="center"/>
            </w:pPr>
          </w:p>
        </w:tc>
        <w:tc>
          <w:tcPr>
            <w:tcW w:w="540" w:type="dxa"/>
            <w:tcBorders>
              <w:left w:val="single" w:sz="6" w:space="0" w:color="auto"/>
            </w:tcBorders>
            <w:shd w:val="clear" w:color="auto" w:fill="auto"/>
          </w:tcPr>
          <w:p w14:paraId="4E10A283" w14:textId="77777777" w:rsidR="006D1E1C" w:rsidRPr="00C9343F" w:rsidRDefault="006D1E1C" w:rsidP="00F66D98">
            <w:pPr>
              <w:pStyle w:val="blocktext-plainnospacing0"/>
              <w:spacing w:after="200"/>
              <w:jc w:val="center"/>
            </w:pPr>
          </w:p>
        </w:tc>
        <w:tc>
          <w:tcPr>
            <w:tcW w:w="534" w:type="dxa"/>
            <w:tcBorders>
              <w:left w:val="nil"/>
            </w:tcBorders>
            <w:shd w:val="clear" w:color="auto" w:fill="auto"/>
          </w:tcPr>
          <w:p w14:paraId="6F3751D4" w14:textId="77777777" w:rsidR="006D1E1C" w:rsidRPr="00C9343F" w:rsidRDefault="006D1E1C" w:rsidP="00E62EB5">
            <w:pPr>
              <w:pStyle w:val="blocktext-plainnospacing0"/>
              <w:spacing w:after="200"/>
            </w:pPr>
            <w:r w:rsidRPr="00C9343F">
              <w:t>iv.</w:t>
            </w:r>
          </w:p>
        </w:tc>
        <w:tc>
          <w:tcPr>
            <w:tcW w:w="6666" w:type="dxa"/>
            <w:gridSpan w:val="2"/>
            <w:tcBorders>
              <w:right w:val="single" w:sz="6" w:space="0" w:color="auto"/>
            </w:tcBorders>
            <w:shd w:val="clear" w:color="auto" w:fill="auto"/>
          </w:tcPr>
          <w:p w14:paraId="384B34D7" w14:textId="77777777" w:rsidR="006D1E1C" w:rsidRPr="00C9343F" w:rsidRDefault="006D1E1C" w:rsidP="00F66D98">
            <w:pPr>
              <w:pStyle w:val="blocktext-plainnospacing0"/>
              <w:spacing w:after="200"/>
            </w:pPr>
            <w:r w:rsidRPr="00C9343F">
              <w:t>Participating in a stay application in relation to a punishment or order.</w:t>
            </w:r>
          </w:p>
        </w:tc>
      </w:tr>
      <w:tr w:rsidR="006D1E1C" w:rsidRPr="00C9343F" w14:paraId="01276751" w14:textId="77777777" w:rsidTr="008730BC">
        <w:trPr>
          <w:cantSplit/>
        </w:trPr>
        <w:tc>
          <w:tcPr>
            <w:tcW w:w="627" w:type="dxa"/>
            <w:vMerge/>
            <w:tcBorders>
              <w:left w:val="single" w:sz="6" w:space="0" w:color="auto"/>
              <w:right w:val="single" w:sz="6" w:space="0" w:color="auto"/>
            </w:tcBorders>
          </w:tcPr>
          <w:p w14:paraId="30608CC2" w14:textId="77777777" w:rsidR="006D1E1C" w:rsidRPr="00C9343F" w:rsidRDefault="006D1E1C" w:rsidP="00F66D98">
            <w:pPr>
              <w:pStyle w:val="TableTextArial-left"/>
              <w:jc w:val="center"/>
            </w:pPr>
          </w:p>
        </w:tc>
        <w:tc>
          <w:tcPr>
            <w:tcW w:w="540" w:type="dxa"/>
            <w:tcBorders>
              <w:left w:val="single" w:sz="6" w:space="0" w:color="auto"/>
            </w:tcBorders>
            <w:shd w:val="clear" w:color="auto" w:fill="auto"/>
          </w:tcPr>
          <w:p w14:paraId="0304C193" w14:textId="77777777" w:rsidR="006D1E1C" w:rsidRPr="00C9343F" w:rsidRDefault="006D1E1C" w:rsidP="00F66D98">
            <w:pPr>
              <w:pStyle w:val="blocktext-plainnospacing0"/>
              <w:spacing w:after="200"/>
              <w:jc w:val="center"/>
            </w:pPr>
            <w:r w:rsidRPr="00C9343F">
              <w:t>c.</w:t>
            </w:r>
          </w:p>
        </w:tc>
        <w:tc>
          <w:tcPr>
            <w:tcW w:w="7200" w:type="dxa"/>
            <w:gridSpan w:val="3"/>
            <w:tcBorders>
              <w:left w:val="nil"/>
              <w:right w:val="single" w:sz="6" w:space="0" w:color="auto"/>
            </w:tcBorders>
            <w:shd w:val="clear" w:color="auto" w:fill="auto"/>
          </w:tcPr>
          <w:p w14:paraId="6882E8BC" w14:textId="77777777" w:rsidR="006D1E1C" w:rsidRPr="00C9343F" w:rsidRDefault="006D1E1C" w:rsidP="00F66D98">
            <w:pPr>
              <w:pStyle w:val="blocktext-plainnospacing0"/>
              <w:spacing w:after="200"/>
            </w:pPr>
            <w:r w:rsidRPr="00C9343F">
              <w:t>Providing legal services related to paragraphs a and b.</w:t>
            </w:r>
          </w:p>
        </w:tc>
      </w:tr>
      <w:tr w:rsidR="006D1E1C" w:rsidRPr="00C9343F" w14:paraId="2C1A5F87" w14:textId="77777777" w:rsidTr="008730BC">
        <w:trPr>
          <w:cantSplit/>
        </w:trPr>
        <w:tc>
          <w:tcPr>
            <w:tcW w:w="627" w:type="dxa"/>
            <w:tcBorders>
              <w:left w:val="single" w:sz="6" w:space="0" w:color="auto"/>
              <w:right w:val="single" w:sz="6" w:space="0" w:color="auto"/>
            </w:tcBorders>
          </w:tcPr>
          <w:p w14:paraId="5FB351EF" w14:textId="77777777" w:rsidR="006D1E1C" w:rsidRPr="00C9343F" w:rsidRDefault="006D1E1C" w:rsidP="00F66D98">
            <w:pPr>
              <w:pStyle w:val="TableTextArial-left"/>
              <w:jc w:val="center"/>
            </w:pPr>
          </w:p>
        </w:tc>
        <w:tc>
          <w:tcPr>
            <w:tcW w:w="540" w:type="dxa"/>
            <w:tcBorders>
              <w:left w:val="single" w:sz="6" w:space="0" w:color="auto"/>
            </w:tcBorders>
            <w:shd w:val="clear" w:color="auto" w:fill="auto"/>
          </w:tcPr>
          <w:p w14:paraId="7D5B30E9" w14:textId="77777777" w:rsidR="006D1E1C" w:rsidRPr="00C9343F" w:rsidRDefault="006D1E1C" w:rsidP="00F66D98">
            <w:pPr>
              <w:pStyle w:val="blocktext-plainnospacing0"/>
              <w:spacing w:after="200"/>
              <w:jc w:val="center"/>
            </w:pPr>
            <w:r w:rsidRPr="00C9343F">
              <w:t>d.</w:t>
            </w:r>
          </w:p>
        </w:tc>
        <w:tc>
          <w:tcPr>
            <w:tcW w:w="7200" w:type="dxa"/>
            <w:gridSpan w:val="3"/>
            <w:tcBorders>
              <w:left w:val="nil"/>
              <w:right w:val="single" w:sz="6" w:space="0" w:color="auto"/>
            </w:tcBorders>
            <w:shd w:val="clear" w:color="auto" w:fill="auto"/>
          </w:tcPr>
          <w:p w14:paraId="2911D4B8" w14:textId="714B4B41" w:rsidR="006D1E1C" w:rsidRPr="00C9343F" w:rsidRDefault="006D1E1C" w:rsidP="00F66D98">
            <w:pPr>
              <w:pStyle w:val="blocktext-plainnospacing0"/>
              <w:spacing w:after="200"/>
            </w:pPr>
            <w:r w:rsidRPr="00C9343F">
              <w:t>Providing legal services relating to a petition or request for review to a reviewing authority, including a punishment review pursuant to the</w:t>
            </w:r>
            <w:r w:rsidRPr="00C9343F">
              <w:rPr>
                <w:i/>
              </w:rPr>
              <w:t xml:space="preserve"> Military Justice (interim Measures) Act No. 2 2009</w:t>
            </w:r>
            <w:r w:rsidRPr="00C9343F">
              <w:t xml:space="preserve">. </w:t>
            </w:r>
          </w:p>
        </w:tc>
      </w:tr>
      <w:tr w:rsidR="006D1E1C" w:rsidRPr="00C9343F" w14:paraId="7BB36895" w14:textId="77777777" w:rsidTr="008730BC">
        <w:trPr>
          <w:cantSplit/>
        </w:trPr>
        <w:tc>
          <w:tcPr>
            <w:tcW w:w="627" w:type="dxa"/>
            <w:tcBorders>
              <w:top w:val="single" w:sz="6" w:space="0" w:color="auto"/>
              <w:left w:val="single" w:sz="6" w:space="0" w:color="auto"/>
              <w:bottom w:val="single" w:sz="6" w:space="0" w:color="auto"/>
              <w:right w:val="single" w:sz="6" w:space="0" w:color="auto"/>
            </w:tcBorders>
          </w:tcPr>
          <w:p w14:paraId="0ACF78DE" w14:textId="77777777" w:rsidR="006D1E1C" w:rsidRPr="00C9343F" w:rsidRDefault="006D1E1C" w:rsidP="00F66D98">
            <w:pPr>
              <w:pStyle w:val="TableTextArial-left"/>
              <w:jc w:val="center"/>
            </w:pPr>
            <w:r w:rsidRPr="00C9343F">
              <w:t>2.</w:t>
            </w:r>
          </w:p>
        </w:tc>
        <w:tc>
          <w:tcPr>
            <w:tcW w:w="7740" w:type="dxa"/>
            <w:gridSpan w:val="4"/>
            <w:tcBorders>
              <w:top w:val="single" w:sz="6" w:space="0" w:color="auto"/>
              <w:left w:val="single" w:sz="6" w:space="0" w:color="auto"/>
              <w:bottom w:val="single" w:sz="6" w:space="0" w:color="auto"/>
              <w:right w:val="single" w:sz="6" w:space="0" w:color="auto"/>
            </w:tcBorders>
          </w:tcPr>
          <w:p w14:paraId="545C8050" w14:textId="77777777" w:rsidR="006D1E1C" w:rsidRPr="00C9343F" w:rsidRDefault="006D1E1C" w:rsidP="00F66D98">
            <w:pPr>
              <w:pStyle w:val="blocktext-plain0"/>
            </w:pPr>
            <w:r w:rsidRPr="00C9343F">
              <w:t>Military duty as a Judge Advocate or Defence Force Magistrate in a disciplinary proceeding.</w:t>
            </w:r>
          </w:p>
        </w:tc>
      </w:tr>
      <w:tr w:rsidR="006D1E1C" w:rsidRPr="00C9343F" w14:paraId="5B5715B4" w14:textId="77777777" w:rsidTr="008730BC">
        <w:trPr>
          <w:cantSplit/>
        </w:trPr>
        <w:tc>
          <w:tcPr>
            <w:tcW w:w="627" w:type="dxa"/>
            <w:tcBorders>
              <w:top w:val="single" w:sz="6" w:space="0" w:color="auto"/>
              <w:left w:val="single" w:sz="6" w:space="0" w:color="auto"/>
              <w:bottom w:val="single" w:sz="6" w:space="0" w:color="auto"/>
              <w:right w:val="single" w:sz="6" w:space="0" w:color="auto"/>
            </w:tcBorders>
          </w:tcPr>
          <w:p w14:paraId="2CC00F12" w14:textId="77777777" w:rsidR="006D1E1C" w:rsidRPr="00C9343F" w:rsidRDefault="006D1E1C" w:rsidP="00F66D98">
            <w:pPr>
              <w:pStyle w:val="TableTextArial-left"/>
              <w:jc w:val="center"/>
            </w:pPr>
            <w:r w:rsidRPr="00C9343F">
              <w:t>3.</w:t>
            </w:r>
          </w:p>
        </w:tc>
        <w:tc>
          <w:tcPr>
            <w:tcW w:w="7740" w:type="dxa"/>
            <w:gridSpan w:val="4"/>
            <w:tcBorders>
              <w:top w:val="single" w:sz="6" w:space="0" w:color="auto"/>
              <w:left w:val="single" w:sz="6" w:space="0" w:color="auto"/>
              <w:bottom w:val="single" w:sz="6" w:space="0" w:color="auto"/>
              <w:right w:val="single" w:sz="6" w:space="0" w:color="auto"/>
            </w:tcBorders>
          </w:tcPr>
          <w:p w14:paraId="5F0EF197" w14:textId="77777777" w:rsidR="006D1E1C" w:rsidRPr="00C9343F" w:rsidRDefault="006D1E1C" w:rsidP="00F66D98">
            <w:pPr>
              <w:pStyle w:val="blocktext-plain0"/>
            </w:pPr>
            <w:r w:rsidRPr="00C9343F">
              <w:t xml:space="preserve">Providing legal services relating to the preparation or provision of a report under section 154 of the </w:t>
            </w:r>
            <w:r w:rsidRPr="00C9343F">
              <w:rPr>
                <w:i/>
              </w:rPr>
              <w:t>Defence Force Discipline Act 1982</w:t>
            </w:r>
            <w:r w:rsidRPr="00C9343F">
              <w:t>.</w:t>
            </w:r>
          </w:p>
        </w:tc>
      </w:tr>
      <w:tr w:rsidR="006D1E1C" w:rsidRPr="00C9343F" w14:paraId="355807FF" w14:textId="77777777" w:rsidTr="008730BC">
        <w:trPr>
          <w:cantSplit/>
        </w:trPr>
        <w:tc>
          <w:tcPr>
            <w:tcW w:w="627" w:type="dxa"/>
            <w:tcBorders>
              <w:top w:val="single" w:sz="6" w:space="0" w:color="auto"/>
              <w:left w:val="single" w:sz="6" w:space="0" w:color="auto"/>
              <w:bottom w:val="single" w:sz="6" w:space="0" w:color="auto"/>
              <w:right w:val="single" w:sz="6" w:space="0" w:color="auto"/>
            </w:tcBorders>
          </w:tcPr>
          <w:p w14:paraId="36E89127" w14:textId="77777777" w:rsidR="006D1E1C" w:rsidRPr="00C9343F" w:rsidRDefault="006D1E1C" w:rsidP="00F66D98">
            <w:pPr>
              <w:pStyle w:val="TableTextArial-left"/>
              <w:jc w:val="center"/>
            </w:pPr>
            <w:r w:rsidRPr="00C9343F">
              <w:t>4.</w:t>
            </w:r>
          </w:p>
        </w:tc>
        <w:tc>
          <w:tcPr>
            <w:tcW w:w="7740" w:type="dxa"/>
            <w:gridSpan w:val="4"/>
            <w:tcBorders>
              <w:top w:val="single" w:sz="6" w:space="0" w:color="auto"/>
              <w:left w:val="single" w:sz="6" w:space="0" w:color="auto"/>
              <w:bottom w:val="single" w:sz="6" w:space="0" w:color="auto"/>
              <w:right w:val="single" w:sz="6" w:space="0" w:color="auto"/>
            </w:tcBorders>
          </w:tcPr>
          <w:p w14:paraId="13155B30" w14:textId="72F8FBDE" w:rsidR="006D1E1C" w:rsidRPr="00C9343F" w:rsidRDefault="006D1E1C" w:rsidP="00F66D98">
            <w:pPr>
              <w:pStyle w:val="blocktext-plain0"/>
            </w:pPr>
            <w:r w:rsidRPr="00C9343F">
              <w:t xml:space="preserve">Military duty as a legal officer assisting a </w:t>
            </w:r>
            <w:r w:rsidR="00765273" w:rsidRPr="00C9343F">
              <w:t>Commission</w:t>
            </w:r>
            <w:r w:rsidRPr="00C9343F">
              <w:t xml:space="preserve"> of Inquiry. </w:t>
            </w:r>
          </w:p>
        </w:tc>
      </w:tr>
      <w:tr w:rsidR="006D1E1C" w:rsidRPr="00C9343F" w14:paraId="5502A790" w14:textId="77777777" w:rsidTr="008730BC">
        <w:trPr>
          <w:cantSplit/>
        </w:trPr>
        <w:tc>
          <w:tcPr>
            <w:tcW w:w="627" w:type="dxa"/>
            <w:tcBorders>
              <w:top w:val="single" w:sz="6" w:space="0" w:color="auto"/>
              <w:left w:val="single" w:sz="6" w:space="0" w:color="auto"/>
              <w:bottom w:val="single" w:sz="4" w:space="0" w:color="auto"/>
              <w:right w:val="single" w:sz="6" w:space="0" w:color="auto"/>
            </w:tcBorders>
          </w:tcPr>
          <w:p w14:paraId="0D378706" w14:textId="77777777" w:rsidR="006D1E1C" w:rsidRPr="00C9343F" w:rsidRDefault="006D1E1C" w:rsidP="00F66D98">
            <w:pPr>
              <w:pStyle w:val="TableTextArial-left"/>
              <w:jc w:val="center"/>
            </w:pPr>
            <w:r w:rsidRPr="00C9343F">
              <w:t>5.</w:t>
            </w:r>
          </w:p>
        </w:tc>
        <w:tc>
          <w:tcPr>
            <w:tcW w:w="7740" w:type="dxa"/>
            <w:gridSpan w:val="4"/>
            <w:tcBorders>
              <w:top w:val="single" w:sz="6" w:space="0" w:color="auto"/>
              <w:left w:val="single" w:sz="6" w:space="0" w:color="auto"/>
              <w:bottom w:val="single" w:sz="4" w:space="0" w:color="auto"/>
              <w:right w:val="single" w:sz="6" w:space="0" w:color="auto"/>
            </w:tcBorders>
          </w:tcPr>
          <w:p w14:paraId="62E70DA0" w14:textId="24703575" w:rsidR="006D1E1C" w:rsidRPr="00C9343F" w:rsidRDefault="00765273" w:rsidP="00F66D98">
            <w:pPr>
              <w:pStyle w:val="blocktext-plainnospacing0"/>
              <w:spacing w:after="200"/>
            </w:pPr>
            <w:r w:rsidRPr="00C9343F">
              <w:t>Military duty as a legal officer representing or assisting in the representation of a person, including a person who has died, before a Commission of Inquiry.</w:t>
            </w:r>
          </w:p>
        </w:tc>
      </w:tr>
      <w:tr w:rsidR="006D1E1C" w:rsidRPr="00C9343F" w14:paraId="3DE2CDD5" w14:textId="77777777" w:rsidTr="008730BC">
        <w:tblPrEx>
          <w:tblBorders>
            <w:top w:val="single" w:sz="6" w:space="0" w:color="auto"/>
            <w:left w:val="single" w:sz="6" w:space="0" w:color="auto"/>
            <w:bottom w:val="single" w:sz="6" w:space="0" w:color="auto"/>
            <w:right w:val="single" w:sz="6" w:space="0" w:color="auto"/>
          </w:tblBorders>
        </w:tblPrEx>
        <w:trPr>
          <w:cantSplit/>
          <w:trHeight w:val="626"/>
        </w:trPr>
        <w:tc>
          <w:tcPr>
            <w:tcW w:w="627" w:type="dxa"/>
            <w:vMerge w:val="restart"/>
            <w:tcBorders>
              <w:top w:val="nil"/>
              <w:bottom w:val="single" w:sz="6" w:space="0" w:color="auto"/>
              <w:right w:val="single" w:sz="6" w:space="0" w:color="auto"/>
            </w:tcBorders>
          </w:tcPr>
          <w:p w14:paraId="5CEEA175" w14:textId="77777777" w:rsidR="006D1E1C" w:rsidRPr="00C9343F" w:rsidRDefault="006D1E1C" w:rsidP="00F66D98">
            <w:pPr>
              <w:pStyle w:val="TableTextArial-left"/>
              <w:jc w:val="center"/>
            </w:pPr>
            <w:r w:rsidRPr="00C9343F">
              <w:t>6.</w:t>
            </w:r>
          </w:p>
        </w:tc>
        <w:tc>
          <w:tcPr>
            <w:tcW w:w="7740" w:type="dxa"/>
            <w:gridSpan w:val="4"/>
            <w:tcBorders>
              <w:top w:val="single" w:sz="6" w:space="0" w:color="auto"/>
              <w:left w:val="single" w:sz="6" w:space="0" w:color="auto"/>
            </w:tcBorders>
          </w:tcPr>
          <w:p w14:paraId="49B4F333" w14:textId="09956857" w:rsidR="006D1E1C" w:rsidRPr="00C9343F" w:rsidRDefault="006D1E1C" w:rsidP="00F66D98">
            <w:pPr>
              <w:pStyle w:val="blocktext-plainnospacing0"/>
              <w:spacing w:after="200"/>
            </w:pPr>
            <w:r w:rsidRPr="00C9343F">
              <w:t xml:space="preserve">Providing legal services to an ADF commander </w:t>
            </w:r>
            <w:r w:rsidR="00A179F1" w:rsidRPr="00C9343F">
              <w:t>if</w:t>
            </w:r>
            <w:r w:rsidRPr="00C9343F">
              <w:t xml:space="preserve"> all of the following requirements are met.  </w:t>
            </w:r>
          </w:p>
        </w:tc>
      </w:tr>
      <w:tr w:rsidR="006D1E1C" w:rsidRPr="00C9343F" w14:paraId="7B9F5322" w14:textId="77777777" w:rsidTr="008730BC">
        <w:tblPrEx>
          <w:tblBorders>
            <w:top w:val="single" w:sz="6" w:space="0" w:color="auto"/>
            <w:left w:val="single" w:sz="6" w:space="0" w:color="auto"/>
            <w:bottom w:val="single" w:sz="6" w:space="0" w:color="auto"/>
            <w:right w:val="single" w:sz="6" w:space="0" w:color="auto"/>
          </w:tblBorders>
        </w:tblPrEx>
        <w:trPr>
          <w:cantSplit/>
          <w:trHeight w:val="304"/>
        </w:trPr>
        <w:tc>
          <w:tcPr>
            <w:tcW w:w="627" w:type="dxa"/>
            <w:vMerge/>
            <w:tcBorders>
              <w:top w:val="nil"/>
              <w:bottom w:val="single" w:sz="6" w:space="0" w:color="auto"/>
              <w:right w:val="single" w:sz="6" w:space="0" w:color="auto"/>
            </w:tcBorders>
          </w:tcPr>
          <w:p w14:paraId="40FF4A35" w14:textId="77777777" w:rsidR="006D1E1C" w:rsidRPr="00C9343F" w:rsidRDefault="006D1E1C" w:rsidP="00F66D98">
            <w:pPr>
              <w:pStyle w:val="TableTextArial-left"/>
              <w:jc w:val="center"/>
            </w:pPr>
          </w:p>
        </w:tc>
        <w:tc>
          <w:tcPr>
            <w:tcW w:w="540" w:type="dxa"/>
            <w:tcBorders>
              <w:left w:val="single" w:sz="6" w:space="0" w:color="auto"/>
            </w:tcBorders>
          </w:tcPr>
          <w:p w14:paraId="1CCEA753" w14:textId="77777777" w:rsidR="006D1E1C" w:rsidRPr="00C9343F" w:rsidRDefault="006D1E1C" w:rsidP="00F66D98">
            <w:pPr>
              <w:pStyle w:val="blocktext-plainnospacing0"/>
              <w:spacing w:after="200"/>
              <w:jc w:val="center"/>
            </w:pPr>
            <w:r w:rsidRPr="00C9343F">
              <w:t>a.</w:t>
            </w:r>
          </w:p>
        </w:tc>
        <w:tc>
          <w:tcPr>
            <w:tcW w:w="7200" w:type="dxa"/>
            <w:gridSpan w:val="3"/>
          </w:tcPr>
          <w:p w14:paraId="3EF5ED59" w14:textId="77777777" w:rsidR="006D1E1C" w:rsidRPr="00C9343F" w:rsidRDefault="006D1E1C" w:rsidP="00F66D98">
            <w:pPr>
              <w:pStyle w:val="blocktext-plainnospacing0"/>
              <w:spacing w:after="200"/>
            </w:pPr>
            <w:r w:rsidRPr="00C9343F">
              <w:t>The services are of any of the following types.</w:t>
            </w:r>
          </w:p>
        </w:tc>
      </w:tr>
      <w:tr w:rsidR="006D1E1C" w:rsidRPr="00C9343F" w14:paraId="0F20DBB3" w14:textId="77777777" w:rsidTr="008730BC">
        <w:tblPrEx>
          <w:tblBorders>
            <w:top w:val="single" w:sz="6" w:space="0" w:color="auto"/>
            <w:left w:val="single" w:sz="6" w:space="0" w:color="auto"/>
            <w:bottom w:val="single" w:sz="6" w:space="0" w:color="auto"/>
            <w:right w:val="single" w:sz="6" w:space="0" w:color="auto"/>
          </w:tblBorders>
        </w:tblPrEx>
        <w:trPr>
          <w:cantSplit/>
          <w:trHeight w:val="623"/>
        </w:trPr>
        <w:tc>
          <w:tcPr>
            <w:tcW w:w="627" w:type="dxa"/>
            <w:vMerge/>
            <w:tcBorders>
              <w:top w:val="nil"/>
              <w:bottom w:val="single" w:sz="6" w:space="0" w:color="auto"/>
              <w:right w:val="single" w:sz="6" w:space="0" w:color="auto"/>
            </w:tcBorders>
          </w:tcPr>
          <w:p w14:paraId="2A453D75" w14:textId="77777777" w:rsidR="006D1E1C" w:rsidRPr="00C9343F" w:rsidRDefault="006D1E1C" w:rsidP="00F66D98">
            <w:pPr>
              <w:pStyle w:val="TableTextArial-left"/>
              <w:jc w:val="center"/>
            </w:pPr>
          </w:p>
        </w:tc>
        <w:tc>
          <w:tcPr>
            <w:tcW w:w="540" w:type="dxa"/>
            <w:tcBorders>
              <w:left w:val="single" w:sz="6" w:space="0" w:color="auto"/>
            </w:tcBorders>
          </w:tcPr>
          <w:p w14:paraId="3D537FF4" w14:textId="77777777" w:rsidR="006D1E1C" w:rsidRPr="00C9343F" w:rsidRDefault="006D1E1C" w:rsidP="00F66D98">
            <w:pPr>
              <w:pStyle w:val="blocktext-plainnospacing0"/>
              <w:spacing w:after="200"/>
              <w:jc w:val="center"/>
            </w:pPr>
          </w:p>
        </w:tc>
        <w:tc>
          <w:tcPr>
            <w:tcW w:w="540" w:type="dxa"/>
            <w:gridSpan w:val="2"/>
            <w:shd w:val="clear" w:color="auto" w:fill="auto"/>
          </w:tcPr>
          <w:p w14:paraId="4760944C" w14:textId="77777777" w:rsidR="006D1E1C" w:rsidRPr="00C9343F" w:rsidRDefault="006D1E1C" w:rsidP="00E62EB5">
            <w:pPr>
              <w:pStyle w:val="blocktext-plainnospacing0"/>
              <w:spacing w:after="200"/>
            </w:pPr>
            <w:r w:rsidRPr="00C9343F">
              <w:t>i.</w:t>
            </w:r>
          </w:p>
        </w:tc>
        <w:tc>
          <w:tcPr>
            <w:tcW w:w="6660" w:type="dxa"/>
            <w:shd w:val="clear" w:color="auto" w:fill="auto"/>
          </w:tcPr>
          <w:p w14:paraId="36199975" w14:textId="23D880D8" w:rsidR="006D1E1C" w:rsidRPr="00C9343F" w:rsidRDefault="006D1E1C" w:rsidP="00F66D98">
            <w:pPr>
              <w:pStyle w:val="blocktext-plainnospacing0"/>
              <w:spacing w:after="200"/>
            </w:pPr>
            <w:r w:rsidRPr="00C9343F">
              <w:t>Providing legal advice.</w:t>
            </w:r>
          </w:p>
        </w:tc>
      </w:tr>
      <w:tr w:rsidR="006D1E1C" w:rsidRPr="00C9343F" w14:paraId="26D1B6D9" w14:textId="77777777" w:rsidTr="008730BC">
        <w:tblPrEx>
          <w:tblBorders>
            <w:top w:val="single" w:sz="6" w:space="0" w:color="auto"/>
            <w:left w:val="single" w:sz="6" w:space="0" w:color="auto"/>
            <w:bottom w:val="single" w:sz="6" w:space="0" w:color="auto"/>
            <w:right w:val="single" w:sz="6" w:space="0" w:color="auto"/>
          </w:tblBorders>
        </w:tblPrEx>
        <w:trPr>
          <w:cantSplit/>
          <w:trHeight w:val="623"/>
        </w:trPr>
        <w:tc>
          <w:tcPr>
            <w:tcW w:w="627" w:type="dxa"/>
            <w:vMerge/>
            <w:tcBorders>
              <w:top w:val="nil"/>
              <w:bottom w:val="single" w:sz="6" w:space="0" w:color="auto"/>
              <w:right w:val="single" w:sz="6" w:space="0" w:color="auto"/>
            </w:tcBorders>
          </w:tcPr>
          <w:p w14:paraId="7A990C5C" w14:textId="77777777" w:rsidR="006D1E1C" w:rsidRPr="00C9343F" w:rsidRDefault="006D1E1C" w:rsidP="00F66D98">
            <w:pPr>
              <w:pStyle w:val="TableTextArial-left"/>
              <w:jc w:val="center"/>
            </w:pPr>
          </w:p>
        </w:tc>
        <w:tc>
          <w:tcPr>
            <w:tcW w:w="540" w:type="dxa"/>
            <w:tcBorders>
              <w:left w:val="single" w:sz="6" w:space="0" w:color="auto"/>
            </w:tcBorders>
          </w:tcPr>
          <w:p w14:paraId="5C7C1750" w14:textId="77777777" w:rsidR="006D1E1C" w:rsidRPr="00C9343F" w:rsidRDefault="006D1E1C" w:rsidP="00F66D98">
            <w:pPr>
              <w:pStyle w:val="blocktext-plainnospacing0"/>
              <w:spacing w:after="0"/>
              <w:jc w:val="center"/>
            </w:pPr>
          </w:p>
        </w:tc>
        <w:tc>
          <w:tcPr>
            <w:tcW w:w="540" w:type="dxa"/>
            <w:gridSpan w:val="2"/>
            <w:shd w:val="clear" w:color="auto" w:fill="auto"/>
          </w:tcPr>
          <w:p w14:paraId="1F973580" w14:textId="77777777" w:rsidR="006D1E1C" w:rsidRPr="00C9343F" w:rsidRDefault="006D1E1C" w:rsidP="00E62EB5">
            <w:pPr>
              <w:pStyle w:val="blocktext-plainnospacing0"/>
              <w:spacing w:after="200"/>
            </w:pPr>
            <w:r w:rsidRPr="00C9343F">
              <w:t>ii.</w:t>
            </w:r>
          </w:p>
        </w:tc>
        <w:tc>
          <w:tcPr>
            <w:tcW w:w="6660" w:type="dxa"/>
            <w:shd w:val="clear" w:color="auto" w:fill="auto"/>
          </w:tcPr>
          <w:p w14:paraId="2EEF2100" w14:textId="533B6DE7" w:rsidR="006D1E1C" w:rsidRPr="00C9343F" w:rsidRDefault="006D1E1C" w:rsidP="00F66D98">
            <w:pPr>
              <w:pStyle w:val="blocktext-plainnospacing0"/>
              <w:spacing w:after="200"/>
            </w:pPr>
            <w:r w:rsidRPr="00C9343F">
              <w:t>Providing dispute resolution services.</w:t>
            </w:r>
          </w:p>
        </w:tc>
      </w:tr>
      <w:tr w:rsidR="006D1E1C" w:rsidRPr="00C9343F" w14:paraId="1AF6314B" w14:textId="77777777" w:rsidTr="008730BC">
        <w:tblPrEx>
          <w:tblBorders>
            <w:top w:val="single" w:sz="6" w:space="0" w:color="auto"/>
            <w:left w:val="single" w:sz="6" w:space="0" w:color="auto"/>
            <w:bottom w:val="single" w:sz="6" w:space="0" w:color="auto"/>
            <w:right w:val="single" w:sz="6" w:space="0" w:color="auto"/>
          </w:tblBorders>
        </w:tblPrEx>
        <w:trPr>
          <w:cantSplit/>
          <w:trHeight w:val="623"/>
        </w:trPr>
        <w:tc>
          <w:tcPr>
            <w:tcW w:w="627" w:type="dxa"/>
            <w:vMerge/>
            <w:tcBorders>
              <w:top w:val="nil"/>
              <w:bottom w:val="single" w:sz="6" w:space="0" w:color="auto"/>
              <w:right w:val="single" w:sz="6" w:space="0" w:color="auto"/>
            </w:tcBorders>
          </w:tcPr>
          <w:p w14:paraId="56605F00" w14:textId="77777777" w:rsidR="006D1E1C" w:rsidRPr="00C9343F" w:rsidRDefault="006D1E1C" w:rsidP="00F66D98">
            <w:pPr>
              <w:pStyle w:val="TableTextArial-left"/>
              <w:jc w:val="center"/>
            </w:pPr>
          </w:p>
        </w:tc>
        <w:tc>
          <w:tcPr>
            <w:tcW w:w="540" w:type="dxa"/>
            <w:tcBorders>
              <w:left w:val="single" w:sz="6" w:space="0" w:color="auto"/>
            </w:tcBorders>
          </w:tcPr>
          <w:p w14:paraId="4A29575E" w14:textId="77777777" w:rsidR="006D1E1C" w:rsidRPr="00C9343F" w:rsidRDefault="006D1E1C" w:rsidP="00F66D98">
            <w:pPr>
              <w:pStyle w:val="blocktext-plainnospacing0"/>
              <w:spacing w:after="0"/>
              <w:jc w:val="center"/>
            </w:pPr>
          </w:p>
        </w:tc>
        <w:tc>
          <w:tcPr>
            <w:tcW w:w="540" w:type="dxa"/>
            <w:gridSpan w:val="2"/>
            <w:shd w:val="clear" w:color="auto" w:fill="auto"/>
          </w:tcPr>
          <w:p w14:paraId="2F099F38" w14:textId="77777777" w:rsidR="006D1E1C" w:rsidRPr="00C9343F" w:rsidRDefault="006D1E1C" w:rsidP="00E62EB5">
            <w:pPr>
              <w:pStyle w:val="blocktext-plainnospacing0"/>
              <w:spacing w:after="200"/>
            </w:pPr>
            <w:r w:rsidRPr="00C9343F">
              <w:t>iii.</w:t>
            </w:r>
          </w:p>
        </w:tc>
        <w:tc>
          <w:tcPr>
            <w:tcW w:w="6660" w:type="dxa"/>
            <w:shd w:val="clear" w:color="auto" w:fill="auto"/>
          </w:tcPr>
          <w:p w14:paraId="41F624FF" w14:textId="7B39A80A" w:rsidR="006D1E1C" w:rsidRPr="00C9343F" w:rsidRDefault="00765273" w:rsidP="00F66D98">
            <w:pPr>
              <w:pStyle w:val="blocktext-plain0"/>
              <w:rPr>
                <w:i/>
              </w:rPr>
            </w:pPr>
            <w:r w:rsidRPr="00C9343F">
              <w:rPr>
                <w:iCs/>
              </w:rPr>
              <w:t xml:space="preserve">Acting as an inquiry officer or as an inquiry assistance under section 11 of the </w:t>
            </w:r>
            <w:r w:rsidRPr="00C9343F">
              <w:rPr>
                <w:i/>
              </w:rPr>
              <w:t>Defence (Inquiry) Regulations 2018.</w:t>
            </w:r>
          </w:p>
        </w:tc>
      </w:tr>
      <w:tr w:rsidR="006D1E1C" w:rsidRPr="00C9343F" w14:paraId="55A50879" w14:textId="77777777" w:rsidTr="008730BC">
        <w:tblPrEx>
          <w:tblBorders>
            <w:top w:val="single" w:sz="6" w:space="0" w:color="auto"/>
            <w:left w:val="single" w:sz="6" w:space="0" w:color="auto"/>
            <w:bottom w:val="single" w:sz="6" w:space="0" w:color="auto"/>
            <w:right w:val="single" w:sz="6" w:space="0" w:color="auto"/>
          </w:tblBorders>
        </w:tblPrEx>
        <w:trPr>
          <w:cantSplit/>
          <w:trHeight w:val="348"/>
        </w:trPr>
        <w:tc>
          <w:tcPr>
            <w:tcW w:w="627" w:type="dxa"/>
            <w:vMerge/>
            <w:tcBorders>
              <w:top w:val="nil"/>
              <w:bottom w:val="single" w:sz="6" w:space="0" w:color="auto"/>
              <w:right w:val="single" w:sz="6" w:space="0" w:color="auto"/>
            </w:tcBorders>
          </w:tcPr>
          <w:p w14:paraId="71CDB7E0" w14:textId="77777777" w:rsidR="006D1E1C" w:rsidRPr="00C9343F" w:rsidRDefault="006D1E1C" w:rsidP="00F66D98">
            <w:pPr>
              <w:pStyle w:val="TableTextArial-left"/>
              <w:jc w:val="center"/>
            </w:pPr>
          </w:p>
        </w:tc>
        <w:tc>
          <w:tcPr>
            <w:tcW w:w="540" w:type="dxa"/>
            <w:tcBorders>
              <w:left w:val="single" w:sz="6" w:space="0" w:color="auto"/>
            </w:tcBorders>
          </w:tcPr>
          <w:p w14:paraId="7C13FDF7" w14:textId="77777777" w:rsidR="006D1E1C" w:rsidRPr="00C9343F" w:rsidRDefault="006D1E1C" w:rsidP="00F66D98">
            <w:pPr>
              <w:pStyle w:val="blocktext-plainnospacing0"/>
              <w:spacing w:after="200"/>
              <w:jc w:val="center"/>
            </w:pPr>
            <w:r w:rsidRPr="00C9343F">
              <w:t xml:space="preserve">b. </w:t>
            </w:r>
          </w:p>
        </w:tc>
        <w:tc>
          <w:tcPr>
            <w:tcW w:w="7200" w:type="dxa"/>
            <w:gridSpan w:val="3"/>
          </w:tcPr>
          <w:p w14:paraId="2602D4A8" w14:textId="77777777" w:rsidR="006D1E1C" w:rsidRPr="00C9343F" w:rsidRDefault="006D1E1C" w:rsidP="00F66D98">
            <w:pPr>
              <w:pStyle w:val="blocktext-plainnospacing0"/>
              <w:spacing w:after="200"/>
            </w:pPr>
            <w:r w:rsidRPr="00C9343F">
              <w:t>The services require legal skills.</w:t>
            </w:r>
          </w:p>
        </w:tc>
      </w:tr>
      <w:tr w:rsidR="006D1E1C" w:rsidRPr="00C9343F" w14:paraId="52B6FBF3" w14:textId="77777777" w:rsidTr="008730BC">
        <w:tblPrEx>
          <w:tblBorders>
            <w:top w:val="single" w:sz="6" w:space="0" w:color="auto"/>
            <w:left w:val="single" w:sz="6" w:space="0" w:color="auto"/>
            <w:bottom w:val="single" w:sz="6" w:space="0" w:color="auto"/>
            <w:right w:val="single" w:sz="6" w:space="0" w:color="auto"/>
          </w:tblBorders>
        </w:tblPrEx>
        <w:trPr>
          <w:cantSplit/>
          <w:trHeight w:val="326"/>
        </w:trPr>
        <w:tc>
          <w:tcPr>
            <w:tcW w:w="627" w:type="dxa"/>
            <w:vMerge/>
            <w:tcBorders>
              <w:top w:val="nil"/>
              <w:bottom w:val="single" w:sz="6" w:space="0" w:color="auto"/>
              <w:right w:val="single" w:sz="6" w:space="0" w:color="auto"/>
            </w:tcBorders>
          </w:tcPr>
          <w:p w14:paraId="3742E2D3" w14:textId="77777777" w:rsidR="006D1E1C" w:rsidRPr="00C9343F" w:rsidRDefault="006D1E1C" w:rsidP="00F66D98">
            <w:pPr>
              <w:pStyle w:val="TableTextArial-left"/>
              <w:jc w:val="center"/>
            </w:pPr>
          </w:p>
        </w:tc>
        <w:tc>
          <w:tcPr>
            <w:tcW w:w="540" w:type="dxa"/>
            <w:tcBorders>
              <w:left w:val="single" w:sz="6" w:space="0" w:color="auto"/>
              <w:bottom w:val="single" w:sz="6" w:space="0" w:color="auto"/>
            </w:tcBorders>
          </w:tcPr>
          <w:p w14:paraId="1C047C77" w14:textId="77777777" w:rsidR="006D1E1C" w:rsidRPr="00C9343F" w:rsidRDefault="006D1E1C" w:rsidP="00F66D98">
            <w:pPr>
              <w:pStyle w:val="blocktext-plainnospacing0"/>
              <w:spacing w:after="200"/>
              <w:jc w:val="center"/>
            </w:pPr>
            <w:r w:rsidRPr="00C9343F">
              <w:t>c.</w:t>
            </w:r>
          </w:p>
        </w:tc>
        <w:tc>
          <w:tcPr>
            <w:tcW w:w="7200" w:type="dxa"/>
            <w:gridSpan w:val="3"/>
            <w:tcBorders>
              <w:bottom w:val="single" w:sz="6" w:space="0" w:color="auto"/>
            </w:tcBorders>
          </w:tcPr>
          <w:p w14:paraId="7327A377" w14:textId="77777777" w:rsidR="006D1E1C" w:rsidRPr="00C9343F" w:rsidRDefault="006D1E1C" w:rsidP="00F66D98">
            <w:pPr>
              <w:pStyle w:val="blocktext-plainnospacing0"/>
              <w:spacing w:after="200"/>
              <w:rPr>
                <w:i/>
                <w:color w:val="0000FF"/>
              </w:rPr>
            </w:pPr>
            <w:r w:rsidRPr="00C9343F">
              <w:t>The services relate to duties and responsibilities of a member in that command.</w:t>
            </w:r>
          </w:p>
        </w:tc>
      </w:tr>
      <w:tr w:rsidR="006D1E1C" w:rsidRPr="00C9343F" w14:paraId="4C395958" w14:textId="77777777" w:rsidTr="00B4505C">
        <w:tblPrEx>
          <w:tblBorders>
            <w:top w:val="single" w:sz="6" w:space="0" w:color="auto"/>
            <w:left w:val="single" w:sz="6" w:space="0" w:color="auto"/>
            <w:bottom w:val="single" w:sz="6" w:space="0" w:color="auto"/>
            <w:right w:val="single" w:sz="6" w:space="0" w:color="auto"/>
          </w:tblBorders>
        </w:tblPrEx>
        <w:trPr>
          <w:cantSplit/>
          <w:trHeight w:val="749"/>
        </w:trPr>
        <w:tc>
          <w:tcPr>
            <w:tcW w:w="627" w:type="dxa"/>
            <w:tcBorders>
              <w:top w:val="nil"/>
              <w:bottom w:val="single" w:sz="6" w:space="0" w:color="auto"/>
              <w:right w:val="single" w:sz="6" w:space="0" w:color="auto"/>
            </w:tcBorders>
          </w:tcPr>
          <w:p w14:paraId="50EC6C86" w14:textId="77777777" w:rsidR="006D1E1C" w:rsidRPr="00C9343F" w:rsidRDefault="006D1E1C" w:rsidP="00F66D98">
            <w:pPr>
              <w:pStyle w:val="TableTextArial-left"/>
              <w:jc w:val="center"/>
              <w:rPr>
                <w:color w:val="008080"/>
              </w:rPr>
            </w:pPr>
            <w:r w:rsidRPr="00C9343F">
              <w:t>7</w:t>
            </w:r>
            <w:r w:rsidRPr="00C9343F">
              <w:rPr>
                <w:color w:val="008080"/>
              </w:rPr>
              <w:t>.</w:t>
            </w:r>
          </w:p>
        </w:tc>
        <w:tc>
          <w:tcPr>
            <w:tcW w:w="7740" w:type="dxa"/>
            <w:gridSpan w:val="4"/>
            <w:tcBorders>
              <w:top w:val="single" w:sz="6" w:space="0" w:color="auto"/>
              <w:left w:val="single" w:sz="6" w:space="0" w:color="auto"/>
              <w:bottom w:val="single" w:sz="6" w:space="0" w:color="auto"/>
            </w:tcBorders>
          </w:tcPr>
          <w:p w14:paraId="190C22F4" w14:textId="77777777" w:rsidR="006D1E1C" w:rsidRPr="00C9343F" w:rsidRDefault="006D1E1C" w:rsidP="00F66D98">
            <w:pPr>
              <w:pStyle w:val="blocktext-plainnospacing0"/>
              <w:spacing w:after="200"/>
            </w:pPr>
            <w:r w:rsidRPr="00C9343F">
              <w:t xml:space="preserve">Giving legal advice to a member on matters arising from their service in the ADF. </w:t>
            </w:r>
          </w:p>
          <w:p w14:paraId="01A5AF0E" w14:textId="70A06087" w:rsidR="006D1E1C" w:rsidRPr="00C9343F" w:rsidRDefault="006D1E1C" w:rsidP="00F66D98">
            <w:pPr>
              <w:pStyle w:val="blocktext-plainnospacing0"/>
              <w:spacing w:after="200"/>
            </w:pPr>
            <w:r w:rsidRPr="00C9343F">
              <w:t>Preparation time is not paid for this duty.</w:t>
            </w:r>
          </w:p>
        </w:tc>
      </w:tr>
      <w:tr w:rsidR="006D1E1C" w:rsidRPr="00C9343F" w14:paraId="199E64CD" w14:textId="77777777" w:rsidTr="008730BC">
        <w:tblPrEx>
          <w:tblBorders>
            <w:top w:val="single" w:sz="6" w:space="0" w:color="auto"/>
            <w:left w:val="single" w:sz="6" w:space="0" w:color="auto"/>
            <w:bottom w:val="single" w:sz="6" w:space="0" w:color="auto"/>
            <w:right w:val="single" w:sz="6" w:space="0" w:color="auto"/>
          </w:tblBorders>
        </w:tblPrEx>
        <w:trPr>
          <w:cantSplit/>
          <w:trHeight w:val="227"/>
        </w:trPr>
        <w:tc>
          <w:tcPr>
            <w:tcW w:w="627" w:type="dxa"/>
            <w:vMerge w:val="restart"/>
            <w:tcBorders>
              <w:top w:val="nil"/>
              <w:bottom w:val="single" w:sz="6" w:space="0" w:color="auto"/>
              <w:right w:val="single" w:sz="6" w:space="0" w:color="auto"/>
            </w:tcBorders>
          </w:tcPr>
          <w:p w14:paraId="4F2553B8" w14:textId="77777777" w:rsidR="006D1E1C" w:rsidRPr="00C9343F" w:rsidRDefault="006D1E1C" w:rsidP="00F66D98">
            <w:pPr>
              <w:pStyle w:val="TableTextArial-left"/>
              <w:jc w:val="center"/>
            </w:pPr>
            <w:r w:rsidRPr="00C9343F">
              <w:t>8.</w:t>
            </w:r>
          </w:p>
        </w:tc>
        <w:tc>
          <w:tcPr>
            <w:tcW w:w="7740" w:type="dxa"/>
            <w:gridSpan w:val="4"/>
            <w:tcBorders>
              <w:top w:val="single" w:sz="6" w:space="0" w:color="auto"/>
              <w:left w:val="single" w:sz="6" w:space="0" w:color="auto"/>
            </w:tcBorders>
          </w:tcPr>
          <w:p w14:paraId="66099B79" w14:textId="77777777" w:rsidR="006D1E1C" w:rsidRPr="00C9343F" w:rsidRDefault="006D1E1C" w:rsidP="00F66D98">
            <w:pPr>
              <w:pStyle w:val="blocktext-plainnospacing0"/>
              <w:spacing w:after="200"/>
            </w:pPr>
            <w:r w:rsidRPr="00C9343F">
              <w:t xml:space="preserve">Giving legal advice to a defence civilian or former member in either of the following circumstances. </w:t>
            </w:r>
          </w:p>
        </w:tc>
      </w:tr>
      <w:tr w:rsidR="006D1E1C" w:rsidRPr="00C9343F" w14:paraId="162B604A" w14:textId="77777777" w:rsidTr="008730BC">
        <w:tblPrEx>
          <w:tblBorders>
            <w:top w:val="single" w:sz="6" w:space="0" w:color="auto"/>
            <w:left w:val="single" w:sz="6" w:space="0" w:color="auto"/>
            <w:bottom w:val="single" w:sz="6" w:space="0" w:color="auto"/>
            <w:right w:val="single" w:sz="6" w:space="0" w:color="auto"/>
          </w:tblBorders>
        </w:tblPrEx>
        <w:trPr>
          <w:cantSplit/>
          <w:trHeight w:val="475"/>
        </w:trPr>
        <w:tc>
          <w:tcPr>
            <w:tcW w:w="627" w:type="dxa"/>
            <w:vMerge/>
            <w:tcBorders>
              <w:top w:val="nil"/>
              <w:bottom w:val="single" w:sz="6" w:space="0" w:color="auto"/>
              <w:right w:val="single" w:sz="6" w:space="0" w:color="auto"/>
            </w:tcBorders>
          </w:tcPr>
          <w:p w14:paraId="6C8DB8E7" w14:textId="77777777" w:rsidR="006D1E1C" w:rsidRPr="00C9343F" w:rsidRDefault="006D1E1C" w:rsidP="00F66D98">
            <w:pPr>
              <w:pStyle w:val="TableTextArial-left"/>
              <w:jc w:val="center"/>
            </w:pPr>
          </w:p>
        </w:tc>
        <w:tc>
          <w:tcPr>
            <w:tcW w:w="540" w:type="dxa"/>
            <w:tcBorders>
              <w:left w:val="single" w:sz="6" w:space="0" w:color="auto"/>
            </w:tcBorders>
          </w:tcPr>
          <w:p w14:paraId="13FB6B1C" w14:textId="77777777" w:rsidR="006D1E1C" w:rsidRPr="00C9343F" w:rsidRDefault="006D1E1C" w:rsidP="00F66D98">
            <w:pPr>
              <w:pStyle w:val="blocktext-plainnospacing0"/>
              <w:spacing w:after="200"/>
              <w:jc w:val="center"/>
            </w:pPr>
            <w:r w:rsidRPr="00C9343F">
              <w:t>a.</w:t>
            </w:r>
          </w:p>
        </w:tc>
        <w:tc>
          <w:tcPr>
            <w:tcW w:w="7200" w:type="dxa"/>
            <w:gridSpan w:val="3"/>
          </w:tcPr>
          <w:p w14:paraId="2F48C7F2" w14:textId="77777777" w:rsidR="006D1E1C" w:rsidRPr="00C9343F" w:rsidRDefault="006D1E1C" w:rsidP="00F66D98">
            <w:pPr>
              <w:pStyle w:val="blocktext-plainnospacing0"/>
              <w:spacing w:after="200"/>
            </w:pPr>
            <w:r w:rsidRPr="00C9343F">
              <w:t>The defence civilian or former member is being investigated in connection with disciplinary action or possible disciplinary action under</w:t>
            </w:r>
            <w:r w:rsidRPr="00C9343F">
              <w:rPr>
                <w:i/>
              </w:rPr>
              <w:t xml:space="preserve"> </w:t>
            </w:r>
            <w:r w:rsidRPr="00C9343F">
              <w:t xml:space="preserve">the </w:t>
            </w:r>
            <w:r w:rsidRPr="00C9343F">
              <w:rPr>
                <w:i/>
              </w:rPr>
              <w:t>Defence Force Discipline Act 1982.</w:t>
            </w:r>
          </w:p>
        </w:tc>
      </w:tr>
      <w:tr w:rsidR="006D1E1C" w:rsidRPr="00C9343F" w14:paraId="548B6A91" w14:textId="77777777" w:rsidTr="008730BC">
        <w:tblPrEx>
          <w:tblBorders>
            <w:top w:val="single" w:sz="6" w:space="0" w:color="auto"/>
            <w:left w:val="single" w:sz="6" w:space="0" w:color="auto"/>
            <w:bottom w:val="single" w:sz="6" w:space="0" w:color="auto"/>
            <w:right w:val="single" w:sz="6" w:space="0" w:color="auto"/>
          </w:tblBorders>
        </w:tblPrEx>
        <w:trPr>
          <w:cantSplit/>
          <w:trHeight w:val="474"/>
        </w:trPr>
        <w:tc>
          <w:tcPr>
            <w:tcW w:w="627" w:type="dxa"/>
            <w:vMerge/>
            <w:tcBorders>
              <w:top w:val="nil"/>
              <w:bottom w:val="single" w:sz="6" w:space="0" w:color="auto"/>
              <w:right w:val="single" w:sz="6" w:space="0" w:color="auto"/>
            </w:tcBorders>
          </w:tcPr>
          <w:p w14:paraId="1919B467" w14:textId="77777777" w:rsidR="006D1E1C" w:rsidRPr="00C9343F" w:rsidRDefault="006D1E1C" w:rsidP="00F66D98">
            <w:pPr>
              <w:pStyle w:val="TableTextArial-left"/>
              <w:jc w:val="center"/>
            </w:pPr>
          </w:p>
        </w:tc>
        <w:tc>
          <w:tcPr>
            <w:tcW w:w="540" w:type="dxa"/>
            <w:tcBorders>
              <w:left w:val="single" w:sz="6" w:space="0" w:color="auto"/>
            </w:tcBorders>
          </w:tcPr>
          <w:p w14:paraId="0A2A8BC5" w14:textId="77777777" w:rsidR="006D1E1C" w:rsidRPr="00C9343F" w:rsidRDefault="006D1E1C" w:rsidP="00F66D98">
            <w:pPr>
              <w:pStyle w:val="blocktext-plainnospacing0"/>
              <w:spacing w:after="200"/>
              <w:jc w:val="center"/>
            </w:pPr>
            <w:r w:rsidRPr="00C9343F">
              <w:t>b.</w:t>
            </w:r>
          </w:p>
        </w:tc>
        <w:tc>
          <w:tcPr>
            <w:tcW w:w="7200" w:type="dxa"/>
            <w:gridSpan w:val="3"/>
          </w:tcPr>
          <w:p w14:paraId="1D40A876" w14:textId="77777777" w:rsidR="006D1E1C" w:rsidRPr="00C9343F" w:rsidRDefault="006D1E1C" w:rsidP="00F66D98">
            <w:pPr>
              <w:pStyle w:val="blocktext-plainnospacing0"/>
              <w:spacing w:after="200"/>
            </w:pPr>
            <w:r w:rsidRPr="00C9343F">
              <w:t>The defence civilian or former member has been charged with an offence under</w:t>
            </w:r>
            <w:r w:rsidRPr="00C9343F">
              <w:rPr>
                <w:i/>
              </w:rPr>
              <w:t xml:space="preserve"> </w:t>
            </w:r>
            <w:r w:rsidRPr="00C9343F">
              <w:t xml:space="preserve">the </w:t>
            </w:r>
            <w:r w:rsidRPr="00C9343F">
              <w:rPr>
                <w:i/>
              </w:rPr>
              <w:t>Defence Force Discipline Act 1982.</w:t>
            </w:r>
          </w:p>
        </w:tc>
      </w:tr>
      <w:tr w:rsidR="006D1E1C" w:rsidRPr="00C9343F" w14:paraId="08D20EBA" w14:textId="77777777" w:rsidTr="008730BC">
        <w:tblPrEx>
          <w:tblBorders>
            <w:top w:val="single" w:sz="6" w:space="0" w:color="auto"/>
            <w:left w:val="single" w:sz="6" w:space="0" w:color="auto"/>
            <w:bottom w:val="single" w:sz="6" w:space="0" w:color="auto"/>
            <w:right w:val="single" w:sz="6" w:space="0" w:color="auto"/>
          </w:tblBorders>
        </w:tblPrEx>
        <w:trPr>
          <w:cantSplit/>
          <w:trHeight w:val="227"/>
        </w:trPr>
        <w:tc>
          <w:tcPr>
            <w:tcW w:w="627" w:type="dxa"/>
            <w:vMerge/>
            <w:tcBorders>
              <w:top w:val="nil"/>
              <w:bottom w:val="single" w:sz="6" w:space="0" w:color="auto"/>
              <w:right w:val="single" w:sz="6" w:space="0" w:color="auto"/>
            </w:tcBorders>
          </w:tcPr>
          <w:p w14:paraId="03842342" w14:textId="77777777" w:rsidR="006D1E1C" w:rsidRPr="00C9343F" w:rsidRDefault="006D1E1C" w:rsidP="00F66D98">
            <w:pPr>
              <w:pStyle w:val="TableTextArial-left"/>
              <w:jc w:val="center"/>
            </w:pPr>
          </w:p>
        </w:tc>
        <w:tc>
          <w:tcPr>
            <w:tcW w:w="7740" w:type="dxa"/>
            <w:gridSpan w:val="4"/>
            <w:tcBorders>
              <w:left w:val="single" w:sz="6" w:space="0" w:color="auto"/>
            </w:tcBorders>
          </w:tcPr>
          <w:p w14:paraId="7F4941A3" w14:textId="77777777" w:rsidR="006D1E1C" w:rsidRPr="00C9343F" w:rsidRDefault="006D1E1C" w:rsidP="00F66D98">
            <w:pPr>
              <w:pStyle w:val="blocktext-plainnospacing0"/>
              <w:spacing w:after="200"/>
              <w:rPr>
                <w:i/>
              </w:rPr>
            </w:pPr>
            <w:r w:rsidRPr="00C9343F">
              <w:t xml:space="preserve">In this item, defence civilian has the same meaning as in the </w:t>
            </w:r>
            <w:r w:rsidRPr="00C9343F">
              <w:rPr>
                <w:i/>
              </w:rPr>
              <w:t>Defence Force Discipline Act 1982.</w:t>
            </w:r>
          </w:p>
          <w:p w14:paraId="3867FFEE" w14:textId="6ECC7A0B" w:rsidR="006D1E1C" w:rsidRPr="00C9343F" w:rsidRDefault="006D1E1C" w:rsidP="00F66D98">
            <w:pPr>
              <w:pStyle w:val="blocktext-plainnospacing0"/>
              <w:spacing w:after="200"/>
            </w:pPr>
            <w:r w:rsidRPr="00C9343F">
              <w:t>Preparation time is not paid for this duty</w:t>
            </w:r>
            <w:r w:rsidR="00765273" w:rsidRPr="00C9343F">
              <w:t>.</w:t>
            </w:r>
          </w:p>
        </w:tc>
      </w:tr>
    </w:tbl>
    <w:p w14:paraId="7D8BB10F" w14:textId="77777777" w:rsidR="006D1E1C" w:rsidRPr="00C9343F" w:rsidRDefault="006D1E1C" w:rsidP="00F66D98"/>
    <w:tbl>
      <w:tblPr>
        <w:tblW w:w="9355" w:type="dxa"/>
        <w:tblInd w:w="113" w:type="dxa"/>
        <w:tblLayout w:type="fixed"/>
        <w:tblLook w:val="0000" w:firstRow="0" w:lastRow="0" w:firstColumn="0" w:lastColumn="0" w:noHBand="0" w:noVBand="0"/>
      </w:tblPr>
      <w:tblGrid>
        <w:gridCol w:w="992"/>
        <w:gridCol w:w="8363"/>
      </w:tblGrid>
      <w:tr w:rsidR="006D1E1C" w:rsidRPr="00C9343F" w14:paraId="34EC2C68" w14:textId="77777777" w:rsidTr="008730BC">
        <w:tc>
          <w:tcPr>
            <w:tcW w:w="992" w:type="dxa"/>
          </w:tcPr>
          <w:p w14:paraId="77AC65AB" w14:textId="77777777" w:rsidR="006D1E1C" w:rsidRPr="00C9343F" w:rsidRDefault="006D1E1C" w:rsidP="00F66D98">
            <w:pPr>
              <w:pStyle w:val="BlockText-Plain"/>
              <w:jc w:val="center"/>
            </w:pPr>
            <w:r w:rsidRPr="00C9343F">
              <w:t>2.</w:t>
            </w:r>
          </w:p>
        </w:tc>
        <w:tc>
          <w:tcPr>
            <w:tcW w:w="8363" w:type="dxa"/>
          </w:tcPr>
          <w:p w14:paraId="4E47D611" w14:textId="43114F44" w:rsidR="006D1E1C" w:rsidRPr="00C9343F" w:rsidRDefault="006D1E1C" w:rsidP="00F66D98">
            <w:pPr>
              <w:pStyle w:val="BlockText-PlainNoSpacing"/>
              <w:spacing w:after="200"/>
            </w:pPr>
            <w:r w:rsidRPr="00C9343F">
              <w:t>Items in the table in paragraph 1.c include preparation time spent on legal tasks.</w:t>
            </w:r>
          </w:p>
        </w:tc>
      </w:tr>
      <w:tr w:rsidR="006D1E1C" w:rsidRPr="00C9343F" w14:paraId="1EFC343F" w14:textId="77777777" w:rsidTr="008730BC">
        <w:tc>
          <w:tcPr>
            <w:tcW w:w="992" w:type="dxa"/>
          </w:tcPr>
          <w:p w14:paraId="637070A3" w14:textId="77777777" w:rsidR="006D1E1C" w:rsidRPr="00C9343F" w:rsidRDefault="006D1E1C" w:rsidP="00F66D98">
            <w:pPr>
              <w:pStyle w:val="BlockText-Plain"/>
              <w:jc w:val="center"/>
            </w:pPr>
          </w:p>
        </w:tc>
        <w:tc>
          <w:tcPr>
            <w:tcW w:w="8363" w:type="dxa"/>
          </w:tcPr>
          <w:p w14:paraId="6B9E1BC4" w14:textId="77777777" w:rsidR="006D1E1C" w:rsidRPr="00C9343F" w:rsidRDefault="006D1E1C" w:rsidP="00F66D98">
            <w:pPr>
              <w:pStyle w:val="BlockText-PlainNoSpacing"/>
              <w:spacing w:after="0"/>
            </w:pPr>
            <w:r w:rsidRPr="00C9343F">
              <w:rPr>
                <w:b/>
              </w:rPr>
              <w:t>Exceptions:</w:t>
            </w:r>
            <w:r w:rsidRPr="00C9343F">
              <w:t xml:space="preserve"> </w:t>
            </w:r>
          </w:p>
          <w:p w14:paraId="2B9C2664" w14:textId="77777777" w:rsidR="006D1E1C" w:rsidRPr="00C9343F" w:rsidRDefault="006D1E1C" w:rsidP="00F66D98">
            <w:pPr>
              <w:pStyle w:val="BlockText-PlainNoSpacing"/>
              <w:spacing w:after="0"/>
            </w:pPr>
            <w:r w:rsidRPr="00C9343F">
              <w:t>Preparation time will not be paid in association with the following duties.</w:t>
            </w:r>
          </w:p>
          <w:p w14:paraId="20798B4B" w14:textId="77777777" w:rsidR="006D1E1C" w:rsidRPr="00C9343F" w:rsidRDefault="006D1E1C" w:rsidP="00F66D98">
            <w:pPr>
              <w:pStyle w:val="BlockText-PlainNoSpacing"/>
              <w:spacing w:after="0"/>
            </w:pPr>
            <w:r w:rsidRPr="00C9343F">
              <w:t xml:space="preserve">1. Duties in subparagraph a.i of item 6 of the table in paragraph 1.c. </w:t>
            </w:r>
          </w:p>
          <w:p w14:paraId="71E1823A" w14:textId="77777777" w:rsidR="006D1E1C" w:rsidRPr="00C9343F" w:rsidRDefault="006D1E1C" w:rsidP="00F66D98">
            <w:pPr>
              <w:pStyle w:val="BlockText-PlainNoSpacing"/>
              <w:spacing w:after="0"/>
            </w:pPr>
            <w:r w:rsidRPr="00C9343F">
              <w:t>2. Duties in item 7 of the table in paragraph 1.c.</w:t>
            </w:r>
          </w:p>
          <w:p w14:paraId="0D480533" w14:textId="7D329609" w:rsidR="006D1E1C" w:rsidRPr="00C9343F" w:rsidRDefault="006D1E1C" w:rsidP="00F66D98">
            <w:pPr>
              <w:pStyle w:val="BlockText-PlainNoSpacing"/>
              <w:spacing w:after="120"/>
            </w:pPr>
            <w:r w:rsidRPr="00C9343F">
              <w:t>3. Duties in item 8 of the table in paragraph 1.c.</w:t>
            </w:r>
          </w:p>
        </w:tc>
      </w:tr>
    </w:tbl>
    <w:p w14:paraId="4C6D09A3" w14:textId="3F8A5171" w:rsidR="006D1E1C" w:rsidRPr="00C9343F" w:rsidRDefault="006D1E1C" w:rsidP="00F66D98">
      <w:pPr>
        <w:pStyle w:val="Heading5"/>
      </w:pPr>
      <w:bookmarkStart w:id="1136" w:name="_Toc105053915"/>
      <w:bookmarkStart w:id="1137" w:name="bk1501284126Sessionalfeenotpayable"/>
      <w:bookmarkStart w:id="1138" w:name="bk1502124126Sessionalfeenotpayable"/>
      <w:bookmarkStart w:id="1139" w:name="bk1503044126Sessionalfeenotpayable"/>
      <w:bookmarkStart w:id="1140" w:name="bk912254106Sessionalfeenotpayable"/>
      <w:bookmarkStart w:id="1141" w:name="bk922564106Sessionalfeenotpayable"/>
      <w:bookmarkEnd w:id="1131"/>
      <w:bookmarkEnd w:id="1132"/>
      <w:bookmarkEnd w:id="1133"/>
      <w:bookmarkEnd w:id="1134"/>
      <w:bookmarkEnd w:id="1135"/>
      <w:r w:rsidRPr="00C9343F">
        <w:t>4.9.7</w:t>
      </w:r>
      <w:r w:rsidR="00D94006" w:rsidRPr="00C9343F">
        <w:t>    </w:t>
      </w:r>
      <w:r w:rsidRPr="00C9343F">
        <w:t>Sessional fee and Reserve salary</w:t>
      </w:r>
      <w:bookmarkEnd w:id="1136"/>
    </w:p>
    <w:tbl>
      <w:tblPr>
        <w:tblW w:w="0" w:type="auto"/>
        <w:tblInd w:w="113" w:type="dxa"/>
        <w:tblLayout w:type="fixed"/>
        <w:tblLook w:val="0000" w:firstRow="0" w:lastRow="0" w:firstColumn="0" w:lastColumn="0" w:noHBand="0" w:noVBand="0"/>
      </w:tblPr>
      <w:tblGrid>
        <w:gridCol w:w="992"/>
        <w:gridCol w:w="8363"/>
      </w:tblGrid>
      <w:tr w:rsidR="006D1E1C" w:rsidRPr="00C9343F" w14:paraId="7B8F60DC" w14:textId="77777777" w:rsidTr="006D1E1C">
        <w:tc>
          <w:tcPr>
            <w:tcW w:w="992" w:type="dxa"/>
          </w:tcPr>
          <w:bookmarkEnd w:id="1137"/>
          <w:bookmarkEnd w:id="1138"/>
          <w:bookmarkEnd w:id="1139"/>
          <w:bookmarkEnd w:id="1140"/>
          <w:bookmarkEnd w:id="1141"/>
          <w:p w14:paraId="0E178743" w14:textId="77777777" w:rsidR="006D1E1C" w:rsidRPr="00C9343F" w:rsidRDefault="006D1E1C" w:rsidP="00F66D98">
            <w:pPr>
              <w:pStyle w:val="BlockText-Plain"/>
              <w:jc w:val="center"/>
            </w:pPr>
            <w:r w:rsidRPr="00C9343F">
              <w:t>1.</w:t>
            </w:r>
          </w:p>
        </w:tc>
        <w:tc>
          <w:tcPr>
            <w:tcW w:w="8363" w:type="dxa"/>
          </w:tcPr>
          <w:p w14:paraId="37ACCF09" w14:textId="77777777" w:rsidR="006D1E1C" w:rsidRPr="00C9343F" w:rsidRDefault="006D1E1C" w:rsidP="00F66D98">
            <w:pPr>
              <w:pStyle w:val="BlockText-Plain"/>
            </w:pPr>
            <w:r w:rsidRPr="00C9343F">
              <w:t>This section applies in any period for which a legal officer is entitled to pay as a Reserve member and also performs duties that meet conditions for payment of the sessional fee set out in section 4.9.6.</w:t>
            </w:r>
          </w:p>
        </w:tc>
      </w:tr>
      <w:tr w:rsidR="006D1E1C" w:rsidRPr="00C9343F" w14:paraId="59F62BF4" w14:textId="77777777" w:rsidTr="006D1E1C">
        <w:tc>
          <w:tcPr>
            <w:tcW w:w="992" w:type="dxa"/>
          </w:tcPr>
          <w:p w14:paraId="4683DAE5" w14:textId="77777777" w:rsidR="006D1E1C" w:rsidRPr="00C9343F" w:rsidRDefault="006D1E1C" w:rsidP="00F66D98">
            <w:pPr>
              <w:pStyle w:val="BlockText-Plain"/>
              <w:jc w:val="center"/>
            </w:pPr>
            <w:bookmarkStart w:id="1142" w:name="bk1501284127Amountofsessionalfee"/>
            <w:bookmarkStart w:id="1143" w:name="bk1502124127Amountofsessionalfee"/>
            <w:bookmarkStart w:id="1144" w:name="bk1503044127Amountofsessionalfee"/>
            <w:bookmarkStart w:id="1145" w:name="bk912254107Amountofsessionalfee"/>
            <w:bookmarkStart w:id="1146" w:name="bk922564107Amountofsessionalfee"/>
            <w:r w:rsidRPr="00C9343F">
              <w:t>2.</w:t>
            </w:r>
          </w:p>
        </w:tc>
        <w:tc>
          <w:tcPr>
            <w:tcW w:w="8363" w:type="dxa"/>
          </w:tcPr>
          <w:p w14:paraId="4B717083" w14:textId="77777777" w:rsidR="006D1E1C" w:rsidRPr="00C9343F" w:rsidRDefault="006D1E1C" w:rsidP="00F66D98">
            <w:pPr>
              <w:pStyle w:val="BlockText-Plain"/>
            </w:pPr>
            <w:r w:rsidRPr="00C9343F">
              <w:t>If the member's Reserve salary for the period is less that the amount of sessional fee that would be payable for the same period, the member may elect in writing to be paid the higher amount of sessional fee under this Division instead of the salary.</w:t>
            </w:r>
          </w:p>
        </w:tc>
      </w:tr>
      <w:tr w:rsidR="006D1E1C" w:rsidRPr="00C9343F" w14:paraId="40ECE916" w14:textId="77777777" w:rsidTr="006D1E1C">
        <w:tc>
          <w:tcPr>
            <w:tcW w:w="992" w:type="dxa"/>
          </w:tcPr>
          <w:p w14:paraId="54010BBA" w14:textId="77777777" w:rsidR="006D1E1C" w:rsidRPr="00C9343F" w:rsidRDefault="006D1E1C" w:rsidP="00F66D98">
            <w:pPr>
              <w:pStyle w:val="BlockText-Plain"/>
              <w:jc w:val="center"/>
            </w:pPr>
          </w:p>
        </w:tc>
        <w:tc>
          <w:tcPr>
            <w:tcW w:w="8363" w:type="dxa"/>
          </w:tcPr>
          <w:p w14:paraId="74AA362A" w14:textId="593539D6" w:rsidR="006D1E1C" w:rsidRPr="00C9343F" w:rsidRDefault="006D1E1C" w:rsidP="00F66D98">
            <w:pPr>
              <w:pStyle w:val="BlockText-Plain"/>
            </w:pPr>
            <w:r w:rsidRPr="00C9343F">
              <w:rPr>
                <w:b/>
              </w:rPr>
              <w:t>Notes:</w:t>
            </w:r>
            <w:r w:rsidRPr="00C9343F">
              <w:br/>
            </w:r>
            <w:r w:rsidR="00B47892" w:rsidRPr="00C9343F">
              <w:t>2</w:t>
            </w:r>
            <w:r w:rsidRPr="00C9343F">
              <w:t>. To avoid doubt, a member may be paid a combination of salary and sessional fee for a day, but is not entitled to payment for more than six hou</w:t>
            </w:r>
            <w:r w:rsidR="00B3799A" w:rsidRPr="00C9343F">
              <w:t>rs duty in total for that day.</w:t>
            </w:r>
            <w:r w:rsidR="00B3799A" w:rsidRPr="00C9343F">
              <w:br/>
            </w:r>
            <w:r w:rsidR="00B47892" w:rsidRPr="00C9343F">
              <w:t>3</w:t>
            </w:r>
            <w:r w:rsidRPr="00C9343F">
              <w:t>. If the member is approved to perform a period of duty for Reserve salary and not also given an express approval for that period of duty for the purpose of this Division, the member cannot later elect to be paid legal officer sessional fee under this section.</w:t>
            </w:r>
          </w:p>
        </w:tc>
      </w:tr>
    </w:tbl>
    <w:p w14:paraId="5BB6C656" w14:textId="099CFB97" w:rsidR="006D1E1C" w:rsidRPr="00C9343F" w:rsidRDefault="006D1E1C" w:rsidP="00F66D98">
      <w:pPr>
        <w:pStyle w:val="Heading5"/>
      </w:pPr>
      <w:bookmarkStart w:id="1147" w:name="_Toc105053916"/>
      <w:r w:rsidRPr="00C9343F">
        <w:t>4.9.8</w:t>
      </w:r>
      <w:r w:rsidR="00D94006" w:rsidRPr="00C9343F">
        <w:t>    </w:t>
      </w:r>
      <w:r w:rsidRPr="00C9343F">
        <w:t>Amount of sessional fee</w:t>
      </w:r>
      <w:bookmarkEnd w:id="1147"/>
    </w:p>
    <w:tbl>
      <w:tblPr>
        <w:tblW w:w="0" w:type="auto"/>
        <w:tblInd w:w="113" w:type="dxa"/>
        <w:tblLayout w:type="fixed"/>
        <w:tblLook w:val="0000" w:firstRow="0" w:lastRow="0" w:firstColumn="0" w:lastColumn="0" w:noHBand="0" w:noVBand="0"/>
      </w:tblPr>
      <w:tblGrid>
        <w:gridCol w:w="992"/>
        <w:gridCol w:w="8363"/>
      </w:tblGrid>
      <w:tr w:rsidR="006D1E1C" w:rsidRPr="00C9343F" w14:paraId="52E1CD98" w14:textId="77777777" w:rsidTr="006D1E1C">
        <w:tc>
          <w:tcPr>
            <w:tcW w:w="992" w:type="dxa"/>
          </w:tcPr>
          <w:p w14:paraId="0DE3A6D0" w14:textId="77777777" w:rsidR="006D1E1C" w:rsidRPr="00C9343F" w:rsidRDefault="006D1E1C" w:rsidP="00F66D98">
            <w:pPr>
              <w:pStyle w:val="BlockText-Plain"/>
              <w:jc w:val="center"/>
            </w:pPr>
            <w:r w:rsidRPr="00C9343F">
              <w:t>1.</w:t>
            </w:r>
          </w:p>
        </w:tc>
        <w:tc>
          <w:tcPr>
            <w:tcW w:w="8363" w:type="dxa"/>
          </w:tcPr>
          <w:p w14:paraId="71833DAB" w14:textId="77777777" w:rsidR="006D1E1C" w:rsidRPr="00C9343F" w:rsidRDefault="006D1E1C" w:rsidP="00F66D98">
            <w:pPr>
              <w:pStyle w:val="BlockText-Plain"/>
            </w:pPr>
            <w:r w:rsidRPr="00C9343F">
              <w:t>A legal officer who performs duty in a matter described in the following table is eligible for a sessional fee, calculated at the rate set out in the table, for a period of up to 5 days.</w:t>
            </w:r>
          </w:p>
        </w:tc>
      </w:tr>
    </w:tbl>
    <w:p w14:paraId="3B991F74" w14:textId="77777777" w:rsidR="006D1E1C" w:rsidRPr="00C9343F" w:rsidRDefault="006D1E1C" w:rsidP="00F66D98"/>
    <w:tbl>
      <w:tblPr>
        <w:tblW w:w="8375" w:type="dxa"/>
        <w:tblInd w:w="1049"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627"/>
        <w:gridCol w:w="365"/>
        <w:gridCol w:w="283"/>
        <w:gridCol w:w="143"/>
        <w:gridCol w:w="2638"/>
        <w:gridCol w:w="2160"/>
        <w:gridCol w:w="2159"/>
      </w:tblGrid>
      <w:tr w:rsidR="006D1E1C" w:rsidRPr="00C9343F" w14:paraId="4977540C" w14:textId="77777777" w:rsidTr="001F4211">
        <w:trPr>
          <w:cantSplit/>
        </w:trPr>
        <w:tc>
          <w:tcPr>
            <w:tcW w:w="627" w:type="dxa"/>
            <w:tcBorders>
              <w:top w:val="single" w:sz="6" w:space="0" w:color="auto"/>
              <w:bottom w:val="single" w:sz="6" w:space="0" w:color="auto"/>
              <w:right w:val="single" w:sz="6" w:space="0" w:color="auto"/>
            </w:tcBorders>
          </w:tcPr>
          <w:p w14:paraId="7C5879CE" w14:textId="77777777" w:rsidR="006D1E1C" w:rsidRPr="00C9343F" w:rsidRDefault="006D1E1C" w:rsidP="00F66D98">
            <w:pPr>
              <w:pStyle w:val="TableHeaderArial"/>
            </w:pPr>
            <w:r w:rsidRPr="00C9343F">
              <w:t>Item</w:t>
            </w:r>
          </w:p>
        </w:tc>
        <w:tc>
          <w:tcPr>
            <w:tcW w:w="3429" w:type="dxa"/>
            <w:gridSpan w:val="4"/>
            <w:tcBorders>
              <w:top w:val="single" w:sz="6" w:space="0" w:color="auto"/>
              <w:left w:val="single" w:sz="6" w:space="0" w:color="auto"/>
              <w:bottom w:val="single" w:sz="6" w:space="0" w:color="auto"/>
              <w:right w:val="single" w:sz="6" w:space="0" w:color="auto"/>
            </w:tcBorders>
          </w:tcPr>
          <w:p w14:paraId="6945DDC7" w14:textId="439DB482" w:rsidR="006D1E1C" w:rsidRPr="00C9343F" w:rsidRDefault="006D1E1C" w:rsidP="00F66D98">
            <w:pPr>
              <w:pStyle w:val="TableHeaderArial"/>
            </w:pPr>
            <w:r w:rsidRPr="00C9343F">
              <w:t>If the member performs</w:t>
            </w:r>
            <w:r w:rsidR="00D94006" w:rsidRPr="00C9343F">
              <w:t>    </w:t>
            </w:r>
          </w:p>
        </w:tc>
        <w:tc>
          <w:tcPr>
            <w:tcW w:w="2160" w:type="dxa"/>
            <w:tcBorders>
              <w:top w:val="single" w:sz="6" w:space="0" w:color="auto"/>
              <w:left w:val="single" w:sz="6" w:space="0" w:color="auto"/>
              <w:bottom w:val="nil"/>
              <w:right w:val="single" w:sz="6" w:space="0" w:color="auto"/>
            </w:tcBorders>
          </w:tcPr>
          <w:p w14:paraId="385A0491" w14:textId="14CBFFB6" w:rsidR="006D1E1C" w:rsidRPr="00C9343F" w:rsidRDefault="006D1E1C" w:rsidP="00F66D98">
            <w:pPr>
              <w:pStyle w:val="TableHeaderArial"/>
            </w:pPr>
            <w:r w:rsidRPr="00C9343F">
              <w:t>for</w:t>
            </w:r>
            <w:r w:rsidR="00D94006" w:rsidRPr="00C9343F">
              <w:t>    </w:t>
            </w:r>
          </w:p>
        </w:tc>
        <w:tc>
          <w:tcPr>
            <w:tcW w:w="2159" w:type="dxa"/>
            <w:tcBorders>
              <w:top w:val="single" w:sz="6" w:space="0" w:color="auto"/>
              <w:left w:val="single" w:sz="6" w:space="0" w:color="auto"/>
              <w:bottom w:val="single" w:sz="6" w:space="0" w:color="auto"/>
            </w:tcBorders>
          </w:tcPr>
          <w:p w14:paraId="706E1061" w14:textId="18917EF2" w:rsidR="006D1E1C" w:rsidRPr="00C9343F" w:rsidRDefault="006D1E1C" w:rsidP="00F66D98">
            <w:pPr>
              <w:pStyle w:val="TableHeaderArial"/>
            </w:pPr>
            <w:r w:rsidRPr="00C9343F">
              <w:t>the member is to be paid</w:t>
            </w:r>
            <w:r w:rsidR="00D94006" w:rsidRPr="00C9343F">
              <w:t>    </w:t>
            </w:r>
          </w:p>
        </w:tc>
      </w:tr>
      <w:tr w:rsidR="006D1E1C" w:rsidRPr="00C9343F" w14:paraId="2FA73D05" w14:textId="77777777" w:rsidTr="001F4211">
        <w:trPr>
          <w:cantSplit/>
          <w:trHeight w:val="40"/>
        </w:trPr>
        <w:tc>
          <w:tcPr>
            <w:tcW w:w="627" w:type="dxa"/>
            <w:vMerge w:val="restart"/>
            <w:tcBorders>
              <w:top w:val="single" w:sz="6" w:space="0" w:color="auto"/>
              <w:bottom w:val="single" w:sz="6" w:space="0" w:color="auto"/>
              <w:right w:val="single" w:sz="6" w:space="0" w:color="auto"/>
            </w:tcBorders>
          </w:tcPr>
          <w:p w14:paraId="01E01F1D" w14:textId="77777777" w:rsidR="006D1E1C" w:rsidRPr="00C9343F" w:rsidRDefault="006D1E1C" w:rsidP="00F66D98">
            <w:pPr>
              <w:pStyle w:val="TableTextArial-left"/>
              <w:jc w:val="center"/>
            </w:pPr>
            <w:r w:rsidRPr="00C9343F">
              <w:t>1.</w:t>
            </w:r>
          </w:p>
        </w:tc>
        <w:tc>
          <w:tcPr>
            <w:tcW w:w="3429" w:type="dxa"/>
            <w:gridSpan w:val="4"/>
            <w:tcBorders>
              <w:top w:val="single" w:sz="6" w:space="0" w:color="auto"/>
              <w:left w:val="single" w:sz="6" w:space="0" w:color="auto"/>
              <w:right w:val="single" w:sz="6" w:space="0" w:color="auto"/>
            </w:tcBorders>
          </w:tcPr>
          <w:p w14:paraId="0E164B58" w14:textId="77777777" w:rsidR="006D1E1C" w:rsidRPr="00C9343F" w:rsidRDefault="006D1E1C" w:rsidP="00F66D98">
            <w:pPr>
              <w:pStyle w:val="TableTextArial-left"/>
            </w:pPr>
            <w:r w:rsidRPr="00C9343F">
              <w:t>Any of the following duties described in any of the following parts of the table in paragraph 4.9.6.1.c</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8551E1B" w14:textId="77777777" w:rsidR="006D1E1C" w:rsidRPr="00C9343F" w:rsidRDefault="006D1E1C" w:rsidP="00F66D98">
            <w:pPr>
              <w:pStyle w:val="TableTextArial-left"/>
            </w:pPr>
            <w:r w:rsidRPr="00C9343F">
              <w:t>less than three hours in a day</w:t>
            </w:r>
          </w:p>
        </w:tc>
        <w:tc>
          <w:tcPr>
            <w:tcW w:w="2159" w:type="dxa"/>
            <w:tcBorders>
              <w:top w:val="single" w:sz="6" w:space="0" w:color="auto"/>
              <w:left w:val="single" w:sz="6" w:space="0" w:color="auto"/>
              <w:bottom w:val="single" w:sz="6" w:space="0" w:color="auto"/>
            </w:tcBorders>
            <w:shd w:val="clear" w:color="auto" w:fill="auto"/>
          </w:tcPr>
          <w:p w14:paraId="44709F97" w14:textId="77777777" w:rsidR="006D1E1C" w:rsidRPr="00C9343F" w:rsidRDefault="006D1E1C" w:rsidP="00F66D98">
            <w:pPr>
              <w:pStyle w:val="TableTextArial-left"/>
            </w:pPr>
            <w:r w:rsidRPr="00C9343F">
              <w:t>$202.50 an hour.</w:t>
            </w:r>
          </w:p>
        </w:tc>
      </w:tr>
      <w:tr w:rsidR="006D1E1C" w:rsidRPr="00C9343F" w14:paraId="4707F8B4" w14:textId="77777777" w:rsidTr="001F4211">
        <w:trPr>
          <w:cantSplit/>
          <w:trHeight w:val="35"/>
        </w:trPr>
        <w:tc>
          <w:tcPr>
            <w:tcW w:w="627" w:type="dxa"/>
            <w:vMerge/>
            <w:tcBorders>
              <w:top w:val="nil"/>
              <w:bottom w:val="single" w:sz="6" w:space="0" w:color="auto"/>
              <w:right w:val="single" w:sz="6" w:space="0" w:color="auto"/>
            </w:tcBorders>
          </w:tcPr>
          <w:p w14:paraId="3DDCC880" w14:textId="77777777" w:rsidR="006D1E1C" w:rsidRPr="00C9343F" w:rsidRDefault="006D1E1C" w:rsidP="00F66D98">
            <w:pPr>
              <w:pStyle w:val="TableTextArial-left"/>
              <w:jc w:val="center"/>
            </w:pPr>
          </w:p>
        </w:tc>
        <w:tc>
          <w:tcPr>
            <w:tcW w:w="365" w:type="dxa"/>
            <w:tcBorders>
              <w:left w:val="single" w:sz="6" w:space="0" w:color="auto"/>
            </w:tcBorders>
          </w:tcPr>
          <w:p w14:paraId="5A04AE9D" w14:textId="77777777" w:rsidR="006D1E1C" w:rsidRPr="00C9343F" w:rsidRDefault="006D1E1C" w:rsidP="00F66D98">
            <w:pPr>
              <w:pStyle w:val="TableTextArial-left"/>
            </w:pPr>
            <w:r w:rsidRPr="00C9343F">
              <w:t>a.</w:t>
            </w:r>
          </w:p>
        </w:tc>
        <w:tc>
          <w:tcPr>
            <w:tcW w:w="3064" w:type="dxa"/>
            <w:gridSpan w:val="3"/>
            <w:tcBorders>
              <w:right w:val="single" w:sz="6" w:space="0" w:color="auto"/>
            </w:tcBorders>
          </w:tcPr>
          <w:p w14:paraId="00ABAE42" w14:textId="77777777" w:rsidR="006D1E1C" w:rsidRPr="00C9343F" w:rsidRDefault="006D1E1C" w:rsidP="00F66D98">
            <w:pPr>
              <w:pStyle w:val="TableTextArial-left"/>
            </w:pPr>
            <w:r w:rsidRPr="00C9343F">
              <w:t>Paragraph a of table item 1.</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auto"/>
          </w:tcPr>
          <w:p w14:paraId="5548B8B2" w14:textId="77777777" w:rsidR="006D1E1C" w:rsidRPr="00C9343F" w:rsidRDefault="006D1E1C" w:rsidP="00F66D98">
            <w:pPr>
              <w:pStyle w:val="TableTextArial-left"/>
            </w:pPr>
            <w:r w:rsidRPr="00C9343F">
              <w:t>three or more hours in a day</w:t>
            </w:r>
          </w:p>
        </w:tc>
        <w:tc>
          <w:tcPr>
            <w:tcW w:w="2159" w:type="dxa"/>
            <w:vMerge w:val="restart"/>
            <w:tcBorders>
              <w:top w:val="single" w:sz="6" w:space="0" w:color="auto"/>
              <w:left w:val="single" w:sz="6" w:space="0" w:color="auto"/>
              <w:bottom w:val="single" w:sz="6" w:space="0" w:color="auto"/>
            </w:tcBorders>
            <w:shd w:val="clear" w:color="auto" w:fill="auto"/>
          </w:tcPr>
          <w:p w14:paraId="61E270A3" w14:textId="77777777" w:rsidR="006D1E1C" w:rsidRPr="00C9343F" w:rsidRDefault="006D1E1C" w:rsidP="00F66D98">
            <w:pPr>
              <w:pStyle w:val="TableTextArial-left"/>
            </w:pPr>
            <w:r w:rsidRPr="00C9343F">
              <w:t>$1215 a day.</w:t>
            </w:r>
          </w:p>
        </w:tc>
      </w:tr>
      <w:tr w:rsidR="006D1E1C" w:rsidRPr="00C9343F" w14:paraId="2A640C03" w14:textId="77777777" w:rsidTr="001F4211">
        <w:trPr>
          <w:cantSplit/>
          <w:trHeight w:val="35"/>
        </w:trPr>
        <w:tc>
          <w:tcPr>
            <w:tcW w:w="627" w:type="dxa"/>
            <w:vMerge/>
            <w:tcBorders>
              <w:top w:val="nil"/>
              <w:bottom w:val="single" w:sz="6" w:space="0" w:color="auto"/>
              <w:right w:val="single" w:sz="6" w:space="0" w:color="auto"/>
            </w:tcBorders>
          </w:tcPr>
          <w:p w14:paraId="17DCE2EA" w14:textId="77777777" w:rsidR="006D1E1C" w:rsidRPr="00C9343F" w:rsidRDefault="006D1E1C" w:rsidP="00F66D98">
            <w:pPr>
              <w:pStyle w:val="TableTextArial-left"/>
              <w:jc w:val="center"/>
            </w:pPr>
          </w:p>
        </w:tc>
        <w:tc>
          <w:tcPr>
            <w:tcW w:w="365" w:type="dxa"/>
            <w:tcBorders>
              <w:left w:val="single" w:sz="6" w:space="0" w:color="auto"/>
            </w:tcBorders>
          </w:tcPr>
          <w:p w14:paraId="0FF9F677" w14:textId="77777777" w:rsidR="006D1E1C" w:rsidRPr="00C9343F" w:rsidRDefault="006D1E1C" w:rsidP="00F66D98">
            <w:pPr>
              <w:pStyle w:val="TableTextArial-left"/>
            </w:pPr>
            <w:r w:rsidRPr="00C9343F">
              <w:t>b.</w:t>
            </w:r>
          </w:p>
        </w:tc>
        <w:tc>
          <w:tcPr>
            <w:tcW w:w="3064" w:type="dxa"/>
            <w:gridSpan w:val="3"/>
            <w:tcBorders>
              <w:right w:val="single" w:sz="6" w:space="0" w:color="auto"/>
            </w:tcBorders>
          </w:tcPr>
          <w:p w14:paraId="0370E357" w14:textId="77777777" w:rsidR="006D1E1C" w:rsidRPr="00C9343F" w:rsidRDefault="006D1E1C" w:rsidP="00F66D98">
            <w:pPr>
              <w:pStyle w:val="TableTextArial-left"/>
            </w:pPr>
            <w:r w:rsidRPr="00C9343F">
              <w:t>Paragraph b of table item 1.</w:t>
            </w:r>
          </w:p>
        </w:tc>
        <w:tc>
          <w:tcPr>
            <w:tcW w:w="2160" w:type="dxa"/>
            <w:vMerge/>
            <w:tcBorders>
              <w:top w:val="single" w:sz="6" w:space="0" w:color="auto"/>
              <w:left w:val="single" w:sz="6" w:space="0" w:color="auto"/>
              <w:bottom w:val="single" w:sz="6" w:space="0" w:color="auto"/>
              <w:right w:val="single" w:sz="6" w:space="0" w:color="auto"/>
            </w:tcBorders>
          </w:tcPr>
          <w:p w14:paraId="1CCE253F" w14:textId="77777777" w:rsidR="006D1E1C" w:rsidRPr="00C9343F" w:rsidRDefault="006D1E1C" w:rsidP="00F66D98">
            <w:pPr>
              <w:pStyle w:val="TableTextArial-left"/>
            </w:pPr>
          </w:p>
        </w:tc>
        <w:tc>
          <w:tcPr>
            <w:tcW w:w="2159" w:type="dxa"/>
            <w:vMerge/>
            <w:tcBorders>
              <w:top w:val="single" w:sz="6" w:space="0" w:color="auto"/>
              <w:left w:val="single" w:sz="6" w:space="0" w:color="auto"/>
              <w:bottom w:val="single" w:sz="6" w:space="0" w:color="auto"/>
            </w:tcBorders>
          </w:tcPr>
          <w:p w14:paraId="2B77B4E9" w14:textId="77777777" w:rsidR="006D1E1C" w:rsidRPr="00C9343F" w:rsidRDefault="006D1E1C" w:rsidP="00F66D98">
            <w:pPr>
              <w:pStyle w:val="TableTextArial-left"/>
            </w:pPr>
          </w:p>
        </w:tc>
      </w:tr>
      <w:tr w:rsidR="006D1E1C" w:rsidRPr="00C9343F" w14:paraId="584668D4" w14:textId="77777777" w:rsidTr="001F4211">
        <w:trPr>
          <w:cantSplit/>
          <w:trHeight w:val="35"/>
        </w:trPr>
        <w:tc>
          <w:tcPr>
            <w:tcW w:w="627" w:type="dxa"/>
            <w:vMerge/>
            <w:tcBorders>
              <w:top w:val="nil"/>
              <w:bottom w:val="single" w:sz="6" w:space="0" w:color="auto"/>
              <w:right w:val="single" w:sz="6" w:space="0" w:color="auto"/>
            </w:tcBorders>
          </w:tcPr>
          <w:p w14:paraId="5B2D9FDC" w14:textId="77777777" w:rsidR="006D1E1C" w:rsidRPr="00C9343F" w:rsidRDefault="006D1E1C" w:rsidP="00F66D98">
            <w:pPr>
              <w:pStyle w:val="TableTextArial-left"/>
              <w:jc w:val="center"/>
            </w:pPr>
          </w:p>
        </w:tc>
        <w:tc>
          <w:tcPr>
            <w:tcW w:w="365" w:type="dxa"/>
            <w:tcBorders>
              <w:left w:val="single" w:sz="6" w:space="0" w:color="auto"/>
            </w:tcBorders>
          </w:tcPr>
          <w:p w14:paraId="005AB3C9" w14:textId="77777777" w:rsidR="006D1E1C" w:rsidRPr="00C9343F" w:rsidRDefault="006D1E1C" w:rsidP="00F66D98">
            <w:pPr>
              <w:pStyle w:val="TableTextArial-left"/>
            </w:pPr>
            <w:r w:rsidRPr="00C9343F">
              <w:t>c.</w:t>
            </w:r>
          </w:p>
        </w:tc>
        <w:tc>
          <w:tcPr>
            <w:tcW w:w="3064" w:type="dxa"/>
            <w:gridSpan w:val="3"/>
            <w:tcBorders>
              <w:right w:val="single" w:sz="6" w:space="0" w:color="auto"/>
            </w:tcBorders>
          </w:tcPr>
          <w:p w14:paraId="32AFD8F9" w14:textId="77777777" w:rsidR="006D1E1C" w:rsidRPr="00C9343F" w:rsidRDefault="006D1E1C" w:rsidP="00F66D98">
            <w:pPr>
              <w:pStyle w:val="TableTextArial-left"/>
            </w:pPr>
            <w:r w:rsidRPr="00C9343F">
              <w:t>Table item 2.</w:t>
            </w:r>
          </w:p>
        </w:tc>
        <w:tc>
          <w:tcPr>
            <w:tcW w:w="2160" w:type="dxa"/>
            <w:vMerge/>
            <w:tcBorders>
              <w:top w:val="single" w:sz="6" w:space="0" w:color="auto"/>
              <w:left w:val="single" w:sz="6" w:space="0" w:color="auto"/>
              <w:bottom w:val="single" w:sz="6" w:space="0" w:color="auto"/>
              <w:right w:val="single" w:sz="6" w:space="0" w:color="auto"/>
            </w:tcBorders>
            <w:shd w:val="clear" w:color="auto" w:fill="auto"/>
          </w:tcPr>
          <w:p w14:paraId="1F238FB8" w14:textId="77777777" w:rsidR="006D1E1C" w:rsidRPr="00C9343F" w:rsidRDefault="006D1E1C" w:rsidP="00F66D98">
            <w:pPr>
              <w:pStyle w:val="TableTextArial-left"/>
            </w:pPr>
          </w:p>
        </w:tc>
        <w:tc>
          <w:tcPr>
            <w:tcW w:w="2159" w:type="dxa"/>
            <w:vMerge/>
            <w:tcBorders>
              <w:top w:val="single" w:sz="6" w:space="0" w:color="auto"/>
              <w:left w:val="single" w:sz="6" w:space="0" w:color="auto"/>
              <w:bottom w:val="single" w:sz="6" w:space="0" w:color="auto"/>
            </w:tcBorders>
            <w:shd w:val="clear" w:color="auto" w:fill="auto"/>
          </w:tcPr>
          <w:p w14:paraId="324D3DBE" w14:textId="77777777" w:rsidR="006D1E1C" w:rsidRPr="00C9343F" w:rsidRDefault="006D1E1C" w:rsidP="00F66D98">
            <w:pPr>
              <w:pStyle w:val="TableTextArial-left"/>
            </w:pPr>
          </w:p>
        </w:tc>
      </w:tr>
      <w:tr w:rsidR="006D1E1C" w:rsidRPr="00C9343F" w14:paraId="431FDD61" w14:textId="77777777" w:rsidTr="001F4211">
        <w:trPr>
          <w:cantSplit/>
          <w:trHeight w:val="180"/>
        </w:trPr>
        <w:tc>
          <w:tcPr>
            <w:tcW w:w="627" w:type="dxa"/>
            <w:vMerge/>
            <w:tcBorders>
              <w:top w:val="nil"/>
              <w:bottom w:val="single" w:sz="6" w:space="0" w:color="auto"/>
              <w:right w:val="single" w:sz="6" w:space="0" w:color="auto"/>
            </w:tcBorders>
          </w:tcPr>
          <w:p w14:paraId="20307FCF" w14:textId="77777777" w:rsidR="006D1E1C" w:rsidRPr="00C9343F" w:rsidRDefault="006D1E1C" w:rsidP="00F66D98">
            <w:pPr>
              <w:pStyle w:val="TableTextArial-left"/>
              <w:jc w:val="center"/>
            </w:pPr>
          </w:p>
        </w:tc>
        <w:tc>
          <w:tcPr>
            <w:tcW w:w="365" w:type="dxa"/>
            <w:tcBorders>
              <w:left w:val="single" w:sz="6" w:space="0" w:color="auto"/>
            </w:tcBorders>
          </w:tcPr>
          <w:p w14:paraId="7FA3E629" w14:textId="77777777" w:rsidR="006D1E1C" w:rsidRPr="00C9343F" w:rsidRDefault="006D1E1C" w:rsidP="00F66D98">
            <w:pPr>
              <w:pStyle w:val="TableTextArial-left"/>
            </w:pPr>
            <w:r w:rsidRPr="00C9343F">
              <w:t>d.</w:t>
            </w:r>
          </w:p>
        </w:tc>
        <w:tc>
          <w:tcPr>
            <w:tcW w:w="3064" w:type="dxa"/>
            <w:gridSpan w:val="3"/>
            <w:tcBorders>
              <w:right w:val="single" w:sz="6" w:space="0" w:color="auto"/>
            </w:tcBorders>
          </w:tcPr>
          <w:p w14:paraId="4DC1BB6A" w14:textId="77777777" w:rsidR="006D1E1C" w:rsidRPr="00C9343F" w:rsidRDefault="006D1E1C" w:rsidP="00F66D98">
            <w:pPr>
              <w:pStyle w:val="TableTextArial-left"/>
            </w:pPr>
            <w:r w:rsidRPr="00C9343F">
              <w:t>Table item 4.</w:t>
            </w:r>
          </w:p>
        </w:tc>
        <w:tc>
          <w:tcPr>
            <w:tcW w:w="2160" w:type="dxa"/>
            <w:vMerge/>
            <w:tcBorders>
              <w:top w:val="single" w:sz="6" w:space="0" w:color="auto"/>
              <w:left w:val="single" w:sz="6" w:space="0" w:color="auto"/>
              <w:bottom w:val="single" w:sz="6" w:space="0" w:color="auto"/>
              <w:right w:val="single" w:sz="6" w:space="0" w:color="auto"/>
            </w:tcBorders>
          </w:tcPr>
          <w:p w14:paraId="1C3FA98D" w14:textId="77777777" w:rsidR="006D1E1C" w:rsidRPr="00C9343F" w:rsidRDefault="006D1E1C" w:rsidP="00F66D98">
            <w:pPr>
              <w:pStyle w:val="TableTextArial-left"/>
            </w:pPr>
          </w:p>
        </w:tc>
        <w:tc>
          <w:tcPr>
            <w:tcW w:w="2159" w:type="dxa"/>
            <w:vMerge/>
            <w:tcBorders>
              <w:top w:val="single" w:sz="6" w:space="0" w:color="auto"/>
              <w:left w:val="single" w:sz="6" w:space="0" w:color="auto"/>
              <w:bottom w:val="single" w:sz="6" w:space="0" w:color="auto"/>
            </w:tcBorders>
          </w:tcPr>
          <w:p w14:paraId="51584A1B" w14:textId="77777777" w:rsidR="006D1E1C" w:rsidRPr="00C9343F" w:rsidRDefault="006D1E1C" w:rsidP="00F66D98">
            <w:pPr>
              <w:pStyle w:val="TableTextArial-left"/>
            </w:pPr>
          </w:p>
        </w:tc>
      </w:tr>
      <w:tr w:rsidR="006D1E1C" w:rsidRPr="00C9343F" w14:paraId="7AE4143F" w14:textId="77777777" w:rsidTr="001F4211">
        <w:trPr>
          <w:cantSplit/>
          <w:trHeight w:val="180"/>
        </w:trPr>
        <w:tc>
          <w:tcPr>
            <w:tcW w:w="627" w:type="dxa"/>
            <w:vMerge/>
            <w:tcBorders>
              <w:top w:val="nil"/>
              <w:bottom w:val="single" w:sz="6" w:space="0" w:color="auto"/>
              <w:right w:val="single" w:sz="6" w:space="0" w:color="auto"/>
            </w:tcBorders>
          </w:tcPr>
          <w:p w14:paraId="387C9779" w14:textId="77777777" w:rsidR="006D1E1C" w:rsidRPr="00C9343F" w:rsidRDefault="006D1E1C" w:rsidP="00F66D98">
            <w:pPr>
              <w:pStyle w:val="TableTextArial-left"/>
              <w:jc w:val="center"/>
            </w:pPr>
          </w:p>
        </w:tc>
        <w:tc>
          <w:tcPr>
            <w:tcW w:w="365" w:type="dxa"/>
            <w:tcBorders>
              <w:left w:val="single" w:sz="6" w:space="0" w:color="auto"/>
            </w:tcBorders>
          </w:tcPr>
          <w:p w14:paraId="1ECBD081" w14:textId="77777777" w:rsidR="006D1E1C" w:rsidRPr="00C9343F" w:rsidRDefault="006D1E1C" w:rsidP="00F66D98">
            <w:pPr>
              <w:pStyle w:val="TableTextArial-left"/>
            </w:pPr>
            <w:r w:rsidRPr="00C9343F">
              <w:t>e.</w:t>
            </w:r>
          </w:p>
        </w:tc>
        <w:tc>
          <w:tcPr>
            <w:tcW w:w="3064" w:type="dxa"/>
            <w:gridSpan w:val="3"/>
            <w:tcBorders>
              <w:right w:val="single" w:sz="6" w:space="0" w:color="auto"/>
            </w:tcBorders>
          </w:tcPr>
          <w:p w14:paraId="0C0AACA6" w14:textId="77777777" w:rsidR="006D1E1C" w:rsidRPr="00C9343F" w:rsidRDefault="006D1E1C" w:rsidP="00F66D98">
            <w:pPr>
              <w:pStyle w:val="TableTextArial-left"/>
            </w:pPr>
            <w:r w:rsidRPr="00C9343F">
              <w:t>Table item 5.</w:t>
            </w:r>
          </w:p>
        </w:tc>
        <w:tc>
          <w:tcPr>
            <w:tcW w:w="2160" w:type="dxa"/>
            <w:vMerge/>
            <w:tcBorders>
              <w:top w:val="single" w:sz="6" w:space="0" w:color="auto"/>
              <w:left w:val="single" w:sz="6" w:space="0" w:color="auto"/>
              <w:bottom w:val="single" w:sz="6" w:space="0" w:color="auto"/>
              <w:right w:val="single" w:sz="6" w:space="0" w:color="auto"/>
            </w:tcBorders>
          </w:tcPr>
          <w:p w14:paraId="108E103C" w14:textId="77777777" w:rsidR="006D1E1C" w:rsidRPr="00C9343F" w:rsidRDefault="006D1E1C" w:rsidP="00F66D98">
            <w:pPr>
              <w:pStyle w:val="TableTextArial-left"/>
            </w:pPr>
          </w:p>
        </w:tc>
        <w:tc>
          <w:tcPr>
            <w:tcW w:w="2159" w:type="dxa"/>
            <w:vMerge/>
            <w:tcBorders>
              <w:top w:val="single" w:sz="6" w:space="0" w:color="auto"/>
              <w:left w:val="single" w:sz="6" w:space="0" w:color="auto"/>
              <w:bottom w:val="single" w:sz="6" w:space="0" w:color="auto"/>
            </w:tcBorders>
          </w:tcPr>
          <w:p w14:paraId="35117C8E" w14:textId="77777777" w:rsidR="006D1E1C" w:rsidRPr="00C9343F" w:rsidRDefault="006D1E1C" w:rsidP="00F66D98">
            <w:pPr>
              <w:pStyle w:val="TableTextArial-left"/>
            </w:pPr>
          </w:p>
        </w:tc>
      </w:tr>
      <w:tr w:rsidR="006D1E1C" w:rsidRPr="00C9343F" w14:paraId="7C655D13" w14:textId="77777777" w:rsidTr="001F4211">
        <w:trPr>
          <w:cantSplit/>
          <w:trHeight w:val="33"/>
        </w:trPr>
        <w:tc>
          <w:tcPr>
            <w:tcW w:w="627" w:type="dxa"/>
            <w:vMerge w:val="restart"/>
            <w:tcBorders>
              <w:top w:val="nil"/>
              <w:bottom w:val="single" w:sz="6" w:space="0" w:color="auto"/>
              <w:right w:val="single" w:sz="6" w:space="0" w:color="auto"/>
            </w:tcBorders>
          </w:tcPr>
          <w:p w14:paraId="08AA82BC" w14:textId="77777777" w:rsidR="006D1E1C" w:rsidRPr="00C9343F" w:rsidRDefault="006D1E1C" w:rsidP="00F66D98">
            <w:pPr>
              <w:pStyle w:val="TableTextArial-left"/>
              <w:jc w:val="center"/>
            </w:pPr>
            <w:r w:rsidRPr="00C9343F">
              <w:t>2.</w:t>
            </w:r>
          </w:p>
        </w:tc>
        <w:tc>
          <w:tcPr>
            <w:tcW w:w="3429" w:type="dxa"/>
            <w:gridSpan w:val="4"/>
            <w:tcBorders>
              <w:top w:val="single" w:sz="6" w:space="0" w:color="auto"/>
              <w:left w:val="single" w:sz="6" w:space="0" w:color="auto"/>
              <w:bottom w:val="nil"/>
              <w:right w:val="single" w:sz="6" w:space="0" w:color="auto"/>
            </w:tcBorders>
          </w:tcPr>
          <w:p w14:paraId="10661A00" w14:textId="77777777" w:rsidR="006D1E1C" w:rsidRPr="00C9343F" w:rsidRDefault="006D1E1C" w:rsidP="00F66D98">
            <w:pPr>
              <w:pStyle w:val="TableTextArial-left"/>
            </w:pPr>
            <w:r w:rsidRPr="00C9343F">
              <w:t>Any of the following duties.</w:t>
            </w:r>
          </w:p>
        </w:tc>
        <w:tc>
          <w:tcPr>
            <w:tcW w:w="2160" w:type="dxa"/>
            <w:vMerge w:val="restart"/>
            <w:tcBorders>
              <w:top w:val="single" w:sz="6" w:space="0" w:color="auto"/>
              <w:left w:val="single" w:sz="6" w:space="0" w:color="auto"/>
              <w:bottom w:val="nil"/>
              <w:right w:val="single" w:sz="6" w:space="0" w:color="auto"/>
            </w:tcBorders>
            <w:shd w:val="clear" w:color="auto" w:fill="auto"/>
          </w:tcPr>
          <w:p w14:paraId="38003237" w14:textId="77777777" w:rsidR="006D1E1C" w:rsidRPr="00C9343F" w:rsidRDefault="006D1E1C" w:rsidP="00F66D98">
            <w:pPr>
              <w:pStyle w:val="TableTextArial-left"/>
            </w:pPr>
            <w:r w:rsidRPr="00C9343F">
              <w:t>less than six hours in a day</w:t>
            </w:r>
          </w:p>
        </w:tc>
        <w:tc>
          <w:tcPr>
            <w:tcW w:w="2159" w:type="dxa"/>
            <w:vMerge w:val="restart"/>
            <w:tcBorders>
              <w:top w:val="single" w:sz="6" w:space="0" w:color="auto"/>
              <w:left w:val="single" w:sz="6" w:space="0" w:color="auto"/>
            </w:tcBorders>
            <w:shd w:val="clear" w:color="auto" w:fill="auto"/>
          </w:tcPr>
          <w:p w14:paraId="7A933501" w14:textId="77777777" w:rsidR="006D1E1C" w:rsidRPr="00C9343F" w:rsidRDefault="006D1E1C" w:rsidP="00F66D98">
            <w:pPr>
              <w:pStyle w:val="TableTextArial-left"/>
            </w:pPr>
            <w:r w:rsidRPr="00C9343F">
              <w:t>$202.50 an hour.</w:t>
            </w:r>
          </w:p>
        </w:tc>
      </w:tr>
      <w:tr w:rsidR="006D1E1C" w:rsidRPr="00C9343F" w14:paraId="0FE2FA0F" w14:textId="77777777" w:rsidTr="001F4211">
        <w:trPr>
          <w:cantSplit/>
          <w:trHeight w:val="404"/>
        </w:trPr>
        <w:tc>
          <w:tcPr>
            <w:tcW w:w="627" w:type="dxa"/>
            <w:vMerge/>
            <w:tcBorders>
              <w:top w:val="nil"/>
              <w:bottom w:val="single" w:sz="6" w:space="0" w:color="auto"/>
              <w:right w:val="single" w:sz="6" w:space="0" w:color="auto"/>
            </w:tcBorders>
          </w:tcPr>
          <w:p w14:paraId="57B08987" w14:textId="77777777" w:rsidR="006D1E1C" w:rsidRPr="00C9343F" w:rsidRDefault="006D1E1C" w:rsidP="00F66D98">
            <w:pPr>
              <w:pStyle w:val="TableTextArial-left"/>
              <w:jc w:val="center"/>
            </w:pPr>
          </w:p>
        </w:tc>
        <w:tc>
          <w:tcPr>
            <w:tcW w:w="365" w:type="dxa"/>
            <w:tcBorders>
              <w:top w:val="nil"/>
              <w:left w:val="single" w:sz="6" w:space="0" w:color="auto"/>
            </w:tcBorders>
          </w:tcPr>
          <w:p w14:paraId="2A98E1FA" w14:textId="77777777" w:rsidR="006D1E1C" w:rsidRPr="00C9343F" w:rsidRDefault="006D1E1C" w:rsidP="00F66D98">
            <w:pPr>
              <w:pStyle w:val="TableTextArial-left"/>
            </w:pPr>
            <w:r w:rsidRPr="00C9343F">
              <w:t>a.</w:t>
            </w:r>
          </w:p>
        </w:tc>
        <w:tc>
          <w:tcPr>
            <w:tcW w:w="3064" w:type="dxa"/>
            <w:gridSpan w:val="3"/>
            <w:tcBorders>
              <w:top w:val="nil"/>
              <w:right w:val="single" w:sz="6" w:space="0" w:color="auto"/>
            </w:tcBorders>
          </w:tcPr>
          <w:p w14:paraId="4621F6CE" w14:textId="77777777" w:rsidR="006D1E1C" w:rsidRPr="00C9343F" w:rsidRDefault="006D1E1C" w:rsidP="00F66D98">
            <w:pPr>
              <w:pStyle w:val="TableTextArial-left"/>
            </w:pPr>
            <w:r w:rsidRPr="00C9343F">
              <w:t>Duties described in any of the following parts of the table in paragraph 4.9.6.1.c.</w:t>
            </w:r>
          </w:p>
        </w:tc>
        <w:tc>
          <w:tcPr>
            <w:tcW w:w="2160" w:type="dxa"/>
            <w:vMerge/>
            <w:tcBorders>
              <w:left w:val="single" w:sz="6" w:space="0" w:color="auto"/>
              <w:bottom w:val="nil"/>
              <w:right w:val="single" w:sz="6" w:space="0" w:color="auto"/>
            </w:tcBorders>
          </w:tcPr>
          <w:p w14:paraId="20062583" w14:textId="77777777" w:rsidR="006D1E1C" w:rsidRPr="00C9343F" w:rsidRDefault="006D1E1C" w:rsidP="00F66D98">
            <w:pPr>
              <w:pStyle w:val="TableTextArial-left"/>
            </w:pPr>
          </w:p>
        </w:tc>
        <w:tc>
          <w:tcPr>
            <w:tcW w:w="2159" w:type="dxa"/>
            <w:vMerge/>
            <w:tcBorders>
              <w:left w:val="single" w:sz="6" w:space="0" w:color="auto"/>
            </w:tcBorders>
          </w:tcPr>
          <w:p w14:paraId="26D9E2EA" w14:textId="77777777" w:rsidR="006D1E1C" w:rsidRPr="00C9343F" w:rsidRDefault="006D1E1C" w:rsidP="00F66D98">
            <w:pPr>
              <w:pStyle w:val="TableTextArial-left"/>
            </w:pPr>
          </w:p>
        </w:tc>
      </w:tr>
      <w:tr w:rsidR="006D1E1C" w:rsidRPr="00C9343F" w14:paraId="2ABD455B" w14:textId="77777777" w:rsidTr="001F4211">
        <w:trPr>
          <w:cantSplit/>
          <w:trHeight w:val="270"/>
        </w:trPr>
        <w:tc>
          <w:tcPr>
            <w:tcW w:w="627" w:type="dxa"/>
            <w:vMerge/>
            <w:tcBorders>
              <w:top w:val="nil"/>
              <w:bottom w:val="single" w:sz="6" w:space="0" w:color="auto"/>
              <w:right w:val="single" w:sz="6" w:space="0" w:color="auto"/>
            </w:tcBorders>
          </w:tcPr>
          <w:p w14:paraId="119FDD21" w14:textId="77777777" w:rsidR="006D1E1C" w:rsidRPr="00C9343F" w:rsidRDefault="006D1E1C" w:rsidP="00F66D98">
            <w:pPr>
              <w:pStyle w:val="TableTextArial-left"/>
              <w:jc w:val="center"/>
            </w:pPr>
          </w:p>
        </w:tc>
        <w:tc>
          <w:tcPr>
            <w:tcW w:w="365" w:type="dxa"/>
            <w:tcBorders>
              <w:left w:val="single" w:sz="6" w:space="0" w:color="auto"/>
            </w:tcBorders>
          </w:tcPr>
          <w:p w14:paraId="3CF2FFFF" w14:textId="77777777" w:rsidR="006D1E1C" w:rsidRPr="00C9343F" w:rsidRDefault="006D1E1C" w:rsidP="00F66D98">
            <w:pPr>
              <w:pStyle w:val="TableTextArial-left"/>
            </w:pPr>
          </w:p>
        </w:tc>
        <w:tc>
          <w:tcPr>
            <w:tcW w:w="426" w:type="dxa"/>
            <w:gridSpan w:val="2"/>
          </w:tcPr>
          <w:p w14:paraId="5153BEA4" w14:textId="77777777" w:rsidR="006D1E1C" w:rsidRPr="00C9343F" w:rsidRDefault="006D1E1C" w:rsidP="00F66D98">
            <w:pPr>
              <w:pStyle w:val="TableTextArial-left"/>
            </w:pPr>
            <w:r w:rsidRPr="00C9343F">
              <w:t>i.</w:t>
            </w:r>
          </w:p>
        </w:tc>
        <w:tc>
          <w:tcPr>
            <w:tcW w:w="2638" w:type="dxa"/>
            <w:tcBorders>
              <w:right w:val="single" w:sz="6" w:space="0" w:color="auto"/>
            </w:tcBorders>
          </w:tcPr>
          <w:p w14:paraId="14C56DBA" w14:textId="77777777" w:rsidR="006D1E1C" w:rsidRPr="00C9343F" w:rsidRDefault="006D1E1C" w:rsidP="00F66D98">
            <w:pPr>
              <w:pStyle w:val="TableTextArial-left"/>
            </w:pPr>
            <w:r w:rsidRPr="00C9343F">
              <w:t>Paragraph c of table item 1.</w:t>
            </w:r>
          </w:p>
        </w:tc>
        <w:tc>
          <w:tcPr>
            <w:tcW w:w="2160" w:type="dxa"/>
            <w:vMerge/>
            <w:tcBorders>
              <w:left w:val="single" w:sz="6" w:space="0" w:color="auto"/>
              <w:bottom w:val="nil"/>
              <w:right w:val="single" w:sz="6" w:space="0" w:color="auto"/>
            </w:tcBorders>
            <w:shd w:val="clear" w:color="auto" w:fill="auto"/>
          </w:tcPr>
          <w:p w14:paraId="750F2B5E" w14:textId="77777777" w:rsidR="006D1E1C" w:rsidRPr="00C9343F" w:rsidRDefault="006D1E1C" w:rsidP="00F66D98">
            <w:pPr>
              <w:pStyle w:val="TableTextArial-left"/>
            </w:pPr>
          </w:p>
        </w:tc>
        <w:tc>
          <w:tcPr>
            <w:tcW w:w="2159" w:type="dxa"/>
            <w:vMerge/>
            <w:tcBorders>
              <w:left w:val="single" w:sz="6" w:space="0" w:color="auto"/>
            </w:tcBorders>
            <w:shd w:val="clear" w:color="auto" w:fill="auto"/>
          </w:tcPr>
          <w:p w14:paraId="61FFBB32" w14:textId="77777777" w:rsidR="006D1E1C" w:rsidRPr="00C9343F" w:rsidRDefault="006D1E1C" w:rsidP="00F66D98">
            <w:pPr>
              <w:pStyle w:val="TableTextArial-left"/>
            </w:pPr>
          </w:p>
        </w:tc>
      </w:tr>
      <w:tr w:rsidR="006D1E1C" w:rsidRPr="00C9343F" w14:paraId="7A87732D" w14:textId="77777777" w:rsidTr="001F4211">
        <w:trPr>
          <w:cantSplit/>
          <w:trHeight w:val="270"/>
        </w:trPr>
        <w:tc>
          <w:tcPr>
            <w:tcW w:w="627" w:type="dxa"/>
            <w:vMerge/>
            <w:tcBorders>
              <w:top w:val="nil"/>
              <w:bottom w:val="single" w:sz="6" w:space="0" w:color="auto"/>
              <w:right w:val="single" w:sz="6" w:space="0" w:color="auto"/>
            </w:tcBorders>
          </w:tcPr>
          <w:p w14:paraId="3A1A85E2" w14:textId="77777777" w:rsidR="006D1E1C" w:rsidRPr="00C9343F" w:rsidRDefault="006D1E1C" w:rsidP="00F66D98">
            <w:pPr>
              <w:pStyle w:val="TableTextArial-left"/>
              <w:jc w:val="center"/>
            </w:pPr>
          </w:p>
        </w:tc>
        <w:tc>
          <w:tcPr>
            <w:tcW w:w="365" w:type="dxa"/>
            <w:tcBorders>
              <w:left w:val="single" w:sz="6" w:space="0" w:color="auto"/>
            </w:tcBorders>
          </w:tcPr>
          <w:p w14:paraId="268EF011" w14:textId="77777777" w:rsidR="006D1E1C" w:rsidRPr="00C9343F" w:rsidRDefault="006D1E1C" w:rsidP="00F66D98">
            <w:pPr>
              <w:pStyle w:val="TableTextArial-left"/>
            </w:pPr>
          </w:p>
        </w:tc>
        <w:tc>
          <w:tcPr>
            <w:tcW w:w="426" w:type="dxa"/>
            <w:gridSpan w:val="2"/>
          </w:tcPr>
          <w:p w14:paraId="549C8228" w14:textId="77777777" w:rsidR="006D1E1C" w:rsidRPr="00C9343F" w:rsidRDefault="006D1E1C" w:rsidP="00F66D98">
            <w:pPr>
              <w:pStyle w:val="TableTextArial-left"/>
            </w:pPr>
            <w:r w:rsidRPr="00C9343F">
              <w:t>ii.</w:t>
            </w:r>
          </w:p>
        </w:tc>
        <w:tc>
          <w:tcPr>
            <w:tcW w:w="2638" w:type="dxa"/>
            <w:tcBorders>
              <w:right w:val="single" w:sz="6" w:space="0" w:color="auto"/>
            </w:tcBorders>
          </w:tcPr>
          <w:p w14:paraId="133A2B66" w14:textId="77777777" w:rsidR="006D1E1C" w:rsidRPr="00C9343F" w:rsidRDefault="006D1E1C" w:rsidP="00F66D98">
            <w:pPr>
              <w:pStyle w:val="TableTextArial-left"/>
            </w:pPr>
            <w:r w:rsidRPr="00C9343F">
              <w:t>Paragraph d of table item 1.</w:t>
            </w:r>
          </w:p>
        </w:tc>
        <w:tc>
          <w:tcPr>
            <w:tcW w:w="2160" w:type="dxa"/>
            <w:vMerge/>
            <w:tcBorders>
              <w:left w:val="single" w:sz="6" w:space="0" w:color="auto"/>
              <w:bottom w:val="nil"/>
              <w:right w:val="single" w:sz="6" w:space="0" w:color="auto"/>
            </w:tcBorders>
            <w:shd w:val="clear" w:color="auto" w:fill="auto"/>
          </w:tcPr>
          <w:p w14:paraId="399FACFD" w14:textId="77777777" w:rsidR="006D1E1C" w:rsidRPr="00C9343F" w:rsidRDefault="006D1E1C" w:rsidP="00F66D98">
            <w:pPr>
              <w:pStyle w:val="TableTextArial-left"/>
            </w:pPr>
          </w:p>
        </w:tc>
        <w:tc>
          <w:tcPr>
            <w:tcW w:w="2159" w:type="dxa"/>
            <w:vMerge/>
            <w:tcBorders>
              <w:left w:val="single" w:sz="6" w:space="0" w:color="auto"/>
            </w:tcBorders>
            <w:shd w:val="clear" w:color="auto" w:fill="auto"/>
          </w:tcPr>
          <w:p w14:paraId="3DBC43F2" w14:textId="77777777" w:rsidR="006D1E1C" w:rsidRPr="00C9343F" w:rsidRDefault="006D1E1C" w:rsidP="00F66D98">
            <w:pPr>
              <w:pStyle w:val="TableTextArial-left"/>
            </w:pPr>
          </w:p>
        </w:tc>
      </w:tr>
      <w:tr w:rsidR="006D1E1C" w:rsidRPr="00C9343F" w14:paraId="1DB163C3" w14:textId="77777777" w:rsidTr="001F4211">
        <w:trPr>
          <w:cantSplit/>
          <w:trHeight w:val="270"/>
        </w:trPr>
        <w:tc>
          <w:tcPr>
            <w:tcW w:w="627" w:type="dxa"/>
            <w:vMerge/>
            <w:tcBorders>
              <w:top w:val="nil"/>
              <w:bottom w:val="single" w:sz="6" w:space="0" w:color="auto"/>
              <w:right w:val="single" w:sz="6" w:space="0" w:color="auto"/>
            </w:tcBorders>
          </w:tcPr>
          <w:p w14:paraId="395A8480" w14:textId="77777777" w:rsidR="006D1E1C" w:rsidRPr="00C9343F" w:rsidRDefault="006D1E1C" w:rsidP="00F66D98">
            <w:pPr>
              <w:pStyle w:val="TableTextArial-left"/>
              <w:jc w:val="center"/>
            </w:pPr>
          </w:p>
        </w:tc>
        <w:tc>
          <w:tcPr>
            <w:tcW w:w="365" w:type="dxa"/>
            <w:tcBorders>
              <w:left w:val="single" w:sz="6" w:space="0" w:color="auto"/>
            </w:tcBorders>
          </w:tcPr>
          <w:p w14:paraId="609A05C7" w14:textId="77777777" w:rsidR="006D1E1C" w:rsidRPr="00C9343F" w:rsidRDefault="006D1E1C" w:rsidP="00F66D98">
            <w:pPr>
              <w:pStyle w:val="TableTextArial-left"/>
            </w:pPr>
          </w:p>
        </w:tc>
        <w:tc>
          <w:tcPr>
            <w:tcW w:w="426" w:type="dxa"/>
            <w:gridSpan w:val="2"/>
          </w:tcPr>
          <w:p w14:paraId="0FDC96FC" w14:textId="77777777" w:rsidR="006D1E1C" w:rsidRPr="00C9343F" w:rsidRDefault="006D1E1C" w:rsidP="00F66D98">
            <w:pPr>
              <w:pStyle w:val="TableTextArial-left"/>
            </w:pPr>
            <w:r w:rsidRPr="00C9343F">
              <w:t>iii.</w:t>
            </w:r>
          </w:p>
        </w:tc>
        <w:tc>
          <w:tcPr>
            <w:tcW w:w="2638" w:type="dxa"/>
            <w:tcBorders>
              <w:right w:val="single" w:sz="6" w:space="0" w:color="auto"/>
            </w:tcBorders>
          </w:tcPr>
          <w:p w14:paraId="1C990669" w14:textId="77777777" w:rsidR="006D1E1C" w:rsidRPr="00C9343F" w:rsidRDefault="006D1E1C" w:rsidP="00F66D98">
            <w:pPr>
              <w:pStyle w:val="TableTextArial-left"/>
            </w:pPr>
            <w:r w:rsidRPr="00C9343F">
              <w:t>Table item 3.</w:t>
            </w:r>
          </w:p>
        </w:tc>
        <w:tc>
          <w:tcPr>
            <w:tcW w:w="2160" w:type="dxa"/>
            <w:vMerge/>
            <w:tcBorders>
              <w:left w:val="single" w:sz="6" w:space="0" w:color="auto"/>
              <w:bottom w:val="nil"/>
              <w:right w:val="single" w:sz="6" w:space="0" w:color="auto"/>
            </w:tcBorders>
          </w:tcPr>
          <w:p w14:paraId="35979AD9" w14:textId="77777777" w:rsidR="006D1E1C" w:rsidRPr="00C9343F" w:rsidRDefault="006D1E1C" w:rsidP="00F66D98">
            <w:pPr>
              <w:pStyle w:val="TableTextArial-left"/>
            </w:pPr>
          </w:p>
        </w:tc>
        <w:tc>
          <w:tcPr>
            <w:tcW w:w="2159" w:type="dxa"/>
            <w:vMerge/>
            <w:tcBorders>
              <w:left w:val="single" w:sz="6" w:space="0" w:color="auto"/>
            </w:tcBorders>
          </w:tcPr>
          <w:p w14:paraId="141C5339" w14:textId="77777777" w:rsidR="006D1E1C" w:rsidRPr="00C9343F" w:rsidRDefault="006D1E1C" w:rsidP="00F66D98">
            <w:pPr>
              <w:pStyle w:val="TableTextArial-left"/>
            </w:pPr>
          </w:p>
        </w:tc>
      </w:tr>
      <w:tr w:rsidR="006D1E1C" w:rsidRPr="00C9343F" w14:paraId="140D25E0" w14:textId="77777777" w:rsidTr="001F4211">
        <w:trPr>
          <w:cantSplit/>
          <w:trHeight w:val="270"/>
        </w:trPr>
        <w:tc>
          <w:tcPr>
            <w:tcW w:w="627" w:type="dxa"/>
            <w:vMerge/>
            <w:tcBorders>
              <w:top w:val="nil"/>
              <w:bottom w:val="single" w:sz="6" w:space="0" w:color="auto"/>
              <w:right w:val="single" w:sz="6" w:space="0" w:color="auto"/>
            </w:tcBorders>
          </w:tcPr>
          <w:p w14:paraId="394CF034" w14:textId="77777777" w:rsidR="006D1E1C" w:rsidRPr="00C9343F" w:rsidRDefault="006D1E1C" w:rsidP="00F66D98">
            <w:pPr>
              <w:pStyle w:val="TableTextArial-left"/>
              <w:jc w:val="center"/>
            </w:pPr>
          </w:p>
        </w:tc>
        <w:tc>
          <w:tcPr>
            <w:tcW w:w="365" w:type="dxa"/>
            <w:tcBorders>
              <w:left w:val="single" w:sz="6" w:space="0" w:color="auto"/>
            </w:tcBorders>
          </w:tcPr>
          <w:p w14:paraId="57A7D5DA" w14:textId="77777777" w:rsidR="006D1E1C" w:rsidRPr="00C9343F" w:rsidRDefault="006D1E1C" w:rsidP="00F66D98">
            <w:pPr>
              <w:pStyle w:val="TableTextArial-left"/>
            </w:pPr>
          </w:p>
        </w:tc>
        <w:tc>
          <w:tcPr>
            <w:tcW w:w="426" w:type="dxa"/>
            <w:gridSpan w:val="2"/>
          </w:tcPr>
          <w:p w14:paraId="5CC3F9AA" w14:textId="77777777" w:rsidR="006D1E1C" w:rsidRPr="00C9343F" w:rsidRDefault="006D1E1C" w:rsidP="00F66D98">
            <w:pPr>
              <w:pStyle w:val="TableTextArial-left"/>
            </w:pPr>
            <w:r w:rsidRPr="00C9343F">
              <w:t>iv.</w:t>
            </w:r>
          </w:p>
        </w:tc>
        <w:tc>
          <w:tcPr>
            <w:tcW w:w="2638" w:type="dxa"/>
            <w:tcBorders>
              <w:right w:val="single" w:sz="6" w:space="0" w:color="auto"/>
            </w:tcBorders>
          </w:tcPr>
          <w:p w14:paraId="654DD70E" w14:textId="77777777" w:rsidR="006D1E1C" w:rsidRPr="00C9343F" w:rsidRDefault="006D1E1C" w:rsidP="00F66D98">
            <w:pPr>
              <w:pStyle w:val="TableTextArial-left"/>
            </w:pPr>
            <w:r w:rsidRPr="00C9343F">
              <w:t>Table item 6.</w:t>
            </w:r>
          </w:p>
        </w:tc>
        <w:tc>
          <w:tcPr>
            <w:tcW w:w="2160" w:type="dxa"/>
            <w:vMerge/>
            <w:tcBorders>
              <w:left w:val="single" w:sz="6" w:space="0" w:color="auto"/>
              <w:bottom w:val="single" w:sz="6" w:space="0" w:color="auto"/>
              <w:right w:val="single" w:sz="6" w:space="0" w:color="auto"/>
            </w:tcBorders>
          </w:tcPr>
          <w:p w14:paraId="76402E4A" w14:textId="77777777" w:rsidR="006D1E1C" w:rsidRPr="00C9343F" w:rsidRDefault="006D1E1C" w:rsidP="00F66D98">
            <w:pPr>
              <w:pStyle w:val="TableTextArial-left"/>
            </w:pPr>
          </w:p>
        </w:tc>
        <w:tc>
          <w:tcPr>
            <w:tcW w:w="2159" w:type="dxa"/>
            <w:vMerge/>
            <w:tcBorders>
              <w:left w:val="single" w:sz="6" w:space="0" w:color="auto"/>
              <w:bottom w:val="single" w:sz="6" w:space="0" w:color="auto"/>
            </w:tcBorders>
          </w:tcPr>
          <w:p w14:paraId="173CD6E7" w14:textId="77777777" w:rsidR="006D1E1C" w:rsidRPr="00C9343F" w:rsidRDefault="006D1E1C" w:rsidP="00F66D98">
            <w:pPr>
              <w:pStyle w:val="TableTextArial-left"/>
            </w:pPr>
          </w:p>
        </w:tc>
      </w:tr>
      <w:tr w:rsidR="006D1E1C" w:rsidRPr="00C9343F" w14:paraId="5CA140B2" w14:textId="77777777" w:rsidTr="001F4211">
        <w:trPr>
          <w:cantSplit/>
          <w:trHeight w:val="284"/>
        </w:trPr>
        <w:tc>
          <w:tcPr>
            <w:tcW w:w="627" w:type="dxa"/>
            <w:vMerge/>
            <w:tcBorders>
              <w:top w:val="nil"/>
              <w:bottom w:val="single" w:sz="6" w:space="0" w:color="auto"/>
              <w:right w:val="single" w:sz="6" w:space="0" w:color="auto"/>
            </w:tcBorders>
          </w:tcPr>
          <w:p w14:paraId="5772C090" w14:textId="77777777" w:rsidR="006D1E1C" w:rsidRPr="00C9343F" w:rsidRDefault="006D1E1C" w:rsidP="00F66D98">
            <w:pPr>
              <w:pStyle w:val="TableTextArial-left"/>
              <w:jc w:val="center"/>
            </w:pPr>
          </w:p>
        </w:tc>
        <w:tc>
          <w:tcPr>
            <w:tcW w:w="365" w:type="dxa"/>
            <w:tcBorders>
              <w:left w:val="single" w:sz="6" w:space="0" w:color="auto"/>
            </w:tcBorders>
          </w:tcPr>
          <w:p w14:paraId="68524B5F" w14:textId="77777777" w:rsidR="006D1E1C" w:rsidRPr="00C9343F" w:rsidRDefault="006D1E1C" w:rsidP="00F66D98">
            <w:pPr>
              <w:pStyle w:val="TableTextArial-left"/>
            </w:pPr>
          </w:p>
        </w:tc>
        <w:tc>
          <w:tcPr>
            <w:tcW w:w="426" w:type="dxa"/>
            <w:gridSpan w:val="2"/>
            <w:shd w:val="clear" w:color="auto" w:fill="auto"/>
          </w:tcPr>
          <w:p w14:paraId="38226D67" w14:textId="77777777" w:rsidR="006D1E1C" w:rsidRPr="00C9343F" w:rsidRDefault="006D1E1C" w:rsidP="00F66D98">
            <w:pPr>
              <w:pStyle w:val="TableTextArial-left"/>
            </w:pPr>
            <w:r w:rsidRPr="00C9343F">
              <w:t>v.</w:t>
            </w:r>
          </w:p>
        </w:tc>
        <w:tc>
          <w:tcPr>
            <w:tcW w:w="2638" w:type="dxa"/>
            <w:tcBorders>
              <w:right w:val="single" w:sz="6" w:space="0" w:color="auto"/>
            </w:tcBorders>
            <w:shd w:val="clear" w:color="auto" w:fill="auto"/>
          </w:tcPr>
          <w:p w14:paraId="1BCBE5DB" w14:textId="77777777" w:rsidR="006D1E1C" w:rsidRPr="00C9343F" w:rsidRDefault="006D1E1C" w:rsidP="00F66D98">
            <w:pPr>
              <w:pStyle w:val="TableTextArial-left"/>
            </w:pPr>
            <w:r w:rsidRPr="00C9343F">
              <w:t>Table item 7.</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auto"/>
          </w:tcPr>
          <w:p w14:paraId="783DC970" w14:textId="77777777" w:rsidR="006D1E1C" w:rsidRPr="00C9343F" w:rsidRDefault="006D1E1C" w:rsidP="00F66D98">
            <w:pPr>
              <w:pStyle w:val="TableTextArial-left"/>
            </w:pPr>
            <w:r w:rsidRPr="00C9343F">
              <w:t>six or more hours in a day</w:t>
            </w:r>
          </w:p>
        </w:tc>
        <w:tc>
          <w:tcPr>
            <w:tcW w:w="2159" w:type="dxa"/>
            <w:vMerge w:val="restart"/>
            <w:tcBorders>
              <w:top w:val="single" w:sz="6" w:space="0" w:color="auto"/>
              <w:left w:val="single" w:sz="6" w:space="0" w:color="auto"/>
              <w:bottom w:val="single" w:sz="6" w:space="0" w:color="auto"/>
            </w:tcBorders>
            <w:shd w:val="clear" w:color="auto" w:fill="auto"/>
          </w:tcPr>
          <w:p w14:paraId="7565C771" w14:textId="77777777" w:rsidR="006D1E1C" w:rsidRPr="00C9343F" w:rsidRDefault="006D1E1C" w:rsidP="00F66D98">
            <w:pPr>
              <w:pStyle w:val="TableTextArial-left"/>
            </w:pPr>
            <w:r w:rsidRPr="00C9343F">
              <w:t>$1215 a day.</w:t>
            </w:r>
          </w:p>
        </w:tc>
      </w:tr>
      <w:tr w:rsidR="006D1E1C" w:rsidRPr="00C9343F" w14:paraId="6FFCDB47" w14:textId="77777777" w:rsidTr="001F4211">
        <w:trPr>
          <w:cantSplit/>
          <w:trHeight w:val="284"/>
        </w:trPr>
        <w:tc>
          <w:tcPr>
            <w:tcW w:w="627" w:type="dxa"/>
            <w:vMerge/>
            <w:tcBorders>
              <w:top w:val="nil"/>
              <w:bottom w:val="single" w:sz="6" w:space="0" w:color="auto"/>
              <w:right w:val="single" w:sz="6" w:space="0" w:color="auto"/>
            </w:tcBorders>
          </w:tcPr>
          <w:p w14:paraId="313BD63D" w14:textId="77777777" w:rsidR="006D1E1C" w:rsidRPr="00C9343F" w:rsidRDefault="006D1E1C" w:rsidP="00F66D98">
            <w:pPr>
              <w:pStyle w:val="TableTextArial-left"/>
              <w:jc w:val="center"/>
            </w:pPr>
          </w:p>
        </w:tc>
        <w:tc>
          <w:tcPr>
            <w:tcW w:w="365" w:type="dxa"/>
            <w:tcBorders>
              <w:left w:val="single" w:sz="6" w:space="0" w:color="auto"/>
            </w:tcBorders>
          </w:tcPr>
          <w:p w14:paraId="5F96B960" w14:textId="77777777" w:rsidR="006D1E1C" w:rsidRPr="00C9343F" w:rsidRDefault="006D1E1C" w:rsidP="00F66D98">
            <w:pPr>
              <w:pStyle w:val="TableTextArial-left"/>
            </w:pPr>
          </w:p>
        </w:tc>
        <w:tc>
          <w:tcPr>
            <w:tcW w:w="426" w:type="dxa"/>
            <w:gridSpan w:val="2"/>
            <w:shd w:val="clear" w:color="auto" w:fill="auto"/>
          </w:tcPr>
          <w:p w14:paraId="34528233" w14:textId="77777777" w:rsidR="006D1E1C" w:rsidRPr="00C9343F" w:rsidRDefault="006D1E1C" w:rsidP="00F66D98">
            <w:pPr>
              <w:pStyle w:val="TableTextArial-left"/>
            </w:pPr>
            <w:r w:rsidRPr="00C9343F">
              <w:t>vi.</w:t>
            </w:r>
          </w:p>
        </w:tc>
        <w:tc>
          <w:tcPr>
            <w:tcW w:w="2638" w:type="dxa"/>
            <w:tcBorders>
              <w:right w:val="single" w:sz="6" w:space="0" w:color="auto"/>
            </w:tcBorders>
            <w:shd w:val="clear" w:color="auto" w:fill="auto"/>
          </w:tcPr>
          <w:p w14:paraId="5C59AEB3" w14:textId="77777777" w:rsidR="006D1E1C" w:rsidRPr="00C9343F" w:rsidRDefault="006D1E1C" w:rsidP="00F66D98">
            <w:pPr>
              <w:pStyle w:val="TableTextArial-left"/>
            </w:pPr>
            <w:r w:rsidRPr="00C9343F">
              <w:t>Table item 8.</w:t>
            </w:r>
          </w:p>
        </w:tc>
        <w:tc>
          <w:tcPr>
            <w:tcW w:w="2160" w:type="dxa"/>
            <w:vMerge/>
            <w:tcBorders>
              <w:top w:val="single" w:sz="6" w:space="0" w:color="auto"/>
              <w:left w:val="single" w:sz="6" w:space="0" w:color="auto"/>
              <w:bottom w:val="single" w:sz="6" w:space="0" w:color="auto"/>
              <w:right w:val="single" w:sz="6" w:space="0" w:color="auto"/>
            </w:tcBorders>
          </w:tcPr>
          <w:p w14:paraId="778FF080" w14:textId="77777777" w:rsidR="006D1E1C" w:rsidRPr="00C9343F" w:rsidRDefault="006D1E1C" w:rsidP="00F66D98">
            <w:pPr>
              <w:pStyle w:val="TableTextArial-left"/>
            </w:pPr>
          </w:p>
        </w:tc>
        <w:tc>
          <w:tcPr>
            <w:tcW w:w="2159" w:type="dxa"/>
            <w:vMerge/>
            <w:tcBorders>
              <w:top w:val="single" w:sz="6" w:space="0" w:color="auto"/>
              <w:left w:val="single" w:sz="6" w:space="0" w:color="auto"/>
              <w:bottom w:val="single" w:sz="6" w:space="0" w:color="auto"/>
            </w:tcBorders>
          </w:tcPr>
          <w:p w14:paraId="680A58C8" w14:textId="77777777" w:rsidR="006D1E1C" w:rsidRPr="00C9343F" w:rsidRDefault="006D1E1C" w:rsidP="00F66D98">
            <w:pPr>
              <w:pStyle w:val="TableTextArial-left"/>
            </w:pPr>
          </w:p>
        </w:tc>
      </w:tr>
      <w:tr w:rsidR="006D1E1C" w:rsidRPr="00C9343F" w14:paraId="03FBA3C5" w14:textId="77777777" w:rsidTr="001F4211">
        <w:trPr>
          <w:cantSplit/>
          <w:trHeight w:val="284"/>
        </w:trPr>
        <w:tc>
          <w:tcPr>
            <w:tcW w:w="627" w:type="dxa"/>
            <w:vMerge/>
            <w:tcBorders>
              <w:top w:val="nil"/>
              <w:bottom w:val="single" w:sz="6" w:space="0" w:color="auto"/>
              <w:right w:val="single" w:sz="6" w:space="0" w:color="auto"/>
            </w:tcBorders>
          </w:tcPr>
          <w:p w14:paraId="52751ED7" w14:textId="77777777" w:rsidR="006D1E1C" w:rsidRPr="00C9343F" w:rsidRDefault="006D1E1C" w:rsidP="00F66D98">
            <w:pPr>
              <w:pStyle w:val="TableTextArial-left"/>
              <w:jc w:val="center"/>
            </w:pPr>
          </w:p>
        </w:tc>
        <w:tc>
          <w:tcPr>
            <w:tcW w:w="365" w:type="dxa"/>
            <w:tcBorders>
              <w:left w:val="single" w:sz="6" w:space="0" w:color="auto"/>
            </w:tcBorders>
          </w:tcPr>
          <w:p w14:paraId="722CF53F" w14:textId="77777777" w:rsidR="006D1E1C" w:rsidRPr="00C9343F" w:rsidRDefault="006D1E1C" w:rsidP="00F66D98">
            <w:pPr>
              <w:pStyle w:val="TableTextArial-left"/>
            </w:pPr>
            <w:r w:rsidRPr="00C9343F">
              <w:t>b.</w:t>
            </w:r>
          </w:p>
        </w:tc>
        <w:tc>
          <w:tcPr>
            <w:tcW w:w="3064" w:type="dxa"/>
            <w:gridSpan w:val="3"/>
            <w:tcBorders>
              <w:right w:val="single" w:sz="6" w:space="0" w:color="auto"/>
            </w:tcBorders>
          </w:tcPr>
          <w:p w14:paraId="41C9553E" w14:textId="77777777" w:rsidR="006D1E1C" w:rsidRPr="00C9343F" w:rsidRDefault="006D1E1C" w:rsidP="00F66D98">
            <w:pPr>
              <w:pStyle w:val="TableTextArial-left"/>
            </w:pPr>
            <w:r w:rsidRPr="00C9343F">
              <w:t>Preparation time associated with duties described in any of the following parts of the table in paragraph 4.9.6.1.c.</w:t>
            </w:r>
          </w:p>
        </w:tc>
        <w:tc>
          <w:tcPr>
            <w:tcW w:w="2160" w:type="dxa"/>
            <w:vMerge/>
            <w:tcBorders>
              <w:top w:val="single" w:sz="6" w:space="0" w:color="auto"/>
              <w:left w:val="single" w:sz="6" w:space="0" w:color="auto"/>
              <w:bottom w:val="single" w:sz="6" w:space="0" w:color="auto"/>
              <w:right w:val="single" w:sz="6" w:space="0" w:color="auto"/>
            </w:tcBorders>
            <w:shd w:val="clear" w:color="auto" w:fill="auto"/>
          </w:tcPr>
          <w:p w14:paraId="63D7FFF7" w14:textId="77777777" w:rsidR="006D1E1C" w:rsidRPr="00C9343F" w:rsidRDefault="006D1E1C" w:rsidP="00F66D98">
            <w:pPr>
              <w:pStyle w:val="TableTextArial-left"/>
            </w:pPr>
          </w:p>
        </w:tc>
        <w:tc>
          <w:tcPr>
            <w:tcW w:w="2159" w:type="dxa"/>
            <w:vMerge/>
            <w:tcBorders>
              <w:top w:val="single" w:sz="6" w:space="0" w:color="auto"/>
              <w:left w:val="single" w:sz="6" w:space="0" w:color="auto"/>
              <w:bottom w:val="single" w:sz="6" w:space="0" w:color="auto"/>
            </w:tcBorders>
            <w:shd w:val="clear" w:color="auto" w:fill="auto"/>
          </w:tcPr>
          <w:p w14:paraId="70839BC4" w14:textId="77777777" w:rsidR="006D1E1C" w:rsidRPr="00C9343F" w:rsidRDefault="006D1E1C" w:rsidP="00F66D98">
            <w:pPr>
              <w:pStyle w:val="TableTextArial-left"/>
            </w:pPr>
          </w:p>
        </w:tc>
      </w:tr>
      <w:tr w:rsidR="006D1E1C" w:rsidRPr="00C9343F" w14:paraId="0CCA6904" w14:textId="77777777" w:rsidTr="001F4211">
        <w:trPr>
          <w:cantSplit/>
          <w:trHeight w:val="390"/>
        </w:trPr>
        <w:tc>
          <w:tcPr>
            <w:tcW w:w="627" w:type="dxa"/>
            <w:vMerge/>
            <w:tcBorders>
              <w:top w:val="nil"/>
              <w:bottom w:val="single" w:sz="6" w:space="0" w:color="auto"/>
              <w:right w:val="single" w:sz="6" w:space="0" w:color="auto"/>
            </w:tcBorders>
          </w:tcPr>
          <w:p w14:paraId="67C66FE4" w14:textId="77777777" w:rsidR="006D1E1C" w:rsidRPr="00C9343F" w:rsidRDefault="006D1E1C" w:rsidP="00F66D98">
            <w:pPr>
              <w:pStyle w:val="TableTextArial-left"/>
              <w:jc w:val="center"/>
            </w:pPr>
          </w:p>
        </w:tc>
        <w:tc>
          <w:tcPr>
            <w:tcW w:w="365" w:type="dxa"/>
            <w:tcBorders>
              <w:left w:val="single" w:sz="6" w:space="0" w:color="auto"/>
            </w:tcBorders>
          </w:tcPr>
          <w:p w14:paraId="42BF67ED" w14:textId="77777777" w:rsidR="006D1E1C" w:rsidRPr="00C9343F" w:rsidRDefault="006D1E1C" w:rsidP="00F66D98">
            <w:pPr>
              <w:pStyle w:val="TableTextArial-left"/>
            </w:pPr>
          </w:p>
        </w:tc>
        <w:tc>
          <w:tcPr>
            <w:tcW w:w="283" w:type="dxa"/>
          </w:tcPr>
          <w:p w14:paraId="4402D0BB" w14:textId="77777777" w:rsidR="006D1E1C" w:rsidRPr="00C9343F" w:rsidRDefault="006D1E1C" w:rsidP="00F66D98">
            <w:pPr>
              <w:pStyle w:val="TableTextArial-left"/>
            </w:pPr>
            <w:r w:rsidRPr="00C9343F">
              <w:t>i.</w:t>
            </w:r>
          </w:p>
        </w:tc>
        <w:tc>
          <w:tcPr>
            <w:tcW w:w="2781" w:type="dxa"/>
            <w:gridSpan w:val="2"/>
            <w:tcBorders>
              <w:right w:val="single" w:sz="6" w:space="0" w:color="auto"/>
            </w:tcBorders>
          </w:tcPr>
          <w:p w14:paraId="3B0E6369" w14:textId="77777777" w:rsidR="006D1E1C" w:rsidRPr="00C9343F" w:rsidRDefault="006D1E1C" w:rsidP="00F66D98">
            <w:pPr>
              <w:pStyle w:val="TableTextArial-left"/>
            </w:pPr>
            <w:r w:rsidRPr="00C9343F">
              <w:t>Any of table items 1, 4 or 5.</w:t>
            </w:r>
          </w:p>
        </w:tc>
        <w:tc>
          <w:tcPr>
            <w:tcW w:w="2160" w:type="dxa"/>
            <w:vMerge/>
            <w:tcBorders>
              <w:top w:val="single" w:sz="6" w:space="0" w:color="auto"/>
              <w:left w:val="single" w:sz="6" w:space="0" w:color="auto"/>
              <w:bottom w:val="single" w:sz="6" w:space="0" w:color="auto"/>
              <w:right w:val="single" w:sz="6" w:space="0" w:color="auto"/>
            </w:tcBorders>
          </w:tcPr>
          <w:p w14:paraId="320885F1" w14:textId="77777777" w:rsidR="006D1E1C" w:rsidRPr="00C9343F" w:rsidRDefault="006D1E1C" w:rsidP="00F66D98">
            <w:pPr>
              <w:pStyle w:val="TableTextArial-left"/>
            </w:pPr>
          </w:p>
        </w:tc>
        <w:tc>
          <w:tcPr>
            <w:tcW w:w="2159" w:type="dxa"/>
            <w:vMerge/>
            <w:tcBorders>
              <w:top w:val="single" w:sz="6" w:space="0" w:color="auto"/>
              <w:left w:val="single" w:sz="6" w:space="0" w:color="auto"/>
              <w:bottom w:val="single" w:sz="6" w:space="0" w:color="auto"/>
            </w:tcBorders>
          </w:tcPr>
          <w:p w14:paraId="0C073D61" w14:textId="77777777" w:rsidR="006D1E1C" w:rsidRPr="00C9343F" w:rsidRDefault="006D1E1C" w:rsidP="00F66D98">
            <w:pPr>
              <w:pStyle w:val="TableTextArial-left"/>
            </w:pPr>
          </w:p>
        </w:tc>
      </w:tr>
      <w:tr w:rsidR="006D1E1C" w:rsidRPr="00C9343F" w14:paraId="74BDA39E" w14:textId="77777777" w:rsidTr="001F4211">
        <w:trPr>
          <w:cantSplit/>
          <w:trHeight w:val="390"/>
        </w:trPr>
        <w:tc>
          <w:tcPr>
            <w:tcW w:w="627" w:type="dxa"/>
            <w:vMerge/>
            <w:tcBorders>
              <w:top w:val="nil"/>
              <w:bottom w:val="single" w:sz="6" w:space="0" w:color="auto"/>
              <w:right w:val="single" w:sz="6" w:space="0" w:color="auto"/>
            </w:tcBorders>
          </w:tcPr>
          <w:p w14:paraId="4C2B6976" w14:textId="77777777" w:rsidR="006D1E1C" w:rsidRPr="00C9343F" w:rsidRDefault="006D1E1C" w:rsidP="00F66D98">
            <w:pPr>
              <w:pStyle w:val="TableTextArial-left"/>
              <w:jc w:val="center"/>
            </w:pPr>
          </w:p>
        </w:tc>
        <w:tc>
          <w:tcPr>
            <w:tcW w:w="365" w:type="dxa"/>
            <w:tcBorders>
              <w:left w:val="single" w:sz="6" w:space="0" w:color="auto"/>
            </w:tcBorders>
          </w:tcPr>
          <w:p w14:paraId="3879B7BF" w14:textId="77777777" w:rsidR="006D1E1C" w:rsidRPr="00C9343F" w:rsidRDefault="006D1E1C" w:rsidP="00F66D98">
            <w:pPr>
              <w:pStyle w:val="TableTextArial-left"/>
            </w:pPr>
          </w:p>
        </w:tc>
        <w:tc>
          <w:tcPr>
            <w:tcW w:w="283" w:type="dxa"/>
          </w:tcPr>
          <w:p w14:paraId="308AF919" w14:textId="77777777" w:rsidR="006D1E1C" w:rsidRPr="00C9343F" w:rsidRDefault="006D1E1C" w:rsidP="00F66D98">
            <w:pPr>
              <w:pStyle w:val="TableTextArial-left"/>
            </w:pPr>
            <w:r w:rsidRPr="00C9343F">
              <w:t>ii.</w:t>
            </w:r>
          </w:p>
        </w:tc>
        <w:tc>
          <w:tcPr>
            <w:tcW w:w="2781" w:type="dxa"/>
            <w:gridSpan w:val="2"/>
            <w:tcBorders>
              <w:right w:val="single" w:sz="6" w:space="0" w:color="auto"/>
            </w:tcBorders>
          </w:tcPr>
          <w:p w14:paraId="5E82FE56" w14:textId="77777777" w:rsidR="006D1E1C" w:rsidRPr="00C9343F" w:rsidRDefault="006D1E1C" w:rsidP="00F66D98">
            <w:pPr>
              <w:pStyle w:val="TableTextArial-left"/>
            </w:pPr>
            <w:r w:rsidRPr="00C9343F">
              <w:t>Table item 6.</w:t>
            </w:r>
          </w:p>
          <w:p w14:paraId="6264034E" w14:textId="77777777" w:rsidR="006D1E1C" w:rsidRPr="00C9343F" w:rsidRDefault="006D1E1C" w:rsidP="00F66D98">
            <w:pPr>
              <w:pStyle w:val="TableTextArial-left"/>
            </w:pPr>
            <w:r w:rsidRPr="00C9343F">
              <w:rPr>
                <w:b/>
              </w:rPr>
              <w:t>Exception:</w:t>
            </w:r>
            <w:r w:rsidRPr="00C9343F">
              <w:t xml:space="preserve"> Subparagraph a.i of table item 6.</w:t>
            </w:r>
          </w:p>
        </w:tc>
        <w:tc>
          <w:tcPr>
            <w:tcW w:w="2160" w:type="dxa"/>
            <w:vMerge/>
            <w:tcBorders>
              <w:top w:val="single" w:sz="6" w:space="0" w:color="auto"/>
              <w:left w:val="single" w:sz="6" w:space="0" w:color="auto"/>
              <w:bottom w:val="single" w:sz="6" w:space="0" w:color="auto"/>
              <w:right w:val="single" w:sz="6" w:space="0" w:color="auto"/>
            </w:tcBorders>
          </w:tcPr>
          <w:p w14:paraId="31DFADEA" w14:textId="77777777" w:rsidR="006D1E1C" w:rsidRPr="00C9343F" w:rsidRDefault="006D1E1C" w:rsidP="00F66D98">
            <w:pPr>
              <w:pStyle w:val="TableTextArial-left"/>
            </w:pPr>
          </w:p>
        </w:tc>
        <w:tc>
          <w:tcPr>
            <w:tcW w:w="2159" w:type="dxa"/>
            <w:vMerge/>
            <w:tcBorders>
              <w:top w:val="single" w:sz="6" w:space="0" w:color="auto"/>
              <w:left w:val="single" w:sz="6" w:space="0" w:color="auto"/>
              <w:bottom w:val="single" w:sz="6" w:space="0" w:color="auto"/>
            </w:tcBorders>
          </w:tcPr>
          <w:p w14:paraId="6D1FB708" w14:textId="77777777" w:rsidR="006D1E1C" w:rsidRPr="00C9343F" w:rsidRDefault="006D1E1C" w:rsidP="00F66D98">
            <w:pPr>
              <w:pStyle w:val="TableTextArial-left"/>
            </w:pPr>
          </w:p>
        </w:tc>
      </w:tr>
    </w:tbl>
    <w:p w14:paraId="37228B88" w14:textId="545A7706" w:rsidR="006D1E1C" w:rsidRPr="00C9343F" w:rsidRDefault="006D1E1C" w:rsidP="00F66D98"/>
    <w:tbl>
      <w:tblPr>
        <w:tblW w:w="0" w:type="auto"/>
        <w:tblInd w:w="113" w:type="dxa"/>
        <w:tblLayout w:type="fixed"/>
        <w:tblLook w:val="0000" w:firstRow="0" w:lastRow="0" w:firstColumn="0" w:lastColumn="0" w:noHBand="0" w:noVBand="0"/>
      </w:tblPr>
      <w:tblGrid>
        <w:gridCol w:w="992"/>
        <w:gridCol w:w="8363"/>
      </w:tblGrid>
      <w:tr w:rsidR="006D1E1C" w:rsidRPr="00C9343F" w14:paraId="58052184" w14:textId="77777777" w:rsidTr="006D1E1C">
        <w:tc>
          <w:tcPr>
            <w:tcW w:w="992" w:type="dxa"/>
          </w:tcPr>
          <w:p w14:paraId="434FA591" w14:textId="77777777" w:rsidR="006D1E1C" w:rsidRPr="00C9343F" w:rsidRDefault="006D1E1C" w:rsidP="00F66D98">
            <w:pPr>
              <w:pStyle w:val="BlockText-Plain"/>
              <w:jc w:val="center"/>
            </w:pPr>
            <w:r w:rsidRPr="00C9343F">
              <w:t>2.</w:t>
            </w:r>
          </w:p>
        </w:tc>
        <w:tc>
          <w:tcPr>
            <w:tcW w:w="8363" w:type="dxa"/>
          </w:tcPr>
          <w:p w14:paraId="618F7840" w14:textId="77777777" w:rsidR="006D1E1C" w:rsidRPr="00C9343F" w:rsidRDefault="006D1E1C" w:rsidP="00F66D98">
            <w:pPr>
              <w:pStyle w:val="BlockText-Plain"/>
            </w:pPr>
            <w:r w:rsidRPr="00C9343F">
              <w:t>The following arrangements apply to a member who performs a particular duty described in subsection 1 for more than five days. The days do not have to be consecutive.</w:t>
            </w:r>
          </w:p>
        </w:tc>
      </w:tr>
    </w:tbl>
    <w:p w14:paraId="57E39EDE" w14:textId="77777777" w:rsidR="006D1E1C" w:rsidRPr="00C9343F" w:rsidRDefault="006D1E1C" w:rsidP="00F66D98"/>
    <w:tbl>
      <w:tblPr>
        <w:tblW w:w="0" w:type="auto"/>
        <w:tblInd w:w="1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627"/>
        <w:gridCol w:w="2340"/>
        <w:gridCol w:w="5400"/>
      </w:tblGrid>
      <w:tr w:rsidR="006D1E1C" w:rsidRPr="00C9343F" w14:paraId="25134DD9" w14:textId="77777777" w:rsidTr="006D1E1C">
        <w:trPr>
          <w:cantSplit/>
        </w:trPr>
        <w:tc>
          <w:tcPr>
            <w:tcW w:w="627" w:type="dxa"/>
            <w:shd w:val="clear" w:color="auto" w:fill="auto"/>
          </w:tcPr>
          <w:p w14:paraId="5252834A" w14:textId="77777777" w:rsidR="006D1E1C" w:rsidRPr="00C9343F" w:rsidRDefault="006D1E1C" w:rsidP="00F66D98">
            <w:pPr>
              <w:pStyle w:val="TableTextArial-left"/>
              <w:jc w:val="center"/>
              <w:rPr>
                <w:b/>
              </w:rPr>
            </w:pPr>
            <w:r w:rsidRPr="00C9343F">
              <w:rPr>
                <w:b/>
              </w:rPr>
              <w:t>Item</w:t>
            </w:r>
          </w:p>
        </w:tc>
        <w:tc>
          <w:tcPr>
            <w:tcW w:w="2340" w:type="dxa"/>
            <w:shd w:val="clear" w:color="auto" w:fill="auto"/>
          </w:tcPr>
          <w:p w14:paraId="42838327" w14:textId="77777777" w:rsidR="006D1E1C" w:rsidRPr="00C9343F" w:rsidRDefault="006D1E1C" w:rsidP="00F66D98">
            <w:pPr>
              <w:pStyle w:val="TableTextArial-left"/>
              <w:jc w:val="center"/>
            </w:pPr>
            <w:r w:rsidRPr="00C9343F">
              <w:rPr>
                <w:b/>
              </w:rPr>
              <w:t>Day</w:t>
            </w:r>
          </w:p>
          <w:p w14:paraId="4A4B3DC4" w14:textId="77777777" w:rsidR="006D1E1C" w:rsidRPr="00C9343F" w:rsidRDefault="006D1E1C" w:rsidP="00F66D98">
            <w:pPr>
              <w:pStyle w:val="TableTextArial-left"/>
            </w:pPr>
          </w:p>
        </w:tc>
        <w:tc>
          <w:tcPr>
            <w:tcW w:w="5400" w:type="dxa"/>
            <w:shd w:val="clear" w:color="auto" w:fill="auto"/>
          </w:tcPr>
          <w:p w14:paraId="438D76CC" w14:textId="77777777" w:rsidR="006D1E1C" w:rsidRPr="00C9343F" w:rsidRDefault="006D1E1C" w:rsidP="00F66D98">
            <w:pPr>
              <w:pStyle w:val="TableTextArial-left"/>
              <w:jc w:val="center"/>
            </w:pPr>
            <w:r w:rsidRPr="00C9343F">
              <w:rPr>
                <w:b/>
              </w:rPr>
              <w:t>Rate</w:t>
            </w:r>
          </w:p>
        </w:tc>
      </w:tr>
      <w:tr w:rsidR="006D1E1C" w:rsidRPr="00C9343F" w14:paraId="00631226" w14:textId="77777777" w:rsidTr="006D1E1C">
        <w:trPr>
          <w:cantSplit/>
        </w:trPr>
        <w:tc>
          <w:tcPr>
            <w:tcW w:w="627" w:type="dxa"/>
            <w:shd w:val="clear" w:color="auto" w:fill="auto"/>
          </w:tcPr>
          <w:p w14:paraId="709E3A39" w14:textId="77777777" w:rsidR="006D1E1C" w:rsidRPr="00C9343F" w:rsidRDefault="006D1E1C" w:rsidP="00F66D98">
            <w:pPr>
              <w:pStyle w:val="TableTextArial-left"/>
              <w:jc w:val="center"/>
            </w:pPr>
            <w:r w:rsidRPr="00C9343F">
              <w:t>1.</w:t>
            </w:r>
          </w:p>
        </w:tc>
        <w:tc>
          <w:tcPr>
            <w:tcW w:w="2340" w:type="dxa"/>
            <w:shd w:val="clear" w:color="auto" w:fill="auto"/>
          </w:tcPr>
          <w:p w14:paraId="012C85FC" w14:textId="77777777" w:rsidR="006D1E1C" w:rsidRPr="00C9343F" w:rsidRDefault="006D1E1C" w:rsidP="00F66D98">
            <w:pPr>
              <w:pStyle w:val="TableTextArial-left"/>
            </w:pPr>
            <w:r w:rsidRPr="00C9343F">
              <w:t>Days 1 to 5</w:t>
            </w:r>
          </w:p>
        </w:tc>
        <w:tc>
          <w:tcPr>
            <w:tcW w:w="5400" w:type="dxa"/>
            <w:shd w:val="clear" w:color="auto" w:fill="auto"/>
          </w:tcPr>
          <w:p w14:paraId="241CCFF8" w14:textId="77777777" w:rsidR="006D1E1C" w:rsidRPr="00C9343F" w:rsidRDefault="006D1E1C" w:rsidP="00F66D98">
            <w:pPr>
              <w:pStyle w:val="TableTextArial-left"/>
              <w:rPr>
                <w:i/>
                <w:color w:val="0000FF"/>
              </w:rPr>
            </w:pPr>
            <w:r w:rsidRPr="00C9343F">
              <w:t>In accordance with subsection 1.</w:t>
            </w:r>
            <w:r w:rsidRPr="00C9343F">
              <w:rPr>
                <w:i/>
                <w:color w:val="0000FF"/>
              </w:rPr>
              <w:t xml:space="preserve"> </w:t>
            </w:r>
          </w:p>
        </w:tc>
      </w:tr>
      <w:tr w:rsidR="006D1E1C" w:rsidRPr="00C9343F" w14:paraId="63B776EB" w14:textId="77777777" w:rsidTr="006D1E1C">
        <w:trPr>
          <w:cantSplit/>
        </w:trPr>
        <w:tc>
          <w:tcPr>
            <w:tcW w:w="627" w:type="dxa"/>
            <w:shd w:val="clear" w:color="auto" w:fill="auto"/>
          </w:tcPr>
          <w:p w14:paraId="73BBEB7E" w14:textId="77777777" w:rsidR="006D1E1C" w:rsidRPr="00C9343F" w:rsidRDefault="006D1E1C" w:rsidP="00F66D98">
            <w:pPr>
              <w:pStyle w:val="TableTextArial-left"/>
              <w:jc w:val="center"/>
            </w:pPr>
            <w:r w:rsidRPr="00C9343F">
              <w:t>2.</w:t>
            </w:r>
          </w:p>
        </w:tc>
        <w:tc>
          <w:tcPr>
            <w:tcW w:w="2340" w:type="dxa"/>
            <w:shd w:val="clear" w:color="auto" w:fill="auto"/>
          </w:tcPr>
          <w:p w14:paraId="0B46455D" w14:textId="77777777" w:rsidR="006D1E1C" w:rsidRPr="00C9343F" w:rsidRDefault="006D1E1C" w:rsidP="00F66D98">
            <w:pPr>
              <w:pStyle w:val="TableTextArial-left"/>
            </w:pPr>
            <w:r w:rsidRPr="00C9343F">
              <w:t>Day 6 and beyond</w:t>
            </w:r>
          </w:p>
        </w:tc>
        <w:tc>
          <w:tcPr>
            <w:tcW w:w="5400" w:type="dxa"/>
            <w:shd w:val="clear" w:color="auto" w:fill="auto"/>
          </w:tcPr>
          <w:p w14:paraId="21DFBF5A" w14:textId="77777777" w:rsidR="006D1E1C" w:rsidRPr="00C9343F" w:rsidRDefault="006D1E1C" w:rsidP="00F66D98">
            <w:pPr>
              <w:pStyle w:val="TableTextArial-left"/>
              <w:spacing w:after="120"/>
            </w:pPr>
            <w:r w:rsidRPr="00C9343F">
              <w:t>A daily rate of sessional fee for the sixth and subsequent days that CDF or the Director General Australian Defence Force Legal Services consider reasonable, having regard to the advice of the Attorney-General's Department.</w:t>
            </w:r>
          </w:p>
          <w:p w14:paraId="1FBCACE0" w14:textId="77777777" w:rsidR="006D1E1C" w:rsidRPr="00C9343F" w:rsidRDefault="006D1E1C" w:rsidP="00F66D98">
            <w:pPr>
              <w:pStyle w:val="TableTextArial-left"/>
              <w:spacing w:after="120"/>
            </w:pPr>
            <w:r w:rsidRPr="00C9343F">
              <w:t>For periods of less than a day, the hourly rate of sessional fee is one-sixth of the determined daily fee.</w:t>
            </w:r>
          </w:p>
          <w:p w14:paraId="2440C44D" w14:textId="77777777" w:rsidR="006D1E1C" w:rsidRPr="00C9343F" w:rsidRDefault="006D1E1C" w:rsidP="00F66D98">
            <w:pPr>
              <w:pStyle w:val="TableTextArial-left"/>
            </w:pPr>
            <w:r w:rsidRPr="00C9343F">
              <w:t>Sessional fee may also be paid for periods that are less than whole hours on a pro rata basis.</w:t>
            </w:r>
          </w:p>
        </w:tc>
      </w:tr>
    </w:tbl>
    <w:p w14:paraId="1059F103" w14:textId="77777777" w:rsidR="006D1E1C" w:rsidRPr="00C9343F" w:rsidRDefault="006D1E1C" w:rsidP="00F66D98"/>
    <w:tbl>
      <w:tblPr>
        <w:tblW w:w="0" w:type="auto"/>
        <w:tblInd w:w="113" w:type="dxa"/>
        <w:tblLayout w:type="fixed"/>
        <w:tblLook w:val="0000" w:firstRow="0" w:lastRow="0" w:firstColumn="0" w:lastColumn="0" w:noHBand="0" w:noVBand="0"/>
      </w:tblPr>
      <w:tblGrid>
        <w:gridCol w:w="992"/>
        <w:gridCol w:w="8363"/>
      </w:tblGrid>
      <w:tr w:rsidR="006D1E1C" w:rsidRPr="00C9343F" w14:paraId="6B7A9C85" w14:textId="77777777" w:rsidTr="006D1E1C">
        <w:tc>
          <w:tcPr>
            <w:tcW w:w="992" w:type="dxa"/>
          </w:tcPr>
          <w:p w14:paraId="657FB92F" w14:textId="77777777" w:rsidR="006D1E1C" w:rsidRPr="00C9343F" w:rsidRDefault="006D1E1C" w:rsidP="00F66D98">
            <w:pPr>
              <w:pStyle w:val="BlockText-Plain"/>
              <w:jc w:val="center"/>
            </w:pPr>
            <w:r w:rsidRPr="00C9343F">
              <w:t>3.</w:t>
            </w:r>
          </w:p>
        </w:tc>
        <w:tc>
          <w:tcPr>
            <w:tcW w:w="8363" w:type="dxa"/>
          </w:tcPr>
          <w:p w14:paraId="6FF029A5" w14:textId="77777777" w:rsidR="006D1E1C" w:rsidRPr="00C9343F" w:rsidRDefault="006D1E1C" w:rsidP="00F66D98">
            <w:pPr>
              <w:pStyle w:val="BlockText-Plain"/>
            </w:pPr>
            <w:r w:rsidRPr="00C9343F">
              <w:t>Duties performed by member who is a Senior Counsel or Queen's Counsel are to be paid at 1.5 times the amount that would otherwise be payable.</w:t>
            </w:r>
          </w:p>
        </w:tc>
      </w:tr>
    </w:tbl>
    <w:p w14:paraId="2FFA2819" w14:textId="618DC793" w:rsidR="006D1E1C" w:rsidRPr="00C9343F" w:rsidRDefault="006D1E1C" w:rsidP="00283374">
      <w:pPr>
        <w:pStyle w:val="Heading4"/>
        <w:pageBreakBefore/>
      </w:pPr>
      <w:bookmarkStart w:id="1148" w:name="_Toc105053917"/>
      <w:bookmarkEnd w:id="1142"/>
      <w:bookmarkEnd w:id="1143"/>
      <w:bookmarkEnd w:id="1144"/>
      <w:bookmarkEnd w:id="1145"/>
      <w:bookmarkEnd w:id="1146"/>
      <w:r w:rsidRPr="00C9343F">
        <w:t>Division 2: Airfield Defence Guards (annual proficiency bonus)</w:t>
      </w:r>
      <w:bookmarkEnd w:id="1148"/>
    </w:p>
    <w:p w14:paraId="2AE116E2" w14:textId="5FA83A10" w:rsidR="006D1E1C" w:rsidRPr="00C9343F" w:rsidRDefault="006D1E1C" w:rsidP="00F66D98">
      <w:pPr>
        <w:pStyle w:val="Heading5"/>
      </w:pPr>
      <w:bookmarkStart w:id="1149" w:name="_Toc105053918"/>
      <w:bookmarkStart w:id="1150" w:name="bk151757412xxPurpose"/>
      <w:bookmarkStart w:id="1151" w:name="bk1402194108Purpose"/>
      <w:bookmarkStart w:id="1152" w:name="bk1402394108Purpose"/>
      <w:bookmarkStart w:id="1153" w:name="bk1403324108Purpose"/>
      <w:bookmarkStart w:id="1154" w:name="bk1506334108Purpose"/>
      <w:bookmarkStart w:id="1155" w:name="bk1148274108Purpose"/>
      <w:r w:rsidRPr="00C9343F">
        <w:t>4.9.9</w:t>
      </w:r>
      <w:r w:rsidR="00D94006" w:rsidRPr="00C9343F">
        <w:t>    </w:t>
      </w:r>
      <w:r w:rsidRPr="00C9343F">
        <w:t>Purpose</w:t>
      </w:r>
      <w:bookmarkEnd w:id="1149"/>
    </w:p>
    <w:bookmarkEnd w:id="1150"/>
    <w:bookmarkEnd w:id="1151"/>
    <w:bookmarkEnd w:id="1152"/>
    <w:bookmarkEnd w:id="1153"/>
    <w:bookmarkEnd w:id="1154"/>
    <w:bookmarkEnd w:id="1155"/>
    <w:tbl>
      <w:tblPr>
        <w:tblW w:w="0" w:type="auto"/>
        <w:tblInd w:w="113" w:type="dxa"/>
        <w:tblLayout w:type="fixed"/>
        <w:tblLook w:val="0000" w:firstRow="0" w:lastRow="0" w:firstColumn="0" w:lastColumn="0" w:noHBand="0" w:noVBand="0"/>
      </w:tblPr>
      <w:tblGrid>
        <w:gridCol w:w="992"/>
        <w:gridCol w:w="8363"/>
      </w:tblGrid>
      <w:tr w:rsidR="006D1E1C" w:rsidRPr="00C9343F" w14:paraId="06DD450B" w14:textId="77777777" w:rsidTr="006D1E1C">
        <w:tc>
          <w:tcPr>
            <w:tcW w:w="992" w:type="dxa"/>
          </w:tcPr>
          <w:p w14:paraId="1837A0BD" w14:textId="77777777" w:rsidR="006D1E1C" w:rsidRPr="00C9343F" w:rsidRDefault="006D1E1C" w:rsidP="00F66D98">
            <w:pPr>
              <w:pStyle w:val="BlockText-Plain"/>
              <w:jc w:val="center"/>
            </w:pPr>
          </w:p>
        </w:tc>
        <w:tc>
          <w:tcPr>
            <w:tcW w:w="8363" w:type="dxa"/>
          </w:tcPr>
          <w:p w14:paraId="291E34D3" w14:textId="77777777" w:rsidR="006D1E1C" w:rsidRPr="00C9343F" w:rsidRDefault="006D1E1C" w:rsidP="00F66D98">
            <w:pPr>
              <w:pStyle w:val="BlockText-Plain"/>
            </w:pPr>
            <w:r w:rsidRPr="00C9343F">
              <w:t>The ADF provides an annual proficiency bonus to certain members of the Air Force Reserve Ground Defence Reserve Group (Operations) who do more than the minimum required training.</w:t>
            </w:r>
          </w:p>
        </w:tc>
      </w:tr>
    </w:tbl>
    <w:p w14:paraId="71AE67EC" w14:textId="5B0C64E1" w:rsidR="006D1E1C" w:rsidRPr="00C9343F" w:rsidRDefault="006D1E1C" w:rsidP="00F66D98">
      <w:pPr>
        <w:pStyle w:val="Heading5"/>
      </w:pPr>
      <w:bookmarkStart w:id="1156" w:name="_Toc105053919"/>
      <w:bookmarkStart w:id="1157" w:name="bk151757412xxMembersthisDivisionapplies"/>
      <w:bookmarkStart w:id="1158" w:name="bk1402194109MembersthisDivisionappliest"/>
      <w:bookmarkStart w:id="1159" w:name="bk1402394109MembersthisDivisionappliest"/>
      <w:bookmarkStart w:id="1160" w:name="bk1403324109MembersthisDivisionappliest"/>
      <w:bookmarkStart w:id="1161" w:name="bk1506334109MembersthisDivisionappliest"/>
      <w:bookmarkStart w:id="1162" w:name="bk1148274109MembersthisDivisionappliest"/>
      <w:r w:rsidRPr="00C9343F">
        <w:t>4.9.10</w:t>
      </w:r>
      <w:r w:rsidR="00D94006" w:rsidRPr="00C9343F">
        <w:t>    </w:t>
      </w:r>
      <w:r w:rsidRPr="00C9343F">
        <w:t>Members this Division applies to</w:t>
      </w:r>
      <w:bookmarkEnd w:id="1156"/>
    </w:p>
    <w:bookmarkEnd w:id="1157"/>
    <w:bookmarkEnd w:id="1158"/>
    <w:bookmarkEnd w:id="1159"/>
    <w:bookmarkEnd w:id="1160"/>
    <w:bookmarkEnd w:id="1161"/>
    <w:bookmarkEnd w:id="1162"/>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4F5C3112" w14:textId="77777777" w:rsidTr="006D1E1C">
        <w:tc>
          <w:tcPr>
            <w:tcW w:w="992" w:type="dxa"/>
          </w:tcPr>
          <w:p w14:paraId="4AD5BA07" w14:textId="77777777" w:rsidR="006D1E1C" w:rsidRPr="00C9343F" w:rsidRDefault="006D1E1C" w:rsidP="00F66D98">
            <w:pPr>
              <w:pStyle w:val="BlockText-PlainNoSpacing"/>
              <w:jc w:val="center"/>
            </w:pPr>
          </w:p>
        </w:tc>
        <w:tc>
          <w:tcPr>
            <w:tcW w:w="8363" w:type="dxa"/>
            <w:gridSpan w:val="2"/>
          </w:tcPr>
          <w:p w14:paraId="044E6A99" w14:textId="77777777" w:rsidR="006D1E1C" w:rsidRPr="00C9343F" w:rsidRDefault="006D1E1C" w:rsidP="00F66D98">
            <w:pPr>
              <w:pStyle w:val="BlockText-Plain"/>
            </w:pPr>
            <w:r w:rsidRPr="00C9343F">
              <w:t>This Division applies to a member who meets both of these criteria.</w:t>
            </w:r>
          </w:p>
        </w:tc>
      </w:tr>
      <w:tr w:rsidR="006D1E1C" w:rsidRPr="00C9343F" w14:paraId="258548F3" w14:textId="77777777" w:rsidTr="006D1E1C">
        <w:trPr>
          <w:cantSplit/>
        </w:trPr>
        <w:tc>
          <w:tcPr>
            <w:tcW w:w="992" w:type="dxa"/>
          </w:tcPr>
          <w:p w14:paraId="1ED34FF1" w14:textId="77777777" w:rsidR="006D1E1C" w:rsidRPr="00C9343F" w:rsidRDefault="006D1E1C" w:rsidP="00F66D98">
            <w:pPr>
              <w:pStyle w:val="BlockText-PlainNoSpacing"/>
            </w:pPr>
          </w:p>
        </w:tc>
        <w:tc>
          <w:tcPr>
            <w:tcW w:w="567" w:type="dxa"/>
          </w:tcPr>
          <w:p w14:paraId="2BAE8035" w14:textId="77777777" w:rsidR="006D1E1C" w:rsidRPr="00C9343F" w:rsidRDefault="006D1E1C" w:rsidP="008D1B5D">
            <w:pPr>
              <w:pStyle w:val="BlockText-PlainNoSpacing"/>
              <w:jc w:val="center"/>
            </w:pPr>
            <w:r w:rsidRPr="00C9343F">
              <w:t>a.</w:t>
            </w:r>
          </w:p>
        </w:tc>
        <w:tc>
          <w:tcPr>
            <w:tcW w:w="7796" w:type="dxa"/>
          </w:tcPr>
          <w:p w14:paraId="607938CF" w14:textId="77777777" w:rsidR="006D1E1C" w:rsidRPr="00C9343F" w:rsidRDefault="006D1E1C" w:rsidP="00F66D98">
            <w:pPr>
              <w:pStyle w:val="BlockText-Plain"/>
            </w:pPr>
            <w:r w:rsidRPr="00C9343F">
              <w:t>Volunteers to serve for five years in the Air Force Reserve as a Ground Defence Officer or Airfield Defence Guard in the Ground Defence Reserve Group (Operations), and</w:t>
            </w:r>
          </w:p>
        </w:tc>
      </w:tr>
      <w:tr w:rsidR="006D1E1C" w:rsidRPr="00C9343F" w14:paraId="61A4550D" w14:textId="77777777" w:rsidTr="006D1E1C">
        <w:trPr>
          <w:cantSplit/>
        </w:trPr>
        <w:tc>
          <w:tcPr>
            <w:tcW w:w="992" w:type="dxa"/>
          </w:tcPr>
          <w:p w14:paraId="054C4D66" w14:textId="77777777" w:rsidR="006D1E1C" w:rsidRPr="00C9343F" w:rsidRDefault="006D1E1C" w:rsidP="00F66D98">
            <w:pPr>
              <w:pStyle w:val="BlockText-PlainNoSpacing"/>
            </w:pPr>
          </w:p>
        </w:tc>
        <w:tc>
          <w:tcPr>
            <w:tcW w:w="567" w:type="dxa"/>
          </w:tcPr>
          <w:p w14:paraId="5B420198" w14:textId="77777777" w:rsidR="006D1E1C" w:rsidRPr="00C9343F" w:rsidRDefault="006D1E1C" w:rsidP="008D1B5D">
            <w:pPr>
              <w:pStyle w:val="BlockText-PlainNoSpacing"/>
              <w:jc w:val="center"/>
            </w:pPr>
            <w:r w:rsidRPr="00C9343F">
              <w:t>b.</w:t>
            </w:r>
          </w:p>
        </w:tc>
        <w:tc>
          <w:tcPr>
            <w:tcW w:w="7796" w:type="dxa"/>
          </w:tcPr>
          <w:p w14:paraId="0E43FF43" w14:textId="77777777" w:rsidR="006D1E1C" w:rsidRPr="00C9343F" w:rsidRDefault="006D1E1C" w:rsidP="00F66D98">
            <w:pPr>
              <w:pStyle w:val="BlockText-PlainNoSpacing"/>
              <w:spacing w:before="0" w:after="200"/>
            </w:pPr>
            <w:r w:rsidRPr="00C9343F">
              <w:t>Undertakes duty (other than continuous full-time service) for up to 18 days more than the minimum 32 days' annual training they are required to do in any one year.</w:t>
            </w:r>
          </w:p>
        </w:tc>
      </w:tr>
    </w:tbl>
    <w:p w14:paraId="785FB7E6" w14:textId="253DE33D" w:rsidR="006D1E1C" w:rsidRPr="00C9343F" w:rsidRDefault="006D1E1C" w:rsidP="00F66D98">
      <w:pPr>
        <w:pStyle w:val="Heading5"/>
      </w:pPr>
      <w:bookmarkStart w:id="1163" w:name="_Toc105053920"/>
      <w:bookmarkStart w:id="1164" w:name="bk151757412xxConditionsofentitlement"/>
      <w:bookmarkStart w:id="1165" w:name="bk14021941010Conditionsofentitlement"/>
      <w:bookmarkStart w:id="1166" w:name="bk14023941010Conditionsofentitlement"/>
      <w:bookmarkStart w:id="1167" w:name="bk14033241010Conditionsofentitlement"/>
      <w:bookmarkStart w:id="1168" w:name="bk15063341010Conditionsofentitlement"/>
      <w:bookmarkStart w:id="1169" w:name="bk11482741010Conditionsofentitlement"/>
      <w:r w:rsidRPr="00C9343F">
        <w:t>4.9.11</w:t>
      </w:r>
      <w:r w:rsidR="00D94006" w:rsidRPr="00C9343F">
        <w:t>    </w:t>
      </w:r>
      <w:r w:rsidRPr="00C9343F">
        <w:t>Conditions of eligibility</w:t>
      </w:r>
      <w:bookmarkEnd w:id="1163"/>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04775B66" w14:textId="77777777" w:rsidTr="006D1E1C">
        <w:tc>
          <w:tcPr>
            <w:tcW w:w="992" w:type="dxa"/>
          </w:tcPr>
          <w:bookmarkEnd w:id="1164"/>
          <w:bookmarkEnd w:id="1165"/>
          <w:bookmarkEnd w:id="1166"/>
          <w:bookmarkEnd w:id="1167"/>
          <w:bookmarkEnd w:id="1168"/>
          <w:bookmarkEnd w:id="1169"/>
          <w:p w14:paraId="0B1EED24" w14:textId="77777777" w:rsidR="006D1E1C" w:rsidRPr="00C9343F" w:rsidRDefault="006D1E1C" w:rsidP="00F66D98">
            <w:pPr>
              <w:pStyle w:val="BlockText-PlainNoSpacing"/>
              <w:jc w:val="center"/>
            </w:pPr>
            <w:r w:rsidRPr="00C9343F">
              <w:t>1.</w:t>
            </w:r>
          </w:p>
        </w:tc>
        <w:tc>
          <w:tcPr>
            <w:tcW w:w="8363" w:type="dxa"/>
            <w:gridSpan w:val="2"/>
          </w:tcPr>
          <w:p w14:paraId="3C7C37D9" w14:textId="77777777" w:rsidR="006D1E1C" w:rsidRPr="00C9343F" w:rsidRDefault="006D1E1C" w:rsidP="00F66D98">
            <w:pPr>
              <w:pStyle w:val="BlockText-Plain"/>
            </w:pPr>
            <w:r w:rsidRPr="00C9343F">
              <w:t xml:space="preserve">The member must meet all of these criteria. </w:t>
            </w:r>
          </w:p>
        </w:tc>
      </w:tr>
      <w:tr w:rsidR="006D1E1C" w:rsidRPr="00C9343F" w14:paraId="0ECC119C" w14:textId="77777777" w:rsidTr="006D1E1C">
        <w:trPr>
          <w:cantSplit/>
        </w:trPr>
        <w:tc>
          <w:tcPr>
            <w:tcW w:w="992" w:type="dxa"/>
          </w:tcPr>
          <w:p w14:paraId="71FA0A2E" w14:textId="77777777" w:rsidR="006D1E1C" w:rsidRPr="00C9343F" w:rsidRDefault="006D1E1C" w:rsidP="00F66D98">
            <w:pPr>
              <w:pStyle w:val="BlockText-PlainNoSpacing"/>
            </w:pPr>
          </w:p>
        </w:tc>
        <w:tc>
          <w:tcPr>
            <w:tcW w:w="567" w:type="dxa"/>
          </w:tcPr>
          <w:p w14:paraId="20657469" w14:textId="77777777" w:rsidR="006D1E1C" w:rsidRPr="00C9343F" w:rsidRDefault="006D1E1C" w:rsidP="008D1B5D">
            <w:pPr>
              <w:pStyle w:val="BlockText-PlainNoSpacing"/>
              <w:jc w:val="center"/>
            </w:pPr>
            <w:r w:rsidRPr="00C9343F">
              <w:t>a.</w:t>
            </w:r>
          </w:p>
        </w:tc>
        <w:tc>
          <w:tcPr>
            <w:tcW w:w="7796" w:type="dxa"/>
          </w:tcPr>
          <w:p w14:paraId="6F2F909F" w14:textId="77777777" w:rsidR="006D1E1C" w:rsidRPr="00C9343F" w:rsidRDefault="006D1E1C" w:rsidP="00F66D98">
            <w:pPr>
              <w:pStyle w:val="BlockText-Plain"/>
            </w:pPr>
            <w:r w:rsidRPr="00C9343F">
              <w:t>They must volunteer to do the additional duty before the start of each 12-month period of service.</w:t>
            </w:r>
          </w:p>
        </w:tc>
      </w:tr>
      <w:tr w:rsidR="006D1E1C" w:rsidRPr="00C9343F" w14:paraId="28808F5A" w14:textId="77777777" w:rsidTr="006D1E1C">
        <w:trPr>
          <w:cantSplit/>
        </w:trPr>
        <w:tc>
          <w:tcPr>
            <w:tcW w:w="992" w:type="dxa"/>
          </w:tcPr>
          <w:p w14:paraId="45CC4C3D" w14:textId="77777777" w:rsidR="006D1E1C" w:rsidRPr="00C9343F" w:rsidRDefault="006D1E1C" w:rsidP="00F66D98">
            <w:pPr>
              <w:pStyle w:val="BlockText-PlainNoSpacing"/>
            </w:pPr>
          </w:p>
        </w:tc>
        <w:tc>
          <w:tcPr>
            <w:tcW w:w="567" w:type="dxa"/>
          </w:tcPr>
          <w:p w14:paraId="49958D56" w14:textId="77777777" w:rsidR="006D1E1C" w:rsidRPr="00C9343F" w:rsidRDefault="006D1E1C" w:rsidP="008D1B5D">
            <w:pPr>
              <w:pStyle w:val="BlockText-PlainNoSpacing"/>
              <w:jc w:val="center"/>
            </w:pPr>
            <w:r w:rsidRPr="00C9343F">
              <w:t>b.</w:t>
            </w:r>
          </w:p>
        </w:tc>
        <w:tc>
          <w:tcPr>
            <w:tcW w:w="7796" w:type="dxa"/>
          </w:tcPr>
          <w:p w14:paraId="095BF988" w14:textId="77777777" w:rsidR="006D1E1C" w:rsidRPr="00C9343F" w:rsidRDefault="006D1E1C" w:rsidP="00F66D98">
            <w:pPr>
              <w:pStyle w:val="BlockText-Plain"/>
            </w:pPr>
            <w:r w:rsidRPr="00C9343F">
              <w:t>They must actually do the additional duty within that 12-month period or within an extra period that the officer-in-charge approves in writing.</w:t>
            </w:r>
          </w:p>
        </w:tc>
      </w:tr>
      <w:tr w:rsidR="006D1E1C" w:rsidRPr="00C9343F" w14:paraId="29DC3825" w14:textId="77777777" w:rsidTr="006D1E1C">
        <w:trPr>
          <w:cantSplit/>
        </w:trPr>
        <w:tc>
          <w:tcPr>
            <w:tcW w:w="992" w:type="dxa"/>
          </w:tcPr>
          <w:p w14:paraId="67084B55" w14:textId="77777777" w:rsidR="006D1E1C" w:rsidRPr="00C9343F" w:rsidRDefault="006D1E1C" w:rsidP="00F66D98">
            <w:pPr>
              <w:pStyle w:val="BlockText-Plain"/>
            </w:pPr>
          </w:p>
        </w:tc>
        <w:tc>
          <w:tcPr>
            <w:tcW w:w="567" w:type="dxa"/>
          </w:tcPr>
          <w:p w14:paraId="443EDB56" w14:textId="77777777" w:rsidR="006D1E1C" w:rsidRPr="00C9343F" w:rsidRDefault="006D1E1C" w:rsidP="008D1B5D">
            <w:pPr>
              <w:pStyle w:val="BlockText-Plain"/>
              <w:jc w:val="center"/>
            </w:pPr>
            <w:r w:rsidRPr="00C9343F">
              <w:t>c.</w:t>
            </w:r>
          </w:p>
        </w:tc>
        <w:tc>
          <w:tcPr>
            <w:tcW w:w="7796" w:type="dxa"/>
          </w:tcPr>
          <w:p w14:paraId="3A715BD1" w14:textId="77777777" w:rsidR="006D1E1C" w:rsidRPr="00C9343F" w:rsidRDefault="006D1E1C" w:rsidP="00F66D98">
            <w:pPr>
              <w:pStyle w:val="BlockText-Plain"/>
            </w:pPr>
            <w:r w:rsidRPr="00C9343F">
              <w:t>They must meet the medical fitness standards for operational duty as a Ground Defence Officer or Airfield Defence Guard.</w:t>
            </w:r>
          </w:p>
        </w:tc>
      </w:tr>
      <w:tr w:rsidR="006D1E1C" w:rsidRPr="00C9343F" w14:paraId="1B47C130" w14:textId="77777777" w:rsidTr="006D1E1C">
        <w:trPr>
          <w:cantSplit/>
        </w:trPr>
        <w:tc>
          <w:tcPr>
            <w:tcW w:w="992" w:type="dxa"/>
          </w:tcPr>
          <w:p w14:paraId="0062A768" w14:textId="77777777" w:rsidR="006D1E1C" w:rsidRPr="00C9343F" w:rsidRDefault="006D1E1C" w:rsidP="00F66D98">
            <w:pPr>
              <w:pStyle w:val="BlockText-Plain"/>
            </w:pPr>
          </w:p>
        </w:tc>
        <w:tc>
          <w:tcPr>
            <w:tcW w:w="567" w:type="dxa"/>
          </w:tcPr>
          <w:p w14:paraId="63BCEA97" w14:textId="77777777" w:rsidR="006D1E1C" w:rsidRPr="00C9343F" w:rsidRDefault="006D1E1C" w:rsidP="008D1B5D">
            <w:pPr>
              <w:pStyle w:val="BlockText-Plain"/>
              <w:jc w:val="center"/>
            </w:pPr>
            <w:r w:rsidRPr="00C9343F">
              <w:t>d.</w:t>
            </w:r>
          </w:p>
        </w:tc>
        <w:tc>
          <w:tcPr>
            <w:tcW w:w="7796" w:type="dxa"/>
          </w:tcPr>
          <w:p w14:paraId="61808A55" w14:textId="77777777" w:rsidR="006D1E1C" w:rsidRPr="00C9343F" w:rsidRDefault="006D1E1C" w:rsidP="00F66D98">
            <w:pPr>
              <w:pStyle w:val="BlockText-Plain"/>
            </w:pPr>
            <w:r w:rsidRPr="00C9343F">
              <w:t>They must meet their service obligations.</w:t>
            </w:r>
          </w:p>
        </w:tc>
      </w:tr>
      <w:tr w:rsidR="006D1E1C" w:rsidRPr="00C9343F" w14:paraId="6133359D" w14:textId="77777777" w:rsidTr="006D1E1C">
        <w:trPr>
          <w:cantSplit/>
        </w:trPr>
        <w:tc>
          <w:tcPr>
            <w:tcW w:w="992" w:type="dxa"/>
          </w:tcPr>
          <w:p w14:paraId="2ACB0DE7" w14:textId="77777777" w:rsidR="006D1E1C" w:rsidRPr="00C9343F" w:rsidRDefault="006D1E1C" w:rsidP="00F66D98">
            <w:pPr>
              <w:pStyle w:val="BlockText-Plain"/>
            </w:pPr>
          </w:p>
        </w:tc>
        <w:tc>
          <w:tcPr>
            <w:tcW w:w="567" w:type="dxa"/>
          </w:tcPr>
          <w:p w14:paraId="4AE12AFD" w14:textId="77777777" w:rsidR="006D1E1C" w:rsidRPr="00C9343F" w:rsidRDefault="006D1E1C" w:rsidP="008D1B5D">
            <w:pPr>
              <w:pStyle w:val="BlockText-Plain"/>
              <w:jc w:val="center"/>
            </w:pPr>
            <w:r w:rsidRPr="00C9343F">
              <w:t>e.</w:t>
            </w:r>
          </w:p>
        </w:tc>
        <w:tc>
          <w:tcPr>
            <w:tcW w:w="7796" w:type="dxa"/>
          </w:tcPr>
          <w:p w14:paraId="3B3AFE1B" w14:textId="77777777" w:rsidR="006D1E1C" w:rsidRPr="00C9343F" w:rsidRDefault="006D1E1C" w:rsidP="00F66D98">
            <w:pPr>
              <w:pStyle w:val="BlockText-Plain"/>
            </w:pPr>
            <w:r w:rsidRPr="00C9343F">
              <w:t>They must demonstrate proficiency in the skills needed by a Ground Defence Officer or Airfield Defence Guard.</w:t>
            </w:r>
          </w:p>
        </w:tc>
      </w:tr>
      <w:tr w:rsidR="006D1E1C" w:rsidRPr="00C9343F" w14:paraId="2EBE70D0" w14:textId="77777777" w:rsidTr="006D1E1C">
        <w:tc>
          <w:tcPr>
            <w:tcW w:w="992" w:type="dxa"/>
          </w:tcPr>
          <w:p w14:paraId="049C9FC8" w14:textId="77777777" w:rsidR="006D1E1C" w:rsidRPr="00C9343F" w:rsidRDefault="006D1E1C" w:rsidP="00F66D98">
            <w:pPr>
              <w:pStyle w:val="BlockText-Plain"/>
              <w:jc w:val="center"/>
            </w:pPr>
            <w:r w:rsidRPr="00C9343F">
              <w:t>2.</w:t>
            </w:r>
          </w:p>
        </w:tc>
        <w:tc>
          <w:tcPr>
            <w:tcW w:w="8363" w:type="dxa"/>
            <w:gridSpan w:val="2"/>
          </w:tcPr>
          <w:p w14:paraId="07AA63AC" w14:textId="77777777" w:rsidR="006D1E1C" w:rsidRPr="00C9343F" w:rsidRDefault="006D1E1C" w:rsidP="00F66D98">
            <w:pPr>
              <w:pStyle w:val="BlockText-Plain"/>
            </w:pPr>
            <w:r w:rsidRPr="00C9343F">
              <w:t>Duty undertaken for more than the additional 18 days in any year does not attract a bonus payment.</w:t>
            </w:r>
          </w:p>
        </w:tc>
      </w:tr>
    </w:tbl>
    <w:p w14:paraId="5AFA9F4C" w14:textId="4DC45397" w:rsidR="006D1E1C" w:rsidRPr="00C9343F" w:rsidRDefault="006D1E1C" w:rsidP="00F66D98">
      <w:pPr>
        <w:pStyle w:val="Heading5"/>
      </w:pPr>
      <w:bookmarkStart w:id="1170" w:name="_Toc105053921"/>
      <w:bookmarkStart w:id="1171" w:name="bk151757412xxRateofentitlement"/>
      <w:bookmarkStart w:id="1172" w:name="bk14021941011Rateanddateofentitlement"/>
      <w:bookmarkStart w:id="1173" w:name="bk14023941011Rateanddateofentitlement"/>
      <w:bookmarkStart w:id="1174" w:name="bk14033241011Rateanddateofentitlement"/>
      <w:bookmarkStart w:id="1175" w:name="bk15063341011Rateanddateofentitlement"/>
      <w:bookmarkStart w:id="1176" w:name="bk11482741011Rateanddateofentitlement"/>
      <w:r w:rsidRPr="00C9343F">
        <w:t>4.9.12</w:t>
      </w:r>
      <w:r w:rsidR="00D94006" w:rsidRPr="00C9343F">
        <w:t>    </w:t>
      </w:r>
      <w:r w:rsidRPr="00C9343F">
        <w:t>Rate and date of eligibility</w:t>
      </w:r>
      <w:bookmarkEnd w:id="1170"/>
    </w:p>
    <w:tbl>
      <w:tblPr>
        <w:tblW w:w="9355" w:type="dxa"/>
        <w:tblInd w:w="113" w:type="dxa"/>
        <w:tblLayout w:type="fixed"/>
        <w:tblLook w:val="0000" w:firstRow="0" w:lastRow="0" w:firstColumn="0" w:lastColumn="0" w:noHBand="0" w:noVBand="0"/>
      </w:tblPr>
      <w:tblGrid>
        <w:gridCol w:w="992"/>
        <w:gridCol w:w="567"/>
        <w:gridCol w:w="7796"/>
      </w:tblGrid>
      <w:tr w:rsidR="006D1E1C" w:rsidRPr="00C9343F" w14:paraId="05BFD2CD" w14:textId="77777777" w:rsidTr="00D332F4">
        <w:tc>
          <w:tcPr>
            <w:tcW w:w="992" w:type="dxa"/>
          </w:tcPr>
          <w:bookmarkEnd w:id="1171"/>
          <w:bookmarkEnd w:id="1172"/>
          <w:bookmarkEnd w:id="1173"/>
          <w:bookmarkEnd w:id="1174"/>
          <w:bookmarkEnd w:id="1175"/>
          <w:bookmarkEnd w:id="1176"/>
          <w:p w14:paraId="5BBE083D" w14:textId="77777777" w:rsidR="006D1E1C" w:rsidRPr="00C9343F" w:rsidRDefault="006D1E1C" w:rsidP="00F66D98">
            <w:pPr>
              <w:pStyle w:val="BlockText-PlainNoSpacing"/>
              <w:jc w:val="center"/>
            </w:pPr>
            <w:r w:rsidRPr="00C9343F">
              <w:t>1.</w:t>
            </w:r>
          </w:p>
        </w:tc>
        <w:tc>
          <w:tcPr>
            <w:tcW w:w="8363" w:type="dxa"/>
            <w:gridSpan w:val="2"/>
          </w:tcPr>
          <w:p w14:paraId="244F0000" w14:textId="77777777" w:rsidR="006D1E1C" w:rsidRPr="00C9343F" w:rsidRDefault="006D1E1C" w:rsidP="00F66D98">
            <w:pPr>
              <w:pStyle w:val="BlockText-Plain"/>
            </w:pPr>
            <w:r w:rsidRPr="00C9343F">
              <w:t>The member is eligible for the bonus at the following rates.</w:t>
            </w:r>
          </w:p>
        </w:tc>
      </w:tr>
      <w:tr w:rsidR="006D1E1C" w:rsidRPr="00C9343F" w14:paraId="61EB938A" w14:textId="77777777" w:rsidTr="00D332F4">
        <w:trPr>
          <w:cantSplit/>
        </w:trPr>
        <w:tc>
          <w:tcPr>
            <w:tcW w:w="992" w:type="dxa"/>
          </w:tcPr>
          <w:p w14:paraId="2B06AAEF" w14:textId="77777777" w:rsidR="006D1E1C" w:rsidRPr="00C9343F" w:rsidRDefault="006D1E1C" w:rsidP="00F66D98">
            <w:pPr>
              <w:pStyle w:val="BlockText-Plain"/>
            </w:pPr>
          </w:p>
        </w:tc>
        <w:tc>
          <w:tcPr>
            <w:tcW w:w="567" w:type="dxa"/>
          </w:tcPr>
          <w:p w14:paraId="39D86FF6" w14:textId="77777777" w:rsidR="006D1E1C" w:rsidRPr="00C9343F" w:rsidRDefault="006D1E1C" w:rsidP="008D1B5D">
            <w:pPr>
              <w:pStyle w:val="BlockText-Plain"/>
              <w:jc w:val="center"/>
            </w:pPr>
            <w:r w:rsidRPr="00C9343F">
              <w:t>a.</w:t>
            </w:r>
          </w:p>
        </w:tc>
        <w:tc>
          <w:tcPr>
            <w:tcW w:w="7796" w:type="dxa"/>
          </w:tcPr>
          <w:p w14:paraId="3F4C01BD" w14:textId="77777777" w:rsidR="006D1E1C" w:rsidRPr="00C9343F" w:rsidRDefault="006D1E1C" w:rsidP="00F66D98">
            <w:pPr>
              <w:pStyle w:val="BlockText-Plain"/>
            </w:pPr>
            <w:r w:rsidRPr="00C9343F">
              <w:t>$50 a day from the 1st to the 4th day (inclusive) of additional duty.</w:t>
            </w:r>
          </w:p>
        </w:tc>
      </w:tr>
      <w:tr w:rsidR="006D1E1C" w:rsidRPr="00C9343F" w14:paraId="3E22CBCB" w14:textId="77777777" w:rsidTr="00D332F4">
        <w:trPr>
          <w:cantSplit/>
        </w:trPr>
        <w:tc>
          <w:tcPr>
            <w:tcW w:w="992" w:type="dxa"/>
          </w:tcPr>
          <w:p w14:paraId="2587F3D8" w14:textId="77777777" w:rsidR="006D1E1C" w:rsidRPr="00C9343F" w:rsidRDefault="006D1E1C" w:rsidP="00F66D98">
            <w:pPr>
              <w:pStyle w:val="BlockText-Plain"/>
            </w:pPr>
          </w:p>
        </w:tc>
        <w:tc>
          <w:tcPr>
            <w:tcW w:w="567" w:type="dxa"/>
          </w:tcPr>
          <w:p w14:paraId="6BA26FB8" w14:textId="77777777" w:rsidR="006D1E1C" w:rsidRPr="00C9343F" w:rsidRDefault="006D1E1C" w:rsidP="008D1B5D">
            <w:pPr>
              <w:pStyle w:val="BlockText-Plain"/>
              <w:jc w:val="center"/>
            </w:pPr>
            <w:r w:rsidRPr="00C9343F">
              <w:t>b.</w:t>
            </w:r>
          </w:p>
        </w:tc>
        <w:tc>
          <w:tcPr>
            <w:tcW w:w="7796" w:type="dxa"/>
          </w:tcPr>
          <w:p w14:paraId="51A4E645" w14:textId="77777777" w:rsidR="006D1E1C" w:rsidRPr="00C9343F" w:rsidRDefault="006D1E1C" w:rsidP="00F66D98">
            <w:pPr>
              <w:pStyle w:val="BlockText-Plain"/>
            </w:pPr>
            <w:r w:rsidRPr="00C9343F">
              <w:t>$75 a day from the 5th to the 8th day (inclusive).</w:t>
            </w:r>
          </w:p>
        </w:tc>
      </w:tr>
      <w:tr w:rsidR="006D1E1C" w:rsidRPr="00C9343F" w14:paraId="5A923592" w14:textId="77777777" w:rsidTr="00D332F4">
        <w:trPr>
          <w:cantSplit/>
        </w:trPr>
        <w:tc>
          <w:tcPr>
            <w:tcW w:w="992" w:type="dxa"/>
          </w:tcPr>
          <w:p w14:paraId="57F105B5" w14:textId="77777777" w:rsidR="006D1E1C" w:rsidRPr="00C9343F" w:rsidRDefault="006D1E1C" w:rsidP="00F66D98">
            <w:pPr>
              <w:pStyle w:val="BlockText-Plain"/>
            </w:pPr>
          </w:p>
        </w:tc>
        <w:tc>
          <w:tcPr>
            <w:tcW w:w="567" w:type="dxa"/>
          </w:tcPr>
          <w:p w14:paraId="5474DE39" w14:textId="77777777" w:rsidR="006D1E1C" w:rsidRPr="00C9343F" w:rsidRDefault="006D1E1C" w:rsidP="008D1B5D">
            <w:pPr>
              <w:pStyle w:val="BlockText-Plain"/>
              <w:jc w:val="center"/>
            </w:pPr>
            <w:r w:rsidRPr="00C9343F">
              <w:t>c.</w:t>
            </w:r>
          </w:p>
        </w:tc>
        <w:tc>
          <w:tcPr>
            <w:tcW w:w="7796" w:type="dxa"/>
          </w:tcPr>
          <w:p w14:paraId="227E1902" w14:textId="77777777" w:rsidR="006D1E1C" w:rsidRPr="00C9343F" w:rsidRDefault="006D1E1C" w:rsidP="00F66D98">
            <w:pPr>
              <w:pStyle w:val="BlockText-Plain"/>
            </w:pPr>
            <w:r w:rsidRPr="00C9343F">
              <w:t>$100 a day from the 9th to the 18th day (inclusive).</w:t>
            </w:r>
          </w:p>
        </w:tc>
      </w:tr>
      <w:tr w:rsidR="006D1E1C" w:rsidRPr="00C9343F" w14:paraId="363B9D36" w14:textId="77777777" w:rsidTr="00D332F4">
        <w:tc>
          <w:tcPr>
            <w:tcW w:w="992" w:type="dxa"/>
          </w:tcPr>
          <w:p w14:paraId="361E05B2" w14:textId="77777777" w:rsidR="006D1E1C" w:rsidRPr="00C9343F" w:rsidRDefault="006D1E1C" w:rsidP="00F66D98">
            <w:pPr>
              <w:pStyle w:val="BlockText-Plain"/>
              <w:jc w:val="center"/>
            </w:pPr>
            <w:r w:rsidRPr="00C9343F">
              <w:t>2.</w:t>
            </w:r>
          </w:p>
        </w:tc>
        <w:tc>
          <w:tcPr>
            <w:tcW w:w="8363" w:type="dxa"/>
            <w:gridSpan w:val="2"/>
          </w:tcPr>
          <w:p w14:paraId="38CD4778" w14:textId="77777777" w:rsidR="006D1E1C" w:rsidRPr="00C9343F" w:rsidRDefault="006D1E1C" w:rsidP="00F66D98">
            <w:pPr>
              <w:pStyle w:val="BlockText-Plain"/>
            </w:pPr>
            <w:r w:rsidRPr="00C9343F">
              <w:t>The bonus cannot be more than $1,500 in any one year.</w:t>
            </w:r>
          </w:p>
        </w:tc>
      </w:tr>
      <w:tr w:rsidR="006D1E1C" w:rsidRPr="00C9343F" w14:paraId="74EAC573" w14:textId="77777777" w:rsidTr="00D332F4">
        <w:tc>
          <w:tcPr>
            <w:tcW w:w="992" w:type="dxa"/>
          </w:tcPr>
          <w:p w14:paraId="4814ADBA" w14:textId="77777777" w:rsidR="006D1E1C" w:rsidRPr="00C9343F" w:rsidRDefault="006D1E1C" w:rsidP="00F66D98">
            <w:pPr>
              <w:pStyle w:val="BlockText-Plain"/>
              <w:jc w:val="center"/>
            </w:pPr>
            <w:r w:rsidRPr="00C9343F">
              <w:t>3.</w:t>
            </w:r>
          </w:p>
        </w:tc>
        <w:tc>
          <w:tcPr>
            <w:tcW w:w="8363" w:type="dxa"/>
            <w:gridSpan w:val="2"/>
          </w:tcPr>
          <w:p w14:paraId="5C599D0C" w14:textId="77777777" w:rsidR="006D1E1C" w:rsidRPr="00C9343F" w:rsidRDefault="006D1E1C" w:rsidP="00F66D98">
            <w:pPr>
              <w:pStyle w:val="BlockText-Plain"/>
            </w:pPr>
            <w:r w:rsidRPr="00C9343F">
              <w:t>The bonus is for duty performed in the 12 months before each anniversary of the member's appointment or enlistment. It is payable on the later of these days.</w:t>
            </w:r>
          </w:p>
        </w:tc>
      </w:tr>
      <w:tr w:rsidR="006D1E1C" w:rsidRPr="00C9343F" w14:paraId="672E02AF" w14:textId="77777777" w:rsidTr="00D332F4">
        <w:trPr>
          <w:cantSplit/>
        </w:trPr>
        <w:tc>
          <w:tcPr>
            <w:tcW w:w="992" w:type="dxa"/>
          </w:tcPr>
          <w:p w14:paraId="6DA5C2C9" w14:textId="77777777" w:rsidR="006D1E1C" w:rsidRPr="00C9343F" w:rsidRDefault="006D1E1C" w:rsidP="00F66D98">
            <w:pPr>
              <w:pStyle w:val="BlockText-Plain"/>
            </w:pPr>
          </w:p>
        </w:tc>
        <w:tc>
          <w:tcPr>
            <w:tcW w:w="567" w:type="dxa"/>
          </w:tcPr>
          <w:p w14:paraId="0B2E9C86" w14:textId="77777777" w:rsidR="006D1E1C" w:rsidRPr="00C9343F" w:rsidRDefault="006D1E1C" w:rsidP="008D1B5D">
            <w:pPr>
              <w:pStyle w:val="BlockText-Plain"/>
              <w:jc w:val="center"/>
            </w:pPr>
            <w:r w:rsidRPr="00C9343F">
              <w:t>a.</w:t>
            </w:r>
          </w:p>
        </w:tc>
        <w:tc>
          <w:tcPr>
            <w:tcW w:w="7796" w:type="dxa"/>
          </w:tcPr>
          <w:p w14:paraId="16376BC4" w14:textId="77777777" w:rsidR="006D1E1C" w:rsidRPr="00C9343F" w:rsidRDefault="006D1E1C" w:rsidP="00F66D98">
            <w:pPr>
              <w:pStyle w:val="BlockText-Plain"/>
            </w:pPr>
            <w:r w:rsidRPr="00C9343F">
              <w:t>The anniversary of the member’s appointment or enlistment.</w:t>
            </w:r>
          </w:p>
        </w:tc>
      </w:tr>
      <w:tr w:rsidR="006D1E1C" w:rsidRPr="00C9343F" w14:paraId="4551CEDA" w14:textId="77777777" w:rsidTr="00D332F4">
        <w:trPr>
          <w:cantSplit/>
        </w:trPr>
        <w:tc>
          <w:tcPr>
            <w:tcW w:w="992" w:type="dxa"/>
          </w:tcPr>
          <w:p w14:paraId="6B29F486" w14:textId="77777777" w:rsidR="006D1E1C" w:rsidRPr="00C9343F" w:rsidRDefault="006D1E1C" w:rsidP="00F66D98">
            <w:pPr>
              <w:pStyle w:val="BlockText-Plain"/>
            </w:pPr>
          </w:p>
        </w:tc>
        <w:tc>
          <w:tcPr>
            <w:tcW w:w="567" w:type="dxa"/>
          </w:tcPr>
          <w:p w14:paraId="4396A9AC" w14:textId="77777777" w:rsidR="006D1E1C" w:rsidRPr="00C9343F" w:rsidRDefault="006D1E1C" w:rsidP="008D1B5D">
            <w:pPr>
              <w:pStyle w:val="BlockText-Plain"/>
              <w:jc w:val="center"/>
            </w:pPr>
            <w:r w:rsidRPr="00C9343F">
              <w:t>b.</w:t>
            </w:r>
          </w:p>
        </w:tc>
        <w:tc>
          <w:tcPr>
            <w:tcW w:w="7796" w:type="dxa"/>
          </w:tcPr>
          <w:p w14:paraId="16729884" w14:textId="45B02391" w:rsidR="006D1E1C" w:rsidRPr="00C9343F" w:rsidRDefault="006D1E1C" w:rsidP="00F66D98">
            <w:pPr>
              <w:pStyle w:val="BlockText-Plain"/>
            </w:pPr>
            <w:r w:rsidRPr="00C9343F">
              <w:t>The last day of the extra period approved in writing by the officer-in-charge.</w:t>
            </w:r>
          </w:p>
        </w:tc>
      </w:tr>
    </w:tbl>
    <w:p w14:paraId="6E79654C" w14:textId="4312EC71" w:rsidR="006D1E1C" w:rsidRPr="00C9343F" w:rsidRDefault="006D1E1C" w:rsidP="00F66D98">
      <w:pPr>
        <w:pStyle w:val="Heading5"/>
      </w:pPr>
      <w:bookmarkStart w:id="1177" w:name="_Toc105053922"/>
      <w:bookmarkStart w:id="1178" w:name="bk15063341012Preservationofentitlemento"/>
      <w:bookmarkStart w:id="1179" w:name="bk11482741012Preservationofentitlemento"/>
      <w:r w:rsidRPr="00C9343F">
        <w:t>4.9.13</w:t>
      </w:r>
      <w:r w:rsidR="00D94006" w:rsidRPr="00C9343F">
        <w:t>    </w:t>
      </w:r>
      <w:r w:rsidRPr="00C9343F">
        <w:t>Preservation of eligibility on transfer</w:t>
      </w:r>
      <w:bookmarkEnd w:id="1177"/>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05EFD66E" w14:textId="77777777" w:rsidTr="006D1E1C">
        <w:tc>
          <w:tcPr>
            <w:tcW w:w="992" w:type="dxa"/>
          </w:tcPr>
          <w:bookmarkEnd w:id="1178"/>
          <w:bookmarkEnd w:id="1179"/>
          <w:p w14:paraId="42300839" w14:textId="77777777" w:rsidR="006D1E1C" w:rsidRPr="00C9343F" w:rsidRDefault="006D1E1C" w:rsidP="00F66D98">
            <w:pPr>
              <w:pStyle w:val="BlockText-Plain"/>
              <w:jc w:val="center"/>
            </w:pPr>
            <w:r w:rsidRPr="00C9343F">
              <w:t>1.</w:t>
            </w:r>
          </w:p>
        </w:tc>
        <w:tc>
          <w:tcPr>
            <w:tcW w:w="8363" w:type="dxa"/>
            <w:gridSpan w:val="2"/>
          </w:tcPr>
          <w:p w14:paraId="47B85709" w14:textId="77777777" w:rsidR="006D1E1C" w:rsidRPr="00C9343F" w:rsidRDefault="006D1E1C" w:rsidP="00F66D98">
            <w:pPr>
              <w:pStyle w:val="BlockText-Plain"/>
            </w:pPr>
            <w:r w:rsidRPr="00C9343F">
              <w:t>A member who is not serving in the Ground Defence Reserve Group (Operations) on the day the bonus would be paid is still eligible for it, if they meet all of these criteria.</w:t>
            </w:r>
          </w:p>
        </w:tc>
      </w:tr>
      <w:tr w:rsidR="006D1E1C" w:rsidRPr="00C9343F" w14:paraId="46463984" w14:textId="77777777" w:rsidTr="006D1E1C">
        <w:trPr>
          <w:cantSplit/>
        </w:trPr>
        <w:tc>
          <w:tcPr>
            <w:tcW w:w="992" w:type="dxa"/>
          </w:tcPr>
          <w:p w14:paraId="5D01EB7D" w14:textId="77777777" w:rsidR="006D1E1C" w:rsidRPr="00C9343F" w:rsidRDefault="006D1E1C" w:rsidP="00F66D98">
            <w:pPr>
              <w:pStyle w:val="BlockText-Plain"/>
            </w:pPr>
          </w:p>
        </w:tc>
        <w:tc>
          <w:tcPr>
            <w:tcW w:w="567" w:type="dxa"/>
          </w:tcPr>
          <w:p w14:paraId="2DB3F6B9" w14:textId="77777777" w:rsidR="006D1E1C" w:rsidRPr="00C9343F" w:rsidRDefault="006D1E1C" w:rsidP="008D1B5D">
            <w:pPr>
              <w:pStyle w:val="BlockText-Plain"/>
              <w:jc w:val="center"/>
            </w:pPr>
            <w:r w:rsidRPr="00C9343F">
              <w:t>a.</w:t>
            </w:r>
          </w:p>
        </w:tc>
        <w:tc>
          <w:tcPr>
            <w:tcW w:w="7796" w:type="dxa"/>
          </w:tcPr>
          <w:p w14:paraId="6C0CE8A7" w14:textId="77777777" w:rsidR="006D1E1C" w:rsidRPr="00C9343F" w:rsidRDefault="006D1E1C" w:rsidP="00F66D98">
            <w:pPr>
              <w:pStyle w:val="BlockText-Plain"/>
            </w:pPr>
            <w:r w:rsidRPr="00C9343F">
              <w:t xml:space="preserve">They must meet the eligibility conditions in section 4.9.11. </w:t>
            </w:r>
          </w:p>
        </w:tc>
      </w:tr>
      <w:tr w:rsidR="006D1E1C" w:rsidRPr="00C9343F" w14:paraId="225F4800" w14:textId="77777777" w:rsidTr="006D1E1C">
        <w:trPr>
          <w:cantSplit/>
        </w:trPr>
        <w:tc>
          <w:tcPr>
            <w:tcW w:w="992" w:type="dxa"/>
          </w:tcPr>
          <w:p w14:paraId="0F1957B2" w14:textId="77777777" w:rsidR="006D1E1C" w:rsidRPr="00C9343F" w:rsidRDefault="006D1E1C" w:rsidP="00F66D98">
            <w:pPr>
              <w:pStyle w:val="BlockText-Plain"/>
            </w:pPr>
          </w:p>
        </w:tc>
        <w:tc>
          <w:tcPr>
            <w:tcW w:w="567" w:type="dxa"/>
          </w:tcPr>
          <w:p w14:paraId="5A45F9DD" w14:textId="77777777" w:rsidR="006D1E1C" w:rsidRPr="00C9343F" w:rsidRDefault="006D1E1C" w:rsidP="008D1B5D">
            <w:pPr>
              <w:pStyle w:val="BlockText-Plain"/>
              <w:jc w:val="center"/>
            </w:pPr>
            <w:r w:rsidRPr="00C9343F">
              <w:t>b.</w:t>
            </w:r>
          </w:p>
        </w:tc>
        <w:tc>
          <w:tcPr>
            <w:tcW w:w="7796" w:type="dxa"/>
          </w:tcPr>
          <w:p w14:paraId="498F87F3" w14:textId="77777777" w:rsidR="006D1E1C" w:rsidRPr="00C9343F" w:rsidRDefault="006D1E1C" w:rsidP="00F66D98">
            <w:pPr>
              <w:pStyle w:val="BlockText-Plain"/>
            </w:pPr>
            <w:r w:rsidRPr="00C9343F">
              <w:t>They must have been transferred from the Group before that day without a break in their continuity of service.</w:t>
            </w:r>
          </w:p>
        </w:tc>
      </w:tr>
      <w:tr w:rsidR="006D1E1C" w:rsidRPr="00C9343F" w14:paraId="56090C22" w14:textId="77777777" w:rsidTr="006D1E1C">
        <w:trPr>
          <w:cantSplit/>
        </w:trPr>
        <w:tc>
          <w:tcPr>
            <w:tcW w:w="992" w:type="dxa"/>
          </w:tcPr>
          <w:p w14:paraId="3C59EFDB" w14:textId="77777777" w:rsidR="006D1E1C" w:rsidRPr="00C9343F" w:rsidRDefault="006D1E1C" w:rsidP="00F66D98">
            <w:pPr>
              <w:pStyle w:val="BlockText-Plain"/>
            </w:pPr>
          </w:p>
        </w:tc>
        <w:tc>
          <w:tcPr>
            <w:tcW w:w="567" w:type="dxa"/>
          </w:tcPr>
          <w:p w14:paraId="615385D0" w14:textId="77777777" w:rsidR="006D1E1C" w:rsidRPr="00C9343F" w:rsidRDefault="006D1E1C" w:rsidP="008D1B5D">
            <w:pPr>
              <w:pStyle w:val="BlockText-Plain"/>
              <w:jc w:val="center"/>
            </w:pPr>
            <w:r w:rsidRPr="00C9343F">
              <w:t>c.</w:t>
            </w:r>
          </w:p>
        </w:tc>
        <w:tc>
          <w:tcPr>
            <w:tcW w:w="7796" w:type="dxa"/>
          </w:tcPr>
          <w:p w14:paraId="5C4173EC" w14:textId="77777777" w:rsidR="006D1E1C" w:rsidRPr="00C9343F" w:rsidRDefault="006D1E1C" w:rsidP="00F66D98">
            <w:pPr>
              <w:pStyle w:val="BlockText-Plain"/>
            </w:pPr>
            <w:r w:rsidRPr="00C9343F">
              <w:t>They must be a member of the ADF on that day.</w:t>
            </w:r>
          </w:p>
        </w:tc>
      </w:tr>
      <w:tr w:rsidR="006D1E1C" w:rsidRPr="00C9343F" w14:paraId="175AC12D" w14:textId="77777777" w:rsidTr="006D1E1C">
        <w:tc>
          <w:tcPr>
            <w:tcW w:w="992" w:type="dxa"/>
          </w:tcPr>
          <w:p w14:paraId="342367AB" w14:textId="77777777" w:rsidR="006D1E1C" w:rsidRPr="00C9343F" w:rsidRDefault="006D1E1C" w:rsidP="00F66D98">
            <w:pPr>
              <w:pStyle w:val="BlockText-Plain"/>
              <w:jc w:val="center"/>
            </w:pPr>
            <w:r w:rsidRPr="00C9343F">
              <w:t>2.</w:t>
            </w:r>
          </w:p>
        </w:tc>
        <w:tc>
          <w:tcPr>
            <w:tcW w:w="8363" w:type="dxa"/>
            <w:gridSpan w:val="2"/>
          </w:tcPr>
          <w:p w14:paraId="4D4CD380" w14:textId="77777777" w:rsidR="006D1E1C" w:rsidRPr="00C9343F" w:rsidRDefault="006D1E1C" w:rsidP="00F66D98">
            <w:pPr>
              <w:pStyle w:val="BlockText-Plain"/>
            </w:pPr>
            <w:r w:rsidRPr="00C9343F">
              <w:t>The bonus is payable on that day as if they had not been transferred from the Group.</w:t>
            </w:r>
          </w:p>
        </w:tc>
      </w:tr>
    </w:tbl>
    <w:p w14:paraId="29DAE529" w14:textId="3E2A301A" w:rsidR="006D1E1C" w:rsidRPr="00C9343F" w:rsidRDefault="006D1E1C" w:rsidP="00226E7D">
      <w:pPr>
        <w:pStyle w:val="Heading4"/>
        <w:pageBreakBefore/>
      </w:pPr>
      <w:bookmarkStart w:id="1180" w:name="_Toc105053923"/>
      <w:r w:rsidRPr="00C9343F">
        <w:t>Division 3: Health support allowance – Reserves</w:t>
      </w:r>
      <w:bookmarkEnd w:id="1180"/>
    </w:p>
    <w:p w14:paraId="4D96308F" w14:textId="055F1C35" w:rsidR="006D1E1C" w:rsidRPr="00C9343F" w:rsidRDefault="006D1E1C" w:rsidP="00F66D98">
      <w:pPr>
        <w:pStyle w:val="Heading5"/>
      </w:pPr>
      <w:bookmarkStart w:id="1181" w:name="_Toc105053924"/>
      <w:r w:rsidRPr="00C9343F">
        <w:t>4.9.14</w:t>
      </w:r>
      <w:r w:rsidR="00D94006" w:rsidRPr="00C9343F">
        <w:t>    </w:t>
      </w:r>
      <w:r w:rsidRPr="00C9343F">
        <w:t>Purpose</w:t>
      </w:r>
      <w:bookmarkEnd w:id="1181"/>
    </w:p>
    <w:tbl>
      <w:tblPr>
        <w:tblW w:w="0" w:type="auto"/>
        <w:tblInd w:w="113" w:type="dxa"/>
        <w:tblLayout w:type="fixed"/>
        <w:tblLook w:val="0000" w:firstRow="0" w:lastRow="0" w:firstColumn="0" w:lastColumn="0" w:noHBand="0" w:noVBand="0"/>
      </w:tblPr>
      <w:tblGrid>
        <w:gridCol w:w="992"/>
        <w:gridCol w:w="8367"/>
      </w:tblGrid>
      <w:tr w:rsidR="006D1E1C" w:rsidRPr="00C9343F" w14:paraId="7BA27C80" w14:textId="77777777" w:rsidTr="006D1E1C">
        <w:tc>
          <w:tcPr>
            <w:tcW w:w="992" w:type="dxa"/>
          </w:tcPr>
          <w:p w14:paraId="15D1AF8D" w14:textId="77777777" w:rsidR="006D1E1C" w:rsidRPr="00C9343F" w:rsidRDefault="006D1E1C" w:rsidP="00F66D98">
            <w:pPr>
              <w:pStyle w:val="BlockText-Plain"/>
              <w:jc w:val="center"/>
            </w:pPr>
          </w:p>
        </w:tc>
        <w:tc>
          <w:tcPr>
            <w:tcW w:w="8367" w:type="dxa"/>
          </w:tcPr>
          <w:p w14:paraId="28486048" w14:textId="77777777" w:rsidR="006D1E1C" w:rsidRPr="00C9343F" w:rsidRDefault="006D1E1C" w:rsidP="00F66D98">
            <w:pPr>
              <w:pStyle w:val="BlockText-Plain"/>
            </w:pPr>
            <w:r w:rsidRPr="00C9343F">
              <w:t>This Division provides allowances to help Reserve members keep their health levels at required standards.</w:t>
            </w:r>
          </w:p>
        </w:tc>
      </w:tr>
    </w:tbl>
    <w:p w14:paraId="238F2C3E" w14:textId="7A475A81" w:rsidR="001A6C96" w:rsidRPr="00C9343F" w:rsidRDefault="001A6C96" w:rsidP="00F66D98">
      <w:pPr>
        <w:pStyle w:val="Heading5"/>
      </w:pPr>
      <w:bookmarkStart w:id="1182" w:name="_Toc105053925"/>
      <w:r w:rsidRPr="00C9343F">
        <w:t>4.9.16</w:t>
      </w:r>
      <w:r w:rsidR="00D94006" w:rsidRPr="00C9343F">
        <w:t>    </w:t>
      </w:r>
      <w:r w:rsidRPr="00C9343F">
        <w:t>Health support allowance – Capability at short-notice</w:t>
      </w:r>
      <w:bookmarkEnd w:id="1182"/>
    </w:p>
    <w:tbl>
      <w:tblPr>
        <w:tblW w:w="9365" w:type="dxa"/>
        <w:tblInd w:w="108" w:type="dxa"/>
        <w:tblLayout w:type="fixed"/>
        <w:tblLook w:val="0000" w:firstRow="0" w:lastRow="0" w:firstColumn="0" w:lastColumn="0" w:noHBand="0" w:noVBand="0"/>
      </w:tblPr>
      <w:tblGrid>
        <w:gridCol w:w="997"/>
        <w:gridCol w:w="567"/>
        <w:gridCol w:w="29"/>
        <w:gridCol w:w="426"/>
        <w:gridCol w:w="108"/>
        <w:gridCol w:w="7238"/>
      </w:tblGrid>
      <w:tr w:rsidR="001A6C96" w:rsidRPr="00C9343F" w14:paraId="20365DC4" w14:textId="77777777" w:rsidTr="001F4211">
        <w:tc>
          <w:tcPr>
            <w:tcW w:w="997" w:type="dxa"/>
          </w:tcPr>
          <w:p w14:paraId="46A1162C" w14:textId="77777777" w:rsidR="001A6C96" w:rsidRPr="00C9343F" w:rsidRDefault="001A6C96" w:rsidP="00F66D98">
            <w:pPr>
              <w:pStyle w:val="BlockText-Plain"/>
              <w:jc w:val="center"/>
            </w:pPr>
            <w:r w:rsidRPr="00C9343F">
              <w:t>1.</w:t>
            </w:r>
          </w:p>
        </w:tc>
        <w:tc>
          <w:tcPr>
            <w:tcW w:w="8368" w:type="dxa"/>
            <w:gridSpan w:val="5"/>
          </w:tcPr>
          <w:p w14:paraId="2CDC730C" w14:textId="77777777" w:rsidR="001A6C96" w:rsidRPr="00C9343F" w:rsidRDefault="001A6C96" w:rsidP="00F66D98">
            <w:pPr>
              <w:pStyle w:val="BlockText-Plain"/>
            </w:pPr>
            <w:r w:rsidRPr="00C9343F">
              <w:t>This section applies to a member of the Reserves who meets all of the following conditions.</w:t>
            </w:r>
          </w:p>
        </w:tc>
      </w:tr>
      <w:tr w:rsidR="001A6C96" w:rsidRPr="00C9343F" w14:paraId="0525AC53" w14:textId="77777777" w:rsidTr="001F4211">
        <w:trPr>
          <w:cantSplit/>
        </w:trPr>
        <w:tc>
          <w:tcPr>
            <w:tcW w:w="997" w:type="dxa"/>
          </w:tcPr>
          <w:p w14:paraId="60B7E9D7" w14:textId="77777777" w:rsidR="001A6C96" w:rsidRPr="00C9343F" w:rsidRDefault="001A6C96" w:rsidP="00F66D98">
            <w:pPr>
              <w:pStyle w:val="BlockText-Plain"/>
            </w:pPr>
          </w:p>
        </w:tc>
        <w:tc>
          <w:tcPr>
            <w:tcW w:w="567" w:type="dxa"/>
          </w:tcPr>
          <w:p w14:paraId="0A92BB72" w14:textId="77777777" w:rsidR="001A6C96" w:rsidRPr="00C9343F" w:rsidRDefault="001A6C96" w:rsidP="008D1B5D">
            <w:pPr>
              <w:pStyle w:val="BlockText-Plain"/>
              <w:jc w:val="center"/>
            </w:pPr>
            <w:r w:rsidRPr="00C9343F">
              <w:t>a.</w:t>
            </w:r>
          </w:p>
        </w:tc>
        <w:tc>
          <w:tcPr>
            <w:tcW w:w="7801" w:type="dxa"/>
            <w:gridSpan w:val="4"/>
          </w:tcPr>
          <w:p w14:paraId="3A2DABD4" w14:textId="77777777" w:rsidR="001A6C96" w:rsidRPr="00C9343F" w:rsidRDefault="001A6C96" w:rsidP="00F66D98">
            <w:pPr>
              <w:pStyle w:val="BlockText-Plain"/>
            </w:pPr>
            <w:r w:rsidRPr="00C9343F">
              <w:t xml:space="preserve">They have an undertaking with their Service to provide capability at short notice. </w:t>
            </w:r>
          </w:p>
        </w:tc>
      </w:tr>
      <w:tr w:rsidR="001A6C96" w:rsidRPr="00C9343F" w14:paraId="25628F26" w14:textId="77777777" w:rsidTr="001F4211">
        <w:trPr>
          <w:cantSplit/>
        </w:trPr>
        <w:tc>
          <w:tcPr>
            <w:tcW w:w="997" w:type="dxa"/>
          </w:tcPr>
          <w:p w14:paraId="1150AA7F" w14:textId="77777777" w:rsidR="001A6C96" w:rsidRPr="00C9343F" w:rsidRDefault="001A6C96" w:rsidP="00F66D98">
            <w:pPr>
              <w:pStyle w:val="BlockText-Plain"/>
            </w:pPr>
          </w:p>
        </w:tc>
        <w:tc>
          <w:tcPr>
            <w:tcW w:w="567" w:type="dxa"/>
          </w:tcPr>
          <w:p w14:paraId="5EA98268" w14:textId="77777777" w:rsidR="001A6C96" w:rsidRPr="00C9343F" w:rsidRDefault="001A6C96" w:rsidP="008D1B5D">
            <w:pPr>
              <w:pStyle w:val="BlockText-Plain"/>
              <w:jc w:val="center"/>
            </w:pPr>
            <w:r w:rsidRPr="00C9343F">
              <w:t>b.</w:t>
            </w:r>
          </w:p>
        </w:tc>
        <w:tc>
          <w:tcPr>
            <w:tcW w:w="7801" w:type="dxa"/>
            <w:gridSpan w:val="4"/>
          </w:tcPr>
          <w:p w14:paraId="27FCB96F" w14:textId="77777777" w:rsidR="001A6C96" w:rsidRPr="00C9343F" w:rsidRDefault="001A6C96" w:rsidP="00F66D98">
            <w:pPr>
              <w:pStyle w:val="BlockText-Plain"/>
            </w:pPr>
            <w:r w:rsidRPr="00C9343F">
              <w:t xml:space="preserve">They have been assigned as Service Category 4 by their Service. </w:t>
            </w:r>
          </w:p>
        </w:tc>
      </w:tr>
      <w:tr w:rsidR="001A6C96" w:rsidRPr="00C9343F" w14:paraId="4FCB455D" w14:textId="77777777" w:rsidTr="001F4211">
        <w:tc>
          <w:tcPr>
            <w:tcW w:w="997" w:type="dxa"/>
          </w:tcPr>
          <w:p w14:paraId="511A64A5" w14:textId="77777777" w:rsidR="001A6C96" w:rsidRPr="00C9343F" w:rsidRDefault="001A6C96" w:rsidP="00F66D98">
            <w:pPr>
              <w:pStyle w:val="BlockText-Plain"/>
              <w:jc w:val="center"/>
            </w:pPr>
            <w:r w:rsidRPr="00C9343F">
              <w:t>2.</w:t>
            </w:r>
          </w:p>
        </w:tc>
        <w:tc>
          <w:tcPr>
            <w:tcW w:w="8368" w:type="dxa"/>
            <w:gridSpan w:val="5"/>
          </w:tcPr>
          <w:p w14:paraId="7C93DE7C" w14:textId="77777777" w:rsidR="001A6C96" w:rsidRPr="00C9343F" w:rsidRDefault="001A6C96" w:rsidP="00F66D98">
            <w:pPr>
              <w:pStyle w:val="BlockText-Plain"/>
            </w:pPr>
            <w:r w:rsidRPr="00C9343F">
              <w:rPr>
                <w:rFonts w:cs="Arial"/>
                <w:color w:val="000000"/>
                <w:shd w:val="clear" w:color="auto" w:fill="FFFFFF"/>
              </w:rPr>
              <w:t>To be eligible for the allowance a member must meet all of the following conditions.</w:t>
            </w:r>
          </w:p>
        </w:tc>
      </w:tr>
      <w:tr w:rsidR="001A6C96" w:rsidRPr="00C9343F" w14:paraId="1780A12C" w14:textId="77777777" w:rsidTr="001F4211">
        <w:tc>
          <w:tcPr>
            <w:tcW w:w="997" w:type="dxa"/>
          </w:tcPr>
          <w:p w14:paraId="4430E69D" w14:textId="77777777" w:rsidR="001A6C96" w:rsidRPr="00C9343F" w:rsidRDefault="001A6C96" w:rsidP="00F66D98">
            <w:pPr>
              <w:pStyle w:val="BlockText-Plain"/>
            </w:pPr>
          </w:p>
        </w:tc>
        <w:tc>
          <w:tcPr>
            <w:tcW w:w="567" w:type="dxa"/>
          </w:tcPr>
          <w:p w14:paraId="230BE91B" w14:textId="77777777" w:rsidR="001A6C96" w:rsidRPr="00C9343F" w:rsidRDefault="001A6C96" w:rsidP="008D1B5D">
            <w:pPr>
              <w:pStyle w:val="BlockText-Plain"/>
              <w:jc w:val="center"/>
            </w:pPr>
            <w:r w:rsidRPr="00C9343F">
              <w:t>a.</w:t>
            </w:r>
          </w:p>
        </w:tc>
        <w:tc>
          <w:tcPr>
            <w:tcW w:w="7801" w:type="dxa"/>
            <w:gridSpan w:val="4"/>
          </w:tcPr>
          <w:p w14:paraId="1AFA8302" w14:textId="77777777" w:rsidR="001A6C96" w:rsidRPr="00C9343F" w:rsidRDefault="00A72E80" w:rsidP="00F66D98">
            <w:pPr>
              <w:pStyle w:val="BlockText-Plain"/>
            </w:pPr>
            <w:r w:rsidRPr="00C9343F">
              <w:t>A member must use the approved form to apply for health support allowance.</w:t>
            </w:r>
          </w:p>
        </w:tc>
      </w:tr>
      <w:tr w:rsidR="001A6C96" w:rsidRPr="00C9343F" w14:paraId="5F35903A" w14:textId="77777777" w:rsidTr="001F4211">
        <w:tc>
          <w:tcPr>
            <w:tcW w:w="997" w:type="dxa"/>
          </w:tcPr>
          <w:p w14:paraId="3CB3C65D" w14:textId="77777777" w:rsidR="001A6C96" w:rsidRPr="00C9343F" w:rsidRDefault="001A6C96" w:rsidP="00F66D98">
            <w:pPr>
              <w:pStyle w:val="BlockText-Plain"/>
              <w:jc w:val="center"/>
            </w:pPr>
          </w:p>
        </w:tc>
        <w:tc>
          <w:tcPr>
            <w:tcW w:w="567" w:type="dxa"/>
          </w:tcPr>
          <w:p w14:paraId="57CDAC29" w14:textId="77777777" w:rsidR="001A6C96" w:rsidRPr="00C9343F" w:rsidRDefault="001A6C96" w:rsidP="008D1B5D">
            <w:pPr>
              <w:pStyle w:val="BlockText-Plain"/>
              <w:jc w:val="center"/>
            </w:pPr>
            <w:r w:rsidRPr="00C9343F">
              <w:t>b.</w:t>
            </w:r>
          </w:p>
        </w:tc>
        <w:tc>
          <w:tcPr>
            <w:tcW w:w="7801" w:type="dxa"/>
            <w:gridSpan w:val="4"/>
          </w:tcPr>
          <w:p w14:paraId="08527A96" w14:textId="77777777" w:rsidR="001A6C96" w:rsidRPr="00C9343F" w:rsidRDefault="001A6C96" w:rsidP="00F66D98">
            <w:pPr>
              <w:pStyle w:val="BlockText-Plain"/>
              <w:rPr>
                <w:rFonts w:cs="Arial"/>
                <w:shd w:val="clear" w:color="auto" w:fill="FFFFFF"/>
              </w:rPr>
            </w:pPr>
            <w:r w:rsidRPr="00C9343F">
              <w:t xml:space="preserve">The member must be insured under a health insurance policy that meets all of the following requirements. </w:t>
            </w:r>
          </w:p>
        </w:tc>
      </w:tr>
      <w:tr w:rsidR="001A6C96" w:rsidRPr="00C9343F" w14:paraId="1D1C444C" w14:textId="77777777" w:rsidTr="001F4211">
        <w:tc>
          <w:tcPr>
            <w:tcW w:w="997" w:type="dxa"/>
          </w:tcPr>
          <w:p w14:paraId="24EAE2B4" w14:textId="77777777" w:rsidR="001A6C96" w:rsidRPr="00C9343F" w:rsidRDefault="001A6C96" w:rsidP="00F66D98">
            <w:pPr>
              <w:pStyle w:val="BlockText-Plain"/>
              <w:jc w:val="center"/>
            </w:pPr>
          </w:p>
        </w:tc>
        <w:tc>
          <w:tcPr>
            <w:tcW w:w="567" w:type="dxa"/>
          </w:tcPr>
          <w:p w14:paraId="6207E0DD" w14:textId="77777777" w:rsidR="001A6C96" w:rsidRPr="00C9343F" w:rsidRDefault="001A6C96" w:rsidP="00F66D98">
            <w:pPr>
              <w:pStyle w:val="BlockText-Plain"/>
            </w:pPr>
          </w:p>
        </w:tc>
        <w:tc>
          <w:tcPr>
            <w:tcW w:w="563" w:type="dxa"/>
            <w:gridSpan w:val="3"/>
          </w:tcPr>
          <w:p w14:paraId="634A7771" w14:textId="77777777" w:rsidR="001A6C96" w:rsidRPr="00C9343F" w:rsidRDefault="001A6C96" w:rsidP="008D1B5D">
            <w:pPr>
              <w:pStyle w:val="BlockText-Plain"/>
            </w:pPr>
            <w:r w:rsidRPr="00C9343F">
              <w:t>i.</w:t>
            </w:r>
          </w:p>
        </w:tc>
        <w:tc>
          <w:tcPr>
            <w:tcW w:w="7238" w:type="dxa"/>
          </w:tcPr>
          <w:p w14:paraId="3AD51F3D" w14:textId="77777777" w:rsidR="001A6C96" w:rsidRPr="00C9343F" w:rsidRDefault="001A6C96" w:rsidP="00F66D98">
            <w:pPr>
              <w:pStyle w:val="BlockText-Plain"/>
            </w:pPr>
            <w:r w:rsidRPr="00C9343F">
              <w:t xml:space="preserve">The policy is with a private health insurer under the </w:t>
            </w:r>
            <w:r w:rsidRPr="00C9343F">
              <w:rPr>
                <w:i/>
              </w:rPr>
              <w:t>Private Health Insurance (Prudential Supervision) Act 2015</w:t>
            </w:r>
            <w:r w:rsidRPr="00C9343F">
              <w:t>.</w:t>
            </w:r>
          </w:p>
        </w:tc>
      </w:tr>
      <w:tr w:rsidR="001A6C96" w:rsidRPr="00C9343F" w14:paraId="2FD3B047" w14:textId="77777777" w:rsidTr="001F4211">
        <w:tc>
          <w:tcPr>
            <w:tcW w:w="997" w:type="dxa"/>
          </w:tcPr>
          <w:p w14:paraId="6074E8FB" w14:textId="77777777" w:rsidR="001A6C96" w:rsidRPr="00C9343F" w:rsidRDefault="001A6C96" w:rsidP="00F66D98">
            <w:pPr>
              <w:pStyle w:val="BlockText-Plain"/>
              <w:jc w:val="center"/>
            </w:pPr>
          </w:p>
        </w:tc>
        <w:tc>
          <w:tcPr>
            <w:tcW w:w="567" w:type="dxa"/>
          </w:tcPr>
          <w:p w14:paraId="001AC911" w14:textId="77777777" w:rsidR="001A6C96" w:rsidRPr="00C9343F" w:rsidRDefault="001A6C96" w:rsidP="00F66D98">
            <w:pPr>
              <w:pStyle w:val="BlockText-Plain"/>
            </w:pPr>
          </w:p>
        </w:tc>
        <w:tc>
          <w:tcPr>
            <w:tcW w:w="563" w:type="dxa"/>
            <w:gridSpan w:val="3"/>
          </w:tcPr>
          <w:p w14:paraId="1EA04986" w14:textId="77777777" w:rsidR="001A6C96" w:rsidRPr="00C9343F" w:rsidRDefault="001A6C96" w:rsidP="008D1B5D">
            <w:pPr>
              <w:pStyle w:val="BlockText-Plain"/>
            </w:pPr>
            <w:r w:rsidRPr="00C9343F">
              <w:t>ii.</w:t>
            </w:r>
          </w:p>
        </w:tc>
        <w:tc>
          <w:tcPr>
            <w:tcW w:w="7238" w:type="dxa"/>
          </w:tcPr>
          <w:p w14:paraId="063163F0" w14:textId="77777777" w:rsidR="001A6C96" w:rsidRPr="00C9343F" w:rsidRDefault="001A6C96" w:rsidP="00F66D98">
            <w:pPr>
              <w:pStyle w:val="BlockText-Plain"/>
            </w:pPr>
            <w:r w:rsidRPr="00C9343F">
              <w:t>The policy has the highest level of hospital cover that the health insurer provides.</w:t>
            </w:r>
          </w:p>
        </w:tc>
      </w:tr>
      <w:tr w:rsidR="001A6C96" w:rsidRPr="00C9343F" w14:paraId="40726E25" w14:textId="77777777" w:rsidTr="001F4211">
        <w:tc>
          <w:tcPr>
            <w:tcW w:w="997" w:type="dxa"/>
          </w:tcPr>
          <w:p w14:paraId="671E4F36" w14:textId="77777777" w:rsidR="001A6C96" w:rsidRPr="00C9343F" w:rsidRDefault="001A6C96" w:rsidP="00F66D98">
            <w:pPr>
              <w:pStyle w:val="BlockText-Plain"/>
              <w:jc w:val="center"/>
            </w:pPr>
          </w:p>
        </w:tc>
        <w:tc>
          <w:tcPr>
            <w:tcW w:w="567" w:type="dxa"/>
          </w:tcPr>
          <w:p w14:paraId="10D1A608" w14:textId="77777777" w:rsidR="001A6C96" w:rsidRPr="00C9343F" w:rsidRDefault="001A6C96" w:rsidP="00F66D98">
            <w:pPr>
              <w:pStyle w:val="BlockText-Plain"/>
            </w:pPr>
          </w:p>
        </w:tc>
        <w:tc>
          <w:tcPr>
            <w:tcW w:w="563" w:type="dxa"/>
            <w:gridSpan w:val="3"/>
          </w:tcPr>
          <w:p w14:paraId="55DB4B75" w14:textId="77777777" w:rsidR="001A6C96" w:rsidRPr="00C9343F" w:rsidRDefault="001A6C96" w:rsidP="008D1B5D">
            <w:pPr>
              <w:pStyle w:val="BlockText-Plain"/>
            </w:pPr>
            <w:r w:rsidRPr="00C9343F">
              <w:t>iii.</w:t>
            </w:r>
          </w:p>
        </w:tc>
        <w:tc>
          <w:tcPr>
            <w:tcW w:w="7238" w:type="dxa"/>
          </w:tcPr>
          <w:p w14:paraId="58EABD71" w14:textId="77777777" w:rsidR="001A6C96" w:rsidRPr="00C9343F" w:rsidRDefault="001A6C96" w:rsidP="00F66D98">
            <w:pPr>
              <w:pStyle w:val="BlockText-Plain"/>
            </w:pPr>
            <w:r w:rsidRPr="00C9343F">
              <w:t>The policy includes optical and dental cover.</w:t>
            </w:r>
          </w:p>
        </w:tc>
      </w:tr>
      <w:tr w:rsidR="001A6C96" w:rsidRPr="00C9343F" w14:paraId="6B67EAEA" w14:textId="77777777" w:rsidTr="001F4211">
        <w:tc>
          <w:tcPr>
            <w:tcW w:w="997" w:type="dxa"/>
          </w:tcPr>
          <w:p w14:paraId="00F84FF8" w14:textId="77777777" w:rsidR="001A6C96" w:rsidRPr="00C9343F" w:rsidRDefault="001A6C96" w:rsidP="00F66D98">
            <w:pPr>
              <w:pStyle w:val="BlockText-Plain"/>
              <w:jc w:val="center"/>
            </w:pPr>
            <w:r w:rsidRPr="00C9343F">
              <w:t>3.</w:t>
            </w:r>
          </w:p>
        </w:tc>
        <w:tc>
          <w:tcPr>
            <w:tcW w:w="8368" w:type="dxa"/>
            <w:gridSpan w:val="5"/>
          </w:tcPr>
          <w:p w14:paraId="51209E5B" w14:textId="77777777" w:rsidR="001A6C96" w:rsidRPr="00C9343F" w:rsidRDefault="001A6C96" w:rsidP="00F66D98">
            <w:pPr>
              <w:pStyle w:val="BlockText-Plain"/>
            </w:pPr>
            <w:r w:rsidRPr="00C9343F">
              <w:t xml:space="preserve">The </w:t>
            </w:r>
            <w:r w:rsidRPr="00C9343F">
              <w:rPr>
                <w:rFonts w:cs="Arial"/>
                <w:color w:val="000000"/>
                <w:shd w:val="clear" w:color="auto" w:fill="FFFFFF"/>
              </w:rPr>
              <w:t xml:space="preserve">allowance is paid at the rate that applies to the member’s situation. </w:t>
            </w:r>
          </w:p>
        </w:tc>
      </w:tr>
      <w:tr w:rsidR="001A6C96" w:rsidRPr="00C9343F" w14:paraId="1691DDC3" w14:textId="77777777" w:rsidTr="001F4211">
        <w:trPr>
          <w:cantSplit/>
        </w:trPr>
        <w:tc>
          <w:tcPr>
            <w:tcW w:w="997" w:type="dxa"/>
          </w:tcPr>
          <w:p w14:paraId="0CAC00DB" w14:textId="77777777" w:rsidR="001A6C96" w:rsidRPr="00C9343F" w:rsidRDefault="001A6C96" w:rsidP="00F66D98">
            <w:pPr>
              <w:pStyle w:val="BlockText-Plain"/>
            </w:pPr>
          </w:p>
        </w:tc>
        <w:tc>
          <w:tcPr>
            <w:tcW w:w="567" w:type="dxa"/>
          </w:tcPr>
          <w:p w14:paraId="3DA99020" w14:textId="77777777" w:rsidR="001A6C96" w:rsidRPr="00C9343F" w:rsidRDefault="001A6C96" w:rsidP="008D1B5D">
            <w:pPr>
              <w:pStyle w:val="BlockText-Plain"/>
              <w:jc w:val="center"/>
            </w:pPr>
            <w:r w:rsidRPr="00C9343F">
              <w:t>a.</w:t>
            </w:r>
          </w:p>
        </w:tc>
        <w:tc>
          <w:tcPr>
            <w:tcW w:w="7801" w:type="dxa"/>
            <w:gridSpan w:val="4"/>
          </w:tcPr>
          <w:p w14:paraId="2D0AE8CD" w14:textId="77777777" w:rsidR="001A6C96" w:rsidRPr="00C9343F" w:rsidRDefault="001A6C96" w:rsidP="00F66D98">
            <w:pPr>
              <w:pStyle w:val="BlockText-Plain"/>
            </w:pPr>
            <w:r w:rsidRPr="00C9343F">
              <w:t>The member has received a payment under section 4.9.17 for the same financial year — $1,900 a year.</w:t>
            </w:r>
          </w:p>
        </w:tc>
      </w:tr>
      <w:tr w:rsidR="001A6C96" w:rsidRPr="00C9343F" w14:paraId="5F274CEE" w14:textId="77777777" w:rsidTr="001F4211">
        <w:trPr>
          <w:cantSplit/>
        </w:trPr>
        <w:tc>
          <w:tcPr>
            <w:tcW w:w="997" w:type="dxa"/>
          </w:tcPr>
          <w:p w14:paraId="74F53AC8" w14:textId="77777777" w:rsidR="001A6C96" w:rsidRPr="00C9343F" w:rsidRDefault="001A6C96" w:rsidP="00F66D98">
            <w:pPr>
              <w:pStyle w:val="BlockText-Plain"/>
            </w:pPr>
          </w:p>
        </w:tc>
        <w:tc>
          <w:tcPr>
            <w:tcW w:w="567" w:type="dxa"/>
          </w:tcPr>
          <w:p w14:paraId="7EDD0CA7" w14:textId="77777777" w:rsidR="001A6C96" w:rsidRPr="00C9343F" w:rsidRDefault="001A6C96" w:rsidP="008D1B5D">
            <w:pPr>
              <w:pStyle w:val="BlockText-Plain"/>
              <w:jc w:val="center"/>
            </w:pPr>
            <w:r w:rsidRPr="00C9343F">
              <w:t>b.</w:t>
            </w:r>
          </w:p>
        </w:tc>
        <w:tc>
          <w:tcPr>
            <w:tcW w:w="7801" w:type="dxa"/>
            <w:gridSpan w:val="4"/>
          </w:tcPr>
          <w:p w14:paraId="013B6892" w14:textId="77777777" w:rsidR="001A6C96" w:rsidRPr="00C9343F" w:rsidRDefault="001A6C96" w:rsidP="00F66D98">
            <w:pPr>
              <w:pStyle w:val="BlockText-Plain"/>
            </w:pPr>
            <w:r w:rsidRPr="00C9343F">
              <w:t>The member has not received a payment under section 4.9.17 for the same financial year — $2,500 a year.</w:t>
            </w:r>
          </w:p>
        </w:tc>
      </w:tr>
      <w:tr w:rsidR="001A6C96" w:rsidRPr="00C9343F" w14:paraId="36BBCC38" w14:textId="77777777" w:rsidTr="001F4211">
        <w:tc>
          <w:tcPr>
            <w:tcW w:w="997" w:type="dxa"/>
          </w:tcPr>
          <w:p w14:paraId="01BF2088" w14:textId="77777777" w:rsidR="001A6C96" w:rsidRPr="00C9343F" w:rsidRDefault="001A6C96" w:rsidP="00F66D98">
            <w:pPr>
              <w:pStyle w:val="BlockText-Plain"/>
              <w:jc w:val="center"/>
            </w:pPr>
            <w:r w:rsidRPr="00C9343F">
              <w:t>4.</w:t>
            </w:r>
          </w:p>
        </w:tc>
        <w:tc>
          <w:tcPr>
            <w:tcW w:w="8368" w:type="dxa"/>
            <w:gridSpan w:val="5"/>
          </w:tcPr>
          <w:p w14:paraId="1C4FA6B9" w14:textId="77777777" w:rsidR="001A6C96" w:rsidRPr="00C9343F" w:rsidRDefault="001A6C96" w:rsidP="00F66D98">
            <w:pPr>
              <w:pStyle w:val="BlockText-Plain"/>
            </w:pPr>
            <w:r w:rsidRPr="00C9343F">
              <w:t>The member is eligible to receive the allowance once in a 12 month period commencing the day the member became eligible for the allowance.</w:t>
            </w:r>
          </w:p>
        </w:tc>
      </w:tr>
      <w:tr w:rsidR="001A6C96" w:rsidRPr="00C9343F" w14:paraId="58909B46" w14:textId="77777777" w:rsidTr="001F4211">
        <w:tc>
          <w:tcPr>
            <w:tcW w:w="997" w:type="dxa"/>
          </w:tcPr>
          <w:p w14:paraId="5D9655FC" w14:textId="77777777" w:rsidR="001A6C96" w:rsidRPr="00C9343F" w:rsidRDefault="001A6C96" w:rsidP="00F66D98">
            <w:pPr>
              <w:pStyle w:val="BlockText-Plain"/>
              <w:jc w:val="center"/>
            </w:pPr>
            <w:r w:rsidRPr="00C9343F">
              <w:t>5.</w:t>
            </w:r>
          </w:p>
        </w:tc>
        <w:tc>
          <w:tcPr>
            <w:tcW w:w="8368" w:type="dxa"/>
            <w:gridSpan w:val="5"/>
          </w:tcPr>
          <w:p w14:paraId="6B6D95FC" w14:textId="77777777" w:rsidR="001A6C96" w:rsidRPr="00C9343F" w:rsidRDefault="001A6C96" w:rsidP="00F66D98">
            <w:pPr>
              <w:pStyle w:val="BlockText-Plain"/>
            </w:pPr>
            <w:r w:rsidRPr="00C9343F">
              <w:t>A member must repay a part of the allowance if the member ceases to be insured as required under paragraph 2.b</w:t>
            </w:r>
            <w:r w:rsidRPr="00C9343F">
              <w:rPr>
                <w:color w:val="FF0000"/>
              </w:rPr>
              <w:t xml:space="preserve"> </w:t>
            </w:r>
            <w:r w:rsidRPr="00C9343F">
              <w:t>at any time from the day they became eligible to receive the bonus until the day ending 12 months after that day.</w:t>
            </w:r>
          </w:p>
          <w:p w14:paraId="709D2B3C" w14:textId="77777777" w:rsidR="001A6C96" w:rsidRPr="00C9343F" w:rsidRDefault="001A6C96" w:rsidP="00F66D98">
            <w:pPr>
              <w:pStyle w:val="BlockText-Plain"/>
            </w:pPr>
            <w:r w:rsidRPr="00C9343F">
              <w:rPr>
                <w:b/>
              </w:rPr>
              <w:t>Exceptions:</w:t>
            </w:r>
            <w:r w:rsidRPr="00C9343F">
              <w:t xml:space="preserve"> The CDF may decide that a member does not need to repay the allowance. The CDF must consider why the member did not have insurance for the full period.</w:t>
            </w:r>
          </w:p>
        </w:tc>
      </w:tr>
      <w:tr w:rsidR="001F4211" w:rsidRPr="00C9343F" w14:paraId="4B33AEDF" w14:textId="77777777" w:rsidTr="001F4211">
        <w:tc>
          <w:tcPr>
            <w:tcW w:w="997" w:type="dxa"/>
          </w:tcPr>
          <w:p w14:paraId="17425489" w14:textId="77777777" w:rsidR="001F4211" w:rsidRPr="00C9343F" w:rsidRDefault="001F4211" w:rsidP="00F66D98">
            <w:pPr>
              <w:pStyle w:val="Sectiontext0"/>
              <w:keepNext/>
              <w:keepLines/>
              <w:jc w:val="center"/>
            </w:pPr>
            <w:r w:rsidRPr="00C9343F">
              <w:t>6.</w:t>
            </w:r>
          </w:p>
        </w:tc>
        <w:tc>
          <w:tcPr>
            <w:tcW w:w="8368" w:type="dxa"/>
            <w:gridSpan w:val="5"/>
          </w:tcPr>
          <w:p w14:paraId="66B1B9D9" w14:textId="77777777" w:rsidR="001F4211" w:rsidRPr="00C9343F" w:rsidRDefault="001F4211" w:rsidP="00F66D98">
            <w:pPr>
              <w:pStyle w:val="Sectiontext0"/>
              <w:keepNext/>
              <w:keepLines/>
              <w:rPr>
                <w:iCs/>
              </w:rPr>
            </w:pPr>
            <w:r w:rsidRPr="00C9343F">
              <w:rPr>
                <w:iCs/>
              </w:rPr>
              <w:t>The amount the member must repay under subsection 5 is calculated using the following formula.</w:t>
            </w:r>
          </w:p>
        </w:tc>
      </w:tr>
      <w:tr w:rsidR="001F4211" w:rsidRPr="00C9343F" w14:paraId="0D873791" w14:textId="77777777" w:rsidTr="001F4211">
        <w:tc>
          <w:tcPr>
            <w:tcW w:w="997" w:type="dxa"/>
          </w:tcPr>
          <w:p w14:paraId="18C87037" w14:textId="77777777" w:rsidR="001F4211" w:rsidRPr="00C9343F" w:rsidRDefault="001F4211" w:rsidP="00F66D98">
            <w:pPr>
              <w:pStyle w:val="Sectiontext0"/>
              <w:jc w:val="center"/>
            </w:pPr>
          </w:p>
        </w:tc>
        <w:tc>
          <w:tcPr>
            <w:tcW w:w="8368" w:type="dxa"/>
            <w:gridSpan w:val="5"/>
          </w:tcPr>
          <w:p w14:paraId="5C85A13B" w14:textId="77777777" w:rsidR="001F4211" w:rsidRPr="00C9343F" w:rsidRDefault="001F4211" w:rsidP="00F66D98">
            <w:pPr>
              <w:pStyle w:val="Sectiontext0"/>
              <w:rPr>
                <w:b/>
                <w:iCs/>
              </w:rPr>
            </w:pPr>
            <m:oMathPara>
              <m:oMath>
                <m:r>
                  <m:rPr>
                    <m:sty m:val="bi"/>
                  </m:rPr>
                  <w:rPr>
                    <w:rFonts w:ascii="Cambria Math" w:hAnsi="Cambria Math"/>
                  </w:rPr>
                  <m:t xml:space="preserve">repayment amount= </m:t>
                </m:r>
                <m:f>
                  <m:fPr>
                    <m:ctrlPr>
                      <w:rPr>
                        <w:rFonts w:ascii="Cambria Math" w:hAnsi="Cambria Math"/>
                        <w:b/>
                        <w:i/>
                        <w:iCs/>
                      </w:rPr>
                    </m:ctrlPr>
                  </m:fPr>
                  <m:num>
                    <m:r>
                      <m:rPr>
                        <m:sty m:val="bi"/>
                      </m:rPr>
                      <w:rPr>
                        <w:rFonts w:ascii="Cambria Math" w:hAnsi="Cambria Math"/>
                      </w:rPr>
                      <m:t>A</m:t>
                    </m:r>
                  </m:num>
                  <m:den>
                    <m:r>
                      <m:rPr>
                        <m:sty m:val="bi"/>
                      </m:rPr>
                      <w:rPr>
                        <w:rFonts w:ascii="Cambria Math" w:hAnsi="Cambria Math"/>
                      </w:rPr>
                      <m:t>365</m:t>
                    </m:r>
                  </m:den>
                </m:f>
                <m:r>
                  <m:rPr>
                    <m:sty m:val="bi"/>
                  </m:rPr>
                  <w:rPr>
                    <w:rFonts w:ascii="Cambria Math" w:hAnsi="Cambria Math"/>
                  </w:rPr>
                  <m:t xml:space="preserve"> ×B</m:t>
                </m:r>
              </m:oMath>
            </m:oMathPara>
          </w:p>
        </w:tc>
      </w:tr>
      <w:tr w:rsidR="001F4211" w:rsidRPr="00C9343F" w14:paraId="3AA0AC1C" w14:textId="77777777" w:rsidTr="001F4211">
        <w:tc>
          <w:tcPr>
            <w:tcW w:w="997" w:type="dxa"/>
          </w:tcPr>
          <w:p w14:paraId="176B7511" w14:textId="77777777" w:rsidR="001F4211" w:rsidRPr="00C9343F" w:rsidRDefault="001F4211" w:rsidP="00F66D98">
            <w:pPr>
              <w:pStyle w:val="Sectiontext0"/>
              <w:jc w:val="center"/>
            </w:pPr>
          </w:p>
        </w:tc>
        <w:tc>
          <w:tcPr>
            <w:tcW w:w="8368" w:type="dxa"/>
            <w:gridSpan w:val="5"/>
          </w:tcPr>
          <w:p w14:paraId="1076DA48" w14:textId="77777777" w:rsidR="001F4211" w:rsidRPr="00C9343F" w:rsidRDefault="001F4211" w:rsidP="00F66D98">
            <w:pPr>
              <w:pStyle w:val="Sectiontext0"/>
              <w:rPr>
                <w:iCs/>
              </w:rPr>
            </w:pPr>
            <w:r w:rsidRPr="00C9343F">
              <w:rPr>
                <w:iCs/>
              </w:rPr>
              <w:t>Where:</w:t>
            </w:r>
          </w:p>
        </w:tc>
      </w:tr>
      <w:tr w:rsidR="001F4211" w:rsidRPr="00C9343F" w14:paraId="61E655B0" w14:textId="77777777" w:rsidTr="001F4211">
        <w:tc>
          <w:tcPr>
            <w:tcW w:w="997" w:type="dxa"/>
          </w:tcPr>
          <w:p w14:paraId="40F7919A" w14:textId="77777777" w:rsidR="001F4211" w:rsidRPr="00C9343F" w:rsidRDefault="001F4211" w:rsidP="00F66D98">
            <w:pPr>
              <w:pStyle w:val="Sectiontext0"/>
              <w:jc w:val="center"/>
            </w:pPr>
          </w:p>
        </w:tc>
        <w:tc>
          <w:tcPr>
            <w:tcW w:w="596" w:type="dxa"/>
            <w:gridSpan w:val="2"/>
          </w:tcPr>
          <w:p w14:paraId="74999C35" w14:textId="77777777" w:rsidR="001F4211" w:rsidRPr="00C9343F" w:rsidRDefault="001F4211" w:rsidP="00F66D98">
            <w:pPr>
              <w:pStyle w:val="Sectiontext0"/>
              <w:rPr>
                <w:b/>
                <w:iCs/>
              </w:rPr>
            </w:pPr>
            <w:r w:rsidRPr="00C9343F">
              <w:rPr>
                <w:b/>
                <w:iCs/>
              </w:rPr>
              <w:t>A</w:t>
            </w:r>
          </w:p>
        </w:tc>
        <w:tc>
          <w:tcPr>
            <w:tcW w:w="7772" w:type="dxa"/>
            <w:gridSpan w:val="3"/>
          </w:tcPr>
          <w:p w14:paraId="440A803C" w14:textId="77777777" w:rsidR="001F4211" w:rsidRPr="00C9343F" w:rsidRDefault="001F4211" w:rsidP="00F66D98">
            <w:pPr>
              <w:pStyle w:val="Sectiontext0"/>
              <w:rPr>
                <w:iCs/>
              </w:rPr>
            </w:pPr>
            <w:r w:rsidRPr="00C9343F">
              <w:rPr>
                <w:iCs/>
              </w:rPr>
              <w:t>is the number of days in the following period.</w:t>
            </w:r>
          </w:p>
        </w:tc>
      </w:tr>
      <w:tr w:rsidR="001F4211" w:rsidRPr="00C9343F" w14:paraId="415DFF57" w14:textId="77777777" w:rsidTr="001F4211">
        <w:tc>
          <w:tcPr>
            <w:tcW w:w="997" w:type="dxa"/>
          </w:tcPr>
          <w:p w14:paraId="5C721D3F" w14:textId="77777777" w:rsidR="001F4211" w:rsidRPr="00C9343F" w:rsidRDefault="001F4211" w:rsidP="00F66D98">
            <w:pPr>
              <w:pStyle w:val="Sectiontext0"/>
              <w:jc w:val="center"/>
            </w:pPr>
          </w:p>
        </w:tc>
        <w:tc>
          <w:tcPr>
            <w:tcW w:w="596" w:type="dxa"/>
            <w:gridSpan w:val="2"/>
          </w:tcPr>
          <w:p w14:paraId="20D8F1B3" w14:textId="77777777" w:rsidR="001F4211" w:rsidRPr="00C9343F" w:rsidRDefault="001F4211" w:rsidP="00F66D98">
            <w:pPr>
              <w:pStyle w:val="Sectiontext0"/>
              <w:rPr>
                <w:b/>
                <w:iCs/>
              </w:rPr>
            </w:pPr>
          </w:p>
        </w:tc>
        <w:tc>
          <w:tcPr>
            <w:tcW w:w="426" w:type="dxa"/>
          </w:tcPr>
          <w:p w14:paraId="3DBD2483" w14:textId="77777777" w:rsidR="001F4211" w:rsidRPr="00C9343F" w:rsidRDefault="001F4211" w:rsidP="00F66D98">
            <w:pPr>
              <w:pStyle w:val="Sectiontext0"/>
              <w:jc w:val="center"/>
              <w:rPr>
                <w:iCs/>
              </w:rPr>
            </w:pPr>
            <w:r w:rsidRPr="00C9343F">
              <w:rPr>
                <w:iCs/>
              </w:rPr>
              <w:t>a.</w:t>
            </w:r>
          </w:p>
        </w:tc>
        <w:tc>
          <w:tcPr>
            <w:tcW w:w="7346" w:type="dxa"/>
            <w:gridSpan w:val="2"/>
          </w:tcPr>
          <w:p w14:paraId="1C2E902E" w14:textId="77777777" w:rsidR="001F4211" w:rsidRPr="00C9343F" w:rsidRDefault="001F4211" w:rsidP="00F66D98">
            <w:pPr>
              <w:pStyle w:val="Sectiontext0"/>
              <w:rPr>
                <w:iCs/>
              </w:rPr>
            </w:pPr>
            <w:r w:rsidRPr="00C9343F">
              <w:rPr>
                <w:iCs/>
              </w:rPr>
              <w:t>Starting when the member stops being insured under a health insurance policy.</w:t>
            </w:r>
          </w:p>
        </w:tc>
      </w:tr>
      <w:tr w:rsidR="001F4211" w:rsidRPr="00C9343F" w14:paraId="3BDDEB88" w14:textId="77777777" w:rsidTr="001F4211">
        <w:tc>
          <w:tcPr>
            <w:tcW w:w="997" w:type="dxa"/>
          </w:tcPr>
          <w:p w14:paraId="4E198326" w14:textId="77777777" w:rsidR="001F4211" w:rsidRPr="00C9343F" w:rsidRDefault="001F4211" w:rsidP="00F66D98">
            <w:pPr>
              <w:pStyle w:val="Sectiontext0"/>
              <w:jc w:val="center"/>
            </w:pPr>
          </w:p>
        </w:tc>
        <w:tc>
          <w:tcPr>
            <w:tcW w:w="596" w:type="dxa"/>
            <w:gridSpan w:val="2"/>
          </w:tcPr>
          <w:p w14:paraId="43C91AC7" w14:textId="77777777" w:rsidR="001F4211" w:rsidRPr="00C9343F" w:rsidRDefault="001F4211" w:rsidP="00F66D98">
            <w:pPr>
              <w:pStyle w:val="Sectiontext0"/>
              <w:rPr>
                <w:b/>
                <w:iCs/>
              </w:rPr>
            </w:pPr>
          </w:p>
        </w:tc>
        <w:tc>
          <w:tcPr>
            <w:tcW w:w="426" w:type="dxa"/>
          </w:tcPr>
          <w:p w14:paraId="15151332" w14:textId="77777777" w:rsidR="001F4211" w:rsidRPr="00C9343F" w:rsidRDefault="001F4211" w:rsidP="00F66D98">
            <w:pPr>
              <w:pStyle w:val="Sectiontext0"/>
              <w:jc w:val="center"/>
              <w:rPr>
                <w:iCs/>
              </w:rPr>
            </w:pPr>
            <w:r w:rsidRPr="00C9343F">
              <w:rPr>
                <w:iCs/>
              </w:rPr>
              <w:t>b.</w:t>
            </w:r>
          </w:p>
        </w:tc>
        <w:tc>
          <w:tcPr>
            <w:tcW w:w="7346" w:type="dxa"/>
            <w:gridSpan w:val="2"/>
          </w:tcPr>
          <w:p w14:paraId="648E22E7" w14:textId="77777777" w:rsidR="001F4211" w:rsidRPr="00C9343F" w:rsidRDefault="001F4211" w:rsidP="00F66D98">
            <w:pPr>
              <w:pStyle w:val="Sectiontext0"/>
              <w:rPr>
                <w:iCs/>
              </w:rPr>
            </w:pPr>
            <w:r w:rsidRPr="00C9343F">
              <w:rPr>
                <w:iCs/>
              </w:rPr>
              <w:t>Ending one year after the member became eligible for their last health support allowance payment.</w:t>
            </w:r>
          </w:p>
        </w:tc>
      </w:tr>
      <w:tr w:rsidR="001F4211" w:rsidRPr="00C9343F" w14:paraId="71330303" w14:textId="77777777" w:rsidTr="001F4211">
        <w:tc>
          <w:tcPr>
            <w:tcW w:w="997" w:type="dxa"/>
          </w:tcPr>
          <w:p w14:paraId="4BA1A4A9" w14:textId="77777777" w:rsidR="001F4211" w:rsidRPr="00C9343F" w:rsidRDefault="001F4211" w:rsidP="00F66D98">
            <w:pPr>
              <w:pStyle w:val="Sectiontext0"/>
              <w:jc w:val="center"/>
            </w:pPr>
          </w:p>
        </w:tc>
        <w:tc>
          <w:tcPr>
            <w:tcW w:w="596" w:type="dxa"/>
            <w:gridSpan w:val="2"/>
          </w:tcPr>
          <w:p w14:paraId="1336C296" w14:textId="77777777" w:rsidR="001F4211" w:rsidRPr="00C9343F" w:rsidRDefault="001F4211" w:rsidP="00F66D98">
            <w:pPr>
              <w:pStyle w:val="Sectiontext0"/>
              <w:rPr>
                <w:b/>
                <w:iCs/>
              </w:rPr>
            </w:pPr>
            <w:r w:rsidRPr="00C9343F">
              <w:rPr>
                <w:b/>
                <w:iCs/>
              </w:rPr>
              <w:t>B</w:t>
            </w:r>
          </w:p>
        </w:tc>
        <w:tc>
          <w:tcPr>
            <w:tcW w:w="7772" w:type="dxa"/>
            <w:gridSpan w:val="3"/>
          </w:tcPr>
          <w:p w14:paraId="36D3AA24" w14:textId="77777777" w:rsidR="001F4211" w:rsidRPr="00C9343F" w:rsidRDefault="001F4211" w:rsidP="00F66D98">
            <w:pPr>
              <w:pStyle w:val="Sectiontext0"/>
              <w:rPr>
                <w:iCs/>
              </w:rPr>
            </w:pPr>
            <w:r w:rsidRPr="00C9343F">
              <w:rPr>
                <w:iCs/>
              </w:rPr>
              <w:t>is the amount of the member’s last payment under this Division.</w:t>
            </w:r>
          </w:p>
        </w:tc>
      </w:tr>
      <w:tr w:rsidR="001A6C96" w:rsidRPr="00C9343F" w14:paraId="390DE629" w14:textId="77777777" w:rsidTr="006E6DDA">
        <w:tc>
          <w:tcPr>
            <w:tcW w:w="997" w:type="dxa"/>
          </w:tcPr>
          <w:p w14:paraId="479ADAD1" w14:textId="77777777" w:rsidR="001A6C96" w:rsidRPr="00C9343F" w:rsidRDefault="001A6C96" w:rsidP="00F66D98">
            <w:pPr>
              <w:pStyle w:val="BlockText-Plain"/>
              <w:jc w:val="center"/>
            </w:pPr>
            <w:r w:rsidRPr="00C9343F">
              <w:t>7.</w:t>
            </w:r>
          </w:p>
        </w:tc>
        <w:tc>
          <w:tcPr>
            <w:tcW w:w="8368" w:type="dxa"/>
            <w:gridSpan w:val="5"/>
          </w:tcPr>
          <w:p w14:paraId="1AC956A6" w14:textId="77777777" w:rsidR="001A6C96" w:rsidRPr="00C9343F" w:rsidRDefault="001A6C96" w:rsidP="00F66D98">
            <w:pPr>
              <w:pStyle w:val="BlockText-Plain"/>
            </w:pPr>
            <w:r w:rsidRPr="00C9343F">
              <w:t>An amount that must be repaid under this section is a debt to the Commonwealth.</w:t>
            </w:r>
          </w:p>
        </w:tc>
      </w:tr>
    </w:tbl>
    <w:p w14:paraId="65439426" w14:textId="3ECD3E04" w:rsidR="00560984" w:rsidRPr="00C9343F" w:rsidRDefault="006D1E1C" w:rsidP="00F66D98">
      <w:pPr>
        <w:pStyle w:val="Heading5"/>
      </w:pPr>
      <w:bookmarkStart w:id="1183" w:name="_Toc105053926"/>
      <w:r w:rsidRPr="00C9343F">
        <w:t>4.9.17</w:t>
      </w:r>
      <w:r w:rsidR="00D94006" w:rsidRPr="00C9343F">
        <w:t>    </w:t>
      </w:r>
      <w:r w:rsidR="00560984" w:rsidRPr="00C9343F">
        <w:t>Health support allowance – Members on Reserve service</w:t>
      </w:r>
      <w:bookmarkEnd w:id="1183"/>
    </w:p>
    <w:tbl>
      <w:tblPr>
        <w:tblW w:w="0" w:type="auto"/>
        <w:tblInd w:w="113" w:type="dxa"/>
        <w:tblLayout w:type="fixed"/>
        <w:tblLook w:val="0000" w:firstRow="0" w:lastRow="0" w:firstColumn="0" w:lastColumn="0" w:noHBand="0" w:noVBand="0"/>
      </w:tblPr>
      <w:tblGrid>
        <w:gridCol w:w="992"/>
        <w:gridCol w:w="567"/>
        <w:gridCol w:w="506"/>
        <w:gridCol w:w="7294"/>
      </w:tblGrid>
      <w:tr w:rsidR="00560984" w:rsidRPr="00C9343F" w14:paraId="2BE8DF59" w14:textId="77777777" w:rsidTr="00D81CEA">
        <w:tc>
          <w:tcPr>
            <w:tcW w:w="992" w:type="dxa"/>
          </w:tcPr>
          <w:p w14:paraId="6C976D2A" w14:textId="77777777" w:rsidR="00560984" w:rsidRPr="00C9343F" w:rsidRDefault="00560984" w:rsidP="00F66D98">
            <w:pPr>
              <w:pStyle w:val="BlockText-Plain"/>
              <w:jc w:val="center"/>
            </w:pPr>
            <w:r w:rsidRPr="00C9343F">
              <w:t>1.</w:t>
            </w:r>
          </w:p>
        </w:tc>
        <w:tc>
          <w:tcPr>
            <w:tcW w:w="8367" w:type="dxa"/>
            <w:gridSpan w:val="3"/>
          </w:tcPr>
          <w:p w14:paraId="0843CBAA" w14:textId="77777777" w:rsidR="00560984" w:rsidRPr="00C9343F" w:rsidRDefault="00D81B37" w:rsidP="00F66D98">
            <w:pPr>
              <w:pStyle w:val="BlockText-Plain"/>
            </w:pPr>
            <w:r w:rsidRPr="00C9343F">
              <w:rPr>
                <w:rFonts w:cs="Arial"/>
                <w:lang w:eastAsia="en-US"/>
              </w:rPr>
              <w:t>A member of the Reserves is eligible for a payment of $600.00 if they meet all of the following in a financial year.</w:t>
            </w:r>
          </w:p>
        </w:tc>
      </w:tr>
      <w:tr w:rsidR="00560984" w:rsidRPr="00C9343F" w14:paraId="01F89C38" w14:textId="77777777" w:rsidTr="00D81CEA">
        <w:tblPrEx>
          <w:tblLook w:val="04A0" w:firstRow="1" w:lastRow="0" w:firstColumn="1" w:lastColumn="0" w:noHBand="0" w:noVBand="1"/>
        </w:tblPrEx>
        <w:trPr>
          <w:cantSplit/>
        </w:trPr>
        <w:tc>
          <w:tcPr>
            <w:tcW w:w="992" w:type="dxa"/>
          </w:tcPr>
          <w:p w14:paraId="1FCD21B7" w14:textId="77777777" w:rsidR="00560984" w:rsidRPr="00C9343F" w:rsidRDefault="00560984" w:rsidP="00F66D98">
            <w:pPr>
              <w:pStyle w:val="BlockText-Plain"/>
            </w:pPr>
          </w:p>
        </w:tc>
        <w:tc>
          <w:tcPr>
            <w:tcW w:w="567" w:type="dxa"/>
          </w:tcPr>
          <w:p w14:paraId="1B932ECB" w14:textId="77777777" w:rsidR="00560984" w:rsidRPr="00C9343F" w:rsidRDefault="00560984" w:rsidP="008D1B5D">
            <w:pPr>
              <w:pStyle w:val="BlockText-Plain"/>
              <w:jc w:val="center"/>
            </w:pPr>
            <w:r w:rsidRPr="00C9343F">
              <w:t>a.</w:t>
            </w:r>
          </w:p>
        </w:tc>
        <w:tc>
          <w:tcPr>
            <w:tcW w:w="7800" w:type="dxa"/>
            <w:gridSpan w:val="2"/>
          </w:tcPr>
          <w:p w14:paraId="7876D5E5" w14:textId="77777777" w:rsidR="00560984" w:rsidRPr="00C9343F" w:rsidRDefault="00D81B37" w:rsidP="00F66D98">
            <w:pPr>
              <w:pStyle w:val="BlockText-Plain"/>
            </w:pPr>
            <w:r w:rsidRPr="00C9343F">
              <w:rPr>
                <w:rFonts w:cs="Arial"/>
                <w:lang w:eastAsia="en-US"/>
              </w:rPr>
              <w:t xml:space="preserve">They provide a minimum of 20 days service made up of any combination of the following. </w:t>
            </w:r>
            <w:r w:rsidR="00560984" w:rsidRPr="00C9343F">
              <w:t xml:space="preserve"> </w:t>
            </w:r>
          </w:p>
        </w:tc>
      </w:tr>
      <w:tr w:rsidR="00D81B37" w:rsidRPr="00C9343F" w14:paraId="4815C001" w14:textId="77777777" w:rsidTr="00355AF2">
        <w:tblPrEx>
          <w:tblLook w:val="04A0" w:firstRow="1" w:lastRow="0" w:firstColumn="1" w:lastColumn="0" w:noHBand="0" w:noVBand="1"/>
        </w:tblPrEx>
        <w:trPr>
          <w:cantSplit/>
        </w:trPr>
        <w:tc>
          <w:tcPr>
            <w:tcW w:w="992" w:type="dxa"/>
          </w:tcPr>
          <w:p w14:paraId="398DC4B8" w14:textId="77777777" w:rsidR="00D81B37" w:rsidRPr="00C9343F" w:rsidRDefault="00D81B37" w:rsidP="00F66D98">
            <w:pPr>
              <w:pStyle w:val="BlockText-Plain"/>
            </w:pPr>
          </w:p>
        </w:tc>
        <w:tc>
          <w:tcPr>
            <w:tcW w:w="567" w:type="dxa"/>
          </w:tcPr>
          <w:p w14:paraId="0EC09F6A" w14:textId="77777777" w:rsidR="00D81B37" w:rsidRPr="00C9343F" w:rsidRDefault="00D81B37" w:rsidP="00F66D98">
            <w:pPr>
              <w:pStyle w:val="BlockText-Plain"/>
            </w:pPr>
          </w:p>
        </w:tc>
        <w:tc>
          <w:tcPr>
            <w:tcW w:w="506" w:type="dxa"/>
          </w:tcPr>
          <w:p w14:paraId="0EB06473" w14:textId="77777777" w:rsidR="00D81B37" w:rsidRPr="00C9343F" w:rsidRDefault="00D81B37" w:rsidP="008D1B5D">
            <w:pPr>
              <w:pStyle w:val="BlockText-Plain"/>
              <w:rPr>
                <w:b/>
              </w:rPr>
            </w:pPr>
            <w:r w:rsidRPr="00C9343F">
              <w:rPr>
                <w:rFonts w:cs="Arial"/>
                <w:iCs/>
                <w:lang w:eastAsia="en-US"/>
              </w:rPr>
              <w:t>i.</w:t>
            </w:r>
          </w:p>
        </w:tc>
        <w:tc>
          <w:tcPr>
            <w:tcW w:w="7294" w:type="dxa"/>
          </w:tcPr>
          <w:p w14:paraId="200A596F" w14:textId="345D0692" w:rsidR="00D81B37" w:rsidRPr="00C9343F" w:rsidRDefault="00D81B37" w:rsidP="00F66D98">
            <w:pPr>
              <w:pStyle w:val="BlockText-Plain"/>
              <w:rPr>
                <w:b/>
              </w:rPr>
            </w:pPr>
            <w:r w:rsidRPr="00C9343F">
              <w:rPr>
                <w:rFonts w:cs="Arial"/>
                <w:lang w:eastAsia="en-US"/>
              </w:rPr>
              <w:t>A da</w:t>
            </w:r>
            <w:r w:rsidR="0020552B" w:rsidRPr="00C9343F">
              <w:rPr>
                <w:rFonts w:cs="Arial"/>
                <w:lang w:eastAsia="en-US"/>
              </w:rPr>
              <w:t>y on which the member provides R</w:t>
            </w:r>
            <w:r w:rsidRPr="00C9343F">
              <w:rPr>
                <w:rFonts w:cs="Arial"/>
                <w:lang w:eastAsia="en-US"/>
              </w:rPr>
              <w:t>eserve service.</w:t>
            </w:r>
          </w:p>
        </w:tc>
      </w:tr>
      <w:tr w:rsidR="00D81B37" w:rsidRPr="00C9343F" w14:paraId="303B9750" w14:textId="77777777" w:rsidTr="00D81B37">
        <w:tblPrEx>
          <w:tblLook w:val="04A0" w:firstRow="1" w:lastRow="0" w:firstColumn="1" w:lastColumn="0" w:noHBand="0" w:noVBand="1"/>
        </w:tblPrEx>
        <w:trPr>
          <w:cantSplit/>
        </w:trPr>
        <w:tc>
          <w:tcPr>
            <w:tcW w:w="992" w:type="dxa"/>
          </w:tcPr>
          <w:p w14:paraId="0573C78D" w14:textId="77777777" w:rsidR="00D81B37" w:rsidRPr="00C9343F" w:rsidRDefault="00D81B37" w:rsidP="00F66D98">
            <w:pPr>
              <w:pStyle w:val="BlockText-Plain"/>
            </w:pPr>
          </w:p>
        </w:tc>
        <w:tc>
          <w:tcPr>
            <w:tcW w:w="567" w:type="dxa"/>
          </w:tcPr>
          <w:p w14:paraId="45BB0FE3" w14:textId="77777777" w:rsidR="00D81B37" w:rsidRPr="00C9343F" w:rsidRDefault="00D81B37" w:rsidP="00F66D98">
            <w:pPr>
              <w:pStyle w:val="BlockText-Plain"/>
            </w:pPr>
          </w:p>
        </w:tc>
        <w:tc>
          <w:tcPr>
            <w:tcW w:w="506" w:type="dxa"/>
          </w:tcPr>
          <w:p w14:paraId="345D62FD" w14:textId="77777777" w:rsidR="00D81B37" w:rsidRPr="00C9343F" w:rsidRDefault="00D81B37" w:rsidP="008D1B5D">
            <w:pPr>
              <w:pStyle w:val="BlockText-Plain"/>
              <w:rPr>
                <w:rFonts w:cs="Arial"/>
                <w:iCs/>
                <w:lang w:eastAsia="en-US"/>
              </w:rPr>
            </w:pPr>
            <w:r w:rsidRPr="00C9343F">
              <w:rPr>
                <w:rFonts w:cs="Arial"/>
                <w:iCs/>
                <w:lang w:eastAsia="en-US"/>
              </w:rPr>
              <w:t>ii.</w:t>
            </w:r>
          </w:p>
        </w:tc>
        <w:tc>
          <w:tcPr>
            <w:tcW w:w="7294" w:type="dxa"/>
          </w:tcPr>
          <w:p w14:paraId="7DAB507C" w14:textId="77777777" w:rsidR="00D81B37" w:rsidRPr="00C9343F" w:rsidRDefault="00D81B37" w:rsidP="00F66D98">
            <w:pPr>
              <w:pStyle w:val="BlockText-Plain"/>
              <w:rPr>
                <w:rFonts w:cs="Arial"/>
                <w:lang w:eastAsia="en-US"/>
              </w:rPr>
            </w:pPr>
            <w:r w:rsidRPr="00C9343F">
              <w:rPr>
                <w:rFonts w:cs="Arial"/>
                <w:lang w:eastAsia="en-US"/>
              </w:rPr>
              <w:t>A day on which the member is on continuous full-time service performed as a requirement of a call out order under Division 3 of Part III of the Act.</w:t>
            </w:r>
          </w:p>
        </w:tc>
      </w:tr>
      <w:tr w:rsidR="00D81B37" w:rsidRPr="00C9343F" w14:paraId="4FC32C06" w14:textId="77777777" w:rsidTr="00D81B37">
        <w:tblPrEx>
          <w:tblLook w:val="04A0" w:firstRow="1" w:lastRow="0" w:firstColumn="1" w:lastColumn="0" w:noHBand="0" w:noVBand="1"/>
        </w:tblPrEx>
        <w:trPr>
          <w:cantSplit/>
        </w:trPr>
        <w:tc>
          <w:tcPr>
            <w:tcW w:w="992" w:type="dxa"/>
          </w:tcPr>
          <w:p w14:paraId="7928B20C" w14:textId="77777777" w:rsidR="00D81B37" w:rsidRPr="00C9343F" w:rsidRDefault="00D81B37" w:rsidP="00F66D98">
            <w:pPr>
              <w:pStyle w:val="BlockText-Plain"/>
            </w:pPr>
          </w:p>
        </w:tc>
        <w:tc>
          <w:tcPr>
            <w:tcW w:w="567" w:type="dxa"/>
          </w:tcPr>
          <w:p w14:paraId="29437C55" w14:textId="77777777" w:rsidR="00D81B37" w:rsidRPr="00C9343F" w:rsidRDefault="00D81B37" w:rsidP="00F66D98">
            <w:pPr>
              <w:pStyle w:val="BlockText-Plain"/>
            </w:pPr>
          </w:p>
        </w:tc>
        <w:tc>
          <w:tcPr>
            <w:tcW w:w="506" w:type="dxa"/>
          </w:tcPr>
          <w:p w14:paraId="1D059A07" w14:textId="77777777" w:rsidR="00D81B37" w:rsidRPr="00C9343F" w:rsidRDefault="00D81B37" w:rsidP="008D1B5D">
            <w:pPr>
              <w:pStyle w:val="BlockText-Plain"/>
              <w:rPr>
                <w:rFonts w:cs="Arial"/>
                <w:iCs/>
                <w:lang w:eastAsia="en-US"/>
              </w:rPr>
            </w:pPr>
            <w:r w:rsidRPr="00C9343F">
              <w:rPr>
                <w:rFonts w:cs="Arial"/>
                <w:lang w:eastAsia="en-US"/>
              </w:rPr>
              <w:t>iii.</w:t>
            </w:r>
          </w:p>
        </w:tc>
        <w:tc>
          <w:tcPr>
            <w:tcW w:w="7294" w:type="dxa"/>
          </w:tcPr>
          <w:p w14:paraId="7AF2CD84" w14:textId="77777777" w:rsidR="00D81B37" w:rsidRPr="00C9343F" w:rsidRDefault="00D81B37" w:rsidP="00F66D98">
            <w:pPr>
              <w:pStyle w:val="BlockText-Plain"/>
              <w:rPr>
                <w:rFonts w:cs="Arial"/>
                <w:lang w:eastAsia="en-US"/>
              </w:rPr>
            </w:pPr>
            <w:r w:rsidRPr="00C9343F">
              <w:rPr>
                <w:rFonts w:cs="Arial"/>
                <w:lang w:eastAsia="en-US"/>
              </w:rPr>
              <w:t>A day in a pattern of Reserve service that the member was unable to provide because of restriction or limitation imposed by or under a law of a State of Territory, however described.</w:t>
            </w:r>
          </w:p>
        </w:tc>
      </w:tr>
      <w:tr w:rsidR="00D81B37" w:rsidRPr="00C9343F" w14:paraId="5023CACA" w14:textId="77777777" w:rsidTr="00D81B37">
        <w:tblPrEx>
          <w:tblLook w:val="04A0" w:firstRow="1" w:lastRow="0" w:firstColumn="1" w:lastColumn="0" w:noHBand="0" w:noVBand="1"/>
        </w:tblPrEx>
        <w:trPr>
          <w:cantSplit/>
        </w:trPr>
        <w:tc>
          <w:tcPr>
            <w:tcW w:w="992" w:type="dxa"/>
          </w:tcPr>
          <w:p w14:paraId="0D7CD1C0" w14:textId="77777777" w:rsidR="00D81B37" w:rsidRPr="00C9343F" w:rsidRDefault="00D81B37" w:rsidP="00F66D98">
            <w:pPr>
              <w:pStyle w:val="BlockText-Plain"/>
            </w:pPr>
          </w:p>
        </w:tc>
        <w:tc>
          <w:tcPr>
            <w:tcW w:w="567" w:type="dxa"/>
          </w:tcPr>
          <w:p w14:paraId="088777FD" w14:textId="77777777" w:rsidR="00D81B37" w:rsidRPr="00C9343F" w:rsidRDefault="00D81B37" w:rsidP="00F66D98">
            <w:pPr>
              <w:pStyle w:val="BlockText-Plain"/>
            </w:pPr>
          </w:p>
        </w:tc>
        <w:tc>
          <w:tcPr>
            <w:tcW w:w="506" w:type="dxa"/>
          </w:tcPr>
          <w:p w14:paraId="5012D217" w14:textId="77777777" w:rsidR="00D81B37" w:rsidRPr="00C9343F" w:rsidRDefault="00D81B37" w:rsidP="008D1B5D">
            <w:pPr>
              <w:pStyle w:val="BlockText-Plain"/>
              <w:rPr>
                <w:rFonts w:cs="Arial"/>
                <w:iCs/>
                <w:lang w:eastAsia="en-US"/>
              </w:rPr>
            </w:pPr>
            <w:r w:rsidRPr="00C9343F">
              <w:rPr>
                <w:rFonts w:cs="Arial"/>
                <w:lang w:eastAsia="en-US"/>
              </w:rPr>
              <w:t>iv.</w:t>
            </w:r>
          </w:p>
        </w:tc>
        <w:tc>
          <w:tcPr>
            <w:tcW w:w="7294" w:type="dxa"/>
          </w:tcPr>
          <w:p w14:paraId="7D12AA7F" w14:textId="77777777" w:rsidR="00D81B37" w:rsidRPr="00C9343F" w:rsidRDefault="00D81B37" w:rsidP="00F66D98">
            <w:pPr>
              <w:pStyle w:val="BlockText-Plain"/>
              <w:rPr>
                <w:rFonts w:cs="Arial"/>
                <w:lang w:eastAsia="en-US"/>
              </w:rPr>
            </w:pPr>
            <w:r w:rsidRPr="00C9343F">
              <w:rPr>
                <w:rFonts w:cs="Arial"/>
                <w:lang w:eastAsia="en-US"/>
              </w:rPr>
              <w:t>A day in a pattern of Reserve service the member would have provided if it had not been cancelled for the purposes of controlling an infectious disease.</w:t>
            </w:r>
          </w:p>
        </w:tc>
      </w:tr>
      <w:tr w:rsidR="00D81B37" w:rsidRPr="00C9343F" w14:paraId="3D66DD38" w14:textId="77777777" w:rsidTr="00B15186">
        <w:tblPrEx>
          <w:tblLook w:val="04A0" w:firstRow="1" w:lastRow="0" w:firstColumn="1" w:lastColumn="0" w:noHBand="0" w:noVBand="1"/>
        </w:tblPrEx>
        <w:trPr>
          <w:cantSplit/>
        </w:trPr>
        <w:tc>
          <w:tcPr>
            <w:tcW w:w="992" w:type="dxa"/>
          </w:tcPr>
          <w:p w14:paraId="08277C94" w14:textId="77777777" w:rsidR="00D81B37" w:rsidRPr="00C9343F" w:rsidRDefault="00D81B37" w:rsidP="00F66D98">
            <w:pPr>
              <w:pStyle w:val="BlockText-Plain"/>
            </w:pPr>
          </w:p>
        </w:tc>
        <w:tc>
          <w:tcPr>
            <w:tcW w:w="567" w:type="dxa"/>
          </w:tcPr>
          <w:p w14:paraId="6DE30165" w14:textId="77777777" w:rsidR="00D81B37" w:rsidRPr="00C9343F" w:rsidRDefault="00D81B37" w:rsidP="008D1B5D">
            <w:pPr>
              <w:pStyle w:val="BlockText-Plain"/>
              <w:jc w:val="center"/>
            </w:pPr>
            <w:r w:rsidRPr="00C9343F">
              <w:rPr>
                <w:rFonts w:cs="Arial"/>
                <w:lang w:eastAsia="en-US"/>
              </w:rPr>
              <w:t>b.</w:t>
            </w:r>
          </w:p>
        </w:tc>
        <w:tc>
          <w:tcPr>
            <w:tcW w:w="7800" w:type="dxa"/>
            <w:gridSpan w:val="2"/>
          </w:tcPr>
          <w:p w14:paraId="38B97268" w14:textId="77777777" w:rsidR="00D81B37" w:rsidRPr="00C9343F" w:rsidRDefault="00D81B37" w:rsidP="00F66D98">
            <w:pPr>
              <w:pStyle w:val="BlockText-Plain"/>
              <w:rPr>
                <w:rFonts w:cs="Arial"/>
                <w:lang w:eastAsia="en-US"/>
              </w:rPr>
            </w:pPr>
            <w:r w:rsidRPr="00C9343F">
              <w:rPr>
                <w:rFonts w:cs="Arial"/>
                <w:lang w:eastAsia="en-US"/>
              </w:rPr>
              <w:t>They have not received an allowance under paragraph 4.9.16.3.b in the same financial year.</w:t>
            </w:r>
          </w:p>
        </w:tc>
      </w:tr>
      <w:tr w:rsidR="00D81B37" w:rsidRPr="00C9343F" w14:paraId="538FBD70" w14:textId="77777777" w:rsidTr="00D81CEA">
        <w:tblPrEx>
          <w:tblLook w:val="04A0" w:firstRow="1" w:lastRow="0" w:firstColumn="1" w:lastColumn="0" w:noHBand="0" w:noVBand="1"/>
        </w:tblPrEx>
        <w:tc>
          <w:tcPr>
            <w:tcW w:w="992" w:type="dxa"/>
          </w:tcPr>
          <w:p w14:paraId="2E41743A" w14:textId="77777777" w:rsidR="00D81B37" w:rsidRPr="00C9343F" w:rsidRDefault="00D81B37" w:rsidP="00F66D98">
            <w:pPr>
              <w:pStyle w:val="BlockText-Plain"/>
              <w:jc w:val="center"/>
            </w:pPr>
            <w:r w:rsidRPr="00C9343F">
              <w:t>2.</w:t>
            </w:r>
          </w:p>
        </w:tc>
        <w:tc>
          <w:tcPr>
            <w:tcW w:w="8367" w:type="dxa"/>
            <w:gridSpan w:val="3"/>
          </w:tcPr>
          <w:p w14:paraId="2014A878" w14:textId="77777777" w:rsidR="00D81B37" w:rsidRPr="00C9343F" w:rsidRDefault="00D81B37" w:rsidP="00F66D98">
            <w:pPr>
              <w:pStyle w:val="TableTextArial-left"/>
              <w:spacing w:after="200"/>
            </w:pPr>
            <w:r w:rsidRPr="00C9343F">
              <w:t>To be eligible for the payment, the member must complete and submit the approved form before 30 January after the financial year in which the Reserve service was performed.</w:t>
            </w:r>
          </w:p>
        </w:tc>
      </w:tr>
    </w:tbl>
    <w:p w14:paraId="19A2BCB7" w14:textId="1CD974BD" w:rsidR="005E2D85" w:rsidRPr="00C9343F" w:rsidRDefault="005E2D85" w:rsidP="00226E7D">
      <w:pPr>
        <w:pStyle w:val="Heading4"/>
        <w:pageBreakBefore/>
      </w:pPr>
      <w:bookmarkStart w:id="1184" w:name="_Toc105053927"/>
      <w:r w:rsidRPr="00C9343F">
        <w:t>Division 4: Reserve service payment – infectious diseases</w:t>
      </w:r>
      <w:bookmarkEnd w:id="1184"/>
    </w:p>
    <w:p w14:paraId="13DBCC20" w14:textId="4E2D1A11" w:rsidR="005E2D85" w:rsidRPr="00C9343F" w:rsidRDefault="005E2D85" w:rsidP="00F66D98">
      <w:pPr>
        <w:pStyle w:val="Heading5"/>
      </w:pPr>
      <w:bookmarkStart w:id="1185" w:name="_Toc105053928"/>
      <w:r w:rsidRPr="00C9343F">
        <w:t>4.9.19</w:t>
      </w:r>
      <w:r w:rsidR="00D94006" w:rsidRPr="00C9343F">
        <w:t>    </w:t>
      </w:r>
      <w:r w:rsidRPr="00C9343F">
        <w:t>Member this Division applies to</w:t>
      </w:r>
      <w:bookmarkEnd w:id="1185"/>
    </w:p>
    <w:tbl>
      <w:tblPr>
        <w:tblW w:w="0" w:type="auto"/>
        <w:tblInd w:w="113" w:type="dxa"/>
        <w:tblLayout w:type="fixed"/>
        <w:tblLook w:val="04A0" w:firstRow="1" w:lastRow="0" w:firstColumn="1" w:lastColumn="0" w:noHBand="0" w:noVBand="1"/>
      </w:tblPr>
      <w:tblGrid>
        <w:gridCol w:w="992"/>
        <w:gridCol w:w="8367"/>
      </w:tblGrid>
      <w:tr w:rsidR="00646415" w:rsidRPr="00C9343F" w14:paraId="2A19008A" w14:textId="77777777" w:rsidTr="00796E93">
        <w:tc>
          <w:tcPr>
            <w:tcW w:w="992" w:type="dxa"/>
          </w:tcPr>
          <w:p w14:paraId="72329DB8" w14:textId="77777777" w:rsidR="00646415" w:rsidRPr="00C9343F" w:rsidRDefault="00646415" w:rsidP="00F66D98">
            <w:pPr>
              <w:pStyle w:val="BlockText-Plain"/>
              <w:jc w:val="center"/>
            </w:pPr>
          </w:p>
        </w:tc>
        <w:tc>
          <w:tcPr>
            <w:tcW w:w="8367" w:type="dxa"/>
          </w:tcPr>
          <w:p w14:paraId="1AD9A198" w14:textId="77777777" w:rsidR="00646415" w:rsidRPr="00C9343F" w:rsidRDefault="00646415" w:rsidP="00F66D98">
            <w:pPr>
              <w:pStyle w:val="TableTextArial-left"/>
              <w:spacing w:before="0" w:after="200"/>
            </w:pPr>
            <w:r w:rsidRPr="00C9343F">
              <w:rPr>
                <w:rFonts w:cs="Arial"/>
                <w:color w:val="000000"/>
                <w:shd w:val="clear" w:color="auto" w:fill="FFFFFF"/>
              </w:rPr>
              <w:t>This section applies to a member of the Reserves not on continuous full-time service.</w:t>
            </w:r>
          </w:p>
        </w:tc>
      </w:tr>
    </w:tbl>
    <w:p w14:paraId="1C366A14" w14:textId="4069854B" w:rsidR="00646415" w:rsidRPr="00C9343F" w:rsidRDefault="00646415" w:rsidP="00F66D98">
      <w:pPr>
        <w:pStyle w:val="Heading5"/>
      </w:pPr>
      <w:bookmarkStart w:id="1186" w:name="_Toc105053929"/>
      <w:r w:rsidRPr="00C9343F">
        <w:t>4.9.20</w:t>
      </w:r>
      <w:r w:rsidR="00D94006" w:rsidRPr="00C9343F">
        <w:t>    </w:t>
      </w:r>
      <w:r w:rsidRPr="00C9343F">
        <w:t>Payments for periods of isolation associated with military service</w:t>
      </w:r>
      <w:bookmarkEnd w:id="1186"/>
    </w:p>
    <w:tbl>
      <w:tblPr>
        <w:tblW w:w="0" w:type="auto"/>
        <w:tblInd w:w="113" w:type="dxa"/>
        <w:tblLayout w:type="fixed"/>
        <w:tblLook w:val="04A0" w:firstRow="1" w:lastRow="0" w:firstColumn="1" w:lastColumn="0" w:noHBand="0" w:noVBand="1"/>
      </w:tblPr>
      <w:tblGrid>
        <w:gridCol w:w="992"/>
        <w:gridCol w:w="567"/>
        <w:gridCol w:w="7800"/>
      </w:tblGrid>
      <w:tr w:rsidR="00646415" w:rsidRPr="00C9343F" w14:paraId="17C26AB6" w14:textId="77777777" w:rsidTr="00796E93">
        <w:tc>
          <w:tcPr>
            <w:tcW w:w="992" w:type="dxa"/>
          </w:tcPr>
          <w:p w14:paraId="6E9040BA" w14:textId="77777777" w:rsidR="00646415" w:rsidRPr="00C9343F" w:rsidRDefault="00646415" w:rsidP="00F66D98">
            <w:pPr>
              <w:pStyle w:val="BlockText-Plain"/>
              <w:jc w:val="center"/>
            </w:pPr>
            <w:r w:rsidRPr="00C9343F">
              <w:t>1.</w:t>
            </w:r>
          </w:p>
        </w:tc>
        <w:tc>
          <w:tcPr>
            <w:tcW w:w="8367" w:type="dxa"/>
            <w:gridSpan w:val="2"/>
          </w:tcPr>
          <w:p w14:paraId="2F101A01" w14:textId="77777777" w:rsidR="00646415" w:rsidRPr="00C9343F" w:rsidRDefault="00646415" w:rsidP="00F66D98">
            <w:pPr>
              <w:pStyle w:val="TableTextArial-left"/>
              <w:spacing w:before="0" w:after="200"/>
            </w:pPr>
            <w:r w:rsidRPr="00C9343F">
              <w:rPr>
                <w:rStyle w:val="normaltextrun"/>
                <w:rFonts w:cs="Arial"/>
                <w:color w:val="000000"/>
              </w:rPr>
              <w:t xml:space="preserve">Subject to section 4.9.24, a member of the Reserves is eligible for a Reserve service payment if </w:t>
            </w:r>
            <w:r w:rsidRPr="00C9343F">
              <w:rPr>
                <w:rStyle w:val="advancedproofingissue"/>
                <w:rFonts w:cs="Arial"/>
                <w:color w:val="000000"/>
              </w:rPr>
              <w:t>all of</w:t>
            </w:r>
            <w:r w:rsidRPr="00C9343F">
              <w:rPr>
                <w:rStyle w:val="normaltextrun"/>
                <w:rFonts w:cs="Arial"/>
                <w:color w:val="000000"/>
              </w:rPr>
              <w:t xml:space="preserve"> the following apply.</w:t>
            </w:r>
          </w:p>
        </w:tc>
      </w:tr>
      <w:tr w:rsidR="00646415" w:rsidRPr="00C9343F" w14:paraId="6BB25640" w14:textId="77777777" w:rsidTr="00796E93">
        <w:trPr>
          <w:cantSplit/>
        </w:trPr>
        <w:tc>
          <w:tcPr>
            <w:tcW w:w="992" w:type="dxa"/>
          </w:tcPr>
          <w:p w14:paraId="1884937F" w14:textId="77777777" w:rsidR="00646415" w:rsidRPr="00C9343F" w:rsidRDefault="00646415" w:rsidP="00F66D98">
            <w:pPr>
              <w:pStyle w:val="BlockText-Plain"/>
            </w:pPr>
          </w:p>
        </w:tc>
        <w:tc>
          <w:tcPr>
            <w:tcW w:w="567" w:type="dxa"/>
          </w:tcPr>
          <w:p w14:paraId="311B3EA3" w14:textId="77777777" w:rsidR="00646415" w:rsidRPr="00C9343F" w:rsidRDefault="00646415" w:rsidP="008D1B5D">
            <w:pPr>
              <w:pStyle w:val="BlockText-Plain"/>
              <w:jc w:val="center"/>
            </w:pPr>
            <w:r w:rsidRPr="00C9343F">
              <w:t>a.</w:t>
            </w:r>
          </w:p>
        </w:tc>
        <w:tc>
          <w:tcPr>
            <w:tcW w:w="7800" w:type="dxa"/>
          </w:tcPr>
          <w:p w14:paraId="7D3EC256" w14:textId="77777777" w:rsidR="00646415" w:rsidRPr="00C9343F" w:rsidRDefault="00646415" w:rsidP="00F66D98">
            <w:pPr>
              <w:pStyle w:val="BlockText-Plain"/>
            </w:pPr>
            <w:r w:rsidRPr="00C9343F">
              <w:rPr>
                <w:rStyle w:val="normaltextrun"/>
                <w:rFonts w:cs="Arial"/>
                <w:color w:val="000000"/>
              </w:rPr>
              <w:t>Their Commanding Officer reasonably believes the member was exposed to an infectious disease in the course of their service.</w:t>
            </w:r>
          </w:p>
        </w:tc>
      </w:tr>
      <w:tr w:rsidR="00646415" w:rsidRPr="00C9343F" w14:paraId="5D0D6D70" w14:textId="77777777" w:rsidTr="00796E93">
        <w:trPr>
          <w:cantSplit/>
        </w:trPr>
        <w:tc>
          <w:tcPr>
            <w:tcW w:w="992" w:type="dxa"/>
          </w:tcPr>
          <w:p w14:paraId="33A3BC94" w14:textId="77777777" w:rsidR="00646415" w:rsidRPr="00C9343F" w:rsidRDefault="00646415" w:rsidP="00F66D98">
            <w:pPr>
              <w:pStyle w:val="BlockText-Plain"/>
            </w:pPr>
          </w:p>
        </w:tc>
        <w:tc>
          <w:tcPr>
            <w:tcW w:w="567" w:type="dxa"/>
          </w:tcPr>
          <w:p w14:paraId="2B863FD3" w14:textId="77777777" w:rsidR="00646415" w:rsidRPr="00C9343F" w:rsidRDefault="00646415" w:rsidP="008D1B5D">
            <w:pPr>
              <w:pStyle w:val="BlockText-Plain"/>
              <w:jc w:val="center"/>
            </w:pPr>
            <w:r w:rsidRPr="00C9343F">
              <w:t>b.</w:t>
            </w:r>
          </w:p>
        </w:tc>
        <w:tc>
          <w:tcPr>
            <w:tcW w:w="7800" w:type="dxa"/>
          </w:tcPr>
          <w:p w14:paraId="584B551F" w14:textId="77777777" w:rsidR="00646415" w:rsidRPr="00C9343F" w:rsidRDefault="00646415" w:rsidP="00F66D98">
            <w:pPr>
              <w:pStyle w:val="BlockText-Plain"/>
              <w:rPr>
                <w:rStyle w:val="normaltextrun"/>
                <w:rFonts w:cs="Arial"/>
                <w:color w:val="000000"/>
              </w:rPr>
            </w:pPr>
            <w:r w:rsidRPr="00C9343F">
              <w:rPr>
                <w:rStyle w:val="normaltextrun"/>
                <w:rFonts w:cs="Arial"/>
                <w:color w:val="000000"/>
              </w:rPr>
              <w:t>They are required to isolate themselves.</w:t>
            </w:r>
          </w:p>
        </w:tc>
      </w:tr>
      <w:tr w:rsidR="00646415" w:rsidRPr="00C9343F" w14:paraId="53023033" w14:textId="77777777" w:rsidTr="00796E93">
        <w:trPr>
          <w:cantSplit/>
        </w:trPr>
        <w:tc>
          <w:tcPr>
            <w:tcW w:w="992" w:type="dxa"/>
          </w:tcPr>
          <w:p w14:paraId="672C4018" w14:textId="77777777" w:rsidR="00646415" w:rsidRPr="00C9343F" w:rsidRDefault="00646415" w:rsidP="00F66D98">
            <w:pPr>
              <w:pStyle w:val="BlockText-Plain"/>
            </w:pPr>
          </w:p>
        </w:tc>
        <w:tc>
          <w:tcPr>
            <w:tcW w:w="8367" w:type="dxa"/>
            <w:gridSpan w:val="2"/>
          </w:tcPr>
          <w:p w14:paraId="27A3D3D4" w14:textId="77777777" w:rsidR="00646415" w:rsidRPr="00C9343F" w:rsidRDefault="00646415" w:rsidP="00F66D98">
            <w:pPr>
              <w:pStyle w:val="BlockText-Plain"/>
              <w:rPr>
                <w:rStyle w:val="normaltextrun"/>
                <w:rFonts w:cs="Arial"/>
                <w:b/>
                <w:bCs/>
                <w:color w:val="000000"/>
              </w:rPr>
            </w:pPr>
            <w:r w:rsidRPr="00C9343F">
              <w:rPr>
                <w:rStyle w:val="normaltextrun"/>
                <w:rFonts w:cs="Arial"/>
                <w:b/>
                <w:bCs/>
                <w:color w:val="000000"/>
              </w:rPr>
              <w:t>Notes:</w:t>
            </w:r>
          </w:p>
        </w:tc>
      </w:tr>
      <w:tr w:rsidR="00646415" w:rsidRPr="00C9343F" w14:paraId="5A262647" w14:textId="77777777" w:rsidTr="00796E93">
        <w:trPr>
          <w:cantSplit/>
        </w:trPr>
        <w:tc>
          <w:tcPr>
            <w:tcW w:w="992" w:type="dxa"/>
          </w:tcPr>
          <w:p w14:paraId="15FFF99C" w14:textId="77777777" w:rsidR="00646415" w:rsidRPr="00C9343F" w:rsidRDefault="00646415" w:rsidP="00F66D98">
            <w:pPr>
              <w:pStyle w:val="BlockText-Plain"/>
            </w:pPr>
          </w:p>
        </w:tc>
        <w:tc>
          <w:tcPr>
            <w:tcW w:w="8367" w:type="dxa"/>
            <w:gridSpan w:val="2"/>
          </w:tcPr>
          <w:p w14:paraId="18178A6D" w14:textId="77777777" w:rsidR="00646415" w:rsidRPr="00C9343F" w:rsidRDefault="00646415" w:rsidP="00F66D98">
            <w:pPr>
              <w:keepLines w:val="0"/>
              <w:spacing w:after="200"/>
              <w:textAlignment w:val="baseline"/>
              <w:rPr>
                <w:rStyle w:val="normaltextrun"/>
                <w:rFonts w:cs="Arial"/>
                <w:color w:val="000000"/>
              </w:rPr>
            </w:pPr>
            <w:r w:rsidRPr="00C9343F">
              <w:rPr>
                <w:rFonts w:cs="Arial"/>
                <w:sz w:val="20"/>
                <w:lang w:eastAsia="en-US"/>
              </w:rPr>
              <w:t>1. Commanding Officers should work with members to establish work from home arrangements if possible.</w:t>
            </w:r>
            <w:r w:rsidRPr="00C9343F">
              <w:rPr>
                <w:rFonts w:cs="Arial"/>
                <w:sz w:val="20"/>
                <w:lang w:val="en-US" w:eastAsia="en-US"/>
              </w:rPr>
              <w:t> </w:t>
            </w:r>
          </w:p>
        </w:tc>
      </w:tr>
      <w:tr w:rsidR="00646415" w:rsidRPr="00C9343F" w14:paraId="7C27DDFE" w14:textId="77777777" w:rsidTr="00796E93">
        <w:trPr>
          <w:cantSplit/>
        </w:trPr>
        <w:tc>
          <w:tcPr>
            <w:tcW w:w="992" w:type="dxa"/>
          </w:tcPr>
          <w:p w14:paraId="049751DB" w14:textId="77777777" w:rsidR="00646415" w:rsidRPr="00C9343F" w:rsidRDefault="00646415" w:rsidP="00F66D98">
            <w:pPr>
              <w:pStyle w:val="BlockText-Plain"/>
            </w:pPr>
          </w:p>
        </w:tc>
        <w:tc>
          <w:tcPr>
            <w:tcW w:w="8367" w:type="dxa"/>
            <w:gridSpan w:val="2"/>
          </w:tcPr>
          <w:p w14:paraId="3C2BECCA" w14:textId="4BB378B1" w:rsidR="00646415" w:rsidRPr="00C9343F" w:rsidRDefault="00646415" w:rsidP="00F66D98">
            <w:pPr>
              <w:keepLines w:val="0"/>
              <w:spacing w:after="200"/>
              <w:textAlignment w:val="baseline"/>
              <w:rPr>
                <w:rFonts w:cs="Arial"/>
                <w:sz w:val="20"/>
                <w:lang w:eastAsia="en-US"/>
              </w:rPr>
            </w:pPr>
            <w:r w:rsidRPr="00C9343F">
              <w:rPr>
                <w:rFonts w:cs="Arial"/>
                <w:sz w:val="20"/>
                <w:lang w:eastAsia="en-US"/>
              </w:rPr>
              <w:t xml:space="preserve">2. </w:t>
            </w:r>
            <w:r w:rsidRPr="00C9343F">
              <w:rPr>
                <w:rStyle w:val="normaltextrun"/>
                <w:rFonts w:cs="Arial"/>
                <w:color w:val="000000"/>
                <w:sz w:val="20"/>
              </w:rPr>
              <w:t>A member who subsequently becomes ill may be eligible for a payment of salary under section 3.2.13.</w:t>
            </w:r>
          </w:p>
        </w:tc>
      </w:tr>
      <w:tr w:rsidR="00646415" w:rsidRPr="00C9343F" w14:paraId="3C3E8316" w14:textId="77777777" w:rsidTr="00796E93">
        <w:trPr>
          <w:cantSplit/>
        </w:trPr>
        <w:tc>
          <w:tcPr>
            <w:tcW w:w="992" w:type="dxa"/>
          </w:tcPr>
          <w:p w14:paraId="207C4699" w14:textId="77777777" w:rsidR="00646415" w:rsidRPr="00C9343F" w:rsidRDefault="00646415" w:rsidP="00F66D98">
            <w:pPr>
              <w:pStyle w:val="BlockText-Plain"/>
              <w:jc w:val="center"/>
            </w:pPr>
            <w:r w:rsidRPr="00C9343F">
              <w:t>2.</w:t>
            </w:r>
          </w:p>
        </w:tc>
        <w:tc>
          <w:tcPr>
            <w:tcW w:w="8367" w:type="dxa"/>
            <w:gridSpan w:val="2"/>
          </w:tcPr>
          <w:p w14:paraId="5AAD0FA8" w14:textId="77443E61" w:rsidR="00646415" w:rsidRPr="00C9343F" w:rsidRDefault="00646415" w:rsidP="00F66D98">
            <w:pPr>
              <w:keepLines w:val="0"/>
              <w:spacing w:after="200"/>
              <w:textAlignment w:val="baseline"/>
              <w:rPr>
                <w:rFonts w:cs="Arial"/>
                <w:sz w:val="20"/>
                <w:lang w:eastAsia="en-US"/>
              </w:rPr>
            </w:pPr>
            <w:r w:rsidRPr="00C9343F">
              <w:rPr>
                <w:rStyle w:val="normaltextrun"/>
                <w:rFonts w:cs="Arial"/>
                <w:color w:val="000000"/>
                <w:sz w:val="20"/>
              </w:rPr>
              <w:t>The rate of the Reserve service payment is equal to the salary</w:t>
            </w:r>
            <w:r w:rsidR="00711693" w:rsidRPr="00C9343F">
              <w:rPr>
                <w:rStyle w:val="normaltextrun"/>
                <w:rFonts w:cs="Arial"/>
                <w:color w:val="000000"/>
                <w:sz w:val="20"/>
              </w:rPr>
              <w:t xml:space="preserve"> </w:t>
            </w:r>
            <w:r w:rsidRPr="00C9343F">
              <w:rPr>
                <w:rStyle w:val="normaltextrun"/>
                <w:rFonts w:cs="Arial"/>
                <w:color w:val="000000"/>
                <w:sz w:val="20"/>
              </w:rPr>
              <w:t>the member would receive if they rendered service on each day of the isolation period.</w:t>
            </w:r>
          </w:p>
        </w:tc>
      </w:tr>
      <w:tr w:rsidR="00646415" w:rsidRPr="00C9343F" w14:paraId="4F135DE5" w14:textId="77777777" w:rsidTr="00796E93">
        <w:trPr>
          <w:cantSplit/>
        </w:trPr>
        <w:tc>
          <w:tcPr>
            <w:tcW w:w="992" w:type="dxa"/>
          </w:tcPr>
          <w:p w14:paraId="4537C1C7" w14:textId="77777777" w:rsidR="00646415" w:rsidRPr="00C9343F" w:rsidRDefault="00646415" w:rsidP="00F66D98">
            <w:pPr>
              <w:pStyle w:val="BlockText-Plain"/>
              <w:jc w:val="center"/>
            </w:pPr>
            <w:r w:rsidRPr="00C9343F">
              <w:t>3.</w:t>
            </w:r>
          </w:p>
        </w:tc>
        <w:tc>
          <w:tcPr>
            <w:tcW w:w="8367" w:type="dxa"/>
            <w:gridSpan w:val="2"/>
          </w:tcPr>
          <w:p w14:paraId="0711C085" w14:textId="157CF5DF" w:rsidR="00646415" w:rsidRPr="00C9343F" w:rsidRDefault="00646415" w:rsidP="00F66D98">
            <w:pPr>
              <w:keepLines w:val="0"/>
              <w:spacing w:after="200"/>
              <w:textAlignment w:val="baseline"/>
              <w:rPr>
                <w:rStyle w:val="normaltextrun"/>
                <w:rFonts w:cs="Arial"/>
                <w:color w:val="000000"/>
                <w:sz w:val="20"/>
              </w:rPr>
            </w:pPr>
            <w:r w:rsidRPr="00C9343F">
              <w:rPr>
                <w:rStyle w:val="normaltextrun"/>
                <w:rFonts w:cs="Arial"/>
                <w:color w:val="000000"/>
                <w:sz w:val="20"/>
              </w:rPr>
              <w:t>A member must not receive more than the equivalent of 10 days salary for a pay period.</w:t>
            </w:r>
          </w:p>
        </w:tc>
      </w:tr>
      <w:tr w:rsidR="00646415" w:rsidRPr="00C9343F" w14:paraId="78C57205" w14:textId="77777777" w:rsidTr="00796E93">
        <w:trPr>
          <w:cantSplit/>
        </w:trPr>
        <w:tc>
          <w:tcPr>
            <w:tcW w:w="992" w:type="dxa"/>
          </w:tcPr>
          <w:p w14:paraId="35060125" w14:textId="77777777" w:rsidR="00646415" w:rsidRPr="00C9343F" w:rsidRDefault="00646415" w:rsidP="00F66D98">
            <w:pPr>
              <w:pStyle w:val="BlockText-Plain"/>
              <w:jc w:val="center"/>
            </w:pPr>
          </w:p>
        </w:tc>
        <w:tc>
          <w:tcPr>
            <w:tcW w:w="8367" w:type="dxa"/>
            <w:gridSpan w:val="2"/>
          </w:tcPr>
          <w:p w14:paraId="4266B1F2" w14:textId="77777777" w:rsidR="00646415" w:rsidRPr="00C9343F" w:rsidRDefault="00646415" w:rsidP="00F66D98">
            <w:pPr>
              <w:keepLines w:val="0"/>
              <w:spacing w:after="200"/>
              <w:textAlignment w:val="baseline"/>
              <w:rPr>
                <w:sz w:val="20"/>
              </w:rPr>
            </w:pPr>
            <w:r w:rsidRPr="00C9343F">
              <w:rPr>
                <w:b/>
                <w:bCs/>
                <w:sz w:val="20"/>
              </w:rPr>
              <w:t xml:space="preserve">Note: </w:t>
            </w:r>
            <w:r w:rsidRPr="00C9343F">
              <w:rPr>
                <w:rStyle w:val="normaltextrun"/>
                <w:rFonts w:cs="Arial"/>
                <w:color w:val="000000"/>
                <w:sz w:val="20"/>
              </w:rPr>
              <w:t>This may consist of a combination of salary and a Reserve service payment.</w:t>
            </w:r>
          </w:p>
        </w:tc>
      </w:tr>
    </w:tbl>
    <w:p w14:paraId="49B4133E" w14:textId="391E0EB0" w:rsidR="00646415" w:rsidRPr="00C9343F" w:rsidRDefault="00646415" w:rsidP="00F66D98">
      <w:pPr>
        <w:pStyle w:val="Heading5"/>
      </w:pPr>
      <w:bookmarkStart w:id="1187" w:name="_Toc105053930"/>
      <w:r w:rsidRPr="00C9343F">
        <w:t>4.9.21</w:t>
      </w:r>
      <w:r w:rsidR="00D94006" w:rsidRPr="00C9343F">
        <w:t>    </w:t>
      </w:r>
      <w:r w:rsidRPr="00C9343F">
        <w:t>Payment following a Defence activity</w:t>
      </w:r>
      <w:bookmarkEnd w:id="1187"/>
    </w:p>
    <w:tbl>
      <w:tblPr>
        <w:tblW w:w="0" w:type="auto"/>
        <w:tblInd w:w="113" w:type="dxa"/>
        <w:tblLayout w:type="fixed"/>
        <w:tblLook w:val="04A0" w:firstRow="1" w:lastRow="0" w:firstColumn="1" w:lastColumn="0" w:noHBand="0" w:noVBand="1"/>
      </w:tblPr>
      <w:tblGrid>
        <w:gridCol w:w="992"/>
        <w:gridCol w:w="567"/>
        <w:gridCol w:w="7800"/>
      </w:tblGrid>
      <w:tr w:rsidR="00646415" w:rsidRPr="00C9343F" w14:paraId="694C21F2" w14:textId="77777777" w:rsidTr="00796E93">
        <w:tc>
          <w:tcPr>
            <w:tcW w:w="992" w:type="dxa"/>
          </w:tcPr>
          <w:p w14:paraId="1C52FAE1" w14:textId="77777777" w:rsidR="00646415" w:rsidRPr="00C9343F" w:rsidRDefault="00646415" w:rsidP="00F66D98">
            <w:pPr>
              <w:pStyle w:val="BlockText-Plain"/>
              <w:jc w:val="center"/>
            </w:pPr>
            <w:r w:rsidRPr="00C9343F">
              <w:t>1.</w:t>
            </w:r>
          </w:p>
        </w:tc>
        <w:tc>
          <w:tcPr>
            <w:tcW w:w="8367" w:type="dxa"/>
            <w:gridSpan w:val="2"/>
          </w:tcPr>
          <w:p w14:paraId="366F5CE9" w14:textId="77777777" w:rsidR="00646415" w:rsidRPr="00C9343F" w:rsidRDefault="00646415" w:rsidP="00F66D98">
            <w:pPr>
              <w:pStyle w:val="TableTextArial-left"/>
              <w:spacing w:before="0" w:after="200"/>
            </w:pPr>
            <w:r w:rsidRPr="00C9343F">
              <w:rPr>
                <w:rStyle w:val="normaltextrun"/>
                <w:rFonts w:cs="Arial"/>
                <w:color w:val="000000"/>
              </w:rPr>
              <w:t xml:space="preserve">Subject to section 4.9.24, a member is eligible for a Reserve service payment if </w:t>
            </w:r>
            <w:r w:rsidRPr="00C9343F">
              <w:rPr>
                <w:rStyle w:val="advancedproofingissue"/>
                <w:rFonts w:cs="Arial"/>
                <w:color w:val="000000"/>
              </w:rPr>
              <w:t>all of</w:t>
            </w:r>
            <w:r w:rsidRPr="00C9343F">
              <w:rPr>
                <w:rStyle w:val="normaltextrun"/>
                <w:rFonts w:cs="Arial"/>
                <w:color w:val="000000"/>
              </w:rPr>
              <w:t xml:space="preserve"> the following apply.</w:t>
            </w:r>
          </w:p>
        </w:tc>
      </w:tr>
      <w:tr w:rsidR="00646415" w:rsidRPr="00C9343F" w14:paraId="26A69259" w14:textId="77777777" w:rsidTr="00796E93">
        <w:trPr>
          <w:cantSplit/>
        </w:trPr>
        <w:tc>
          <w:tcPr>
            <w:tcW w:w="992" w:type="dxa"/>
          </w:tcPr>
          <w:p w14:paraId="28BF2FCF" w14:textId="77777777" w:rsidR="00646415" w:rsidRPr="00C9343F" w:rsidRDefault="00646415" w:rsidP="00F66D98">
            <w:pPr>
              <w:pStyle w:val="BlockText-Plain"/>
            </w:pPr>
          </w:p>
        </w:tc>
        <w:tc>
          <w:tcPr>
            <w:tcW w:w="567" w:type="dxa"/>
          </w:tcPr>
          <w:p w14:paraId="4999EB72" w14:textId="77777777" w:rsidR="00646415" w:rsidRPr="00C9343F" w:rsidRDefault="00646415" w:rsidP="008D1B5D">
            <w:pPr>
              <w:pStyle w:val="BlockText-Plain"/>
              <w:jc w:val="center"/>
            </w:pPr>
            <w:r w:rsidRPr="00C9343F">
              <w:t>a.</w:t>
            </w:r>
          </w:p>
        </w:tc>
        <w:tc>
          <w:tcPr>
            <w:tcW w:w="7800" w:type="dxa"/>
          </w:tcPr>
          <w:p w14:paraId="30EA46B0" w14:textId="77777777" w:rsidR="00646415" w:rsidRPr="00C9343F" w:rsidRDefault="00646415" w:rsidP="00F66D98">
            <w:pPr>
              <w:pStyle w:val="BlockText-Plain"/>
            </w:pPr>
            <w:r w:rsidRPr="00C9343F">
              <w:rPr>
                <w:rFonts w:cs="Arial"/>
                <w:color w:val="000000"/>
                <w:shd w:val="clear" w:color="auto" w:fill="FFFFFF"/>
              </w:rPr>
              <w:t>They have completed a Defence activity.</w:t>
            </w:r>
          </w:p>
        </w:tc>
      </w:tr>
      <w:tr w:rsidR="00646415" w:rsidRPr="00C9343F" w14:paraId="5893BDA1" w14:textId="77777777" w:rsidTr="00796E93">
        <w:trPr>
          <w:cantSplit/>
        </w:trPr>
        <w:tc>
          <w:tcPr>
            <w:tcW w:w="992" w:type="dxa"/>
          </w:tcPr>
          <w:p w14:paraId="5F4933F3" w14:textId="77777777" w:rsidR="00646415" w:rsidRPr="00C9343F" w:rsidRDefault="00646415" w:rsidP="00F66D98">
            <w:pPr>
              <w:pStyle w:val="BlockText-Plain"/>
            </w:pPr>
          </w:p>
        </w:tc>
        <w:tc>
          <w:tcPr>
            <w:tcW w:w="567" w:type="dxa"/>
          </w:tcPr>
          <w:p w14:paraId="165AE665" w14:textId="77777777" w:rsidR="00646415" w:rsidRPr="00C9343F" w:rsidRDefault="00646415" w:rsidP="008D1B5D">
            <w:pPr>
              <w:pStyle w:val="BlockText-Plain"/>
              <w:jc w:val="center"/>
            </w:pPr>
            <w:r w:rsidRPr="00C9343F">
              <w:t>b.</w:t>
            </w:r>
          </w:p>
        </w:tc>
        <w:tc>
          <w:tcPr>
            <w:tcW w:w="7800" w:type="dxa"/>
          </w:tcPr>
          <w:p w14:paraId="3845607F" w14:textId="77777777" w:rsidR="00646415" w:rsidRPr="00C9343F" w:rsidRDefault="00646415" w:rsidP="00F66D98">
            <w:pPr>
              <w:pStyle w:val="BlockText-Plain"/>
              <w:rPr>
                <w:rStyle w:val="normaltextrun"/>
                <w:rFonts w:cs="Arial"/>
                <w:color w:val="000000"/>
              </w:rPr>
            </w:pPr>
            <w:r w:rsidRPr="00C9343F">
              <w:rPr>
                <w:rStyle w:val="normaltextrun"/>
                <w:rFonts w:cs="Arial"/>
                <w:color w:val="000000"/>
              </w:rPr>
              <w:t xml:space="preserve">They are required to isolate </w:t>
            </w:r>
            <w:r w:rsidRPr="00C9343F">
              <w:rPr>
                <w:rStyle w:val="spellingerror"/>
                <w:rFonts w:cs="Arial"/>
                <w:color w:val="000000"/>
              </w:rPr>
              <w:t>themself</w:t>
            </w:r>
            <w:r w:rsidRPr="00C9343F">
              <w:rPr>
                <w:rStyle w:val="normaltextrun"/>
                <w:rFonts w:cs="Arial"/>
                <w:color w:val="000000"/>
              </w:rPr>
              <w:t xml:space="preserve"> at the end of the Defence activity.</w:t>
            </w:r>
          </w:p>
        </w:tc>
      </w:tr>
      <w:tr w:rsidR="00646415" w:rsidRPr="00C9343F" w14:paraId="5A5F29B9" w14:textId="77777777" w:rsidTr="00796E93">
        <w:trPr>
          <w:cantSplit/>
        </w:trPr>
        <w:tc>
          <w:tcPr>
            <w:tcW w:w="992" w:type="dxa"/>
          </w:tcPr>
          <w:p w14:paraId="36DEACFE" w14:textId="77777777" w:rsidR="00646415" w:rsidRPr="00C9343F" w:rsidRDefault="00646415" w:rsidP="00F66D98">
            <w:pPr>
              <w:pStyle w:val="BlockText-Plain"/>
              <w:jc w:val="center"/>
            </w:pPr>
            <w:r w:rsidRPr="00C9343F">
              <w:t>2.</w:t>
            </w:r>
          </w:p>
        </w:tc>
        <w:tc>
          <w:tcPr>
            <w:tcW w:w="8367" w:type="dxa"/>
            <w:gridSpan w:val="2"/>
          </w:tcPr>
          <w:p w14:paraId="179F6E82" w14:textId="057EC476" w:rsidR="00646415" w:rsidRPr="00C9343F" w:rsidRDefault="00646415" w:rsidP="00F66D98">
            <w:pPr>
              <w:keepLines w:val="0"/>
              <w:spacing w:after="200"/>
              <w:textAlignment w:val="baseline"/>
              <w:rPr>
                <w:rFonts w:cs="Arial"/>
                <w:sz w:val="20"/>
                <w:lang w:eastAsia="en-US"/>
              </w:rPr>
            </w:pPr>
            <w:r w:rsidRPr="00C9343F">
              <w:rPr>
                <w:rStyle w:val="normaltextrun"/>
                <w:rFonts w:cs="Arial"/>
                <w:color w:val="000000"/>
                <w:sz w:val="20"/>
              </w:rPr>
              <w:t>The rate of the Reserve service payment is equal to the salary the member would receive if they rendered service on each day of the isolation period.</w:t>
            </w:r>
          </w:p>
        </w:tc>
      </w:tr>
      <w:tr w:rsidR="00646415" w:rsidRPr="00C9343F" w14:paraId="7C0A90B3" w14:textId="77777777" w:rsidTr="00796E93">
        <w:trPr>
          <w:cantSplit/>
        </w:trPr>
        <w:tc>
          <w:tcPr>
            <w:tcW w:w="992" w:type="dxa"/>
          </w:tcPr>
          <w:p w14:paraId="0FD07667" w14:textId="77777777" w:rsidR="00646415" w:rsidRPr="00C9343F" w:rsidRDefault="00646415" w:rsidP="00F66D98">
            <w:pPr>
              <w:pStyle w:val="BlockText-Plain"/>
              <w:jc w:val="center"/>
            </w:pPr>
            <w:r w:rsidRPr="00C9343F">
              <w:t>3.</w:t>
            </w:r>
          </w:p>
        </w:tc>
        <w:tc>
          <w:tcPr>
            <w:tcW w:w="8367" w:type="dxa"/>
            <w:gridSpan w:val="2"/>
          </w:tcPr>
          <w:p w14:paraId="4B5AF8E0" w14:textId="386E3D73" w:rsidR="00646415" w:rsidRPr="00C9343F" w:rsidRDefault="00646415" w:rsidP="00F66D98">
            <w:pPr>
              <w:keepLines w:val="0"/>
              <w:spacing w:after="200"/>
              <w:textAlignment w:val="baseline"/>
              <w:rPr>
                <w:rStyle w:val="normaltextrun"/>
                <w:rFonts w:cs="Arial"/>
                <w:color w:val="000000"/>
                <w:sz w:val="20"/>
              </w:rPr>
            </w:pPr>
            <w:r w:rsidRPr="00C9343F">
              <w:rPr>
                <w:rStyle w:val="normaltextrun"/>
                <w:rFonts w:cs="Arial"/>
                <w:color w:val="000000"/>
                <w:sz w:val="20"/>
              </w:rPr>
              <w:t>A member must not receive more than the equivalent of 10 days salary for a pay period.</w:t>
            </w:r>
          </w:p>
        </w:tc>
      </w:tr>
      <w:tr w:rsidR="00646415" w:rsidRPr="00C9343F" w14:paraId="4FB8D1F3" w14:textId="77777777" w:rsidTr="00796E93">
        <w:trPr>
          <w:cantSplit/>
        </w:trPr>
        <w:tc>
          <w:tcPr>
            <w:tcW w:w="992" w:type="dxa"/>
          </w:tcPr>
          <w:p w14:paraId="3C5E0F60" w14:textId="77777777" w:rsidR="00646415" w:rsidRPr="00C9343F" w:rsidRDefault="00646415" w:rsidP="00F66D98">
            <w:pPr>
              <w:pStyle w:val="BlockText-Plain"/>
              <w:jc w:val="center"/>
            </w:pPr>
          </w:p>
        </w:tc>
        <w:tc>
          <w:tcPr>
            <w:tcW w:w="8367" w:type="dxa"/>
            <w:gridSpan w:val="2"/>
          </w:tcPr>
          <w:p w14:paraId="04E7E7EB" w14:textId="51794AF4" w:rsidR="00083C42" w:rsidRPr="00C9343F" w:rsidRDefault="00646415" w:rsidP="00F66D98">
            <w:pPr>
              <w:keepLines w:val="0"/>
              <w:spacing w:after="200"/>
              <w:textAlignment w:val="baseline"/>
              <w:rPr>
                <w:rFonts w:cs="Arial"/>
                <w:color w:val="000000"/>
                <w:sz w:val="20"/>
              </w:rPr>
            </w:pPr>
            <w:r w:rsidRPr="00C9343F">
              <w:rPr>
                <w:b/>
                <w:bCs/>
                <w:sz w:val="20"/>
              </w:rPr>
              <w:t xml:space="preserve">Note: </w:t>
            </w:r>
            <w:r w:rsidRPr="00C9343F">
              <w:rPr>
                <w:rStyle w:val="normaltextrun"/>
                <w:rFonts w:cs="Arial"/>
                <w:color w:val="000000"/>
                <w:sz w:val="20"/>
              </w:rPr>
              <w:t>This may consist of a combination of salary and a Reserve service payment.</w:t>
            </w:r>
          </w:p>
        </w:tc>
      </w:tr>
    </w:tbl>
    <w:p w14:paraId="005B3E3C" w14:textId="75AA38F2" w:rsidR="00646415" w:rsidRPr="00C9343F" w:rsidRDefault="00083C42" w:rsidP="00F66D98">
      <w:pPr>
        <w:pStyle w:val="Heading5"/>
      </w:pPr>
      <w:bookmarkStart w:id="1188" w:name="_Toc105053931"/>
      <w:r w:rsidRPr="00C9343F">
        <w:t>4.9.22</w:t>
      </w:r>
      <w:r w:rsidR="00D94006" w:rsidRPr="00C9343F">
        <w:t>    </w:t>
      </w:r>
      <w:r w:rsidRPr="00C9343F">
        <w:t>Payment for an inability to work a pattern of Reserve service</w:t>
      </w:r>
      <w:bookmarkEnd w:id="1188"/>
    </w:p>
    <w:tbl>
      <w:tblPr>
        <w:tblW w:w="0" w:type="auto"/>
        <w:tblInd w:w="113" w:type="dxa"/>
        <w:tblLayout w:type="fixed"/>
        <w:tblLook w:val="04A0" w:firstRow="1" w:lastRow="0" w:firstColumn="1" w:lastColumn="0" w:noHBand="0" w:noVBand="1"/>
      </w:tblPr>
      <w:tblGrid>
        <w:gridCol w:w="992"/>
        <w:gridCol w:w="8367"/>
      </w:tblGrid>
      <w:tr w:rsidR="00083C42" w:rsidRPr="00C9343F" w14:paraId="3B39830F" w14:textId="77777777" w:rsidTr="00796E93">
        <w:tc>
          <w:tcPr>
            <w:tcW w:w="992" w:type="dxa"/>
          </w:tcPr>
          <w:p w14:paraId="476F26F0" w14:textId="77777777" w:rsidR="00083C42" w:rsidRPr="00C9343F" w:rsidRDefault="00083C42" w:rsidP="00F66D98">
            <w:pPr>
              <w:pStyle w:val="BlockText-Plain"/>
              <w:jc w:val="center"/>
            </w:pPr>
            <w:r w:rsidRPr="00C9343F">
              <w:t>1.</w:t>
            </w:r>
          </w:p>
        </w:tc>
        <w:tc>
          <w:tcPr>
            <w:tcW w:w="8367" w:type="dxa"/>
          </w:tcPr>
          <w:p w14:paraId="0E35A64D" w14:textId="77777777" w:rsidR="00083C42" w:rsidRPr="00C9343F" w:rsidRDefault="00083C42" w:rsidP="00F66D98">
            <w:pPr>
              <w:keepLines w:val="0"/>
              <w:spacing w:after="200"/>
              <w:textAlignment w:val="baseline"/>
              <w:rPr>
                <w:rFonts w:ascii="&amp;quot" w:hAnsi="&amp;quot"/>
                <w:sz w:val="18"/>
                <w:szCs w:val="18"/>
                <w:lang w:val="en-US" w:eastAsia="en-US"/>
              </w:rPr>
            </w:pPr>
            <w:r w:rsidRPr="00C9343F">
              <w:rPr>
                <w:rFonts w:cs="Arial"/>
                <w:sz w:val="20"/>
                <w:lang w:eastAsia="en-US"/>
              </w:rPr>
              <w:t>Subject to section 4.9.24, a member is eligible for a Reserve service payment if their Commanding Officer reasonably believes the member is unable to work their pattern of Reserve service for a reason relating to the control of COVID-19.</w:t>
            </w:r>
            <w:r w:rsidRPr="00C9343F">
              <w:rPr>
                <w:rFonts w:cs="Arial"/>
                <w:sz w:val="20"/>
                <w:lang w:val="en-US" w:eastAsia="en-US"/>
              </w:rPr>
              <w:t> </w:t>
            </w:r>
          </w:p>
        </w:tc>
      </w:tr>
      <w:tr w:rsidR="00083C42" w:rsidRPr="00C9343F" w14:paraId="55A4B623" w14:textId="77777777" w:rsidTr="00796E93">
        <w:tc>
          <w:tcPr>
            <w:tcW w:w="992" w:type="dxa"/>
          </w:tcPr>
          <w:p w14:paraId="28659AEF" w14:textId="77777777" w:rsidR="00083C42" w:rsidRPr="00C9343F" w:rsidRDefault="00083C42" w:rsidP="00F66D98">
            <w:pPr>
              <w:pStyle w:val="BlockText-Plain"/>
              <w:jc w:val="center"/>
            </w:pPr>
          </w:p>
        </w:tc>
        <w:tc>
          <w:tcPr>
            <w:tcW w:w="8367" w:type="dxa"/>
          </w:tcPr>
          <w:p w14:paraId="5CF59D69" w14:textId="77777777" w:rsidR="00083C42" w:rsidRPr="00C9343F" w:rsidRDefault="00083C42" w:rsidP="00F66D98">
            <w:pPr>
              <w:keepLines w:val="0"/>
              <w:spacing w:after="200"/>
              <w:textAlignment w:val="baseline"/>
              <w:rPr>
                <w:rFonts w:cs="Arial"/>
                <w:b/>
                <w:bCs/>
                <w:sz w:val="20"/>
                <w:lang w:eastAsia="en-US"/>
              </w:rPr>
            </w:pPr>
            <w:r w:rsidRPr="00C9343F">
              <w:rPr>
                <w:rFonts w:cs="Arial"/>
                <w:b/>
                <w:bCs/>
                <w:sz w:val="20"/>
                <w:lang w:eastAsia="en-US"/>
              </w:rPr>
              <w:t>Notes:</w:t>
            </w:r>
          </w:p>
        </w:tc>
      </w:tr>
      <w:tr w:rsidR="00083C42" w:rsidRPr="00C9343F" w14:paraId="736A052D" w14:textId="77777777" w:rsidTr="00796E93">
        <w:trPr>
          <w:cantSplit/>
        </w:trPr>
        <w:tc>
          <w:tcPr>
            <w:tcW w:w="992" w:type="dxa"/>
          </w:tcPr>
          <w:p w14:paraId="2AEC3342" w14:textId="77777777" w:rsidR="00083C42" w:rsidRPr="00C9343F" w:rsidRDefault="00083C42" w:rsidP="00F66D98">
            <w:pPr>
              <w:pStyle w:val="BlockText-Plain"/>
            </w:pPr>
          </w:p>
        </w:tc>
        <w:tc>
          <w:tcPr>
            <w:tcW w:w="8367" w:type="dxa"/>
          </w:tcPr>
          <w:p w14:paraId="42773CF3" w14:textId="77777777" w:rsidR="00083C42" w:rsidRPr="00C9343F" w:rsidRDefault="00083C42" w:rsidP="00F66D98">
            <w:pPr>
              <w:pStyle w:val="BlockText-Plain"/>
            </w:pPr>
            <w:r w:rsidRPr="00C9343F">
              <w:rPr>
                <w:rStyle w:val="normaltextrun"/>
                <w:rFonts w:cs="Arial"/>
                <w:color w:val="000000"/>
              </w:rPr>
              <w:t>1. Commanding Officers should work with members to establish work from home arrangements if possible.</w:t>
            </w:r>
          </w:p>
        </w:tc>
      </w:tr>
      <w:tr w:rsidR="00083C42" w:rsidRPr="00C9343F" w14:paraId="430B3E95" w14:textId="77777777" w:rsidTr="00796E93">
        <w:trPr>
          <w:cantSplit/>
        </w:trPr>
        <w:tc>
          <w:tcPr>
            <w:tcW w:w="992" w:type="dxa"/>
          </w:tcPr>
          <w:p w14:paraId="45557374" w14:textId="77777777" w:rsidR="00083C42" w:rsidRPr="00C9343F" w:rsidRDefault="00083C42" w:rsidP="00F66D98">
            <w:pPr>
              <w:pStyle w:val="BlockText-Plain"/>
            </w:pPr>
          </w:p>
        </w:tc>
        <w:tc>
          <w:tcPr>
            <w:tcW w:w="8367" w:type="dxa"/>
          </w:tcPr>
          <w:p w14:paraId="7A3AF663" w14:textId="77777777" w:rsidR="00083C42" w:rsidRPr="00C9343F" w:rsidRDefault="00083C42" w:rsidP="00F66D98">
            <w:pPr>
              <w:pStyle w:val="BlockText-Plain"/>
              <w:rPr>
                <w:rStyle w:val="normaltextrun"/>
                <w:rFonts w:cs="Arial"/>
                <w:color w:val="000000"/>
              </w:rPr>
            </w:pPr>
            <w:r w:rsidRPr="00C9343F">
              <w:rPr>
                <w:rStyle w:val="normaltextrun"/>
                <w:rFonts w:cs="Arial"/>
                <w:color w:val="000000"/>
              </w:rPr>
              <w:t>2. A member who is subsequently diagnosed with COVID-19 may be eligible for a Reserve service payment under section 4.9.23.</w:t>
            </w:r>
          </w:p>
        </w:tc>
      </w:tr>
      <w:tr w:rsidR="00083C42" w:rsidRPr="00C9343F" w14:paraId="10943869" w14:textId="77777777" w:rsidTr="00796E93">
        <w:trPr>
          <w:cantSplit/>
        </w:trPr>
        <w:tc>
          <w:tcPr>
            <w:tcW w:w="992" w:type="dxa"/>
          </w:tcPr>
          <w:p w14:paraId="216CB578" w14:textId="77777777" w:rsidR="00083C42" w:rsidRPr="00C9343F" w:rsidRDefault="00083C42" w:rsidP="00F66D98">
            <w:pPr>
              <w:pStyle w:val="BlockText-Plain"/>
            </w:pPr>
          </w:p>
        </w:tc>
        <w:tc>
          <w:tcPr>
            <w:tcW w:w="8367" w:type="dxa"/>
          </w:tcPr>
          <w:p w14:paraId="627A802D" w14:textId="77777777" w:rsidR="00083C42" w:rsidRPr="00C9343F" w:rsidRDefault="00083C42" w:rsidP="00F66D98">
            <w:pPr>
              <w:pStyle w:val="BlockText-Plain"/>
              <w:rPr>
                <w:rStyle w:val="normaltextrun"/>
                <w:rFonts w:cs="Arial"/>
                <w:color w:val="000000"/>
              </w:rPr>
            </w:pPr>
            <w:r w:rsidRPr="00C9343F">
              <w:rPr>
                <w:rStyle w:val="normaltextrun"/>
                <w:rFonts w:cs="Arial"/>
                <w:b/>
                <w:bCs/>
                <w:color w:val="000000"/>
              </w:rPr>
              <w:t xml:space="preserve">Example: </w:t>
            </w:r>
            <w:r w:rsidRPr="00C9343F">
              <w:rPr>
                <w:rStyle w:val="normaltextrun"/>
                <w:rFonts w:cs="Arial"/>
                <w:color w:val="000000"/>
              </w:rPr>
              <w:t xml:space="preserve">The member is unable to work their pattern of Reserve service if they are required to isolate </w:t>
            </w:r>
            <w:r w:rsidRPr="00C9343F">
              <w:rPr>
                <w:rStyle w:val="spellingerror"/>
                <w:rFonts w:cs="Arial"/>
                <w:color w:val="000000"/>
              </w:rPr>
              <w:t>themself</w:t>
            </w:r>
            <w:r w:rsidRPr="00C9343F">
              <w:rPr>
                <w:rStyle w:val="normaltextrun"/>
                <w:rFonts w:cs="Arial"/>
                <w:color w:val="000000"/>
              </w:rPr>
              <w:t xml:space="preserve"> or unable to enter </w:t>
            </w:r>
            <w:r w:rsidRPr="00C9343F">
              <w:rPr>
                <w:rStyle w:val="spellingerror"/>
              </w:rPr>
              <w:t>their</w:t>
            </w:r>
            <w:r w:rsidRPr="00C9343F">
              <w:rPr>
                <w:rStyle w:val="normaltextrun"/>
                <w:rFonts w:cs="Arial"/>
                <w:color w:val="000000"/>
              </w:rPr>
              <w:t xml:space="preserve"> normal place of duty due to its closure or travel restrictions and are unable to make alternative work arrangements.</w:t>
            </w:r>
            <w:r w:rsidRPr="00C9343F">
              <w:rPr>
                <w:rStyle w:val="normaltextrun"/>
                <w:rFonts w:cs="Arial"/>
                <w:b/>
                <w:bCs/>
                <w:color w:val="000000"/>
              </w:rPr>
              <w:t> </w:t>
            </w:r>
          </w:p>
        </w:tc>
      </w:tr>
      <w:tr w:rsidR="00083C42" w:rsidRPr="00C9343F" w14:paraId="15B5EBBB" w14:textId="77777777" w:rsidTr="00796E93">
        <w:trPr>
          <w:cantSplit/>
        </w:trPr>
        <w:tc>
          <w:tcPr>
            <w:tcW w:w="992" w:type="dxa"/>
          </w:tcPr>
          <w:p w14:paraId="2144C380" w14:textId="77777777" w:rsidR="00083C42" w:rsidRPr="00C9343F" w:rsidRDefault="00083C42" w:rsidP="00F66D98">
            <w:pPr>
              <w:pStyle w:val="BlockText-Plain"/>
              <w:jc w:val="center"/>
            </w:pPr>
            <w:r w:rsidRPr="00C9343F">
              <w:t>2.</w:t>
            </w:r>
          </w:p>
        </w:tc>
        <w:tc>
          <w:tcPr>
            <w:tcW w:w="8367" w:type="dxa"/>
          </w:tcPr>
          <w:p w14:paraId="660CD78B" w14:textId="2AB2AF3D" w:rsidR="00083C42" w:rsidRPr="00C9343F" w:rsidRDefault="00083C42" w:rsidP="00F66D98">
            <w:pPr>
              <w:keepLines w:val="0"/>
              <w:spacing w:after="200"/>
              <w:textAlignment w:val="baseline"/>
              <w:rPr>
                <w:rFonts w:cs="Arial"/>
                <w:sz w:val="20"/>
                <w:lang w:eastAsia="en-US"/>
              </w:rPr>
            </w:pPr>
            <w:r w:rsidRPr="00C9343F">
              <w:rPr>
                <w:rStyle w:val="normaltextrun"/>
                <w:rFonts w:cs="Arial"/>
                <w:color w:val="000000"/>
                <w:sz w:val="20"/>
              </w:rPr>
              <w:t>The rate of Reserve service payment is equal to the salary they would receive for the pattern of Reserve service.</w:t>
            </w:r>
          </w:p>
        </w:tc>
      </w:tr>
    </w:tbl>
    <w:p w14:paraId="7F211E8D" w14:textId="4DFE1837" w:rsidR="00083C42" w:rsidRPr="00C9343F" w:rsidRDefault="00083C42" w:rsidP="00F66D98">
      <w:pPr>
        <w:pStyle w:val="Heading5"/>
      </w:pPr>
      <w:bookmarkStart w:id="1189" w:name="_Toc105053932"/>
      <w:r w:rsidRPr="00C9343F">
        <w:t>4.9.23</w:t>
      </w:r>
      <w:r w:rsidR="00D94006" w:rsidRPr="00C9343F">
        <w:t>    </w:t>
      </w:r>
      <w:r w:rsidRPr="00C9343F">
        <w:t>Payment for COVID-19</w:t>
      </w:r>
      <w:bookmarkEnd w:id="1189"/>
    </w:p>
    <w:tbl>
      <w:tblPr>
        <w:tblW w:w="0" w:type="auto"/>
        <w:tblInd w:w="113" w:type="dxa"/>
        <w:tblLayout w:type="fixed"/>
        <w:tblLook w:val="04A0" w:firstRow="1" w:lastRow="0" w:firstColumn="1" w:lastColumn="0" w:noHBand="0" w:noVBand="1"/>
      </w:tblPr>
      <w:tblGrid>
        <w:gridCol w:w="992"/>
        <w:gridCol w:w="567"/>
        <w:gridCol w:w="7800"/>
      </w:tblGrid>
      <w:tr w:rsidR="00083C42" w:rsidRPr="00C9343F" w14:paraId="45E16E47" w14:textId="77777777" w:rsidTr="00796E93">
        <w:tc>
          <w:tcPr>
            <w:tcW w:w="992" w:type="dxa"/>
          </w:tcPr>
          <w:p w14:paraId="349DFB36" w14:textId="77777777" w:rsidR="00083C42" w:rsidRPr="00C9343F" w:rsidRDefault="00083C42" w:rsidP="00F66D98">
            <w:pPr>
              <w:pStyle w:val="BlockText-Plain"/>
              <w:jc w:val="center"/>
            </w:pPr>
            <w:r w:rsidRPr="00C9343F">
              <w:t>1.</w:t>
            </w:r>
          </w:p>
        </w:tc>
        <w:tc>
          <w:tcPr>
            <w:tcW w:w="8367" w:type="dxa"/>
            <w:gridSpan w:val="2"/>
          </w:tcPr>
          <w:p w14:paraId="2BBB275A" w14:textId="77777777" w:rsidR="00083C42" w:rsidRPr="00C9343F" w:rsidRDefault="00083C42" w:rsidP="00F66D98">
            <w:pPr>
              <w:pStyle w:val="TableTextArial-left"/>
              <w:spacing w:before="0" w:after="200"/>
            </w:pPr>
            <w:r w:rsidRPr="00C9343F">
              <w:rPr>
                <w:rStyle w:val="normaltextrun"/>
                <w:rFonts w:cs="Arial"/>
                <w:color w:val="000000"/>
              </w:rPr>
              <w:t xml:space="preserve">Subject to section 4.9.24, a member is eligible for a Reserve service payment if </w:t>
            </w:r>
            <w:r w:rsidRPr="00C9343F">
              <w:rPr>
                <w:rStyle w:val="advancedproofingissue"/>
                <w:rFonts w:cs="Arial"/>
                <w:color w:val="000000"/>
              </w:rPr>
              <w:t>all of</w:t>
            </w:r>
            <w:r w:rsidRPr="00C9343F">
              <w:rPr>
                <w:rStyle w:val="normaltextrun"/>
                <w:rFonts w:cs="Arial"/>
                <w:color w:val="000000"/>
              </w:rPr>
              <w:t xml:space="preserve"> the following apply.</w:t>
            </w:r>
          </w:p>
        </w:tc>
      </w:tr>
      <w:tr w:rsidR="00083C42" w:rsidRPr="00C9343F" w14:paraId="0EB4F8B8" w14:textId="77777777" w:rsidTr="00796E93">
        <w:trPr>
          <w:cantSplit/>
        </w:trPr>
        <w:tc>
          <w:tcPr>
            <w:tcW w:w="992" w:type="dxa"/>
          </w:tcPr>
          <w:p w14:paraId="745077AD" w14:textId="77777777" w:rsidR="00083C42" w:rsidRPr="00C9343F" w:rsidRDefault="00083C42" w:rsidP="00F66D98">
            <w:pPr>
              <w:pStyle w:val="BlockText-Plain"/>
            </w:pPr>
          </w:p>
        </w:tc>
        <w:tc>
          <w:tcPr>
            <w:tcW w:w="567" w:type="dxa"/>
          </w:tcPr>
          <w:p w14:paraId="4E0C188A" w14:textId="77777777" w:rsidR="00083C42" w:rsidRPr="00C9343F" w:rsidRDefault="00083C42" w:rsidP="008D1B5D">
            <w:pPr>
              <w:pStyle w:val="BlockText-Plain"/>
              <w:jc w:val="center"/>
            </w:pPr>
            <w:r w:rsidRPr="00C9343F">
              <w:t>a.</w:t>
            </w:r>
          </w:p>
        </w:tc>
        <w:tc>
          <w:tcPr>
            <w:tcW w:w="7800" w:type="dxa"/>
          </w:tcPr>
          <w:p w14:paraId="4116472A" w14:textId="77777777" w:rsidR="00083C42" w:rsidRPr="00C9343F" w:rsidRDefault="00083C42" w:rsidP="00F66D98">
            <w:pPr>
              <w:pStyle w:val="BlockText-Plain"/>
            </w:pPr>
            <w:r w:rsidRPr="00C9343F">
              <w:rPr>
                <w:rFonts w:cs="Arial"/>
                <w:color w:val="000000"/>
                <w:shd w:val="clear" w:color="auto" w:fill="FFFFFF"/>
              </w:rPr>
              <w:t>They are diagnosed with COVID-19.</w:t>
            </w:r>
          </w:p>
        </w:tc>
      </w:tr>
      <w:tr w:rsidR="00083C42" w:rsidRPr="00C9343F" w14:paraId="5087218B" w14:textId="77777777" w:rsidTr="00796E93">
        <w:trPr>
          <w:cantSplit/>
        </w:trPr>
        <w:tc>
          <w:tcPr>
            <w:tcW w:w="992" w:type="dxa"/>
          </w:tcPr>
          <w:p w14:paraId="4FB651E1" w14:textId="77777777" w:rsidR="00083C42" w:rsidRPr="00C9343F" w:rsidRDefault="00083C42" w:rsidP="00F66D98">
            <w:pPr>
              <w:pStyle w:val="BlockText-Plain"/>
            </w:pPr>
          </w:p>
        </w:tc>
        <w:tc>
          <w:tcPr>
            <w:tcW w:w="567" w:type="dxa"/>
          </w:tcPr>
          <w:p w14:paraId="207016EE" w14:textId="77777777" w:rsidR="00083C42" w:rsidRPr="00C9343F" w:rsidRDefault="00083C42" w:rsidP="008D1B5D">
            <w:pPr>
              <w:pStyle w:val="BlockText-Plain"/>
              <w:jc w:val="center"/>
            </w:pPr>
            <w:r w:rsidRPr="00C9343F">
              <w:t>b.</w:t>
            </w:r>
          </w:p>
        </w:tc>
        <w:tc>
          <w:tcPr>
            <w:tcW w:w="7800" w:type="dxa"/>
          </w:tcPr>
          <w:p w14:paraId="072C7B69" w14:textId="77777777" w:rsidR="00083C42" w:rsidRPr="00C9343F" w:rsidRDefault="00083C42" w:rsidP="00F66D98">
            <w:pPr>
              <w:pStyle w:val="BlockText-Plain"/>
              <w:rPr>
                <w:rStyle w:val="normaltextrun"/>
                <w:rFonts w:cs="Arial"/>
                <w:color w:val="000000"/>
              </w:rPr>
            </w:pPr>
            <w:r w:rsidRPr="00C9343F">
              <w:rPr>
                <w:rStyle w:val="normaltextrun"/>
                <w:rFonts w:cs="Arial"/>
                <w:color w:val="000000"/>
              </w:rPr>
              <w:t xml:space="preserve">The member is not receiving a payment </w:t>
            </w:r>
            <w:r w:rsidRPr="00C9343F">
              <w:rPr>
                <w:rStyle w:val="advancedproofingissue"/>
                <w:rFonts w:cs="Arial"/>
                <w:color w:val="000000"/>
              </w:rPr>
              <w:t>as a consequence of</w:t>
            </w:r>
            <w:r w:rsidRPr="00C9343F">
              <w:rPr>
                <w:rStyle w:val="normaltextrun"/>
                <w:rFonts w:cs="Arial"/>
                <w:color w:val="000000"/>
              </w:rPr>
              <w:t xml:space="preserve"> section 3.2.13.</w:t>
            </w:r>
          </w:p>
        </w:tc>
      </w:tr>
      <w:tr w:rsidR="00083C42" w:rsidRPr="00C9343F" w14:paraId="49D716E6" w14:textId="77777777" w:rsidTr="00796E93">
        <w:trPr>
          <w:cantSplit/>
        </w:trPr>
        <w:tc>
          <w:tcPr>
            <w:tcW w:w="992" w:type="dxa"/>
          </w:tcPr>
          <w:p w14:paraId="6B1EA663" w14:textId="77777777" w:rsidR="00083C42" w:rsidRPr="00C9343F" w:rsidRDefault="00083C42" w:rsidP="00F66D98">
            <w:pPr>
              <w:pStyle w:val="BlockText-Plain"/>
            </w:pPr>
          </w:p>
        </w:tc>
        <w:tc>
          <w:tcPr>
            <w:tcW w:w="567" w:type="dxa"/>
          </w:tcPr>
          <w:p w14:paraId="11E21C74" w14:textId="77777777" w:rsidR="00083C42" w:rsidRPr="00C9343F" w:rsidRDefault="00083C42" w:rsidP="00F66D98">
            <w:pPr>
              <w:pStyle w:val="BlockText-Plain"/>
            </w:pPr>
          </w:p>
        </w:tc>
        <w:tc>
          <w:tcPr>
            <w:tcW w:w="7800" w:type="dxa"/>
          </w:tcPr>
          <w:p w14:paraId="2A6A449D" w14:textId="77777777" w:rsidR="00083C42" w:rsidRPr="00C9343F" w:rsidRDefault="00083C42" w:rsidP="00F66D98">
            <w:pPr>
              <w:pStyle w:val="BlockText-Plain"/>
              <w:rPr>
                <w:rStyle w:val="normaltextrun"/>
                <w:rFonts w:cs="Arial"/>
                <w:color w:val="000000"/>
              </w:rPr>
            </w:pPr>
            <w:r w:rsidRPr="00C9343F">
              <w:rPr>
                <w:rStyle w:val="normaltextrun"/>
                <w:rFonts w:cs="Arial"/>
                <w:b/>
                <w:bCs/>
                <w:color w:val="000000"/>
              </w:rPr>
              <w:t xml:space="preserve">Note: </w:t>
            </w:r>
            <w:r w:rsidRPr="00C9343F">
              <w:rPr>
                <w:rStyle w:val="normaltextrun"/>
                <w:rFonts w:cs="Arial"/>
                <w:color w:val="000000"/>
              </w:rPr>
              <w:t xml:space="preserve">A member may be eligible for Reserve salary under section 3.2.13 as a result of an injury or illness acquired </w:t>
            </w:r>
            <w:r w:rsidRPr="00C9343F">
              <w:rPr>
                <w:rStyle w:val="advancedproofingissue"/>
                <w:rFonts w:cs="Arial"/>
                <w:color w:val="000000"/>
              </w:rPr>
              <w:t>in the course of</w:t>
            </w:r>
            <w:r w:rsidRPr="00C9343F">
              <w:rPr>
                <w:rStyle w:val="normaltextrun"/>
                <w:rFonts w:cs="Arial"/>
                <w:color w:val="000000"/>
              </w:rPr>
              <w:t xml:space="preserve"> Reserve service.</w:t>
            </w:r>
          </w:p>
        </w:tc>
      </w:tr>
      <w:tr w:rsidR="00083C42" w:rsidRPr="00C9343F" w14:paraId="5D5C1973" w14:textId="77777777" w:rsidTr="00796E93">
        <w:trPr>
          <w:cantSplit/>
        </w:trPr>
        <w:tc>
          <w:tcPr>
            <w:tcW w:w="992" w:type="dxa"/>
          </w:tcPr>
          <w:p w14:paraId="5B96438E" w14:textId="77777777" w:rsidR="00083C42" w:rsidRPr="00C9343F" w:rsidRDefault="00083C42" w:rsidP="00F66D98">
            <w:pPr>
              <w:pStyle w:val="BlockText-Plain"/>
              <w:jc w:val="center"/>
            </w:pPr>
            <w:r w:rsidRPr="00C9343F">
              <w:t>2.</w:t>
            </w:r>
          </w:p>
        </w:tc>
        <w:tc>
          <w:tcPr>
            <w:tcW w:w="8367" w:type="dxa"/>
            <w:gridSpan w:val="2"/>
          </w:tcPr>
          <w:p w14:paraId="2EAA7BCC" w14:textId="065E4146" w:rsidR="00083C42" w:rsidRPr="00C9343F" w:rsidRDefault="00083C42" w:rsidP="00F66D98">
            <w:pPr>
              <w:keepLines w:val="0"/>
              <w:spacing w:after="200"/>
              <w:textAlignment w:val="baseline"/>
              <w:rPr>
                <w:rFonts w:cs="Arial"/>
                <w:sz w:val="20"/>
                <w:lang w:eastAsia="en-US"/>
              </w:rPr>
            </w:pPr>
            <w:r w:rsidRPr="00C9343F">
              <w:rPr>
                <w:rStyle w:val="normaltextrun"/>
                <w:rFonts w:cs="Arial"/>
                <w:color w:val="000000"/>
                <w:sz w:val="20"/>
              </w:rPr>
              <w:t>The payment is equal to the amount of salary the member would receive for the pattern of Reserve service.</w:t>
            </w:r>
          </w:p>
        </w:tc>
      </w:tr>
    </w:tbl>
    <w:p w14:paraId="31493089" w14:textId="4A66754C" w:rsidR="00083C42" w:rsidRPr="00C9343F" w:rsidRDefault="00083C42" w:rsidP="00F66D98">
      <w:pPr>
        <w:pStyle w:val="Heading5"/>
      </w:pPr>
      <w:bookmarkStart w:id="1190" w:name="_Toc105053933"/>
      <w:r w:rsidRPr="00C9343F">
        <w:t>4.9.24</w:t>
      </w:r>
      <w:r w:rsidR="00D94006" w:rsidRPr="00C9343F">
        <w:t>    </w:t>
      </w:r>
      <w:r w:rsidRPr="00C9343F">
        <w:t>Periods of non-payment</w:t>
      </w:r>
      <w:bookmarkEnd w:id="1190"/>
    </w:p>
    <w:tbl>
      <w:tblPr>
        <w:tblW w:w="0" w:type="auto"/>
        <w:tblInd w:w="113" w:type="dxa"/>
        <w:tblLayout w:type="fixed"/>
        <w:tblLook w:val="04A0" w:firstRow="1" w:lastRow="0" w:firstColumn="1" w:lastColumn="0" w:noHBand="0" w:noVBand="1"/>
      </w:tblPr>
      <w:tblGrid>
        <w:gridCol w:w="992"/>
        <w:gridCol w:w="567"/>
        <w:gridCol w:w="7800"/>
      </w:tblGrid>
      <w:tr w:rsidR="00083C42" w:rsidRPr="00C9343F" w14:paraId="02AD40B5" w14:textId="77777777" w:rsidTr="00796E93">
        <w:tc>
          <w:tcPr>
            <w:tcW w:w="992" w:type="dxa"/>
          </w:tcPr>
          <w:p w14:paraId="5FD7D6DA" w14:textId="77777777" w:rsidR="00083C42" w:rsidRPr="00C9343F" w:rsidRDefault="00083C42" w:rsidP="00F66D98">
            <w:pPr>
              <w:pStyle w:val="BlockText-Plain"/>
              <w:jc w:val="center"/>
            </w:pPr>
            <w:r w:rsidRPr="00C9343F">
              <w:t>1.</w:t>
            </w:r>
          </w:p>
        </w:tc>
        <w:tc>
          <w:tcPr>
            <w:tcW w:w="8367" w:type="dxa"/>
            <w:gridSpan w:val="2"/>
          </w:tcPr>
          <w:p w14:paraId="765A564A" w14:textId="77777777" w:rsidR="00083C42" w:rsidRPr="00C9343F" w:rsidRDefault="00083C42" w:rsidP="00F66D98">
            <w:pPr>
              <w:pStyle w:val="TableTextArial-left"/>
              <w:spacing w:before="0" w:after="200"/>
            </w:pPr>
            <w:r w:rsidRPr="00C9343F">
              <w:rPr>
                <w:rStyle w:val="normaltextrun"/>
                <w:rFonts w:cs="Arial"/>
                <w:color w:val="000000"/>
              </w:rPr>
              <w:t>A member is not eligible for a Reserve service payment for the same period that any of the following apply.</w:t>
            </w:r>
          </w:p>
        </w:tc>
      </w:tr>
      <w:tr w:rsidR="00083C42" w:rsidRPr="00C9343F" w14:paraId="46AC93CB" w14:textId="77777777" w:rsidTr="00796E93">
        <w:trPr>
          <w:cantSplit/>
        </w:trPr>
        <w:tc>
          <w:tcPr>
            <w:tcW w:w="992" w:type="dxa"/>
          </w:tcPr>
          <w:p w14:paraId="4B9821EA" w14:textId="77777777" w:rsidR="00083C42" w:rsidRPr="00C9343F" w:rsidRDefault="00083C42" w:rsidP="00F66D98">
            <w:pPr>
              <w:pStyle w:val="BlockText-Plain"/>
            </w:pPr>
          </w:p>
        </w:tc>
        <w:tc>
          <w:tcPr>
            <w:tcW w:w="567" w:type="dxa"/>
          </w:tcPr>
          <w:p w14:paraId="2659F6C3" w14:textId="77777777" w:rsidR="00083C42" w:rsidRPr="00C9343F" w:rsidRDefault="00083C42" w:rsidP="008D1B5D">
            <w:pPr>
              <w:pStyle w:val="BlockText-Plain"/>
              <w:jc w:val="center"/>
            </w:pPr>
            <w:r w:rsidRPr="00C9343F">
              <w:t>a.</w:t>
            </w:r>
          </w:p>
        </w:tc>
        <w:tc>
          <w:tcPr>
            <w:tcW w:w="7800" w:type="dxa"/>
          </w:tcPr>
          <w:p w14:paraId="645C5EC5" w14:textId="77777777" w:rsidR="00083C42" w:rsidRPr="00C9343F" w:rsidRDefault="00083C42" w:rsidP="00F66D98">
            <w:pPr>
              <w:pStyle w:val="BlockText-Plain"/>
            </w:pPr>
            <w:r w:rsidRPr="00C9343F">
              <w:rPr>
                <w:rStyle w:val="normaltextrun"/>
                <w:rFonts w:cs="Arial"/>
                <w:color w:val="000000"/>
              </w:rPr>
              <w:t>The member is receiving income by way of salary or wages.</w:t>
            </w:r>
          </w:p>
        </w:tc>
      </w:tr>
      <w:tr w:rsidR="00083C42" w:rsidRPr="00C9343F" w14:paraId="567B9773" w14:textId="77777777" w:rsidTr="00796E93">
        <w:trPr>
          <w:cantSplit/>
        </w:trPr>
        <w:tc>
          <w:tcPr>
            <w:tcW w:w="992" w:type="dxa"/>
          </w:tcPr>
          <w:p w14:paraId="65AE9F9F" w14:textId="77777777" w:rsidR="00083C42" w:rsidRPr="00C9343F" w:rsidRDefault="00083C42" w:rsidP="00F66D98">
            <w:pPr>
              <w:pStyle w:val="BlockText-Plain"/>
            </w:pPr>
          </w:p>
        </w:tc>
        <w:tc>
          <w:tcPr>
            <w:tcW w:w="567" w:type="dxa"/>
          </w:tcPr>
          <w:p w14:paraId="772E7E89" w14:textId="77777777" w:rsidR="00083C42" w:rsidRPr="00C9343F" w:rsidRDefault="00083C42" w:rsidP="00F66D98">
            <w:pPr>
              <w:pStyle w:val="BlockText-Plain"/>
            </w:pPr>
          </w:p>
        </w:tc>
        <w:tc>
          <w:tcPr>
            <w:tcW w:w="7800" w:type="dxa"/>
          </w:tcPr>
          <w:p w14:paraId="4DB93D90" w14:textId="77777777" w:rsidR="00083C42" w:rsidRPr="00C9343F" w:rsidRDefault="00083C42" w:rsidP="00F66D98">
            <w:pPr>
              <w:pStyle w:val="BlockText-Plain"/>
              <w:rPr>
                <w:rStyle w:val="normaltextrun"/>
                <w:rFonts w:cs="Arial"/>
                <w:color w:val="000000"/>
              </w:rPr>
            </w:pPr>
            <w:r w:rsidRPr="00C9343F">
              <w:rPr>
                <w:rStyle w:val="normaltextrun"/>
                <w:rFonts w:cs="Arial"/>
                <w:b/>
                <w:bCs/>
                <w:color w:val="000000"/>
              </w:rPr>
              <w:t xml:space="preserve">Note: </w:t>
            </w:r>
            <w:r w:rsidRPr="00C9343F">
              <w:rPr>
                <w:rStyle w:val="normaltextrun"/>
                <w:rFonts w:cs="Arial"/>
                <w:color w:val="000000"/>
              </w:rPr>
              <w:t>Salary includes salary payable under DFRT Determination 2017 No. 2,</w:t>
            </w:r>
            <w:r w:rsidRPr="00C9343F">
              <w:rPr>
                <w:rStyle w:val="normaltextrun"/>
                <w:rFonts w:cs="Arial"/>
                <w:i/>
                <w:iCs/>
                <w:color w:val="000000"/>
              </w:rPr>
              <w:t xml:space="preserve"> Salaries.</w:t>
            </w:r>
          </w:p>
        </w:tc>
      </w:tr>
      <w:tr w:rsidR="00083C42" w:rsidRPr="00C9343F" w14:paraId="2FEEC404" w14:textId="77777777" w:rsidTr="00796E93">
        <w:trPr>
          <w:cantSplit/>
        </w:trPr>
        <w:tc>
          <w:tcPr>
            <w:tcW w:w="992" w:type="dxa"/>
          </w:tcPr>
          <w:p w14:paraId="5E6E0452" w14:textId="77777777" w:rsidR="00083C42" w:rsidRPr="00C9343F" w:rsidRDefault="00083C42" w:rsidP="00F66D98">
            <w:pPr>
              <w:pStyle w:val="BlockText-Plain"/>
            </w:pPr>
          </w:p>
        </w:tc>
        <w:tc>
          <w:tcPr>
            <w:tcW w:w="567" w:type="dxa"/>
          </w:tcPr>
          <w:p w14:paraId="3DA8AD0F" w14:textId="77777777" w:rsidR="00083C42" w:rsidRPr="00C9343F" w:rsidRDefault="00083C42" w:rsidP="008D1B5D">
            <w:pPr>
              <w:pStyle w:val="BlockText-Plain"/>
              <w:jc w:val="center"/>
            </w:pPr>
            <w:r w:rsidRPr="00C9343F">
              <w:t>b.</w:t>
            </w:r>
          </w:p>
        </w:tc>
        <w:tc>
          <w:tcPr>
            <w:tcW w:w="7800" w:type="dxa"/>
          </w:tcPr>
          <w:p w14:paraId="0B03E82D" w14:textId="77777777" w:rsidR="00083C42" w:rsidRPr="00C9343F" w:rsidRDefault="00083C42" w:rsidP="00F66D98">
            <w:pPr>
              <w:pStyle w:val="BlockText-Plain"/>
              <w:rPr>
                <w:rStyle w:val="normaltextrun"/>
                <w:rFonts w:cs="Arial"/>
                <w:color w:val="000000"/>
              </w:rPr>
            </w:pPr>
            <w:r w:rsidRPr="00C9343F">
              <w:rPr>
                <w:rStyle w:val="normaltextrun"/>
                <w:rFonts w:cs="Arial"/>
                <w:color w:val="000000"/>
              </w:rPr>
              <w:t>The member is on a medical absence.</w:t>
            </w:r>
          </w:p>
        </w:tc>
      </w:tr>
      <w:tr w:rsidR="00083C42" w:rsidRPr="00C9343F" w14:paraId="14775060" w14:textId="77777777" w:rsidTr="00796E93">
        <w:trPr>
          <w:cantSplit/>
        </w:trPr>
        <w:tc>
          <w:tcPr>
            <w:tcW w:w="992" w:type="dxa"/>
          </w:tcPr>
          <w:p w14:paraId="75E293BC" w14:textId="77777777" w:rsidR="00083C42" w:rsidRPr="00C9343F" w:rsidRDefault="00083C42" w:rsidP="00F66D98">
            <w:pPr>
              <w:pStyle w:val="BlockText-Plain"/>
              <w:jc w:val="center"/>
            </w:pPr>
            <w:r w:rsidRPr="00C9343F">
              <w:t>2.</w:t>
            </w:r>
          </w:p>
        </w:tc>
        <w:tc>
          <w:tcPr>
            <w:tcW w:w="8367" w:type="dxa"/>
            <w:gridSpan w:val="2"/>
          </w:tcPr>
          <w:p w14:paraId="104A7BAD" w14:textId="77777777" w:rsidR="00083C42" w:rsidRPr="00C9343F" w:rsidRDefault="00083C42" w:rsidP="00F66D98">
            <w:pPr>
              <w:keepLines w:val="0"/>
              <w:spacing w:after="200"/>
              <w:textAlignment w:val="baseline"/>
              <w:rPr>
                <w:rFonts w:cs="Arial"/>
                <w:sz w:val="20"/>
                <w:lang w:eastAsia="en-US"/>
              </w:rPr>
            </w:pPr>
            <w:r w:rsidRPr="00C9343F">
              <w:rPr>
                <w:rFonts w:cs="Arial"/>
                <w:color w:val="000000"/>
                <w:sz w:val="20"/>
                <w:shd w:val="clear" w:color="auto" w:fill="FFFFFF"/>
              </w:rPr>
              <w:t>A member is only eligible for one payment under this Division at a time</w:t>
            </w:r>
            <w:r w:rsidRPr="00C9343F">
              <w:rPr>
                <w:rStyle w:val="normaltextrun"/>
                <w:rFonts w:cs="Arial"/>
                <w:color w:val="000000"/>
                <w:sz w:val="20"/>
              </w:rPr>
              <w:t>.</w:t>
            </w:r>
          </w:p>
        </w:tc>
      </w:tr>
    </w:tbl>
    <w:p w14:paraId="52D8E683" w14:textId="24546900" w:rsidR="006D1E1C" w:rsidRPr="00C9343F" w:rsidRDefault="006D1E1C" w:rsidP="00226E7D">
      <w:pPr>
        <w:pStyle w:val="Heading3"/>
        <w:pageBreakBefore/>
      </w:pPr>
      <w:bookmarkStart w:id="1191" w:name="_Toc105053934"/>
      <w:r w:rsidRPr="00C9343F">
        <w:t>Part 10: Life insurance – additional risk insurance</w:t>
      </w:r>
      <w:bookmarkEnd w:id="1191"/>
    </w:p>
    <w:p w14:paraId="6610030F" w14:textId="24BD410A" w:rsidR="006D1E1C" w:rsidRPr="00C9343F" w:rsidRDefault="006D1E1C" w:rsidP="00F66D98">
      <w:pPr>
        <w:pStyle w:val="Heading5"/>
      </w:pPr>
      <w:bookmarkStart w:id="1192" w:name="_Toc105053935"/>
      <w:bookmarkStart w:id="1193" w:name="bk44403PM6810Purpose"/>
      <w:bookmarkStart w:id="1194" w:name="bk44421PM6810Purpose"/>
      <w:bookmarkStart w:id="1195" w:name="bk44432PM6810Purpose"/>
      <w:bookmarkStart w:id="1196" w:name="bk1146056810Purpose"/>
      <w:bookmarkStart w:id="1197" w:name="bk1501404151Purpose"/>
      <w:bookmarkStart w:id="1198" w:name="bk1502004151Purpose"/>
      <w:bookmarkStart w:id="1199" w:name="bk1138144151Purpose"/>
      <w:r w:rsidRPr="00C9343F">
        <w:t>4.10.1</w:t>
      </w:r>
      <w:r w:rsidR="00D94006" w:rsidRPr="00C9343F">
        <w:t>    </w:t>
      </w:r>
      <w:r w:rsidRPr="00C9343F">
        <w:t>Purpose</w:t>
      </w:r>
      <w:bookmarkEnd w:id="1192"/>
    </w:p>
    <w:bookmarkEnd w:id="1193"/>
    <w:bookmarkEnd w:id="1194"/>
    <w:bookmarkEnd w:id="1195"/>
    <w:bookmarkEnd w:id="1196"/>
    <w:bookmarkEnd w:id="1197"/>
    <w:bookmarkEnd w:id="1198"/>
    <w:bookmarkEnd w:id="1199"/>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312EB984" w14:textId="77777777" w:rsidTr="006D1E1C">
        <w:tc>
          <w:tcPr>
            <w:tcW w:w="992" w:type="dxa"/>
          </w:tcPr>
          <w:p w14:paraId="0F523DA1" w14:textId="77777777" w:rsidR="006D1E1C" w:rsidRPr="00C9343F" w:rsidRDefault="006D1E1C" w:rsidP="00F66D98">
            <w:pPr>
              <w:pStyle w:val="BlockText-Plain"/>
              <w:jc w:val="center"/>
            </w:pPr>
          </w:p>
        </w:tc>
        <w:tc>
          <w:tcPr>
            <w:tcW w:w="8363" w:type="dxa"/>
            <w:gridSpan w:val="2"/>
          </w:tcPr>
          <w:p w14:paraId="61130188" w14:textId="77777777" w:rsidR="006D1E1C" w:rsidRPr="00C9343F" w:rsidRDefault="006D1E1C" w:rsidP="00F66D98">
            <w:pPr>
              <w:pStyle w:val="BlockText-Plain"/>
            </w:pPr>
            <w:r w:rsidRPr="00C9343F">
              <w:t xml:space="preserve">A member may be reimbursed the part of a life insurance policy premium they pay because of the additional risk involved in doing their duties. This includes a member on Reserve service. This additional risk premium is the difference between these two amounts. </w:t>
            </w:r>
          </w:p>
        </w:tc>
      </w:tr>
      <w:tr w:rsidR="006D1E1C" w:rsidRPr="00C9343F" w14:paraId="14F57AF8" w14:textId="77777777" w:rsidTr="006D1E1C">
        <w:trPr>
          <w:cantSplit/>
        </w:trPr>
        <w:tc>
          <w:tcPr>
            <w:tcW w:w="992" w:type="dxa"/>
          </w:tcPr>
          <w:p w14:paraId="688FC123" w14:textId="77777777" w:rsidR="006D1E1C" w:rsidRPr="00C9343F" w:rsidRDefault="006D1E1C" w:rsidP="00F66D98">
            <w:pPr>
              <w:pStyle w:val="BlockText-Plain"/>
            </w:pPr>
          </w:p>
        </w:tc>
        <w:tc>
          <w:tcPr>
            <w:tcW w:w="567" w:type="dxa"/>
          </w:tcPr>
          <w:p w14:paraId="6DF140CA" w14:textId="77777777" w:rsidR="006D1E1C" w:rsidRPr="00C9343F" w:rsidRDefault="006D1E1C" w:rsidP="008D1B5D">
            <w:pPr>
              <w:pStyle w:val="BlockText-Plain"/>
              <w:jc w:val="center"/>
            </w:pPr>
            <w:r w:rsidRPr="00C9343F">
              <w:t>a.</w:t>
            </w:r>
          </w:p>
        </w:tc>
        <w:tc>
          <w:tcPr>
            <w:tcW w:w="7796" w:type="dxa"/>
          </w:tcPr>
          <w:p w14:paraId="5B4F86DC" w14:textId="77777777" w:rsidR="006D1E1C" w:rsidRPr="00C9343F" w:rsidRDefault="006D1E1C" w:rsidP="00F66D98">
            <w:pPr>
              <w:pStyle w:val="BlockText-Plain"/>
            </w:pPr>
            <w:r w:rsidRPr="00C9343F">
              <w:t>The premium the member would pay for life insurance if their duties did not involve additional risk.</w:t>
            </w:r>
          </w:p>
        </w:tc>
      </w:tr>
      <w:tr w:rsidR="006D1E1C" w:rsidRPr="00C9343F" w14:paraId="7CD33A47" w14:textId="77777777" w:rsidTr="006D1E1C">
        <w:trPr>
          <w:cantSplit/>
        </w:trPr>
        <w:tc>
          <w:tcPr>
            <w:tcW w:w="992" w:type="dxa"/>
          </w:tcPr>
          <w:p w14:paraId="287B35CA" w14:textId="77777777" w:rsidR="006D1E1C" w:rsidRPr="00C9343F" w:rsidRDefault="006D1E1C" w:rsidP="00F66D98">
            <w:pPr>
              <w:pStyle w:val="BlockText-Plain"/>
            </w:pPr>
          </w:p>
        </w:tc>
        <w:tc>
          <w:tcPr>
            <w:tcW w:w="567" w:type="dxa"/>
          </w:tcPr>
          <w:p w14:paraId="19CB5AFB" w14:textId="77777777" w:rsidR="006D1E1C" w:rsidRPr="00C9343F" w:rsidRDefault="006D1E1C" w:rsidP="008D1B5D">
            <w:pPr>
              <w:pStyle w:val="BlockText-Plain"/>
              <w:jc w:val="center"/>
            </w:pPr>
            <w:r w:rsidRPr="00C9343F">
              <w:t>b.</w:t>
            </w:r>
          </w:p>
        </w:tc>
        <w:tc>
          <w:tcPr>
            <w:tcW w:w="7796" w:type="dxa"/>
          </w:tcPr>
          <w:p w14:paraId="296E056F" w14:textId="77777777" w:rsidR="006D1E1C" w:rsidRPr="00C9343F" w:rsidRDefault="006D1E1C" w:rsidP="00F66D98">
            <w:pPr>
              <w:pStyle w:val="BlockText-Plain"/>
            </w:pPr>
            <w:r w:rsidRPr="00C9343F">
              <w:t>The premium they pay because of the nature of their duties.</w:t>
            </w:r>
          </w:p>
        </w:tc>
      </w:tr>
    </w:tbl>
    <w:p w14:paraId="4E6FB685" w14:textId="0DBA9C53" w:rsidR="006D1E1C" w:rsidRPr="00C9343F" w:rsidRDefault="006D1E1C" w:rsidP="00F66D98">
      <w:pPr>
        <w:pStyle w:val="Heading5"/>
      </w:pPr>
      <w:bookmarkStart w:id="1200" w:name="_Toc105053936"/>
      <w:bookmarkStart w:id="1201" w:name="bk44403PM6811Memberswhoareentitled"/>
      <w:bookmarkStart w:id="1202" w:name="bk44421PM6811Memberswhoareentitled"/>
      <w:bookmarkStart w:id="1203" w:name="bk44432PM6811Memberswhoareentitled"/>
      <w:bookmarkStart w:id="1204" w:name="bk1146056811Memberswhoareentitled"/>
      <w:bookmarkStart w:id="1205" w:name="bk1501404152Membersentitled"/>
      <w:bookmarkStart w:id="1206" w:name="bk1502004152Membersentitled"/>
      <w:bookmarkStart w:id="1207" w:name="bk1138144152Membersentitled"/>
      <w:r w:rsidRPr="00C9343F">
        <w:t>4.10.2</w:t>
      </w:r>
      <w:r w:rsidR="00D94006" w:rsidRPr="00C9343F">
        <w:t>    </w:t>
      </w:r>
      <w:r w:rsidRPr="00C9343F">
        <w:t>Members eligible</w:t>
      </w:r>
      <w:bookmarkEnd w:id="1200"/>
    </w:p>
    <w:bookmarkEnd w:id="1201"/>
    <w:bookmarkEnd w:id="1202"/>
    <w:bookmarkEnd w:id="1203"/>
    <w:bookmarkEnd w:id="1204"/>
    <w:bookmarkEnd w:id="1205"/>
    <w:bookmarkEnd w:id="1206"/>
    <w:bookmarkEnd w:id="1207"/>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0D5B06C9" w14:textId="77777777" w:rsidTr="006D1E1C">
        <w:tc>
          <w:tcPr>
            <w:tcW w:w="992" w:type="dxa"/>
          </w:tcPr>
          <w:p w14:paraId="2EB9E88E" w14:textId="77777777" w:rsidR="006D1E1C" w:rsidRPr="00C9343F" w:rsidRDefault="006D1E1C" w:rsidP="00F66D98">
            <w:pPr>
              <w:pStyle w:val="BlockText-Plain"/>
              <w:jc w:val="center"/>
            </w:pPr>
          </w:p>
        </w:tc>
        <w:tc>
          <w:tcPr>
            <w:tcW w:w="8363" w:type="dxa"/>
            <w:gridSpan w:val="2"/>
          </w:tcPr>
          <w:p w14:paraId="2D1B5A11" w14:textId="77777777" w:rsidR="006D1E1C" w:rsidRPr="00C9343F" w:rsidRDefault="006D1E1C" w:rsidP="00F66D98">
            <w:pPr>
              <w:pStyle w:val="BlockText-Plain"/>
            </w:pPr>
            <w:r w:rsidRPr="00C9343F">
              <w:t>A member may be reimbursed their additional risk insurance costs if they do either of the following.</w:t>
            </w:r>
          </w:p>
        </w:tc>
      </w:tr>
      <w:tr w:rsidR="006D1E1C" w:rsidRPr="00C9343F" w14:paraId="59754DFD" w14:textId="77777777" w:rsidTr="006D1E1C">
        <w:trPr>
          <w:cantSplit/>
        </w:trPr>
        <w:tc>
          <w:tcPr>
            <w:tcW w:w="992" w:type="dxa"/>
          </w:tcPr>
          <w:p w14:paraId="782000DE" w14:textId="77777777" w:rsidR="006D1E1C" w:rsidRPr="00C9343F" w:rsidRDefault="006D1E1C" w:rsidP="00F66D98">
            <w:pPr>
              <w:pStyle w:val="BlockText-Plain"/>
            </w:pPr>
          </w:p>
        </w:tc>
        <w:tc>
          <w:tcPr>
            <w:tcW w:w="567" w:type="dxa"/>
          </w:tcPr>
          <w:p w14:paraId="7ECE3929" w14:textId="77777777" w:rsidR="006D1E1C" w:rsidRPr="00C9343F" w:rsidRDefault="006D1E1C" w:rsidP="008D1B5D">
            <w:pPr>
              <w:pStyle w:val="BlockText-Plain"/>
              <w:jc w:val="center"/>
            </w:pPr>
            <w:r w:rsidRPr="00C9343F">
              <w:t>a.</w:t>
            </w:r>
          </w:p>
        </w:tc>
        <w:tc>
          <w:tcPr>
            <w:tcW w:w="7796" w:type="dxa"/>
          </w:tcPr>
          <w:p w14:paraId="1C5DE70B" w14:textId="57C0DB7B" w:rsidR="006D1E1C" w:rsidRPr="00C9343F" w:rsidRDefault="006D1E1C" w:rsidP="00F66D98">
            <w:pPr>
              <w:pStyle w:val="BlockText-Plain"/>
            </w:pPr>
            <w:r w:rsidRPr="00C9343F">
              <w:t xml:space="preserve">They pay more than a normal yearly life insurance policy premium because of the nature of their duties. </w:t>
            </w:r>
          </w:p>
        </w:tc>
      </w:tr>
      <w:tr w:rsidR="006D1E1C" w:rsidRPr="00C9343F" w14:paraId="4508BC58" w14:textId="77777777" w:rsidTr="006D1E1C">
        <w:trPr>
          <w:cantSplit/>
        </w:trPr>
        <w:tc>
          <w:tcPr>
            <w:tcW w:w="992" w:type="dxa"/>
          </w:tcPr>
          <w:p w14:paraId="043DB735" w14:textId="77777777" w:rsidR="006D1E1C" w:rsidRPr="00C9343F" w:rsidRDefault="006D1E1C" w:rsidP="00F66D98">
            <w:pPr>
              <w:pStyle w:val="BlockText-Plain"/>
            </w:pPr>
          </w:p>
        </w:tc>
        <w:tc>
          <w:tcPr>
            <w:tcW w:w="567" w:type="dxa"/>
          </w:tcPr>
          <w:p w14:paraId="4EAA2CFE" w14:textId="77777777" w:rsidR="006D1E1C" w:rsidRPr="00C9343F" w:rsidRDefault="006D1E1C" w:rsidP="008D1B5D">
            <w:pPr>
              <w:pStyle w:val="BlockText-Plain"/>
              <w:jc w:val="center"/>
            </w:pPr>
            <w:r w:rsidRPr="00C9343F">
              <w:t>b.</w:t>
            </w:r>
          </w:p>
        </w:tc>
        <w:tc>
          <w:tcPr>
            <w:tcW w:w="7796" w:type="dxa"/>
          </w:tcPr>
          <w:p w14:paraId="718CE3B6" w14:textId="77777777" w:rsidR="006D1E1C" w:rsidRPr="00C9343F" w:rsidRDefault="006D1E1C" w:rsidP="00F66D98">
            <w:pPr>
              <w:pStyle w:val="BlockText-Plain"/>
            </w:pPr>
            <w:r w:rsidRPr="00C9343F">
              <w:t>They pay a higher premium on a life insurance policy they take out on a dependant because of the nature of their duties.</w:t>
            </w:r>
          </w:p>
        </w:tc>
      </w:tr>
    </w:tbl>
    <w:p w14:paraId="7B2E664A" w14:textId="50E59717" w:rsidR="006D1E1C" w:rsidRPr="00C9343F" w:rsidRDefault="006D1E1C" w:rsidP="00F66D98">
      <w:pPr>
        <w:pStyle w:val="Heading5"/>
      </w:pPr>
      <w:bookmarkStart w:id="1208" w:name="_Toc105053937"/>
      <w:bookmarkStart w:id="1209" w:name="bk44404PM6812Membernotentitled"/>
      <w:bookmarkStart w:id="1210" w:name="bk44421PM6812Membernotentitled"/>
      <w:bookmarkStart w:id="1211" w:name="bk44432PM6812Membernotentitled"/>
      <w:bookmarkStart w:id="1212" w:name="bk1146056812Membernotentitled"/>
      <w:bookmarkStart w:id="1213" w:name="bk1501404153Membersnotentitled"/>
      <w:bookmarkStart w:id="1214" w:name="bk1502004153Membersnotentitled"/>
      <w:bookmarkStart w:id="1215" w:name="bk1138144153Membersnotentitled"/>
      <w:r w:rsidRPr="00C9343F">
        <w:t>4.10.3</w:t>
      </w:r>
      <w:r w:rsidR="00D94006" w:rsidRPr="00C9343F">
        <w:t>    </w:t>
      </w:r>
      <w:r w:rsidRPr="00C9343F">
        <w:t>Members not eligible</w:t>
      </w:r>
      <w:bookmarkEnd w:id="1208"/>
    </w:p>
    <w:bookmarkEnd w:id="1209"/>
    <w:bookmarkEnd w:id="1210"/>
    <w:bookmarkEnd w:id="1211"/>
    <w:bookmarkEnd w:id="1212"/>
    <w:bookmarkEnd w:id="1213"/>
    <w:bookmarkEnd w:id="1214"/>
    <w:bookmarkEnd w:id="1215"/>
    <w:tbl>
      <w:tblPr>
        <w:tblW w:w="0" w:type="auto"/>
        <w:tblInd w:w="113" w:type="dxa"/>
        <w:tblLayout w:type="fixed"/>
        <w:tblLook w:val="0000" w:firstRow="0" w:lastRow="0" w:firstColumn="0" w:lastColumn="0" w:noHBand="0" w:noVBand="0"/>
      </w:tblPr>
      <w:tblGrid>
        <w:gridCol w:w="992"/>
        <w:gridCol w:w="8363"/>
      </w:tblGrid>
      <w:tr w:rsidR="006D1E1C" w:rsidRPr="00C9343F" w14:paraId="34564CFE" w14:textId="77777777" w:rsidTr="006D1E1C">
        <w:tc>
          <w:tcPr>
            <w:tcW w:w="992" w:type="dxa"/>
          </w:tcPr>
          <w:p w14:paraId="3E171B6B" w14:textId="77777777" w:rsidR="006D1E1C" w:rsidRPr="00C9343F" w:rsidRDefault="006D1E1C" w:rsidP="00F66D98">
            <w:pPr>
              <w:pStyle w:val="BlockText-Plain"/>
              <w:jc w:val="center"/>
            </w:pPr>
          </w:p>
        </w:tc>
        <w:tc>
          <w:tcPr>
            <w:tcW w:w="8363" w:type="dxa"/>
          </w:tcPr>
          <w:p w14:paraId="1783BF80" w14:textId="77777777" w:rsidR="006D1E1C" w:rsidRPr="00C9343F" w:rsidRDefault="006D1E1C" w:rsidP="00F66D98">
            <w:pPr>
              <w:pStyle w:val="BlockText-Plain"/>
            </w:pPr>
            <w:r w:rsidRPr="00C9343F">
              <w:t xml:space="preserve">A member will not be reimbursed their additional risk insurance costs if they pay additional premiums only because of the location they are serving in. </w:t>
            </w:r>
          </w:p>
        </w:tc>
      </w:tr>
    </w:tbl>
    <w:p w14:paraId="6DD48EA7" w14:textId="368A3B59" w:rsidR="006D1E1C" w:rsidRPr="00C9343F" w:rsidRDefault="006D1E1C" w:rsidP="00F66D98">
      <w:pPr>
        <w:pStyle w:val="Heading5"/>
      </w:pPr>
      <w:bookmarkStart w:id="1216" w:name="_Toc105053938"/>
      <w:bookmarkStart w:id="1217" w:name="bk44404PM6813Amountandtimeofrepayment"/>
      <w:bookmarkStart w:id="1218" w:name="bk44421PM6813Amountandtimeofrepayment"/>
      <w:bookmarkStart w:id="1219" w:name="bk44432PM6813Amountandtimeofrepayment"/>
      <w:bookmarkStart w:id="1220" w:name="bk1146056813Amountandtimeofrepayment"/>
      <w:bookmarkStart w:id="1221" w:name="bk1501404154Amountofrepayment"/>
      <w:bookmarkStart w:id="1222" w:name="bk1502004154Amountofrepayment"/>
      <w:bookmarkStart w:id="1223" w:name="bk1138144154Amountofrepayment"/>
      <w:r w:rsidRPr="00C9343F">
        <w:t>4.10.4</w:t>
      </w:r>
      <w:r w:rsidR="00D94006" w:rsidRPr="00C9343F">
        <w:t>    </w:t>
      </w:r>
      <w:r w:rsidRPr="00C9343F">
        <w:t>Amount of reimbursement</w:t>
      </w:r>
      <w:bookmarkEnd w:id="1216"/>
    </w:p>
    <w:tbl>
      <w:tblPr>
        <w:tblW w:w="0" w:type="auto"/>
        <w:tblInd w:w="113" w:type="dxa"/>
        <w:tblLayout w:type="fixed"/>
        <w:tblLook w:val="0000" w:firstRow="0" w:lastRow="0" w:firstColumn="0" w:lastColumn="0" w:noHBand="0" w:noVBand="0"/>
      </w:tblPr>
      <w:tblGrid>
        <w:gridCol w:w="992"/>
        <w:gridCol w:w="567"/>
        <w:gridCol w:w="7796"/>
      </w:tblGrid>
      <w:tr w:rsidR="006D1E1C" w:rsidRPr="00C9343F" w14:paraId="61FD3948" w14:textId="77777777" w:rsidTr="006D1E1C">
        <w:tc>
          <w:tcPr>
            <w:tcW w:w="992" w:type="dxa"/>
          </w:tcPr>
          <w:bookmarkEnd w:id="1217"/>
          <w:bookmarkEnd w:id="1218"/>
          <w:bookmarkEnd w:id="1219"/>
          <w:bookmarkEnd w:id="1220"/>
          <w:bookmarkEnd w:id="1221"/>
          <w:bookmarkEnd w:id="1222"/>
          <w:bookmarkEnd w:id="1223"/>
          <w:p w14:paraId="0E718978" w14:textId="77777777" w:rsidR="006D1E1C" w:rsidRPr="00C9343F" w:rsidRDefault="006D1E1C" w:rsidP="00F66D98">
            <w:pPr>
              <w:pStyle w:val="BlockText-Plain"/>
              <w:jc w:val="center"/>
            </w:pPr>
            <w:r w:rsidRPr="00C9343F">
              <w:t>1.</w:t>
            </w:r>
          </w:p>
        </w:tc>
        <w:tc>
          <w:tcPr>
            <w:tcW w:w="8363" w:type="dxa"/>
            <w:gridSpan w:val="2"/>
          </w:tcPr>
          <w:p w14:paraId="34B36A2E" w14:textId="3335ED61" w:rsidR="006D1E1C" w:rsidRPr="00C9343F" w:rsidRDefault="006D1E1C" w:rsidP="00F66D98">
            <w:pPr>
              <w:pStyle w:val="BlockText-Plain"/>
            </w:pPr>
            <w:r w:rsidRPr="00C9343F">
              <w:t xml:space="preserve">The member is eligible for a reimbursement of the additional risk premium they paid for each insurance policy. No more than </w:t>
            </w:r>
            <w:r w:rsidR="00CC0805" w:rsidRPr="00C9343F">
              <w:rPr>
                <w:iCs/>
              </w:rPr>
              <w:t>$2,636</w:t>
            </w:r>
            <w:r w:rsidR="00443826" w:rsidRPr="00C9343F">
              <w:rPr>
                <w:iCs/>
              </w:rPr>
              <w:t xml:space="preserve"> </w:t>
            </w:r>
            <w:r w:rsidRPr="00C9343F">
              <w:t xml:space="preserve">can be paid in respect of a financial year, in total.  </w:t>
            </w:r>
          </w:p>
        </w:tc>
      </w:tr>
      <w:tr w:rsidR="006D1E1C" w:rsidRPr="00C9343F" w14:paraId="2ADA42B0" w14:textId="77777777" w:rsidTr="006D1E1C">
        <w:tc>
          <w:tcPr>
            <w:tcW w:w="992" w:type="dxa"/>
          </w:tcPr>
          <w:p w14:paraId="4A8B5F70" w14:textId="77777777" w:rsidR="006D1E1C" w:rsidRPr="00C9343F" w:rsidRDefault="006D1E1C" w:rsidP="00F66D98">
            <w:pPr>
              <w:pStyle w:val="BlockText-Plain"/>
              <w:jc w:val="center"/>
            </w:pPr>
            <w:r w:rsidRPr="00C9343F">
              <w:t>2.</w:t>
            </w:r>
          </w:p>
        </w:tc>
        <w:tc>
          <w:tcPr>
            <w:tcW w:w="8363" w:type="dxa"/>
            <w:gridSpan w:val="2"/>
          </w:tcPr>
          <w:p w14:paraId="5FD9352F" w14:textId="77777777" w:rsidR="006D1E1C" w:rsidRPr="00C9343F" w:rsidRDefault="006D1E1C" w:rsidP="00F66D98">
            <w:pPr>
              <w:pStyle w:val="BlockText-Plain"/>
            </w:pPr>
            <w:r w:rsidRPr="00C9343F">
              <w:t>The CDF may grant an additional reimbursement, up to the amount of the additional risk premium. The CDF must consider all these criteria.</w:t>
            </w:r>
          </w:p>
        </w:tc>
      </w:tr>
      <w:tr w:rsidR="006D1E1C" w:rsidRPr="00C9343F" w14:paraId="7531766E" w14:textId="77777777" w:rsidTr="006D1E1C">
        <w:trPr>
          <w:cantSplit/>
        </w:trPr>
        <w:tc>
          <w:tcPr>
            <w:tcW w:w="992" w:type="dxa"/>
          </w:tcPr>
          <w:p w14:paraId="123D2206" w14:textId="77777777" w:rsidR="006D1E1C" w:rsidRPr="00C9343F" w:rsidRDefault="006D1E1C" w:rsidP="00F66D98">
            <w:pPr>
              <w:pStyle w:val="BlockText-Plain"/>
            </w:pPr>
          </w:p>
        </w:tc>
        <w:tc>
          <w:tcPr>
            <w:tcW w:w="567" w:type="dxa"/>
          </w:tcPr>
          <w:p w14:paraId="4E4EE99D" w14:textId="77777777" w:rsidR="006D1E1C" w:rsidRPr="00C9343F" w:rsidRDefault="006D1E1C" w:rsidP="008D1B5D">
            <w:pPr>
              <w:pStyle w:val="BlockText-Plain"/>
              <w:jc w:val="center"/>
            </w:pPr>
            <w:r w:rsidRPr="00C9343F">
              <w:t>a.</w:t>
            </w:r>
          </w:p>
        </w:tc>
        <w:tc>
          <w:tcPr>
            <w:tcW w:w="7796" w:type="dxa"/>
          </w:tcPr>
          <w:p w14:paraId="44651708" w14:textId="77777777" w:rsidR="006D1E1C" w:rsidRPr="00C9343F" w:rsidRDefault="006D1E1C" w:rsidP="00F66D98">
            <w:pPr>
              <w:pStyle w:val="BlockText-Plain"/>
            </w:pPr>
            <w:r w:rsidRPr="00C9343F">
              <w:t>The member's rank and duties.</w:t>
            </w:r>
          </w:p>
        </w:tc>
      </w:tr>
      <w:tr w:rsidR="006D1E1C" w:rsidRPr="00C9343F" w14:paraId="5D7992BC" w14:textId="77777777" w:rsidTr="006D1E1C">
        <w:trPr>
          <w:cantSplit/>
        </w:trPr>
        <w:tc>
          <w:tcPr>
            <w:tcW w:w="992" w:type="dxa"/>
          </w:tcPr>
          <w:p w14:paraId="059942B7" w14:textId="77777777" w:rsidR="006D1E1C" w:rsidRPr="00C9343F" w:rsidRDefault="006D1E1C" w:rsidP="00F66D98">
            <w:pPr>
              <w:pStyle w:val="BlockText-Plain"/>
            </w:pPr>
          </w:p>
        </w:tc>
        <w:tc>
          <w:tcPr>
            <w:tcW w:w="567" w:type="dxa"/>
          </w:tcPr>
          <w:p w14:paraId="63A1178F" w14:textId="77777777" w:rsidR="006D1E1C" w:rsidRPr="00C9343F" w:rsidRDefault="006D1E1C" w:rsidP="008D1B5D">
            <w:pPr>
              <w:pStyle w:val="BlockText-Plain"/>
              <w:jc w:val="center"/>
            </w:pPr>
            <w:r w:rsidRPr="00C9343F">
              <w:t>b.</w:t>
            </w:r>
          </w:p>
        </w:tc>
        <w:tc>
          <w:tcPr>
            <w:tcW w:w="7796" w:type="dxa"/>
          </w:tcPr>
          <w:p w14:paraId="3611A1D1" w14:textId="77777777" w:rsidR="006D1E1C" w:rsidRPr="00C9343F" w:rsidRDefault="006D1E1C" w:rsidP="00F66D98">
            <w:pPr>
              <w:pStyle w:val="BlockText-Plain"/>
            </w:pPr>
            <w:r w:rsidRPr="00C9343F">
              <w:t>The nature of the policy and the commencement and maturity dates of the policy.</w:t>
            </w:r>
          </w:p>
        </w:tc>
      </w:tr>
      <w:tr w:rsidR="006D1E1C" w:rsidRPr="00C9343F" w14:paraId="21569C3B" w14:textId="77777777" w:rsidTr="006D1E1C">
        <w:trPr>
          <w:cantSplit/>
        </w:trPr>
        <w:tc>
          <w:tcPr>
            <w:tcW w:w="992" w:type="dxa"/>
          </w:tcPr>
          <w:p w14:paraId="1BFF1EE6" w14:textId="77777777" w:rsidR="006D1E1C" w:rsidRPr="00C9343F" w:rsidRDefault="006D1E1C" w:rsidP="00F66D98">
            <w:pPr>
              <w:pStyle w:val="BlockText-Plain"/>
            </w:pPr>
          </w:p>
        </w:tc>
        <w:tc>
          <w:tcPr>
            <w:tcW w:w="567" w:type="dxa"/>
          </w:tcPr>
          <w:p w14:paraId="255126E9" w14:textId="77777777" w:rsidR="006D1E1C" w:rsidRPr="00C9343F" w:rsidRDefault="006D1E1C" w:rsidP="008D1B5D">
            <w:pPr>
              <w:pStyle w:val="BlockText-Plain"/>
              <w:jc w:val="center"/>
            </w:pPr>
            <w:r w:rsidRPr="00C9343F">
              <w:t>c.</w:t>
            </w:r>
          </w:p>
        </w:tc>
        <w:tc>
          <w:tcPr>
            <w:tcW w:w="7796" w:type="dxa"/>
          </w:tcPr>
          <w:p w14:paraId="354E8BD1" w14:textId="77777777" w:rsidR="006D1E1C" w:rsidRPr="00C9343F" w:rsidRDefault="006D1E1C" w:rsidP="00F66D98">
            <w:pPr>
              <w:pStyle w:val="BlockText-Plain"/>
            </w:pPr>
            <w:r w:rsidRPr="00C9343F">
              <w:t>The value of the policy.</w:t>
            </w:r>
          </w:p>
        </w:tc>
      </w:tr>
      <w:tr w:rsidR="006D1E1C" w:rsidRPr="00C9343F" w14:paraId="4B675F21" w14:textId="77777777" w:rsidTr="006D1E1C">
        <w:trPr>
          <w:cantSplit/>
        </w:trPr>
        <w:tc>
          <w:tcPr>
            <w:tcW w:w="992" w:type="dxa"/>
          </w:tcPr>
          <w:p w14:paraId="12B44BF8" w14:textId="77777777" w:rsidR="006D1E1C" w:rsidRPr="00C9343F" w:rsidRDefault="006D1E1C" w:rsidP="00F66D98">
            <w:pPr>
              <w:pStyle w:val="BlockText-Plain"/>
            </w:pPr>
          </w:p>
        </w:tc>
        <w:tc>
          <w:tcPr>
            <w:tcW w:w="567" w:type="dxa"/>
          </w:tcPr>
          <w:p w14:paraId="29D315FA" w14:textId="77777777" w:rsidR="006D1E1C" w:rsidRPr="00C9343F" w:rsidRDefault="006D1E1C" w:rsidP="008D1B5D">
            <w:pPr>
              <w:pStyle w:val="BlockText-Plain"/>
              <w:jc w:val="center"/>
            </w:pPr>
            <w:r w:rsidRPr="00C9343F">
              <w:t>d.</w:t>
            </w:r>
          </w:p>
        </w:tc>
        <w:tc>
          <w:tcPr>
            <w:tcW w:w="7796" w:type="dxa"/>
          </w:tcPr>
          <w:p w14:paraId="21FEEA18" w14:textId="77777777" w:rsidR="006D1E1C" w:rsidRPr="00C9343F" w:rsidRDefault="006D1E1C" w:rsidP="00F66D98">
            <w:pPr>
              <w:pStyle w:val="BlockText-Plain"/>
            </w:pPr>
            <w:r w:rsidRPr="00C9343F">
              <w:t>The reason for the additional risk premium.</w:t>
            </w:r>
          </w:p>
        </w:tc>
      </w:tr>
      <w:tr w:rsidR="006D1E1C" w:rsidRPr="00C9343F" w14:paraId="295F6510" w14:textId="77777777" w:rsidTr="006D1E1C">
        <w:trPr>
          <w:cantSplit/>
        </w:trPr>
        <w:tc>
          <w:tcPr>
            <w:tcW w:w="992" w:type="dxa"/>
          </w:tcPr>
          <w:p w14:paraId="57B9489B" w14:textId="77777777" w:rsidR="006D1E1C" w:rsidRPr="00C9343F" w:rsidRDefault="006D1E1C" w:rsidP="00F66D98">
            <w:pPr>
              <w:pStyle w:val="BlockText-Plain"/>
            </w:pPr>
          </w:p>
        </w:tc>
        <w:tc>
          <w:tcPr>
            <w:tcW w:w="567" w:type="dxa"/>
          </w:tcPr>
          <w:p w14:paraId="7A23576B" w14:textId="77777777" w:rsidR="006D1E1C" w:rsidRPr="00C9343F" w:rsidRDefault="006D1E1C" w:rsidP="008D1B5D">
            <w:pPr>
              <w:pStyle w:val="BlockText-Plain"/>
              <w:jc w:val="center"/>
            </w:pPr>
            <w:r w:rsidRPr="00C9343F">
              <w:t>e.</w:t>
            </w:r>
          </w:p>
        </w:tc>
        <w:tc>
          <w:tcPr>
            <w:tcW w:w="7796" w:type="dxa"/>
          </w:tcPr>
          <w:p w14:paraId="38DDA067" w14:textId="77777777" w:rsidR="006D1E1C" w:rsidRPr="00C9343F" w:rsidRDefault="006D1E1C" w:rsidP="00F66D98">
            <w:pPr>
              <w:pStyle w:val="BlockText-Plain"/>
            </w:pPr>
            <w:r w:rsidRPr="00C9343F">
              <w:t>The additional risk premium offered by other insurers.</w:t>
            </w:r>
          </w:p>
        </w:tc>
      </w:tr>
      <w:tr w:rsidR="006D1E1C" w:rsidRPr="00C9343F" w14:paraId="50A3AEEB" w14:textId="77777777" w:rsidTr="006D1E1C">
        <w:trPr>
          <w:cantSplit/>
        </w:trPr>
        <w:tc>
          <w:tcPr>
            <w:tcW w:w="992" w:type="dxa"/>
          </w:tcPr>
          <w:p w14:paraId="4BB4E1E4" w14:textId="77777777" w:rsidR="006D1E1C" w:rsidRPr="00C9343F" w:rsidRDefault="006D1E1C" w:rsidP="00F66D98">
            <w:pPr>
              <w:pStyle w:val="BlockText-Plain"/>
            </w:pPr>
          </w:p>
        </w:tc>
        <w:tc>
          <w:tcPr>
            <w:tcW w:w="567" w:type="dxa"/>
          </w:tcPr>
          <w:p w14:paraId="754AC1D0" w14:textId="77777777" w:rsidR="006D1E1C" w:rsidRPr="00C9343F" w:rsidRDefault="006D1E1C" w:rsidP="008D1B5D">
            <w:pPr>
              <w:pStyle w:val="BlockText-Plain"/>
              <w:jc w:val="center"/>
            </w:pPr>
            <w:r w:rsidRPr="00C9343F">
              <w:t>f.</w:t>
            </w:r>
          </w:p>
        </w:tc>
        <w:tc>
          <w:tcPr>
            <w:tcW w:w="7796" w:type="dxa"/>
          </w:tcPr>
          <w:p w14:paraId="4FFA4E89" w14:textId="77777777" w:rsidR="006D1E1C" w:rsidRPr="00C9343F" w:rsidRDefault="006D1E1C" w:rsidP="00F66D98">
            <w:pPr>
              <w:pStyle w:val="BlockText-Plain"/>
            </w:pPr>
            <w:r w:rsidRPr="00C9343F">
              <w:t>Any other factor relevant to the member’s life insurance.</w:t>
            </w:r>
          </w:p>
        </w:tc>
      </w:tr>
    </w:tbl>
    <w:p w14:paraId="1669E70B" w14:textId="06A78EF4" w:rsidR="006D1E1C" w:rsidRPr="00C9343F" w:rsidRDefault="006D1E1C" w:rsidP="00F66D98">
      <w:pPr>
        <w:pStyle w:val="Heading5"/>
      </w:pPr>
      <w:bookmarkStart w:id="1224" w:name="_Toc105053939"/>
      <w:bookmarkStart w:id="1225" w:name="bk44404PM6814Amountandtimeofrepayment"/>
      <w:bookmarkStart w:id="1226" w:name="bk44422PM6814Amountandtimeofrepayment"/>
      <w:bookmarkStart w:id="1227" w:name="bk44433PM6814Amountandtimeofrepayment"/>
      <w:bookmarkStart w:id="1228" w:name="bk1146056814Limittoamountpayable"/>
      <w:bookmarkStart w:id="1229" w:name="bk1501404155Timingofrepayment"/>
      <w:bookmarkStart w:id="1230" w:name="bk1502004155Timingofrepayment"/>
      <w:bookmarkStart w:id="1231" w:name="bk1138144155Timingofrepayment"/>
      <w:r w:rsidRPr="00C9343F">
        <w:t>4.10.5</w:t>
      </w:r>
      <w:r w:rsidR="00D94006" w:rsidRPr="00C9343F">
        <w:t>    </w:t>
      </w:r>
      <w:r w:rsidRPr="00C9343F">
        <w:t>Timing of reimbursement</w:t>
      </w:r>
      <w:bookmarkEnd w:id="1224"/>
    </w:p>
    <w:tbl>
      <w:tblPr>
        <w:tblW w:w="0" w:type="auto"/>
        <w:tblInd w:w="113" w:type="dxa"/>
        <w:tblLayout w:type="fixed"/>
        <w:tblLook w:val="0000" w:firstRow="0" w:lastRow="0" w:firstColumn="0" w:lastColumn="0" w:noHBand="0" w:noVBand="0"/>
      </w:tblPr>
      <w:tblGrid>
        <w:gridCol w:w="992"/>
        <w:gridCol w:w="8363"/>
      </w:tblGrid>
      <w:tr w:rsidR="006D1E1C" w:rsidRPr="00C9343F" w14:paraId="59752F5A" w14:textId="77777777" w:rsidTr="006D1E1C">
        <w:tc>
          <w:tcPr>
            <w:tcW w:w="992" w:type="dxa"/>
          </w:tcPr>
          <w:bookmarkEnd w:id="1225"/>
          <w:bookmarkEnd w:id="1226"/>
          <w:bookmarkEnd w:id="1227"/>
          <w:bookmarkEnd w:id="1228"/>
          <w:bookmarkEnd w:id="1229"/>
          <w:bookmarkEnd w:id="1230"/>
          <w:bookmarkEnd w:id="1231"/>
          <w:p w14:paraId="77D15A1F" w14:textId="77777777" w:rsidR="006D1E1C" w:rsidRPr="00C9343F" w:rsidRDefault="006D1E1C" w:rsidP="00F66D98">
            <w:pPr>
              <w:pStyle w:val="BlockText-Plain"/>
              <w:jc w:val="center"/>
            </w:pPr>
            <w:r w:rsidRPr="00C9343F">
              <w:t>1.</w:t>
            </w:r>
          </w:p>
        </w:tc>
        <w:tc>
          <w:tcPr>
            <w:tcW w:w="8363" w:type="dxa"/>
          </w:tcPr>
          <w:p w14:paraId="357B6241" w14:textId="77777777" w:rsidR="006D1E1C" w:rsidRPr="00C9343F" w:rsidRDefault="006D1E1C" w:rsidP="00F66D98">
            <w:pPr>
              <w:pStyle w:val="BlockText-Plain"/>
            </w:pPr>
            <w:r w:rsidRPr="00C9343F">
              <w:t>A member is eligible for reimbursement once a year.</w:t>
            </w:r>
          </w:p>
        </w:tc>
      </w:tr>
      <w:tr w:rsidR="006D1E1C" w:rsidRPr="00C9343F" w14:paraId="7A5D0D43" w14:textId="77777777" w:rsidTr="006D1E1C">
        <w:tc>
          <w:tcPr>
            <w:tcW w:w="992" w:type="dxa"/>
          </w:tcPr>
          <w:p w14:paraId="7FA6846E" w14:textId="77777777" w:rsidR="006D1E1C" w:rsidRPr="00C9343F" w:rsidRDefault="006D1E1C" w:rsidP="00F66D98">
            <w:pPr>
              <w:pStyle w:val="BlockText-Plain"/>
              <w:jc w:val="center"/>
            </w:pPr>
            <w:r w:rsidRPr="00C9343F">
              <w:t>2.</w:t>
            </w:r>
          </w:p>
        </w:tc>
        <w:tc>
          <w:tcPr>
            <w:tcW w:w="8363" w:type="dxa"/>
          </w:tcPr>
          <w:p w14:paraId="32337004" w14:textId="77777777" w:rsidR="006D1E1C" w:rsidRPr="00C9343F" w:rsidRDefault="006D1E1C" w:rsidP="00F66D98">
            <w:pPr>
              <w:pStyle w:val="BlockText-Plain"/>
            </w:pPr>
            <w:r w:rsidRPr="00C9343F">
              <w:t>The premium for the additional risk insurance must be paid in full before reimbursement can be made.</w:t>
            </w:r>
          </w:p>
        </w:tc>
      </w:tr>
      <w:tr w:rsidR="006D1E1C" w:rsidRPr="00C9343F" w14:paraId="4EBE6873" w14:textId="77777777" w:rsidTr="006D1E1C">
        <w:trPr>
          <w:cantSplit/>
        </w:trPr>
        <w:tc>
          <w:tcPr>
            <w:tcW w:w="992" w:type="dxa"/>
          </w:tcPr>
          <w:p w14:paraId="5ED2ABF0" w14:textId="77777777" w:rsidR="006D1E1C" w:rsidRPr="00C9343F" w:rsidRDefault="006D1E1C" w:rsidP="00F66D98">
            <w:pPr>
              <w:pStyle w:val="BlockText-Plain"/>
            </w:pPr>
          </w:p>
        </w:tc>
        <w:tc>
          <w:tcPr>
            <w:tcW w:w="8363" w:type="dxa"/>
          </w:tcPr>
          <w:p w14:paraId="531B05E8" w14:textId="77777777" w:rsidR="006D1E1C" w:rsidRPr="00C9343F" w:rsidRDefault="006D1E1C" w:rsidP="00F66D98">
            <w:pPr>
              <w:pStyle w:val="BlockText-Plain"/>
            </w:pPr>
            <w:r w:rsidRPr="00C9343F">
              <w:rPr>
                <w:b/>
              </w:rPr>
              <w:t>Note:</w:t>
            </w:r>
            <w:r w:rsidRPr="00C9343F">
              <w:t xml:space="preserve"> The member must provide evidence of the payment. It is the member’s responsibility to provide enough detail to allow the benefit to be verified.</w:t>
            </w:r>
          </w:p>
        </w:tc>
      </w:tr>
    </w:tbl>
    <w:p w14:paraId="6E09DEF1" w14:textId="2C246E6E" w:rsidR="006D1E1C" w:rsidRPr="00C9343F" w:rsidRDefault="006D1E1C" w:rsidP="00AB3D72">
      <w:pPr>
        <w:pStyle w:val="Heading3"/>
        <w:pageBreakBefore/>
      </w:pPr>
      <w:r w:rsidRPr="00C9343F">
        <w:t xml:space="preserve"> </w:t>
      </w:r>
      <w:bookmarkStart w:id="1232" w:name="_Toc105053940"/>
      <w:r w:rsidRPr="00C9343F">
        <w:t>Part 11: Parking</w:t>
      </w:r>
      <w:bookmarkEnd w:id="1232"/>
    </w:p>
    <w:p w14:paraId="0BBABD2A" w14:textId="56D3DEAF" w:rsidR="006D1E1C" w:rsidRPr="00C9343F" w:rsidRDefault="006D1E1C" w:rsidP="00F66D98">
      <w:pPr>
        <w:pStyle w:val="Heading5"/>
      </w:pPr>
      <w:bookmarkStart w:id="1233" w:name="_Toc105053941"/>
      <w:r w:rsidRPr="00C9343F">
        <w:t>4.11.1</w:t>
      </w:r>
      <w:r w:rsidR="00D94006" w:rsidRPr="00C9343F">
        <w:t>    </w:t>
      </w:r>
      <w:r w:rsidRPr="00C9343F">
        <w:t>Purpose</w:t>
      </w:r>
      <w:bookmarkEnd w:id="1233"/>
    </w:p>
    <w:tbl>
      <w:tblPr>
        <w:tblW w:w="0" w:type="auto"/>
        <w:tblInd w:w="113" w:type="dxa"/>
        <w:tblLayout w:type="fixed"/>
        <w:tblLook w:val="0000" w:firstRow="0" w:lastRow="0" w:firstColumn="0" w:lastColumn="0" w:noHBand="0" w:noVBand="0"/>
      </w:tblPr>
      <w:tblGrid>
        <w:gridCol w:w="992"/>
        <w:gridCol w:w="8363"/>
      </w:tblGrid>
      <w:tr w:rsidR="006D1E1C" w:rsidRPr="00C9343F" w14:paraId="29DFAE6B" w14:textId="77777777" w:rsidTr="006D1E1C">
        <w:tc>
          <w:tcPr>
            <w:tcW w:w="992" w:type="dxa"/>
          </w:tcPr>
          <w:p w14:paraId="15F7A03E" w14:textId="77777777" w:rsidR="006D1E1C" w:rsidRPr="00C9343F" w:rsidRDefault="006D1E1C" w:rsidP="00F66D98">
            <w:pPr>
              <w:pStyle w:val="BlockText-Plain"/>
              <w:jc w:val="center"/>
            </w:pPr>
          </w:p>
        </w:tc>
        <w:tc>
          <w:tcPr>
            <w:tcW w:w="8363" w:type="dxa"/>
          </w:tcPr>
          <w:p w14:paraId="57CB35E6" w14:textId="77777777" w:rsidR="006D1E1C" w:rsidRPr="00C9343F" w:rsidRDefault="006D1E1C" w:rsidP="00F66D98">
            <w:pPr>
              <w:pStyle w:val="BlockText-Plain"/>
            </w:pPr>
            <w:r w:rsidRPr="00C9343F">
              <w:t>This Part sets out the contribution for a parking space, or a parking permit, if one is allocated to a member at a specified location.</w:t>
            </w:r>
          </w:p>
        </w:tc>
      </w:tr>
    </w:tbl>
    <w:p w14:paraId="05330E00" w14:textId="25F7EE10" w:rsidR="006D1E1C" w:rsidRPr="00C9343F" w:rsidRDefault="006D1E1C" w:rsidP="00F66D98">
      <w:pPr>
        <w:pStyle w:val="Heading5"/>
      </w:pPr>
      <w:bookmarkStart w:id="1234" w:name="_Toc105053942"/>
      <w:r w:rsidRPr="00C9343F">
        <w:t>4.11.2</w:t>
      </w:r>
      <w:r w:rsidR="00D94006" w:rsidRPr="00C9343F">
        <w:t>    </w:t>
      </w:r>
      <w:r w:rsidRPr="00C9343F">
        <w:t>Contributions for parking and parking permits</w:t>
      </w:r>
      <w:bookmarkEnd w:id="1234"/>
    </w:p>
    <w:tbl>
      <w:tblPr>
        <w:tblW w:w="0" w:type="auto"/>
        <w:tblInd w:w="113" w:type="dxa"/>
        <w:tblLayout w:type="fixed"/>
        <w:tblLook w:val="0000" w:firstRow="0" w:lastRow="0" w:firstColumn="0" w:lastColumn="0" w:noHBand="0" w:noVBand="0"/>
      </w:tblPr>
      <w:tblGrid>
        <w:gridCol w:w="992"/>
        <w:gridCol w:w="567"/>
        <w:gridCol w:w="567"/>
        <w:gridCol w:w="7233"/>
      </w:tblGrid>
      <w:tr w:rsidR="006D1E1C" w:rsidRPr="00C9343F" w14:paraId="69DC1A28" w14:textId="77777777" w:rsidTr="00A355DF">
        <w:tc>
          <w:tcPr>
            <w:tcW w:w="992" w:type="dxa"/>
          </w:tcPr>
          <w:p w14:paraId="12ACC249" w14:textId="77777777" w:rsidR="006D1E1C" w:rsidRPr="00C9343F" w:rsidRDefault="006D1E1C" w:rsidP="00F66D98">
            <w:pPr>
              <w:pStyle w:val="BlockText-Plain"/>
              <w:jc w:val="center"/>
            </w:pPr>
            <w:r w:rsidRPr="00C9343F">
              <w:t>1.</w:t>
            </w:r>
          </w:p>
        </w:tc>
        <w:tc>
          <w:tcPr>
            <w:tcW w:w="8367" w:type="dxa"/>
            <w:gridSpan w:val="3"/>
          </w:tcPr>
          <w:p w14:paraId="08A62B69" w14:textId="77777777" w:rsidR="006D1E1C" w:rsidRPr="00C9343F" w:rsidRDefault="006D1E1C" w:rsidP="00F66D98">
            <w:pPr>
              <w:pStyle w:val="BlockText-Plain"/>
            </w:pPr>
            <w:r w:rsidRPr="00C9343F">
              <w:t>This section applies to a member when all of the following conditions are met.</w:t>
            </w:r>
          </w:p>
        </w:tc>
      </w:tr>
      <w:tr w:rsidR="006D1E1C" w:rsidRPr="00C9343F" w14:paraId="1EFFC656" w14:textId="77777777" w:rsidTr="00A355DF">
        <w:trPr>
          <w:cantSplit/>
        </w:trPr>
        <w:tc>
          <w:tcPr>
            <w:tcW w:w="992" w:type="dxa"/>
          </w:tcPr>
          <w:p w14:paraId="3BE46785" w14:textId="77777777" w:rsidR="006D1E1C" w:rsidRPr="00C9343F" w:rsidRDefault="006D1E1C" w:rsidP="00F66D98">
            <w:pPr>
              <w:pStyle w:val="BlockText-Plain"/>
            </w:pPr>
          </w:p>
        </w:tc>
        <w:tc>
          <w:tcPr>
            <w:tcW w:w="567" w:type="dxa"/>
          </w:tcPr>
          <w:p w14:paraId="44641DE0" w14:textId="77777777" w:rsidR="006D1E1C" w:rsidRPr="00C9343F" w:rsidRDefault="006D1E1C" w:rsidP="008D1B5D">
            <w:pPr>
              <w:pStyle w:val="BlockText-Plain"/>
              <w:jc w:val="center"/>
            </w:pPr>
            <w:r w:rsidRPr="00C9343F">
              <w:t>a.</w:t>
            </w:r>
          </w:p>
        </w:tc>
        <w:tc>
          <w:tcPr>
            <w:tcW w:w="7800" w:type="dxa"/>
            <w:gridSpan w:val="2"/>
          </w:tcPr>
          <w:p w14:paraId="4FDAFBEE" w14:textId="77777777" w:rsidR="006D1E1C" w:rsidRPr="00C9343F" w:rsidRDefault="006D1E1C" w:rsidP="00F66D98">
            <w:pPr>
              <w:pStyle w:val="BlockText-Plain"/>
            </w:pPr>
            <w:r w:rsidRPr="00C9343F">
              <w:t>The member is allocated either of the following.</w:t>
            </w:r>
          </w:p>
        </w:tc>
      </w:tr>
      <w:tr w:rsidR="006D1E1C" w:rsidRPr="00C9343F" w14:paraId="2BEF5B4A" w14:textId="77777777" w:rsidTr="00A355DF">
        <w:trPr>
          <w:cantSplit/>
        </w:trPr>
        <w:tc>
          <w:tcPr>
            <w:tcW w:w="1559" w:type="dxa"/>
            <w:gridSpan w:val="2"/>
          </w:tcPr>
          <w:p w14:paraId="556881CB" w14:textId="77777777" w:rsidR="006D1E1C" w:rsidRPr="00C9343F" w:rsidRDefault="006D1E1C" w:rsidP="00F66D98">
            <w:pPr>
              <w:pStyle w:val="BlockText-Plain"/>
            </w:pPr>
          </w:p>
        </w:tc>
        <w:tc>
          <w:tcPr>
            <w:tcW w:w="567" w:type="dxa"/>
          </w:tcPr>
          <w:p w14:paraId="25483D90" w14:textId="77777777" w:rsidR="006D1E1C" w:rsidRPr="00C9343F" w:rsidRDefault="006D1E1C" w:rsidP="008D1B5D">
            <w:pPr>
              <w:pStyle w:val="BlockText-Plain"/>
            </w:pPr>
            <w:r w:rsidRPr="00C9343F">
              <w:t>i.</w:t>
            </w:r>
          </w:p>
        </w:tc>
        <w:tc>
          <w:tcPr>
            <w:tcW w:w="7233" w:type="dxa"/>
          </w:tcPr>
          <w:p w14:paraId="5F6E779B" w14:textId="77777777" w:rsidR="006D1E1C" w:rsidRPr="00C9343F" w:rsidRDefault="006D1E1C" w:rsidP="00F66D98">
            <w:pPr>
              <w:pStyle w:val="BlockText-Plain"/>
            </w:pPr>
            <w:r w:rsidRPr="00C9343F">
              <w:t>A parking space at or near their posting location.</w:t>
            </w:r>
          </w:p>
        </w:tc>
      </w:tr>
      <w:tr w:rsidR="006D1E1C" w:rsidRPr="00C9343F" w14:paraId="01148081" w14:textId="77777777" w:rsidTr="00A355DF">
        <w:trPr>
          <w:cantSplit/>
        </w:trPr>
        <w:tc>
          <w:tcPr>
            <w:tcW w:w="1559" w:type="dxa"/>
            <w:gridSpan w:val="2"/>
          </w:tcPr>
          <w:p w14:paraId="188DE187" w14:textId="77777777" w:rsidR="006D1E1C" w:rsidRPr="00C9343F" w:rsidRDefault="006D1E1C" w:rsidP="00F66D98">
            <w:pPr>
              <w:pStyle w:val="BlockText-Plain"/>
            </w:pPr>
          </w:p>
        </w:tc>
        <w:tc>
          <w:tcPr>
            <w:tcW w:w="567" w:type="dxa"/>
          </w:tcPr>
          <w:p w14:paraId="1611C200" w14:textId="77777777" w:rsidR="006D1E1C" w:rsidRPr="00C9343F" w:rsidRDefault="006D1E1C" w:rsidP="008D1B5D">
            <w:pPr>
              <w:pStyle w:val="BlockText-Plain"/>
            </w:pPr>
            <w:r w:rsidRPr="00C9343F">
              <w:t>ii.</w:t>
            </w:r>
          </w:p>
        </w:tc>
        <w:tc>
          <w:tcPr>
            <w:tcW w:w="7233" w:type="dxa"/>
          </w:tcPr>
          <w:p w14:paraId="424C3831" w14:textId="77777777" w:rsidR="006D1E1C" w:rsidRPr="00C9343F" w:rsidRDefault="006D1E1C" w:rsidP="00F66D98">
            <w:pPr>
              <w:pStyle w:val="BlockText-Plain"/>
            </w:pPr>
            <w:r w:rsidRPr="00C9343F">
              <w:t>A parking permit instead of a specific parking space.</w:t>
            </w:r>
          </w:p>
        </w:tc>
      </w:tr>
      <w:tr w:rsidR="006D1E1C" w:rsidRPr="00C9343F" w14:paraId="050C42B9" w14:textId="77777777" w:rsidTr="00A355DF">
        <w:trPr>
          <w:cantSplit/>
        </w:trPr>
        <w:tc>
          <w:tcPr>
            <w:tcW w:w="992" w:type="dxa"/>
          </w:tcPr>
          <w:p w14:paraId="0A927A08" w14:textId="77777777" w:rsidR="006D1E1C" w:rsidRPr="00C9343F" w:rsidRDefault="006D1E1C" w:rsidP="00F66D98">
            <w:pPr>
              <w:pStyle w:val="BlockText-Plain"/>
            </w:pPr>
          </w:p>
        </w:tc>
        <w:tc>
          <w:tcPr>
            <w:tcW w:w="567" w:type="dxa"/>
          </w:tcPr>
          <w:p w14:paraId="30603BFB" w14:textId="77777777" w:rsidR="006D1E1C" w:rsidRPr="00C9343F" w:rsidRDefault="006D1E1C" w:rsidP="008D1B5D">
            <w:pPr>
              <w:pStyle w:val="BlockText-Plain"/>
              <w:jc w:val="center"/>
            </w:pPr>
            <w:r w:rsidRPr="00C9343F">
              <w:t>b.</w:t>
            </w:r>
          </w:p>
        </w:tc>
        <w:tc>
          <w:tcPr>
            <w:tcW w:w="7800" w:type="dxa"/>
            <w:gridSpan w:val="2"/>
          </w:tcPr>
          <w:p w14:paraId="76E9DE90" w14:textId="77777777" w:rsidR="006D1E1C" w:rsidRPr="00C9343F" w:rsidRDefault="006D1E1C" w:rsidP="00F66D98">
            <w:pPr>
              <w:pStyle w:val="BlockText-Plain"/>
            </w:pPr>
            <w:r w:rsidRPr="00C9343F">
              <w:t>The member chooses to take the parking space or permit.</w:t>
            </w:r>
          </w:p>
        </w:tc>
      </w:tr>
      <w:tr w:rsidR="006D1E1C" w:rsidRPr="00C9343F" w14:paraId="3819C7AC" w14:textId="77777777" w:rsidTr="00A355DF">
        <w:trPr>
          <w:cantSplit/>
        </w:trPr>
        <w:tc>
          <w:tcPr>
            <w:tcW w:w="992" w:type="dxa"/>
          </w:tcPr>
          <w:p w14:paraId="42686D94" w14:textId="77777777" w:rsidR="006D1E1C" w:rsidRPr="00C9343F" w:rsidRDefault="006D1E1C" w:rsidP="00F66D98">
            <w:pPr>
              <w:pStyle w:val="BlockText-Plain"/>
            </w:pPr>
          </w:p>
        </w:tc>
        <w:tc>
          <w:tcPr>
            <w:tcW w:w="567" w:type="dxa"/>
          </w:tcPr>
          <w:p w14:paraId="3B408D59" w14:textId="77777777" w:rsidR="006D1E1C" w:rsidRPr="00C9343F" w:rsidRDefault="006D1E1C" w:rsidP="008D1B5D">
            <w:pPr>
              <w:pStyle w:val="BlockText-Plain"/>
              <w:jc w:val="center"/>
            </w:pPr>
            <w:r w:rsidRPr="00C9343F">
              <w:t>c.</w:t>
            </w:r>
          </w:p>
        </w:tc>
        <w:tc>
          <w:tcPr>
            <w:tcW w:w="7800" w:type="dxa"/>
            <w:gridSpan w:val="2"/>
          </w:tcPr>
          <w:p w14:paraId="367B6D38" w14:textId="77777777" w:rsidR="006D1E1C" w:rsidRPr="00C9343F" w:rsidRDefault="006D1E1C" w:rsidP="00F66D98">
            <w:pPr>
              <w:pStyle w:val="BlockText-Plain"/>
            </w:pPr>
            <w:r w:rsidRPr="00C9343F">
              <w:t>The posting location is a location for which the CDF decides that a contribution is payable for a parking space or permit.</w:t>
            </w:r>
          </w:p>
        </w:tc>
      </w:tr>
      <w:tr w:rsidR="006D1E1C" w:rsidRPr="00C9343F" w14:paraId="03D34D8D" w14:textId="77777777" w:rsidTr="00A355DF">
        <w:tc>
          <w:tcPr>
            <w:tcW w:w="992" w:type="dxa"/>
          </w:tcPr>
          <w:p w14:paraId="500DF284" w14:textId="77777777" w:rsidR="006D1E1C" w:rsidRPr="00C9343F" w:rsidRDefault="006D1E1C" w:rsidP="00F66D98">
            <w:pPr>
              <w:pStyle w:val="BlockText-Plain"/>
              <w:jc w:val="center"/>
            </w:pPr>
            <w:r w:rsidRPr="00C9343F">
              <w:t>2.</w:t>
            </w:r>
          </w:p>
        </w:tc>
        <w:tc>
          <w:tcPr>
            <w:tcW w:w="8367" w:type="dxa"/>
            <w:gridSpan w:val="3"/>
          </w:tcPr>
          <w:p w14:paraId="421D9469" w14:textId="77777777" w:rsidR="006D1E1C" w:rsidRPr="00C9343F" w:rsidRDefault="00A355DF" w:rsidP="00F66D98">
            <w:pPr>
              <w:pStyle w:val="BlockText-Plain"/>
            </w:pPr>
            <w:r w:rsidRPr="00C9343F">
              <w:rPr>
                <w:iCs/>
              </w:rPr>
              <w:t>The member must make a fortnightly contribution of $60.00 for the parking space or parking permit the member is allocated.</w:t>
            </w:r>
          </w:p>
        </w:tc>
      </w:tr>
      <w:tr w:rsidR="006D1E1C" w:rsidRPr="00C9343F" w14:paraId="5ED2DBDC" w14:textId="77777777" w:rsidTr="00A355DF">
        <w:tc>
          <w:tcPr>
            <w:tcW w:w="992" w:type="dxa"/>
          </w:tcPr>
          <w:p w14:paraId="5C52BFAF" w14:textId="77777777" w:rsidR="006D1E1C" w:rsidRPr="00C9343F" w:rsidRDefault="006D1E1C" w:rsidP="00F66D98">
            <w:pPr>
              <w:pStyle w:val="BlockText-Plain"/>
              <w:jc w:val="center"/>
            </w:pPr>
            <w:r w:rsidRPr="00C9343F">
              <w:t>3.</w:t>
            </w:r>
          </w:p>
        </w:tc>
        <w:tc>
          <w:tcPr>
            <w:tcW w:w="8367" w:type="dxa"/>
            <w:gridSpan w:val="3"/>
          </w:tcPr>
          <w:p w14:paraId="6D9095E1" w14:textId="77777777" w:rsidR="006D1E1C" w:rsidRPr="00C9343F" w:rsidRDefault="006D1E1C" w:rsidP="00F66D98">
            <w:pPr>
              <w:pStyle w:val="BlockText-Plain"/>
            </w:pPr>
            <w:r w:rsidRPr="00C9343F">
              <w:t>If a member is absent from the location for a period of four weeks or longer, all of the following apply.</w:t>
            </w:r>
          </w:p>
        </w:tc>
      </w:tr>
      <w:tr w:rsidR="006D1E1C" w:rsidRPr="00C9343F" w14:paraId="1779D240" w14:textId="77777777" w:rsidTr="00A355DF">
        <w:trPr>
          <w:cantSplit/>
        </w:trPr>
        <w:tc>
          <w:tcPr>
            <w:tcW w:w="992" w:type="dxa"/>
          </w:tcPr>
          <w:p w14:paraId="5A498254" w14:textId="77777777" w:rsidR="006D1E1C" w:rsidRPr="00C9343F" w:rsidRDefault="006D1E1C" w:rsidP="00F66D98">
            <w:pPr>
              <w:pStyle w:val="BlockText-Plain"/>
            </w:pPr>
          </w:p>
        </w:tc>
        <w:tc>
          <w:tcPr>
            <w:tcW w:w="567" w:type="dxa"/>
          </w:tcPr>
          <w:p w14:paraId="5119B093" w14:textId="77777777" w:rsidR="006D1E1C" w:rsidRPr="00C9343F" w:rsidRDefault="006D1E1C" w:rsidP="008D1B5D">
            <w:pPr>
              <w:pStyle w:val="BlockText-Plain"/>
              <w:jc w:val="center"/>
            </w:pPr>
            <w:r w:rsidRPr="00C9343F">
              <w:t>a.</w:t>
            </w:r>
          </w:p>
        </w:tc>
        <w:tc>
          <w:tcPr>
            <w:tcW w:w="7800" w:type="dxa"/>
            <w:gridSpan w:val="2"/>
          </w:tcPr>
          <w:p w14:paraId="6197CBFF" w14:textId="77777777" w:rsidR="006D1E1C" w:rsidRPr="00C9343F" w:rsidRDefault="00690473" w:rsidP="00F66D98">
            <w:pPr>
              <w:pStyle w:val="BlockText-Plain"/>
            </w:pPr>
            <w:r w:rsidRPr="00C9343F">
              <w:t>The member must submit the approved form.</w:t>
            </w:r>
          </w:p>
        </w:tc>
      </w:tr>
      <w:tr w:rsidR="006D1E1C" w:rsidRPr="00C9343F" w14:paraId="5EBFE7F3" w14:textId="77777777" w:rsidTr="00A355DF">
        <w:trPr>
          <w:cantSplit/>
        </w:trPr>
        <w:tc>
          <w:tcPr>
            <w:tcW w:w="992" w:type="dxa"/>
          </w:tcPr>
          <w:p w14:paraId="3783A835" w14:textId="77777777" w:rsidR="006D1E1C" w:rsidRPr="00C9343F" w:rsidRDefault="006D1E1C" w:rsidP="00F66D98">
            <w:pPr>
              <w:pStyle w:val="BlockText-Plain"/>
            </w:pPr>
          </w:p>
        </w:tc>
        <w:tc>
          <w:tcPr>
            <w:tcW w:w="567" w:type="dxa"/>
          </w:tcPr>
          <w:p w14:paraId="50D8D39E" w14:textId="77777777" w:rsidR="006D1E1C" w:rsidRPr="00C9343F" w:rsidRDefault="006D1E1C" w:rsidP="008D1B5D">
            <w:pPr>
              <w:pStyle w:val="BlockText-Plain"/>
              <w:jc w:val="center"/>
            </w:pPr>
            <w:r w:rsidRPr="00C9343F">
              <w:t>b.</w:t>
            </w:r>
          </w:p>
        </w:tc>
        <w:tc>
          <w:tcPr>
            <w:tcW w:w="7800" w:type="dxa"/>
            <w:gridSpan w:val="2"/>
          </w:tcPr>
          <w:p w14:paraId="293B307D" w14:textId="77777777" w:rsidR="006D1E1C" w:rsidRPr="00C9343F" w:rsidRDefault="006D1E1C" w:rsidP="00F66D98">
            <w:pPr>
              <w:pStyle w:val="BlockText-Plain"/>
            </w:pPr>
            <w:r w:rsidRPr="00C9343F">
              <w:t>The member's contribution ceases on the first payday after the commencement of the member's absence.</w:t>
            </w:r>
          </w:p>
        </w:tc>
      </w:tr>
      <w:tr w:rsidR="006D1E1C" w:rsidRPr="00C9343F" w14:paraId="658C7DAC" w14:textId="77777777" w:rsidTr="00A355DF">
        <w:trPr>
          <w:cantSplit/>
        </w:trPr>
        <w:tc>
          <w:tcPr>
            <w:tcW w:w="992" w:type="dxa"/>
          </w:tcPr>
          <w:p w14:paraId="03324C7E" w14:textId="77777777" w:rsidR="006D1E1C" w:rsidRPr="00C9343F" w:rsidRDefault="006D1E1C" w:rsidP="00F66D98">
            <w:pPr>
              <w:pStyle w:val="BlockText-Plain"/>
            </w:pPr>
          </w:p>
        </w:tc>
        <w:tc>
          <w:tcPr>
            <w:tcW w:w="567" w:type="dxa"/>
          </w:tcPr>
          <w:p w14:paraId="3BAD30E0" w14:textId="77777777" w:rsidR="006D1E1C" w:rsidRPr="00C9343F" w:rsidRDefault="006D1E1C" w:rsidP="008D1B5D">
            <w:pPr>
              <w:pStyle w:val="BlockText-Plain"/>
              <w:jc w:val="center"/>
            </w:pPr>
            <w:r w:rsidRPr="00C9343F">
              <w:t>c.</w:t>
            </w:r>
          </w:p>
        </w:tc>
        <w:tc>
          <w:tcPr>
            <w:tcW w:w="7800" w:type="dxa"/>
            <w:gridSpan w:val="2"/>
          </w:tcPr>
          <w:p w14:paraId="7E38D691" w14:textId="77777777" w:rsidR="006D1E1C" w:rsidRPr="00C9343F" w:rsidRDefault="006D1E1C" w:rsidP="00F66D98">
            <w:pPr>
              <w:pStyle w:val="BlockText-Plain"/>
            </w:pPr>
            <w:r w:rsidRPr="00C9343F">
              <w:t>The contribution resumes on the first payday after the member returns to the location, this will be a full contribution.</w:t>
            </w:r>
          </w:p>
        </w:tc>
      </w:tr>
      <w:tr w:rsidR="006D1E1C" w:rsidRPr="00C9343F" w14:paraId="7F28D6DC" w14:textId="77777777" w:rsidTr="00A355DF">
        <w:tc>
          <w:tcPr>
            <w:tcW w:w="992" w:type="dxa"/>
          </w:tcPr>
          <w:p w14:paraId="59BE1935" w14:textId="77777777" w:rsidR="006D1E1C" w:rsidRPr="00C9343F" w:rsidRDefault="006D1E1C" w:rsidP="00F66D98">
            <w:pPr>
              <w:pStyle w:val="BlockText-Plain"/>
              <w:jc w:val="center"/>
            </w:pPr>
            <w:r w:rsidRPr="00C9343F">
              <w:t>4.</w:t>
            </w:r>
          </w:p>
        </w:tc>
        <w:tc>
          <w:tcPr>
            <w:tcW w:w="8367" w:type="dxa"/>
            <w:gridSpan w:val="3"/>
          </w:tcPr>
          <w:p w14:paraId="6CD9EB68" w14:textId="77777777" w:rsidR="006D1E1C" w:rsidRPr="00C9343F" w:rsidRDefault="006D1E1C" w:rsidP="00F66D98">
            <w:pPr>
              <w:pStyle w:val="BlockText-Plain"/>
            </w:pPr>
            <w:r w:rsidRPr="00C9343F">
              <w:t>Subsection 1 may apply to a member because they are performing temporary duty or acting rank in a position. In that case, the following limits apply to the member's contribution.</w:t>
            </w:r>
          </w:p>
        </w:tc>
      </w:tr>
      <w:tr w:rsidR="006D1E1C" w:rsidRPr="00C9343F" w14:paraId="31D63C31" w14:textId="77777777" w:rsidTr="00A355DF">
        <w:trPr>
          <w:cantSplit/>
        </w:trPr>
        <w:tc>
          <w:tcPr>
            <w:tcW w:w="992" w:type="dxa"/>
          </w:tcPr>
          <w:p w14:paraId="5CC7AD48" w14:textId="77777777" w:rsidR="006D1E1C" w:rsidRPr="00C9343F" w:rsidRDefault="006D1E1C" w:rsidP="00F66D98">
            <w:pPr>
              <w:pStyle w:val="BlockText-Plain"/>
            </w:pPr>
          </w:p>
        </w:tc>
        <w:tc>
          <w:tcPr>
            <w:tcW w:w="567" w:type="dxa"/>
          </w:tcPr>
          <w:p w14:paraId="734F8AA1" w14:textId="77777777" w:rsidR="006D1E1C" w:rsidRPr="00C9343F" w:rsidRDefault="006D1E1C" w:rsidP="008D1B5D">
            <w:pPr>
              <w:pStyle w:val="BlockText-Plain"/>
              <w:jc w:val="center"/>
            </w:pPr>
            <w:r w:rsidRPr="00C9343F">
              <w:t>a.</w:t>
            </w:r>
          </w:p>
        </w:tc>
        <w:tc>
          <w:tcPr>
            <w:tcW w:w="7800" w:type="dxa"/>
            <w:gridSpan w:val="2"/>
          </w:tcPr>
          <w:p w14:paraId="4D863CC5" w14:textId="77777777" w:rsidR="006D1E1C" w:rsidRPr="00C9343F" w:rsidRDefault="006D1E1C" w:rsidP="00F66D98">
            <w:pPr>
              <w:pStyle w:val="BlockText-Plain"/>
            </w:pPr>
            <w:r w:rsidRPr="00C9343F">
              <w:t>The contribution only commences on the first payday after the member has been in the temporary or acting position.</w:t>
            </w:r>
          </w:p>
        </w:tc>
      </w:tr>
      <w:tr w:rsidR="006D1E1C" w:rsidRPr="00C9343F" w14:paraId="29612057" w14:textId="77777777" w:rsidTr="00A355DF">
        <w:trPr>
          <w:cantSplit/>
        </w:trPr>
        <w:tc>
          <w:tcPr>
            <w:tcW w:w="992" w:type="dxa"/>
          </w:tcPr>
          <w:p w14:paraId="02CFE97D" w14:textId="77777777" w:rsidR="006D1E1C" w:rsidRPr="00C9343F" w:rsidRDefault="006D1E1C" w:rsidP="00F66D98">
            <w:pPr>
              <w:pStyle w:val="BlockText-Plain"/>
            </w:pPr>
          </w:p>
        </w:tc>
        <w:tc>
          <w:tcPr>
            <w:tcW w:w="567" w:type="dxa"/>
          </w:tcPr>
          <w:p w14:paraId="7D3D1109" w14:textId="77777777" w:rsidR="006D1E1C" w:rsidRPr="00C9343F" w:rsidRDefault="006D1E1C" w:rsidP="008D1B5D">
            <w:pPr>
              <w:pStyle w:val="BlockText-Plain"/>
              <w:jc w:val="center"/>
            </w:pPr>
            <w:r w:rsidRPr="00C9343F">
              <w:t>b.</w:t>
            </w:r>
          </w:p>
        </w:tc>
        <w:tc>
          <w:tcPr>
            <w:tcW w:w="7800" w:type="dxa"/>
            <w:gridSpan w:val="2"/>
          </w:tcPr>
          <w:p w14:paraId="2AC3820E" w14:textId="77777777" w:rsidR="006D1E1C" w:rsidRPr="00C9343F" w:rsidRDefault="006D1E1C" w:rsidP="00F66D98">
            <w:pPr>
              <w:pStyle w:val="BlockText-Plain"/>
            </w:pPr>
            <w:r w:rsidRPr="00C9343F">
              <w:t>The contribution ceases on the first payday after the member ceases to hold the temporary or acting rank position.</w:t>
            </w:r>
          </w:p>
        </w:tc>
      </w:tr>
    </w:tbl>
    <w:p w14:paraId="0E226780" w14:textId="77777777" w:rsidR="006D1E1C" w:rsidRPr="00C9343F" w:rsidRDefault="006D1E1C" w:rsidP="00F66D98"/>
    <w:p w14:paraId="1ABB9FD3" w14:textId="77777777" w:rsidR="005250CA" w:rsidRPr="00C9343F" w:rsidRDefault="005250CA">
      <w:pPr>
        <w:keepLines w:val="0"/>
        <w:rPr>
          <w:rFonts w:ascii="Arial Bold" w:hAnsi="Arial Bold"/>
          <w:b/>
          <w:color w:val="000000" w:themeColor="text1"/>
          <w:sz w:val="27"/>
        </w:rPr>
      </w:pPr>
      <w:r w:rsidRPr="00C9343F">
        <w:br w:type="page"/>
      </w:r>
    </w:p>
    <w:p w14:paraId="28FD10D9" w14:textId="1454F805" w:rsidR="005250CA" w:rsidRPr="00C9343F" w:rsidRDefault="005250CA" w:rsidP="005250CA">
      <w:pPr>
        <w:pStyle w:val="Heading3"/>
      </w:pPr>
      <w:bookmarkStart w:id="1235" w:name="_Toc105053943"/>
      <w:r w:rsidRPr="00C9343F">
        <w:t>Part 12: Operation COVID-19 ASSIST allowance</w:t>
      </w:r>
      <w:bookmarkEnd w:id="1235"/>
    </w:p>
    <w:p w14:paraId="0F7C29CE" w14:textId="77777777" w:rsidR="005250CA" w:rsidRPr="00C9343F" w:rsidRDefault="005250CA" w:rsidP="005250CA">
      <w:pPr>
        <w:pStyle w:val="Heading5"/>
      </w:pPr>
      <w:bookmarkStart w:id="1236" w:name="_Toc105053944"/>
      <w:r w:rsidRPr="00C9343F">
        <w:t>4.12.1    Purpose</w:t>
      </w:r>
      <w:bookmarkEnd w:id="1236"/>
    </w:p>
    <w:tbl>
      <w:tblPr>
        <w:tblW w:w="9359" w:type="dxa"/>
        <w:tblInd w:w="113" w:type="dxa"/>
        <w:tblLayout w:type="fixed"/>
        <w:tblLook w:val="04A0" w:firstRow="1" w:lastRow="0" w:firstColumn="1" w:lastColumn="0" w:noHBand="0" w:noVBand="1"/>
      </w:tblPr>
      <w:tblGrid>
        <w:gridCol w:w="992"/>
        <w:gridCol w:w="8367"/>
      </w:tblGrid>
      <w:tr w:rsidR="005250CA" w:rsidRPr="00C9343F" w14:paraId="597427C7" w14:textId="77777777" w:rsidTr="00577FEA">
        <w:tc>
          <w:tcPr>
            <w:tcW w:w="992" w:type="dxa"/>
          </w:tcPr>
          <w:p w14:paraId="295C7690" w14:textId="77777777" w:rsidR="005250CA" w:rsidRPr="00C9343F" w:rsidRDefault="005250CA" w:rsidP="00577FEA">
            <w:pPr>
              <w:pStyle w:val="Sectiontext0"/>
              <w:jc w:val="center"/>
              <w:rPr>
                <w:lang w:eastAsia="en-US"/>
              </w:rPr>
            </w:pPr>
          </w:p>
        </w:tc>
        <w:tc>
          <w:tcPr>
            <w:tcW w:w="8367" w:type="dxa"/>
          </w:tcPr>
          <w:p w14:paraId="5B3D4B07" w14:textId="77777777" w:rsidR="005250CA" w:rsidRPr="00C9343F" w:rsidRDefault="005250CA" w:rsidP="00577FEA">
            <w:pPr>
              <w:pStyle w:val="Sectiontext0"/>
              <w:rPr>
                <w:rFonts w:cs="Arial"/>
                <w:lang w:eastAsia="en-US"/>
              </w:rPr>
            </w:pPr>
            <w:r w:rsidRPr="00C9343F">
              <w:t>This Part provides an allowance to members who are force assigned to Operation COVID</w:t>
            </w:r>
            <w:r w:rsidRPr="00C9343F">
              <w:noBreakHyphen/>
              <w:t>19 ASSIST in Australia, recognising the increased risk of exposure to the COVID-19 virus and the disruption to usual working patterns, the uncertainty and duration of the commitment, and additional unique pressures faced while duties are being undertaken by members during the operation.</w:t>
            </w:r>
          </w:p>
        </w:tc>
      </w:tr>
    </w:tbl>
    <w:p w14:paraId="66552DD6" w14:textId="77777777" w:rsidR="00633432" w:rsidRPr="00C9343F" w:rsidRDefault="00633432" w:rsidP="00633432">
      <w:pPr>
        <w:pStyle w:val="Heading5"/>
      </w:pPr>
      <w:bookmarkStart w:id="1237" w:name="_Toc105053945"/>
      <w:r w:rsidRPr="00C9343F">
        <w:t>4.12.2    Member this Part applies to</w:t>
      </w:r>
      <w:bookmarkEnd w:id="1237"/>
    </w:p>
    <w:tbl>
      <w:tblPr>
        <w:tblW w:w="9359" w:type="dxa"/>
        <w:tblInd w:w="113" w:type="dxa"/>
        <w:tblLayout w:type="fixed"/>
        <w:tblLook w:val="04A0" w:firstRow="1" w:lastRow="0" w:firstColumn="1" w:lastColumn="0" w:noHBand="0" w:noVBand="1"/>
      </w:tblPr>
      <w:tblGrid>
        <w:gridCol w:w="992"/>
        <w:gridCol w:w="563"/>
        <w:gridCol w:w="7804"/>
      </w:tblGrid>
      <w:tr w:rsidR="00633432" w:rsidRPr="00C9343F" w14:paraId="59F1EF0D" w14:textId="77777777" w:rsidTr="00E5403F">
        <w:tc>
          <w:tcPr>
            <w:tcW w:w="992" w:type="dxa"/>
          </w:tcPr>
          <w:p w14:paraId="6CCC4E18" w14:textId="77777777" w:rsidR="00633432" w:rsidRPr="00C9343F" w:rsidRDefault="00633432" w:rsidP="00E5403F">
            <w:pPr>
              <w:pStyle w:val="Sectiontext0"/>
              <w:jc w:val="center"/>
              <w:rPr>
                <w:lang w:eastAsia="en-US"/>
              </w:rPr>
            </w:pPr>
            <w:r w:rsidRPr="00C9343F">
              <w:rPr>
                <w:lang w:eastAsia="en-US"/>
              </w:rPr>
              <w:t>1.</w:t>
            </w:r>
          </w:p>
        </w:tc>
        <w:tc>
          <w:tcPr>
            <w:tcW w:w="8367" w:type="dxa"/>
            <w:gridSpan w:val="2"/>
          </w:tcPr>
          <w:p w14:paraId="74DCE960" w14:textId="77777777" w:rsidR="00633432" w:rsidRPr="00C9343F" w:rsidRDefault="00633432" w:rsidP="00E5403F">
            <w:pPr>
              <w:pStyle w:val="Sectiontext0"/>
              <w:rPr>
                <w:rFonts w:cs="Arial"/>
                <w:lang w:eastAsia="en-US"/>
              </w:rPr>
            </w:pPr>
            <w:r w:rsidRPr="00C9343F">
              <w:t>This Part applies to a member, including a member of the Reserves, who meets all of the following.</w:t>
            </w:r>
          </w:p>
        </w:tc>
      </w:tr>
      <w:tr w:rsidR="00633432" w:rsidRPr="00C9343F" w14:paraId="3A2045FC" w14:textId="77777777" w:rsidTr="00E5403F">
        <w:tc>
          <w:tcPr>
            <w:tcW w:w="992" w:type="dxa"/>
          </w:tcPr>
          <w:p w14:paraId="316CA435" w14:textId="77777777" w:rsidR="00633432" w:rsidRPr="00C9343F" w:rsidRDefault="00633432" w:rsidP="00E5403F">
            <w:pPr>
              <w:pStyle w:val="Sectiontext0"/>
              <w:jc w:val="center"/>
              <w:rPr>
                <w:lang w:eastAsia="en-US"/>
              </w:rPr>
            </w:pPr>
          </w:p>
        </w:tc>
        <w:tc>
          <w:tcPr>
            <w:tcW w:w="563" w:type="dxa"/>
            <w:hideMark/>
          </w:tcPr>
          <w:p w14:paraId="2FE460F8" w14:textId="77777777" w:rsidR="00633432" w:rsidRPr="00C9343F" w:rsidRDefault="00633432" w:rsidP="00E5403F">
            <w:pPr>
              <w:pStyle w:val="Sectiontext0"/>
              <w:jc w:val="center"/>
              <w:rPr>
                <w:rFonts w:cs="Arial"/>
                <w:lang w:eastAsia="en-US"/>
              </w:rPr>
            </w:pPr>
            <w:r w:rsidRPr="00C9343F">
              <w:rPr>
                <w:rFonts w:cs="Arial"/>
                <w:lang w:eastAsia="en-US"/>
              </w:rPr>
              <w:t>a.</w:t>
            </w:r>
          </w:p>
        </w:tc>
        <w:tc>
          <w:tcPr>
            <w:tcW w:w="7804" w:type="dxa"/>
          </w:tcPr>
          <w:p w14:paraId="6768CA28" w14:textId="77777777" w:rsidR="00633432" w:rsidRPr="00C9343F" w:rsidRDefault="00633432" w:rsidP="00E5403F">
            <w:pPr>
              <w:pStyle w:val="Sectiontext0"/>
              <w:rPr>
                <w:rFonts w:cs="Arial"/>
                <w:lang w:eastAsia="en-US"/>
              </w:rPr>
            </w:pPr>
            <w:r w:rsidRPr="00C9343F">
              <w:t>They are named on the operational staffing document for Operation COVID-19 ASSIST.</w:t>
            </w:r>
          </w:p>
        </w:tc>
      </w:tr>
      <w:tr w:rsidR="00633432" w:rsidRPr="00C9343F" w14:paraId="72E2AC73" w14:textId="77777777" w:rsidTr="00E5403F">
        <w:tc>
          <w:tcPr>
            <w:tcW w:w="992" w:type="dxa"/>
          </w:tcPr>
          <w:p w14:paraId="0329AC24" w14:textId="77777777" w:rsidR="00633432" w:rsidRPr="00C9343F" w:rsidRDefault="00633432" w:rsidP="00E5403F">
            <w:pPr>
              <w:pStyle w:val="Sectiontext0"/>
              <w:jc w:val="center"/>
              <w:rPr>
                <w:lang w:eastAsia="en-US"/>
              </w:rPr>
            </w:pPr>
          </w:p>
        </w:tc>
        <w:tc>
          <w:tcPr>
            <w:tcW w:w="563" w:type="dxa"/>
          </w:tcPr>
          <w:p w14:paraId="70BDA184" w14:textId="77777777" w:rsidR="00633432" w:rsidRPr="00C9343F" w:rsidRDefault="00633432" w:rsidP="00E5403F">
            <w:pPr>
              <w:pStyle w:val="Sectiontext0"/>
              <w:jc w:val="center"/>
              <w:rPr>
                <w:rFonts w:cs="Arial"/>
                <w:lang w:eastAsia="en-US"/>
              </w:rPr>
            </w:pPr>
            <w:r w:rsidRPr="00C9343F">
              <w:rPr>
                <w:rFonts w:cs="Arial"/>
                <w:lang w:eastAsia="en-US"/>
              </w:rPr>
              <w:t>b.</w:t>
            </w:r>
          </w:p>
        </w:tc>
        <w:tc>
          <w:tcPr>
            <w:tcW w:w="7804" w:type="dxa"/>
          </w:tcPr>
          <w:p w14:paraId="35EA26E3" w14:textId="77777777" w:rsidR="00633432" w:rsidRPr="00C9343F" w:rsidRDefault="00633432" w:rsidP="00E5403F">
            <w:pPr>
              <w:pStyle w:val="Sectiontext0"/>
            </w:pPr>
            <w:r w:rsidRPr="00C9343F">
              <w:t>They have been issued a Headquarters Joint Operations Command deployment order for Operation COVID-19 ASSIST.</w:t>
            </w:r>
          </w:p>
        </w:tc>
      </w:tr>
      <w:tr w:rsidR="00633432" w:rsidRPr="00C9343F" w14:paraId="2CBAEAFD" w14:textId="77777777" w:rsidTr="00E5403F">
        <w:tc>
          <w:tcPr>
            <w:tcW w:w="992" w:type="dxa"/>
          </w:tcPr>
          <w:p w14:paraId="7CFEBDBF" w14:textId="77777777" w:rsidR="00633432" w:rsidRPr="00C9343F" w:rsidRDefault="00633432" w:rsidP="00E5403F">
            <w:pPr>
              <w:pStyle w:val="Sectiontext0"/>
              <w:jc w:val="center"/>
              <w:rPr>
                <w:lang w:eastAsia="en-US"/>
              </w:rPr>
            </w:pPr>
          </w:p>
        </w:tc>
        <w:tc>
          <w:tcPr>
            <w:tcW w:w="563" w:type="dxa"/>
          </w:tcPr>
          <w:p w14:paraId="53C23FE5" w14:textId="77777777" w:rsidR="00633432" w:rsidRPr="00C9343F" w:rsidRDefault="00633432" w:rsidP="00E5403F">
            <w:pPr>
              <w:pStyle w:val="Sectiontext0"/>
              <w:jc w:val="center"/>
              <w:rPr>
                <w:rFonts w:cs="Arial"/>
                <w:lang w:eastAsia="en-US"/>
              </w:rPr>
            </w:pPr>
            <w:r w:rsidRPr="00C9343F">
              <w:rPr>
                <w:rFonts w:cs="Arial"/>
                <w:lang w:eastAsia="en-US"/>
              </w:rPr>
              <w:t>c.</w:t>
            </w:r>
          </w:p>
        </w:tc>
        <w:tc>
          <w:tcPr>
            <w:tcW w:w="7804" w:type="dxa"/>
          </w:tcPr>
          <w:p w14:paraId="5E1A299A" w14:textId="77777777" w:rsidR="00633432" w:rsidRPr="00C9343F" w:rsidRDefault="00633432" w:rsidP="00E5403F">
            <w:pPr>
              <w:pStyle w:val="Sectiontext0"/>
            </w:pPr>
            <w:r w:rsidRPr="00C9343F">
              <w:t>They have an operations log entry for Operation COVID-19 ASSIST in PMKeyS.</w:t>
            </w:r>
          </w:p>
        </w:tc>
      </w:tr>
      <w:tr w:rsidR="00633432" w:rsidRPr="00C9343F" w14:paraId="7B749304" w14:textId="77777777" w:rsidTr="00E5403F">
        <w:tc>
          <w:tcPr>
            <w:tcW w:w="992" w:type="dxa"/>
          </w:tcPr>
          <w:p w14:paraId="19D5B0EC" w14:textId="77777777" w:rsidR="00633432" w:rsidRPr="00C9343F" w:rsidRDefault="00633432" w:rsidP="00E5403F">
            <w:pPr>
              <w:pStyle w:val="Sectiontext0"/>
              <w:jc w:val="center"/>
              <w:rPr>
                <w:lang w:eastAsia="en-US"/>
              </w:rPr>
            </w:pPr>
            <w:r w:rsidRPr="00C9343F">
              <w:rPr>
                <w:lang w:eastAsia="en-US"/>
              </w:rPr>
              <w:t>2.</w:t>
            </w:r>
          </w:p>
        </w:tc>
        <w:tc>
          <w:tcPr>
            <w:tcW w:w="8367" w:type="dxa"/>
            <w:gridSpan w:val="2"/>
          </w:tcPr>
          <w:p w14:paraId="35F10C60" w14:textId="77777777" w:rsidR="00633432" w:rsidRPr="00C9343F" w:rsidRDefault="00633432" w:rsidP="00E5403F">
            <w:pPr>
              <w:pStyle w:val="Sectiontext0"/>
              <w:rPr>
                <w:rFonts w:cs="Arial"/>
                <w:lang w:eastAsia="en-US"/>
              </w:rPr>
            </w:pPr>
            <w:r w:rsidRPr="00C9343F">
              <w:rPr>
                <w:rFonts w:cs="Arial"/>
                <w:lang w:eastAsia="en-US"/>
              </w:rPr>
              <w:t xml:space="preserve">For the purpose of subsection 1, </w:t>
            </w:r>
            <w:r w:rsidRPr="00C9343F">
              <w:rPr>
                <w:rFonts w:cs="Arial"/>
                <w:b/>
                <w:lang w:eastAsia="en-US"/>
              </w:rPr>
              <w:t>member</w:t>
            </w:r>
            <w:r w:rsidRPr="00C9343F">
              <w:rPr>
                <w:rFonts w:cs="Arial"/>
                <w:lang w:eastAsia="en-US"/>
              </w:rPr>
              <w:t xml:space="preserve"> includes any of the following.</w:t>
            </w:r>
          </w:p>
        </w:tc>
      </w:tr>
      <w:tr w:rsidR="00633432" w:rsidRPr="00C9343F" w14:paraId="532380D6" w14:textId="77777777" w:rsidTr="00E5403F">
        <w:tc>
          <w:tcPr>
            <w:tcW w:w="992" w:type="dxa"/>
          </w:tcPr>
          <w:p w14:paraId="4238FFFB" w14:textId="77777777" w:rsidR="00633432" w:rsidRPr="00C9343F" w:rsidRDefault="00633432" w:rsidP="00E5403F">
            <w:pPr>
              <w:pStyle w:val="Sectiontext0"/>
              <w:jc w:val="center"/>
              <w:rPr>
                <w:lang w:eastAsia="en-US"/>
              </w:rPr>
            </w:pPr>
          </w:p>
        </w:tc>
        <w:tc>
          <w:tcPr>
            <w:tcW w:w="563" w:type="dxa"/>
          </w:tcPr>
          <w:p w14:paraId="1FC12005" w14:textId="77777777" w:rsidR="00633432" w:rsidRPr="00C9343F" w:rsidRDefault="00633432" w:rsidP="00E5403F">
            <w:pPr>
              <w:pStyle w:val="Sectiontext0"/>
              <w:jc w:val="center"/>
              <w:rPr>
                <w:rFonts w:cs="Arial"/>
                <w:iCs/>
                <w:lang w:eastAsia="en-US"/>
              </w:rPr>
            </w:pPr>
            <w:r w:rsidRPr="00C9343F">
              <w:rPr>
                <w:rFonts w:cs="Arial"/>
                <w:iCs/>
                <w:lang w:eastAsia="en-US"/>
              </w:rPr>
              <w:t>a.</w:t>
            </w:r>
          </w:p>
        </w:tc>
        <w:tc>
          <w:tcPr>
            <w:tcW w:w="7804" w:type="dxa"/>
          </w:tcPr>
          <w:p w14:paraId="4EF61F81" w14:textId="77777777" w:rsidR="00633432" w:rsidRPr="00C9343F" w:rsidRDefault="00633432" w:rsidP="00E5403F">
            <w:pPr>
              <w:pStyle w:val="Sectiontext0"/>
              <w:rPr>
                <w:rFonts w:cs="Arial"/>
                <w:iCs/>
                <w:lang w:eastAsia="en-US"/>
              </w:rPr>
            </w:pPr>
            <w:r w:rsidRPr="00C9343F">
              <w:rPr>
                <w:rFonts w:cs="Arial"/>
                <w:iCs/>
                <w:lang w:eastAsia="en-US"/>
              </w:rPr>
              <w:t>A former member.</w:t>
            </w:r>
          </w:p>
        </w:tc>
      </w:tr>
      <w:tr w:rsidR="00633432" w:rsidRPr="00C9343F" w14:paraId="79B533BE" w14:textId="77777777" w:rsidTr="00E5403F">
        <w:tc>
          <w:tcPr>
            <w:tcW w:w="992" w:type="dxa"/>
          </w:tcPr>
          <w:p w14:paraId="14127DF1" w14:textId="77777777" w:rsidR="00633432" w:rsidRPr="00C9343F" w:rsidRDefault="00633432" w:rsidP="00E5403F">
            <w:pPr>
              <w:pStyle w:val="Sectiontext0"/>
              <w:jc w:val="center"/>
              <w:rPr>
                <w:lang w:eastAsia="en-US"/>
              </w:rPr>
            </w:pPr>
          </w:p>
        </w:tc>
        <w:tc>
          <w:tcPr>
            <w:tcW w:w="563" w:type="dxa"/>
          </w:tcPr>
          <w:p w14:paraId="2476451E" w14:textId="77777777" w:rsidR="00633432" w:rsidRPr="00C9343F" w:rsidRDefault="00633432" w:rsidP="00E5403F">
            <w:pPr>
              <w:pStyle w:val="Sectiontext0"/>
              <w:jc w:val="center"/>
              <w:rPr>
                <w:rFonts w:cs="Arial"/>
                <w:iCs/>
                <w:lang w:eastAsia="en-US"/>
              </w:rPr>
            </w:pPr>
            <w:r w:rsidRPr="00C9343F">
              <w:rPr>
                <w:rFonts w:cs="Arial"/>
                <w:iCs/>
                <w:lang w:eastAsia="en-US"/>
              </w:rPr>
              <w:t>b.</w:t>
            </w:r>
          </w:p>
        </w:tc>
        <w:tc>
          <w:tcPr>
            <w:tcW w:w="7804" w:type="dxa"/>
          </w:tcPr>
          <w:p w14:paraId="68465D13" w14:textId="77777777" w:rsidR="00633432" w:rsidRPr="00C9343F" w:rsidRDefault="00633432" w:rsidP="00E5403F">
            <w:pPr>
              <w:pStyle w:val="Sectiontext0"/>
              <w:rPr>
                <w:rFonts w:cs="Arial"/>
                <w:iCs/>
                <w:lang w:eastAsia="en-US"/>
              </w:rPr>
            </w:pPr>
            <w:r w:rsidRPr="00C9343F">
              <w:rPr>
                <w:rFonts w:cs="Arial"/>
                <w:iCs/>
                <w:lang w:eastAsia="en-US"/>
              </w:rPr>
              <w:t>A deceased member.</w:t>
            </w:r>
          </w:p>
          <w:p w14:paraId="6E6D7F30" w14:textId="77777777" w:rsidR="00633432" w:rsidRPr="00C9343F" w:rsidRDefault="00633432" w:rsidP="00E5403F">
            <w:pPr>
              <w:pStyle w:val="Sectiontext0"/>
              <w:rPr>
                <w:rFonts w:cs="Arial"/>
                <w:iCs/>
                <w:lang w:eastAsia="en-US"/>
              </w:rPr>
            </w:pPr>
            <w:r w:rsidRPr="00C9343F">
              <w:rPr>
                <w:rFonts w:cs="Arial"/>
                <w:b/>
                <w:iCs/>
                <w:lang w:eastAsia="en-US"/>
              </w:rPr>
              <w:t xml:space="preserve">Note: </w:t>
            </w:r>
            <w:r w:rsidRPr="00C9343F">
              <w:rPr>
                <w:rFonts w:cs="Arial"/>
                <w:iCs/>
                <w:lang w:eastAsia="en-US"/>
              </w:rPr>
              <w:t xml:space="preserve">A benefit payable to a deceased member is paid to their estate. </w:t>
            </w:r>
          </w:p>
        </w:tc>
      </w:tr>
    </w:tbl>
    <w:p w14:paraId="6506B6C1" w14:textId="77777777" w:rsidR="005250CA" w:rsidRPr="00C9343F" w:rsidRDefault="005250CA" w:rsidP="005250CA">
      <w:pPr>
        <w:pStyle w:val="Heading5"/>
      </w:pPr>
      <w:bookmarkStart w:id="1238" w:name="_Toc105053946"/>
      <w:r w:rsidRPr="00C9343F">
        <w:t>4.12.3    Operation COVID-19 ASSIST allowance</w:t>
      </w:r>
      <w:bookmarkEnd w:id="1238"/>
    </w:p>
    <w:tbl>
      <w:tblPr>
        <w:tblW w:w="9360" w:type="dxa"/>
        <w:tblInd w:w="113" w:type="dxa"/>
        <w:tblLayout w:type="fixed"/>
        <w:tblLook w:val="04A0" w:firstRow="1" w:lastRow="0" w:firstColumn="1" w:lastColumn="0" w:noHBand="0" w:noVBand="1"/>
      </w:tblPr>
      <w:tblGrid>
        <w:gridCol w:w="992"/>
        <w:gridCol w:w="567"/>
        <w:gridCol w:w="567"/>
        <w:gridCol w:w="7234"/>
      </w:tblGrid>
      <w:tr w:rsidR="005250CA" w:rsidRPr="00C9343F" w14:paraId="2CA135DB" w14:textId="77777777" w:rsidTr="00577FEA">
        <w:tc>
          <w:tcPr>
            <w:tcW w:w="992" w:type="dxa"/>
          </w:tcPr>
          <w:p w14:paraId="4D9DF99B" w14:textId="77777777" w:rsidR="005250CA" w:rsidRPr="00C9343F" w:rsidRDefault="005250CA" w:rsidP="00577FEA">
            <w:pPr>
              <w:pStyle w:val="Sectiontext0"/>
              <w:jc w:val="center"/>
              <w:rPr>
                <w:lang w:eastAsia="en-US"/>
              </w:rPr>
            </w:pPr>
            <w:r w:rsidRPr="00C9343F">
              <w:rPr>
                <w:lang w:eastAsia="en-US"/>
              </w:rPr>
              <w:t>1.</w:t>
            </w:r>
          </w:p>
        </w:tc>
        <w:tc>
          <w:tcPr>
            <w:tcW w:w="8368" w:type="dxa"/>
            <w:gridSpan w:val="3"/>
          </w:tcPr>
          <w:p w14:paraId="407D93F0" w14:textId="77777777" w:rsidR="005250CA" w:rsidRPr="00C9343F" w:rsidRDefault="005250CA" w:rsidP="00577FEA">
            <w:pPr>
              <w:pStyle w:val="Sectiontext0"/>
              <w:rPr>
                <w:rFonts w:cs="Arial"/>
                <w:lang w:eastAsia="en-US"/>
              </w:rPr>
            </w:pPr>
            <w:r w:rsidRPr="00C9343F">
              <w:rPr>
                <w:rFonts w:cs="Arial"/>
                <w:lang w:eastAsia="en-US"/>
              </w:rPr>
              <w:t>A member is eligible for $25.62 for each day they meet one of the following on, or after, 25 March 2020.</w:t>
            </w:r>
          </w:p>
        </w:tc>
      </w:tr>
      <w:tr w:rsidR="005250CA" w:rsidRPr="00C9343F" w14:paraId="59A577B6" w14:textId="77777777" w:rsidTr="00577FEA">
        <w:tc>
          <w:tcPr>
            <w:tcW w:w="992" w:type="dxa"/>
          </w:tcPr>
          <w:p w14:paraId="3F9BD9F7" w14:textId="77777777" w:rsidR="005250CA" w:rsidRPr="00C9343F" w:rsidRDefault="005250CA" w:rsidP="00577FEA">
            <w:pPr>
              <w:pStyle w:val="Sectiontext0"/>
              <w:jc w:val="center"/>
              <w:rPr>
                <w:lang w:eastAsia="en-US"/>
              </w:rPr>
            </w:pPr>
          </w:p>
        </w:tc>
        <w:tc>
          <w:tcPr>
            <w:tcW w:w="567" w:type="dxa"/>
          </w:tcPr>
          <w:p w14:paraId="5905B68A" w14:textId="77777777" w:rsidR="005250CA" w:rsidRPr="00C9343F" w:rsidRDefault="005250CA" w:rsidP="00577FEA">
            <w:pPr>
              <w:pStyle w:val="Sectiontext0"/>
              <w:jc w:val="center"/>
              <w:rPr>
                <w:rFonts w:cs="Arial"/>
                <w:lang w:eastAsia="en-US"/>
              </w:rPr>
            </w:pPr>
            <w:r w:rsidRPr="00C9343F">
              <w:rPr>
                <w:rFonts w:cs="Arial"/>
                <w:lang w:eastAsia="en-US"/>
              </w:rPr>
              <w:t>a.</w:t>
            </w:r>
          </w:p>
        </w:tc>
        <w:tc>
          <w:tcPr>
            <w:tcW w:w="7801" w:type="dxa"/>
            <w:gridSpan w:val="2"/>
          </w:tcPr>
          <w:p w14:paraId="4B38B5DB" w14:textId="77777777" w:rsidR="005250CA" w:rsidRPr="00C9343F" w:rsidRDefault="005250CA" w:rsidP="00577FEA">
            <w:pPr>
              <w:pStyle w:val="Sectiontext0"/>
              <w:rPr>
                <w:rFonts w:cs="Arial"/>
                <w:lang w:eastAsia="en-US"/>
              </w:rPr>
            </w:pPr>
            <w:r w:rsidRPr="00C9343F">
              <w:rPr>
                <w:rFonts w:cs="Arial"/>
                <w:lang w:eastAsia="en-US"/>
              </w:rPr>
              <w:t>They are on continuous full-time service and meet all of the following.</w:t>
            </w:r>
          </w:p>
        </w:tc>
      </w:tr>
      <w:tr w:rsidR="005250CA" w:rsidRPr="00C9343F" w14:paraId="1EC1AE4F" w14:textId="77777777" w:rsidTr="00577FEA">
        <w:tc>
          <w:tcPr>
            <w:tcW w:w="992" w:type="dxa"/>
          </w:tcPr>
          <w:p w14:paraId="3BEE6333" w14:textId="77777777" w:rsidR="005250CA" w:rsidRPr="00C9343F" w:rsidRDefault="005250CA" w:rsidP="00577FEA">
            <w:pPr>
              <w:pStyle w:val="Sectiontext0"/>
              <w:jc w:val="center"/>
              <w:rPr>
                <w:lang w:eastAsia="en-US"/>
              </w:rPr>
            </w:pPr>
          </w:p>
        </w:tc>
        <w:tc>
          <w:tcPr>
            <w:tcW w:w="567" w:type="dxa"/>
          </w:tcPr>
          <w:p w14:paraId="43606C73" w14:textId="77777777" w:rsidR="005250CA" w:rsidRPr="00C9343F" w:rsidRDefault="005250CA" w:rsidP="00577FEA">
            <w:pPr>
              <w:pStyle w:val="Sectiontext0"/>
              <w:jc w:val="center"/>
              <w:rPr>
                <w:rFonts w:cs="Arial"/>
                <w:lang w:eastAsia="en-US"/>
              </w:rPr>
            </w:pPr>
          </w:p>
        </w:tc>
        <w:tc>
          <w:tcPr>
            <w:tcW w:w="567" w:type="dxa"/>
          </w:tcPr>
          <w:p w14:paraId="652D5835" w14:textId="77777777" w:rsidR="005250CA" w:rsidRPr="00C9343F" w:rsidRDefault="005250CA" w:rsidP="00577FEA">
            <w:pPr>
              <w:pStyle w:val="Sectiontext0"/>
              <w:spacing w:after="120"/>
              <w:rPr>
                <w:rFonts w:cs="Arial"/>
                <w:lang w:eastAsia="en-US"/>
              </w:rPr>
            </w:pPr>
            <w:r w:rsidRPr="00C9343F">
              <w:rPr>
                <w:rFonts w:cs="Arial"/>
                <w:lang w:eastAsia="en-US"/>
              </w:rPr>
              <w:t>i.</w:t>
            </w:r>
          </w:p>
        </w:tc>
        <w:tc>
          <w:tcPr>
            <w:tcW w:w="7234" w:type="dxa"/>
          </w:tcPr>
          <w:p w14:paraId="179DE0B1" w14:textId="77777777" w:rsidR="005250CA" w:rsidRPr="00C9343F" w:rsidRDefault="005250CA" w:rsidP="00577FEA">
            <w:pPr>
              <w:pStyle w:val="Sectiontext0"/>
              <w:rPr>
                <w:rFonts w:cs="Arial"/>
                <w:lang w:eastAsia="en-US"/>
              </w:rPr>
            </w:pPr>
            <w:r w:rsidRPr="00C9343F">
              <w:rPr>
                <w:rFonts w:cs="Arial"/>
                <w:lang w:eastAsia="en-US"/>
              </w:rPr>
              <w:t>They are recorded as being within the specified area for Operation COVID-19 ASSIST.</w:t>
            </w:r>
          </w:p>
        </w:tc>
      </w:tr>
      <w:tr w:rsidR="005250CA" w:rsidRPr="00C9343F" w14:paraId="0D3B129A" w14:textId="77777777" w:rsidTr="00577FEA">
        <w:tc>
          <w:tcPr>
            <w:tcW w:w="992" w:type="dxa"/>
          </w:tcPr>
          <w:p w14:paraId="0748D589" w14:textId="77777777" w:rsidR="005250CA" w:rsidRPr="00C9343F" w:rsidRDefault="005250CA" w:rsidP="00577FEA">
            <w:pPr>
              <w:pStyle w:val="Sectiontext0"/>
              <w:jc w:val="center"/>
              <w:rPr>
                <w:lang w:eastAsia="en-US"/>
              </w:rPr>
            </w:pPr>
          </w:p>
        </w:tc>
        <w:tc>
          <w:tcPr>
            <w:tcW w:w="567" w:type="dxa"/>
          </w:tcPr>
          <w:p w14:paraId="10348B2A" w14:textId="77777777" w:rsidR="005250CA" w:rsidRPr="00C9343F" w:rsidRDefault="005250CA" w:rsidP="00577FEA">
            <w:pPr>
              <w:pStyle w:val="Sectiontext0"/>
              <w:jc w:val="center"/>
              <w:rPr>
                <w:rFonts w:cs="Arial"/>
                <w:lang w:eastAsia="en-US"/>
              </w:rPr>
            </w:pPr>
          </w:p>
        </w:tc>
        <w:tc>
          <w:tcPr>
            <w:tcW w:w="567" w:type="dxa"/>
          </w:tcPr>
          <w:p w14:paraId="4ACB8C0B" w14:textId="77777777" w:rsidR="005250CA" w:rsidRPr="00C9343F" w:rsidRDefault="005250CA" w:rsidP="00577FEA">
            <w:pPr>
              <w:pStyle w:val="Sectiontext0"/>
              <w:spacing w:after="120"/>
              <w:rPr>
                <w:rFonts w:cs="Arial"/>
                <w:lang w:eastAsia="en-US"/>
              </w:rPr>
            </w:pPr>
            <w:r w:rsidRPr="00C9343F">
              <w:rPr>
                <w:rFonts w:cs="Arial"/>
                <w:lang w:eastAsia="en-US"/>
              </w:rPr>
              <w:t xml:space="preserve">ii. </w:t>
            </w:r>
          </w:p>
        </w:tc>
        <w:tc>
          <w:tcPr>
            <w:tcW w:w="7234" w:type="dxa"/>
          </w:tcPr>
          <w:p w14:paraId="7DC86E44" w14:textId="77777777" w:rsidR="005250CA" w:rsidRPr="00C9343F" w:rsidRDefault="005250CA" w:rsidP="00577FEA">
            <w:pPr>
              <w:pStyle w:val="Sectiontext0"/>
              <w:rPr>
                <w:rFonts w:cs="Arial"/>
                <w:lang w:eastAsia="en-US"/>
              </w:rPr>
            </w:pPr>
            <w:r w:rsidRPr="00C9343F">
              <w:rPr>
                <w:rFonts w:cs="Arial"/>
                <w:lang w:eastAsia="en-US"/>
              </w:rPr>
              <w:t>They are not on a type of leave.</w:t>
            </w:r>
          </w:p>
        </w:tc>
      </w:tr>
      <w:tr w:rsidR="005250CA" w:rsidRPr="00C9343F" w14:paraId="47026D1B" w14:textId="77777777" w:rsidTr="00577FEA">
        <w:tc>
          <w:tcPr>
            <w:tcW w:w="992" w:type="dxa"/>
          </w:tcPr>
          <w:p w14:paraId="2E456700" w14:textId="77777777" w:rsidR="005250CA" w:rsidRPr="00C9343F" w:rsidRDefault="005250CA" w:rsidP="00577FEA">
            <w:pPr>
              <w:pStyle w:val="Sectiontext0"/>
              <w:jc w:val="center"/>
              <w:rPr>
                <w:lang w:eastAsia="en-US"/>
              </w:rPr>
            </w:pPr>
          </w:p>
        </w:tc>
        <w:tc>
          <w:tcPr>
            <w:tcW w:w="567" w:type="dxa"/>
          </w:tcPr>
          <w:p w14:paraId="378D48A9" w14:textId="77777777" w:rsidR="005250CA" w:rsidRPr="00C9343F" w:rsidRDefault="005250CA" w:rsidP="00577FEA">
            <w:pPr>
              <w:pStyle w:val="Sectiontext0"/>
              <w:jc w:val="center"/>
              <w:rPr>
                <w:rFonts w:cs="Arial"/>
                <w:lang w:eastAsia="en-US"/>
              </w:rPr>
            </w:pPr>
            <w:r w:rsidRPr="00C9343F">
              <w:rPr>
                <w:rFonts w:cs="Arial"/>
                <w:lang w:eastAsia="en-US"/>
              </w:rPr>
              <w:t>b.</w:t>
            </w:r>
          </w:p>
        </w:tc>
        <w:tc>
          <w:tcPr>
            <w:tcW w:w="7801" w:type="dxa"/>
            <w:gridSpan w:val="2"/>
          </w:tcPr>
          <w:p w14:paraId="4229572F" w14:textId="77777777" w:rsidR="005250CA" w:rsidRPr="00C9343F" w:rsidRDefault="005250CA" w:rsidP="00577FEA">
            <w:pPr>
              <w:pStyle w:val="Sectiontext0"/>
              <w:rPr>
                <w:rFonts w:cs="Arial"/>
                <w:lang w:eastAsia="en-US"/>
              </w:rPr>
            </w:pPr>
            <w:r w:rsidRPr="00C9343F">
              <w:rPr>
                <w:rFonts w:cs="Arial"/>
                <w:lang w:eastAsia="en-US"/>
              </w:rPr>
              <w:t>They are a member of the Reserves on Reserve service and all of the following apply.</w:t>
            </w:r>
          </w:p>
        </w:tc>
      </w:tr>
      <w:tr w:rsidR="005250CA" w:rsidRPr="00C9343F" w14:paraId="4F649F1F" w14:textId="77777777" w:rsidTr="00577FEA">
        <w:tc>
          <w:tcPr>
            <w:tcW w:w="992" w:type="dxa"/>
          </w:tcPr>
          <w:p w14:paraId="43208624" w14:textId="77777777" w:rsidR="005250CA" w:rsidRPr="00C9343F" w:rsidRDefault="005250CA" w:rsidP="00577FEA">
            <w:pPr>
              <w:pStyle w:val="Sectiontext0"/>
              <w:jc w:val="center"/>
              <w:rPr>
                <w:lang w:eastAsia="en-US"/>
              </w:rPr>
            </w:pPr>
          </w:p>
        </w:tc>
        <w:tc>
          <w:tcPr>
            <w:tcW w:w="567" w:type="dxa"/>
          </w:tcPr>
          <w:p w14:paraId="51C6EB0B" w14:textId="77777777" w:rsidR="005250CA" w:rsidRPr="00C9343F" w:rsidRDefault="005250CA" w:rsidP="00577FEA">
            <w:pPr>
              <w:pStyle w:val="Sectiontext0"/>
              <w:jc w:val="center"/>
              <w:rPr>
                <w:rFonts w:cs="Arial"/>
                <w:lang w:eastAsia="en-US"/>
              </w:rPr>
            </w:pPr>
          </w:p>
        </w:tc>
        <w:tc>
          <w:tcPr>
            <w:tcW w:w="567" w:type="dxa"/>
          </w:tcPr>
          <w:p w14:paraId="5733E846" w14:textId="77777777" w:rsidR="005250CA" w:rsidRPr="00C9343F" w:rsidRDefault="005250CA" w:rsidP="00577FEA">
            <w:pPr>
              <w:pStyle w:val="Sectiontext0"/>
              <w:spacing w:after="120"/>
              <w:rPr>
                <w:rFonts w:cs="Arial"/>
                <w:lang w:eastAsia="en-US"/>
              </w:rPr>
            </w:pPr>
            <w:r w:rsidRPr="00C9343F">
              <w:rPr>
                <w:rFonts w:cs="Arial"/>
                <w:lang w:eastAsia="en-US"/>
              </w:rPr>
              <w:t>i.</w:t>
            </w:r>
          </w:p>
        </w:tc>
        <w:tc>
          <w:tcPr>
            <w:tcW w:w="7234" w:type="dxa"/>
          </w:tcPr>
          <w:p w14:paraId="7D62B91E" w14:textId="77777777" w:rsidR="005250CA" w:rsidRPr="00C9343F" w:rsidRDefault="005250CA" w:rsidP="00577FEA">
            <w:pPr>
              <w:pStyle w:val="Sectiontext0"/>
              <w:rPr>
                <w:rFonts w:cs="Arial"/>
                <w:lang w:eastAsia="en-US"/>
              </w:rPr>
            </w:pPr>
            <w:r w:rsidRPr="00C9343F">
              <w:rPr>
                <w:rFonts w:cs="Arial"/>
                <w:lang w:eastAsia="en-US"/>
              </w:rPr>
              <w:t>They are recorded as being within the specified area for Operation COVID-19 ASSIST.</w:t>
            </w:r>
          </w:p>
        </w:tc>
      </w:tr>
      <w:tr w:rsidR="005250CA" w:rsidRPr="00C9343F" w14:paraId="2C4D72A4" w14:textId="77777777" w:rsidTr="00577FEA">
        <w:tc>
          <w:tcPr>
            <w:tcW w:w="992" w:type="dxa"/>
          </w:tcPr>
          <w:p w14:paraId="62393F67" w14:textId="77777777" w:rsidR="005250CA" w:rsidRPr="00C9343F" w:rsidRDefault="005250CA" w:rsidP="00577FEA">
            <w:pPr>
              <w:pStyle w:val="Sectiontext0"/>
              <w:jc w:val="center"/>
              <w:rPr>
                <w:lang w:eastAsia="en-US"/>
              </w:rPr>
            </w:pPr>
          </w:p>
        </w:tc>
        <w:tc>
          <w:tcPr>
            <w:tcW w:w="567" w:type="dxa"/>
          </w:tcPr>
          <w:p w14:paraId="494235C6" w14:textId="77777777" w:rsidR="005250CA" w:rsidRPr="00C9343F" w:rsidRDefault="005250CA" w:rsidP="00577FEA">
            <w:pPr>
              <w:pStyle w:val="Sectiontext0"/>
              <w:jc w:val="center"/>
              <w:rPr>
                <w:rFonts w:cs="Arial"/>
                <w:lang w:eastAsia="en-US"/>
              </w:rPr>
            </w:pPr>
          </w:p>
        </w:tc>
        <w:tc>
          <w:tcPr>
            <w:tcW w:w="567" w:type="dxa"/>
          </w:tcPr>
          <w:p w14:paraId="0C15C13A" w14:textId="77777777" w:rsidR="005250CA" w:rsidRPr="00C9343F" w:rsidRDefault="005250CA" w:rsidP="00577FEA">
            <w:pPr>
              <w:pStyle w:val="Sectiontext0"/>
              <w:rPr>
                <w:rFonts w:cs="Arial"/>
                <w:lang w:eastAsia="en-US"/>
              </w:rPr>
            </w:pPr>
            <w:r w:rsidRPr="00C9343F">
              <w:rPr>
                <w:rFonts w:cs="Arial"/>
                <w:lang w:eastAsia="en-US"/>
              </w:rPr>
              <w:t>ii.</w:t>
            </w:r>
          </w:p>
        </w:tc>
        <w:tc>
          <w:tcPr>
            <w:tcW w:w="7234" w:type="dxa"/>
          </w:tcPr>
          <w:p w14:paraId="39A28ECF" w14:textId="77777777" w:rsidR="005250CA" w:rsidRPr="00C9343F" w:rsidRDefault="005250CA" w:rsidP="00577FEA">
            <w:pPr>
              <w:pStyle w:val="Sectiontext0"/>
              <w:rPr>
                <w:rFonts w:cs="Arial"/>
                <w:lang w:eastAsia="en-US"/>
              </w:rPr>
            </w:pPr>
            <w:r w:rsidRPr="00C9343F">
              <w:rPr>
                <w:rFonts w:cs="Arial"/>
                <w:lang w:eastAsia="en-US"/>
              </w:rPr>
              <w:t>The Reserve service is being paid under the Operation COVID-19 ASSIST Activity Account Code.</w:t>
            </w:r>
          </w:p>
        </w:tc>
      </w:tr>
    </w:tbl>
    <w:p w14:paraId="001B0021" w14:textId="77777777" w:rsidR="00633432" w:rsidRPr="00C9343F" w:rsidRDefault="00633432" w:rsidP="00133B37">
      <w:pPr>
        <w:pStyle w:val="Heading5"/>
      </w:pPr>
      <w:bookmarkStart w:id="1239" w:name="_Toc105053947"/>
      <w:r w:rsidRPr="00C9343F">
        <w:t>4.12.4    Allowance payable from</w:t>
      </w:r>
      <w:bookmarkEnd w:id="1239"/>
    </w:p>
    <w:tbl>
      <w:tblPr>
        <w:tblW w:w="9359" w:type="dxa"/>
        <w:tblInd w:w="113" w:type="dxa"/>
        <w:tblLayout w:type="fixed"/>
        <w:tblLook w:val="04A0" w:firstRow="1" w:lastRow="0" w:firstColumn="1" w:lastColumn="0" w:noHBand="0" w:noVBand="1"/>
      </w:tblPr>
      <w:tblGrid>
        <w:gridCol w:w="992"/>
        <w:gridCol w:w="8367"/>
      </w:tblGrid>
      <w:tr w:rsidR="00633432" w:rsidRPr="00C9343F" w14:paraId="60DA12DE" w14:textId="77777777" w:rsidTr="00E5403F">
        <w:tc>
          <w:tcPr>
            <w:tcW w:w="992" w:type="dxa"/>
          </w:tcPr>
          <w:p w14:paraId="26E0AA30" w14:textId="77777777" w:rsidR="00633432" w:rsidRPr="00C9343F" w:rsidRDefault="00633432" w:rsidP="00133B37">
            <w:pPr>
              <w:pStyle w:val="Sectiontext0"/>
              <w:keepNext/>
              <w:keepLines/>
              <w:rPr>
                <w:lang w:eastAsia="en-US"/>
              </w:rPr>
            </w:pPr>
          </w:p>
        </w:tc>
        <w:tc>
          <w:tcPr>
            <w:tcW w:w="8367" w:type="dxa"/>
          </w:tcPr>
          <w:p w14:paraId="13EDAFC2" w14:textId="5AA5E97F" w:rsidR="00633432" w:rsidRPr="00C9343F" w:rsidRDefault="00633432" w:rsidP="00133B37">
            <w:pPr>
              <w:pStyle w:val="Sectiontext0"/>
              <w:keepNext/>
              <w:keepLines/>
            </w:pPr>
            <w:r w:rsidRPr="00C9343F">
              <w:t xml:space="preserve">An allowance under this Part is payable from the day set by a notifiable instrument made by the </w:t>
            </w:r>
            <w:r w:rsidR="00133B37" w:rsidRPr="00C9343F">
              <w:t>Director Drafting and Engagement</w:t>
            </w:r>
            <w:r w:rsidRPr="00C9343F">
              <w:t xml:space="preserve"> in the Department of Defence.</w:t>
            </w:r>
          </w:p>
          <w:p w14:paraId="207C6FCF" w14:textId="77777777" w:rsidR="00633432" w:rsidRPr="00C9343F" w:rsidRDefault="00633432" w:rsidP="00133B37">
            <w:pPr>
              <w:pStyle w:val="Sectiontext0"/>
              <w:keepNext/>
              <w:keepLines/>
              <w:rPr>
                <w:rFonts w:cs="Arial"/>
                <w:lang w:eastAsia="en-US"/>
              </w:rPr>
            </w:pPr>
            <w:r w:rsidRPr="00C9343F">
              <w:rPr>
                <w:b/>
              </w:rPr>
              <w:t>Note:</w:t>
            </w:r>
            <w:r w:rsidRPr="00C9343F">
              <w:t xml:space="preserve"> The notifiable instrument may specify different days for different classes of members.</w:t>
            </w:r>
          </w:p>
        </w:tc>
      </w:tr>
    </w:tbl>
    <w:p w14:paraId="58E94E53" w14:textId="77777777" w:rsidR="008B4402" w:rsidRPr="00C9343F" w:rsidRDefault="008B4402" w:rsidP="00F66D98">
      <w:pPr>
        <w:pStyle w:val="Heading5"/>
        <w:sectPr w:rsidR="008B4402" w:rsidRPr="00C9343F" w:rsidSect="00C0188F">
          <w:pgSz w:w="11907" w:h="16840" w:code="9"/>
          <w:pgMar w:top="1134" w:right="1134" w:bottom="992" w:left="1418" w:header="720" w:footer="720" w:gutter="0"/>
          <w:cols w:space="720"/>
        </w:sectPr>
      </w:pPr>
    </w:p>
    <w:p w14:paraId="096EA22B" w14:textId="77777777" w:rsidR="008B4402" w:rsidRPr="00C9343F" w:rsidRDefault="008B4402" w:rsidP="00F66D98">
      <w:pPr>
        <w:pStyle w:val="Heading2"/>
        <w:shd w:val="clear" w:color="auto" w:fill="auto"/>
      </w:pPr>
      <w:bookmarkStart w:id="1240" w:name="_Toc105053948"/>
      <w:r w:rsidRPr="00C9343F">
        <w:t>Chapter 5: Leave</w:t>
      </w:r>
      <w:bookmarkEnd w:id="1240"/>
    </w:p>
    <w:p w14:paraId="230B0339" w14:textId="5E1F2E62" w:rsidR="008B4402" w:rsidRPr="00C9343F" w:rsidRDefault="008B4402" w:rsidP="00F66D98">
      <w:pPr>
        <w:pStyle w:val="Heading3"/>
      </w:pPr>
      <w:bookmarkStart w:id="1241" w:name="part1"/>
      <w:bookmarkStart w:id="1242" w:name="_Toc105053949"/>
      <w:bookmarkEnd w:id="1241"/>
      <w:r w:rsidRPr="00C9343F">
        <w:t xml:space="preserve">Part 1: </w:t>
      </w:r>
      <w:r w:rsidR="00217E92" w:rsidRPr="00C9343F">
        <w:t>General provisions</w:t>
      </w:r>
      <w:bookmarkEnd w:id="1242"/>
    </w:p>
    <w:p w14:paraId="78876CEF" w14:textId="20A46706" w:rsidR="008B4402" w:rsidRPr="00C9343F" w:rsidRDefault="008B4402" w:rsidP="00F66D98">
      <w:pPr>
        <w:pStyle w:val="Heading5"/>
      </w:pPr>
      <w:bookmarkStart w:id="1243" w:name="_Toc105053950"/>
      <w:bookmarkStart w:id="1244" w:name="bk114835511Purpose"/>
      <w:bookmarkStart w:id="1245" w:name="bk114858511Purpose"/>
      <w:bookmarkStart w:id="1246" w:name="bk135159511Purpose"/>
      <w:bookmarkStart w:id="1247" w:name="bk115756511Purpose"/>
      <w:bookmarkStart w:id="1248" w:name="bk85713511Purpose"/>
      <w:r w:rsidRPr="00C9343F">
        <w:t>5.1.1</w:t>
      </w:r>
      <w:r w:rsidR="00D94006" w:rsidRPr="00C9343F">
        <w:t>    </w:t>
      </w:r>
      <w:r w:rsidRPr="00C9343F">
        <w:t>Purpose</w:t>
      </w:r>
      <w:bookmarkEnd w:id="1243"/>
      <w:r w:rsidRPr="00C9343F">
        <w:t xml:space="preserve"> </w:t>
      </w:r>
    </w:p>
    <w:bookmarkEnd w:id="1244"/>
    <w:bookmarkEnd w:id="1245"/>
    <w:bookmarkEnd w:id="1246"/>
    <w:bookmarkEnd w:id="1247"/>
    <w:bookmarkEnd w:id="1248"/>
    <w:tbl>
      <w:tblPr>
        <w:tblW w:w="0" w:type="auto"/>
        <w:tblInd w:w="113" w:type="dxa"/>
        <w:tblLayout w:type="fixed"/>
        <w:tblLook w:val="0000" w:firstRow="0" w:lastRow="0" w:firstColumn="0" w:lastColumn="0" w:noHBand="0" w:noVBand="0"/>
      </w:tblPr>
      <w:tblGrid>
        <w:gridCol w:w="992"/>
        <w:gridCol w:w="8363"/>
      </w:tblGrid>
      <w:tr w:rsidR="008B4402" w:rsidRPr="00C9343F" w14:paraId="6A9DCDBD" w14:textId="77777777" w:rsidTr="008B4402">
        <w:tc>
          <w:tcPr>
            <w:tcW w:w="992" w:type="dxa"/>
          </w:tcPr>
          <w:p w14:paraId="7E6AF4BF" w14:textId="77777777" w:rsidR="008B4402" w:rsidRPr="00C9343F" w:rsidRDefault="008B4402" w:rsidP="00F66D98">
            <w:pPr>
              <w:pStyle w:val="BlockText-PlainNoSpacing"/>
              <w:jc w:val="center"/>
            </w:pPr>
          </w:p>
        </w:tc>
        <w:tc>
          <w:tcPr>
            <w:tcW w:w="8363" w:type="dxa"/>
          </w:tcPr>
          <w:p w14:paraId="683C4130" w14:textId="77777777" w:rsidR="008B4402" w:rsidRPr="00C9343F" w:rsidRDefault="008B4402" w:rsidP="00F66D98">
            <w:pPr>
              <w:pStyle w:val="BlockText-PlainNoSpacing"/>
              <w:spacing w:after="200"/>
            </w:pPr>
            <w:r w:rsidRPr="00C9343F">
              <w:t>This Part gives a general outline of leave for ADF members and describes the various kinds of leave available.</w:t>
            </w:r>
          </w:p>
        </w:tc>
      </w:tr>
    </w:tbl>
    <w:p w14:paraId="42EABCCD" w14:textId="544BFC8A" w:rsidR="003854B9" w:rsidRPr="00C9343F" w:rsidRDefault="003854B9" w:rsidP="00F66D98">
      <w:pPr>
        <w:spacing w:before="120"/>
        <w:rPr>
          <w:strike/>
        </w:rPr>
      </w:pPr>
      <w:r w:rsidRPr="00C9343F">
        <w:rPr>
          <w:b/>
        </w:rPr>
        <w:t>5.1.1A</w:t>
      </w:r>
      <w:r w:rsidR="00D94006" w:rsidRPr="00C9343F">
        <w:rPr>
          <w:b/>
        </w:rPr>
        <w:t>    </w:t>
      </w:r>
      <w:r w:rsidRPr="00C9343F">
        <w:rPr>
          <w:b/>
        </w:rPr>
        <w:t>Definitions</w:t>
      </w:r>
    </w:p>
    <w:tbl>
      <w:tblPr>
        <w:tblW w:w="9364" w:type="dxa"/>
        <w:tblInd w:w="108" w:type="dxa"/>
        <w:tblLayout w:type="fixed"/>
        <w:tblLook w:val="04A0" w:firstRow="1" w:lastRow="0" w:firstColumn="1" w:lastColumn="0" w:noHBand="0" w:noVBand="1"/>
      </w:tblPr>
      <w:tblGrid>
        <w:gridCol w:w="995"/>
        <w:gridCol w:w="563"/>
        <w:gridCol w:w="567"/>
        <w:gridCol w:w="7239"/>
      </w:tblGrid>
      <w:tr w:rsidR="00626BBB" w:rsidRPr="00C9343F" w14:paraId="01A08163" w14:textId="77777777" w:rsidTr="00445FEB">
        <w:tc>
          <w:tcPr>
            <w:tcW w:w="995" w:type="dxa"/>
          </w:tcPr>
          <w:p w14:paraId="4356B62C" w14:textId="77777777" w:rsidR="00626BBB" w:rsidRPr="00C9343F" w:rsidRDefault="00626BBB" w:rsidP="00445FEB">
            <w:pPr>
              <w:pStyle w:val="Sectiontext0"/>
              <w:spacing w:line="276" w:lineRule="auto"/>
              <w:jc w:val="center"/>
              <w:rPr>
                <w:lang w:eastAsia="en-US"/>
              </w:rPr>
            </w:pPr>
            <w:bookmarkStart w:id="1249" w:name="bk114835512Leaveoverview"/>
            <w:bookmarkStart w:id="1250" w:name="bk114858512Leaveoverview"/>
            <w:bookmarkStart w:id="1251" w:name="bk135159512Leaveoverview"/>
            <w:bookmarkStart w:id="1252" w:name="bk115756512Leaveoverview"/>
            <w:bookmarkStart w:id="1253" w:name="bk85713512Leaveoverview"/>
          </w:p>
        </w:tc>
        <w:tc>
          <w:tcPr>
            <w:tcW w:w="8369" w:type="dxa"/>
            <w:gridSpan w:val="3"/>
            <w:hideMark/>
          </w:tcPr>
          <w:p w14:paraId="709790F2" w14:textId="77777777" w:rsidR="00626BBB" w:rsidRPr="00C9343F" w:rsidRDefault="00626BBB" w:rsidP="00445FEB">
            <w:pPr>
              <w:pStyle w:val="Sectiontext0"/>
              <w:spacing w:line="276" w:lineRule="auto"/>
              <w:rPr>
                <w:rFonts w:cs="Arial"/>
                <w:lang w:eastAsia="en-US"/>
              </w:rPr>
            </w:pPr>
            <w:r w:rsidRPr="00C9343F">
              <w:rPr>
                <w:rFonts w:cs="Arial"/>
                <w:lang w:eastAsia="en-US"/>
              </w:rPr>
              <w:t xml:space="preserve">In this Chapter the following apply. </w:t>
            </w:r>
          </w:p>
        </w:tc>
      </w:tr>
      <w:tr w:rsidR="00626BBB" w:rsidRPr="00C9343F" w14:paraId="0481B2E3" w14:textId="77777777" w:rsidTr="00445FEB">
        <w:tc>
          <w:tcPr>
            <w:tcW w:w="995" w:type="dxa"/>
          </w:tcPr>
          <w:p w14:paraId="059074FB" w14:textId="77777777" w:rsidR="00626BBB" w:rsidRPr="00C9343F" w:rsidRDefault="00626BBB" w:rsidP="00445FEB">
            <w:pPr>
              <w:pStyle w:val="Sectiontext0"/>
              <w:spacing w:line="276" w:lineRule="auto"/>
              <w:jc w:val="center"/>
              <w:rPr>
                <w:lang w:eastAsia="en-US"/>
              </w:rPr>
            </w:pPr>
          </w:p>
        </w:tc>
        <w:tc>
          <w:tcPr>
            <w:tcW w:w="8369" w:type="dxa"/>
            <w:gridSpan w:val="3"/>
            <w:hideMark/>
          </w:tcPr>
          <w:p w14:paraId="11E475A3" w14:textId="77777777" w:rsidR="00626BBB" w:rsidRPr="00C9343F" w:rsidRDefault="00626BBB" w:rsidP="00445FEB">
            <w:pPr>
              <w:pStyle w:val="Sectiontext0"/>
              <w:spacing w:line="276" w:lineRule="auto"/>
              <w:rPr>
                <w:rFonts w:cs="Arial"/>
                <w:i/>
                <w:lang w:eastAsia="en-US"/>
              </w:rPr>
            </w:pPr>
            <w:r w:rsidRPr="00C9343F">
              <w:rPr>
                <w:rFonts w:cs="Arial"/>
                <w:b/>
                <w:lang w:eastAsia="en-US"/>
              </w:rPr>
              <w:t xml:space="preserve">Senior officer who transitioned </w:t>
            </w:r>
            <w:r w:rsidRPr="00C9343F">
              <w:rPr>
                <w:rFonts w:cs="Arial"/>
                <w:lang w:eastAsia="en-US"/>
              </w:rPr>
              <w:t>means a senior officer who meets all of the following.</w:t>
            </w:r>
          </w:p>
        </w:tc>
      </w:tr>
      <w:tr w:rsidR="00626BBB" w:rsidRPr="00C9343F" w14:paraId="45D6E9C7" w14:textId="77777777" w:rsidTr="00445FEB">
        <w:tc>
          <w:tcPr>
            <w:tcW w:w="995" w:type="dxa"/>
          </w:tcPr>
          <w:p w14:paraId="7EB8594D" w14:textId="77777777" w:rsidR="00626BBB" w:rsidRPr="00C9343F" w:rsidRDefault="00626BBB" w:rsidP="00445FEB">
            <w:pPr>
              <w:pStyle w:val="Sectiontext0"/>
              <w:spacing w:line="276" w:lineRule="auto"/>
              <w:jc w:val="center"/>
              <w:rPr>
                <w:lang w:eastAsia="en-US"/>
              </w:rPr>
            </w:pPr>
          </w:p>
        </w:tc>
        <w:tc>
          <w:tcPr>
            <w:tcW w:w="563" w:type="dxa"/>
            <w:hideMark/>
          </w:tcPr>
          <w:p w14:paraId="0146E322" w14:textId="77777777" w:rsidR="00626BBB" w:rsidRPr="00C9343F" w:rsidRDefault="00626BBB" w:rsidP="00445FEB">
            <w:pPr>
              <w:pStyle w:val="Sectiontext0"/>
              <w:spacing w:line="276" w:lineRule="auto"/>
              <w:jc w:val="center"/>
              <w:rPr>
                <w:rFonts w:cs="Arial"/>
                <w:lang w:eastAsia="en-US"/>
              </w:rPr>
            </w:pPr>
            <w:r w:rsidRPr="00C9343F">
              <w:rPr>
                <w:rFonts w:cs="Arial"/>
                <w:lang w:eastAsia="en-US"/>
              </w:rPr>
              <w:t>a.</w:t>
            </w:r>
          </w:p>
        </w:tc>
        <w:tc>
          <w:tcPr>
            <w:tcW w:w="7806" w:type="dxa"/>
            <w:gridSpan w:val="2"/>
            <w:hideMark/>
          </w:tcPr>
          <w:p w14:paraId="1784344B" w14:textId="77777777" w:rsidR="00626BBB" w:rsidRPr="00C9343F" w:rsidRDefault="00626BBB" w:rsidP="00445FEB">
            <w:pPr>
              <w:pStyle w:val="Default"/>
              <w:spacing w:line="276" w:lineRule="auto"/>
            </w:pPr>
            <w:r w:rsidRPr="00C9343F">
              <w:t>The senior officer previously held one of the following appointments or positions.</w:t>
            </w:r>
          </w:p>
        </w:tc>
      </w:tr>
      <w:tr w:rsidR="00626BBB" w:rsidRPr="00C9343F" w14:paraId="0B8B7C3B" w14:textId="77777777" w:rsidTr="00445FEB">
        <w:tc>
          <w:tcPr>
            <w:tcW w:w="995" w:type="dxa"/>
          </w:tcPr>
          <w:p w14:paraId="60D3560A" w14:textId="77777777" w:rsidR="00626BBB" w:rsidRPr="00C9343F" w:rsidRDefault="00626BBB" w:rsidP="00445FEB">
            <w:pPr>
              <w:pStyle w:val="Sectiontext0"/>
              <w:spacing w:line="276" w:lineRule="auto"/>
              <w:jc w:val="center"/>
              <w:rPr>
                <w:lang w:eastAsia="en-US"/>
              </w:rPr>
            </w:pPr>
          </w:p>
        </w:tc>
        <w:tc>
          <w:tcPr>
            <w:tcW w:w="563" w:type="dxa"/>
          </w:tcPr>
          <w:p w14:paraId="26989E98" w14:textId="77777777" w:rsidR="00626BBB" w:rsidRPr="00C9343F" w:rsidRDefault="00626BBB" w:rsidP="00445FEB">
            <w:pPr>
              <w:pStyle w:val="Sectiontext0"/>
              <w:spacing w:line="276" w:lineRule="auto"/>
              <w:rPr>
                <w:rFonts w:cs="Arial"/>
                <w:iCs/>
                <w:lang w:eastAsia="en-US"/>
              </w:rPr>
            </w:pPr>
          </w:p>
        </w:tc>
        <w:tc>
          <w:tcPr>
            <w:tcW w:w="567" w:type="dxa"/>
            <w:hideMark/>
          </w:tcPr>
          <w:p w14:paraId="4808E258" w14:textId="77777777" w:rsidR="00626BBB" w:rsidRPr="00C9343F" w:rsidRDefault="00626BBB" w:rsidP="00E62EB5">
            <w:pPr>
              <w:pStyle w:val="Sectiontext0"/>
              <w:spacing w:line="276" w:lineRule="auto"/>
              <w:rPr>
                <w:rFonts w:cs="Arial"/>
                <w:iCs/>
                <w:lang w:eastAsia="en-US"/>
              </w:rPr>
            </w:pPr>
            <w:r w:rsidRPr="00C9343F">
              <w:rPr>
                <w:rFonts w:cs="Arial"/>
                <w:iCs/>
                <w:lang w:eastAsia="en-US"/>
              </w:rPr>
              <w:t>i.</w:t>
            </w:r>
          </w:p>
        </w:tc>
        <w:tc>
          <w:tcPr>
            <w:tcW w:w="7239" w:type="dxa"/>
            <w:hideMark/>
          </w:tcPr>
          <w:p w14:paraId="17E01B7E" w14:textId="77777777" w:rsidR="00626BBB" w:rsidRPr="00C9343F" w:rsidRDefault="00626BBB" w:rsidP="00445FEB">
            <w:pPr>
              <w:pStyle w:val="Sectiontext0"/>
              <w:spacing w:line="276" w:lineRule="auto"/>
              <w:rPr>
                <w:rFonts w:cs="Arial"/>
                <w:iCs/>
                <w:lang w:eastAsia="en-US"/>
              </w:rPr>
            </w:pPr>
            <w:r w:rsidRPr="00C9343F">
              <w:rPr>
                <w:rFonts w:cs="Arial"/>
                <w:iCs/>
                <w:lang w:eastAsia="en-US"/>
              </w:rPr>
              <w:t>Chief of the Defence Force.</w:t>
            </w:r>
          </w:p>
        </w:tc>
      </w:tr>
      <w:tr w:rsidR="00626BBB" w:rsidRPr="00C9343F" w14:paraId="5013A280" w14:textId="77777777" w:rsidTr="00445FEB">
        <w:tc>
          <w:tcPr>
            <w:tcW w:w="995" w:type="dxa"/>
          </w:tcPr>
          <w:p w14:paraId="0129938B" w14:textId="77777777" w:rsidR="00626BBB" w:rsidRPr="00C9343F" w:rsidRDefault="00626BBB" w:rsidP="00445FEB">
            <w:pPr>
              <w:pStyle w:val="Sectiontext0"/>
              <w:spacing w:line="276" w:lineRule="auto"/>
              <w:jc w:val="center"/>
              <w:rPr>
                <w:lang w:eastAsia="en-US"/>
              </w:rPr>
            </w:pPr>
          </w:p>
        </w:tc>
        <w:tc>
          <w:tcPr>
            <w:tcW w:w="563" w:type="dxa"/>
          </w:tcPr>
          <w:p w14:paraId="330DE023" w14:textId="77777777" w:rsidR="00626BBB" w:rsidRPr="00C9343F" w:rsidRDefault="00626BBB" w:rsidP="00445FEB">
            <w:pPr>
              <w:pStyle w:val="Sectiontext0"/>
              <w:spacing w:line="276" w:lineRule="auto"/>
              <w:rPr>
                <w:rFonts w:cs="Arial"/>
                <w:iCs/>
                <w:lang w:eastAsia="en-US"/>
              </w:rPr>
            </w:pPr>
          </w:p>
        </w:tc>
        <w:tc>
          <w:tcPr>
            <w:tcW w:w="567" w:type="dxa"/>
            <w:hideMark/>
          </w:tcPr>
          <w:p w14:paraId="365C71BD" w14:textId="77777777" w:rsidR="00626BBB" w:rsidRPr="00C9343F" w:rsidRDefault="00626BBB" w:rsidP="00E62EB5">
            <w:pPr>
              <w:pStyle w:val="Sectiontext0"/>
              <w:spacing w:line="276" w:lineRule="auto"/>
              <w:rPr>
                <w:rFonts w:cs="Arial"/>
                <w:iCs/>
                <w:lang w:eastAsia="en-US"/>
              </w:rPr>
            </w:pPr>
            <w:r w:rsidRPr="00C9343F">
              <w:rPr>
                <w:rFonts w:cs="Arial"/>
                <w:iCs/>
                <w:lang w:eastAsia="en-US"/>
              </w:rPr>
              <w:t>ii.</w:t>
            </w:r>
          </w:p>
        </w:tc>
        <w:tc>
          <w:tcPr>
            <w:tcW w:w="7239" w:type="dxa"/>
            <w:hideMark/>
          </w:tcPr>
          <w:p w14:paraId="13842888" w14:textId="77777777" w:rsidR="00626BBB" w:rsidRPr="00C9343F" w:rsidRDefault="00626BBB" w:rsidP="00445FEB">
            <w:pPr>
              <w:pStyle w:val="Sectiontext0"/>
              <w:spacing w:line="276" w:lineRule="auto"/>
              <w:rPr>
                <w:rFonts w:cs="Arial"/>
                <w:iCs/>
                <w:lang w:eastAsia="en-US"/>
              </w:rPr>
            </w:pPr>
            <w:r w:rsidRPr="00C9343F">
              <w:rPr>
                <w:rFonts w:cs="Arial"/>
                <w:iCs/>
                <w:lang w:eastAsia="en-US"/>
              </w:rPr>
              <w:t>Vice Chief of the Defence Force.</w:t>
            </w:r>
          </w:p>
        </w:tc>
      </w:tr>
      <w:tr w:rsidR="00626BBB" w:rsidRPr="00C9343F" w14:paraId="204EA416" w14:textId="77777777" w:rsidTr="00445FEB">
        <w:tc>
          <w:tcPr>
            <w:tcW w:w="995" w:type="dxa"/>
          </w:tcPr>
          <w:p w14:paraId="1C4DF214" w14:textId="77777777" w:rsidR="00626BBB" w:rsidRPr="00C9343F" w:rsidRDefault="00626BBB" w:rsidP="00445FEB">
            <w:pPr>
              <w:pStyle w:val="Sectiontext0"/>
              <w:spacing w:line="276" w:lineRule="auto"/>
              <w:jc w:val="center"/>
              <w:rPr>
                <w:lang w:eastAsia="en-US"/>
              </w:rPr>
            </w:pPr>
          </w:p>
        </w:tc>
        <w:tc>
          <w:tcPr>
            <w:tcW w:w="563" w:type="dxa"/>
          </w:tcPr>
          <w:p w14:paraId="754C9A1E" w14:textId="77777777" w:rsidR="00626BBB" w:rsidRPr="00C9343F" w:rsidRDefault="00626BBB" w:rsidP="00445FEB">
            <w:pPr>
              <w:pStyle w:val="Sectiontext0"/>
              <w:spacing w:line="276" w:lineRule="auto"/>
              <w:rPr>
                <w:rFonts w:cs="Arial"/>
                <w:iCs/>
                <w:lang w:eastAsia="en-US"/>
              </w:rPr>
            </w:pPr>
          </w:p>
        </w:tc>
        <w:tc>
          <w:tcPr>
            <w:tcW w:w="567" w:type="dxa"/>
            <w:hideMark/>
          </w:tcPr>
          <w:p w14:paraId="16C15B39" w14:textId="77777777" w:rsidR="00626BBB" w:rsidRPr="00C9343F" w:rsidRDefault="00626BBB" w:rsidP="00E62EB5">
            <w:pPr>
              <w:pStyle w:val="Sectiontext0"/>
              <w:spacing w:line="276" w:lineRule="auto"/>
              <w:rPr>
                <w:rFonts w:cs="Arial"/>
                <w:iCs/>
                <w:lang w:eastAsia="en-US"/>
              </w:rPr>
            </w:pPr>
            <w:r w:rsidRPr="00C9343F">
              <w:rPr>
                <w:rFonts w:cs="Arial"/>
                <w:iCs/>
                <w:lang w:eastAsia="en-US"/>
              </w:rPr>
              <w:t>iii.</w:t>
            </w:r>
          </w:p>
        </w:tc>
        <w:tc>
          <w:tcPr>
            <w:tcW w:w="7239" w:type="dxa"/>
            <w:hideMark/>
          </w:tcPr>
          <w:p w14:paraId="12D569F5" w14:textId="77777777" w:rsidR="00626BBB" w:rsidRPr="00C9343F" w:rsidRDefault="00626BBB" w:rsidP="00445FEB">
            <w:pPr>
              <w:pStyle w:val="Sectiontext0"/>
              <w:spacing w:line="276" w:lineRule="auto"/>
              <w:rPr>
                <w:rFonts w:cs="Arial"/>
                <w:iCs/>
                <w:lang w:eastAsia="en-US"/>
              </w:rPr>
            </w:pPr>
            <w:r w:rsidRPr="00C9343F">
              <w:rPr>
                <w:rFonts w:cs="Arial"/>
                <w:iCs/>
                <w:lang w:eastAsia="en-US"/>
              </w:rPr>
              <w:t>Service Chief.</w:t>
            </w:r>
          </w:p>
        </w:tc>
      </w:tr>
      <w:tr w:rsidR="00626BBB" w:rsidRPr="00C9343F" w14:paraId="7DE8FD25" w14:textId="77777777" w:rsidTr="00445FEB">
        <w:tc>
          <w:tcPr>
            <w:tcW w:w="995" w:type="dxa"/>
          </w:tcPr>
          <w:p w14:paraId="03F9AFCB" w14:textId="77777777" w:rsidR="00626BBB" w:rsidRPr="00C9343F" w:rsidRDefault="00626BBB" w:rsidP="00445FEB">
            <w:pPr>
              <w:pStyle w:val="Sectiontext0"/>
              <w:spacing w:line="276" w:lineRule="auto"/>
              <w:jc w:val="center"/>
              <w:rPr>
                <w:lang w:eastAsia="en-US"/>
              </w:rPr>
            </w:pPr>
          </w:p>
        </w:tc>
        <w:tc>
          <w:tcPr>
            <w:tcW w:w="563" w:type="dxa"/>
          </w:tcPr>
          <w:p w14:paraId="1CD9C362" w14:textId="77777777" w:rsidR="00626BBB" w:rsidRPr="00C9343F" w:rsidRDefault="00626BBB" w:rsidP="00445FEB">
            <w:pPr>
              <w:pStyle w:val="Sectiontext0"/>
              <w:spacing w:line="276" w:lineRule="auto"/>
              <w:rPr>
                <w:rFonts w:cs="Arial"/>
                <w:iCs/>
                <w:lang w:eastAsia="en-US"/>
              </w:rPr>
            </w:pPr>
          </w:p>
        </w:tc>
        <w:tc>
          <w:tcPr>
            <w:tcW w:w="567" w:type="dxa"/>
            <w:hideMark/>
          </w:tcPr>
          <w:p w14:paraId="692948C3" w14:textId="77777777" w:rsidR="00626BBB" w:rsidRPr="00C9343F" w:rsidRDefault="00626BBB" w:rsidP="00E62EB5">
            <w:pPr>
              <w:pStyle w:val="Sectiontext0"/>
              <w:spacing w:line="276" w:lineRule="auto"/>
              <w:rPr>
                <w:rFonts w:cs="Arial"/>
                <w:iCs/>
                <w:lang w:eastAsia="en-US"/>
              </w:rPr>
            </w:pPr>
            <w:r w:rsidRPr="00C9343F">
              <w:rPr>
                <w:rFonts w:cs="Arial"/>
                <w:iCs/>
                <w:lang w:eastAsia="en-US"/>
              </w:rPr>
              <w:t>iv.</w:t>
            </w:r>
          </w:p>
        </w:tc>
        <w:tc>
          <w:tcPr>
            <w:tcW w:w="7239" w:type="dxa"/>
            <w:hideMark/>
          </w:tcPr>
          <w:p w14:paraId="6FD94996" w14:textId="77777777" w:rsidR="00626BBB" w:rsidRPr="00C9343F" w:rsidRDefault="00626BBB" w:rsidP="00445FEB">
            <w:pPr>
              <w:pStyle w:val="Sectiontext0"/>
              <w:spacing w:line="276" w:lineRule="auto"/>
              <w:rPr>
                <w:rFonts w:cs="Arial"/>
                <w:iCs/>
                <w:lang w:eastAsia="en-US"/>
              </w:rPr>
            </w:pPr>
            <w:r w:rsidRPr="00C9343F">
              <w:rPr>
                <w:rFonts w:cs="Arial"/>
                <w:iCs/>
                <w:lang w:eastAsia="en-US"/>
              </w:rPr>
              <w:t>Chief of Joint Operations.</w:t>
            </w:r>
          </w:p>
        </w:tc>
      </w:tr>
      <w:tr w:rsidR="00626BBB" w:rsidRPr="00C9343F" w14:paraId="39E6AC70" w14:textId="77777777" w:rsidTr="00445FEB">
        <w:tc>
          <w:tcPr>
            <w:tcW w:w="995" w:type="dxa"/>
          </w:tcPr>
          <w:p w14:paraId="6E4465CE" w14:textId="77777777" w:rsidR="00626BBB" w:rsidRPr="00C9343F" w:rsidRDefault="00626BBB" w:rsidP="00445FEB">
            <w:pPr>
              <w:pStyle w:val="Sectiontext0"/>
              <w:spacing w:line="276" w:lineRule="auto"/>
              <w:jc w:val="center"/>
              <w:rPr>
                <w:lang w:eastAsia="en-US"/>
              </w:rPr>
            </w:pPr>
          </w:p>
        </w:tc>
        <w:tc>
          <w:tcPr>
            <w:tcW w:w="563" w:type="dxa"/>
            <w:hideMark/>
          </w:tcPr>
          <w:p w14:paraId="5102894B" w14:textId="77777777" w:rsidR="00626BBB" w:rsidRPr="00C9343F" w:rsidRDefault="00626BBB" w:rsidP="00445FEB">
            <w:pPr>
              <w:pStyle w:val="Sectiontext0"/>
              <w:spacing w:line="276" w:lineRule="auto"/>
              <w:jc w:val="center"/>
              <w:rPr>
                <w:rFonts w:cs="Arial"/>
                <w:lang w:eastAsia="en-US"/>
              </w:rPr>
            </w:pPr>
            <w:r w:rsidRPr="00C9343F">
              <w:rPr>
                <w:rFonts w:cs="Arial"/>
                <w:lang w:eastAsia="en-US"/>
              </w:rPr>
              <w:t>b.</w:t>
            </w:r>
          </w:p>
        </w:tc>
        <w:tc>
          <w:tcPr>
            <w:tcW w:w="7806" w:type="dxa"/>
            <w:gridSpan w:val="2"/>
            <w:hideMark/>
          </w:tcPr>
          <w:p w14:paraId="6959ED04" w14:textId="77777777" w:rsidR="00626BBB" w:rsidRPr="00C9343F" w:rsidRDefault="00626BBB" w:rsidP="00445FEB">
            <w:pPr>
              <w:pStyle w:val="Default"/>
              <w:spacing w:after="240" w:line="276" w:lineRule="auto"/>
            </w:pPr>
            <w:r w:rsidRPr="00C9343F">
              <w:t>The senior officer undertook required activities that supported their resignation, retirement or transfer to the Reserves, immediately after ceasing their appointment in paragraph a.</w:t>
            </w:r>
          </w:p>
        </w:tc>
      </w:tr>
      <w:tr w:rsidR="00626BBB" w:rsidRPr="00C9343F" w14:paraId="7A67EE4D" w14:textId="77777777" w:rsidTr="00445FEB">
        <w:tc>
          <w:tcPr>
            <w:tcW w:w="995" w:type="dxa"/>
          </w:tcPr>
          <w:p w14:paraId="6172136F" w14:textId="77777777" w:rsidR="00626BBB" w:rsidRPr="00C9343F" w:rsidRDefault="00626BBB" w:rsidP="00445FEB">
            <w:pPr>
              <w:pStyle w:val="Sectiontext0"/>
              <w:spacing w:line="276" w:lineRule="auto"/>
              <w:jc w:val="center"/>
              <w:rPr>
                <w:lang w:eastAsia="en-US"/>
              </w:rPr>
            </w:pPr>
          </w:p>
        </w:tc>
        <w:tc>
          <w:tcPr>
            <w:tcW w:w="563" w:type="dxa"/>
            <w:hideMark/>
          </w:tcPr>
          <w:p w14:paraId="706085DA" w14:textId="77777777" w:rsidR="00626BBB" w:rsidRPr="00C9343F" w:rsidRDefault="00626BBB" w:rsidP="00445FEB">
            <w:pPr>
              <w:pStyle w:val="Sectiontext0"/>
              <w:spacing w:line="276" w:lineRule="auto"/>
              <w:jc w:val="center"/>
              <w:rPr>
                <w:rFonts w:cs="Arial"/>
                <w:lang w:eastAsia="en-US"/>
              </w:rPr>
            </w:pPr>
            <w:r w:rsidRPr="00C9343F">
              <w:rPr>
                <w:rFonts w:cs="Arial"/>
                <w:lang w:eastAsia="en-US"/>
              </w:rPr>
              <w:t>c.</w:t>
            </w:r>
          </w:p>
        </w:tc>
        <w:tc>
          <w:tcPr>
            <w:tcW w:w="7806" w:type="dxa"/>
            <w:gridSpan w:val="2"/>
            <w:hideMark/>
          </w:tcPr>
          <w:p w14:paraId="41FBF80D" w14:textId="77777777" w:rsidR="00626BBB" w:rsidRPr="00C9343F" w:rsidRDefault="00626BBB" w:rsidP="00445FEB">
            <w:pPr>
              <w:pStyle w:val="Default"/>
              <w:spacing w:after="240" w:line="276" w:lineRule="auto"/>
            </w:pPr>
            <w:r w:rsidRPr="00C9343F">
              <w:t>The senior officer ceased service in the Permanent Forces, immediately after completing the activities described in paragraph b.</w:t>
            </w:r>
          </w:p>
        </w:tc>
      </w:tr>
      <w:tr w:rsidR="00626BBB" w:rsidRPr="00C9343F" w14:paraId="3435ECC6" w14:textId="77777777" w:rsidTr="00445FEB">
        <w:tc>
          <w:tcPr>
            <w:tcW w:w="995" w:type="dxa"/>
          </w:tcPr>
          <w:p w14:paraId="002DE92D" w14:textId="77777777" w:rsidR="00626BBB" w:rsidRPr="00C9343F" w:rsidRDefault="00626BBB" w:rsidP="00445FEB">
            <w:pPr>
              <w:pStyle w:val="Sectiontext0"/>
              <w:spacing w:line="276" w:lineRule="auto"/>
              <w:jc w:val="center"/>
              <w:rPr>
                <w:lang w:eastAsia="en-US"/>
              </w:rPr>
            </w:pPr>
          </w:p>
        </w:tc>
        <w:tc>
          <w:tcPr>
            <w:tcW w:w="8369" w:type="dxa"/>
            <w:gridSpan w:val="3"/>
            <w:hideMark/>
          </w:tcPr>
          <w:p w14:paraId="7C5717B8" w14:textId="77777777" w:rsidR="00626BBB" w:rsidRPr="00C9343F" w:rsidRDefault="00626BBB" w:rsidP="00445FEB">
            <w:pPr>
              <w:pStyle w:val="Sectiontext0"/>
              <w:spacing w:line="276" w:lineRule="auto"/>
              <w:rPr>
                <w:rFonts w:cs="Arial"/>
                <w:lang w:eastAsia="en-US"/>
              </w:rPr>
            </w:pPr>
            <w:r w:rsidRPr="00C9343F">
              <w:rPr>
                <w:rFonts w:cs="Arial"/>
                <w:b/>
                <w:lang w:eastAsia="en-US"/>
              </w:rPr>
              <w:t>Start date</w:t>
            </w:r>
            <w:r w:rsidRPr="00C9343F">
              <w:rPr>
                <w:rFonts w:cs="Arial"/>
                <w:lang w:eastAsia="en-US"/>
              </w:rPr>
              <w:t xml:space="preserve"> means the first day of the member’s absence.</w:t>
            </w:r>
          </w:p>
        </w:tc>
      </w:tr>
      <w:tr w:rsidR="00626BBB" w:rsidRPr="00C9343F" w14:paraId="3DD65965" w14:textId="77777777" w:rsidTr="00445FEB">
        <w:tc>
          <w:tcPr>
            <w:tcW w:w="995" w:type="dxa"/>
          </w:tcPr>
          <w:p w14:paraId="13C9449E" w14:textId="77777777" w:rsidR="00626BBB" w:rsidRPr="00C9343F" w:rsidRDefault="00626BBB" w:rsidP="00445FEB">
            <w:pPr>
              <w:pStyle w:val="Sectiontext0"/>
              <w:spacing w:line="276" w:lineRule="auto"/>
              <w:jc w:val="center"/>
              <w:rPr>
                <w:lang w:eastAsia="en-US"/>
              </w:rPr>
            </w:pPr>
          </w:p>
        </w:tc>
        <w:tc>
          <w:tcPr>
            <w:tcW w:w="8369" w:type="dxa"/>
            <w:gridSpan w:val="3"/>
            <w:hideMark/>
          </w:tcPr>
          <w:p w14:paraId="2B5A2F53" w14:textId="77777777" w:rsidR="00626BBB" w:rsidRPr="00C9343F" w:rsidRDefault="00626BBB" w:rsidP="00445FEB">
            <w:pPr>
              <w:pStyle w:val="Sectiontext0"/>
              <w:spacing w:line="276" w:lineRule="auto"/>
              <w:rPr>
                <w:rFonts w:cs="Arial"/>
                <w:lang w:eastAsia="en-US"/>
              </w:rPr>
            </w:pPr>
            <w:r w:rsidRPr="00C9343F">
              <w:rPr>
                <w:rFonts w:cs="Arial"/>
                <w:b/>
                <w:lang w:eastAsia="en-US"/>
              </w:rPr>
              <w:t xml:space="preserve">Transition period </w:t>
            </w:r>
            <w:r w:rsidRPr="00C9343F">
              <w:rPr>
                <w:rFonts w:cs="Arial"/>
                <w:lang w:eastAsia="en-US"/>
              </w:rPr>
              <w:t xml:space="preserve">means the period for a senior officer that is between the following two days. </w:t>
            </w:r>
          </w:p>
        </w:tc>
      </w:tr>
      <w:tr w:rsidR="00626BBB" w:rsidRPr="00C9343F" w14:paraId="0C580A5B" w14:textId="77777777" w:rsidTr="00445FEB">
        <w:tc>
          <w:tcPr>
            <w:tcW w:w="995" w:type="dxa"/>
          </w:tcPr>
          <w:p w14:paraId="63305427" w14:textId="77777777" w:rsidR="00626BBB" w:rsidRPr="00C9343F" w:rsidRDefault="00626BBB" w:rsidP="00445FEB">
            <w:pPr>
              <w:pStyle w:val="Sectiontext0"/>
              <w:spacing w:line="276" w:lineRule="auto"/>
              <w:jc w:val="center"/>
              <w:rPr>
                <w:lang w:eastAsia="en-US"/>
              </w:rPr>
            </w:pPr>
          </w:p>
        </w:tc>
        <w:tc>
          <w:tcPr>
            <w:tcW w:w="563" w:type="dxa"/>
            <w:hideMark/>
          </w:tcPr>
          <w:p w14:paraId="50193B8D" w14:textId="77777777" w:rsidR="00626BBB" w:rsidRPr="00C9343F" w:rsidRDefault="00626BBB" w:rsidP="00445FEB">
            <w:pPr>
              <w:pStyle w:val="Sectiontext0"/>
              <w:spacing w:line="276" w:lineRule="auto"/>
              <w:jc w:val="center"/>
              <w:rPr>
                <w:rFonts w:cs="Arial"/>
                <w:lang w:eastAsia="en-US"/>
              </w:rPr>
            </w:pPr>
            <w:r w:rsidRPr="00C9343F">
              <w:rPr>
                <w:rFonts w:cs="Arial"/>
                <w:lang w:eastAsia="en-US"/>
              </w:rPr>
              <w:t>a.</w:t>
            </w:r>
          </w:p>
        </w:tc>
        <w:tc>
          <w:tcPr>
            <w:tcW w:w="7806" w:type="dxa"/>
            <w:gridSpan w:val="2"/>
            <w:hideMark/>
          </w:tcPr>
          <w:p w14:paraId="730E72D3" w14:textId="77777777" w:rsidR="00626BBB" w:rsidRPr="00C9343F" w:rsidRDefault="00626BBB" w:rsidP="00445FEB">
            <w:pPr>
              <w:pStyle w:val="Default"/>
              <w:spacing w:after="240" w:line="276" w:lineRule="auto"/>
            </w:pPr>
            <w:r w:rsidRPr="00C9343F">
              <w:t>The day after the senior officer ceases to hold one of the following appointments or positions.</w:t>
            </w:r>
          </w:p>
        </w:tc>
      </w:tr>
      <w:tr w:rsidR="00626BBB" w:rsidRPr="00C9343F" w14:paraId="3FD50D40" w14:textId="77777777" w:rsidTr="00445FEB">
        <w:tc>
          <w:tcPr>
            <w:tcW w:w="995" w:type="dxa"/>
          </w:tcPr>
          <w:p w14:paraId="289208B8" w14:textId="77777777" w:rsidR="00626BBB" w:rsidRPr="00C9343F" w:rsidRDefault="00626BBB" w:rsidP="00445FEB">
            <w:pPr>
              <w:pStyle w:val="Sectiontext0"/>
              <w:spacing w:line="276" w:lineRule="auto"/>
              <w:jc w:val="center"/>
              <w:rPr>
                <w:lang w:eastAsia="en-US"/>
              </w:rPr>
            </w:pPr>
          </w:p>
        </w:tc>
        <w:tc>
          <w:tcPr>
            <w:tcW w:w="563" w:type="dxa"/>
          </w:tcPr>
          <w:p w14:paraId="05655583" w14:textId="77777777" w:rsidR="00626BBB" w:rsidRPr="00C9343F" w:rsidRDefault="00626BBB" w:rsidP="00445FEB">
            <w:pPr>
              <w:pStyle w:val="Sectiontext0"/>
              <w:spacing w:line="276" w:lineRule="auto"/>
              <w:rPr>
                <w:rFonts w:cs="Arial"/>
                <w:iCs/>
                <w:lang w:eastAsia="en-US"/>
              </w:rPr>
            </w:pPr>
          </w:p>
        </w:tc>
        <w:tc>
          <w:tcPr>
            <w:tcW w:w="567" w:type="dxa"/>
            <w:hideMark/>
          </w:tcPr>
          <w:p w14:paraId="1B8E2DD3" w14:textId="77777777" w:rsidR="00626BBB" w:rsidRPr="00C9343F" w:rsidRDefault="00626BBB" w:rsidP="00E62EB5">
            <w:pPr>
              <w:pStyle w:val="Sectiontext0"/>
              <w:spacing w:line="276" w:lineRule="auto"/>
              <w:rPr>
                <w:rFonts w:cs="Arial"/>
                <w:iCs/>
                <w:lang w:eastAsia="en-US"/>
              </w:rPr>
            </w:pPr>
            <w:r w:rsidRPr="00C9343F">
              <w:rPr>
                <w:rFonts w:cs="Arial"/>
                <w:iCs/>
                <w:lang w:eastAsia="en-US"/>
              </w:rPr>
              <w:t>i.</w:t>
            </w:r>
          </w:p>
        </w:tc>
        <w:tc>
          <w:tcPr>
            <w:tcW w:w="7239" w:type="dxa"/>
            <w:hideMark/>
          </w:tcPr>
          <w:p w14:paraId="3880CA13" w14:textId="77777777" w:rsidR="00626BBB" w:rsidRPr="00C9343F" w:rsidRDefault="00626BBB" w:rsidP="00445FEB">
            <w:pPr>
              <w:pStyle w:val="Sectiontext0"/>
              <w:spacing w:line="276" w:lineRule="auto"/>
              <w:rPr>
                <w:rFonts w:cs="Arial"/>
                <w:iCs/>
                <w:lang w:eastAsia="en-US"/>
              </w:rPr>
            </w:pPr>
            <w:r w:rsidRPr="00C9343F">
              <w:rPr>
                <w:rFonts w:cs="Arial"/>
                <w:iCs/>
                <w:lang w:eastAsia="en-US"/>
              </w:rPr>
              <w:t>Chief of the Defence Force.</w:t>
            </w:r>
          </w:p>
        </w:tc>
      </w:tr>
      <w:tr w:rsidR="00626BBB" w:rsidRPr="00C9343F" w14:paraId="6E53F826" w14:textId="77777777" w:rsidTr="00445FEB">
        <w:tc>
          <w:tcPr>
            <w:tcW w:w="995" w:type="dxa"/>
          </w:tcPr>
          <w:p w14:paraId="6B6A1BA0" w14:textId="77777777" w:rsidR="00626BBB" w:rsidRPr="00C9343F" w:rsidRDefault="00626BBB" w:rsidP="00445FEB">
            <w:pPr>
              <w:pStyle w:val="Sectiontext0"/>
              <w:spacing w:line="276" w:lineRule="auto"/>
              <w:jc w:val="center"/>
              <w:rPr>
                <w:lang w:eastAsia="en-US"/>
              </w:rPr>
            </w:pPr>
          </w:p>
        </w:tc>
        <w:tc>
          <w:tcPr>
            <w:tcW w:w="563" w:type="dxa"/>
          </w:tcPr>
          <w:p w14:paraId="60B2BEFC" w14:textId="77777777" w:rsidR="00626BBB" w:rsidRPr="00C9343F" w:rsidRDefault="00626BBB" w:rsidP="00445FEB">
            <w:pPr>
              <w:pStyle w:val="Sectiontext0"/>
              <w:spacing w:line="276" w:lineRule="auto"/>
              <w:rPr>
                <w:rFonts w:cs="Arial"/>
                <w:iCs/>
                <w:lang w:eastAsia="en-US"/>
              </w:rPr>
            </w:pPr>
          </w:p>
        </w:tc>
        <w:tc>
          <w:tcPr>
            <w:tcW w:w="567" w:type="dxa"/>
            <w:hideMark/>
          </w:tcPr>
          <w:p w14:paraId="4455BF1C" w14:textId="77777777" w:rsidR="00626BBB" w:rsidRPr="00C9343F" w:rsidRDefault="00626BBB" w:rsidP="00E62EB5">
            <w:pPr>
              <w:pStyle w:val="Sectiontext0"/>
              <w:spacing w:line="276" w:lineRule="auto"/>
              <w:rPr>
                <w:rFonts w:cs="Arial"/>
                <w:iCs/>
                <w:lang w:eastAsia="en-US"/>
              </w:rPr>
            </w:pPr>
            <w:r w:rsidRPr="00C9343F">
              <w:rPr>
                <w:rFonts w:cs="Arial"/>
                <w:iCs/>
                <w:lang w:eastAsia="en-US"/>
              </w:rPr>
              <w:t>ii.</w:t>
            </w:r>
          </w:p>
        </w:tc>
        <w:tc>
          <w:tcPr>
            <w:tcW w:w="7239" w:type="dxa"/>
            <w:hideMark/>
          </w:tcPr>
          <w:p w14:paraId="28916ECA" w14:textId="77777777" w:rsidR="00626BBB" w:rsidRPr="00C9343F" w:rsidRDefault="00626BBB" w:rsidP="00445FEB">
            <w:pPr>
              <w:pStyle w:val="Sectiontext0"/>
              <w:spacing w:line="276" w:lineRule="auto"/>
              <w:rPr>
                <w:rFonts w:cs="Arial"/>
                <w:iCs/>
                <w:lang w:eastAsia="en-US"/>
              </w:rPr>
            </w:pPr>
            <w:r w:rsidRPr="00C9343F">
              <w:rPr>
                <w:rFonts w:cs="Arial"/>
                <w:iCs/>
                <w:lang w:eastAsia="en-US"/>
              </w:rPr>
              <w:t>Vice Chief of the Defence Force.</w:t>
            </w:r>
          </w:p>
        </w:tc>
      </w:tr>
      <w:tr w:rsidR="00626BBB" w:rsidRPr="00C9343F" w14:paraId="7222AF7A" w14:textId="77777777" w:rsidTr="00445FEB">
        <w:tc>
          <w:tcPr>
            <w:tcW w:w="995" w:type="dxa"/>
          </w:tcPr>
          <w:p w14:paraId="2663AF8F" w14:textId="77777777" w:rsidR="00626BBB" w:rsidRPr="00C9343F" w:rsidRDefault="00626BBB" w:rsidP="00445FEB">
            <w:pPr>
              <w:pStyle w:val="Sectiontext0"/>
              <w:spacing w:line="276" w:lineRule="auto"/>
              <w:jc w:val="center"/>
              <w:rPr>
                <w:lang w:eastAsia="en-US"/>
              </w:rPr>
            </w:pPr>
          </w:p>
        </w:tc>
        <w:tc>
          <w:tcPr>
            <w:tcW w:w="563" w:type="dxa"/>
          </w:tcPr>
          <w:p w14:paraId="5952CE33" w14:textId="77777777" w:rsidR="00626BBB" w:rsidRPr="00C9343F" w:rsidRDefault="00626BBB" w:rsidP="00445FEB">
            <w:pPr>
              <w:pStyle w:val="Sectiontext0"/>
              <w:spacing w:line="276" w:lineRule="auto"/>
              <w:rPr>
                <w:rFonts w:cs="Arial"/>
                <w:iCs/>
                <w:lang w:eastAsia="en-US"/>
              </w:rPr>
            </w:pPr>
          </w:p>
        </w:tc>
        <w:tc>
          <w:tcPr>
            <w:tcW w:w="567" w:type="dxa"/>
            <w:hideMark/>
          </w:tcPr>
          <w:p w14:paraId="58BD5EC8" w14:textId="77777777" w:rsidR="00626BBB" w:rsidRPr="00C9343F" w:rsidRDefault="00626BBB" w:rsidP="00E62EB5">
            <w:pPr>
              <w:pStyle w:val="Sectiontext0"/>
              <w:spacing w:line="276" w:lineRule="auto"/>
              <w:rPr>
                <w:rFonts w:cs="Arial"/>
                <w:iCs/>
                <w:lang w:eastAsia="en-US"/>
              </w:rPr>
            </w:pPr>
            <w:r w:rsidRPr="00C9343F">
              <w:rPr>
                <w:rFonts w:cs="Arial"/>
                <w:iCs/>
                <w:lang w:eastAsia="en-US"/>
              </w:rPr>
              <w:t>iii.</w:t>
            </w:r>
          </w:p>
        </w:tc>
        <w:tc>
          <w:tcPr>
            <w:tcW w:w="7239" w:type="dxa"/>
            <w:hideMark/>
          </w:tcPr>
          <w:p w14:paraId="73E9F9D7" w14:textId="77777777" w:rsidR="00626BBB" w:rsidRPr="00C9343F" w:rsidRDefault="00626BBB" w:rsidP="00445FEB">
            <w:pPr>
              <w:pStyle w:val="Sectiontext0"/>
              <w:spacing w:line="276" w:lineRule="auto"/>
              <w:rPr>
                <w:rFonts w:cs="Arial"/>
                <w:iCs/>
                <w:lang w:eastAsia="en-US"/>
              </w:rPr>
            </w:pPr>
            <w:r w:rsidRPr="00C9343F">
              <w:rPr>
                <w:rFonts w:cs="Arial"/>
                <w:iCs/>
                <w:lang w:eastAsia="en-US"/>
              </w:rPr>
              <w:t>Service Chief.</w:t>
            </w:r>
          </w:p>
        </w:tc>
      </w:tr>
      <w:tr w:rsidR="00626BBB" w:rsidRPr="00C9343F" w14:paraId="10504FA2" w14:textId="77777777" w:rsidTr="00445FEB">
        <w:tc>
          <w:tcPr>
            <w:tcW w:w="995" w:type="dxa"/>
          </w:tcPr>
          <w:p w14:paraId="37B2DD9F" w14:textId="77777777" w:rsidR="00626BBB" w:rsidRPr="00C9343F" w:rsidRDefault="00626BBB" w:rsidP="00445FEB">
            <w:pPr>
              <w:pStyle w:val="Sectiontext0"/>
              <w:spacing w:line="276" w:lineRule="auto"/>
              <w:jc w:val="center"/>
              <w:rPr>
                <w:lang w:eastAsia="en-US"/>
              </w:rPr>
            </w:pPr>
          </w:p>
        </w:tc>
        <w:tc>
          <w:tcPr>
            <w:tcW w:w="563" w:type="dxa"/>
          </w:tcPr>
          <w:p w14:paraId="63ECF1CE" w14:textId="77777777" w:rsidR="00626BBB" w:rsidRPr="00C9343F" w:rsidRDefault="00626BBB" w:rsidP="00445FEB">
            <w:pPr>
              <w:pStyle w:val="Sectiontext0"/>
              <w:spacing w:line="276" w:lineRule="auto"/>
              <w:rPr>
                <w:rFonts w:cs="Arial"/>
                <w:iCs/>
                <w:lang w:eastAsia="en-US"/>
              </w:rPr>
            </w:pPr>
          </w:p>
        </w:tc>
        <w:tc>
          <w:tcPr>
            <w:tcW w:w="567" w:type="dxa"/>
            <w:hideMark/>
          </w:tcPr>
          <w:p w14:paraId="14054BE6" w14:textId="77777777" w:rsidR="00626BBB" w:rsidRPr="00C9343F" w:rsidRDefault="00626BBB" w:rsidP="00445FEB">
            <w:pPr>
              <w:pStyle w:val="Sectiontext0"/>
              <w:spacing w:line="276" w:lineRule="auto"/>
              <w:jc w:val="center"/>
              <w:rPr>
                <w:rFonts w:cs="Arial"/>
                <w:iCs/>
                <w:lang w:eastAsia="en-US"/>
              </w:rPr>
            </w:pPr>
            <w:r w:rsidRPr="00C9343F">
              <w:rPr>
                <w:rFonts w:cs="Arial"/>
                <w:iCs/>
                <w:lang w:eastAsia="en-US"/>
              </w:rPr>
              <w:t>iv.</w:t>
            </w:r>
          </w:p>
        </w:tc>
        <w:tc>
          <w:tcPr>
            <w:tcW w:w="7239" w:type="dxa"/>
            <w:hideMark/>
          </w:tcPr>
          <w:p w14:paraId="2A3D64C9" w14:textId="77777777" w:rsidR="00626BBB" w:rsidRPr="00C9343F" w:rsidRDefault="00626BBB" w:rsidP="00445FEB">
            <w:pPr>
              <w:pStyle w:val="Sectiontext0"/>
              <w:spacing w:line="276" w:lineRule="auto"/>
              <w:rPr>
                <w:rFonts w:cs="Arial"/>
                <w:iCs/>
                <w:lang w:eastAsia="en-US"/>
              </w:rPr>
            </w:pPr>
            <w:r w:rsidRPr="00C9343F">
              <w:rPr>
                <w:rFonts w:cs="Arial"/>
                <w:iCs/>
                <w:lang w:eastAsia="en-US"/>
              </w:rPr>
              <w:t>Chief of Joint Operations.</w:t>
            </w:r>
          </w:p>
        </w:tc>
      </w:tr>
      <w:tr w:rsidR="00626BBB" w:rsidRPr="00C9343F" w14:paraId="5F9472B4" w14:textId="77777777" w:rsidTr="00445FEB">
        <w:tc>
          <w:tcPr>
            <w:tcW w:w="995" w:type="dxa"/>
          </w:tcPr>
          <w:p w14:paraId="740BC0CE" w14:textId="77777777" w:rsidR="00626BBB" w:rsidRPr="00C9343F" w:rsidRDefault="00626BBB" w:rsidP="00445FEB">
            <w:pPr>
              <w:pStyle w:val="Sectiontext0"/>
              <w:spacing w:line="276" w:lineRule="auto"/>
              <w:jc w:val="center"/>
              <w:rPr>
                <w:lang w:eastAsia="en-US"/>
              </w:rPr>
            </w:pPr>
          </w:p>
        </w:tc>
        <w:tc>
          <w:tcPr>
            <w:tcW w:w="563" w:type="dxa"/>
            <w:hideMark/>
          </w:tcPr>
          <w:p w14:paraId="01F09F91" w14:textId="77777777" w:rsidR="00626BBB" w:rsidRPr="00C9343F" w:rsidRDefault="00626BBB" w:rsidP="00445FEB">
            <w:pPr>
              <w:pStyle w:val="Sectiontext0"/>
              <w:spacing w:line="276" w:lineRule="auto"/>
              <w:jc w:val="center"/>
              <w:rPr>
                <w:rFonts w:cs="Arial"/>
                <w:lang w:eastAsia="en-US"/>
              </w:rPr>
            </w:pPr>
            <w:r w:rsidRPr="00C9343F">
              <w:rPr>
                <w:rFonts w:cs="Arial"/>
                <w:lang w:eastAsia="en-US"/>
              </w:rPr>
              <w:t>b.</w:t>
            </w:r>
          </w:p>
        </w:tc>
        <w:tc>
          <w:tcPr>
            <w:tcW w:w="7806" w:type="dxa"/>
            <w:gridSpan w:val="2"/>
            <w:hideMark/>
          </w:tcPr>
          <w:p w14:paraId="0726338E" w14:textId="77777777" w:rsidR="00626BBB" w:rsidRPr="00C9343F" w:rsidRDefault="00626BBB" w:rsidP="00445FEB">
            <w:pPr>
              <w:pStyle w:val="Default"/>
              <w:spacing w:after="240" w:line="276" w:lineRule="auto"/>
            </w:pPr>
            <w:r w:rsidRPr="00C9343F">
              <w:t xml:space="preserve">The day before the senior officer becomes a senior officer who transitioned. </w:t>
            </w:r>
          </w:p>
        </w:tc>
      </w:tr>
    </w:tbl>
    <w:p w14:paraId="158B59E2" w14:textId="2AA1DCFB" w:rsidR="008B4402" w:rsidRPr="00C9343F" w:rsidRDefault="008B4402" w:rsidP="00133B37">
      <w:pPr>
        <w:pStyle w:val="Heading5"/>
      </w:pPr>
      <w:bookmarkStart w:id="1254" w:name="_Toc105053951"/>
      <w:r w:rsidRPr="00C9343F">
        <w:t>5.1.2</w:t>
      </w:r>
      <w:r w:rsidR="00D94006" w:rsidRPr="00C9343F">
        <w:t>    </w:t>
      </w:r>
      <w:r w:rsidRPr="00C9343F">
        <w:t>Leave – overview</w:t>
      </w:r>
      <w:bookmarkEnd w:id="1254"/>
    </w:p>
    <w:tbl>
      <w:tblPr>
        <w:tblW w:w="0" w:type="auto"/>
        <w:tblInd w:w="113" w:type="dxa"/>
        <w:tblLayout w:type="fixed"/>
        <w:tblLook w:val="0000" w:firstRow="0" w:lastRow="0" w:firstColumn="0" w:lastColumn="0" w:noHBand="0" w:noVBand="0"/>
      </w:tblPr>
      <w:tblGrid>
        <w:gridCol w:w="992"/>
        <w:gridCol w:w="8363"/>
      </w:tblGrid>
      <w:tr w:rsidR="008B4402" w:rsidRPr="00C9343F" w14:paraId="2A107DE7" w14:textId="77777777" w:rsidTr="008B4402">
        <w:tc>
          <w:tcPr>
            <w:tcW w:w="992" w:type="dxa"/>
          </w:tcPr>
          <w:bookmarkEnd w:id="1249"/>
          <w:bookmarkEnd w:id="1250"/>
          <w:bookmarkEnd w:id="1251"/>
          <w:bookmarkEnd w:id="1252"/>
          <w:bookmarkEnd w:id="1253"/>
          <w:p w14:paraId="1E04000E" w14:textId="77777777" w:rsidR="008B4402" w:rsidRPr="00C9343F" w:rsidRDefault="008B4402" w:rsidP="00133B37">
            <w:pPr>
              <w:pStyle w:val="BlockText-Plain"/>
              <w:keepNext/>
              <w:keepLines/>
              <w:jc w:val="center"/>
            </w:pPr>
            <w:r w:rsidRPr="00C9343F">
              <w:t>1.</w:t>
            </w:r>
          </w:p>
        </w:tc>
        <w:tc>
          <w:tcPr>
            <w:tcW w:w="8363" w:type="dxa"/>
          </w:tcPr>
          <w:p w14:paraId="1A82E178" w14:textId="77777777" w:rsidR="008B4402" w:rsidRPr="00C9343F" w:rsidRDefault="008B4402" w:rsidP="00133B37">
            <w:pPr>
              <w:pStyle w:val="BlockText-Plain"/>
              <w:keepNext/>
              <w:keepLines/>
            </w:pPr>
            <w:r w:rsidRPr="00C9343F">
              <w:t>Each type of leave has conditions that accompany it, and these are described later in this Chapter.</w:t>
            </w:r>
          </w:p>
        </w:tc>
      </w:tr>
      <w:tr w:rsidR="008B4402" w:rsidRPr="00C9343F" w14:paraId="7800015C" w14:textId="77777777" w:rsidTr="008B4402">
        <w:tc>
          <w:tcPr>
            <w:tcW w:w="992" w:type="dxa"/>
          </w:tcPr>
          <w:p w14:paraId="55BAE16E" w14:textId="77777777" w:rsidR="008B4402" w:rsidRPr="00C9343F" w:rsidRDefault="008B4402" w:rsidP="00133B37">
            <w:pPr>
              <w:pStyle w:val="BlockText-Plain"/>
              <w:keepNext/>
              <w:keepLines/>
              <w:jc w:val="center"/>
            </w:pPr>
            <w:r w:rsidRPr="00C9343F">
              <w:t>2.</w:t>
            </w:r>
          </w:p>
        </w:tc>
        <w:tc>
          <w:tcPr>
            <w:tcW w:w="8363" w:type="dxa"/>
          </w:tcPr>
          <w:p w14:paraId="78B5F835" w14:textId="77E7143A" w:rsidR="008B4402" w:rsidRPr="00C9343F" w:rsidRDefault="008B4402" w:rsidP="00133B37">
            <w:pPr>
              <w:pStyle w:val="BlockText-Plain"/>
              <w:keepNext/>
              <w:keepLines/>
            </w:pPr>
            <w:r w:rsidRPr="00C9343F">
              <w:t>Some leave accrues to a member in return for performing eligible service. Once earned it must be credited to the member, and cannot be removed by the ADF unless this Chapter allows for it. Members may apply for leave at any time, and approving authorities may grant or refuse it. On ceasing continuous full-time service, some leave types provide that any leave not taken (that has not lapsed) will be paid out.</w:t>
            </w:r>
          </w:p>
        </w:tc>
      </w:tr>
      <w:tr w:rsidR="008B4402" w:rsidRPr="00C9343F" w14:paraId="1DA59000" w14:textId="77777777" w:rsidTr="008B4402">
        <w:tc>
          <w:tcPr>
            <w:tcW w:w="992" w:type="dxa"/>
          </w:tcPr>
          <w:p w14:paraId="33412D38" w14:textId="77777777" w:rsidR="008B4402" w:rsidRPr="00C9343F" w:rsidRDefault="008B4402" w:rsidP="00F66D98">
            <w:pPr>
              <w:pStyle w:val="BlockText-Plain"/>
              <w:jc w:val="center"/>
            </w:pPr>
            <w:r w:rsidRPr="00C9343F">
              <w:t>3.</w:t>
            </w:r>
          </w:p>
        </w:tc>
        <w:tc>
          <w:tcPr>
            <w:tcW w:w="8363" w:type="dxa"/>
          </w:tcPr>
          <w:p w14:paraId="66708E7D" w14:textId="77777777" w:rsidR="008B4402" w:rsidRPr="00C9343F" w:rsidRDefault="008B4402" w:rsidP="00F66D98">
            <w:pPr>
              <w:pStyle w:val="BlockText-Plain"/>
            </w:pPr>
            <w:r w:rsidRPr="00C9343F">
              <w:t xml:space="preserve">Other leave types only apply when the member meets some qualifying criteria. A member who meets the criteria may be granted the leave, but may also be refused. If refused, there is no right to take it at a later time. A later application will be assessed on its merits. </w:t>
            </w:r>
          </w:p>
          <w:p w14:paraId="2301F876" w14:textId="77777777" w:rsidR="008B4402" w:rsidRPr="00C9343F" w:rsidRDefault="008B4402" w:rsidP="00F66D98">
            <w:pPr>
              <w:pStyle w:val="BlockText-Plain"/>
            </w:pPr>
            <w:r w:rsidRPr="00C9343F">
              <w:rPr>
                <w:b/>
              </w:rPr>
              <w:t>Exception:</w:t>
            </w:r>
            <w:r w:rsidRPr="00C9343F">
              <w:t xml:space="preserve"> Maternity leave is the only form of leave that cannot be refused.</w:t>
            </w:r>
          </w:p>
        </w:tc>
      </w:tr>
      <w:tr w:rsidR="008B4402" w:rsidRPr="00C9343F" w14:paraId="1B3F79ED" w14:textId="77777777" w:rsidTr="008B4402">
        <w:tc>
          <w:tcPr>
            <w:tcW w:w="992" w:type="dxa"/>
          </w:tcPr>
          <w:p w14:paraId="73920E43" w14:textId="77777777" w:rsidR="008B4402" w:rsidRPr="00C9343F" w:rsidRDefault="008B4402" w:rsidP="00F66D98">
            <w:pPr>
              <w:pStyle w:val="BlockText-Plain"/>
              <w:jc w:val="center"/>
            </w:pPr>
            <w:r w:rsidRPr="00C9343F">
              <w:t>4.</w:t>
            </w:r>
          </w:p>
        </w:tc>
        <w:tc>
          <w:tcPr>
            <w:tcW w:w="8363" w:type="dxa"/>
          </w:tcPr>
          <w:p w14:paraId="61ABEA11" w14:textId="462B5D82" w:rsidR="008B4402" w:rsidRPr="00C9343F" w:rsidRDefault="008B4402" w:rsidP="00F66D98">
            <w:pPr>
              <w:pStyle w:val="BlockText-Plain"/>
            </w:pPr>
            <w:r w:rsidRPr="00C9343F">
              <w:t>Other forms of absence are not an entitlement. They do not accrue and are granted solely at management discretion.</w:t>
            </w:r>
          </w:p>
        </w:tc>
      </w:tr>
    </w:tbl>
    <w:p w14:paraId="7BFAD59F" w14:textId="53A54944" w:rsidR="008B4402" w:rsidRPr="00C9343F" w:rsidRDefault="00D65E18" w:rsidP="00AB3D72">
      <w:pPr>
        <w:pStyle w:val="Heading3"/>
        <w:pageBreakBefore/>
      </w:pPr>
      <w:bookmarkStart w:id="1255" w:name="_Toc105053952"/>
      <w:r w:rsidRPr="00C9343F">
        <w:t>Part 2: Leave for</w:t>
      </w:r>
      <w:r w:rsidR="008B4402" w:rsidRPr="00C9343F">
        <w:t xml:space="preserve"> travel</w:t>
      </w:r>
      <w:r w:rsidRPr="00C9343F">
        <w:t xml:space="preserve"> </w:t>
      </w:r>
      <w:r w:rsidRPr="00C9343F">
        <w:rPr>
          <w:bCs/>
        </w:rPr>
        <w:t>to restricted destinations</w:t>
      </w:r>
      <w:bookmarkEnd w:id="1255"/>
    </w:p>
    <w:p w14:paraId="60E2424D" w14:textId="52BC3222" w:rsidR="00E14962" w:rsidRPr="00C9343F" w:rsidRDefault="00E14962" w:rsidP="00F66D98">
      <w:pPr>
        <w:pStyle w:val="Heading5"/>
      </w:pPr>
      <w:bookmarkStart w:id="1256" w:name="_Toc105053953"/>
      <w:r w:rsidRPr="00C9343F">
        <w:t>5.2.1</w:t>
      </w:r>
      <w:r w:rsidR="00D94006" w:rsidRPr="00C9343F">
        <w:t>    </w:t>
      </w:r>
      <w:r w:rsidRPr="00C9343F">
        <w:t>Purpose</w:t>
      </w:r>
      <w:bookmarkEnd w:id="1256"/>
    </w:p>
    <w:tbl>
      <w:tblPr>
        <w:tblW w:w="9359" w:type="dxa"/>
        <w:tblInd w:w="113" w:type="dxa"/>
        <w:tblLayout w:type="fixed"/>
        <w:tblLook w:val="04A0" w:firstRow="1" w:lastRow="0" w:firstColumn="1" w:lastColumn="0" w:noHBand="0" w:noVBand="1"/>
      </w:tblPr>
      <w:tblGrid>
        <w:gridCol w:w="992"/>
        <w:gridCol w:w="8367"/>
      </w:tblGrid>
      <w:tr w:rsidR="00E14962" w:rsidRPr="00C9343F" w14:paraId="68E46A68" w14:textId="77777777" w:rsidTr="00AA28FC">
        <w:tc>
          <w:tcPr>
            <w:tcW w:w="992" w:type="dxa"/>
          </w:tcPr>
          <w:p w14:paraId="63166275" w14:textId="77777777" w:rsidR="00E14962" w:rsidRPr="00C9343F" w:rsidRDefault="00E14962" w:rsidP="00F66D98">
            <w:pPr>
              <w:pStyle w:val="Sectiontext0"/>
              <w:jc w:val="center"/>
              <w:rPr>
                <w:lang w:eastAsia="en-US"/>
              </w:rPr>
            </w:pPr>
          </w:p>
        </w:tc>
        <w:tc>
          <w:tcPr>
            <w:tcW w:w="8367" w:type="dxa"/>
          </w:tcPr>
          <w:p w14:paraId="6CCBFE37" w14:textId="77777777" w:rsidR="00E14962" w:rsidRPr="00C9343F" w:rsidRDefault="00E14962" w:rsidP="00F66D98">
            <w:pPr>
              <w:pStyle w:val="Sectiontext0"/>
              <w:rPr>
                <w:rFonts w:cs="Arial"/>
                <w:lang w:eastAsia="en-US"/>
              </w:rPr>
            </w:pPr>
            <w:r w:rsidRPr="00C9343F">
              <w:t>This Part specifies the restrictions on the granting of leave for members who travel to restricted destinations and the consequences of travelling to a restricted destination while on approved leave.</w:t>
            </w:r>
          </w:p>
        </w:tc>
      </w:tr>
    </w:tbl>
    <w:p w14:paraId="1DD2FD50" w14:textId="32B64DE4" w:rsidR="00E14962" w:rsidRPr="00C9343F" w:rsidRDefault="00E14962" w:rsidP="00F66D98">
      <w:pPr>
        <w:pStyle w:val="Heading5"/>
      </w:pPr>
      <w:bookmarkStart w:id="1257" w:name="_Toc105053954"/>
      <w:r w:rsidRPr="00C9343F">
        <w:t>5.2.2</w:t>
      </w:r>
      <w:r w:rsidR="00D94006" w:rsidRPr="00C9343F">
        <w:t>    </w:t>
      </w:r>
      <w:r w:rsidRPr="00C9343F">
        <w:t>Member this Part applies to</w:t>
      </w:r>
      <w:bookmarkEnd w:id="1257"/>
    </w:p>
    <w:tbl>
      <w:tblPr>
        <w:tblW w:w="9359" w:type="dxa"/>
        <w:tblInd w:w="113" w:type="dxa"/>
        <w:tblLayout w:type="fixed"/>
        <w:tblLook w:val="0000" w:firstRow="0" w:lastRow="0" w:firstColumn="0" w:lastColumn="0" w:noHBand="0" w:noVBand="0"/>
      </w:tblPr>
      <w:tblGrid>
        <w:gridCol w:w="992"/>
        <w:gridCol w:w="563"/>
        <w:gridCol w:w="7804"/>
      </w:tblGrid>
      <w:tr w:rsidR="00E14962" w:rsidRPr="00C9343F" w14:paraId="549E0B56" w14:textId="77777777" w:rsidTr="00AA28FC">
        <w:tc>
          <w:tcPr>
            <w:tcW w:w="992" w:type="dxa"/>
          </w:tcPr>
          <w:p w14:paraId="424C9E42" w14:textId="77777777" w:rsidR="00E14962" w:rsidRPr="00C9343F" w:rsidRDefault="00E14962" w:rsidP="00F66D98">
            <w:pPr>
              <w:pStyle w:val="Sectiontext0"/>
            </w:pPr>
          </w:p>
        </w:tc>
        <w:tc>
          <w:tcPr>
            <w:tcW w:w="8367" w:type="dxa"/>
            <w:gridSpan w:val="2"/>
          </w:tcPr>
          <w:p w14:paraId="10602CA9" w14:textId="77777777" w:rsidR="00E14962" w:rsidRPr="00C9343F" w:rsidRDefault="00E14962" w:rsidP="00F66D98">
            <w:pPr>
              <w:pStyle w:val="Sectiontext0"/>
            </w:pPr>
            <w:r w:rsidRPr="00C9343F">
              <w:t>This Part applies to members who have applied, or have been approved, for any of the following types of leave.</w:t>
            </w:r>
          </w:p>
        </w:tc>
      </w:tr>
      <w:tr w:rsidR="00E14962" w:rsidRPr="00C9343F" w14:paraId="68DB7073" w14:textId="77777777" w:rsidTr="00AA28FC">
        <w:tblPrEx>
          <w:tblLook w:val="04A0" w:firstRow="1" w:lastRow="0" w:firstColumn="1" w:lastColumn="0" w:noHBand="0" w:noVBand="1"/>
        </w:tblPrEx>
        <w:tc>
          <w:tcPr>
            <w:tcW w:w="992" w:type="dxa"/>
          </w:tcPr>
          <w:p w14:paraId="4E25C812" w14:textId="77777777" w:rsidR="00E14962" w:rsidRPr="00C9343F" w:rsidRDefault="00E14962" w:rsidP="00F66D98">
            <w:pPr>
              <w:pStyle w:val="Sectiontext0"/>
              <w:jc w:val="center"/>
              <w:rPr>
                <w:lang w:eastAsia="en-US"/>
              </w:rPr>
            </w:pPr>
          </w:p>
        </w:tc>
        <w:tc>
          <w:tcPr>
            <w:tcW w:w="563" w:type="dxa"/>
            <w:hideMark/>
          </w:tcPr>
          <w:p w14:paraId="1A792E9C" w14:textId="77777777" w:rsidR="00E14962" w:rsidRPr="00C9343F" w:rsidRDefault="00E14962" w:rsidP="008D1B5D">
            <w:pPr>
              <w:pStyle w:val="Sectiontext0"/>
              <w:jc w:val="center"/>
              <w:rPr>
                <w:rFonts w:cs="Arial"/>
                <w:lang w:eastAsia="en-US"/>
              </w:rPr>
            </w:pPr>
            <w:r w:rsidRPr="00C9343F">
              <w:rPr>
                <w:rFonts w:cs="Arial"/>
                <w:lang w:eastAsia="en-US"/>
              </w:rPr>
              <w:t>a.</w:t>
            </w:r>
          </w:p>
        </w:tc>
        <w:tc>
          <w:tcPr>
            <w:tcW w:w="7804" w:type="dxa"/>
          </w:tcPr>
          <w:p w14:paraId="35FDE8DF" w14:textId="77777777" w:rsidR="00E14962" w:rsidRPr="00C9343F" w:rsidRDefault="00E14962" w:rsidP="00F66D98">
            <w:pPr>
              <w:pStyle w:val="Sectiontext0"/>
              <w:rPr>
                <w:rFonts w:cs="Arial"/>
                <w:lang w:eastAsia="en-US"/>
              </w:rPr>
            </w:pPr>
            <w:r w:rsidRPr="00C9343F">
              <w:t>Recreation leave.</w:t>
            </w:r>
          </w:p>
        </w:tc>
      </w:tr>
      <w:tr w:rsidR="00E14962" w:rsidRPr="00C9343F" w14:paraId="395F29D3" w14:textId="77777777" w:rsidTr="00AA28FC">
        <w:tblPrEx>
          <w:tblLook w:val="04A0" w:firstRow="1" w:lastRow="0" w:firstColumn="1" w:lastColumn="0" w:noHBand="0" w:noVBand="1"/>
        </w:tblPrEx>
        <w:tc>
          <w:tcPr>
            <w:tcW w:w="992" w:type="dxa"/>
          </w:tcPr>
          <w:p w14:paraId="4575E9E2" w14:textId="77777777" w:rsidR="00E14962" w:rsidRPr="00C9343F" w:rsidRDefault="00E14962" w:rsidP="00F66D98">
            <w:pPr>
              <w:pStyle w:val="Sectiontext0"/>
              <w:jc w:val="center"/>
              <w:rPr>
                <w:lang w:eastAsia="en-US"/>
              </w:rPr>
            </w:pPr>
          </w:p>
        </w:tc>
        <w:tc>
          <w:tcPr>
            <w:tcW w:w="563" w:type="dxa"/>
          </w:tcPr>
          <w:p w14:paraId="579A517A" w14:textId="77777777" w:rsidR="00E14962" w:rsidRPr="00C9343F" w:rsidRDefault="00E14962" w:rsidP="008D1B5D">
            <w:pPr>
              <w:pStyle w:val="Sectiontext0"/>
              <w:jc w:val="center"/>
              <w:rPr>
                <w:rFonts w:cs="Arial"/>
                <w:lang w:eastAsia="en-US"/>
              </w:rPr>
            </w:pPr>
            <w:r w:rsidRPr="00C9343F">
              <w:rPr>
                <w:rFonts w:cs="Arial"/>
                <w:lang w:eastAsia="en-US"/>
              </w:rPr>
              <w:t>b.</w:t>
            </w:r>
          </w:p>
        </w:tc>
        <w:tc>
          <w:tcPr>
            <w:tcW w:w="7804" w:type="dxa"/>
          </w:tcPr>
          <w:p w14:paraId="56348F02" w14:textId="77777777" w:rsidR="00E14962" w:rsidRPr="00C9343F" w:rsidRDefault="00E14962" w:rsidP="00F66D98">
            <w:pPr>
              <w:pStyle w:val="Sectiontext0"/>
            </w:pPr>
            <w:r w:rsidRPr="00C9343F">
              <w:t>Long service leave.</w:t>
            </w:r>
          </w:p>
        </w:tc>
      </w:tr>
      <w:tr w:rsidR="00E14962" w:rsidRPr="00C9343F" w14:paraId="6B381439" w14:textId="77777777" w:rsidTr="00AA28FC">
        <w:tblPrEx>
          <w:tblLook w:val="04A0" w:firstRow="1" w:lastRow="0" w:firstColumn="1" w:lastColumn="0" w:noHBand="0" w:noVBand="1"/>
        </w:tblPrEx>
        <w:tc>
          <w:tcPr>
            <w:tcW w:w="992" w:type="dxa"/>
          </w:tcPr>
          <w:p w14:paraId="12D46549" w14:textId="77777777" w:rsidR="00E14962" w:rsidRPr="00C9343F" w:rsidRDefault="00E14962" w:rsidP="00F66D98">
            <w:pPr>
              <w:pStyle w:val="Sectiontext0"/>
              <w:jc w:val="center"/>
              <w:rPr>
                <w:lang w:eastAsia="en-US"/>
              </w:rPr>
            </w:pPr>
          </w:p>
        </w:tc>
        <w:tc>
          <w:tcPr>
            <w:tcW w:w="563" w:type="dxa"/>
          </w:tcPr>
          <w:p w14:paraId="793E6EFE" w14:textId="77777777" w:rsidR="00E14962" w:rsidRPr="00C9343F" w:rsidRDefault="00E14962" w:rsidP="008D1B5D">
            <w:pPr>
              <w:pStyle w:val="Sectiontext0"/>
              <w:jc w:val="center"/>
              <w:rPr>
                <w:rFonts w:cs="Arial"/>
                <w:lang w:eastAsia="en-US"/>
              </w:rPr>
            </w:pPr>
            <w:r w:rsidRPr="00C9343F">
              <w:rPr>
                <w:rFonts w:cs="Arial"/>
                <w:lang w:eastAsia="en-US"/>
              </w:rPr>
              <w:t>c.</w:t>
            </w:r>
          </w:p>
        </w:tc>
        <w:tc>
          <w:tcPr>
            <w:tcW w:w="7804" w:type="dxa"/>
          </w:tcPr>
          <w:p w14:paraId="6B34FF6E" w14:textId="77777777" w:rsidR="00E14962" w:rsidRPr="00C9343F" w:rsidRDefault="00E14962" w:rsidP="00F66D98">
            <w:pPr>
              <w:pStyle w:val="Sectiontext0"/>
            </w:pPr>
            <w:r w:rsidRPr="00C9343F">
              <w:t>War service leave.</w:t>
            </w:r>
          </w:p>
        </w:tc>
      </w:tr>
      <w:tr w:rsidR="00E14962" w:rsidRPr="00C9343F" w14:paraId="51C78C35" w14:textId="77777777" w:rsidTr="00AA28FC">
        <w:tblPrEx>
          <w:tblLook w:val="04A0" w:firstRow="1" w:lastRow="0" w:firstColumn="1" w:lastColumn="0" w:noHBand="0" w:noVBand="1"/>
        </w:tblPrEx>
        <w:tc>
          <w:tcPr>
            <w:tcW w:w="992" w:type="dxa"/>
          </w:tcPr>
          <w:p w14:paraId="616CB2E2" w14:textId="77777777" w:rsidR="00E14962" w:rsidRPr="00C9343F" w:rsidRDefault="00E14962" w:rsidP="00F66D98">
            <w:pPr>
              <w:pStyle w:val="Sectiontext0"/>
              <w:jc w:val="center"/>
              <w:rPr>
                <w:lang w:eastAsia="en-US"/>
              </w:rPr>
            </w:pPr>
          </w:p>
        </w:tc>
        <w:tc>
          <w:tcPr>
            <w:tcW w:w="563" w:type="dxa"/>
          </w:tcPr>
          <w:p w14:paraId="221782C3" w14:textId="77777777" w:rsidR="00E14962" w:rsidRPr="00C9343F" w:rsidRDefault="00E14962" w:rsidP="008D1B5D">
            <w:pPr>
              <w:pStyle w:val="Sectiontext0"/>
              <w:jc w:val="center"/>
              <w:rPr>
                <w:rFonts w:cs="Arial"/>
                <w:lang w:eastAsia="en-US"/>
              </w:rPr>
            </w:pPr>
            <w:r w:rsidRPr="00C9343F">
              <w:rPr>
                <w:rFonts w:cs="Arial"/>
                <w:lang w:eastAsia="en-US"/>
              </w:rPr>
              <w:t>d.</w:t>
            </w:r>
          </w:p>
        </w:tc>
        <w:tc>
          <w:tcPr>
            <w:tcW w:w="7804" w:type="dxa"/>
          </w:tcPr>
          <w:p w14:paraId="7B003393" w14:textId="77777777" w:rsidR="00E14962" w:rsidRPr="00C9343F" w:rsidRDefault="00E14962" w:rsidP="00F66D98">
            <w:pPr>
              <w:pStyle w:val="Sectiontext0"/>
            </w:pPr>
            <w:r w:rsidRPr="00C9343F">
              <w:t>Compassionate leave.</w:t>
            </w:r>
          </w:p>
        </w:tc>
      </w:tr>
      <w:tr w:rsidR="00E14962" w:rsidRPr="00C9343F" w14:paraId="06B73C62" w14:textId="77777777" w:rsidTr="00AA28FC">
        <w:tblPrEx>
          <w:tblLook w:val="04A0" w:firstRow="1" w:lastRow="0" w:firstColumn="1" w:lastColumn="0" w:noHBand="0" w:noVBand="1"/>
        </w:tblPrEx>
        <w:tc>
          <w:tcPr>
            <w:tcW w:w="992" w:type="dxa"/>
          </w:tcPr>
          <w:p w14:paraId="6F5AA631" w14:textId="77777777" w:rsidR="00E14962" w:rsidRPr="00C9343F" w:rsidRDefault="00E14962" w:rsidP="00F66D98">
            <w:pPr>
              <w:pStyle w:val="Sectiontext0"/>
              <w:jc w:val="center"/>
              <w:rPr>
                <w:lang w:eastAsia="en-US"/>
              </w:rPr>
            </w:pPr>
          </w:p>
        </w:tc>
        <w:tc>
          <w:tcPr>
            <w:tcW w:w="563" w:type="dxa"/>
          </w:tcPr>
          <w:p w14:paraId="03A696F2" w14:textId="77777777" w:rsidR="00E14962" w:rsidRPr="00C9343F" w:rsidRDefault="00E14962" w:rsidP="008D1B5D">
            <w:pPr>
              <w:pStyle w:val="Sectiontext0"/>
              <w:jc w:val="center"/>
              <w:rPr>
                <w:rFonts w:cs="Arial"/>
                <w:lang w:eastAsia="en-US"/>
              </w:rPr>
            </w:pPr>
            <w:r w:rsidRPr="00C9343F">
              <w:rPr>
                <w:rFonts w:cs="Arial"/>
                <w:lang w:eastAsia="en-US"/>
              </w:rPr>
              <w:t>e.</w:t>
            </w:r>
          </w:p>
        </w:tc>
        <w:tc>
          <w:tcPr>
            <w:tcW w:w="7804" w:type="dxa"/>
          </w:tcPr>
          <w:p w14:paraId="28F9802E" w14:textId="77777777" w:rsidR="00E14962" w:rsidRPr="00C9343F" w:rsidRDefault="00E14962" w:rsidP="00F66D98">
            <w:pPr>
              <w:pStyle w:val="Sectiontext0"/>
            </w:pPr>
            <w:r w:rsidRPr="00C9343F">
              <w:t>Leave without pay.</w:t>
            </w:r>
          </w:p>
        </w:tc>
      </w:tr>
      <w:tr w:rsidR="00E14962" w:rsidRPr="00C9343F" w14:paraId="6600B51C" w14:textId="77777777" w:rsidTr="00AA28FC">
        <w:tblPrEx>
          <w:tblLook w:val="04A0" w:firstRow="1" w:lastRow="0" w:firstColumn="1" w:lastColumn="0" w:noHBand="0" w:noVBand="1"/>
        </w:tblPrEx>
        <w:tc>
          <w:tcPr>
            <w:tcW w:w="992" w:type="dxa"/>
          </w:tcPr>
          <w:p w14:paraId="3E941CA5" w14:textId="77777777" w:rsidR="00E14962" w:rsidRPr="00C9343F" w:rsidRDefault="00E14962" w:rsidP="00F66D98">
            <w:pPr>
              <w:pStyle w:val="Sectiontext0"/>
              <w:jc w:val="center"/>
              <w:rPr>
                <w:lang w:eastAsia="en-US"/>
              </w:rPr>
            </w:pPr>
          </w:p>
        </w:tc>
        <w:tc>
          <w:tcPr>
            <w:tcW w:w="563" w:type="dxa"/>
          </w:tcPr>
          <w:p w14:paraId="531BC3C0" w14:textId="77777777" w:rsidR="00E14962" w:rsidRPr="00C9343F" w:rsidRDefault="00E14962" w:rsidP="008D1B5D">
            <w:pPr>
              <w:pStyle w:val="Sectiontext0"/>
              <w:jc w:val="center"/>
              <w:rPr>
                <w:rFonts w:cs="Arial"/>
                <w:lang w:eastAsia="en-US"/>
              </w:rPr>
            </w:pPr>
            <w:r w:rsidRPr="00C9343F">
              <w:rPr>
                <w:rFonts w:cs="Arial"/>
                <w:lang w:eastAsia="en-US"/>
              </w:rPr>
              <w:t>f.</w:t>
            </w:r>
          </w:p>
        </w:tc>
        <w:tc>
          <w:tcPr>
            <w:tcW w:w="7804" w:type="dxa"/>
          </w:tcPr>
          <w:p w14:paraId="6B318679" w14:textId="77777777" w:rsidR="00E14962" w:rsidRPr="00C9343F" w:rsidRDefault="00E14962" w:rsidP="00F66D98">
            <w:pPr>
              <w:pStyle w:val="Sectiontext0"/>
            </w:pPr>
            <w:r w:rsidRPr="00C9343F">
              <w:t>Maternity leave.</w:t>
            </w:r>
          </w:p>
        </w:tc>
      </w:tr>
    </w:tbl>
    <w:p w14:paraId="741BC430" w14:textId="022A7356" w:rsidR="00626BBB" w:rsidRPr="00C9343F" w:rsidRDefault="00626BBB" w:rsidP="00626BBB">
      <w:pPr>
        <w:pStyle w:val="Heading5"/>
      </w:pPr>
      <w:bookmarkStart w:id="1258" w:name="_Toc105053955"/>
      <w:r w:rsidRPr="00C9343F">
        <w:t>5.2.3    Definitions</w:t>
      </w:r>
      <w:bookmarkEnd w:id="1258"/>
    </w:p>
    <w:tbl>
      <w:tblPr>
        <w:tblW w:w="0" w:type="dxa"/>
        <w:tblInd w:w="113" w:type="dxa"/>
        <w:tblLayout w:type="fixed"/>
        <w:tblLook w:val="04A0" w:firstRow="1" w:lastRow="0" w:firstColumn="1" w:lastColumn="0" w:noHBand="0" w:noVBand="1"/>
      </w:tblPr>
      <w:tblGrid>
        <w:gridCol w:w="992"/>
        <w:gridCol w:w="563"/>
        <w:gridCol w:w="7804"/>
      </w:tblGrid>
      <w:tr w:rsidR="00626BBB" w:rsidRPr="00C9343F" w14:paraId="5E9A42F7" w14:textId="77777777" w:rsidTr="00445FEB">
        <w:tc>
          <w:tcPr>
            <w:tcW w:w="992" w:type="dxa"/>
          </w:tcPr>
          <w:p w14:paraId="684249EA" w14:textId="77777777" w:rsidR="00626BBB" w:rsidRPr="00C9343F" w:rsidRDefault="00626BBB" w:rsidP="00445FEB">
            <w:pPr>
              <w:pStyle w:val="Sectiontext0"/>
              <w:spacing w:line="276" w:lineRule="auto"/>
              <w:jc w:val="center"/>
              <w:rPr>
                <w:lang w:eastAsia="en-US"/>
              </w:rPr>
            </w:pPr>
          </w:p>
        </w:tc>
        <w:tc>
          <w:tcPr>
            <w:tcW w:w="8367" w:type="dxa"/>
            <w:gridSpan w:val="2"/>
            <w:hideMark/>
          </w:tcPr>
          <w:p w14:paraId="521A862D" w14:textId="77777777" w:rsidR="00626BBB" w:rsidRPr="00C9343F" w:rsidRDefault="00626BBB" w:rsidP="00445FEB">
            <w:pPr>
              <w:pStyle w:val="Sectiontext0"/>
              <w:spacing w:line="276" w:lineRule="auto"/>
              <w:rPr>
                <w:lang w:eastAsia="en-US"/>
              </w:rPr>
            </w:pPr>
            <w:r w:rsidRPr="00C9343F">
              <w:rPr>
                <w:iCs/>
                <w:lang w:eastAsia="en-US"/>
              </w:rPr>
              <w:t>In this Part the following apply.</w:t>
            </w:r>
          </w:p>
        </w:tc>
      </w:tr>
      <w:tr w:rsidR="00626BBB" w:rsidRPr="00C9343F" w14:paraId="41C4A1D2" w14:textId="77777777" w:rsidTr="00445FEB">
        <w:tc>
          <w:tcPr>
            <w:tcW w:w="992" w:type="dxa"/>
          </w:tcPr>
          <w:p w14:paraId="5F07D6AB" w14:textId="77777777" w:rsidR="00626BBB" w:rsidRPr="00C9343F" w:rsidRDefault="00626BBB" w:rsidP="00445FEB">
            <w:pPr>
              <w:pStyle w:val="Sectiontext0"/>
              <w:spacing w:line="276" w:lineRule="auto"/>
              <w:jc w:val="center"/>
              <w:rPr>
                <w:lang w:eastAsia="en-US"/>
              </w:rPr>
            </w:pPr>
          </w:p>
        </w:tc>
        <w:tc>
          <w:tcPr>
            <w:tcW w:w="8367" w:type="dxa"/>
            <w:gridSpan w:val="2"/>
            <w:hideMark/>
          </w:tcPr>
          <w:p w14:paraId="4AC34F43" w14:textId="77777777" w:rsidR="00626BBB" w:rsidRPr="00C9343F" w:rsidRDefault="00626BBB" w:rsidP="00445FEB">
            <w:pPr>
              <w:pStyle w:val="Sectiontext0"/>
              <w:spacing w:line="276" w:lineRule="auto"/>
              <w:rPr>
                <w:rFonts w:cs="Arial"/>
                <w:lang w:eastAsia="en-US"/>
              </w:rPr>
            </w:pPr>
            <w:r w:rsidRPr="00C9343F">
              <w:rPr>
                <w:rFonts w:cs="Arial"/>
                <w:b/>
                <w:lang w:eastAsia="en-US"/>
              </w:rPr>
              <w:t xml:space="preserve">Transiting through a restricted destination </w:t>
            </w:r>
            <w:r w:rsidRPr="00C9343F">
              <w:rPr>
                <w:rFonts w:cs="Arial"/>
                <w:lang w:eastAsia="en-US"/>
              </w:rPr>
              <w:t>means the member enters a restricted destination and all of the following apply.</w:t>
            </w:r>
          </w:p>
        </w:tc>
      </w:tr>
      <w:tr w:rsidR="00626BBB" w:rsidRPr="00C9343F" w14:paraId="649EB3CC" w14:textId="77777777" w:rsidTr="00445FEB">
        <w:tc>
          <w:tcPr>
            <w:tcW w:w="992" w:type="dxa"/>
          </w:tcPr>
          <w:p w14:paraId="2F80BF05" w14:textId="77777777" w:rsidR="00626BBB" w:rsidRPr="00C9343F" w:rsidRDefault="00626BBB" w:rsidP="00445FEB">
            <w:pPr>
              <w:pStyle w:val="Sectiontext0"/>
              <w:spacing w:line="276" w:lineRule="auto"/>
              <w:jc w:val="center"/>
              <w:rPr>
                <w:lang w:eastAsia="en-US"/>
              </w:rPr>
            </w:pPr>
          </w:p>
        </w:tc>
        <w:tc>
          <w:tcPr>
            <w:tcW w:w="563" w:type="dxa"/>
            <w:hideMark/>
          </w:tcPr>
          <w:p w14:paraId="792CF276" w14:textId="77777777" w:rsidR="00626BBB" w:rsidRPr="00C9343F" w:rsidRDefault="00626BBB" w:rsidP="00445FEB">
            <w:pPr>
              <w:pStyle w:val="Sectiontext0"/>
              <w:spacing w:line="276" w:lineRule="auto"/>
              <w:jc w:val="center"/>
              <w:rPr>
                <w:rFonts w:cs="Arial"/>
                <w:lang w:eastAsia="en-US"/>
              </w:rPr>
            </w:pPr>
            <w:r w:rsidRPr="00C9343F">
              <w:rPr>
                <w:rFonts w:cs="Arial"/>
                <w:lang w:eastAsia="en-US"/>
              </w:rPr>
              <w:t>a.</w:t>
            </w:r>
          </w:p>
        </w:tc>
        <w:tc>
          <w:tcPr>
            <w:tcW w:w="7804" w:type="dxa"/>
            <w:hideMark/>
          </w:tcPr>
          <w:p w14:paraId="4C5E9C4A" w14:textId="77777777" w:rsidR="00626BBB" w:rsidRPr="00C9343F" w:rsidRDefault="00626BBB" w:rsidP="00445FEB">
            <w:pPr>
              <w:pStyle w:val="Default"/>
              <w:spacing w:after="240" w:line="276" w:lineRule="auto"/>
            </w:pPr>
            <w:r w:rsidRPr="00C9343F">
              <w:t>The member remains in the port or airport.</w:t>
            </w:r>
          </w:p>
        </w:tc>
      </w:tr>
      <w:tr w:rsidR="00626BBB" w:rsidRPr="00C9343F" w14:paraId="5C03CE62" w14:textId="77777777" w:rsidTr="00445FEB">
        <w:tc>
          <w:tcPr>
            <w:tcW w:w="992" w:type="dxa"/>
          </w:tcPr>
          <w:p w14:paraId="37648F0C" w14:textId="77777777" w:rsidR="00626BBB" w:rsidRPr="00C9343F" w:rsidRDefault="00626BBB" w:rsidP="00445FEB">
            <w:pPr>
              <w:pStyle w:val="Sectiontext0"/>
              <w:spacing w:line="276" w:lineRule="auto"/>
              <w:jc w:val="center"/>
              <w:rPr>
                <w:lang w:eastAsia="en-US"/>
              </w:rPr>
            </w:pPr>
          </w:p>
        </w:tc>
        <w:tc>
          <w:tcPr>
            <w:tcW w:w="563" w:type="dxa"/>
            <w:hideMark/>
          </w:tcPr>
          <w:p w14:paraId="27D09574" w14:textId="77777777" w:rsidR="00626BBB" w:rsidRPr="00C9343F" w:rsidRDefault="00626BBB" w:rsidP="00445FEB">
            <w:pPr>
              <w:pStyle w:val="Sectiontext0"/>
              <w:spacing w:line="276" w:lineRule="auto"/>
              <w:jc w:val="center"/>
              <w:rPr>
                <w:rFonts w:cs="Arial"/>
                <w:lang w:eastAsia="en-US"/>
              </w:rPr>
            </w:pPr>
            <w:r w:rsidRPr="00C9343F">
              <w:rPr>
                <w:rFonts w:cs="Arial"/>
                <w:lang w:eastAsia="en-US"/>
              </w:rPr>
              <w:t>b.</w:t>
            </w:r>
          </w:p>
        </w:tc>
        <w:tc>
          <w:tcPr>
            <w:tcW w:w="7804" w:type="dxa"/>
            <w:hideMark/>
          </w:tcPr>
          <w:p w14:paraId="080251AB" w14:textId="77777777" w:rsidR="00626BBB" w:rsidRPr="00C9343F" w:rsidRDefault="00626BBB" w:rsidP="00445FEB">
            <w:pPr>
              <w:pStyle w:val="Default"/>
              <w:spacing w:after="240" w:line="276" w:lineRule="auto"/>
            </w:pPr>
            <w:r w:rsidRPr="00C9343F">
              <w:t xml:space="preserve">The member does not pass through any customs or immigration process. </w:t>
            </w:r>
          </w:p>
        </w:tc>
      </w:tr>
    </w:tbl>
    <w:p w14:paraId="13A63D26" w14:textId="24B2C3CD" w:rsidR="00E14962" w:rsidRPr="00C9343F" w:rsidRDefault="00E14962" w:rsidP="00F66D98">
      <w:pPr>
        <w:pStyle w:val="Heading5"/>
      </w:pPr>
      <w:bookmarkStart w:id="1259" w:name="_Toc105053956"/>
      <w:r w:rsidRPr="00C9343F">
        <w:t>5.2.4</w:t>
      </w:r>
      <w:r w:rsidR="00D94006" w:rsidRPr="00C9343F">
        <w:t>    </w:t>
      </w:r>
      <w:r w:rsidRPr="00C9343F">
        <w:t>Restriction on the grant of leave</w:t>
      </w:r>
      <w:bookmarkEnd w:id="1259"/>
    </w:p>
    <w:tbl>
      <w:tblPr>
        <w:tblW w:w="9359" w:type="dxa"/>
        <w:tblInd w:w="113" w:type="dxa"/>
        <w:tblLayout w:type="fixed"/>
        <w:tblLook w:val="0000" w:firstRow="0" w:lastRow="0" w:firstColumn="0" w:lastColumn="0" w:noHBand="0" w:noVBand="0"/>
      </w:tblPr>
      <w:tblGrid>
        <w:gridCol w:w="992"/>
        <w:gridCol w:w="563"/>
        <w:gridCol w:w="7804"/>
      </w:tblGrid>
      <w:tr w:rsidR="00E14962" w:rsidRPr="00C9343F" w14:paraId="4E9C221A" w14:textId="77777777" w:rsidTr="00AA28FC">
        <w:tc>
          <w:tcPr>
            <w:tcW w:w="992" w:type="dxa"/>
          </w:tcPr>
          <w:p w14:paraId="6B84A3C8" w14:textId="77777777" w:rsidR="00E14962" w:rsidRPr="00C9343F" w:rsidRDefault="00E14962" w:rsidP="00F66D98">
            <w:pPr>
              <w:pStyle w:val="Sectiontext0"/>
              <w:jc w:val="center"/>
              <w:rPr>
                <w:iCs/>
              </w:rPr>
            </w:pPr>
          </w:p>
        </w:tc>
        <w:tc>
          <w:tcPr>
            <w:tcW w:w="8367" w:type="dxa"/>
            <w:gridSpan w:val="2"/>
          </w:tcPr>
          <w:p w14:paraId="5A8C2CB6" w14:textId="77777777" w:rsidR="00E14962" w:rsidRPr="00C9343F" w:rsidRDefault="00E14962" w:rsidP="00F66D98">
            <w:pPr>
              <w:pStyle w:val="Sectiontext0"/>
              <w:rPr>
                <w:iCs/>
              </w:rPr>
            </w:pPr>
            <w:r w:rsidRPr="00C9343F">
              <w:rPr>
                <w:iCs/>
              </w:rPr>
              <w:t xml:space="preserve">A member must not be granted leave to travel to a restricted destination unless either of the following apply. </w:t>
            </w:r>
          </w:p>
        </w:tc>
      </w:tr>
      <w:tr w:rsidR="00E14962" w:rsidRPr="00C9343F" w14:paraId="2DABB0FA" w14:textId="77777777" w:rsidTr="00AA28FC">
        <w:tblPrEx>
          <w:tblLook w:val="04A0" w:firstRow="1" w:lastRow="0" w:firstColumn="1" w:lastColumn="0" w:noHBand="0" w:noVBand="1"/>
        </w:tblPrEx>
        <w:tc>
          <w:tcPr>
            <w:tcW w:w="992" w:type="dxa"/>
          </w:tcPr>
          <w:p w14:paraId="56D50D12" w14:textId="77777777" w:rsidR="00E14962" w:rsidRPr="00C9343F" w:rsidRDefault="00E14962" w:rsidP="00F66D98">
            <w:pPr>
              <w:pStyle w:val="Sectiontext0"/>
              <w:jc w:val="center"/>
              <w:rPr>
                <w:lang w:eastAsia="en-US"/>
              </w:rPr>
            </w:pPr>
          </w:p>
        </w:tc>
        <w:tc>
          <w:tcPr>
            <w:tcW w:w="563" w:type="dxa"/>
            <w:hideMark/>
          </w:tcPr>
          <w:p w14:paraId="46634C45" w14:textId="77777777" w:rsidR="00E14962" w:rsidRPr="00C9343F" w:rsidRDefault="00E14962" w:rsidP="008D1B5D">
            <w:pPr>
              <w:pStyle w:val="Sectiontext0"/>
              <w:jc w:val="center"/>
              <w:rPr>
                <w:rFonts w:cs="Arial"/>
                <w:lang w:eastAsia="en-US"/>
              </w:rPr>
            </w:pPr>
            <w:r w:rsidRPr="00C9343F">
              <w:rPr>
                <w:rFonts w:cs="Arial"/>
                <w:lang w:eastAsia="en-US"/>
              </w:rPr>
              <w:t>a.</w:t>
            </w:r>
          </w:p>
        </w:tc>
        <w:tc>
          <w:tcPr>
            <w:tcW w:w="7804" w:type="dxa"/>
          </w:tcPr>
          <w:p w14:paraId="6A71E003" w14:textId="77777777" w:rsidR="00E14962" w:rsidRPr="00C9343F" w:rsidRDefault="00E14962" w:rsidP="00F66D98">
            <w:pPr>
              <w:pStyle w:val="Sectiontext0"/>
              <w:rPr>
                <w:rFonts w:cs="Arial"/>
                <w:lang w:eastAsia="en-US"/>
              </w:rPr>
            </w:pPr>
            <w:r w:rsidRPr="00C9343F">
              <w:t>The member has been granted a leave travel waiver for that restricted destination.</w:t>
            </w:r>
          </w:p>
        </w:tc>
      </w:tr>
      <w:tr w:rsidR="00E14962" w:rsidRPr="00C9343F" w14:paraId="46BDACEE" w14:textId="77777777" w:rsidTr="00AA28FC">
        <w:tblPrEx>
          <w:tblLook w:val="04A0" w:firstRow="1" w:lastRow="0" w:firstColumn="1" w:lastColumn="0" w:noHBand="0" w:noVBand="1"/>
        </w:tblPrEx>
        <w:tc>
          <w:tcPr>
            <w:tcW w:w="992" w:type="dxa"/>
          </w:tcPr>
          <w:p w14:paraId="2EB13127" w14:textId="77777777" w:rsidR="00E14962" w:rsidRPr="00C9343F" w:rsidRDefault="00E14962" w:rsidP="00F66D98">
            <w:pPr>
              <w:pStyle w:val="Sectiontext0"/>
              <w:jc w:val="center"/>
              <w:rPr>
                <w:lang w:eastAsia="en-US"/>
              </w:rPr>
            </w:pPr>
          </w:p>
        </w:tc>
        <w:tc>
          <w:tcPr>
            <w:tcW w:w="563" w:type="dxa"/>
          </w:tcPr>
          <w:p w14:paraId="5EB75FD6" w14:textId="77777777" w:rsidR="00E14962" w:rsidRPr="00C9343F" w:rsidRDefault="00E14962" w:rsidP="008D1B5D">
            <w:pPr>
              <w:pStyle w:val="Sectiontext0"/>
              <w:jc w:val="center"/>
              <w:rPr>
                <w:rFonts w:cs="Arial"/>
                <w:lang w:eastAsia="en-US"/>
              </w:rPr>
            </w:pPr>
            <w:r w:rsidRPr="00C9343F">
              <w:rPr>
                <w:rFonts w:cs="Arial"/>
                <w:lang w:eastAsia="en-US"/>
              </w:rPr>
              <w:t>b.</w:t>
            </w:r>
          </w:p>
        </w:tc>
        <w:tc>
          <w:tcPr>
            <w:tcW w:w="7804" w:type="dxa"/>
          </w:tcPr>
          <w:p w14:paraId="3BE47733" w14:textId="77777777" w:rsidR="00E14962" w:rsidRPr="00C9343F" w:rsidRDefault="00E14962" w:rsidP="00F66D98">
            <w:pPr>
              <w:pStyle w:val="Sectiontext0"/>
            </w:pPr>
            <w:r w:rsidRPr="00C9343F">
              <w:t>The member will only transit through the restricted destination.</w:t>
            </w:r>
          </w:p>
        </w:tc>
      </w:tr>
    </w:tbl>
    <w:p w14:paraId="759FF249" w14:textId="6D4A869B" w:rsidR="00E14962" w:rsidRPr="00C9343F" w:rsidRDefault="00E14962" w:rsidP="00F66D98">
      <w:pPr>
        <w:pStyle w:val="Heading5"/>
      </w:pPr>
      <w:bookmarkStart w:id="1260" w:name="_Toc105053957"/>
      <w:r w:rsidRPr="00C9343F">
        <w:t>5.2.5</w:t>
      </w:r>
      <w:r w:rsidR="00D94006" w:rsidRPr="00C9343F">
        <w:t>    </w:t>
      </w:r>
      <w:r w:rsidRPr="00C9343F">
        <w:t>Cancellation of leave in a restricted destination</w:t>
      </w:r>
      <w:bookmarkEnd w:id="1260"/>
    </w:p>
    <w:tbl>
      <w:tblPr>
        <w:tblW w:w="9359" w:type="dxa"/>
        <w:tblInd w:w="113" w:type="dxa"/>
        <w:tblLayout w:type="fixed"/>
        <w:tblLook w:val="0000" w:firstRow="0" w:lastRow="0" w:firstColumn="0" w:lastColumn="0" w:noHBand="0" w:noVBand="0"/>
      </w:tblPr>
      <w:tblGrid>
        <w:gridCol w:w="992"/>
        <w:gridCol w:w="563"/>
        <w:gridCol w:w="7804"/>
      </w:tblGrid>
      <w:tr w:rsidR="00E14962" w:rsidRPr="00C9343F" w14:paraId="1544AF0F" w14:textId="77777777" w:rsidTr="00AA28FC">
        <w:tc>
          <w:tcPr>
            <w:tcW w:w="992" w:type="dxa"/>
          </w:tcPr>
          <w:p w14:paraId="141ED3D5" w14:textId="77777777" w:rsidR="00E14962" w:rsidRPr="00C9343F" w:rsidRDefault="00E14962" w:rsidP="00F66D98">
            <w:pPr>
              <w:pStyle w:val="Sectiontext0"/>
              <w:jc w:val="center"/>
              <w:rPr>
                <w:iCs/>
              </w:rPr>
            </w:pPr>
          </w:p>
        </w:tc>
        <w:tc>
          <w:tcPr>
            <w:tcW w:w="8367" w:type="dxa"/>
            <w:gridSpan w:val="2"/>
          </w:tcPr>
          <w:p w14:paraId="7DB148D9" w14:textId="77777777" w:rsidR="00E14962" w:rsidRPr="00C9343F" w:rsidRDefault="00E14962" w:rsidP="00F66D98">
            <w:pPr>
              <w:pStyle w:val="Sectiontext0"/>
              <w:rPr>
                <w:iCs/>
              </w:rPr>
            </w:pPr>
            <w:r w:rsidRPr="00C9343F">
              <w:rPr>
                <w:iCs/>
              </w:rPr>
              <w:t>If a member is on leave and travels to a restricted destination, the member’s leave is cancelled unless one of the following applies.</w:t>
            </w:r>
          </w:p>
        </w:tc>
      </w:tr>
      <w:tr w:rsidR="00E14962" w:rsidRPr="00C9343F" w14:paraId="5633896A" w14:textId="77777777" w:rsidTr="00AA28FC">
        <w:tblPrEx>
          <w:tblLook w:val="04A0" w:firstRow="1" w:lastRow="0" w:firstColumn="1" w:lastColumn="0" w:noHBand="0" w:noVBand="1"/>
        </w:tblPrEx>
        <w:tc>
          <w:tcPr>
            <w:tcW w:w="992" w:type="dxa"/>
          </w:tcPr>
          <w:p w14:paraId="06FCA09A" w14:textId="77777777" w:rsidR="00E14962" w:rsidRPr="00C9343F" w:rsidRDefault="00E14962" w:rsidP="00F66D98">
            <w:pPr>
              <w:pStyle w:val="Sectiontext0"/>
              <w:jc w:val="center"/>
              <w:rPr>
                <w:lang w:eastAsia="en-US"/>
              </w:rPr>
            </w:pPr>
          </w:p>
        </w:tc>
        <w:tc>
          <w:tcPr>
            <w:tcW w:w="563" w:type="dxa"/>
            <w:hideMark/>
          </w:tcPr>
          <w:p w14:paraId="24A9F8BB" w14:textId="77777777" w:rsidR="00E14962" w:rsidRPr="00C9343F" w:rsidRDefault="00E14962" w:rsidP="008D1B5D">
            <w:pPr>
              <w:pStyle w:val="Sectiontext0"/>
              <w:jc w:val="center"/>
              <w:rPr>
                <w:rFonts w:cs="Arial"/>
                <w:lang w:eastAsia="en-US"/>
              </w:rPr>
            </w:pPr>
            <w:r w:rsidRPr="00C9343F">
              <w:rPr>
                <w:rFonts w:cs="Arial"/>
                <w:lang w:eastAsia="en-US"/>
              </w:rPr>
              <w:t>a.</w:t>
            </w:r>
          </w:p>
        </w:tc>
        <w:tc>
          <w:tcPr>
            <w:tcW w:w="7804" w:type="dxa"/>
          </w:tcPr>
          <w:p w14:paraId="27B7EE09" w14:textId="77777777" w:rsidR="00E14962" w:rsidRPr="00C9343F" w:rsidRDefault="00E14962" w:rsidP="00F66D98">
            <w:pPr>
              <w:pStyle w:val="Sectiontext0"/>
              <w:rPr>
                <w:rFonts w:cs="Arial"/>
                <w:lang w:eastAsia="en-US"/>
              </w:rPr>
            </w:pPr>
            <w:r w:rsidRPr="00C9343F">
              <w:t>The member has been granted a leave travel waiver for that restricted destination.</w:t>
            </w:r>
          </w:p>
        </w:tc>
      </w:tr>
      <w:tr w:rsidR="00E14962" w:rsidRPr="00C9343F" w14:paraId="2747C579" w14:textId="77777777" w:rsidTr="00AA28FC">
        <w:tblPrEx>
          <w:tblLook w:val="04A0" w:firstRow="1" w:lastRow="0" w:firstColumn="1" w:lastColumn="0" w:noHBand="0" w:noVBand="1"/>
        </w:tblPrEx>
        <w:tc>
          <w:tcPr>
            <w:tcW w:w="992" w:type="dxa"/>
          </w:tcPr>
          <w:p w14:paraId="122B7F8D" w14:textId="77777777" w:rsidR="00E14962" w:rsidRPr="00C9343F" w:rsidRDefault="00E14962" w:rsidP="00F66D98">
            <w:pPr>
              <w:pStyle w:val="Sectiontext0"/>
              <w:jc w:val="center"/>
              <w:rPr>
                <w:lang w:eastAsia="en-US"/>
              </w:rPr>
            </w:pPr>
          </w:p>
        </w:tc>
        <w:tc>
          <w:tcPr>
            <w:tcW w:w="563" w:type="dxa"/>
          </w:tcPr>
          <w:p w14:paraId="29C9081C" w14:textId="77777777" w:rsidR="00E14962" w:rsidRPr="00C9343F" w:rsidRDefault="00E14962" w:rsidP="008D1B5D">
            <w:pPr>
              <w:pStyle w:val="Sectiontext0"/>
              <w:jc w:val="center"/>
              <w:rPr>
                <w:rFonts w:cs="Arial"/>
                <w:lang w:eastAsia="en-US"/>
              </w:rPr>
            </w:pPr>
            <w:r w:rsidRPr="00C9343F">
              <w:rPr>
                <w:rFonts w:cs="Arial"/>
                <w:lang w:eastAsia="en-US"/>
              </w:rPr>
              <w:t>b.</w:t>
            </w:r>
          </w:p>
        </w:tc>
        <w:tc>
          <w:tcPr>
            <w:tcW w:w="7804" w:type="dxa"/>
          </w:tcPr>
          <w:p w14:paraId="2048E361" w14:textId="77777777" w:rsidR="00E14962" w:rsidRPr="00C9343F" w:rsidRDefault="00E14962" w:rsidP="00F66D98">
            <w:pPr>
              <w:pStyle w:val="Sectiontext0"/>
            </w:pPr>
            <w:r w:rsidRPr="00C9343F">
              <w:t>The member is only transiting through the restricted destination.</w:t>
            </w:r>
          </w:p>
        </w:tc>
      </w:tr>
      <w:tr w:rsidR="00E14962" w:rsidRPr="00C9343F" w14:paraId="28740A8E" w14:textId="77777777" w:rsidTr="00AA28FC">
        <w:tblPrEx>
          <w:tblLook w:val="04A0" w:firstRow="1" w:lastRow="0" w:firstColumn="1" w:lastColumn="0" w:noHBand="0" w:noVBand="1"/>
        </w:tblPrEx>
        <w:tc>
          <w:tcPr>
            <w:tcW w:w="992" w:type="dxa"/>
          </w:tcPr>
          <w:p w14:paraId="076F8681" w14:textId="77777777" w:rsidR="00E14962" w:rsidRPr="00C9343F" w:rsidRDefault="00E14962" w:rsidP="00F66D98">
            <w:pPr>
              <w:pStyle w:val="Sectiontext0"/>
              <w:jc w:val="center"/>
              <w:rPr>
                <w:lang w:eastAsia="en-US"/>
              </w:rPr>
            </w:pPr>
          </w:p>
        </w:tc>
        <w:tc>
          <w:tcPr>
            <w:tcW w:w="563" w:type="dxa"/>
            <w:hideMark/>
          </w:tcPr>
          <w:p w14:paraId="5C87CAA5" w14:textId="77777777" w:rsidR="00E14962" w:rsidRPr="00C9343F" w:rsidRDefault="00E14962" w:rsidP="008D1B5D">
            <w:pPr>
              <w:pStyle w:val="Sectiontext0"/>
              <w:jc w:val="center"/>
              <w:rPr>
                <w:rFonts w:cs="Arial"/>
                <w:lang w:eastAsia="en-US"/>
              </w:rPr>
            </w:pPr>
            <w:r w:rsidRPr="00C9343F">
              <w:rPr>
                <w:rFonts w:cs="Arial"/>
                <w:lang w:eastAsia="en-US"/>
              </w:rPr>
              <w:t>c.</w:t>
            </w:r>
          </w:p>
        </w:tc>
        <w:tc>
          <w:tcPr>
            <w:tcW w:w="7804" w:type="dxa"/>
          </w:tcPr>
          <w:p w14:paraId="6075F63A" w14:textId="77777777" w:rsidR="00E14962" w:rsidRPr="00C9343F" w:rsidRDefault="00E14962" w:rsidP="00F66D98">
            <w:pPr>
              <w:pStyle w:val="Sectiontext0"/>
              <w:rPr>
                <w:rFonts w:cs="Arial"/>
                <w:lang w:eastAsia="en-US"/>
              </w:rPr>
            </w:pPr>
            <w:r w:rsidRPr="00C9343F">
              <w:rPr>
                <w:rFonts w:cs="Arial"/>
                <w:lang w:eastAsia="en-US"/>
              </w:rPr>
              <w:t>The member’s presence in the restricted destination is beyond their control.</w:t>
            </w:r>
          </w:p>
        </w:tc>
      </w:tr>
      <w:tr w:rsidR="00E14962" w:rsidRPr="00C9343F" w14:paraId="5364F099" w14:textId="77777777" w:rsidTr="00AA28FC">
        <w:tblPrEx>
          <w:tblLook w:val="04A0" w:firstRow="1" w:lastRow="0" w:firstColumn="1" w:lastColumn="0" w:noHBand="0" w:noVBand="1"/>
        </w:tblPrEx>
        <w:tc>
          <w:tcPr>
            <w:tcW w:w="992" w:type="dxa"/>
          </w:tcPr>
          <w:p w14:paraId="06C5AA41" w14:textId="77777777" w:rsidR="00E14962" w:rsidRPr="00C9343F" w:rsidRDefault="00E14962" w:rsidP="00F66D98">
            <w:pPr>
              <w:pStyle w:val="Sectiontext0"/>
              <w:jc w:val="center"/>
              <w:rPr>
                <w:lang w:eastAsia="en-US"/>
              </w:rPr>
            </w:pPr>
          </w:p>
        </w:tc>
        <w:tc>
          <w:tcPr>
            <w:tcW w:w="563" w:type="dxa"/>
          </w:tcPr>
          <w:p w14:paraId="682129B9" w14:textId="77777777" w:rsidR="00E14962" w:rsidRPr="00C9343F" w:rsidRDefault="00CC1C09" w:rsidP="008D1B5D">
            <w:pPr>
              <w:pStyle w:val="Sectiontext0"/>
              <w:jc w:val="center"/>
              <w:rPr>
                <w:rFonts w:cs="Arial"/>
                <w:lang w:eastAsia="en-US"/>
              </w:rPr>
            </w:pPr>
            <w:r w:rsidRPr="00C9343F">
              <w:rPr>
                <w:rFonts w:cs="Arial"/>
                <w:lang w:eastAsia="en-US"/>
              </w:rPr>
              <w:t>d</w:t>
            </w:r>
            <w:r w:rsidR="00E14962" w:rsidRPr="00C9343F">
              <w:rPr>
                <w:rFonts w:cs="Arial"/>
                <w:lang w:eastAsia="en-US"/>
              </w:rPr>
              <w:t>.</w:t>
            </w:r>
          </w:p>
        </w:tc>
        <w:tc>
          <w:tcPr>
            <w:tcW w:w="7804" w:type="dxa"/>
          </w:tcPr>
          <w:p w14:paraId="5B4A7B31" w14:textId="77777777" w:rsidR="00E14962" w:rsidRPr="00C9343F" w:rsidRDefault="00E14962" w:rsidP="00F66D98">
            <w:pPr>
              <w:pStyle w:val="Sectiontext0"/>
            </w:pPr>
            <w:r w:rsidRPr="00C9343F">
              <w:t>The member was in transit in the restricted destination and required to leave the port or airport for a reason beyond their control.</w:t>
            </w:r>
          </w:p>
        </w:tc>
      </w:tr>
      <w:tr w:rsidR="00E14962" w:rsidRPr="00C9343F" w14:paraId="5C5079FE" w14:textId="77777777" w:rsidTr="00AA28FC">
        <w:tblPrEx>
          <w:tblLook w:val="04A0" w:firstRow="1" w:lastRow="0" w:firstColumn="1" w:lastColumn="0" w:noHBand="0" w:noVBand="1"/>
        </w:tblPrEx>
        <w:tc>
          <w:tcPr>
            <w:tcW w:w="992" w:type="dxa"/>
          </w:tcPr>
          <w:p w14:paraId="626F09B4" w14:textId="77777777" w:rsidR="00E14962" w:rsidRPr="00C9343F" w:rsidRDefault="00E14962" w:rsidP="00F66D98">
            <w:pPr>
              <w:pStyle w:val="Sectiontext0"/>
              <w:jc w:val="center"/>
              <w:rPr>
                <w:lang w:eastAsia="en-US"/>
              </w:rPr>
            </w:pPr>
          </w:p>
        </w:tc>
        <w:tc>
          <w:tcPr>
            <w:tcW w:w="8367" w:type="dxa"/>
            <w:gridSpan w:val="2"/>
          </w:tcPr>
          <w:p w14:paraId="58D41C59" w14:textId="77777777" w:rsidR="00E14962" w:rsidRPr="00C9343F" w:rsidRDefault="00E14962" w:rsidP="00F66D98">
            <w:pPr>
              <w:pStyle w:val="Sectiontext0"/>
            </w:pPr>
            <w:r w:rsidRPr="00C9343F">
              <w:rPr>
                <w:b/>
              </w:rPr>
              <w:t>Note:</w:t>
            </w:r>
            <w:r w:rsidRPr="00C9343F">
              <w:t xml:space="preserve"> A member’s leave is not restored once the member leaves the restricted destination.</w:t>
            </w:r>
          </w:p>
        </w:tc>
      </w:tr>
    </w:tbl>
    <w:p w14:paraId="7A52AF8C" w14:textId="0317360E" w:rsidR="008B4402" w:rsidRPr="00C9343F" w:rsidRDefault="008B4402" w:rsidP="0093534E">
      <w:pPr>
        <w:pStyle w:val="Heading3"/>
        <w:pageBreakBefore/>
      </w:pPr>
      <w:bookmarkStart w:id="1261" w:name="_Toc105053958"/>
      <w:r w:rsidRPr="00C9343F">
        <w:t>Part 3: Medical absence from duty</w:t>
      </w:r>
      <w:bookmarkEnd w:id="1261"/>
    </w:p>
    <w:p w14:paraId="5125873E" w14:textId="1041EC96" w:rsidR="008B4402" w:rsidRPr="00C9343F" w:rsidRDefault="008B4402" w:rsidP="00F66D98">
      <w:pPr>
        <w:pStyle w:val="Heading5"/>
      </w:pPr>
      <w:bookmarkStart w:id="1262" w:name="_Toc105053959"/>
      <w:r w:rsidRPr="00C9343F">
        <w:t>5.3.1</w:t>
      </w:r>
      <w:r w:rsidR="00D94006" w:rsidRPr="00C9343F">
        <w:t>    </w:t>
      </w:r>
      <w:r w:rsidRPr="00C9343F">
        <w:t>Purpose</w:t>
      </w:r>
      <w:bookmarkEnd w:id="1262"/>
    </w:p>
    <w:tbl>
      <w:tblPr>
        <w:tblW w:w="0" w:type="auto"/>
        <w:tblInd w:w="113" w:type="dxa"/>
        <w:tblLayout w:type="fixed"/>
        <w:tblLook w:val="0000" w:firstRow="0" w:lastRow="0" w:firstColumn="0" w:lastColumn="0" w:noHBand="0" w:noVBand="0"/>
      </w:tblPr>
      <w:tblGrid>
        <w:gridCol w:w="992"/>
        <w:gridCol w:w="8367"/>
      </w:tblGrid>
      <w:tr w:rsidR="008B4402" w:rsidRPr="00C9343F" w14:paraId="6DF4FF75" w14:textId="77777777" w:rsidTr="008B4402">
        <w:tc>
          <w:tcPr>
            <w:tcW w:w="992" w:type="dxa"/>
          </w:tcPr>
          <w:p w14:paraId="27C23941" w14:textId="77777777" w:rsidR="008B4402" w:rsidRPr="00C9343F" w:rsidRDefault="008B4402" w:rsidP="00F66D98">
            <w:pPr>
              <w:pStyle w:val="BlockText-Plain"/>
              <w:jc w:val="center"/>
            </w:pPr>
          </w:p>
        </w:tc>
        <w:tc>
          <w:tcPr>
            <w:tcW w:w="8367" w:type="dxa"/>
          </w:tcPr>
          <w:p w14:paraId="611B4362" w14:textId="77777777" w:rsidR="008B4402" w:rsidRPr="00C9343F" w:rsidRDefault="008B4402" w:rsidP="00F66D98">
            <w:pPr>
              <w:pStyle w:val="BlockText-Plain"/>
            </w:pPr>
            <w:r w:rsidRPr="00C9343F">
              <w:rPr>
                <w:rFonts w:cs="Arial"/>
              </w:rPr>
              <w:t>This Part provides a member with paid time away from duty when they are unfit for health reasons. For a member on continuous service, this time away from duty is a type of leave.</w:t>
            </w:r>
          </w:p>
        </w:tc>
      </w:tr>
    </w:tbl>
    <w:p w14:paraId="6AF92B2E" w14:textId="02B0D60A" w:rsidR="008B4402" w:rsidRPr="00C9343F" w:rsidRDefault="008B4402" w:rsidP="00F66D98">
      <w:pPr>
        <w:pStyle w:val="Heading5"/>
      </w:pPr>
      <w:bookmarkStart w:id="1263" w:name="_Toc105053960"/>
      <w:r w:rsidRPr="00C9343F">
        <w:t>5.3.2</w:t>
      </w:r>
      <w:r w:rsidR="00D94006" w:rsidRPr="00C9343F">
        <w:t>    </w:t>
      </w:r>
      <w:r w:rsidRPr="00C9343F">
        <w:t>Member this Part applies to</w:t>
      </w:r>
      <w:bookmarkEnd w:id="1263"/>
    </w:p>
    <w:tbl>
      <w:tblPr>
        <w:tblW w:w="0" w:type="auto"/>
        <w:tblInd w:w="113" w:type="dxa"/>
        <w:tblLayout w:type="fixed"/>
        <w:tblLook w:val="0000" w:firstRow="0" w:lastRow="0" w:firstColumn="0" w:lastColumn="0" w:noHBand="0" w:noVBand="0"/>
      </w:tblPr>
      <w:tblGrid>
        <w:gridCol w:w="992"/>
        <w:gridCol w:w="567"/>
        <w:gridCol w:w="7800"/>
      </w:tblGrid>
      <w:tr w:rsidR="008B4402" w:rsidRPr="00C9343F" w14:paraId="024C2CAA" w14:textId="77777777" w:rsidTr="008B4402">
        <w:tc>
          <w:tcPr>
            <w:tcW w:w="992" w:type="dxa"/>
          </w:tcPr>
          <w:p w14:paraId="73FA7154" w14:textId="77777777" w:rsidR="008B4402" w:rsidRPr="00C9343F" w:rsidRDefault="008B4402" w:rsidP="00F66D98">
            <w:pPr>
              <w:pStyle w:val="BlockText-Plain"/>
              <w:jc w:val="center"/>
            </w:pPr>
          </w:p>
        </w:tc>
        <w:tc>
          <w:tcPr>
            <w:tcW w:w="8367" w:type="dxa"/>
            <w:gridSpan w:val="2"/>
          </w:tcPr>
          <w:p w14:paraId="69DA99D3" w14:textId="77777777" w:rsidR="008B4402" w:rsidRPr="00C9343F" w:rsidRDefault="008B4402" w:rsidP="00F66D98">
            <w:pPr>
              <w:pStyle w:val="BlockText-Plain"/>
            </w:pPr>
            <w:r w:rsidRPr="00C9343F">
              <w:t>This Part applies to the following members.</w:t>
            </w:r>
          </w:p>
        </w:tc>
      </w:tr>
      <w:tr w:rsidR="008B4402" w:rsidRPr="00C9343F" w14:paraId="65EEC72B" w14:textId="77777777" w:rsidTr="008B4402">
        <w:trPr>
          <w:cantSplit/>
        </w:trPr>
        <w:tc>
          <w:tcPr>
            <w:tcW w:w="992" w:type="dxa"/>
          </w:tcPr>
          <w:p w14:paraId="3F5A36A5" w14:textId="77777777" w:rsidR="008B4402" w:rsidRPr="00C9343F" w:rsidRDefault="008B4402" w:rsidP="00F66D98">
            <w:pPr>
              <w:pStyle w:val="BlockText-Plain"/>
            </w:pPr>
          </w:p>
        </w:tc>
        <w:tc>
          <w:tcPr>
            <w:tcW w:w="567" w:type="dxa"/>
          </w:tcPr>
          <w:p w14:paraId="02EF3D53" w14:textId="77777777" w:rsidR="008B4402" w:rsidRPr="00C9343F" w:rsidRDefault="008B4402" w:rsidP="008D1B5D">
            <w:pPr>
              <w:pStyle w:val="BlockText-Plain"/>
              <w:jc w:val="center"/>
            </w:pPr>
            <w:r w:rsidRPr="00C9343F">
              <w:t>a.</w:t>
            </w:r>
          </w:p>
        </w:tc>
        <w:tc>
          <w:tcPr>
            <w:tcW w:w="7800" w:type="dxa"/>
          </w:tcPr>
          <w:p w14:paraId="2F105A6B" w14:textId="77777777" w:rsidR="008B4402" w:rsidRPr="00C9343F" w:rsidRDefault="008B4402" w:rsidP="00F66D98">
            <w:pPr>
              <w:pStyle w:val="BlockText-Plain"/>
            </w:pPr>
            <w:r w:rsidRPr="00C9343F">
              <w:t xml:space="preserve">A member of the </w:t>
            </w:r>
            <w:r w:rsidR="00780A98" w:rsidRPr="00C9343F">
              <w:t>Permanent Forces</w:t>
            </w:r>
            <w:r w:rsidRPr="00C9343F">
              <w:t>.</w:t>
            </w:r>
          </w:p>
          <w:p w14:paraId="2169765E" w14:textId="77777777" w:rsidR="00AD54B6" w:rsidRPr="00C9343F" w:rsidRDefault="00AD54B6" w:rsidP="00F66D98">
            <w:pPr>
              <w:pStyle w:val="BlockText-Plain"/>
              <w:rPr>
                <w:b/>
              </w:rPr>
            </w:pPr>
            <w:r w:rsidRPr="00C9343F">
              <w:rPr>
                <w:b/>
              </w:rPr>
              <w:t>Exception:</w:t>
            </w:r>
            <w:r w:rsidRPr="00C9343F">
              <w:t xml:space="preserve"> A member on a flexible service determination during their nonworking period.</w:t>
            </w:r>
          </w:p>
        </w:tc>
      </w:tr>
      <w:tr w:rsidR="008B4402" w:rsidRPr="00C9343F" w14:paraId="081EB6AC" w14:textId="77777777" w:rsidTr="008B4402">
        <w:trPr>
          <w:cantSplit/>
        </w:trPr>
        <w:tc>
          <w:tcPr>
            <w:tcW w:w="992" w:type="dxa"/>
          </w:tcPr>
          <w:p w14:paraId="145BA05B" w14:textId="77777777" w:rsidR="008B4402" w:rsidRPr="00C9343F" w:rsidRDefault="008B4402" w:rsidP="00F66D98">
            <w:pPr>
              <w:pStyle w:val="BlockText-Plain"/>
            </w:pPr>
          </w:p>
        </w:tc>
        <w:tc>
          <w:tcPr>
            <w:tcW w:w="567" w:type="dxa"/>
          </w:tcPr>
          <w:p w14:paraId="1A236D78" w14:textId="77777777" w:rsidR="008B4402" w:rsidRPr="00C9343F" w:rsidRDefault="008B4402" w:rsidP="008D1B5D">
            <w:pPr>
              <w:pStyle w:val="BlockText-Plain"/>
              <w:jc w:val="center"/>
            </w:pPr>
            <w:r w:rsidRPr="00C9343F">
              <w:t>b.</w:t>
            </w:r>
          </w:p>
        </w:tc>
        <w:tc>
          <w:tcPr>
            <w:tcW w:w="7800" w:type="dxa"/>
          </w:tcPr>
          <w:p w14:paraId="5C2B6717" w14:textId="77777777" w:rsidR="008B4402" w:rsidRPr="00C9343F" w:rsidRDefault="008B4402" w:rsidP="00F66D98">
            <w:pPr>
              <w:pStyle w:val="BlockText-Plain"/>
            </w:pPr>
            <w:r w:rsidRPr="00C9343F">
              <w:t xml:space="preserve">A member of </w:t>
            </w:r>
            <w:r w:rsidR="00780A98" w:rsidRPr="00C9343F">
              <w:t xml:space="preserve">the Reserves on </w:t>
            </w:r>
            <w:r w:rsidRPr="00C9343F">
              <w:t>a period of continuous full-time service.</w:t>
            </w:r>
          </w:p>
        </w:tc>
      </w:tr>
      <w:tr w:rsidR="008B4402" w:rsidRPr="00C9343F" w14:paraId="1DF718F0" w14:textId="77777777" w:rsidTr="008B4402">
        <w:trPr>
          <w:cantSplit/>
        </w:trPr>
        <w:tc>
          <w:tcPr>
            <w:tcW w:w="992" w:type="dxa"/>
          </w:tcPr>
          <w:p w14:paraId="1D52ABBE" w14:textId="77777777" w:rsidR="008B4402" w:rsidRPr="00C9343F" w:rsidRDefault="008B4402" w:rsidP="00F66D98">
            <w:pPr>
              <w:pStyle w:val="BlockText-Plain"/>
            </w:pPr>
          </w:p>
        </w:tc>
        <w:tc>
          <w:tcPr>
            <w:tcW w:w="567" w:type="dxa"/>
          </w:tcPr>
          <w:p w14:paraId="079367E7" w14:textId="77777777" w:rsidR="008B4402" w:rsidRPr="00C9343F" w:rsidRDefault="008B4402" w:rsidP="008D1B5D">
            <w:pPr>
              <w:pStyle w:val="BlockText-Plain"/>
              <w:jc w:val="center"/>
            </w:pPr>
            <w:r w:rsidRPr="00C9343F">
              <w:t>c.</w:t>
            </w:r>
          </w:p>
        </w:tc>
        <w:tc>
          <w:tcPr>
            <w:tcW w:w="7800" w:type="dxa"/>
          </w:tcPr>
          <w:p w14:paraId="3D05AE28" w14:textId="4AE2A181" w:rsidR="008B4402" w:rsidRPr="00C9343F" w:rsidRDefault="008B4402" w:rsidP="00F66D98">
            <w:pPr>
              <w:pStyle w:val="BlockText-Plain"/>
              <w:rPr>
                <w:rFonts w:cs="Arial"/>
              </w:rPr>
            </w:pPr>
            <w:r w:rsidRPr="00C9343F">
              <w:t xml:space="preserve">Subject to the conditions in section 3.2.13, a member of the </w:t>
            </w:r>
            <w:r w:rsidR="00780A98" w:rsidRPr="00C9343F">
              <w:t xml:space="preserve">Reserves </w:t>
            </w:r>
            <w:r w:rsidRPr="00C9343F">
              <w:t>who is unable to work due to an illness or injury arising out of their Reserve duty may be provided with benefits in accordance with section 5.3.5.</w:t>
            </w:r>
          </w:p>
        </w:tc>
      </w:tr>
      <w:tr w:rsidR="008B4402" w:rsidRPr="00C9343F" w14:paraId="07C5E24A" w14:textId="77777777" w:rsidTr="008B4402">
        <w:tc>
          <w:tcPr>
            <w:tcW w:w="992" w:type="dxa"/>
          </w:tcPr>
          <w:p w14:paraId="2B8471F3" w14:textId="77777777" w:rsidR="008B4402" w:rsidRPr="00C9343F" w:rsidRDefault="008B4402" w:rsidP="00F66D98">
            <w:pPr>
              <w:pStyle w:val="BlockText-Plain"/>
              <w:jc w:val="center"/>
            </w:pPr>
          </w:p>
        </w:tc>
        <w:tc>
          <w:tcPr>
            <w:tcW w:w="8367" w:type="dxa"/>
            <w:gridSpan w:val="2"/>
          </w:tcPr>
          <w:p w14:paraId="0C8FE80D" w14:textId="49B71EC1" w:rsidR="008B4402" w:rsidRPr="00C9343F" w:rsidRDefault="008B4402" w:rsidP="00F66D98">
            <w:pPr>
              <w:pStyle w:val="BlockText-Plain"/>
            </w:pPr>
            <w:r w:rsidRPr="00C9343F">
              <w:rPr>
                <w:b/>
              </w:rPr>
              <w:t>Note:</w:t>
            </w:r>
            <w:r w:rsidRPr="00C9343F">
              <w:t xml:space="preserve"> A Reservist not on a period of continuous full-time service can access the arrangements in this Part only if they meet the additional conditions for eligibility in section 3.2.13. In some cases, the Reservist may be eligible for payment under section 3.2.13. </w:t>
            </w:r>
          </w:p>
        </w:tc>
      </w:tr>
    </w:tbl>
    <w:p w14:paraId="4D86E0C3" w14:textId="070CA04D" w:rsidR="008B4402" w:rsidRPr="00C9343F" w:rsidRDefault="008B4402" w:rsidP="00F66D98">
      <w:pPr>
        <w:pStyle w:val="Heading5"/>
      </w:pPr>
      <w:bookmarkStart w:id="1264" w:name="_Toc105053961"/>
      <w:r w:rsidRPr="00C9343F">
        <w:t>5.3.3</w:t>
      </w:r>
      <w:r w:rsidR="00D94006" w:rsidRPr="00C9343F">
        <w:t>    </w:t>
      </w:r>
      <w:r w:rsidRPr="00C9343F">
        <w:t>How to apply for a medical absence</w:t>
      </w:r>
      <w:bookmarkEnd w:id="1264"/>
    </w:p>
    <w:tbl>
      <w:tblPr>
        <w:tblW w:w="0" w:type="auto"/>
        <w:tblInd w:w="113" w:type="dxa"/>
        <w:tblLayout w:type="fixed"/>
        <w:tblLook w:val="0000" w:firstRow="0" w:lastRow="0" w:firstColumn="0" w:lastColumn="0" w:noHBand="0" w:noVBand="0"/>
      </w:tblPr>
      <w:tblGrid>
        <w:gridCol w:w="992"/>
        <w:gridCol w:w="8367"/>
      </w:tblGrid>
      <w:tr w:rsidR="008B4402" w:rsidRPr="00C9343F" w14:paraId="25BC87AB" w14:textId="77777777" w:rsidTr="008B4402">
        <w:tc>
          <w:tcPr>
            <w:tcW w:w="992" w:type="dxa"/>
          </w:tcPr>
          <w:p w14:paraId="4A69754D" w14:textId="77777777" w:rsidR="008B4402" w:rsidRPr="00C9343F" w:rsidRDefault="008B4402" w:rsidP="00F66D98">
            <w:pPr>
              <w:pStyle w:val="BlockText-Plain"/>
              <w:jc w:val="center"/>
            </w:pPr>
          </w:p>
        </w:tc>
        <w:tc>
          <w:tcPr>
            <w:tcW w:w="8367" w:type="dxa"/>
          </w:tcPr>
          <w:p w14:paraId="4AC5EA5B" w14:textId="77777777" w:rsidR="008B4402" w:rsidRPr="00C9343F" w:rsidRDefault="00690473" w:rsidP="00F66D98">
            <w:pPr>
              <w:pStyle w:val="BlockText-Plain"/>
            </w:pPr>
            <w:r w:rsidRPr="00C9343F">
              <w:t>A member must use the approved form to apply for leave to be absent from duty under this Part unless the supervisor is satisfied the member is unable to apply for leave on the approved form due to their illness or injury.</w:t>
            </w:r>
          </w:p>
        </w:tc>
      </w:tr>
    </w:tbl>
    <w:p w14:paraId="4CAD6018" w14:textId="258C4BA8" w:rsidR="008B4402" w:rsidRPr="00C9343F" w:rsidRDefault="008B4402" w:rsidP="00F66D98">
      <w:pPr>
        <w:pStyle w:val="Heading5"/>
      </w:pPr>
      <w:bookmarkStart w:id="1265" w:name="_Toc105053962"/>
      <w:r w:rsidRPr="00C9343F">
        <w:t>5.3.4</w:t>
      </w:r>
      <w:r w:rsidR="00D94006" w:rsidRPr="00C9343F">
        <w:t>    </w:t>
      </w:r>
      <w:r w:rsidRPr="00C9343F">
        <w:t>Medical absence without recommendation from a health professional</w:t>
      </w:r>
      <w:bookmarkEnd w:id="1265"/>
    </w:p>
    <w:tbl>
      <w:tblPr>
        <w:tblW w:w="9359" w:type="dxa"/>
        <w:tblInd w:w="113" w:type="dxa"/>
        <w:tblLayout w:type="fixed"/>
        <w:tblLook w:val="0000" w:firstRow="0" w:lastRow="0" w:firstColumn="0" w:lastColumn="0" w:noHBand="0" w:noVBand="0"/>
      </w:tblPr>
      <w:tblGrid>
        <w:gridCol w:w="992"/>
        <w:gridCol w:w="567"/>
        <w:gridCol w:w="7800"/>
      </w:tblGrid>
      <w:tr w:rsidR="008B4402" w:rsidRPr="00C9343F" w14:paraId="2D88E0A5" w14:textId="77777777" w:rsidTr="004F717D">
        <w:tc>
          <w:tcPr>
            <w:tcW w:w="992" w:type="dxa"/>
          </w:tcPr>
          <w:p w14:paraId="324C62AB" w14:textId="77777777" w:rsidR="008B4402" w:rsidRPr="00C9343F" w:rsidRDefault="008B4402" w:rsidP="00F66D98">
            <w:pPr>
              <w:pStyle w:val="BlockText-Plain"/>
              <w:jc w:val="center"/>
            </w:pPr>
            <w:r w:rsidRPr="00C9343F">
              <w:t>1.</w:t>
            </w:r>
          </w:p>
        </w:tc>
        <w:tc>
          <w:tcPr>
            <w:tcW w:w="8367" w:type="dxa"/>
            <w:gridSpan w:val="2"/>
          </w:tcPr>
          <w:p w14:paraId="37720DD1" w14:textId="77777777" w:rsidR="008B4402" w:rsidRPr="00C9343F" w:rsidRDefault="008B4402" w:rsidP="00F66D98">
            <w:pPr>
              <w:pStyle w:val="BlockText-Plain"/>
            </w:pPr>
            <w:r w:rsidRPr="00C9343F">
              <w:t>For the purpose of this section, a supervisor must be at one of these ranks or higher.</w:t>
            </w:r>
          </w:p>
        </w:tc>
      </w:tr>
      <w:tr w:rsidR="008B4402" w:rsidRPr="00C9343F" w14:paraId="4F19693C" w14:textId="77777777" w:rsidTr="004F717D">
        <w:trPr>
          <w:cantSplit/>
        </w:trPr>
        <w:tc>
          <w:tcPr>
            <w:tcW w:w="992" w:type="dxa"/>
          </w:tcPr>
          <w:p w14:paraId="771EEBFC" w14:textId="77777777" w:rsidR="008B4402" w:rsidRPr="00C9343F" w:rsidRDefault="008B4402" w:rsidP="00F66D98">
            <w:pPr>
              <w:pStyle w:val="BlockText-Plain"/>
            </w:pPr>
          </w:p>
        </w:tc>
        <w:tc>
          <w:tcPr>
            <w:tcW w:w="567" w:type="dxa"/>
          </w:tcPr>
          <w:p w14:paraId="78501EC6" w14:textId="77777777" w:rsidR="008B4402" w:rsidRPr="00C9343F" w:rsidRDefault="008B4402" w:rsidP="008D1B5D">
            <w:pPr>
              <w:pStyle w:val="BlockText-Plain"/>
              <w:jc w:val="center"/>
            </w:pPr>
            <w:r w:rsidRPr="00C9343F">
              <w:t>a.</w:t>
            </w:r>
          </w:p>
        </w:tc>
        <w:tc>
          <w:tcPr>
            <w:tcW w:w="7800" w:type="dxa"/>
          </w:tcPr>
          <w:p w14:paraId="34B9986D" w14:textId="77777777" w:rsidR="008B4402" w:rsidRPr="00C9343F" w:rsidRDefault="008B4402" w:rsidP="00F66D98">
            <w:pPr>
              <w:pStyle w:val="BlockText-Plain"/>
            </w:pPr>
            <w:r w:rsidRPr="00C9343F">
              <w:t>Warrant Officer Class 2.</w:t>
            </w:r>
          </w:p>
        </w:tc>
      </w:tr>
      <w:tr w:rsidR="008B4402" w:rsidRPr="00C9343F" w14:paraId="31C401FE" w14:textId="77777777" w:rsidTr="004F717D">
        <w:trPr>
          <w:cantSplit/>
        </w:trPr>
        <w:tc>
          <w:tcPr>
            <w:tcW w:w="992" w:type="dxa"/>
          </w:tcPr>
          <w:p w14:paraId="1CE70242" w14:textId="77777777" w:rsidR="008B4402" w:rsidRPr="00C9343F" w:rsidRDefault="008B4402" w:rsidP="00F66D98">
            <w:pPr>
              <w:pStyle w:val="BlockText-Plain"/>
            </w:pPr>
          </w:p>
        </w:tc>
        <w:tc>
          <w:tcPr>
            <w:tcW w:w="567" w:type="dxa"/>
          </w:tcPr>
          <w:p w14:paraId="654E612F" w14:textId="77777777" w:rsidR="008B4402" w:rsidRPr="00C9343F" w:rsidRDefault="008B4402" w:rsidP="008D1B5D">
            <w:pPr>
              <w:pStyle w:val="BlockText-Plain"/>
              <w:jc w:val="center"/>
            </w:pPr>
            <w:r w:rsidRPr="00C9343F">
              <w:t>b.</w:t>
            </w:r>
          </w:p>
        </w:tc>
        <w:tc>
          <w:tcPr>
            <w:tcW w:w="7800" w:type="dxa"/>
          </w:tcPr>
          <w:p w14:paraId="0AF345A8" w14:textId="77777777" w:rsidR="008B4402" w:rsidRPr="00C9343F" w:rsidRDefault="008B4402" w:rsidP="00F66D98">
            <w:pPr>
              <w:pStyle w:val="BlockText-Plain"/>
            </w:pPr>
            <w:r w:rsidRPr="00C9343F">
              <w:t>APS 4.</w:t>
            </w:r>
          </w:p>
        </w:tc>
      </w:tr>
      <w:tr w:rsidR="008B4402" w:rsidRPr="00C9343F" w14:paraId="5F696FBF" w14:textId="77777777" w:rsidTr="004F717D">
        <w:tc>
          <w:tcPr>
            <w:tcW w:w="992" w:type="dxa"/>
          </w:tcPr>
          <w:p w14:paraId="478D3D72" w14:textId="77777777" w:rsidR="008B4402" w:rsidRPr="00C9343F" w:rsidRDefault="008B4402" w:rsidP="00F66D98">
            <w:pPr>
              <w:pStyle w:val="BlockText-Plain"/>
              <w:jc w:val="center"/>
            </w:pPr>
            <w:r w:rsidRPr="00C9343F">
              <w:t>2.</w:t>
            </w:r>
          </w:p>
        </w:tc>
        <w:tc>
          <w:tcPr>
            <w:tcW w:w="8367" w:type="dxa"/>
            <w:gridSpan w:val="2"/>
          </w:tcPr>
          <w:p w14:paraId="107B25E5" w14:textId="77777777" w:rsidR="008B4402" w:rsidRPr="00C9343F" w:rsidRDefault="008B4402" w:rsidP="00F66D98">
            <w:pPr>
              <w:pStyle w:val="BlockText-Plain"/>
            </w:pPr>
            <w:r w:rsidRPr="00C9343F">
              <w:t xml:space="preserve">A member may apply to take a day of leave to be absent from duty as a medical absence without providing a medical certificate for that day, if they provide a statement that they are unfit to work on that day for health reasons. </w:t>
            </w:r>
          </w:p>
        </w:tc>
      </w:tr>
      <w:tr w:rsidR="008B4402" w:rsidRPr="00C9343F" w14:paraId="7B0875E4" w14:textId="77777777" w:rsidTr="004F717D">
        <w:tc>
          <w:tcPr>
            <w:tcW w:w="992" w:type="dxa"/>
          </w:tcPr>
          <w:p w14:paraId="6AF0DD02" w14:textId="77777777" w:rsidR="008B4402" w:rsidRPr="00C9343F" w:rsidRDefault="008B4402" w:rsidP="00F66D98">
            <w:pPr>
              <w:pStyle w:val="BlockText-Plain"/>
              <w:jc w:val="center"/>
            </w:pPr>
            <w:r w:rsidRPr="00C9343F">
              <w:t>3.</w:t>
            </w:r>
          </w:p>
        </w:tc>
        <w:tc>
          <w:tcPr>
            <w:tcW w:w="8367" w:type="dxa"/>
            <w:gridSpan w:val="2"/>
          </w:tcPr>
          <w:p w14:paraId="355B81C6" w14:textId="77777777" w:rsidR="008B4402" w:rsidRPr="00C9343F" w:rsidRDefault="008B4402" w:rsidP="00F66D98">
            <w:pPr>
              <w:pStyle w:val="BlockText-Plain"/>
            </w:pPr>
            <w:r w:rsidRPr="00C9343F">
              <w:t>A supervisor may grant a day of medical absence under this section to the member on a day-to-day basis for a maximum of three consecutive days, for a period of illness or injury.</w:t>
            </w:r>
          </w:p>
          <w:p w14:paraId="128E6013" w14:textId="77777777" w:rsidR="008B4402" w:rsidRPr="00C9343F" w:rsidRDefault="008B4402" w:rsidP="00F66D98">
            <w:pPr>
              <w:pStyle w:val="BlockText-Plain"/>
            </w:pPr>
            <w:r w:rsidRPr="00C9343F">
              <w:rPr>
                <w:b/>
              </w:rPr>
              <w:t>Note:</w:t>
            </w:r>
            <w:r w:rsidRPr="00C9343F">
              <w:t xml:space="preserve"> Each day must be granted separately by the supervisor. An aggregated period of several days of medical absence can only be granted under section 5.3.5.</w:t>
            </w:r>
          </w:p>
        </w:tc>
      </w:tr>
      <w:tr w:rsidR="008B4402" w:rsidRPr="00C9343F" w14:paraId="028112A5" w14:textId="77777777" w:rsidTr="004F717D">
        <w:tc>
          <w:tcPr>
            <w:tcW w:w="992" w:type="dxa"/>
          </w:tcPr>
          <w:p w14:paraId="1DC2CA3A" w14:textId="77777777" w:rsidR="008B4402" w:rsidRPr="00C9343F" w:rsidRDefault="008B4402" w:rsidP="00F66D98">
            <w:pPr>
              <w:pStyle w:val="BlockText-Plain"/>
              <w:jc w:val="center"/>
            </w:pPr>
            <w:r w:rsidRPr="00C9343F">
              <w:t>4.</w:t>
            </w:r>
          </w:p>
        </w:tc>
        <w:tc>
          <w:tcPr>
            <w:tcW w:w="8367" w:type="dxa"/>
            <w:gridSpan w:val="2"/>
          </w:tcPr>
          <w:p w14:paraId="54D4CB1E" w14:textId="77777777" w:rsidR="008B4402" w:rsidRPr="00C9343F" w:rsidRDefault="008B4402" w:rsidP="00F66D98">
            <w:pPr>
              <w:pStyle w:val="BlockText-Plain"/>
            </w:pPr>
            <w:r w:rsidRPr="00C9343F">
              <w:t>In relation to the decision under subsection 3, the supervisor may take any of the following actions.</w:t>
            </w:r>
          </w:p>
        </w:tc>
      </w:tr>
      <w:tr w:rsidR="008B4402" w:rsidRPr="00C9343F" w14:paraId="6B1EFE34" w14:textId="77777777" w:rsidTr="004F717D">
        <w:trPr>
          <w:cantSplit/>
        </w:trPr>
        <w:tc>
          <w:tcPr>
            <w:tcW w:w="992" w:type="dxa"/>
          </w:tcPr>
          <w:p w14:paraId="2CB50821" w14:textId="77777777" w:rsidR="008B4402" w:rsidRPr="00C9343F" w:rsidRDefault="008B4402" w:rsidP="00F66D98">
            <w:pPr>
              <w:pStyle w:val="BlockText-Plain"/>
            </w:pPr>
          </w:p>
        </w:tc>
        <w:tc>
          <w:tcPr>
            <w:tcW w:w="567" w:type="dxa"/>
          </w:tcPr>
          <w:p w14:paraId="380598B5" w14:textId="77777777" w:rsidR="008B4402" w:rsidRPr="00C9343F" w:rsidRDefault="008B4402" w:rsidP="008D1B5D">
            <w:pPr>
              <w:pStyle w:val="BlockText-Plain"/>
              <w:jc w:val="center"/>
            </w:pPr>
            <w:r w:rsidRPr="00C9343F">
              <w:t>a.</w:t>
            </w:r>
          </w:p>
        </w:tc>
        <w:tc>
          <w:tcPr>
            <w:tcW w:w="7800" w:type="dxa"/>
          </w:tcPr>
          <w:p w14:paraId="49C02382" w14:textId="77777777" w:rsidR="008B4402" w:rsidRPr="00C9343F" w:rsidRDefault="008B4402" w:rsidP="00F66D98">
            <w:pPr>
              <w:pStyle w:val="BlockText-Plain"/>
            </w:pPr>
            <w:r w:rsidRPr="00C9343F">
              <w:t>The supervisor may make the decision without the advice of an authorised health professional.</w:t>
            </w:r>
          </w:p>
        </w:tc>
      </w:tr>
      <w:tr w:rsidR="008B4402" w:rsidRPr="00C9343F" w14:paraId="0BEAAA40" w14:textId="77777777" w:rsidTr="004F717D">
        <w:trPr>
          <w:cantSplit/>
        </w:trPr>
        <w:tc>
          <w:tcPr>
            <w:tcW w:w="992" w:type="dxa"/>
          </w:tcPr>
          <w:p w14:paraId="1F0AF1C6" w14:textId="77777777" w:rsidR="008B4402" w:rsidRPr="00C9343F" w:rsidRDefault="008B4402" w:rsidP="00F66D98">
            <w:pPr>
              <w:pStyle w:val="BlockText-Plain"/>
            </w:pPr>
          </w:p>
        </w:tc>
        <w:tc>
          <w:tcPr>
            <w:tcW w:w="567" w:type="dxa"/>
          </w:tcPr>
          <w:p w14:paraId="01EA0D87" w14:textId="77777777" w:rsidR="008B4402" w:rsidRPr="00C9343F" w:rsidRDefault="008B4402" w:rsidP="008D1B5D">
            <w:pPr>
              <w:pStyle w:val="BlockText-Plain"/>
              <w:jc w:val="center"/>
            </w:pPr>
            <w:r w:rsidRPr="00C9343F">
              <w:t>b.</w:t>
            </w:r>
          </w:p>
        </w:tc>
        <w:tc>
          <w:tcPr>
            <w:tcW w:w="7800" w:type="dxa"/>
          </w:tcPr>
          <w:p w14:paraId="0B15AA4B" w14:textId="77777777" w:rsidR="008B4402" w:rsidRPr="00C9343F" w:rsidRDefault="008B4402" w:rsidP="00F66D98">
            <w:pPr>
              <w:pStyle w:val="BlockText-Plain"/>
            </w:pPr>
            <w:r w:rsidRPr="00C9343F">
              <w:t>The supervisor may seek advice from an authorised health professional before making the decision.</w:t>
            </w:r>
          </w:p>
          <w:p w14:paraId="5932C634" w14:textId="77777777" w:rsidR="008B4402" w:rsidRPr="00C9343F" w:rsidRDefault="008B4402" w:rsidP="00F66D98">
            <w:pPr>
              <w:pStyle w:val="BlockText-Plain"/>
              <w:rPr>
                <w:b/>
              </w:rPr>
            </w:pPr>
            <w:r w:rsidRPr="00C9343F">
              <w:rPr>
                <w:b/>
              </w:rPr>
              <w:t xml:space="preserve">Note: </w:t>
            </w:r>
            <w:r w:rsidRPr="00C9343F">
              <w:t>Personal or health information directly related to the member must not to be provided without the consent of the member.</w:t>
            </w:r>
          </w:p>
        </w:tc>
      </w:tr>
      <w:tr w:rsidR="008B4402" w:rsidRPr="00C9343F" w14:paraId="31A647EE" w14:textId="77777777" w:rsidTr="004F717D">
        <w:trPr>
          <w:cantSplit/>
        </w:trPr>
        <w:tc>
          <w:tcPr>
            <w:tcW w:w="992" w:type="dxa"/>
          </w:tcPr>
          <w:p w14:paraId="44921CFC" w14:textId="77777777" w:rsidR="008B4402" w:rsidRPr="00C9343F" w:rsidRDefault="008B4402" w:rsidP="00F66D98">
            <w:pPr>
              <w:pStyle w:val="BlockText-Plain"/>
            </w:pPr>
          </w:p>
        </w:tc>
        <w:tc>
          <w:tcPr>
            <w:tcW w:w="567" w:type="dxa"/>
          </w:tcPr>
          <w:p w14:paraId="346ED12E" w14:textId="77777777" w:rsidR="008B4402" w:rsidRPr="00C9343F" w:rsidRDefault="008B4402" w:rsidP="008D1B5D">
            <w:pPr>
              <w:pStyle w:val="BlockText-Plain"/>
              <w:jc w:val="center"/>
            </w:pPr>
            <w:r w:rsidRPr="00C9343F">
              <w:t>c.</w:t>
            </w:r>
          </w:p>
        </w:tc>
        <w:tc>
          <w:tcPr>
            <w:tcW w:w="7800" w:type="dxa"/>
          </w:tcPr>
          <w:p w14:paraId="1A5B9F30" w14:textId="77777777" w:rsidR="008B4402" w:rsidRPr="00C9343F" w:rsidRDefault="008B4402" w:rsidP="00F66D98">
            <w:pPr>
              <w:pStyle w:val="BlockText-Plain"/>
            </w:pPr>
            <w:r w:rsidRPr="00C9343F">
              <w:t xml:space="preserve">The supervisor may at any time direct the member to seek assessment by a health professional, in relation to the reason for the leave. </w:t>
            </w:r>
          </w:p>
          <w:p w14:paraId="47F6C73C" w14:textId="77777777" w:rsidR="008B4402" w:rsidRPr="00C9343F" w:rsidRDefault="008B4402" w:rsidP="00F66D98">
            <w:pPr>
              <w:pStyle w:val="BlockText-Plain"/>
            </w:pPr>
            <w:r w:rsidRPr="00C9343F">
              <w:rPr>
                <w:b/>
              </w:rPr>
              <w:t xml:space="preserve">Note 1: </w:t>
            </w:r>
            <w:r w:rsidRPr="00C9343F">
              <w:t xml:space="preserve">If medical absence is granted under this section, the direction is to be taken as a condition on the grant of the medical absence. </w:t>
            </w:r>
          </w:p>
          <w:p w14:paraId="59050BE5" w14:textId="006E21FE" w:rsidR="008B4402" w:rsidRPr="00C9343F" w:rsidRDefault="008B4402" w:rsidP="00F66D98">
            <w:pPr>
              <w:pStyle w:val="BlockText-Plain"/>
            </w:pPr>
            <w:r w:rsidRPr="00C9343F">
              <w:rPr>
                <w:b/>
              </w:rPr>
              <w:t>Note 2:</w:t>
            </w:r>
            <w:r w:rsidRPr="00C9343F">
              <w:t xml:space="preserve"> If medical absence is refused under this section, the direction ensures that the member seeks prompt advice from a health professional, who may recommend a medical absence for the purpose of section 5.3.5.</w:t>
            </w:r>
          </w:p>
        </w:tc>
      </w:tr>
      <w:tr w:rsidR="008B4402" w:rsidRPr="00C9343F" w14:paraId="5D958375" w14:textId="77777777" w:rsidTr="004F717D">
        <w:trPr>
          <w:cantSplit/>
        </w:trPr>
        <w:tc>
          <w:tcPr>
            <w:tcW w:w="992" w:type="dxa"/>
          </w:tcPr>
          <w:p w14:paraId="532232FA" w14:textId="77777777" w:rsidR="008B4402" w:rsidRPr="00C9343F" w:rsidRDefault="008B4402" w:rsidP="00F66D98">
            <w:pPr>
              <w:pStyle w:val="BlockText-Plain"/>
            </w:pPr>
          </w:p>
        </w:tc>
        <w:tc>
          <w:tcPr>
            <w:tcW w:w="567" w:type="dxa"/>
          </w:tcPr>
          <w:p w14:paraId="620A7F87" w14:textId="77777777" w:rsidR="008B4402" w:rsidRPr="00C9343F" w:rsidRDefault="008B4402" w:rsidP="008D1B5D">
            <w:pPr>
              <w:pStyle w:val="BlockText-Plain"/>
              <w:jc w:val="center"/>
            </w:pPr>
            <w:r w:rsidRPr="00C9343F">
              <w:t>d.</w:t>
            </w:r>
          </w:p>
        </w:tc>
        <w:tc>
          <w:tcPr>
            <w:tcW w:w="7800" w:type="dxa"/>
          </w:tcPr>
          <w:p w14:paraId="47CB4EA9" w14:textId="77777777" w:rsidR="008B4402" w:rsidRPr="00C9343F" w:rsidRDefault="008B4402" w:rsidP="00F66D98">
            <w:pPr>
              <w:pStyle w:val="BlockText-Plain"/>
            </w:pPr>
            <w:r w:rsidRPr="00C9343F">
              <w:t>The supervisor may decide not to approve the leave.</w:t>
            </w:r>
          </w:p>
        </w:tc>
      </w:tr>
      <w:tr w:rsidR="008B4402" w:rsidRPr="00C9343F" w14:paraId="7CF89C60" w14:textId="77777777" w:rsidTr="004F717D">
        <w:tc>
          <w:tcPr>
            <w:tcW w:w="992" w:type="dxa"/>
          </w:tcPr>
          <w:p w14:paraId="4BE10615" w14:textId="77777777" w:rsidR="008B4402" w:rsidRPr="00C9343F" w:rsidRDefault="008B4402" w:rsidP="00F66D98">
            <w:pPr>
              <w:pStyle w:val="BlockText-Plain"/>
              <w:jc w:val="center"/>
            </w:pPr>
            <w:r w:rsidRPr="00C9343F">
              <w:t>5.</w:t>
            </w:r>
          </w:p>
        </w:tc>
        <w:tc>
          <w:tcPr>
            <w:tcW w:w="8367" w:type="dxa"/>
            <w:gridSpan w:val="2"/>
          </w:tcPr>
          <w:p w14:paraId="12B320A9" w14:textId="77777777" w:rsidR="008B4402" w:rsidRPr="00C9343F" w:rsidRDefault="008B4402" w:rsidP="00F66D98">
            <w:pPr>
              <w:pStyle w:val="BlockText-Plain"/>
            </w:pPr>
            <w:r w:rsidRPr="00C9343F">
              <w:t>If the member is being treated under a crisis management plan, the supervisor must only approve leave as recommended by a health professional under section 5.3.5.</w:t>
            </w:r>
          </w:p>
        </w:tc>
      </w:tr>
    </w:tbl>
    <w:p w14:paraId="68941CC9" w14:textId="49D887A0" w:rsidR="008B4402" w:rsidRPr="00C9343F" w:rsidRDefault="008B4402" w:rsidP="00F66D98">
      <w:pPr>
        <w:pStyle w:val="Heading5"/>
      </w:pPr>
      <w:bookmarkStart w:id="1266" w:name="_Toc105053963"/>
      <w:r w:rsidRPr="00C9343F">
        <w:t>5.3.5</w:t>
      </w:r>
      <w:r w:rsidR="00D94006" w:rsidRPr="00C9343F">
        <w:t>    </w:t>
      </w:r>
      <w:r w:rsidRPr="00C9343F">
        <w:t>Medical absence on recommendation from a health professional</w:t>
      </w:r>
      <w:bookmarkEnd w:id="1266"/>
    </w:p>
    <w:tbl>
      <w:tblPr>
        <w:tblW w:w="9359" w:type="dxa"/>
        <w:tblInd w:w="113" w:type="dxa"/>
        <w:tblLayout w:type="fixed"/>
        <w:tblLook w:val="0000" w:firstRow="0" w:lastRow="0" w:firstColumn="0" w:lastColumn="0" w:noHBand="0" w:noVBand="0"/>
      </w:tblPr>
      <w:tblGrid>
        <w:gridCol w:w="992"/>
        <w:gridCol w:w="567"/>
        <w:gridCol w:w="7800"/>
      </w:tblGrid>
      <w:tr w:rsidR="008B4402" w:rsidRPr="00C9343F" w14:paraId="226F4FE1" w14:textId="77777777" w:rsidTr="00DB2841">
        <w:tc>
          <w:tcPr>
            <w:tcW w:w="992" w:type="dxa"/>
          </w:tcPr>
          <w:p w14:paraId="15214C6C" w14:textId="77777777" w:rsidR="008B4402" w:rsidRPr="00C9343F" w:rsidRDefault="008B4402" w:rsidP="00F66D98">
            <w:pPr>
              <w:pStyle w:val="BlockText-Plain"/>
              <w:jc w:val="center"/>
            </w:pPr>
            <w:r w:rsidRPr="00C9343F">
              <w:t>1.</w:t>
            </w:r>
          </w:p>
        </w:tc>
        <w:tc>
          <w:tcPr>
            <w:tcW w:w="8367" w:type="dxa"/>
            <w:gridSpan w:val="2"/>
          </w:tcPr>
          <w:p w14:paraId="397D994F" w14:textId="77777777" w:rsidR="008B4402" w:rsidRPr="00C9343F" w:rsidRDefault="008B4402" w:rsidP="00F66D98">
            <w:pPr>
              <w:pStyle w:val="BlockText-Plain"/>
            </w:pPr>
            <w:r w:rsidRPr="00C9343F">
              <w:t>A supervisor may approve a member's application to be absent from duty for a period of one day or more, having regard to all of the following circumstances.</w:t>
            </w:r>
          </w:p>
        </w:tc>
      </w:tr>
      <w:tr w:rsidR="008B4402" w:rsidRPr="00C9343F" w14:paraId="7B1AB348" w14:textId="77777777" w:rsidTr="00DB2841">
        <w:trPr>
          <w:cantSplit/>
        </w:trPr>
        <w:tc>
          <w:tcPr>
            <w:tcW w:w="992" w:type="dxa"/>
          </w:tcPr>
          <w:p w14:paraId="23583EF6" w14:textId="77777777" w:rsidR="008B4402" w:rsidRPr="00C9343F" w:rsidRDefault="008B4402" w:rsidP="00F66D98">
            <w:pPr>
              <w:pStyle w:val="BlockText-Plain"/>
            </w:pPr>
          </w:p>
        </w:tc>
        <w:tc>
          <w:tcPr>
            <w:tcW w:w="567" w:type="dxa"/>
          </w:tcPr>
          <w:p w14:paraId="0B741D24" w14:textId="77777777" w:rsidR="008B4402" w:rsidRPr="00C9343F" w:rsidRDefault="008B4402" w:rsidP="008D1B5D">
            <w:pPr>
              <w:pStyle w:val="BlockText-Plain"/>
              <w:jc w:val="center"/>
            </w:pPr>
            <w:r w:rsidRPr="00C9343F">
              <w:t>a.</w:t>
            </w:r>
          </w:p>
        </w:tc>
        <w:tc>
          <w:tcPr>
            <w:tcW w:w="7800" w:type="dxa"/>
          </w:tcPr>
          <w:p w14:paraId="008EA348" w14:textId="77777777" w:rsidR="008B4402" w:rsidRPr="00C9343F" w:rsidRDefault="008B4402" w:rsidP="00F66D98">
            <w:pPr>
              <w:pStyle w:val="BlockText-Plain"/>
            </w:pPr>
            <w:r w:rsidRPr="00C9343F">
              <w:t>The period of leave that the member has applied for.</w:t>
            </w:r>
          </w:p>
        </w:tc>
      </w:tr>
      <w:tr w:rsidR="008B4402" w:rsidRPr="00C9343F" w14:paraId="541B837A" w14:textId="77777777" w:rsidTr="00DB2841">
        <w:trPr>
          <w:cantSplit/>
        </w:trPr>
        <w:tc>
          <w:tcPr>
            <w:tcW w:w="992" w:type="dxa"/>
          </w:tcPr>
          <w:p w14:paraId="4A5CBEDA" w14:textId="77777777" w:rsidR="008B4402" w:rsidRPr="00C9343F" w:rsidRDefault="008B4402" w:rsidP="00F66D98">
            <w:pPr>
              <w:pStyle w:val="BlockText-Plain"/>
            </w:pPr>
          </w:p>
        </w:tc>
        <w:tc>
          <w:tcPr>
            <w:tcW w:w="567" w:type="dxa"/>
          </w:tcPr>
          <w:p w14:paraId="63129393" w14:textId="77777777" w:rsidR="008B4402" w:rsidRPr="00C9343F" w:rsidRDefault="008B4402" w:rsidP="008D1B5D">
            <w:pPr>
              <w:pStyle w:val="BlockText-Plain"/>
              <w:jc w:val="center"/>
            </w:pPr>
            <w:r w:rsidRPr="00C9343F">
              <w:t>b.</w:t>
            </w:r>
          </w:p>
        </w:tc>
        <w:tc>
          <w:tcPr>
            <w:tcW w:w="7800" w:type="dxa"/>
          </w:tcPr>
          <w:p w14:paraId="5AB45B32" w14:textId="77777777" w:rsidR="008B4402" w:rsidRPr="00C9343F" w:rsidRDefault="008B4402" w:rsidP="00F66D98">
            <w:pPr>
              <w:pStyle w:val="BlockText-Plain"/>
            </w:pPr>
            <w:r w:rsidRPr="00C9343F">
              <w:t>Any recommendation of a health professional. This could include recommendations as to the member's care, remaining in a health facility or undertaking follow-up treatment. The supervisor may make the grant of leave conditional on these recommendations being followed.</w:t>
            </w:r>
          </w:p>
        </w:tc>
      </w:tr>
      <w:tr w:rsidR="008B4402" w:rsidRPr="00C9343F" w14:paraId="0A6D7F3B" w14:textId="77777777" w:rsidTr="00DB2841">
        <w:trPr>
          <w:cantSplit/>
        </w:trPr>
        <w:tc>
          <w:tcPr>
            <w:tcW w:w="992" w:type="dxa"/>
          </w:tcPr>
          <w:p w14:paraId="15D85D61" w14:textId="77777777" w:rsidR="008B4402" w:rsidRPr="00C9343F" w:rsidRDefault="008B4402" w:rsidP="00F66D98">
            <w:pPr>
              <w:pStyle w:val="BlockText-Plain"/>
            </w:pPr>
          </w:p>
        </w:tc>
        <w:tc>
          <w:tcPr>
            <w:tcW w:w="567" w:type="dxa"/>
          </w:tcPr>
          <w:p w14:paraId="2883220A" w14:textId="77777777" w:rsidR="008B4402" w:rsidRPr="00C9343F" w:rsidRDefault="008B4402" w:rsidP="008D1B5D">
            <w:pPr>
              <w:pStyle w:val="BlockText-Plain"/>
              <w:jc w:val="center"/>
            </w:pPr>
            <w:r w:rsidRPr="00C9343F">
              <w:t>c.</w:t>
            </w:r>
          </w:p>
        </w:tc>
        <w:tc>
          <w:tcPr>
            <w:tcW w:w="7800" w:type="dxa"/>
          </w:tcPr>
          <w:p w14:paraId="49BD9E44" w14:textId="77777777" w:rsidR="008B4402" w:rsidRPr="00C9343F" w:rsidRDefault="008B4402" w:rsidP="00F66D98">
            <w:pPr>
              <w:pStyle w:val="BlockText-Plain"/>
            </w:pPr>
            <w:r w:rsidRPr="00C9343F">
              <w:t>Any other relevant matter.</w:t>
            </w:r>
          </w:p>
        </w:tc>
      </w:tr>
      <w:tr w:rsidR="008B4402" w:rsidRPr="00C9343F" w14:paraId="573B6E0E" w14:textId="77777777" w:rsidTr="00DB2841">
        <w:tc>
          <w:tcPr>
            <w:tcW w:w="992" w:type="dxa"/>
          </w:tcPr>
          <w:p w14:paraId="25B6BCD2" w14:textId="77777777" w:rsidR="008B4402" w:rsidRPr="00C9343F" w:rsidRDefault="008B4402" w:rsidP="00F66D98">
            <w:pPr>
              <w:pStyle w:val="BlockText-Plain"/>
              <w:jc w:val="center"/>
            </w:pPr>
            <w:r w:rsidRPr="00C9343F">
              <w:t>2.</w:t>
            </w:r>
          </w:p>
        </w:tc>
        <w:tc>
          <w:tcPr>
            <w:tcW w:w="8367" w:type="dxa"/>
            <w:gridSpan w:val="2"/>
          </w:tcPr>
          <w:p w14:paraId="6E769B94" w14:textId="77777777" w:rsidR="008B4402" w:rsidRPr="00C9343F" w:rsidRDefault="008B4402" w:rsidP="00F66D98">
            <w:pPr>
              <w:pStyle w:val="BlockText-Plain"/>
            </w:pPr>
            <w:r w:rsidRPr="00C9343F">
              <w:t>The supervisor may direct the member to seek further assessment by a Defence health professional, in relation to the reason for the leave. The direction may be given at any time in relation to the grant of medical absence.</w:t>
            </w:r>
          </w:p>
        </w:tc>
      </w:tr>
      <w:tr w:rsidR="008B4402" w:rsidRPr="00C9343F" w14:paraId="140E1419" w14:textId="77777777" w:rsidTr="00DB2841">
        <w:tc>
          <w:tcPr>
            <w:tcW w:w="992" w:type="dxa"/>
          </w:tcPr>
          <w:p w14:paraId="1DFA0181" w14:textId="77777777" w:rsidR="008B4402" w:rsidRPr="00C9343F" w:rsidRDefault="008B4402" w:rsidP="00F66D98">
            <w:pPr>
              <w:pStyle w:val="BlockText-Plain"/>
              <w:jc w:val="center"/>
            </w:pPr>
            <w:r w:rsidRPr="00C9343F">
              <w:t>3.</w:t>
            </w:r>
          </w:p>
        </w:tc>
        <w:tc>
          <w:tcPr>
            <w:tcW w:w="8367" w:type="dxa"/>
            <w:gridSpan w:val="2"/>
          </w:tcPr>
          <w:p w14:paraId="1B18735A" w14:textId="77777777" w:rsidR="008B4402" w:rsidRPr="00C9343F" w:rsidRDefault="008B4402" w:rsidP="00F66D98">
            <w:pPr>
              <w:pStyle w:val="BlockText-Plain"/>
            </w:pPr>
            <w:r w:rsidRPr="00C9343F">
              <w:t xml:space="preserve">Up to three days of absence can be recommended by a health professional who does not provide services for Defence. If the application relates to an absence of more than 3 days, then the recommendation of a Defence health professional is required to support the application. </w:t>
            </w:r>
          </w:p>
        </w:tc>
      </w:tr>
      <w:tr w:rsidR="008B4402" w:rsidRPr="00C9343F" w14:paraId="65E25DCD" w14:textId="77777777" w:rsidTr="00DB2841">
        <w:tc>
          <w:tcPr>
            <w:tcW w:w="992" w:type="dxa"/>
          </w:tcPr>
          <w:p w14:paraId="7B25B2BC" w14:textId="77777777" w:rsidR="008B4402" w:rsidRPr="00C9343F" w:rsidRDefault="008B4402" w:rsidP="00F66D98">
            <w:pPr>
              <w:pStyle w:val="BlockText-Plain"/>
              <w:jc w:val="center"/>
            </w:pPr>
          </w:p>
        </w:tc>
        <w:tc>
          <w:tcPr>
            <w:tcW w:w="8367" w:type="dxa"/>
            <w:gridSpan w:val="2"/>
          </w:tcPr>
          <w:p w14:paraId="7046C437" w14:textId="7D01C51F" w:rsidR="008B4402" w:rsidRPr="00C9343F" w:rsidRDefault="00DB2841" w:rsidP="00F66D98">
            <w:pPr>
              <w:pStyle w:val="BlockText-Plain"/>
            </w:pPr>
            <w:r w:rsidRPr="00C9343F">
              <w:rPr>
                <w:b/>
              </w:rPr>
              <w:t>Note</w:t>
            </w:r>
            <w:r w:rsidR="008B4402" w:rsidRPr="00C9343F">
              <w:rPr>
                <w:b/>
              </w:rPr>
              <w:t>:</w:t>
            </w:r>
            <w:r w:rsidR="008B4402" w:rsidRPr="00C9343F">
              <w:t xml:space="preserve"> Regulation 35 of the </w:t>
            </w:r>
            <w:r w:rsidR="008B4402" w:rsidRPr="00C9343F">
              <w:rPr>
                <w:i/>
              </w:rPr>
              <w:t xml:space="preserve">Work Health and Safety Regulations 2011 </w:t>
            </w:r>
            <w:r w:rsidR="008B4402" w:rsidRPr="00C9343F">
              <w:t>requires Defence to identify risks and hazards and to eliminate or minimise any risks to health and safety.</w:t>
            </w:r>
          </w:p>
        </w:tc>
      </w:tr>
      <w:tr w:rsidR="008B4402" w:rsidRPr="00C9343F" w14:paraId="20C8CF48" w14:textId="77777777" w:rsidTr="00DB2841">
        <w:tc>
          <w:tcPr>
            <w:tcW w:w="992" w:type="dxa"/>
          </w:tcPr>
          <w:p w14:paraId="38356A00" w14:textId="77777777" w:rsidR="008B4402" w:rsidRPr="00C9343F" w:rsidRDefault="008B4402" w:rsidP="00F66D98">
            <w:pPr>
              <w:pStyle w:val="BlockText-Plain"/>
              <w:jc w:val="center"/>
            </w:pPr>
          </w:p>
        </w:tc>
        <w:tc>
          <w:tcPr>
            <w:tcW w:w="8367" w:type="dxa"/>
            <w:gridSpan w:val="2"/>
          </w:tcPr>
          <w:p w14:paraId="74304462" w14:textId="77777777" w:rsidR="008B4402" w:rsidRPr="00C9343F" w:rsidRDefault="008B4402" w:rsidP="00F66D98">
            <w:pPr>
              <w:pStyle w:val="BlockText-Plain"/>
              <w:rPr>
                <w:b/>
              </w:rPr>
            </w:pPr>
            <w:r w:rsidRPr="00C9343F">
              <w:rPr>
                <w:b/>
              </w:rPr>
              <w:t xml:space="preserve">Notes on disclosure of personal information: </w:t>
            </w:r>
          </w:p>
          <w:p w14:paraId="7ABC6141" w14:textId="77777777" w:rsidR="008B4402" w:rsidRPr="00C9343F" w:rsidRDefault="008B4402" w:rsidP="00F66D98">
            <w:pPr>
              <w:pStyle w:val="BlockText-Plain"/>
            </w:pPr>
            <w:r w:rsidRPr="00C9343F">
              <w:t xml:space="preserve">1. A Defence member may provide written consent for health information to be released to specific individuals in their chain of command.  </w:t>
            </w:r>
          </w:p>
          <w:p w14:paraId="27EBEBFB" w14:textId="77777777" w:rsidR="008B4402" w:rsidRPr="00C9343F" w:rsidRDefault="008B4402" w:rsidP="00F66D98">
            <w:pPr>
              <w:pStyle w:val="BlockText-Plain"/>
            </w:pPr>
            <w:r w:rsidRPr="00C9343F">
              <w:t xml:space="preserve">2. If the member's consent is not provided, then information can only be disclosed in accordance with the exemptions to the </w:t>
            </w:r>
            <w:r w:rsidRPr="00C9343F">
              <w:rPr>
                <w:i/>
              </w:rPr>
              <w:t>Privacy Act 1988</w:t>
            </w:r>
            <w:r w:rsidRPr="00C9343F">
              <w:t xml:space="preserve">. </w:t>
            </w:r>
          </w:p>
        </w:tc>
      </w:tr>
    </w:tbl>
    <w:p w14:paraId="52C4C17D" w14:textId="79B57ADC" w:rsidR="008B4402" w:rsidRPr="00C9343F" w:rsidRDefault="008B4402" w:rsidP="00F66D98">
      <w:pPr>
        <w:pStyle w:val="Heading5"/>
      </w:pPr>
      <w:bookmarkStart w:id="1267" w:name="_Toc105053964"/>
      <w:r w:rsidRPr="00C9343F">
        <w:t>5.3.6</w:t>
      </w:r>
      <w:r w:rsidR="00D94006" w:rsidRPr="00C9343F">
        <w:t>    </w:t>
      </w:r>
      <w:r w:rsidRPr="00C9343F">
        <w:t>Refusal to grant a medical absence</w:t>
      </w:r>
      <w:bookmarkEnd w:id="1267"/>
    </w:p>
    <w:tbl>
      <w:tblPr>
        <w:tblW w:w="9359" w:type="dxa"/>
        <w:tblInd w:w="113" w:type="dxa"/>
        <w:tblLayout w:type="fixed"/>
        <w:tblLook w:val="0000" w:firstRow="0" w:lastRow="0" w:firstColumn="0" w:lastColumn="0" w:noHBand="0" w:noVBand="0"/>
      </w:tblPr>
      <w:tblGrid>
        <w:gridCol w:w="992"/>
        <w:gridCol w:w="567"/>
        <w:gridCol w:w="567"/>
        <w:gridCol w:w="7233"/>
      </w:tblGrid>
      <w:tr w:rsidR="008B4402" w:rsidRPr="00C9343F" w14:paraId="319BBC63" w14:textId="77777777" w:rsidTr="00DB2841">
        <w:tc>
          <w:tcPr>
            <w:tcW w:w="992" w:type="dxa"/>
          </w:tcPr>
          <w:p w14:paraId="613FCB6C" w14:textId="77777777" w:rsidR="008B4402" w:rsidRPr="00C9343F" w:rsidRDefault="008B4402" w:rsidP="00F66D98">
            <w:pPr>
              <w:pStyle w:val="BlockText-Plain"/>
              <w:jc w:val="center"/>
            </w:pPr>
            <w:r w:rsidRPr="00C9343F">
              <w:t>1.</w:t>
            </w:r>
          </w:p>
        </w:tc>
        <w:tc>
          <w:tcPr>
            <w:tcW w:w="8367" w:type="dxa"/>
            <w:gridSpan w:val="3"/>
          </w:tcPr>
          <w:p w14:paraId="676BE777" w14:textId="77777777" w:rsidR="008B4402" w:rsidRPr="00C9343F" w:rsidRDefault="008B4402" w:rsidP="00F66D98">
            <w:pPr>
              <w:pStyle w:val="BlockText-Plain"/>
            </w:pPr>
            <w:r w:rsidRPr="00C9343F">
              <w:t xml:space="preserve">If a </w:t>
            </w:r>
            <w:r w:rsidRPr="00C9343F">
              <w:rPr>
                <w:b/>
                <w:i/>
              </w:rPr>
              <w:t>health</w:t>
            </w:r>
            <w:r w:rsidRPr="00C9343F">
              <w:t xml:space="preserve"> </w:t>
            </w:r>
            <w:r w:rsidRPr="00C9343F">
              <w:rPr>
                <w:b/>
                <w:i/>
              </w:rPr>
              <w:t>professional</w:t>
            </w:r>
            <w:r w:rsidRPr="00C9343F">
              <w:t xml:space="preserve"> has recommended that a member is unfit for duty, the supervisor may only refuse to grant the member a medical absence for the period of unfitness in either of the following circumstances. </w:t>
            </w:r>
          </w:p>
        </w:tc>
      </w:tr>
      <w:tr w:rsidR="008B4402" w:rsidRPr="00C9343F" w14:paraId="60BE82D1" w14:textId="77777777" w:rsidTr="00DB2841">
        <w:trPr>
          <w:cantSplit/>
        </w:trPr>
        <w:tc>
          <w:tcPr>
            <w:tcW w:w="992" w:type="dxa"/>
          </w:tcPr>
          <w:p w14:paraId="3E96FAFB" w14:textId="77777777" w:rsidR="008B4402" w:rsidRPr="00C9343F" w:rsidRDefault="008B4402" w:rsidP="00F66D98">
            <w:pPr>
              <w:pStyle w:val="BlockText-Plain"/>
            </w:pPr>
          </w:p>
        </w:tc>
        <w:tc>
          <w:tcPr>
            <w:tcW w:w="567" w:type="dxa"/>
          </w:tcPr>
          <w:p w14:paraId="412740EE" w14:textId="77777777" w:rsidR="008B4402" w:rsidRPr="00C9343F" w:rsidRDefault="008B4402" w:rsidP="008D1B5D">
            <w:pPr>
              <w:pStyle w:val="BlockText-Plain"/>
              <w:jc w:val="center"/>
            </w:pPr>
            <w:r w:rsidRPr="00C9343F">
              <w:t>a.</w:t>
            </w:r>
          </w:p>
        </w:tc>
        <w:tc>
          <w:tcPr>
            <w:tcW w:w="7800" w:type="dxa"/>
            <w:gridSpan w:val="2"/>
          </w:tcPr>
          <w:p w14:paraId="125BA465" w14:textId="3ECC8A3D" w:rsidR="008B4402" w:rsidRPr="00C9343F" w:rsidRDefault="008B4402" w:rsidP="00F66D98">
            <w:pPr>
              <w:pStyle w:val="BlockText-Plain"/>
            </w:pPr>
            <w:r w:rsidRPr="00C9343F">
              <w:t>There are alternate duties available that a health professional has confirmed that the member is fit to perform.</w:t>
            </w:r>
          </w:p>
        </w:tc>
      </w:tr>
      <w:tr w:rsidR="008B4402" w:rsidRPr="00C9343F" w14:paraId="20151135" w14:textId="77777777" w:rsidTr="00DB2841">
        <w:trPr>
          <w:cantSplit/>
        </w:trPr>
        <w:tc>
          <w:tcPr>
            <w:tcW w:w="992" w:type="dxa"/>
          </w:tcPr>
          <w:p w14:paraId="07AD7AC0" w14:textId="77777777" w:rsidR="008B4402" w:rsidRPr="00C9343F" w:rsidRDefault="008B4402" w:rsidP="00F66D98">
            <w:pPr>
              <w:pStyle w:val="BlockText-Plain"/>
            </w:pPr>
          </w:p>
        </w:tc>
        <w:tc>
          <w:tcPr>
            <w:tcW w:w="567" w:type="dxa"/>
          </w:tcPr>
          <w:p w14:paraId="254ABDAA" w14:textId="77777777" w:rsidR="008B4402" w:rsidRPr="00C9343F" w:rsidRDefault="008B4402" w:rsidP="008D1B5D">
            <w:pPr>
              <w:pStyle w:val="BlockText-Plain"/>
              <w:jc w:val="center"/>
            </w:pPr>
            <w:r w:rsidRPr="00C9343F">
              <w:t>b.</w:t>
            </w:r>
          </w:p>
        </w:tc>
        <w:tc>
          <w:tcPr>
            <w:tcW w:w="7800" w:type="dxa"/>
            <w:gridSpan w:val="2"/>
          </w:tcPr>
          <w:p w14:paraId="3F5AF927" w14:textId="77777777" w:rsidR="008B4402" w:rsidRPr="00C9343F" w:rsidRDefault="008B4402" w:rsidP="00F66D98">
            <w:pPr>
              <w:pStyle w:val="BlockText-Plain"/>
            </w:pPr>
            <w:r w:rsidRPr="00C9343F">
              <w:t xml:space="preserve">There are no alternate duties that the member is fit to perform and the supervisor has performed a written risk assessment setting out how the risks related to the member's attending for duty can be eliminated or minimised, having regard to all of the following. </w:t>
            </w:r>
          </w:p>
        </w:tc>
      </w:tr>
      <w:tr w:rsidR="008B4402" w:rsidRPr="00C9343F" w14:paraId="5CB62507" w14:textId="77777777" w:rsidTr="00DB2841">
        <w:trPr>
          <w:cantSplit/>
        </w:trPr>
        <w:tc>
          <w:tcPr>
            <w:tcW w:w="1559" w:type="dxa"/>
            <w:gridSpan w:val="2"/>
          </w:tcPr>
          <w:p w14:paraId="6341CF08" w14:textId="77777777" w:rsidR="008B4402" w:rsidRPr="00C9343F" w:rsidRDefault="008B4402" w:rsidP="00F66D98">
            <w:pPr>
              <w:pStyle w:val="BlockText-Plain"/>
            </w:pPr>
          </w:p>
        </w:tc>
        <w:tc>
          <w:tcPr>
            <w:tcW w:w="567" w:type="dxa"/>
          </w:tcPr>
          <w:p w14:paraId="6EB04942" w14:textId="77777777" w:rsidR="008B4402" w:rsidRPr="00C9343F" w:rsidRDefault="008B4402" w:rsidP="008D1B5D">
            <w:pPr>
              <w:pStyle w:val="BlockText-Plain"/>
            </w:pPr>
            <w:r w:rsidRPr="00C9343F">
              <w:t>i.</w:t>
            </w:r>
          </w:p>
        </w:tc>
        <w:tc>
          <w:tcPr>
            <w:tcW w:w="7233" w:type="dxa"/>
          </w:tcPr>
          <w:p w14:paraId="7BF763A1" w14:textId="77777777" w:rsidR="008B4402" w:rsidRPr="00C9343F" w:rsidRDefault="008B4402" w:rsidP="00F66D98">
            <w:pPr>
              <w:pStyle w:val="BlockText-Plain"/>
            </w:pPr>
            <w:r w:rsidRPr="00C9343F">
              <w:t>The risk to the health of the member.</w:t>
            </w:r>
          </w:p>
        </w:tc>
      </w:tr>
      <w:tr w:rsidR="008B4402" w:rsidRPr="00C9343F" w14:paraId="1A47ED17" w14:textId="77777777" w:rsidTr="00DB2841">
        <w:trPr>
          <w:cantSplit/>
        </w:trPr>
        <w:tc>
          <w:tcPr>
            <w:tcW w:w="1559" w:type="dxa"/>
            <w:gridSpan w:val="2"/>
          </w:tcPr>
          <w:p w14:paraId="52B75C07" w14:textId="77777777" w:rsidR="008B4402" w:rsidRPr="00C9343F" w:rsidRDefault="008B4402" w:rsidP="00F66D98">
            <w:pPr>
              <w:pStyle w:val="BlockText-Plain"/>
            </w:pPr>
          </w:p>
        </w:tc>
        <w:tc>
          <w:tcPr>
            <w:tcW w:w="567" w:type="dxa"/>
          </w:tcPr>
          <w:p w14:paraId="5F525441" w14:textId="77777777" w:rsidR="008B4402" w:rsidRPr="00C9343F" w:rsidRDefault="008B4402" w:rsidP="008D1B5D">
            <w:pPr>
              <w:pStyle w:val="BlockText-Plain"/>
            </w:pPr>
            <w:r w:rsidRPr="00C9343F">
              <w:t>ii.</w:t>
            </w:r>
          </w:p>
        </w:tc>
        <w:tc>
          <w:tcPr>
            <w:tcW w:w="7233" w:type="dxa"/>
          </w:tcPr>
          <w:p w14:paraId="7477280A" w14:textId="77777777" w:rsidR="008B4402" w:rsidRPr="00C9343F" w:rsidRDefault="008B4402" w:rsidP="00F66D98">
            <w:pPr>
              <w:pStyle w:val="BlockText-Plain"/>
            </w:pPr>
            <w:r w:rsidRPr="00C9343F">
              <w:t>The risk to any other people.</w:t>
            </w:r>
          </w:p>
        </w:tc>
      </w:tr>
      <w:tr w:rsidR="008B4402" w:rsidRPr="00C9343F" w14:paraId="4E561815" w14:textId="77777777" w:rsidTr="00DB2841">
        <w:trPr>
          <w:cantSplit/>
        </w:trPr>
        <w:tc>
          <w:tcPr>
            <w:tcW w:w="1559" w:type="dxa"/>
            <w:gridSpan w:val="2"/>
          </w:tcPr>
          <w:p w14:paraId="545F3CBB" w14:textId="77777777" w:rsidR="008B4402" w:rsidRPr="00C9343F" w:rsidRDefault="008B4402" w:rsidP="00F66D98">
            <w:pPr>
              <w:pStyle w:val="BlockText-Plain"/>
            </w:pPr>
          </w:p>
        </w:tc>
        <w:tc>
          <w:tcPr>
            <w:tcW w:w="567" w:type="dxa"/>
          </w:tcPr>
          <w:p w14:paraId="64A9C6AC" w14:textId="77777777" w:rsidR="008B4402" w:rsidRPr="00C9343F" w:rsidRDefault="008B4402" w:rsidP="008D1B5D">
            <w:pPr>
              <w:pStyle w:val="BlockText-Plain"/>
            </w:pPr>
            <w:r w:rsidRPr="00C9343F">
              <w:t>iii.</w:t>
            </w:r>
          </w:p>
        </w:tc>
        <w:tc>
          <w:tcPr>
            <w:tcW w:w="7233" w:type="dxa"/>
          </w:tcPr>
          <w:p w14:paraId="60378E2C" w14:textId="77777777" w:rsidR="008B4402" w:rsidRPr="00C9343F" w:rsidRDefault="008B4402" w:rsidP="00F66D98">
            <w:pPr>
              <w:pStyle w:val="BlockText-Plain"/>
            </w:pPr>
            <w:r w:rsidRPr="00C9343F">
              <w:t>The risk to operational requirements of the mission for which the member is performing duty.</w:t>
            </w:r>
          </w:p>
        </w:tc>
      </w:tr>
      <w:tr w:rsidR="008B4402" w:rsidRPr="00C9343F" w14:paraId="7BED2607" w14:textId="77777777" w:rsidTr="00DB2841">
        <w:trPr>
          <w:cantSplit/>
        </w:trPr>
        <w:tc>
          <w:tcPr>
            <w:tcW w:w="1559" w:type="dxa"/>
            <w:gridSpan w:val="2"/>
          </w:tcPr>
          <w:p w14:paraId="57E6BF42" w14:textId="77777777" w:rsidR="008B4402" w:rsidRPr="00C9343F" w:rsidRDefault="008B4402" w:rsidP="00F66D98">
            <w:pPr>
              <w:pStyle w:val="BlockText-Plain"/>
            </w:pPr>
          </w:p>
        </w:tc>
        <w:tc>
          <w:tcPr>
            <w:tcW w:w="567" w:type="dxa"/>
          </w:tcPr>
          <w:p w14:paraId="4A443AD1" w14:textId="77777777" w:rsidR="008B4402" w:rsidRPr="00C9343F" w:rsidRDefault="008B4402" w:rsidP="008D1B5D">
            <w:pPr>
              <w:pStyle w:val="BlockText-Plain"/>
            </w:pPr>
            <w:r w:rsidRPr="00C9343F">
              <w:t>iv.</w:t>
            </w:r>
          </w:p>
        </w:tc>
        <w:tc>
          <w:tcPr>
            <w:tcW w:w="7233" w:type="dxa"/>
          </w:tcPr>
          <w:p w14:paraId="369136B9" w14:textId="77777777" w:rsidR="008B4402" w:rsidRPr="00C9343F" w:rsidRDefault="008B4402" w:rsidP="00F66D98">
            <w:pPr>
              <w:pStyle w:val="BlockText-Plain"/>
              <w:rPr>
                <w:i/>
              </w:rPr>
            </w:pPr>
            <w:r w:rsidRPr="00C9343F">
              <w:t>Any relevant requirement to provide medical or dental treatment to the member</w:t>
            </w:r>
            <w:r w:rsidRPr="00C9343F">
              <w:rPr>
                <w:i/>
              </w:rPr>
              <w:t>.</w:t>
            </w:r>
          </w:p>
        </w:tc>
      </w:tr>
      <w:tr w:rsidR="008B4402" w:rsidRPr="00C9343F" w14:paraId="7E8188D7" w14:textId="77777777" w:rsidTr="00DB2841">
        <w:trPr>
          <w:cantSplit/>
        </w:trPr>
        <w:tc>
          <w:tcPr>
            <w:tcW w:w="992" w:type="dxa"/>
          </w:tcPr>
          <w:p w14:paraId="1AB31213" w14:textId="77777777" w:rsidR="008B4402" w:rsidRPr="00C9343F" w:rsidRDefault="008B4402" w:rsidP="00F66D98">
            <w:pPr>
              <w:pStyle w:val="BlockText-Plain"/>
            </w:pPr>
          </w:p>
        </w:tc>
        <w:tc>
          <w:tcPr>
            <w:tcW w:w="567" w:type="dxa"/>
          </w:tcPr>
          <w:p w14:paraId="62C91314" w14:textId="77777777" w:rsidR="008B4402" w:rsidRPr="00C9343F" w:rsidRDefault="008B4402" w:rsidP="00F66D98">
            <w:pPr>
              <w:pStyle w:val="BlockText-Plain"/>
            </w:pPr>
          </w:p>
        </w:tc>
        <w:tc>
          <w:tcPr>
            <w:tcW w:w="7800" w:type="dxa"/>
            <w:gridSpan w:val="2"/>
          </w:tcPr>
          <w:p w14:paraId="56EDDE99" w14:textId="77777777" w:rsidR="008B4402" w:rsidRPr="00C9343F" w:rsidRDefault="008B4402" w:rsidP="00F66D98">
            <w:pPr>
              <w:pStyle w:val="BlockText-Plain"/>
            </w:pPr>
            <w:r w:rsidRPr="00C9343F">
              <w:rPr>
                <w:b/>
              </w:rPr>
              <w:t>Note:</w:t>
            </w:r>
            <w:r w:rsidRPr="00C9343F">
              <w:t xml:space="preserve"> The risk assessment in paragraph 1.b would require operational imperatives to be weighed against any adverse outcomes to the member or other members resulting from the sick or injured member continuing to work, rather than being placed on medical absence.</w:t>
            </w:r>
          </w:p>
        </w:tc>
      </w:tr>
      <w:tr w:rsidR="008B4402" w:rsidRPr="00C9343F" w14:paraId="634F68EC" w14:textId="77777777" w:rsidTr="00DB2841">
        <w:tc>
          <w:tcPr>
            <w:tcW w:w="992" w:type="dxa"/>
          </w:tcPr>
          <w:p w14:paraId="4A6BAA93" w14:textId="77777777" w:rsidR="008B4402" w:rsidRPr="00C9343F" w:rsidRDefault="008B4402" w:rsidP="00F66D98">
            <w:pPr>
              <w:pStyle w:val="BlockText-Plain"/>
              <w:jc w:val="center"/>
            </w:pPr>
            <w:r w:rsidRPr="00C9343F">
              <w:t>2.</w:t>
            </w:r>
          </w:p>
        </w:tc>
        <w:tc>
          <w:tcPr>
            <w:tcW w:w="8367" w:type="dxa"/>
            <w:gridSpan w:val="3"/>
          </w:tcPr>
          <w:p w14:paraId="1F7B96A8" w14:textId="77777777" w:rsidR="008B4402" w:rsidRPr="00C9343F" w:rsidRDefault="008B4402" w:rsidP="00F66D98">
            <w:pPr>
              <w:pStyle w:val="BlockText-Plain"/>
            </w:pPr>
            <w:r w:rsidRPr="00C9343F">
              <w:t>A risk assessment made under paragraph 1.b must document all the following matters.</w:t>
            </w:r>
          </w:p>
        </w:tc>
      </w:tr>
      <w:tr w:rsidR="008B4402" w:rsidRPr="00C9343F" w14:paraId="7DBBB51E" w14:textId="77777777" w:rsidTr="00DB2841">
        <w:trPr>
          <w:cantSplit/>
        </w:trPr>
        <w:tc>
          <w:tcPr>
            <w:tcW w:w="992" w:type="dxa"/>
          </w:tcPr>
          <w:p w14:paraId="787900EB" w14:textId="77777777" w:rsidR="008B4402" w:rsidRPr="00C9343F" w:rsidRDefault="008B4402" w:rsidP="00F66D98">
            <w:pPr>
              <w:pStyle w:val="BlockText-Plain"/>
            </w:pPr>
          </w:p>
        </w:tc>
        <w:tc>
          <w:tcPr>
            <w:tcW w:w="567" w:type="dxa"/>
          </w:tcPr>
          <w:p w14:paraId="552539BF" w14:textId="77777777" w:rsidR="008B4402" w:rsidRPr="00C9343F" w:rsidRDefault="008B4402" w:rsidP="008D1B5D">
            <w:pPr>
              <w:pStyle w:val="BlockText-Plain"/>
              <w:jc w:val="center"/>
            </w:pPr>
            <w:r w:rsidRPr="00C9343F">
              <w:t>a.</w:t>
            </w:r>
          </w:p>
        </w:tc>
        <w:tc>
          <w:tcPr>
            <w:tcW w:w="7800" w:type="dxa"/>
            <w:gridSpan w:val="2"/>
          </w:tcPr>
          <w:p w14:paraId="10253054" w14:textId="77777777" w:rsidR="008B4402" w:rsidRPr="00C9343F" w:rsidRDefault="008B4402" w:rsidP="00F66D98">
            <w:pPr>
              <w:pStyle w:val="BlockText-Plain"/>
            </w:pPr>
            <w:r w:rsidRPr="00C9343F">
              <w:t>The reasons the recommendation for leave was made.</w:t>
            </w:r>
          </w:p>
        </w:tc>
      </w:tr>
      <w:tr w:rsidR="008B4402" w:rsidRPr="00C9343F" w14:paraId="1C9C13F9" w14:textId="77777777" w:rsidTr="00DB2841">
        <w:trPr>
          <w:cantSplit/>
        </w:trPr>
        <w:tc>
          <w:tcPr>
            <w:tcW w:w="992" w:type="dxa"/>
          </w:tcPr>
          <w:p w14:paraId="25203F5A" w14:textId="77777777" w:rsidR="008B4402" w:rsidRPr="00C9343F" w:rsidRDefault="008B4402" w:rsidP="00F66D98">
            <w:pPr>
              <w:pStyle w:val="BlockText-Plain"/>
            </w:pPr>
          </w:p>
        </w:tc>
        <w:tc>
          <w:tcPr>
            <w:tcW w:w="567" w:type="dxa"/>
          </w:tcPr>
          <w:p w14:paraId="612B387C" w14:textId="77777777" w:rsidR="008B4402" w:rsidRPr="00C9343F" w:rsidRDefault="008B4402" w:rsidP="008D1B5D">
            <w:pPr>
              <w:pStyle w:val="BlockText-Plain"/>
              <w:jc w:val="center"/>
            </w:pPr>
            <w:r w:rsidRPr="00C9343F">
              <w:t>b.</w:t>
            </w:r>
          </w:p>
        </w:tc>
        <w:tc>
          <w:tcPr>
            <w:tcW w:w="7800" w:type="dxa"/>
            <w:gridSpan w:val="2"/>
          </w:tcPr>
          <w:p w14:paraId="5222D040" w14:textId="77777777" w:rsidR="008B4402" w:rsidRPr="00C9343F" w:rsidRDefault="008B4402" w:rsidP="00F66D98">
            <w:pPr>
              <w:pStyle w:val="BlockText-Plain"/>
            </w:pPr>
            <w:r w:rsidRPr="00C9343F">
              <w:t>Any risks to health and safety that may foreseeably arise if the leave is not granted as recommended.</w:t>
            </w:r>
          </w:p>
        </w:tc>
      </w:tr>
      <w:tr w:rsidR="008B4402" w:rsidRPr="00C9343F" w14:paraId="1CD57477" w14:textId="77777777" w:rsidTr="00DB2841">
        <w:trPr>
          <w:cantSplit/>
        </w:trPr>
        <w:tc>
          <w:tcPr>
            <w:tcW w:w="992" w:type="dxa"/>
          </w:tcPr>
          <w:p w14:paraId="2AB70070" w14:textId="77777777" w:rsidR="008B4402" w:rsidRPr="00C9343F" w:rsidRDefault="008B4402" w:rsidP="00F66D98">
            <w:pPr>
              <w:pStyle w:val="BlockText-Plain"/>
            </w:pPr>
          </w:p>
        </w:tc>
        <w:tc>
          <w:tcPr>
            <w:tcW w:w="567" w:type="dxa"/>
          </w:tcPr>
          <w:p w14:paraId="49989F61" w14:textId="77777777" w:rsidR="008B4402" w:rsidRPr="00C9343F" w:rsidRDefault="008B4402" w:rsidP="008D1B5D">
            <w:pPr>
              <w:pStyle w:val="BlockText-Plain"/>
              <w:jc w:val="center"/>
            </w:pPr>
            <w:r w:rsidRPr="00C9343F">
              <w:t>c.</w:t>
            </w:r>
          </w:p>
        </w:tc>
        <w:tc>
          <w:tcPr>
            <w:tcW w:w="7800" w:type="dxa"/>
            <w:gridSpan w:val="2"/>
          </w:tcPr>
          <w:p w14:paraId="7F272C25" w14:textId="77777777" w:rsidR="008B4402" w:rsidRPr="00C9343F" w:rsidRDefault="008B4402" w:rsidP="00F66D98">
            <w:pPr>
              <w:pStyle w:val="BlockText-Plain"/>
            </w:pPr>
            <w:r w:rsidRPr="00C9343F">
              <w:t>The work-related activities that may involve an increased risk to health and safety in relation to each of subparagraphs 1.b.i to 1.b.iv.</w:t>
            </w:r>
          </w:p>
        </w:tc>
      </w:tr>
      <w:tr w:rsidR="008B4402" w:rsidRPr="00C9343F" w14:paraId="35D06125" w14:textId="77777777" w:rsidTr="00DB2841">
        <w:trPr>
          <w:cantSplit/>
        </w:trPr>
        <w:tc>
          <w:tcPr>
            <w:tcW w:w="992" w:type="dxa"/>
          </w:tcPr>
          <w:p w14:paraId="43E1B7CC" w14:textId="77777777" w:rsidR="008B4402" w:rsidRPr="00C9343F" w:rsidRDefault="008B4402" w:rsidP="00F66D98">
            <w:pPr>
              <w:pStyle w:val="BlockText-Plain"/>
            </w:pPr>
          </w:p>
        </w:tc>
        <w:tc>
          <w:tcPr>
            <w:tcW w:w="567" w:type="dxa"/>
          </w:tcPr>
          <w:p w14:paraId="4554DA49" w14:textId="77777777" w:rsidR="008B4402" w:rsidRPr="00C9343F" w:rsidRDefault="008B4402" w:rsidP="008D1B5D">
            <w:pPr>
              <w:pStyle w:val="BlockText-Plain"/>
              <w:jc w:val="center"/>
            </w:pPr>
            <w:r w:rsidRPr="00C9343F">
              <w:t>d.</w:t>
            </w:r>
          </w:p>
        </w:tc>
        <w:tc>
          <w:tcPr>
            <w:tcW w:w="7800" w:type="dxa"/>
            <w:gridSpan w:val="2"/>
          </w:tcPr>
          <w:p w14:paraId="6346FFCE" w14:textId="77777777" w:rsidR="008B4402" w:rsidRPr="00C9343F" w:rsidRDefault="008B4402" w:rsidP="00F66D98">
            <w:pPr>
              <w:pStyle w:val="BlockText-Plain"/>
            </w:pPr>
            <w:r w:rsidRPr="00C9343F">
              <w:t>Consultation between the supervisor and the health professional who has recommended the member's leave, or with a Defence medical officer.</w:t>
            </w:r>
          </w:p>
        </w:tc>
      </w:tr>
      <w:tr w:rsidR="008B4402" w:rsidRPr="00C9343F" w14:paraId="4C4F2BDF" w14:textId="77777777" w:rsidTr="00DB2841">
        <w:tc>
          <w:tcPr>
            <w:tcW w:w="992" w:type="dxa"/>
          </w:tcPr>
          <w:p w14:paraId="162BA415" w14:textId="77777777" w:rsidR="008B4402" w:rsidRPr="00C9343F" w:rsidRDefault="008B4402" w:rsidP="00F66D98">
            <w:pPr>
              <w:pStyle w:val="BlockText-Plain"/>
              <w:jc w:val="center"/>
            </w:pPr>
            <w:r w:rsidRPr="00C9343F">
              <w:t>3.</w:t>
            </w:r>
          </w:p>
        </w:tc>
        <w:tc>
          <w:tcPr>
            <w:tcW w:w="8367" w:type="dxa"/>
            <w:gridSpan w:val="3"/>
          </w:tcPr>
          <w:p w14:paraId="47380CC8" w14:textId="0AC0D680" w:rsidR="008B4402" w:rsidRPr="00C9343F" w:rsidRDefault="008B4402" w:rsidP="00F66D98">
            <w:pPr>
              <w:pStyle w:val="BlockText-Plain"/>
            </w:pPr>
            <w:r w:rsidRPr="00C9343F">
              <w:t>A copy of a risk assessment made under paragraph 1.b must be provided to the supervisor's Commanding Officer as soon as practicable after it has been made.</w:t>
            </w:r>
          </w:p>
        </w:tc>
      </w:tr>
    </w:tbl>
    <w:p w14:paraId="5810EB77" w14:textId="7A9588B7" w:rsidR="008B4402" w:rsidRPr="00C9343F" w:rsidRDefault="008B4402" w:rsidP="00F66D98">
      <w:pPr>
        <w:pStyle w:val="Heading5"/>
      </w:pPr>
      <w:bookmarkStart w:id="1268" w:name="_Toc105053965"/>
      <w:r w:rsidRPr="00C9343F">
        <w:t>5.3.7</w:t>
      </w:r>
      <w:r w:rsidR="00D94006" w:rsidRPr="00C9343F">
        <w:t>    </w:t>
      </w:r>
      <w:r w:rsidRPr="00C9343F">
        <w:t>Granting a medical absence without an application form</w:t>
      </w:r>
      <w:bookmarkEnd w:id="1268"/>
    </w:p>
    <w:tbl>
      <w:tblPr>
        <w:tblW w:w="0" w:type="auto"/>
        <w:tblInd w:w="113" w:type="dxa"/>
        <w:tblLayout w:type="fixed"/>
        <w:tblLook w:val="0000" w:firstRow="0" w:lastRow="0" w:firstColumn="0" w:lastColumn="0" w:noHBand="0" w:noVBand="0"/>
      </w:tblPr>
      <w:tblGrid>
        <w:gridCol w:w="992"/>
        <w:gridCol w:w="567"/>
        <w:gridCol w:w="7800"/>
      </w:tblGrid>
      <w:tr w:rsidR="008B4402" w:rsidRPr="00C9343F" w14:paraId="629602CF" w14:textId="77777777" w:rsidTr="008B4402">
        <w:tc>
          <w:tcPr>
            <w:tcW w:w="992" w:type="dxa"/>
          </w:tcPr>
          <w:p w14:paraId="1C261EDC" w14:textId="77777777" w:rsidR="008B4402" w:rsidRPr="00C9343F" w:rsidRDefault="008B4402" w:rsidP="00F66D98">
            <w:pPr>
              <w:pStyle w:val="BlockText-Plain"/>
              <w:jc w:val="center"/>
            </w:pPr>
            <w:r w:rsidRPr="00C9343F">
              <w:t>1.</w:t>
            </w:r>
          </w:p>
        </w:tc>
        <w:tc>
          <w:tcPr>
            <w:tcW w:w="8367" w:type="dxa"/>
            <w:gridSpan w:val="2"/>
          </w:tcPr>
          <w:p w14:paraId="7D7A943E" w14:textId="77777777" w:rsidR="008B4402" w:rsidRPr="00C9343F" w:rsidRDefault="008B4402" w:rsidP="00F66D98">
            <w:pPr>
              <w:pStyle w:val="BlockText-Plain"/>
            </w:pPr>
            <w:r w:rsidRPr="00C9343F">
              <w:t>A supervisor may grant a period of leave under section 5.3.4 or section 5.3.5 for a member who has not made a formal application, if both the following conditions are met.</w:t>
            </w:r>
          </w:p>
        </w:tc>
      </w:tr>
      <w:tr w:rsidR="008B4402" w:rsidRPr="00C9343F" w14:paraId="25303FDB" w14:textId="77777777" w:rsidTr="008B4402">
        <w:trPr>
          <w:cantSplit/>
        </w:trPr>
        <w:tc>
          <w:tcPr>
            <w:tcW w:w="992" w:type="dxa"/>
          </w:tcPr>
          <w:p w14:paraId="2FF6BBCE" w14:textId="77777777" w:rsidR="008B4402" w:rsidRPr="00C9343F" w:rsidRDefault="008B4402" w:rsidP="00F66D98">
            <w:pPr>
              <w:pStyle w:val="BlockText-Plain"/>
            </w:pPr>
          </w:p>
        </w:tc>
        <w:tc>
          <w:tcPr>
            <w:tcW w:w="567" w:type="dxa"/>
          </w:tcPr>
          <w:p w14:paraId="278FAA4D" w14:textId="77777777" w:rsidR="008B4402" w:rsidRPr="00C9343F" w:rsidRDefault="008B4402" w:rsidP="008D1B5D">
            <w:pPr>
              <w:pStyle w:val="BlockText-Plain"/>
              <w:jc w:val="center"/>
            </w:pPr>
            <w:r w:rsidRPr="00C9343F">
              <w:t>a.</w:t>
            </w:r>
          </w:p>
        </w:tc>
        <w:tc>
          <w:tcPr>
            <w:tcW w:w="7800" w:type="dxa"/>
          </w:tcPr>
          <w:p w14:paraId="4D8504FE" w14:textId="77777777" w:rsidR="008B4402" w:rsidRPr="00C9343F" w:rsidRDefault="008B4402" w:rsidP="00F66D98">
            <w:pPr>
              <w:pStyle w:val="BlockText-Plain"/>
            </w:pPr>
            <w:r w:rsidRPr="00C9343F">
              <w:t>The supervisor has regard to any statement from the member, a person who is responsible to care for the member while they are unfit for duty, or a health professional.</w:t>
            </w:r>
          </w:p>
          <w:p w14:paraId="1A00A114" w14:textId="1F7538D1" w:rsidR="008B4402" w:rsidRPr="00C9343F" w:rsidRDefault="008B4402" w:rsidP="00F66D98">
            <w:pPr>
              <w:pStyle w:val="BlockText-Plain"/>
            </w:pPr>
            <w:r w:rsidRPr="00C9343F">
              <w:rPr>
                <w:b/>
              </w:rPr>
              <w:t>Note:</w:t>
            </w:r>
            <w:r w:rsidRPr="00C9343F">
              <w:t xml:space="preserve"> An absence of more than three days should only be approved with the recommendation of a Defence health professional.</w:t>
            </w:r>
          </w:p>
        </w:tc>
      </w:tr>
      <w:tr w:rsidR="008B4402" w:rsidRPr="00C9343F" w14:paraId="0C39C967" w14:textId="77777777" w:rsidTr="008B4402">
        <w:trPr>
          <w:cantSplit/>
        </w:trPr>
        <w:tc>
          <w:tcPr>
            <w:tcW w:w="992" w:type="dxa"/>
          </w:tcPr>
          <w:p w14:paraId="470E78E5" w14:textId="77777777" w:rsidR="008B4402" w:rsidRPr="00C9343F" w:rsidRDefault="008B4402" w:rsidP="00F66D98">
            <w:pPr>
              <w:pStyle w:val="BlockText-Plain"/>
            </w:pPr>
          </w:p>
        </w:tc>
        <w:tc>
          <w:tcPr>
            <w:tcW w:w="567" w:type="dxa"/>
          </w:tcPr>
          <w:p w14:paraId="1140B5D9" w14:textId="77777777" w:rsidR="008B4402" w:rsidRPr="00C9343F" w:rsidRDefault="008B4402" w:rsidP="008D1B5D">
            <w:pPr>
              <w:pStyle w:val="BlockText-Plain"/>
              <w:jc w:val="center"/>
            </w:pPr>
            <w:r w:rsidRPr="00C9343F">
              <w:t>b.</w:t>
            </w:r>
          </w:p>
        </w:tc>
        <w:tc>
          <w:tcPr>
            <w:tcW w:w="7800" w:type="dxa"/>
          </w:tcPr>
          <w:p w14:paraId="7A8CF256" w14:textId="77777777" w:rsidR="008B4402" w:rsidRPr="00C9343F" w:rsidRDefault="008B4402" w:rsidP="00F66D98">
            <w:pPr>
              <w:pStyle w:val="BlockText-Plain"/>
            </w:pPr>
            <w:r w:rsidRPr="00C9343F">
              <w:t>The supervisor is satisfied that the member is unable to formally apply for leave to be absent under this Part within a reasonable period due to their unfitness for duty.</w:t>
            </w:r>
          </w:p>
        </w:tc>
      </w:tr>
    </w:tbl>
    <w:p w14:paraId="1FF02726" w14:textId="306BB614" w:rsidR="008B4402" w:rsidRPr="00C9343F" w:rsidRDefault="008B4402" w:rsidP="00F66D98">
      <w:pPr>
        <w:pStyle w:val="Heading5"/>
      </w:pPr>
      <w:bookmarkStart w:id="1269" w:name="_Toc105053966"/>
      <w:r w:rsidRPr="00C9343F">
        <w:t>5.3.9</w:t>
      </w:r>
      <w:r w:rsidR="00D94006" w:rsidRPr="00C9343F">
        <w:t>    </w:t>
      </w:r>
      <w:r w:rsidRPr="00C9343F">
        <w:t>Payment of salary and allowances on a medical absence</w:t>
      </w:r>
      <w:bookmarkEnd w:id="1269"/>
    </w:p>
    <w:tbl>
      <w:tblPr>
        <w:tblW w:w="0" w:type="auto"/>
        <w:tblInd w:w="113" w:type="dxa"/>
        <w:tblLook w:val="0000" w:firstRow="0" w:lastRow="0" w:firstColumn="0" w:lastColumn="0" w:noHBand="0" w:noVBand="0"/>
      </w:tblPr>
      <w:tblGrid>
        <w:gridCol w:w="982"/>
        <w:gridCol w:w="8260"/>
      </w:tblGrid>
      <w:tr w:rsidR="008B4402" w:rsidRPr="00C9343F" w14:paraId="51DA7C10" w14:textId="77777777" w:rsidTr="00F95F3A">
        <w:tc>
          <w:tcPr>
            <w:tcW w:w="982" w:type="dxa"/>
          </w:tcPr>
          <w:p w14:paraId="5B1A8F28" w14:textId="77777777" w:rsidR="008B4402" w:rsidRPr="00C9343F" w:rsidRDefault="008B4402" w:rsidP="00F66D98">
            <w:pPr>
              <w:pStyle w:val="BlockText-Plain"/>
              <w:jc w:val="center"/>
            </w:pPr>
            <w:r w:rsidRPr="00C9343F">
              <w:t>1.</w:t>
            </w:r>
          </w:p>
        </w:tc>
        <w:tc>
          <w:tcPr>
            <w:tcW w:w="8260" w:type="dxa"/>
          </w:tcPr>
          <w:p w14:paraId="3AA472F2" w14:textId="4368A6A3" w:rsidR="008B4402" w:rsidRPr="00C9343F" w:rsidRDefault="008B4402" w:rsidP="00F66D98">
            <w:pPr>
              <w:pStyle w:val="BlockText-Plain"/>
            </w:pPr>
            <w:r w:rsidRPr="00C9343F">
              <w:t>Any salary, allowance or benefit for which a member was eligible for immediately before a medical absence may continue to be paid during the medical absence as long as the member continues to meet conditions required for eligibility, other than attending for duty.</w:t>
            </w:r>
          </w:p>
        </w:tc>
      </w:tr>
      <w:tr w:rsidR="008B4402" w:rsidRPr="00C9343F" w14:paraId="1712CABE" w14:textId="77777777" w:rsidTr="00F95F3A">
        <w:tc>
          <w:tcPr>
            <w:tcW w:w="982" w:type="dxa"/>
          </w:tcPr>
          <w:p w14:paraId="45D65CF6" w14:textId="77777777" w:rsidR="008B4402" w:rsidRPr="00C9343F" w:rsidRDefault="008B4402" w:rsidP="00F66D98">
            <w:pPr>
              <w:pStyle w:val="BlockText-Plain"/>
              <w:jc w:val="center"/>
            </w:pPr>
            <w:r w:rsidRPr="00C9343F">
              <w:t>2.</w:t>
            </w:r>
          </w:p>
        </w:tc>
        <w:tc>
          <w:tcPr>
            <w:tcW w:w="8260" w:type="dxa"/>
          </w:tcPr>
          <w:p w14:paraId="4BB91977" w14:textId="77777777" w:rsidR="008B4402" w:rsidRPr="00C9343F" w:rsidRDefault="008B4402" w:rsidP="00F66D98">
            <w:pPr>
              <w:pStyle w:val="BlockText-Plain"/>
            </w:pPr>
            <w:r w:rsidRPr="00C9343F">
              <w:t>To avoid doubt, if the rates of a benefit or contribution that the member is eligible for while on a medical absence change, that change applies in relation to the member.</w:t>
            </w:r>
          </w:p>
        </w:tc>
      </w:tr>
      <w:tr w:rsidR="008B4402" w:rsidRPr="00C9343F" w14:paraId="0B170200" w14:textId="77777777" w:rsidTr="00F95F3A">
        <w:tc>
          <w:tcPr>
            <w:tcW w:w="982" w:type="dxa"/>
          </w:tcPr>
          <w:p w14:paraId="46F88CB3" w14:textId="77777777" w:rsidR="008B4402" w:rsidRPr="00C9343F" w:rsidRDefault="008B4402" w:rsidP="00F66D98">
            <w:pPr>
              <w:pStyle w:val="BlockText-Plain"/>
              <w:jc w:val="center"/>
            </w:pPr>
            <w:r w:rsidRPr="00C9343F">
              <w:t>3.</w:t>
            </w:r>
          </w:p>
        </w:tc>
        <w:tc>
          <w:tcPr>
            <w:tcW w:w="8260" w:type="dxa"/>
          </w:tcPr>
          <w:p w14:paraId="483A9947" w14:textId="77777777" w:rsidR="008B4402" w:rsidRPr="00C9343F" w:rsidRDefault="008B4402" w:rsidP="00F66D98">
            <w:pPr>
              <w:pStyle w:val="BlockText-Plain"/>
            </w:pPr>
            <w:r w:rsidRPr="00C9343F">
              <w:t xml:space="preserve">A member may cease to be eligible for an allowance or benefit during a period of medical absence if they cease to meet a condition required for eligibility, other than attending for duty. </w:t>
            </w:r>
          </w:p>
        </w:tc>
      </w:tr>
      <w:tr w:rsidR="008B4402" w:rsidRPr="00C9343F" w14:paraId="2B879BC0" w14:textId="77777777" w:rsidTr="00F95F3A">
        <w:tc>
          <w:tcPr>
            <w:tcW w:w="982" w:type="dxa"/>
          </w:tcPr>
          <w:p w14:paraId="0CB47F3D" w14:textId="77777777" w:rsidR="008B4402" w:rsidRPr="00C9343F" w:rsidRDefault="008B4402" w:rsidP="00F66D98">
            <w:pPr>
              <w:pStyle w:val="BlockText-Plain"/>
              <w:jc w:val="center"/>
            </w:pPr>
            <w:r w:rsidRPr="00C9343F">
              <w:t>4.</w:t>
            </w:r>
          </w:p>
        </w:tc>
        <w:tc>
          <w:tcPr>
            <w:tcW w:w="8260" w:type="dxa"/>
          </w:tcPr>
          <w:p w14:paraId="0381F459" w14:textId="77777777" w:rsidR="008B4402" w:rsidRPr="00C9343F" w:rsidRDefault="008B4402" w:rsidP="00F66D98">
            <w:pPr>
              <w:pStyle w:val="BlockText-Plain"/>
            </w:pPr>
            <w:r w:rsidRPr="00C9343F">
              <w:t>A member's medical absence is conditional on the member only engaging in paid work outside the ADF (as an employee, under a contract or otherwise) if that external work is part of an ADF-approved convalescence or career transition activity.</w:t>
            </w:r>
          </w:p>
        </w:tc>
      </w:tr>
      <w:tr w:rsidR="008B4402" w:rsidRPr="00C9343F" w14:paraId="0A62D7C8" w14:textId="77777777" w:rsidTr="00F95F3A">
        <w:tc>
          <w:tcPr>
            <w:tcW w:w="982" w:type="dxa"/>
          </w:tcPr>
          <w:p w14:paraId="0C6EEF0B" w14:textId="77777777" w:rsidR="008B4402" w:rsidRPr="00C9343F" w:rsidRDefault="008B4402" w:rsidP="00F66D98">
            <w:pPr>
              <w:pStyle w:val="BlockText-Plain"/>
              <w:jc w:val="center"/>
            </w:pPr>
            <w:r w:rsidRPr="00C9343F">
              <w:t>5.</w:t>
            </w:r>
          </w:p>
        </w:tc>
        <w:tc>
          <w:tcPr>
            <w:tcW w:w="8260" w:type="dxa"/>
          </w:tcPr>
          <w:p w14:paraId="16D527C1" w14:textId="77777777" w:rsidR="008B4402" w:rsidRPr="00C9343F" w:rsidRDefault="008B4402" w:rsidP="00F66D98">
            <w:pPr>
              <w:pStyle w:val="BlockText-Plain"/>
            </w:pPr>
            <w:r w:rsidRPr="00C9343F">
              <w:t xml:space="preserve">An absence ceases to be a medical absence if the condition in subsection 4 is not met by the member. No salary or allowances are payable under this Part for the absence and the absence may be an absence without leave. </w:t>
            </w:r>
          </w:p>
        </w:tc>
      </w:tr>
    </w:tbl>
    <w:p w14:paraId="2F7285EB" w14:textId="24D74106" w:rsidR="008B4402" w:rsidRPr="00C9343F" w:rsidRDefault="008B4402" w:rsidP="00F66D98">
      <w:pPr>
        <w:pStyle w:val="Heading5"/>
      </w:pPr>
      <w:bookmarkStart w:id="1270" w:name="_Toc105053967"/>
      <w:r w:rsidRPr="00C9343F">
        <w:t>5.3.10</w:t>
      </w:r>
      <w:r w:rsidR="00D94006" w:rsidRPr="00C9343F">
        <w:t>    </w:t>
      </w:r>
      <w:r w:rsidRPr="00C9343F">
        <w:t>Interaction between medical absence and other forms of leave</w:t>
      </w:r>
      <w:bookmarkEnd w:id="1270"/>
    </w:p>
    <w:tbl>
      <w:tblPr>
        <w:tblW w:w="0" w:type="auto"/>
        <w:tblInd w:w="113" w:type="dxa"/>
        <w:tblLook w:val="0000" w:firstRow="0" w:lastRow="0" w:firstColumn="0" w:lastColumn="0" w:noHBand="0" w:noVBand="0"/>
      </w:tblPr>
      <w:tblGrid>
        <w:gridCol w:w="983"/>
        <w:gridCol w:w="8259"/>
      </w:tblGrid>
      <w:tr w:rsidR="008B4402" w:rsidRPr="00C9343F" w14:paraId="45D64742" w14:textId="77777777" w:rsidTr="008B4402">
        <w:tc>
          <w:tcPr>
            <w:tcW w:w="992" w:type="dxa"/>
          </w:tcPr>
          <w:p w14:paraId="57886654" w14:textId="77777777" w:rsidR="008B4402" w:rsidRPr="00C9343F" w:rsidRDefault="008B4402" w:rsidP="00F66D98">
            <w:pPr>
              <w:pStyle w:val="BlockText-Plain"/>
              <w:jc w:val="center"/>
            </w:pPr>
            <w:r w:rsidRPr="00C9343F">
              <w:t>1.</w:t>
            </w:r>
          </w:p>
        </w:tc>
        <w:tc>
          <w:tcPr>
            <w:tcW w:w="8367" w:type="dxa"/>
          </w:tcPr>
          <w:p w14:paraId="26CA9C2E" w14:textId="77777777" w:rsidR="008B4402" w:rsidRPr="00C9343F" w:rsidRDefault="008B4402" w:rsidP="00F66D98">
            <w:pPr>
              <w:pStyle w:val="BlockText-Plain"/>
            </w:pPr>
            <w:r w:rsidRPr="00C9343F">
              <w:t xml:space="preserve">A member who could reasonably apply for a medical absence because they are unfit for duty must apply for that type of leave and not another form of leave. </w:t>
            </w:r>
          </w:p>
        </w:tc>
      </w:tr>
      <w:tr w:rsidR="008B4402" w:rsidRPr="00C9343F" w14:paraId="136AE8DB" w14:textId="77777777" w:rsidTr="008B4402">
        <w:tc>
          <w:tcPr>
            <w:tcW w:w="992" w:type="dxa"/>
          </w:tcPr>
          <w:p w14:paraId="487891CF" w14:textId="77777777" w:rsidR="008B4402" w:rsidRPr="00C9343F" w:rsidRDefault="008B4402" w:rsidP="00F66D98">
            <w:pPr>
              <w:pStyle w:val="BlockText-Plain"/>
              <w:jc w:val="center"/>
            </w:pPr>
            <w:r w:rsidRPr="00C9343F">
              <w:t>2.</w:t>
            </w:r>
          </w:p>
        </w:tc>
        <w:tc>
          <w:tcPr>
            <w:tcW w:w="8367" w:type="dxa"/>
          </w:tcPr>
          <w:p w14:paraId="547E7C14" w14:textId="77777777" w:rsidR="008B4402" w:rsidRPr="00C9343F" w:rsidRDefault="008B4402" w:rsidP="00F66D98">
            <w:pPr>
              <w:pStyle w:val="BlockText-Plain"/>
            </w:pPr>
            <w:r w:rsidRPr="00C9343F">
              <w:t>A member who is being actively managed on a crisis management plan may access leave under this Part only and must not be required to access their recreation leave or other accrued leave credit while the crisis continues.</w:t>
            </w:r>
          </w:p>
        </w:tc>
      </w:tr>
      <w:tr w:rsidR="008B4402" w:rsidRPr="00C9343F" w14:paraId="0EEAB424" w14:textId="77777777" w:rsidTr="008B4402">
        <w:tc>
          <w:tcPr>
            <w:tcW w:w="992" w:type="dxa"/>
          </w:tcPr>
          <w:p w14:paraId="0773C805" w14:textId="77777777" w:rsidR="008B4402" w:rsidRPr="00C9343F" w:rsidRDefault="008B4402" w:rsidP="00F66D98">
            <w:pPr>
              <w:pStyle w:val="BlockText-Plain"/>
              <w:jc w:val="center"/>
            </w:pPr>
            <w:r w:rsidRPr="00C9343F">
              <w:t>3.</w:t>
            </w:r>
          </w:p>
        </w:tc>
        <w:tc>
          <w:tcPr>
            <w:tcW w:w="8367" w:type="dxa"/>
          </w:tcPr>
          <w:p w14:paraId="7FCD0C9A" w14:textId="77777777" w:rsidR="008B4402" w:rsidRPr="00C9343F" w:rsidRDefault="008B4402" w:rsidP="00F66D98">
            <w:pPr>
              <w:pStyle w:val="BlockText-Plain"/>
            </w:pPr>
            <w:r w:rsidRPr="00C9343F">
              <w:t>If the member is on recreation leave or long service leave at the time they become unfit for duty, the member may apply for a medical absence. If a day of medical absence is granted, the member is to be recredited for the day of recreation or long service leave credit. In effect the medical absence substitutes for the day of recreation or long service leave.</w:t>
            </w:r>
          </w:p>
          <w:p w14:paraId="01114758" w14:textId="77777777" w:rsidR="008B4402" w:rsidRPr="00C9343F" w:rsidRDefault="008B4402" w:rsidP="00F66D98">
            <w:pPr>
              <w:pStyle w:val="BlockText-Plain"/>
            </w:pPr>
            <w:r w:rsidRPr="00C9343F">
              <w:rPr>
                <w:b/>
              </w:rPr>
              <w:t xml:space="preserve">Note: </w:t>
            </w:r>
            <w:r w:rsidRPr="00C9343F">
              <w:t>Other rules for recredit of leave for cancellation or recall from leave do not apply in this situation, only the amount of leave credit is returned to the member.</w:t>
            </w:r>
          </w:p>
        </w:tc>
      </w:tr>
      <w:tr w:rsidR="008B4402" w:rsidRPr="00C9343F" w14:paraId="085675F8" w14:textId="77777777" w:rsidTr="008B4402">
        <w:tc>
          <w:tcPr>
            <w:tcW w:w="992" w:type="dxa"/>
          </w:tcPr>
          <w:p w14:paraId="5D0D9342" w14:textId="77777777" w:rsidR="008B4402" w:rsidRPr="00C9343F" w:rsidRDefault="008B4402" w:rsidP="00F66D98">
            <w:pPr>
              <w:pStyle w:val="BlockText-Plain"/>
              <w:jc w:val="center"/>
            </w:pPr>
          </w:p>
        </w:tc>
        <w:tc>
          <w:tcPr>
            <w:tcW w:w="8367" w:type="dxa"/>
          </w:tcPr>
          <w:p w14:paraId="1562BF6D" w14:textId="6D9BEB7B" w:rsidR="008B4402" w:rsidRPr="00C9343F" w:rsidRDefault="002F53D3" w:rsidP="00F66D98">
            <w:pPr>
              <w:pStyle w:val="BlockText-Plain"/>
            </w:pPr>
            <w:r w:rsidRPr="00C9343F">
              <w:rPr>
                <w:b/>
              </w:rPr>
              <w:t xml:space="preserve">Exception: </w:t>
            </w:r>
            <w:r w:rsidRPr="00C9343F">
              <w:t xml:space="preserve">If the member is on a period of </w:t>
            </w:r>
            <w:r w:rsidRPr="00C9343F">
              <w:rPr>
                <w:b/>
                <w:i/>
              </w:rPr>
              <w:t>unpaid leave</w:t>
            </w:r>
            <w:r w:rsidRPr="00C9343F">
              <w:t xml:space="preserve"> and claiming pay by accessing any form of accrued leave credit, no recredit of the leave is available for the period of the member's illness or injury. This is because the member's absence is approved as unpaid leave and the accruable form of leave (recreation or long service leave) is being used to supplement the member's income during the period. A period of medical absence is taken not to interrupt the unpaid leave.</w:t>
            </w:r>
          </w:p>
        </w:tc>
      </w:tr>
    </w:tbl>
    <w:p w14:paraId="77F85580" w14:textId="1A2211AC" w:rsidR="008B4402" w:rsidRPr="00C9343F" w:rsidRDefault="008B4402" w:rsidP="00F66D98">
      <w:pPr>
        <w:pStyle w:val="Heading5"/>
      </w:pPr>
      <w:bookmarkStart w:id="1271" w:name="_Toc105053968"/>
      <w:r w:rsidRPr="00C9343F">
        <w:t>5.3.11</w:t>
      </w:r>
      <w:r w:rsidR="00D94006" w:rsidRPr="00C9343F">
        <w:t>    </w:t>
      </w:r>
      <w:r w:rsidRPr="00C9343F">
        <w:t>Travel for medical purposes</w:t>
      </w:r>
      <w:bookmarkEnd w:id="1271"/>
    </w:p>
    <w:tbl>
      <w:tblPr>
        <w:tblW w:w="0" w:type="auto"/>
        <w:tblInd w:w="113" w:type="dxa"/>
        <w:tblLook w:val="0000" w:firstRow="0" w:lastRow="0" w:firstColumn="0" w:lastColumn="0" w:noHBand="0" w:noVBand="0"/>
      </w:tblPr>
      <w:tblGrid>
        <w:gridCol w:w="979"/>
        <w:gridCol w:w="564"/>
        <w:gridCol w:w="7699"/>
      </w:tblGrid>
      <w:tr w:rsidR="008B4402" w:rsidRPr="00C9343F" w14:paraId="73301BC9" w14:textId="77777777" w:rsidTr="00F95F3A">
        <w:tc>
          <w:tcPr>
            <w:tcW w:w="979" w:type="dxa"/>
          </w:tcPr>
          <w:p w14:paraId="0CF5085D" w14:textId="77777777" w:rsidR="008B4402" w:rsidRPr="00C9343F" w:rsidRDefault="008B4402" w:rsidP="00F66D98">
            <w:pPr>
              <w:pStyle w:val="BlockText-Plain"/>
              <w:jc w:val="center"/>
            </w:pPr>
          </w:p>
        </w:tc>
        <w:tc>
          <w:tcPr>
            <w:tcW w:w="8263" w:type="dxa"/>
            <w:gridSpan w:val="2"/>
          </w:tcPr>
          <w:p w14:paraId="2F4E8AD0" w14:textId="77777777" w:rsidR="008B4402" w:rsidRPr="00C9343F" w:rsidRDefault="008B4402" w:rsidP="00F66D98">
            <w:pPr>
              <w:pStyle w:val="BlockText-Plain"/>
            </w:pPr>
            <w:r w:rsidRPr="00C9343F">
              <w:t>Travel costs may be provided in the following circumstances, to assist with medical needs.</w:t>
            </w:r>
          </w:p>
        </w:tc>
      </w:tr>
      <w:tr w:rsidR="008B4402" w:rsidRPr="00C9343F" w14:paraId="75AAE483" w14:textId="77777777" w:rsidTr="00F95F3A">
        <w:trPr>
          <w:cantSplit/>
        </w:trPr>
        <w:tc>
          <w:tcPr>
            <w:tcW w:w="979" w:type="dxa"/>
          </w:tcPr>
          <w:p w14:paraId="17A6E023" w14:textId="77777777" w:rsidR="008B4402" w:rsidRPr="00C9343F" w:rsidRDefault="008B4402" w:rsidP="00F66D98">
            <w:pPr>
              <w:pStyle w:val="BlockText-Plain"/>
            </w:pPr>
          </w:p>
        </w:tc>
        <w:tc>
          <w:tcPr>
            <w:tcW w:w="564" w:type="dxa"/>
          </w:tcPr>
          <w:p w14:paraId="77F16AC4" w14:textId="77777777" w:rsidR="008B4402" w:rsidRPr="00C9343F" w:rsidRDefault="008B4402" w:rsidP="008D1B5D">
            <w:pPr>
              <w:pStyle w:val="BlockText-Plain"/>
              <w:jc w:val="center"/>
            </w:pPr>
            <w:r w:rsidRPr="00C9343F">
              <w:t>a.</w:t>
            </w:r>
          </w:p>
        </w:tc>
        <w:tc>
          <w:tcPr>
            <w:tcW w:w="7699" w:type="dxa"/>
          </w:tcPr>
          <w:p w14:paraId="7A49A0CD" w14:textId="2BBEC0BF" w:rsidR="008B4402" w:rsidRPr="00C9343F" w:rsidRDefault="008B4402" w:rsidP="003F4801">
            <w:pPr>
              <w:pStyle w:val="BlockText-Plain"/>
            </w:pPr>
            <w:r w:rsidRPr="00C9343F">
              <w:t xml:space="preserve">If a member must travel to an appointment relating to a medical or dental condition for which treatment is provided under </w:t>
            </w:r>
            <w:r w:rsidR="0015746F" w:rsidRPr="00C9343F">
              <w:t>section 49 of the</w:t>
            </w:r>
            <w:r w:rsidR="0015746F" w:rsidRPr="00C9343F">
              <w:rPr>
                <w:i/>
              </w:rPr>
              <w:t xml:space="preserve"> </w:t>
            </w:r>
            <w:r w:rsidR="00AB0148" w:rsidRPr="00C9343F">
              <w:t>Defence Regulation</w:t>
            </w:r>
            <w:r w:rsidRPr="00C9343F">
              <w:t>, they may be provided with assistance to pay the travel costs. The costs are payable as if the trip was duty travel and any means of travel recommended by a health professional were the most economical means of travel.</w:t>
            </w:r>
          </w:p>
        </w:tc>
      </w:tr>
      <w:tr w:rsidR="008B4402" w:rsidRPr="00C9343F" w14:paraId="2F460BF5" w14:textId="77777777" w:rsidTr="00F95F3A">
        <w:trPr>
          <w:cantSplit/>
        </w:trPr>
        <w:tc>
          <w:tcPr>
            <w:tcW w:w="979" w:type="dxa"/>
          </w:tcPr>
          <w:p w14:paraId="380D6229" w14:textId="77777777" w:rsidR="008B4402" w:rsidRPr="00C9343F" w:rsidRDefault="008B4402" w:rsidP="00F66D98">
            <w:pPr>
              <w:pStyle w:val="BlockText-Plain"/>
            </w:pPr>
          </w:p>
        </w:tc>
        <w:tc>
          <w:tcPr>
            <w:tcW w:w="564" w:type="dxa"/>
          </w:tcPr>
          <w:p w14:paraId="747BA060" w14:textId="77777777" w:rsidR="008B4402" w:rsidRPr="00C9343F" w:rsidRDefault="008B4402" w:rsidP="008D1B5D">
            <w:pPr>
              <w:pStyle w:val="BlockText-Plain"/>
              <w:jc w:val="center"/>
            </w:pPr>
            <w:r w:rsidRPr="00C9343F">
              <w:t>b.</w:t>
            </w:r>
          </w:p>
        </w:tc>
        <w:tc>
          <w:tcPr>
            <w:tcW w:w="7699" w:type="dxa"/>
          </w:tcPr>
          <w:p w14:paraId="1AF47555" w14:textId="51AF09C4" w:rsidR="008B4402" w:rsidRPr="00C9343F" w:rsidRDefault="008B4402" w:rsidP="00F66D98">
            <w:pPr>
              <w:pStyle w:val="BlockText-Plain"/>
            </w:pPr>
            <w:r w:rsidRPr="00C9343F">
              <w:t xml:space="preserve">If a member leaves hospital to recover or waits to return to hospital, they may be provided with travel costs under section 9.2.25 if a Defence health professional considers that the travel is necessary to assist the member's recovery. </w:t>
            </w:r>
          </w:p>
        </w:tc>
      </w:tr>
      <w:tr w:rsidR="008B4402" w:rsidRPr="00C9343F" w14:paraId="6E749EFB" w14:textId="77777777" w:rsidTr="00F95F3A">
        <w:trPr>
          <w:cantSplit/>
        </w:trPr>
        <w:tc>
          <w:tcPr>
            <w:tcW w:w="979" w:type="dxa"/>
          </w:tcPr>
          <w:p w14:paraId="2D4573D2" w14:textId="77777777" w:rsidR="008B4402" w:rsidRPr="00C9343F" w:rsidRDefault="008B4402" w:rsidP="00F66D98">
            <w:pPr>
              <w:pStyle w:val="BlockText-Plain"/>
            </w:pPr>
          </w:p>
        </w:tc>
        <w:tc>
          <w:tcPr>
            <w:tcW w:w="564" w:type="dxa"/>
          </w:tcPr>
          <w:p w14:paraId="5C791382" w14:textId="77777777" w:rsidR="008B4402" w:rsidRPr="00C9343F" w:rsidRDefault="008B4402" w:rsidP="00F66D98">
            <w:pPr>
              <w:pStyle w:val="BlockText-Plain"/>
            </w:pPr>
            <w:r w:rsidRPr="00C9343F">
              <w:t>c.</w:t>
            </w:r>
          </w:p>
        </w:tc>
        <w:tc>
          <w:tcPr>
            <w:tcW w:w="7699" w:type="dxa"/>
          </w:tcPr>
          <w:p w14:paraId="2BEE425C" w14:textId="77777777" w:rsidR="008B4402" w:rsidRPr="00C9343F" w:rsidRDefault="008B4402" w:rsidP="00F66D98">
            <w:pPr>
              <w:pStyle w:val="BlockText-Plain"/>
            </w:pPr>
            <w:r w:rsidRPr="00C9343F">
              <w:t>The CDF may approve other travel costs if satisfied that the senior medical advisor in the member's region recommends the travel as in the best interests of the member's recovery.</w:t>
            </w:r>
          </w:p>
        </w:tc>
      </w:tr>
    </w:tbl>
    <w:p w14:paraId="1C2DD29C" w14:textId="77777777" w:rsidR="00410C41" w:rsidRPr="00C9343F" w:rsidRDefault="00410C41" w:rsidP="00F66D98">
      <w:pPr>
        <w:pStyle w:val="Heading3"/>
        <w:pageBreakBefore/>
      </w:pPr>
      <w:bookmarkStart w:id="1272" w:name="_Toc105053969"/>
      <w:r w:rsidRPr="00C9343F">
        <w:t>Part 4: Recreation leave</w:t>
      </w:r>
      <w:bookmarkEnd w:id="1272"/>
    </w:p>
    <w:p w14:paraId="24F56232" w14:textId="77777777" w:rsidR="00410C41" w:rsidRPr="00C9343F" w:rsidRDefault="00410C41" w:rsidP="00F66D98">
      <w:pPr>
        <w:pStyle w:val="Heading4"/>
      </w:pPr>
      <w:bookmarkStart w:id="1273" w:name="_Toc105053970"/>
      <w:r w:rsidRPr="00C9343F">
        <w:t>Division 1: General provisions</w:t>
      </w:r>
      <w:bookmarkEnd w:id="1273"/>
    </w:p>
    <w:p w14:paraId="74C4E27D" w14:textId="77777777" w:rsidR="00410C41" w:rsidRPr="00C9343F" w:rsidRDefault="00410C41" w:rsidP="00F66D98">
      <w:pPr>
        <w:pStyle w:val="Heading5"/>
      </w:pPr>
      <w:bookmarkStart w:id="1274" w:name="_Toc105053971"/>
      <w:r w:rsidRPr="00C9343F">
        <w:t>5.4.3    Purpose</w:t>
      </w:r>
      <w:bookmarkEnd w:id="1274"/>
    </w:p>
    <w:tbl>
      <w:tblPr>
        <w:tblW w:w="0" w:type="auto"/>
        <w:tblInd w:w="113" w:type="dxa"/>
        <w:tblLayout w:type="fixed"/>
        <w:tblLook w:val="0000" w:firstRow="0" w:lastRow="0" w:firstColumn="0" w:lastColumn="0" w:noHBand="0" w:noVBand="0"/>
      </w:tblPr>
      <w:tblGrid>
        <w:gridCol w:w="992"/>
        <w:gridCol w:w="8363"/>
      </w:tblGrid>
      <w:tr w:rsidR="00410C41" w:rsidRPr="00C9343F" w14:paraId="5337C384" w14:textId="77777777" w:rsidTr="005E243D">
        <w:tc>
          <w:tcPr>
            <w:tcW w:w="992" w:type="dxa"/>
          </w:tcPr>
          <w:p w14:paraId="4031DCCE" w14:textId="77777777" w:rsidR="00410C41" w:rsidRPr="00C9343F" w:rsidRDefault="00410C41" w:rsidP="00F66D98">
            <w:pPr>
              <w:pStyle w:val="BlockText-Plain"/>
              <w:jc w:val="center"/>
            </w:pPr>
          </w:p>
        </w:tc>
        <w:tc>
          <w:tcPr>
            <w:tcW w:w="8363" w:type="dxa"/>
          </w:tcPr>
          <w:p w14:paraId="53F0AD5E" w14:textId="77777777" w:rsidR="00410C41" w:rsidRPr="00C9343F" w:rsidRDefault="00410C41" w:rsidP="00F66D98">
            <w:pPr>
              <w:pStyle w:val="BlockText-Plain"/>
            </w:pPr>
            <w:r w:rsidRPr="00C9343F">
              <w:t>Recreation leave allows a member time to rest for a substantial period each year or to attend to personal matters. A period of leave should help them remain efficient and effective in their duties.</w:t>
            </w:r>
          </w:p>
        </w:tc>
      </w:tr>
    </w:tbl>
    <w:p w14:paraId="1D548D06" w14:textId="77777777" w:rsidR="00410C41" w:rsidRPr="00C9343F" w:rsidRDefault="00410C41" w:rsidP="00F66D98">
      <w:pPr>
        <w:pStyle w:val="Heading5"/>
      </w:pPr>
      <w:bookmarkStart w:id="1275" w:name="_Toc105053972"/>
      <w:r w:rsidRPr="00C9343F">
        <w:t>5.4.4    Members this Part applies to</w:t>
      </w:r>
      <w:bookmarkEnd w:id="1275"/>
    </w:p>
    <w:tbl>
      <w:tblPr>
        <w:tblW w:w="9355" w:type="dxa"/>
        <w:tblInd w:w="113" w:type="dxa"/>
        <w:tblLayout w:type="fixed"/>
        <w:tblLook w:val="0000" w:firstRow="0" w:lastRow="0" w:firstColumn="0" w:lastColumn="0" w:noHBand="0" w:noVBand="0"/>
      </w:tblPr>
      <w:tblGrid>
        <w:gridCol w:w="992"/>
        <w:gridCol w:w="567"/>
        <w:gridCol w:w="7796"/>
      </w:tblGrid>
      <w:tr w:rsidR="00410C41" w:rsidRPr="00C9343F" w14:paraId="74FFC64F" w14:textId="77777777" w:rsidTr="005E243D">
        <w:tc>
          <w:tcPr>
            <w:tcW w:w="992" w:type="dxa"/>
          </w:tcPr>
          <w:p w14:paraId="4FB2F280" w14:textId="77777777" w:rsidR="00410C41" w:rsidRPr="00C9343F" w:rsidRDefault="00410C41" w:rsidP="00F66D98">
            <w:pPr>
              <w:pStyle w:val="BlockText-Plain"/>
              <w:jc w:val="center"/>
            </w:pPr>
            <w:r w:rsidRPr="00C9343F">
              <w:t>1.</w:t>
            </w:r>
          </w:p>
        </w:tc>
        <w:tc>
          <w:tcPr>
            <w:tcW w:w="8363" w:type="dxa"/>
            <w:gridSpan w:val="2"/>
          </w:tcPr>
          <w:p w14:paraId="1F0DF1BE" w14:textId="77777777" w:rsidR="00410C41" w:rsidRPr="00C9343F" w:rsidRDefault="00410C41" w:rsidP="00F66D98">
            <w:pPr>
              <w:pStyle w:val="BlockText-Plain"/>
            </w:pPr>
            <w:r w:rsidRPr="00C9343F">
              <w:t>This Part applies to a member on continuous full-time service, and includes the CDF.</w:t>
            </w:r>
          </w:p>
        </w:tc>
      </w:tr>
      <w:tr w:rsidR="00410C41" w:rsidRPr="00C9343F" w14:paraId="00944DA6" w14:textId="77777777" w:rsidTr="005E243D">
        <w:tc>
          <w:tcPr>
            <w:tcW w:w="992" w:type="dxa"/>
          </w:tcPr>
          <w:p w14:paraId="1367BF0F" w14:textId="77777777" w:rsidR="00410C41" w:rsidRPr="00C9343F" w:rsidRDefault="00410C41" w:rsidP="00F66D98">
            <w:pPr>
              <w:pStyle w:val="BlockText-Plain"/>
              <w:jc w:val="center"/>
            </w:pPr>
            <w:r w:rsidRPr="00C9343F">
              <w:t>2.</w:t>
            </w:r>
          </w:p>
        </w:tc>
        <w:tc>
          <w:tcPr>
            <w:tcW w:w="8363" w:type="dxa"/>
            <w:gridSpan w:val="2"/>
          </w:tcPr>
          <w:p w14:paraId="0E196DC1" w14:textId="77777777" w:rsidR="00410C41" w:rsidRPr="00C9343F" w:rsidRDefault="00410C41" w:rsidP="00F66D98">
            <w:pPr>
              <w:pStyle w:val="BlockText-Plain"/>
            </w:pPr>
            <w:r w:rsidRPr="00C9343F">
              <w:t>Despite subsection 1, in any period when a person holds one of the following statutory offices, only the rules about leave in Divisions 7 and 8 apply.</w:t>
            </w:r>
          </w:p>
        </w:tc>
      </w:tr>
      <w:tr w:rsidR="00410C41" w:rsidRPr="00C9343F" w14:paraId="0ABF7608" w14:textId="77777777" w:rsidTr="005E243D">
        <w:trPr>
          <w:cantSplit/>
        </w:trPr>
        <w:tc>
          <w:tcPr>
            <w:tcW w:w="992" w:type="dxa"/>
          </w:tcPr>
          <w:p w14:paraId="54738630" w14:textId="77777777" w:rsidR="00410C41" w:rsidRPr="00C9343F" w:rsidRDefault="00410C41" w:rsidP="00F66D98">
            <w:pPr>
              <w:pStyle w:val="BlockText-Plain"/>
            </w:pPr>
          </w:p>
        </w:tc>
        <w:tc>
          <w:tcPr>
            <w:tcW w:w="567" w:type="dxa"/>
          </w:tcPr>
          <w:p w14:paraId="6EEFB1B5" w14:textId="77777777" w:rsidR="00410C41" w:rsidRPr="00C9343F" w:rsidRDefault="00410C41" w:rsidP="00F66D98">
            <w:pPr>
              <w:pStyle w:val="BlockText-Plain"/>
              <w:jc w:val="center"/>
            </w:pPr>
            <w:r w:rsidRPr="00C9343F">
              <w:t>a.</w:t>
            </w:r>
          </w:p>
        </w:tc>
        <w:tc>
          <w:tcPr>
            <w:tcW w:w="7796" w:type="dxa"/>
          </w:tcPr>
          <w:p w14:paraId="7C8162FD" w14:textId="77777777" w:rsidR="00410C41" w:rsidRPr="00C9343F" w:rsidRDefault="00410C41" w:rsidP="00F66D98">
            <w:pPr>
              <w:pStyle w:val="BlockText-Plain"/>
            </w:pPr>
            <w:r w:rsidRPr="00C9343F">
              <w:t>The Vice Chief of the Defence Force.</w:t>
            </w:r>
          </w:p>
        </w:tc>
      </w:tr>
      <w:tr w:rsidR="00410C41" w:rsidRPr="00C9343F" w14:paraId="642ABBF2" w14:textId="77777777" w:rsidTr="005E243D">
        <w:trPr>
          <w:cantSplit/>
        </w:trPr>
        <w:tc>
          <w:tcPr>
            <w:tcW w:w="992" w:type="dxa"/>
          </w:tcPr>
          <w:p w14:paraId="6E1FB698" w14:textId="77777777" w:rsidR="00410C41" w:rsidRPr="00C9343F" w:rsidRDefault="00410C41" w:rsidP="00F66D98">
            <w:pPr>
              <w:pStyle w:val="BlockText-Plain"/>
            </w:pPr>
          </w:p>
        </w:tc>
        <w:tc>
          <w:tcPr>
            <w:tcW w:w="567" w:type="dxa"/>
          </w:tcPr>
          <w:p w14:paraId="51ACCD12" w14:textId="77777777" w:rsidR="00410C41" w:rsidRPr="00C9343F" w:rsidRDefault="00410C41" w:rsidP="00F66D98">
            <w:pPr>
              <w:pStyle w:val="BlockText-Plain"/>
              <w:jc w:val="center"/>
            </w:pPr>
            <w:r w:rsidRPr="00C9343F">
              <w:t>b.</w:t>
            </w:r>
          </w:p>
        </w:tc>
        <w:tc>
          <w:tcPr>
            <w:tcW w:w="7796" w:type="dxa"/>
          </w:tcPr>
          <w:p w14:paraId="6D43FC16" w14:textId="77777777" w:rsidR="00410C41" w:rsidRPr="00C9343F" w:rsidRDefault="00410C41" w:rsidP="00F66D98">
            <w:pPr>
              <w:pStyle w:val="BlockText-Plain"/>
            </w:pPr>
            <w:r w:rsidRPr="00C9343F">
              <w:t>A Service Chief.</w:t>
            </w:r>
          </w:p>
        </w:tc>
      </w:tr>
    </w:tbl>
    <w:p w14:paraId="567918BE" w14:textId="77777777" w:rsidR="00410C41" w:rsidRPr="00C9343F" w:rsidRDefault="00410C41" w:rsidP="00F66D98">
      <w:pPr>
        <w:pStyle w:val="Heading5"/>
      </w:pPr>
      <w:bookmarkStart w:id="1276" w:name="_Toc105053973"/>
      <w:r w:rsidRPr="00C9343F">
        <w:t>5.4.5    Members this Part does not apply to</w:t>
      </w:r>
      <w:bookmarkEnd w:id="1276"/>
    </w:p>
    <w:tbl>
      <w:tblPr>
        <w:tblW w:w="0" w:type="auto"/>
        <w:tblInd w:w="113" w:type="dxa"/>
        <w:tblLayout w:type="fixed"/>
        <w:tblLook w:val="0000" w:firstRow="0" w:lastRow="0" w:firstColumn="0" w:lastColumn="0" w:noHBand="0" w:noVBand="0"/>
      </w:tblPr>
      <w:tblGrid>
        <w:gridCol w:w="992"/>
        <w:gridCol w:w="567"/>
        <w:gridCol w:w="7796"/>
      </w:tblGrid>
      <w:tr w:rsidR="00410C41" w:rsidRPr="00C9343F" w14:paraId="374663E3" w14:textId="77777777" w:rsidTr="005E243D">
        <w:tc>
          <w:tcPr>
            <w:tcW w:w="992" w:type="dxa"/>
          </w:tcPr>
          <w:p w14:paraId="7EB70517" w14:textId="77777777" w:rsidR="00410C41" w:rsidRPr="00C9343F" w:rsidRDefault="00410C41" w:rsidP="00F66D98">
            <w:pPr>
              <w:pStyle w:val="BlockText-Plain"/>
              <w:jc w:val="center"/>
            </w:pPr>
          </w:p>
        </w:tc>
        <w:tc>
          <w:tcPr>
            <w:tcW w:w="8363" w:type="dxa"/>
            <w:gridSpan w:val="2"/>
          </w:tcPr>
          <w:p w14:paraId="4E4B3BEA" w14:textId="77777777" w:rsidR="00410C41" w:rsidRPr="00C9343F" w:rsidRDefault="00410C41" w:rsidP="00F66D98">
            <w:pPr>
              <w:pStyle w:val="BlockText-Plain"/>
            </w:pPr>
            <w:r w:rsidRPr="00C9343F">
              <w:t>This Part does not apply to a member who meets any of these criteria.</w:t>
            </w:r>
          </w:p>
        </w:tc>
      </w:tr>
      <w:tr w:rsidR="00410C41" w:rsidRPr="00C9343F" w14:paraId="06BAB34F" w14:textId="77777777" w:rsidTr="005E243D">
        <w:trPr>
          <w:cantSplit/>
        </w:trPr>
        <w:tc>
          <w:tcPr>
            <w:tcW w:w="992" w:type="dxa"/>
          </w:tcPr>
          <w:p w14:paraId="2272DA2D" w14:textId="77777777" w:rsidR="00410C41" w:rsidRPr="00C9343F" w:rsidRDefault="00410C41" w:rsidP="00F66D98">
            <w:pPr>
              <w:pStyle w:val="BlockText-Plain"/>
            </w:pPr>
          </w:p>
        </w:tc>
        <w:tc>
          <w:tcPr>
            <w:tcW w:w="567" w:type="dxa"/>
          </w:tcPr>
          <w:p w14:paraId="2B28BA9A" w14:textId="77777777" w:rsidR="00410C41" w:rsidRPr="00C9343F" w:rsidRDefault="00410C41" w:rsidP="00F66D98">
            <w:pPr>
              <w:pStyle w:val="BlockText-Plain"/>
              <w:jc w:val="center"/>
            </w:pPr>
            <w:r w:rsidRPr="00C9343F">
              <w:t>a.</w:t>
            </w:r>
          </w:p>
        </w:tc>
        <w:tc>
          <w:tcPr>
            <w:tcW w:w="7796" w:type="dxa"/>
          </w:tcPr>
          <w:p w14:paraId="548B8002" w14:textId="77777777" w:rsidR="00410C41" w:rsidRPr="00C9343F" w:rsidRDefault="00410C41" w:rsidP="00F66D98">
            <w:pPr>
              <w:pStyle w:val="BlockText-Plain"/>
            </w:pPr>
            <w:r w:rsidRPr="00C9343F">
              <w:t>They are undertaking a term of medical residency or a postgraduate internship at a hospital.</w:t>
            </w:r>
          </w:p>
        </w:tc>
      </w:tr>
      <w:tr w:rsidR="00410C41" w:rsidRPr="00C9343F" w14:paraId="5129A6CE" w14:textId="77777777" w:rsidTr="005E243D">
        <w:trPr>
          <w:cantSplit/>
        </w:trPr>
        <w:tc>
          <w:tcPr>
            <w:tcW w:w="992" w:type="dxa"/>
          </w:tcPr>
          <w:p w14:paraId="437D845D" w14:textId="77777777" w:rsidR="00410C41" w:rsidRPr="00C9343F" w:rsidRDefault="00410C41" w:rsidP="00F66D98">
            <w:pPr>
              <w:pStyle w:val="BlockText-Plain"/>
            </w:pPr>
          </w:p>
        </w:tc>
        <w:tc>
          <w:tcPr>
            <w:tcW w:w="567" w:type="dxa"/>
          </w:tcPr>
          <w:p w14:paraId="414BB322" w14:textId="77777777" w:rsidR="00410C41" w:rsidRPr="00C9343F" w:rsidRDefault="00410C41" w:rsidP="00F66D98">
            <w:pPr>
              <w:pStyle w:val="BlockText-Plain"/>
              <w:jc w:val="center"/>
            </w:pPr>
            <w:r w:rsidRPr="00C9343F">
              <w:t>b.</w:t>
            </w:r>
          </w:p>
        </w:tc>
        <w:tc>
          <w:tcPr>
            <w:tcW w:w="7796" w:type="dxa"/>
          </w:tcPr>
          <w:p w14:paraId="102406E8" w14:textId="77777777" w:rsidR="00410C41" w:rsidRPr="00C9343F" w:rsidRDefault="00410C41" w:rsidP="00F66D98">
            <w:pPr>
              <w:pStyle w:val="BlockText-Plain"/>
            </w:pPr>
            <w:r w:rsidRPr="00C9343F">
              <w:t>They are on Reserve service.</w:t>
            </w:r>
          </w:p>
        </w:tc>
      </w:tr>
      <w:tr w:rsidR="00410C41" w:rsidRPr="00C9343F" w14:paraId="4B11773F" w14:textId="77777777" w:rsidTr="005E243D">
        <w:trPr>
          <w:cantSplit/>
        </w:trPr>
        <w:tc>
          <w:tcPr>
            <w:tcW w:w="992" w:type="dxa"/>
          </w:tcPr>
          <w:p w14:paraId="45F11356" w14:textId="77777777" w:rsidR="00410C41" w:rsidRPr="00C9343F" w:rsidRDefault="00410C41" w:rsidP="00F66D98">
            <w:pPr>
              <w:pStyle w:val="BlockText-Plain"/>
            </w:pPr>
          </w:p>
        </w:tc>
        <w:tc>
          <w:tcPr>
            <w:tcW w:w="567" w:type="dxa"/>
          </w:tcPr>
          <w:p w14:paraId="4C7FB6AA" w14:textId="77777777" w:rsidR="00410C41" w:rsidRPr="00C9343F" w:rsidRDefault="00410C41" w:rsidP="00F66D98">
            <w:pPr>
              <w:pStyle w:val="BlockText-Plain"/>
              <w:jc w:val="center"/>
            </w:pPr>
            <w:r w:rsidRPr="00C9343F">
              <w:t>c.</w:t>
            </w:r>
          </w:p>
        </w:tc>
        <w:tc>
          <w:tcPr>
            <w:tcW w:w="7796" w:type="dxa"/>
          </w:tcPr>
          <w:p w14:paraId="5A8F6B3A" w14:textId="77777777" w:rsidR="00410C41" w:rsidRPr="00C9343F" w:rsidRDefault="00410C41" w:rsidP="00F66D98">
            <w:pPr>
              <w:pStyle w:val="BlockText-Plain"/>
            </w:pPr>
            <w:r w:rsidRPr="00C9343F">
              <w:t>They are on non-effective service.</w:t>
            </w:r>
          </w:p>
        </w:tc>
      </w:tr>
    </w:tbl>
    <w:p w14:paraId="78188A4B" w14:textId="77777777" w:rsidR="00410C41" w:rsidRPr="00C9343F" w:rsidRDefault="00410C41" w:rsidP="00F66D98">
      <w:pPr>
        <w:pStyle w:val="Heading5"/>
      </w:pPr>
      <w:bookmarkStart w:id="1277" w:name="_Toc105053974"/>
      <w:r w:rsidRPr="00C9343F">
        <w:t>5.4.6    Definitions</w:t>
      </w:r>
      <w:bookmarkEnd w:id="1277"/>
    </w:p>
    <w:tbl>
      <w:tblPr>
        <w:tblW w:w="0" w:type="dxa"/>
        <w:tblInd w:w="108" w:type="dxa"/>
        <w:tblLayout w:type="fixed"/>
        <w:tblLook w:val="04A0" w:firstRow="1" w:lastRow="0" w:firstColumn="1" w:lastColumn="0" w:noHBand="0" w:noVBand="1"/>
      </w:tblPr>
      <w:tblGrid>
        <w:gridCol w:w="995"/>
        <w:gridCol w:w="567"/>
        <w:gridCol w:w="7802"/>
      </w:tblGrid>
      <w:tr w:rsidR="007F1296" w:rsidRPr="00C9343F" w14:paraId="34915D8A" w14:textId="77777777" w:rsidTr="00445FEB">
        <w:tc>
          <w:tcPr>
            <w:tcW w:w="995" w:type="dxa"/>
          </w:tcPr>
          <w:p w14:paraId="61A5B3A9" w14:textId="77777777" w:rsidR="007F1296" w:rsidRPr="00C9343F" w:rsidRDefault="007F1296" w:rsidP="00445FEB">
            <w:pPr>
              <w:pStyle w:val="Sectiontext0"/>
              <w:spacing w:line="276" w:lineRule="auto"/>
              <w:jc w:val="center"/>
              <w:rPr>
                <w:lang w:eastAsia="en-US"/>
              </w:rPr>
            </w:pPr>
          </w:p>
        </w:tc>
        <w:tc>
          <w:tcPr>
            <w:tcW w:w="8369" w:type="dxa"/>
            <w:gridSpan w:val="2"/>
            <w:hideMark/>
          </w:tcPr>
          <w:p w14:paraId="2CEA537B" w14:textId="77777777" w:rsidR="007F1296" w:rsidRPr="00C9343F" w:rsidRDefault="007F1296" w:rsidP="00445FEB">
            <w:pPr>
              <w:pStyle w:val="Sectiontext0"/>
              <w:spacing w:line="276" w:lineRule="auto"/>
              <w:rPr>
                <w:lang w:eastAsia="en-US"/>
              </w:rPr>
            </w:pPr>
            <w:r w:rsidRPr="00C9343F">
              <w:rPr>
                <w:iCs/>
                <w:lang w:eastAsia="en-US"/>
              </w:rPr>
              <w:t>In this Part the following apply.</w:t>
            </w:r>
          </w:p>
        </w:tc>
      </w:tr>
      <w:tr w:rsidR="007F1296" w:rsidRPr="00C9343F" w14:paraId="180BE88E" w14:textId="77777777" w:rsidTr="00445FEB">
        <w:tc>
          <w:tcPr>
            <w:tcW w:w="995" w:type="dxa"/>
          </w:tcPr>
          <w:p w14:paraId="47BE5864" w14:textId="77777777" w:rsidR="007F1296" w:rsidRPr="00C9343F" w:rsidRDefault="007F1296" w:rsidP="00445FEB">
            <w:pPr>
              <w:pStyle w:val="Sectiontext0"/>
              <w:spacing w:line="276" w:lineRule="auto"/>
              <w:jc w:val="center"/>
              <w:rPr>
                <w:lang w:eastAsia="en-US"/>
              </w:rPr>
            </w:pPr>
          </w:p>
        </w:tc>
        <w:tc>
          <w:tcPr>
            <w:tcW w:w="8369" w:type="dxa"/>
            <w:gridSpan w:val="2"/>
            <w:hideMark/>
          </w:tcPr>
          <w:p w14:paraId="6C51C553" w14:textId="77777777" w:rsidR="007F1296" w:rsidRPr="00C9343F" w:rsidRDefault="007F1296" w:rsidP="00445FEB">
            <w:pPr>
              <w:pStyle w:val="Sectiontext0"/>
              <w:spacing w:line="276" w:lineRule="auto"/>
              <w:rPr>
                <w:rFonts w:cs="Arial"/>
                <w:i/>
                <w:lang w:eastAsia="en-US"/>
              </w:rPr>
            </w:pPr>
            <w:r w:rsidRPr="00C9343F">
              <w:rPr>
                <w:rFonts w:cs="Arial"/>
                <w:b/>
                <w:lang w:eastAsia="en-US"/>
              </w:rPr>
              <w:t xml:space="preserve">Field service </w:t>
            </w:r>
            <w:r w:rsidRPr="00C9343F">
              <w:rPr>
                <w:rFonts w:cs="Arial"/>
                <w:lang w:eastAsia="en-US"/>
              </w:rPr>
              <w:t xml:space="preserve">has the same meaning given in DFRT Determination No. 11 of 2013, </w:t>
            </w:r>
            <w:r w:rsidRPr="00C9343F">
              <w:rPr>
                <w:rFonts w:cs="Arial"/>
                <w:i/>
                <w:lang w:eastAsia="en-US"/>
              </w:rPr>
              <w:t>ADF allowances.</w:t>
            </w:r>
          </w:p>
        </w:tc>
      </w:tr>
      <w:tr w:rsidR="007F1296" w:rsidRPr="00C9343F" w14:paraId="4DCDA743" w14:textId="77777777" w:rsidTr="00445FEB">
        <w:tc>
          <w:tcPr>
            <w:tcW w:w="995" w:type="dxa"/>
          </w:tcPr>
          <w:p w14:paraId="1BE55C8A" w14:textId="77777777" w:rsidR="007F1296" w:rsidRPr="00C9343F" w:rsidRDefault="007F1296" w:rsidP="00445FEB">
            <w:pPr>
              <w:pStyle w:val="Sectiontext0"/>
              <w:spacing w:line="276" w:lineRule="auto"/>
              <w:jc w:val="center"/>
              <w:rPr>
                <w:lang w:eastAsia="en-US"/>
              </w:rPr>
            </w:pPr>
          </w:p>
        </w:tc>
        <w:tc>
          <w:tcPr>
            <w:tcW w:w="8369" w:type="dxa"/>
            <w:gridSpan w:val="2"/>
            <w:hideMark/>
          </w:tcPr>
          <w:p w14:paraId="491BE283" w14:textId="77777777" w:rsidR="007F1296" w:rsidRPr="00C9343F" w:rsidRDefault="007F1296" w:rsidP="00445FEB">
            <w:pPr>
              <w:pStyle w:val="Sectiontext0"/>
              <w:spacing w:line="276" w:lineRule="auto"/>
              <w:rPr>
                <w:rFonts w:cs="Arial"/>
                <w:i/>
                <w:lang w:eastAsia="en-US"/>
              </w:rPr>
            </w:pPr>
            <w:r w:rsidRPr="00C9343F">
              <w:rPr>
                <w:rFonts w:cs="Arial"/>
                <w:b/>
                <w:lang w:eastAsia="en-US"/>
              </w:rPr>
              <w:t>Flight duties</w:t>
            </w:r>
            <w:r w:rsidRPr="00C9343F">
              <w:rPr>
                <w:rFonts w:cs="Arial"/>
                <w:lang w:eastAsia="en-US"/>
              </w:rPr>
              <w:t xml:space="preserve"> has the same meaning given in DFRT Determination No. 11 of 2013, </w:t>
            </w:r>
            <w:r w:rsidRPr="00C9343F">
              <w:rPr>
                <w:rFonts w:cs="Arial"/>
                <w:i/>
                <w:lang w:eastAsia="en-US"/>
              </w:rPr>
              <w:t>ADF allowances.</w:t>
            </w:r>
          </w:p>
        </w:tc>
      </w:tr>
      <w:tr w:rsidR="007F1296" w:rsidRPr="00C9343F" w14:paraId="5A8BA701" w14:textId="77777777" w:rsidTr="00445FEB">
        <w:tc>
          <w:tcPr>
            <w:tcW w:w="995" w:type="dxa"/>
          </w:tcPr>
          <w:p w14:paraId="65968FDA" w14:textId="77777777" w:rsidR="007F1296" w:rsidRPr="00C9343F" w:rsidRDefault="007F1296" w:rsidP="00445FEB">
            <w:pPr>
              <w:pStyle w:val="Sectiontext0"/>
              <w:spacing w:line="276" w:lineRule="auto"/>
              <w:jc w:val="center"/>
              <w:rPr>
                <w:lang w:eastAsia="en-US"/>
              </w:rPr>
            </w:pPr>
          </w:p>
        </w:tc>
        <w:tc>
          <w:tcPr>
            <w:tcW w:w="8369" w:type="dxa"/>
            <w:gridSpan w:val="2"/>
            <w:hideMark/>
          </w:tcPr>
          <w:p w14:paraId="5C198838" w14:textId="77777777" w:rsidR="007F1296" w:rsidRPr="00C9343F" w:rsidRDefault="007F1296" w:rsidP="00445FEB">
            <w:pPr>
              <w:pStyle w:val="Sectiontext0"/>
              <w:spacing w:line="276" w:lineRule="auto"/>
              <w:rPr>
                <w:rFonts w:cs="Arial"/>
                <w:lang w:eastAsia="en-US"/>
              </w:rPr>
            </w:pPr>
            <w:r w:rsidRPr="00C9343F">
              <w:rPr>
                <w:rFonts w:cs="Arial"/>
                <w:b/>
                <w:lang w:eastAsia="en-US"/>
              </w:rPr>
              <w:t xml:space="preserve">Non-effective service </w:t>
            </w:r>
            <w:r w:rsidRPr="00C9343F">
              <w:rPr>
                <w:rFonts w:cs="Arial"/>
                <w:lang w:eastAsia="en-US"/>
              </w:rPr>
              <w:t>means a period of more than 24 hours when one of the following applies.</w:t>
            </w:r>
          </w:p>
        </w:tc>
      </w:tr>
      <w:tr w:rsidR="007F1296" w:rsidRPr="00C9343F" w14:paraId="4A7D2521" w14:textId="77777777" w:rsidTr="00445FEB">
        <w:tc>
          <w:tcPr>
            <w:tcW w:w="995" w:type="dxa"/>
          </w:tcPr>
          <w:p w14:paraId="3A92C953" w14:textId="77777777" w:rsidR="007F1296" w:rsidRPr="00C9343F" w:rsidRDefault="007F1296" w:rsidP="00445FEB">
            <w:pPr>
              <w:pStyle w:val="Sectiontext0"/>
              <w:spacing w:line="276" w:lineRule="auto"/>
              <w:jc w:val="center"/>
              <w:rPr>
                <w:lang w:eastAsia="en-US"/>
              </w:rPr>
            </w:pPr>
          </w:p>
        </w:tc>
        <w:tc>
          <w:tcPr>
            <w:tcW w:w="567" w:type="dxa"/>
            <w:hideMark/>
          </w:tcPr>
          <w:p w14:paraId="2C424793" w14:textId="77777777" w:rsidR="007F1296" w:rsidRPr="00C9343F" w:rsidRDefault="007F1296" w:rsidP="00445FEB">
            <w:pPr>
              <w:pStyle w:val="Sectiontext0"/>
              <w:spacing w:line="276" w:lineRule="auto"/>
              <w:jc w:val="center"/>
              <w:rPr>
                <w:rFonts w:cs="Arial"/>
                <w:lang w:eastAsia="en-US"/>
              </w:rPr>
            </w:pPr>
            <w:r w:rsidRPr="00C9343F">
              <w:rPr>
                <w:rFonts w:cs="Arial"/>
                <w:lang w:eastAsia="en-US"/>
              </w:rPr>
              <w:t>a.</w:t>
            </w:r>
          </w:p>
        </w:tc>
        <w:tc>
          <w:tcPr>
            <w:tcW w:w="7802" w:type="dxa"/>
            <w:hideMark/>
          </w:tcPr>
          <w:p w14:paraId="05C0A4C1" w14:textId="77777777" w:rsidR="007F1296" w:rsidRPr="00C9343F" w:rsidRDefault="007F1296" w:rsidP="00445FEB">
            <w:pPr>
              <w:pStyle w:val="Default"/>
              <w:spacing w:after="240" w:line="276" w:lineRule="auto"/>
            </w:pPr>
            <w:r w:rsidRPr="00C9343F">
              <w:t>The member is on unpaid leave.</w:t>
            </w:r>
          </w:p>
        </w:tc>
      </w:tr>
      <w:tr w:rsidR="007F1296" w:rsidRPr="00C9343F" w14:paraId="376ACFC3" w14:textId="77777777" w:rsidTr="00445FEB">
        <w:tc>
          <w:tcPr>
            <w:tcW w:w="995" w:type="dxa"/>
          </w:tcPr>
          <w:p w14:paraId="3E06327D" w14:textId="77777777" w:rsidR="007F1296" w:rsidRPr="00C9343F" w:rsidRDefault="007F1296" w:rsidP="00445FEB">
            <w:pPr>
              <w:pStyle w:val="Sectiontext0"/>
              <w:spacing w:line="276" w:lineRule="auto"/>
              <w:jc w:val="center"/>
              <w:rPr>
                <w:lang w:eastAsia="en-US"/>
              </w:rPr>
            </w:pPr>
          </w:p>
        </w:tc>
        <w:tc>
          <w:tcPr>
            <w:tcW w:w="567" w:type="dxa"/>
            <w:hideMark/>
          </w:tcPr>
          <w:p w14:paraId="0ECBB48A" w14:textId="77777777" w:rsidR="007F1296" w:rsidRPr="00C9343F" w:rsidRDefault="007F1296" w:rsidP="00445FEB">
            <w:pPr>
              <w:pStyle w:val="Sectiontext0"/>
              <w:spacing w:line="276" w:lineRule="auto"/>
              <w:jc w:val="center"/>
              <w:rPr>
                <w:rFonts w:cs="Arial"/>
                <w:lang w:eastAsia="en-US"/>
              </w:rPr>
            </w:pPr>
            <w:r w:rsidRPr="00C9343F">
              <w:rPr>
                <w:rFonts w:cs="Arial"/>
                <w:lang w:eastAsia="en-US"/>
              </w:rPr>
              <w:t>b.</w:t>
            </w:r>
          </w:p>
        </w:tc>
        <w:tc>
          <w:tcPr>
            <w:tcW w:w="7802" w:type="dxa"/>
            <w:hideMark/>
          </w:tcPr>
          <w:p w14:paraId="37D9BE6B" w14:textId="77777777" w:rsidR="007F1296" w:rsidRPr="00C9343F" w:rsidRDefault="007F1296" w:rsidP="00445FEB">
            <w:pPr>
              <w:pStyle w:val="Default"/>
              <w:spacing w:after="240" w:line="276" w:lineRule="auto"/>
            </w:pPr>
            <w:r w:rsidRPr="00C9343F">
              <w:t>The member is absent without leave.</w:t>
            </w:r>
          </w:p>
        </w:tc>
      </w:tr>
      <w:tr w:rsidR="007F1296" w:rsidRPr="00C9343F" w14:paraId="44C55F69" w14:textId="77777777" w:rsidTr="00445FEB">
        <w:tc>
          <w:tcPr>
            <w:tcW w:w="995" w:type="dxa"/>
          </w:tcPr>
          <w:p w14:paraId="17B12ADB" w14:textId="77777777" w:rsidR="007F1296" w:rsidRPr="00C9343F" w:rsidRDefault="007F1296" w:rsidP="00445FEB">
            <w:pPr>
              <w:pStyle w:val="Sectiontext0"/>
              <w:spacing w:line="276" w:lineRule="auto"/>
              <w:jc w:val="center"/>
              <w:rPr>
                <w:lang w:eastAsia="en-US"/>
              </w:rPr>
            </w:pPr>
          </w:p>
        </w:tc>
        <w:tc>
          <w:tcPr>
            <w:tcW w:w="567" w:type="dxa"/>
            <w:hideMark/>
          </w:tcPr>
          <w:p w14:paraId="02C5E42F" w14:textId="77777777" w:rsidR="007F1296" w:rsidRPr="00C9343F" w:rsidRDefault="007F1296" w:rsidP="00445FEB">
            <w:pPr>
              <w:pStyle w:val="Sectiontext0"/>
              <w:spacing w:line="276" w:lineRule="auto"/>
              <w:jc w:val="center"/>
              <w:rPr>
                <w:rFonts w:cs="Arial"/>
                <w:lang w:eastAsia="en-US"/>
              </w:rPr>
            </w:pPr>
            <w:r w:rsidRPr="00C9343F">
              <w:rPr>
                <w:rFonts w:cs="Arial"/>
                <w:lang w:eastAsia="en-US"/>
              </w:rPr>
              <w:t>c.</w:t>
            </w:r>
          </w:p>
        </w:tc>
        <w:tc>
          <w:tcPr>
            <w:tcW w:w="7802" w:type="dxa"/>
            <w:hideMark/>
          </w:tcPr>
          <w:p w14:paraId="7CCFA3A1" w14:textId="77777777" w:rsidR="007F1296" w:rsidRPr="00C9343F" w:rsidRDefault="007F1296" w:rsidP="00445FEB">
            <w:pPr>
              <w:pStyle w:val="Default"/>
              <w:spacing w:after="240" w:line="276" w:lineRule="auto"/>
            </w:pPr>
            <w:r w:rsidRPr="00C9343F">
              <w:t xml:space="preserve">The member is suspended from duty, on detention, in prison or in custody immediately before a conviction. </w:t>
            </w:r>
          </w:p>
        </w:tc>
      </w:tr>
      <w:tr w:rsidR="007F1296" w:rsidRPr="00C9343F" w14:paraId="34E042A9" w14:textId="77777777" w:rsidTr="00445FEB">
        <w:tc>
          <w:tcPr>
            <w:tcW w:w="995" w:type="dxa"/>
          </w:tcPr>
          <w:p w14:paraId="62EA1CBA" w14:textId="77777777" w:rsidR="007F1296" w:rsidRPr="00C9343F" w:rsidRDefault="007F1296" w:rsidP="00445FEB">
            <w:pPr>
              <w:pStyle w:val="Sectiontext0"/>
              <w:spacing w:line="276" w:lineRule="auto"/>
              <w:jc w:val="center"/>
              <w:rPr>
                <w:lang w:eastAsia="en-US"/>
              </w:rPr>
            </w:pPr>
          </w:p>
        </w:tc>
        <w:tc>
          <w:tcPr>
            <w:tcW w:w="567" w:type="dxa"/>
            <w:hideMark/>
          </w:tcPr>
          <w:p w14:paraId="4A5D06C1" w14:textId="77777777" w:rsidR="007F1296" w:rsidRPr="00C9343F" w:rsidRDefault="007F1296" w:rsidP="00445FEB">
            <w:pPr>
              <w:pStyle w:val="Sectiontext0"/>
              <w:spacing w:line="276" w:lineRule="auto"/>
              <w:jc w:val="center"/>
              <w:rPr>
                <w:rFonts w:cs="Arial"/>
                <w:lang w:eastAsia="en-US"/>
              </w:rPr>
            </w:pPr>
            <w:r w:rsidRPr="00C9343F">
              <w:rPr>
                <w:rFonts w:cs="Arial"/>
                <w:lang w:eastAsia="en-US"/>
              </w:rPr>
              <w:t>d.</w:t>
            </w:r>
          </w:p>
        </w:tc>
        <w:tc>
          <w:tcPr>
            <w:tcW w:w="7802" w:type="dxa"/>
            <w:hideMark/>
          </w:tcPr>
          <w:p w14:paraId="6DD8E544" w14:textId="77777777" w:rsidR="007F1296" w:rsidRPr="00C9343F" w:rsidRDefault="007F1296" w:rsidP="00445FEB">
            <w:pPr>
              <w:pStyle w:val="Default"/>
              <w:spacing w:after="240" w:line="276" w:lineRule="auto"/>
            </w:pPr>
            <w:r w:rsidRPr="00C9343F">
              <w:t xml:space="preserve">The member is on detention or in prison after a conviction. </w:t>
            </w:r>
          </w:p>
        </w:tc>
      </w:tr>
      <w:tr w:rsidR="007F1296" w:rsidRPr="00C9343F" w14:paraId="3A82945C" w14:textId="77777777" w:rsidTr="00445FEB">
        <w:tc>
          <w:tcPr>
            <w:tcW w:w="995" w:type="dxa"/>
          </w:tcPr>
          <w:p w14:paraId="1A6A2909" w14:textId="77777777" w:rsidR="007F1296" w:rsidRPr="00C9343F" w:rsidRDefault="007F1296" w:rsidP="00445FEB">
            <w:pPr>
              <w:pStyle w:val="Sectiontext0"/>
              <w:spacing w:line="276" w:lineRule="auto"/>
              <w:jc w:val="center"/>
              <w:rPr>
                <w:lang w:eastAsia="en-US"/>
              </w:rPr>
            </w:pPr>
          </w:p>
        </w:tc>
        <w:tc>
          <w:tcPr>
            <w:tcW w:w="8369" w:type="dxa"/>
            <w:gridSpan w:val="2"/>
            <w:hideMark/>
          </w:tcPr>
          <w:p w14:paraId="75B4F75D" w14:textId="77777777" w:rsidR="007F1296" w:rsidRPr="00C9343F" w:rsidRDefault="007F1296" w:rsidP="00445FEB">
            <w:pPr>
              <w:pStyle w:val="Sectiontext0"/>
              <w:spacing w:line="276" w:lineRule="auto"/>
              <w:rPr>
                <w:rFonts w:cs="Arial"/>
                <w:lang w:eastAsia="en-US"/>
              </w:rPr>
            </w:pPr>
            <w:r w:rsidRPr="00C9343F">
              <w:rPr>
                <w:rFonts w:cs="Arial"/>
                <w:b/>
                <w:lang w:eastAsia="en-US"/>
              </w:rPr>
              <w:t>Special service</w:t>
            </w:r>
            <w:r w:rsidRPr="00C9343F">
              <w:rPr>
                <w:rFonts w:cs="Arial"/>
                <w:lang w:eastAsia="en-US"/>
              </w:rPr>
              <w:t xml:space="preserve"> means service performed in either of the following circumstances.</w:t>
            </w:r>
          </w:p>
        </w:tc>
      </w:tr>
      <w:tr w:rsidR="007F1296" w:rsidRPr="00C9343F" w14:paraId="3F7BF104" w14:textId="77777777" w:rsidTr="00445FEB">
        <w:tc>
          <w:tcPr>
            <w:tcW w:w="995" w:type="dxa"/>
          </w:tcPr>
          <w:p w14:paraId="3E8264B7" w14:textId="77777777" w:rsidR="007F1296" w:rsidRPr="00C9343F" w:rsidRDefault="007F1296" w:rsidP="00445FEB">
            <w:pPr>
              <w:pStyle w:val="Sectiontext0"/>
              <w:spacing w:line="276" w:lineRule="auto"/>
              <w:jc w:val="center"/>
              <w:rPr>
                <w:lang w:eastAsia="en-US"/>
              </w:rPr>
            </w:pPr>
          </w:p>
        </w:tc>
        <w:tc>
          <w:tcPr>
            <w:tcW w:w="567" w:type="dxa"/>
            <w:hideMark/>
          </w:tcPr>
          <w:p w14:paraId="2B5E8B69" w14:textId="77777777" w:rsidR="007F1296" w:rsidRPr="00C9343F" w:rsidRDefault="007F1296" w:rsidP="00445FEB">
            <w:pPr>
              <w:pStyle w:val="Sectiontext0"/>
              <w:spacing w:line="276" w:lineRule="auto"/>
              <w:jc w:val="center"/>
              <w:rPr>
                <w:rFonts w:cs="Arial"/>
                <w:lang w:eastAsia="en-US"/>
              </w:rPr>
            </w:pPr>
            <w:r w:rsidRPr="00C9343F">
              <w:rPr>
                <w:rFonts w:cs="Arial"/>
                <w:lang w:eastAsia="en-US"/>
              </w:rPr>
              <w:t>a.</w:t>
            </w:r>
          </w:p>
        </w:tc>
        <w:tc>
          <w:tcPr>
            <w:tcW w:w="7802" w:type="dxa"/>
            <w:hideMark/>
          </w:tcPr>
          <w:p w14:paraId="65170732" w14:textId="77777777" w:rsidR="007F1296" w:rsidRPr="00C9343F" w:rsidRDefault="007F1296" w:rsidP="00445FEB">
            <w:pPr>
              <w:pStyle w:val="Default"/>
              <w:spacing w:after="240" w:line="276" w:lineRule="auto"/>
              <w:rPr>
                <w:i/>
              </w:rPr>
            </w:pPr>
            <w:r w:rsidRPr="00C9343F">
              <w:t xml:space="preserve">For the purpose of Division B.12 in DFRT Determination No. 11 of 2013, </w:t>
            </w:r>
            <w:r w:rsidRPr="00C9343F">
              <w:rPr>
                <w:i/>
              </w:rPr>
              <w:t>ADF allowances.</w:t>
            </w:r>
          </w:p>
        </w:tc>
      </w:tr>
      <w:tr w:rsidR="007F1296" w:rsidRPr="00C9343F" w14:paraId="1CEB5B85" w14:textId="77777777" w:rsidTr="00445FEB">
        <w:tc>
          <w:tcPr>
            <w:tcW w:w="995" w:type="dxa"/>
          </w:tcPr>
          <w:p w14:paraId="10D9F6DB" w14:textId="77777777" w:rsidR="007F1296" w:rsidRPr="00C9343F" w:rsidRDefault="007F1296" w:rsidP="00445FEB">
            <w:pPr>
              <w:pStyle w:val="Sectiontext0"/>
              <w:spacing w:line="276" w:lineRule="auto"/>
              <w:jc w:val="center"/>
              <w:rPr>
                <w:lang w:eastAsia="en-US"/>
              </w:rPr>
            </w:pPr>
          </w:p>
        </w:tc>
        <w:tc>
          <w:tcPr>
            <w:tcW w:w="567" w:type="dxa"/>
            <w:hideMark/>
          </w:tcPr>
          <w:p w14:paraId="14DFDF37" w14:textId="77777777" w:rsidR="007F1296" w:rsidRPr="00C9343F" w:rsidRDefault="007F1296" w:rsidP="00445FEB">
            <w:pPr>
              <w:pStyle w:val="Sectiontext0"/>
              <w:spacing w:line="276" w:lineRule="auto"/>
              <w:jc w:val="center"/>
              <w:rPr>
                <w:rFonts w:cs="Arial"/>
                <w:lang w:eastAsia="en-US"/>
              </w:rPr>
            </w:pPr>
            <w:r w:rsidRPr="00C9343F">
              <w:rPr>
                <w:rFonts w:cs="Arial"/>
                <w:lang w:eastAsia="en-US"/>
              </w:rPr>
              <w:t>b.</w:t>
            </w:r>
          </w:p>
        </w:tc>
        <w:tc>
          <w:tcPr>
            <w:tcW w:w="7802" w:type="dxa"/>
            <w:hideMark/>
          </w:tcPr>
          <w:p w14:paraId="6B830889" w14:textId="77777777" w:rsidR="007F1296" w:rsidRPr="00C9343F" w:rsidRDefault="007F1296" w:rsidP="00445FEB">
            <w:pPr>
              <w:pStyle w:val="Default"/>
              <w:spacing w:after="240" w:line="276" w:lineRule="auto"/>
              <w:rPr>
                <w:i/>
              </w:rPr>
            </w:pPr>
            <w:r w:rsidRPr="00C9343F">
              <w:t xml:space="preserve">For the purpose of Division B.14 in DFRT Determination No. 11 of 2013, </w:t>
            </w:r>
            <w:r w:rsidRPr="00C9343F">
              <w:rPr>
                <w:i/>
              </w:rPr>
              <w:t>ADF allowances.</w:t>
            </w:r>
          </w:p>
        </w:tc>
      </w:tr>
    </w:tbl>
    <w:p w14:paraId="746457D5" w14:textId="787FF9A0" w:rsidR="00410C41" w:rsidRPr="00C9343F" w:rsidRDefault="00410C41" w:rsidP="007F1296">
      <w:pPr>
        <w:pStyle w:val="Heading4"/>
        <w:pageBreakBefore/>
      </w:pPr>
      <w:bookmarkStart w:id="1278" w:name="_Toc105053975"/>
      <w:r w:rsidRPr="00C9343F">
        <w:t>Division 2: Basic recreation leave</w:t>
      </w:r>
      <w:bookmarkEnd w:id="1278"/>
    </w:p>
    <w:p w14:paraId="488A85D5" w14:textId="77777777" w:rsidR="00410C41" w:rsidRPr="00C9343F" w:rsidRDefault="00410C41" w:rsidP="00F66D98">
      <w:pPr>
        <w:pStyle w:val="Heading5"/>
      </w:pPr>
      <w:bookmarkStart w:id="1279" w:name="_Toc105053976"/>
      <w:r w:rsidRPr="00C9343F">
        <w:t>5.4.7    Purpose</w:t>
      </w:r>
      <w:bookmarkEnd w:id="1279"/>
    </w:p>
    <w:tbl>
      <w:tblPr>
        <w:tblW w:w="0" w:type="auto"/>
        <w:tblInd w:w="113" w:type="dxa"/>
        <w:tblLayout w:type="fixed"/>
        <w:tblLook w:val="0000" w:firstRow="0" w:lastRow="0" w:firstColumn="0" w:lastColumn="0" w:noHBand="0" w:noVBand="0"/>
      </w:tblPr>
      <w:tblGrid>
        <w:gridCol w:w="992"/>
        <w:gridCol w:w="8363"/>
      </w:tblGrid>
      <w:tr w:rsidR="00410C41" w:rsidRPr="00C9343F" w14:paraId="30208C60" w14:textId="77777777" w:rsidTr="005E243D">
        <w:tc>
          <w:tcPr>
            <w:tcW w:w="992" w:type="dxa"/>
          </w:tcPr>
          <w:p w14:paraId="053D152C" w14:textId="77777777" w:rsidR="00410C41" w:rsidRPr="00C9343F" w:rsidRDefault="00410C41" w:rsidP="00F66D98">
            <w:pPr>
              <w:pStyle w:val="BlockText-PlainNoSpacing"/>
              <w:jc w:val="center"/>
            </w:pPr>
          </w:p>
        </w:tc>
        <w:tc>
          <w:tcPr>
            <w:tcW w:w="8363" w:type="dxa"/>
          </w:tcPr>
          <w:p w14:paraId="1361F5D4" w14:textId="77777777" w:rsidR="00410C41" w:rsidRPr="00C9343F" w:rsidRDefault="00410C41" w:rsidP="00F66D98">
            <w:pPr>
              <w:pStyle w:val="BlockText-Plain"/>
            </w:pPr>
            <w:r w:rsidRPr="00C9343F">
              <w:t>This Division sets out basic recreation leave entitlements and conditions.</w:t>
            </w:r>
          </w:p>
        </w:tc>
      </w:tr>
    </w:tbl>
    <w:p w14:paraId="6BB607DA" w14:textId="77777777" w:rsidR="00410C41" w:rsidRPr="00C9343F" w:rsidRDefault="00410C41" w:rsidP="00F66D98">
      <w:pPr>
        <w:pStyle w:val="Heading5"/>
      </w:pPr>
      <w:bookmarkStart w:id="1280" w:name="_Toc105053977"/>
      <w:r w:rsidRPr="00C9343F">
        <w:t>5.4.8    Basic recreation leave credit</w:t>
      </w:r>
      <w:bookmarkEnd w:id="1280"/>
      <w:r w:rsidRPr="00C9343F" w:rsidDel="00297B89">
        <w:t xml:space="preserve"> </w:t>
      </w:r>
    </w:p>
    <w:tbl>
      <w:tblPr>
        <w:tblW w:w="0" w:type="auto"/>
        <w:tblInd w:w="113" w:type="dxa"/>
        <w:tblLayout w:type="fixed"/>
        <w:tblLook w:val="0000" w:firstRow="0" w:lastRow="0" w:firstColumn="0" w:lastColumn="0" w:noHBand="0" w:noVBand="0"/>
      </w:tblPr>
      <w:tblGrid>
        <w:gridCol w:w="992"/>
        <w:gridCol w:w="704"/>
        <w:gridCol w:w="7663"/>
      </w:tblGrid>
      <w:tr w:rsidR="00410C41" w:rsidRPr="00C9343F" w14:paraId="40D0116C" w14:textId="77777777" w:rsidTr="005E243D">
        <w:tc>
          <w:tcPr>
            <w:tcW w:w="992" w:type="dxa"/>
          </w:tcPr>
          <w:p w14:paraId="41583340" w14:textId="77777777" w:rsidR="00410C41" w:rsidRPr="00C9343F" w:rsidRDefault="00410C41" w:rsidP="00F66D98">
            <w:pPr>
              <w:pStyle w:val="BlockText-Plain"/>
              <w:jc w:val="center"/>
            </w:pPr>
            <w:r w:rsidRPr="00C9343F">
              <w:t>1.</w:t>
            </w:r>
          </w:p>
        </w:tc>
        <w:tc>
          <w:tcPr>
            <w:tcW w:w="8363" w:type="dxa"/>
            <w:gridSpan w:val="2"/>
          </w:tcPr>
          <w:p w14:paraId="6FB2FE3B" w14:textId="77777777" w:rsidR="00410C41" w:rsidRPr="00C9343F" w:rsidRDefault="00410C41" w:rsidP="00F66D98">
            <w:pPr>
              <w:pStyle w:val="BlockText-Plain"/>
            </w:pPr>
            <w:r w:rsidRPr="00C9343F">
              <w:t>A member may accrue up to a maximum credit of 20 days basic recreation leave a year.</w:t>
            </w:r>
          </w:p>
        </w:tc>
      </w:tr>
      <w:tr w:rsidR="00410C41" w:rsidRPr="00C9343F" w14:paraId="292716BC" w14:textId="77777777" w:rsidTr="005E243D">
        <w:tc>
          <w:tcPr>
            <w:tcW w:w="992" w:type="dxa"/>
          </w:tcPr>
          <w:p w14:paraId="09393CF8" w14:textId="77777777" w:rsidR="00410C41" w:rsidRPr="00C9343F" w:rsidRDefault="00410C41" w:rsidP="00F66D98">
            <w:pPr>
              <w:pStyle w:val="BlockText-Plain"/>
              <w:jc w:val="center"/>
            </w:pPr>
            <w:r w:rsidRPr="00C9343F">
              <w:t>2.</w:t>
            </w:r>
          </w:p>
        </w:tc>
        <w:tc>
          <w:tcPr>
            <w:tcW w:w="8363" w:type="dxa"/>
            <w:gridSpan w:val="2"/>
          </w:tcPr>
          <w:p w14:paraId="73E4BCAC" w14:textId="77777777" w:rsidR="00410C41" w:rsidRPr="00C9343F" w:rsidRDefault="00410C41" w:rsidP="00F66D98">
            <w:pPr>
              <w:pStyle w:val="BlockText-Plain"/>
            </w:pPr>
            <w:r w:rsidRPr="00C9343F">
              <w:t>Leave credit accrues fortnightly and is credited on each payday.</w:t>
            </w:r>
          </w:p>
        </w:tc>
      </w:tr>
      <w:tr w:rsidR="00410C41" w:rsidRPr="00C9343F" w14:paraId="71F96DE0" w14:textId="77777777" w:rsidTr="005E243D">
        <w:tc>
          <w:tcPr>
            <w:tcW w:w="992" w:type="dxa"/>
          </w:tcPr>
          <w:p w14:paraId="5B9FF4B3" w14:textId="77777777" w:rsidR="00410C41" w:rsidRPr="00C9343F" w:rsidRDefault="00410C41" w:rsidP="00F66D98">
            <w:pPr>
              <w:pStyle w:val="BlockText-Plain"/>
              <w:jc w:val="center"/>
            </w:pPr>
            <w:r w:rsidRPr="00C9343F">
              <w:t>3.</w:t>
            </w:r>
          </w:p>
        </w:tc>
        <w:tc>
          <w:tcPr>
            <w:tcW w:w="8363" w:type="dxa"/>
            <w:gridSpan w:val="2"/>
          </w:tcPr>
          <w:p w14:paraId="227B5F08" w14:textId="77777777" w:rsidR="00410C41" w:rsidRPr="00C9343F" w:rsidRDefault="00410C41" w:rsidP="00F66D98">
            <w:pPr>
              <w:pStyle w:val="BlockText-Plain"/>
            </w:pPr>
            <w:r w:rsidRPr="00C9343F">
              <w:t>A member's fortnightly leave credit is calculated using the following formula.</w:t>
            </w:r>
          </w:p>
        </w:tc>
      </w:tr>
      <w:tr w:rsidR="00410C41" w:rsidRPr="00C9343F" w14:paraId="240F666C" w14:textId="77777777" w:rsidTr="005E243D">
        <w:tc>
          <w:tcPr>
            <w:tcW w:w="992" w:type="dxa"/>
          </w:tcPr>
          <w:p w14:paraId="08F91E84" w14:textId="77777777" w:rsidR="00410C41" w:rsidRPr="00C9343F" w:rsidRDefault="00410C41" w:rsidP="00F66D98">
            <w:pPr>
              <w:pStyle w:val="BlockText-Plain"/>
              <w:jc w:val="center"/>
            </w:pPr>
          </w:p>
        </w:tc>
        <w:tc>
          <w:tcPr>
            <w:tcW w:w="8367" w:type="dxa"/>
            <w:gridSpan w:val="2"/>
          </w:tcPr>
          <w:p w14:paraId="58147668" w14:textId="77777777" w:rsidR="00410C41" w:rsidRPr="00C9343F" w:rsidRDefault="00410C41" w:rsidP="00F66D98">
            <w:pPr>
              <w:pStyle w:val="BlockText-Plain"/>
              <w:spacing w:before="200"/>
              <w:jc w:val="center"/>
              <w:rPr>
                <w:b/>
                <w:i/>
              </w:rPr>
            </w:pPr>
            <m:oMathPara>
              <m:oMath>
                <m:r>
                  <m:rPr>
                    <m:sty m:val="bi"/>
                  </m:rPr>
                  <w:rPr>
                    <w:rFonts w:ascii="Cambria Math" w:hAnsi="Cambria Math"/>
                  </w:rPr>
                  <m:t xml:space="preserve">fortnightly leave credit= </m:t>
                </m:r>
                <m:d>
                  <m:dPr>
                    <m:ctrlPr>
                      <w:rPr>
                        <w:rFonts w:ascii="Cambria Math" w:hAnsi="Cambria Math"/>
                        <w:b/>
                        <w:i/>
                      </w:rPr>
                    </m:ctrlPr>
                  </m:dPr>
                  <m:e>
                    <m:r>
                      <m:rPr>
                        <m:sty m:val="bi"/>
                      </m:rPr>
                      <w:rPr>
                        <w:rFonts w:ascii="Cambria Math" w:hAnsi="Cambria Math"/>
                      </w:rPr>
                      <m:t>10-NEF</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max</m:t>
                    </m:r>
                  </m:num>
                  <m:den>
                    <m:r>
                      <m:rPr>
                        <m:sty m:val="bi"/>
                      </m:rPr>
                      <w:rPr>
                        <w:rFonts w:ascii="Cambria Math" w:hAnsi="Cambria Math"/>
                      </w:rPr>
                      <m:t>260</m:t>
                    </m:r>
                  </m:den>
                </m:f>
                <m:r>
                  <m:rPr>
                    <m:sty m:val="bi"/>
                  </m:rPr>
                  <w:rPr>
                    <w:rFonts w:ascii="Cambria Math" w:hAnsi="Cambria Math"/>
                  </w:rPr>
                  <m:t xml:space="preserve">  </m:t>
                </m:r>
              </m:oMath>
            </m:oMathPara>
          </w:p>
        </w:tc>
      </w:tr>
      <w:tr w:rsidR="00410C41" w:rsidRPr="00C9343F" w14:paraId="30D6AAD3" w14:textId="77777777" w:rsidTr="005E243D">
        <w:trPr>
          <w:trHeight w:val="66"/>
        </w:trPr>
        <w:tc>
          <w:tcPr>
            <w:tcW w:w="992" w:type="dxa"/>
          </w:tcPr>
          <w:p w14:paraId="7DD913A0" w14:textId="77777777" w:rsidR="00410C41" w:rsidRPr="00C9343F" w:rsidRDefault="00410C41" w:rsidP="00F66D98">
            <w:pPr>
              <w:pStyle w:val="BlockText-Plain"/>
              <w:jc w:val="center"/>
            </w:pPr>
          </w:p>
        </w:tc>
        <w:tc>
          <w:tcPr>
            <w:tcW w:w="8367" w:type="dxa"/>
            <w:gridSpan w:val="2"/>
          </w:tcPr>
          <w:p w14:paraId="0BD2CB87" w14:textId="77777777" w:rsidR="00410C41" w:rsidRPr="00C9343F" w:rsidRDefault="00410C41" w:rsidP="00F66D98">
            <w:pPr>
              <w:pStyle w:val="BlockText-Plain"/>
            </w:pPr>
            <w:r w:rsidRPr="00C9343F">
              <w:t>Where:</w:t>
            </w:r>
          </w:p>
        </w:tc>
      </w:tr>
      <w:tr w:rsidR="00410C41" w:rsidRPr="00C9343F" w14:paraId="5BEA31FF" w14:textId="77777777" w:rsidTr="005E243D">
        <w:tc>
          <w:tcPr>
            <w:tcW w:w="992" w:type="dxa"/>
          </w:tcPr>
          <w:p w14:paraId="36641DA5" w14:textId="77777777" w:rsidR="00410C41" w:rsidRPr="00C9343F" w:rsidRDefault="00410C41" w:rsidP="00F66D98">
            <w:pPr>
              <w:pStyle w:val="BlockText-Plain"/>
              <w:jc w:val="center"/>
            </w:pPr>
          </w:p>
        </w:tc>
        <w:tc>
          <w:tcPr>
            <w:tcW w:w="704" w:type="dxa"/>
          </w:tcPr>
          <w:p w14:paraId="39D2173D" w14:textId="77777777" w:rsidR="00410C41" w:rsidRPr="00C9343F" w:rsidRDefault="00410C41" w:rsidP="00F66D98">
            <w:pPr>
              <w:pStyle w:val="BlockText-Plain"/>
              <w:jc w:val="center"/>
              <w:rPr>
                <w:b/>
              </w:rPr>
            </w:pPr>
            <w:r w:rsidRPr="00C9343F">
              <w:rPr>
                <w:b/>
              </w:rPr>
              <w:t>NEF</w:t>
            </w:r>
          </w:p>
        </w:tc>
        <w:tc>
          <w:tcPr>
            <w:tcW w:w="7663" w:type="dxa"/>
          </w:tcPr>
          <w:p w14:paraId="4BD23FE6" w14:textId="77777777" w:rsidR="00410C41" w:rsidRPr="00C9343F" w:rsidRDefault="00410C41" w:rsidP="00F66D98">
            <w:pPr>
              <w:pStyle w:val="BlockText-Plain"/>
            </w:pPr>
            <w:r w:rsidRPr="00C9343F">
              <w:t>is days of non-effective service in the fortnight.</w:t>
            </w:r>
          </w:p>
        </w:tc>
      </w:tr>
      <w:tr w:rsidR="00410C41" w:rsidRPr="00C9343F" w14:paraId="48A2CC59" w14:textId="77777777" w:rsidTr="005E243D">
        <w:tc>
          <w:tcPr>
            <w:tcW w:w="992" w:type="dxa"/>
          </w:tcPr>
          <w:p w14:paraId="428CDC80" w14:textId="77777777" w:rsidR="00410C41" w:rsidRPr="00C9343F" w:rsidRDefault="00410C41" w:rsidP="00F66D98">
            <w:pPr>
              <w:pStyle w:val="BlockText-Plain"/>
              <w:jc w:val="center"/>
            </w:pPr>
          </w:p>
        </w:tc>
        <w:tc>
          <w:tcPr>
            <w:tcW w:w="704" w:type="dxa"/>
          </w:tcPr>
          <w:p w14:paraId="30F404AD" w14:textId="77777777" w:rsidR="00410C41" w:rsidRPr="00C9343F" w:rsidRDefault="00410C41" w:rsidP="00F66D98">
            <w:pPr>
              <w:pStyle w:val="BlockText-Plain"/>
              <w:jc w:val="center"/>
              <w:rPr>
                <w:b/>
              </w:rPr>
            </w:pPr>
            <w:r w:rsidRPr="00C9343F">
              <w:rPr>
                <w:b/>
              </w:rPr>
              <w:t>Max</w:t>
            </w:r>
          </w:p>
        </w:tc>
        <w:tc>
          <w:tcPr>
            <w:tcW w:w="7663" w:type="dxa"/>
          </w:tcPr>
          <w:p w14:paraId="1C642316" w14:textId="77777777" w:rsidR="00410C41" w:rsidRPr="00C9343F" w:rsidRDefault="00410C41" w:rsidP="00F66D98">
            <w:pPr>
              <w:pStyle w:val="BlockText-Plain"/>
            </w:pPr>
            <w:r w:rsidRPr="00C9343F">
              <w:t>is 20, being the annual maximum for basic recreation leave.</w:t>
            </w:r>
          </w:p>
        </w:tc>
      </w:tr>
    </w:tbl>
    <w:p w14:paraId="4225312B" w14:textId="77777777" w:rsidR="00410C41" w:rsidRPr="00C9343F" w:rsidRDefault="00410C41" w:rsidP="00F66D98">
      <w:pPr>
        <w:pStyle w:val="Heading4"/>
        <w:pageBreakBefore/>
      </w:pPr>
      <w:bookmarkStart w:id="1281" w:name="_Toc105053978"/>
      <w:r w:rsidRPr="00C9343F">
        <w:t>Division 3: Additional recreation leave</w:t>
      </w:r>
      <w:bookmarkEnd w:id="1281"/>
    </w:p>
    <w:p w14:paraId="27DC0727" w14:textId="77777777" w:rsidR="00410C41" w:rsidRPr="00C9343F" w:rsidRDefault="00410C41" w:rsidP="00F66D98">
      <w:pPr>
        <w:pStyle w:val="Heading5"/>
      </w:pPr>
      <w:bookmarkStart w:id="1282" w:name="_Toc105053979"/>
      <w:r w:rsidRPr="00C9343F">
        <w:t>5.4.9    Purpose</w:t>
      </w:r>
      <w:bookmarkEnd w:id="1282"/>
    </w:p>
    <w:tbl>
      <w:tblPr>
        <w:tblW w:w="9359" w:type="dxa"/>
        <w:tblInd w:w="113" w:type="dxa"/>
        <w:tblLayout w:type="fixed"/>
        <w:tblLook w:val="0000" w:firstRow="0" w:lastRow="0" w:firstColumn="0" w:lastColumn="0" w:noHBand="0" w:noVBand="0"/>
      </w:tblPr>
      <w:tblGrid>
        <w:gridCol w:w="992"/>
        <w:gridCol w:w="567"/>
        <w:gridCol w:w="7800"/>
      </w:tblGrid>
      <w:tr w:rsidR="00410C41" w:rsidRPr="00C9343F" w14:paraId="47FB8711" w14:textId="77777777" w:rsidTr="005E243D">
        <w:tc>
          <w:tcPr>
            <w:tcW w:w="992" w:type="dxa"/>
          </w:tcPr>
          <w:p w14:paraId="3F0B366A" w14:textId="77777777" w:rsidR="00410C41" w:rsidRPr="00C9343F" w:rsidRDefault="00410C41" w:rsidP="00F66D98">
            <w:pPr>
              <w:pStyle w:val="BlockText-Plain"/>
              <w:jc w:val="center"/>
            </w:pPr>
          </w:p>
        </w:tc>
        <w:tc>
          <w:tcPr>
            <w:tcW w:w="8367" w:type="dxa"/>
            <w:gridSpan w:val="2"/>
          </w:tcPr>
          <w:p w14:paraId="2C3352C8" w14:textId="77777777" w:rsidR="00410C41" w:rsidRPr="00C9343F" w:rsidRDefault="00410C41" w:rsidP="00F66D98">
            <w:pPr>
              <w:pStyle w:val="BlockText-Plain"/>
            </w:pPr>
            <w:r w:rsidRPr="00C9343F">
              <w:t>A member may be credited with additional recreation leave to compensate for the effects of service over time, in any of these situations.</w:t>
            </w:r>
          </w:p>
        </w:tc>
      </w:tr>
      <w:tr w:rsidR="00410C41" w:rsidRPr="00C9343F" w14:paraId="70658FD9" w14:textId="77777777" w:rsidTr="005E243D">
        <w:trPr>
          <w:cantSplit/>
        </w:trPr>
        <w:tc>
          <w:tcPr>
            <w:tcW w:w="992" w:type="dxa"/>
          </w:tcPr>
          <w:p w14:paraId="17796ACC" w14:textId="77777777" w:rsidR="00410C41" w:rsidRPr="00C9343F" w:rsidRDefault="00410C41" w:rsidP="00F66D98">
            <w:pPr>
              <w:pStyle w:val="BlockText-Plain"/>
            </w:pPr>
          </w:p>
        </w:tc>
        <w:tc>
          <w:tcPr>
            <w:tcW w:w="567" w:type="dxa"/>
          </w:tcPr>
          <w:p w14:paraId="2802E2DC" w14:textId="77777777" w:rsidR="00410C41" w:rsidRPr="00C9343F" w:rsidRDefault="00410C41" w:rsidP="00F66D98">
            <w:pPr>
              <w:pStyle w:val="BlockText-Plain"/>
              <w:jc w:val="center"/>
            </w:pPr>
            <w:r w:rsidRPr="00C9343F">
              <w:t>a.</w:t>
            </w:r>
          </w:p>
        </w:tc>
        <w:tc>
          <w:tcPr>
            <w:tcW w:w="7800" w:type="dxa"/>
          </w:tcPr>
          <w:p w14:paraId="11C5E818" w14:textId="77777777" w:rsidR="00410C41" w:rsidRPr="00C9343F" w:rsidRDefault="00410C41" w:rsidP="00F66D98">
            <w:pPr>
              <w:pStyle w:val="BlockText-Plain"/>
            </w:pPr>
            <w:r w:rsidRPr="00C9343F">
              <w:t>When serving at sea.</w:t>
            </w:r>
          </w:p>
        </w:tc>
      </w:tr>
      <w:tr w:rsidR="00410C41" w:rsidRPr="00C9343F" w14:paraId="10B1B51F" w14:textId="77777777" w:rsidTr="005E243D">
        <w:trPr>
          <w:cantSplit/>
        </w:trPr>
        <w:tc>
          <w:tcPr>
            <w:tcW w:w="992" w:type="dxa"/>
          </w:tcPr>
          <w:p w14:paraId="034C5B57" w14:textId="77777777" w:rsidR="00410C41" w:rsidRPr="00C9343F" w:rsidRDefault="00410C41" w:rsidP="00F66D98">
            <w:pPr>
              <w:pStyle w:val="BlockText-Plain"/>
            </w:pPr>
          </w:p>
        </w:tc>
        <w:tc>
          <w:tcPr>
            <w:tcW w:w="567" w:type="dxa"/>
          </w:tcPr>
          <w:p w14:paraId="2358D47A" w14:textId="77777777" w:rsidR="00410C41" w:rsidRPr="00C9343F" w:rsidRDefault="00410C41" w:rsidP="00F66D98">
            <w:pPr>
              <w:pStyle w:val="BlockText-Plain"/>
              <w:jc w:val="center"/>
            </w:pPr>
            <w:r w:rsidRPr="00C9343F">
              <w:t>b.</w:t>
            </w:r>
          </w:p>
        </w:tc>
        <w:tc>
          <w:tcPr>
            <w:tcW w:w="7800" w:type="dxa"/>
          </w:tcPr>
          <w:p w14:paraId="21DC04D2" w14:textId="77777777" w:rsidR="00410C41" w:rsidRPr="00C9343F" w:rsidRDefault="00410C41" w:rsidP="00F66D98">
            <w:pPr>
              <w:pStyle w:val="BlockText-Plain"/>
            </w:pPr>
            <w:r w:rsidRPr="00C9343F">
              <w:t>In the field.</w:t>
            </w:r>
          </w:p>
        </w:tc>
      </w:tr>
      <w:tr w:rsidR="00410C41" w:rsidRPr="00C9343F" w14:paraId="542F5DE0" w14:textId="77777777" w:rsidTr="005E243D">
        <w:trPr>
          <w:cantSplit/>
        </w:trPr>
        <w:tc>
          <w:tcPr>
            <w:tcW w:w="992" w:type="dxa"/>
          </w:tcPr>
          <w:p w14:paraId="0C7E2F05" w14:textId="77777777" w:rsidR="00410C41" w:rsidRPr="00C9343F" w:rsidRDefault="00410C41" w:rsidP="00F66D98">
            <w:pPr>
              <w:pStyle w:val="BlockText-Plain"/>
            </w:pPr>
          </w:p>
        </w:tc>
        <w:tc>
          <w:tcPr>
            <w:tcW w:w="567" w:type="dxa"/>
          </w:tcPr>
          <w:p w14:paraId="5FDE949A" w14:textId="77777777" w:rsidR="00410C41" w:rsidRPr="00C9343F" w:rsidRDefault="00410C41" w:rsidP="00F66D98">
            <w:pPr>
              <w:pStyle w:val="BlockText-Plain"/>
              <w:jc w:val="center"/>
            </w:pPr>
            <w:r w:rsidRPr="00C9343F">
              <w:t>c.</w:t>
            </w:r>
          </w:p>
        </w:tc>
        <w:tc>
          <w:tcPr>
            <w:tcW w:w="7800" w:type="dxa"/>
          </w:tcPr>
          <w:p w14:paraId="78F7C437" w14:textId="77777777" w:rsidR="00410C41" w:rsidRPr="00C9343F" w:rsidRDefault="00410C41" w:rsidP="00F66D98">
            <w:pPr>
              <w:pStyle w:val="BlockText-Plain"/>
            </w:pPr>
            <w:r w:rsidRPr="00C9343F">
              <w:t>In military flying and flight duties.</w:t>
            </w:r>
          </w:p>
        </w:tc>
      </w:tr>
      <w:tr w:rsidR="00410C41" w:rsidRPr="00C9343F" w14:paraId="331D7312" w14:textId="77777777" w:rsidTr="005E243D">
        <w:trPr>
          <w:cantSplit/>
        </w:trPr>
        <w:tc>
          <w:tcPr>
            <w:tcW w:w="992" w:type="dxa"/>
          </w:tcPr>
          <w:p w14:paraId="383149CB" w14:textId="77777777" w:rsidR="00410C41" w:rsidRPr="00C9343F" w:rsidRDefault="00410C41" w:rsidP="00F66D98">
            <w:pPr>
              <w:pStyle w:val="BlockText-Plain"/>
            </w:pPr>
          </w:p>
        </w:tc>
        <w:tc>
          <w:tcPr>
            <w:tcW w:w="567" w:type="dxa"/>
          </w:tcPr>
          <w:p w14:paraId="55E8CE68" w14:textId="77777777" w:rsidR="00410C41" w:rsidRPr="00C9343F" w:rsidRDefault="00410C41" w:rsidP="00F66D98">
            <w:pPr>
              <w:pStyle w:val="BlockText-Plain"/>
              <w:jc w:val="center"/>
            </w:pPr>
            <w:r w:rsidRPr="00C9343F">
              <w:t>d.</w:t>
            </w:r>
          </w:p>
        </w:tc>
        <w:tc>
          <w:tcPr>
            <w:tcW w:w="7800" w:type="dxa"/>
          </w:tcPr>
          <w:p w14:paraId="5F434791" w14:textId="77777777" w:rsidR="00410C41" w:rsidRPr="00C9343F" w:rsidRDefault="00410C41" w:rsidP="00F66D98">
            <w:pPr>
              <w:pStyle w:val="BlockText-Plain"/>
            </w:pPr>
            <w:r w:rsidRPr="00C9343F">
              <w:t>In special activities.</w:t>
            </w:r>
          </w:p>
        </w:tc>
      </w:tr>
      <w:tr w:rsidR="00410C41" w:rsidRPr="00C9343F" w14:paraId="0138F8DA" w14:textId="77777777" w:rsidTr="005E243D">
        <w:trPr>
          <w:cantSplit/>
        </w:trPr>
        <w:tc>
          <w:tcPr>
            <w:tcW w:w="992" w:type="dxa"/>
          </w:tcPr>
          <w:p w14:paraId="0BD45AE0" w14:textId="77777777" w:rsidR="00410C41" w:rsidRPr="00C9343F" w:rsidRDefault="00410C41" w:rsidP="00F66D98">
            <w:pPr>
              <w:pStyle w:val="BlockText-Plain"/>
            </w:pPr>
          </w:p>
        </w:tc>
        <w:tc>
          <w:tcPr>
            <w:tcW w:w="567" w:type="dxa"/>
          </w:tcPr>
          <w:p w14:paraId="6CAEF4FA" w14:textId="77777777" w:rsidR="00410C41" w:rsidRPr="00C9343F" w:rsidRDefault="00410C41" w:rsidP="00F66D98">
            <w:pPr>
              <w:pStyle w:val="BlockText-Plain"/>
              <w:jc w:val="center"/>
            </w:pPr>
            <w:r w:rsidRPr="00C9343F">
              <w:t>e.</w:t>
            </w:r>
          </w:p>
        </w:tc>
        <w:tc>
          <w:tcPr>
            <w:tcW w:w="7800" w:type="dxa"/>
          </w:tcPr>
          <w:p w14:paraId="0EF8FE1B" w14:textId="77777777" w:rsidR="00410C41" w:rsidRPr="00C9343F" w:rsidRDefault="00410C41" w:rsidP="00F66D98">
            <w:pPr>
              <w:pStyle w:val="BlockText-Plain"/>
            </w:pPr>
            <w:r w:rsidRPr="00C9343F">
              <w:t>In a remote location.</w:t>
            </w:r>
          </w:p>
        </w:tc>
      </w:tr>
      <w:tr w:rsidR="00410C41" w:rsidRPr="00C9343F" w14:paraId="6C0F7C39" w14:textId="77777777" w:rsidTr="005E243D">
        <w:trPr>
          <w:cantSplit/>
        </w:trPr>
        <w:tc>
          <w:tcPr>
            <w:tcW w:w="992" w:type="dxa"/>
          </w:tcPr>
          <w:p w14:paraId="01AF68AA" w14:textId="77777777" w:rsidR="00410C41" w:rsidRPr="00C9343F" w:rsidRDefault="00410C41" w:rsidP="00F66D98">
            <w:pPr>
              <w:pStyle w:val="BlockText-Plain"/>
            </w:pPr>
          </w:p>
        </w:tc>
        <w:tc>
          <w:tcPr>
            <w:tcW w:w="567" w:type="dxa"/>
          </w:tcPr>
          <w:p w14:paraId="414EEE57" w14:textId="77777777" w:rsidR="00410C41" w:rsidRPr="00C9343F" w:rsidRDefault="00410C41" w:rsidP="00F66D98">
            <w:pPr>
              <w:pStyle w:val="BlockText-Plain"/>
              <w:jc w:val="center"/>
            </w:pPr>
            <w:r w:rsidRPr="00C9343F">
              <w:t>f.</w:t>
            </w:r>
          </w:p>
        </w:tc>
        <w:tc>
          <w:tcPr>
            <w:tcW w:w="7800" w:type="dxa"/>
          </w:tcPr>
          <w:p w14:paraId="0C1A67DF" w14:textId="77777777" w:rsidR="00410C41" w:rsidRPr="00C9343F" w:rsidRDefault="00410C41" w:rsidP="00F66D98">
            <w:pPr>
              <w:pStyle w:val="BlockText-Plain"/>
            </w:pPr>
            <w:r w:rsidRPr="00C9343F">
              <w:t>Duty assigned to a non-warlike deployment.</w:t>
            </w:r>
          </w:p>
        </w:tc>
      </w:tr>
    </w:tbl>
    <w:p w14:paraId="39D34C49" w14:textId="77777777" w:rsidR="00410C41" w:rsidRPr="00C9343F" w:rsidRDefault="00410C41" w:rsidP="00F66D98">
      <w:pPr>
        <w:pStyle w:val="Heading5"/>
      </w:pPr>
      <w:bookmarkStart w:id="1283" w:name="_Toc105053980"/>
      <w:r w:rsidRPr="00C9343F">
        <w:t>5.4.11    How additional leave accrues</w:t>
      </w:r>
      <w:bookmarkEnd w:id="1283"/>
    </w:p>
    <w:tbl>
      <w:tblPr>
        <w:tblW w:w="9359" w:type="dxa"/>
        <w:tblInd w:w="113" w:type="dxa"/>
        <w:tblLayout w:type="fixed"/>
        <w:tblLook w:val="0000" w:firstRow="0" w:lastRow="0" w:firstColumn="0" w:lastColumn="0" w:noHBand="0" w:noVBand="0"/>
      </w:tblPr>
      <w:tblGrid>
        <w:gridCol w:w="992"/>
        <w:gridCol w:w="8367"/>
      </w:tblGrid>
      <w:tr w:rsidR="00410C41" w:rsidRPr="00C9343F" w14:paraId="3F8461B1" w14:textId="77777777" w:rsidTr="005E243D">
        <w:tc>
          <w:tcPr>
            <w:tcW w:w="992" w:type="dxa"/>
          </w:tcPr>
          <w:p w14:paraId="7A225B0B" w14:textId="77777777" w:rsidR="00410C41" w:rsidRPr="00C9343F" w:rsidRDefault="00410C41" w:rsidP="00F66D98">
            <w:pPr>
              <w:pStyle w:val="BlockText-Plain"/>
              <w:jc w:val="center"/>
            </w:pPr>
            <w:r w:rsidRPr="00C9343F">
              <w:t>1.</w:t>
            </w:r>
          </w:p>
        </w:tc>
        <w:tc>
          <w:tcPr>
            <w:tcW w:w="8367" w:type="dxa"/>
          </w:tcPr>
          <w:p w14:paraId="130B9CA0" w14:textId="77777777" w:rsidR="00410C41" w:rsidRPr="00C9343F" w:rsidRDefault="00410C41" w:rsidP="00F66D98">
            <w:pPr>
              <w:pStyle w:val="BlockText-Plain"/>
            </w:pPr>
            <w:r w:rsidRPr="00C9343F">
              <w:t>Sections 5.4.13, 5.4.14, 5.4.15 and 5.4.16 set out how additional recreation leave for sea service, field service, flying duty and special service accrues.</w:t>
            </w:r>
          </w:p>
        </w:tc>
      </w:tr>
      <w:tr w:rsidR="00410C41" w:rsidRPr="00C9343F" w14:paraId="6FE32181" w14:textId="77777777" w:rsidTr="005E243D">
        <w:tc>
          <w:tcPr>
            <w:tcW w:w="992" w:type="dxa"/>
          </w:tcPr>
          <w:p w14:paraId="54A4ACA6" w14:textId="77777777" w:rsidR="00410C41" w:rsidRPr="00C9343F" w:rsidRDefault="00410C41" w:rsidP="00F66D98">
            <w:pPr>
              <w:pStyle w:val="BlockText-Plain"/>
              <w:jc w:val="center"/>
            </w:pPr>
            <w:r w:rsidRPr="00C9343F">
              <w:t>2.</w:t>
            </w:r>
          </w:p>
        </w:tc>
        <w:tc>
          <w:tcPr>
            <w:tcW w:w="8367" w:type="dxa"/>
          </w:tcPr>
          <w:p w14:paraId="4C8044FB" w14:textId="77777777" w:rsidR="00410C41" w:rsidRPr="00C9343F" w:rsidRDefault="00410C41" w:rsidP="00F66D98">
            <w:pPr>
              <w:pStyle w:val="BlockText-Plain"/>
            </w:pPr>
            <w:r w:rsidRPr="00C9343F">
              <w:t>Additional recreation leave credit that a member accrues under section 17.7.19 is subject to the general administration and payment rules set out in Division 7 of this Part. It is not subject to the limit set out in subsection 4 of this section.</w:t>
            </w:r>
          </w:p>
        </w:tc>
      </w:tr>
      <w:tr w:rsidR="00410C41" w:rsidRPr="00C9343F" w14:paraId="1A52D8EA" w14:textId="77777777" w:rsidTr="005E243D">
        <w:tc>
          <w:tcPr>
            <w:tcW w:w="992" w:type="dxa"/>
          </w:tcPr>
          <w:p w14:paraId="77894746" w14:textId="77777777" w:rsidR="00410C41" w:rsidRPr="00C9343F" w:rsidRDefault="00410C41" w:rsidP="00F66D98">
            <w:pPr>
              <w:pStyle w:val="BlockText-Plain"/>
              <w:jc w:val="center"/>
            </w:pPr>
            <w:r w:rsidRPr="00C9343F">
              <w:t>3.</w:t>
            </w:r>
          </w:p>
        </w:tc>
        <w:tc>
          <w:tcPr>
            <w:tcW w:w="8367" w:type="dxa"/>
          </w:tcPr>
          <w:p w14:paraId="68803A8B" w14:textId="77777777" w:rsidR="00410C41" w:rsidRPr="00C9343F" w:rsidRDefault="00410C41" w:rsidP="00F66D98">
            <w:pPr>
              <w:pStyle w:val="BlockText-Plain"/>
            </w:pPr>
            <w:r w:rsidRPr="00C9343F">
              <w:t>A member may not be credited with a rate of additional recreation leave until they are eligible for the allowance that the leave is conditional upon.</w:t>
            </w:r>
          </w:p>
        </w:tc>
      </w:tr>
      <w:tr w:rsidR="00410C41" w:rsidRPr="00C9343F" w14:paraId="48B6EFDD" w14:textId="77777777" w:rsidTr="005E243D">
        <w:tc>
          <w:tcPr>
            <w:tcW w:w="992" w:type="dxa"/>
          </w:tcPr>
          <w:p w14:paraId="77584A7E" w14:textId="77777777" w:rsidR="00410C41" w:rsidRPr="00C9343F" w:rsidRDefault="00410C41" w:rsidP="00F66D98">
            <w:pPr>
              <w:pStyle w:val="BlockText-Plain"/>
              <w:jc w:val="center"/>
            </w:pPr>
            <w:r w:rsidRPr="00C9343F">
              <w:t>4.</w:t>
            </w:r>
          </w:p>
        </w:tc>
        <w:tc>
          <w:tcPr>
            <w:tcW w:w="8367" w:type="dxa"/>
          </w:tcPr>
          <w:p w14:paraId="112EBA8A" w14:textId="77777777" w:rsidR="00410C41" w:rsidRPr="00C9343F" w:rsidRDefault="00410C41" w:rsidP="00F66D98">
            <w:pPr>
              <w:pStyle w:val="BlockText-Plain"/>
            </w:pPr>
            <w:r w:rsidRPr="00C9343F">
              <w:t>If a member would be entitled to accrue credit for more than one type of additional recreation leave for sea service, field service, flight duties or special service on the same day, then they are taken to accrue only the highest of the accrual rates that would apply to them that day.</w:t>
            </w:r>
          </w:p>
        </w:tc>
      </w:tr>
      <w:tr w:rsidR="00410C41" w:rsidRPr="00C9343F" w14:paraId="24BE3383" w14:textId="77777777" w:rsidTr="005E243D">
        <w:tc>
          <w:tcPr>
            <w:tcW w:w="992" w:type="dxa"/>
          </w:tcPr>
          <w:p w14:paraId="2D1CBFD0" w14:textId="77777777" w:rsidR="00410C41" w:rsidRPr="00C9343F" w:rsidRDefault="00410C41" w:rsidP="00F66D98">
            <w:pPr>
              <w:pStyle w:val="BlockText-Plain"/>
              <w:jc w:val="center"/>
            </w:pPr>
            <w:r w:rsidRPr="00C9343F">
              <w:t>5.</w:t>
            </w:r>
          </w:p>
        </w:tc>
        <w:tc>
          <w:tcPr>
            <w:tcW w:w="8367" w:type="dxa"/>
          </w:tcPr>
          <w:p w14:paraId="42F74FD3" w14:textId="77777777" w:rsidR="00410C41" w:rsidRPr="00C9343F" w:rsidRDefault="00410C41" w:rsidP="00F66D98">
            <w:pPr>
              <w:pStyle w:val="BlockText-Plain"/>
            </w:pPr>
            <w:r w:rsidRPr="00C9343F">
              <w:t xml:space="preserve">An item in this Division that refers to an allowance determined under section 58H of the </w:t>
            </w:r>
            <w:r w:rsidRPr="00C9343F">
              <w:rPr>
                <w:i/>
              </w:rPr>
              <w:t>Defence Act 1903</w:t>
            </w:r>
            <w:r w:rsidRPr="00C9343F">
              <w:t xml:space="preserve"> is taken to include any predecessor (however described) to that allowance.</w:t>
            </w:r>
          </w:p>
        </w:tc>
      </w:tr>
    </w:tbl>
    <w:p w14:paraId="2FCAE49C" w14:textId="77777777" w:rsidR="00410C41" w:rsidRPr="00C9343F" w:rsidRDefault="00410C41" w:rsidP="00F66D98">
      <w:pPr>
        <w:pStyle w:val="Heading5"/>
      </w:pPr>
      <w:bookmarkStart w:id="1284" w:name="_Toc105053981"/>
      <w:r w:rsidRPr="00C9343F">
        <w:t>5.4.12    Maximum annual credit for sea service, field service, flight duties and special service</w:t>
      </w:r>
      <w:bookmarkEnd w:id="1284"/>
    </w:p>
    <w:tbl>
      <w:tblPr>
        <w:tblW w:w="0" w:type="auto"/>
        <w:tblInd w:w="113" w:type="dxa"/>
        <w:tblLayout w:type="fixed"/>
        <w:tblLook w:val="0000" w:firstRow="0" w:lastRow="0" w:firstColumn="0" w:lastColumn="0" w:noHBand="0" w:noVBand="0"/>
      </w:tblPr>
      <w:tblGrid>
        <w:gridCol w:w="992"/>
        <w:gridCol w:w="8363"/>
      </w:tblGrid>
      <w:tr w:rsidR="00410C41" w:rsidRPr="00C9343F" w14:paraId="670F870C" w14:textId="77777777" w:rsidTr="005E243D">
        <w:tc>
          <w:tcPr>
            <w:tcW w:w="992" w:type="dxa"/>
          </w:tcPr>
          <w:p w14:paraId="15B0FB1B" w14:textId="77777777" w:rsidR="00410C41" w:rsidRPr="00C9343F" w:rsidRDefault="00410C41" w:rsidP="00F66D98">
            <w:pPr>
              <w:pStyle w:val="BlockText-Plain"/>
              <w:jc w:val="center"/>
            </w:pPr>
            <w:r w:rsidRPr="00C9343F">
              <w:t>1.</w:t>
            </w:r>
          </w:p>
        </w:tc>
        <w:tc>
          <w:tcPr>
            <w:tcW w:w="8363" w:type="dxa"/>
          </w:tcPr>
          <w:p w14:paraId="419E0AC2" w14:textId="77777777" w:rsidR="00410C41" w:rsidRPr="00C9343F" w:rsidRDefault="00410C41" w:rsidP="00F66D98">
            <w:pPr>
              <w:pStyle w:val="BlockText-Plain"/>
            </w:pPr>
            <w:r w:rsidRPr="00C9343F">
              <w:t>This section applies to a member who accrues an additional recreation leave credit under sections 5.4.13, 5.4.14, 5.4.15 and 5.4.16.</w:t>
            </w:r>
          </w:p>
        </w:tc>
      </w:tr>
      <w:tr w:rsidR="00410C41" w:rsidRPr="00C9343F" w14:paraId="5982E783" w14:textId="77777777" w:rsidTr="005E243D">
        <w:tc>
          <w:tcPr>
            <w:tcW w:w="992" w:type="dxa"/>
          </w:tcPr>
          <w:p w14:paraId="59BCB7A4" w14:textId="77777777" w:rsidR="00410C41" w:rsidRPr="00C9343F" w:rsidRDefault="00410C41" w:rsidP="00F66D98">
            <w:pPr>
              <w:pStyle w:val="BlockText-Plain"/>
              <w:jc w:val="center"/>
            </w:pPr>
            <w:r w:rsidRPr="00C9343F">
              <w:t>2.</w:t>
            </w:r>
          </w:p>
        </w:tc>
        <w:tc>
          <w:tcPr>
            <w:tcW w:w="8363" w:type="dxa"/>
          </w:tcPr>
          <w:p w14:paraId="37DDF814" w14:textId="77777777" w:rsidR="00410C41" w:rsidRPr="00C9343F" w:rsidRDefault="00410C41" w:rsidP="00F66D98">
            <w:pPr>
              <w:pStyle w:val="BlockText-Plain"/>
            </w:pPr>
            <w:r w:rsidRPr="00C9343F">
              <w:t>A member must not accrue more than 10 days additional leave credit in a financial year.</w:t>
            </w:r>
          </w:p>
        </w:tc>
      </w:tr>
    </w:tbl>
    <w:p w14:paraId="0DF87B0A" w14:textId="77777777" w:rsidR="00410C41" w:rsidRPr="00C9343F" w:rsidRDefault="00410C41" w:rsidP="00F66D98">
      <w:pPr>
        <w:pStyle w:val="Heading5"/>
      </w:pPr>
      <w:bookmarkStart w:id="1285" w:name="_Toc105053982"/>
      <w:r w:rsidRPr="00C9343F">
        <w:t>5.4.13    Sea service</w:t>
      </w:r>
      <w:bookmarkEnd w:id="1285"/>
    </w:p>
    <w:tbl>
      <w:tblPr>
        <w:tblW w:w="9359" w:type="dxa"/>
        <w:tblInd w:w="113" w:type="dxa"/>
        <w:tblLayout w:type="fixed"/>
        <w:tblLook w:val="0000" w:firstRow="0" w:lastRow="0" w:firstColumn="0" w:lastColumn="0" w:noHBand="0" w:noVBand="0"/>
      </w:tblPr>
      <w:tblGrid>
        <w:gridCol w:w="992"/>
        <w:gridCol w:w="704"/>
        <w:gridCol w:w="7663"/>
      </w:tblGrid>
      <w:tr w:rsidR="00410C41" w:rsidRPr="00C9343F" w14:paraId="4BB15382" w14:textId="77777777" w:rsidTr="005E243D">
        <w:tc>
          <w:tcPr>
            <w:tcW w:w="992" w:type="dxa"/>
          </w:tcPr>
          <w:p w14:paraId="1094D812" w14:textId="77777777" w:rsidR="00410C41" w:rsidRPr="00C9343F" w:rsidRDefault="00410C41" w:rsidP="00F66D98">
            <w:pPr>
              <w:pStyle w:val="BlockText-Plain"/>
              <w:jc w:val="center"/>
            </w:pPr>
            <w:r w:rsidRPr="00C9343F">
              <w:t>1.</w:t>
            </w:r>
          </w:p>
        </w:tc>
        <w:tc>
          <w:tcPr>
            <w:tcW w:w="8367" w:type="dxa"/>
            <w:gridSpan w:val="2"/>
          </w:tcPr>
          <w:p w14:paraId="3931EF2D" w14:textId="77777777" w:rsidR="00410C41" w:rsidRPr="00C9343F" w:rsidRDefault="00410C41" w:rsidP="00F66D98">
            <w:pPr>
              <w:pStyle w:val="BlockText-Plain"/>
            </w:pPr>
            <w:r w:rsidRPr="00C9343F">
              <w:rPr>
                <w:iCs/>
              </w:rPr>
              <w:t xml:space="preserve">This section applies to a member who meets the eligibility conditions for a rate of maritime disability allowance under Division B.9 of DFRT Determination No. 11 of 2013, </w:t>
            </w:r>
            <w:r w:rsidRPr="00C9343F">
              <w:rPr>
                <w:i/>
                <w:iCs/>
              </w:rPr>
              <w:t>ADF allowances.</w:t>
            </w:r>
          </w:p>
        </w:tc>
      </w:tr>
      <w:tr w:rsidR="00410C41" w:rsidRPr="00C9343F" w14:paraId="72BED389" w14:textId="77777777" w:rsidTr="005E243D">
        <w:tc>
          <w:tcPr>
            <w:tcW w:w="992" w:type="dxa"/>
          </w:tcPr>
          <w:p w14:paraId="6CDD8AF9" w14:textId="77777777" w:rsidR="00410C41" w:rsidRPr="00C9343F" w:rsidRDefault="00410C41" w:rsidP="00F66D98">
            <w:pPr>
              <w:pStyle w:val="BlockText-Plain"/>
              <w:jc w:val="center"/>
            </w:pPr>
            <w:r w:rsidRPr="00C9343F">
              <w:t>2.</w:t>
            </w:r>
          </w:p>
        </w:tc>
        <w:tc>
          <w:tcPr>
            <w:tcW w:w="8367" w:type="dxa"/>
            <w:gridSpan w:val="2"/>
          </w:tcPr>
          <w:p w14:paraId="0A29701E" w14:textId="77777777" w:rsidR="00410C41" w:rsidRPr="00C9343F" w:rsidRDefault="00410C41" w:rsidP="00F66D98">
            <w:pPr>
              <w:pStyle w:val="BlockText-Plain"/>
            </w:pPr>
            <w:r w:rsidRPr="00C9343F">
              <w:t>If a member is eligible for a daily rate of maritime disability allowance, the member accrues a credit of 0.1 of a day of additional recreation leave for each day.</w:t>
            </w:r>
          </w:p>
        </w:tc>
      </w:tr>
      <w:tr w:rsidR="00410C41" w:rsidRPr="00C9343F" w14:paraId="3CDC9F54" w14:textId="77777777" w:rsidTr="005E243D">
        <w:tc>
          <w:tcPr>
            <w:tcW w:w="992" w:type="dxa"/>
          </w:tcPr>
          <w:p w14:paraId="1DC62828" w14:textId="77777777" w:rsidR="00410C41" w:rsidRPr="00C9343F" w:rsidRDefault="00410C41" w:rsidP="00F66D98">
            <w:pPr>
              <w:pStyle w:val="BlockText-Plain"/>
              <w:jc w:val="center"/>
            </w:pPr>
            <w:r w:rsidRPr="00C9343F">
              <w:t>3.</w:t>
            </w:r>
          </w:p>
        </w:tc>
        <w:tc>
          <w:tcPr>
            <w:tcW w:w="8367" w:type="dxa"/>
            <w:gridSpan w:val="2"/>
          </w:tcPr>
          <w:p w14:paraId="55FF43E6" w14:textId="77777777" w:rsidR="00410C41" w:rsidRPr="00C9343F" w:rsidRDefault="00410C41" w:rsidP="00F66D98">
            <w:pPr>
              <w:pStyle w:val="BlockText-Plain"/>
            </w:pPr>
            <w:r w:rsidRPr="00C9343F">
              <w:t>If a member is eligible for an annual rate of maritime disability allowance, the member’s fortnightly additional leave credit is calculated using the following formula.</w:t>
            </w:r>
          </w:p>
        </w:tc>
      </w:tr>
      <w:tr w:rsidR="00410C41" w:rsidRPr="00C9343F" w14:paraId="62388509" w14:textId="77777777" w:rsidTr="005E243D">
        <w:tc>
          <w:tcPr>
            <w:tcW w:w="992" w:type="dxa"/>
          </w:tcPr>
          <w:p w14:paraId="76D92C02" w14:textId="77777777" w:rsidR="00410C41" w:rsidRPr="00C9343F" w:rsidRDefault="00410C41" w:rsidP="00F66D98">
            <w:pPr>
              <w:pStyle w:val="BlockText-Plain"/>
              <w:jc w:val="center"/>
            </w:pPr>
          </w:p>
        </w:tc>
        <w:tc>
          <w:tcPr>
            <w:tcW w:w="8367" w:type="dxa"/>
            <w:gridSpan w:val="2"/>
          </w:tcPr>
          <w:p w14:paraId="047A4869" w14:textId="77777777" w:rsidR="00410C41" w:rsidRPr="00C9343F" w:rsidRDefault="00410C41" w:rsidP="00F66D98">
            <w:pPr>
              <w:pStyle w:val="BlockText-Plain"/>
              <w:spacing w:before="200"/>
              <w:jc w:val="center"/>
              <w:rPr>
                <w:b/>
                <w:i/>
              </w:rPr>
            </w:pPr>
            <m:oMathPara>
              <m:oMath>
                <m:r>
                  <m:rPr>
                    <m:sty m:val="bi"/>
                  </m:rPr>
                  <w:rPr>
                    <w:rFonts w:ascii="Cambria Math" w:hAnsi="Cambria Math"/>
                  </w:rPr>
                  <m:t>fortnightly additional leave credit=</m:t>
                </m:r>
                <m:d>
                  <m:dPr>
                    <m:ctrlPr>
                      <w:rPr>
                        <w:rFonts w:ascii="Cambria Math" w:hAnsi="Cambria Math"/>
                        <w:b/>
                        <w:i/>
                      </w:rPr>
                    </m:ctrlPr>
                  </m:dPr>
                  <m:e>
                    <m:r>
                      <m:rPr>
                        <m:sty m:val="bi"/>
                      </m:rPr>
                      <w:rPr>
                        <w:rFonts w:ascii="Cambria Math" w:hAnsi="Cambria Math"/>
                      </w:rPr>
                      <m:t>10-NEF</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max</m:t>
                    </m:r>
                  </m:num>
                  <m:den>
                    <m:r>
                      <m:rPr>
                        <m:sty m:val="bi"/>
                      </m:rPr>
                      <w:rPr>
                        <w:rFonts w:ascii="Cambria Math" w:hAnsi="Cambria Math"/>
                      </w:rPr>
                      <m:t>260</m:t>
                    </m:r>
                  </m:den>
                </m:f>
                <m:r>
                  <m:rPr>
                    <m:sty m:val="bi"/>
                  </m:rPr>
                  <w:rPr>
                    <w:rFonts w:ascii="Cambria Math" w:hAnsi="Cambria Math"/>
                  </w:rPr>
                  <m:t xml:space="preserve"> </m:t>
                </m:r>
              </m:oMath>
            </m:oMathPara>
          </w:p>
        </w:tc>
      </w:tr>
      <w:tr w:rsidR="00410C41" w:rsidRPr="00C9343F" w14:paraId="31DBB76C" w14:textId="77777777" w:rsidTr="005E243D">
        <w:trPr>
          <w:trHeight w:val="66"/>
        </w:trPr>
        <w:tc>
          <w:tcPr>
            <w:tcW w:w="992" w:type="dxa"/>
          </w:tcPr>
          <w:p w14:paraId="2D54A082" w14:textId="77777777" w:rsidR="00410C41" w:rsidRPr="00C9343F" w:rsidRDefault="00410C41" w:rsidP="00F66D98">
            <w:pPr>
              <w:pStyle w:val="BlockText-Plain"/>
              <w:jc w:val="center"/>
            </w:pPr>
          </w:p>
        </w:tc>
        <w:tc>
          <w:tcPr>
            <w:tcW w:w="8367" w:type="dxa"/>
            <w:gridSpan w:val="2"/>
          </w:tcPr>
          <w:p w14:paraId="229E66D5" w14:textId="77777777" w:rsidR="00410C41" w:rsidRPr="00C9343F" w:rsidRDefault="00410C41" w:rsidP="00F66D98">
            <w:pPr>
              <w:pStyle w:val="BlockText-Plain"/>
            </w:pPr>
            <w:r w:rsidRPr="00C9343F">
              <w:t>Where:</w:t>
            </w:r>
          </w:p>
        </w:tc>
      </w:tr>
      <w:tr w:rsidR="00410C41" w:rsidRPr="00C9343F" w14:paraId="6EAF2984" w14:textId="77777777" w:rsidTr="005E243D">
        <w:tc>
          <w:tcPr>
            <w:tcW w:w="992" w:type="dxa"/>
          </w:tcPr>
          <w:p w14:paraId="55186CFF" w14:textId="77777777" w:rsidR="00410C41" w:rsidRPr="00C9343F" w:rsidRDefault="00410C41" w:rsidP="00F66D98">
            <w:pPr>
              <w:pStyle w:val="BlockText-Plain"/>
              <w:jc w:val="center"/>
            </w:pPr>
          </w:p>
        </w:tc>
        <w:tc>
          <w:tcPr>
            <w:tcW w:w="704" w:type="dxa"/>
          </w:tcPr>
          <w:p w14:paraId="251A4669" w14:textId="77777777" w:rsidR="00410C41" w:rsidRPr="00C9343F" w:rsidRDefault="00410C41" w:rsidP="00F66D98">
            <w:pPr>
              <w:pStyle w:val="BlockText-Plain"/>
              <w:jc w:val="center"/>
              <w:rPr>
                <w:b/>
              </w:rPr>
            </w:pPr>
            <w:r w:rsidRPr="00C9343F">
              <w:rPr>
                <w:b/>
              </w:rPr>
              <w:t>NEF</w:t>
            </w:r>
          </w:p>
        </w:tc>
        <w:tc>
          <w:tcPr>
            <w:tcW w:w="7663" w:type="dxa"/>
          </w:tcPr>
          <w:p w14:paraId="7C0BE077" w14:textId="77777777" w:rsidR="00410C41" w:rsidRPr="00C9343F" w:rsidRDefault="00410C41" w:rsidP="00F66D98">
            <w:pPr>
              <w:pStyle w:val="BlockText-Plain"/>
            </w:pPr>
            <w:r w:rsidRPr="00C9343F">
              <w:t>is the number days of non-effective service that occurs on a weekday in the fortnight.</w:t>
            </w:r>
          </w:p>
        </w:tc>
      </w:tr>
      <w:tr w:rsidR="00410C41" w:rsidRPr="00C9343F" w14:paraId="199F3D8B" w14:textId="77777777" w:rsidTr="005E243D">
        <w:tc>
          <w:tcPr>
            <w:tcW w:w="992" w:type="dxa"/>
          </w:tcPr>
          <w:p w14:paraId="50D8A98F" w14:textId="77777777" w:rsidR="00410C41" w:rsidRPr="00C9343F" w:rsidRDefault="00410C41" w:rsidP="00F66D98">
            <w:pPr>
              <w:pStyle w:val="BlockText-Plain"/>
              <w:jc w:val="center"/>
            </w:pPr>
          </w:p>
        </w:tc>
        <w:tc>
          <w:tcPr>
            <w:tcW w:w="704" w:type="dxa"/>
          </w:tcPr>
          <w:p w14:paraId="22EDAF7D" w14:textId="77777777" w:rsidR="00410C41" w:rsidRPr="00C9343F" w:rsidRDefault="00410C41" w:rsidP="00F66D98">
            <w:pPr>
              <w:pStyle w:val="BlockText-Plain"/>
              <w:jc w:val="center"/>
              <w:rPr>
                <w:b/>
              </w:rPr>
            </w:pPr>
            <w:r w:rsidRPr="00C9343F">
              <w:rPr>
                <w:b/>
              </w:rPr>
              <w:t>Max</w:t>
            </w:r>
          </w:p>
        </w:tc>
        <w:tc>
          <w:tcPr>
            <w:tcW w:w="7663" w:type="dxa"/>
          </w:tcPr>
          <w:p w14:paraId="13720E67" w14:textId="77777777" w:rsidR="00410C41" w:rsidRPr="00C9343F" w:rsidRDefault="00410C41" w:rsidP="00F66D98">
            <w:pPr>
              <w:pStyle w:val="BlockText-Plain"/>
            </w:pPr>
            <w:r w:rsidRPr="00C9343F">
              <w:t>is 20, being the annual maximum for additional recreation leave.</w:t>
            </w:r>
          </w:p>
        </w:tc>
      </w:tr>
      <w:tr w:rsidR="00410C41" w:rsidRPr="00C9343F" w14:paraId="27F6ACA5" w14:textId="77777777" w:rsidTr="005E243D">
        <w:trPr>
          <w:trHeight w:val="340"/>
        </w:trPr>
        <w:tc>
          <w:tcPr>
            <w:tcW w:w="992" w:type="dxa"/>
          </w:tcPr>
          <w:p w14:paraId="0D08B2D9" w14:textId="77777777" w:rsidR="00410C41" w:rsidRPr="00C9343F" w:rsidRDefault="00410C41" w:rsidP="00F66D98">
            <w:pPr>
              <w:pStyle w:val="BlockText-Plain"/>
              <w:jc w:val="center"/>
            </w:pPr>
          </w:p>
        </w:tc>
        <w:tc>
          <w:tcPr>
            <w:tcW w:w="8367" w:type="dxa"/>
            <w:gridSpan w:val="2"/>
          </w:tcPr>
          <w:p w14:paraId="21C1EEE6" w14:textId="77777777" w:rsidR="00410C41" w:rsidRPr="00C9343F" w:rsidRDefault="00410C41" w:rsidP="00F66D98">
            <w:pPr>
              <w:pStyle w:val="BlockText-Plain"/>
            </w:pPr>
            <w:r w:rsidRPr="00C9343F">
              <w:rPr>
                <w:b/>
              </w:rPr>
              <w:t xml:space="preserve">Note: </w:t>
            </w:r>
            <w:r w:rsidRPr="00C9343F">
              <w:rPr>
                <w:b/>
              </w:rPr>
              <w:br/>
            </w:r>
            <w:r w:rsidRPr="00C9343F">
              <w:t>1.</w:t>
            </w:r>
            <w:r w:rsidRPr="00C9343F">
              <w:rPr>
                <w:b/>
              </w:rPr>
              <w:t xml:space="preserve"> </w:t>
            </w:r>
            <w:r w:rsidRPr="00C9343F">
              <w:t>Section 5.4.12 limits the amount of additional recreation leave credit that can be accrued under this Part.</w:t>
            </w:r>
            <w:r w:rsidRPr="00C9343F">
              <w:br/>
              <w:t>2. Special rules apply to a member who is eligible for two or more allowances. See subsection 5.4.11.4.</w:t>
            </w:r>
          </w:p>
        </w:tc>
      </w:tr>
    </w:tbl>
    <w:p w14:paraId="3D4A0D88" w14:textId="77777777" w:rsidR="00410C41" w:rsidRPr="00C9343F" w:rsidRDefault="00410C41" w:rsidP="00F66D98">
      <w:pPr>
        <w:pStyle w:val="Heading5"/>
      </w:pPr>
      <w:bookmarkStart w:id="1286" w:name="_Toc105053983"/>
      <w:r w:rsidRPr="00C9343F">
        <w:t>5.4.14    Field service</w:t>
      </w:r>
      <w:bookmarkEnd w:id="1286"/>
    </w:p>
    <w:tbl>
      <w:tblPr>
        <w:tblW w:w="9359" w:type="dxa"/>
        <w:tblInd w:w="113" w:type="dxa"/>
        <w:tblLayout w:type="fixed"/>
        <w:tblLook w:val="0000" w:firstRow="0" w:lastRow="0" w:firstColumn="0" w:lastColumn="0" w:noHBand="0" w:noVBand="0"/>
      </w:tblPr>
      <w:tblGrid>
        <w:gridCol w:w="992"/>
        <w:gridCol w:w="8367"/>
      </w:tblGrid>
      <w:tr w:rsidR="00410C41" w:rsidRPr="00C9343F" w14:paraId="63DA646C" w14:textId="77777777" w:rsidTr="005E243D">
        <w:tc>
          <w:tcPr>
            <w:tcW w:w="992" w:type="dxa"/>
          </w:tcPr>
          <w:p w14:paraId="5CF60135" w14:textId="77777777" w:rsidR="00410C41" w:rsidRPr="00C9343F" w:rsidRDefault="00410C41" w:rsidP="00F66D98">
            <w:pPr>
              <w:pStyle w:val="BlockText-Plain"/>
              <w:jc w:val="center"/>
            </w:pPr>
            <w:r w:rsidRPr="00C9343F">
              <w:t>1.</w:t>
            </w:r>
          </w:p>
        </w:tc>
        <w:tc>
          <w:tcPr>
            <w:tcW w:w="8367" w:type="dxa"/>
          </w:tcPr>
          <w:p w14:paraId="6499302F" w14:textId="77777777" w:rsidR="00410C41" w:rsidRPr="00C9343F" w:rsidRDefault="00410C41" w:rsidP="00F66D98">
            <w:pPr>
              <w:pStyle w:val="BlockText-Plain"/>
            </w:pPr>
            <w:r w:rsidRPr="00C9343F">
              <w:rPr>
                <w:iCs/>
              </w:rPr>
              <w:t xml:space="preserve">This section applies to a member who meets the eligibility conditions for a rate of field allowance under Division B.13 of DFRT Determination No. 11 of 2013, </w:t>
            </w:r>
            <w:r w:rsidRPr="00C9343F">
              <w:rPr>
                <w:i/>
                <w:iCs/>
              </w:rPr>
              <w:t>ADF allowances.</w:t>
            </w:r>
          </w:p>
        </w:tc>
      </w:tr>
      <w:tr w:rsidR="00410C41" w:rsidRPr="00C9343F" w14:paraId="7B5A8E24" w14:textId="77777777" w:rsidTr="005E243D">
        <w:tc>
          <w:tcPr>
            <w:tcW w:w="992" w:type="dxa"/>
          </w:tcPr>
          <w:p w14:paraId="4C4B6BE9" w14:textId="77777777" w:rsidR="00410C41" w:rsidRPr="00C9343F" w:rsidRDefault="00410C41" w:rsidP="00F66D98">
            <w:pPr>
              <w:pStyle w:val="BlockText-Plain"/>
              <w:jc w:val="center"/>
            </w:pPr>
            <w:r w:rsidRPr="00C9343F">
              <w:t>2.</w:t>
            </w:r>
          </w:p>
        </w:tc>
        <w:tc>
          <w:tcPr>
            <w:tcW w:w="8367" w:type="dxa"/>
          </w:tcPr>
          <w:p w14:paraId="047799F9" w14:textId="77777777" w:rsidR="00410C41" w:rsidRPr="00C9343F" w:rsidRDefault="00410C41" w:rsidP="00F66D98">
            <w:pPr>
              <w:pStyle w:val="BlockText-Plain"/>
            </w:pPr>
            <w:r w:rsidRPr="00C9343F">
              <w:t xml:space="preserve">If the member meets the eligibility conditions for a rate of field allowance, then for each day on which they are eligible they accrue a credit of 0.1 of a day of additional recreation leave. </w:t>
            </w:r>
          </w:p>
        </w:tc>
      </w:tr>
      <w:tr w:rsidR="00410C41" w:rsidRPr="00C9343F" w14:paraId="07100C39" w14:textId="77777777" w:rsidTr="005E243D">
        <w:tc>
          <w:tcPr>
            <w:tcW w:w="992" w:type="dxa"/>
          </w:tcPr>
          <w:p w14:paraId="5C0BED1E" w14:textId="77777777" w:rsidR="00410C41" w:rsidRPr="00C9343F" w:rsidRDefault="00410C41" w:rsidP="00F66D98">
            <w:pPr>
              <w:pStyle w:val="BlockText-Plain"/>
              <w:jc w:val="center"/>
            </w:pPr>
          </w:p>
        </w:tc>
        <w:tc>
          <w:tcPr>
            <w:tcW w:w="8367" w:type="dxa"/>
          </w:tcPr>
          <w:p w14:paraId="5094836B" w14:textId="77777777" w:rsidR="00410C41" w:rsidRPr="00C9343F" w:rsidRDefault="00410C41" w:rsidP="00F66D98">
            <w:pPr>
              <w:pStyle w:val="BlockText-Plain"/>
              <w:spacing w:after="0"/>
            </w:pPr>
            <w:r w:rsidRPr="00C9343F">
              <w:rPr>
                <w:b/>
              </w:rPr>
              <w:t>Notes:</w:t>
            </w:r>
            <w:r w:rsidRPr="00C9343F">
              <w:t xml:space="preserve"> This rule may be modified by other rules.</w:t>
            </w:r>
          </w:p>
          <w:p w14:paraId="6C8292CF" w14:textId="77777777" w:rsidR="00410C41" w:rsidRPr="00C9343F" w:rsidRDefault="00410C41" w:rsidP="00F66D98">
            <w:pPr>
              <w:pStyle w:val="BlockText-Plain"/>
              <w:spacing w:after="0"/>
            </w:pPr>
            <w:r w:rsidRPr="00C9343F">
              <w:t>1. Section 5.4.12 limits the amount of additional recreation leave credit that can be accrued under this section.</w:t>
            </w:r>
          </w:p>
          <w:p w14:paraId="68470176" w14:textId="77777777" w:rsidR="00410C41" w:rsidRPr="00C9343F" w:rsidRDefault="00410C41" w:rsidP="00F66D98">
            <w:pPr>
              <w:pStyle w:val="BlockText-Plain"/>
            </w:pPr>
            <w:r w:rsidRPr="00C9343F">
              <w:t>2. Special rules apply to a member who is eligible for two or more allowances. See subsection 5.4.11.4.</w:t>
            </w:r>
          </w:p>
        </w:tc>
      </w:tr>
    </w:tbl>
    <w:p w14:paraId="0DB19FF5" w14:textId="77777777" w:rsidR="00410C41" w:rsidRPr="00C9343F" w:rsidRDefault="00410C41" w:rsidP="00F66D98">
      <w:pPr>
        <w:pStyle w:val="Heading5"/>
      </w:pPr>
      <w:bookmarkStart w:id="1287" w:name="_Toc105053984"/>
      <w:r w:rsidRPr="00C9343F">
        <w:t>5.4.15    Flight duties</w:t>
      </w:r>
      <w:bookmarkEnd w:id="1287"/>
    </w:p>
    <w:tbl>
      <w:tblPr>
        <w:tblW w:w="9359" w:type="dxa"/>
        <w:tblInd w:w="113" w:type="dxa"/>
        <w:tblLayout w:type="fixed"/>
        <w:tblLook w:val="0000" w:firstRow="0" w:lastRow="0" w:firstColumn="0" w:lastColumn="0" w:noHBand="0" w:noVBand="0"/>
      </w:tblPr>
      <w:tblGrid>
        <w:gridCol w:w="992"/>
        <w:gridCol w:w="704"/>
        <w:gridCol w:w="7663"/>
      </w:tblGrid>
      <w:tr w:rsidR="00410C41" w:rsidRPr="00C9343F" w14:paraId="21CB1648" w14:textId="77777777" w:rsidTr="005E243D">
        <w:tc>
          <w:tcPr>
            <w:tcW w:w="992" w:type="dxa"/>
          </w:tcPr>
          <w:p w14:paraId="725224C9" w14:textId="77777777" w:rsidR="00410C41" w:rsidRPr="00C9343F" w:rsidRDefault="00410C41" w:rsidP="00F66D98">
            <w:pPr>
              <w:pStyle w:val="BlockText-Plain"/>
              <w:jc w:val="center"/>
            </w:pPr>
            <w:r w:rsidRPr="00C9343F">
              <w:t>1.</w:t>
            </w:r>
          </w:p>
        </w:tc>
        <w:tc>
          <w:tcPr>
            <w:tcW w:w="8367" w:type="dxa"/>
            <w:gridSpan w:val="2"/>
          </w:tcPr>
          <w:p w14:paraId="545A285B" w14:textId="77777777" w:rsidR="00410C41" w:rsidRPr="00C9343F" w:rsidRDefault="00410C41" w:rsidP="00F66D98">
            <w:pPr>
              <w:pStyle w:val="BlockText-Plain"/>
            </w:pPr>
            <w:r w:rsidRPr="00C9343F">
              <w:rPr>
                <w:iCs/>
              </w:rPr>
              <w:t xml:space="preserve">This section applies to a member who meets the eligibility conditions for a rate of flying disability allowance under Division B.7 of DFRT Determination No. 11 of 2013, </w:t>
            </w:r>
            <w:r w:rsidRPr="00C9343F">
              <w:rPr>
                <w:i/>
                <w:iCs/>
              </w:rPr>
              <w:t>ADF allowances.</w:t>
            </w:r>
          </w:p>
        </w:tc>
      </w:tr>
      <w:tr w:rsidR="00410C41" w:rsidRPr="00C9343F" w14:paraId="69B2B322" w14:textId="77777777" w:rsidTr="005E243D">
        <w:tc>
          <w:tcPr>
            <w:tcW w:w="992" w:type="dxa"/>
          </w:tcPr>
          <w:p w14:paraId="07229F3A" w14:textId="77777777" w:rsidR="00410C41" w:rsidRPr="00C9343F" w:rsidRDefault="00410C41" w:rsidP="00F66D98">
            <w:pPr>
              <w:pStyle w:val="BlockText-Plain"/>
              <w:jc w:val="center"/>
            </w:pPr>
            <w:r w:rsidRPr="00C9343F">
              <w:t>2.</w:t>
            </w:r>
          </w:p>
        </w:tc>
        <w:tc>
          <w:tcPr>
            <w:tcW w:w="8367" w:type="dxa"/>
            <w:gridSpan w:val="2"/>
          </w:tcPr>
          <w:p w14:paraId="56432A18" w14:textId="77777777" w:rsidR="00410C41" w:rsidRPr="00C9343F" w:rsidRDefault="00410C41" w:rsidP="00F66D98">
            <w:pPr>
              <w:pStyle w:val="BlockText-Plain"/>
            </w:pPr>
            <w:r w:rsidRPr="00C9343F">
              <w:rPr>
                <w:rFonts w:cs="Arial"/>
                <w:color w:val="000000"/>
                <w:shd w:val="clear" w:color="auto" w:fill="FFFFFF"/>
              </w:rPr>
              <w:t>If a member is eligible for a daily rate of flying disability allowance under table item 1 in section B.7.8 of DFRT Determination No. 11 of 2013, </w:t>
            </w:r>
            <w:r w:rsidRPr="00C9343F">
              <w:rPr>
                <w:rFonts w:cs="Arial"/>
                <w:i/>
                <w:iCs/>
                <w:color w:val="000000"/>
                <w:shd w:val="clear" w:color="auto" w:fill="FFFFFF"/>
              </w:rPr>
              <w:t>ADF Allowances</w:t>
            </w:r>
            <w:r w:rsidRPr="00C9343F">
              <w:rPr>
                <w:rFonts w:cs="Arial"/>
                <w:color w:val="000000"/>
                <w:shd w:val="clear" w:color="auto" w:fill="FFFFFF"/>
              </w:rPr>
              <w:t>, the member accrues a credit of 0.1 of a day of additional recreation leave for each day.</w:t>
            </w:r>
          </w:p>
        </w:tc>
      </w:tr>
      <w:tr w:rsidR="00410C41" w:rsidRPr="00C9343F" w14:paraId="4AED868A" w14:textId="77777777" w:rsidTr="005E243D">
        <w:tc>
          <w:tcPr>
            <w:tcW w:w="992" w:type="dxa"/>
          </w:tcPr>
          <w:p w14:paraId="078F0615" w14:textId="77777777" w:rsidR="00410C41" w:rsidRPr="00C9343F" w:rsidRDefault="00410C41" w:rsidP="00F66D98">
            <w:pPr>
              <w:pStyle w:val="BlockText-Plain"/>
              <w:jc w:val="center"/>
            </w:pPr>
            <w:r w:rsidRPr="00C9343F">
              <w:t>3.</w:t>
            </w:r>
          </w:p>
        </w:tc>
        <w:tc>
          <w:tcPr>
            <w:tcW w:w="8367" w:type="dxa"/>
            <w:gridSpan w:val="2"/>
          </w:tcPr>
          <w:p w14:paraId="14E9083B" w14:textId="77777777" w:rsidR="00410C41" w:rsidRPr="00C9343F" w:rsidRDefault="00410C41" w:rsidP="00F66D98">
            <w:pPr>
              <w:pStyle w:val="BlockText-Plain"/>
            </w:pPr>
            <w:r w:rsidRPr="00C9343F">
              <w:t xml:space="preserve">If a member is eligible for an annual rate of flying disability allowance, the member’s fortnightly additional </w:t>
            </w:r>
            <w:r w:rsidRPr="00C9343F">
              <w:rPr>
                <w:rFonts w:cs="Arial"/>
                <w:color w:val="000000"/>
                <w:shd w:val="clear" w:color="auto" w:fill="FFFFFF"/>
              </w:rPr>
              <w:t>recreation</w:t>
            </w:r>
            <w:r w:rsidRPr="00C9343F">
              <w:t xml:space="preserve"> leave credit is calculated using the following formula.</w:t>
            </w:r>
          </w:p>
        </w:tc>
      </w:tr>
      <w:tr w:rsidR="00410C41" w:rsidRPr="00C9343F" w14:paraId="50BB9746" w14:textId="77777777" w:rsidTr="005E243D">
        <w:tc>
          <w:tcPr>
            <w:tcW w:w="992" w:type="dxa"/>
          </w:tcPr>
          <w:p w14:paraId="154F4470" w14:textId="77777777" w:rsidR="00410C41" w:rsidRPr="00C9343F" w:rsidRDefault="00410C41" w:rsidP="00F66D98">
            <w:pPr>
              <w:pStyle w:val="BlockText-Plain"/>
              <w:jc w:val="center"/>
            </w:pPr>
          </w:p>
        </w:tc>
        <w:tc>
          <w:tcPr>
            <w:tcW w:w="8367" w:type="dxa"/>
            <w:gridSpan w:val="2"/>
          </w:tcPr>
          <w:p w14:paraId="1D012A2C" w14:textId="77777777" w:rsidR="00410C41" w:rsidRPr="00C9343F" w:rsidRDefault="00410C41" w:rsidP="00F66D98">
            <w:pPr>
              <w:pStyle w:val="BlockText-Plain"/>
              <w:spacing w:before="200"/>
              <w:jc w:val="center"/>
              <w:rPr>
                <w:b/>
                <w:i/>
              </w:rPr>
            </w:pPr>
            <m:oMathPara>
              <m:oMath>
                <m:r>
                  <m:rPr>
                    <m:sty m:val="bi"/>
                  </m:rPr>
                  <w:rPr>
                    <w:rFonts w:ascii="Cambria Math" w:hAnsi="Cambria Math"/>
                  </w:rPr>
                  <m:t>fortnightly additional leave credit=</m:t>
                </m:r>
                <m:d>
                  <m:dPr>
                    <m:ctrlPr>
                      <w:rPr>
                        <w:rFonts w:ascii="Cambria Math" w:hAnsi="Cambria Math"/>
                        <w:b/>
                        <w:i/>
                      </w:rPr>
                    </m:ctrlPr>
                  </m:dPr>
                  <m:e>
                    <m:r>
                      <m:rPr>
                        <m:sty m:val="bi"/>
                      </m:rPr>
                      <w:rPr>
                        <w:rFonts w:ascii="Cambria Math" w:hAnsi="Cambria Math"/>
                      </w:rPr>
                      <m:t>10-NEF</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max</m:t>
                    </m:r>
                  </m:num>
                  <m:den>
                    <m:r>
                      <m:rPr>
                        <m:sty m:val="bi"/>
                      </m:rPr>
                      <w:rPr>
                        <w:rFonts w:ascii="Cambria Math" w:hAnsi="Cambria Math"/>
                      </w:rPr>
                      <m:t>260</m:t>
                    </m:r>
                  </m:den>
                </m:f>
                <m:r>
                  <m:rPr>
                    <m:sty m:val="bi"/>
                  </m:rPr>
                  <w:rPr>
                    <w:rFonts w:ascii="Cambria Math" w:hAnsi="Cambria Math"/>
                  </w:rPr>
                  <m:t xml:space="preserve"> </m:t>
                </m:r>
              </m:oMath>
            </m:oMathPara>
          </w:p>
        </w:tc>
      </w:tr>
      <w:tr w:rsidR="00410C41" w:rsidRPr="00C9343F" w14:paraId="40AA3978" w14:textId="77777777" w:rsidTr="005E243D">
        <w:trPr>
          <w:trHeight w:val="340"/>
        </w:trPr>
        <w:tc>
          <w:tcPr>
            <w:tcW w:w="992" w:type="dxa"/>
          </w:tcPr>
          <w:p w14:paraId="47A74899" w14:textId="77777777" w:rsidR="00410C41" w:rsidRPr="00C9343F" w:rsidRDefault="00410C41" w:rsidP="00F66D98">
            <w:pPr>
              <w:pStyle w:val="BlockText-Plain"/>
              <w:jc w:val="center"/>
            </w:pPr>
          </w:p>
        </w:tc>
        <w:tc>
          <w:tcPr>
            <w:tcW w:w="8367" w:type="dxa"/>
            <w:gridSpan w:val="2"/>
          </w:tcPr>
          <w:p w14:paraId="7798EC32" w14:textId="77777777" w:rsidR="00410C41" w:rsidRPr="00C9343F" w:rsidRDefault="00410C41" w:rsidP="00F66D98">
            <w:pPr>
              <w:pStyle w:val="BlockText-Plain"/>
            </w:pPr>
            <w:r w:rsidRPr="00C9343F">
              <w:t>Where:</w:t>
            </w:r>
          </w:p>
        </w:tc>
      </w:tr>
      <w:tr w:rsidR="00410C41" w:rsidRPr="00C9343F" w14:paraId="674BFF4A" w14:textId="77777777" w:rsidTr="005E243D">
        <w:trPr>
          <w:trHeight w:val="340"/>
        </w:trPr>
        <w:tc>
          <w:tcPr>
            <w:tcW w:w="992" w:type="dxa"/>
          </w:tcPr>
          <w:p w14:paraId="5D6B7B72" w14:textId="77777777" w:rsidR="00410C41" w:rsidRPr="00C9343F" w:rsidRDefault="00410C41" w:rsidP="00F66D98">
            <w:pPr>
              <w:pStyle w:val="BlockText-Plain"/>
              <w:jc w:val="center"/>
            </w:pPr>
          </w:p>
        </w:tc>
        <w:tc>
          <w:tcPr>
            <w:tcW w:w="704" w:type="dxa"/>
          </w:tcPr>
          <w:p w14:paraId="7F6BAFDC" w14:textId="77777777" w:rsidR="00410C41" w:rsidRPr="00C9343F" w:rsidRDefault="00410C41" w:rsidP="00F66D98">
            <w:pPr>
              <w:pStyle w:val="BlockText-Plain"/>
              <w:jc w:val="center"/>
              <w:rPr>
                <w:b/>
              </w:rPr>
            </w:pPr>
            <w:r w:rsidRPr="00C9343F">
              <w:rPr>
                <w:b/>
              </w:rPr>
              <w:t>NEF</w:t>
            </w:r>
          </w:p>
        </w:tc>
        <w:tc>
          <w:tcPr>
            <w:tcW w:w="7663" w:type="dxa"/>
          </w:tcPr>
          <w:p w14:paraId="614676E4" w14:textId="77777777" w:rsidR="00410C41" w:rsidRPr="00C9343F" w:rsidRDefault="00410C41" w:rsidP="00F66D98">
            <w:pPr>
              <w:pStyle w:val="BlockText-Plain"/>
            </w:pPr>
            <w:r w:rsidRPr="00C9343F">
              <w:t>is the number days of non-effective service that occurs on a weekday in the fortnight.</w:t>
            </w:r>
          </w:p>
        </w:tc>
      </w:tr>
      <w:tr w:rsidR="00410C41" w:rsidRPr="00C9343F" w14:paraId="145C886A" w14:textId="77777777" w:rsidTr="005E243D">
        <w:trPr>
          <w:trHeight w:val="340"/>
        </w:trPr>
        <w:tc>
          <w:tcPr>
            <w:tcW w:w="992" w:type="dxa"/>
          </w:tcPr>
          <w:p w14:paraId="698D9A63" w14:textId="77777777" w:rsidR="00410C41" w:rsidRPr="00C9343F" w:rsidRDefault="00410C41" w:rsidP="00F66D98">
            <w:pPr>
              <w:pStyle w:val="BlockText-Plain"/>
              <w:jc w:val="center"/>
            </w:pPr>
          </w:p>
        </w:tc>
        <w:tc>
          <w:tcPr>
            <w:tcW w:w="704" w:type="dxa"/>
          </w:tcPr>
          <w:p w14:paraId="7868C65E" w14:textId="77777777" w:rsidR="00410C41" w:rsidRPr="00C9343F" w:rsidRDefault="00410C41" w:rsidP="00F66D98">
            <w:pPr>
              <w:pStyle w:val="BlockText-Plain"/>
              <w:jc w:val="center"/>
              <w:rPr>
                <w:b/>
              </w:rPr>
            </w:pPr>
            <w:r w:rsidRPr="00C9343F">
              <w:rPr>
                <w:b/>
              </w:rPr>
              <w:t>Max</w:t>
            </w:r>
          </w:p>
        </w:tc>
        <w:tc>
          <w:tcPr>
            <w:tcW w:w="7663" w:type="dxa"/>
          </w:tcPr>
          <w:p w14:paraId="668EEE65" w14:textId="77777777" w:rsidR="00410C41" w:rsidRPr="00C9343F" w:rsidRDefault="00410C41" w:rsidP="00F66D98">
            <w:pPr>
              <w:pStyle w:val="BlockText-Plain"/>
            </w:pPr>
            <w:r w:rsidRPr="00C9343F">
              <w:t>is 10, being the annual maximum for additional recreation leave.</w:t>
            </w:r>
          </w:p>
        </w:tc>
      </w:tr>
      <w:tr w:rsidR="00410C41" w:rsidRPr="00C9343F" w14:paraId="7E993376" w14:textId="77777777" w:rsidTr="005E243D">
        <w:trPr>
          <w:trHeight w:val="340"/>
        </w:trPr>
        <w:tc>
          <w:tcPr>
            <w:tcW w:w="992" w:type="dxa"/>
          </w:tcPr>
          <w:p w14:paraId="3CE9F751" w14:textId="77777777" w:rsidR="00410C41" w:rsidRPr="00C9343F" w:rsidRDefault="00410C41" w:rsidP="00F66D98">
            <w:pPr>
              <w:pStyle w:val="BlockText-Plain"/>
              <w:keepNext/>
              <w:keepLines/>
              <w:jc w:val="center"/>
            </w:pPr>
          </w:p>
        </w:tc>
        <w:tc>
          <w:tcPr>
            <w:tcW w:w="8367" w:type="dxa"/>
            <w:gridSpan w:val="2"/>
          </w:tcPr>
          <w:p w14:paraId="76C1A9BA" w14:textId="77777777" w:rsidR="00410C41" w:rsidRPr="00C9343F" w:rsidRDefault="00410C41" w:rsidP="00F66D98">
            <w:pPr>
              <w:pStyle w:val="BlockText-Plain"/>
              <w:keepNext/>
              <w:keepLines/>
            </w:pPr>
            <w:r w:rsidRPr="00C9343F">
              <w:rPr>
                <w:b/>
              </w:rPr>
              <w:t>Note:</w:t>
            </w:r>
            <w:r w:rsidRPr="00C9343F">
              <w:br/>
              <w:t>1.</w:t>
            </w:r>
            <w:r w:rsidRPr="00C9343F">
              <w:rPr>
                <w:b/>
              </w:rPr>
              <w:t xml:space="preserve"> </w:t>
            </w:r>
            <w:r w:rsidRPr="00C9343F">
              <w:t>Section 5.4.12 limits the amount of additional recreation leave credit that can be accrued under this Part.</w:t>
            </w:r>
            <w:r w:rsidRPr="00C9343F">
              <w:br/>
              <w:t>2. Special rules apply to a member who is eligible for two or more allowances. See subsection 5.4.11.4.</w:t>
            </w:r>
          </w:p>
        </w:tc>
      </w:tr>
    </w:tbl>
    <w:p w14:paraId="56582F7A" w14:textId="7857FD3E" w:rsidR="00410C41" w:rsidRPr="00C9343F" w:rsidRDefault="00504077" w:rsidP="00F66D98">
      <w:pPr>
        <w:pStyle w:val="Heading5"/>
      </w:pPr>
      <w:bookmarkStart w:id="1288" w:name="_Toc105053985"/>
      <w:r w:rsidRPr="00C9343F">
        <w:t>5.4.16   </w:t>
      </w:r>
      <w:r w:rsidR="00410C41" w:rsidRPr="00C9343F">
        <w:t> Special service</w:t>
      </w:r>
      <w:bookmarkEnd w:id="1288"/>
    </w:p>
    <w:tbl>
      <w:tblPr>
        <w:tblW w:w="9359" w:type="dxa"/>
        <w:tblInd w:w="113" w:type="dxa"/>
        <w:tblLayout w:type="fixed"/>
        <w:tblLook w:val="0000" w:firstRow="0" w:lastRow="0" w:firstColumn="0" w:lastColumn="0" w:noHBand="0" w:noVBand="0"/>
      </w:tblPr>
      <w:tblGrid>
        <w:gridCol w:w="992"/>
        <w:gridCol w:w="567"/>
        <w:gridCol w:w="137"/>
        <w:gridCol w:w="7663"/>
      </w:tblGrid>
      <w:tr w:rsidR="00410C41" w:rsidRPr="00C9343F" w14:paraId="25053200" w14:textId="77777777" w:rsidTr="005E243D">
        <w:tc>
          <w:tcPr>
            <w:tcW w:w="992" w:type="dxa"/>
          </w:tcPr>
          <w:p w14:paraId="10222DAB" w14:textId="77777777" w:rsidR="00410C41" w:rsidRPr="00C9343F" w:rsidRDefault="00410C41" w:rsidP="00F66D98">
            <w:pPr>
              <w:pStyle w:val="BlockText-Plain"/>
              <w:jc w:val="center"/>
            </w:pPr>
            <w:r w:rsidRPr="00C9343F">
              <w:t>1.</w:t>
            </w:r>
          </w:p>
        </w:tc>
        <w:tc>
          <w:tcPr>
            <w:tcW w:w="8367" w:type="dxa"/>
            <w:gridSpan w:val="3"/>
          </w:tcPr>
          <w:p w14:paraId="0A3EC481" w14:textId="77777777" w:rsidR="00410C41" w:rsidRPr="00C9343F" w:rsidRDefault="00410C41" w:rsidP="00F66D98">
            <w:pPr>
              <w:pStyle w:val="BlockText-Plain"/>
            </w:pPr>
            <w:r w:rsidRPr="00C9343F">
              <w:t xml:space="preserve">This section applies to a member who meets the eligibility conditions for a rate of any of the following allowances. </w:t>
            </w:r>
          </w:p>
        </w:tc>
      </w:tr>
      <w:tr w:rsidR="00410C41" w:rsidRPr="00C9343F" w14:paraId="408D79CE" w14:textId="77777777" w:rsidTr="005E243D">
        <w:trPr>
          <w:cantSplit/>
        </w:trPr>
        <w:tc>
          <w:tcPr>
            <w:tcW w:w="992" w:type="dxa"/>
          </w:tcPr>
          <w:p w14:paraId="535BF920" w14:textId="77777777" w:rsidR="00410C41" w:rsidRPr="00C9343F" w:rsidRDefault="00410C41" w:rsidP="00F66D98">
            <w:pPr>
              <w:pStyle w:val="BlockText-Plain"/>
            </w:pPr>
          </w:p>
        </w:tc>
        <w:tc>
          <w:tcPr>
            <w:tcW w:w="567" w:type="dxa"/>
          </w:tcPr>
          <w:p w14:paraId="0A711346" w14:textId="77777777" w:rsidR="00410C41" w:rsidRPr="00C9343F" w:rsidRDefault="00410C41" w:rsidP="008D1B5D">
            <w:pPr>
              <w:pStyle w:val="BlockText-Plain"/>
              <w:jc w:val="center"/>
            </w:pPr>
            <w:r w:rsidRPr="00C9343F">
              <w:rPr>
                <w:iCs/>
              </w:rPr>
              <w:t>a.</w:t>
            </w:r>
          </w:p>
        </w:tc>
        <w:tc>
          <w:tcPr>
            <w:tcW w:w="7800" w:type="dxa"/>
            <w:gridSpan w:val="2"/>
          </w:tcPr>
          <w:p w14:paraId="2EFD2552" w14:textId="77777777" w:rsidR="00410C41" w:rsidRPr="00C9343F" w:rsidRDefault="00410C41" w:rsidP="00F66D98">
            <w:pPr>
              <w:pStyle w:val="BlockText-Plain"/>
            </w:pPr>
            <w:r w:rsidRPr="00C9343F">
              <w:rPr>
                <w:iCs/>
              </w:rPr>
              <w:t xml:space="preserve">Special Forces disability allowance under Division B.12 of DFRT Determination No. 11 of 2013, </w:t>
            </w:r>
            <w:r w:rsidRPr="00C9343F">
              <w:rPr>
                <w:i/>
                <w:iCs/>
              </w:rPr>
              <w:t>ADF allowances.</w:t>
            </w:r>
          </w:p>
        </w:tc>
      </w:tr>
      <w:tr w:rsidR="00410C41" w:rsidRPr="00C9343F" w14:paraId="026A3F0B" w14:textId="77777777" w:rsidTr="005E243D">
        <w:trPr>
          <w:cantSplit/>
        </w:trPr>
        <w:tc>
          <w:tcPr>
            <w:tcW w:w="992" w:type="dxa"/>
          </w:tcPr>
          <w:p w14:paraId="0E86A476" w14:textId="77777777" w:rsidR="00410C41" w:rsidRPr="00C9343F" w:rsidRDefault="00410C41" w:rsidP="00F66D98">
            <w:pPr>
              <w:pStyle w:val="BlockText-Plain"/>
            </w:pPr>
          </w:p>
        </w:tc>
        <w:tc>
          <w:tcPr>
            <w:tcW w:w="567" w:type="dxa"/>
          </w:tcPr>
          <w:p w14:paraId="5E60076D" w14:textId="77777777" w:rsidR="00410C41" w:rsidRPr="00C9343F" w:rsidRDefault="00410C41" w:rsidP="008D1B5D">
            <w:pPr>
              <w:pStyle w:val="BlockText-Plain"/>
              <w:jc w:val="center"/>
            </w:pPr>
            <w:r w:rsidRPr="00C9343F">
              <w:rPr>
                <w:iCs/>
              </w:rPr>
              <w:t>b.</w:t>
            </w:r>
          </w:p>
        </w:tc>
        <w:tc>
          <w:tcPr>
            <w:tcW w:w="7800" w:type="dxa"/>
            <w:gridSpan w:val="2"/>
          </w:tcPr>
          <w:p w14:paraId="2509C228" w14:textId="77777777" w:rsidR="00410C41" w:rsidRPr="00C9343F" w:rsidRDefault="00410C41" w:rsidP="00F66D98">
            <w:pPr>
              <w:pStyle w:val="BlockText-Plain"/>
            </w:pPr>
            <w:r w:rsidRPr="00C9343F">
              <w:rPr>
                <w:iCs/>
              </w:rPr>
              <w:t xml:space="preserve">Clearance diver allowance under Division B.14 of DFRT Determination No. 11 of 2013, </w:t>
            </w:r>
            <w:r w:rsidRPr="00C9343F">
              <w:rPr>
                <w:i/>
                <w:iCs/>
              </w:rPr>
              <w:t>ADF allowances.</w:t>
            </w:r>
          </w:p>
        </w:tc>
      </w:tr>
      <w:tr w:rsidR="00410C41" w:rsidRPr="00C9343F" w14:paraId="77FF5224" w14:textId="77777777" w:rsidTr="005E243D">
        <w:tc>
          <w:tcPr>
            <w:tcW w:w="992" w:type="dxa"/>
          </w:tcPr>
          <w:p w14:paraId="4101398D" w14:textId="77777777" w:rsidR="00410C41" w:rsidRPr="00C9343F" w:rsidRDefault="00410C41" w:rsidP="00F66D98">
            <w:pPr>
              <w:pStyle w:val="BlockText-Plain"/>
              <w:jc w:val="center"/>
            </w:pPr>
            <w:r w:rsidRPr="00C9343F">
              <w:t>2.</w:t>
            </w:r>
          </w:p>
        </w:tc>
        <w:tc>
          <w:tcPr>
            <w:tcW w:w="8367" w:type="dxa"/>
            <w:gridSpan w:val="3"/>
          </w:tcPr>
          <w:p w14:paraId="6709A4AC" w14:textId="77777777" w:rsidR="00410C41" w:rsidRPr="00C9343F" w:rsidRDefault="00410C41" w:rsidP="00F66D98">
            <w:pPr>
              <w:pStyle w:val="BlockText-Plain"/>
            </w:pPr>
            <w:r w:rsidRPr="00C9343F">
              <w:t>If a member is eligible for a daily rate of Special Forces disability allowance or clearance diver allowance, the member accrues a credit of 0.1 of a day of additional recreation leave for each day.</w:t>
            </w:r>
          </w:p>
        </w:tc>
      </w:tr>
      <w:tr w:rsidR="00410C41" w:rsidRPr="00C9343F" w14:paraId="3417C9EC" w14:textId="77777777" w:rsidTr="005E243D">
        <w:tc>
          <w:tcPr>
            <w:tcW w:w="992" w:type="dxa"/>
          </w:tcPr>
          <w:p w14:paraId="18FF325B" w14:textId="77777777" w:rsidR="00410C41" w:rsidRPr="00C9343F" w:rsidRDefault="00410C41" w:rsidP="00F66D98">
            <w:pPr>
              <w:pStyle w:val="BlockText-Plain"/>
              <w:jc w:val="center"/>
            </w:pPr>
            <w:r w:rsidRPr="00C9343F">
              <w:t>3.</w:t>
            </w:r>
          </w:p>
        </w:tc>
        <w:tc>
          <w:tcPr>
            <w:tcW w:w="8367" w:type="dxa"/>
            <w:gridSpan w:val="3"/>
          </w:tcPr>
          <w:p w14:paraId="113B8987" w14:textId="77777777" w:rsidR="00410C41" w:rsidRPr="00C9343F" w:rsidRDefault="00410C41" w:rsidP="00F66D98">
            <w:pPr>
              <w:pStyle w:val="BlockText-Plain"/>
            </w:pPr>
            <w:r w:rsidRPr="00C9343F">
              <w:t xml:space="preserve">If a member is eligible for </w:t>
            </w:r>
            <w:r w:rsidRPr="00C9343F">
              <w:rPr>
                <w:rFonts w:cs="Arial"/>
                <w:color w:val="000000"/>
                <w:shd w:val="clear" w:color="auto" w:fill="FFFFFF"/>
              </w:rPr>
              <w:t>either a rate of Special Forces disability allowance specified in subsection 4 or the annual rate of clearance diver allowance, the member’s fortnightly additional recreation leave</w:t>
            </w:r>
            <w:r w:rsidRPr="00C9343F">
              <w:t xml:space="preserve"> is calculated using the following formula.</w:t>
            </w:r>
          </w:p>
        </w:tc>
      </w:tr>
      <w:tr w:rsidR="00410C41" w:rsidRPr="00C9343F" w14:paraId="6BA451D3" w14:textId="77777777" w:rsidTr="005E243D">
        <w:trPr>
          <w:trHeight w:val="340"/>
        </w:trPr>
        <w:tc>
          <w:tcPr>
            <w:tcW w:w="992" w:type="dxa"/>
          </w:tcPr>
          <w:p w14:paraId="0FAA4053" w14:textId="77777777" w:rsidR="00410C41" w:rsidRPr="00C9343F" w:rsidRDefault="00410C41" w:rsidP="00F66D98">
            <w:pPr>
              <w:pStyle w:val="BlockText-Plain"/>
              <w:jc w:val="center"/>
            </w:pPr>
          </w:p>
        </w:tc>
        <w:tc>
          <w:tcPr>
            <w:tcW w:w="8367" w:type="dxa"/>
            <w:gridSpan w:val="3"/>
          </w:tcPr>
          <w:p w14:paraId="11725E9C" w14:textId="77777777" w:rsidR="00410C41" w:rsidRPr="00C9343F" w:rsidRDefault="00410C41" w:rsidP="00F66D98">
            <w:pPr>
              <w:pStyle w:val="BlockText-Plain"/>
              <w:spacing w:before="200"/>
              <w:jc w:val="center"/>
            </w:pPr>
            <m:oMathPara>
              <m:oMath>
                <m:r>
                  <m:rPr>
                    <m:sty m:val="bi"/>
                  </m:rPr>
                  <w:rPr>
                    <w:rFonts w:ascii="Cambria Math" w:hAnsi="Cambria Math"/>
                  </w:rPr>
                  <m:t>fortnightly additional leave credit=</m:t>
                </m:r>
                <m:d>
                  <m:dPr>
                    <m:ctrlPr>
                      <w:rPr>
                        <w:rFonts w:ascii="Cambria Math" w:hAnsi="Cambria Math"/>
                        <w:b/>
                        <w:i/>
                      </w:rPr>
                    </m:ctrlPr>
                  </m:dPr>
                  <m:e>
                    <m:r>
                      <m:rPr>
                        <m:sty m:val="bi"/>
                      </m:rPr>
                      <w:rPr>
                        <w:rFonts w:ascii="Cambria Math" w:hAnsi="Cambria Math"/>
                      </w:rPr>
                      <m:t>10-NEF</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max</m:t>
                    </m:r>
                  </m:num>
                  <m:den>
                    <m:r>
                      <m:rPr>
                        <m:sty m:val="bi"/>
                      </m:rPr>
                      <w:rPr>
                        <w:rFonts w:ascii="Cambria Math" w:hAnsi="Cambria Math"/>
                      </w:rPr>
                      <m:t>260</m:t>
                    </m:r>
                  </m:den>
                </m:f>
                <m:r>
                  <m:rPr>
                    <m:sty m:val="bi"/>
                  </m:rPr>
                  <w:rPr>
                    <w:rFonts w:ascii="Cambria Math" w:hAnsi="Cambria Math"/>
                  </w:rPr>
                  <m:t xml:space="preserve"> </m:t>
                </m:r>
              </m:oMath>
            </m:oMathPara>
          </w:p>
        </w:tc>
      </w:tr>
      <w:tr w:rsidR="00410C41" w:rsidRPr="00C9343F" w14:paraId="055ACE29" w14:textId="77777777" w:rsidTr="005E243D">
        <w:trPr>
          <w:trHeight w:val="340"/>
        </w:trPr>
        <w:tc>
          <w:tcPr>
            <w:tcW w:w="992" w:type="dxa"/>
          </w:tcPr>
          <w:p w14:paraId="19E3EC9D" w14:textId="77777777" w:rsidR="00410C41" w:rsidRPr="00C9343F" w:rsidRDefault="00410C41" w:rsidP="00F66D98">
            <w:pPr>
              <w:pStyle w:val="BlockText-Plain"/>
              <w:jc w:val="center"/>
            </w:pPr>
          </w:p>
        </w:tc>
        <w:tc>
          <w:tcPr>
            <w:tcW w:w="8367" w:type="dxa"/>
            <w:gridSpan w:val="3"/>
          </w:tcPr>
          <w:p w14:paraId="57F8F84F" w14:textId="77777777" w:rsidR="00410C41" w:rsidRPr="00C9343F" w:rsidRDefault="00410C41" w:rsidP="00F66D98">
            <w:pPr>
              <w:pStyle w:val="BlockText-Plain"/>
            </w:pPr>
            <w:r w:rsidRPr="00C9343F">
              <w:t>Where:</w:t>
            </w:r>
          </w:p>
        </w:tc>
      </w:tr>
      <w:tr w:rsidR="00410C41" w:rsidRPr="00C9343F" w14:paraId="3D80A609" w14:textId="77777777" w:rsidTr="005E243D">
        <w:trPr>
          <w:trHeight w:val="340"/>
        </w:trPr>
        <w:tc>
          <w:tcPr>
            <w:tcW w:w="992" w:type="dxa"/>
          </w:tcPr>
          <w:p w14:paraId="07A3BE1C" w14:textId="77777777" w:rsidR="00410C41" w:rsidRPr="00C9343F" w:rsidRDefault="00410C41" w:rsidP="00F66D98">
            <w:pPr>
              <w:pStyle w:val="BlockText-Plain"/>
              <w:jc w:val="center"/>
            </w:pPr>
          </w:p>
        </w:tc>
        <w:tc>
          <w:tcPr>
            <w:tcW w:w="704" w:type="dxa"/>
            <w:gridSpan w:val="2"/>
          </w:tcPr>
          <w:p w14:paraId="2FC0E907" w14:textId="77777777" w:rsidR="00410C41" w:rsidRPr="00C9343F" w:rsidRDefault="00410C41" w:rsidP="00F66D98">
            <w:pPr>
              <w:pStyle w:val="BlockText-Plain"/>
              <w:jc w:val="center"/>
              <w:rPr>
                <w:b/>
              </w:rPr>
            </w:pPr>
            <w:r w:rsidRPr="00C9343F">
              <w:rPr>
                <w:b/>
              </w:rPr>
              <w:t>NEF</w:t>
            </w:r>
          </w:p>
        </w:tc>
        <w:tc>
          <w:tcPr>
            <w:tcW w:w="7663" w:type="dxa"/>
          </w:tcPr>
          <w:p w14:paraId="16B87581" w14:textId="77777777" w:rsidR="00410C41" w:rsidRPr="00C9343F" w:rsidRDefault="00410C41" w:rsidP="00F66D98">
            <w:pPr>
              <w:pStyle w:val="BlockText-Plain"/>
            </w:pPr>
            <w:r w:rsidRPr="00C9343F">
              <w:t>is the number days of non-effective service that occurs on a weekday in the fortnight.</w:t>
            </w:r>
          </w:p>
        </w:tc>
      </w:tr>
      <w:tr w:rsidR="00410C41" w:rsidRPr="00C9343F" w14:paraId="7688A60C" w14:textId="77777777" w:rsidTr="005E243D">
        <w:trPr>
          <w:trHeight w:val="340"/>
        </w:trPr>
        <w:tc>
          <w:tcPr>
            <w:tcW w:w="992" w:type="dxa"/>
          </w:tcPr>
          <w:p w14:paraId="0B6E8EC0" w14:textId="77777777" w:rsidR="00410C41" w:rsidRPr="00C9343F" w:rsidRDefault="00410C41" w:rsidP="00F66D98">
            <w:pPr>
              <w:pStyle w:val="BlockText-Plain"/>
              <w:jc w:val="center"/>
            </w:pPr>
          </w:p>
        </w:tc>
        <w:tc>
          <w:tcPr>
            <w:tcW w:w="704" w:type="dxa"/>
            <w:gridSpan w:val="2"/>
          </w:tcPr>
          <w:p w14:paraId="2B67094F" w14:textId="77777777" w:rsidR="00410C41" w:rsidRPr="00C9343F" w:rsidRDefault="00410C41" w:rsidP="00F66D98">
            <w:pPr>
              <w:pStyle w:val="BlockText-Plain"/>
              <w:jc w:val="center"/>
              <w:rPr>
                <w:b/>
              </w:rPr>
            </w:pPr>
            <w:r w:rsidRPr="00C9343F">
              <w:rPr>
                <w:b/>
              </w:rPr>
              <w:t>Max</w:t>
            </w:r>
          </w:p>
        </w:tc>
        <w:tc>
          <w:tcPr>
            <w:tcW w:w="7663" w:type="dxa"/>
          </w:tcPr>
          <w:p w14:paraId="2ADCDFF6" w14:textId="77777777" w:rsidR="00410C41" w:rsidRPr="00C9343F" w:rsidRDefault="00410C41" w:rsidP="00F66D98">
            <w:pPr>
              <w:pStyle w:val="BlockText-Plain"/>
            </w:pPr>
            <w:r w:rsidRPr="00C9343F">
              <w:t>is 10, being the annual maximum for additional recreation leave.</w:t>
            </w:r>
          </w:p>
        </w:tc>
      </w:tr>
      <w:tr w:rsidR="00410C41" w:rsidRPr="00C9343F" w14:paraId="76D3E009" w14:textId="77777777" w:rsidTr="005E243D">
        <w:trPr>
          <w:trHeight w:val="340"/>
        </w:trPr>
        <w:tc>
          <w:tcPr>
            <w:tcW w:w="992" w:type="dxa"/>
          </w:tcPr>
          <w:p w14:paraId="735717B6" w14:textId="77777777" w:rsidR="00410C41" w:rsidRPr="00C9343F" w:rsidRDefault="00410C41" w:rsidP="00F66D98">
            <w:pPr>
              <w:pStyle w:val="BlockText-Plain"/>
              <w:jc w:val="center"/>
            </w:pPr>
          </w:p>
        </w:tc>
        <w:tc>
          <w:tcPr>
            <w:tcW w:w="8367" w:type="dxa"/>
            <w:gridSpan w:val="3"/>
          </w:tcPr>
          <w:p w14:paraId="6F359CF9" w14:textId="77777777" w:rsidR="00410C41" w:rsidRPr="00C9343F" w:rsidRDefault="00410C41" w:rsidP="00F66D98">
            <w:pPr>
              <w:pStyle w:val="BlockText-Plain"/>
            </w:pPr>
            <w:r w:rsidRPr="00C9343F">
              <w:rPr>
                <w:b/>
              </w:rPr>
              <w:t>Notes:</w:t>
            </w:r>
            <w:r w:rsidRPr="00C9343F">
              <w:rPr>
                <w:b/>
              </w:rPr>
              <w:br/>
            </w:r>
            <w:r w:rsidRPr="00C9343F">
              <w:t>1.</w:t>
            </w:r>
            <w:r w:rsidRPr="00C9343F">
              <w:rPr>
                <w:b/>
              </w:rPr>
              <w:t xml:space="preserve"> </w:t>
            </w:r>
            <w:r w:rsidRPr="00C9343F">
              <w:t>Section 5.4.12 limits the amount of additional recreation leave credit that can be accrued under this Part.</w:t>
            </w:r>
            <w:r w:rsidRPr="00C9343F">
              <w:br/>
              <w:t>2. Special rules apply to a member who is eligible for two or more allowances. See subsection 5.4.11.4.</w:t>
            </w:r>
          </w:p>
        </w:tc>
      </w:tr>
      <w:tr w:rsidR="00410C41" w:rsidRPr="00C9343F" w14:paraId="7369CF34" w14:textId="77777777" w:rsidTr="005E243D">
        <w:trPr>
          <w:trHeight w:val="340"/>
        </w:trPr>
        <w:tc>
          <w:tcPr>
            <w:tcW w:w="992" w:type="dxa"/>
          </w:tcPr>
          <w:p w14:paraId="3946A28B" w14:textId="77777777" w:rsidR="00410C41" w:rsidRPr="00C9343F" w:rsidRDefault="00410C41" w:rsidP="00F66D98">
            <w:pPr>
              <w:pStyle w:val="BlockText-Plain"/>
              <w:jc w:val="center"/>
            </w:pPr>
            <w:r w:rsidRPr="00C9343F">
              <w:t>4.</w:t>
            </w:r>
          </w:p>
        </w:tc>
        <w:tc>
          <w:tcPr>
            <w:tcW w:w="8367" w:type="dxa"/>
            <w:gridSpan w:val="3"/>
          </w:tcPr>
          <w:p w14:paraId="65D69047" w14:textId="77777777" w:rsidR="00410C41" w:rsidRPr="00C9343F" w:rsidRDefault="00410C41" w:rsidP="00F66D98">
            <w:pPr>
              <w:pStyle w:val="sectiontext"/>
              <w:spacing w:before="0" w:after="200"/>
              <w:rPr>
                <w:rFonts w:cs="Arial"/>
                <w:color w:val="000000"/>
                <w:sz w:val="20"/>
              </w:rPr>
            </w:pPr>
            <w:r w:rsidRPr="00C9343F">
              <w:rPr>
                <w:rFonts w:ascii="Arial" w:hAnsi="Arial" w:cs="Arial"/>
                <w:color w:val="000000"/>
                <w:sz w:val="20"/>
                <w:szCs w:val="20"/>
              </w:rPr>
              <w:t>For the purpose of subsection 3, an annual rate of Special Forces disability allowance provided in one of the following items in the table in section B.12.7 of DFRT Determination No. 11 of 2013, </w:t>
            </w:r>
            <w:r w:rsidRPr="00C9343F">
              <w:rPr>
                <w:rFonts w:ascii="Arial" w:hAnsi="Arial" w:cs="Arial"/>
                <w:i/>
                <w:iCs/>
                <w:color w:val="000000"/>
                <w:sz w:val="20"/>
                <w:szCs w:val="20"/>
              </w:rPr>
              <w:t>ADF Allowances</w:t>
            </w:r>
            <w:r w:rsidRPr="00C9343F">
              <w:rPr>
                <w:rFonts w:ascii="Arial" w:hAnsi="Arial" w:cs="Arial"/>
                <w:color w:val="000000"/>
                <w:sz w:val="20"/>
                <w:szCs w:val="20"/>
              </w:rPr>
              <w:t>.</w:t>
            </w:r>
          </w:p>
        </w:tc>
      </w:tr>
      <w:tr w:rsidR="00410C41" w:rsidRPr="00C9343F" w14:paraId="1A297299" w14:textId="77777777" w:rsidTr="005E243D">
        <w:trPr>
          <w:cantSplit/>
        </w:trPr>
        <w:tc>
          <w:tcPr>
            <w:tcW w:w="992" w:type="dxa"/>
          </w:tcPr>
          <w:p w14:paraId="3D3EEECF" w14:textId="77777777" w:rsidR="00410C41" w:rsidRPr="00C9343F" w:rsidRDefault="00410C41" w:rsidP="00F66D98">
            <w:pPr>
              <w:pStyle w:val="BlockText-Plain"/>
            </w:pPr>
          </w:p>
        </w:tc>
        <w:tc>
          <w:tcPr>
            <w:tcW w:w="567" w:type="dxa"/>
          </w:tcPr>
          <w:p w14:paraId="325C4AD9" w14:textId="77777777" w:rsidR="00410C41" w:rsidRPr="00C9343F" w:rsidRDefault="00410C41" w:rsidP="008D1B5D">
            <w:pPr>
              <w:pStyle w:val="BlockText-Plain"/>
              <w:jc w:val="center"/>
            </w:pPr>
            <w:r w:rsidRPr="00C9343F">
              <w:t>a.</w:t>
            </w:r>
          </w:p>
        </w:tc>
        <w:tc>
          <w:tcPr>
            <w:tcW w:w="7800" w:type="dxa"/>
            <w:gridSpan w:val="2"/>
          </w:tcPr>
          <w:p w14:paraId="19B043E5" w14:textId="77777777" w:rsidR="00410C41" w:rsidRPr="00C9343F" w:rsidRDefault="00410C41" w:rsidP="00F66D98">
            <w:pPr>
              <w:pStyle w:val="BlockText-Plain"/>
            </w:pPr>
            <w:r w:rsidRPr="00C9343F">
              <w:rPr>
                <w:rFonts w:cs="Arial"/>
                <w:color w:val="000000"/>
                <w:shd w:val="clear" w:color="auto" w:fill="FFFFFF"/>
              </w:rPr>
              <w:t>Items 1 to 9.</w:t>
            </w:r>
          </w:p>
        </w:tc>
      </w:tr>
      <w:tr w:rsidR="00410C41" w:rsidRPr="00C9343F" w14:paraId="5F1B615D" w14:textId="77777777" w:rsidTr="005E243D">
        <w:trPr>
          <w:cantSplit/>
        </w:trPr>
        <w:tc>
          <w:tcPr>
            <w:tcW w:w="992" w:type="dxa"/>
          </w:tcPr>
          <w:p w14:paraId="431E1938" w14:textId="77777777" w:rsidR="00410C41" w:rsidRPr="00C9343F" w:rsidRDefault="00410C41" w:rsidP="00F66D98">
            <w:pPr>
              <w:pStyle w:val="BlockText-Plain"/>
            </w:pPr>
          </w:p>
        </w:tc>
        <w:tc>
          <w:tcPr>
            <w:tcW w:w="567" w:type="dxa"/>
          </w:tcPr>
          <w:p w14:paraId="74BA57AD" w14:textId="77777777" w:rsidR="00410C41" w:rsidRPr="00C9343F" w:rsidRDefault="00410C41" w:rsidP="008D1B5D">
            <w:pPr>
              <w:pStyle w:val="BlockText-Plain"/>
              <w:jc w:val="center"/>
            </w:pPr>
            <w:r w:rsidRPr="00C9343F">
              <w:t>b.</w:t>
            </w:r>
          </w:p>
        </w:tc>
        <w:tc>
          <w:tcPr>
            <w:tcW w:w="7800" w:type="dxa"/>
            <w:gridSpan w:val="2"/>
          </w:tcPr>
          <w:p w14:paraId="2BC27BFD" w14:textId="77777777" w:rsidR="00410C41" w:rsidRPr="00C9343F" w:rsidRDefault="00410C41" w:rsidP="00F66D98">
            <w:pPr>
              <w:pStyle w:val="BlockText-Plain"/>
              <w:rPr>
                <w:rFonts w:cs="Arial"/>
                <w:color w:val="000000"/>
                <w:shd w:val="clear" w:color="auto" w:fill="FFFFFF"/>
              </w:rPr>
            </w:pPr>
            <w:r w:rsidRPr="00C9343F">
              <w:rPr>
                <w:rFonts w:cs="Arial"/>
                <w:color w:val="000000"/>
                <w:shd w:val="clear" w:color="auto" w:fill="FFFFFF"/>
              </w:rPr>
              <w:t>Item 14.</w:t>
            </w:r>
          </w:p>
        </w:tc>
      </w:tr>
    </w:tbl>
    <w:p w14:paraId="38731F6D" w14:textId="77777777" w:rsidR="00410C41" w:rsidRPr="00C9343F" w:rsidRDefault="00410C41" w:rsidP="00F66D98">
      <w:pPr>
        <w:pStyle w:val="Heading5"/>
      </w:pPr>
      <w:bookmarkStart w:id="1289" w:name="_Toc105053986"/>
      <w:r w:rsidRPr="00C9343F">
        <w:t>5.4.17    Service in a remote location</w:t>
      </w:r>
      <w:bookmarkEnd w:id="1289"/>
    </w:p>
    <w:tbl>
      <w:tblPr>
        <w:tblW w:w="9364" w:type="dxa"/>
        <w:tblInd w:w="108" w:type="dxa"/>
        <w:tblLayout w:type="fixed"/>
        <w:tblLook w:val="0000" w:firstRow="0" w:lastRow="0" w:firstColumn="0" w:lastColumn="0" w:noHBand="0" w:noVBand="0"/>
      </w:tblPr>
      <w:tblGrid>
        <w:gridCol w:w="992"/>
        <w:gridCol w:w="572"/>
        <w:gridCol w:w="132"/>
        <w:gridCol w:w="7668"/>
      </w:tblGrid>
      <w:tr w:rsidR="00410C41" w:rsidRPr="00C9343F" w14:paraId="33DD8E76" w14:textId="77777777" w:rsidTr="005E243D">
        <w:tc>
          <w:tcPr>
            <w:tcW w:w="992" w:type="dxa"/>
          </w:tcPr>
          <w:p w14:paraId="33896EFE" w14:textId="77777777" w:rsidR="00410C41" w:rsidRPr="00C9343F" w:rsidRDefault="00410C41" w:rsidP="00F66D98">
            <w:pPr>
              <w:pStyle w:val="BlockText-Plain"/>
              <w:jc w:val="center"/>
            </w:pPr>
            <w:r w:rsidRPr="00C9343F">
              <w:t>1.</w:t>
            </w:r>
          </w:p>
        </w:tc>
        <w:tc>
          <w:tcPr>
            <w:tcW w:w="8372" w:type="dxa"/>
            <w:gridSpan w:val="3"/>
          </w:tcPr>
          <w:p w14:paraId="3A73CA4F" w14:textId="77777777" w:rsidR="00410C41" w:rsidRPr="00C9343F" w:rsidRDefault="00410C41" w:rsidP="00F66D98">
            <w:pPr>
              <w:pStyle w:val="BlockText-Plain"/>
              <w:rPr>
                <w:b/>
              </w:rPr>
            </w:pPr>
            <w:r w:rsidRPr="00C9343F">
              <w:t>This section applies to a member who must perform duty in a remote location – that is, a location in Australia that is harsh or remote. Remote locations are listed in Annex 5.4.A.</w:t>
            </w:r>
          </w:p>
          <w:p w14:paraId="07250FD8" w14:textId="77777777" w:rsidR="00410C41" w:rsidRPr="00C9343F" w:rsidRDefault="00410C41" w:rsidP="00F66D98">
            <w:pPr>
              <w:pStyle w:val="BlockText-Plain"/>
              <w:spacing w:after="0"/>
            </w:pPr>
            <w:r w:rsidRPr="00C9343F">
              <w:rPr>
                <w:b/>
              </w:rPr>
              <w:t>Notes:</w:t>
            </w:r>
            <w:r w:rsidRPr="00C9343F">
              <w:t xml:space="preserve"> </w:t>
            </w:r>
          </w:p>
        </w:tc>
      </w:tr>
      <w:tr w:rsidR="00410C41" w:rsidRPr="00C9343F" w14:paraId="29B60E22" w14:textId="77777777" w:rsidTr="005E243D">
        <w:trPr>
          <w:cantSplit/>
        </w:trPr>
        <w:tc>
          <w:tcPr>
            <w:tcW w:w="992" w:type="dxa"/>
          </w:tcPr>
          <w:p w14:paraId="55AF1929" w14:textId="77777777" w:rsidR="00410C41" w:rsidRPr="00C9343F" w:rsidRDefault="00410C41" w:rsidP="00F66D98">
            <w:pPr>
              <w:pStyle w:val="BlockText-Plain"/>
            </w:pPr>
          </w:p>
        </w:tc>
        <w:tc>
          <w:tcPr>
            <w:tcW w:w="572" w:type="dxa"/>
          </w:tcPr>
          <w:p w14:paraId="396520FF" w14:textId="77777777" w:rsidR="00410C41" w:rsidRPr="00C9343F" w:rsidRDefault="00410C41" w:rsidP="008D1B5D">
            <w:pPr>
              <w:pStyle w:val="BlockText-Plain"/>
              <w:jc w:val="center"/>
            </w:pPr>
            <w:r w:rsidRPr="00C9343F">
              <w:rPr>
                <w:rFonts w:cs="Arial"/>
                <w:lang w:eastAsia="en-US"/>
              </w:rPr>
              <w:t>a.</w:t>
            </w:r>
          </w:p>
        </w:tc>
        <w:tc>
          <w:tcPr>
            <w:tcW w:w="7800" w:type="dxa"/>
            <w:gridSpan w:val="2"/>
          </w:tcPr>
          <w:p w14:paraId="77AFAE13" w14:textId="77777777" w:rsidR="00410C41" w:rsidRPr="00C9343F" w:rsidRDefault="00410C41" w:rsidP="00F66D98">
            <w:pPr>
              <w:pStyle w:val="BlockText-Plain"/>
            </w:pPr>
            <w:r w:rsidRPr="00C9343F">
              <w:rPr>
                <w:rFonts w:cs="Arial"/>
                <w:lang w:eastAsia="en-US"/>
              </w:rPr>
              <w:t>Additional recreation leave credit for service at overseas hardship location is authorised by Chapter 16 Part 3A.</w:t>
            </w:r>
          </w:p>
        </w:tc>
      </w:tr>
      <w:tr w:rsidR="00410C41" w:rsidRPr="00C9343F" w14:paraId="1758315A" w14:textId="77777777" w:rsidTr="005E243D">
        <w:trPr>
          <w:cantSplit/>
        </w:trPr>
        <w:tc>
          <w:tcPr>
            <w:tcW w:w="992" w:type="dxa"/>
          </w:tcPr>
          <w:p w14:paraId="4848F250" w14:textId="77777777" w:rsidR="00410C41" w:rsidRPr="00C9343F" w:rsidRDefault="00410C41" w:rsidP="00F66D98">
            <w:pPr>
              <w:pStyle w:val="BlockText-Plain"/>
            </w:pPr>
          </w:p>
        </w:tc>
        <w:tc>
          <w:tcPr>
            <w:tcW w:w="572" w:type="dxa"/>
          </w:tcPr>
          <w:p w14:paraId="3184B73D" w14:textId="77777777" w:rsidR="00410C41" w:rsidRPr="00C9343F" w:rsidRDefault="00410C41" w:rsidP="008D1B5D">
            <w:pPr>
              <w:pStyle w:val="BlockText-Plain"/>
              <w:jc w:val="center"/>
            </w:pPr>
            <w:r w:rsidRPr="00C9343F">
              <w:t>b.</w:t>
            </w:r>
          </w:p>
        </w:tc>
        <w:tc>
          <w:tcPr>
            <w:tcW w:w="7800" w:type="dxa"/>
            <w:gridSpan w:val="2"/>
          </w:tcPr>
          <w:p w14:paraId="4B766046" w14:textId="77777777" w:rsidR="00410C41" w:rsidRPr="00C9343F" w:rsidRDefault="00410C41" w:rsidP="00F66D98">
            <w:pPr>
              <w:pStyle w:val="BlockText-Plain"/>
            </w:pPr>
            <w:r w:rsidRPr="00C9343F">
              <w:t>Additional recreation leave credit for members on non-warlike service is authorised by Chapter 17 Part 7 Division 3.</w:t>
            </w:r>
          </w:p>
        </w:tc>
      </w:tr>
      <w:tr w:rsidR="00410C41" w:rsidRPr="00C9343F" w14:paraId="2513BAE2" w14:textId="77777777" w:rsidTr="005E243D">
        <w:trPr>
          <w:cantSplit/>
        </w:trPr>
        <w:tc>
          <w:tcPr>
            <w:tcW w:w="992" w:type="dxa"/>
          </w:tcPr>
          <w:p w14:paraId="2D6A0DF5" w14:textId="77777777" w:rsidR="00410C41" w:rsidRPr="00C9343F" w:rsidRDefault="00410C41" w:rsidP="00F66D98">
            <w:pPr>
              <w:pStyle w:val="BlockText-Plain"/>
            </w:pPr>
          </w:p>
        </w:tc>
        <w:tc>
          <w:tcPr>
            <w:tcW w:w="572" w:type="dxa"/>
          </w:tcPr>
          <w:p w14:paraId="58A635B0" w14:textId="77777777" w:rsidR="00410C41" w:rsidRPr="00C9343F" w:rsidRDefault="00410C41" w:rsidP="008D1B5D">
            <w:pPr>
              <w:pStyle w:val="BlockText-Plain"/>
              <w:jc w:val="center"/>
            </w:pPr>
            <w:r w:rsidRPr="00C9343F">
              <w:t>c.</w:t>
            </w:r>
          </w:p>
        </w:tc>
        <w:tc>
          <w:tcPr>
            <w:tcW w:w="7800" w:type="dxa"/>
            <w:gridSpan w:val="2"/>
          </w:tcPr>
          <w:p w14:paraId="7B6677ED" w14:textId="77777777" w:rsidR="00410C41" w:rsidRPr="00C9343F" w:rsidRDefault="00410C41" w:rsidP="00F66D98">
            <w:pPr>
              <w:pStyle w:val="BlockText-Plain"/>
            </w:pPr>
            <w:r w:rsidRPr="00C9343F">
              <w:t>A member with dependants (unaccompanied</w:t>
            </w:r>
            <w:r w:rsidRPr="00C9343F">
              <w:rPr>
                <w:b/>
                <w:i/>
              </w:rPr>
              <w:t>)</w:t>
            </w:r>
            <w:r w:rsidRPr="00C9343F">
              <w:t xml:space="preserve"> does not accrue additional recreation leave for dependants living in a remote location.</w:t>
            </w:r>
          </w:p>
        </w:tc>
      </w:tr>
      <w:tr w:rsidR="00410C41" w:rsidRPr="00C9343F" w14:paraId="02E4A425" w14:textId="77777777" w:rsidTr="005E243D">
        <w:tc>
          <w:tcPr>
            <w:tcW w:w="992" w:type="dxa"/>
          </w:tcPr>
          <w:p w14:paraId="00F52647" w14:textId="77777777" w:rsidR="00410C41" w:rsidRPr="00C9343F" w:rsidRDefault="00410C41" w:rsidP="00F66D98">
            <w:pPr>
              <w:pStyle w:val="BlockText-Plain"/>
              <w:jc w:val="center"/>
            </w:pPr>
            <w:r w:rsidRPr="00C9343F">
              <w:t>2.</w:t>
            </w:r>
          </w:p>
        </w:tc>
        <w:tc>
          <w:tcPr>
            <w:tcW w:w="8372" w:type="dxa"/>
            <w:gridSpan w:val="3"/>
          </w:tcPr>
          <w:p w14:paraId="57CA31C8" w14:textId="77777777" w:rsidR="00410C41" w:rsidRPr="00C9343F" w:rsidRDefault="00410C41" w:rsidP="00F66D98">
            <w:pPr>
              <w:pStyle w:val="BlockText-Plain"/>
            </w:pPr>
            <w:r w:rsidRPr="00C9343F">
              <w:t>The member is entitled to an additional recreation leave credit if they serve in one or more remote locations for a continuous period of at least 30 days.</w:t>
            </w:r>
          </w:p>
        </w:tc>
      </w:tr>
      <w:tr w:rsidR="00410C41" w:rsidRPr="00C9343F" w14:paraId="1F7D5DEE" w14:textId="77777777" w:rsidTr="005E243D">
        <w:tc>
          <w:tcPr>
            <w:tcW w:w="992" w:type="dxa"/>
          </w:tcPr>
          <w:p w14:paraId="1879E042" w14:textId="77777777" w:rsidR="00410C41" w:rsidRPr="00C9343F" w:rsidRDefault="00410C41" w:rsidP="00F66D98">
            <w:pPr>
              <w:pStyle w:val="BlockText-Plain"/>
              <w:jc w:val="center"/>
            </w:pPr>
            <w:r w:rsidRPr="00C9343F">
              <w:t>3.</w:t>
            </w:r>
          </w:p>
        </w:tc>
        <w:tc>
          <w:tcPr>
            <w:tcW w:w="8372" w:type="dxa"/>
            <w:gridSpan w:val="3"/>
          </w:tcPr>
          <w:p w14:paraId="169CFC07" w14:textId="77777777" w:rsidR="00410C41" w:rsidRPr="00C9343F" w:rsidRDefault="00410C41" w:rsidP="00F66D98">
            <w:pPr>
              <w:pStyle w:val="BlockText-Plain"/>
            </w:pPr>
            <w:r w:rsidRPr="00C9343F">
              <w:rPr>
                <w:iCs/>
              </w:rPr>
              <w:t>The fortnightly additional recreation leave credit under this section is calculated using the following formula.</w:t>
            </w:r>
          </w:p>
        </w:tc>
      </w:tr>
      <w:tr w:rsidR="00410C41" w:rsidRPr="00C9343F" w14:paraId="4F618029" w14:textId="77777777" w:rsidTr="005E243D">
        <w:trPr>
          <w:trHeight w:val="340"/>
        </w:trPr>
        <w:tc>
          <w:tcPr>
            <w:tcW w:w="992" w:type="dxa"/>
          </w:tcPr>
          <w:p w14:paraId="27892E95" w14:textId="77777777" w:rsidR="00410C41" w:rsidRPr="00C9343F" w:rsidRDefault="00410C41" w:rsidP="00F66D98">
            <w:pPr>
              <w:pStyle w:val="BlockText-Plain"/>
              <w:jc w:val="center"/>
            </w:pPr>
          </w:p>
        </w:tc>
        <w:tc>
          <w:tcPr>
            <w:tcW w:w="8372" w:type="dxa"/>
            <w:gridSpan w:val="3"/>
            <w:vAlign w:val="center"/>
          </w:tcPr>
          <w:p w14:paraId="54CCC9AB" w14:textId="77777777" w:rsidR="00410C41" w:rsidRPr="00C9343F" w:rsidRDefault="00410C41" w:rsidP="00F66D98">
            <w:pPr>
              <w:pStyle w:val="BlockText-Plain"/>
              <w:spacing w:before="120"/>
              <w:jc w:val="center"/>
              <w:rPr>
                <w:b/>
                <w:i/>
                <w:iCs/>
              </w:rPr>
            </w:pPr>
            <m:oMathPara>
              <m:oMath>
                <m:r>
                  <m:rPr>
                    <m:sty m:val="bi"/>
                  </m:rPr>
                  <w:rPr>
                    <w:rFonts w:ascii="Cambria Math" w:hAnsi="Cambria Math"/>
                  </w:rPr>
                  <m:t>fortnightly additional leave credit=</m:t>
                </m:r>
                <m:f>
                  <m:fPr>
                    <m:ctrlPr>
                      <w:rPr>
                        <w:rFonts w:ascii="Cambria Math" w:hAnsi="Cambria Math"/>
                        <w:b/>
                        <w:i/>
                        <w:iCs/>
                      </w:rPr>
                    </m:ctrlPr>
                  </m:fPr>
                  <m:num>
                    <m:r>
                      <m:rPr>
                        <m:sty m:val="bi"/>
                      </m:rPr>
                      <w:rPr>
                        <w:rFonts w:ascii="Cambria Math" w:hAnsi="Cambria Math"/>
                      </w:rPr>
                      <m:t>max</m:t>
                    </m:r>
                  </m:num>
                  <m:den>
                    <m:r>
                      <m:rPr>
                        <m:sty m:val="bi"/>
                      </m:rPr>
                      <w:rPr>
                        <w:rFonts w:ascii="Cambria Math" w:hAnsi="Cambria Math"/>
                      </w:rPr>
                      <m:t>365</m:t>
                    </m:r>
                  </m:den>
                </m:f>
                <m:r>
                  <m:rPr>
                    <m:sty m:val="bi"/>
                  </m:rPr>
                  <w:rPr>
                    <w:rFonts w:ascii="Cambria Math" w:hAnsi="Cambria Math"/>
                  </w:rPr>
                  <m:t xml:space="preserve">× </m:t>
                </m:r>
                <m:d>
                  <m:dPr>
                    <m:ctrlPr>
                      <w:rPr>
                        <w:rFonts w:ascii="Cambria Math" w:hAnsi="Cambria Math"/>
                        <w:b/>
                        <w:i/>
                        <w:iCs/>
                      </w:rPr>
                    </m:ctrlPr>
                  </m:dPr>
                  <m:e>
                    <m:r>
                      <m:rPr>
                        <m:sty m:val="bi"/>
                      </m:rPr>
                      <w:rPr>
                        <w:rFonts w:ascii="Cambria Math" w:hAnsi="Cambria Math"/>
                      </w:rPr>
                      <m:t>RL-NEF</m:t>
                    </m:r>
                  </m:e>
                </m:d>
              </m:oMath>
            </m:oMathPara>
          </w:p>
        </w:tc>
      </w:tr>
      <w:tr w:rsidR="00410C41" w:rsidRPr="00C9343F" w14:paraId="6FCBE9A6" w14:textId="77777777" w:rsidTr="005E243D">
        <w:trPr>
          <w:trHeight w:val="340"/>
        </w:trPr>
        <w:tc>
          <w:tcPr>
            <w:tcW w:w="992" w:type="dxa"/>
          </w:tcPr>
          <w:p w14:paraId="6A7E72F8" w14:textId="77777777" w:rsidR="00410C41" w:rsidRPr="00C9343F" w:rsidRDefault="00410C41" w:rsidP="00F66D98">
            <w:pPr>
              <w:pStyle w:val="BlockText-Plain"/>
              <w:jc w:val="center"/>
            </w:pPr>
          </w:p>
        </w:tc>
        <w:tc>
          <w:tcPr>
            <w:tcW w:w="8372" w:type="dxa"/>
            <w:gridSpan w:val="3"/>
          </w:tcPr>
          <w:p w14:paraId="100D7847" w14:textId="77777777" w:rsidR="00410C41" w:rsidRPr="00C9343F" w:rsidRDefault="00410C41" w:rsidP="00F66D98">
            <w:pPr>
              <w:pStyle w:val="BlockText-Plain"/>
              <w:rPr>
                <w:iCs/>
              </w:rPr>
            </w:pPr>
            <w:r w:rsidRPr="00C9343F">
              <w:rPr>
                <w:iCs/>
              </w:rPr>
              <w:t>Where:</w:t>
            </w:r>
          </w:p>
        </w:tc>
      </w:tr>
      <w:tr w:rsidR="00410C41" w:rsidRPr="00C9343F" w14:paraId="73619A1D" w14:textId="77777777" w:rsidTr="005E243D">
        <w:trPr>
          <w:trHeight w:val="340"/>
        </w:trPr>
        <w:tc>
          <w:tcPr>
            <w:tcW w:w="992" w:type="dxa"/>
          </w:tcPr>
          <w:p w14:paraId="7CCF656F" w14:textId="77777777" w:rsidR="00410C41" w:rsidRPr="00C9343F" w:rsidRDefault="00410C41" w:rsidP="00F66D98">
            <w:pPr>
              <w:pStyle w:val="BlockText-Plain"/>
              <w:jc w:val="center"/>
            </w:pPr>
          </w:p>
        </w:tc>
        <w:tc>
          <w:tcPr>
            <w:tcW w:w="704" w:type="dxa"/>
            <w:gridSpan w:val="2"/>
          </w:tcPr>
          <w:p w14:paraId="3B735553" w14:textId="77777777" w:rsidR="00410C41" w:rsidRPr="00C9343F" w:rsidRDefault="00410C41" w:rsidP="00F66D98">
            <w:pPr>
              <w:pStyle w:val="BlockText-Plain"/>
              <w:jc w:val="center"/>
              <w:rPr>
                <w:b/>
                <w:iCs/>
              </w:rPr>
            </w:pPr>
            <w:r w:rsidRPr="00C9343F">
              <w:rPr>
                <w:b/>
                <w:iCs/>
              </w:rPr>
              <w:t>max</w:t>
            </w:r>
          </w:p>
        </w:tc>
        <w:tc>
          <w:tcPr>
            <w:tcW w:w="7668" w:type="dxa"/>
          </w:tcPr>
          <w:p w14:paraId="529D30AF" w14:textId="77777777" w:rsidR="00410C41" w:rsidRPr="00C9343F" w:rsidRDefault="00410C41" w:rsidP="00F66D98">
            <w:pPr>
              <w:pStyle w:val="BlockText-Plain"/>
              <w:rPr>
                <w:iCs/>
              </w:rPr>
            </w:pPr>
            <w:r w:rsidRPr="00C9343F">
              <w:rPr>
                <w:iCs/>
              </w:rPr>
              <w:t>is the maximum benefit set out in Annex 5.4.A for the remote location.</w:t>
            </w:r>
          </w:p>
        </w:tc>
      </w:tr>
      <w:tr w:rsidR="00410C41" w:rsidRPr="00C9343F" w14:paraId="67B5A7EF" w14:textId="77777777" w:rsidTr="005E243D">
        <w:trPr>
          <w:trHeight w:val="340"/>
        </w:trPr>
        <w:tc>
          <w:tcPr>
            <w:tcW w:w="992" w:type="dxa"/>
          </w:tcPr>
          <w:p w14:paraId="026243FF" w14:textId="77777777" w:rsidR="00410C41" w:rsidRPr="00C9343F" w:rsidRDefault="00410C41" w:rsidP="00F66D98">
            <w:pPr>
              <w:pStyle w:val="BlockText-Plain"/>
              <w:jc w:val="center"/>
            </w:pPr>
          </w:p>
        </w:tc>
        <w:tc>
          <w:tcPr>
            <w:tcW w:w="704" w:type="dxa"/>
            <w:gridSpan w:val="2"/>
          </w:tcPr>
          <w:p w14:paraId="0ED7520D" w14:textId="77777777" w:rsidR="00410C41" w:rsidRPr="00C9343F" w:rsidRDefault="00410C41" w:rsidP="00F66D98">
            <w:pPr>
              <w:pStyle w:val="BlockText-Plain"/>
              <w:jc w:val="center"/>
              <w:rPr>
                <w:b/>
                <w:iCs/>
              </w:rPr>
            </w:pPr>
            <w:r w:rsidRPr="00C9343F">
              <w:rPr>
                <w:b/>
                <w:iCs/>
              </w:rPr>
              <w:t>RL</w:t>
            </w:r>
          </w:p>
        </w:tc>
        <w:tc>
          <w:tcPr>
            <w:tcW w:w="7668" w:type="dxa"/>
          </w:tcPr>
          <w:p w14:paraId="757369FB" w14:textId="77777777" w:rsidR="00410C41" w:rsidRPr="00C9343F" w:rsidRDefault="00410C41" w:rsidP="00F66D98">
            <w:pPr>
              <w:pStyle w:val="BlockText-Plain"/>
              <w:rPr>
                <w:iCs/>
              </w:rPr>
            </w:pPr>
            <w:r w:rsidRPr="00C9343F">
              <w:rPr>
                <w:iCs/>
              </w:rPr>
              <w:t>is the number of days in the remote location.</w:t>
            </w:r>
          </w:p>
        </w:tc>
      </w:tr>
      <w:tr w:rsidR="00410C41" w:rsidRPr="00C9343F" w14:paraId="159D7DAD" w14:textId="77777777" w:rsidTr="005E243D">
        <w:trPr>
          <w:trHeight w:val="340"/>
        </w:trPr>
        <w:tc>
          <w:tcPr>
            <w:tcW w:w="992" w:type="dxa"/>
          </w:tcPr>
          <w:p w14:paraId="3EF86F70" w14:textId="77777777" w:rsidR="00410C41" w:rsidRPr="00C9343F" w:rsidRDefault="00410C41" w:rsidP="00F66D98">
            <w:pPr>
              <w:pStyle w:val="BlockText-Plain"/>
              <w:jc w:val="center"/>
            </w:pPr>
          </w:p>
        </w:tc>
        <w:tc>
          <w:tcPr>
            <w:tcW w:w="704" w:type="dxa"/>
            <w:gridSpan w:val="2"/>
          </w:tcPr>
          <w:p w14:paraId="5BD7FFF1" w14:textId="77777777" w:rsidR="00410C41" w:rsidRPr="00C9343F" w:rsidRDefault="00410C41" w:rsidP="00F66D98">
            <w:pPr>
              <w:pStyle w:val="BlockText-Plain"/>
              <w:jc w:val="center"/>
              <w:rPr>
                <w:b/>
                <w:iCs/>
              </w:rPr>
            </w:pPr>
            <w:r w:rsidRPr="00C9343F">
              <w:rPr>
                <w:b/>
                <w:iCs/>
              </w:rPr>
              <w:t>NEF</w:t>
            </w:r>
          </w:p>
        </w:tc>
        <w:tc>
          <w:tcPr>
            <w:tcW w:w="7668" w:type="dxa"/>
          </w:tcPr>
          <w:p w14:paraId="08829BBE" w14:textId="77777777" w:rsidR="00410C41" w:rsidRPr="00C9343F" w:rsidRDefault="00410C41" w:rsidP="00F66D98">
            <w:pPr>
              <w:pStyle w:val="BlockText-Plain"/>
              <w:rPr>
                <w:iCs/>
              </w:rPr>
            </w:pPr>
            <w:r w:rsidRPr="00C9343F">
              <w:rPr>
                <w:iCs/>
              </w:rPr>
              <w:t>is number of days of non-effective service</w:t>
            </w:r>
            <w:r w:rsidRPr="00C9343F">
              <w:rPr>
                <w:b/>
                <w:i/>
                <w:iCs/>
              </w:rPr>
              <w:t xml:space="preserve"> </w:t>
            </w:r>
            <w:r w:rsidRPr="00C9343F">
              <w:rPr>
                <w:iCs/>
              </w:rPr>
              <w:t>days in the remote location.</w:t>
            </w:r>
          </w:p>
        </w:tc>
      </w:tr>
      <w:tr w:rsidR="00410C41" w:rsidRPr="00C9343F" w14:paraId="74E1BAFA" w14:textId="77777777" w:rsidTr="005E243D">
        <w:tc>
          <w:tcPr>
            <w:tcW w:w="992" w:type="dxa"/>
          </w:tcPr>
          <w:p w14:paraId="55EB0B6C" w14:textId="77777777" w:rsidR="00410C41" w:rsidRPr="00C9343F" w:rsidRDefault="00410C41" w:rsidP="00F66D98">
            <w:pPr>
              <w:pStyle w:val="BlockText-Plain"/>
              <w:jc w:val="center"/>
            </w:pPr>
            <w:r w:rsidRPr="00C9343F">
              <w:t>4.</w:t>
            </w:r>
          </w:p>
        </w:tc>
        <w:tc>
          <w:tcPr>
            <w:tcW w:w="8372" w:type="dxa"/>
            <w:gridSpan w:val="3"/>
          </w:tcPr>
          <w:p w14:paraId="35220334" w14:textId="77777777" w:rsidR="00410C41" w:rsidRPr="00C9343F" w:rsidRDefault="00410C41" w:rsidP="00F66D98">
            <w:pPr>
              <w:pStyle w:val="BlockText-Plain"/>
            </w:pPr>
            <w:r w:rsidRPr="00C9343F">
              <w:t>A member's entitlement to accrue an additional recreation leave credit for service in a remote location ends when either of these events happens.</w:t>
            </w:r>
          </w:p>
        </w:tc>
      </w:tr>
      <w:tr w:rsidR="00410C41" w:rsidRPr="00C9343F" w14:paraId="79BE65AC" w14:textId="77777777" w:rsidTr="005E243D">
        <w:trPr>
          <w:cantSplit/>
        </w:trPr>
        <w:tc>
          <w:tcPr>
            <w:tcW w:w="992" w:type="dxa"/>
          </w:tcPr>
          <w:p w14:paraId="12CF07E7" w14:textId="77777777" w:rsidR="00410C41" w:rsidRPr="00C9343F" w:rsidRDefault="00410C41" w:rsidP="00F66D98">
            <w:pPr>
              <w:pStyle w:val="BlockText-Plain"/>
            </w:pPr>
          </w:p>
        </w:tc>
        <w:tc>
          <w:tcPr>
            <w:tcW w:w="572" w:type="dxa"/>
          </w:tcPr>
          <w:p w14:paraId="2B6EDECB" w14:textId="77777777" w:rsidR="00410C41" w:rsidRPr="00C9343F" w:rsidRDefault="00410C41" w:rsidP="008D1B5D">
            <w:pPr>
              <w:pStyle w:val="BlockText-Plain"/>
              <w:jc w:val="center"/>
            </w:pPr>
            <w:r w:rsidRPr="00C9343F">
              <w:t>a.</w:t>
            </w:r>
          </w:p>
        </w:tc>
        <w:tc>
          <w:tcPr>
            <w:tcW w:w="7800" w:type="dxa"/>
            <w:gridSpan w:val="2"/>
          </w:tcPr>
          <w:p w14:paraId="5765DC39" w14:textId="77777777" w:rsidR="00410C41" w:rsidRPr="00C9343F" w:rsidRDefault="00410C41" w:rsidP="00F66D98">
            <w:pPr>
              <w:pStyle w:val="BlockText-Plain"/>
            </w:pPr>
            <w:r w:rsidRPr="00C9343F">
              <w:t>The member is absent from the location for a period of more than 30 days.</w:t>
            </w:r>
          </w:p>
        </w:tc>
      </w:tr>
      <w:tr w:rsidR="00410C41" w:rsidRPr="00C9343F" w14:paraId="5BC9A30D" w14:textId="77777777" w:rsidTr="005E243D">
        <w:trPr>
          <w:cantSplit/>
        </w:trPr>
        <w:tc>
          <w:tcPr>
            <w:tcW w:w="992" w:type="dxa"/>
          </w:tcPr>
          <w:p w14:paraId="184F7810" w14:textId="77777777" w:rsidR="00410C41" w:rsidRPr="00C9343F" w:rsidRDefault="00410C41" w:rsidP="00F66D98">
            <w:pPr>
              <w:pStyle w:val="BlockText-Plain"/>
            </w:pPr>
          </w:p>
        </w:tc>
        <w:tc>
          <w:tcPr>
            <w:tcW w:w="572" w:type="dxa"/>
          </w:tcPr>
          <w:p w14:paraId="3BBDCBF7" w14:textId="77777777" w:rsidR="00410C41" w:rsidRPr="00C9343F" w:rsidRDefault="00410C41" w:rsidP="008D1B5D">
            <w:pPr>
              <w:pStyle w:val="BlockText-Plain"/>
              <w:jc w:val="center"/>
            </w:pPr>
            <w:r w:rsidRPr="00C9343F">
              <w:t>b.</w:t>
            </w:r>
          </w:p>
        </w:tc>
        <w:tc>
          <w:tcPr>
            <w:tcW w:w="7800" w:type="dxa"/>
            <w:gridSpan w:val="2"/>
          </w:tcPr>
          <w:p w14:paraId="7B468783" w14:textId="77777777" w:rsidR="00410C41" w:rsidRPr="00C9343F" w:rsidRDefault="00410C41" w:rsidP="00F66D98">
            <w:pPr>
              <w:pStyle w:val="BlockText-Plain"/>
            </w:pPr>
            <w:r w:rsidRPr="00C9343F">
              <w:t>The member goes on a posting to another location.</w:t>
            </w:r>
          </w:p>
        </w:tc>
      </w:tr>
    </w:tbl>
    <w:p w14:paraId="61810A4E" w14:textId="77777777" w:rsidR="00410C41" w:rsidRPr="00C9343F" w:rsidRDefault="00410C41" w:rsidP="00F66D98"/>
    <w:p w14:paraId="2E753159" w14:textId="77777777" w:rsidR="00410C41" w:rsidRPr="00C9343F" w:rsidRDefault="00410C41" w:rsidP="00F66D98">
      <w:pPr>
        <w:pStyle w:val="Heading4"/>
        <w:pageBreakBefore/>
      </w:pPr>
      <w:bookmarkStart w:id="1290" w:name="_Toc105053987"/>
      <w:r w:rsidRPr="00C9343F">
        <w:t>Division 4: Extra recreation leave</w:t>
      </w:r>
      <w:bookmarkEnd w:id="1290"/>
    </w:p>
    <w:p w14:paraId="60F2E318" w14:textId="77777777" w:rsidR="00410C41" w:rsidRPr="00C9343F" w:rsidRDefault="00410C41" w:rsidP="00F66D98">
      <w:pPr>
        <w:pStyle w:val="Heading5"/>
      </w:pPr>
      <w:bookmarkStart w:id="1291" w:name="_Toc105053988"/>
      <w:r w:rsidRPr="00C9343F">
        <w:t>5.4.18    Purpose</w:t>
      </w:r>
      <w:bookmarkEnd w:id="1291"/>
    </w:p>
    <w:tbl>
      <w:tblPr>
        <w:tblW w:w="0" w:type="auto"/>
        <w:tblInd w:w="113" w:type="dxa"/>
        <w:tblLayout w:type="fixed"/>
        <w:tblLook w:val="0000" w:firstRow="0" w:lastRow="0" w:firstColumn="0" w:lastColumn="0" w:noHBand="0" w:noVBand="0"/>
      </w:tblPr>
      <w:tblGrid>
        <w:gridCol w:w="992"/>
        <w:gridCol w:w="8363"/>
      </w:tblGrid>
      <w:tr w:rsidR="00410C41" w:rsidRPr="00C9343F" w14:paraId="503D86E5" w14:textId="77777777" w:rsidTr="005E243D">
        <w:tc>
          <w:tcPr>
            <w:tcW w:w="992" w:type="dxa"/>
          </w:tcPr>
          <w:p w14:paraId="60FEFFA9" w14:textId="77777777" w:rsidR="00410C41" w:rsidRPr="00C9343F" w:rsidRDefault="00410C41" w:rsidP="00F66D98">
            <w:pPr>
              <w:pStyle w:val="BlockText-Plain"/>
              <w:jc w:val="center"/>
            </w:pPr>
          </w:p>
        </w:tc>
        <w:tc>
          <w:tcPr>
            <w:tcW w:w="8363" w:type="dxa"/>
          </w:tcPr>
          <w:p w14:paraId="31A2DE79" w14:textId="77777777" w:rsidR="00410C41" w:rsidRPr="00C9343F" w:rsidRDefault="00410C41" w:rsidP="00F66D98">
            <w:pPr>
              <w:pStyle w:val="BlockText-Plain"/>
            </w:pPr>
            <w:r w:rsidRPr="00C9343F">
              <w:t>Extra leave gives a member time for rest after they perform arduous or prolonged duty for which no other leave has been granted.</w:t>
            </w:r>
          </w:p>
        </w:tc>
      </w:tr>
    </w:tbl>
    <w:p w14:paraId="636CEF35" w14:textId="77777777" w:rsidR="00410C41" w:rsidRPr="00C9343F" w:rsidRDefault="00410C41" w:rsidP="00F66D98">
      <w:pPr>
        <w:pStyle w:val="Heading5"/>
      </w:pPr>
      <w:bookmarkStart w:id="1292" w:name="_Toc105053989"/>
      <w:r w:rsidRPr="00C9343F">
        <w:t>5.4.19    Member this Division does not apply to</w:t>
      </w:r>
      <w:bookmarkEnd w:id="1292"/>
    </w:p>
    <w:tbl>
      <w:tblPr>
        <w:tblW w:w="0" w:type="auto"/>
        <w:tblInd w:w="113" w:type="dxa"/>
        <w:tblLayout w:type="fixed"/>
        <w:tblLook w:val="0000" w:firstRow="0" w:lastRow="0" w:firstColumn="0" w:lastColumn="0" w:noHBand="0" w:noVBand="0"/>
      </w:tblPr>
      <w:tblGrid>
        <w:gridCol w:w="992"/>
        <w:gridCol w:w="8363"/>
      </w:tblGrid>
      <w:tr w:rsidR="00410C41" w:rsidRPr="00C9343F" w14:paraId="62B074C6" w14:textId="77777777" w:rsidTr="005E243D">
        <w:tc>
          <w:tcPr>
            <w:tcW w:w="992" w:type="dxa"/>
          </w:tcPr>
          <w:p w14:paraId="6521B34C" w14:textId="77777777" w:rsidR="00410C41" w:rsidRPr="00C9343F" w:rsidRDefault="00410C41" w:rsidP="00F66D98">
            <w:pPr>
              <w:pStyle w:val="BlockText-Plain"/>
              <w:jc w:val="center"/>
            </w:pPr>
          </w:p>
        </w:tc>
        <w:tc>
          <w:tcPr>
            <w:tcW w:w="8363" w:type="dxa"/>
          </w:tcPr>
          <w:p w14:paraId="58E84BCA" w14:textId="77777777" w:rsidR="00410C41" w:rsidRPr="00C9343F" w:rsidRDefault="00410C41" w:rsidP="00F66D98">
            <w:pPr>
              <w:pStyle w:val="BlockText-Plain"/>
            </w:pPr>
            <w:r w:rsidRPr="00C9343F">
              <w:t>This Division does not apply to a member for service on a warlike or non-warlike deployment.</w:t>
            </w:r>
          </w:p>
        </w:tc>
      </w:tr>
    </w:tbl>
    <w:p w14:paraId="267CBB74" w14:textId="77777777" w:rsidR="00410C41" w:rsidRPr="00C9343F" w:rsidRDefault="00410C41" w:rsidP="00F66D98">
      <w:pPr>
        <w:pStyle w:val="Heading5"/>
      </w:pPr>
      <w:bookmarkStart w:id="1293" w:name="_Toc105053990"/>
      <w:r w:rsidRPr="00C9343F">
        <w:t>5.4.20    Eligibility</w:t>
      </w:r>
      <w:bookmarkEnd w:id="1293"/>
    </w:p>
    <w:tbl>
      <w:tblPr>
        <w:tblW w:w="9359" w:type="dxa"/>
        <w:tblInd w:w="113" w:type="dxa"/>
        <w:tblLayout w:type="fixed"/>
        <w:tblLook w:val="0000" w:firstRow="0" w:lastRow="0" w:firstColumn="0" w:lastColumn="0" w:noHBand="0" w:noVBand="0"/>
      </w:tblPr>
      <w:tblGrid>
        <w:gridCol w:w="992"/>
        <w:gridCol w:w="567"/>
        <w:gridCol w:w="567"/>
        <w:gridCol w:w="7233"/>
      </w:tblGrid>
      <w:tr w:rsidR="00410C41" w:rsidRPr="00C9343F" w14:paraId="2EF7644D" w14:textId="77777777" w:rsidTr="005E243D">
        <w:tc>
          <w:tcPr>
            <w:tcW w:w="992" w:type="dxa"/>
          </w:tcPr>
          <w:p w14:paraId="1A301DB8" w14:textId="77777777" w:rsidR="00410C41" w:rsidRPr="00C9343F" w:rsidRDefault="00410C41" w:rsidP="00F66D98">
            <w:pPr>
              <w:pStyle w:val="BlockText-Plain"/>
              <w:jc w:val="center"/>
            </w:pPr>
            <w:r w:rsidRPr="00C9343F">
              <w:t>1.</w:t>
            </w:r>
          </w:p>
        </w:tc>
        <w:tc>
          <w:tcPr>
            <w:tcW w:w="8367" w:type="dxa"/>
            <w:gridSpan w:val="3"/>
          </w:tcPr>
          <w:p w14:paraId="42F0E7BF" w14:textId="77777777" w:rsidR="00410C41" w:rsidRPr="00C9343F" w:rsidRDefault="00410C41" w:rsidP="00F66D98">
            <w:pPr>
              <w:pStyle w:val="BlockText-Plain"/>
            </w:pPr>
            <w:r w:rsidRPr="00C9343F">
              <w:t>The CDF may credit a member up to five days of extra recreation leave for service in a financial year. The CDF must be satisfied that they meet all the following criteria.</w:t>
            </w:r>
          </w:p>
        </w:tc>
      </w:tr>
      <w:tr w:rsidR="00410C41" w:rsidRPr="00C9343F" w14:paraId="1C814F6C" w14:textId="77777777" w:rsidTr="005E243D">
        <w:trPr>
          <w:cantSplit/>
        </w:trPr>
        <w:tc>
          <w:tcPr>
            <w:tcW w:w="992" w:type="dxa"/>
          </w:tcPr>
          <w:p w14:paraId="63CFB69C" w14:textId="77777777" w:rsidR="00410C41" w:rsidRPr="00C9343F" w:rsidRDefault="00410C41" w:rsidP="00F66D98">
            <w:pPr>
              <w:pStyle w:val="BlockText-Plain"/>
            </w:pPr>
          </w:p>
        </w:tc>
        <w:tc>
          <w:tcPr>
            <w:tcW w:w="567" w:type="dxa"/>
          </w:tcPr>
          <w:p w14:paraId="329D7A4E" w14:textId="77777777" w:rsidR="00410C41" w:rsidRPr="00C9343F" w:rsidRDefault="00410C41" w:rsidP="008D1B5D">
            <w:pPr>
              <w:pStyle w:val="BlockText-Plain"/>
              <w:jc w:val="center"/>
            </w:pPr>
            <w:r w:rsidRPr="00C9343F">
              <w:t>a.</w:t>
            </w:r>
          </w:p>
        </w:tc>
        <w:tc>
          <w:tcPr>
            <w:tcW w:w="7800" w:type="dxa"/>
            <w:gridSpan w:val="2"/>
          </w:tcPr>
          <w:p w14:paraId="5E69D0EF" w14:textId="77777777" w:rsidR="00410C41" w:rsidRPr="00C9343F" w:rsidRDefault="00410C41" w:rsidP="00F66D98">
            <w:pPr>
              <w:pStyle w:val="BlockText-Plain"/>
            </w:pPr>
            <w:r w:rsidRPr="00C9343F">
              <w:t>They performed duty outside their normal hours of duty.</w:t>
            </w:r>
          </w:p>
        </w:tc>
      </w:tr>
      <w:tr w:rsidR="00410C41" w:rsidRPr="00C9343F" w14:paraId="2AB8A2B3" w14:textId="77777777" w:rsidTr="005E243D">
        <w:trPr>
          <w:cantSplit/>
        </w:trPr>
        <w:tc>
          <w:tcPr>
            <w:tcW w:w="992" w:type="dxa"/>
          </w:tcPr>
          <w:p w14:paraId="27D0999C" w14:textId="77777777" w:rsidR="00410C41" w:rsidRPr="00C9343F" w:rsidRDefault="00410C41" w:rsidP="00F66D98">
            <w:pPr>
              <w:pStyle w:val="BlockText-Plain"/>
            </w:pPr>
          </w:p>
        </w:tc>
        <w:tc>
          <w:tcPr>
            <w:tcW w:w="567" w:type="dxa"/>
          </w:tcPr>
          <w:p w14:paraId="08A1B211" w14:textId="77777777" w:rsidR="00410C41" w:rsidRPr="00C9343F" w:rsidRDefault="00410C41" w:rsidP="008D1B5D">
            <w:pPr>
              <w:pStyle w:val="BlockText-Plain"/>
              <w:jc w:val="center"/>
            </w:pPr>
            <w:r w:rsidRPr="00C9343F">
              <w:t>b.</w:t>
            </w:r>
          </w:p>
        </w:tc>
        <w:tc>
          <w:tcPr>
            <w:tcW w:w="7800" w:type="dxa"/>
            <w:gridSpan w:val="2"/>
          </w:tcPr>
          <w:p w14:paraId="3E38F916" w14:textId="77777777" w:rsidR="00410C41" w:rsidRPr="00C9343F" w:rsidRDefault="00410C41" w:rsidP="00F66D98">
            <w:pPr>
              <w:pStyle w:val="BlockText-Plain"/>
            </w:pPr>
            <w:r w:rsidRPr="00C9343F">
              <w:t>They were not given additional pay or time off duty to compensate for the additional duty. Time off duty includes short absence.</w:t>
            </w:r>
          </w:p>
        </w:tc>
      </w:tr>
      <w:tr w:rsidR="00410C41" w:rsidRPr="00C9343F" w14:paraId="3C6EBF56" w14:textId="77777777" w:rsidTr="005E243D">
        <w:trPr>
          <w:cantSplit/>
        </w:trPr>
        <w:tc>
          <w:tcPr>
            <w:tcW w:w="992" w:type="dxa"/>
          </w:tcPr>
          <w:p w14:paraId="0846817A" w14:textId="77777777" w:rsidR="00410C41" w:rsidRPr="00C9343F" w:rsidRDefault="00410C41" w:rsidP="00F66D98">
            <w:pPr>
              <w:pStyle w:val="BlockText-Plain"/>
            </w:pPr>
          </w:p>
        </w:tc>
        <w:tc>
          <w:tcPr>
            <w:tcW w:w="567" w:type="dxa"/>
          </w:tcPr>
          <w:p w14:paraId="13E1CDA2" w14:textId="77777777" w:rsidR="00410C41" w:rsidRPr="00C9343F" w:rsidRDefault="00410C41" w:rsidP="008D1B5D">
            <w:pPr>
              <w:pStyle w:val="BlockText-Plain"/>
              <w:jc w:val="center"/>
            </w:pPr>
            <w:r w:rsidRPr="00C9343F">
              <w:t>c.</w:t>
            </w:r>
          </w:p>
        </w:tc>
        <w:tc>
          <w:tcPr>
            <w:tcW w:w="7800" w:type="dxa"/>
            <w:gridSpan w:val="2"/>
          </w:tcPr>
          <w:p w14:paraId="589A8F0D" w14:textId="77777777" w:rsidR="00410C41" w:rsidRPr="00C9343F" w:rsidRDefault="00410C41" w:rsidP="00F66D98">
            <w:pPr>
              <w:pStyle w:val="BlockText-Plain"/>
            </w:pPr>
            <w:r w:rsidRPr="00C9343F">
              <w:t>The CDF must also be satisfied that the additional duty meets either of these criteria.</w:t>
            </w:r>
          </w:p>
        </w:tc>
      </w:tr>
      <w:tr w:rsidR="00410C41" w:rsidRPr="00C9343F" w14:paraId="2BF4DCF9" w14:textId="77777777" w:rsidTr="005E243D">
        <w:trPr>
          <w:cantSplit/>
        </w:trPr>
        <w:tc>
          <w:tcPr>
            <w:tcW w:w="1559" w:type="dxa"/>
            <w:gridSpan w:val="2"/>
          </w:tcPr>
          <w:p w14:paraId="7FAF295E" w14:textId="77777777" w:rsidR="00410C41" w:rsidRPr="00C9343F" w:rsidRDefault="00410C41" w:rsidP="00F66D98">
            <w:pPr>
              <w:pStyle w:val="BlockText-Plain"/>
            </w:pPr>
          </w:p>
        </w:tc>
        <w:tc>
          <w:tcPr>
            <w:tcW w:w="567" w:type="dxa"/>
          </w:tcPr>
          <w:p w14:paraId="7DD30743" w14:textId="77777777" w:rsidR="00410C41" w:rsidRPr="00C9343F" w:rsidRDefault="00410C41" w:rsidP="00F66D98">
            <w:pPr>
              <w:pStyle w:val="BlockText-Plain"/>
            </w:pPr>
            <w:r w:rsidRPr="00C9343F">
              <w:t>i.</w:t>
            </w:r>
          </w:p>
        </w:tc>
        <w:tc>
          <w:tcPr>
            <w:tcW w:w="7233" w:type="dxa"/>
          </w:tcPr>
          <w:p w14:paraId="23CA88F5" w14:textId="77777777" w:rsidR="00410C41" w:rsidRPr="00C9343F" w:rsidRDefault="00410C41" w:rsidP="00F66D98">
            <w:pPr>
              <w:pStyle w:val="BlockText-Plain"/>
            </w:pPr>
            <w:r w:rsidRPr="00C9343F">
              <w:t>It was more difficult than the member's normal duty.</w:t>
            </w:r>
          </w:p>
        </w:tc>
      </w:tr>
      <w:tr w:rsidR="00410C41" w:rsidRPr="00C9343F" w14:paraId="38BC49A6" w14:textId="77777777" w:rsidTr="005E243D">
        <w:trPr>
          <w:cantSplit/>
        </w:trPr>
        <w:tc>
          <w:tcPr>
            <w:tcW w:w="1559" w:type="dxa"/>
            <w:gridSpan w:val="2"/>
          </w:tcPr>
          <w:p w14:paraId="6BCDF83F" w14:textId="77777777" w:rsidR="00410C41" w:rsidRPr="00C9343F" w:rsidRDefault="00410C41" w:rsidP="00F66D98">
            <w:pPr>
              <w:pStyle w:val="BlockText-Plain"/>
            </w:pPr>
          </w:p>
        </w:tc>
        <w:tc>
          <w:tcPr>
            <w:tcW w:w="567" w:type="dxa"/>
          </w:tcPr>
          <w:p w14:paraId="57B98724" w14:textId="77777777" w:rsidR="00410C41" w:rsidRPr="00C9343F" w:rsidRDefault="00410C41" w:rsidP="00F66D98">
            <w:pPr>
              <w:pStyle w:val="BlockText-Plain"/>
            </w:pPr>
            <w:r w:rsidRPr="00C9343F">
              <w:t>ii.</w:t>
            </w:r>
          </w:p>
        </w:tc>
        <w:tc>
          <w:tcPr>
            <w:tcW w:w="7233" w:type="dxa"/>
          </w:tcPr>
          <w:p w14:paraId="03824C78" w14:textId="77777777" w:rsidR="00410C41" w:rsidRPr="00C9343F" w:rsidRDefault="00410C41" w:rsidP="00F66D98">
            <w:pPr>
              <w:pStyle w:val="BlockText-Plain"/>
            </w:pPr>
            <w:r w:rsidRPr="00C9343F">
              <w:t>It could not have been performed in the member’s normal hours of duty.</w:t>
            </w:r>
          </w:p>
        </w:tc>
      </w:tr>
      <w:tr w:rsidR="00410C41" w:rsidRPr="00C9343F" w14:paraId="05ACCF1A" w14:textId="77777777" w:rsidTr="005E243D">
        <w:tc>
          <w:tcPr>
            <w:tcW w:w="992" w:type="dxa"/>
          </w:tcPr>
          <w:p w14:paraId="2A6225AB" w14:textId="77777777" w:rsidR="00410C41" w:rsidRPr="00C9343F" w:rsidRDefault="00410C41" w:rsidP="00F66D98">
            <w:pPr>
              <w:pStyle w:val="BlockText-Plain"/>
              <w:jc w:val="center"/>
            </w:pPr>
            <w:r w:rsidRPr="00C9343F">
              <w:t>2.</w:t>
            </w:r>
          </w:p>
        </w:tc>
        <w:tc>
          <w:tcPr>
            <w:tcW w:w="8367" w:type="dxa"/>
            <w:gridSpan w:val="3"/>
          </w:tcPr>
          <w:p w14:paraId="124BEC16" w14:textId="77777777" w:rsidR="00410C41" w:rsidRPr="00C9343F" w:rsidRDefault="00410C41" w:rsidP="00F66D98">
            <w:pPr>
              <w:pStyle w:val="BlockText-Plain"/>
            </w:pPr>
            <w:r w:rsidRPr="00C9343F">
              <w:t>Leave under this section may be credited at either of these times.</w:t>
            </w:r>
          </w:p>
        </w:tc>
      </w:tr>
      <w:tr w:rsidR="00410C41" w:rsidRPr="00C9343F" w14:paraId="75630E57" w14:textId="77777777" w:rsidTr="005E243D">
        <w:trPr>
          <w:cantSplit/>
        </w:trPr>
        <w:tc>
          <w:tcPr>
            <w:tcW w:w="992" w:type="dxa"/>
          </w:tcPr>
          <w:p w14:paraId="5191DA62" w14:textId="77777777" w:rsidR="00410C41" w:rsidRPr="00C9343F" w:rsidRDefault="00410C41" w:rsidP="00F66D98">
            <w:pPr>
              <w:pStyle w:val="BlockText-Plain"/>
            </w:pPr>
          </w:p>
        </w:tc>
        <w:tc>
          <w:tcPr>
            <w:tcW w:w="567" w:type="dxa"/>
          </w:tcPr>
          <w:p w14:paraId="6373B572" w14:textId="77777777" w:rsidR="00410C41" w:rsidRPr="00C9343F" w:rsidRDefault="00410C41" w:rsidP="008D1B5D">
            <w:pPr>
              <w:pStyle w:val="BlockText-Plain"/>
              <w:jc w:val="center"/>
            </w:pPr>
            <w:r w:rsidRPr="00C9343F">
              <w:t>a.</w:t>
            </w:r>
          </w:p>
        </w:tc>
        <w:tc>
          <w:tcPr>
            <w:tcW w:w="7800" w:type="dxa"/>
            <w:gridSpan w:val="2"/>
          </w:tcPr>
          <w:p w14:paraId="6904BA11" w14:textId="77777777" w:rsidR="00410C41" w:rsidRPr="00C9343F" w:rsidRDefault="00410C41" w:rsidP="00F66D98">
            <w:pPr>
              <w:pStyle w:val="BlockText-Plain"/>
            </w:pPr>
            <w:r w:rsidRPr="00C9343F">
              <w:t>During the financial year, after a period of extra duty described in subsection 1.</w:t>
            </w:r>
          </w:p>
        </w:tc>
      </w:tr>
      <w:tr w:rsidR="00410C41" w:rsidRPr="00C9343F" w14:paraId="61A7F9CB" w14:textId="77777777" w:rsidTr="005E243D">
        <w:trPr>
          <w:cantSplit/>
        </w:trPr>
        <w:tc>
          <w:tcPr>
            <w:tcW w:w="992" w:type="dxa"/>
          </w:tcPr>
          <w:p w14:paraId="742A1C95" w14:textId="77777777" w:rsidR="00410C41" w:rsidRPr="00C9343F" w:rsidRDefault="00410C41" w:rsidP="00F66D98">
            <w:pPr>
              <w:pStyle w:val="BlockText-Plain"/>
            </w:pPr>
          </w:p>
        </w:tc>
        <w:tc>
          <w:tcPr>
            <w:tcW w:w="567" w:type="dxa"/>
          </w:tcPr>
          <w:p w14:paraId="0E977F6F" w14:textId="77777777" w:rsidR="00410C41" w:rsidRPr="00C9343F" w:rsidRDefault="00410C41" w:rsidP="008D1B5D">
            <w:pPr>
              <w:pStyle w:val="BlockText-Plain"/>
              <w:jc w:val="center"/>
            </w:pPr>
            <w:r w:rsidRPr="00C9343F">
              <w:t>b.</w:t>
            </w:r>
          </w:p>
        </w:tc>
        <w:tc>
          <w:tcPr>
            <w:tcW w:w="7800" w:type="dxa"/>
            <w:gridSpan w:val="2"/>
          </w:tcPr>
          <w:p w14:paraId="6500902D" w14:textId="77777777" w:rsidR="00410C41" w:rsidRPr="00C9343F" w:rsidRDefault="00410C41" w:rsidP="00F66D98">
            <w:pPr>
              <w:pStyle w:val="BlockText-Plain"/>
            </w:pPr>
            <w:r w:rsidRPr="00C9343F">
              <w:t>As soon as practicable after the end of that financial year.</w:t>
            </w:r>
          </w:p>
        </w:tc>
      </w:tr>
    </w:tbl>
    <w:p w14:paraId="0426CCB9" w14:textId="77777777" w:rsidR="00410C41" w:rsidRPr="00C9343F" w:rsidRDefault="00410C41" w:rsidP="00F66D98">
      <w:pPr>
        <w:pStyle w:val="Heading4"/>
        <w:keepNext w:val="0"/>
        <w:keepLines w:val="0"/>
        <w:pageBreakBefore/>
        <w:spacing w:before="240"/>
        <w:rPr>
          <w:color w:val="auto"/>
          <w:sz w:val="20"/>
        </w:rPr>
      </w:pPr>
      <w:bookmarkStart w:id="1294" w:name="_Toc105053991"/>
      <w:r w:rsidRPr="00C9343F">
        <w:t>Division 5: Purchased recreation leave</w:t>
      </w:r>
      <w:bookmarkEnd w:id="1294"/>
      <w:r w:rsidRPr="00C9343F">
        <w:t xml:space="preserve"> </w:t>
      </w:r>
    </w:p>
    <w:p w14:paraId="5F887EDE" w14:textId="77777777" w:rsidR="00410C41" w:rsidRPr="00C9343F" w:rsidRDefault="00410C41" w:rsidP="00F66D98">
      <w:pPr>
        <w:pStyle w:val="Heading5"/>
      </w:pPr>
      <w:bookmarkStart w:id="1295" w:name="_Toc105053992"/>
      <w:r w:rsidRPr="00C9343F">
        <w:t>5.4.21    Purpose</w:t>
      </w:r>
      <w:bookmarkEnd w:id="1295"/>
    </w:p>
    <w:tbl>
      <w:tblPr>
        <w:tblW w:w="9355" w:type="dxa"/>
        <w:tblInd w:w="113" w:type="dxa"/>
        <w:tblLayout w:type="fixed"/>
        <w:tblLook w:val="0000" w:firstRow="0" w:lastRow="0" w:firstColumn="0" w:lastColumn="0" w:noHBand="0" w:noVBand="0"/>
      </w:tblPr>
      <w:tblGrid>
        <w:gridCol w:w="992"/>
        <w:gridCol w:w="8363"/>
      </w:tblGrid>
      <w:tr w:rsidR="00410C41" w:rsidRPr="00C9343F" w14:paraId="0AD09476" w14:textId="77777777" w:rsidTr="005E243D">
        <w:tc>
          <w:tcPr>
            <w:tcW w:w="992" w:type="dxa"/>
          </w:tcPr>
          <w:p w14:paraId="1277E431" w14:textId="77777777" w:rsidR="00410C41" w:rsidRPr="00C9343F" w:rsidRDefault="00410C41" w:rsidP="00F66D98">
            <w:pPr>
              <w:pStyle w:val="BlockText-Plain"/>
              <w:jc w:val="center"/>
            </w:pPr>
          </w:p>
        </w:tc>
        <w:tc>
          <w:tcPr>
            <w:tcW w:w="8363" w:type="dxa"/>
          </w:tcPr>
          <w:p w14:paraId="1C79E19A" w14:textId="77777777" w:rsidR="00410C41" w:rsidRPr="00C9343F" w:rsidRDefault="00410C41" w:rsidP="00F66D98">
            <w:pPr>
              <w:pStyle w:val="BlockText-Plain"/>
            </w:pPr>
            <w:r w:rsidRPr="00C9343F">
              <w:t>Purchased recreation leave allows a member to increase the amount of recreation leave credit available to them. The member must pay the cost of the purchased recreation leave.</w:t>
            </w:r>
          </w:p>
        </w:tc>
      </w:tr>
    </w:tbl>
    <w:p w14:paraId="7EDC193A" w14:textId="77777777" w:rsidR="00410C41" w:rsidRPr="00C9343F" w:rsidRDefault="00410C41" w:rsidP="00F66D98">
      <w:pPr>
        <w:pStyle w:val="Heading5"/>
      </w:pPr>
      <w:bookmarkStart w:id="1296" w:name="_Toc105053993"/>
      <w:r w:rsidRPr="00C9343F">
        <w:t>5.4.22    Application to purchase recreation leave</w:t>
      </w:r>
      <w:bookmarkEnd w:id="1296"/>
    </w:p>
    <w:tbl>
      <w:tblPr>
        <w:tblW w:w="9359" w:type="dxa"/>
        <w:tblInd w:w="113" w:type="dxa"/>
        <w:tblLayout w:type="fixed"/>
        <w:tblLook w:val="0000" w:firstRow="0" w:lastRow="0" w:firstColumn="0" w:lastColumn="0" w:noHBand="0" w:noVBand="0"/>
      </w:tblPr>
      <w:tblGrid>
        <w:gridCol w:w="992"/>
        <w:gridCol w:w="567"/>
        <w:gridCol w:w="7800"/>
      </w:tblGrid>
      <w:tr w:rsidR="00410C41" w:rsidRPr="00C9343F" w14:paraId="47CEC7B5" w14:textId="77777777" w:rsidTr="005E243D">
        <w:tc>
          <w:tcPr>
            <w:tcW w:w="992" w:type="dxa"/>
          </w:tcPr>
          <w:p w14:paraId="5CC0C645" w14:textId="77777777" w:rsidR="00410C41" w:rsidRPr="00C9343F" w:rsidRDefault="00410C41" w:rsidP="00F66D98">
            <w:pPr>
              <w:pStyle w:val="BlockText-Plain"/>
              <w:jc w:val="center"/>
            </w:pPr>
            <w:r w:rsidRPr="00C9343F">
              <w:t>1.</w:t>
            </w:r>
          </w:p>
        </w:tc>
        <w:tc>
          <w:tcPr>
            <w:tcW w:w="8367" w:type="dxa"/>
            <w:gridSpan w:val="2"/>
          </w:tcPr>
          <w:p w14:paraId="6A833D2D" w14:textId="77777777" w:rsidR="00410C41" w:rsidRPr="00C9343F" w:rsidRDefault="00410C41" w:rsidP="00F66D98">
            <w:pPr>
              <w:pStyle w:val="BlockText-Plain"/>
            </w:pPr>
            <w:r w:rsidRPr="00C9343F">
              <w:t xml:space="preserve">A member may apply to purchase recreation leave credits. </w:t>
            </w:r>
          </w:p>
        </w:tc>
      </w:tr>
      <w:tr w:rsidR="00410C41" w:rsidRPr="00C9343F" w14:paraId="5DA3C32D" w14:textId="77777777" w:rsidTr="005E243D">
        <w:tc>
          <w:tcPr>
            <w:tcW w:w="992" w:type="dxa"/>
          </w:tcPr>
          <w:p w14:paraId="62D034DB" w14:textId="77777777" w:rsidR="00410C41" w:rsidRPr="00C9343F" w:rsidRDefault="00410C41" w:rsidP="00F66D98">
            <w:pPr>
              <w:pStyle w:val="BlockText-Plain"/>
              <w:jc w:val="center"/>
            </w:pPr>
          </w:p>
        </w:tc>
        <w:tc>
          <w:tcPr>
            <w:tcW w:w="8367" w:type="dxa"/>
            <w:gridSpan w:val="2"/>
          </w:tcPr>
          <w:p w14:paraId="6888A80C" w14:textId="77777777" w:rsidR="00410C41" w:rsidRPr="00C9343F" w:rsidRDefault="00410C41" w:rsidP="00F66D98">
            <w:pPr>
              <w:pStyle w:val="BlockText-Plain"/>
              <w:rPr>
                <w:b/>
              </w:rPr>
            </w:pPr>
            <w:r w:rsidRPr="00C9343F">
              <w:rPr>
                <w:b/>
              </w:rPr>
              <w:t xml:space="preserve">Exception: </w:t>
            </w:r>
            <w:r w:rsidRPr="00C9343F">
              <w:t>A member cannot apply to purchase leave credits in a period when they are on any of the following kinds of service.</w:t>
            </w:r>
          </w:p>
        </w:tc>
      </w:tr>
      <w:tr w:rsidR="00410C41" w:rsidRPr="00C9343F" w14:paraId="55DA7A86" w14:textId="77777777" w:rsidTr="005E243D">
        <w:trPr>
          <w:cantSplit/>
        </w:trPr>
        <w:tc>
          <w:tcPr>
            <w:tcW w:w="992" w:type="dxa"/>
          </w:tcPr>
          <w:p w14:paraId="6E8387FC" w14:textId="77777777" w:rsidR="00410C41" w:rsidRPr="00C9343F" w:rsidRDefault="00410C41" w:rsidP="00F66D98">
            <w:pPr>
              <w:pStyle w:val="BlockText-Plain"/>
            </w:pPr>
          </w:p>
        </w:tc>
        <w:tc>
          <w:tcPr>
            <w:tcW w:w="567" w:type="dxa"/>
          </w:tcPr>
          <w:p w14:paraId="4704CB4D" w14:textId="77777777" w:rsidR="00410C41" w:rsidRPr="00C9343F" w:rsidRDefault="00410C41" w:rsidP="008D1B5D">
            <w:pPr>
              <w:pStyle w:val="BlockText-Plain"/>
              <w:jc w:val="center"/>
            </w:pPr>
            <w:r w:rsidRPr="00C9343F">
              <w:t>a.</w:t>
            </w:r>
          </w:p>
        </w:tc>
        <w:tc>
          <w:tcPr>
            <w:tcW w:w="7800" w:type="dxa"/>
          </w:tcPr>
          <w:p w14:paraId="1DF83373" w14:textId="77777777" w:rsidR="00410C41" w:rsidRPr="00C9343F" w:rsidRDefault="00410C41" w:rsidP="00F66D98">
            <w:pPr>
              <w:pStyle w:val="BlockText-Plain"/>
            </w:pPr>
            <w:r w:rsidRPr="00C9343F">
              <w:t>Warlike service.</w:t>
            </w:r>
          </w:p>
        </w:tc>
      </w:tr>
      <w:tr w:rsidR="00410C41" w:rsidRPr="00C9343F" w14:paraId="17B2F4CD" w14:textId="77777777" w:rsidTr="005E243D">
        <w:trPr>
          <w:cantSplit/>
        </w:trPr>
        <w:tc>
          <w:tcPr>
            <w:tcW w:w="992" w:type="dxa"/>
          </w:tcPr>
          <w:p w14:paraId="399B45EA" w14:textId="77777777" w:rsidR="00410C41" w:rsidRPr="00C9343F" w:rsidRDefault="00410C41" w:rsidP="00F66D98">
            <w:pPr>
              <w:pStyle w:val="BlockText-Plain"/>
            </w:pPr>
          </w:p>
        </w:tc>
        <w:tc>
          <w:tcPr>
            <w:tcW w:w="567" w:type="dxa"/>
          </w:tcPr>
          <w:p w14:paraId="14D5F6AE" w14:textId="77777777" w:rsidR="00410C41" w:rsidRPr="00C9343F" w:rsidRDefault="00410C41" w:rsidP="008D1B5D">
            <w:pPr>
              <w:pStyle w:val="BlockText-Plain"/>
              <w:jc w:val="center"/>
            </w:pPr>
            <w:r w:rsidRPr="00C9343F">
              <w:t>b.</w:t>
            </w:r>
          </w:p>
        </w:tc>
        <w:tc>
          <w:tcPr>
            <w:tcW w:w="7800" w:type="dxa"/>
          </w:tcPr>
          <w:p w14:paraId="6F652E6D" w14:textId="77777777" w:rsidR="00410C41" w:rsidRPr="00C9343F" w:rsidRDefault="00410C41" w:rsidP="00F66D98">
            <w:pPr>
              <w:pStyle w:val="BlockText-Plain"/>
            </w:pPr>
            <w:r w:rsidRPr="00C9343F">
              <w:t>Non-warlike service.</w:t>
            </w:r>
          </w:p>
        </w:tc>
      </w:tr>
      <w:tr w:rsidR="00410C41" w:rsidRPr="00C9343F" w14:paraId="0A7C3184" w14:textId="77777777" w:rsidTr="005E243D">
        <w:trPr>
          <w:cantSplit/>
        </w:trPr>
        <w:tc>
          <w:tcPr>
            <w:tcW w:w="992" w:type="dxa"/>
          </w:tcPr>
          <w:p w14:paraId="476610D9" w14:textId="77777777" w:rsidR="00410C41" w:rsidRPr="00C9343F" w:rsidRDefault="00410C41" w:rsidP="00F66D98">
            <w:pPr>
              <w:pStyle w:val="BlockText-Plain"/>
            </w:pPr>
          </w:p>
        </w:tc>
        <w:tc>
          <w:tcPr>
            <w:tcW w:w="567" w:type="dxa"/>
          </w:tcPr>
          <w:p w14:paraId="31A12D66" w14:textId="77777777" w:rsidR="00410C41" w:rsidRPr="00C9343F" w:rsidRDefault="00410C41" w:rsidP="008D1B5D">
            <w:pPr>
              <w:pStyle w:val="BlockText-Plain"/>
              <w:jc w:val="center"/>
            </w:pPr>
            <w:r w:rsidRPr="00C9343F">
              <w:t>c.</w:t>
            </w:r>
          </w:p>
        </w:tc>
        <w:tc>
          <w:tcPr>
            <w:tcW w:w="7800" w:type="dxa"/>
          </w:tcPr>
          <w:p w14:paraId="0F57705C" w14:textId="77777777" w:rsidR="00410C41" w:rsidRPr="00C9343F" w:rsidRDefault="00410C41" w:rsidP="00F66D98">
            <w:pPr>
              <w:pStyle w:val="BlockText-Plain"/>
              <w:rPr>
                <w:i/>
              </w:rPr>
            </w:pPr>
            <w:r w:rsidRPr="00C9343F">
              <w:t xml:space="preserve">Foreign service, as defined by section 23AG (7) of the </w:t>
            </w:r>
            <w:r w:rsidRPr="00C9343F">
              <w:rPr>
                <w:i/>
              </w:rPr>
              <w:t>Income Tax Assessment Act 1936</w:t>
            </w:r>
            <w:r w:rsidRPr="00C9343F">
              <w:t xml:space="preserve">, which could reasonably be expected be exempt from tax under sub-section 23AG of the </w:t>
            </w:r>
            <w:r w:rsidRPr="00C9343F">
              <w:rPr>
                <w:i/>
              </w:rPr>
              <w:t xml:space="preserve">Income Tax Assessment Act 1936. </w:t>
            </w:r>
          </w:p>
          <w:p w14:paraId="287E25C8" w14:textId="77777777" w:rsidR="00410C41" w:rsidRPr="00C9343F" w:rsidRDefault="00410C41" w:rsidP="00F66D98">
            <w:pPr>
              <w:pStyle w:val="BlockText-Plain"/>
            </w:pPr>
            <w:r w:rsidRPr="00C9343F">
              <w:rPr>
                <w:b/>
              </w:rPr>
              <w:t>Note:</w:t>
            </w:r>
            <w:r w:rsidRPr="00C9343F">
              <w:t xml:space="preserve"> To qualify for the tax exemption, a member must be engaged in foreign service for a continuous period of not less than 91 days.</w:t>
            </w:r>
          </w:p>
        </w:tc>
      </w:tr>
      <w:tr w:rsidR="00410C41" w:rsidRPr="00C9343F" w14:paraId="1D77946B" w14:textId="77777777" w:rsidTr="005E243D">
        <w:tc>
          <w:tcPr>
            <w:tcW w:w="992" w:type="dxa"/>
          </w:tcPr>
          <w:p w14:paraId="59844FD8" w14:textId="77777777" w:rsidR="00410C41" w:rsidRPr="00C9343F" w:rsidRDefault="00410C41" w:rsidP="00F66D98">
            <w:pPr>
              <w:pStyle w:val="BlockText-Plain"/>
              <w:jc w:val="center"/>
            </w:pPr>
            <w:r w:rsidRPr="00C9343F">
              <w:t>2.</w:t>
            </w:r>
          </w:p>
        </w:tc>
        <w:tc>
          <w:tcPr>
            <w:tcW w:w="8367" w:type="dxa"/>
            <w:gridSpan w:val="2"/>
          </w:tcPr>
          <w:p w14:paraId="43F808D4" w14:textId="77777777" w:rsidR="00410C41" w:rsidRPr="00C9343F" w:rsidRDefault="00410C41" w:rsidP="00F66D98">
            <w:pPr>
              <w:pStyle w:val="BlockText-Plain"/>
            </w:pPr>
            <w:r w:rsidRPr="00C9343F">
              <w:t xml:space="preserve">Recreation leave credits are purchased in hourly increments. Eight hours of purchased recreation leave credits is the equivalent of one full day of leave. </w:t>
            </w:r>
          </w:p>
        </w:tc>
      </w:tr>
      <w:tr w:rsidR="00410C41" w:rsidRPr="00C9343F" w14:paraId="0A53AA95" w14:textId="77777777" w:rsidTr="005E243D">
        <w:tc>
          <w:tcPr>
            <w:tcW w:w="992" w:type="dxa"/>
          </w:tcPr>
          <w:p w14:paraId="0F8599D3" w14:textId="77777777" w:rsidR="00410C41" w:rsidRPr="00C9343F" w:rsidRDefault="00410C41" w:rsidP="00F66D98">
            <w:pPr>
              <w:pStyle w:val="BlockText-Plain"/>
              <w:jc w:val="center"/>
            </w:pPr>
            <w:r w:rsidRPr="00C9343F">
              <w:t>3.</w:t>
            </w:r>
          </w:p>
        </w:tc>
        <w:tc>
          <w:tcPr>
            <w:tcW w:w="8367" w:type="dxa"/>
            <w:gridSpan w:val="2"/>
          </w:tcPr>
          <w:p w14:paraId="136AFC09" w14:textId="77777777" w:rsidR="00410C41" w:rsidRPr="00C9343F" w:rsidRDefault="00410C41" w:rsidP="00F66D98">
            <w:pPr>
              <w:pStyle w:val="BlockText-Plain"/>
            </w:pPr>
            <w:r w:rsidRPr="00C9343F">
              <w:t>A member must use the approved form to purchase recreation leave.</w:t>
            </w:r>
          </w:p>
        </w:tc>
      </w:tr>
      <w:tr w:rsidR="00410C41" w:rsidRPr="00C9343F" w14:paraId="4383FF97" w14:textId="77777777" w:rsidTr="005E243D">
        <w:tc>
          <w:tcPr>
            <w:tcW w:w="992" w:type="dxa"/>
          </w:tcPr>
          <w:p w14:paraId="46C3CA47" w14:textId="77777777" w:rsidR="00410C41" w:rsidRPr="00C9343F" w:rsidRDefault="00410C41" w:rsidP="00F66D98">
            <w:pPr>
              <w:pStyle w:val="BlockText-Plain"/>
              <w:jc w:val="center"/>
              <w:rPr>
                <w:color w:val="000000"/>
              </w:rPr>
            </w:pPr>
            <w:r w:rsidRPr="00C9343F">
              <w:rPr>
                <w:color w:val="000000"/>
              </w:rPr>
              <w:t>4.</w:t>
            </w:r>
          </w:p>
        </w:tc>
        <w:tc>
          <w:tcPr>
            <w:tcW w:w="8367" w:type="dxa"/>
            <w:gridSpan w:val="2"/>
          </w:tcPr>
          <w:p w14:paraId="6033EFD1" w14:textId="77777777" w:rsidR="00410C41" w:rsidRPr="00C9343F" w:rsidRDefault="00410C41" w:rsidP="00F66D98">
            <w:pPr>
              <w:pStyle w:val="BlockText-Plain"/>
              <w:rPr>
                <w:b/>
                <w:color w:val="000000"/>
              </w:rPr>
            </w:pPr>
            <w:r w:rsidRPr="00C9343F">
              <w:rPr>
                <w:color w:val="000000"/>
              </w:rPr>
              <w:t xml:space="preserve">The maximum amount of recreation leave credits a member may purchase in a financial year is 20 days. </w:t>
            </w:r>
          </w:p>
        </w:tc>
      </w:tr>
      <w:tr w:rsidR="00410C41" w:rsidRPr="00C9343F" w14:paraId="169DC7A9" w14:textId="77777777" w:rsidTr="005E243D">
        <w:tc>
          <w:tcPr>
            <w:tcW w:w="992" w:type="dxa"/>
          </w:tcPr>
          <w:p w14:paraId="39F11574" w14:textId="77777777" w:rsidR="00410C41" w:rsidRPr="00C9343F" w:rsidRDefault="00410C41" w:rsidP="00F66D98">
            <w:pPr>
              <w:pStyle w:val="BlockText-Plain"/>
              <w:jc w:val="center"/>
              <w:rPr>
                <w:color w:val="000000"/>
              </w:rPr>
            </w:pPr>
          </w:p>
        </w:tc>
        <w:tc>
          <w:tcPr>
            <w:tcW w:w="8367" w:type="dxa"/>
            <w:gridSpan w:val="2"/>
          </w:tcPr>
          <w:p w14:paraId="70D0D58F" w14:textId="77777777" w:rsidR="00410C41" w:rsidRPr="00C9343F" w:rsidRDefault="00410C41" w:rsidP="00F66D98">
            <w:pPr>
              <w:pStyle w:val="BlockText-Plain"/>
              <w:rPr>
                <w:color w:val="000000"/>
              </w:rPr>
            </w:pPr>
            <w:r w:rsidRPr="00C9343F">
              <w:rPr>
                <w:b/>
                <w:color w:val="000000"/>
              </w:rPr>
              <w:t>Note:</w:t>
            </w:r>
            <w:r w:rsidRPr="00C9343F">
              <w:rPr>
                <w:color w:val="000000"/>
              </w:rPr>
              <w:t xml:space="preserve"> The maximum amount is not reduced for a member on a flexible service determination.</w:t>
            </w:r>
          </w:p>
        </w:tc>
      </w:tr>
      <w:tr w:rsidR="00410C41" w:rsidRPr="00C9343F" w14:paraId="46B4D4FA" w14:textId="77777777" w:rsidTr="005E243D">
        <w:tc>
          <w:tcPr>
            <w:tcW w:w="992" w:type="dxa"/>
          </w:tcPr>
          <w:p w14:paraId="3E0169D9" w14:textId="77777777" w:rsidR="00410C41" w:rsidRPr="00C9343F" w:rsidRDefault="00410C41" w:rsidP="00F66D98">
            <w:pPr>
              <w:pStyle w:val="BlockText-Plain"/>
              <w:jc w:val="center"/>
              <w:rPr>
                <w:color w:val="000000"/>
              </w:rPr>
            </w:pPr>
            <w:r w:rsidRPr="00C9343F">
              <w:rPr>
                <w:color w:val="000000"/>
              </w:rPr>
              <w:t>5.</w:t>
            </w:r>
          </w:p>
        </w:tc>
        <w:tc>
          <w:tcPr>
            <w:tcW w:w="8367" w:type="dxa"/>
            <w:gridSpan w:val="2"/>
          </w:tcPr>
          <w:p w14:paraId="5746804C" w14:textId="77777777" w:rsidR="00410C41" w:rsidRPr="00C9343F" w:rsidRDefault="00410C41" w:rsidP="00F66D98">
            <w:pPr>
              <w:pStyle w:val="BlockText-Plain"/>
              <w:rPr>
                <w:color w:val="000000"/>
              </w:rPr>
            </w:pPr>
            <w:r w:rsidRPr="00C9343F">
              <w:rPr>
                <w:iCs/>
              </w:rPr>
              <w:t>Subject to subsection 4, at the time</w:t>
            </w:r>
            <w:r w:rsidRPr="00C9343F">
              <w:rPr>
                <w:color w:val="000000"/>
              </w:rPr>
              <w:t xml:space="preserve"> of purchase, the amount of recreation leave credits that can be purchased by the member is reduced by each day the sum of the following exceeds 40 days. </w:t>
            </w:r>
          </w:p>
        </w:tc>
      </w:tr>
      <w:tr w:rsidR="00410C41" w:rsidRPr="00C9343F" w14:paraId="63446873" w14:textId="77777777" w:rsidTr="005E243D">
        <w:trPr>
          <w:cantSplit/>
        </w:trPr>
        <w:tc>
          <w:tcPr>
            <w:tcW w:w="992" w:type="dxa"/>
          </w:tcPr>
          <w:p w14:paraId="225B4DD8" w14:textId="77777777" w:rsidR="00410C41" w:rsidRPr="00C9343F" w:rsidRDefault="00410C41" w:rsidP="00F66D98">
            <w:pPr>
              <w:pStyle w:val="BlockText-Plain"/>
            </w:pPr>
          </w:p>
        </w:tc>
        <w:tc>
          <w:tcPr>
            <w:tcW w:w="567" w:type="dxa"/>
          </w:tcPr>
          <w:p w14:paraId="23C614D6" w14:textId="77777777" w:rsidR="00410C41" w:rsidRPr="00C9343F" w:rsidRDefault="00410C41" w:rsidP="008D1B5D">
            <w:pPr>
              <w:pStyle w:val="BlockText-Plain"/>
              <w:jc w:val="center"/>
            </w:pPr>
            <w:r w:rsidRPr="00C9343F">
              <w:t>a.</w:t>
            </w:r>
          </w:p>
        </w:tc>
        <w:tc>
          <w:tcPr>
            <w:tcW w:w="7800" w:type="dxa"/>
          </w:tcPr>
          <w:p w14:paraId="011A2685" w14:textId="77777777" w:rsidR="00410C41" w:rsidRPr="00C9343F" w:rsidRDefault="00410C41" w:rsidP="00F66D98">
            <w:pPr>
              <w:pStyle w:val="BlockText-Plain"/>
            </w:pPr>
            <w:r w:rsidRPr="00C9343F">
              <w:rPr>
                <w:color w:val="000000"/>
              </w:rPr>
              <w:t xml:space="preserve">The member's basic recreation leave credit. </w:t>
            </w:r>
          </w:p>
        </w:tc>
      </w:tr>
      <w:tr w:rsidR="00410C41" w:rsidRPr="00C9343F" w14:paraId="7991179C" w14:textId="77777777" w:rsidTr="005E243D">
        <w:trPr>
          <w:cantSplit/>
        </w:trPr>
        <w:tc>
          <w:tcPr>
            <w:tcW w:w="992" w:type="dxa"/>
          </w:tcPr>
          <w:p w14:paraId="5267DD18" w14:textId="77777777" w:rsidR="00410C41" w:rsidRPr="00C9343F" w:rsidRDefault="00410C41" w:rsidP="00F66D98">
            <w:pPr>
              <w:pStyle w:val="BlockText-Plain"/>
            </w:pPr>
          </w:p>
        </w:tc>
        <w:tc>
          <w:tcPr>
            <w:tcW w:w="567" w:type="dxa"/>
          </w:tcPr>
          <w:p w14:paraId="7599B470" w14:textId="77777777" w:rsidR="00410C41" w:rsidRPr="00C9343F" w:rsidRDefault="00410C41" w:rsidP="008D1B5D">
            <w:pPr>
              <w:pStyle w:val="BlockText-Plain"/>
              <w:jc w:val="center"/>
            </w:pPr>
            <w:r w:rsidRPr="00C9343F">
              <w:t>b.</w:t>
            </w:r>
          </w:p>
        </w:tc>
        <w:tc>
          <w:tcPr>
            <w:tcW w:w="7800" w:type="dxa"/>
          </w:tcPr>
          <w:p w14:paraId="24AC1AE9" w14:textId="77777777" w:rsidR="00410C41" w:rsidRPr="00C9343F" w:rsidRDefault="00410C41" w:rsidP="00F66D98">
            <w:pPr>
              <w:pStyle w:val="BlockText-Plain"/>
            </w:pPr>
            <w:r w:rsidRPr="00C9343F">
              <w:rPr>
                <w:color w:val="000000"/>
              </w:rPr>
              <w:t>The member's additional recreation leave credit.</w:t>
            </w:r>
          </w:p>
        </w:tc>
      </w:tr>
      <w:tr w:rsidR="00410C41" w:rsidRPr="00C9343F" w14:paraId="2BFFE5B0" w14:textId="77777777" w:rsidTr="005E243D">
        <w:trPr>
          <w:cantSplit/>
        </w:trPr>
        <w:tc>
          <w:tcPr>
            <w:tcW w:w="992" w:type="dxa"/>
          </w:tcPr>
          <w:p w14:paraId="4E43BA00" w14:textId="77777777" w:rsidR="00410C41" w:rsidRPr="00C9343F" w:rsidRDefault="00410C41" w:rsidP="00F66D98">
            <w:pPr>
              <w:pStyle w:val="BlockText-Plain"/>
            </w:pPr>
          </w:p>
        </w:tc>
        <w:tc>
          <w:tcPr>
            <w:tcW w:w="567" w:type="dxa"/>
          </w:tcPr>
          <w:p w14:paraId="1743756F" w14:textId="77777777" w:rsidR="00410C41" w:rsidRPr="00C9343F" w:rsidRDefault="00410C41" w:rsidP="008D1B5D">
            <w:pPr>
              <w:pStyle w:val="BlockText-Plain"/>
              <w:jc w:val="center"/>
            </w:pPr>
            <w:r w:rsidRPr="00C9343F">
              <w:t>c.</w:t>
            </w:r>
          </w:p>
        </w:tc>
        <w:tc>
          <w:tcPr>
            <w:tcW w:w="7800" w:type="dxa"/>
          </w:tcPr>
          <w:p w14:paraId="11FCD83A" w14:textId="77777777" w:rsidR="00410C41" w:rsidRPr="00C9343F" w:rsidRDefault="00410C41" w:rsidP="00F66D98">
            <w:pPr>
              <w:pStyle w:val="BlockText-Plain"/>
              <w:rPr>
                <w:color w:val="000000"/>
              </w:rPr>
            </w:pPr>
            <w:r w:rsidRPr="00C9343F">
              <w:rPr>
                <w:color w:val="000000"/>
              </w:rPr>
              <w:t>The member's extra recreation leave credit.</w:t>
            </w:r>
          </w:p>
        </w:tc>
      </w:tr>
    </w:tbl>
    <w:p w14:paraId="131B68C2" w14:textId="02C2466A" w:rsidR="00410C41" w:rsidRPr="00C9343F" w:rsidRDefault="00410C41" w:rsidP="00F66D98">
      <w:pPr>
        <w:pStyle w:val="Heading5"/>
      </w:pPr>
      <w:bookmarkStart w:id="1297" w:name="_Toc105053994"/>
      <w:r w:rsidRPr="00C9343F">
        <w:t>5.4.23  </w:t>
      </w:r>
      <w:r w:rsidR="00504077" w:rsidRPr="00C9343F">
        <w:t> </w:t>
      </w:r>
      <w:r w:rsidRPr="00C9343F">
        <w:t> Approval to purchase recreation leave</w:t>
      </w:r>
      <w:bookmarkEnd w:id="1297"/>
    </w:p>
    <w:tbl>
      <w:tblPr>
        <w:tblW w:w="9365" w:type="dxa"/>
        <w:tblInd w:w="108" w:type="dxa"/>
        <w:tblLayout w:type="fixed"/>
        <w:tblLook w:val="0000" w:firstRow="0" w:lastRow="0" w:firstColumn="0" w:lastColumn="0" w:noHBand="0" w:noVBand="0"/>
      </w:tblPr>
      <w:tblGrid>
        <w:gridCol w:w="993"/>
        <w:gridCol w:w="567"/>
        <w:gridCol w:w="7805"/>
      </w:tblGrid>
      <w:tr w:rsidR="00410C41" w:rsidRPr="00C9343F" w14:paraId="1E1A5404" w14:textId="77777777" w:rsidTr="005E243D">
        <w:tc>
          <w:tcPr>
            <w:tcW w:w="993" w:type="dxa"/>
          </w:tcPr>
          <w:p w14:paraId="1D8E8976" w14:textId="77777777" w:rsidR="00410C41" w:rsidRPr="00C9343F" w:rsidRDefault="00410C41" w:rsidP="00F66D98">
            <w:pPr>
              <w:pStyle w:val="BlockText-Plain"/>
              <w:jc w:val="center"/>
            </w:pPr>
            <w:r w:rsidRPr="00C9343F">
              <w:t>1.</w:t>
            </w:r>
          </w:p>
        </w:tc>
        <w:tc>
          <w:tcPr>
            <w:tcW w:w="8372" w:type="dxa"/>
            <w:gridSpan w:val="2"/>
          </w:tcPr>
          <w:p w14:paraId="003C2314" w14:textId="77777777" w:rsidR="00410C41" w:rsidRPr="00C9343F" w:rsidRDefault="00410C41" w:rsidP="00F66D98">
            <w:pPr>
              <w:pStyle w:val="BlockText-Plain"/>
            </w:pPr>
            <w:r w:rsidRPr="00C9343F">
              <w:t>Before approving purchased recreation leave, the member’s supervisor must consider whether operation requirements are likely to prevent the member being granted the full amount of purchased recreation leave.</w:t>
            </w:r>
          </w:p>
        </w:tc>
      </w:tr>
      <w:tr w:rsidR="00410C41" w:rsidRPr="00C9343F" w14:paraId="649CC8C0" w14:textId="77777777" w:rsidTr="005E243D">
        <w:tc>
          <w:tcPr>
            <w:tcW w:w="993" w:type="dxa"/>
          </w:tcPr>
          <w:p w14:paraId="7315D533" w14:textId="77777777" w:rsidR="00410C41" w:rsidRPr="00C9343F" w:rsidRDefault="00410C41" w:rsidP="00F66D98">
            <w:pPr>
              <w:pStyle w:val="BlockText-Plain"/>
              <w:jc w:val="center"/>
            </w:pPr>
            <w:r w:rsidRPr="00C9343F">
              <w:t>2.</w:t>
            </w:r>
          </w:p>
        </w:tc>
        <w:tc>
          <w:tcPr>
            <w:tcW w:w="8372" w:type="dxa"/>
            <w:gridSpan w:val="2"/>
          </w:tcPr>
          <w:p w14:paraId="27A0F326" w14:textId="77777777" w:rsidR="00410C41" w:rsidRPr="00C9343F" w:rsidRDefault="00410C41" w:rsidP="00F66D98">
            <w:pPr>
              <w:pStyle w:val="BlockText-Plain"/>
            </w:pPr>
            <w:r w:rsidRPr="00C9343F">
              <w:t xml:space="preserve">In this section, </w:t>
            </w:r>
            <w:r w:rsidRPr="00C9343F">
              <w:rPr>
                <w:b/>
              </w:rPr>
              <w:t xml:space="preserve">supervisor </w:t>
            </w:r>
            <w:r w:rsidRPr="00C9343F">
              <w:t>means a person in the member’s chain of command, at the following rank or APS classification.</w:t>
            </w:r>
          </w:p>
        </w:tc>
      </w:tr>
      <w:tr w:rsidR="00410C41" w:rsidRPr="00C9343F" w14:paraId="11507D92" w14:textId="77777777" w:rsidTr="005E243D">
        <w:tc>
          <w:tcPr>
            <w:tcW w:w="993" w:type="dxa"/>
          </w:tcPr>
          <w:p w14:paraId="6DCE66AF" w14:textId="77777777" w:rsidR="00410C41" w:rsidRPr="00C9343F" w:rsidRDefault="00410C41" w:rsidP="00F66D98">
            <w:pPr>
              <w:pStyle w:val="BlockText-Plain"/>
              <w:jc w:val="center"/>
            </w:pPr>
          </w:p>
        </w:tc>
        <w:tc>
          <w:tcPr>
            <w:tcW w:w="567" w:type="dxa"/>
          </w:tcPr>
          <w:p w14:paraId="224627DC" w14:textId="77777777" w:rsidR="00410C41" w:rsidRPr="00C9343F" w:rsidRDefault="00410C41" w:rsidP="00F66D98">
            <w:pPr>
              <w:pStyle w:val="BlockText-Plain"/>
              <w:jc w:val="center"/>
            </w:pPr>
            <w:r w:rsidRPr="00C9343F">
              <w:t>a.</w:t>
            </w:r>
          </w:p>
        </w:tc>
        <w:tc>
          <w:tcPr>
            <w:tcW w:w="7805" w:type="dxa"/>
          </w:tcPr>
          <w:p w14:paraId="7873E621" w14:textId="77777777" w:rsidR="00410C41" w:rsidRPr="00C9343F" w:rsidRDefault="00410C41" w:rsidP="00F66D98">
            <w:pPr>
              <w:pStyle w:val="BlockText-Plain"/>
            </w:pPr>
            <w:r w:rsidRPr="00C9343F">
              <w:t xml:space="preserve">Major or higher. </w:t>
            </w:r>
          </w:p>
        </w:tc>
      </w:tr>
      <w:tr w:rsidR="00410C41" w:rsidRPr="00C9343F" w14:paraId="75433BC9" w14:textId="77777777" w:rsidTr="005E243D">
        <w:tc>
          <w:tcPr>
            <w:tcW w:w="993" w:type="dxa"/>
          </w:tcPr>
          <w:p w14:paraId="57EE0DFF" w14:textId="77777777" w:rsidR="00410C41" w:rsidRPr="00C9343F" w:rsidRDefault="00410C41" w:rsidP="00F66D98">
            <w:pPr>
              <w:pStyle w:val="BlockText-Plain"/>
              <w:jc w:val="center"/>
            </w:pPr>
          </w:p>
        </w:tc>
        <w:tc>
          <w:tcPr>
            <w:tcW w:w="567" w:type="dxa"/>
          </w:tcPr>
          <w:p w14:paraId="629BE62C" w14:textId="77777777" w:rsidR="00410C41" w:rsidRPr="00C9343F" w:rsidRDefault="00410C41" w:rsidP="00F66D98">
            <w:pPr>
              <w:pStyle w:val="BlockText-Plain"/>
              <w:jc w:val="center"/>
            </w:pPr>
            <w:r w:rsidRPr="00C9343F">
              <w:t>b.</w:t>
            </w:r>
          </w:p>
        </w:tc>
        <w:tc>
          <w:tcPr>
            <w:tcW w:w="7805" w:type="dxa"/>
          </w:tcPr>
          <w:p w14:paraId="11DA0D77" w14:textId="77777777" w:rsidR="00410C41" w:rsidRPr="00C9343F" w:rsidRDefault="00410C41" w:rsidP="00F66D98">
            <w:pPr>
              <w:pStyle w:val="BlockText-Plain"/>
            </w:pPr>
            <w:r w:rsidRPr="00C9343F">
              <w:t>APS 6 or higher.</w:t>
            </w:r>
          </w:p>
        </w:tc>
      </w:tr>
    </w:tbl>
    <w:p w14:paraId="2F5978A5" w14:textId="77777777" w:rsidR="00410C41" w:rsidRPr="00C9343F" w:rsidRDefault="00410C41" w:rsidP="00F66D98">
      <w:pPr>
        <w:pStyle w:val="Heading5"/>
        <w:keepNext w:val="0"/>
        <w:keepLines w:val="0"/>
      </w:pPr>
      <w:bookmarkStart w:id="1298" w:name="_Toc105053995"/>
      <w:r w:rsidRPr="00C9343F">
        <w:t>5.4.24    Payment</w:t>
      </w:r>
      <w:bookmarkEnd w:id="1298"/>
    </w:p>
    <w:tbl>
      <w:tblPr>
        <w:tblW w:w="9359" w:type="dxa"/>
        <w:tblInd w:w="113" w:type="dxa"/>
        <w:tblLayout w:type="fixed"/>
        <w:tblLook w:val="0000" w:firstRow="0" w:lastRow="0" w:firstColumn="0" w:lastColumn="0" w:noHBand="0" w:noVBand="0"/>
      </w:tblPr>
      <w:tblGrid>
        <w:gridCol w:w="992"/>
        <w:gridCol w:w="596"/>
        <w:gridCol w:w="7771"/>
      </w:tblGrid>
      <w:tr w:rsidR="00410C41" w:rsidRPr="00C9343F" w14:paraId="5770BA35" w14:textId="77777777" w:rsidTr="005E243D">
        <w:tc>
          <w:tcPr>
            <w:tcW w:w="992" w:type="dxa"/>
          </w:tcPr>
          <w:p w14:paraId="167617B4" w14:textId="77777777" w:rsidR="00410C41" w:rsidRPr="00C9343F" w:rsidRDefault="00410C41" w:rsidP="00F66D98">
            <w:pPr>
              <w:pStyle w:val="BlockText-Plain"/>
              <w:jc w:val="center"/>
            </w:pPr>
            <w:r w:rsidRPr="00C9343F">
              <w:t>1.</w:t>
            </w:r>
          </w:p>
        </w:tc>
        <w:tc>
          <w:tcPr>
            <w:tcW w:w="8367" w:type="dxa"/>
            <w:gridSpan w:val="2"/>
          </w:tcPr>
          <w:p w14:paraId="4B780BFD" w14:textId="77777777" w:rsidR="00410C41" w:rsidRPr="00C9343F" w:rsidRDefault="00410C41" w:rsidP="00F66D98">
            <w:pPr>
              <w:pStyle w:val="BlockText-Plain"/>
            </w:pPr>
            <w:r w:rsidRPr="00C9343F">
              <w:t>A member who has been approved to purchase recreation leave credits must pay the cost of those leave credits.</w:t>
            </w:r>
          </w:p>
        </w:tc>
      </w:tr>
      <w:tr w:rsidR="00410C41" w:rsidRPr="00C9343F" w14:paraId="2FCB523C" w14:textId="77777777" w:rsidTr="005E243D">
        <w:tc>
          <w:tcPr>
            <w:tcW w:w="992" w:type="dxa"/>
          </w:tcPr>
          <w:p w14:paraId="1AA4602B" w14:textId="77777777" w:rsidR="00410C41" w:rsidRPr="00C9343F" w:rsidRDefault="00410C41" w:rsidP="00F66D98">
            <w:pPr>
              <w:pStyle w:val="BlockText-Plain"/>
              <w:jc w:val="center"/>
            </w:pPr>
            <w:r w:rsidRPr="00C9343F">
              <w:t>2.</w:t>
            </w:r>
          </w:p>
        </w:tc>
        <w:tc>
          <w:tcPr>
            <w:tcW w:w="8367" w:type="dxa"/>
            <w:gridSpan w:val="2"/>
          </w:tcPr>
          <w:p w14:paraId="2F0A0E17" w14:textId="77777777" w:rsidR="00410C41" w:rsidRPr="00C9343F" w:rsidRDefault="00410C41" w:rsidP="00F66D98">
            <w:pPr>
              <w:pStyle w:val="BlockText-Plain"/>
            </w:pPr>
            <w:r w:rsidRPr="00C9343F">
              <w:rPr>
                <w:iCs/>
              </w:rPr>
              <w:t>The member’s fortnightly payment is calculated as follows.</w:t>
            </w:r>
          </w:p>
        </w:tc>
      </w:tr>
      <w:tr w:rsidR="00410C41" w:rsidRPr="00C9343F" w14:paraId="32947B63" w14:textId="77777777" w:rsidTr="005E243D">
        <w:tc>
          <w:tcPr>
            <w:tcW w:w="992" w:type="dxa"/>
          </w:tcPr>
          <w:p w14:paraId="261EA562" w14:textId="77777777" w:rsidR="00410C41" w:rsidRPr="00C9343F" w:rsidRDefault="00410C41" w:rsidP="00F66D98">
            <w:pPr>
              <w:pStyle w:val="BlockText-Plain"/>
            </w:pPr>
          </w:p>
        </w:tc>
        <w:tc>
          <w:tcPr>
            <w:tcW w:w="8367" w:type="dxa"/>
            <w:gridSpan w:val="2"/>
          </w:tcPr>
          <w:p w14:paraId="00BB756D" w14:textId="77777777" w:rsidR="00410C41" w:rsidRPr="00C9343F" w:rsidRDefault="00410C41" w:rsidP="00F66D98">
            <w:pPr>
              <w:pStyle w:val="BlockText-Plain"/>
            </w:pPr>
            <m:oMathPara>
              <m:oMath>
                <m:r>
                  <m:rPr>
                    <m:sty m:val="bi"/>
                  </m:rPr>
                  <w:rPr>
                    <w:rFonts w:ascii="Cambria Math" w:hAnsi="Cambria Math"/>
                  </w:rPr>
                  <m:t>fortnightly payment=</m:t>
                </m:r>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A</m:t>
                        </m:r>
                      </m:num>
                      <m:den>
                        <m:r>
                          <m:rPr>
                            <m:sty m:val="bi"/>
                          </m:rPr>
                          <w:rPr>
                            <w:rFonts w:ascii="Cambria Math" w:hAnsi="Cambria Math"/>
                          </w:rPr>
                          <m:t>365</m:t>
                        </m:r>
                      </m:den>
                    </m:f>
                    <m:r>
                      <m:rPr>
                        <m:sty m:val="bi"/>
                      </m:rPr>
                      <w:rPr>
                        <w:rFonts w:ascii="Cambria Math" w:hAnsi="Cambria Math"/>
                      </w:rPr>
                      <m:t xml:space="preserve">  × </m:t>
                    </m:r>
                    <m:f>
                      <m:fPr>
                        <m:ctrlPr>
                          <w:rPr>
                            <w:rFonts w:ascii="Cambria Math" w:hAnsi="Cambria Math"/>
                            <w:b/>
                            <w:i/>
                          </w:rPr>
                        </m:ctrlPr>
                      </m:fPr>
                      <m:num>
                        <m:r>
                          <m:rPr>
                            <m:sty m:val="bi"/>
                          </m:rPr>
                          <w:rPr>
                            <w:rFonts w:ascii="Cambria Math" w:hAnsi="Cambria Math"/>
                          </w:rPr>
                          <m:t>B</m:t>
                        </m:r>
                      </m:num>
                      <m:den>
                        <m:r>
                          <m:rPr>
                            <m:sty m:val="bi"/>
                          </m:rPr>
                          <w:rPr>
                            <w:rFonts w:ascii="Cambria Math" w:hAnsi="Cambria Math"/>
                          </w:rPr>
                          <m:t>8</m:t>
                        </m:r>
                      </m:den>
                    </m:f>
                  </m:e>
                </m:d>
                <m:r>
                  <m:rPr>
                    <m:sty m:val="bi"/>
                  </m:rPr>
                  <w:rPr>
                    <w:rFonts w:ascii="Cambria Math" w:hAnsi="Cambria Math"/>
                  </w:rPr>
                  <m:t xml:space="preserve"> ÷C</m:t>
                </m:r>
              </m:oMath>
            </m:oMathPara>
          </w:p>
        </w:tc>
      </w:tr>
      <w:tr w:rsidR="00410C41" w:rsidRPr="00C9343F" w14:paraId="0BE79A62" w14:textId="77777777" w:rsidTr="005E243D">
        <w:tc>
          <w:tcPr>
            <w:tcW w:w="992" w:type="dxa"/>
          </w:tcPr>
          <w:p w14:paraId="054E65ED" w14:textId="77777777" w:rsidR="00410C41" w:rsidRPr="00C9343F" w:rsidRDefault="00410C41" w:rsidP="00F66D98">
            <w:pPr>
              <w:pStyle w:val="BlockText-Plain"/>
            </w:pPr>
          </w:p>
        </w:tc>
        <w:tc>
          <w:tcPr>
            <w:tcW w:w="8367" w:type="dxa"/>
            <w:gridSpan w:val="2"/>
          </w:tcPr>
          <w:p w14:paraId="2BA8F5BA" w14:textId="77777777" w:rsidR="00410C41" w:rsidRPr="00C9343F" w:rsidRDefault="00410C41" w:rsidP="00F66D98">
            <w:pPr>
              <w:pStyle w:val="BlockText-Plain"/>
            </w:pPr>
            <w:r w:rsidRPr="00C9343F">
              <w:t>Where:</w:t>
            </w:r>
          </w:p>
        </w:tc>
      </w:tr>
      <w:tr w:rsidR="00410C41" w:rsidRPr="00C9343F" w14:paraId="5C8AA73D" w14:textId="77777777" w:rsidTr="005E243D">
        <w:tc>
          <w:tcPr>
            <w:tcW w:w="992" w:type="dxa"/>
          </w:tcPr>
          <w:p w14:paraId="4F1A471A" w14:textId="77777777" w:rsidR="00410C41" w:rsidRPr="00C9343F" w:rsidRDefault="00410C41" w:rsidP="00F66D98">
            <w:pPr>
              <w:pStyle w:val="Sectiontext0"/>
              <w:jc w:val="center"/>
            </w:pPr>
          </w:p>
        </w:tc>
        <w:tc>
          <w:tcPr>
            <w:tcW w:w="596" w:type="dxa"/>
          </w:tcPr>
          <w:p w14:paraId="3E269A0F" w14:textId="77777777" w:rsidR="00410C41" w:rsidRPr="00C9343F" w:rsidRDefault="00410C41" w:rsidP="00F66D98">
            <w:pPr>
              <w:pStyle w:val="Sectiontext0"/>
              <w:jc w:val="center"/>
              <w:rPr>
                <w:b/>
                <w:bCs/>
              </w:rPr>
            </w:pPr>
            <w:r w:rsidRPr="00C9343F">
              <w:rPr>
                <w:b/>
                <w:bCs/>
              </w:rPr>
              <w:t>A</w:t>
            </w:r>
          </w:p>
        </w:tc>
        <w:tc>
          <w:tcPr>
            <w:tcW w:w="7771" w:type="dxa"/>
          </w:tcPr>
          <w:p w14:paraId="69F0F8EE" w14:textId="77777777" w:rsidR="00410C41" w:rsidRPr="00C9343F" w:rsidRDefault="00410C41" w:rsidP="00F66D98">
            <w:pPr>
              <w:pStyle w:val="Sectiontext0"/>
            </w:pPr>
            <w:r w:rsidRPr="00C9343F">
              <w:t>is the member’s annual rate of salary.</w:t>
            </w:r>
          </w:p>
        </w:tc>
      </w:tr>
      <w:tr w:rsidR="00410C41" w:rsidRPr="00C9343F" w14:paraId="223BB870" w14:textId="77777777" w:rsidTr="005E243D">
        <w:tc>
          <w:tcPr>
            <w:tcW w:w="992" w:type="dxa"/>
          </w:tcPr>
          <w:p w14:paraId="4E3EB4C3" w14:textId="77777777" w:rsidR="00410C41" w:rsidRPr="00C9343F" w:rsidRDefault="00410C41" w:rsidP="00F66D98">
            <w:pPr>
              <w:pStyle w:val="Sectiontext0"/>
              <w:jc w:val="center"/>
            </w:pPr>
          </w:p>
        </w:tc>
        <w:tc>
          <w:tcPr>
            <w:tcW w:w="596" w:type="dxa"/>
          </w:tcPr>
          <w:p w14:paraId="56A9825E" w14:textId="77777777" w:rsidR="00410C41" w:rsidRPr="00C9343F" w:rsidRDefault="00410C41" w:rsidP="00F66D98">
            <w:pPr>
              <w:pStyle w:val="Sectiontext0"/>
              <w:jc w:val="center"/>
              <w:rPr>
                <w:b/>
                <w:bCs/>
              </w:rPr>
            </w:pPr>
            <w:r w:rsidRPr="00C9343F">
              <w:rPr>
                <w:b/>
                <w:bCs/>
              </w:rPr>
              <w:t>B</w:t>
            </w:r>
          </w:p>
        </w:tc>
        <w:tc>
          <w:tcPr>
            <w:tcW w:w="7771" w:type="dxa"/>
          </w:tcPr>
          <w:p w14:paraId="3FFB2EB5" w14:textId="77777777" w:rsidR="00410C41" w:rsidRPr="00C9343F" w:rsidRDefault="00410C41" w:rsidP="00F66D98">
            <w:pPr>
              <w:pStyle w:val="Sectiontext0"/>
            </w:pPr>
            <w:r w:rsidRPr="00C9343F">
              <w:t>is the number of hours of leave the member is purchasing.</w:t>
            </w:r>
          </w:p>
        </w:tc>
      </w:tr>
      <w:tr w:rsidR="00410C41" w:rsidRPr="00C9343F" w14:paraId="23D81756" w14:textId="77777777" w:rsidTr="005E243D">
        <w:tc>
          <w:tcPr>
            <w:tcW w:w="992" w:type="dxa"/>
          </w:tcPr>
          <w:p w14:paraId="681F5CA1" w14:textId="77777777" w:rsidR="00410C41" w:rsidRPr="00C9343F" w:rsidRDefault="00410C41" w:rsidP="00F66D98">
            <w:pPr>
              <w:pStyle w:val="Sectiontext0"/>
              <w:jc w:val="center"/>
            </w:pPr>
          </w:p>
        </w:tc>
        <w:tc>
          <w:tcPr>
            <w:tcW w:w="596" w:type="dxa"/>
          </w:tcPr>
          <w:p w14:paraId="16317252" w14:textId="77777777" w:rsidR="00410C41" w:rsidRPr="00C9343F" w:rsidRDefault="00410C41" w:rsidP="00F66D98">
            <w:pPr>
              <w:pStyle w:val="Sectiontext0"/>
              <w:jc w:val="center"/>
              <w:rPr>
                <w:b/>
                <w:bCs/>
              </w:rPr>
            </w:pPr>
            <w:r w:rsidRPr="00C9343F">
              <w:rPr>
                <w:b/>
                <w:bCs/>
              </w:rPr>
              <w:t>C</w:t>
            </w:r>
          </w:p>
        </w:tc>
        <w:tc>
          <w:tcPr>
            <w:tcW w:w="7771" w:type="dxa"/>
          </w:tcPr>
          <w:p w14:paraId="01FB6180" w14:textId="77777777" w:rsidR="00410C41" w:rsidRPr="00C9343F" w:rsidRDefault="00410C41" w:rsidP="00F66D98">
            <w:pPr>
              <w:pStyle w:val="Sectiontext0"/>
            </w:pPr>
            <w:r w:rsidRPr="00C9343F">
              <w:t>is the number of pay periods over which the member has elected to make the payments.</w:t>
            </w:r>
          </w:p>
        </w:tc>
      </w:tr>
      <w:tr w:rsidR="00410C41" w:rsidRPr="00C9343F" w14:paraId="3ED75B99" w14:textId="77777777" w:rsidTr="005E243D">
        <w:tc>
          <w:tcPr>
            <w:tcW w:w="992" w:type="dxa"/>
          </w:tcPr>
          <w:p w14:paraId="3403FBB0" w14:textId="77777777" w:rsidR="00410C41" w:rsidRPr="00C9343F" w:rsidRDefault="00410C41" w:rsidP="00F66D98">
            <w:pPr>
              <w:pStyle w:val="BlockText-Plain"/>
              <w:jc w:val="center"/>
            </w:pPr>
            <w:r w:rsidRPr="00C9343F">
              <w:t>4.</w:t>
            </w:r>
          </w:p>
        </w:tc>
        <w:tc>
          <w:tcPr>
            <w:tcW w:w="8363" w:type="dxa"/>
            <w:gridSpan w:val="2"/>
          </w:tcPr>
          <w:p w14:paraId="17DB5752" w14:textId="77777777" w:rsidR="00410C41" w:rsidRPr="00C9343F" w:rsidRDefault="00410C41" w:rsidP="00F66D98">
            <w:pPr>
              <w:pStyle w:val="BlockText-Plain"/>
              <w:rPr>
                <w:iCs/>
              </w:rPr>
            </w:pPr>
            <w:r w:rsidRPr="00C9343F">
              <w:rPr>
                <w:iCs/>
              </w:rPr>
              <w:t>The amount of the payment is not reduced if the member is on a flexible service determination.</w:t>
            </w:r>
          </w:p>
          <w:p w14:paraId="54B1AA19" w14:textId="77777777" w:rsidR="00410C41" w:rsidRPr="00C9343F" w:rsidRDefault="00410C41" w:rsidP="00F66D98">
            <w:pPr>
              <w:pStyle w:val="BlockText-Plain"/>
            </w:pPr>
            <w:r w:rsidRPr="00C9343F">
              <w:rPr>
                <w:b/>
                <w:iCs/>
              </w:rPr>
              <w:t>Note:</w:t>
            </w:r>
            <w:r w:rsidRPr="00C9343F">
              <w:rPr>
                <w:iCs/>
              </w:rPr>
              <w:t xml:space="preserve"> If a payment is required by the member during a nonworking period, see Chapter 1 Part 5 section 1.5.4A, Contributions and payments payable by a member not receiving salary.</w:t>
            </w:r>
          </w:p>
        </w:tc>
      </w:tr>
    </w:tbl>
    <w:p w14:paraId="66E1C03D" w14:textId="77777777" w:rsidR="00410C41" w:rsidRPr="00C9343F" w:rsidRDefault="00410C41" w:rsidP="00F66D98">
      <w:pPr>
        <w:pStyle w:val="Heading5"/>
      </w:pPr>
      <w:bookmarkStart w:id="1299" w:name="_Toc105053996"/>
      <w:r w:rsidRPr="00C9343F">
        <w:t>5.4.25    Credit of purchased recreation leave</w:t>
      </w:r>
      <w:bookmarkEnd w:id="1299"/>
    </w:p>
    <w:tbl>
      <w:tblPr>
        <w:tblW w:w="9359" w:type="dxa"/>
        <w:tblInd w:w="113" w:type="dxa"/>
        <w:tblLayout w:type="fixed"/>
        <w:tblLook w:val="0000" w:firstRow="0" w:lastRow="0" w:firstColumn="0" w:lastColumn="0" w:noHBand="0" w:noVBand="0"/>
      </w:tblPr>
      <w:tblGrid>
        <w:gridCol w:w="992"/>
        <w:gridCol w:w="596"/>
        <w:gridCol w:w="7771"/>
      </w:tblGrid>
      <w:tr w:rsidR="00410C41" w:rsidRPr="00C9343F" w14:paraId="42E20FC4" w14:textId="77777777" w:rsidTr="00356616">
        <w:tc>
          <w:tcPr>
            <w:tcW w:w="992" w:type="dxa"/>
          </w:tcPr>
          <w:p w14:paraId="7D98E52F" w14:textId="77777777" w:rsidR="00410C41" w:rsidRPr="00C9343F" w:rsidRDefault="00410C41" w:rsidP="00F66D98">
            <w:pPr>
              <w:pStyle w:val="BlockText-Plain"/>
              <w:keepNext/>
              <w:keepLines/>
              <w:jc w:val="center"/>
            </w:pPr>
            <w:r w:rsidRPr="00C9343F">
              <w:t>1.</w:t>
            </w:r>
          </w:p>
        </w:tc>
        <w:tc>
          <w:tcPr>
            <w:tcW w:w="8367" w:type="dxa"/>
            <w:gridSpan w:val="2"/>
          </w:tcPr>
          <w:p w14:paraId="6D9D3408" w14:textId="77777777" w:rsidR="00410C41" w:rsidRPr="00C9343F" w:rsidRDefault="00410C41" w:rsidP="00F66D98">
            <w:pPr>
              <w:pStyle w:val="BlockText-Plain"/>
              <w:keepNext/>
              <w:keepLines/>
            </w:pPr>
            <w:r w:rsidRPr="00C9343F">
              <w:t xml:space="preserve">This section applies to a member whose application is approved under this Division. </w:t>
            </w:r>
          </w:p>
        </w:tc>
      </w:tr>
      <w:tr w:rsidR="00410C41" w:rsidRPr="00C9343F" w14:paraId="4DC9452B" w14:textId="77777777" w:rsidTr="00356616">
        <w:tc>
          <w:tcPr>
            <w:tcW w:w="992" w:type="dxa"/>
          </w:tcPr>
          <w:p w14:paraId="7583AB97" w14:textId="77777777" w:rsidR="00410C41" w:rsidRPr="00C9343F" w:rsidRDefault="00410C41" w:rsidP="00F66D98">
            <w:pPr>
              <w:pStyle w:val="BlockText-Plain"/>
              <w:keepNext/>
              <w:keepLines/>
              <w:jc w:val="center"/>
            </w:pPr>
            <w:r w:rsidRPr="00C9343F">
              <w:t>2.</w:t>
            </w:r>
          </w:p>
        </w:tc>
        <w:tc>
          <w:tcPr>
            <w:tcW w:w="8367" w:type="dxa"/>
            <w:gridSpan w:val="2"/>
          </w:tcPr>
          <w:p w14:paraId="575AB471" w14:textId="77777777" w:rsidR="00410C41" w:rsidRPr="00C9343F" w:rsidRDefault="00410C41" w:rsidP="00F66D98">
            <w:pPr>
              <w:pStyle w:val="BlockText-Plain"/>
              <w:keepNext/>
              <w:keepLines/>
            </w:pPr>
            <w:r w:rsidRPr="00C9343F">
              <w:t>Purchased recreation leave credits are credited to the member on the same payday the payment for the leave is deducted from the member's pay.</w:t>
            </w:r>
          </w:p>
        </w:tc>
      </w:tr>
      <w:tr w:rsidR="00356616" w:rsidRPr="00C9343F" w14:paraId="1700DD6E" w14:textId="77777777" w:rsidTr="00356616">
        <w:tc>
          <w:tcPr>
            <w:tcW w:w="992" w:type="dxa"/>
          </w:tcPr>
          <w:p w14:paraId="35224A70" w14:textId="77777777" w:rsidR="00356616" w:rsidRPr="00C9343F" w:rsidRDefault="00356616" w:rsidP="00F66D98">
            <w:pPr>
              <w:pStyle w:val="Sectiontext0"/>
              <w:jc w:val="center"/>
            </w:pPr>
            <w:r w:rsidRPr="00C9343F">
              <w:t>3.</w:t>
            </w:r>
          </w:p>
        </w:tc>
        <w:tc>
          <w:tcPr>
            <w:tcW w:w="8367" w:type="dxa"/>
            <w:gridSpan w:val="2"/>
          </w:tcPr>
          <w:p w14:paraId="7F8E73E4" w14:textId="77777777" w:rsidR="00356616" w:rsidRPr="00C9343F" w:rsidRDefault="00356616" w:rsidP="00F66D98">
            <w:pPr>
              <w:pStyle w:val="Sectiontext0"/>
              <w:rPr>
                <w:iCs/>
              </w:rPr>
            </w:pPr>
            <w:r w:rsidRPr="00C9343F">
              <w:rPr>
                <w:iCs/>
              </w:rPr>
              <w:t>The amount of leave the member is credited each fortnight is calculated using the following formula.</w:t>
            </w:r>
          </w:p>
        </w:tc>
      </w:tr>
      <w:tr w:rsidR="00356616" w:rsidRPr="00C9343F" w14:paraId="57E60DFF" w14:textId="77777777" w:rsidTr="00356616">
        <w:tc>
          <w:tcPr>
            <w:tcW w:w="992" w:type="dxa"/>
          </w:tcPr>
          <w:p w14:paraId="173B7225" w14:textId="77777777" w:rsidR="00356616" w:rsidRPr="00C9343F" w:rsidRDefault="00356616" w:rsidP="00F66D98">
            <w:pPr>
              <w:pStyle w:val="Sectiontext0"/>
              <w:jc w:val="center"/>
            </w:pPr>
          </w:p>
        </w:tc>
        <w:tc>
          <w:tcPr>
            <w:tcW w:w="8367" w:type="dxa"/>
            <w:gridSpan w:val="2"/>
          </w:tcPr>
          <w:p w14:paraId="5E96BD39" w14:textId="77777777" w:rsidR="00356616" w:rsidRPr="00C9343F" w:rsidRDefault="00356616" w:rsidP="00F66D98">
            <w:pPr>
              <w:pStyle w:val="Sectiontext0"/>
              <w:rPr>
                <w:b/>
                <w:iCs/>
              </w:rPr>
            </w:pPr>
            <m:oMathPara>
              <m:oMath>
                <m:r>
                  <m:rPr>
                    <m:sty m:val="bi"/>
                  </m:rPr>
                  <w:rPr>
                    <w:rFonts w:ascii="Cambria Math" w:hAnsi="Cambria Math"/>
                  </w:rPr>
                  <m:t xml:space="preserve">leave credited= </m:t>
                </m:r>
                <m:f>
                  <m:fPr>
                    <m:ctrlPr>
                      <w:rPr>
                        <w:rFonts w:ascii="Cambria Math" w:hAnsi="Cambria Math"/>
                        <w:b/>
                        <w:i/>
                        <w:iCs/>
                      </w:rPr>
                    </m:ctrlPr>
                  </m:fPr>
                  <m:num>
                    <m:r>
                      <m:rPr>
                        <m:sty m:val="bi"/>
                      </m:rPr>
                      <w:rPr>
                        <w:rFonts w:ascii="Cambria Math" w:hAnsi="Cambria Math"/>
                      </w:rPr>
                      <m:t>A</m:t>
                    </m:r>
                  </m:num>
                  <m:den>
                    <m:r>
                      <m:rPr>
                        <m:sty m:val="bi"/>
                      </m:rPr>
                      <w:rPr>
                        <w:rFonts w:ascii="Cambria Math" w:hAnsi="Cambria Math"/>
                      </w:rPr>
                      <m:t>B</m:t>
                    </m:r>
                  </m:den>
                </m:f>
              </m:oMath>
            </m:oMathPara>
          </w:p>
        </w:tc>
      </w:tr>
      <w:tr w:rsidR="00356616" w:rsidRPr="00C9343F" w14:paraId="166EC08E" w14:textId="77777777" w:rsidTr="00356616">
        <w:tc>
          <w:tcPr>
            <w:tcW w:w="992" w:type="dxa"/>
          </w:tcPr>
          <w:p w14:paraId="2FB3C4C2" w14:textId="77777777" w:rsidR="00356616" w:rsidRPr="00C9343F" w:rsidRDefault="00356616" w:rsidP="00F66D98">
            <w:pPr>
              <w:pStyle w:val="Sectiontext0"/>
              <w:jc w:val="center"/>
            </w:pPr>
          </w:p>
        </w:tc>
        <w:tc>
          <w:tcPr>
            <w:tcW w:w="8367" w:type="dxa"/>
            <w:gridSpan w:val="2"/>
          </w:tcPr>
          <w:p w14:paraId="1E900724" w14:textId="77777777" w:rsidR="00356616" w:rsidRPr="00C9343F" w:rsidRDefault="00356616" w:rsidP="00F66D98">
            <w:pPr>
              <w:pStyle w:val="Sectiontext0"/>
              <w:rPr>
                <w:iCs/>
              </w:rPr>
            </w:pPr>
            <w:r w:rsidRPr="00C9343F">
              <w:rPr>
                <w:iCs/>
              </w:rPr>
              <w:t>Where:</w:t>
            </w:r>
          </w:p>
        </w:tc>
      </w:tr>
      <w:tr w:rsidR="00356616" w:rsidRPr="00C9343F" w14:paraId="025B8B6F" w14:textId="77777777" w:rsidTr="00356616">
        <w:tc>
          <w:tcPr>
            <w:tcW w:w="992" w:type="dxa"/>
          </w:tcPr>
          <w:p w14:paraId="31DDBE36" w14:textId="77777777" w:rsidR="00356616" w:rsidRPr="00C9343F" w:rsidRDefault="00356616" w:rsidP="00F66D98">
            <w:pPr>
              <w:pStyle w:val="Sectiontext0"/>
              <w:jc w:val="center"/>
            </w:pPr>
          </w:p>
        </w:tc>
        <w:tc>
          <w:tcPr>
            <w:tcW w:w="596" w:type="dxa"/>
          </w:tcPr>
          <w:p w14:paraId="22D6E10E" w14:textId="77777777" w:rsidR="00356616" w:rsidRPr="00C9343F" w:rsidRDefault="00356616" w:rsidP="00F66D98">
            <w:pPr>
              <w:pStyle w:val="Sectiontext0"/>
              <w:rPr>
                <w:b/>
                <w:iCs/>
              </w:rPr>
            </w:pPr>
            <w:r w:rsidRPr="00C9343F">
              <w:rPr>
                <w:b/>
                <w:iCs/>
              </w:rPr>
              <w:t>A</w:t>
            </w:r>
          </w:p>
        </w:tc>
        <w:tc>
          <w:tcPr>
            <w:tcW w:w="7771" w:type="dxa"/>
          </w:tcPr>
          <w:p w14:paraId="28849BD9" w14:textId="77777777" w:rsidR="00356616" w:rsidRPr="00C9343F" w:rsidRDefault="00356616" w:rsidP="00F66D98">
            <w:pPr>
              <w:pStyle w:val="Sectiontext0"/>
              <w:rPr>
                <w:iCs/>
              </w:rPr>
            </w:pPr>
            <w:r w:rsidRPr="00C9343F">
              <w:rPr>
                <w:iCs/>
              </w:rPr>
              <w:t>is the total number of hours of recreation leave credits that were approved to be purchased.</w:t>
            </w:r>
          </w:p>
        </w:tc>
      </w:tr>
      <w:tr w:rsidR="00356616" w:rsidRPr="00C9343F" w14:paraId="49DEF0EC" w14:textId="77777777" w:rsidTr="00356616">
        <w:tc>
          <w:tcPr>
            <w:tcW w:w="992" w:type="dxa"/>
          </w:tcPr>
          <w:p w14:paraId="0D00CC43" w14:textId="77777777" w:rsidR="00356616" w:rsidRPr="00C9343F" w:rsidRDefault="00356616" w:rsidP="00F66D98">
            <w:pPr>
              <w:pStyle w:val="Sectiontext0"/>
              <w:jc w:val="center"/>
            </w:pPr>
          </w:p>
        </w:tc>
        <w:tc>
          <w:tcPr>
            <w:tcW w:w="596" w:type="dxa"/>
          </w:tcPr>
          <w:p w14:paraId="72A8DCE3" w14:textId="77777777" w:rsidR="00356616" w:rsidRPr="00C9343F" w:rsidRDefault="00356616" w:rsidP="00F66D98">
            <w:pPr>
              <w:pStyle w:val="Sectiontext0"/>
              <w:rPr>
                <w:b/>
                <w:iCs/>
              </w:rPr>
            </w:pPr>
            <w:r w:rsidRPr="00C9343F">
              <w:rPr>
                <w:b/>
                <w:iCs/>
              </w:rPr>
              <w:t>B</w:t>
            </w:r>
          </w:p>
        </w:tc>
        <w:tc>
          <w:tcPr>
            <w:tcW w:w="7771" w:type="dxa"/>
          </w:tcPr>
          <w:p w14:paraId="532EEA4A" w14:textId="77777777" w:rsidR="00356616" w:rsidRPr="00C9343F" w:rsidRDefault="00356616" w:rsidP="00F66D98">
            <w:pPr>
              <w:pStyle w:val="Sectiontext0"/>
              <w:rPr>
                <w:iCs/>
              </w:rPr>
            </w:pPr>
            <w:r w:rsidRPr="00C9343F">
              <w:rPr>
                <w:iCs/>
              </w:rPr>
              <w:t>is the number of pay periods the member elected to pay for the purchased hours over.</w:t>
            </w:r>
          </w:p>
        </w:tc>
      </w:tr>
      <w:tr w:rsidR="00410C41" w:rsidRPr="00C9343F" w14:paraId="2C66CC45" w14:textId="77777777" w:rsidTr="00356616">
        <w:tc>
          <w:tcPr>
            <w:tcW w:w="992" w:type="dxa"/>
          </w:tcPr>
          <w:p w14:paraId="43A8339B" w14:textId="77777777" w:rsidR="00410C41" w:rsidRPr="00C9343F" w:rsidRDefault="00410C41" w:rsidP="00F66D98">
            <w:pPr>
              <w:pStyle w:val="BlockText-Plain"/>
              <w:jc w:val="center"/>
            </w:pPr>
            <w:r w:rsidRPr="00C9343F">
              <w:t>4.</w:t>
            </w:r>
          </w:p>
        </w:tc>
        <w:tc>
          <w:tcPr>
            <w:tcW w:w="8363" w:type="dxa"/>
            <w:gridSpan w:val="2"/>
          </w:tcPr>
          <w:p w14:paraId="26D09EBF" w14:textId="77777777" w:rsidR="00410C41" w:rsidRPr="00C9343F" w:rsidRDefault="00410C41" w:rsidP="00F66D98">
            <w:pPr>
              <w:pStyle w:val="BlockText-Plain"/>
            </w:pPr>
            <w:r w:rsidRPr="00C9343F">
              <w:t>A member is able to apply to use recreation leave credits as soon as it has been credited.</w:t>
            </w:r>
          </w:p>
        </w:tc>
      </w:tr>
    </w:tbl>
    <w:p w14:paraId="7EB74675" w14:textId="77777777" w:rsidR="00410C41" w:rsidRPr="00C9343F" w:rsidRDefault="00410C41" w:rsidP="00F66D98">
      <w:pPr>
        <w:pStyle w:val="Heading5"/>
        <w:rPr>
          <w:b w:val="0"/>
          <w:i/>
          <w:color w:val="000000"/>
          <w:sz w:val="20"/>
        </w:rPr>
      </w:pPr>
      <w:bookmarkStart w:id="1300" w:name="_Toc105053997"/>
      <w:r w:rsidRPr="00C9343F">
        <w:t xml:space="preserve">5.4.26    Cancellation to the amount of purchased recreation </w:t>
      </w:r>
      <w:r w:rsidRPr="00C9343F">
        <w:rPr>
          <w:color w:val="000000"/>
        </w:rPr>
        <w:t>leave</w:t>
      </w:r>
      <w:bookmarkEnd w:id="1300"/>
      <w:r w:rsidRPr="00C9343F">
        <w:rPr>
          <w:color w:val="000000"/>
        </w:rPr>
        <w:t xml:space="preserve"> </w:t>
      </w:r>
    </w:p>
    <w:tbl>
      <w:tblPr>
        <w:tblW w:w="0" w:type="auto"/>
        <w:tblInd w:w="113" w:type="dxa"/>
        <w:tblLayout w:type="fixed"/>
        <w:tblLook w:val="0000" w:firstRow="0" w:lastRow="0" w:firstColumn="0" w:lastColumn="0" w:noHBand="0" w:noVBand="0"/>
      </w:tblPr>
      <w:tblGrid>
        <w:gridCol w:w="992"/>
        <w:gridCol w:w="567"/>
        <w:gridCol w:w="7800"/>
      </w:tblGrid>
      <w:tr w:rsidR="00410C41" w:rsidRPr="00C9343F" w14:paraId="2B6C0AB2" w14:textId="77777777" w:rsidTr="005E243D">
        <w:tc>
          <w:tcPr>
            <w:tcW w:w="992" w:type="dxa"/>
          </w:tcPr>
          <w:p w14:paraId="5816FD13" w14:textId="77777777" w:rsidR="00410C41" w:rsidRPr="00C9343F" w:rsidRDefault="00410C41" w:rsidP="00F66D98">
            <w:pPr>
              <w:pStyle w:val="BlockText-Plain"/>
              <w:jc w:val="center"/>
              <w:rPr>
                <w:color w:val="000000"/>
              </w:rPr>
            </w:pPr>
            <w:r w:rsidRPr="00C9343F">
              <w:rPr>
                <w:color w:val="000000"/>
              </w:rPr>
              <w:t>1.</w:t>
            </w:r>
          </w:p>
        </w:tc>
        <w:tc>
          <w:tcPr>
            <w:tcW w:w="8367" w:type="dxa"/>
            <w:gridSpan w:val="2"/>
          </w:tcPr>
          <w:p w14:paraId="04F7A470" w14:textId="77777777" w:rsidR="00410C41" w:rsidRPr="00C9343F" w:rsidRDefault="00410C41" w:rsidP="00F66D98">
            <w:pPr>
              <w:pStyle w:val="BlockText-Plain"/>
              <w:rPr>
                <w:color w:val="000000"/>
              </w:rPr>
            </w:pPr>
            <w:r w:rsidRPr="00C9343F">
              <w:rPr>
                <w:color w:val="000000"/>
              </w:rPr>
              <w:t>A purchased recreation leave arrangement will be cancelled from the time a member is on any of the following kinds of service.</w:t>
            </w:r>
          </w:p>
        </w:tc>
      </w:tr>
      <w:tr w:rsidR="00410C41" w:rsidRPr="00C9343F" w14:paraId="3470FD0D" w14:textId="77777777" w:rsidTr="005E243D">
        <w:trPr>
          <w:cantSplit/>
        </w:trPr>
        <w:tc>
          <w:tcPr>
            <w:tcW w:w="992" w:type="dxa"/>
          </w:tcPr>
          <w:p w14:paraId="6AE3165E" w14:textId="77777777" w:rsidR="00410C41" w:rsidRPr="00C9343F" w:rsidRDefault="00410C41" w:rsidP="00F66D98">
            <w:pPr>
              <w:pStyle w:val="BlockText-Plain"/>
            </w:pPr>
          </w:p>
        </w:tc>
        <w:tc>
          <w:tcPr>
            <w:tcW w:w="567" w:type="dxa"/>
          </w:tcPr>
          <w:p w14:paraId="24DE0DD5" w14:textId="77777777" w:rsidR="00410C41" w:rsidRPr="00C9343F" w:rsidRDefault="00410C41" w:rsidP="008D1B5D">
            <w:pPr>
              <w:pStyle w:val="BlockText-Plain"/>
              <w:jc w:val="center"/>
            </w:pPr>
            <w:r w:rsidRPr="00C9343F">
              <w:t>a.</w:t>
            </w:r>
          </w:p>
        </w:tc>
        <w:tc>
          <w:tcPr>
            <w:tcW w:w="7800" w:type="dxa"/>
          </w:tcPr>
          <w:p w14:paraId="75C57D9E" w14:textId="77777777" w:rsidR="00410C41" w:rsidRPr="00C9343F" w:rsidRDefault="00410C41" w:rsidP="00F66D98">
            <w:pPr>
              <w:pStyle w:val="BlockText-Plain"/>
            </w:pPr>
            <w:r w:rsidRPr="00C9343F">
              <w:t>Warlike service.</w:t>
            </w:r>
          </w:p>
        </w:tc>
      </w:tr>
      <w:tr w:rsidR="00410C41" w:rsidRPr="00C9343F" w14:paraId="335F37D2" w14:textId="77777777" w:rsidTr="005E243D">
        <w:trPr>
          <w:cantSplit/>
        </w:trPr>
        <w:tc>
          <w:tcPr>
            <w:tcW w:w="992" w:type="dxa"/>
          </w:tcPr>
          <w:p w14:paraId="6DA8AFDD" w14:textId="77777777" w:rsidR="00410C41" w:rsidRPr="00C9343F" w:rsidRDefault="00410C41" w:rsidP="00F66D98">
            <w:pPr>
              <w:pStyle w:val="BlockText-Plain"/>
            </w:pPr>
          </w:p>
        </w:tc>
        <w:tc>
          <w:tcPr>
            <w:tcW w:w="567" w:type="dxa"/>
          </w:tcPr>
          <w:p w14:paraId="7B6FB0CF" w14:textId="77777777" w:rsidR="00410C41" w:rsidRPr="00C9343F" w:rsidRDefault="00410C41" w:rsidP="008D1B5D">
            <w:pPr>
              <w:pStyle w:val="BlockText-Plain"/>
              <w:jc w:val="center"/>
            </w:pPr>
            <w:r w:rsidRPr="00C9343F">
              <w:t>b.</w:t>
            </w:r>
          </w:p>
        </w:tc>
        <w:tc>
          <w:tcPr>
            <w:tcW w:w="7800" w:type="dxa"/>
          </w:tcPr>
          <w:p w14:paraId="06DEFB66" w14:textId="77777777" w:rsidR="00410C41" w:rsidRPr="00C9343F" w:rsidRDefault="00410C41" w:rsidP="00F66D98">
            <w:pPr>
              <w:pStyle w:val="BlockText-Plain"/>
            </w:pPr>
            <w:r w:rsidRPr="00C9343F">
              <w:t>Non-warlike service.</w:t>
            </w:r>
          </w:p>
        </w:tc>
      </w:tr>
      <w:tr w:rsidR="00410C41" w:rsidRPr="00C9343F" w14:paraId="0F94893F" w14:textId="77777777" w:rsidTr="005E243D">
        <w:trPr>
          <w:cantSplit/>
        </w:trPr>
        <w:tc>
          <w:tcPr>
            <w:tcW w:w="992" w:type="dxa"/>
          </w:tcPr>
          <w:p w14:paraId="66ED3CDE" w14:textId="77777777" w:rsidR="00410C41" w:rsidRPr="00C9343F" w:rsidRDefault="00410C41" w:rsidP="00F66D98">
            <w:pPr>
              <w:pStyle w:val="BlockText-Plain"/>
            </w:pPr>
          </w:p>
        </w:tc>
        <w:tc>
          <w:tcPr>
            <w:tcW w:w="567" w:type="dxa"/>
          </w:tcPr>
          <w:p w14:paraId="3644F8BA" w14:textId="77777777" w:rsidR="00410C41" w:rsidRPr="00C9343F" w:rsidRDefault="00410C41" w:rsidP="008D1B5D">
            <w:pPr>
              <w:pStyle w:val="BlockText-Plain"/>
              <w:jc w:val="center"/>
            </w:pPr>
            <w:r w:rsidRPr="00C9343F">
              <w:t>c.</w:t>
            </w:r>
          </w:p>
        </w:tc>
        <w:tc>
          <w:tcPr>
            <w:tcW w:w="7800" w:type="dxa"/>
          </w:tcPr>
          <w:p w14:paraId="0F06B683" w14:textId="77777777" w:rsidR="00410C41" w:rsidRPr="00C9343F" w:rsidRDefault="00410C41" w:rsidP="00F66D98">
            <w:pPr>
              <w:pStyle w:val="BlockText-Plain"/>
              <w:rPr>
                <w:i/>
              </w:rPr>
            </w:pPr>
            <w:r w:rsidRPr="00C9343F">
              <w:t xml:space="preserve">Foreign service, as defined by section 23AG (7) of the </w:t>
            </w:r>
            <w:r w:rsidRPr="00C9343F">
              <w:rPr>
                <w:i/>
              </w:rPr>
              <w:t>Income Tax Assessment Act 1936</w:t>
            </w:r>
            <w:r w:rsidRPr="00C9343F">
              <w:t xml:space="preserve">, which could reasonably be expected be exempt from tax under sub-section 23AG of the </w:t>
            </w:r>
            <w:r w:rsidRPr="00C9343F">
              <w:rPr>
                <w:i/>
              </w:rPr>
              <w:t xml:space="preserve">Income Tax Assessment Act 1936. </w:t>
            </w:r>
          </w:p>
        </w:tc>
      </w:tr>
      <w:tr w:rsidR="00410C41" w:rsidRPr="00C9343F" w14:paraId="11387EF4" w14:textId="77777777" w:rsidTr="005E243D">
        <w:tc>
          <w:tcPr>
            <w:tcW w:w="992" w:type="dxa"/>
          </w:tcPr>
          <w:p w14:paraId="5061FE91" w14:textId="77777777" w:rsidR="00410C41" w:rsidRPr="00C9343F" w:rsidRDefault="00410C41" w:rsidP="00F66D98">
            <w:pPr>
              <w:pStyle w:val="BlockText-Plain"/>
              <w:jc w:val="center"/>
            </w:pPr>
            <w:r w:rsidRPr="00C9343F">
              <w:t>2.</w:t>
            </w:r>
          </w:p>
        </w:tc>
        <w:tc>
          <w:tcPr>
            <w:tcW w:w="8367" w:type="dxa"/>
            <w:gridSpan w:val="2"/>
          </w:tcPr>
          <w:p w14:paraId="5A6FE1DB" w14:textId="77777777" w:rsidR="00410C41" w:rsidRPr="00C9343F" w:rsidRDefault="00410C41" w:rsidP="00F66D98">
            <w:pPr>
              <w:pStyle w:val="BlockText-Plain"/>
            </w:pPr>
            <w:r w:rsidRPr="00C9343F">
              <w:t xml:space="preserve">A member may make a fresh application to purchase recreation leave when they are no longer on a type of service under subsection 1. </w:t>
            </w:r>
          </w:p>
        </w:tc>
      </w:tr>
      <w:tr w:rsidR="00410C41" w:rsidRPr="00C9343F" w14:paraId="7C3FCE09" w14:textId="77777777" w:rsidTr="005E243D">
        <w:tc>
          <w:tcPr>
            <w:tcW w:w="992" w:type="dxa"/>
          </w:tcPr>
          <w:p w14:paraId="3F6B1BCD" w14:textId="77777777" w:rsidR="00410C41" w:rsidRPr="00C9343F" w:rsidRDefault="00410C41" w:rsidP="00F66D98">
            <w:pPr>
              <w:pStyle w:val="BlockText-Plain"/>
              <w:jc w:val="center"/>
            </w:pPr>
            <w:r w:rsidRPr="00C9343F">
              <w:t>3.</w:t>
            </w:r>
          </w:p>
        </w:tc>
        <w:tc>
          <w:tcPr>
            <w:tcW w:w="8367" w:type="dxa"/>
            <w:gridSpan w:val="2"/>
          </w:tcPr>
          <w:p w14:paraId="0B16540E" w14:textId="77777777" w:rsidR="00410C41" w:rsidRPr="00C9343F" w:rsidRDefault="00410C41" w:rsidP="00F66D98">
            <w:pPr>
              <w:pStyle w:val="BlockText-Plain"/>
            </w:pPr>
            <w:r w:rsidRPr="00C9343F">
              <w:t>The member may cancel their purchased recreation leave arrangement made under section 5.4.24 if the arrangement was approved by their supervisor on or after 10 August 2017.</w:t>
            </w:r>
          </w:p>
          <w:p w14:paraId="72A3429F" w14:textId="77777777" w:rsidR="00410C41" w:rsidRPr="00C9343F" w:rsidRDefault="00410C41" w:rsidP="00F66D98">
            <w:pPr>
              <w:pStyle w:val="BlockText-Plain"/>
            </w:pPr>
            <w:r w:rsidRPr="00C9343F">
              <w:rPr>
                <w:b/>
              </w:rPr>
              <w:t>Note:</w:t>
            </w:r>
            <w:r w:rsidRPr="00C9343F">
              <w:t xml:space="preserve"> A purchased recreation leave arrangement cancelled under this section does not affect recreation leave already purchased.</w:t>
            </w:r>
          </w:p>
        </w:tc>
      </w:tr>
    </w:tbl>
    <w:p w14:paraId="13C664DD" w14:textId="77777777" w:rsidR="00410C41" w:rsidRPr="00C9343F" w:rsidRDefault="00410C41" w:rsidP="00D94CE3">
      <w:pPr>
        <w:pStyle w:val="Heading4"/>
        <w:pageBreakBefore/>
      </w:pPr>
      <w:bookmarkStart w:id="1301" w:name="_Toc105053998"/>
      <w:r w:rsidRPr="00C9343F">
        <w:t>Division 6: Additional recreation leave for training ('trainee leave')</w:t>
      </w:r>
      <w:bookmarkEnd w:id="1301"/>
    </w:p>
    <w:p w14:paraId="3D183C2A" w14:textId="77777777" w:rsidR="00410C41" w:rsidRPr="00C9343F" w:rsidRDefault="00410C41" w:rsidP="00F66D98">
      <w:pPr>
        <w:pStyle w:val="Heading5"/>
      </w:pPr>
      <w:bookmarkStart w:id="1302" w:name="_Toc105053999"/>
      <w:r w:rsidRPr="00C9343F">
        <w:t>5.4.27    Purpose</w:t>
      </w:r>
      <w:bookmarkEnd w:id="1302"/>
    </w:p>
    <w:tbl>
      <w:tblPr>
        <w:tblW w:w="0" w:type="auto"/>
        <w:tblInd w:w="113" w:type="dxa"/>
        <w:tblLayout w:type="fixed"/>
        <w:tblLook w:val="0000" w:firstRow="0" w:lastRow="0" w:firstColumn="0" w:lastColumn="0" w:noHBand="0" w:noVBand="0"/>
      </w:tblPr>
      <w:tblGrid>
        <w:gridCol w:w="992"/>
        <w:gridCol w:w="8363"/>
      </w:tblGrid>
      <w:tr w:rsidR="00410C41" w:rsidRPr="00C9343F" w14:paraId="0300FD0A" w14:textId="77777777" w:rsidTr="005E243D">
        <w:tc>
          <w:tcPr>
            <w:tcW w:w="992" w:type="dxa"/>
          </w:tcPr>
          <w:p w14:paraId="65C8F4D7" w14:textId="77777777" w:rsidR="00410C41" w:rsidRPr="00C9343F" w:rsidRDefault="00410C41" w:rsidP="00F66D98">
            <w:pPr>
              <w:pStyle w:val="BlockText-PlainNoSpacing"/>
              <w:jc w:val="center"/>
            </w:pPr>
          </w:p>
        </w:tc>
        <w:tc>
          <w:tcPr>
            <w:tcW w:w="8363" w:type="dxa"/>
          </w:tcPr>
          <w:p w14:paraId="6965D749" w14:textId="77777777" w:rsidR="00410C41" w:rsidRPr="00C9343F" w:rsidRDefault="00410C41" w:rsidP="00F66D98">
            <w:pPr>
              <w:pStyle w:val="BlockText-Plain"/>
            </w:pPr>
            <w:r w:rsidRPr="00C9343F">
              <w:t>Additional recreation leave for training is for a member who must take a break from a course and who does not have enough recreation leave credit to cover the absence. The leave is sometimes called trainee leave.</w:t>
            </w:r>
          </w:p>
        </w:tc>
      </w:tr>
    </w:tbl>
    <w:p w14:paraId="57F8233A" w14:textId="77777777" w:rsidR="00410C41" w:rsidRPr="00C9343F" w:rsidRDefault="00410C41" w:rsidP="00F66D98">
      <w:pPr>
        <w:pStyle w:val="Heading5"/>
      </w:pPr>
      <w:bookmarkStart w:id="1303" w:name="_Toc105054000"/>
      <w:r w:rsidRPr="00C9343F">
        <w:t>5.4.28    Member eligible for trainee leave</w:t>
      </w:r>
      <w:bookmarkEnd w:id="1303"/>
    </w:p>
    <w:tbl>
      <w:tblPr>
        <w:tblW w:w="0" w:type="auto"/>
        <w:tblInd w:w="113" w:type="dxa"/>
        <w:tblLayout w:type="fixed"/>
        <w:tblLook w:val="0000" w:firstRow="0" w:lastRow="0" w:firstColumn="0" w:lastColumn="0" w:noHBand="0" w:noVBand="0"/>
      </w:tblPr>
      <w:tblGrid>
        <w:gridCol w:w="992"/>
        <w:gridCol w:w="567"/>
        <w:gridCol w:w="7796"/>
      </w:tblGrid>
      <w:tr w:rsidR="00410C41" w:rsidRPr="00C9343F" w14:paraId="1BD3E3B6" w14:textId="77777777" w:rsidTr="005E243D">
        <w:tc>
          <w:tcPr>
            <w:tcW w:w="992" w:type="dxa"/>
          </w:tcPr>
          <w:p w14:paraId="656C438F" w14:textId="77777777" w:rsidR="00410C41" w:rsidRPr="00C9343F" w:rsidRDefault="00410C41" w:rsidP="00F66D98">
            <w:pPr>
              <w:pStyle w:val="BlockText-Plain"/>
              <w:jc w:val="center"/>
            </w:pPr>
            <w:r w:rsidRPr="00C9343F">
              <w:t>1.</w:t>
            </w:r>
          </w:p>
        </w:tc>
        <w:tc>
          <w:tcPr>
            <w:tcW w:w="8363" w:type="dxa"/>
            <w:gridSpan w:val="2"/>
          </w:tcPr>
          <w:p w14:paraId="0568AD7A" w14:textId="77777777" w:rsidR="00410C41" w:rsidRPr="00C9343F" w:rsidRDefault="00410C41" w:rsidP="00F66D98">
            <w:pPr>
              <w:pStyle w:val="BlockText-Plain"/>
            </w:pPr>
            <w:r w:rsidRPr="00C9343F">
              <w:t>This section applies to a member who meets all of these conditions.</w:t>
            </w:r>
          </w:p>
        </w:tc>
      </w:tr>
      <w:tr w:rsidR="00410C41" w:rsidRPr="00C9343F" w14:paraId="596A87AC" w14:textId="77777777" w:rsidTr="005E243D">
        <w:trPr>
          <w:cantSplit/>
        </w:trPr>
        <w:tc>
          <w:tcPr>
            <w:tcW w:w="992" w:type="dxa"/>
          </w:tcPr>
          <w:p w14:paraId="2AD36E0C" w14:textId="77777777" w:rsidR="00410C41" w:rsidRPr="00C9343F" w:rsidRDefault="00410C41" w:rsidP="00F66D98">
            <w:pPr>
              <w:pStyle w:val="BlockText-Plain"/>
            </w:pPr>
          </w:p>
        </w:tc>
        <w:tc>
          <w:tcPr>
            <w:tcW w:w="567" w:type="dxa"/>
          </w:tcPr>
          <w:p w14:paraId="0C318D4B" w14:textId="77777777" w:rsidR="00410C41" w:rsidRPr="00C9343F" w:rsidRDefault="00410C41" w:rsidP="008D1B5D">
            <w:pPr>
              <w:pStyle w:val="BlockText-Plain"/>
              <w:jc w:val="center"/>
            </w:pPr>
            <w:r w:rsidRPr="00C9343F">
              <w:t>a.</w:t>
            </w:r>
          </w:p>
        </w:tc>
        <w:tc>
          <w:tcPr>
            <w:tcW w:w="7796" w:type="dxa"/>
          </w:tcPr>
          <w:p w14:paraId="64061BEF" w14:textId="77777777" w:rsidR="00410C41" w:rsidRPr="00C9343F" w:rsidRDefault="00410C41" w:rsidP="00F66D98">
            <w:pPr>
              <w:pStyle w:val="BlockText-Plain"/>
              <w:rPr>
                <w:b/>
              </w:rPr>
            </w:pPr>
            <w:r w:rsidRPr="00C9343F">
              <w:t>They are required by their Service to attend a training course, or a series of courses.</w:t>
            </w:r>
          </w:p>
        </w:tc>
      </w:tr>
      <w:tr w:rsidR="00410C41" w:rsidRPr="00C9343F" w14:paraId="48F25A7D" w14:textId="77777777" w:rsidTr="005E243D">
        <w:trPr>
          <w:cantSplit/>
        </w:trPr>
        <w:tc>
          <w:tcPr>
            <w:tcW w:w="992" w:type="dxa"/>
          </w:tcPr>
          <w:p w14:paraId="66E3C83E" w14:textId="77777777" w:rsidR="00410C41" w:rsidRPr="00C9343F" w:rsidRDefault="00410C41" w:rsidP="00F66D98">
            <w:pPr>
              <w:pStyle w:val="BlockText-Plain"/>
            </w:pPr>
          </w:p>
        </w:tc>
        <w:tc>
          <w:tcPr>
            <w:tcW w:w="567" w:type="dxa"/>
          </w:tcPr>
          <w:p w14:paraId="4B85EEE7" w14:textId="77777777" w:rsidR="00410C41" w:rsidRPr="00C9343F" w:rsidRDefault="00410C41" w:rsidP="008D1B5D">
            <w:pPr>
              <w:pStyle w:val="BlockText-Plain"/>
              <w:jc w:val="center"/>
            </w:pPr>
            <w:r w:rsidRPr="00C9343F">
              <w:t>b.</w:t>
            </w:r>
          </w:p>
        </w:tc>
        <w:tc>
          <w:tcPr>
            <w:tcW w:w="7796" w:type="dxa"/>
          </w:tcPr>
          <w:p w14:paraId="6C2B01D6" w14:textId="77777777" w:rsidR="00410C41" w:rsidRPr="00C9343F" w:rsidRDefault="00410C41" w:rsidP="00F66D98">
            <w:pPr>
              <w:pStyle w:val="BlockText-Plain"/>
            </w:pPr>
            <w:r w:rsidRPr="00C9343F">
              <w:t>They are not required to attend the course during a course break.</w:t>
            </w:r>
          </w:p>
        </w:tc>
      </w:tr>
      <w:tr w:rsidR="00410C41" w:rsidRPr="00C9343F" w14:paraId="35373504" w14:textId="77777777" w:rsidTr="005E243D">
        <w:trPr>
          <w:cantSplit/>
        </w:trPr>
        <w:tc>
          <w:tcPr>
            <w:tcW w:w="992" w:type="dxa"/>
          </w:tcPr>
          <w:p w14:paraId="14864F0B" w14:textId="77777777" w:rsidR="00410C41" w:rsidRPr="00C9343F" w:rsidRDefault="00410C41" w:rsidP="00F66D98">
            <w:pPr>
              <w:pStyle w:val="BlockText-Plain"/>
            </w:pPr>
          </w:p>
        </w:tc>
        <w:tc>
          <w:tcPr>
            <w:tcW w:w="567" w:type="dxa"/>
          </w:tcPr>
          <w:p w14:paraId="7F932678" w14:textId="77777777" w:rsidR="00410C41" w:rsidRPr="00C9343F" w:rsidRDefault="00410C41" w:rsidP="008D1B5D">
            <w:pPr>
              <w:pStyle w:val="BlockText-Plain"/>
              <w:jc w:val="center"/>
            </w:pPr>
            <w:r w:rsidRPr="00C9343F">
              <w:t>c.</w:t>
            </w:r>
          </w:p>
        </w:tc>
        <w:tc>
          <w:tcPr>
            <w:tcW w:w="7796" w:type="dxa"/>
          </w:tcPr>
          <w:p w14:paraId="4B37C2C1" w14:textId="77777777" w:rsidR="00410C41" w:rsidRPr="00C9343F" w:rsidRDefault="00410C41" w:rsidP="00F66D98">
            <w:pPr>
              <w:pStyle w:val="BlockText-Plain"/>
            </w:pPr>
            <w:r w:rsidRPr="00C9343F">
              <w:t>They do not have enough recreation leave to cover the period of the course break.</w:t>
            </w:r>
          </w:p>
        </w:tc>
      </w:tr>
      <w:tr w:rsidR="00410C41" w:rsidRPr="00C9343F" w14:paraId="4ECE5DC3" w14:textId="77777777" w:rsidTr="005E243D">
        <w:tc>
          <w:tcPr>
            <w:tcW w:w="992" w:type="dxa"/>
          </w:tcPr>
          <w:p w14:paraId="21F99832" w14:textId="77777777" w:rsidR="00410C41" w:rsidRPr="00C9343F" w:rsidRDefault="00410C41" w:rsidP="00F66D98">
            <w:pPr>
              <w:pStyle w:val="BlockText-Plain"/>
              <w:jc w:val="center"/>
            </w:pPr>
            <w:r w:rsidRPr="00C9343F">
              <w:t>2.</w:t>
            </w:r>
          </w:p>
        </w:tc>
        <w:tc>
          <w:tcPr>
            <w:tcW w:w="8363" w:type="dxa"/>
            <w:gridSpan w:val="2"/>
          </w:tcPr>
          <w:p w14:paraId="7F508369" w14:textId="77777777" w:rsidR="00410C41" w:rsidRPr="00C9343F" w:rsidRDefault="00410C41" w:rsidP="00F66D98">
            <w:pPr>
              <w:pStyle w:val="BlockText-Plain"/>
            </w:pPr>
            <w:r w:rsidRPr="00C9343F">
              <w:t>The member is able to take trainee leave for the period of the course break not covered by recreation leave.</w:t>
            </w:r>
          </w:p>
        </w:tc>
      </w:tr>
      <w:tr w:rsidR="00410C41" w:rsidRPr="00C9343F" w14:paraId="16A9C44F" w14:textId="77777777" w:rsidTr="005E243D">
        <w:tc>
          <w:tcPr>
            <w:tcW w:w="992" w:type="dxa"/>
          </w:tcPr>
          <w:p w14:paraId="5DEFDD2D" w14:textId="77777777" w:rsidR="00410C41" w:rsidRPr="00C9343F" w:rsidRDefault="00410C41" w:rsidP="00F66D98">
            <w:pPr>
              <w:pStyle w:val="BlockText-Plain"/>
              <w:jc w:val="center"/>
            </w:pPr>
            <w:r w:rsidRPr="00C9343F">
              <w:t>3.</w:t>
            </w:r>
          </w:p>
        </w:tc>
        <w:tc>
          <w:tcPr>
            <w:tcW w:w="8363" w:type="dxa"/>
            <w:gridSpan w:val="2"/>
          </w:tcPr>
          <w:p w14:paraId="5604F14C" w14:textId="77777777" w:rsidR="00410C41" w:rsidRPr="00C9343F" w:rsidRDefault="00410C41" w:rsidP="00F66D98">
            <w:pPr>
              <w:pStyle w:val="BlockText-Plain"/>
            </w:pPr>
            <w:r w:rsidRPr="00C9343F">
              <w:t>Recreation leave credits must be used before trainee leave may be granted.</w:t>
            </w:r>
          </w:p>
        </w:tc>
      </w:tr>
    </w:tbl>
    <w:p w14:paraId="09DCBA0F" w14:textId="04B35DB3" w:rsidR="00410C41" w:rsidRPr="00C9343F" w:rsidRDefault="00504077" w:rsidP="00F66D98">
      <w:pPr>
        <w:pStyle w:val="Heading5"/>
      </w:pPr>
      <w:bookmarkStart w:id="1304" w:name="_Toc105054001"/>
      <w:r w:rsidRPr="00C9343F">
        <w:t>5.4.29  </w:t>
      </w:r>
      <w:r w:rsidR="00410C41" w:rsidRPr="00C9343F">
        <w:t>  Member on a flexible service determination</w:t>
      </w:r>
      <w:bookmarkEnd w:id="1304"/>
    </w:p>
    <w:tbl>
      <w:tblPr>
        <w:tblW w:w="0" w:type="auto"/>
        <w:tblInd w:w="113" w:type="dxa"/>
        <w:tblLayout w:type="fixed"/>
        <w:tblLook w:val="0000" w:firstRow="0" w:lastRow="0" w:firstColumn="0" w:lastColumn="0" w:noHBand="0" w:noVBand="0"/>
      </w:tblPr>
      <w:tblGrid>
        <w:gridCol w:w="992"/>
        <w:gridCol w:w="8367"/>
      </w:tblGrid>
      <w:tr w:rsidR="00410C41" w:rsidRPr="00C9343F" w14:paraId="21C1DF7B" w14:textId="77777777" w:rsidTr="005E243D">
        <w:tc>
          <w:tcPr>
            <w:tcW w:w="992" w:type="dxa"/>
          </w:tcPr>
          <w:p w14:paraId="73DA7D21" w14:textId="77777777" w:rsidR="00410C41" w:rsidRPr="00C9343F" w:rsidRDefault="00410C41" w:rsidP="00F66D98">
            <w:pPr>
              <w:pStyle w:val="BlockText-Plain"/>
              <w:jc w:val="center"/>
            </w:pPr>
          </w:p>
        </w:tc>
        <w:tc>
          <w:tcPr>
            <w:tcW w:w="8367" w:type="dxa"/>
          </w:tcPr>
          <w:p w14:paraId="1FFF5739" w14:textId="77777777" w:rsidR="00410C41" w:rsidRPr="00C9343F" w:rsidRDefault="00410C41" w:rsidP="00F66D98">
            <w:pPr>
              <w:pStyle w:val="BlockText-Plain"/>
            </w:pPr>
            <w:r w:rsidRPr="00C9343F">
              <w:rPr>
                <w:iCs/>
              </w:rPr>
              <w:t>A member on a flexible service determination may only be granted trainee leave for a period in the member's pattern of service.</w:t>
            </w:r>
          </w:p>
        </w:tc>
      </w:tr>
    </w:tbl>
    <w:p w14:paraId="25A726E2" w14:textId="77777777" w:rsidR="00410C41" w:rsidRPr="00C9343F" w:rsidRDefault="00410C41" w:rsidP="00F66D98"/>
    <w:p w14:paraId="188B8498" w14:textId="45591BA2" w:rsidR="00410C41" w:rsidRPr="00C9343F" w:rsidRDefault="00410C41" w:rsidP="00AB3D72">
      <w:pPr>
        <w:pStyle w:val="Heading4"/>
        <w:pageBreakBefore/>
      </w:pPr>
      <w:bookmarkStart w:id="1305" w:name="_Toc105054002"/>
      <w:r w:rsidRPr="00C9343F">
        <w:t>Division 7: Administration and payment for recreation leave</w:t>
      </w:r>
      <w:bookmarkEnd w:id="1305"/>
    </w:p>
    <w:p w14:paraId="3B6A828D" w14:textId="77777777" w:rsidR="00410C41" w:rsidRPr="00C9343F" w:rsidRDefault="00410C41" w:rsidP="00F66D98">
      <w:pPr>
        <w:pStyle w:val="Heading5"/>
      </w:pPr>
      <w:bookmarkStart w:id="1306" w:name="_Toc105054003"/>
      <w:r w:rsidRPr="00C9343F">
        <w:t>5.4.30    Purpose</w:t>
      </w:r>
      <w:bookmarkEnd w:id="1306"/>
    </w:p>
    <w:tbl>
      <w:tblPr>
        <w:tblW w:w="9355" w:type="dxa"/>
        <w:tblInd w:w="113" w:type="dxa"/>
        <w:tblLayout w:type="fixed"/>
        <w:tblLook w:val="0000" w:firstRow="0" w:lastRow="0" w:firstColumn="0" w:lastColumn="0" w:noHBand="0" w:noVBand="0"/>
      </w:tblPr>
      <w:tblGrid>
        <w:gridCol w:w="992"/>
        <w:gridCol w:w="8363"/>
      </w:tblGrid>
      <w:tr w:rsidR="00410C41" w:rsidRPr="00C9343F" w14:paraId="24717AD0" w14:textId="77777777" w:rsidTr="005E243D">
        <w:tc>
          <w:tcPr>
            <w:tcW w:w="992" w:type="dxa"/>
          </w:tcPr>
          <w:p w14:paraId="001F3212" w14:textId="77777777" w:rsidR="00410C41" w:rsidRPr="00C9343F" w:rsidRDefault="00410C41" w:rsidP="00F66D98">
            <w:pPr>
              <w:pStyle w:val="BlockText-PlainNoSpacing"/>
              <w:jc w:val="center"/>
            </w:pPr>
          </w:p>
        </w:tc>
        <w:tc>
          <w:tcPr>
            <w:tcW w:w="8363" w:type="dxa"/>
          </w:tcPr>
          <w:p w14:paraId="47D07DA8" w14:textId="77777777" w:rsidR="00410C41" w:rsidRPr="00C9343F" w:rsidRDefault="00410C41" w:rsidP="00F66D98">
            <w:pPr>
              <w:pStyle w:val="BlockText-Plain"/>
            </w:pPr>
            <w:r w:rsidRPr="00C9343F">
              <w:t>This Division sets out how recreation leave may expire or be re-credited. It also provides other recreation leave administration rules.</w:t>
            </w:r>
          </w:p>
        </w:tc>
      </w:tr>
    </w:tbl>
    <w:p w14:paraId="30814B31" w14:textId="77777777" w:rsidR="00410C41" w:rsidRPr="00C9343F" w:rsidRDefault="00410C41" w:rsidP="00F66D98">
      <w:pPr>
        <w:pStyle w:val="Heading5"/>
      </w:pPr>
      <w:bookmarkStart w:id="1307" w:name="_Toc105054004"/>
      <w:r w:rsidRPr="00C9343F">
        <w:t>5.4.31    Conditions of granting of leave</w:t>
      </w:r>
      <w:bookmarkEnd w:id="1307"/>
    </w:p>
    <w:tbl>
      <w:tblPr>
        <w:tblW w:w="9359" w:type="dxa"/>
        <w:tblInd w:w="113" w:type="dxa"/>
        <w:tblLayout w:type="fixed"/>
        <w:tblLook w:val="0000" w:firstRow="0" w:lastRow="0" w:firstColumn="0" w:lastColumn="0" w:noHBand="0" w:noVBand="0"/>
      </w:tblPr>
      <w:tblGrid>
        <w:gridCol w:w="992"/>
        <w:gridCol w:w="567"/>
        <w:gridCol w:w="7800"/>
      </w:tblGrid>
      <w:tr w:rsidR="00410C41" w:rsidRPr="00C9343F" w14:paraId="194A57B7" w14:textId="77777777" w:rsidTr="005E243D">
        <w:tc>
          <w:tcPr>
            <w:tcW w:w="992" w:type="dxa"/>
          </w:tcPr>
          <w:p w14:paraId="6B2E512B" w14:textId="77777777" w:rsidR="00410C41" w:rsidRPr="00C9343F" w:rsidRDefault="00410C41" w:rsidP="00F66D98">
            <w:pPr>
              <w:pStyle w:val="BlockText-Plain"/>
              <w:jc w:val="center"/>
            </w:pPr>
            <w:r w:rsidRPr="00C9343F">
              <w:t>1.</w:t>
            </w:r>
          </w:p>
        </w:tc>
        <w:tc>
          <w:tcPr>
            <w:tcW w:w="8367" w:type="dxa"/>
            <w:gridSpan w:val="2"/>
          </w:tcPr>
          <w:p w14:paraId="6AECCB91" w14:textId="77777777" w:rsidR="00410C41" w:rsidRPr="00C9343F" w:rsidRDefault="00410C41" w:rsidP="00F66D98">
            <w:pPr>
              <w:pStyle w:val="BlockText-Plain"/>
            </w:pPr>
            <w:r w:rsidRPr="00C9343F">
              <w:rPr>
                <w:rFonts w:cs="Arial"/>
                <w:color w:val="000000"/>
                <w:shd w:val="clear" w:color="auto" w:fill="FFFFFF"/>
              </w:rPr>
              <w:t>A member must not be granted recreation leave if they do not hold enough leave credit for the period of the absence.</w:t>
            </w:r>
          </w:p>
        </w:tc>
      </w:tr>
      <w:tr w:rsidR="00410C41" w:rsidRPr="00C9343F" w14:paraId="12A3F26D" w14:textId="77777777" w:rsidTr="005E243D">
        <w:tc>
          <w:tcPr>
            <w:tcW w:w="992" w:type="dxa"/>
          </w:tcPr>
          <w:p w14:paraId="5413B975" w14:textId="77777777" w:rsidR="00410C41" w:rsidRPr="00C9343F" w:rsidRDefault="00410C41" w:rsidP="00F66D98">
            <w:pPr>
              <w:pStyle w:val="BlockText-Plain"/>
              <w:jc w:val="center"/>
            </w:pPr>
            <w:r w:rsidRPr="00C9343F">
              <w:t>2.</w:t>
            </w:r>
          </w:p>
        </w:tc>
        <w:tc>
          <w:tcPr>
            <w:tcW w:w="8367" w:type="dxa"/>
            <w:gridSpan w:val="2"/>
          </w:tcPr>
          <w:p w14:paraId="13BE9D44" w14:textId="77777777" w:rsidR="00410C41" w:rsidRPr="00C9343F" w:rsidRDefault="00410C41" w:rsidP="00F66D98">
            <w:pPr>
              <w:pStyle w:val="BlockText-Plain"/>
            </w:pPr>
            <w:r w:rsidRPr="00C9343F">
              <w:rPr>
                <w:iCs/>
              </w:rPr>
              <w:t>Time limits for taking leave credits are set out in section 5.4.34.</w:t>
            </w:r>
          </w:p>
        </w:tc>
      </w:tr>
      <w:tr w:rsidR="00410C41" w:rsidRPr="00C9343F" w14:paraId="5074BBB1" w14:textId="77777777" w:rsidTr="005E243D">
        <w:tc>
          <w:tcPr>
            <w:tcW w:w="992" w:type="dxa"/>
          </w:tcPr>
          <w:p w14:paraId="36980655" w14:textId="77777777" w:rsidR="00410C41" w:rsidRPr="00C9343F" w:rsidRDefault="00410C41" w:rsidP="00F66D98">
            <w:pPr>
              <w:pStyle w:val="BlockText-Para"/>
              <w:keepLines w:val="0"/>
              <w:spacing w:before="0" w:after="200"/>
              <w:jc w:val="center"/>
              <w:rPr>
                <w:sz w:val="20"/>
              </w:rPr>
            </w:pPr>
            <w:r w:rsidRPr="00C9343F">
              <w:rPr>
                <w:sz w:val="20"/>
              </w:rPr>
              <w:t>3.</w:t>
            </w:r>
          </w:p>
        </w:tc>
        <w:tc>
          <w:tcPr>
            <w:tcW w:w="8367" w:type="dxa"/>
            <w:gridSpan w:val="2"/>
          </w:tcPr>
          <w:p w14:paraId="0137B057" w14:textId="77777777" w:rsidR="00410C41" w:rsidRPr="00C9343F" w:rsidRDefault="00410C41" w:rsidP="00F66D98">
            <w:pPr>
              <w:pStyle w:val="BlockText-Para"/>
              <w:keepLines w:val="0"/>
              <w:spacing w:before="0" w:after="200"/>
              <w:rPr>
                <w:sz w:val="20"/>
              </w:rPr>
            </w:pPr>
            <w:r w:rsidRPr="00C9343F">
              <w:rPr>
                <w:sz w:val="20"/>
              </w:rPr>
              <w:t xml:space="preserve">Leave can only be granted for the following periods. </w:t>
            </w:r>
          </w:p>
        </w:tc>
      </w:tr>
      <w:tr w:rsidR="00410C41" w:rsidRPr="00C9343F" w14:paraId="5AF26611" w14:textId="77777777" w:rsidTr="005E243D">
        <w:trPr>
          <w:cantSplit/>
        </w:trPr>
        <w:tc>
          <w:tcPr>
            <w:tcW w:w="992" w:type="dxa"/>
          </w:tcPr>
          <w:p w14:paraId="29515716" w14:textId="77777777" w:rsidR="00410C41" w:rsidRPr="00C9343F" w:rsidRDefault="00410C41" w:rsidP="00F66D98">
            <w:pPr>
              <w:pStyle w:val="BlockText-Plain"/>
              <w:jc w:val="center"/>
            </w:pPr>
          </w:p>
        </w:tc>
        <w:tc>
          <w:tcPr>
            <w:tcW w:w="567" w:type="dxa"/>
          </w:tcPr>
          <w:p w14:paraId="3086A782" w14:textId="77777777" w:rsidR="00410C41" w:rsidRPr="00C9343F" w:rsidRDefault="00410C41" w:rsidP="008D1B5D">
            <w:pPr>
              <w:pStyle w:val="BlockText-Plain"/>
              <w:jc w:val="center"/>
            </w:pPr>
            <w:r w:rsidRPr="00C9343F">
              <w:t>a.</w:t>
            </w:r>
          </w:p>
        </w:tc>
        <w:tc>
          <w:tcPr>
            <w:tcW w:w="7800" w:type="dxa"/>
          </w:tcPr>
          <w:p w14:paraId="38D4E8C3" w14:textId="77777777" w:rsidR="00410C41" w:rsidRPr="00C9343F" w:rsidRDefault="00410C41" w:rsidP="00F66D98">
            <w:pPr>
              <w:pStyle w:val="BlockText-Plain"/>
            </w:pPr>
            <w:r w:rsidRPr="00C9343F">
              <w:t>Whole days of a single leave type.</w:t>
            </w:r>
          </w:p>
        </w:tc>
      </w:tr>
      <w:tr w:rsidR="00410C41" w:rsidRPr="00C9343F" w14:paraId="4EEC38D7" w14:textId="77777777" w:rsidTr="005E243D">
        <w:trPr>
          <w:cantSplit/>
        </w:trPr>
        <w:tc>
          <w:tcPr>
            <w:tcW w:w="992" w:type="dxa"/>
          </w:tcPr>
          <w:p w14:paraId="2042833A" w14:textId="77777777" w:rsidR="00410C41" w:rsidRPr="00C9343F" w:rsidRDefault="00410C41" w:rsidP="00F66D98">
            <w:pPr>
              <w:pStyle w:val="BlockText-Plain"/>
              <w:jc w:val="center"/>
            </w:pPr>
          </w:p>
        </w:tc>
        <w:tc>
          <w:tcPr>
            <w:tcW w:w="567" w:type="dxa"/>
          </w:tcPr>
          <w:p w14:paraId="32B114DF" w14:textId="77777777" w:rsidR="00410C41" w:rsidRPr="00C9343F" w:rsidRDefault="00410C41" w:rsidP="008D1B5D">
            <w:pPr>
              <w:pStyle w:val="BlockText-Plain"/>
              <w:jc w:val="center"/>
            </w:pPr>
            <w:r w:rsidRPr="00C9343F">
              <w:t>b.</w:t>
            </w:r>
          </w:p>
        </w:tc>
        <w:tc>
          <w:tcPr>
            <w:tcW w:w="7800" w:type="dxa"/>
          </w:tcPr>
          <w:p w14:paraId="4E7A8FD2" w14:textId="77777777" w:rsidR="00410C41" w:rsidRPr="00C9343F" w:rsidRDefault="00410C41" w:rsidP="00F66D98">
            <w:pPr>
              <w:pStyle w:val="BlockText-Plain"/>
            </w:pPr>
            <w:r w:rsidRPr="00C9343F">
              <w:t>Whole days made up of a part-day of recreation leave credit and a part-day of war service leave credit.</w:t>
            </w:r>
          </w:p>
        </w:tc>
      </w:tr>
      <w:tr w:rsidR="00410C41" w:rsidRPr="00C9343F" w14:paraId="2C9F0D20" w14:textId="77777777" w:rsidTr="005E243D">
        <w:trPr>
          <w:cantSplit/>
        </w:trPr>
        <w:tc>
          <w:tcPr>
            <w:tcW w:w="992" w:type="dxa"/>
          </w:tcPr>
          <w:p w14:paraId="574D69DE" w14:textId="77777777" w:rsidR="00410C41" w:rsidRPr="00C9343F" w:rsidRDefault="00410C41" w:rsidP="00F66D98">
            <w:pPr>
              <w:pStyle w:val="BlockText-Plain"/>
              <w:jc w:val="center"/>
            </w:pPr>
          </w:p>
        </w:tc>
        <w:tc>
          <w:tcPr>
            <w:tcW w:w="567" w:type="dxa"/>
          </w:tcPr>
          <w:p w14:paraId="4FE35AB7" w14:textId="77777777" w:rsidR="00410C41" w:rsidRPr="00C9343F" w:rsidRDefault="00410C41" w:rsidP="008D1B5D">
            <w:pPr>
              <w:pStyle w:val="BlockText-Plain"/>
              <w:jc w:val="center"/>
            </w:pPr>
            <w:r w:rsidRPr="00C9343F">
              <w:t>c.</w:t>
            </w:r>
          </w:p>
        </w:tc>
        <w:tc>
          <w:tcPr>
            <w:tcW w:w="7800" w:type="dxa"/>
          </w:tcPr>
          <w:p w14:paraId="601BFBFD" w14:textId="77777777" w:rsidR="00410C41" w:rsidRPr="00C9343F" w:rsidRDefault="00410C41" w:rsidP="00F66D98">
            <w:pPr>
              <w:pStyle w:val="BlockText-Plain"/>
            </w:pPr>
            <w:r w:rsidRPr="00C9343F">
              <w:t>For a member on a flexible service determination – for the days of the member's pattern of service.</w:t>
            </w:r>
          </w:p>
        </w:tc>
      </w:tr>
      <w:tr w:rsidR="00410C41" w:rsidRPr="00C9343F" w14:paraId="001C40CE" w14:textId="77777777" w:rsidTr="005E243D">
        <w:tc>
          <w:tcPr>
            <w:tcW w:w="992" w:type="dxa"/>
          </w:tcPr>
          <w:p w14:paraId="6CC753E6" w14:textId="77777777" w:rsidR="00410C41" w:rsidRPr="00C9343F" w:rsidRDefault="00410C41" w:rsidP="00F66D98">
            <w:pPr>
              <w:pStyle w:val="BlockText-Plain"/>
              <w:jc w:val="center"/>
            </w:pPr>
            <w:r w:rsidRPr="00C9343F">
              <w:t>4.</w:t>
            </w:r>
          </w:p>
        </w:tc>
        <w:tc>
          <w:tcPr>
            <w:tcW w:w="8367" w:type="dxa"/>
            <w:gridSpan w:val="2"/>
          </w:tcPr>
          <w:p w14:paraId="35EA7F23" w14:textId="77777777" w:rsidR="00410C41" w:rsidRPr="00C9343F" w:rsidRDefault="00410C41" w:rsidP="00F66D98">
            <w:pPr>
              <w:pStyle w:val="BlockText-Plain"/>
            </w:pPr>
            <w:r w:rsidRPr="00C9343F">
              <w:t xml:space="preserve">A </w:t>
            </w:r>
            <w:r w:rsidRPr="00C9343F">
              <w:rPr>
                <w:bCs/>
                <w:iCs/>
              </w:rPr>
              <w:t>senior officer who transitioned</w:t>
            </w:r>
            <w:r w:rsidRPr="00C9343F">
              <w:rPr>
                <w:b/>
                <w:bCs/>
                <w:i/>
                <w:iCs/>
              </w:rPr>
              <w:t xml:space="preserve"> </w:t>
            </w:r>
            <w:r w:rsidRPr="00C9343F">
              <w:t>may be granted no more than a total of two weeks of recreation leave during their transition period.</w:t>
            </w:r>
          </w:p>
        </w:tc>
      </w:tr>
    </w:tbl>
    <w:p w14:paraId="56EEBF34" w14:textId="77777777" w:rsidR="00410C41" w:rsidRPr="00C9343F" w:rsidRDefault="00410C41" w:rsidP="00F66D98">
      <w:pPr>
        <w:pStyle w:val="Heading5"/>
      </w:pPr>
      <w:bookmarkStart w:id="1308" w:name="_Toc105054005"/>
      <w:r w:rsidRPr="00C9343F">
        <w:t>5.4.32    Recreation leave management</w:t>
      </w:r>
      <w:bookmarkEnd w:id="1308"/>
    </w:p>
    <w:tbl>
      <w:tblPr>
        <w:tblW w:w="0" w:type="auto"/>
        <w:tblInd w:w="113" w:type="dxa"/>
        <w:tblLayout w:type="fixed"/>
        <w:tblLook w:val="0000" w:firstRow="0" w:lastRow="0" w:firstColumn="0" w:lastColumn="0" w:noHBand="0" w:noVBand="0"/>
      </w:tblPr>
      <w:tblGrid>
        <w:gridCol w:w="992"/>
        <w:gridCol w:w="567"/>
        <w:gridCol w:w="7796"/>
      </w:tblGrid>
      <w:tr w:rsidR="00410C41" w:rsidRPr="00C9343F" w14:paraId="6E39DAA0" w14:textId="77777777" w:rsidTr="005E243D">
        <w:tc>
          <w:tcPr>
            <w:tcW w:w="992" w:type="dxa"/>
          </w:tcPr>
          <w:p w14:paraId="202A19B7" w14:textId="77777777" w:rsidR="00410C41" w:rsidRPr="00C9343F" w:rsidRDefault="00410C41" w:rsidP="00F66D98">
            <w:pPr>
              <w:pStyle w:val="BlockText-Plain"/>
              <w:jc w:val="center"/>
            </w:pPr>
            <w:r w:rsidRPr="00C9343F">
              <w:t>1.</w:t>
            </w:r>
          </w:p>
        </w:tc>
        <w:tc>
          <w:tcPr>
            <w:tcW w:w="8363" w:type="dxa"/>
            <w:gridSpan w:val="2"/>
          </w:tcPr>
          <w:p w14:paraId="0A2951F5" w14:textId="77777777" w:rsidR="00410C41" w:rsidRPr="00C9343F" w:rsidRDefault="00410C41" w:rsidP="00F66D98">
            <w:pPr>
              <w:pStyle w:val="BlockText-Plain"/>
            </w:pPr>
            <w:r w:rsidRPr="00C9343F">
              <w:t xml:space="preserve">As part of their responsibility to manage leave, commanding officers must take all practical steps to do both the following. </w:t>
            </w:r>
          </w:p>
        </w:tc>
      </w:tr>
      <w:tr w:rsidR="00410C41" w:rsidRPr="00C9343F" w14:paraId="2E830C9D" w14:textId="77777777" w:rsidTr="005E243D">
        <w:trPr>
          <w:cantSplit/>
        </w:trPr>
        <w:tc>
          <w:tcPr>
            <w:tcW w:w="992" w:type="dxa"/>
          </w:tcPr>
          <w:p w14:paraId="3C8515ED" w14:textId="77777777" w:rsidR="00410C41" w:rsidRPr="00C9343F" w:rsidRDefault="00410C41" w:rsidP="00F66D98">
            <w:pPr>
              <w:pStyle w:val="BlockText-Plain"/>
            </w:pPr>
          </w:p>
        </w:tc>
        <w:tc>
          <w:tcPr>
            <w:tcW w:w="567" w:type="dxa"/>
          </w:tcPr>
          <w:p w14:paraId="58A6EADB" w14:textId="77777777" w:rsidR="00410C41" w:rsidRPr="00C9343F" w:rsidRDefault="00410C41" w:rsidP="008D1B5D">
            <w:pPr>
              <w:pStyle w:val="BlockText-Plain"/>
              <w:jc w:val="center"/>
            </w:pPr>
            <w:r w:rsidRPr="00C9343F">
              <w:t>a.</w:t>
            </w:r>
          </w:p>
        </w:tc>
        <w:tc>
          <w:tcPr>
            <w:tcW w:w="7796" w:type="dxa"/>
          </w:tcPr>
          <w:p w14:paraId="168CB186" w14:textId="77777777" w:rsidR="00410C41" w:rsidRPr="00C9343F" w:rsidRDefault="00410C41" w:rsidP="00F66D98">
            <w:pPr>
              <w:pStyle w:val="BlockText-Plain"/>
            </w:pPr>
            <w:r w:rsidRPr="00C9343F">
              <w:t>Identify times when operational requirements would allow members to apply for and be granted leave.</w:t>
            </w:r>
          </w:p>
        </w:tc>
      </w:tr>
      <w:tr w:rsidR="00410C41" w:rsidRPr="00C9343F" w14:paraId="5C3EA428" w14:textId="77777777" w:rsidTr="005E243D">
        <w:trPr>
          <w:cantSplit/>
        </w:trPr>
        <w:tc>
          <w:tcPr>
            <w:tcW w:w="992" w:type="dxa"/>
          </w:tcPr>
          <w:p w14:paraId="7487BFF1" w14:textId="77777777" w:rsidR="00410C41" w:rsidRPr="00C9343F" w:rsidRDefault="00410C41" w:rsidP="00F66D98">
            <w:pPr>
              <w:pStyle w:val="BlockText-Plain"/>
            </w:pPr>
          </w:p>
        </w:tc>
        <w:tc>
          <w:tcPr>
            <w:tcW w:w="567" w:type="dxa"/>
          </w:tcPr>
          <w:p w14:paraId="16DB89BF" w14:textId="77777777" w:rsidR="00410C41" w:rsidRPr="00C9343F" w:rsidRDefault="00410C41" w:rsidP="008D1B5D">
            <w:pPr>
              <w:pStyle w:val="BlockText-Plain"/>
              <w:jc w:val="center"/>
            </w:pPr>
            <w:r w:rsidRPr="00C9343F">
              <w:t>b.</w:t>
            </w:r>
          </w:p>
        </w:tc>
        <w:tc>
          <w:tcPr>
            <w:tcW w:w="7796" w:type="dxa"/>
          </w:tcPr>
          <w:p w14:paraId="7F402E56" w14:textId="77777777" w:rsidR="00410C41" w:rsidRPr="00C9343F" w:rsidRDefault="00410C41" w:rsidP="00F66D98">
            <w:pPr>
              <w:pStyle w:val="BlockText-Plain"/>
            </w:pPr>
            <w:r w:rsidRPr="00C9343F">
              <w:t>Inform members of these opportunities.</w:t>
            </w:r>
          </w:p>
        </w:tc>
      </w:tr>
      <w:tr w:rsidR="00410C41" w:rsidRPr="00C9343F" w14:paraId="106AEB9B" w14:textId="77777777" w:rsidTr="005E243D">
        <w:tc>
          <w:tcPr>
            <w:tcW w:w="992" w:type="dxa"/>
          </w:tcPr>
          <w:p w14:paraId="6A2C89BD" w14:textId="77777777" w:rsidR="00410C41" w:rsidRPr="00C9343F" w:rsidRDefault="00410C41" w:rsidP="00F66D98">
            <w:pPr>
              <w:pStyle w:val="BlockText-Plain"/>
              <w:jc w:val="center"/>
            </w:pPr>
            <w:r w:rsidRPr="00C9343F">
              <w:t>2.</w:t>
            </w:r>
          </w:p>
        </w:tc>
        <w:tc>
          <w:tcPr>
            <w:tcW w:w="8363" w:type="dxa"/>
            <w:gridSpan w:val="2"/>
          </w:tcPr>
          <w:p w14:paraId="49AD177D" w14:textId="77777777" w:rsidR="00410C41" w:rsidRPr="00C9343F" w:rsidRDefault="00410C41" w:rsidP="00F66D98">
            <w:pPr>
              <w:pStyle w:val="BlockText-Plain"/>
            </w:pPr>
            <w:r w:rsidRPr="00C9343F">
              <w:t>Commanding officers must consider the merits of each application from a member to use their recreation leave credits.</w:t>
            </w:r>
          </w:p>
        </w:tc>
      </w:tr>
    </w:tbl>
    <w:p w14:paraId="70DD60F0" w14:textId="77777777" w:rsidR="00410C41" w:rsidRPr="00C9343F" w:rsidRDefault="00410C41" w:rsidP="00F66D98">
      <w:pPr>
        <w:pStyle w:val="Heading5"/>
      </w:pPr>
      <w:bookmarkStart w:id="1309" w:name="_Toc105054006"/>
      <w:r w:rsidRPr="00C9343F">
        <w:t>5.4.33    Grant of recreation leave</w:t>
      </w:r>
      <w:bookmarkEnd w:id="1309"/>
    </w:p>
    <w:tbl>
      <w:tblPr>
        <w:tblW w:w="9359" w:type="dxa"/>
        <w:tblInd w:w="113" w:type="dxa"/>
        <w:tblLayout w:type="fixed"/>
        <w:tblLook w:val="0000" w:firstRow="0" w:lastRow="0" w:firstColumn="0" w:lastColumn="0" w:noHBand="0" w:noVBand="0"/>
      </w:tblPr>
      <w:tblGrid>
        <w:gridCol w:w="992"/>
        <w:gridCol w:w="563"/>
        <w:gridCol w:w="7804"/>
      </w:tblGrid>
      <w:tr w:rsidR="00410C41" w:rsidRPr="00C9343F" w14:paraId="1B5AEA05" w14:textId="77777777" w:rsidTr="005E243D">
        <w:tc>
          <w:tcPr>
            <w:tcW w:w="992" w:type="dxa"/>
          </w:tcPr>
          <w:p w14:paraId="77DCC9E6" w14:textId="77777777" w:rsidR="00410C41" w:rsidRPr="00C9343F" w:rsidRDefault="00410C41" w:rsidP="00F66D98">
            <w:pPr>
              <w:pStyle w:val="BlockText-Plain"/>
              <w:jc w:val="center"/>
            </w:pPr>
            <w:r w:rsidRPr="00C9343F">
              <w:t>1.</w:t>
            </w:r>
          </w:p>
        </w:tc>
        <w:tc>
          <w:tcPr>
            <w:tcW w:w="8367" w:type="dxa"/>
            <w:gridSpan w:val="2"/>
          </w:tcPr>
          <w:p w14:paraId="6C3A805A" w14:textId="77777777" w:rsidR="00410C41" w:rsidRPr="00C9343F" w:rsidRDefault="00410C41" w:rsidP="00F66D98">
            <w:pPr>
              <w:pStyle w:val="BlockText-Plain"/>
            </w:pPr>
            <w:r w:rsidRPr="00C9343F">
              <w:t>A supervisor in the member's chain of command may grant recreation leave in accordance with the following.</w:t>
            </w:r>
          </w:p>
        </w:tc>
      </w:tr>
      <w:tr w:rsidR="00410C41" w:rsidRPr="00C9343F" w14:paraId="2E159FB0" w14:textId="77777777" w:rsidTr="005E243D">
        <w:tc>
          <w:tcPr>
            <w:tcW w:w="992" w:type="dxa"/>
          </w:tcPr>
          <w:p w14:paraId="09D075E5" w14:textId="77777777" w:rsidR="00410C41" w:rsidRPr="00C9343F" w:rsidRDefault="00410C41" w:rsidP="00F66D98">
            <w:pPr>
              <w:pStyle w:val="BlockText-Plain"/>
              <w:jc w:val="center"/>
            </w:pPr>
          </w:p>
        </w:tc>
        <w:tc>
          <w:tcPr>
            <w:tcW w:w="563" w:type="dxa"/>
          </w:tcPr>
          <w:p w14:paraId="1D478EE3" w14:textId="77777777" w:rsidR="00410C41" w:rsidRPr="00C9343F" w:rsidRDefault="00410C41" w:rsidP="00F66D98">
            <w:pPr>
              <w:pStyle w:val="BlockText-Plain"/>
              <w:jc w:val="center"/>
            </w:pPr>
            <w:r w:rsidRPr="00C9343F">
              <w:t>a.</w:t>
            </w:r>
          </w:p>
        </w:tc>
        <w:tc>
          <w:tcPr>
            <w:tcW w:w="7804" w:type="dxa"/>
          </w:tcPr>
          <w:p w14:paraId="5D4152E2" w14:textId="77777777" w:rsidR="00410C41" w:rsidRPr="00C9343F" w:rsidRDefault="00410C41" w:rsidP="00F66D98">
            <w:pPr>
              <w:pStyle w:val="BlockText-Plain"/>
            </w:pPr>
            <w:r w:rsidRPr="00C9343F">
              <w:t xml:space="preserve">If the member is on a flexible service determination and the pattern of service for the leave day is less than 8 hours </w:t>
            </w:r>
            <w:r w:rsidRPr="00C9343F">
              <w:rPr>
                <w:rFonts w:cs="Arial"/>
              </w:rPr>
              <w:t xml:space="preserve">— </w:t>
            </w:r>
            <w:r w:rsidRPr="00C9343F">
              <w:t>leave is granted for the period of the duty specified in the member's flexible service determination</w:t>
            </w:r>
            <w:r w:rsidRPr="00C9343F">
              <w:rPr>
                <w:b/>
                <w:i/>
              </w:rPr>
              <w:t xml:space="preserve"> </w:t>
            </w:r>
            <w:r w:rsidRPr="00C9343F">
              <w:t>for that day</w:t>
            </w:r>
            <w:r w:rsidRPr="00C9343F">
              <w:rPr>
                <w:i/>
              </w:rPr>
              <w:t>.</w:t>
            </w:r>
          </w:p>
        </w:tc>
      </w:tr>
      <w:tr w:rsidR="00410C41" w:rsidRPr="00C9343F" w14:paraId="7D3958F1" w14:textId="77777777" w:rsidTr="005E243D">
        <w:tc>
          <w:tcPr>
            <w:tcW w:w="992" w:type="dxa"/>
          </w:tcPr>
          <w:p w14:paraId="0E9BF8E2" w14:textId="77777777" w:rsidR="00410C41" w:rsidRPr="00C9343F" w:rsidRDefault="00410C41" w:rsidP="00F66D98">
            <w:pPr>
              <w:pStyle w:val="BlockText-Plain"/>
              <w:jc w:val="center"/>
            </w:pPr>
          </w:p>
        </w:tc>
        <w:tc>
          <w:tcPr>
            <w:tcW w:w="563" w:type="dxa"/>
          </w:tcPr>
          <w:p w14:paraId="10A7B6B1" w14:textId="77777777" w:rsidR="00410C41" w:rsidRPr="00C9343F" w:rsidRDefault="00410C41" w:rsidP="00F66D98">
            <w:pPr>
              <w:pStyle w:val="BlockText-Plain"/>
              <w:jc w:val="center"/>
            </w:pPr>
            <w:r w:rsidRPr="00C9343F">
              <w:t>b.</w:t>
            </w:r>
          </w:p>
        </w:tc>
        <w:tc>
          <w:tcPr>
            <w:tcW w:w="7804" w:type="dxa"/>
          </w:tcPr>
          <w:p w14:paraId="0D186DCF" w14:textId="77777777" w:rsidR="00410C41" w:rsidRPr="00C9343F" w:rsidRDefault="00410C41" w:rsidP="00F66D98">
            <w:pPr>
              <w:pStyle w:val="BlockText-Plain"/>
            </w:pPr>
            <w:r w:rsidRPr="00C9343F">
              <w:t xml:space="preserve">If the recreation leave credit is less than a full day and is taken with another type of leave credit to make a full day </w:t>
            </w:r>
            <w:r w:rsidRPr="00C9343F">
              <w:rPr>
                <w:rFonts w:cs="Arial"/>
              </w:rPr>
              <w:t xml:space="preserve">— </w:t>
            </w:r>
            <w:r w:rsidRPr="00C9343F">
              <w:t>leave is granted for the period of recreation leave credit that is less than 1 day.</w:t>
            </w:r>
          </w:p>
        </w:tc>
      </w:tr>
      <w:tr w:rsidR="00410C41" w:rsidRPr="00C9343F" w14:paraId="21549C9F" w14:textId="77777777" w:rsidTr="005E243D">
        <w:tc>
          <w:tcPr>
            <w:tcW w:w="992" w:type="dxa"/>
          </w:tcPr>
          <w:p w14:paraId="1C15FEFA" w14:textId="77777777" w:rsidR="00410C41" w:rsidRPr="00C9343F" w:rsidRDefault="00410C41" w:rsidP="00F66D98">
            <w:pPr>
              <w:pStyle w:val="BlockText-Plain"/>
              <w:jc w:val="center"/>
            </w:pPr>
          </w:p>
        </w:tc>
        <w:tc>
          <w:tcPr>
            <w:tcW w:w="563" w:type="dxa"/>
          </w:tcPr>
          <w:p w14:paraId="12E3862E" w14:textId="77777777" w:rsidR="00410C41" w:rsidRPr="00C9343F" w:rsidRDefault="00410C41" w:rsidP="00F66D98">
            <w:pPr>
              <w:pStyle w:val="BlockText-Plain"/>
              <w:jc w:val="center"/>
            </w:pPr>
            <w:r w:rsidRPr="00C9343F">
              <w:t>c.</w:t>
            </w:r>
          </w:p>
        </w:tc>
        <w:tc>
          <w:tcPr>
            <w:tcW w:w="7804" w:type="dxa"/>
          </w:tcPr>
          <w:p w14:paraId="3D9F3F85" w14:textId="77777777" w:rsidR="00410C41" w:rsidRPr="00C9343F" w:rsidRDefault="00410C41" w:rsidP="00F66D98">
            <w:pPr>
              <w:pStyle w:val="BlockText-Plain"/>
            </w:pPr>
            <w:r w:rsidRPr="00C9343F">
              <w:t xml:space="preserve">In all other cases </w:t>
            </w:r>
            <w:r w:rsidRPr="00C9343F">
              <w:rPr>
                <w:rFonts w:cs="Arial"/>
              </w:rPr>
              <w:t>—</w:t>
            </w:r>
            <w:r w:rsidRPr="00C9343F">
              <w:t xml:space="preserve"> leave is granted for whole days.</w:t>
            </w:r>
          </w:p>
        </w:tc>
      </w:tr>
      <w:tr w:rsidR="00410C41" w:rsidRPr="00C9343F" w14:paraId="14AF0C0C" w14:textId="77777777" w:rsidTr="005E243D">
        <w:tc>
          <w:tcPr>
            <w:tcW w:w="992" w:type="dxa"/>
          </w:tcPr>
          <w:p w14:paraId="4609484B" w14:textId="77777777" w:rsidR="00410C41" w:rsidRPr="00C9343F" w:rsidRDefault="00410C41" w:rsidP="00F66D98">
            <w:pPr>
              <w:pStyle w:val="BlockText-Plain"/>
              <w:jc w:val="center"/>
            </w:pPr>
            <w:r w:rsidRPr="00C9343F">
              <w:t>2.</w:t>
            </w:r>
          </w:p>
        </w:tc>
        <w:tc>
          <w:tcPr>
            <w:tcW w:w="8367" w:type="dxa"/>
            <w:gridSpan w:val="2"/>
          </w:tcPr>
          <w:p w14:paraId="6D27387D" w14:textId="77777777" w:rsidR="00410C41" w:rsidRPr="00C9343F" w:rsidRDefault="00410C41" w:rsidP="00F66D98">
            <w:pPr>
              <w:pStyle w:val="BlockText-Plain"/>
            </w:pPr>
            <w:r w:rsidRPr="00C9343F">
              <w:t>For the purposes of subsection 1, a supervisor must be at one of the following ranks or higher.</w:t>
            </w:r>
          </w:p>
        </w:tc>
      </w:tr>
      <w:tr w:rsidR="00410C41" w:rsidRPr="00C9343F" w14:paraId="576B2502" w14:textId="77777777" w:rsidTr="005E243D">
        <w:tc>
          <w:tcPr>
            <w:tcW w:w="992" w:type="dxa"/>
          </w:tcPr>
          <w:p w14:paraId="1A6DECEC" w14:textId="77777777" w:rsidR="00410C41" w:rsidRPr="00C9343F" w:rsidRDefault="00410C41" w:rsidP="00F66D98">
            <w:pPr>
              <w:pStyle w:val="BlockText-Plain"/>
              <w:jc w:val="center"/>
            </w:pPr>
          </w:p>
        </w:tc>
        <w:tc>
          <w:tcPr>
            <w:tcW w:w="563" w:type="dxa"/>
          </w:tcPr>
          <w:p w14:paraId="0626D4EE" w14:textId="77777777" w:rsidR="00410C41" w:rsidRPr="00C9343F" w:rsidRDefault="00410C41" w:rsidP="00F66D98">
            <w:pPr>
              <w:pStyle w:val="BlockText-Plain"/>
              <w:jc w:val="center"/>
            </w:pPr>
            <w:r w:rsidRPr="00C9343F">
              <w:t>a.</w:t>
            </w:r>
          </w:p>
        </w:tc>
        <w:tc>
          <w:tcPr>
            <w:tcW w:w="7804" w:type="dxa"/>
          </w:tcPr>
          <w:p w14:paraId="1AC374F9" w14:textId="77777777" w:rsidR="00410C41" w:rsidRPr="00C9343F" w:rsidRDefault="00410C41" w:rsidP="00F66D98">
            <w:pPr>
              <w:pStyle w:val="BlockText-Plain"/>
            </w:pPr>
            <w:r w:rsidRPr="00C9343F">
              <w:t>Warrant Officer Class 2.</w:t>
            </w:r>
          </w:p>
        </w:tc>
      </w:tr>
      <w:tr w:rsidR="00410C41" w:rsidRPr="00C9343F" w14:paraId="76C0426D" w14:textId="77777777" w:rsidTr="005E243D">
        <w:tc>
          <w:tcPr>
            <w:tcW w:w="992" w:type="dxa"/>
          </w:tcPr>
          <w:p w14:paraId="4477B28A" w14:textId="77777777" w:rsidR="00410C41" w:rsidRPr="00C9343F" w:rsidRDefault="00410C41" w:rsidP="00F66D98">
            <w:pPr>
              <w:pStyle w:val="BlockText-Plain"/>
              <w:jc w:val="center"/>
            </w:pPr>
          </w:p>
        </w:tc>
        <w:tc>
          <w:tcPr>
            <w:tcW w:w="563" w:type="dxa"/>
          </w:tcPr>
          <w:p w14:paraId="3F0938CA" w14:textId="77777777" w:rsidR="00410C41" w:rsidRPr="00C9343F" w:rsidRDefault="00410C41" w:rsidP="00F66D98">
            <w:pPr>
              <w:pStyle w:val="BlockText-Plain"/>
              <w:jc w:val="center"/>
            </w:pPr>
            <w:r w:rsidRPr="00C9343F">
              <w:t>b.</w:t>
            </w:r>
          </w:p>
        </w:tc>
        <w:tc>
          <w:tcPr>
            <w:tcW w:w="7804" w:type="dxa"/>
          </w:tcPr>
          <w:p w14:paraId="5FD4835C" w14:textId="77777777" w:rsidR="00410C41" w:rsidRPr="00C9343F" w:rsidRDefault="00410C41" w:rsidP="00F66D98">
            <w:pPr>
              <w:pStyle w:val="BlockText-Plain"/>
            </w:pPr>
            <w:r w:rsidRPr="00C9343F">
              <w:t>APS 4.</w:t>
            </w:r>
          </w:p>
        </w:tc>
      </w:tr>
      <w:tr w:rsidR="00410C41" w:rsidRPr="00C9343F" w14:paraId="662CBCE1" w14:textId="77777777" w:rsidTr="005E243D">
        <w:tc>
          <w:tcPr>
            <w:tcW w:w="992" w:type="dxa"/>
          </w:tcPr>
          <w:p w14:paraId="48C13FEA" w14:textId="77777777" w:rsidR="00410C41" w:rsidRPr="00C9343F" w:rsidRDefault="00410C41" w:rsidP="00F66D98">
            <w:pPr>
              <w:pStyle w:val="BlockText-Plain"/>
              <w:jc w:val="center"/>
            </w:pPr>
            <w:r w:rsidRPr="00C9343F">
              <w:t>4.</w:t>
            </w:r>
          </w:p>
        </w:tc>
        <w:tc>
          <w:tcPr>
            <w:tcW w:w="8367" w:type="dxa"/>
            <w:gridSpan w:val="2"/>
          </w:tcPr>
          <w:p w14:paraId="38BDD8A3" w14:textId="77777777" w:rsidR="00410C41" w:rsidRPr="00C9343F" w:rsidRDefault="00410C41" w:rsidP="00F66D98">
            <w:pPr>
              <w:pStyle w:val="BlockText-Plain"/>
            </w:pPr>
            <w:r w:rsidRPr="00C9343F">
              <w:t xml:space="preserve">If a member has a part-day of recreation leave credit and a part day of war service leave credit that total at least one full day of leave, the following actions may be taken. </w:t>
            </w:r>
          </w:p>
        </w:tc>
      </w:tr>
      <w:tr w:rsidR="00410C41" w:rsidRPr="00C9343F" w14:paraId="04428581" w14:textId="77777777" w:rsidTr="005E243D">
        <w:tc>
          <w:tcPr>
            <w:tcW w:w="992" w:type="dxa"/>
          </w:tcPr>
          <w:p w14:paraId="5D56F182" w14:textId="77777777" w:rsidR="00410C41" w:rsidRPr="00C9343F" w:rsidRDefault="00410C41" w:rsidP="00F66D98">
            <w:pPr>
              <w:pStyle w:val="BlockText-Plain"/>
              <w:jc w:val="center"/>
            </w:pPr>
          </w:p>
        </w:tc>
        <w:tc>
          <w:tcPr>
            <w:tcW w:w="563" w:type="dxa"/>
          </w:tcPr>
          <w:p w14:paraId="6B7BE609" w14:textId="77777777" w:rsidR="00410C41" w:rsidRPr="00C9343F" w:rsidRDefault="00410C41" w:rsidP="00F66D98">
            <w:pPr>
              <w:pStyle w:val="BlockText-Plain"/>
              <w:jc w:val="center"/>
            </w:pPr>
            <w:r w:rsidRPr="00C9343F">
              <w:t>a.</w:t>
            </w:r>
          </w:p>
        </w:tc>
        <w:tc>
          <w:tcPr>
            <w:tcW w:w="7804" w:type="dxa"/>
          </w:tcPr>
          <w:p w14:paraId="0B34D0FF" w14:textId="77777777" w:rsidR="00410C41" w:rsidRPr="00C9343F" w:rsidRDefault="00410C41" w:rsidP="00F66D98">
            <w:pPr>
              <w:pStyle w:val="BlockText-Plain"/>
            </w:pPr>
            <w:r w:rsidRPr="00C9343F">
              <w:t xml:space="preserve">The member may apply to take a part-day of war service leave and a part-day of recreation leave, that form a combined total of one day of leave. </w:t>
            </w:r>
          </w:p>
        </w:tc>
      </w:tr>
      <w:tr w:rsidR="00410C41" w:rsidRPr="00C9343F" w14:paraId="535B8B76" w14:textId="77777777" w:rsidTr="005E243D">
        <w:tc>
          <w:tcPr>
            <w:tcW w:w="992" w:type="dxa"/>
          </w:tcPr>
          <w:p w14:paraId="0708688E" w14:textId="77777777" w:rsidR="00410C41" w:rsidRPr="00C9343F" w:rsidRDefault="00410C41" w:rsidP="00F66D98">
            <w:pPr>
              <w:pStyle w:val="BlockText-Plain"/>
              <w:jc w:val="center"/>
            </w:pPr>
          </w:p>
        </w:tc>
        <w:tc>
          <w:tcPr>
            <w:tcW w:w="563" w:type="dxa"/>
          </w:tcPr>
          <w:p w14:paraId="689FB606" w14:textId="77777777" w:rsidR="00410C41" w:rsidRPr="00C9343F" w:rsidRDefault="00410C41" w:rsidP="00F66D98">
            <w:pPr>
              <w:pStyle w:val="BlockText-Plain"/>
              <w:jc w:val="center"/>
            </w:pPr>
            <w:r w:rsidRPr="00C9343F">
              <w:t xml:space="preserve">b. </w:t>
            </w:r>
          </w:p>
        </w:tc>
        <w:tc>
          <w:tcPr>
            <w:tcW w:w="7804" w:type="dxa"/>
          </w:tcPr>
          <w:p w14:paraId="5216E4FC" w14:textId="77777777" w:rsidR="00410C41" w:rsidRPr="00C9343F" w:rsidRDefault="00410C41" w:rsidP="00F66D98">
            <w:pPr>
              <w:pStyle w:val="BlockText-Plain"/>
            </w:pPr>
            <w:r w:rsidRPr="00C9343F">
              <w:t xml:space="preserve">The member may keep any remaining part-day of leave credit that exceeds the total of one day as credit for future use. </w:t>
            </w:r>
          </w:p>
        </w:tc>
      </w:tr>
      <w:tr w:rsidR="00A42C64" w:rsidRPr="00C9343F" w14:paraId="632077EE" w14:textId="77777777" w:rsidTr="00445FEB">
        <w:tc>
          <w:tcPr>
            <w:tcW w:w="992" w:type="dxa"/>
          </w:tcPr>
          <w:p w14:paraId="2E6FEC30" w14:textId="442A0001" w:rsidR="00A42C64" w:rsidRPr="00C9343F" w:rsidRDefault="00A42C64" w:rsidP="00A42C64">
            <w:pPr>
              <w:pStyle w:val="BlockText-Plain"/>
              <w:jc w:val="center"/>
            </w:pPr>
            <w:r w:rsidRPr="00C9343F">
              <w:rPr>
                <w:lang w:eastAsia="en-US"/>
              </w:rPr>
              <w:t>5.</w:t>
            </w:r>
          </w:p>
        </w:tc>
        <w:tc>
          <w:tcPr>
            <w:tcW w:w="8367" w:type="dxa"/>
            <w:gridSpan w:val="2"/>
          </w:tcPr>
          <w:p w14:paraId="15FB4205" w14:textId="1A4EFDE2" w:rsidR="00A42C64" w:rsidRPr="00C9343F" w:rsidRDefault="00A42C64" w:rsidP="00A42C64">
            <w:pPr>
              <w:pStyle w:val="BlockText-Plain"/>
            </w:pPr>
            <w:r w:rsidRPr="00C9343F">
              <w:rPr>
                <w:lang w:eastAsia="en-US"/>
              </w:rPr>
              <w:t xml:space="preserve">A member must not be granted recreation leave to be taken during a journey under Chapter 14 Part 4 during the COVID-19 pandemic unless </w:t>
            </w:r>
            <w:r w:rsidRPr="00C9343F">
              <w:t xml:space="preserve">Director of Defence Print and Travel Services </w:t>
            </w:r>
            <w:r w:rsidRPr="00C9343F">
              <w:rPr>
                <w:lang w:eastAsia="en-US"/>
              </w:rPr>
              <w:t>is satisfied there are exceptional circumstances for the member to do so.</w:t>
            </w:r>
          </w:p>
        </w:tc>
      </w:tr>
    </w:tbl>
    <w:p w14:paraId="7A0207A1" w14:textId="77777777" w:rsidR="00410C41" w:rsidRPr="00C9343F" w:rsidRDefault="00410C41" w:rsidP="00F66D98">
      <w:pPr>
        <w:pStyle w:val="Heading5"/>
      </w:pPr>
      <w:bookmarkStart w:id="1310" w:name="_Toc105054007"/>
      <w:r w:rsidRPr="00C9343F">
        <w:t>5.4.33A    Leave credits</w:t>
      </w:r>
      <w:bookmarkEnd w:id="1310"/>
    </w:p>
    <w:tbl>
      <w:tblPr>
        <w:tblW w:w="9359" w:type="dxa"/>
        <w:tblInd w:w="113" w:type="dxa"/>
        <w:tblLayout w:type="fixed"/>
        <w:tblLook w:val="0000" w:firstRow="0" w:lastRow="0" w:firstColumn="0" w:lastColumn="0" w:noHBand="0" w:noVBand="0"/>
      </w:tblPr>
      <w:tblGrid>
        <w:gridCol w:w="992"/>
        <w:gridCol w:w="8367"/>
      </w:tblGrid>
      <w:tr w:rsidR="00410C41" w:rsidRPr="00C9343F" w14:paraId="212259CE" w14:textId="77777777" w:rsidTr="005E243D">
        <w:tc>
          <w:tcPr>
            <w:tcW w:w="992" w:type="dxa"/>
          </w:tcPr>
          <w:p w14:paraId="3AEB9C8E" w14:textId="77777777" w:rsidR="00410C41" w:rsidRPr="00C9343F" w:rsidRDefault="00410C41" w:rsidP="00F66D98">
            <w:pPr>
              <w:pStyle w:val="BlockText-Plain"/>
              <w:jc w:val="center"/>
            </w:pPr>
            <w:r w:rsidRPr="00C9343F">
              <w:t>1.</w:t>
            </w:r>
          </w:p>
        </w:tc>
        <w:tc>
          <w:tcPr>
            <w:tcW w:w="8367" w:type="dxa"/>
          </w:tcPr>
          <w:p w14:paraId="7BE1D12B" w14:textId="77777777" w:rsidR="00410C41" w:rsidRPr="00C9343F" w:rsidRDefault="00410C41" w:rsidP="00F66D98">
            <w:pPr>
              <w:pStyle w:val="BlockText-Plain"/>
            </w:pPr>
            <w:r w:rsidRPr="00C9343F">
              <w:rPr>
                <w:iCs/>
              </w:rPr>
              <w:t>A member’s leave credits are reduced by the number of days, or part days, for which recreation leave is granted.</w:t>
            </w:r>
          </w:p>
        </w:tc>
      </w:tr>
      <w:tr w:rsidR="00410C41" w:rsidRPr="00C9343F" w14:paraId="04DDF024" w14:textId="77777777" w:rsidTr="005E243D">
        <w:tc>
          <w:tcPr>
            <w:tcW w:w="992" w:type="dxa"/>
          </w:tcPr>
          <w:p w14:paraId="3DDBFEFD" w14:textId="77777777" w:rsidR="00410C41" w:rsidRPr="00C9343F" w:rsidRDefault="00410C41" w:rsidP="00F66D98">
            <w:pPr>
              <w:pStyle w:val="BlockText-Plain"/>
              <w:jc w:val="center"/>
            </w:pPr>
            <w:r w:rsidRPr="00C9343F">
              <w:t>2.</w:t>
            </w:r>
          </w:p>
        </w:tc>
        <w:tc>
          <w:tcPr>
            <w:tcW w:w="8367" w:type="dxa"/>
          </w:tcPr>
          <w:p w14:paraId="3BD210DE" w14:textId="77777777" w:rsidR="00410C41" w:rsidRPr="00C9343F" w:rsidRDefault="00410C41" w:rsidP="00F66D98">
            <w:pPr>
              <w:pStyle w:val="BlockText-Plain"/>
            </w:pPr>
            <w:r w:rsidRPr="00C9343F">
              <w:t>A grant of recreation leave reduces a member's combined recreation and war service leave credit balances in the following order.</w:t>
            </w:r>
          </w:p>
        </w:tc>
      </w:tr>
    </w:tbl>
    <w:p w14:paraId="5152403C" w14:textId="77777777" w:rsidR="00410C41" w:rsidRPr="00C9343F" w:rsidRDefault="00410C41" w:rsidP="00F66D98"/>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584"/>
      </w:tblGrid>
      <w:tr w:rsidR="00410C41" w:rsidRPr="00C9343F" w14:paraId="3C6ACFDE" w14:textId="77777777" w:rsidTr="005E243D">
        <w:tc>
          <w:tcPr>
            <w:tcW w:w="708" w:type="dxa"/>
            <w:shd w:val="clear" w:color="auto" w:fill="auto"/>
          </w:tcPr>
          <w:p w14:paraId="5B772F9D" w14:textId="77777777" w:rsidR="00410C41" w:rsidRPr="00C9343F" w:rsidRDefault="00410C41" w:rsidP="00F66D98">
            <w:pPr>
              <w:pStyle w:val="BlockText-Plain"/>
              <w:spacing w:after="0"/>
              <w:jc w:val="center"/>
              <w:rPr>
                <w:b/>
              </w:rPr>
            </w:pPr>
            <w:r w:rsidRPr="00C9343F">
              <w:rPr>
                <w:b/>
              </w:rPr>
              <w:t>Item</w:t>
            </w:r>
          </w:p>
        </w:tc>
        <w:tc>
          <w:tcPr>
            <w:tcW w:w="6584" w:type="dxa"/>
            <w:shd w:val="clear" w:color="auto" w:fill="auto"/>
          </w:tcPr>
          <w:p w14:paraId="066A7082" w14:textId="77777777" w:rsidR="00410C41" w:rsidRPr="00C9343F" w:rsidRDefault="00410C41" w:rsidP="00F66D98">
            <w:pPr>
              <w:pStyle w:val="BlockText-Plain"/>
              <w:spacing w:after="0"/>
              <w:jc w:val="center"/>
              <w:rPr>
                <w:b/>
              </w:rPr>
            </w:pPr>
            <w:r w:rsidRPr="00C9343F">
              <w:rPr>
                <w:b/>
              </w:rPr>
              <w:t>Leave type</w:t>
            </w:r>
          </w:p>
        </w:tc>
      </w:tr>
      <w:tr w:rsidR="00410C41" w:rsidRPr="00C9343F" w14:paraId="73962CF7" w14:textId="77777777" w:rsidTr="005E243D">
        <w:tc>
          <w:tcPr>
            <w:tcW w:w="708" w:type="dxa"/>
            <w:shd w:val="clear" w:color="auto" w:fill="auto"/>
          </w:tcPr>
          <w:p w14:paraId="68B54AAB" w14:textId="77777777" w:rsidR="00410C41" w:rsidRPr="00C9343F" w:rsidRDefault="00410C41" w:rsidP="00F66D98">
            <w:pPr>
              <w:spacing w:after="120"/>
              <w:jc w:val="center"/>
              <w:rPr>
                <w:sz w:val="20"/>
              </w:rPr>
            </w:pPr>
            <w:r w:rsidRPr="00C9343F">
              <w:rPr>
                <w:sz w:val="20"/>
              </w:rPr>
              <w:t>1.</w:t>
            </w:r>
          </w:p>
        </w:tc>
        <w:tc>
          <w:tcPr>
            <w:tcW w:w="6584" w:type="dxa"/>
            <w:shd w:val="clear" w:color="auto" w:fill="auto"/>
          </w:tcPr>
          <w:p w14:paraId="0DFE65DB" w14:textId="77777777" w:rsidR="00410C41" w:rsidRPr="00C9343F" w:rsidRDefault="00410C41" w:rsidP="00F66D98">
            <w:pPr>
              <w:pStyle w:val="Default"/>
              <w:spacing w:after="120"/>
            </w:pPr>
            <w:r w:rsidRPr="00C9343F">
              <w:t xml:space="preserve">War service leave credits. </w:t>
            </w:r>
          </w:p>
        </w:tc>
      </w:tr>
      <w:tr w:rsidR="00410C41" w:rsidRPr="00C9343F" w14:paraId="58AF491C" w14:textId="77777777" w:rsidTr="005E243D">
        <w:tc>
          <w:tcPr>
            <w:tcW w:w="708" w:type="dxa"/>
            <w:shd w:val="clear" w:color="auto" w:fill="auto"/>
          </w:tcPr>
          <w:p w14:paraId="6347F897" w14:textId="77777777" w:rsidR="00410C41" w:rsidRPr="00C9343F" w:rsidRDefault="00410C41" w:rsidP="00F66D98">
            <w:pPr>
              <w:spacing w:after="120"/>
              <w:jc w:val="center"/>
              <w:rPr>
                <w:sz w:val="20"/>
              </w:rPr>
            </w:pPr>
            <w:r w:rsidRPr="00C9343F">
              <w:rPr>
                <w:sz w:val="20"/>
              </w:rPr>
              <w:t>2.</w:t>
            </w:r>
          </w:p>
        </w:tc>
        <w:tc>
          <w:tcPr>
            <w:tcW w:w="6584" w:type="dxa"/>
            <w:shd w:val="clear" w:color="auto" w:fill="auto"/>
          </w:tcPr>
          <w:p w14:paraId="5B18923E" w14:textId="77777777" w:rsidR="00410C41" w:rsidRPr="00C9343F" w:rsidRDefault="00410C41" w:rsidP="00F66D98">
            <w:pPr>
              <w:pStyle w:val="Default"/>
              <w:spacing w:after="120"/>
            </w:pPr>
            <w:r w:rsidRPr="00C9343F">
              <w:t xml:space="preserve">Purchased recreation leave credits. </w:t>
            </w:r>
          </w:p>
        </w:tc>
      </w:tr>
      <w:tr w:rsidR="00410C41" w:rsidRPr="00C9343F" w14:paraId="19E4A3CF" w14:textId="77777777" w:rsidTr="005E243D">
        <w:tc>
          <w:tcPr>
            <w:tcW w:w="708" w:type="dxa"/>
            <w:shd w:val="clear" w:color="auto" w:fill="auto"/>
          </w:tcPr>
          <w:p w14:paraId="5794A949" w14:textId="77777777" w:rsidR="00410C41" w:rsidRPr="00C9343F" w:rsidRDefault="00410C41" w:rsidP="00F66D98">
            <w:pPr>
              <w:spacing w:after="120"/>
              <w:jc w:val="center"/>
              <w:rPr>
                <w:sz w:val="20"/>
              </w:rPr>
            </w:pPr>
            <w:r w:rsidRPr="00C9343F">
              <w:rPr>
                <w:sz w:val="20"/>
              </w:rPr>
              <w:t>3.</w:t>
            </w:r>
          </w:p>
        </w:tc>
        <w:tc>
          <w:tcPr>
            <w:tcW w:w="6584" w:type="dxa"/>
            <w:shd w:val="clear" w:color="auto" w:fill="auto"/>
          </w:tcPr>
          <w:p w14:paraId="7D2F47DB" w14:textId="77777777" w:rsidR="00410C41" w:rsidRPr="00C9343F" w:rsidRDefault="00410C41" w:rsidP="00F66D98">
            <w:pPr>
              <w:pStyle w:val="Default"/>
              <w:spacing w:after="120"/>
            </w:pPr>
            <w:r w:rsidRPr="00C9343F">
              <w:t xml:space="preserve">Recreation leave credits, including extra recreation leave, additional recreation leave, and basic recreation leave. </w:t>
            </w:r>
          </w:p>
        </w:tc>
      </w:tr>
    </w:tbl>
    <w:p w14:paraId="736CEA6D" w14:textId="77777777" w:rsidR="00410C41" w:rsidRPr="00C9343F" w:rsidRDefault="00410C41" w:rsidP="00F66D98">
      <w:pPr>
        <w:pStyle w:val="Heading5"/>
      </w:pPr>
      <w:bookmarkStart w:id="1311" w:name="_Toc105054008"/>
      <w:r w:rsidRPr="00C9343F">
        <w:t>5.4.34    Expiration of recreation leave credits ('leave lapsing')</w:t>
      </w:r>
      <w:bookmarkEnd w:id="1311"/>
    </w:p>
    <w:tbl>
      <w:tblPr>
        <w:tblW w:w="9355" w:type="dxa"/>
        <w:tblInd w:w="113" w:type="dxa"/>
        <w:tblLayout w:type="fixed"/>
        <w:tblLook w:val="0000" w:firstRow="0" w:lastRow="0" w:firstColumn="0" w:lastColumn="0" w:noHBand="0" w:noVBand="0"/>
      </w:tblPr>
      <w:tblGrid>
        <w:gridCol w:w="992"/>
        <w:gridCol w:w="8363"/>
      </w:tblGrid>
      <w:tr w:rsidR="00410C41" w:rsidRPr="00C9343F" w14:paraId="734623C8" w14:textId="77777777" w:rsidTr="005E243D">
        <w:tc>
          <w:tcPr>
            <w:tcW w:w="992" w:type="dxa"/>
          </w:tcPr>
          <w:p w14:paraId="346A5A93" w14:textId="77777777" w:rsidR="00410C41" w:rsidRPr="00C9343F" w:rsidRDefault="00410C41" w:rsidP="00F66D98">
            <w:pPr>
              <w:pStyle w:val="BlockText-Plain"/>
              <w:jc w:val="center"/>
            </w:pPr>
            <w:r w:rsidRPr="00C9343F">
              <w:t>1.</w:t>
            </w:r>
          </w:p>
        </w:tc>
        <w:tc>
          <w:tcPr>
            <w:tcW w:w="8363" w:type="dxa"/>
          </w:tcPr>
          <w:p w14:paraId="6F21805B" w14:textId="77777777" w:rsidR="00410C41" w:rsidRPr="00C9343F" w:rsidRDefault="00410C41" w:rsidP="00F66D98">
            <w:pPr>
              <w:pStyle w:val="BlockText-Plain"/>
            </w:pPr>
            <w:r w:rsidRPr="00C9343F">
              <w:rPr>
                <w:iCs/>
              </w:rPr>
              <w:t>If a member has a recreation leave credit that exceeds 90 days on the lapsing day, the recreation leave credit that exceeds 90 days expires on the lapsing day.</w:t>
            </w:r>
          </w:p>
        </w:tc>
      </w:tr>
      <w:tr w:rsidR="00410C41" w:rsidRPr="00C9343F" w14:paraId="09F728FC" w14:textId="77777777" w:rsidTr="005E243D">
        <w:tc>
          <w:tcPr>
            <w:tcW w:w="992" w:type="dxa"/>
          </w:tcPr>
          <w:p w14:paraId="64D7B241" w14:textId="77777777" w:rsidR="00410C41" w:rsidRPr="00C9343F" w:rsidRDefault="00410C41" w:rsidP="00F66D98">
            <w:pPr>
              <w:pStyle w:val="BlockText-Plain"/>
              <w:jc w:val="center"/>
            </w:pPr>
            <w:r w:rsidRPr="00C9343F">
              <w:t>1A.</w:t>
            </w:r>
          </w:p>
        </w:tc>
        <w:tc>
          <w:tcPr>
            <w:tcW w:w="8363" w:type="dxa"/>
          </w:tcPr>
          <w:p w14:paraId="41DE5888" w14:textId="77777777" w:rsidR="00410C41" w:rsidRPr="00C9343F" w:rsidRDefault="00410C41" w:rsidP="00F66D98">
            <w:pPr>
              <w:pStyle w:val="BlockText-Plain"/>
            </w:pPr>
            <w:r w:rsidRPr="00C9343F">
              <w:rPr>
                <w:iCs/>
              </w:rPr>
              <w:t>For the purpose of subsection 1, the lapsing day is the last payday before 30 June each year.</w:t>
            </w:r>
          </w:p>
        </w:tc>
      </w:tr>
      <w:tr w:rsidR="00410C41" w:rsidRPr="00C9343F" w14:paraId="1520880E" w14:textId="77777777" w:rsidTr="005E243D">
        <w:tc>
          <w:tcPr>
            <w:tcW w:w="992" w:type="dxa"/>
          </w:tcPr>
          <w:p w14:paraId="69EBFB46" w14:textId="77777777" w:rsidR="00410C41" w:rsidRPr="00C9343F" w:rsidRDefault="00410C41" w:rsidP="00F66D98">
            <w:pPr>
              <w:pStyle w:val="BlockText-Plain"/>
              <w:jc w:val="center"/>
            </w:pPr>
            <w:r w:rsidRPr="00C9343F">
              <w:t>2.</w:t>
            </w:r>
          </w:p>
        </w:tc>
        <w:tc>
          <w:tcPr>
            <w:tcW w:w="8363" w:type="dxa"/>
          </w:tcPr>
          <w:p w14:paraId="1D13A152" w14:textId="77777777" w:rsidR="00410C41" w:rsidRPr="00C9343F" w:rsidRDefault="00410C41" w:rsidP="00F66D98">
            <w:pPr>
              <w:pStyle w:val="BlockText-Plain"/>
            </w:pPr>
            <w:r w:rsidRPr="00C9343F">
              <w:t>The CDF may defer the expiration of the member’s leave credit by one additional year at a time. The CDF must be satisfied that leave could not to be granted because the Commanding Officer needed the member to stay on duty to meet Service needs during the previous three years.</w:t>
            </w:r>
          </w:p>
        </w:tc>
      </w:tr>
      <w:tr w:rsidR="00410C41" w:rsidRPr="00C9343F" w14:paraId="743A643C" w14:textId="77777777" w:rsidTr="005E243D">
        <w:tc>
          <w:tcPr>
            <w:tcW w:w="992" w:type="dxa"/>
          </w:tcPr>
          <w:p w14:paraId="1C103C95" w14:textId="77777777" w:rsidR="00410C41" w:rsidRPr="00C9343F" w:rsidRDefault="00410C41" w:rsidP="00F66D98">
            <w:pPr>
              <w:pStyle w:val="BlockText-Plain"/>
              <w:jc w:val="center"/>
            </w:pPr>
            <w:r w:rsidRPr="00C9343F">
              <w:t>4.</w:t>
            </w:r>
          </w:p>
        </w:tc>
        <w:tc>
          <w:tcPr>
            <w:tcW w:w="8363" w:type="dxa"/>
          </w:tcPr>
          <w:p w14:paraId="35F0DC26" w14:textId="77777777" w:rsidR="00410C41" w:rsidRPr="00C9343F" w:rsidRDefault="00410C41" w:rsidP="00F66D98">
            <w:pPr>
              <w:pStyle w:val="BlockText-Plain"/>
            </w:pPr>
            <w:r w:rsidRPr="00C9343F">
              <w:t>For the purposes of this section, decisions about the CDF's own recreation leave may be made by the Minister.</w:t>
            </w:r>
          </w:p>
        </w:tc>
      </w:tr>
      <w:tr w:rsidR="00410C41" w:rsidRPr="00C9343F" w14:paraId="4B973540" w14:textId="77777777" w:rsidTr="005E243D">
        <w:tc>
          <w:tcPr>
            <w:tcW w:w="992" w:type="dxa"/>
          </w:tcPr>
          <w:p w14:paraId="7F24481B" w14:textId="77777777" w:rsidR="00410C41" w:rsidRPr="00C9343F" w:rsidRDefault="00410C41" w:rsidP="00F66D98">
            <w:pPr>
              <w:pStyle w:val="BlockText-Plain"/>
              <w:jc w:val="center"/>
            </w:pPr>
            <w:r w:rsidRPr="00C9343F">
              <w:t>5.</w:t>
            </w:r>
          </w:p>
        </w:tc>
        <w:tc>
          <w:tcPr>
            <w:tcW w:w="8363" w:type="dxa"/>
          </w:tcPr>
          <w:p w14:paraId="2DEF2CD2" w14:textId="77777777" w:rsidR="00410C41" w:rsidRPr="00C9343F" w:rsidRDefault="00410C41" w:rsidP="00F66D98">
            <w:pPr>
              <w:pStyle w:val="BlockText-Plain"/>
            </w:pPr>
            <w:r w:rsidRPr="00C9343F">
              <w:t>A member who holds a statutory appointment and who applies to have their recreation leave credit deferred and treated as recreation leave under this Part, is not eligible to have the leave credited as special leave under Part 9 Division 4, Special leave for private purposes.</w:t>
            </w:r>
          </w:p>
        </w:tc>
      </w:tr>
    </w:tbl>
    <w:p w14:paraId="02E2C49A" w14:textId="77777777" w:rsidR="00410C41" w:rsidRPr="00C9343F" w:rsidRDefault="00410C41" w:rsidP="00F66D98">
      <w:pPr>
        <w:pStyle w:val="Heading5"/>
      </w:pPr>
      <w:bookmarkStart w:id="1312" w:name="_Toc105054009"/>
      <w:r w:rsidRPr="00C9343F">
        <w:t>5.4.35    Re-credit of recreation leave</w:t>
      </w:r>
      <w:bookmarkEnd w:id="1312"/>
    </w:p>
    <w:tbl>
      <w:tblPr>
        <w:tblW w:w="9355" w:type="dxa"/>
        <w:tblInd w:w="113" w:type="dxa"/>
        <w:tblLayout w:type="fixed"/>
        <w:tblLook w:val="0000" w:firstRow="0" w:lastRow="0" w:firstColumn="0" w:lastColumn="0" w:noHBand="0" w:noVBand="0"/>
      </w:tblPr>
      <w:tblGrid>
        <w:gridCol w:w="992"/>
        <w:gridCol w:w="567"/>
        <w:gridCol w:w="7796"/>
      </w:tblGrid>
      <w:tr w:rsidR="00410C41" w:rsidRPr="00C9343F" w14:paraId="0B532724" w14:textId="77777777" w:rsidTr="005E243D">
        <w:tc>
          <w:tcPr>
            <w:tcW w:w="992" w:type="dxa"/>
          </w:tcPr>
          <w:p w14:paraId="509CEE15" w14:textId="77777777" w:rsidR="00410C41" w:rsidRPr="00C9343F" w:rsidRDefault="00410C41" w:rsidP="00F66D98">
            <w:pPr>
              <w:pStyle w:val="BlockText-Plain"/>
              <w:jc w:val="center"/>
            </w:pPr>
            <w:r w:rsidRPr="00C9343F">
              <w:t>1.</w:t>
            </w:r>
          </w:p>
        </w:tc>
        <w:tc>
          <w:tcPr>
            <w:tcW w:w="8363" w:type="dxa"/>
            <w:gridSpan w:val="2"/>
          </w:tcPr>
          <w:p w14:paraId="2F6686EE" w14:textId="77777777" w:rsidR="00410C41" w:rsidRPr="00C9343F" w:rsidRDefault="00410C41" w:rsidP="00F66D98">
            <w:pPr>
              <w:pStyle w:val="BlockText-Plain"/>
            </w:pPr>
            <w:r w:rsidRPr="00C9343F">
              <w:t>A member may be re-credited a period of recreation leave if they meet all these conditions.</w:t>
            </w:r>
          </w:p>
        </w:tc>
      </w:tr>
      <w:tr w:rsidR="00410C41" w:rsidRPr="00C9343F" w14:paraId="250000A8" w14:textId="77777777" w:rsidTr="005E243D">
        <w:trPr>
          <w:cantSplit/>
        </w:trPr>
        <w:tc>
          <w:tcPr>
            <w:tcW w:w="992" w:type="dxa"/>
          </w:tcPr>
          <w:p w14:paraId="101138EB" w14:textId="77777777" w:rsidR="00410C41" w:rsidRPr="00C9343F" w:rsidRDefault="00410C41" w:rsidP="00F66D98">
            <w:pPr>
              <w:pStyle w:val="BlockText-Plain"/>
            </w:pPr>
          </w:p>
        </w:tc>
        <w:tc>
          <w:tcPr>
            <w:tcW w:w="567" w:type="dxa"/>
          </w:tcPr>
          <w:p w14:paraId="7FC1429E" w14:textId="77777777" w:rsidR="00410C41" w:rsidRPr="00C9343F" w:rsidRDefault="00410C41" w:rsidP="008D1B5D">
            <w:pPr>
              <w:pStyle w:val="BlockText-Plain"/>
              <w:jc w:val="center"/>
            </w:pPr>
            <w:r w:rsidRPr="00C9343F">
              <w:t>a.</w:t>
            </w:r>
          </w:p>
        </w:tc>
        <w:tc>
          <w:tcPr>
            <w:tcW w:w="7796" w:type="dxa"/>
          </w:tcPr>
          <w:p w14:paraId="3425B0E5" w14:textId="77777777" w:rsidR="00410C41" w:rsidRPr="00C9343F" w:rsidRDefault="00410C41" w:rsidP="00F66D98">
            <w:pPr>
              <w:pStyle w:val="BlockText-Plain"/>
            </w:pPr>
            <w:r w:rsidRPr="00C9343F">
              <w:t>They go on recreation leave.</w:t>
            </w:r>
          </w:p>
        </w:tc>
      </w:tr>
      <w:tr w:rsidR="00410C41" w:rsidRPr="00C9343F" w14:paraId="68227657" w14:textId="77777777" w:rsidTr="005E243D">
        <w:trPr>
          <w:cantSplit/>
        </w:trPr>
        <w:tc>
          <w:tcPr>
            <w:tcW w:w="992" w:type="dxa"/>
          </w:tcPr>
          <w:p w14:paraId="0C26011B" w14:textId="77777777" w:rsidR="00410C41" w:rsidRPr="00C9343F" w:rsidRDefault="00410C41" w:rsidP="00F66D98">
            <w:pPr>
              <w:pStyle w:val="BlockText-Plain"/>
            </w:pPr>
          </w:p>
        </w:tc>
        <w:tc>
          <w:tcPr>
            <w:tcW w:w="567" w:type="dxa"/>
          </w:tcPr>
          <w:p w14:paraId="290514A5" w14:textId="77777777" w:rsidR="00410C41" w:rsidRPr="00C9343F" w:rsidRDefault="00410C41" w:rsidP="008D1B5D">
            <w:pPr>
              <w:pStyle w:val="BlockText-Plain"/>
              <w:jc w:val="center"/>
            </w:pPr>
            <w:r w:rsidRPr="00C9343F">
              <w:t>b.</w:t>
            </w:r>
          </w:p>
        </w:tc>
        <w:tc>
          <w:tcPr>
            <w:tcW w:w="7796" w:type="dxa"/>
          </w:tcPr>
          <w:p w14:paraId="42F5BB62" w14:textId="77777777" w:rsidR="00410C41" w:rsidRPr="00C9343F" w:rsidRDefault="00410C41" w:rsidP="00F66D98">
            <w:pPr>
              <w:pStyle w:val="BlockText-Plain"/>
            </w:pPr>
            <w:r w:rsidRPr="00C9343F">
              <w:t xml:space="preserve">Illness or injury has made them unfit for duty for at least 24 hours during the leave period. </w:t>
            </w:r>
          </w:p>
        </w:tc>
      </w:tr>
      <w:tr w:rsidR="00410C41" w:rsidRPr="00C9343F" w14:paraId="27F68B9F" w14:textId="77777777" w:rsidTr="005E243D">
        <w:trPr>
          <w:cantSplit/>
        </w:trPr>
        <w:tc>
          <w:tcPr>
            <w:tcW w:w="992" w:type="dxa"/>
          </w:tcPr>
          <w:p w14:paraId="0D22DC59" w14:textId="77777777" w:rsidR="00410C41" w:rsidRPr="00C9343F" w:rsidRDefault="00410C41" w:rsidP="00F66D98">
            <w:pPr>
              <w:pStyle w:val="BlockText-Plain"/>
            </w:pPr>
          </w:p>
        </w:tc>
        <w:tc>
          <w:tcPr>
            <w:tcW w:w="567" w:type="dxa"/>
          </w:tcPr>
          <w:p w14:paraId="0D6BF5A9" w14:textId="77777777" w:rsidR="00410C41" w:rsidRPr="00C9343F" w:rsidRDefault="00410C41" w:rsidP="008D1B5D">
            <w:pPr>
              <w:pStyle w:val="BlockText-Plain"/>
              <w:jc w:val="center"/>
            </w:pPr>
            <w:r w:rsidRPr="00C9343F">
              <w:t>c.</w:t>
            </w:r>
          </w:p>
        </w:tc>
        <w:tc>
          <w:tcPr>
            <w:tcW w:w="7796" w:type="dxa"/>
          </w:tcPr>
          <w:p w14:paraId="01BC1822" w14:textId="77777777" w:rsidR="00410C41" w:rsidRPr="00C9343F" w:rsidRDefault="00410C41" w:rsidP="00F66D98">
            <w:pPr>
              <w:pStyle w:val="BlockText-Plain"/>
            </w:pPr>
            <w:r w:rsidRPr="00C9343F">
              <w:t>They provide a doctor’s certificate stating they were unfit for duty for the period of illness or injury.</w:t>
            </w:r>
          </w:p>
        </w:tc>
      </w:tr>
      <w:tr w:rsidR="00410C41" w:rsidRPr="00C9343F" w14:paraId="272A7C21" w14:textId="77777777" w:rsidTr="005E243D">
        <w:tc>
          <w:tcPr>
            <w:tcW w:w="992" w:type="dxa"/>
          </w:tcPr>
          <w:p w14:paraId="3857203E" w14:textId="77777777" w:rsidR="00410C41" w:rsidRPr="00C9343F" w:rsidRDefault="00410C41" w:rsidP="00F66D98">
            <w:pPr>
              <w:pStyle w:val="BlockText-Plain"/>
              <w:jc w:val="center"/>
            </w:pPr>
            <w:r w:rsidRPr="00C9343F">
              <w:t>2.</w:t>
            </w:r>
          </w:p>
        </w:tc>
        <w:tc>
          <w:tcPr>
            <w:tcW w:w="8363" w:type="dxa"/>
            <w:gridSpan w:val="2"/>
          </w:tcPr>
          <w:p w14:paraId="017CADF7" w14:textId="77777777" w:rsidR="00410C41" w:rsidRPr="00C9343F" w:rsidRDefault="00410C41" w:rsidP="00F66D98">
            <w:pPr>
              <w:pStyle w:val="BlockText-Plain"/>
            </w:pPr>
            <w:r w:rsidRPr="00C9343F">
              <w:t>A member on recreation leave may be re-credited any day's leave that was granted which they did not take if either of the following happens.</w:t>
            </w:r>
          </w:p>
        </w:tc>
      </w:tr>
      <w:tr w:rsidR="00410C41" w:rsidRPr="00C9343F" w14:paraId="0210644C" w14:textId="77777777" w:rsidTr="005E243D">
        <w:trPr>
          <w:cantSplit/>
        </w:trPr>
        <w:tc>
          <w:tcPr>
            <w:tcW w:w="992" w:type="dxa"/>
          </w:tcPr>
          <w:p w14:paraId="23E8B597" w14:textId="77777777" w:rsidR="00410C41" w:rsidRPr="00C9343F" w:rsidRDefault="00410C41" w:rsidP="00F66D98">
            <w:pPr>
              <w:pStyle w:val="BlockText-Plain"/>
            </w:pPr>
          </w:p>
        </w:tc>
        <w:tc>
          <w:tcPr>
            <w:tcW w:w="567" w:type="dxa"/>
          </w:tcPr>
          <w:p w14:paraId="318B184B" w14:textId="77777777" w:rsidR="00410C41" w:rsidRPr="00C9343F" w:rsidRDefault="00410C41" w:rsidP="008D1B5D">
            <w:pPr>
              <w:pStyle w:val="BlockText-Plain"/>
              <w:jc w:val="center"/>
            </w:pPr>
            <w:r w:rsidRPr="00C9343F">
              <w:t>a.</w:t>
            </w:r>
          </w:p>
        </w:tc>
        <w:tc>
          <w:tcPr>
            <w:tcW w:w="7796" w:type="dxa"/>
          </w:tcPr>
          <w:p w14:paraId="402FBA71" w14:textId="77777777" w:rsidR="00410C41" w:rsidRPr="00C9343F" w:rsidRDefault="00410C41" w:rsidP="00F66D98">
            <w:pPr>
              <w:pStyle w:val="BlockText-Plain"/>
            </w:pPr>
            <w:r w:rsidRPr="00C9343F">
              <w:t>They are formally recalled to duty from the leave for operational reasons, for not less than one day.</w:t>
            </w:r>
          </w:p>
        </w:tc>
      </w:tr>
      <w:tr w:rsidR="00410C41" w:rsidRPr="00C9343F" w14:paraId="341ABEF6" w14:textId="77777777" w:rsidTr="005E243D">
        <w:trPr>
          <w:cantSplit/>
        </w:trPr>
        <w:tc>
          <w:tcPr>
            <w:tcW w:w="992" w:type="dxa"/>
          </w:tcPr>
          <w:p w14:paraId="49E46E4F" w14:textId="77777777" w:rsidR="00410C41" w:rsidRPr="00C9343F" w:rsidRDefault="00410C41" w:rsidP="00F66D98">
            <w:pPr>
              <w:pStyle w:val="BlockText-Plain"/>
            </w:pPr>
          </w:p>
        </w:tc>
        <w:tc>
          <w:tcPr>
            <w:tcW w:w="567" w:type="dxa"/>
          </w:tcPr>
          <w:p w14:paraId="5B68971B" w14:textId="77777777" w:rsidR="00410C41" w:rsidRPr="00C9343F" w:rsidRDefault="00410C41" w:rsidP="008D1B5D">
            <w:pPr>
              <w:pStyle w:val="BlockText-Plain"/>
              <w:jc w:val="center"/>
            </w:pPr>
            <w:r w:rsidRPr="00C9343F">
              <w:t>b.</w:t>
            </w:r>
          </w:p>
        </w:tc>
        <w:tc>
          <w:tcPr>
            <w:tcW w:w="7796" w:type="dxa"/>
          </w:tcPr>
          <w:p w14:paraId="5679BF73" w14:textId="77777777" w:rsidR="00410C41" w:rsidRPr="00C9343F" w:rsidRDefault="00410C41" w:rsidP="00F66D98">
            <w:pPr>
              <w:pStyle w:val="BlockText-Plain"/>
            </w:pPr>
            <w:r w:rsidRPr="00C9343F">
              <w:t>The member wishes to return to duty early. Management accepts the return to duty.</w:t>
            </w:r>
          </w:p>
          <w:p w14:paraId="17B2740C" w14:textId="77777777" w:rsidR="00410C41" w:rsidRPr="00C9343F" w:rsidRDefault="00410C41" w:rsidP="00F66D98">
            <w:pPr>
              <w:pStyle w:val="BlockText-Plain"/>
            </w:pPr>
            <w:r w:rsidRPr="00C9343F">
              <w:rPr>
                <w:b/>
              </w:rPr>
              <w:t>Note:</w:t>
            </w:r>
            <w:r w:rsidRPr="00C9343F">
              <w:t xml:space="preserve"> The member's unit must pay the costs of any recall to duty. </w:t>
            </w:r>
          </w:p>
        </w:tc>
      </w:tr>
      <w:tr w:rsidR="00410C41" w:rsidRPr="00C9343F" w14:paraId="372FC173" w14:textId="77777777" w:rsidTr="005E243D">
        <w:trPr>
          <w:cantSplit/>
        </w:trPr>
        <w:tc>
          <w:tcPr>
            <w:tcW w:w="992" w:type="dxa"/>
          </w:tcPr>
          <w:p w14:paraId="011CAB9A" w14:textId="77777777" w:rsidR="00410C41" w:rsidRPr="00C9343F" w:rsidRDefault="00410C41" w:rsidP="00F66D98">
            <w:pPr>
              <w:pStyle w:val="BlockText-Plain"/>
            </w:pPr>
          </w:p>
        </w:tc>
        <w:tc>
          <w:tcPr>
            <w:tcW w:w="567" w:type="dxa"/>
          </w:tcPr>
          <w:p w14:paraId="43EFEA51" w14:textId="77777777" w:rsidR="00410C41" w:rsidRPr="00C9343F" w:rsidRDefault="00410C41" w:rsidP="008D1B5D">
            <w:pPr>
              <w:pStyle w:val="BlockText-Plain"/>
              <w:jc w:val="center"/>
            </w:pPr>
            <w:r w:rsidRPr="00C9343F">
              <w:t>ba.</w:t>
            </w:r>
          </w:p>
        </w:tc>
        <w:tc>
          <w:tcPr>
            <w:tcW w:w="7796" w:type="dxa"/>
          </w:tcPr>
          <w:p w14:paraId="65FD082E" w14:textId="77777777" w:rsidR="00410C41" w:rsidRPr="00C9343F" w:rsidRDefault="00410C41" w:rsidP="00F66D98">
            <w:pPr>
              <w:pStyle w:val="BlockText-Plain"/>
            </w:pPr>
            <w:r w:rsidRPr="00C9343F">
              <w:rPr>
                <w:rFonts w:cs="Arial"/>
                <w:lang w:eastAsia="en-US"/>
              </w:rPr>
              <w:t>They are required to isolate themself on return to Australia.</w:t>
            </w:r>
          </w:p>
        </w:tc>
      </w:tr>
      <w:tr w:rsidR="00410C41" w:rsidRPr="00C9343F" w14:paraId="75EC0847" w14:textId="77777777" w:rsidTr="005E243D">
        <w:trPr>
          <w:cantSplit/>
        </w:trPr>
        <w:tc>
          <w:tcPr>
            <w:tcW w:w="992" w:type="dxa"/>
          </w:tcPr>
          <w:p w14:paraId="3E1D3278" w14:textId="77777777" w:rsidR="00410C41" w:rsidRPr="00C9343F" w:rsidRDefault="00410C41" w:rsidP="00F66D98">
            <w:pPr>
              <w:pStyle w:val="BlockText-Plain"/>
            </w:pPr>
          </w:p>
        </w:tc>
        <w:tc>
          <w:tcPr>
            <w:tcW w:w="567" w:type="dxa"/>
          </w:tcPr>
          <w:p w14:paraId="0125E955" w14:textId="77777777" w:rsidR="00410C41" w:rsidRPr="00C9343F" w:rsidRDefault="00410C41" w:rsidP="008D1B5D">
            <w:pPr>
              <w:pStyle w:val="BlockText-Plain"/>
              <w:jc w:val="center"/>
            </w:pPr>
            <w:r w:rsidRPr="00C9343F">
              <w:t>c.</w:t>
            </w:r>
          </w:p>
        </w:tc>
        <w:tc>
          <w:tcPr>
            <w:tcW w:w="7796" w:type="dxa"/>
          </w:tcPr>
          <w:p w14:paraId="26751D26" w14:textId="77777777" w:rsidR="00410C41" w:rsidRPr="00C9343F" w:rsidRDefault="00410C41" w:rsidP="00F66D98">
            <w:pPr>
              <w:pStyle w:val="BlockText-Plain"/>
            </w:pPr>
            <w:r w:rsidRPr="00C9343F">
              <w:t>They die.</w:t>
            </w:r>
          </w:p>
        </w:tc>
      </w:tr>
    </w:tbl>
    <w:p w14:paraId="7B069073" w14:textId="77777777" w:rsidR="00410C41" w:rsidRPr="00C9343F" w:rsidRDefault="00410C41" w:rsidP="00F66D98">
      <w:pPr>
        <w:pStyle w:val="Heading5"/>
      </w:pPr>
      <w:bookmarkStart w:id="1313" w:name="_Toc105054010"/>
      <w:r w:rsidRPr="00C9343F">
        <w:t>5.4.36    Salary for recreation leave</w:t>
      </w:r>
      <w:bookmarkEnd w:id="1313"/>
    </w:p>
    <w:tbl>
      <w:tblPr>
        <w:tblW w:w="9359" w:type="dxa"/>
        <w:tblInd w:w="113" w:type="dxa"/>
        <w:tblLayout w:type="fixed"/>
        <w:tblLook w:val="0000" w:firstRow="0" w:lastRow="0" w:firstColumn="0" w:lastColumn="0" w:noHBand="0" w:noVBand="0"/>
      </w:tblPr>
      <w:tblGrid>
        <w:gridCol w:w="992"/>
        <w:gridCol w:w="596"/>
        <w:gridCol w:w="7771"/>
      </w:tblGrid>
      <w:tr w:rsidR="00410C41" w:rsidRPr="00C9343F" w14:paraId="5B83525A" w14:textId="77777777" w:rsidTr="005E243D">
        <w:tc>
          <w:tcPr>
            <w:tcW w:w="992" w:type="dxa"/>
          </w:tcPr>
          <w:p w14:paraId="45E08FBA" w14:textId="77777777" w:rsidR="00410C41" w:rsidRPr="00C9343F" w:rsidRDefault="00410C41" w:rsidP="00F66D98">
            <w:pPr>
              <w:pStyle w:val="BlockText-Plain"/>
              <w:jc w:val="center"/>
            </w:pPr>
            <w:r w:rsidRPr="00C9343F">
              <w:t>1.</w:t>
            </w:r>
          </w:p>
        </w:tc>
        <w:tc>
          <w:tcPr>
            <w:tcW w:w="8367" w:type="dxa"/>
            <w:gridSpan w:val="2"/>
          </w:tcPr>
          <w:p w14:paraId="52F6A777" w14:textId="77777777" w:rsidR="00410C41" w:rsidRPr="00C9343F" w:rsidRDefault="00410C41" w:rsidP="00F66D98">
            <w:pPr>
              <w:pStyle w:val="BlockText-Plain"/>
            </w:pPr>
            <w:r w:rsidRPr="00C9343F">
              <w:t>A member on recreation leave is paid salary at the rate that applies for their rank, and their pay grade if it applies.</w:t>
            </w:r>
          </w:p>
        </w:tc>
      </w:tr>
      <w:tr w:rsidR="00410C41" w:rsidRPr="00C9343F" w14:paraId="7F3DC910" w14:textId="77777777" w:rsidTr="005E243D">
        <w:tc>
          <w:tcPr>
            <w:tcW w:w="992" w:type="dxa"/>
          </w:tcPr>
          <w:p w14:paraId="57FB2388" w14:textId="77777777" w:rsidR="00410C41" w:rsidRPr="00C9343F" w:rsidRDefault="00410C41" w:rsidP="00F66D98">
            <w:pPr>
              <w:pStyle w:val="BlockText-Plain"/>
              <w:jc w:val="center"/>
            </w:pPr>
            <w:r w:rsidRPr="00C9343F">
              <w:t>2.</w:t>
            </w:r>
          </w:p>
        </w:tc>
        <w:tc>
          <w:tcPr>
            <w:tcW w:w="8367" w:type="dxa"/>
            <w:gridSpan w:val="2"/>
          </w:tcPr>
          <w:p w14:paraId="588EF444" w14:textId="77777777" w:rsidR="00410C41" w:rsidRPr="00C9343F" w:rsidRDefault="00410C41" w:rsidP="00F66D98">
            <w:pPr>
              <w:pStyle w:val="BlockText-Plain"/>
            </w:pPr>
            <w:r w:rsidRPr="00C9343F">
              <w:t>If a member has been directed to act at a higher rank under paragraph 13(1)(b) of the Defence Regulation, the member is paid salary for that rank unless the direction ceases to apply before the member starts their leave.</w:t>
            </w:r>
          </w:p>
        </w:tc>
      </w:tr>
      <w:tr w:rsidR="00582E1C" w:rsidRPr="00C9343F" w14:paraId="72D62418" w14:textId="77777777" w:rsidTr="005E243D">
        <w:tc>
          <w:tcPr>
            <w:tcW w:w="992" w:type="dxa"/>
          </w:tcPr>
          <w:p w14:paraId="00576E64" w14:textId="04B862C2" w:rsidR="00582E1C" w:rsidRPr="00C9343F" w:rsidRDefault="00582E1C" w:rsidP="00F66D98">
            <w:pPr>
              <w:pStyle w:val="BlockText-Plain"/>
              <w:jc w:val="center"/>
            </w:pPr>
            <w:r w:rsidRPr="00C9343F">
              <w:t>3.</w:t>
            </w:r>
          </w:p>
        </w:tc>
        <w:tc>
          <w:tcPr>
            <w:tcW w:w="8367" w:type="dxa"/>
            <w:gridSpan w:val="2"/>
          </w:tcPr>
          <w:p w14:paraId="3532A44E" w14:textId="1EF76E1C" w:rsidR="00582E1C" w:rsidRPr="00C9343F" w:rsidRDefault="00582E1C" w:rsidP="00F66D98">
            <w:pPr>
              <w:pStyle w:val="BlockText-Plain"/>
            </w:pPr>
            <w:r w:rsidRPr="00C9343F">
              <w:rPr>
                <w:iCs/>
              </w:rPr>
              <w:t>Special arrangements apply under section 4.1.7 to the payment of higher duties allowance during a period of recreation leave.</w:t>
            </w:r>
          </w:p>
        </w:tc>
      </w:tr>
      <w:tr w:rsidR="00410C41" w:rsidRPr="00C9343F" w14:paraId="10650561" w14:textId="77777777" w:rsidTr="005E243D">
        <w:tc>
          <w:tcPr>
            <w:tcW w:w="992" w:type="dxa"/>
          </w:tcPr>
          <w:p w14:paraId="1C339A31" w14:textId="77777777" w:rsidR="00410C41" w:rsidRPr="00C9343F" w:rsidRDefault="00410C41" w:rsidP="00F66D98">
            <w:pPr>
              <w:pStyle w:val="BlockText-Plain"/>
              <w:jc w:val="center"/>
            </w:pPr>
            <w:r w:rsidRPr="00C9343F">
              <w:t>4.</w:t>
            </w:r>
          </w:p>
        </w:tc>
        <w:tc>
          <w:tcPr>
            <w:tcW w:w="8367" w:type="dxa"/>
            <w:gridSpan w:val="2"/>
          </w:tcPr>
          <w:p w14:paraId="02AF0BD1" w14:textId="77777777" w:rsidR="00410C41" w:rsidRPr="00C9343F" w:rsidRDefault="00410C41" w:rsidP="00F66D98">
            <w:pPr>
              <w:pStyle w:val="BlockText-Plain"/>
            </w:pPr>
            <w:r w:rsidRPr="00C9343F">
              <w:t xml:space="preserve">In addition to subsection 1, a </w:t>
            </w:r>
            <w:r w:rsidRPr="00C9343F">
              <w:rPr>
                <w:bCs/>
                <w:iCs/>
              </w:rPr>
              <w:t>senior officer who transitioned</w:t>
            </w:r>
            <w:r w:rsidRPr="00C9343F">
              <w:rPr>
                <w:b/>
                <w:bCs/>
                <w:i/>
                <w:iCs/>
              </w:rPr>
              <w:t xml:space="preserve"> </w:t>
            </w:r>
            <w:r w:rsidRPr="00C9343F">
              <w:t>is to be paid an amount calculated using the following formula for each day of recreation leave paid.</w:t>
            </w:r>
          </w:p>
        </w:tc>
      </w:tr>
      <w:tr w:rsidR="00410C41" w:rsidRPr="00C9343F" w14:paraId="36CE548C" w14:textId="77777777" w:rsidTr="005E243D">
        <w:tc>
          <w:tcPr>
            <w:tcW w:w="992" w:type="dxa"/>
          </w:tcPr>
          <w:p w14:paraId="0E8C136A" w14:textId="77777777" w:rsidR="00410C41" w:rsidRPr="00C9343F" w:rsidRDefault="00410C41" w:rsidP="00F66D98">
            <w:pPr>
              <w:pStyle w:val="BlockText-Plain"/>
              <w:jc w:val="center"/>
            </w:pPr>
          </w:p>
        </w:tc>
        <w:tc>
          <w:tcPr>
            <w:tcW w:w="8367" w:type="dxa"/>
            <w:gridSpan w:val="2"/>
          </w:tcPr>
          <w:p w14:paraId="2ED18454" w14:textId="77777777" w:rsidR="00410C41" w:rsidRPr="00C9343F" w:rsidRDefault="00410C41" w:rsidP="00F66D98">
            <w:pPr>
              <w:pStyle w:val="BlockText-Plain"/>
              <w:tabs>
                <w:tab w:val="left" w:pos="2055"/>
              </w:tabs>
              <w:jc w:val="center"/>
              <w:rPr>
                <w:b/>
                <w:i/>
              </w:rPr>
            </w:pPr>
            <w:r w:rsidRPr="00C9343F">
              <w:rPr>
                <w:b/>
                <w:i/>
              </w:rPr>
              <w:t xml:space="preserve">amount payable = A – B </w:t>
            </w:r>
          </w:p>
        </w:tc>
      </w:tr>
      <w:tr w:rsidR="00410C41" w:rsidRPr="00C9343F" w14:paraId="69B72E97" w14:textId="77777777" w:rsidTr="005E243D">
        <w:tc>
          <w:tcPr>
            <w:tcW w:w="992" w:type="dxa"/>
          </w:tcPr>
          <w:p w14:paraId="248E4405" w14:textId="77777777" w:rsidR="00410C41" w:rsidRPr="00C9343F" w:rsidRDefault="00410C41" w:rsidP="00F66D98">
            <w:pPr>
              <w:pStyle w:val="BlockText-Plain"/>
              <w:jc w:val="center"/>
            </w:pPr>
          </w:p>
        </w:tc>
        <w:tc>
          <w:tcPr>
            <w:tcW w:w="8367" w:type="dxa"/>
            <w:gridSpan w:val="2"/>
          </w:tcPr>
          <w:p w14:paraId="00D44066" w14:textId="77777777" w:rsidR="00410C41" w:rsidRPr="00C9343F" w:rsidRDefault="00410C41" w:rsidP="00F66D98">
            <w:pPr>
              <w:pStyle w:val="BlockText-Plain"/>
              <w:tabs>
                <w:tab w:val="left" w:pos="2055"/>
              </w:tabs>
            </w:pPr>
            <w:r w:rsidRPr="00C9343F">
              <w:t>Where:</w:t>
            </w:r>
          </w:p>
        </w:tc>
      </w:tr>
      <w:tr w:rsidR="00410C41" w:rsidRPr="00C9343F" w14:paraId="5480405E" w14:textId="77777777" w:rsidTr="005E243D">
        <w:tc>
          <w:tcPr>
            <w:tcW w:w="992" w:type="dxa"/>
          </w:tcPr>
          <w:p w14:paraId="33835723" w14:textId="77777777" w:rsidR="00410C41" w:rsidRPr="00C9343F" w:rsidRDefault="00410C41" w:rsidP="00F66D98">
            <w:pPr>
              <w:pStyle w:val="BlockText-Plain"/>
              <w:jc w:val="center"/>
            </w:pPr>
          </w:p>
        </w:tc>
        <w:tc>
          <w:tcPr>
            <w:tcW w:w="596" w:type="dxa"/>
          </w:tcPr>
          <w:p w14:paraId="50B29774" w14:textId="77777777" w:rsidR="00410C41" w:rsidRPr="00C9343F" w:rsidRDefault="00410C41" w:rsidP="00F66D98">
            <w:pPr>
              <w:pStyle w:val="BlockText-Plain"/>
              <w:jc w:val="center"/>
              <w:rPr>
                <w:b/>
              </w:rPr>
            </w:pPr>
            <w:r w:rsidRPr="00C9343F">
              <w:rPr>
                <w:b/>
              </w:rPr>
              <w:t>A</w:t>
            </w:r>
          </w:p>
        </w:tc>
        <w:tc>
          <w:tcPr>
            <w:tcW w:w="7771" w:type="dxa"/>
          </w:tcPr>
          <w:p w14:paraId="6E6930C1" w14:textId="77777777" w:rsidR="00410C41" w:rsidRPr="00C9343F" w:rsidRDefault="00410C41" w:rsidP="00F66D98">
            <w:pPr>
              <w:pStyle w:val="BlockText-Plain"/>
            </w:pPr>
            <w:r w:rsidRPr="00C9343F">
              <w:t xml:space="preserve">is the daily rate of salary that applied to the senior officer immediately before becoming a </w:t>
            </w:r>
            <w:r w:rsidRPr="00C9343F">
              <w:rPr>
                <w:bCs/>
                <w:iCs/>
              </w:rPr>
              <w:t>senior officer who transitioned.</w:t>
            </w:r>
          </w:p>
        </w:tc>
      </w:tr>
      <w:tr w:rsidR="00410C41" w:rsidRPr="00C9343F" w14:paraId="6B231798" w14:textId="77777777" w:rsidTr="005E243D">
        <w:tc>
          <w:tcPr>
            <w:tcW w:w="992" w:type="dxa"/>
          </w:tcPr>
          <w:p w14:paraId="5732317C" w14:textId="77777777" w:rsidR="00410C41" w:rsidRPr="00C9343F" w:rsidRDefault="00410C41" w:rsidP="00F66D98">
            <w:pPr>
              <w:pStyle w:val="BlockText-Plain"/>
              <w:jc w:val="center"/>
            </w:pPr>
          </w:p>
        </w:tc>
        <w:tc>
          <w:tcPr>
            <w:tcW w:w="596" w:type="dxa"/>
          </w:tcPr>
          <w:p w14:paraId="3BA14BFF" w14:textId="77777777" w:rsidR="00410C41" w:rsidRPr="00C9343F" w:rsidRDefault="00410C41" w:rsidP="00F66D98">
            <w:pPr>
              <w:pStyle w:val="BlockText-Plain"/>
              <w:jc w:val="center"/>
              <w:rPr>
                <w:b/>
              </w:rPr>
            </w:pPr>
            <w:r w:rsidRPr="00C9343F">
              <w:rPr>
                <w:b/>
              </w:rPr>
              <w:t>B</w:t>
            </w:r>
          </w:p>
        </w:tc>
        <w:tc>
          <w:tcPr>
            <w:tcW w:w="7771" w:type="dxa"/>
          </w:tcPr>
          <w:p w14:paraId="35ED4955" w14:textId="77777777" w:rsidR="00410C41" w:rsidRPr="00C9343F" w:rsidRDefault="00410C41" w:rsidP="00F66D98">
            <w:pPr>
              <w:pStyle w:val="BlockText-Plain"/>
              <w:rPr>
                <w:b/>
                <w:i/>
              </w:rPr>
            </w:pPr>
            <w:r w:rsidRPr="00C9343F">
              <w:t>is the daily rate of salary that applies to the senior officer during the transition period.</w:t>
            </w:r>
          </w:p>
        </w:tc>
      </w:tr>
    </w:tbl>
    <w:p w14:paraId="3C4D1AA1" w14:textId="77777777" w:rsidR="00410C41" w:rsidRPr="00C9343F" w:rsidRDefault="00410C41" w:rsidP="00F66D98">
      <w:pPr>
        <w:pStyle w:val="Heading5"/>
      </w:pPr>
      <w:bookmarkStart w:id="1314" w:name="_Toc105054011"/>
      <w:r w:rsidRPr="00C9343F">
        <w:t>5.4.37    Payment of allowances on recreation leave</w:t>
      </w:r>
      <w:bookmarkEnd w:id="1314"/>
    </w:p>
    <w:tbl>
      <w:tblPr>
        <w:tblW w:w="9359" w:type="dxa"/>
        <w:tblInd w:w="113" w:type="dxa"/>
        <w:tblLayout w:type="fixed"/>
        <w:tblLook w:val="0000" w:firstRow="0" w:lastRow="0" w:firstColumn="0" w:lastColumn="0" w:noHBand="0" w:noVBand="0"/>
      </w:tblPr>
      <w:tblGrid>
        <w:gridCol w:w="992"/>
        <w:gridCol w:w="567"/>
        <w:gridCol w:w="7792"/>
        <w:gridCol w:w="8"/>
      </w:tblGrid>
      <w:tr w:rsidR="00410C41" w:rsidRPr="00C9343F" w14:paraId="4CDD1CA9" w14:textId="77777777" w:rsidTr="005E243D">
        <w:trPr>
          <w:gridAfter w:val="1"/>
          <w:wAfter w:w="8" w:type="dxa"/>
        </w:trPr>
        <w:tc>
          <w:tcPr>
            <w:tcW w:w="992" w:type="dxa"/>
          </w:tcPr>
          <w:p w14:paraId="7503686E" w14:textId="77777777" w:rsidR="00410C41" w:rsidRPr="00C9343F" w:rsidRDefault="00410C41" w:rsidP="00F66D98">
            <w:pPr>
              <w:pStyle w:val="BlockText-Plain"/>
              <w:jc w:val="center"/>
            </w:pPr>
            <w:r w:rsidRPr="00C9343F">
              <w:t>1.</w:t>
            </w:r>
          </w:p>
        </w:tc>
        <w:tc>
          <w:tcPr>
            <w:tcW w:w="8359" w:type="dxa"/>
            <w:gridSpan w:val="2"/>
          </w:tcPr>
          <w:p w14:paraId="1ECA2AEA" w14:textId="77777777" w:rsidR="00410C41" w:rsidRPr="00C9343F" w:rsidRDefault="00410C41" w:rsidP="00F66D98">
            <w:pPr>
              <w:pStyle w:val="BlockText-Plain"/>
            </w:pPr>
            <w:r w:rsidRPr="00C9343F">
              <w:t>A member continues to be eligible to receive any of the following allowances if they were eligible to receive the allowance immediately before they started their leave.</w:t>
            </w:r>
          </w:p>
        </w:tc>
      </w:tr>
      <w:tr w:rsidR="00410C41" w:rsidRPr="00C9343F" w14:paraId="25DB8328" w14:textId="77777777" w:rsidTr="005E243D">
        <w:trPr>
          <w:gridAfter w:val="1"/>
          <w:wAfter w:w="8" w:type="dxa"/>
        </w:trPr>
        <w:tc>
          <w:tcPr>
            <w:tcW w:w="992" w:type="dxa"/>
          </w:tcPr>
          <w:p w14:paraId="59A16E70" w14:textId="77777777" w:rsidR="00410C41" w:rsidRPr="00C9343F" w:rsidRDefault="00410C41" w:rsidP="00F66D98">
            <w:pPr>
              <w:pStyle w:val="BlockText-Plain"/>
              <w:jc w:val="center"/>
            </w:pPr>
          </w:p>
        </w:tc>
        <w:tc>
          <w:tcPr>
            <w:tcW w:w="567" w:type="dxa"/>
          </w:tcPr>
          <w:p w14:paraId="21169FDF" w14:textId="77777777" w:rsidR="00410C41" w:rsidRPr="00C9343F" w:rsidRDefault="00410C41" w:rsidP="00F66D98">
            <w:pPr>
              <w:pStyle w:val="BlockText-Plain"/>
              <w:jc w:val="center"/>
            </w:pPr>
            <w:r w:rsidRPr="00C9343F">
              <w:rPr>
                <w:rFonts w:cs="Arial"/>
                <w:lang w:eastAsia="en-US"/>
              </w:rPr>
              <w:t>a.</w:t>
            </w:r>
          </w:p>
        </w:tc>
        <w:tc>
          <w:tcPr>
            <w:tcW w:w="7792" w:type="dxa"/>
          </w:tcPr>
          <w:p w14:paraId="7BFFF80A" w14:textId="77777777" w:rsidR="00410C41" w:rsidRPr="00C9343F" w:rsidRDefault="00410C41" w:rsidP="00F66D98">
            <w:pPr>
              <w:pStyle w:val="BlockText-Plain"/>
            </w:pPr>
            <w:r w:rsidRPr="00C9343F">
              <w:t xml:space="preserve">An annual DFRT allowance under DFRT Determination No. 11 of 2013, </w:t>
            </w:r>
            <w:r w:rsidRPr="00C9343F">
              <w:rPr>
                <w:i/>
                <w:iCs/>
              </w:rPr>
              <w:t>ADF allowances</w:t>
            </w:r>
            <w:r w:rsidRPr="00C9343F">
              <w:t>.</w:t>
            </w:r>
          </w:p>
        </w:tc>
      </w:tr>
      <w:tr w:rsidR="00410C41" w:rsidRPr="00C9343F" w14:paraId="365C3C83" w14:textId="77777777" w:rsidTr="005E243D">
        <w:trPr>
          <w:gridAfter w:val="1"/>
          <w:wAfter w:w="8" w:type="dxa"/>
        </w:trPr>
        <w:tc>
          <w:tcPr>
            <w:tcW w:w="992" w:type="dxa"/>
          </w:tcPr>
          <w:p w14:paraId="7143622E" w14:textId="77777777" w:rsidR="00410C41" w:rsidRPr="00C9343F" w:rsidRDefault="00410C41" w:rsidP="00F66D98">
            <w:pPr>
              <w:pStyle w:val="BlockText-Plain"/>
              <w:jc w:val="center"/>
            </w:pPr>
          </w:p>
        </w:tc>
        <w:tc>
          <w:tcPr>
            <w:tcW w:w="567" w:type="dxa"/>
          </w:tcPr>
          <w:p w14:paraId="411A77F2" w14:textId="77777777" w:rsidR="00410C41" w:rsidRPr="00C9343F" w:rsidRDefault="00410C41" w:rsidP="00F66D98">
            <w:pPr>
              <w:pStyle w:val="BlockText-Plain"/>
              <w:jc w:val="center"/>
            </w:pPr>
            <w:r w:rsidRPr="00C9343F">
              <w:rPr>
                <w:rFonts w:cs="Arial"/>
                <w:lang w:eastAsia="en-US"/>
              </w:rPr>
              <w:t>b.</w:t>
            </w:r>
          </w:p>
        </w:tc>
        <w:tc>
          <w:tcPr>
            <w:tcW w:w="7792" w:type="dxa"/>
          </w:tcPr>
          <w:p w14:paraId="2F7854DC" w14:textId="77777777" w:rsidR="00410C41" w:rsidRPr="00C9343F" w:rsidRDefault="00410C41" w:rsidP="00F66D98">
            <w:pPr>
              <w:pStyle w:val="BlockText-Plain"/>
            </w:pPr>
            <w:r w:rsidRPr="00C9343F">
              <w:t>An allowance under this Determination.</w:t>
            </w:r>
          </w:p>
        </w:tc>
      </w:tr>
      <w:tr w:rsidR="00410C41" w:rsidRPr="00C9343F" w14:paraId="053EAC15" w14:textId="77777777" w:rsidTr="005E243D">
        <w:tc>
          <w:tcPr>
            <w:tcW w:w="992" w:type="dxa"/>
          </w:tcPr>
          <w:p w14:paraId="0B8A3719" w14:textId="77777777" w:rsidR="00410C41" w:rsidRPr="00C9343F" w:rsidRDefault="00410C41" w:rsidP="00F66D98">
            <w:pPr>
              <w:pStyle w:val="BlockText-Plain"/>
              <w:jc w:val="center"/>
            </w:pPr>
            <w:r w:rsidRPr="00C9343F">
              <w:t>2.</w:t>
            </w:r>
          </w:p>
        </w:tc>
        <w:tc>
          <w:tcPr>
            <w:tcW w:w="8367" w:type="dxa"/>
            <w:gridSpan w:val="3"/>
          </w:tcPr>
          <w:p w14:paraId="507074D3" w14:textId="77777777" w:rsidR="00410C41" w:rsidRPr="00C9343F" w:rsidRDefault="00410C41" w:rsidP="00F66D98">
            <w:pPr>
              <w:pStyle w:val="BlockText-Plain"/>
            </w:pPr>
            <w:r w:rsidRPr="00C9343F">
              <w:t>If a member was eligible for an allowance under subsection 1 for a period before, but not on, their last day of duty before commencing leave, they may be eligible for the allowance if they meet any of these criteria for the period between their previous benefit and the start date.</w:t>
            </w:r>
          </w:p>
        </w:tc>
      </w:tr>
      <w:tr w:rsidR="00410C41" w:rsidRPr="00C9343F" w14:paraId="1AD7C052" w14:textId="77777777" w:rsidTr="005E243D">
        <w:trPr>
          <w:cantSplit/>
        </w:trPr>
        <w:tc>
          <w:tcPr>
            <w:tcW w:w="992" w:type="dxa"/>
          </w:tcPr>
          <w:p w14:paraId="505C448B" w14:textId="77777777" w:rsidR="00410C41" w:rsidRPr="00C9343F" w:rsidRDefault="00410C41" w:rsidP="00F66D98">
            <w:pPr>
              <w:pStyle w:val="BlockText-Plain"/>
            </w:pPr>
          </w:p>
        </w:tc>
        <w:tc>
          <w:tcPr>
            <w:tcW w:w="567" w:type="dxa"/>
          </w:tcPr>
          <w:p w14:paraId="7EBE7B0F" w14:textId="77777777" w:rsidR="00410C41" w:rsidRPr="00C9343F" w:rsidRDefault="00410C41" w:rsidP="00F66D98">
            <w:pPr>
              <w:pStyle w:val="BlockText-Plain"/>
              <w:jc w:val="center"/>
            </w:pPr>
            <w:r w:rsidRPr="00C9343F">
              <w:t>a.</w:t>
            </w:r>
          </w:p>
        </w:tc>
        <w:tc>
          <w:tcPr>
            <w:tcW w:w="7800" w:type="dxa"/>
            <w:gridSpan w:val="2"/>
          </w:tcPr>
          <w:p w14:paraId="6C83E43C" w14:textId="77777777" w:rsidR="00410C41" w:rsidRPr="00C9343F" w:rsidRDefault="00410C41" w:rsidP="00F66D98">
            <w:pPr>
              <w:pStyle w:val="BlockText-Plain"/>
            </w:pPr>
            <w:r w:rsidRPr="00C9343F">
              <w:t>They were on travelling leave.</w:t>
            </w:r>
          </w:p>
        </w:tc>
      </w:tr>
      <w:tr w:rsidR="00410C41" w:rsidRPr="00C9343F" w14:paraId="070A85D2" w14:textId="77777777" w:rsidTr="005E243D">
        <w:trPr>
          <w:cantSplit/>
        </w:trPr>
        <w:tc>
          <w:tcPr>
            <w:tcW w:w="992" w:type="dxa"/>
          </w:tcPr>
          <w:p w14:paraId="61F9BA44" w14:textId="77777777" w:rsidR="00410C41" w:rsidRPr="00C9343F" w:rsidRDefault="00410C41" w:rsidP="00F66D98">
            <w:pPr>
              <w:pStyle w:val="BlockText-Plain"/>
            </w:pPr>
          </w:p>
        </w:tc>
        <w:tc>
          <w:tcPr>
            <w:tcW w:w="567" w:type="dxa"/>
          </w:tcPr>
          <w:p w14:paraId="446BB08C" w14:textId="77777777" w:rsidR="00410C41" w:rsidRPr="00C9343F" w:rsidRDefault="00410C41" w:rsidP="00F66D98">
            <w:pPr>
              <w:pStyle w:val="BlockText-Plain"/>
              <w:jc w:val="center"/>
            </w:pPr>
            <w:r w:rsidRPr="00C9343F">
              <w:t>b.</w:t>
            </w:r>
          </w:p>
        </w:tc>
        <w:tc>
          <w:tcPr>
            <w:tcW w:w="7800" w:type="dxa"/>
            <w:gridSpan w:val="2"/>
          </w:tcPr>
          <w:p w14:paraId="7260CFA3" w14:textId="77777777" w:rsidR="00410C41" w:rsidRPr="00C9343F" w:rsidRDefault="00410C41" w:rsidP="00F66D98">
            <w:pPr>
              <w:pStyle w:val="BlockText-Plain"/>
            </w:pPr>
            <w:r w:rsidRPr="00C9343F">
              <w:t>They were ill or in hospital.</w:t>
            </w:r>
          </w:p>
        </w:tc>
      </w:tr>
      <w:tr w:rsidR="00410C41" w:rsidRPr="00C9343F" w14:paraId="4061AB0F" w14:textId="77777777" w:rsidTr="005E243D">
        <w:trPr>
          <w:cantSplit/>
        </w:trPr>
        <w:tc>
          <w:tcPr>
            <w:tcW w:w="992" w:type="dxa"/>
          </w:tcPr>
          <w:p w14:paraId="39BC8874" w14:textId="77777777" w:rsidR="00410C41" w:rsidRPr="00C9343F" w:rsidRDefault="00410C41" w:rsidP="00F66D98">
            <w:pPr>
              <w:pStyle w:val="BlockText-Plain"/>
            </w:pPr>
          </w:p>
        </w:tc>
        <w:tc>
          <w:tcPr>
            <w:tcW w:w="567" w:type="dxa"/>
          </w:tcPr>
          <w:p w14:paraId="10CBA8B4" w14:textId="77777777" w:rsidR="00410C41" w:rsidRPr="00C9343F" w:rsidRDefault="00410C41" w:rsidP="00F66D98">
            <w:pPr>
              <w:pStyle w:val="BlockText-Plain"/>
              <w:jc w:val="center"/>
            </w:pPr>
            <w:r w:rsidRPr="00C9343F">
              <w:t>c.</w:t>
            </w:r>
          </w:p>
        </w:tc>
        <w:tc>
          <w:tcPr>
            <w:tcW w:w="7800" w:type="dxa"/>
            <w:gridSpan w:val="2"/>
          </w:tcPr>
          <w:p w14:paraId="7013BDB5" w14:textId="77777777" w:rsidR="00410C41" w:rsidRPr="00C9343F" w:rsidRDefault="00410C41" w:rsidP="00F66D98">
            <w:pPr>
              <w:pStyle w:val="BlockText-Plain"/>
            </w:pPr>
            <w:r w:rsidRPr="00C9343F">
              <w:t>They could not take recreation leave because they had to remain on duty.</w:t>
            </w:r>
          </w:p>
        </w:tc>
      </w:tr>
      <w:tr w:rsidR="00410C41" w:rsidRPr="00C9343F" w14:paraId="447A054E" w14:textId="77777777" w:rsidTr="005E243D">
        <w:trPr>
          <w:cantSplit/>
        </w:trPr>
        <w:tc>
          <w:tcPr>
            <w:tcW w:w="992" w:type="dxa"/>
          </w:tcPr>
          <w:p w14:paraId="7DEC4446" w14:textId="77777777" w:rsidR="00410C41" w:rsidRPr="00C9343F" w:rsidRDefault="00410C41" w:rsidP="00F66D98">
            <w:pPr>
              <w:pStyle w:val="BlockText-Plain"/>
            </w:pPr>
          </w:p>
        </w:tc>
        <w:tc>
          <w:tcPr>
            <w:tcW w:w="567" w:type="dxa"/>
          </w:tcPr>
          <w:p w14:paraId="6C042BDC" w14:textId="77777777" w:rsidR="00410C41" w:rsidRPr="00C9343F" w:rsidRDefault="00410C41" w:rsidP="00F66D98">
            <w:pPr>
              <w:pStyle w:val="BlockText-Plain"/>
              <w:jc w:val="center"/>
            </w:pPr>
            <w:r w:rsidRPr="00C9343F">
              <w:t>d.</w:t>
            </w:r>
          </w:p>
        </w:tc>
        <w:tc>
          <w:tcPr>
            <w:tcW w:w="7800" w:type="dxa"/>
            <w:gridSpan w:val="2"/>
          </w:tcPr>
          <w:p w14:paraId="77138FA1" w14:textId="77777777" w:rsidR="00410C41" w:rsidRPr="00C9343F" w:rsidRDefault="00410C41" w:rsidP="00F66D98">
            <w:pPr>
              <w:pStyle w:val="BlockText-Plain"/>
            </w:pPr>
            <w:r w:rsidRPr="00C9343F">
              <w:t>If the member received notice to show cause that results in their service being terminated under section 24(1)(a) of the Defence Regulation due to being medically unfit for service in the Defence Force.</w:t>
            </w:r>
          </w:p>
        </w:tc>
      </w:tr>
      <w:tr w:rsidR="00410C41" w:rsidRPr="00C9343F" w14:paraId="07DF2905" w14:textId="77777777" w:rsidTr="005E243D">
        <w:tc>
          <w:tcPr>
            <w:tcW w:w="992" w:type="dxa"/>
          </w:tcPr>
          <w:p w14:paraId="182A57E2" w14:textId="77777777" w:rsidR="00410C41" w:rsidRPr="00C9343F" w:rsidRDefault="00410C41" w:rsidP="00F66D98">
            <w:pPr>
              <w:pStyle w:val="BlockText-Para"/>
              <w:jc w:val="center"/>
              <w:rPr>
                <w:sz w:val="20"/>
              </w:rPr>
            </w:pPr>
            <w:r w:rsidRPr="00C9343F">
              <w:rPr>
                <w:sz w:val="20"/>
              </w:rPr>
              <w:t>4.</w:t>
            </w:r>
          </w:p>
        </w:tc>
        <w:tc>
          <w:tcPr>
            <w:tcW w:w="8367" w:type="dxa"/>
            <w:gridSpan w:val="3"/>
          </w:tcPr>
          <w:p w14:paraId="2B7A24B6" w14:textId="77777777" w:rsidR="00410C41" w:rsidRPr="00C9343F" w:rsidRDefault="00410C41" w:rsidP="00F66D98">
            <w:pPr>
              <w:pStyle w:val="BlockText-Plain"/>
            </w:pPr>
            <w:r w:rsidRPr="00C9343F">
              <w:t xml:space="preserve">On any day that an amount of allowance under either DFRT Determination No. 11 of 2013, </w:t>
            </w:r>
            <w:r w:rsidRPr="00C9343F">
              <w:rPr>
                <w:i/>
              </w:rPr>
              <w:t>ADF Allowances</w:t>
            </w:r>
            <w:r w:rsidRPr="00C9343F">
              <w:t>, or this determination is included in a member's salary, the member is not to be paid that allowance amount under this section.</w:t>
            </w:r>
          </w:p>
        </w:tc>
      </w:tr>
    </w:tbl>
    <w:p w14:paraId="1735628F" w14:textId="77777777" w:rsidR="00410C41" w:rsidRPr="00C9343F" w:rsidRDefault="00410C41" w:rsidP="00F66D98">
      <w:pPr>
        <w:pStyle w:val="Heading5"/>
      </w:pPr>
      <w:bookmarkStart w:id="1315" w:name="_Toc105054012"/>
      <w:r w:rsidRPr="00C9343F">
        <w:t>5.4.38    Member seconded or attached for duty</w:t>
      </w:r>
      <w:bookmarkEnd w:id="1315"/>
    </w:p>
    <w:tbl>
      <w:tblPr>
        <w:tblW w:w="0" w:type="auto"/>
        <w:tblInd w:w="113" w:type="dxa"/>
        <w:tblLayout w:type="fixed"/>
        <w:tblLook w:val="0000" w:firstRow="0" w:lastRow="0" w:firstColumn="0" w:lastColumn="0" w:noHBand="0" w:noVBand="0"/>
      </w:tblPr>
      <w:tblGrid>
        <w:gridCol w:w="992"/>
        <w:gridCol w:w="567"/>
        <w:gridCol w:w="7796"/>
      </w:tblGrid>
      <w:tr w:rsidR="00410C41" w:rsidRPr="00C9343F" w14:paraId="04DA78FF" w14:textId="77777777" w:rsidTr="005E243D">
        <w:tc>
          <w:tcPr>
            <w:tcW w:w="992" w:type="dxa"/>
          </w:tcPr>
          <w:p w14:paraId="7612D533" w14:textId="77777777" w:rsidR="00410C41" w:rsidRPr="00C9343F" w:rsidRDefault="00410C41" w:rsidP="00F66D98">
            <w:pPr>
              <w:pStyle w:val="BlockText-Plain"/>
              <w:jc w:val="center"/>
            </w:pPr>
            <w:r w:rsidRPr="00C9343F">
              <w:t>1.</w:t>
            </w:r>
          </w:p>
        </w:tc>
        <w:tc>
          <w:tcPr>
            <w:tcW w:w="8363" w:type="dxa"/>
            <w:gridSpan w:val="2"/>
          </w:tcPr>
          <w:p w14:paraId="4B89E9C8" w14:textId="77777777" w:rsidR="00410C41" w:rsidRPr="00C9343F" w:rsidRDefault="00410C41" w:rsidP="00F66D98">
            <w:pPr>
              <w:pStyle w:val="BlockText-Plain"/>
            </w:pPr>
            <w:r w:rsidRPr="00C9343F">
              <w:t>This section applies to a member who is seconded or attached for a period of duty with any of these bodies.</w:t>
            </w:r>
          </w:p>
        </w:tc>
      </w:tr>
      <w:tr w:rsidR="00410C41" w:rsidRPr="00C9343F" w14:paraId="18B4C9C4" w14:textId="77777777" w:rsidTr="005E243D">
        <w:trPr>
          <w:cantSplit/>
        </w:trPr>
        <w:tc>
          <w:tcPr>
            <w:tcW w:w="992" w:type="dxa"/>
          </w:tcPr>
          <w:p w14:paraId="4C609239" w14:textId="77777777" w:rsidR="00410C41" w:rsidRPr="00C9343F" w:rsidRDefault="00410C41" w:rsidP="00F66D98">
            <w:pPr>
              <w:pStyle w:val="BlockText-Plain"/>
            </w:pPr>
          </w:p>
        </w:tc>
        <w:tc>
          <w:tcPr>
            <w:tcW w:w="567" w:type="dxa"/>
          </w:tcPr>
          <w:p w14:paraId="2FD66867" w14:textId="77777777" w:rsidR="00410C41" w:rsidRPr="00C9343F" w:rsidRDefault="00410C41" w:rsidP="008D1B5D">
            <w:pPr>
              <w:pStyle w:val="BlockText-Plain"/>
              <w:jc w:val="center"/>
            </w:pPr>
            <w:r w:rsidRPr="00C9343F">
              <w:t>a.</w:t>
            </w:r>
          </w:p>
        </w:tc>
        <w:tc>
          <w:tcPr>
            <w:tcW w:w="7796" w:type="dxa"/>
          </w:tcPr>
          <w:p w14:paraId="4F700D23" w14:textId="77777777" w:rsidR="00410C41" w:rsidRPr="00C9343F" w:rsidRDefault="00410C41" w:rsidP="00F66D98">
            <w:pPr>
              <w:pStyle w:val="BlockText-Plain"/>
            </w:pPr>
            <w:r w:rsidRPr="00C9343F">
              <w:t>The armed forces of a country other than Australia.</w:t>
            </w:r>
          </w:p>
        </w:tc>
      </w:tr>
      <w:tr w:rsidR="00410C41" w:rsidRPr="00C9343F" w14:paraId="23AC0741" w14:textId="77777777" w:rsidTr="005E243D">
        <w:trPr>
          <w:cantSplit/>
        </w:trPr>
        <w:tc>
          <w:tcPr>
            <w:tcW w:w="992" w:type="dxa"/>
          </w:tcPr>
          <w:p w14:paraId="6AAD13B5" w14:textId="77777777" w:rsidR="00410C41" w:rsidRPr="00C9343F" w:rsidRDefault="00410C41" w:rsidP="00F66D98">
            <w:pPr>
              <w:pStyle w:val="BlockText-Plain"/>
            </w:pPr>
          </w:p>
        </w:tc>
        <w:tc>
          <w:tcPr>
            <w:tcW w:w="567" w:type="dxa"/>
          </w:tcPr>
          <w:p w14:paraId="0CD9E6BE" w14:textId="77777777" w:rsidR="00410C41" w:rsidRPr="00C9343F" w:rsidRDefault="00410C41" w:rsidP="008D1B5D">
            <w:pPr>
              <w:pStyle w:val="BlockText-Plain"/>
              <w:jc w:val="center"/>
            </w:pPr>
            <w:r w:rsidRPr="00C9343F">
              <w:t>b.</w:t>
            </w:r>
          </w:p>
        </w:tc>
        <w:tc>
          <w:tcPr>
            <w:tcW w:w="7796" w:type="dxa"/>
          </w:tcPr>
          <w:p w14:paraId="1E75AE4A" w14:textId="77777777" w:rsidR="00410C41" w:rsidRPr="00C9343F" w:rsidRDefault="00410C41" w:rsidP="00F66D98">
            <w:pPr>
              <w:pStyle w:val="BlockText-Plain"/>
            </w:pPr>
            <w:r w:rsidRPr="00C9343F">
              <w:t>The United Nations.</w:t>
            </w:r>
          </w:p>
        </w:tc>
      </w:tr>
      <w:tr w:rsidR="00410C41" w:rsidRPr="00C9343F" w14:paraId="2F3303C2" w14:textId="77777777" w:rsidTr="005E243D">
        <w:trPr>
          <w:cantSplit/>
        </w:trPr>
        <w:tc>
          <w:tcPr>
            <w:tcW w:w="992" w:type="dxa"/>
          </w:tcPr>
          <w:p w14:paraId="199F0F33" w14:textId="77777777" w:rsidR="00410C41" w:rsidRPr="00C9343F" w:rsidRDefault="00410C41" w:rsidP="00F66D98">
            <w:pPr>
              <w:pStyle w:val="BlockText-Plain"/>
            </w:pPr>
          </w:p>
        </w:tc>
        <w:tc>
          <w:tcPr>
            <w:tcW w:w="567" w:type="dxa"/>
          </w:tcPr>
          <w:p w14:paraId="0616CF0E" w14:textId="77777777" w:rsidR="00410C41" w:rsidRPr="00C9343F" w:rsidRDefault="00410C41" w:rsidP="00F66D98">
            <w:pPr>
              <w:pStyle w:val="BlockText-Plain"/>
            </w:pPr>
          </w:p>
        </w:tc>
        <w:tc>
          <w:tcPr>
            <w:tcW w:w="7796" w:type="dxa"/>
          </w:tcPr>
          <w:p w14:paraId="3411F00D" w14:textId="77777777" w:rsidR="00410C41" w:rsidRPr="00C9343F" w:rsidRDefault="00410C41" w:rsidP="00F66D98">
            <w:pPr>
              <w:pStyle w:val="BlockText-Plain"/>
            </w:pPr>
            <w:r w:rsidRPr="00C9343F">
              <w:rPr>
                <w:b/>
              </w:rPr>
              <w:t xml:space="preserve">Exception: </w:t>
            </w:r>
            <w:r w:rsidRPr="00C9343F">
              <w:t>A member who is subject to the rules under Chapter 12 Part 4 Division 2, Member remunerated by the ADF.</w:t>
            </w:r>
          </w:p>
        </w:tc>
      </w:tr>
      <w:tr w:rsidR="00410C41" w:rsidRPr="00C9343F" w14:paraId="02E333B0" w14:textId="77777777" w:rsidTr="005E243D">
        <w:trPr>
          <w:cantSplit/>
        </w:trPr>
        <w:tc>
          <w:tcPr>
            <w:tcW w:w="992" w:type="dxa"/>
          </w:tcPr>
          <w:p w14:paraId="5323E591" w14:textId="77777777" w:rsidR="00410C41" w:rsidRPr="00C9343F" w:rsidRDefault="00410C41" w:rsidP="00F66D98">
            <w:pPr>
              <w:pStyle w:val="BlockText-Plain"/>
            </w:pPr>
          </w:p>
        </w:tc>
        <w:tc>
          <w:tcPr>
            <w:tcW w:w="567" w:type="dxa"/>
          </w:tcPr>
          <w:p w14:paraId="232ADF71" w14:textId="77777777" w:rsidR="00410C41" w:rsidRPr="00C9343F" w:rsidRDefault="00410C41" w:rsidP="008D1B5D">
            <w:pPr>
              <w:pStyle w:val="BlockText-Plain"/>
              <w:jc w:val="center"/>
            </w:pPr>
            <w:r w:rsidRPr="00C9343F">
              <w:t>c.</w:t>
            </w:r>
          </w:p>
        </w:tc>
        <w:tc>
          <w:tcPr>
            <w:tcW w:w="7796" w:type="dxa"/>
          </w:tcPr>
          <w:p w14:paraId="3ECABDE1" w14:textId="77777777" w:rsidR="00410C41" w:rsidRPr="00C9343F" w:rsidRDefault="00410C41" w:rsidP="00F66D98">
            <w:pPr>
              <w:pStyle w:val="BlockText-Plain"/>
            </w:pPr>
            <w:r w:rsidRPr="00C9343F">
              <w:t>A treaty organisation.</w:t>
            </w:r>
          </w:p>
        </w:tc>
      </w:tr>
      <w:tr w:rsidR="00410C41" w:rsidRPr="00C9343F" w14:paraId="068DBFE1" w14:textId="77777777" w:rsidTr="005E243D">
        <w:trPr>
          <w:cantSplit/>
        </w:trPr>
        <w:tc>
          <w:tcPr>
            <w:tcW w:w="992" w:type="dxa"/>
          </w:tcPr>
          <w:p w14:paraId="61429D55" w14:textId="77777777" w:rsidR="00410C41" w:rsidRPr="00C9343F" w:rsidRDefault="00410C41" w:rsidP="00F66D98">
            <w:pPr>
              <w:pStyle w:val="BlockText-Plain"/>
            </w:pPr>
          </w:p>
        </w:tc>
        <w:tc>
          <w:tcPr>
            <w:tcW w:w="567" w:type="dxa"/>
          </w:tcPr>
          <w:p w14:paraId="539AC123" w14:textId="77777777" w:rsidR="00410C41" w:rsidRPr="00C9343F" w:rsidRDefault="00410C41" w:rsidP="008D1B5D">
            <w:pPr>
              <w:pStyle w:val="BlockText-Plain"/>
              <w:jc w:val="center"/>
            </w:pPr>
            <w:r w:rsidRPr="00C9343F">
              <w:t>d.</w:t>
            </w:r>
          </w:p>
        </w:tc>
        <w:tc>
          <w:tcPr>
            <w:tcW w:w="7796" w:type="dxa"/>
          </w:tcPr>
          <w:p w14:paraId="72F044D6" w14:textId="77777777" w:rsidR="00410C41" w:rsidRPr="00C9343F" w:rsidRDefault="00410C41" w:rsidP="00F66D98">
            <w:pPr>
              <w:pStyle w:val="BlockText-Plain"/>
            </w:pPr>
            <w:r w:rsidRPr="00C9343F">
              <w:t>A Commonwealth Government department (other than the Department of Defence).</w:t>
            </w:r>
          </w:p>
        </w:tc>
      </w:tr>
      <w:tr w:rsidR="00410C41" w:rsidRPr="00C9343F" w14:paraId="59ABC2C9" w14:textId="77777777" w:rsidTr="005E243D">
        <w:trPr>
          <w:cantSplit/>
        </w:trPr>
        <w:tc>
          <w:tcPr>
            <w:tcW w:w="992" w:type="dxa"/>
          </w:tcPr>
          <w:p w14:paraId="0706D137" w14:textId="77777777" w:rsidR="00410C41" w:rsidRPr="00C9343F" w:rsidRDefault="00410C41" w:rsidP="00F66D98">
            <w:pPr>
              <w:pStyle w:val="BlockText-Plain"/>
            </w:pPr>
          </w:p>
        </w:tc>
        <w:tc>
          <w:tcPr>
            <w:tcW w:w="567" w:type="dxa"/>
          </w:tcPr>
          <w:p w14:paraId="2B94E07B" w14:textId="77777777" w:rsidR="00410C41" w:rsidRPr="00C9343F" w:rsidRDefault="00410C41" w:rsidP="008D1B5D">
            <w:pPr>
              <w:pStyle w:val="BlockText-Plain"/>
              <w:jc w:val="center"/>
            </w:pPr>
            <w:r w:rsidRPr="00C9343F">
              <w:t>e.</w:t>
            </w:r>
          </w:p>
        </w:tc>
        <w:tc>
          <w:tcPr>
            <w:tcW w:w="7796" w:type="dxa"/>
          </w:tcPr>
          <w:p w14:paraId="09749CB0" w14:textId="77777777" w:rsidR="00410C41" w:rsidRPr="00C9343F" w:rsidRDefault="00410C41" w:rsidP="00F66D98">
            <w:pPr>
              <w:pStyle w:val="BlockText-Plain"/>
            </w:pPr>
            <w:r w:rsidRPr="00C9343F">
              <w:t>Any other body established or constituted under a law of the Commonwealth or a State or Territory. This does not include an external Territory.</w:t>
            </w:r>
          </w:p>
        </w:tc>
      </w:tr>
      <w:tr w:rsidR="00410C41" w:rsidRPr="00C9343F" w14:paraId="14DAE1CC" w14:textId="77777777" w:rsidTr="005E243D">
        <w:tc>
          <w:tcPr>
            <w:tcW w:w="992" w:type="dxa"/>
          </w:tcPr>
          <w:p w14:paraId="2D5C715D" w14:textId="77777777" w:rsidR="00410C41" w:rsidRPr="00C9343F" w:rsidRDefault="00410C41" w:rsidP="00F66D98">
            <w:pPr>
              <w:pStyle w:val="BlockText-Plain"/>
              <w:jc w:val="center"/>
            </w:pPr>
            <w:r w:rsidRPr="00C9343F">
              <w:t>2.</w:t>
            </w:r>
          </w:p>
        </w:tc>
        <w:tc>
          <w:tcPr>
            <w:tcW w:w="8363" w:type="dxa"/>
            <w:gridSpan w:val="2"/>
          </w:tcPr>
          <w:p w14:paraId="4E75B62E" w14:textId="77777777" w:rsidR="00410C41" w:rsidRPr="00C9343F" w:rsidRDefault="00410C41" w:rsidP="00F66D98">
            <w:pPr>
              <w:pStyle w:val="BlockText-Plain"/>
            </w:pPr>
            <w:r w:rsidRPr="00C9343F">
              <w:t>The member must accept the recreation leave entitlement authorised by the body they have been seconded or attached to for their period of duty with it. The member is not entitled to recreation leave under this Part for that period, except as provided by subsection 3.</w:t>
            </w:r>
          </w:p>
        </w:tc>
      </w:tr>
      <w:tr w:rsidR="00410C41" w:rsidRPr="00C9343F" w14:paraId="05D6A08D" w14:textId="77777777" w:rsidTr="005E243D">
        <w:tc>
          <w:tcPr>
            <w:tcW w:w="992" w:type="dxa"/>
          </w:tcPr>
          <w:p w14:paraId="2C1515D8" w14:textId="77777777" w:rsidR="00410C41" w:rsidRPr="00C9343F" w:rsidRDefault="00410C41" w:rsidP="00F66D98">
            <w:pPr>
              <w:pStyle w:val="BlockText-Plain"/>
              <w:jc w:val="center"/>
            </w:pPr>
            <w:r w:rsidRPr="00C9343F">
              <w:t>3.</w:t>
            </w:r>
          </w:p>
        </w:tc>
        <w:tc>
          <w:tcPr>
            <w:tcW w:w="8363" w:type="dxa"/>
            <w:gridSpan w:val="2"/>
          </w:tcPr>
          <w:p w14:paraId="3FF3C4ED" w14:textId="77777777" w:rsidR="00410C41" w:rsidRPr="00C9343F" w:rsidRDefault="00410C41" w:rsidP="00F66D98">
            <w:pPr>
              <w:pStyle w:val="BlockText-Plain"/>
            </w:pPr>
            <w:r w:rsidRPr="00C9343F">
              <w:t>The body may give the member less recreation leave credit or additional credit than they would get if they were entitled to credit under this Part. In that case, they are entitled to an additional leave credit to bring them up to the entitlement that would have applied to them under this Part, as if the period of secondment or attachment had been service with the ADF.</w:t>
            </w:r>
          </w:p>
        </w:tc>
      </w:tr>
    </w:tbl>
    <w:p w14:paraId="15D9FCA5" w14:textId="77777777" w:rsidR="00410C41" w:rsidRPr="00C9343F" w:rsidRDefault="00410C41" w:rsidP="00F66D98">
      <w:pPr>
        <w:spacing w:before="360" w:after="120"/>
        <w:rPr>
          <w:b/>
        </w:rPr>
      </w:pPr>
      <w:r w:rsidRPr="00C9343F">
        <w:rPr>
          <w:b/>
        </w:rPr>
        <w:t>5.4.39    How to apply for leave</w:t>
      </w:r>
    </w:p>
    <w:tbl>
      <w:tblPr>
        <w:tblW w:w="9372" w:type="dxa"/>
        <w:tblInd w:w="108" w:type="dxa"/>
        <w:tblLayout w:type="fixed"/>
        <w:tblLook w:val="0000" w:firstRow="0" w:lastRow="0" w:firstColumn="0" w:lastColumn="0" w:noHBand="0" w:noVBand="0"/>
      </w:tblPr>
      <w:tblGrid>
        <w:gridCol w:w="997"/>
        <w:gridCol w:w="8375"/>
      </w:tblGrid>
      <w:tr w:rsidR="00410C41" w:rsidRPr="00C9343F" w14:paraId="7BBD1096" w14:textId="77777777" w:rsidTr="005E243D">
        <w:tc>
          <w:tcPr>
            <w:tcW w:w="997" w:type="dxa"/>
          </w:tcPr>
          <w:p w14:paraId="66BDFAFD" w14:textId="77777777" w:rsidR="00410C41" w:rsidRPr="00C9343F" w:rsidRDefault="00410C41" w:rsidP="00F66D98">
            <w:pPr>
              <w:pStyle w:val="BlockText-Plain"/>
              <w:jc w:val="center"/>
            </w:pPr>
          </w:p>
        </w:tc>
        <w:tc>
          <w:tcPr>
            <w:tcW w:w="8375" w:type="dxa"/>
          </w:tcPr>
          <w:p w14:paraId="2152ACD4" w14:textId="77777777" w:rsidR="00410C41" w:rsidRPr="00C9343F" w:rsidRDefault="00410C41" w:rsidP="00F66D98">
            <w:pPr>
              <w:pStyle w:val="BlockText-Plain"/>
              <w:rPr>
                <w:iCs/>
              </w:rPr>
            </w:pPr>
            <w:r w:rsidRPr="00C9343F">
              <w:rPr>
                <w:iCs/>
                <w:color w:val="000000"/>
              </w:rPr>
              <w:t xml:space="preserve">A member must use the approved form to </w:t>
            </w:r>
            <w:r w:rsidRPr="00C9343F">
              <w:rPr>
                <w:iCs/>
              </w:rPr>
              <w:t>apply for leave.</w:t>
            </w:r>
          </w:p>
        </w:tc>
      </w:tr>
    </w:tbl>
    <w:p w14:paraId="1F3246F3" w14:textId="77777777" w:rsidR="00410C41" w:rsidRPr="00C9343F" w:rsidRDefault="00410C41" w:rsidP="00F66D98"/>
    <w:p w14:paraId="66D8A6E0" w14:textId="77777777" w:rsidR="00410C41" w:rsidRPr="00C9343F" w:rsidRDefault="00410C41" w:rsidP="00F66D98">
      <w:pPr>
        <w:pStyle w:val="Heading4"/>
        <w:keepNext w:val="0"/>
        <w:keepLines w:val="0"/>
        <w:pageBreakBefore/>
        <w:spacing w:before="240"/>
      </w:pPr>
      <w:bookmarkStart w:id="1316" w:name="_Toc105054013"/>
      <w:r w:rsidRPr="00C9343F">
        <w:t>Division 8: Payment or transfer of recreation leave credit</w:t>
      </w:r>
      <w:bookmarkEnd w:id="1316"/>
    </w:p>
    <w:p w14:paraId="2086CDF9" w14:textId="77777777" w:rsidR="00410C41" w:rsidRPr="00C9343F" w:rsidRDefault="00410C41" w:rsidP="00F66D98">
      <w:pPr>
        <w:pStyle w:val="Heading5"/>
      </w:pPr>
      <w:bookmarkStart w:id="1317" w:name="_Toc105054014"/>
      <w:r w:rsidRPr="00C9343F">
        <w:t>5.4.40    Purpose</w:t>
      </w:r>
      <w:bookmarkEnd w:id="1317"/>
    </w:p>
    <w:tbl>
      <w:tblPr>
        <w:tblW w:w="9359" w:type="dxa"/>
        <w:tblInd w:w="113" w:type="dxa"/>
        <w:tblLayout w:type="fixed"/>
        <w:tblLook w:val="0000" w:firstRow="0" w:lastRow="0" w:firstColumn="0" w:lastColumn="0" w:noHBand="0" w:noVBand="0"/>
      </w:tblPr>
      <w:tblGrid>
        <w:gridCol w:w="992"/>
        <w:gridCol w:w="8367"/>
      </w:tblGrid>
      <w:tr w:rsidR="00410C41" w:rsidRPr="00C9343F" w14:paraId="076999FF" w14:textId="77777777" w:rsidTr="005E243D">
        <w:tc>
          <w:tcPr>
            <w:tcW w:w="992" w:type="dxa"/>
          </w:tcPr>
          <w:p w14:paraId="6E9880D4" w14:textId="77777777" w:rsidR="00410C41" w:rsidRPr="00C9343F" w:rsidRDefault="00410C41" w:rsidP="00F66D98">
            <w:pPr>
              <w:pStyle w:val="BlockText-Plain"/>
              <w:jc w:val="center"/>
            </w:pPr>
          </w:p>
        </w:tc>
        <w:tc>
          <w:tcPr>
            <w:tcW w:w="8367" w:type="dxa"/>
          </w:tcPr>
          <w:p w14:paraId="6B9327C5" w14:textId="77777777" w:rsidR="00410C41" w:rsidRPr="00C9343F" w:rsidRDefault="00410C41" w:rsidP="00F66D98">
            <w:pPr>
              <w:pStyle w:val="BlockText-Plain"/>
            </w:pPr>
            <w:r w:rsidRPr="00C9343F">
              <w:t xml:space="preserve">This Division sets out how recreation leave may be paid out or transferred to another Commonwealth entity instead of taken when a member ceases continuous full-time service. </w:t>
            </w:r>
          </w:p>
        </w:tc>
      </w:tr>
    </w:tbl>
    <w:p w14:paraId="79456EA0" w14:textId="77777777" w:rsidR="00410C41" w:rsidRPr="00C9343F" w:rsidRDefault="00410C41" w:rsidP="00F66D98">
      <w:pPr>
        <w:pStyle w:val="Heading5"/>
      </w:pPr>
      <w:bookmarkStart w:id="1318" w:name="_Toc105054015"/>
      <w:r w:rsidRPr="00C9343F">
        <w:t>5.4.41    Member this Division applies to</w:t>
      </w:r>
      <w:bookmarkEnd w:id="1318"/>
    </w:p>
    <w:tbl>
      <w:tblPr>
        <w:tblW w:w="9359" w:type="dxa"/>
        <w:tblInd w:w="113" w:type="dxa"/>
        <w:tblLayout w:type="fixed"/>
        <w:tblLook w:val="0000" w:firstRow="0" w:lastRow="0" w:firstColumn="0" w:lastColumn="0" w:noHBand="0" w:noVBand="0"/>
      </w:tblPr>
      <w:tblGrid>
        <w:gridCol w:w="992"/>
        <w:gridCol w:w="596"/>
        <w:gridCol w:w="7771"/>
      </w:tblGrid>
      <w:tr w:rsidR="00410C41" w:rsidRPr="00C9343F" w14:paraId="4B2F3260" w14:textId="77777777" w:rsidTr="005E243D">
        <w:tc>
          <w:tcPr>
            <w:tcW w:w="992" w:type="dxa"/>
          </w:tcPr>
          <w:p w14:paraId="77B1E9A8" w14:textId="77777777" w:rsidR="00410C41" w:rsidRPr="00C9343F" w:rsidRDefault="00410C41" w:rsidP="00F66D98">
            <w:pPr>
              <w:pStyle w:val="Sectiontext0"/>
              <w:jc w:val="center"/>
            </w:pPr>
          </w:p>
        </w:tc>
        <w:tc>
          <w:tcPr>
            <w:tcW w:w="8367" w:type="dxa"/>
            <w:gridSpan w:val="2"/>
          </w:tcPr>
          <w:p w14:paraId="7F5DC3D8" w14:textId="77777777" w:rsidR="00410C41" w:rsidRPr="00C9343F" w:rsidRDefault="00410C41" w:rsidP="00F66D98">
            <w:pPr>
              <w:pStyle w:val="Sectiontext0"/>
              <w:rPr>
                <w:iCs/>
              </w:rPr>
            </w:pPr>
            <w:r w:rsidRPr="00C9343F">
              <w:rPr>
                <w:iCs/>
              </w:rPr>
              <w:t>This Division applies to the following.</w:t>
            </w:r>
          </w:p>
        </w:tc>
      </w:tr>
      <w:tr w:rsidR="00410C41" w:rsidRPr="00C9343F" w14:paraId="0BA45FD5" w14:textId="77777777" w:rsidTr="005E243D">
        <w:tc>
          <w:tcPr>
            <w:tcW w:w="992" w:type="dxa"/>
          </w:tcPr>
          <w:p w14:paraId="6CAC5EEB" w14:textId="77777777" w:rsidR="00410C41" w:rsidRPr="00C9343F" w:rsidRDefault="00410C41" w:rsidP="00F66D98">
            <w:pPr>
              <w:pStyle w:val="Sectiontext0"/>
              <w:jc w:val="center"/>
            </w:pPr>
          </w:p>
        </w:tc>
        <w:tc>
          <w:tcPr>
            <w:tcW w:w="596" w:type="dxa"/>
          </w:tcPr>
          <w:p w14:paraId="2BC2599B" w14:textId="77777777" w:rsidR="00410C41" w:rsidRPr="00C9343F" w:rsidRDefault="00410C41" w:rsidP="00F66D98">
            <w:pPr>
              <w:pStyle w:val="Sectiontext0"/>
              <w:jc w:val="center"/>
              <w:rPr>
                <w:iCs/>
              </w:rPr>
            </w:pPr>
            <w:r w:rsidRPr="00C9343F">
              <w:rPr>
                <w:iCs/>
              </w:rPr>
              <w:t>a.</w:t>
            </w:r>
          </w:p>
        </w:tc>
        <w:tc>
          <w:tcPr>
            <w:tcW w:w="7771" w:type="dxa"/>
          </w:tcPr>
          <w:p w14:paraId="59F44914" w14:textId="77777777" w:rsidR="00410C41" w:rsidRPr="00C9343F" w:rsidRDefault="00410C41" w:rsidP="00F66D98">
            <w:pPr>
              <w:pStyle w:val="Sectiontext0"/>
              <w:rPr>
                <w:iCs/>
              </w:rPr>
            </w:pPr>
            <w:r w:rsidRPr="00C9343F">
              <w:rPr>
                <w:iCs/>
              </w:rPr>
              <w:t>A member who ceases continuous full-time service, including the CDF.</w:t>
            </w:r>
          </w:p>
        </w:tc>
      </w:tr>
      <w:tr w:rsidR="00410C41" w:rsidRPr="00C9343F" w14:paraId="34B5594E" w14:textId="77777777" w:rsidTr="005E243D">
        <w:tc>
          <w:tcPr>
            <w:tcW w:w="992" w:type="dxa"/>
          </w:tcPr>
          <w:p w14:paraId="3BFD2082" w14:textId="77777777" w:rsidR="00410C41" w:rsidRPr="00C9343F" w:rsidRDefault="00410C41" w:rsidP="00F66D98">
            <w:pPr>
              <w:pStyle w:val="Sectiontext0"/>
              <w:jc w:val="center"/>
            </w:pPr>
          </w:p>
        </w:tc>
        <w:tc>
          <w:tcPr>
            <w:tcW w:w="596" w:type="dxa"/>
          </w:tcPr>
          <w:p w14:paraId="78D4E28E" w14:textId="77777777" w:rsidR="00410C41" w:rsidRPr="00C9343F" w:rsidRDefault="00410C41" w:rsidP="00F66D98">
            <w:pPr>
              <w:pStyle w:val="Sectiontext0"/>
              <w:jc w:val="center"/>
              <w:rPr>
                <w:iCs/>
              </w:rPr>
            </w:pPr>
            <w:r w:rsidRPr="00C9343F">
              <w:rPr>
                <w:iCs/>
              </w:rPr>
              <w:t>b.</w:t>
            </w:r>
          </w:p>
        </w:tc>
        <w:tc>
          <w:tcPr>
            <w:tcW w:w="7771" w:type="dxa"/>
          </w:tcPr>
          <w:p w14:paraId="1A045ECB" w14:textId="77777777" w:rsidR="00410C41" w:rsidRPr="00C9343F" w:rsidRDefault="00410C41" w:rsidP="00F66D98">
            <w:pPr>
              <w:pStyle w:val="Sectiontext0"/>
              <w:rPr>
                <w:iCs/>
              </w:rPr>
            </w:pPr>
            <w:r w:rsidRPr="00C9343F">
              <w:rPr>
                <w:iCs/>
              </w:rPr>
              <w:t>A member who has died, but limited to calculate the amount payable under section 1.6.4.</w:t>
            </w:r>
          </w:p>
        </w:tc>
      </w:tr>
    </w:tbl>
    <w:p w14:paraId="2C2FCAB9" w14:textId="77777777" w:rsidR="00410C41" w:rsidRPr="00C9343F" w:rsidRDefault="00410C41" w:rsidP="00F66D98">
      <w:pPr>
        <w:pStyle w:val="Heading5"/>
      </w:pPr>
      <w:bookmarkStart w:id="1319" w:name="_Toc105054016"/>
      <w:r w:rsidRPr="00C9343F">
        <w:t>5.4.42    Definitions</w:t>
      </w:r>
      <w:bookmarkEnd w:id="1319"/>
    </w:p>
    <w:tbl>
      <w:tblPr>
        <w:tblW w:w="9359" w:type="dxa"/>
        <w:tblInd w:w="113" w:type="dxa"/>
        <w:tblLayout w:type="fixed"/>
        <w:tblLook w:val="04A0" w:firstRow="1" w:lastRow="0" w:firstColumn="1" w:lastColumn="0" w:noHBand="0" w:noVBand="1"/>
      </w:tblPr>
      <w:tblGrid>
        <w:gridCol w:w="992"/>
        <w:gridCol w:w="563"/>
        <w:gridCol w:w="7804"/>
      </w:tblGrid>
      <w:tr w:rsidR="00410C41" w:rsidRPr="00C9343F" w14:paraId="232D3820" w14:textId="77777777" w:rsidTr="005E243D">
        <w:tc>
          <w:tcPr>
            <w:tcW w:w="992" w:type="dxa"/>
          </w:tcPr>
          <w:p w14:paraId="4080D653" w14:textId="77777777" w:rsidR="00410C41" w:rsidRPr="00C9343F" w:rsidRDefault="00410C41" w:rsidP="00F66D98">
            <w:pPr>
              <w:pStyle w:val="Sectiontext0"/>
              <w:rPr>
                <w:lang w:eastAsia="en-US"/>
              </w:rPr>
            </w:pPr>
          </w:p>
        </w:tc>
        <w:tc>
          <w:tcPr>
            <w:tcW w:w="8367" w:type="dxa"/>
            <w:gridSpan w:val="2"/>
          </w:tcPr>
          <w:p w14:paraId="29AB140E" w14:textId="77777777" w:rsidR="00410C41" w:rsidRPr="00C9343F" w:rsidRDefault="00410C41" w:rsidP="00F66D98">
            <w:pPr>
              <w:pStyle w:val="Sectiontext0"/>
            </w:pPr>
            <w:r w:rsidRPr="00C9343F">
              <w:t>In this Division the following apply.</w:t>
            </w:r>
          </w:p>
        </w:tc>
      </w:tr>
      <w:tr w:rsidR="00410C41" w:rsidRPr="00C9343F" w14:paraId="6F147979" w14:textId="77777777" w:rsidTr="005E243D">
        <w:tc>
          <w:tcPr>
            <w:tcW w:w="992" w:type="dxa"/>
          </w:tcPr>
          <w:p w14:paraId="18CEF1B4" w14:textId="77777777" w:rsidR="00410C41" w:rsidRPr="00C9343F" w:rsidRDefault="00410C41" w:rsidP="00F66D98">
            <w:pPr>
              <w:pStyle w:val="Sectiontext0"/>
              <w:rPr>
                <w:lang w:eastAsia="en-US"/>
              </w:rPr>
            </w:pPr>
          </w:p>
        </w:tc>
        <w:tc>
          <w:tcPr>
            <w:tcW w:w="8367" w:type="dxa"/>
            <w:gridSpan w:val="2"/>
          </w:tcPr>
          <w:p w14:paraId="561B4435" w14:textId="77777777" w:rsidR="00410C41" w:rsidRPr="00C9343F" w:rsidRDefault="00410C41" w:rsidP="00F66D98">
            <w:pPr>
              <w:pStyle w:val="Sectiontext0"/>
            </w:pPr>
            <w:r w:rsidRPr="00C9343F">
              <w:rPr>
                <w:b/>
              </w:rPr>
              <w:t>Accrued leave credit</w:t>
            </w:r>
            <w:r w:rsidRPr="00C9343F">
              <w:t xml:space="preserve"> means the sum of leave credits accrued from the following types of accruable leave (measured in days).</w:t>
            </w:r>
          </w:p>
        </w:tc>
      </w:tr>
      <w:tr w:rsidR="00410C41" w:rsidRPr="00C9343F" w14:paraId="3B5CEA61" w14:textId="77777777" w:rsidTr="005E243D">
        <w:tc>
          <w:tcPr>
            <w:tcW w:w="992" w:type="dxa"/>
          </w:tcPr>
          <w:p w14:paraId="7F84F716" w14:textId="77777777" w:rsidR="00410C41" w:rsidRPr="00C9343F" w:rsidRDefault="00410C41" w:rsidP="00F66D98">
            <w:pPr>
              <w:pStyle w:val="Sectiontext0"/>
              <w:jc w:val="center"/>
              <w:rPr>
                <w:lang w:eastAsia="en-US"/>
              </w:rPr>
            </w:pPr>
          </w:p>
        </w:tc>
        <w:tc>
          <w:tcPr>
            <w:tcW w:w="563" w:type="dxa"/>
            <w:hideMark/>
          </w:tcPr>
          <w:p w14:paraId="2B0808FF" w14:textId="77777777" w:rsidR="00410C41" w:rsidRPr="00C9343F" w:rsidRDefault="00410C41" w:rsidP="00F66D98">
            <w:pPr>
              <w:pStyle w:val="Sectiontext0"/>
              <w:jc w:val="center"/>
              <w:rPr>
                <w:rFonts w:cs="Arial"/>
                <w:lang w:eastAsia="en-US"/>
              </w:rPr>
            </w:pPr>
            <w:r w:rsidRPr="00C9343F">
              <w:rPr>
                <w:rFonts w:cs="Arial"/>
                <w:lang w:eastAsia="en-US"/>
              </w:rPr>
              <w:t>a.</w:t>
            </w:r>
          </w:p>
        </w:tc>
        <w:tc>
          <w:tcPr>
            <w:tcW w:w="7804" w:type="dxa"/>
          </w:tcPr>
          <w:p w14:paraId="6E4DD7CE" w14:textId="77777777" w:rsidR="00410C41" w:rsidRPr="00C9343F" w:rsidRDefault="00410C41" w:rsidP="00F66D98">
            <w:pPr>
              <w:pStyle w:val="Sectiontext0"/>
              <w:rPr>
                <w:rFonts w:cs="Arial"/>
                <w:lang w:eastAsia="en-US"/>
              </w:rPr>
            </w:pPr>
            <w:r w:rsidRPr="00C9343F">
              <w:t>Additional recreation leave.</w:t>
            </w:r>
          </w:p>
        </w:tc>
      </w:tr>
      <w:tr w:rsidR="00410C41" w:rsidRPr="00C9343F" w14:paraId="536502E3" w14:textId="77777777" w:rsidTr="005E243D">
        <w:tc>
          <w:tcPr>
            <w:tcW w:w="992" w:type="dxa"/>
          </w:tcPr>
          <w:p w14:paraId="76985E7B" w14:textId="77777777" w:rsidR="00410C41" w:rsidRPr="00C9343F" w:rsidRDefault="00410C41" w:rsidP="00F66D98">
            <w:pPr>
              <w:pStyle w:val="Sectiontext0"/>
              <w:jc w:val="center"/>
              <w:rPr>
                <w:lang w:eastAsia="en-US"/>
              </w:rPr>
            </w:pPr>
          </w:p>
        </w:tc>
        <w:tc>
          <w:tcPr>
            <w:tcW w:w="563" w:type="dxa"/>
          </w:tcPr>
          <w:p w14:paraId="4E6D8D51" w14:textId="77777777" w:rsidR="00410C41" w:rsidRPr="00C9343F" w:rsidRDefault="00410C41" w:rsidP="00F66D98">
            <w:pPr>
              <w:pStyle w:val="Sectiontext0"/>
              <w:jc w:val="center"/>
              <w:rPr>
                <w:rFonts w:cs="Arial"/>
                <w:lang w:eastAsia="en-US"/>
              </w:rPr>
            </w:pPr>
            <w:r w:rsidRPr="00C9343F">
              <w:rPr>
                <w:rFonts w:cs="Arial"/>
                <w:lang w:eastAsia="en-US"/>
              </w:rPr>
              <w:t>b.</w:t>
            </w:r>
          </w:p>
        </w:tc>
        <w:tc>
          <w:tcPr>
            <w:tcW w:w="7804" w:type="dxa"/>
          </w:tcPr>
          <w:p w14:paraId="5BD34759" w14:textId="77777777" w:rsidR="00410C41" w:rsidRPr="00C9343F" w:rsidRDefault="00410C41" w:rsidP="00F66D98">
            <w:pPr>
              <w:pStyle w:val="Sectiontext0"/>
              <w:rPr>
                <w:rFonts w:cs="Arial"/>
                <w:lang w:eastAsia="en-US"/>
              </w:rPr>
            </w:pPr>
            <w:r w:rsidRPr="00C9343F">
              <w:t>Overseas additional recreation leave.</w:t>
            </w:r>
          </w:p>
        </w:tc>
      </w:tr>
      <w:tr w:rsidR="00410C41" w:rsidRPr="00C9343F" w14:paraId="1D0AB8B4" w14:textId="77777777" w:rsidTr="005E243D">
        <w:tc>
          <w:tcPr>
            <w:tcW w:w="992" w:type="dxa"/>
          </w:tcPr>
          <w:p w14:paraId="652CAB55" w14:textId="77777777" w:rsidR="00410C41" w:rsidRPr="00C9343F" w:rsidRDefault="00410C41" w:rsidP="00F66D98">
            <w:pPr>
              <w:pStyle w:val="Sectiontext0"/>
              <w:jc w:val="center"/>
              <w:rPr>
                <w:lang w:eastAsia="en-US"/>
              </w:rPr>
            </w:pPr>
          </w:p>
        </w:tc>
        <w:tc>
          <w:tcPr>
            <w:tcW w:w="563" w:type="dxa"/>
          </w:tcPr>
          <w:p w14:paraId="7DB5D928" w14:textId="77777777" w:rsidR="00410C41" w:rsidRPr="00C9343F" w:rsidRDefault="00410C41" w:rsidP="00F66D98">
            <w:pPr>
              <w:pStyle w:val="Sectiontext0"/>
              <w:jc w:val="center"/>
              <w:rPr>
                <w:rFonts w:cs="Arial"/>
                <w:lang w:eastAsia="en-US"/>
              </w:rPr>
            </w:pPr>
            <w:r w:rsidRPr="00C9343F">
              <w:rPr>
                <w:rFonts w:cs="Arial"/>
                <w:lang w:eastAsia="en-US"/>
              </w:rPr>
              <w:t>c.</w:t>
            </w:r>
          </w:p>
        </w:tc>
        <w:tc>
          <w:tcPr>
            <w:tcW w:w="7804" w:type="dxa"/>
          </w:tcPr>
          <w:p w14:paraId="4458C858" w14:textId="77777777" w:rsidR="00410C41" w:rsidRPr="00C9343F" w:rsidRDefault="00410C41" w:rsidP="00F66D98">
            <w:pPr>
              <w:pStyle w:val="Sectiontext0"/>
              <w:rPr>
                <w:rFonts w:cs="Arial"/>
                <w:lang w:eastAsia="en-US"/>
              </w:rPr>
            </w:pPr>
            <w:r w:rsidRPr="00C9343F">
              <w:t>Basic recreation leave.</w:t>
            </w:r>
          </w:p>
        </w:tc>
      </w:tr>
      <w:tr w:rsidR="00410C41" w:rsidRPr="00C9343F" w14:paraId="0EC727A5" w14:textId="77777777" w:rsidTr="005E243D">
        <w:tc>
          <w:tcPr>
            <w:tcW w:w="992" w:type="dxa"/>
          </w:tcPr>
          <w:p w14:paraId="3F5C97F9" w14:textId="77777777" w:rsidR="00410C41" w:rsidRPr="00C9343F" w:rsidRDefault="00410C41" w:rsidP="00F66D98">
            <w:pPr>
              <w:pStyle w:val="Sectiontext0"/>
              <w:jc w:val="center"/>
              <w:rPr>
                <w:lang w:eastAsia="en-US"/>
              </w:rPr>
            </w:pPr>
          </w:p>
        </w:tc>
        <w:tc>
          <w:tcPr>
            <w:tcW w:w="563" w:type="dxa"/>
          </w:tcPr>
          <w:p w14:paraId="5E3F0957" w14:textId="77777777" w:rsidR="00410C41" w:rsidRPr="00C9343F" w:rsidRDefault="00410C41" w:rsidP="00F66D98">
            <w:pPr>
              <w:pStyle w:val="Sectiontext0"/>
              <w:jc w:val="center"/>
              <w:rPr>
                <w:rFonts w:cs="Arial"/>
                <w:lang w:eastAsia="en-US"/>
              </w:rPr>
            </w:pPr>
            <w:r w:rsidRPr="00C9343F">
              <w:rPr>
                <w:rFonts w:cs="Arial"/>
                <w:lang w:eastAsia="en-US"/>
              </w:rPr>
              <w:t>d.</w:t>
            </w:r>
          </w:p>
        </w:tc>
        <w:tc>
          <w:tcPr>
            <w:tcW w:w="7804" w:type="dxa"/>
          </w:tcPr>
          <w:p w14:paraId="33563F4C" w14:textId="77777777" w:rsidR="00410C41" w:rsidRPr="00C9343F" w:rsidRDefault="00410C41" w:rsidP="00F66D98">
            <w:pPr>
              <w:pStyle w:val="Sectiontext0"/>
              <w:rPr>
                <w:rFonts w:cs="Arial"/>
                <w:lang w:eastAsia="en-US"/>
              </w:rPr>
            </w:pPr>
            <w:r w:rsidRPr="00C9343F">
              <w:t>Extra recreation leave.</w:t>
            </w:r>
          </w:p>
        </w:tc>
      </w:tr>
      <w:tr w:rsidR="00410C41" w:rsidRPr="00C9343F" w14:paraId="5B24D502" w14:textId="77777777" w:rsidTr="005E243D">
        <w:tc>
          <w:tcPr>
            <w:tcW w:w="992" w:type="dxa"/>
          </w:tcPr>
          <w:p w14:paraId="0948A10A" w14:textId="77777777" w:rsidR="00410C41" w:rsidRPr="00C9343F" w:rsidRDefault="00410C41" w:rsidP="00F66D98">
            <w:pPr>
              <w:pStyle w:val="Sectiontext0"/>
              <w:jc w:val="center"/>
              <w:rPr>
                <w:lang w:eastAsia="en-US"/>
              </w:rPr>
            </w:pPr>
          </w:p>
        </w:tc>
        <w:tc>
          <w:tcPr>
            <w:tcW w:w="563" w:type="dxa"/>
          </w:tcPr>
          <w:p w14:paraId="4256A3AC" w14:textId="77777777" w:rsidR="00410C41" w:rsidRPr="00C9343F" w:rsidRDefault="00410C41" w:rsidP="00F66D98">
            <w:pPr>
              <w:pStyle w:val="Sectiontext0"/>
              <w:jc w:val="center"/>
              <w:rPr>
                <w:rFonts w:cs="Arial"/>
                <w:lang w:eastAsia="en-US"/>
              </w:rPr>
            </w:pPr>
            <w:r w:rsidRPr="00C9343F">
              <w:rPr>
                <w:rFonts w:cs="Arial"/>
                <w:lang w:eastAsia="en-US"/>
              </w:rPr>
              <w:t>e.</w:t>
            </w:r>
          </w:p>
        </w:tc>
        <w:tc>
          <w:tcPr>
            <w:tcW w:w="7804" w:type="dxa"/>
          </w:tcPr>
          <w:p w14:paraId="10D1C951" w14:textId="77777777" w:rsidR="00410C41" w:rsidRPr="00C9343F" w:rsidRDefault="00410C41" w:rsidP="00F66D98">
            <w:pPr>
              <w:pStyle w:val="Sectiontext0"/>
              <w:rPr>
                <w:rFonts w:cs="Arial"/>
                <w:lang w:eastAsia="en-US"/>
              </w:rPr>
            </w:pPr>
            <w:r w:rsidRPr="00C9343F">
              <w:t>War service leave.</w:t>
            </w:r>
          </w:p>
        </w:tc>
      </w:tr>
      <w:tr w:rsidR="00410C41" w:rsidRPr="00C9343F" w14:paraId="4DAA2C75" w14:textId="77777777" w:rsidTr="005E243D">
        <w:tc>
          <w:tcPr>
            <w:tcW w:w="992" w:type="dxa"/>
          </w:tcPr>
          <w:p w14:paraId="2F0C8A7D" w14:textId="77777777" w:rsidR="00410C41" w:rsidRPr="00C9343F" w:rsidRDefault="00410C41" w:rsidP="00F66D98">
            <w:pPr>
              <w:pStyle w:val="Sectiontext0"/>
              <w:rPr>
                <w:lang w:eastAsia="en-US"/>
              </w:rPr>
            </w:pPr>
          </w:p>
        </w:tc>
        <w:tc>
          <w:tcPr>
            <w:tcW w:w="8367" w:type="dxa"/>
            <w:gridSpan w:val="2"/>
          </w:tcPr>
          <w:p w14:paraId="0F29B24F" w14:textId="77777777" w:rsidR="00410C41" w:rsidRPr="00C9343F" w:rsidRDefault="00410C41" w:rsidP="00F66D98">
            <w:pPr>
              <w:pStyle w:val="Sectiontext0"/>
              <w:rPr>
                <w:b/>
              </w:rPr>
            </w:pPr>
            <w:r w:rsidRPr="00C9343F">
              <w:rPr>
                <w:b/>
              </w:rPr>
              <w:t xml:space="preserve">Annual allowance </w:t>
            </w:r>
            <w:r w:rsidRPr="00C9343F">
              <w:t>means a DFRT allowance or an allowance paid under this Determination, other than the following.</w:t>
            </w:r>
          </w:p>
        </w:tc>
      </w:tr>
      <w:tr w:rsidR="00410C41" w:rsidRPr="00C9343F" w14:paraId="2CB05B6E" w14:textId="77777777" w:rsidTr="005E243D">
        <w:tc>
          <w:tcPr>
            <w:tcW w:w="992" w:type="dxa"/>
          </w:tcPr>
          <w:p w14:paraId="14786158" w14:textId="77777777" w:rsidR="00410C41" w:rsidRPr="00C9343F" w:rsidRDefault="00410C41" w:rsidP="00F66D98">
            <w:pPr>
              <w:pStyle w:val="Sectiontext0"/>
              <w:jc w:val="center"/>
              <w:rPr>
                <w:lang w:eastAsia="en-US"/>
              </w:rPr>
            </w:pPr>
          </w:p>
        </w:tc>
        <w:tc>
          <w:tcPr>
            <w:tcW w:w="563" w:type="dxa"/>
          </w:tcPr>
          <w:p w14:paraId="693B2277" w14:textId="77777777" w:rsidR="00410C41" w:rsidRPr="00C9343F" w:rsidRDefault="00410C41" w:rsidP="00F66D98">
            <w:pPr>
              <w:pStyle w:val="Sectiontext0"/>
              <w:jc w:val="center"/>
              <w:rPr>
                <w:rFonts w:cs="Arial"/>
                <w:iCs/>
                <w:lang w:eastAsia="en-US"/>
              </w:rPr>
            </w:pPr>
            <w:r w:rsidRPr="00C9343F">
              <w:rPr>
                <w:rFonts w:cs="Arial"/>
                <w:iCs/>
                <w:lang w:eastAsia="en-US"/>
              </w:rPr>
              <w:t>a.</w:t>
            </w:r>
          </w:p>
        </w:tc>
        <w:tc>
          <w:tcPr>
            <w:tcW w:w="7804" w:type="dxa"/>
          </w:tcPr>
          <w:p w14:paraId="1CA62399" w14:textId="77777777" w:rsidR="00410C41" w:rsidRPr="00C9343F" w:rsidRDefault="00410C41" w:rsidP="00F66D98">
            <w:pPr>
              <w:pStyle w:val="Sectiontext0"/>
              <w:rPr>
                <w:rFonts w:cs="Arial"/>
                <w:iCs/>
                <w:lang w:eastAsia="en-US"/>
              </w:rPr>
            </w:pPr>
            <w:r w:rsidRPr="00C9343F">
              <w:rPr>
                <w:rFonts w:cs="Arial"/>
                <w:iCs/>
                <w:lang w:eastAsia="en-US"/>
              </w:rPr>
              <w:t>Rent allowance.</w:t>
            </w:r>
          </w:p>
        </w:tc>
      </w:tr>
      <w:tr w:rsidR="00410C41" w:rsidRPr="00C9343F" w14:paraId="2B6017A0" w14:textId="77777777" w:rsidTr="005E243D">
        <w:tc>
          <w:tcPr>
            <w:tcW w:w="992" w:type="dxa"/>
          </w:tcPr>
          <w:p w14:paraId="04B0634E" w14:textId="77777777" w:rsidR="00410C41" w:rsidRPr="00C9343F" w:rsidRDefault="00410C41" w:rsidP="00F66D98">
            <w:pPr>
              <w:pStyle w:val="Sectiontext0"/>
              <w:jc w:val="center"/>
              <w:rPr>
                <w:lang w:eastAsia="en-US"/>
              </w:rPr>
            </w:pPr>
          </w:p>
        </w:tc>
        <w:tc>
          <w:tcPr>
            <w:tcW w:w="563" w:type="dxa"/>
          </w:tcPr>
          <w:p w14:paraId="7DDE60BA" w14:textId="77777777" w:rsidR="00410C41" w:rsidRPr="00C9343F" w:rsidRDefault="00410C41" w:rsidP="00F66D98">
            <w:pPr>
              <w:pStyle w:val="Sectiontext0"/>
              <w:jc w:val="center"/>
              <w:rPr>
                <w:rFonts w:cs="Arial"/>
                <w:iCs/>
                <w:lang w:eastAsia="en-US"/>
              </w:rPr>
            </w:pPr>
            <w:r w:rsidRPr="00C9343F">
              <w:rPr>
                <w:rFonts w:cs="Arial"/>
                <w:iCs/>
                <w:lang w:eastAsia="en-US"/>
              </w:rPr>
              <w:t>b.</w:t>
            </w:r>
          </w:p>
        </w:tc>
        <w:tc>
          <w:tcPr>
            <w:tcW w:w="7804" w:type="dxa"/>
          </w:tcPr>
          <w:p w14:paraId="5731C504" w14:textId="77777777" w:rsidR="00410C41" w:rsidRPr="00C9343F" w:rsidRDefault="00410C41" w:rsidP="00F66D98">
            <w:pPr>
              <w:pStyle w:val="Sectiontext0"/>
              <w:rPr>
                <w:rFonts w:cs="Arial"/>
                <w:iCs/>
                <w:lang w:eastAsia="en-US"/>
              </w:rPr>
            </w:pPr>
            <w:r w:rsidRPr="00C9343F">
              <w:rPr>
                <w:rFonts w:cs="Arial"/>
                <w:iCs/>
                <w:lang w:eastAsia="en-US"/>
              </w:rPr>
              <w:t>Executive vehicle allowance.</w:t>
            </w:r>
          </w:p>
        </w:tc>
      </w:tr>
      <w:tr w:rsidR="00410C41" w:rsidRPr="00C9343F" w14:paraId="106B0A22" w14:textId="77777777" w:rsidTr="005E243D">
        <w:tc>
          <w:tcPr>
            <w:tcW w:w="992" w:type="dxa"/>
          </w:tcPr>
          <w:p w14:paraId="2077218E" w14:textId="77777777" w:rsidR="00410C41" w:rsidRPr="00C9343F" w:rsidRDefault="00410C41" w:rsidP="00F66D98">
            <w:pPr>
              <w:pStyle w:val="Sectiontext0"/>
              <w:jc w:val="center"/>
              <w:rPr>
                <w:lang w:eastAsia="en-US"/>
              </w:rPr>
            </w:pPr>
          </w:p>
        </w:tc>
        <w:tc>
          <w:tcPr>
            <w:tcW w:w="563" w:type="dxa"/>
          </w:tcPr>
          <w:p w14:paraId="154F028E" w14:textId="77777777" w:rsidR="00410C41" w:rsidRPr="00C9343F" w:rsidRDefault="00410C41" w:rsidP="00F66D98">
            <w:pPr>
              <w:pStyle w:val="Sectiontext0"/>
              <w:jc w:val="center"/>
              <w:rPr>
                <w:rFonts w:cs="Arial"/>
                <w:iCs/>
                <w:lang w:eastAsia="en-US"/>
              </w:rPr>
            </w:pPr>
            <w:r w:rsidRPr="00C9343F">
              <w:rPr>
                <w:rFonts w:cs="Arial"/>
                <w:iCs/>
                <w:lang w:eastAsia="en-US"/>
              </w:rPr>
              <w:t>c.</w:t>
            </w:r>
          </w:p>
        </w:tc>
        <w:tc>
          <w:tcPr>
            <w:tcW w:w="7804" w:type="dxa"/>
          </w:tcPr>
          <w:p w14:paraId="1321BD62" w14:textId="77777777" w:rsidR="00410C41" w:rsidRPr="00C9343F" w:rsidRDefault="00410C41" w:rsidP="00F66D98">
            <w:pPr>
              <w:pStyle w:val="Sectiontext0"/>
              <w:rPr>
                <w:rFonts w:cs="Arial"/>
                <w:iCs/>
                <w:lang w:eastAsia="en-US"/>
              </w:rPr>
            </w:pPr>
            <w:r w:rsidRPr="00C9343F">
              <w:rPr>
                <w:rFonts w:cs="Arial"/>
                <w:iCs/>
                <w:lang w:eastAsia="en-US"/>
              </w:rPr>
              <w:t>Higher duties allowance that has been paid to the member on a continuous basis for less than a year.</w:t>
            </w:r>
          </w:p>
        </w:tc>
      </w:tr>
      <w:tr w:rsidR="00410C41" w:rsidRPr="00C9343F" w14:paraId="586FF2CB" w14:textId="77777777" w:rsidTr="005E243D">
        <w:tc>
          <w:tcPr>
            <w:tcW w:w="992" w:type="dxa"/>
          </w:tcPr>
          <w:p w14:paraId="7570704C" w14:textId="77777777" w:rsidR="00410C41" w:rsidRPr="00C9343F" w:rsidRDefault="00410C41" w:rsidP="00F66D98">
            <w:pPr>
              <w:pStyle w:val="Sectiontext0"/>
              <w:rPr>
                <w:lang w:eastAsia="en-US"/>
              </w:rPr>
            </w:pPr>
          </w:p>
        </w:tc>
        <w:tc>
          <w:tcPr>
            <w:tcW w:w="8367" w:type="dxa"/>
            <w:gridSpan w:val="2"/>
          </w:tcPr>
          <w:p w14:paraId="75910B6B" w14:textId="77777777" w:rsidR="00410C41" w:rsidRPr="00C9343F" w:rsidRDefault="00410C41" w:rsidP="00F66D98">
            <w:pPr>
              <w:pStyle w:val="Sectiontext0"/>
            </w:pPr>
            <w:r w:rsidRPr="00C9343F">
              <w:rPr>
                <w:b/>
              </w:rPr>
              <w:t>Commonwealth entity</w:t>
            </w:r>
            <w:r w:rsidRPr="00C9343F">
              <w:t xml:space="preserve"> has the same meaning as given in section 10 of the </w:t>
            </w:r>
            <w:r w:rsidRPr="00C9343F">
              <w:rPr>
                <w:i/>
              </w:rPr>
              <w:t>Public Governance, Performance and Accountability Act 2013</w:t>
            </w:r>
            <w:r w:rsidRPr="00C9343F">
              <w:t>,</w:t>
            </w:r>
            <w:r w:rsidRPr="00C9343F">
              <w:rPr>
                <w:i/>
              </w:rPr>
              <w:t xml:space="preserve"> </w:t>
            </w:r>
            <w:r w:rsidRPr="00C9343F">
              <w:t>as in force from time to time.</w:t>
            </w:r>
          </w:p>
        </w:tc>
      </w:tr>
      <w:tr w:rsidR="00410C41" w:rsidRPr="00C9343F" w14:paraId="67F2AC46" w14:textId="77777777" w:rsidTr="005E243D">
        <w:tc>
          <w:tcPr>
            <w:tcW w:w="992" w:type="dxa"/>
          </w:tcPr>
          <w:p w14:paraId="59C23760" w14:textId="77777777" w:rsidR="00410C41" w:rsidRPr="00C9343F" w:rsidRDefault="00410C41" w:rsidP="00F66D98">
            <w:pPr>
              <w:pStyle w:val="Sectiontext0"/>
              <w:rPr>
                <w:lang w:eastAsia="en-US"/>
              </w:rPr>
            </w:pPr>
          </w:p>
        </w:tc>
        <w:tc>
          <w:tcPr>
            <w:tcW w:w="8367" w:type="dxa"/>
            <w:gridSpan w:val="2"/>
          </w:tcPr>
          <w:p w14:paraId="0AD351B8" w14:textId="77777777" w:rsidR="00410C41" w:rsidRPr="00C9343F" w:rsidRDefault="00410C41" w:rsidP="00F66D98">
            <w:pPr>
              <w:pStyle w:val="Sectiontext0"/>
            </w:pPr>
            <w:r w:rsidRPr="00C9343F">
              <w:rPr>
                <w:b/>
              </w:rPr>
              <w:t>Daily rate</w:t>
            </w:r>
            <w:r w:rsidRPr="00C9343F">
              <w:t xml:space="preserve"> means the annual rate of any of the following divided by 365.</w:t>
            </w:r>
          </w:p>
        </w:tc>
      </w:tr>
      <w:tr w:rsidR="00410C41" w:rsidRPr="00C9343F" w14:paraId="77CF9DF4" w14:textId="77777777" w:rsidTr="005E243D">
        <w:tc>
          <w:tcPr>
            <w:tcW w:w="992" w:type="dxa"/>
          </w:tcPr>
          <w:p w14:paraId="63C7EE9E" w14:textId="77777777" w:rsidR="00410C41" w:rsidRPr="00C9343F" w:rsidRDefault="00410C41" w:rsidP="00F66D98">
            <w:pPr>
              <w:pStyle w:val="Sectiontext0"/>
              <w:jc w:val="center"/>
              <w:rPr>
                <w:lang w:eastAsia="en-US"/>
              </w:rPr>
            </w:pPr>
          </w:p>
        </w:tc>
        <w:tc>
          <w:tcPr>
            <w:tcW w:w="563" w:type="dxa"/>
            <w:hideMark/>
          </w:tcPr>
          <w:p w14:paraId="081A008A" w14:textId="77777777" w:rsidR="00410C41" w:rsidRPr="00C9343F" w:rsidRDefault="00410C41" w:rsidP="00F66D98">
            <w:pPr>
              <w:pStyle w:val="Sectiontext0"/>
              <w:jc w:val="center"/>
              <w:rPr>
                <w:rFonts w:cs="Arial"/>
                <w:lang w:eastAsia="en-US"/>
              </w:rPr>
            </w:pPr>
            <w:r w:rsidRPr="00C9343F">
              <w:rPr>
                <w:rFonts w:cs="Arial"/>
                <w:lang w:eastAsia="en-US"/>
              </w:rPr>
              <w:t>a.</w:t>
            </w:r>
          </w:p>
        </w:tc>
        <w:tc>
          <w:tcPr>
            <w:tcW w:w="7804" w:type="dxa"/>
          </w:tcPr>
          <w:p w14:paraId="68935924" w14:textId="77777777" w:rsidR="00410C41" w:rsidRPr="00C9343F" w:rsidRDefault="00410C41" w:rsidP="00F66D98">
            <w:pPr>
              <w:pStyle w:val="Sectiontext0"/>
            </w:pPr>
            <w:r w:rsidRPr="00C9343F">
              <w:t>Salary.</w:t>
            </w:r>
          </w:p>
        </w:tc>
      </w:tr>
      <w:tr w:rsidR="00410C41" w:rsidRPr="00C9343F" w14:paraId="686339DE" w14:textId="77777777" w:rsidTr="005E243D">
        <w:tc>
          <w:tcPr>
            <w:tcW w:w="992" w:type="dxa"/>
          </w:tcPr>
          <w:p w14:paraId="72EB9EB6" w14:textId="77777777" w:rsidR="00410C41" w:rsidRPr="00C9343F" w:rsidRDefault="00410C41" w:rsidP="00F66D98">
            <w:pPr>
              <w:pStyle w:val="Sectiontext0"/>
              <w:jc w:val="center"/>
              <w:rPr>
                <w:lang w:eastAsia="en-US"/>
              </w:rPr>
            </w:pPr>
          </w:p>
        </w:tc>
        <w:tc>
          <w:tcPr>
            <w:tcW w:w="563" w:type="dxa"/>
          </w:tcPr>
          <w:p w14:paraId="54349CBC" w14:textId="77777777" w:rsidR="00410C41" w:rsidRPr="00C9343F" w:rsidRDefault="00410C41" w:rsidP="00F66D98">
            <w:pPr>
              <w:pStyle w:val="Sectiontext0"/>
              <w:jc w:val="center"/>
              <w:rPr>
                <w:rFonts w:cs="Arial"/>
                <w:lang w:eastAsia="en-US"/>
              </w:rPr>
            </w:pPr>
            <w:r w:rsidRPr="00C9343F">
              <w:rPr>
                <w:rFonts w:cs="Arial"/>
                <w:lang w:eastAsia="en-US"/>
              </w:rPr>
              <w:t>b.</w:t>
            </w:r>
          </w:p>
        </w:tc>
        <w:tc>
          <w:tcPr>
            <w:tcW w:w="7804" w:type="dxa"/>
          </w:tcPr>
          <w:p w14:paraId="016DB271" w14:textId="77777777" w:rsidR="00410C41" w:rsidRPr="00C9343F" w:rsidRDefault="00410C41" w:rsidP="00F66D98">
            <w:pPr>
              <w:pStyle w:val="Sectiontext0"/>
              <w:rPr>
                <w:rFonts w:cs="Arial"/>
                <w:lang w:eastAsia="en-US"/>
              </w:rPr>
            </w:pPr>
            <w:r w:rsidRPr="00C9343F">
              <w:t>An annual allowance.</w:t>
            </w:r>
          </w:p>
        </w:tc>
      </w:tr>
      <w:tr w:rsidR="00410C41" w:rsidRPr="00C9343F" w14:paraId="3F33E84E" w14:textId="77777777" w:rsidTr="005E243D">
        <w:tc>
          <w:tcPr>
            <w:tcW w:w="992" w:type="dxa"/>
          </w:tcPr>
          <w:p w14:paraId="41AFE8EB" w14:textId="77777777" w:rsidR="00410C41" w:rsidRPr="00C9343F" w:rsidRDefault="00410C41" w:rsidP="00F66D98">
            <w:pPr>
              <w:pStyle w:val="Sectiontext0"/>
              <w:rPr>
                <w:lang w:eastAsia="en-US"/>
              </w:rPr>
            </w:pPr>
          </w:p>
        </w:tc>
        <w:tc>
          <w:tcPr>
            <w:tcW w:w="8367" w:type="dxa"/>
            <w:gridSpan w:val="2"/>
          </w:tcPr>
          <w:p w14:paraId="14875A90" w14:textId="77777777" w:rsidR="00410C41" w:rsidRPr="00C9343F" w:rsidRDefault="00410C41" w:rsidP="00F66D98">
            <w:pPr>
              <w:pStyle w:val="Sectiontext0"/>
              <w:rPr>
                <w:rFonts w:cs="Arial"/>
                <w:iCs/>
                <w:lang w:eastAsia="en-US"/>
              </w:rPr>
            </w:pPr>
            <w:r w:rsidRPr="00C9343F">
              <w:rPr>
                <w:rFonts w:cs="Arial"/>
                <w:b/>
                <w:iCs/>
                <w:lang w:eastAsia="en-US"/>
              </w:rPr>
              <w:t>Purchased recreation leave credit</w:t>
            </w:r>
            <w:r w:rsidRPr="00C9343F">
              <w:rPr>
                <w:rFonts w:cs="Arial"/>
                <w:iCs/>
                <w:lang w:eastAsia="en-US"/>
              </w:rPr>
              <w:t xml:space="preserve"> means a member's purchased recreation leave credit measured in days, including part days.</w:t>
            </w:r>
          </w:p>
          <w:p w14:paraId="27A9FBF7" w14:textId="77777777" w:rsidR="00410C41" w:rsidRPr="00C9343F" w:rsidRDefault="00410C41" w:rsidP="00F66D98">
            <w:pPr>
              <w:pStyle w:val="Sectiontext0"/>
            </w:pPr>
            <w:r w:rsidRPr="00C9343F">
              <w:rPr>
                <w:rFonts w:cs="Arial"/>
                <w:b/>
                <w:iCs/>
                <w:lang w:eastAsia="en-US"/>
              </w:rPr>
              <w:t>Note:</w:t>
            </w:r>
            <w:r w:rsidRPr="00C9343F">
              <w:rPr>
                <w:rFonts w:cs="Arial"/>
                <w:iCs/>
                <w:lang w:eastAsia="en-US"/>
              </w:rPr>
              <w:t xml:space="preserve"> 1 hour equals 0.125 day.</w:t>
            </w:r>
          </w:p>
        </w:tc>
      </w:tr>
    </w:tbl>
    <w:p w14:paraId="4563CD4E" w14:textId="77777777" w:rsidR="00410C41" w:rsidRPr="00C9343F" w:rsidRDefault="00410C41" w:rsidP="00F66D98">
      <w:pPr>
        <w:pStyle w:val="Heading5"/>
      </w:pPr>
      <w:bookmarkStart w:id="1320" w:name="_Toc105054017"/>
      <w:r w:rsidRPr="00C9343F">
        <w:t>5.4.43    Election for payment or transfer of leave credit</w:t>
      </w:r>
      <w:bookmarkEnd w:id="1320"/>
    </w:p>
    <w:tbl>
      <w:tblPr>
        <w:tblW w:w="0" w:type="auto"/>
        <w:tblInd w:w="113" w:type="dxa"/>
        <w:tblLayout w:type="fixed"/>
        <w:tblLook w:val="0000" w:firstRow="0" w:lastRow="0" w:firstColumn="0" w:lastColumn="0" w:noHBand="0" w:noVBand="0"/>
      </w:tblPr>
      <w:tblGrid>
        <w:gridCol w:w="992"/>
        <w:gridCol w:w="567"/>
        <w:gridCol w:w="567"/>
        <w:gridCol w:w="7233"/>
      </w:tblGrid>
      <w:tr w:rsidR="00410C41" w:rsidRPr="00C9343F" w14:paraId="2E0A214D" w14:textId="77777777" w:rsidTr="005E243D">
        <w:tc>
          <w:tcPr>
            <w:tcW w:w="992" w:type="dxa"/>
          </w:tcPr>
          <w:p w14:paraId="20C8026E" w14:textId="77777777" w:rsidR="00410C41" w:rsidRPr="00C9343F" w:rsidRDefault="00410C41" w:rsidP="00F66D98">
            <w:pPr>
              <w:pStyle w:val="BlockText-Plain"/>
              <w:jc w:val="center"/>
            </w:pPr>
            <w:r w:rsidRPr="00C9343F">
              <w:t>1.</w:t>
            </w:r>
          </w:p>
        </w:tc>
        <w:tc>
          <w:tcPr>
            <w:tcW w:w="8367" w:type="dxa"/>
            <w:gridSpan w:val="3"/>
          </w:tcPr>
          <w:p w14:paraId="3411E850" w14:textId="77777777" w:rsidR="00410C41" w:rsidRPr="00C9343F" w:rsidRDefault="00410C41" w:rsidP="00F66D98">
            <w:pPr>
              <w:pStyle w:val="BlockText-Plain"/>
            </w:pPr>
            <w:r w:rsidRPr="00C9343F">
              <w:t xml:space="preserve">A member may elect to take their accrued leave credit and purchased recreation leave credit in any of the following forms on ceasing continuous full-time service. </w:t>
            </w:r>
          </w:p>
        </w:tc>
      </w:tr>
      <w:tr w:rsidR="00410C41" w:rsidRPr="00C9343F" w14:paraId="15816619" w14:textId="77777777" w:rsidTr="005E243D">
        <w:trPr>
          <w:cantSplit/>
        </w:trPr>
        <w:tc>
          <w:tcPr>
            <w:tcW w:w="992" w:type="dxa"/>
          </w:tcPr>
          <w:p w14:paraId="55AC5173" w14:textId="77777777" w:rsidR="00410C41" w:rsidRPr="00C9343F" w:rsidRDefault="00410C41" w:rsidP="00F66D98">
            <w:pPr>
              <w:pStyle w:val="BlockText-Plain"/>
            </w:pPr>
          </w:p>
        </w:tc>
        <w:tc>
          <w:tcPr>
            <w:tcW w:w="567" w:type="dxa"/>
          </w:tcPr>
          <w:p w14:paraId="4EBD97BF" w14:textId="77777777" w:rsidR="00410C41" w:rsidRPr="00C9343F" w:rsidRDefault="00410C41" w:rsidP="008D1B5D">
            <w:pPr>
              <w:pStyle w:val="BlockText-Plain"/>
              <w:jc w:val="center"/>
            </w:pPr>
            <w:r w:rsidRPr="00C9343F">
              <w:t>a.</w:t>
            </w:r>
          </w:p>
        </w:tc>
        <w:tc>
          <w:tcPr>
            <w:tcW w:w="7800" w:type="dxa"/>
            <w:gridSpan w:val="2"/>
          </w:tcPr>
          <w:p w14:paraId="5A735499" w14:textId="77777777" w:rsidR="00410C41" w:rsidRPr="00C9343F" w:rsidRDefault="00410C41" w:rsidP="00F66D98">
            <w:pPr>
              <w:pStyle w:val="BlockText-Plain"/>
            </w:pPr>
            <w:r w:rsidRPr="00C9343F">
              <w:t>A payment for the full amount of their accrued leave credit and purchased recreation leave credit.</w:t>
            </w:r>
          </w:p>
        </w:tc>
      </w:tr>
      <w:tr w:rsidR="00410C41" w:rsidRPr="00C9343F" w14:paraId="2F66D53C" w14:textId="77777777" w:rsidTr="005E243D">
        <w:trPr>
          <w:cantSplit/>
        </w:trPr>
        <w:tc>
          <w:tcPr>
            <w:tcW w:w="992" w:type="dxa"/>
          </w:tcPr>
          <w:p w14:paraId="203691DE" w14:textId="77777777" w:rsidR="00410C41" w:rsidRPr="00C9343F" w:rsidRDefault="00410C41" w:rsidP="00F66D98">
            <w:pPr>
              <w:pStyle w:val="BlockText-Plain"/>
            </w:pPr>
          </w:p>
        </w:tc>
        <w:tc>
          <w:tcPr>
            <w:tcW w:w="567" w:type="dxa"/>
          </w:tcPr>
          <w:p w14:paraId="6886C1BF" w14:textId="77777777" w:rsidR="00410C41" w:rsidRPr="00C9343F" w:rsidRDefault="00410C41" w:rsidP="008D1B5D">
            <w:pPr>
              <w:pStyle w:val="BlockText-Plain"/>
              <w:jc w:val="center"/>
            </w:pPr>
            <w:r w:rsidRPr="00C9343F">
              <w:t>b.</w:t>
            </w:r>
          </w:p>
        </w:tc>
        <w:tc>
          <w:tcPr>
            <w:tcW w:w="7800" w:type="dxa"/>
            <w:gridSpan w:val="2"/>
          </w:tcPr>
          <w:p w14:paraId="14C39CE6" w14:textId="77777777" w:rsidR="00410C41" w:rsidRPr="00C9343F" w:rsidRDefault="00410C41" w:rsidP="00F66D98">
            <w:pPr>
              <w:pStyle w:val="BlockText-Plain"/>
            </w:pPr>
            <w:r w:rsidRPr="00C9343F">
              <w:t>Transfer to their new Commonwealth entity, one of the following amounts.</w:t>
            </w:r>
          </w:p>
        </w:tc>
      </w:tr>
      <w:tr w:rsidR="00410C41" w:rsidRPr="00C9343F" w14:paraId="39B9E360" w14:textId="77777777" w:rsidTr="005E243D">
        <w:trPr>
          <w:cantSplit/>
        </w:trPr>
        <w:tc>
          <w:tcPr>
            <w:tcW w:w="1559" w:type="dxa"/>
            <w:gridSpan w:val="2"/>
          </w:tcPr>
          <w:p w14:paraId="170F22AF" w14:textId="77777777" w:rsidR="00410C41" w:rsidRPr="00C9343F" w:rsidRDefault="00410C41" w:rsidP="00F66D98">
            <w:pPr>
              <w:pStyle w:val="BlockText-Plain"/>
            </w:pPr>
          </w:p>
        </w:tc>
        <w:tc>
          <w:tcPr>
            <w:tcW w:w="567" w:type="dxa"/>
          </w:tcPr>
          <w:p w14:paraId="3AB25CC8" w14:textId="77777777" w:rsidR="00410C41" w:rsidRPr="00C9343F" w:rsidRDefault="00410C41" w:rsidP="008D1B5D">
            <w:pPr>
              <w:pStyle w:val="BlockText-Plain"/>
            </w:pPr>
            <w:r w:rsidRPr="00C9343F">
              <w:t>i.</w:t>
            </w:r>
          </w:p>
        </w:tc>
        <w:tc>
          <w:tcPr>
            <w:tcW w:w="7233" w:type="dxa"/>
          </w:tcPr>
          <w:p w14:paraId="679E29E3" w14:textId="77777777" w:rsidR="00410C41" w:rsidRPr="00C9343F" w:rsidRDefault="00410C41" w:rsidP="00F66D98">
            <w:pPr>
              <w:pStyle w:val="BlockText-Plain"/>
            </w:pPr>
            <w:r w:rsidRPr="00C9343F">
              <w:t xml:space="preserve">All their accrued leave credit and purchased recreation leave credit. </w:t>
            </w:r>
          </w:p>
        </w:tc>
      </w:tr>
      <w:tr w:rsidR="00410C41" w:rsidRPr="00C9343F" w14:paraId="51BEE82C" w14:textId="77777777" w:rsidTr="005E243D">
        <w:trPr>
          <w:cantSplit/>
        </w:trPr>
        <w:tc>
          <w:tcPr>
            <w:tcW w:w="1559" w:type="dxa"/>
            <w:gridSpan w:val="2"/>
          </w:tcPr>
          <w:p w14:paraId="2B54A1A8" w14:textId="77777777" w:rsidR="00410C41" w:rsidRPr="00C9343F" w:rsidRDefault="00410C41" w:rsidP="00F66D98">
            <w:pPr>
              <w:pStyle w:val="BlockText-Plain"/>
            </w:pPr>
          </w:p>
        </w:tc>
        <w:tc>
          <w:tcPr>
            <w:tcW w:w="567" w:type="dxa"/>
          </w:tcPr>
          <w:p w14:paraId="68CA8451" w14:textId="77777777" w:rsidR="00410C41" w:rsidRPr="00C9343F" w:rsidRDefault="00410C41" w:rsidP="008D1B5D">
            <w:pPr>
              <w:pStyle w:val="BlockText-Plain"/>
            </w:pPr>
            <w:r w:rsidRPr="00C9343F">
              <w:t>ii.</w:t>
            </w:r>
          </w:p>
        </w:tc>
        <w:tc>
          <w:tcPr>
            <w:tcW w:w="7233" w:type="dxa"/>
          </w:tcPr>
          <w:p w14:paraId="3C4312E8" w14:textId="77777777" w:rsidR="00410C41" w:rsidRPr="00C9343F" w:rsidRDefault="00410C41" w:rsidP="00F66D98">
            <w:pPr>
              <w:pStyle w:val="BlockText-Plain"/>
            </w:pPr>
            <w:r w:rsidRPr="00C9343F">
              <w:t xml:space="preserve">Part of their accrued leave credit and purchased recreation leave credit. </w:t>
            </w:r>
          </w:p>
          <w:p w14:paraId="7439354E" w14:textId="77777777" w:rsidR="00410C41" w:rsidRPr="00C9343F" w:rsidRDefault="00410C41" w:rsidP="00F66D98">
            <w:pPr>
              <w:pStyle w:val="BlockText-Plain"/>
            </w:pPr>
            <w:r w:rsidRPr="00C9343F">
              <w:rPr>
                <w:b/>
              </w:rPr>
              <w:t xml:space="preserve">Note: </w:t>
            </w:r>
            <w:r w:rsidRPr="00C9343F">
              <w:t>For remaining credits that are not transferred, their leave credit will be a payment to the member under paragraph 1.a.</w:t>
            </w:r>
          </w:p>
        </w:tc>
      </w:tr>
      <w:tr w:rsidR="00410C41" w:rsidRPr="00C9343F" w14:paraId="60B57DA4" w14:textId="77777777" w:rsidTr="005E243D">
        <w:tc>
          <w:tcPr>
            <w:tcW w:w="992" w:type="dxa"/>
          </w:tcPr>
          <w:p w14:paraId="23DDBD1F" w14:textId="77777777" w:rsidR="00410C41" w:rsidRPr="00C9343F" w:rsidRDefault="00410C41" w:rsidP="00F66D98">
            <w:pPr>
              <w:pStyle w:val="BlockText-Plain"/>
              <w:jc w:val="center"/>
            </w:pPr>
            <w:r w:rsidRPr="00C9343F">
              <w:t>2.</w:t>
            </w:r>
          </w:p>
        </w:tc>
        <w:tc>
          <w:tcPr>
            <w:tcW w:w="8367" w:type="dxa"/>
            <w:gridSpan w:val="3"/>
          </w:tcPr>
          <w:p w14:paraId="0CAD1FA3" w14:textId="77777777" w:rsidR="00410C41" w:rsidRPr="00C9343F" w:rsidRDefault="00410C41" w:rsidP="00F66D98">
            <w:pPr>
              <w:pStyle w:val="BlockText-Plain"/>
            </w:pPr>
            <w:r w:rsidRPr="00C9343F">
              <w:t>The election must be submitted in writing at least 30 days before ceasing continuous full-time service.</w:t>
            </w:r>
          </w:p>
          <w:p w14:paraId="68A36DBB" w14:textId="77777777" w:rsidR="00410C41" w:rsidRPr="00C9343F" w:rsidRDefault="00410C41" w:rsidP="00F66D98">
            <w:pPr>
              <w:pStyle w:val="BlockText-Plain"/>
            </w:pPr>
            <w:r w:rsidRPr="00C9343F">
              <w:rPr>
                <w:b/>
              </w:rPr>
              <w:t xml:space="preserve">Note: </w:t>
            </w:r>
            <w:r w:rsidRPr="00C9343F">
              <w:t>If the member has not made an election 30 days before ceasing continuous full-time service, their leave credit will be a payment to the member under paragraph 1.a.</w:t>
            </w:r>
          </w:p>
        </w:tc>
      </w:tr>
      <w:tr w:rsidR="00410C41" w:rsidRPr="00C9343F" w14:paraId="52AA4155" w14:textId="77777777" w:rsidTr="005E243D">
        <w:tc>
          <w:tcPr>
            <w:tcW w:w="992" w:type="dxa"/>
          </w:tcPr>
          <w:p w14:paraId="2DA1ED32" w14:textId="77777777" w:rsidR="00410C41" w:rsidRPr="00C9343F" w:rsidRDefault="00410C41" w:rsidP="00F66D98">
            <w:pPr>
              <w:pStyle w:val="BlockText-Plain"/>
              <w:jc w:val="center"/>
            </w:pPr>
            <w:r w:rsidRPr="00C9343F">
              <w:t>3.</w:t>
            </w:r>
          </w:p>
        </w:tc>
        <w:tc>
          <w:tcPr>
            <w:tcW w:w="8367" w:type="dxa"/>
            <w:gridSpan w:val="3"/>
          </w:tcPr>
          <w:p w14:paraId="3815713B" w14:textId="77777777" w:rsidR="00410C41" w:rsidRPr="00C9343F" w:rsidRDefault="00410C41" w:rsidP="00F66D98">
            <w:pPr>
              <w:pStyle w:val="BlockText-Plain"/>
            </w:pPr>
            <w:r w:rsidRPr="00C9343F">
              <w:t>Once a member has made an election under subsection 1 it cannot be changed.</w:t>
            </w:r>
          </w:p>
          <w:p w14:paraId="29A5A4A6" w14:textId="77777777" w:rsidR="00410C41" w:rsidRPr="00C9343F" w:rsidRDefault="00410C41" w:rsidP="00F66D98">
            <w:pPr>
              <w:pStyle w:val="BlockText-Plain"/>
            </w:pPr>
            <w:r w:rsidRPr="00C9343F">
              <w:rPr>
                <w:b/>
              </w:rPr>
              <w:t>Exceptions:</w:t>
            </w:r>
            <w:r w:rsidRPr="00C9343F">
              <w:t xml:space="preserve"> The member's leave is paid to the member under paragraph 1.a in either of the following events.</w:t>
            </w:r>
          </w:p>
        </w:tc>
      </w:tr>
      <w:tr w:rsidR="00410C41" w:rsidRPr="00C9343F" w14:paraId="047F21D0" w14:textId="77777777" w:rsidTr="005E243D">
        <w:trPr>
          <w:cantSplit/>
        </w:trPr>
        <w:tc>
          <w:tcPr>
            <w:tcW w:w="992" w:type="dxa"/>
          </w:tcPr>
          <w:p w14:paraId="6899293A" w14:textId="77777777" w:rsidR="00410C41" w:rsidRPr="00C9343F" w:rsidRDefault="00410C41" w:rsidP="00F66D98">
            <w:pPr>
              <w:pStyle w:val="BlockText-Plain"/>
            </w:pPr>
          </w:p>
        </w:tc>
        <w:tc>
          <w:tcPr>
            <w:tcW w:w="567" w:type="dxa"/>
          </w:tcPr>
          <w:p w14:paraId="56CF7D9F" w14:textId="77777777" w:rsidR="00410C41" w:rsidRPr="00C9343F" w:rsidRDefault="00410C41" w:rsidP="008D1B5D">
            <w:pPr>
              <w:pStyle w:val="BlockText-Plain"/>
              <w:jc w:val="center"/>
            </w:pPr>
            <w:r w:rsidRPr="00C9343F">
              <w:t>a.</w:t>
            </w:r>
          </w:p>
        </w:tc>
        <w:tc>
          <w:tcPr>
            <w:tcW w:w="7800" w:type="dxa"/>
            <w:gridSpan w:val="2"/>
          </w:tcPr>
          <w:p w14:paraId="711317A6" w14:textId="77777777" w:rsidR="00410C41" w:rsidRPr="00C9343F" w:rsidRDefault="00410C41" w:rsidP="00F66D98">
            <w:pPr>
              <w:pStyle w:val="BlockText-Plain"/>
            </w:pPr>
            <w:r w:rsidRPr="00C9343F">
              <w:t>The member's offer of employment with the new agency is withdrawn.</w:t>
            </w:r>
          </w:p>
        </w:tc>
      </w:tr>
      <w:tr w:rsidR="00410C41" w:rsidRPr="00C9343F" w14:paraId="7CE4A256" w14:textId="77777777" w:rsidTr="005E243D">
        <w:trPr>
          <w:cantSplit/>
        </w:trPr>
        <w:tc>
          <w:tcPr>
            <w:tcW w:w="992" w:type="dxa"/>
          </w:tcPr>
          <w:p w14:paraId="1C40C842" w14:textId="77777777" w:rsidR="00410C41" w:rsidRPr="00C9343F" w:rsidRDefault="00410C41" w:rsidP="00F66D98">
            <w:pPr>
              <w:pStyle w:val="BlockText-Plain"/>
            </w:pPr>
          </w:p>
        </w:tc>
        <w:tc>
          <w:tcPr>
            <w:tcW w:w="567" w:type="dxa"/>
          </w:tcPr>
          <w:p w14:paraId="7C4F5F71" w14:textId="77777777" w:rsidR="00410C41" w:rsidRPr="00C9343F" w:rsidRDefault="00410C41" w:rsidP="008D1B5D">
            <w:pPr>
              <w:pStyle w:val="BlockText-Plain"/>
              <w:jc w:val="center"/>
            </w:pPr>
            <w:r w:rsidRPr="00C9343F">
              <w:t>b.</w:t>
            </w:r>
          </w:p>
        </w:tc>
        <w:tc>
          <w:tcPr>
            <w:tcW w:w="7800" w:type="dxa"/>
            <w:gridSpan w:val="2"/>
          </w:tcPr>
          <w:p w14:paraId="0C0D7F98" w14:textId="77777777" w:rsidR="00410C41" w:rsidRPr="00C9343F" w:rsidRDefault="00410C41" w:rsidP="00F66D98">
            <w:pPr>
              <w:pStyle w:val="BlockText-Plain"/>
            </w:pPr>
            <w:r w:rsidRPr="00C9343F">
              <w:t>The Commonwealth entity does not agree to the transfer.</w:t>
            </w:r>
          </w:p>
        </w:tc>
      </w:tr>
    </w:tbl>
    <w:p w14:paraId="6A34BF51" w14:textId="77777777" w:rsidR="00410C41" w:rsidRPr="00C9343F" w:rsidRDefault="00410C41" w:rsidP="00F66D98">
      <w:pPr>
        <w:pStyle w:val="Heading5"/>
      </w:pPr>
      <w:bookmarkStart w:id="1321" w:name="_Toc105054018"/>
      <w:r w:rsidRPr="00C9343F">
        <w:t xml:space="preserve">5.4.44    Payment to member for </w:t>
      </w:r>
      <w:r w:rsidRPr="00C9343F">
        <w:rPr>
          <w:i/>
        </w:rPr>
        <w:t>leave credit</w:t>
      </w:r>
      <w:bookmarkEnd w:id="1321"/>
    </w:p>
    <w:tbl>
      <w:tblPr>
        <w:tblW w:w="9359" w:type="dxa"/>
        <w:tblInd w:w="113" w:type="dxa"/>
        <w:tblLayout w:type="fixed"/>
        <w:tblLook w:val="0000" w:firstRow="0" w:lastRow="0" w:firstColumn="0" w:lastColumn="0" w:noHBand="0" w:noVBand="0"/>
      </w:tblPr>
      <w:tblGrid>
        <w:gridCol w:w="991"/>
        <w:gridCol w:w="567"/>
        <w:gridCol w:w="567"/>
        <w:gridCol w:w="7234"/>
      </w:tblGrid>
      <w:tr w:rsidR="00410C41" w:rsidRPr="00C9343F" w14:paraId="6C9FD3E5" w14:textId="77777777" w:rsidTr="005E243D">
        <w:tc>
          <w:tcPr>
            <w:tcW w:w="991" w:type="dxa"/>
          </w:tcPr>
          <w:p w14:paraId="049C6CDB" w14:textId="77777777" w:rsidR="00410C41" w:rsidRPr="00C9343F" w:rsidRDefault="00410C41" w:rsidP="00F66D98">
            <w:pPr>
              <w:pStyle w:val="BlockText-Plain"/>
              <w:jc w:val="center"/>
            </w:pPr>
            <w:r w:rsidRPr="00C9343F">
              <w:t>1.</w:t>
            </w:r>
          </w:p>
        </w:tc>
        <w:tc>
          <w:tcPr>
            <w:tcW w:w="8368" w:type="dxa"/>
            <w:gridSpan w:val="3"/>
          </w:tcPr>
          <w:p w14:paraId="0008CCA7" w14:textId="77777777" w:rsidR="00410C41" w:rsidRPr="00C9343F" w:rsidRDefault="00410C41" w:rsidP="00F66D98">
            <w:pPr>
              <w:pStyle w:val="BlockText-Plain"/>
            </w:pPr>
            <w:r w:rsidRPr="00C9343F">
              <w:t>This section applies to a member, other than a senior officer who transitioned, who is to be paid an amount for all or part of their accrued leave credit</w:t>
            </w:r>
            <w:r w:rsidRPr="00C9343F">
              <w:rPr>
                <w:b/>
                <w:i/>
              </w:rPr>
              <w:t xml:space="preserve"> </w:t>
            </w:r>
            <w:r w:rsidRPr="00C9343F">
              <w:t xml:space="preserve">and purchased recreation leave credit under paragraph 5.4.43.1.a. </w:t>
            </w:r>
          </w:p>
        </w:tc>
      </w:tr>
      <w:tr w:rsidR="00410C41" w:rsidRPr="00C9343F" w14:paraId="3037D472" w14:textId="77777777" w:rsidTr="005E243D">
        <w:tc>
          <w:tcPr>
            <w:tcW w:w="991" w:type="dxa"/>
          </w:tcPr>
          <w:p w14:paraId="4A90DEFE" w14:textId="77777777" w:rsidR="00410C41" w:rsidRPr="00C9343F" w:rsidRDefault="00410C41" w:rsidP="00F66D98">
            <w:pPr>
              <w:pStyle w:val="BlockText-Plain"/>
              <w:jc w:val="center"/>
            </w:pPr>
            <w:r w:rsidRPr="00C9343F">
              <w:t>2.</w:t>
            </w:r>
          </w:p>
        </w:tc>
        <w:tc>
          <w:tcPr>
            <w:tcW w:w="8368" w:type="dxa"/>
            <w:gridSpan w:val="3"/>
          </w:tcPr>
          <w:p w14:paraId="32C7A5FE" w14:textId="77777777" w:rsidR="00410C41" w:rsidRPr="00C9343F" w:rsidRDefault="00410C41" w:rsidP="00F66D98">
            <w:pPr>
              <w:pStyle w:val="BlockText-Plain"/>
            </w:pPr>
            <w:r w:rsidRPr="00C9343F">
              <w:t>The member is to be paid the sum of the following.</w:t>
            </w:r>
          </w:p>
        </w:tc>
      </w:tr>
      <w:tr w:rsidR="00410C41" w:rsidRPr="00C9343F" w14:paraId="534BFC88" w14:textId="77777777" w:rsidTr="005E243D">
        <w:tblPrEx>
          <w:tblLook w:val="04A0" w:firstRow="1" w:lastRow="0" w:firstColumn="1" w:lastColumn="0" w:noHBand="0" w:noVBand="1"/>
        </w:tblPrEx>
        <w:tc>
          <w:tcPr>
            <w:tcW w:w="991" w:type="dxa"/>
          </w:tcPr>
          <w:p w14:paraId="68DDE4B7" w14:textId="77777777" w:rsidR="00410C41" w:rsidRPr="00C9343F" w:rsidRDefault="00410C41" w:rsidP="00F66D98">
            <w:pPr>
              <w:pStyle w:val="Sectiontext0"/>
              <w:jc w:val="center"/>
              <w:rPr>
                <w:lang w:eastAsia="en-US"/>
              </w:rPr>
            </w:pPr>
          </w:p>
        </w:tc>
        <w:tc>
          <w:tcPr>
            <w:tcW w:w="567" w:type="dxa"/>
            <w:hideMark/>
          </w:tcPr>
          <w:p w14:paraId="239C2F60" w14:textId="77777777" w:rsidR="00410C41" w:rsidRPr="00C9343F" w:rsidRDefault="00410C41" w:rsidP="00F66D98">
            <w:pPr>
              <w:pStyle w:val="Sectiontext0"/>
              <w:jc w:val="center"/>
              <w:rPr>
                <w:rFonts w:cs="Arial"/>
                <w:lang w:eastAsia="en-US"/>
              </w:rPr>
            </w:pPr>
            <w:r w:rsidRPr="00C9343F">
              <w:rPr>
                <w:rFonts w:cs="Arial"/>
                <w:lang w:eastAsia="en-US"/>
              </w:rPr>
              <w:t>a.</w:t>
            </w:r>
          </w:p>
        </w:tc>
        <w:tc>
          <w:tcPr>
            <w:tcW w:w="7801" w:type="dxa"/>
            <w:gridSpan w:val="2"/>
          </w:tcPr>
          <w:p w14:paraId="39D2491F" w14:textId="77777777" w:rsidR="00410C41" w:rsidRPr="00C9343F" w:rsidRDefault="00410C41" w:rsidP="00F66D98">
            <w:pPr>
              <w:pStyle w:val="Sectiontext0"/>
            </w:pPr>
            <w:r w:rsidRPr="00C9343F">
              <w:t>For each day of accrued leave credit and purchase leave credit, all of the following.</w:t>
            </w:r>
          </w:p>
        </w:tc>
      </w:tr>
      <w:tr w:rsidR="00410C41" w:rsidRPr="00C9343F" w14:paraId="21155366" w14:textId="77777777" w:rsidTr="005E243D">
        <w:tblPrEx>
          <w:tblLook w:val="04A0" w:firstRow="1" w:lastRow="0" w:firstColumn="1" w:lastColumn="0" w:noHBand="0" w:noVBand="1"/>
        </w:tblPrEx>
        <w:tc>
          <w:tcPr>
            <w:tcW w:w="991" w:type="dxa"/>
          </w:tcPr>
          <w:p w14:paraId="2523D82E" w14:textId="77777777" w:rsidR="00410C41" w:rsidRPr="00C9343F" w:rsidRDefault="00410C41" w:rsidP="00F66D98">
            <w:pPr>
              <w:pStyle w:val="Sectiontext0"/>
              <w:jc w:val="center"/>
              <w:rPr>
                <w:lang w:eastAsia="en-US"/>
              </w:rPr>
            </w:pPr>
          </w:p>
        </w:tc>
        <w:tc>
          <w:tcPr>
            <w:tcW w:w="567" w:type="dxa"/>
          </w:tcPr>
          <w:p w14:paraId="6B293054" w14:textId="77777777" w:rsidR="00410C41" w:rsidRPr="00C9343F" w:rsidRDefault="00410C41" w:rsidP="00F66D98">
            <w:pPr>
              <w:pStyle w:val="Sectiontext0"/>
              <w:rPr>
                <w:rFonts w:cs="Arial"/>
                <w:iCs/>
                <w:lang w:eastAsia="en-US"/>
              </w:rPr>
            </w:pPr>
          </w:p>
        </w:tc>
        <w:tc>
          <w:tcPr>
            <w:tcW w:w="567" w:type="dxa"/>
            <w:hideMark/>
          </w:tcPr>
          <w:p w14:paraId="262FFBA1" w14:textId="77777777" w:rsidR="00410C41" w:rsidRPr="00C9343F" w:rsidRDefault="00410C41" w:rsidP="00F66D98">
            <w:pPr>
              <w:pStyle w:val="Sectiontext0"/>
            </w:pPr>
            <w:r w:rsidRPr="00C9343F">
              <w:t>i.</w:t>
            </w:r>
          </w:p>
        </w:tc>
        <w:tc>
          <w:tcPr>
            <w:tcW w:w="7234" w:type="dxa"/>
          </w:tcPr>
          <w:p w14:paraId="19D525BC" w14:textId="77777777" w:rsidR="00410C41" w:rsidRPr="00C9343F" w:rsidRDefault="00410C41" w:rsidP="00F66D98">
            <w:pPr>
              <w:pStyle w:val="Sectiontext0"/>
            </w:pPr>
            <w:r w:rsidRPr="00C9343F">
              <w:t>The daily rate of salary.</w:t>
            </w:r>
          </w:p>
        </w:tc>
      </w:tr>
      <w:tr w:rsidR="00410C41" w:rsidRPr="00C9343F" w14:paraId="37F84A2F" w14:textId="77777777" w:rsidTr="005E243D">
        <w:tblPrEx>
          <w:tblLook w:val="04A0" w:firstRow="1" w:lastRow="0" w:firstColumn="1" w:lastColumn="0" w:noHBand="0" w:noVBand="1"/>
        </w:tblPrEx>
        <w:tc>
          <w:tcPr>
            <w:tcW w:w="991" w:type="dxa"/>
          </w:tcPr>
          <w:p w14:paraId="4A2D2913" w14:textId="77777777" w:rsidR="00410C41" w:rsidRPr="00C9343F" w:rsidRDefault="00410C41" w:rsidP="00F66D98">
            <w:pPr>
              <w:pStyle w:val="Sectiontext0"/>
              <w:jc w:val="center"/>
              <w:rPr>
                <w:lang w:eastAsia="en-US"/>
              </w:rPr>
            </w:pPr>
          </w:p>
        </w:tc>
        <w:tc>
          <w:tcPr>
            <w:tcW w:w="567" w:type="dxa"/>
          </w:tcPr>
          <w:p w14:paraId="418DA082" w14:textId="77777777" w:rsidR="00410C41" w:rsidRPr="00C9343F" w:rsidRDefault="00410C41" w:rsidP="00F66D98">
            <w:pPr>
              <w:pStyle w:val="Sectiontext0"/>
              <w:rPr>
                <w:rFonts w:cs="Arial"/>
                <w:iCs/>
                <w:lang w:eastAsia="en-US"/>
              </w:rPr>
            </w:pPr>
          </w:p>
        </w:tc>
        <w:tc>
          <w:tcPr>
            <w:tcW w:w="567" w:type="dxa"/>
          </w:tcPr>
          <w:p w14:paraId="71537690" w14:textId="77777777" w:rsidR="00410C41" w:rsidRPr="00C9343F" w:rsidRDefault="00410C41" w:rsidP="00F66D98">
            <w:pPr>
              <w:pStyle w:val="Sectiontext0"/>
            </w:pPr>
            <w:r w:rsidRPr="00C9343F">
              <w:t>ii.</w:t>
            </w:r>
          </w:p>
        </w:tc>
        <w:tc>
          <w:tcPr>
            <w:tcW w:w="7234" w:type="dxa"/>
          </w:tcPr>
          <w:p w14:paraId="29F85C43" w14:textId="77777777" w:rsidR="00410C41" w:rsidRPr="00C9343F" w:rsidRDefault="00410C41" w:rsidP="00F66D98">
            <w:pPr>
              <w:pStyle w:val="Sectiontext0"/>
            </w:pPr>
            <w:r w:rsidRPr="00C9343F">
              <w:t>The daily rate of an annual allowance</w:t>
            </w:r>
            <w:r w:rsidRPr="00C9343F">
              <w:rPr>
                <w:rFonts w:cs="Arial"/>
                <w:iCs/>
                <w:lang w:eastAsia="en-US"/>
              </w:rPr>
              <w:t xml:space="preserve"> the member would be eligible to receive on recreation leave if the recreation leave were taken on their last day of service</w:t>
            </w:r>
            <w:r w:rsidRPr="00C9343F">
              <w:t>.</w:t>
            </w:r>
          </w:p>
        </w:tc>
      </w:tr>
      <w:tr w:rsidR="00410C41" w:rsidRPr="00C9343F" w14:paraId="14CCF8BC" w14:textId="77777777" w:rsidTr="005E243D">
        <w:tblPrEx>
          <w:tblLook w:val="04A0" w:firstRow="1" w:lastRow="0" w:firstColumn="1" w:lastColumn="0" w:noHBand="0" w:noVBand="1"/>
        </w:tblPrEx>
        <w:tc>
          <w:tcPr>
            <w:tcW w:w="991" w:type="dxa"/>
          </w:tcPr>
          <w:p w14:paraId="4B42D0BA" w14:textId="77777777" w:rsidR="00410C41" w:rsidRPr="00C9343F" w:rsidRDefault="00410C41" w:rsidP="00F66D98">
            <w:pPr>
              <w:pStyle w:val="Sectiontext0"/>
              <w:jc w:val="center"/>
              <w:rPr>
                <w:lang w:eastAsia="en-US"/>
              </w:rPr>
            </w:pPr>
          </w:p>
        </w:tc>
        <w:tc>
          <w:tcPr>
            <w:tcW w:w="567" w:type="dxa"/>
            <w:hideMark/>
          </w:tcPr>
          <w:p w14:paraId="5D4E5FBD" w14:textId="77777777" w:rsidR="00410C41" w:rsidRPr="00C9343F" w:rsidRDefault="00410C41" w:rsidP="00F66D98">
            <w:pPr>
              <w:pStyle w:val="Sectiontext0"/>
              <w:jc w:val="center"/>
              <w:rPr>
                <w:rFonts w:cs="Arial"/>
                <w:lang w:eastAsia="en-US"/>
              </w:rPr>
            </w:pPr>
            <w:r w:rsidRPr="00C9343F">
              <w:rPr>
                <w:rFonts w:cs="Arial"/>
                <w:lang w:eastAsia="en-US"/>
              </w:rPr>
              <w:t>b.</w:t>
            </w:r>
          </w:p>
        </w:tc>
        <w:tc>
          <w:tcPr>
            <w:tcW w:w="7801" w:type="dxa"/>
            <w:gridSpan w:val="2"/>
          </w:tcPr>
          <w:p w14:paraId="22BBAC48" w14:textId="77777777" w:rsidR="00410C41" w:rsidRPr="00C9343F" w:rsidRDefault="00410C41" w:rsidP="00F66D98">
            <w:pPr>
              <w:pStyle w:val="Sectiontext0"/>
            </w:pPr>
            <w:r w:rsidRPr="00C9343F">
              <w:t>For every 5 days of accrued leave credit, two days of salary and annual allowances paid at the daily rate.</w:t>
            </w:r>
          </w:p>
        </w:tc>
      </w:tr>
      <w:tr w:rsidR="00410C41" w:rsidRPr="00C9343F" w14:paraId="1226E956" w14:textId="77777777" w:rsidTr="005E243D">
        <w:tblPrEx>
          <w:tblLook w:val="04A0" w:firstRow="1" w:lastRow="0" w:firstColumn="1" w:lastColumn="0" w:noHBand="0" w:noVBand="1"/>
        </w:tblPrEx>
        <w:tc>
          <w:tcPr>
            <w:tcW w:w="991" w:type="dxa"/>
          </w:tcPr>
          <w:p w14:paraId="166F0F14" w14:textId="77777777" w:rsidR="00410C41" w:rsidRPr="00C9343F" w:rsidRDefault="00410C41" w:rsidP="00F66D98">
            <w:pPr>
              <w:pStyle w:val="Sectiontext0"/>
              <w:jc w:val="center"/>
              <w:rPr>
                <w:lang w:eastAsia="en-US"/>
              </w:rPr>
            </w:pPr>
            <w:r w:rsidRPr="00C9343F">
              <w:rPr>
                <w:lang w:eastAsia="en-US"/>
              </w:rPr>
              <w:t>3.</w:t>
            </w:r>
          </w:p>
        </w:tc>
        <w:tc>
          <w:tcPr>
            <w:tcW w:w="8368" w:type="dxa"/>
            <w:gridSpan w:val="3"/>
          </w:tcPr>
          <w:p w14:paraId="3DA23062" w14:textId="77777777" w:rsidR="00410C41" w:rsidRPr="00C9343F" w:rsidRDefault="00410C41" w:rsidP="00F66D98">
            <w:pPr>
              <w:pStyle w:val="Sectiontext0"/>
            </w:pPr>
            <w:r w:rsidRPr="00C9343F">
              <w:t>For the purpose of subparagraph 2.a.i, the rate of salary used to calculate the daily rate of salary is one of the following.</w:t>
            </w:r>
          </w:p>
        </w:tc>
      </w:tr>
      <w:tr w:rsidR="00410C41" w:rsidRPr="00C9343F" w14:paraId="0E134A5D" w14:textId="77777777" w:rsidTr="005E243D">
        <w:tblPrEx>
          <w:tblLook w:val="04A0" w:firstRow="1" w:lastRow="0" w:firstColumn="1" w:lastColumn="0" w:noHBand="0" w:noVBand="1"/>
        </w:tblPrEx>
        <w:tc>
          <w:tcPr>
            <w:tcW w:w="991" w:type="dxa"/>
          </w:tcPr>
          <w:p w14:paraId="79D23186" w14:textId="77777777" w:rsidR="00410C41" w:rsidRPr="00C9343F" w:rsidRDefault="00410C41" w:rsidP="00F66D98">
            <w:pPr>
              <w:pStyle w:val="Sectiontext0"/>
              <w:jc w:val="center"/>
              <w:rPr>
                <w:lang w:eastAsia="en-US"/>
              </w:rPr>
            </w:pPr>
          </w:p>
        </w:tc>
        <w:tc>
          <w:tcPr>
            <w:tcW w:w="567" w:type="dxa"/>
            <w:hideMark/>
          </w:tcPr>
          <w:p w14:paraId="0FC2E51B" w14:textId="77777777" w:rsidR="00410C41" w:rsidRPr="00C9343F" w:rsidRDefault="00410C41" w:rsidP="00F66D98">
            <w:pPr>
              <w:pStyle w:val="Sectiontext0"/>
              <w:jc w:val="center"/>
              <w:rPr>
                <w:rFonts w:cs="Arial"/>
                <w:lang w:eastAsia="en-US"/>
              </w:rPr>
            </w:pPr>
            <w:r w:rsidRPr="00C9343F">
              <w:rPr>
                <w:rFonts w:cs="Arial"/>
                <w:lang w:eastAsia="en-US"/>
              </w:rPr>
              <w:t>a.</w:t>
            </w:r>
          </w:p>
        </w:tc>
        <w:tc>
          <w:tcPr>
            <w:tcW w:w="7801" w:type="dxa"/>
            <w:gridSpan w:val="2"/>
          </w:tcPr>
          <w:p w14:paraId="42DC075D" w14:textId="77777777" w:rsidR="00410C41" w:rsidRPr="00C9343F" w:rsidRDefault="00410C41" w:rsidP="00F66D98">
            <w:pPr>
              <w:pStyle w:val="Sectiontext0"/>
              <w:rPr>
                <w:rFonts w:cs="Arial"/>
                <w:lang w:eastAsia="en-US"/>
              </w:rPr>
            </w:pPr>
            <w:r w:rsidRPr="00C9343F">
              <w:t>If the member’s last promotion was under section 13(1)(a) of the Defence Regulation— the rate of salary of their rank.</w:t>
            </w:r>
          </w:p>
        </w:tc>
      </w:tr>
      <w:tr w:rsidR="00410C41" w:rsidRPr="00C9343F" w14:paraId="3D1583C5" w14:textId="77777777" w:rsidTr="005E243D">
        <w:tblPrEx>
          <w:tblLook w:val="04A0" w:firstRow="1" w:lastRow="0" w:firstColumn="1" w:lastColumn="0" w:noHBand="0" w:noVBand="1"/>
        </w:tblPrEx>
        <w:tc>
          <w:tcPr>
            <w:tcW w:w="991" w:type="dxa"/>
          </w:tcPr>
          <w:p w14:paraId="15188184" w14:textId="77777777" w:rsidR="00410C41" w:rsidRPr="00C9343F" w:rsidRDefault="00410C41" w:rsidP="00F66D98">
            <w:pPr>
              <w:pStyle w:val="Sectiontext0"/>
              <w:jc w:val="center"/>
              <w:rPr>
                <w:lang w:eastAsia="en-US"/>
              </w:rPr>
            </w:pPr>
          </w:p>
        </w:tc>
        <w:tc>
          <w:tcPr>
            <w:tcW w:w="567" w:type="dxa"/>
          </w:tcPr>
          <w:p w14:paraId="682D737A" w14:textId="77777777" w:rsidR="00410C41" w:rsidRPr="00C9343F" w:rsidRDefault="00410C41" w:rsidP="00F66D98">
            <w:pPr>
              <w:pStyle w:val="Sectiontext0"/>
              <w:jc w:val="center"/>
              <w:rPr>
                <w:rFonts w:cs="Arial"/>
                <w:lang w:eastAsia="en-US"/>
              </w:rPr>
            </w:pPr>
            <w:r w:rsidRPr="00C9343F">
              <w:rPr>
                <w:rFonts w:cs="Arial"/>
                <w:lang w:eastAsia="en-US"/>
              </w:rPr>
              <w:t>b.</w:t>
            </w:r>
          </w:p>
        </w:tc>
        <w:tc>
          <w:tcPr>
            <w:tcW w:w="7801" w:type="dxa"/>
            <w:gridSpan w:val="2"/>
          </w:tcPr>
          <w:p w14:paraId="32B3F6F3" w14:textId="77777777" w:rsidR="00410C41" w:rsidRPr="00C9343F" w:rsidRDefault="00410C41" w:rsidP="00F66D98">
            <w:pPr>
              <w:pStyle w:val="Sectiontext0"/>
              <w:rPr>
                <w:rFonts w:cs="Arial"/>
                <w:lang w:eastAsia="en-US"/>
              </w:rPr>
            </w:pPr>
            <w:r w:rsidRPr="00C9343F">
              <w:t>If on the member’s last day of service, the member was under a direction to act at a higher rank under section 13(1)(b) of the Defence Regulation and has held that rank for less than 1 year — the rate of salary for their rank had the direction not applied.</w:t>
            </w:r>
          </w:p>
        </w:tc>
      </w:tr>
      <w:tr w:rsidR="00410C41" w:rsidRPr="00C9343F" w14:paraId="598302BF" w14:textId="77777777" w:rsidTr="005E243D">
        <w:tblPrEx>
          <w:tblLook w:val="04A0" w:firstRow="1" w:lastRow="0" w:firstColumn="1" w:lastColumn="0" w:noHBand="0" w:noVBand="1"/>
        </w:tblPrEx>
        <w:tc>
          <w:tcPr>
            <w:tcW w:w="991" w:type="dxa"/>
          </w:tcPr>
          <w:p w14:paraId="7D6CFEF2" w14:textId="77777777" w:rsidR="00410C41" w:rsidRPr="00C9343F" w:rsidRDefault="00410C41" w:rsidP="00F66D98">
            <w:pPr>
              <w:pStyle w:val="Sectiontext0"/>
              <w:jc w:val="center"/>
              <w:rPr>
                <w:lang w:eastAsia="en-US"/>
              </w:rPr>
            </w:pPr>
          </w:p>
        </w:tc>
        <w:tc>
          <w:tcPr>
            <w:tcW w:w="567" w:type="dxa"/>
          </w:tcPr>
          <w:p w14:paraId="597D76B5" w14:textId="77777777" w:rsidR="00410C41" w:rsidRPr="00C9343F" w:rsidRDefault="00410C41" w:rsidP="00F66D98">
            <w:pPr>
              <w:pStyle w:val="Sectiontext0"/>
              <w:jc w:val="center"/>
              <w:rPr>
                <w:rFonts w:cs="Arial"/>
                <w:lang w:eastAsia="en-US"/>
              </w:rPr>
            </w:pPr>
            <w:r w:rsidRPr="00C9343F">
              <w:rPr>
                <w:rFonts w:cs="Arial"/>
                <w:lang w:eastAsia="en-US"/>
              </w:rPr>
              <w:t>c.</w:t>
            </w:r>
          </w:p>
        </w:tc>
        <w:tc>
          <w:tcPr>
            <w:tcW w:w="7801" w:type="dxa"/>
            <w:gridSpan w:val="2"/>
          </w:tcPr>
          <w:p w14:paraId="3D3FF411" w14:textId="77777777" w:rsidR="00410C41" w:rsidRPr="00C9343F" w:rsidRDefault="00410C41" w:rsidP="00F66D98">
            <w:pPr>
              <w:pStyle w:val="Sectiontext0"/>
              <w:rPr>
                <w:rFonts w:cs="Arial"/>
                <w:lang w:eastAsia="en-US"/>
              </w:rPr>
            </w:pPr>
            <w:r w:rsidRPr="00C9343F">
              <w:t>If on the member’s last day of service, the member was under a direction under section 13(1)(b) of the Defence Regulation to act at a higher rank and has held that rank for 1 year or more — the rate of salary for the higher rank.</w:t>
            </w:r>
          </w:p>
        </w:tc>
      </w:tr>
    </w:tbl>
    <w:p w14:paraId="120D39AC" w14:textId="77777777" w:rsidR="00410C41" w:rsidRPr="00C9343F" w:rsidRDefault="00410C41" w:rsidP="00F66D98">
      <w:pPr>
        <w:pStyle w:val="Heading5"/>
      </w:pPr>
      <w:bookmarkStart w:id="1322" w:name="_Toc105054019"/>
      <w:r w:rsidRPr="00C9343F">
        <w:t>5.4.44A    Payment to senior officer who transitioned for leave credit</w:t>
      </w:r>
      <w:bookmarkEnd w:id="1322"/>
    </w:p>
    <w:tbl>
      <w:tblPr>
        <w:tblW w:w="9374" w:type="dxa"/>
        <w:tblInd w:w="113" w:type="dxa"/>
        <w:tblLayout w:type="fixed"/>
        <w:tblLook w:val="0000" w:firstRow="0" w:lastRow="0" w:firstColumn="0" w:lastColumn="0" w:noHBand="0" w:noVBand="0"/>
      </w:tblPr>
      <w:tblGrid>
        <w:gridCol w:w="991"/>
        <w:gridCol w:w="571"/>
        <w:gridCol w:w="7797"/>
        <w:gridCol w:w="15"/>
      </w:tblGrid>
      <w:tr w:rsidR="00410C41" w:rsidRPr="00C9343F" w14:paraId="0CE57D2D" w14:textId="77777777" w:rsidTr="005E243D">
        <w:tc>
          <w:tcPr>
            <w:tcW w:w="991" w:type="dxa"/>
          </w:tcPr>
          <w:p w14:paraId="206A3E9F" w14:textId="77777777" w:rsidR="00410C41" w:rsidRPr="00C9343F" w:rsidRDefault="00410C41" w:rsidP="00F66D98">
            <w:pPr>
              <w:pStyle w:val="BlockText-Plain"/>
              <w:jc w:val="center"/>
            </w:pPr>
            <w:r w:rsidRPr="00C9343F">
              <w:t>1.</w:t>
            </w:r>
          </w:p>
        </w:tc>
        <w:tc>
          <w:tcPr>
            <w:tcW w:w="8383" w:type="dxa"/>
            <w:gridSpan w:val="3"/>
          </w:tcPr>
          <w:p w14:paraId="26F12A03" w14:textId="77777777" w:rsidR="00410C41" w:rsidRPr="00C9343F" w:rsidRDefault="00410C41" w:rsidP="00F66D98">
            <w:pPr>
              <w:pStyle w:val="BlockText-Plain"/>
            </w:pPr>
            <w:r w:rsidRPr="00C9343F">
              <w:t>This section applies to a senior officer to whom both of the following apply.</w:t>
            </w:r>
          </w:p>
        </w:tc>
      </w:tr>
      <w:tr w:rsidR="00410C41" w:rsidRPr="00C9343F" w:rsidDel="004A5BB4" w14:paraId="06185E8E" w14:textId="77777777" w:rsidTr="005E243D">
        <w:tc>
          <w:tcPr>
            <w:tcW w:w="991" w:type="dxa"/>
          </w:tcPr>
          <w:p w14:paraId="5AFFD0C8" w14:textId="77777777" w:rsidR="00410C41" w:rsidRPr="00C9343F" w:rsidRDefault="00410C41" w:rsidP="00F66D98">
            <w:pPr>
              <w:pStyle w:val="BlockText-Plain"/>
              <w:jc w:val="center"/>
            </w:pPr>
          </w:p>
        </w:tc>
        <w:tc>
          <w:tcPr>
            <w:tcW w:w="571" w:type="dxa"/>
          </w:tcPr>
          <w:p w14:paraId="22F973A8" w14:textId="77777777" w:rsidR="00410C41" w:rsidRPr="00C9343F" w:rsidDel="004A5BB4" w:rsidRDefault="00410C41" w:rsidP="008D1B5D">
            <w:pPr>
              <w:pStyle w:val="BlockText-Plain"/>
              <w:jc w:val="center"/>
            </w:pPr>
            <w:r w:rsidRPr="00C9343F">
              <w:t>a.</w:t>
            </w:r>
          </w:p>
        </w:tc>
        <w:tc>
          <w:tcPr>
            <w:tcW w:w="7812" w:type="dxa"/>
            <w:gridSpan w:val="2"/>
          </w:tcPr>
          <w:p w14:paraId="56D6B631" w14:textId="77777777" w:rsidR="00410C41" w:rsidRPr="00C9343F" w:rsidDel="004A5BB4" w:rsidRDefault="00410C41" w:rsidP="00F66D98">
            <w:pPr>
              <w:pStyle w:val="BlockText-Plain"/>
            </w:pPr>
            <w:r w:rsidRPr="00C9343F">
              <w:t>The senior officer has become a senior officer who transitioned.</w:t>
            </w:r>
          </w:p>
        </w:tc>
      </w:tr>
      <w:tr w:rsidR="00410C41" w:rsidRPr="00C9343F" w:rsidDel="004A5BB4" w14:paraId="2FBFBA05" w14:textId="77777777" w:rsidTr="005E243D">
        <w:tc>
          <w:tcPr>
            <w:tcW w:w="991" w:type="dxa"/>
          </w:tcPr>
          <w:p w14:paraId="6FF01E83" w14:textId="77777777" w:rsidR="00410C41" w:rsidRPr="00C9343F" w:rsidRDefault="00410C41" w:rsidP="00F66D98">
            <w:pPr>
              <w:pStyle w:val="BlockText-Plain"/>
              <w:jc w:val="center"/>
            </w:pPr>
          </w:p>
        </w:tc>
        <w:tc>
          <w:tcPr>
            <w:tcW w:w="571" w:type="dxa"/>
          </w:tcPr>
          <w:p w14:paraId="69CF78E1" w14:textId="77777777" w:rsidR="00410C41" w:rsidRPr="00C9343F" w:rsidRDefault="00410C41" w:rsidP="008D1B5D">
            <w:pPr>
              <w:pStyle w:val="BlockText-Plain"/>
              <w:jc w:val="center"/>
            </w:pPr>
            <w:r w:rsidRPr="00C9343F">
              <w:t>b.</w:t>
            </w:r>
          </w:p>
        </w:tc>
        <w:tc>
          <w:tcPr>
            <w:tcW w:w="7812" w:type="dxa"/>
            <w:gridSpan w:val="2"/>
          </w:tcPr>
          <w:p w14:paraId="575D4227" w14:textId="77777777" w:rsidR="00410C41" w:rsidRPr="00C9343F" w:rsidRDefault="00410C41" w:rsidP="00F66D98">
            <w:pPr>
              <w:pStyle w:val="BlockText-Plain"/>
            </w:pPr>
            <w:r w:rsidRPr="00C9343F">
              <w:t>The senior officer has elected to be paid their accrued leave credit and purchased recreation leave credit</w:t>
            </w:r>
            <w:r w:rsidRPr="00C9343F">
              <w:rPr>
                <w:b/>
                <w:i/>
              </w:rPr>
              <w:t xml:space="preserve"> </w:t>
            </w:r>
            <w:r w:rsidRPr="00C9343F">
              <w:t>under paragraph 5.4.43.1.a.</w:t>
            </w:r>
          </w:p>
        </w:tc>
      </w:tr>
      <w:tr w:rsidR="00410C41" w:rsidRPr="00C9343F" w14:paraId="49B1BD8E" w14:textId="77777777" w:rsidTr="005E243D">
        <w:tc>
          <w:tcPr>
            <w:tcW w:w="991" w:type="dxa"/>
          </w:tcPr>
          <w:p w14:paraId="69502236" w14:textId="77777777" w:rsidR="00410C41" w:rsidRPr="00C9343F" w:rsidRDefault="00410C41" w:rsidP="00F66D98">
            <w:pPr>
              <w:pStyle w:val="BlockText-Plain"/>
              <w:jc w:val="center"/>
            </w:pPr>
            <w:r w:rsidRPr="00C9343F">
              <w:t>2.</w:t>
            </w:r>
          </w:p>
        </w:tc>
        <w:tc>
          <w:tcPr>
            <w:tcW w:w="8383" w:type="dxa"/>
            <w:gridSpan w:val="3"/>
          </w:tcPr>
          <w:p w14:paraId="423D6E00" w14:textId="77777777" w:rsidR="00410C41" w:rsidRPr="00C9343F" w:rsidRDefault="00410C41" w:rsidP="00F66D98">
            <w:pPr>
              <w:pStyle w:val="BlockText-Plain"/>
            </w:pPr>
            <w:r w:rsidRPr="00C9343F">
              <w:t>The senior officer is to be paid an amount calculated using the following formula.</w:t>
            </w:r>
          </w:p>
        </w:tc>
      </w:tr>
      <w:tr w:rsidR="00410C41" w:rsidRPr="00C9343F" w14:paraId="6E7ED152" w14:textId="77777777" w:rsidTr="005E243D">
        <w:tc>
          <w:tcPr>
            <w:tcW w:w="991" w:type="dxa"/>
          </w:tcPr>
          <w:p w14:paraId="42C1DC55" w14:textId="77777777" w:rsidR="00410C41" w:rsidRPr="00C9343F" w:rsidRDefault="00410C41" w:rsidP="00F66D98">
            <w:pPr>
              <w:pStyle w:val="BlockText-Plain"/>
            </w:pPr>
          </w:p>
        </w:tc>
        <w:tc>
          <w:tcPr>
            <w:tcW w:w="8383" w:type="dxa"/>
            <w:gridSpan w:val="3"/>
          </w:tcPr>
          <w:p w14:paraId="222E8A5D" w14:textId="77777777" w:rsidR="00410C41" w:rsidRPr="00C9343F" w:rsidRDefault="00410C41" w:rsidP="00F66D98">
            <w:pPr>
              <w:pStyle w:val="BlockText-Plain"/>
              <w:jc w:val="center"/>
            </w:pPr>
            <w:r w:rsidRPr="00C9343F">
              <w:rPr>
                <w:rFonts w:ascii="Cambria Math" w:hAnsi="Cambria Math" w:cs="Cambria Math"/>
              </w:rPr>
              <w:t>𝒂𝒎𝒐𝒖𝒏𝒕</w:t>
            </w:r>
            <w:r w:rsidRPr="00C9343F">
              <w:t xml:space="preserve"> </w:t>
            </w:r>
            <w:r w:rsidRPr="00C9343F">
              <w:rPr>
                <w:rFonts w:ascii="Cambria Math" w:hAnsi="Cambria Math" w:cs="Cambria Math"/>
              </w:rPr>
              <w:t>𝒑𝒂𝒚𝒂𝒃𝒍𝒆</w:t>
            </w:r>
            <w:r w:rsidRPr="00C9343F">
              <w:t xml:space="preserve"> =</w:t>
            </w:r>
            <w:r w:rsidRPr="00C9343F">
              <w:rPr>
                <w:rFonts w:ascii="Cambria Math" w:hAnsi="Cambria Math" w:cs="Cambria Math"/>
              </w:rPr>
              <w:t>𝑨</w:t>
            </w:r>
            <w:r w:rsidRPr="00C9343F">
              <w:t>+</w:t>
            </w:r>
            <w:r w:rsidRPr="00C9343F">
              <w:rPr>
                <w:rFonts w:ascii="Cambria Math" w:hAnsi="Cambria Math" w:cs="Cambria Math"/>
              </w:rPr>
              <w:t>𝑩</w:t>
            </w:r>
            <w:r w:rsidRPr="00C9343F">
              <w:t>−</w:t>
            </w:r>
            <w:r w:rsidRPr="00C9343F">
              <w:rPr>
                <w:rFonts w:ascii="Cambria Math" w:hAnsi="Cambria Math" w:cs="Cambria Math"/>
              </w:rPr>
              <w:t>𝑪</w:t>
            </w:r>
          </w:p>
        </w:tc>
      </w:tr>
      <w:tr w:rsidR="00410C41" w:rsidRPr="00C9343F" w14:paraId="55FDBE6C" w14:textId="77777777" w:rsidTr="005E243D">
        <w:tc>
          <w:tcPr>
            <w:tcW w:w="991" w:type="dxa"/>
          </w:tcPr>
          <w:p w14:paraId="12313831" w14:textId="77777777" w:rsidR="00410C41" w:rsidRPr="00C9343F" w:rsidRDefault="00410C41" w:rsidP="00F66D98">
            <w:pPr>
              <w:pStyle w:val="BlockText-Plain"/>
            </w:pPr>
          </w:p>
        </w:tc>
        <w:tc>
          <w:tcPr>
            <w:tcW w:w="8383" w:type="dxa"/>
            <w:gridSpan w:val="3"/>
          </w:tcPr>
          <w:p w14:paraId="05457DF4" w14:textId="77777777" w:rsidR="00410C41" w:rsidRPr="00C9343F" w:rsidRDefault="00410C41" w:rsidP="00F66D98">
            <w:pPr>
              <w:pStyle w:val="BlockText-Plain"/>
            </w:pPr>
            <w:r w:rsidRPr="00C9343F">
              <w:t>Where:</w:t>
            </w:r>
          </w:p>
        </w:tc>
      </w:tr>
      <w:tr w:rsidR="00410C41" w:rsidRPr="00C9343F" w14:paraId="62F8236E" w14:textId="77777777" w:rsidTr="005E243D">
        <w:tblPrEx>
          <w:tblLook w:val="04A0" w:firstRow="1" w:lastRow="0" w:firstColumn="1" w:lastColumn="0" w:noHBand="0" w:noVBand="1"/>
        </w:tblPrEx>
        <w:trPr>
          <w:gridAfter w:val="1"/>
          <w:wAfter w:w="15" w:type="dxa"/>
        </w:trPr>
        <w:tc>
          <w:tcPr>
            <w:tcW w:w="991" w:type="dxa"/>
          </w:tcPr>
          <w:p w14:paraId="027F2BB3" w14:textId="77777777" w:rsidR="00410C41" w:rsidRPr="00C9343F" w:rsidRDefault="00410C41" w:rsidP="00F66D98">
            <w:pPr>
              <w:pStyle w:val="Sectiontext0"/>
              <w:jc w:val="center"/>
              <w:rPr>
                <w:lang w:eastAsia="en-US"/>
              </w:rPr>
            </w:pPr>
          </w:p>
        </w:tc>
        <w:tc>
          <w:tcPr>
            <w:tcW w:w="571" w:type="dxa"/>
            <w:hideMark/>
          </w:tcPr>
          <w:p w14:paraId="63BC2C2B" w14:textId="77777777" w:rsidR="00410C41" w:rsidRPr="00C9343F" w:rsidRDefault="00410C41" w:rsidP="00F66D98">
            <w:pPr>
              <w:pStyle w:val="Sectiontext0"/>
              <w:jc w:val="center"/>
              <w:rPr>
                <w:rFonts w:cs="Arial"/>
                <w:b/>
                <w:lang w:eastAsia="en-US"/>
              </w:rPr>
            </w:pPr>
            <w:r w:rsidRPr="00C9343F">
              <w:rPr>
                <w:rFonts w:cs="Arial"/>
                <w:b/>
                <w:lang w:eastAsia="en-US"/>
              </w:rPr>
              <w:t>A</w:t>
            </w:r>
          </w:p>
        </w:tc>
        <w:tc>
          <w:tcPr>
            <w:tcW w:w="7797" w:type="dxa"/>
          </w:tcPr>
          <w:p w14:paraId="44F76C07" w14:textId="77777777" w:rsidR="00410C41" w:rsidRPr="00C9343F" w:rsidRDefault="00410C41" w:rsidP="00F66D98">
            <w:pPr>
              <w:pStyle w:val="Sectiontext0"/>
              <w:rPr>
                <w:iCs/>
              </w:rPr>
            </w:pPr>
            <w:r w:rsidRPr="00C9343F">
              <w:rPr>
                <w:iCs/>
              </w:rPr>
              <w:t xml:space="preserve">is the sum of accrued leave credits and purchased recreation leave credits (in days) held by the senior officer at the end of their appointment, multiplied by the sum of the daily rate of salary and annual allowances that were payable to the senior officer on the last day of their appointment. </w:t>
            </w:r>
          </w:p>
        </w:tc>
      </w:tr>
      <w:tr w:rsidR="00410C41" w:rsidRPr="00C9343F" w14:paraId="4CC995DF" w14:textId="77777777" w:rsidTr="005E243D">
        <w:tblPrEx>
          <w:tblLook w:val="04A0" w:firstRow="1" w:lastRow="0" w:firstColumn="1" w:lastColumn="0" w:noHBand="0" w:noVBand="1"/>
        </w:tblPrEx>
        <w:trPr>
          <w:gridAfter w:val="1"/>
          <w:wAfter w:w="15" w:type="dxa"/>
        </w:trPr>
        <w:tc>
          <w:tcPr>
            <w:tcW w:w="991" w:type="dxa"/>
          </w:tcPr>
          <w:p w14:paraId="64741976" w14:textId="77777777" w:rsidR="00410C41" w:rsidRPr="00C9343F" w:rsidRDefault="00410C41" w:rsidP="00F66D98">
            <w:pPr>
              <w:pStyle w:val="Sectiontext0"/>
              <w:jc w:val="center"/>
              <w:rPr>
                <w:lang w:eastAsia="en-US"/>
              </w:rPr>
            </w:pPr>
          </w:p>
        </w:tc>
        <w:tc>
          <w:tcPr>
            <w:tcW w:w="571" w:type="dxa"/>
            <w:hideMark/>
          </w:tcPr>
          <w:p w14:paraId="5501B04A" w14:textId="77777777" w:rsidR="00410C41" w:rsidRPr="00C9343F" w:rsidRDefault="00410C41" w:rsidP="00F66D98">
            <w:pPr>
              <w:pStyle w:val="Sectiontext0"/>
              <w:jc w:val="center"/>
              <w:rPr>
                <w:rFonts w:cs="Arial"/>
                <w:b/>
                <w:lang w:eastAsia="en-US"/>
              </w:rPr>
            </w:pPr>
            <w:r w:rsidRPr="00C9343F">
              <w:rPr>
                <w:rFonts w:cs="Arial"/>
                <w:b/>
                <w:lang w:eastAsia="en-US"/>
              </w:rPr>
              <w:t>B</w:t>
            </w:r>
          </w:p>
        </w:tc>
        <w:tc>
          <w:tcPr>
            <w:tcW w:w="7797" w:type="dxa"/>
          </w:tcPr>
          <w:p w14:paraId="3CD4DA5A" w14:textId="77777777" w:rsidR="00410C41" w:rsidRPr="00C9343F" w:rsidRDefault="00410C41" w:rsidP="00F66D98">
            <w:pPr>
              <w:pStyle w:val="Sectiontext0"/>
              <w:rPr>
                <w:iCs/>
              </w:rPr>
            </w:pPr>
            <w:r w:rsidRPr="00C9343F">
              <w:rPr>
                <w:iCs/>
              </w:rPr>
              <w:t xml:space="preserve">is the amount of recreation leave credits (in days) accrued during the senior officer's transition period, multiplied by the sum of the daily rate of salary and annual allowances that were payable to the senior officer on their last day in the Permanent Forces. </w:t>
            </w:r>
          </w:p>
        </w:tc>
      </w:tr>
      <w:tr w:rsidR="00410C41" w:rsidRPr="00C9343F" w14:paraId="30448519" w14:textId="77777777" w:rsidTr="005E243D">
        <w:tblPrEx>
          <w:tblLook w:val="04A0" w:firstRow="1" w:lastRow="0" w:firstColumn="1" w:lastColumn="0" w:noHBand="0" w:noVBand="1"/>
        </w:tblPrEx>
        <w:trPr>
          <w:gridAfter w:val="1"/>
          <w:wAfter w:w="15" w:type="dxa"/>
        </w:trPr>
        <w:tc>
          <w:tcPr>
            <w:tcW w:w="991" w:type="dxa"/>
          </w:tcPr>
          <w:p w14:paraId="6C876A6B" w14:textId="77777777" w:rsidR="00410C41" w:rsidRPr="00C9343F" w:rsidRDefault="00410C41" w:rsidP="00F66D98">
            <w:pPr>
              <w:pStyle w:val="Sectiontext0"/>
              <w:jc w:val="center"/>
              <w:rPr>
                <w:lang w:eastAsia="en-US"/>
              </w:rPr>
            </w:pPr>
          </w:p>
        </w:tc>
        <w:tc>
          <w:tcPr>
            <w:tcW w:w="571" w:type="dxa"/>
            <w:hideMark/>
          </w:tcPr>
          <w:p w14:paraId="220A85FB" w14:textId="77777777" w:rsidR="00410C41" w:rsidRPr="00C9343F" w:rsidRDefault="00410C41" w:rsidP="00F66D98">
            <w:pPr>
              <w:pStyle w:val="Sectiontext0"/>
              <w:jc w:val="center"/>
              <w:rPr>
                <w:rFonts w:cs="Arial"/>
                <w:b/>
                <w:lang w:eastAsia="en-US"/>
              </w:rPr>
            </w:pPr>
            <w:r w:rsidRPr="00C9343F">
              <w:rPr>
                <w:rFonts w:cs="Arial"/>
                <w:b/>
                <w:lang w:eastAsia="en-US"/>
              </w:rPr>
              <w:t>C</w:t>
            </w:r>
          </w:p>
        </w:tc>
        <w:tc>
          <w:tcPr>
            <w:tcW w:w="7797" w:type="dxa"/>
          </w:tcPr>
          <w:p w14:paraId="08C2B272" w14:textId="77777777" w:rsidR="00410C41" w:rsidRPr="00C9343F" w:rsidRDefault="00410C41" w:rsidP="00F66D98">
            <w:pPr>
              <w:pStyle w:val="Sectiontext0"/>
              <w:rPr>
                <w:iCs/>
              </w:rPr>
            </w:pPr>
            <w:r w:rsidRPr="00C9343F">
              <w:rPr>
                <w:iCs/>
              </w:rPr>
              <w:t xml:space="preserve">is the amount of accrued leave credits (in days) the senior officer used during their transition period, multiplied by the sum of the daily rate of salary and annual allowances that were payable to the senior officer immediately before becoming a senior officer who transitioned. </w:t>
            </w:r>
          </w:p>
        </w:tc>
      </w:tr>
    </w:tbl>
    <w:p w14:paraId="4FB2E713" w14:textId="77777777" w:rsidR="00410C41" w:rsidRPr="00C9343F" w:rsidRDefault="00410C41" w:rsidP="00F66D98">
      <w:pPr>
        <w:pStyle w:val="Heading5"/>
      </w:pPr>
      <w:bookmarkStart w:id="1323" w:name="_Toc105054020"/>
      <w:r w:rsidRPr="00C9343F">
        <w:t>5.4.45    Transfer of leave credits and payment to new Commonwealth</w:t>
      </w:r>
      <w:r w:rsidRPr="00C9343F">
        <w:rPr>
          <w:i/>
        </w:rPr>
        <w:t xml:space="preserve"> </w:t>
      </w:r>
      <w:r w:rsidRPr="00C9343F">
        <w:t>entity</w:t>
      </w:r>
      <w:bookmarkEnd w:id="1323"/>
    </w:p>
    <w:tbl>
      <w:tblPr>
        <w:tblW w:w="9359" w:type="dxa"/>
        <w:tblInd w:w="113" w:type="dxa"/>
        <w:tblLayout w:type="fixed"/>
        <w:tblLook w:val="0000" w:firstRow="0" w:lastRow="0" w:firstColumn="0" w:lastColumn="0" w:noHBand="0" w:noVBand="0"/>
      </w:tblPr>
      <w:tblGrid>
        <w:gridCol w:w="991"/>
        <w:gridCol w:w="567"/>
        <w:gridCol w:w="7801"/>
      </w:tblGrid>
      <w:tr w:rsidR="00410C41" w:rsidRPr="00C9343F" w14:paraId="0B9C4582" w14:textId="77777777" w:rsidTr="005E243D">
        <w:tc>
          <w:tcPr>
            <w:tcW w:w="991" w:type="dxa"/>
          </w:tcPr>
          <w:p w14:paraId="1D579953" w14:textId="77777777" w:rsidR="00410C41" w:rsidRPr="00C9343F" w:rsidRDefault="00410C41" w:rsidP="00F66D98">
            <w:pPr>
              <w:pStyle w:val="BlockText-Plain"/>
              <w:jc w:val="center"/>
            </w:pPr>
            <w:r w:rsidRPr="00C9343F">
              <w:t>1.</w:t>
            </w:r>
          </w:p>
        </w:tc>
        <w:tc>
          <w:tcPr>
            <w:tcW w:w="8368" w:type="dxa"/>
            <w:gridSpan w:val="2"/>
          </w:tcPr>
          <w:p w14:paraId="44A1BB53" w14:textId="77777777" w:rsidR="00410C41" w:rsidRPr="00C9343F" w:rsidRDefault="00410C41" w:rsidP="00F66D98">
            <w:pPr>
              <w:pStyle w:val="BlockText-Plain"/>
            </w:pPr>
            <w:r w:rsidRPr="00C9343F">
              <w:t>This section applies to a member who elects to transfer all or part of their accrued leave</w:t>
            </w:r>
            <w:r w:rsidRPr="00C9343F">
              <w:rPr>
                <w:b/>
                <w:i/>
              </w:rPr>
              <w:t xml:space="preserve"> </w:t>
            </w:r>
            <w:r w:rsidRPr="00C9343F">
              <w:t>credit</w:t>
            </w:r>
            <w:r w:rsidRPr="00C9343F">
              <w:rPr>
                <w:b/>
                <w:i/>
              </w:rPr>
              <w:t xml:space="preserve"> </w:t>
            </w:r>
            <w:r w:rsidRPr="00C9343F">
              <w:t xml:space="preserve">and purchased recreation leave credit under paragraph 5.4.43.1.b and the new Commonwealth entity has agreed to the transfer. </w:t>
            </w:r>
          </w:p>
        </w:tc>
      </w:tr>
      <w:tr w:rsidR="00410C41" w:rsidRPr="00C9343F" w14:paraId="24E31A6D" w14:textId="77777777" w:rsidTr="005E243D">
        <w:tc>
          <w:tcPr>
            <w:tcW w:w="991" w:type="dxa"/>
          </w:tcPr>
          <w:p w14:paraId="0523445A" w14:textId="77777777" w:rsidR="00410C41" w:rsidRPr="00C9343F" w:rsidRDefault="00410C41" w:rsidP="00F66D98">
            <w:pPr>
              <w:pStyle w:val="BlockText-Plain"/>
              <w:jc w:val="center"/>
            </w:pPr>
            <w:r w:rsidRPr="00C9343F">
              <w:t>2.</w:t>
            </w:r>
          </w:p>
        </w:tc>
        <w:tc>
          <w:tcPr>
            <w:tcW w:w="8368" w:type="dxa"/>
            <w:gridSpan w:val="2"/>
          </w:tcPr>
          <w:p w14:paraId="3501E60C" w14:textId="77777777" w:rsidR="00410C41" w:rsidRPr="00C9343F" w:rsidRDefault="00410C41" w:rsidP="00F66D98">
            <w:pPr>
              <w:pStyle w:val="BlockText-Plain"/>
            </w:pPr>
            <w:r w:rsidRPr="00C9343F">
              <w:t>The new Commonwealth entity is to be paid the sum of the following.</w:t>
            </w:r>
          </w:p>
        </w:tc>
      </w:tr>
      <w:tr w:rsidR="00410C41" w:rsidRPr="00C9343F" w14:paraId="27910A67" w14:textId="77777777" w:rsidTr="005E243D">
        <w:tblPrEx>
          <w:tblLook w:val="04A0" w:firstRow="1" w:lastRow="0" w:firstColumn="1" w:lastColumn="0" w:noHBand="0" w:noVBand="1"/>
        </w:tblPrEx>
        <w:tc>
          <w:tcPr>
            <w:tcW w:w="991" w:type="dxa"/>
          </w:tcPr>
          <w:p w14:paraId="377986B0" w14:textId="77777777" w:rsidR="00410C41" w:rsidRPr="00C9343F" w:rsidRDefault="00410C41" w:rsidP="00F66D98">
            <w:pPr>
              <w:pStyle w:val="Sectiontext0"/>
              <w:jc w:val="center"/>
              <w:rPr>
                <w:lang w:eastAsia="en-US"/>
              </w:rPr>
            </w:pPr>
          </w:p>
        </w:tc>
        <w:tc>
          <w:tcPr>
            <w:tcW w:w="567" w:type="dxa"/>
            <w:hideMark/>
          </w:tcPr>
          <w:p w14:paraId="4C30E587" w14:textId="77777777" w:rsidR="00410C41" w:rsidRPr="00C9343F" w:rsidRDefault="00410C41" w:rsidP="00F66D98">
            <w:pPr>
              <w:pStyle w:val="Sectiontext0"/>
              <w:jc w:val="center"/>
              <w:rPr>
                <w:rFonts w:cs="Arial"/>
                <w:lang w:eastAsia="en-US"/>
              </w:rPr>
            </w:pPr>
            <w:r w:rsidRPr="00C9343F">
              <w:rPr>
                <w:rFonts w:cs="Arial"/>
                <w:lang w:eastAsia="en-US"/>
              </w:rPr>
              <w:t>a.</w:t>
            </w:r>
          </w:p>
        </w:tc>
        <w:tc>
          <w:tcPr>
            <w:tcW w:w="7801" w:type="dxa"/>
          </w:tcPr>
          <w:p w14:paraId="0AE252D9" w14:textId="77777777" w:rsidR="00410C41" w:rsidRPr="00C9343F" w:rsidRDefault="00410C41" w:rsidP="00F66D98">
            <w:pPr>
              <w:pStyle w:val="Sectiontext0"/>
            </w:pPr>
            <w:r w:rsidRPr="00C9343F">
              <w:t>For each day of accrued leave credit and purchase leave credit, the daily rate of salary.</w:t>
            </w:r>
          </w:p>
        </w:tc>
      </w:tr>
      <w:tr w:rsidR="00410C41" w:rsidRPr="00C9343F" w14:paraId="6ADFED0C" w14:textId="77777777" w:rsidTr="005E243D">
        <w:tblPrEx>
          <w:tblLook w:val="04A0" w:firstRow="1" w:lastRow="0" w:firstColumn="1" w:lastColumn="0" w:noHBand="0" w:noVBand="1"/>
        </w:tblPrEx>
        <w:tc>
          <w:tcPr>
            <w:tcW w:w="991" w:type="dxa"/>
          </w:tcPr>
          <w:p w14:paraId="0248D468" w14:textId="77777777" w:rsidR="00410C41" w:rsidRPr="00C9343F" w:rsidRDefault="00410C41" w:rsidP="00F66D98">
            <w:pPr>
              <w:pStyle w:val="Sectiontext0"/>
              <w:jc w:val="center"/>
              <w:rPr>
                <w:lang w:eastAsia="en-US"/>
              </w:rPr>
            </w:pPr>
          </w:p>
        </w:tc>
        <w:tc>
          <w:tcPr>
            <w:tcW w:w="567" w:type="dxa"/>
            <w:hideMark/>
          </w:tcPr>
          <w:p w14:paraId="3F095C18" w14:textId="77777777" w:rsidR="00410C41" w:rsidRPr="00C9343F" w:rsidRDefault="00410C41" w:rsidP="00F66D98">
            <w:pPr>
              <w:pStyle w:val="Sectiontext0"/>
              <w:jc w:val="center"/>
              <w:rPr>
                <w:rFonts w:cs="Arial"/>
                <w:lang w:eastAsia="en-US"/>
              </w:rPr>
            </w:pPr>
            <w:r w:rsidRPr="00C9343F">
              <w:rPr>
                <w:rFonts w:cs="Arial"/>
                <w:lang w:eastAsia="en-US"/>
              </w:rPr>
              <w:t>b.</w:t>
            </w:r>
          </w:p>
        </w:tc>
        <w:tc>
          <w:tcPr>
            <w:tcW w:w="7801" w:type="dxa"/>
          </w:tcPr>
          <w:p w14:paraId="651ED50B" w14:textId="77777777" w:rsidR="00410C41" w:rsidRPr="00C9343F" w:rsidRDefault="00410C41" w:rsidP="00F66D98">
            <w:pPr>
              <w:pStyle w:val="Sectiontext0"/>
            </w:pPr>
            <w:r w:rsidRPr="00C9343F">
              <w:t>For every 5 days of accrued leave credit, two days of salary paid at the daily rate.</w:t>
            </w:r>
          </w:p>
        </w:tc>
      </w:tr>
      <w:tr w:rsidR="00410C41" w:rsidRPr="00C9343F" w14:paraId="462FC0B4" w14:textId="77777777" w:rsidTr="005E243D">
        <w:tblPrEx>
          <w:tblLook w:val="04A0" w:firstRow="1" w:lastRow="0" w:firstColumn="1" w:lastColumn="0" w:noHBand="0" w:noVBand="1"/>
        </w:tblPrEx>
        <w:tc>
          <w:tcPr>
            <w:tcW w:w="991" w:type="dxa"/>
          </w:tcPr>
          <w:p w14:paraId="2B95CE56" w14:textId="77777777" w:rsidR="00410C41" w:rsidRPr="00C9343F" w:rsidRDefault="00410C41" w:rsidP="00F66D98">
            <w:pPr>
              <w:pStyle w:val="Sectiontext0"/>
              <w:jc w:val="center"/>
              <w:rPr>
                <w:lang w:eastAsia="en-US"/>
              </w:rPr>
            </w:pPr>
            <w:r w:rsidRPr="00C9343F">
              <w:rPr>
                <w:lang w:eastAsia="en-US"/>
              </w:rPr>
              <w:t>2A.</w:t>
            </w:r>
          </w:p>
        </w:tc>
        <w:tc>
          <w:tcPr>
            <w:tcW w:w="8368" w:type="dxa"/>
            <w:gridSpan w:val="2"/>
          </w:tcPr>
          <w:p w14:paraId="2D197F27" w14:textId="77777777" w:rsidR="00410C41" w:rsidRPr="00C9343F" w:rsidRDefault="00410C41" w:rsidP="00F66D98">
            <w:pPr>
              <w:pStyle w:val="Sectiontext0"/>
            </w:pPr>
            <w:r w:rsidRPr="00C9343F">
              <w:t>For the purpose of paragraph 2.a, the rate of salary used to calculate the daily rate of salary is one of the following.</w:t>
            </w:r>
          </w:p>
        </w:tc>
      </w:tr>
      <w:tr w:rsidR="00410C41" w:rsidRPr="00C9343F" w14:paraId="79110668" w14:textId="77777777" w:rsidTr="005E243D">
        <w:tblPrEx>
          <w:tblLook w:val="04A0" w:firstRow="1" w:lastRow="0" w:firstColumn="1" w:lastColumn="0" w:noHBand="0" w:noVBand="1"/>
        </w:tblPrEx>
        <w:tc>
          <w:tcPr>
            <w:tcW w:w="991" w:type="dxa"/>
          </w:tcPr>
          <w:p w14:paraId="31008272" w14:textId="77777777" w:rsidR="00410C41" w:rsidRPr="00C9343F" w:rsidRDefault="00410C41" w:rsidP="00F66D98">
            <w:pPr>
              <w:pStyle w:val="Sectiontext0"/>
              <w:jc w:val="center"/>
              <w:rPr>
                <w:lang w:eastAsia="en-US"/>
              </w:rPr>
            </w:pPr>
          </w:p>
        </w:tc>
        <w:tc>
          <w:tcPr>
            <w:tcW w:w="567" w:type="dxa"/>
            <w:hideMark/>
          </w:tcPr>
          <w:p w14:paraId="7B992D12" w14:textId="77777777" w:rsidR="00410C41" w:rsidRPr="00C9343F" w:rsidRDefault="00410C41" w:rsidP="00F66D98">
            <w:pPr>
              <w:pStyle w:val="Sectiontext0"/>
              <w:jc w:val="center"/>
              <w:rPr>
                <w:rFonts w:cs="Arial"/>
                <w:lang w:eastAsia="en-US"/>
              </w:rPr>
            </w:pPr>
            <w:r w:rsidRPr="00C9343F">
              <w:rPr>
                <w:rFonts w:cs="Arial"/>
                <w:lang w:eastAsia="en-US"/>
              </w:rPr>
              <w:t>a.</w:t>
            </w:r>
          </w:p>
        </w:tc>
        <w:tc>
          <w:tcPr>
            <w:tcW w:w="7801" w:type="dxa"/>
          </w:tcPr>
          <w:p w14:paraId="3E630DB1" w14:textId="77777777" w:rsidR="00410C41" w:rsidRPr="00C9343F" w:rsidRDefault="00410C41" w:rsidP="00F66D98">
            <w:pPr>
              <w:pStyle w:val="Sectiontext0"/>
              <w:rPr>
                <w:rFonts w:cs="Arial"/>
                <w:lang w:eastAsia="en-US"/>
              </w:rPr>
            </w:pPr>
            <w:r w:rsidRPr="00C9343F">
              <w:t>If the member’s last promotion was under section 13(1)(a) of the Defence Regulation, — the rate of salary of their rank.</w:t>
            </w:r>
          </w:p>
        </w:tc>
      </w:tr>
      <w:tr w:rsidR="00410C41" w:rsidRPr="00C9343F" w14:paraId="75D4FED6" w14:textId="77777777" w:rsidTr="005E243D">
        <w:tblPrEx>
          <w:tblLook w:val="04A0" w:firstRow="1" w:lastRow="0" w:firstColumn="1" w:lastColumn="0" w:noHBand="0" w:noVBand="1"/>
        </w:tblPrEx>
        <w:tc>
          <w:tcPr>
            <w:tcW w:w="991" w:type="dxa"/>
          </w:tcPr>
          <w:p w14:paraId="1D2FAC15" w14:textId="77777777" w:rsidR="00410C41" w:rsidRPr="00C9343F" w:rsidRDefault="00410C41" w:rsidP="00F66D98">
            <w:pPr>
              <w:pStyle w:val="Sectiontext0"/>
              <w:jc w:val="center"/>
              <w:rPr>
                <w:lang w:eastAsia="en-US"/>
              </w:rPr>
            </w:pPr>
          </w:p>
        </w:tc>
        <w:tc>
          <w:tcPr>
            <w:tcW w:w="567" w:type="dxa"/>
          </w:tcPr>
          <w:p w14:paraId="48E97579" w14:textId="77777777" w:rsidR="00410C41" w:rsidRPr="00C9343F" w:rsidRDefault="00410C41" w:rsidP="00F66D98">
            <w:pPr>
              <w:pStyle w:val="Sectiontext0"/>
              <w:jc w:val="center"/>
              <w:rPr>
                <w:rFonts w:cs="Arial"/>
                <w:lang w:eastAsia="en-US"/>
              </w:rPr>
            </w:pPr>
            <w:r w:rsidRPr="00C9343F">
              <w:rPr>
                <w:rFonts w:cs="Arial"/>
                <w:lang w:eastAsia="en-US"/>
              </w:rPr>
              <w:t>b.</w:t>
            </w:r>
          </w:p>
        </w:tc>
        <w:tc>
          <w:tcPr>
            <w:tcW w:w="7801" w:type="dxa"/>
          </w:tcPr>
          <w:p w14:paraId="3F4C869D" w14:textId="77777777" w:rsidR="00410C41" w:rsidRPr="00C9343F" w:rsidRDefault="00410C41" w:rsidP="00F66D98">
            <w:pPr>
              <w:pStyle w:val="Sectiontext0"/>
              <w:rPr>
                <w:rFonts w:cs="Arial"/>
                <w:lang w:eastAsia="en-US"/>
              </w:rPr>
            </w:pPr>
            <w:r w:rsidRPr="00C9343F">
              <w:t>If on the member’s last day of service, the member was under a direction to act at a higher rank under section 13(1)(b) of the Defence Regulation and has held that rank for less than 1 year — the rate of salary for their rank had the direction not applied.</w:t>
            </w:r>
          </w:p>
        </w:tc>
      </w:tr>
      <w:tr w:rsidR="00410C41" w:rsidRPr="00C9343F" w14:paraId="4DCD8AC2" w14:textId="77777777" w:rsidTr="005E243D">
        <w:tblPrEx>
          <w:tblLook w:val="04A0" w:firstRow="1" w:lastRow="0" w:firstColumn="1" w:lastColumn="0" w:noHBand="0" w:noVBand="1"/>
        </w:tblPrEx>
        <w:tc>
          <w:tcPr>
            <w:tcW w:w="991" w:type="dxa"/>
          </w:tcPr>
          <w:p w14:paraId="074154BA" w14:textId="77777777" w:rsidR="00410C41" w:rsidRPr="00C9343F" w:rsidRDefault="00410C41" w:rsidP="00F66D98">
            <w:pPr>
              <w:pStyle w:val="Sectiontext0"/>
              <w:jc w:val="center"/>
              <w:rPr>
                <w:lang w:eastAsia="en-US"/>
              </w:rPr>
            </w:pPr>
          </w:p>
        </w:tc>
        <w:tc>
          <w:tcPr>
            <w:tcW w:w="567" w:type="dxa"/>
          </w:tcPr>
          <w:p w14:paraId="705C1625" w14:textId="77777777" w:rsidR="00410C41" w:rsidRPr="00C9343F" w:rsidRDefault="00410C41" w:rsidP="00F66D98">
            <w:pPr>
              <w:pStyle w:val="Sectiontext0"/>
              <w:jc w:val="center"/>
              <w:rPr>
                <w:rFonts w:cs="Arial"/>
                <w:lang w:eastAsia="en-US"/>
              </w:rPr>
            </w:pPr>
            <w:r w:rsidRPr="00C9343F">
              <w:rPr>
                <w:rFonts w:cs="Arial"/>
                <w:lang w:eastAsia="en-US"/>
              </w:rPr>
              <w:t>c.</w:t>
            </w:r>
          </w:p>
        </w:tc>
        <w:tc>
          <w:tcPr>
            <w:tcW w:w="7801" w:type="dxa"/>
          </w:tcPr>
          <w:p w14:paraId="17CA7A96" w14:textId="77777777" w:rsidR="00410C41" w:rsidRPr="00C9343F" w:rsidRDefault="00410C41" w:rsidP="00F66D98">
            <w:pPr>
              <w:pStyle w:val="Sectiontext0"/>
              <w:rPr>
                <w:rFonts w:cs="Arial"/>
                <w:lang w:eastAsia="en-US"/>
              </w:rPr>
            </w:pPr>
            <w:r w:rsidRPr="00C9343F">
              <w:t>If on the member’s last day of service, the member was under a direction under section 13(1)(b) of the Defence Regulation to act at a higher rank and has held that rank for 1 year or more — the rate of salary for the higher rank.</w:t>
            </w:r>
          </w:p>
        </w:tc>
      </w:tr>
      <w:tr w:rsidR="00410C41" w:rsidRPr="00C9343F" w14:paraId="5B7F98A4" w14:textId="77777777" w:rsidTr="005E243D">
        <w:tc>
          <w:tcPr>
            <w:tcW w:w="991" w:type="dxa"/>
          </w:tcPr>
          <w:p w14:paraId="61510C24" w14:textId="77777777" w:rsidR="00410C41" w:rsidRPr="00C9343F" w:rsidRDefault="00410C41" w:rsidP="00F66D98">
            <w:pPr>
              <w:pStyle w:val="BlockText-Plain"/>
              <w:jc w:val="center"/>
            </w:pPr>
            <w:r w:rsidRPr="00C9343F">
              <w:t>3.</w:t>
            </w:r>
          </w:p>
        </w:tc>
        <w:tc>
          <w:tcPr>
            <w:tcW w:w="8368" w:type="dxa"/>
            <w:gridSpan w:val="2"/>
          </w:tcPr>
          <w:p w14:paraId="7D4BAED8" w14:textId="77777777" w:rsidR="00410C41" w:rsidRPr="00C9343F" w:rsidRDefault="00410C41" w:rsidP="00F66D98">
            <w:pPr>
              <w:pStyle w:val="BlockText-Plain"/>
            </w:pPr>
            <w:r w:rsidRPr="00C9343F">
              <w:t>The member's leave credits are transferred to the new Commonwealth entity.</w:t>
            </w:r>
          </w:p>
        </w:tc>
      </w:tr>
    </w:tbl>
    <w:p w14:paraId="490FB54D" w14:textId="36BC51E2" w:rsidR="00410C41" w:rsidRPr="00C9343F" w:rsidRDefault="00410C41" w:rsidP="00566775">
      <w:pPr>
        <w:pStyle w:val="Heading4"/>
        <w:pageBreakBefore/>
      </w:pPr>
      <w:bookmarkStart w:id="1324" w:name="_Toc105054021"/>
      <w:r w:rsidRPr="00C9343F">
        <w:t>Annex 5.4.A: Remote locations within Australia — additional recreation leave</w:t>
      </w:r>
      <w:bookmarkEnd w:id="1324"/>
    </w:p>
    <w:tbl>
      <w:tblPr>
        <w:tblW w:w="9355" w:type="dxa"/>
        <w:tblInd w:w="113" w:type="dxa"/>
        <w:tblLayout w:type="fixed"/>
        <w:tblLook w:val="0000" w:firstRow="0" w:lastRow="0" w:firstColumn="0" w:lastColumn="0" w:noHBand="0" w:noVBand="0"/>
      </w:tblPr>
      <w:tblGrid>
        <w:gridCol w:w="992"/>
        <w:gridCol w:w="8363"/>
      </w:tblGrid>
      <w:tr w:rsidR="00410C41" w:rsidRPr="00C9343F" w14:paraId="131A79C1" w14:textId="77777777" w:rsidTr="005E243D">
        <w:tc>
          <w:tcPr>
            <w:tcW w:w="992" w:type="dxa"/>
          </w:tcPr>
          <w:p w14:paraId="7AAB301F" w14:textId="77777777" w:rsidR="00410C41" w:rsidRPr="00C9343F" w:rsidRDefault="00410C41" w:rsidP="00F66D98">
            <w:pPr>
              <w:pStyle w:val="BlockText-Plain"/>
              <w:jc w:val="center"/>
            </w:pPr>
          </w:p>
        </w:tc>
        <w:tc>
          <w:tcPr>
            <w:tcW w:w="8363" w:type="dxa"/>
          </w:tcPr>
          <w:p w14:paraId="14621DB6" w14:textId="77777777" w:rsidR="00410C41" w:rsidRPr="00C9343F" w:rsidRDefault="00410C41" w:rsidP="00F66D98">
            <w:pPr>
              <w:pStyle w:val="BlockText-Plain"/>
            </w:pPr>
            <w:r w:rsidRPr="00C9343F">
              <w:t>This table lists remote locations and the maximum additional days of recreation leave each year that serving in them entitles a member to.</w:t>
            </w:r>
          </w:p>
        </w:tc>
      </w:tr>
    </w:tbl>
    <w:p w14:paraId="79BDA226" w14:textId="77777777" w:rsidR="00410C41" w:rsidRPr="00C9343F" w:rsidRDefault="00410C41" w:rsidP="00F66D98">
      <w:pPr>
        <w:pStyle w:val="BlockText-PlainNoSpacing"/>
      </w:pPr>
    </w:p>
    <w:tbl>
      <w:tblPr>
        <w:tblW w:w="0" w:type="auto"/>
        <w:tblInd w:w="1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827"/>
        <w:gridCol w:w="2835"/>
      </w:tblGrid>
      <w:tr w:rsidR="00410C41" w:rsidRPr="00C9343F" w14:paraId="3463AF32" w14:textId="77777777" w:rsidTr="005E243D">
        <w:trPr>
          <w:cantSplit/>
        </w:trPr>
        <w:tc>
          <w:tcPr>
            <w:tcW w:w="3827" w:type="dxa"/>
            <w:tcBorders>
              <w:bottom w:val="nil"/>
            </w:tcBorders>
          </w:tcPr>
          <w:p w14:paraId="7B027F1E" w14:textId="77777777" w:rsidR="00410C41" w:rsidRPr="00C9343F" w:rsidRDefault="00410C41" w:rsidP="00F66D98">
            <w:pPr>
              <w:pStyle w:val="TableHeaderArial"/>
            </w:pPr>
            <w:r w:rsidRPr="00C9343F">
              <w:t>Remote location</w:t>
            </w:r>
          </w:p>
        </w:tc>
        <w:tc>
          <w:tcPr>
            <w:tcW w:w="2835" w:type="dxa"/>
            <w:tcBorders>
              <w:bottom w:val="nil"/>
            </w:tcBorders>
          </w:tcPr>
          <w:p w14:paraId="29D390B8" w14:textId="77777777" w:rsidR="00410C41" w:rsidRPr="00C9343F" w:rsidRDefault="00410C41" w:rsidP="00F66D98">
            <w:pPr>
              <w:pStyle w:val="TableHeaderArial"/>
            </w:pPr>
            <w:r w:rsidRPr="00C9343F">
              <w:t>Maximum additional days of leave for each financial year</w:t>
            </w:r>
          </w:p>
        </w:tc>
      </w:tr>
      <w:tr w:rsidR="00410C41" w:rsidRPr="00C9343F" w14:paraId="427F70F5" w14:textId="77777777" w:rsidTr="005E243D">
        <w:trPr>
          <w:cantSplit/>
        </w:trPr>
        <w:tc>
          <w:tcPr>
            <w:tcW w:w="6662" w:type="dxa"/>
            <w:gridSpan w:val="2"/>
            <w:tcBorders>
              <w:top w:val="single" w:sz="6" w:space="0" w:color="auto"/>
              <w:bottom w:val="single" w:sz="6" w:space="0" w:color="auto"/>
            </w:tcBorders>
            <w:shd w:val="pct15" w:color="000000" w:fill="FFFFFF"/>
          </w:tcPr>
          <w:p w14:paraId="6F44EE86" w14:textId="77777777" w:rsidR="00410C41" w:rsidRPr="00C9343F" w:rsidRDefault="00410C41" w:rsidP="00F66D98">
            <w:pPr>
              <w:pStyle w:val="TableTextArial-left"/>
            </w:pPr>
            <w:r w:rsidRPr="00C9343F">
              <w:rPr>
                <w:b/>
                <w:i/>
              </w:rPr>
              <w:t>New South Wales</w:t>
            </w:r>
          </w:p>
        </w:tc>
      </w:tr>
      <w:tr w:rsidR="00410C41" w:rsidRPr="00C9343F" w14:paraId="509385BF" w14:textId="77777777" w:rsidTr="005E243D">
        <w:trPr>
          <w:cantSplit/>
        </w:trPr>
        <w:tc>
          <w:tcPr>
            <w:tcW w:w="3827" w:type="dxa"/>
            <w:tcBorders>
              <w:top w:val="nil"/>
            </w:tcBorders>
          </w:tcPr>
          <w:p w14:paraId="2E1D3E99" w14:textId="77777777" w:rsidR="00410C41" w:rsidRPr="00C9343F" w:rsidRDefault="00410C41" w:rsidP="00F66D98">
            <w:pPr>
              <w:pStyle w:val="TableTextArial-left"/>
            </w:pPr>
            <w:r w:rsidRPr="00C9343F">
              <w:t>Bogan Gate</w:t>
            </w:r>
          </w:p>
        </w:tc>
        <w:tc>
          <w:tcPr>
            <w:tcW w:w="2835" w:type="dxa"/>
            <w:tcBorders>
              <w:top w:val="nil"/>
            </w:tcBorders>
          </w:tcPr>
          <w:p w14:paraId="32F73406" w14:textId="77777777" w:rsidR="00410C41" w:rsidRPr="00C9343F" w:rsidRDefault="00410C41" w:rsidP="00F66D98">
            <w:pPr>
              <w:pStyle w:val="TableTextArial-left"/>
              <w:jc w:val="center"/>
            </w:pPr>
            <w:r w:rsidRPr="00C9343F">
              <w:t>2</w:t>
            </w:r>
          </w:p>
        </w:tc>
      </w:tr>
      <w:tr w:rsidR="00410C41" w:rsidRPr="00C9343F" w14:paraId="78E3C5C7" w14:textId="77777777" w:rsidTr="005E243D">
        <w:trPr>
          <w:cantSplit/>
        </w:trPr>
        <w:tc>
          <w:tcPr>
            <w:tcW w:w="3827" w:type="dxa"/>
            <w:tcBorders>
              <w:bottom w:val="nil"/>
            </w:tcBorders>
          </w:tcPr>
          <w:p w14:paraId="467ED9BC" w14:textId="77777777" w:rsidR="00410C41" w:rsidRPr="00C9343F" w:rsidRDefault="00410C41" w:rsidP="00F66D98">
            <w:pPr>
              <w:pStyle w:val="TableTextArial-left"/>
            </w:pPr>
            <w:r w:rsidRPr="00C9343F">
              <w:t>Broken Hill</w:t>
            </w:r>
          </w:p>
        </w:tc>
        <w:tc>
          <w:tcPr>
            <w:tcW w:w="2835" w:type="dxa"/>
            <w:tcBorders>
              <w:bottom w:val="nil"/>
            </w:tcBorders>
          </w:tcPr>
          <w:p w14:paraId="0B73E9FA" w14:textId="77777777" w:rsidR="00410C41" w:rsidRPr="00C9343F" w:rsidRDefault="00410C41" w:rsidP="00F66D98">
            <w:pPr>
              <w:pStyle w:val="TableTextArial-left"/>
              <w:jc w:val="center"/>
            </w:pPr>
            <w:r w:rsidRPr="00C9343F">
              <w:t>2</w:t>
            </w:r>
          </w:p>
        </w:tc>
      </w:tr>
      <w:tr w:rsidR="00410C41" w:rsidRPr="00C9343F" w14:paraId="6182E381" w14:textId="77777777" w:rsidTr="005E243D">
        <w:trPr>
          <w:cantSplit/>
        </w:trPr>
        <w:tc>
          <w:tcPr>
            <w:tcW w:w="6662" w:type="dxa"/>
            <w:gridSpan w:val="2"/>
            <w:tcBorders>
              <w:top w:val="single" w:sz="6" w:space="0" w:color="auto"/>
              <w:bottom w:val="single" w:sz="6" w:space="0" w:color="auto"/>
            </w:tcBorders>
            <w:shd w:val="pct15" w:color="000000" w:fill="FFFFFF"/>
          </w:tcPr>
          <w:p w14:paraId="552758B4" w14:textId="77777777" w:rsidR="00410C41" w:rsidRPr="00C9343F" w:rsidRDefault="00410C41" w:rsidP="00F66D98">
            <w:pPr>
              <w:pStyle w:val="TableTextArial-left"/>
            </w:pPr>
            <w:r w:rsidRPr="00C9343F">
              <w:rPr>
                <w:b/>
                <w:i/>
              </w:rPr>
              <w:t>Northern Territory</w:t>
            </w:r>
          </w:p>
        </w:tc>
      </w:tr>
      <w:tr w:rsidR="00410C41" w:rsidRPr="00C9343F" w14:paraId="5EB7CD86" w14:textId="77777777" w:rsidTr="005E243D">
        <w:trPr>
          <w:cantSplit/>
        </w:trPr>
        <w:tc>
          <w:tcPr>
            <w:tcW w:w="3827" w:type="dxa"/>
            <w:tcBorders>
              <w:top w:val="nil"/>
            </w:tcBorders>
          </w:tcPr>
          <w:p w14:paraId="755EBE33" w14:textId="77777777" w:rsidR="00410C41" w:rsidRPr="00C9343F" w:rsidRDefault="00410C41" w:rsidP="00F66D98">
            <w:pPr>
              <w:pStyle w:val="TableTextArial-left"/>
            </w:pPr>
            <w:r w:rsidRPr="00C9343F">
              <w:t>Alice Springs (including Jindalee)</w:t>
            </w:r>
          </w:p>
        </w:tc>
        <w:tc>
          <w:tcPr>
            <w:tcW w:w="2835" w:type="dxa"/>
            <w:tcBorders>
              <w:top w:val="nil"/>
            </w:tcBorders>
          </w:tcPr>
          <w:p w14:paraId="4EB3B1C6" w14:textId="77777777" w:rsidR="00410C41" w:rsidRPr="00C9343F" w:rsidRDefault="00410C41" w:rsidP="00F66D98">
            <w:pPr>
              <w:pStyle w:val="TableTextArial-left"/>
              <w:jc w:val="center"/>
            </w:pPr>
            <w:r w:rsidRPr="00C9343F">
              <w:t>3</w:t>
            </w:r>
          </w:p>
        </w:tc>
      </w:tr>
      <w:tr w:rsidR="00410C41" w:rsidRPr="00C9343F" w14:paraId="59EF5341" w14:textId="77777777" w:rsidTr="005E243D">
        <w:trPr>
          <w:cantSplit/>
        </w:trPr>
        <w:tc>
          <w:tcPr>
            <w:tcW w:w="3827" w:type="dxa"/>
          </w:tcPr>
          <w:p w14:paraId="4C546A4A" w14:textId="77777777" w:rsidR="00410C41" w:rsidRPr="00C9343F" w:rsidRDefault="00410C41" w:rsidP="00F66D98">
            <w:pPr>
              <w:pStyle w:val="TableTextArial-left"/>
            </w:pPr>
            <w:r w:rsidRPr="00C9343F">
              <w:t>Darwin</w:t>
            </w:r>
          </w:p>
        </w:tc>
        <w:tc>
          <w:tcPr>
            <w:tcW w:w="2835" w:type="dxa"/>
          </w:tcPr>
          <w:p w14:paraId="5D7E8634" w14:textId="77777777" w:rsidR="00410C41" w:rsidRPr="00C9343F" w:rsidRDefault="00410C41" w:rsidP="00F66D98">
            <w:pPr>
              <w:pStyle w:val="TableTextArial-left"/>
              <w:jc w:val="center"/>
            </w:pPr>
            <w:r w:rsidRPr="00C9343F">
              <w:t>3</w:t>
            </w:r>
          </w:p>
        </w:tc>
      </w:tr>
      <w:tr w:rsidR="00410C41" w:rsidRPr="00C9343F" w14:paraId="1BB322AD" w14:textId="77777777" w:rsidTr="005E243D">
        <w:trPr>
          <w:cantSplit/>
        </w:trPr>
        <w:tc>
          <w:tcPr>
            <w:tcW w:w="3827" w:type="dxa"/>
          </w:tcPr>
          <w:p w14:paraId="4D59C0B3" w14:textId="77777777" w:rsidR="00410C41" w:rsidRPr="00C9343F" w:rsidRDefault="00410C41" w:rsidP="00F66D98">
            <w:pPr>
              <w:pStyle w:val="TableTextArial-left"/>
            </w:pPr>
            <w:r w:rsidRPr="00C9343F">
              <w:t>Jabiru (including Nourlangie, Jim Jim, Cannon Hill and East Alligator)</w:t>
            </w:r>
          </w:p>
        </w:tc>
        <w:tc>
          <w:tcPr>
            <w:tcW w:w="2835" w:type="dxa"/>
          </w:tcPr>
          <w:p w14:paraId="074275F0" w14:textId="77777777" w:rsidR="00410C41" w:rsidRPr="00C9343F" w:rsidRDefault="00410C41" w:rsidP="00F66D98">
            <w:pPr>
              <w:pStyle w:val="TableTextArial-left"/>
              <w:jc w:val="center"/>
            </w:pPr>
            <w:r w:rsidRPr="00C9343F">
              <w:t>5</w:t>
            </w:r>
          </w:p>
        </w:tc>
      </w:tr>
      <w:tr w:rsidR="00410C41" w:rsidRPr="00C9343F" w14:paraId="44224D97" w14:textId="77777777" w:rsidTr="005E243D">
        <w:trPr>
          <w:cantSplit/>
        </w:trPr>
        <w:tc>
          <w:tcPr>
            <w:tcW w:w="3827" w:type="dxa"/>
          </w:tcPr>
          <w:p w14:paraId="4245F9F3" w14:textId="77777777" w:rsidR="00410C41" w:rsidRPr="00C9343F" w:rsidRDefault="00410C41" w:rsidP="00F66D98">
            <w:pPr>
              <w:pStyle w:val="TableTextArial-left"/>
            </w:pPr>
            <w:r w:rsidRPr="00C9343F">
              <w:t>Katherine</w:t>
            </w:r>
          </w:p>
        </w:tc>
        <w:tc>
          <w:tcPr>
            <w:tcW w:w="2835" w:type="dxa"/>
          </w:tcPr>
          <w:p w14:paraId="1192B479" w14:textId="77777777" w:rsidR="00410C41" w:rsidRPr="00C9343F" w:rsidRDefault="00410C41" w:rsidP="00F66D98">
            <w:pPr>
              <w:pStyle w:val="TableTextArial-left"/>
              <w:jc w:val="center"/>
            </w:pPr>
            <w:r w:rsidRPr="00C9343F">
              <w:t>5</w:t>
            </w:r>
          </w:p>
        </w:tc>
      </w:tr>
      <w:tr w:rsidR="00410C41" w:rsidRPr="00C9343F" w14:paraId="69645976" w14:textId="77777777" w:rsidTr="005E243D">
        <w:trPr>
          <w:cantSplit/>
        </w:trPr>
        <w:tc>
          <w:tcPr>
            <w:tcW w:w="3827" w:type="dxa"/>
          </w:tcPr>
          <w:p w14:paraId="73076634" w14:textId="77777777" w:rsidR="00410C41" w:rsidRPr="00C9343F" w:rsidRDefault="00410C41" w:rsidP="00F66D98">
            <w:pPr>
              <w:pStyle w:val="TableTextArial-left"/>
            </w:pPr>
            <w:r w:rsidRPr="00C9343F">
              <w:t>Nhulunbuy</w:t>
            </w:r>
          </w:p>
        </w:tc>
        <w:tc>
          <w:tcPr>
            <w:tcW w:w="2835" w:type="dxa"/>
          </w:tcPr>
          <w:p w14:paraId="7DE8DC9C" w14:textId="77777777" w:rsidR="00410C41" w:rsidRPr="00C9343F" w:rsidRDefault="00410C41" w:rsidP="00F66D98">
            <w:pPr>
              <w:pStyle w:val="TableTextArial-left"/>
              <w:jc w:val="center"/>
            </w:pPr>
            <w:r w:rsidRPr="00C9343F">
              <w:t>5</w:t>
            </w:r>
          </w:p>
        </w:tc>
      </w:tr>
      <w:tr w:rsidR="00410C41" w:rsidRPr="00C9343F" w14:paraId="362CC7EE" w14:textId="77777777" w:rsidTr="005E243D">
        <w:trPr>
          <w:cantSplit/>
        </w:trPr>
        <w:tc>
          <w:tcPr>
            <w:tcW w:w="3827" w:type="dxa"/>
          </w:tcPr>
          <w:p w14:paraId="49C8E965" w14:textId="77777777" w:rsidR="00410C41" w:rsidRPr="00C9343F" w:rsidRDefault="00410C41" w:rsidP="00F66D98">
            <w:pPr>
              <w:pStyle w:val="TableTextArial-left"/>
            </w:pPr>
            <w:r w:rsidRPr="00C9343F">
              <w:t>Tennant Creek</w:t>
            </w:r>
          </w:p>
        </w:tc>
        <w:tc>
          <w:tcPr>
            <w:tcW w:w="2835" w:type="dxa"/>
          </w:tcPr>
          <w:p w14:paraId="3BAEA640" w14:textId="77777777" w:rsidR="00410C41" w:rsidRPr="00C9343F" w:rsidRDefault="00410C41" w:rsidP="00F66D98">
            <w:pPr>
              <w:pStyle w:val="TableTextArial-left"/>
              <w:jc w:val="center"/>
            </w:pPr>
            <w:r w:rsidRPr="00C9343F">
              <w:t>5</w:t>
            </w:r>
          </w:p>
        </w:tc>
      </w:tr>
      <w:tr w:rsidR="00410C41" w:rsidRPr="00C9343F" w14:paraId="7378E70C" w14:textId="77777777" w:rsidTr="005E243D">
        <w:trPr>
          <w:cantSplit/>
        </w:trPr>
        <w:tc>
          <w:tcPr>
            <w:tcW w:w="3827" w:type="dxa"/>
            <w:tcBorders>
              <w:bottom w:val="nil"/>
            </w:tcBorders>
          </w:tcPr>
          <w:p w14:paraId="6EFED7C4" w14:textId="77777777" w:rsidR="00410C41" w:rsidRPr="00C9343F" w:rsidRDefault="00410C41" w:rsidP="00F66D98">
            <w:pPr>
              <w:pStyle w:val="TableTextArial-left"/>
            </w:pPr>
            <w:r w:rsidRPr="00C9343F">
              <w:t>Tindal</w:t>
            </w:r>
          </w:p>
        </w:tc>
        <w:tc>
          <w:tcPr>
            <w:tcW w:w="2835" w:type="dxa"/>
            <w:tcBorders>
              <w:bottom w:val="nil"/>
            </w:tcBorders>
          </w:tcPr>
          <w:p w14:paraId="41A86008" w14:textId="77777777" w:rsidR="00410C41" w:rsidRPr="00C9343F" w:rsidRDefault="00410C41" w:rsidP="00F66D98">
            <w:pPr>
              <w:pStyle w:val="TableTextArial-left"/>
              <w:jc w:val="center"/>
            </w:pPr>
            <w:r w:rsidRPr="00C9343F">
              <w:t>5</w:t>
            </w:r>
          </w:p>
        </w:tc>
      </w:tr>
      <w:tr w:rsidR="00410C41" w:rsidRPr="00C9343F" w14:paraId="6729024C" w14:textId="77777777" w:rsidTr="005E243D">
        <w:trPr>
          <w:cantSplit/>
        </w:trPr>
        <w:tc>
          <w:tcPr>
            <w:tcW w:w="6662" w:type="dxa"/>
            <w:gridSpan w:val="2"/>
            <w:tcBorders>
              <w:top w:val="single" w:sz="6" w:space="0" w:color="auto"/>
              <w:bottom w:val="single" w:sz="6" w:space="0" w:color="auto"/>
            </w:tcBorders>
            <w:shd w:val="pct15" w:color="000000" w:fill="FFFFFF"/>
          </w:tcPr>
          <w:p w14:paraId="0044B6E4" w14:textId="77777777" w:rsidR="00410C41" w:rsidRPr="00C9343F" w:rsidRDefault="00410C41" w:rsidP="00F66D98">
            <w:pPr>
              <w:pStyle w:val="TableTextArial-left"/>
            </w:pPr>
            <w:r w:rsidRPr="00C9343F">
              <w:rPr>
                <w:b/>
                <w:i/>
              </w:rPr>
              <w:t>Queensland</w:t>
            </w:r>
          </w:p>
        </w:tc>
      </w:tr>
      <w:tr w:rsidR="00410C41" w:rsidRPr="00C9343F" w14:paraId="05621085" w14:textId="77777777" w:rsidTr="005E243D">
        <w:trPr>
          <w:cantSplit/>
        </w:trPr>
        <w:tc>
          <w:tcPr>
            <w:tcW w:w="3827" w:type="dxa"/>
            <w:tcBorders>
              <w:top w:val="nil"/>
            </w:tcBorders>
          </w:tcPr>
          <w:p w14:paraId="2B4A03AA" w14:textId="77777777" w:rsidR="00410C41" w:rsidRPr="00C9343F" w:rsidRDefault="00410C41" w:rsidP="00F66D98">
            <w:pPr>
              <w:pStyle w:val="TableTextArial-left"/>
            </w:pPr>
            <w:r w:rsidRPr="00C9343F">
              <w:t>Atherton</w:t>
            </w:r>
          </w:p>
        </w:tc>
        <w:tc>
          <w:tcPr>
            <w:tcW w:w="2835" w:type="dxa"/>
            <w:tcBorders>
              <w:top w:val="nil"/>
            </w:tcBorders>
          </w:tcPr>
          <w:p w14:paraId="517B61C1" w14:textId="77777777" w:rsidR="00410C41" w:rsidRPr="00C9343F" w:rsidRDefault="00410C41" w:rsidP="00F66D98">
            <w:pPr>
              <w:pStyle w:val="TableTextArial-left"/>
              <w:jc w:val="center"/>
            </w:pPr>
            <w:r w:rsidRPr="00C9343F">
              <w:t>2</w:t>
            </w:r>
          </w:p>
        </w:tc>
      </w:tr>
      <w:tr w:rsidR="00410C41" w:rsidRPr="00C9343F" w14:paraId="37769F11" w14:textId="77777777" w:rsidTr="005E243D">
        <w:trPr>
          <w:cantSplit/>
        </w:trPr>
        <w:tc>
          <w:tcPr>
            <w:tcW w:w="3827" w:type="dxa"/>
          </w:tcPr>
          <w:p w14:paraId="1E2064E8" w14:textId="77777777" w:rsidR="00410C41" w:rsidRPr="00C9343F" w:rsidRDefault="00410C41" w:rsidP="00F66D98">
            <w:pPr>
              <w:pStyle w:val="TableTextArial-left"/>
            </w:pPr>
            <w:r w:rsidRPr="00C9343F">
              <w:t>Ayr</w:t>
            </w:r>
          </w:p>
        </w:tc>
        <w:tc>
          <w:tcPr>
            <w:tcW w:w="2835" w:type="dxa"/>
          </w:tcPr>
          <w:p w14:paraId="5BCBE0A9" w14:textId="77777777" w:rsidR="00410C41" w:rsidRPr="00C9343F" w:rsidRDefault="00410C41" w:rsidP="00F66D98">
            <w:pPr>
              <w:pStyle w:val="TableTextArial-left"/>
              <w:jc w:val="center"/>
            </w:pPr>
            <w:r w:rsidRPr="00C9343F">
              <w:t>2</w:t>
            </w:r>
          </w:p>
        </w:tc>
      </w:tr>
      <w:tr w:rsidR="00410C41" w:rsidRPr="00C9343F" w14:paraId="533B6E08" w14:textId="77777777" w:rsidTr="005E243D">
        <w:trPr>
          <w:cantSplit/>
        </w:trPr>
        <w:tc>
          <w:tcPr>
            <w:tcW w:w="3827" w:type="dxa"/>
          </w:tcPr>
          <w:p w14:paraId="5CC129B0" w14:textId="77777777" w:rsidR="00410C41" w:rsidRPr="00C9343F" w:rsidRDefault="00410C41" w:rsidP="00F66D98">
            <w:pPr>
              <w:pStyle w:val="TableTextArial-left"/>
            </w:pPr>
            <w:r w:rsidRPr="00C9343F">
              <w:t xml:space="preserve">Bamaga </w:t>
            </w:r>
          </w:p>
        </w:tc>
        <w:tc>
          <w:tcPr>
            <w:tcW w:w="2835" w:type="dxa"/>
          </w:tcPr>
          <w:p w14:paraId="79692EF5" w14:textId="77777777" w:rsidR="00410C41" w:rsidRPr="00C9343F" w:rsidRDefault="00410C41" w:rsidP="00F66D98">
            <w:pPr>
              <w:pStyle w:val="TableTextArial-left"/>
              <w:jc w:val="center"/>
            </w:pPr>
            <w:r w:rsidRPr="00C9343F">
              <w:t>5</w:t>
            </w:r>
          </w:p>
        </w:tc>
      </w:tr>
      <w:tr w:rsidR="00410C41" w:rsidRPr="00C9343F" w14:paraId="632B0BA5" w14:textId="77777777" w:rsidTr="005E243D">
        <w:trPr>
          <w:cantSplit/>
        </w:trPr>
        <w:tc>
          <w:tcPr>
            <w:tcW w:w="3827" w:type="dxa"/>
          </w:tcPr>
          <w:p w14:paraId="29F8FAA8" w14:textId="77777777" w:rsidR="00410C41" w:rsidRPr="00C9343F" w:rsidRDefault="00410C41" w:rsidP="00F66D98">
            <w:pPr>
              <w:pStyle w:val="TableTextArial-left"/>
            </w:pPr>
            <w:r w:rsidRPr="00C9343F">
              <w:t>Bowen</w:t>
            </w:r>
          </w:p>
        </w:tc>
        <w:tc>
          <w:tcPr>
            <w:tcW w:w="2835" w:type="dxa"/>
          </w:tcPr>
          <w:p w14:paraId="4FB4B906" w14:textId="77777777" w:rsidR="00410C41" w:rsidRPr="00C9343F" w:rsidRDefault="00410C41" w:rsidP="00F66D98">
            <w:pPr>
              <w:pStyle w:val="TableTextArial-left"/>
              <w:jc w:val="center"/>
            </w:pPr>
            <w:r w:rsidRPr="00C9343F">
              <w:t>2</w:t>
            </w:r>
          </w:p>
        </w:tc>
      </w:tr>
      <w:tr w:rsidR="00410C41" w:rsidRPr="00C9343F" w14:paraId="689589EE" w14:textId="77777777" w:rsidTr="005E243D">
        <w:trPr>
          <w:cantSplit/>
        </w:trPr>
        <w:tc>
          <w:tcPr>
            <w:tcW w:w="3827" w:type="dxa"/>
          </w:tcPr>
          <w:p w14:paraId="056AAB70" w14:textId="77777777" w:rsidR="00410C41" w:rsidRPr="00C9343F" w:rsidRDefault="00410C41" w:rsidP="00F66D98">
            <w:pPr>
              <w:pStyle w:val="TableTextArial-left"/>
            </w:pPr>
            <w:r w:rsidRPr="00C9343F">
              <w:t>Cairns</w:t>
            </w:r>
          </w:p>
        </w:tc>
        <w:tc>
          <w:tcPr>
            <w:tcW w:w="2835" w:type="dxa"/>
          </w:tcPr>
          <w:p w14:paraId="683F89C7" w14:textId="77777777" w:rsidR="00410C41" w:rsidRPr="00C9343F" w:rsidRDefault="00410C41" w:rsidP="00F66D98">
            <w:pPr>
              <w:pStyle w:val="TableTextArial-left"/>
              <w:jc w:val="center"/>
            </w:pPr>
            <w:r w:rsidRPr="00C9343F">
              <w:t>2</w:t>
            </w:r>
          </w:p>
        </w:tc>
      </w:tr>
      <w:tr w:rsidR="00410C41" w:rsidRPr="00C9343F" w14:paraId="3C2CB461" w14:textId="77777777" w:rsidTr="005E243D">
        <w:trPr>
          <w:cantSplit/>
        </w:trPr>
        <w:tc>
          <w:tcPr>
            <w:tcW w:w="3827" w:type="dxa"/>
          </w:tcPr>
          <w:p w14:paraId="4BD96C37" w14:textId="77777777" w:rsidR="00410C41" w:rsidRPr="00C9343F" w:rsidRDefault="00410C41" w:rsidP="00F66D98">
            <w:pPr>
              <w:pStyle w:val="TableTextArial-left"/>
            </w:pPr>
            <w:r w:rsidRPr="00C9343F">
              <w:t>Charters Towers</w:t>
            </w:r>
          </w:p>
        </w:tc>
        <w:tc>
          <w:tcPr>
            <w:tcW w:w="2835" w:type="dxa"/>
          </w:tcPr>
          <w:p w14:paraId="6F196460" w14:textId="77777777" w:rsidR="00410C41" w:rsidRPr="00C9343F" w:rsidRDefault="00410C41" w:rsidP="00F66D98">
            <w:pPr>
              <w:pStyle w:val="TableTextArial-left"/>
              <w:jc w:val="center"/>
            </w:pPr>
            <w:r w:rsidRPr="00C9343F">
              <w:t>2</w:t>
            </w:r>
          </w:p>
        </w:tc>
      </w:tr>
      <w:tr w:rsidR="00410C41" w:rsidRPr="00C9343F" w14:paraId="3F1B9195" w14:textId="77777777" w:rsidTr="005E243D">
        <w:trPr>
          <w:cantSplit/>
        </w:trPr>
        <w:tc>
          <w:tcPr>
            <w:tcW w:w="3827" w:type="dxa"/>
          </w:tcPr>
          <w:p w14:paraId="1A10D0AC" w14:textId="77777777" w:rsidR="00410C41" w:rsidRPr="00C9343F" w:rsidRDefault="00410C41" w:rsidP="00F66D98">
            <w:pPr>
              <w:pStyle w:val="TableTextArial-left"/>
            </w:pPr>
            <w:r w:rsidRPr="00C9343F">
              <w:t>Ingham</w:t>
            </w:r>
          </w:p>
        </w:tc>
        <w:tc>
          <w:tcPr>
            <w:tcW w:w="2835" w:type="dxa"/>
          </w:tcPr>
          <w:p w14:paraId="12220B63" w14:textId="77777777" w:rsidR="00410C41" w:rsidRPr="00C9343F" w:rsidRDefault="00410C41" w:rsidP="00F66D98">
            <w:pPr>
              <w:pStyle w:val="TableTextArial-left"/>
              <w:jc w:val="center"/>
            </w:pPr>
            <w:r w:rsidRPr="00C9343F">
              <w:t>2</w:t>
            </w:r>
          </w:p>
        </w:tc>
      </w:tr>
      <w:tr w:rsidR="00410C41" w:rsidRPr="00C9343F" w14:paraId="67D0668B" w14:textId="77777777" w:rsidTr="005E243D">
        <w:trPr>
          <w:cantSplit/>
        </w:trPr>
        <w:tc>
          <w:tcPr>
            <w:tcW w:w="3827" w:type="dxa"/>
          </w:tcPr>
          <w:p w14:paraId="1FACD8F2" w14:textId="77777777" w:rsidR="00410C41" w:rsidRPr="00C9343F" w:rsidRDefault="00410C41" w:rsidP="00F66D98">
            <w:pPr>
              <w:pStyle w:val="TableTextArial-left"/>
            </w:pPr>
            <w:r w:rsidRPr="00C9343F">
              <w:t>Innisfail</w:t>
            </w:r>
          </w:p>
        </w:tc>
        <w:tc>
          <w:tcPr>
            <w:tcW w:w="2835" w:type="dxa"/>
          </w:tcPr>
          <w:p w14:paraId="450B9142" w14:textId="77777777" w:rsidR="00410C41" w:rsidRPr="00C9343F" w:rsidRDefault="00410C41" w:rsidP="00F66D98">
            <w:pPr>
              <w:pStyle w:val="TableTextArial-left"/>
              <w:jc w:val="center"/>
            </w:pPr>
            <w:r w:rsidRPr="00C9343F">
              <w:t>2</w:t>
            </w:r>
          </w:p>
        </w:tc>
      </w:tr>
      <w:tr w:rsidR="00410C41" w:rsidRPr="00C9343F" w14:paraId="4AF7BE20" w14:textId="77777777" w:rsidTr="005E243D">
        <w:trPr>
          <w:cantSplit/>
        </w:trPr>
        <w:tc>
          <w:tcPr>
            <w:tcW w:w="3827" w:type="dxa"/>
          </w:tcPr>
          <w:p w14:paraId="40FACCF8" w14:textId="77777777" w:rsidR="00410C41" w:rsidRPr="00C9343F" w:rsidRDefault="00410C41" w:rsidP="00F66D98">
            <w:pPr>
              <w:pStyle w:val="TableTextArial-left"/>
            </w:pPr>
            <w:r w:rsidRPr="00C9343F">
              <w:t>Macrossan</w:t>
            </w:r>
          </w:p>
        </w:tc>
        <w:tc>
          <w:tcPr>
            <w:tcW w:w="2835" w:type="dxa"/>
          </w:tcPr>
          <w:p w14:paraId="70962433" w14:textId="77777777" w:rsidR="00410C41" w:rsidRPr="00C9343F" w:rsidRDefault="00410C41" w:rsidP="00F66D98">
            <w:pPr>
              <w:pStyle w:val="TableTextArial-left"/>
              <w:jc w:val="center"/>
            </w:pPr>
            <w:r w:rsidRPr="00C9343F">
              <w:t>2</w:t>
            </w:r>
          </w:p>
        </w:tc>
      </w:tr>
      <w:tr w:rsidR="00410C41" w:rsidRPr="00C9343F" w14:paraId="3733E7BE" w14:textId="77777777" w:rsidTr="005E243D">
        <w:trPr>
          <w:cantSplit/>
        </w:trPr>
        <w:tc>
          <w:tcPr>
            <w:tcW w:w="3827" w:type="dxa"/>
          </w:tcPr>
          <w:p w14:paraId="1D45A65F" w14:textId="77777777" w:rsidR="00410C41" w:rsidRPr="00C9343F" w:rsidRDefault="00410C41" w:rsidP="00F66D98">
            <w:pPr>
              <w:pStyle w:val="TableTextArial-left"/>
            </w:pPr>
            <w:r w:rsidRPr="00C9343F">
              <w:t>Mount Isa</w:t>
            </w:r>
          </w:p>
        </w:tc>
        <w:tc>
          <w:tcPr>
            <w:tcW w:w="2835" w:type="dxa"/>
          </w:tcPr>
          <w:p w14:paraId="140C4EB3" w14:textId="77777777" w:rsidR="00410C41" w:rsidRPr="00C9343F" w:rsidRDefault="00410C41" w:rsidP="00F66D98">
            <w:pPr>
              <w:pStyle w:val="TableTextArial-left"/>
              <w:jc w:val="center"/>
            </w:pPr>
            <w:r w:rsidRPr="00C9343F">
              <w:t>3</w:t>
            </w:r>
          </w:p>
        </w:tc>
      </w:tr>
      <w:tr w:rsidR="00410C41" w:rsidRPr="00C9343F" w14:paraId="277F5089" w14:textId="77777777" w:rsidTr="005E243D">
        <w:trPr>
          <w:cantSplit/>
        </w:trPr>
        <w:tc>
          <w:tcPr>
            <w:tcW w:w="3827" w:type="dxa"/>
          </w:tcPr>
          <w:p w14:paraId="5D4E3F23" w14:textId="77777777" w:rsidR="00410C41" w:rsidRPr="00C9343F" w:rsidRDefault="00410C41" w:rsidP="00F66D98">
            <w:pPr>
              <w:pStyle w:val="TableTextArial-left"/>
            </w:pPr>
            <w:r w:rsidRPr="00C9343F">
              <w:t>Palm Island</w:t>
            </w:r>
          </w:p>
        </w:tc>
        <w:tc>
          <w:tcPr>
            <w:tcW w:w="2835" w:type="dxa"/>
          </w:tcPr>
          <w:p w14:paraId="1DD8F6C3" w14:textId="77777777" w:rsidR="00410C41" w:rsidRPr="00C9343F" w:rsidRDefault="00410C41" w:rsidP="00F66D98">
            <w:pPr>
              <w:pStyle w:val="TableTextArial-left"/>
              <w:jc w:val="center"/>
            </w:pPr>
            <w:r w:rsidRPr="00C9343F">
              <w:t>5</w:t>
            </w:r>
          </w:p>
        </w:tc>
      </w:tr>
      <w:tr w:rsidR="00410C41" w:rsidRPr="00C9343F" w14:paraId="2C39F803" w14:textId="77777777" w:rsidTr="005E243D">
        <w:trPr>
          <w:cantSplit/>
        </w:trPr>
        <w:tc>
          <w:tcPr>
            <w:tcW w:w="3827" w:type="dxa"/>
          </w:tcPr>
          <w:p w14:paraId="5A416C5D" w14:textId="77777777" w:rsidR="00410C41" w:rsidRPr="00C9343F" w:rsidRDefault="00410C41" w:rsidP="00F66D98">
            <w:pPr>
              <w:pStyle w:val="TableTextArial-left"/>
            </w:pPr>
            <w:r w:rsidRPr="00C9343F">
              <w:t>RAAF Scherger</w:t>
            </w:r>
          </w:p>
        </w:tc>
        <w:tc>
          <w:tcPr>
            <w:tcW w:w="2835" w:type="dxa"/>
          </w:tcPr>
          <w:p w14:paraId="1AE70866" w14:textId="77777777" w:rsidR="00410C41" w:rsidRPr="00C9343F" w:rsidRDefault="00410C41" w:rsidP="00F66D98">
            <w:pPr>
              <w:pStyle w:val="TableTextArial-left"/>
              <w:jc w:val="center"/>
            </w:pPr>
            <w:r w:rsidRPr="00C9343F">
              <w:t>5</w:t>
            </w:r>
          </w:p>
        </w:tc>
      </w:tr>
      <w:tr w:rsidR="00410C41" w:rsidRPr="00C9343F" w14:paraId="037266FB" w14:textId="77777777" w:rsidTr="005E243D">
        <w:trPr>
          <w:cantSplit/>
        </w:trPr>
        <w:tc>
          <w:tcPr>
            <w:tcW w:w="3827" w:type="dxa"/>
          </w:tcPr>
          <w:p w14:paraId="46EC6574" w14:textId="77777777" w:rsidR="00410C41" w:rsidRPr="00C9343F" w:rsidRDefault="00410C41" w:rsidP="00F66D98">
            <w:pPr>
              <w:pStyle w:val="TableTextArial-left"/>
            </w:pPr>
            <w:r w:rsidRPr="00C9343F">
              <w:t>Roma</w:t>
            </w:r>
          </w:p>
        </w:tc>
        <w:tc>
          <w:tcPr>
            <w:tcW w:w="2835" w:type="dxa"/>
          </w:tcPr>
          <w:p w14:paraId="75FCEF39" w14:textId="77777777" w:rsidR="00410C41" w:rsidRPr="00C9343F" w:rsidRDefault="00410C41" w:rsidP="00F66D98">
            <w:pPr>
              <w:pStyle w:val="TableTextArial-left"/>
              <w:jc w:val="center"/>
            </w:pPr>
            <w:r w:rsidRPr="00C9343F">
              <w:t>2</w:t>
            </w:r>
          </w:p>
        </w:tc>
      </w:tr>
      <w:tr w:rsidR="00410C41" w:rsidRPr="00C9343F" w14:paraId="22E401B0" w14:textId="77777777" w:rsidTr="005E243D">
        <w:trPr>
          <w:cantSplit/>
        </w:trPr>
        <w:tc>
          <w:tcPr>
            <w:tcW w:w="3827" w:type="dxa"/>
          </w:tcPr>
          <w:p w14:paraId="56E555AB" w14:textId="77777777" w:rsidR="00410C41" w:rsidRPr="00C9343F" w:rsidRDefault="00410C41" w:rsidP="00F66D98">
            <w:pPr>
              <w:pStyle w:val="TableTextArial-left"/>
            </w:pPr>
            <w:r w:rsidRPr="00C9343F">
              <w:t>Shoalwater Bay Training Area</w:t>
            </w:r>
          </w:p>
        </w:tc>
        <w:tc>
          <w:tcPr>
            <w:tcW w:w="2835" w:type="dxa"/>
          </w:tcPr>
          <w:p w14:paraId="37145A96" w14:textId="77777777" w:rsidR="00410C41" w:rsidRPr="00C9343F" w:rsidRDefault="00410C41" w:rsidP="00F66D98">
            <w:pPr>
              <w:pStyle w:val="TableTextArial-left"/>
              <w:jc w:val="center"/>
            </w:pPr>
            <w:r w:rsidRPr="00C9343F">
              <w:t>2</w:t>
            </w:r>
          </w:p>
        </w:tc>
      </w:tr>
      <w:tr w:rsidR="00410C41" w:rsidRPr="00C9343F" w14:paraId="112756B1" w14:textId="77777777" w:rsidTr="005E243D">
        <w:trPr>
          <w:cantSplit/>
        </w:trPr>
        <w:tc>
          <w:tcPr>
            <w:tcW w:w="3827" w:type="dxa"/>
          </w:tcPr>
          <w:p w14:paraId="20218492" w14:textId="77777777" w:rsidR="00410C41" w:rsidRPr="00C9343F" w:rsidRDefault="00410C41" w:rsidP="00F66D98">
            <w:pPr>
              <w:pStyle w:val="TableTextArial-left"/>
            </w:pPr>
            <w:r w:rsidRPr="00C9343F">
              <w:t>Thursday Island (including Horn Island)</w:t>
            </w:r>
          </w:p>
        </w:tc>
        <w:tc>
          <w:tcPr>
            <w:tcW w:w="2835" w:type="dxa"/>
          </w:tcPr>
          <w:p w14:paraId="40E7A164" w14:textId="77777777" w:rsidR="00410C41" w:rsidRPr="00C9343F" w:rsidRDefault="00410C41" w:rsidP="00F66D98">
            <w:pPr>
              <w:pStyle w:val="TableTextArial-left"/>
              <w:jc w:val="center"/>
            </w:pPr>
            <w:r w:rsidRPr="00C9343F">
              <w:t>5</w:t>
            </w:r>
          </w:p>
        </w:tc>
      </w:tr>
      <w:tr w:rsidR="00410C41" w:rsidRPr="00C9343F" w14:paraId="105F2CF9" w14:textId="77777777" w:rsidTr="005E243D">
        <w:trPr>
          <w:cantSplit/>
        </w:trPr>
        <w:tc>
          <w:tcPr>
            <w:tcW w:w="3827" w:type="dxa"/>
          </w:tcPr>
          <w:p w14:paraId="2D358437" w14:textId="77777777" w:rsidR="00410C41" w:rsidRPr="00C9343F" w:rsidRDefault="00410C41" w:rsidP="00F66D98">
            <w:pPr>
              <w:pStyle w:val="TableTextArial-left"/>
            </w:pPr>
            <w:r w:rsidRPr="00C9343F">
              <w:t>Townsville</w:t>
            </w:r>
          </w:p>
        </w:tc>
        <w:tc>
          <w:tcPr>
            <w:tcW w:w="2835" w:type="dxa"/>
          </w:tcPr>
          <w:p w14:paraId="791E097E" w14:textId="77777777" w:rsidR="00410C41" w:rsidRPr="00C9343F" w:rsidRDefault="00410C41" w:rsidP="00F66D98">
            <w:pPr>
              <w:pStyle w:val="TableTextArial-left"/>
              <w:jc w:val="center"/>
            </w:pPr>
            <w:r w:rsidRPr="00C9343F">
              <w:t>2</w:t>
            </w:r>
          </w:p>
        </w:tc>
      </w:tr>
      <w:tr w:rsidR="00410C41" w:rsidRPr="00C9343F" w14:paraId="4CA9C898" w14:textId="77777777" w:rsidTr="005E243D">
        <w:trPr>
          <w:cantSplit/>
        </w:trPr>
        <w:tc>
          <w:tcPr>
            <w:tcW w:w="3827" w:type="dxa"/>
          </w:tcPr>
          <w:p w14:paraId="2E4D0C39" w14:textId="77777777" w:rsidR="00410C41" w:rsidRPr="00C9343F" w:rsidRDefault="00410C41" w:rsidP="00F66D98">
            <w:pPr>
              <w:pStyle w:val="TableTextArial-left"/>
            </w:pPr>
            <w:r w:rsidRPr="00C9343F">
              <w:t>Tully</w:t>
            </w:r>
          </w:p>
        </w:tc>
        <w:tc>
          <w:tcPr>
            <w:tcW w:w="2835" w:type="dxa"/>
          </w:tcPr>
          <w:p w14:paraId="5CDAB049" w14:textId="77777777" w:rsidR="00410C41" w:rsidRPr="00C9343F" w:rsidRDefault="00410C41" w:rsidP="00F66D98">
            <w:pPr>
              <w:pStyle w:val="TableTextArial-left"/>
              <w:jc w:val="center"/>
            </w:pPr>
            <w:r w:rsidRPr="00C9343F">
              <w:t>2</w:t>
            </w:r>
          </w:p>
        </w:tc>
      </w:tr>
      <w:tr w:rsidR="00410C41" w:rsidRPr="00C9343F" w14:paraId="4B8D45EC" w14:textId="77777777" w:rsidTr="005E243D">
        <w:trPr>
          <w:cantSplit/>
        </w:trPr>
        <w:tc>
          <w:tcPr>
            <w:tcW w:w="3827" w:type="dxa"/>
            <w:tcBorders>
              <w:bottom w:val="single" w:sz="4" w:space="0" w:color="auto"/>
            </w:tcBorders>
          </w:tcPr>
          <w:p w14:paraId="28815486" w14:textId="77777777" w:rsidR="00410C41" w:rsidRPr="00C9343F" w:rsidRDefault="00410C41" w:rsidP="00F66D98">
            <w:pPr>
              <w:pStyle w:val="TableTextArial-left"/>
            </w:pPr>
            <w:r w:rsidRPr="00C9343F">
              <w:t xml:space="preserve">Weipa </w:t>
            </w:r>
          </w:p>
        </w:tc>
        <w:tc>
          <w:tcPr>
            <w:tcW w:w="2835" w:type="dxa"/>
            <w:tcBorders>
              <w:bottom w:val="single" w:sz="4" w:space="0" w:color="auto"/>
            </w:tcBorders>
          </w:tcPr>
          <w:p w14:paraId="04946257" w14:textId="77777777" w:rsidR="00410C41" w:rsidRPr="00C9343F" w:rsidRDefault="00410C41" w:rsidP="00F66D98">
            <w:pPr>
              <w:pStyle w:val="TableTextArial-left"/>
              <w:jc w:val="center"/>
            </w:pPr>
            <w:r w:rsidRPr="00C9343F">
              <w:t>5</w:t>
            </w:r>
          </w:p>
        </w:tc>
      </w:tr>
      <w:tr w:rsidR="00410C41" w:rsidRPr="00C9343F" w14:paraId="3DC6B467" w14:textId="77777777" w:rsidTr="005E243D">
        <w:trPr>
          <w:cantSplit/>
        </w:trPr>
        <w:tc>
          <w:tcPr>
            <w:tcW w:w="6662" w:type="dxa"/>
            <w:gridSpan w:val="2"/>
            <w:tcBorders>
              <w:top w:val="single" w:sz="4" w:space="0" w:color="auto"/>
              <w:bottom w:val="single" w:sz="4" w:space="0" w:color="auto"/>
            </w:tcBorders>
            <w:shd w:val="pct15" w:color="000000" w:fill="FFFFFF"/>
          </w:tcPr>
          <w:p w14:paraId="05C04FEC" w14:textId="77777777" w:rsidR="00410C41" w:rsidRPr="00C9343F" w:rsidRDefault="00410C41" w:rsidP="00F66D98">
            <w:pPr>
              <w:pStyle w:val="TableTextArial-left"/>
            </w:pPr>
            <w:r w:rsidRPr="00C9343F">
              <w:rPr>
                <w:b/>
                <w:i/>
              </w:rPr>
              <w:t>South Australia</w:t>
            </w:r>
          </w:p>
        </w:tc>
      </w:tr>
      <w:tr w:rsidR="00410C41" w:rsidRPr="00C9343F" w14:paraId="5CF525DF" w14:textId="77777777" w:rsidTr="005E243D">
        <w:trPr>
          <w:cantSplit/>
        </w:trPr>
        <w:tc>
          <w:tcPr>
            <w:tcW w:w="3827" w:type="dxa"/>
            <w:tcBorders>
              <w:top w:val="single" w:sz="4" w:space="0" w:color="auto"/>
              <w:bottom w:val="single" w:sz="4" w:space="0" w:color="auto"/>
            </w:tcBorders>
          </w:tcPr>
          <w:p w14:paraId="0B039895" w14:textId="77777777" w:rsidR="00410C41" w:rsidRPr="00C9343F" w:rsidRDefault="00410C41" w:rsidP="00F66D98">
            <w:pPr>
              <w:pStyle w:val="TableTextArial-left"/>
            </w:pPr>
            <w:r w:rsidRPr="00C9343F">
              <w:t>Woomera</w:t>
            </w:r>
          </w:p>
        </w:tc>
        <w:tc>
          <w:tcPr>
            <w:tcW w:w="2835" w:type="dxa"/>
            <w:tcBorders>
              <w:top w:val="single" w:sz="4" w:space="0" w:color="auto"/>
              <w:bottom w:val="single" w:sz="4" w:space="0" w:color="auto"/>
            </w:tcBorders>
          </w:tcPr>
          <w:p w14:paraId="24013258" w14:textId="77777777" w:rsidR="00410C41" w:rsidRPr="00C9343F" w:rsidRDefault="00410C41" w:rsidP="00F66D98">
            <w:pPr>
              <w:pStyle w:val="TableTextArial-left"/>
              <w:jc w:val="center"/>
            </w:pPr>
            <w:r w:rsidRPr="00C9343F">
              <w:t>5</w:t>
            </w:r>
          </w:p>
        </w:tc>
      </w:tr>
      <w:tr w:rsidR="00410C41" w:rsidRPr="00C9343F" w14:paraId="6CE21DBC" w14:textId="77777777" w:rsidTr="005E243D">
        <w:trPr>
          <w:cantSplit/>
        </w:trPr>
        <w:tc>
          <w:tcPr>
            <w:tcW w:w="6662" w:type="dxa"/>
            <w:gridSpan w:val="2"/>
            <w:tcBorders>
              <w:top w:val="single" w:sz="6" w:space="0" w:color="auto"/>
              <w:bottom w:val="single" w:sz="6" w:space="0" w:color="auto"/>
            </w:tcBorders>
            <w:shd w:val="pct15" w:color="000000" w:fill="FFFFFF"/>
          </w:tcPr>
          <w:p w14:paraId="43BAB5ED" w14:textId="77777777" w:rsidR="00410C41" w:rsidRPr="00C9343F" w:rsidRDefault="00410C41" w:rsidP="00F66D98">
            <w:pPr>
              <w:pStyle w:val="TableTextArial-left"/>
            </w:pPr>
            <w:r w:rsidRPr="00C9343F">
              <w:rPr>
                <w:b/>
                <w:i/>
              </w:rPr>
              <w:t>Western Australia</w:t>
            </w:r>
          </w:p>
        </w:tc>
      </w:tr>
      <w:tr w:rsidR="00410C41" w:rsidRPr="00C9343F" w14:paraId="29D412C9" w14:textId="77777777" w:rsidTr="005E243D">
        <w:trPr>
          <w:cantSplit/>
        </w:trPr>
        <w:tc>
          <w:tcPr>
            <w:tcW w:w="3827" w:type="dxa"/>
            <w:tcBorders>
              <w:top w:val="nil"/>
            </w:tcBorders>
          </w:tcPr>
          <w:p w14:paraId="399BB0EE" w14:textId="77777777" w:rsidR="00410C41" w:rsidRPr="00C9343F" w:rsidRDefault="00410C41" w:rsidP="00F66D98">
            <w:pPr>
              <w:pStyle w:val="TableTextArial-left"/>
            </w:pPr>
            <w:r w:rsidRPr="00C9343F">
              <w:t>Broome</w:t>
            </w:r>
          </w:p>
        </w:tc>
        <w:tc>
          <w:tcPr>
            <w:tcW w:w="2835" w:type="dxa"/>
            <w:tcBorders>
              <w:top w:val="nil"/>
            </w:tcBorders>
          </w:tcPr>
          <w:p w14:paraId="24DF6936" w14:textId="77777777" w:rsidR="00410C41" w:rsidRPr="00C9343F" w:rsidRDefault="00410C41" w:rsidP="00F66D98">
            <w:pPr>
              <w:pStyle w:val="TableTextArial-left"/>
              <w:jc w:val="center"/>
            </w:pPr>
            <w:r w:rsidRPr="00C9343F">
              <w:t>5</w:t>
            </w:r>
          </w:p>
        </w:tc>
      </w:tr>
      <w:tr w:rsidR="00410C41" w:rsidRPr="00C9343F" w14:paraId="35B0B9F3" w14:textId="77777777" w:rsidTr="005E243D">
        <w:trPr>
          <w:cantSplit/>
        </w:trPr>
        <w:tc>
          <w:tcPr>
            <w:tcW w:w="3827" w:type="dxa"/>
          </w:tcPr>
          <w:p w14:paraId="47E17E83" w14:textId="77777777" w:rsidR="00410C41" w:rsidRPr="00C9343F" w:rsidRDefault="00410C41" w:rsidP="00F66D98">
            <w:pPr>
              <w:pStyle w:val="TableTextArial-left"/>
            </w:pPr>
            <w:r w:rsidRPr="00C9343F">
              <w:t>Carnarvon</w:t>
            </w:r>
          </w:p>
        </w:tc>
        <w:tc>
          <w:tcPr>
            <w:tcW w:w="2835" w:type="dxa"/>
          </w:tcPr>
          <w:p w14:paraId="30BF4B19" w14:textId="77777777" w:rsidR="00410C41" w:rsidRPr="00C9343F" w:rsidRDefault="00410C41" w:rsidP="00F66D98">
            <w:pPr>
              <w:pStyle w:val="TableTextArial-left"/>
              <w:jc w:val="center"/>
            </w:pPr>
            <w:r w:rsidRPr="00C9343F">
              <w:t>5</w:t>
            </w:r>
          </w:p>
        </w:tc>
      </w:tr>
      <w:tr w:rsidR="00410C41" w:rsidRPr="00C9343F" w14:paraId="6B98821A" w14:textId="77777777" w:rsidTr="005E243D">
        <w:trPr>
          <w:cantSplit/>
        </w:trPr>
        <w:tc>
          <w:tcPr>
            <w:tcW w:w="3827" w:type="dxa"/>
          </w:tcPr>
          <w:p w14:paraId="57DA7E23" w14:textId="77777777" w:rsidR="00410C41" w:rsidRPr="00C9343F" w:rsidRDefault="00410C41" w:rsidP="00F66D98">
            <w:pPr>
              <w:pStyle w:val="TableTextArial-left"/>
            </w:pPr>
            <w:r w:rsidRPr="00C9343F">
              <w:t xml:space="preserve">Dampier </w:t>
            </w:r>
          </w:p>
        </w:tc>
        <w:tc>
          <w:tcPr>
            <w:tcW w:w="2835" w:type="dxa"/>
          </w:tcPr>
          <w:p w14:paraId="7425DCE7" w14:textId="77777777" w:rsidR="00410C41" w:rsidRPr="00C9343F" w:rsidRDefault="00410C41" w:rsidP="00F66D98">
            <w:pPr>
              <w:pStyle w:val="TableTextArial-left"/>
              <w:jc w:val="center"/>
            </w:pPr>
            <w:r w:rsidRPr="00C9343F">
              <w:t>5</w:t>
            </w:r>
          </w:p>
        </w:tc>
      </w:tr>
      <w:tr w:rsidR="00410C41" w:rsidRPr="00C9343F" w14:paraId="06BA8062" w14:textId="77777777" w:rsidTr="005E243D">
        <w:trPr>
          <w:cantSplit/>
        </w:trPr>
        <w:tc>
          <w:tcPr>
            <w:tcW w:w="3827" w:type="dxa"/>
          </w:tcPr>
          <w:p w14:paraId="54C406C5" w14:textId="77777777" w:rsidR="00410C41" w:rsidRPr="00C9343F" w:rsidRDefault="00410C41" w:rsidP="00F66D98">
            <w:pPr>
              <w:pStyle w:val="TableTextArial-left"/>
            </w:pPr>
            <w:r w:rsidRPr="00C9343F">
              <w:t>Derby</w:t>
            </w:r>
          </w:p>
        </w:tc>
        <w:tc>
          <w:tcPr>
            <w:tcW w:w="2835" w:type="dxa"/>
          </w:tcPr>
          <w:p w14:paraId="7F449FFC" w14:textId="77777777" w:rsidR="00410C41" w:rsidRPr="00C9343F" w:rsidRDefault="00410C41" w:rsidP="00F66D98">
            <w:pPr>
              <w:pStyle w:val="TableTextArial-left"/>
              <w:jc w:val="center"/>
            </w:pPr>
            <w:r w:rsidRPr="00C9343F">
              <w:t>5</w:t>
            </w:r>
          </w:p>
        </w:tc>
      </w:tr>
      <w:tr w:rsidR="00410C41" w:rsidRPr="00C9343F" w14:paraId="058E0FE6" w14:textId="77777777" w:rsidTr="005E243D">
        <w:trPr>
          <w:cantSplit/>
        </w:trPr>
        <w:tc>
          <w:tcPr>
            <w:tcW w:w="3827" w:type="dxa"/>
          </w:tcPr>
          <w:p w14:paraId="3BDBF091" w14:textId="77777777" w:rsidR="00410C41" w:rsidRPr="00C9343F" w:rsidRDefault="00410C41" w:rsidP="00F66D98">
            <w:pPr>
              <w:pStyle w:val="TableTextArial-left"/>
            </w:pPr>
            <w:r w:rsidRPr="00C9343F">
              <w:t xml:space="preserve">Exmouth </w:t>
            </w:r>
          </w:p>
        </w:tc>
        <w:tc>
          <w:tcPr>
            <w:tcW w:w="2835" w:type="dxa"/>
          </w:tcPr>
          <w:p w14:paraId="7FA8B0A8" w14:textId="77777777" w:rsidR="00410C41" w:rsidRPr="00C9343F" w:rsidRDefault="00410C41" w:rsidP="00F66D98">
            <w:pPr>
              <w:pStyle w:val="TableTextArial-left"/>
              <w:jc w:val="center"/>
            </w:pPr>
            <w:r w:rsidRPr="00C9343F">
              <w:t>5</w:t>
            </w:r>
          </w:p>
        </w:tc>
      </w:tr>
      <w:tr w:rsidR="00410C41" w:rsidRPr="00C9343F" w14:paraId="04755393" w14:textId="77777777" w:rsidTr="005E243D">
        <w:trPr>
          <w:cantSplit/>
        </w:trPr>
        <w:tc>
          <w:tcPr>
            <w:tcW w:w="3827" w:type="dxa"/>
          </w:tcPr>
          <w:p w14:paraId="3604AF91" w14:textId="77777777" w:rsidR="00410C41" w:rsidRPr="00C9343F" w:rsidRDefault="00410C41" w:rsidP="00F66D98">
            <w:pPr>
              <w:pStyle w:val="TableTextArial-left"/>
            </w:pPr>
            <w:r w:rsidRPr="00C9343F">
              <w:t>Kalgoorlie</w:t>
            </w:r>
          </w:p>
        </w:tc>
        <w:tc>
          <w:tcPr>
            <w:tcW w:w="2835" w:type="dxa"/>
          </w:tcPr>
          <w:p w14:paraId="6CD00C50" w14:textId="77777777" w:rsidR="00410C41" w:rsidRPr="00C9343F" w:rsidRDefault="00410C41" w:rsidP="00F66D98">
            <w:pPr>
              <w:pStyle w:val="TableTextArial-left"/>
              <w:jc w:val="center"/>
            </w:pPr>
            <w:r w:rsidRPr="00C9343F">
              <w:t>2</w:t>
            </w:r>
          </w:p>
        </w:tc>
      </w:tr>
      <w:tr w:rsidR="00410C41" w:rsidRPr="00C9343F" w14:paraId="50DFB468" w14:textId="77777777" w:rsidTr="005E243D">
        <w:trPr>
          <w:cantSplit/>
        </w:trPr>
        <w:tc>
          <w:tcPr>
            <w:tcW w:w="3827" w:type="dxa"/>
          </w:tcPr>
          <w:p w14:paraId="2413E148" w14:textId="77777777" w:rsidR="00410C41" w:rsidRPr="00C9343F" w:rsidRDefault="00410C41" w:rsidP="00F66D98">
            <w:pPr>
              <w:pStyle w:val="TableTextArial-left"/>
            </w:pPr>
            <w:r w:rsidRPr="00C9343F">
              <w:t xml:space="preserve">Karratha </w:t>
            </w:r>
          </w:p>
        </w:tc>
        <w:tc>
          <w:tcPr>
            <w:tcW w:w="2835" w:type="dxa"/>
          </w:tcPr>
          <w:p w14:paraId="29B64772" w14:textId="77777777" w:rsidR="00410C41" w:rsidRPr="00C9343F" w:rsidRDefault="00410C41" w:rsidP="00F66D98">
            <w:pPr>
              <w:pStyle w:val="TableTextArial-left"/>
              <w:jc w:val="center"/>
            </w:pPr>
            <w:r w:rsidRPr="00C9343F">
              <w:t>5</w:t>
            </w:r>
          </w:p>
        </w:tc>
      </w:tr>
      <w:tr w:rsidR="00410C41" w:rsidRPr="00C9343F" w14:paraId="4261370E" w14:textId="77777777" w:rsidTr="005E243D">
        <w:trPr>
          <w:cantSplit/>
        </w:trPr>
        <w:tc>
          <w:tcPr>
            <w:tcW w:w="3827" w:type="dxa"/>
          </w:tcPr>
          <w:p w14:paraId="3118EB60" w14:textId="77777777" w:rsidR="00410C41" w:rsidRPr="00C9343F" w:rsidRDefault="00410C41" w:rsidP="00F66D98">
            <w:pPr>
              <w:pStyle w:val="TableTextArial-left"/>
            </w:pPr>
            <w:r w:rsidRPr="00C9343F">
              <w:t>Kununurra</w:t>
            </w:r>
          </w:p>
        </w:tc>
        <w:tc>
          <w:tcPr>
            <w:tcW w:w="2835" w:type="dxa"/>
          </w:tcPr>
          <w:p w14:paraId="240A8370" w14:textId="77777777" w:rsidR="00410C41" w:rsidRPr="00C9343F" w:rsidRDefault="00410C41" w:rsidP="00F66D98">
            <w:pPr>
              <w:pStyle w:val="TableTextArial-left"/>
              <w:jc w:val="center"/>
            </w:pPr>
            <w:r w:rsidRPr="00C9343F">
              <w:t>5</w:t>
            </w:r>
          </w:p>
        </w:tc>
      </w:tr>
      <w:tr w:rsidR="00410C41" w:rsidRPr="00C9343F" w14:paraId="68737C8B" w14:textId="77777777" w:rsidTr="005E243D">
        <w:trPr>
          <w:cantSplit/>
        </w:trPr>
        <w:tc>
          <w:tcPr>
            <w:tcW w:w="3827" w:type="dxa"/>
          </w:tcPr>
          <w:p w14:paraId="2689E5FC" w14:textId="77777777" w:rsidR="00410C41" w:rsidRPr="00C9343F" w:rsidRDefault="00410C41" w:rsidP="00F66D98">
            <w:pPr>
              <w:pStyle w:val="TableTextArial-left"/>
            </w:pPr>
            <w:r w:rsidRPr="00C9343F">
              <w:t>Newman</w:t>
            </w:r>
          </w:p>
        </w:tc>
        <w:tc>
          <w:tcPr>
            <w:tcW w:w="2835" w:type="dxa"/>
          </w:tcPr>
          <w:p w14:paraId="1348BC7B" w14:textId="77777777" w:rsidR="00410C41" w:rsidRPr="00C9343F" w:rsidRDefault="00410C41" w:rsidP="00F66D98">
            <w:pPr>
              <w:pStyle w:val="TableTextArial-left"/>
              <w:jc w:val="center"/>
            </w:pPr>
            <w:r w:rsidRPr="00C9343F">
              <w:t>5</w:t>
            </w:r>
          </w:p>
        </w:tc>
      </w:tr>
      <w:tr w:rsidR="00410C41" w:rsidRPr="00C9343F" w14:paraId="3F859155" w14:textId="77777777" w:rsidTr="005E243D">
        <w:trPr>
          <w:cantSplit/>
        </w:trPr>
        <w:tc>
          <w:tcPr>
            <w:tcW w:w="3827" w:type="dxa"/>
          </w:tcPr>
          <w:p w14:paraId="317DD3BD" w14:textId="77777777" w:rsidR="00410C41" w:rsidRPr="00C9343F" w:rsidRDefault="00410C41" w:rsidP="00F66D98">
            <w:pPr>
              <w:pStyle w:val="TableTextArial-left"/>
            </w:pPr>
            <w:r w:rsidRPr="00C9343F">
              <w:t>Port Hedland (including South Hedland)</w:t>
            </w:r>
          </w:p>
        </w:tc>
        <w:tc>
          <w:tcPr>
            <w:tcW w:w="2835" w:type="dxa"/>
          </w:tcPr>
          <w:p w14:paraId="4330BB13" w14:textId="77777777" w:rsidR="00410C41" w:rsidRPr="00C9343F" w:rsidRDefault="00410C41" w:rsidP="00F66D98">
            <w:pPr>
              <w:pStyle w:val="TableTextArial-left"/>
              <w:jc w:val="center"/>
            </w:pPr>
            <w:r w:rsidRPr="00C9343F">
              <w:t>5</w:t>
            </w:r>
          </w:p>
        </w:tc>
      </w:tr>
      <w:tr w:rsidR="00410C41" w:rsidRPr="00C9343F" w14:paraId="5F7737E8" w14:textId="77777777" w:rsidTr="005E243D">
        <w:trPr>
          <w:cantSplit/>
        </w:trPr>
        <w:tc>
          <w:tcPr>
            <w:tcW w:w="3827" w:type="dxa"/>
            <w:tcBorders>
              <w:bottom w:val="nil"/>
            </w:tcBorders>
          </w:tcPr>
          <w:p w14:paraId="02254406" w14:textId="77777777" w:rsidR="00410C41" w:rsidRPr="00C9343F" w:rsidRDefault="00410C41" w:rsidP="00F66D98">
            <w:pPr>
              <w:pStyle w:val="TableTextArial-left"/>
            </w:pPr>
            <w:r w:rsidRPr="00C9343F">
              <w:t xml:space="preserve">RAAF Curtin </w:t>
            </w:r>
          </w:p>
        </w:tc>
        <w:tc>
          <w:tcPr>
            <w:tcW w:w="2835" w:type="dxa"/>
            <w:tcBorders>
              <w:bottom w:val="nil"/>
            </w:tcBorders>
          </w:tcPr>
          <w:p w14:paraId="6AAF3AFF" w14:textId="77777777" w:rsidR="00410C41" w:rsidRPr="00C9343F" w:rsidRDefault="00410C41" w:rsidP="00F66D98">
            <w:pPr>
              <w:pStyle w:val="TableTextArial-left"/>
              <w:jc w:val="center"/>
            </w:pPr>
            <w:r w:rsidRPr="00C9343F">
              <w:t>5</w:t>
            </w:r>
          </w:p>
        </w:tc>
      </w:tr>
      <w:tr w:rsidR="00410C41" w:rsidRPr="00C9343F" w14:paraId="56B0CE8E" w14:textId="77777777" w:rsidTr="005E243D">
        <w:trPr>
          <w:cantSplit/>
        </w:trPr>
        <w:tc>
          <w:tcPr>
            <w:tcW w:w="3827" w:type="dxa"/>
            <w:tcBorders>
              <w:bottom w:val="nil"/>
            </w:tcBorders>
          </w:tcPr>
          <w:p w14:paraId="7BA8A601" w14:textId="77777777" w:rsidR="00410C41" w:rsidRPr="00C9343F" w:rsidRDefault="00410C41" w:rsidP="00F66D98">
            <w:pPr>
              <w:pStyle w:val="TableTextArial-left"/>
            </w:pPr>
            <w:r w:rsidRPr="00C9343F">
              <w:t>RAAF Learmonth</w:t>
            </w:r>
          </w:p>
        </w:tc>
        <w:tc>
          <w:tcPr>
            <w:tcW w:w="2835" w:type="dxa"/>
            <w:tcBorders>
              <w:bottom w:val="nil"/>
            </w:tcBorders>
          </w:tcPr>
          <w:p w14:paraId="0FF575B1" w14:textId="77777777" w:rsidR="00410C41" w:rsidRPr="00C9343F" w:rsidRDefault="00410C41" w:rsidP="00F66D98">
            <w:pPr>
              <w:pStyle w:val="TableTextArial-left"/>
              <w:jc w:val="center"/>
            </w:pPr>
            <w:r w:rsidRPr="00C9343F">
              <w:t>5</w:t>
            </w:r>
          </w:p>
        </w:tc>
      </w:tr>
      <w:tr w:rsidR="00410C41" w:rsidRPr="00C9343F" w14:paraId="46440F04" w14:textId="77777777" w:rsidTr="005E243D">
        <w:trPr>
          <w:cantSplit/>
        </w:trPr>
        <w:tc>
          <w:tcPr>
            <w:tcW w:w="3827" w:type="dxa"/>
            <w:tcBorders>
              <w:bottom w:val="nil"/>
            </w:tcBorders>
          </w:tcPr>
          <w:p w14:paraId="57F113D2" w14:textId="77777777" w:rsidR="00410C41" w:rsidRPr="00C9343F" w:rsidRDefault="00410C41" w:rsidP="00F66D98">
            <w:pPr>
              <w:pStyle w:val="TableTextArial-left"/>
            </w:pPr>
            <w:r w:rsidRPr="00C9343F">
              <w:t>Tom Price</w:t>
            </w:r>
          </w:p>
        </w:tc>
        <w:tc>
          <w:tcPr>
            <w:tcW w:w="2835" w:type="dxa"/>
            <w:tcBorders>
              <w:bottom w:val="nil"/>
            </w:tcBorders>
          </w:tcPr>
          <w:p w14:paraId="56925141" w14:textId="77777777" w:rsidR="00410C41" w:rsidRPr="00C9343F" w:rsidRDefault="00410C41" w:rsidP="00F66D98">
            <w:pPr>
              <w:pStyle w:val="TableTextArial-left"/>
              <w:jc w:val="center"/>
            </w:pPr>
            <w:r w:rsidRPr="00C9343F">
              <w:t>5</w:t>
            </w:r>
          </w:p>
        </w:tc>
      </w:tr>
      <w:tr w:rsidR="00410C41" w:rsidRPr="00C9343F" w14:paraId="0BDA028A" w14:textId="77777777" w:rsidTr="005E243D">
        <w:trPr>
          <w:cantSplit/>
        </w:trPr>
        <w:tc>
          <w:tcPr>
            <w:tcW w:w="6662" w:type="dxa"/>
            <w:gridSpan w:val="2"/>
            <w:tcBorders>
              <w:top w:val="single" w:sz="6" w:space="0" w:color="auto"/>
              <w:bottom w:val="single" w:sz="6" w:space="0" w:color="auto"/>
            </w:tcBorders>
            <w:shd w:val="pct15" w:color="000000" w:fill="FFFFFF"/>
          </w:tcPr>
          <w:p w14:paraId="3C00F594" w14:textId="77777777" w:rsidR="00410C41" w:rsidRPr="00C9343F" w:rsidRDefault="00410C41" w:rsidP="00F66D98">
            <w:pPr>
              <w:pStyle w:val="TableTextArial-left"/>
            </w:pPr>
            <w:r w:rsidRPr="00C9343F">
              <w:rPr>
                <w:b/>
                <w:i/>
              </w:rPr>
              <w:t>Australian territories</w:t>
            </w:r>
          </w:p>
        </w:tc>
      </w:tr>
      <w:tr w:rsidR="00410C41" w:rsidRPr="00C9343F" w14:paraId="38C41E34" w14:textId="77777777" w:rsidTr="005E243D">
        <w:trPr>
          <w:cantSplit/>
        </w:trPr>
        <w:tc>
          <w:tcPr>
            <w:tcW w:w="3827" w:type="dxa"/>
            <w:tcBorders>
              <w:top w:val="nil"/>
            </w:tcBorders>
          </w:tcPr>
          <w:p w14:paraId="45A01E75" w14:textId="77777777" w:rsidR="00410C41" w:rsidRPr="00C9343F" w:rsidRDefault="00410C41" w:rsidP="00F66D98">
            <w:pPr>
              <w:pStyle w:val="TableTextArial-left"/>
            </w:pPr>
            <w:r w:rsidRPr="00C9343F">
              <w:t>Antarctica (including Macquarie Island)</w:t>
            </w:r>
          </w:p>
        </w:tc>
        <w:tc>
          <w:tcPr>
            <w:tcW w:w="2835" w:type="dxa"/>
            <w:tcBorders>
              <w:top w:val="nil"/>
            </w:tcBorders>
          </w:tcPr>
          <w:p w14:paraId="2ABD3C6E" w14:textId="77777777" w:rsidR="00410C41" w:rsidRPr="00C9343F" w:rsidRDefault="00410C41" w:rsidP="00F66D98">
            <w:pPr>
              <w:pStyle w:val="TableTextArial-left"/>
              <w:jc w:val="center"/>
            </w:pPr>
            <w:r w:rsidRPr="00C9343F">
              <w:t>10</w:t>
            </w:r>
          </w:p>
        </w:tc>
      </w:tr>
      <w:tr w:rsidR="00410C41" w:rsidRPr="00C9343F" w14:paraId="061202E0" w14:textId="77777777" w:rsidTr="005E243D">
        <w:trPr>
          <w:cantSplit/>
        </w:trPr>
        <w:tc>
          <w:tcPr>
            <w:tcW w:w="3827" w:type="dxa"/>
          </w:tcPr>
          <w:p w14:paraId="56C78D5A" w14:textId="77777777" w:rsidR="00410C41" w:rsidRPr="00C9343F" w:rsidRDefault="00410C41" w:rsidP="00F66D98">
            <w:pPr>
              <w:pStyle w:val="TableTextArial-left"/>
            </w:pPr>
            <w:r w:rsidRPr="00C9343F">
              <w:t xml:space="preserve">Christmas Island </w:t>
            </w:r>
          </w:p>
        </w:tc>
        <w:tc>
          <w:tcPr>
            <w:tcW w:w="2835" w:type="dxa"/>
          </w:tcPr>
          <w:p w14:paraId="40869514" w14:textId="77777777" w:rsidR="00410C41" w:rsidRPr="00C9343F" w:rsidRDefault="00410C41" w:rsidP="00F66D98">
            <w:pPr>
              <w:pStyle w:val="TableTextArial-left"/>
              <w:jc w:val="center"/>
            </w:pPr>
            <w:r w:rsidRPr="00C9343F">
              <w:t>5</w:t>
            </w:r>
          </w:p>
        </w:tc>
      </w:tr>
      <w:tr w:rsidR="00410C41" w:rsidRPr="00C9343F" w14:paraId="6A0DDE00" w14:textId="77777777" w:rsidTr="005E243D">
        <w:trPr>
          <w:cantSplit/>
        </w:trPr>
        <w:tc>
          <w:tcPr>
            <w:tcW w:w="3827" w:type="dxa"/>
          </w:tcPr>
          <w:p w14:paraId="7C050059" w14:textId="77777777" w:rsidR="00410C41" w:rsidRPr="00C9343F" w:rsidRDefault="00410C41" w:rsidP="00F66D98">
            <w:pPr>
              <w:pStyle w:val="TableTextArial-left"/>
            </w:pPr>
            <w:r w:rsidRPr="00C9343F">
              <w:t>Cocos (Keeling) Islands</w:t>
            </w:r>
          </w:p>
        </w:tc>
        <w:tc>
          <w:tcPr>
            <w:tcW w:w="2835" w:type="dxa"/>
          </w:tcPr>
          <w:p w14:paraId="66EB4047" w14:textId="77777777" w:rsidR="00410C41" w:rsidRPr="00C9343F" w:rsidRDefault="00410C41" w:rsidP="00F66D98">
            <w:pPr>
              <w:pStyle w:val="TableTextArial-left"/>
              <w:jc w:val="center"/>
            </w:pPr>
            <w:r w:rsidRPr="00C9343F">
              <w:t>5</w:t>
            </w:r>
          </w:p>
        </w:tc>
      </w:tr>
    </w:tbl>
    <w:p w14:paraId="58F0E93C" w14:textId="53A41821" w:rsidR="008B4402" w:rsidRPr="00C9343F" w:rsidRDefault="008B4402" w:rsidP="00566775">
      <w:pPr>
        <w:pStyle w:val="Heading3"/>
        <w:pageBreakBefore/>
      </w:pPr>
      <w:bookmarkStart w:id="1325" w:name="_Toc105054022"/>
      <w:r w:rsidRPr="00C9343F">
        <w:t>Part 5: Long service leave</w:t>
      </w:r>
      <w:bookmarkEnd w:id="1325"/>
    </w:p>
    <w:p w14:paraId="30281490" w14:textId="7BDE2406" w:rsidR="008B4402" w:rsidRPr="00C9343F" w:rsidRDefault="008B4402" w:rsidP="00F66D98">
      <w:pPr>
        <w:pStyle w:val="Heading4"/>
      </w:pPr>
      <w:bookmarkStart w:id="1326" w:name="_Toc105054023"/>
      <w:r w:rsidRPr="00C9343F">
        <w:t xml:space="preserve">Division 1: </w:t>
      </w:r>
      <w:r w:rsidR="00301536" w:rsidRPr="00C9343F">
        <w:t>General provisions</w:t>
      </w:r>
      <w:bookmarkEnd w:id="1326"/>
    </w:p>
    <w:p w14:paraId="1853B547" w14:textId="77777777" w:rsidR="00301536" w:rsidRPr="00C9343F" w:rsidRDefault="00301536" w:rsidP="00F66D98">
      <w:pPr>
        <w:pStyle w:val="Heading5"/>
      </w:pPr>
      <w:bookmarkStart w:id="1327" w:name="_Toc105054024"/>
      <w:bookmarkStart w:id="1328" w:name="bk122055PM534MemberthisPartappliesto"/>
      <w:bookmarkStart w:id="1329" w:name="bk122145PM534MemberthisPartappliesto"/>
      <w:bookmarkStart w:id="1330" w:name="bk122234PM534MemberthisPartappliesto"/>
      <w:bookmarkStart w:id="1331" w:name="bk10036PM534MemberthisPartappliesto"/>
      <w:bookmarkStart w:id="1332" w:name="bk10402PM534MemberthisPartappliesto"/>
      <w:bookmarkStart w:id="1333" w:name="bk10726PM534MemberthisPartappliesto"/>
      <w:bookmarkStart w:id="1334" w:name="bk154623534MemberthisPartappliesto"/>
      <w:bookmarkStart w:id="1335" w:name="bk115147534MemberthisPartappliesto"/>
      <w:bookmarkStart w:id="1336" w:name="bk115715534MemberthisPartappliesto"/>
      <w:r w:rsidRPr="00C9343F">
        <w:t>5.5.1    Purpose</w:t>
      </w:r>
      <w:bookmarkEnd w:id="1327"/>
    </w:p>
    <w:tbl>
      <w:tblPr>
        <w:tblW w:w="9359" w:type="dxa"/>
        <w:tblInd w:w="113" w:type="dxa"/>
        <w:tblLayout w:type="fixed"/>
        <w:tblLook w:val="0000" w:firstRow="0" w:lastRow="0" w:firstColumn="0" w:lastColumn="0" w:noHBand="0" w:noVBand="0"/>
      </w:tblPr>
      <w:tblGrid>
        <w:gridCol w:w="992"/>
        <w:gridCol w:w="8367"/>
      </w:tblGrid>
      <w:tr w:rsidR="00301536" w:rsidRPr="00C9343F" w14:paraId="75D40AE7" w14:textId="77777777" w:rsidTr="000E1BE1">
        <w:tc>
          <w:tcPr>
            <w:tcW w:w="992" w:type="dxa"/>
          </w:tcPr>
          <w:p w14:paraId="5E5E1233" w14:textId="77777777" w:rsidR="00301536" w:rsidRPr="00C9343F" w:rsidRDefault="00301536" w:rsidP="00F66D98">
            <w:pPr>
              <w:pStyle w:val="Sectiontext0"/>
              <w:jc w:val="center"/>
            </w:pPr>
          </w:p>
        </w:tc>
        <w:tc>
          <w:tcPr>
            <w:tcW w:w="8367" w:type="dxa"/>
          </w:tcPr>
          <w:p w14:paraId="59ED0B36" w14:textId="77777777" w:rsidR="00301536" w:rsidRPr="00C9343F" w:rsidRDefault="00301536" w:rsidP="00F66D98">
            <w:pPr>
              <w:pStyle w:val="Sectiontext0"/>
              <w:rPr>
                <w:iCs/>
              </w:rPr>
            </w:pPr>
            <w:r w:rsidRPr="00C9343F">
              <w:rPr>
                <w:iCs/>
              </w:rPr>
              <w:t>Long service leave is intended to give an extended period away from work to a member who has served for 10 years or more.</w:t>
            </w:r>
          </w:p>
        </w:tc>
      </w:tr>
    </w:tbl>
    <w:p w14:paraId="0CA9AF3C" w14:textId="5B6D0408" w:rsidR="008B4402" w:rsidRPr="00C9343F" w:rsidRDefault="008B4402" w:rsidP="00F66D98">
      <w:pPr>
        <w:pStyle w:val="Heading5"/>
      </w:pPr>
      <w:bookmarkStart w:id="1337" w:name="_Toc105054025"/>
      <w:r w:rsidRPr="00C9343F">
        <w:t>5.5.4</w:t>
      </w:r>
      <w:r w:rsidR="00D94006" w:rsidRPr="00C9343F">
        <w:t>    </w:t>
      </w:r>
      <w:r w:rsidRPr="00C9343F">
        <w:t>Member this Part applies to</w:t>
      </w:r>
      <w:bookmarkEnd w:id="1337"/>
    </w:p>
    <w:bookmarkEnd w:id="1328"/>
    <w:bookmarkEnd w:id="1329"/>
    <w:bookmarkEnd w:id="1330"/>
    <w:bookmarkEnd w:id="1331"/>
    <w:bookmarkEnd w:id="1332"/>
    <w:bookmarkEnd w:id="1333"/>
    <w:bookmarkEnd w:id="1334"/>
    <w:bookmarkEnd w:id="1335"/>
    <w:bookmarkEnd w:id="1336"/>
    <w:tbl>
      <w:tblPr>
        <w:tblW w:w="9355" w:type="dxa"/>
        <w:tblInd w:w="113" w:type="dxa"/>
        <w:tblLayout w:type="fixed"/>
        <w:tblLook w:val="0000" w:firstRow="0" w:lastRow="0" w:firstColumn="0" w:lastColumn="0" w:noHBand="0" w:noVBand="0"/>
      </w:tblPr>
      <w:tblGrid>
        <w:gridCol w:w="992"/>
        <w:gridCol w:w="8363"/>
      </w:tblGrid>
      <w:tr w:rsidR="008B4402" w:rsidRPr="00C9343F" w14:paraId="3B6BA239" w14:textId="77777777" w:rsidTr="00301536">
        <w:tc>
          <w:tcPr>
            <w:tcW w:w="992" w:type="dxa"/>
          </w:tcPr>
          <w:p w14:paraId="64B438E2" w14:textId="77777777" w:rsidR="008B4402" w:rsidRPr="00C9343F" w:rsidRDefault="008B4402" w:rsidP="00F66D98">
            <w:pPr>
              <w:pStyle w:val="BlockText-PlainNoSpacing"/>
              <w:jc w:val="center"/>
            </w:pPr>
          </w:p>
        </w:tc>
        <w:tc>
          <w:tcPr>
            <w:tcW w:w="8363" w:type="dxa"/>
          </w:tcPr>
          <w:p w14:paraId="5230F674" w14:textId="507EED52" w:rsidR="008B4402" w:rsidRPr="00C9343F" w:rsidRDefault="008B4402" w:rsidP="00F66D98">
            <w:pPr>
              <w:pStyle w:val="BlockText-Plain"/>
            </w:pPr>
            <w:r w:rsidRPr="00C9343F">
              <w:t>This Part applies to a member on continuous full-time service.</w:t>
            </w:r>
          </w:p>
        </w:tc>
      </w:tr>
    </w:tbl>
    <w:p w14:paraId="1734C3A9" w14:textId="77777777" w:rsidR="00301536" w:rsidRPr="00C9343F" w:rsidRDefault="00301536" w:rsidP="00F66D98">
      <w:pPr>
        <w:pStyle w:val="Heading5"/>
      </w:pPr>
      <w:bookmarkStart w:id="1338" w:name="_Toc105054026"/>
      <w:bookmarkStart w:id="1339" w:name="bk122056PM536Generalprinciples"/>
      <w:bookmarkStart w:id="1340" w:name="bk122146PM536Generalprinciples"/>
      <w:bookmarkStart w:id="1341" w:name="bk122234PM536Generalprinciples"/>
      <w:bookmarkStart w:id="1342" w:name="bk10036PM536Generalprinciples"/>
      <w:bookmarkStart w:id="1343" w:name="bk10402PM536Generalprinciples"/>
      <w:bookmarkStart w:id="1344" w:name="bk10726PM536Generalprinciples"/>
      <w:bookmarkStart w:id="1345" w:name="bk154623536Administrativeconcepts"/>
      <w:bookmarkStart w:id="1346" w:name="bk115147536Administrativeconcepts"/>
      <w:bookmarkStart w:id="1347" w:name="bk115715536Administrativeconcepts"/>
      <w:r w:rsidRPr="00C9343F">
        <w:t>5.5.5    Definitions</w:t>
      </w:r>
      <w:bookmarkEnd w:id="1338"/>
    </w:p>
    <w:tbl>
      <w:tblPr>
        <w:tblW w:w="9364" w:type="dxa"/>
        <w:tblInd w:w="108" w:type="dxa"/>
        <w:tblLayout w:type="fixed"/>
        <w:tblLook w:val="0000" w:firstRow="0" w:lastRow="0" w:firstColumn="0" w:lastColumn="0" w:noHBand="0" w:noVBand="0"/>
      </w:tblPr>
      <w:tblGrid>
        <w:gridCol w:w="995"/>
        <w:gridCol w:w="8369"/>
      </w:tblGrid>
      <w:tr w:rsidR="00301536" w:rsidRPr="00C9343F" w14:paraId="74EB1977" w14:textId="77777777" w:rsidTr="000E1BE1">
        <w:tc>
          <w:tcPr>
            <w:tcW w:w="995" w:type="dxa"/>
          </w:tcPr>
          <w:p w14:paraId="5E42E510" w14:textId="77777777" w:rsidR="00301536" w:rsidRPr="00C9343F" w:rsidRDefault="00301536" w:rsidP="00F66D98">
            <w:pPr>
              <w:pStyle w:val="BlockText-Plain"/>
              <w:jc w:val="center"/>
            </w:pPr>
          </w:p>
        </w:tc>
        <w:tc>
          <w:tcPr>
            <w:tcW w:w="8369" w:type="dxa"/>
          </w:tcPr>
          <w:p w14:paraId="475A7945" w14:textId="77777777" w:rsidR="00301536" w:rsidRPr="00C9343F" w:rsidRDefault="00301536" w:rsidP="00F66D98">
            <w:pPr>
              <w:pStyle w:val="BlockText-Plain"/>
            </w:pPr>
            <w:r w:rsidRPr="00C9343F">
              <w:t>In this Part the following apply.</w:t>
            </w:r>
          </w:p>
        </w:tc>
      </w:tr>
      <w:tr w:rsidR="00301536" w:rsidRPr="00C9343F" w14:paraId="4F1E378C" w14:textId="77777777" w:rsidTr="000E1BE1">
        <w:tc>
          <w:tcPr>
            <w:tcW w:w="995" w:type="dxa"/>
          </w:tcPr>
          <w:p w14:paraId="7A3CDC6B" w14:textId="77777777" w:rsidR="00301536" w:rsidRPr="00C9343F" w:rsidRDefault="00301536" w:rsidP="00F66D98">
            <w:pPr>
              <w:pStyle w:val="BlockText-Plain"/>
              <w:jc w:val="center"/>
            </w:pPr>
          </w:p>
        </w:tc>
        <w:tc>
          <w:tcPr>
            <w:tcW w:w="8369" w:type="dxa"/>
          </w:tcPr>
          <w:p w14:paraId="0BE0EE2F" w14:textId="77777777" w:rsidR="00301536" w:rsidRPr="00C9343F" w:rsidRDefault="00301536" w:rsidP="00F66D98">
            <w:pPr>
              <w:pStyle w:val="BlockText-Plain"/>
            </w:pPr>
            <w:r w:rsidRPr="00C9343F">
              <w:rPr>
                <w:b/>
              </w:rPr>
              <w:t>Long Service Leave Act</w:t>
            </w:r>
            <w:r w:rsidRPr="00C9343F">
              <w:t xml:space="preserve"> means the </w:t>
            </w:r>
            <w:r w:rsidRPr="00C9343F">
              <w:rPr>
                <w:i/>
              </w:rPr>
              <w:t>Long Service Leave (Commonwealth Employees) Act 1976</w:t>
            </w:r>
            <w:r w:rsidRPr="00C9343F">
              <w:t xml:space="preserve">. </w:t>
            </w:r>
          </w:p>
        </w:tc>
      </w:tr>
    </w:tbl>
    <w:p w14:paraId="4C2DB927" w14:textId="4B44DFC2" w:rsidR="008B4402" w:rsidRPr="00C9343F" w:rsidRDefault="008B4402" w:rsidP="00F66D98">
      <w:pPr>
        <w:pStyle w:val="Heading5"/>
      </w:pPr>
      <w:bookmarkStart w:id="1348" w:name="_Toc105054027"/>
      <w:r w:rsidRPr="00C9343F">
        <w:t>5.5.6</w:t>
      </w:r>
      <w:r w:rsidR="00D94006" w:rsidRPr="00C9343F">
        <w:t>    </w:t>
      </w:r>
      <w:r w:rsidRPr="00C9343F">
        <w:t>Administrative concepts</w:t>
      </w:r>
      <w:bookmarkEnd w:id="1348"/>
    </w:p>
    <w:tbl>
      <w:tblPr>
        <w:tblW w:w="9355" w:type="dxa"/>
        <w:tblInd w:w="113" w:type="dxa"/>
        <w:tblLayout w:type="fixed"/>
        <w:tblLook w:val="0000" w:firstRow="0" w:lastRow="0" w:firstColumn="0" w:lastColumn="0" w:noHBand="0" w:noVBand="0"/>
      </w:tblPr>
      <w:tblGrid>
        <w:gridCol w:w="992"/>
        <w:gridCol w:w="8363"/>
      </w:tblGrid>
      <w:tr w:rsidR="008B4402" w:rsidRPr="00C9343F" w14:paraId="193C979A" w14:textId="77777777" w:rsidTr="00E40FE5">
        <w:tc>
          <w:tcPr>
            <w:tcW w:w="992" w:type="dxa"/>
          </w:tcPr>
          <w:bookmarkEnd w:id="1339"/>
          <w:bookmarkEnd w:id="1340"/>
          <w:bookmarkEnd w:id="1341"/>
          <w:bookmarkEnd w:id="1342"/>
          <w:bookmarkEnd w:id="1343"/>
          <w:bookmarkEnd w:id="1344"/>
          <w:bookmarkEnd w:id="1345"/>
          <w:bookmarkEnd w:id="1346"/>
          <w:bookmarkEnd w:id="1347"/>
          <w:p w14:paraId="1124F625" w14:textId="77777777" w:rsidR="008B4402" w:rsidRPr="00C9343F" w:rsidRDefault="008B4402" w:rsidP="00F66D98">
            <w:pPr>
              <w:pStyle w:val="BlockText-Plain"/>
              <w:jc w:val="center"/>
            </w:pPr>
            <w:r w:rsidRPr="00C9343F">
              <w:t>2.</w:t>
            </w:r>
          </w:p>
        </w:tc>
        <w:tc>
          <w:tcPr>
            <w:tcW w:w="8363" w:type="dxa"/>
          </w:tcPr>
          <w:p w14:paraId="7267F55B" w14:textId="39B09650" w:rsidR="008B4402" w:rsidRPr="00C9343F" w:rsidRDefault="008B4402" w:rsidP="00F66D98">
            <w:pPr>
              <w:pStyle w:val="BlockText-Plain"/>
            </w:pPr>
            <w:r w:rsidRPr="00C9343F">
              <w:t>Long service leave credits are expressed in months and decimal parts of a month.</w:t>
            </w:r>
          </w:p>
        </w:tc>
      </w:tr>
      <w:tr w:rsidR="008B4402" w:rsidRPr="00C9343F" w14:paraId="3937D185" w14:textId="77777777" w:rsidTr="00E40FE5">
        <w:trPr>
          <w:cantSplit/>
        </w:trPr>
        <w:tc>
          <w:tcPr>
            <w:tcW w:w="992" w:type="dxa"/>
          </w:tcPr>
          <w:p w14:paraId="4490A605" w14:textId="77777777" w:rsidR="008B4402" w:rsidRPr="00C9343F" w:rsidRDefault="008B4402" w:rsidP="00F66D98">
            <w:pPr>
              <w:pStyle w:val="BlockText-Plain"/>
              <w:jc w:val="center"/>
            </w:pPr>
            <w:r w:rsidRPr="00C9343F">
              <w:t>3.</w:t>
            </w:r>
          </w:p>
        </w:tc>
        <w:tc>
          <w:tcPr>
            <w:tcW w:w="8363" w:type="dxa"/>
          </w:tcPr>
          <w:p w14:paraId="6B15AA6C" w14:textId="52159F87" w:rsidR="008B4402" w:rsidRPr="00C9343F" w:rsidRDefault="008B4402" w:rsidP="00F66D98">
            <w:pPr>
              <w:pStyle w:val="BlockText-Plain"/>
            </w:pPr>
            <w:r w:rsidRPr="00C9343F">
              <w:t>A month is measured from the start date to the day before the same date in the next month. This rule applies no matter how many days there are in that month.</w:t>
            </w:r>
          </w:p>
        </w:tc>
      </w:tr>
      <w:tr w:rsidR="008B4402" w:rsidRPr="00C9343F" w14:paraId="3ACA6826" w14:textId="77777777" w:rsidTr="00E40FE5">
        <w:trPr>
          <w:cantSplit/>
        </w:trPr>
        <w:tc>
          <w:tcPr>
            <w:tcW w:w="992" w:type="dxa"/>
          </w:tcPr>
          <w:p w14:paraId="2D6D9E87" w14:textId="77777777" w:rsidR="008B4402" w:rsidRPr="00C9343F" w:rsidRDefault="008B4402" w:rsidP="00F66D98">
            <w:pPr>
              <w:pStyle w:val="BlockText-Plain"/>
              <w:jc w:val="center"/>
            </w:pPr>
            <w:r w:rsidRPr="00C9343F">
              <w:t>4.</w:t>
            </w:r>
          </w:p>
        </w:tc>
        <w:tc>
          <w:tcPr>
            <w:tcW w:w="8363" w:type="dxa"/>
          </w:tcPr>
          <w:p w14:paraId="597D664C" w14:textId="56D21B3D" w:rsidR="008B4402" w:rsidRPr="00C9343F" w:rsidRDefault="008B4402" w:rsidP="00F66D98">
            <w:pPr>
              <w:pStyle w:val="BlockText-Plain"/>
            </w:pPr>
            <w:r w:rsidRPr="00C9343F">
              <w:t>When working out parts of a month, a month is taken to have 30 days.</w:t>
            </w:r>
          </w:p>
        </w:tc>
      </w:tr>
      <w:tr w:rsidR="008B4402" w:rsidRPr="00C9343F" w14:paraId="5E5979E9" w14:textId="77777777" w:rsidTr="00E40FE5">
        <w:trPr>
          <w:cantSplit/>
        </w:trPr>
        <w:tc>
          <w:tcPr>
            <w:tcW w:w="992" w:type="dxa"/>
          </w:tcPr>
          <w:p w14:paraId="5D831D4A" w14:textId="77777777" w:rsidR="008B4402" w:rsidRPr="00C9343F" w:rsidRDefault="008B4402" w:rsidP="00F66D98">
            <w:pPr>
              <w:pStyle w:val="BlockText-Plain"/>
              <w:jc w:val="center"/>
            </w:pPr>
            <w:r w:rsidRPr="00C9343F">
              <w:t>6.</w:t>
            </w:r>
          </w:p>
        </w:tc>
        <w:tc>
          <w:tcPr>
            <w:tcW w:w="8363" w:type="dxa"/>
          </w:tcPr>
          <w:p w14:paraId="0A078A83" w14:textId="77777777" w:rsidR="008B4402" w:rsidRPr="00C9343F" w:rsidRDefault="008B4402" w:rsidP="00F66D98">
            <w:pPr>
              <w:pStyle w:val="BlockText-Plain"/>
            </w:pPr>
            <w:r w:rsidRPr="00C9343F">
              <w:t xml:space="preserve">Leave may be granted in months and whole days. </w:t>
            </w:r>
          </w:p>
        </w:tc>
      </w:tr>
      <w:tr w:rsidR="008B4402" w:rsidRPr="00C9343F" w14:paraId="7F48BEA2" w14:textId="77777777" w:rsidTr="00E40FE5">
        <w:tc>
          <w:tcPr>
            <w:tcW w:w="992" w:type="dxa"/>
          </w:tcPr>
          <w:p w14:paraId="29A6D3EF" w14:textId="77777777" w:rsidR="008B4402" w:rsidRPr="00C9343F" w:rsidRDefault="008B4402" w:rsidP="00F66D98">
            <w:pPr>
              <w:pStyle w:val="BlockText-Plain"/>
              <w:jc w:val="center"/>
            </w:pPr>
            <w:r w:rsidRPr="00C9343F">
              <w:t>8.</w:t>
            </w:r>
          </w:p>
        </w:tc>
        <w:tc>
          <w:tcPr>
            <w:tcW w:w="8363" w:type="dxa"/>
          </w:tcPr>
          <w:p w14:paraId="001D4E12" w14:textId="77777777" w:rsidR="008B4402" w:rsidRPr="00C9343F" w:rsidRDefault="008B4402" w:rsidP="00F66D98">
            <w:pPr>
              <w:pStyle w:val="BlockText-Plain"/>
            </w:pPr>
            <w:r w:rsidRPr="00C9343F">
              <w:t>For the purpose of payment instead of long service leave, a month's salary is one-twelfth of a year's salary. This rule applies no matter how many days there are in that month.</w:t>
            </w:r>
          </w:p>
        </w:tc>
      </w:tr>
    </w:tbl>
    <w:p w14:paraId="24C6529A" w14:textId="530956C8" w:rsidR="008B4402" w:rsidRPr="00C9343F" w:rsidRDefault="008B4402" w:rsidP="00F66D98">
      <w:pPr>
        <w:pStyle w:val="Heading5"/>
      </w:pPr>
      <w:bookmarkStart w:id="1349" w:name="_Toc105054028"/>
      <w:bookmarkStart w:id="1350" w:name="bk10402PM537Howtoapply"/>
      <w:bookmarkStart w:id="1351" w:name="bk10726PM537Howtoapplyforleave"/>
      <w:bookmarkStart w:id="1352" w:name="bk154623537Howtoapplyforleave"/>
      <w:bookmarkStart w:id="1353" w:name="bk115147537Howtoapplyforleave"/>
      <w:bookmarkStart w:id="1354" w:name="bk115715537Howtoapplyforleave"/>
      <w:r w:rsidRPr="00C9343F">
        <w:t>5.5.7</w:t>
      </w:r>
      <w:r w:rsidR="00D94006" w:rsidRPr="00C9343F">
        <w:t>    </w:t>
      </w:r>
      <w:r w:rsidR="00CC1ED0" w:rsidRPr="00C9343F">
        <w:rPr>
          <w:bCs/>
        </w:rPr>
        <w:t>Applying for long service leave</w:t>
      </w:r>
      <w:bookmarkEnd w:id="1349"/>
    </w:p>
    <w:bookmarkEnd w:id="1350"/>
    <w:bookmarkEnd w:id="1351"/>
    <w:bookmarkEnd w:id="1352"/>
    <w:bookmarkEnd w:id="1353"/>
    <w:bookmarkEnd w:id="1354"/>
    <w:tbl>
      <w:tblPr>
        <w:tblW w:w="0" w:type="auto"/>
        <w:tblInd w:w="113" w:type="dxa"/>
        <w:tblLayout w:type="fixed"/>
        <w:tblLook w:val="0000" w:firstRow="0" w:lastRow="0" w:firstColumn="0" w:lastColumn="0" w:noHBand="0" w:noVBand="0"/>
      </w:tblPr>
      <w:tblGrid>
        <w:gridCol w:w="992"/>
        <w:gridCol w:w="8231"/>
      </w:tblGrid>
      <w:tr w:rsidR="00204F89" w:rsidRPr="00C9343F" w14:paraId="3BEEB0C7" w14:textId="77777777" w:rsidTr="00DF394B">
        <w:tc>
          <w:tcPr>
            <w:tcW w:w="992" w:type="dxa"/>
          </w:tcPr>
          <w:p w14:paraId="675BA8A6" w14:textId="77777777" w:rsidR="00204F89" w:rsidRPr="00C9343F" w:rsidRDefault="00204F89" w:rsidP="00F66D98">
            <w:pPr>
              <w:pStyle w:val="BlockText-Plain"/>
              <w:jc w:val="center"/>
            </w:pPr>
          </w:p>
        </w:tc>
        <w:tc>
          <w:tcPr>
            <w:tcW w:w="8231" w:type="dxa"/>
          </w:tcPr>
          <w:p w14:paraId="4261C5D1" w14:textId="77777777" w:rsidR="00204F89" w:rsidRPr="00C9343F" w:rsidRDefault="00CC1ED0" w:rsidP="00F66D98">
            <w:pPr>
              <w:pStyle w:val="BlockText-Plain"/>
              <w:rPr>
                <w:iCs/>
              </w:rPr>
            </w:pPr>
            <w:r w:rsidRPr="00C9343F">
              <w:rPr>
                <w:iCs/>
              </w:rPr>
              <w:t>A member must use the approved form to apply for long service leave.</w:t>
            </w:r>
          </w:p>
        </w:tc>
      </w:tr>
    </w:tbl>
    <w:p w14:paraId="63DD4842" w14:textId="5EC4C996" w:rsidR="008B4402" w:rsidRPr="00C9343F" w:rsidRDefault="008B4402" w:rsidP="00F66D98">
      <w:pPr>
        <w:pStyle w:val="Heading4"/>
        <w:pageBreakBefore/>
      </w:pPr>
      <w:bookmarkStart w:id="1355" w:name="_Toc105054029"/>
      <w:bookmarkStart w:id="1356" w:name="bk122056PM537Salaryforlongserviceleave"/>
      <w:bookmarkStart w:id="1357" w:name="bk122146PM537Salaryforlongserviceleave"/>
      <w:bookmarkStart w:id="1358" w:name="bk122235PM537Salaryforlongserviceleave"/>
      <w:r w:rsidRPr="00C9343F">
        <w:t>Division 2: Entitlement to long service leave</w:t>
      </w:r>
      <w:bookmarkEnd w:id="1355"/>
    </w:p>
    <w:p w14:paraId="3B29EAFC" w14:textId="44CD9318" w:rsidR="008B4402" w:rsidRPr="00C9343F" w:rsidRDefault="008B4402" w:rsidP="00F66D98">
      <w:pPr>
        <w:pStyle w:val="Heading5"/>
      </w:pPr>
      <w:bookmarkStart w:id="1359" w:name="_Toc105054030"/>
      <w:bookmarkStart w:id="1360" w:name="bk11013PM5314Entitlementformemberwith10"/>
      <w:bookmarkStart w:id="1361" w:name="bk13335PM5314Entitlementformemberwith10"/>
      <w:bookmarkStart w:id="1362" w:name="bk13704PM5314Entitlementformemberwith10"/>
      <w:bookmarkStart w:id="1363" w:name="bk41443PM538Entitlementformemberwith10o"/>
      <w:bookmarkStart w:id="1364" w:name="bk93727538Entitlementformemberwith10orm"/>
      <w:bookmarkStart w:id="1365" w:name="bk93817538Howmuchlongserviceleave"/>
      <w:bookmarkStart w:id="1366" w:name="bk154640538Howmuchlongserviceleave"/>
      <w:bookmarkStart w:id="1367" w:name="bk105559538Howmuchlongserviceleave"/>
      <w:bookmarkStart w:id="1368" w:name="bk115158538Howmuchlongserviceleave"/>
      <w:bookmarkStart w:id="1369" w:name="bk115721538Howmuchlongserviceleave"/>
      <w:r w:rsidRPr="00C9343F">
        <w:t>5.5.8</w:t>
      </w:r>
      <w:r w:rsidR="00D94006" w:rsidRPr="00C9343F">
        <w:t>    </w:t>
      </w:r>
      <w:r w:rsidR="00CC7367" w:rsidRPr="00C9343F">
        <w:t>Long service leave entitlement</w:t>
      </w:r>
      <w:bookmarkEnd w:id="1359"/>
    </w:p>
    <w:tbl>
      <w:tblPr>
        <w:tblW w:w="9367" w:type="dxa"/>
        <w:tblInd w:w="113" w:type="dxa"/>
        <w:tblLayout w:type="fixed"/>
        <w:tblLook w:val="0000" w:firstRow="0" w:lastRow="0" w:firstColumn="0" w:lastColumn="0" w:noHBand="0" w:noVBand="0"/>
      </w:tblPr>
      <w:tblGrid>
        <w:gridCol w:w="991"/>
        <w:gridCol w:w="567"/>
        <w:gridCol w:w="705"/>
        <w:gridCol w:w="7086"/>
        <w:gridCol w:w="9"/>
        <w:gridCol w:w="9"/>
      </w:tblGrid>
      <w:tr w:rsidR="00CC7367" w:rsidRPr="00C9343F" w14:paraId="4CFA11DD" w14:textId="77777777" w:rsidTr="00374373">
        <w:trPr>
          <w:gridAfter w:val="1"/>
          <w:wAfter w:w="9" w:type="dxa"/>
        </w:trPr>
        <w:tc>
          <w:tcPr>
            <w:tcW w:w="991" w:type="dxa"/>
          </w:tcPr>
          <w:p w14:paraId="5228ABAC" w14:textId="77777777" w:rsidR="00CC7367" w:rsidRPr="00C9343F" w:rsidRDefault="00CC7367" w:rsidP="00F66D98">
            <w:pPr>
              <w:pStyle w:val="BlockText-Plain"/>
              <w:jc w:val="center"/>
            </w:pPr>
            <w:bookmarkStart w:id="1370" w:name="bk11013PM5315Howlongserviceleaveisgrant"/>
            <w:bookmarkStart w:id="1371" w:name="bk13335PM5315Howlongserviceleaveisgrant"/>
            <w:bookmarkStart w:id="1372" w:name="bk13705PM5315Howlongserviceleaveisgrant"/>
            <w:bookmarkStart w:id="1373" w:name="bk41443PM539Howlongserviceleaveisgrante"/>
            <w:bookmarkStart w:id="1374" w:name="bk93727539Howlongserviceleaveisgranted"/>
            <w:bookmarkStart w:id="1375" w:name="bk93817539Howlongserviceleaveisgranted"/>
            <w:bookmarkStart w:id="1376" w:name="bk154640539Howlongserviceleaveisgranted"/>
            <w:bookmarkStart w:id="1377" w:name="bk105559539Howlongserviceleaveisgranted"/>
            <w:bookmarkStart w:id="1378" w:name="bk115158539Howlongserviceleaveisgranted"/>
            <w:bookmarkStart w:id="1379" w:name="bk115721539Howlongserviceleaveisgranted"/>
            <w:bookmarkEnd w:id="1360"/>
            <w:bookmarkEnd w:id="1361"/>
            <w:bookmarkEnd w:id="1362"/>
            <w:bookmarkEnd w:id="1363"/>
            <w:bookmarkEnd w:id="1364"/>
            <w:bookmarkEnd w:id="1365"/>
            <w:bookmarkEnd w:id="1366"/>
            <w:bookmarkEnd w:id="1367"/>
            <w:bookmarkEnd w:id="1368"/>
            <w:bookmarkEnd w:id="1369"/>
            <w:r w:rsidRPr="00C9343F">
              <w:t>1.</w:t>
            </w:r>
          </w:p>
        </w:tc>
        <w:tc>
          <w:tcPr>
            <w:tcW w:w="8367" w:type="dxa"/>
            <w:gridSpan w:val="4"/>
          </w:tcPr>
          <w:p w14:paraId="545E9EAC" w14:textId="123A79EF" w:rsidR="00CC7367" w:rsidRPr="00C9343F" w:rsidRDefault="00CC7367" w:rsidP="00F66D98">
            <w:pPr>
              <w:pStyle w:val="BlockText-Plain"/>
              <w:rPr>
                <w:iCs/>
              </w:rPr>
            </w:pPr>
            <w:r w:rsidRPr="00C9343F">
              <w:rPr>
                <w:iCs/>
              </w:rPr>
              <w:t>A member is entitled to a long service leave credit once the member has completed 10 years of accrued service.</w:t>
            </w:r>
          </w:p>
        </w:tc>
      </w:tr>
      <w:tr w:rsidR="00CC7367" w:rsidRPr="00C9343F" w14:paraId="42517273" w14:textId="77777777" w:rsidTr="00374373">
        <w:trPr>
          <w:gridAfter w:val="1"/>
          <w:wAfter w:w="9" w:type="dxa"/>
        </w:trPr>
        <w:tc>
          <w:tcPr>
            <w:tcW w:w="991" w:type="dxa"/>
          </w:tcPr>
          <w:p w14:paraId="308C1BE9" w14:textId="77777777" w:rsidR="00CC7367" w:rsidRPr="00C9343F" w:rsidRDefault="00CC7367" w:rsidP="00F66D98">
            <w:pPr>
              <w:pStyle w:val="BlockText-Plain"/>
              <w:jc w:val="center"/>
            </w:pPr>
            <w:r w:rsidRPr="00C9343F">
              <w:t>2.</w:t>
            </w:r>
          </w:p>
        </w:tc>
        <w:tc>
          <w:tcPr>
            <w:tcW w:w="8367" w:type="dxa"/>
            <w:gridSpan w:val="4"/>
          </w:tcPr>
          <w:p w14:paraId="0A177E35" w14:textId="77777777" w:rsidR="00CC7367" w:rsidRPr="00C9343F" w:rsidRDefault="00CC7367" w:rsidP="00F66D98">
            <w:pPr>
              <w:pStyle w:val="BlockText-Plain"/>
              <w:rPr>
                <w:iCs/>
              </w:rPr>
            </w:pPr>
            <w:r w:rsidRPr="00C9343F">
              <w:rPr>
                <w:iCs/>
              </w:rPr>
              <w:t>Long service leave credits are credited to a member on the completion of the following.</w:t>
            </w:r>
          </w:p>
        </w:tc>
      </w:tr>
      <w:tr w:rsidR="00CC7367" w:rsidRPr="00C9343F" w14:paraId="6E54555F" w14:textId="77777777" w:rsidTr="00374373">
        <w:trPr>
          <w:gridAfter w:val="2"/>
          <w:wAfter w:w="18" w:type="dxa"/>
          <w:trHeight w:val="340"/>
        </w:trPr>
        <w:tc>
          <w:tcPr>
            <w:tcW w:w="991" w:type="dxa"/>
          </w:tcPr>
          <w:p w14:paraId="49A06C49" w14:textId="77777777" w:rsidR="00CC7367" w:rsidRPr="00C9343F" w:rsidRDefault="00CC7367" w:rsidP="00F66D98">
            <w:pPr>
              <w:pStyle w:val="BlockText-Plain"/>
              <w:jc w:val="center"/>
            </w:pPr>
          </w:p>
        </w:tc>
        <w:tc>
          <w:tcPr>
            <w:tcW w:w="567" w:type="dxa"/>
          </w:tcPr>
          <w:p w14:paraId="2A670370" w14:textId="77777777" w:rsidR="00CC7367" w:rsidRPr="00C9343F" w:rsidRDefault="00CC7367" w:rsidP="008D1B5D">
            <w:pPr>
              <w:pStyle w:val="BlockText-Plain"/>
              <w:jc w:val="center"/>
            </w:pPr>
            <w:r w:rsidRPr="00C9343F">
              <w:t>a.</w:t>
            </w:r>
          </w:p>
        </w:tc>
        <w:tc>
          <w:tcPr>
            <w:tcW w:w="7791" w:type="dxa"/>
            <w:gridSpan w:val="2"/>
          </w:tcPr>
          <w:p w14:paraId="4CFBAE23" w14:textId="77777777" w:rsidR="00CC7367" w:rsidRPr="00C9343F" w:rsidRDefault="00CC7367" w:rsidP="00F66D98">
            <w:pPr>
              <w:pStyle w:val="BlockText-Plain"/>
            </w:pPr>
            <w:r w:rsidRPr="00C9343F">
              <w:rPr>
                <w:iCs/>
              </w:rPr>
              <w:t>10 years of accrued service.</w:t>
            </w:r>
          </w:p>
        </w:tc>
      </w:tr>
      <w:tr w:rsidR="00CC7367" w:rsidRPr="00C9343F" w14:paraId="50F68B19" w14:textId="77777777" w:rsidTr="00374373">
        <w:trPr>
          <w:gridAfter w:val="2"/>
          <w:wAfter w:w="18" w:type="dxa"/>
          <w:trHeight w:val="340"/>
        </w:trPr>
        <w:tc>
          <w:tcPr>
            <w:tcW w:w="991" w:type="dxa"/>
          </w:tcPr>
          <w:p w14:paraId="345C037D" w14:textId="77777777" w:rsidR="00CC7367" w:rsidRPr="00C9343F" w:rsidRDefault="00CC7367" w:rsidP="00F66D98">
            <w:pPr>
              <w:pStyle w:val="BlockText-Plain"/>
              <w:jc w:val="center"/>
            </w:pPr>
          </w:p>
        </w:tc>
        <w:tc>
          <w:tcPr>
            <w:tcW w:w="567" w:type="dxa"/>
          </w:tcPr>
          <w:p w14:paraId="48FEB47E" w14:textId="77777777" w:rsidR="00CC7367" w:rsidRPr="00C9343F" w:rsidRDefault="00CC7367" w:rsidP="008D1B5D">
            <w:pPr>
              <w:pStyle w:val="BlockText-Plain"/>
              <w:jc w:val="center"/>
            </w:pPr>
            <w:r w:rsidRPr="00C9343F">
              <w:t>b.</w:t>
            </w:r>
          </w:p>
        </w:tc>
        <w:tc>
          <w:tcPr>
            <w:tcW w:w="7791" w:type="dxa"/>
            <w:gridSpan w:val="2"/>
          </w:tcPr>
          <w:p w14:paraId="6E5F16B2" w14:textId="4C3FD9B0" w:rsidR="00CC7367" w:rsidRPr="00C9343F" w:rsidRDefault="00CC7367" w:rsidP="00F66D98">
            <w:pPr>
              <w:pStyle w:val="BlockText-Plain"/>
              <w:rPr>
                <w:iCs/>
              </w:rPr>
            </w:pPr>
            <w:r w:rsidRPr="00C9343F">
              <w:t>E</w:t>
            </w:r>
            <w:r w:rsidR="00301536" w:rsidRPr="00C9343F">
              <w:t>ach full</w:t>
            </w:r>
            <w:r w:rsidRPr="00C9343F">
              <w:t xml:space="preserve"> year of accrued service</w:t>
            </w:r>
            <w:r w:rsidRPr="00C9343F">
              <w:rPr>
                <w:iCs/>
              </w:rPr>
              <w:t xml:space="preserve"> thereafter.</w:t>
            </w:r>
          </w:p>
        </w:tc>
      </w:tr>
      <w:tr w:rsidR="00CC7367" w:rsidRPr="00C9343F" w14:paraId="1A1C1958" w14:textId="77777777" w:rsidTr="00374373">
        <w:trPr>
          <w:gridAfter w:val="1"/>
          <w:wAfter w:w="9" w:type="dxa"/>
        </w:trPr>
        <w:tc>
          <w:tcPr>
            <w:tcW w:w="991" w:type="dxa"/>
          </w:tcPr>
          <w:p w14:paraId="1C1CBBB1" w14:textId="77777777" w:rsidR="00CC7367" w:rsidRPr="00C9343F" w:rsidRDefault="00CC7367" w:rsidP="00F66D98">
            <w:pPr>
              <w:pStyle w:val="BlockText-Plain"/>
              <w:jc w:val="center"/>
            </w:pPr>
            <w:r w:rsidRPr="00C9343F">
              <w:t>3.</w:t>
            </w:r>
          </w:p>
        </w:tc>
        <w:tc>
          <w:tcPr>
            <w:tcW w:w="8367" w:type="dxa"/>
            <w:gridSpan w:val="4"/>
          </w:tcPr>
          <w:p w14:paraId="15593392" w14:textId="77777777" w:rsidR="00CC7367" w:rsidRPr="00C9343F" w:rsidRDefault="00CC7367" w:rsidP="00F66D98">
            <w:pPr>
              <w:pStyle w:val="BlockText-Plain"/>
              <w:rPr>
                <w:iCs/>
              </w:rPr>
            </w:pPr>
            <w:r w:rsidRPr="00C9343F">
              <w:rPr>
                <w:iCs/>
              </w:rPr>
              <w:t>Annual long service leave credit is calculated on the following basis.</w:t>
            </w:r>
          </w:p>
        </w:tc>
      </w:tr>
      <w:tr w:rsidR="00CC7367" w:rsidRPr="00C9343F" w14:paraId="12A07BC4" w14:textId="77777777" w:rsidTr="00374373">
        <w:trPr>
          <w:gridAfter w:val="1"/>
          <w:wAfter w:w="9" w:type="dxa"/>
          <w:trHeight w:val="340"/>
        </w:trPr>
        <w:tc>
          <w:tcPr>
            <w:tcW w:w="991" w:type="dxa"/>
          </w:tcPr>
          <w:p w14:paraId="43050C60" w14:textId="77777777" w:rsidR="00CC7367" w:rsidRPr="00C9343F" w:rsidRDefault="00CC7367" w:rsidP="00F66D98">
            <w:pPr>
              <w:pStyle w:val="BlockText-Plain"/>
              <w:jc w:val="center"/>
            </w:pPr>
          </w:p>
        </w:tc>
        <w:tc>
          <w:tcPr>
            <w:tcW w:w="567" w:type="dxa"/>
          </w:tcPr>
          <w:p w14:paraId="33B89CB0" w14:textId="77777777" w:rsidR="00CC7367" w:rsidRPr="00C9343F" w:rsidRDefault="00CC7367" w:rsidP="008D1B5D">
            <w:pPr>
              <w:pStyle w:val="BlockText-Plain"/>
              <w:jc w:val="center"/>
            </w:pPr>
            <w:r w:rsidRPr="00C9343F">
              <w:t>a.</w:t>
            </w:r>
          </w:p>
        </w:tc>
        <w:tc>
          <w:tcPr>
            <w:tcW w:w="7800" w:type="dxa"/>
            <w:gridSpan w:val="3"/>
          </w:tcPr>
          <w:p w14:paraId="4C5FCF4C" w14:textId="77777777" w:rsidR="00CC7367" w:rsidRPr="00C9343F" w:rsidRDefault="00CC7367" w:rsidP="00F66D98">
            <w:pPr>
              <w:pStyle w:val="BlockText-Plain"/>
            </w:pPr>
            <w:r w:rsidRPr="00C9343F">
              <w:t>If the member is not on a flexible service determination for any period during a completed year of accrued service, the member earns 0.3 of a month long service leave credit.</w:t>
            </w:r>
          </w:p>
        </w:tc>
      </w:tr>
      <w:tr w:rsidR="00CC7367" w:rsidRPr="00C9343F" w14:paraId="01D7CACE" w14:textId="77777777" w:rsidTr="00374373">
        <w:trPr>
          <w:gridAfter w:val="1"/>
          <w:wAfter w:w="9" w:type="dxa"/>
          <w:trHeight w:val="340"/>
        </w:trPr>
        <w:tc>
          <w:tcPr>
            <w:tcW w:w="991" w:type="dxa"/>
          </w:tcPr>
          <w:p w14:paraId="31B8C9EC" w14:textId="77777777" w:rsidR="00CC7367" w:rsidRPr="00C9343F" w:rsidRDefault="00CC7367" w:rsidP="00F66D98">
            <w:pPr>
              <w:pStyle w:val="BlockText-Plain"/>
              <w:jc w:val="center"/>
            </w:pPr>
          </w:p>
        </w:tc>
        <w:tc>
          <w:tcPr>
            <w:tcW w:w="567" w:type="dxa"/>
          </w:tcPr>
          <w:p w14:paraId="192733A9" w14:textId="77777777" w:rsidR="00CC7367" w:rsidRPr="00C9343F" w:rsidRDefault="00CC7367" w:rsidP="008D1B5D">
            <w:pPr>
              <w:pStyle w:val="BlockText-Plain"/>
              <w:jc w:val="center"/>
            </w:pPr>
            <w:r w:rsidRPr="00C9343F">
              <w:t>b.</w:t>
            </w:r>
          </w:p>
        </w:tc>
        <w:tc>
          <w:tcPr>
            <w:tcW w:w="7800" w:type="dxa"/>
            <w:gridSpan w:val="3"/>
          </w:tcPr>
          <w:p w14:paraId="43F3FA58" w14:textId="162C5FE5" w:rsidR="00CC7367" w:rsidRPr="00C9343F" w:rsidRDefault="00CC7367" w:rsidP="00F66D98">
            <w:pPr>
              <w:pStyle w:val="BlockText-Plain"/>
            </w:pPr>
            <w:r w:rsidRPr="00C9343F">
              <w:t>If the member is on one or more flexible service determinations during a year of accrued service, the member’s long service leave credit for the year is the sum of the long service leave credit for each period.</w:t>
            </w:r>
          </w:p>
        </w:tc>
      </w:tr>
      <w:tr w:rsidR="00CC7367" w:rsidRPr="00C9343F" w14:paraId="7610379D" w14:textId="77777777" w:rsidTr="00374373">
        <w:trPr>
          <w:gridAfter w:val="1"/>
          <w:wAfter w:w="9" w:type="dxa"/>
        </w:trPr>
        <w:tc>
          <w:tcPr>
            <w:tcW w:w="991" w:type="dxa"/>
          </w:tcPr>
          <w:p w14:paraId="4E8BE33A" w14:textId="77777777" w:rsidR="00CC7367" w:rsidRPr="00C9343F" w:rsidRDefault="00CC7367" w:rsidP="00F66D98">
            <w:pPr>
              <w:pStyle w:val="BlockText-Plain"/>
              <w:jc w:val="center"/>
            </w:pPr>
            <w:r w:rsidRPr="00C9343F">
              <w:t>4.</w:t>
            </w:r>
          </w:p>
        </w:tc>
        <w:tc>
          <w:tcPr>
            <w:tcW w:w="8367" w:type="dxa"/>
            <w:gridSpan w:val="4"/>
          </w:tcPr>
          <w:p w14:paraId="67991039" w14:textId="77777777" w:rsidR="00CC7367" w:rsidRPr="00C9343F" w:rsidRDefault="00CC7367" w:rsidP="00F66D98">
            <w:pPr>
              <w:pStyle w:val="BlockText-Plain"/>
              <w:rPr>
                <w:iCs/>
              </w:rPr>
            </w:pPr>
            <w:r w:rsidRPr="00C9343F">
              <w:rPr>
                <w:iCs/>
              </w:rPr>
              <w:t>For the purposes of paragraph 3.b, a member's long service leave credit is calculated using the following formula.</w:t>
            </w:r>
          </w:p>
        </w:tc>
      </w:tr>
      <w:tr w:rsidR="00CC7367" w:rsidRPr="00C9343F" w14:paraId="342B5A85" w14:textId="77777777" w:rsidTr="00374373">
        <w:trPr>
          <w:gridAfter w:val="1"/>
          <w:wAfter w:w="9" w:type="dxa"/>
        </w:trPr>
        <w:tc>
          <w:tcPr>
            <w:tcW w:w="991" w:type="dxa"/>
          </w:tcPr>
          <w:p w14:paraId="67328B3A" w14:textId="77777777" w:rsidR="00CC7367" w:rsidRPr="00C9343F" w:rsidRDefault="00CC7367" w:rsidP="00F66D98">
            <w:pPr>
              <w:pStyle w:val="BlockText-Plain"/>
              <w:jc w:val="center"/>
            </w:pPr>
          </w:p>
        </w:tc>
        <w:tc>
          <w:tcPr>
            <w:tcW w:w="8367" w:type="dxa"/>
            <w:gridSpan w:val="4"/>
          </w:tcPr>
          <w:p w14:paraId="19142064" w14:textId="77777777" w:rsidR="00CC7367" w:rsidRPr="00C9343F" w:rsidRDefault="00E9487A" w:rsidP="00F66D98">
            <w:pPr>
              <w:pStyle w:val="BlockText-Plain"/>
              <w:spacing w:before="120"/>
              <w:jc w:val="center"/>
              <w:rPr>
                <w:b/>
                <w:i/>
                <w:iCs/>
              </w:rPr>
            </w:pPr>
            <m:oMathPara>
              <m:oMath>
                <m:r>
                  <m:rPr>
                    <m:sty m:val="bi"/>
                  </m:rPr>
                  <w:rPr>
                    <w:rFonts w:ascii="Cambria Math" w:hAnsi="Cambria Math"/>
                  </w:rPr>
                  <m:t>long service leave credit=</m:t>
                </m:r>
                <m:f>
                  <m:fPr>
                    <m:ctrlPr>
                      <w:rPr>
                        <w:rFonts w:ascii="Cambria Math" w:hAnsi="Cambria Math"/>
                        <w:b/>
                        <w:i/>
                        <w:iCs/>
                      </w:rPr>
                    </m:ctrlPr>
                  </m:fPr>
                  <m:num>
                    <m:r>
                      <m:rPr>
                        <m:sty m:val="bi"/>
                      </m:rPr>
                      <w:rPr>
                        <w:rFonts w:ascii="Cambria Math" w:hAnsi="Cambria Math"/>
                      </w:rPr>
                      <m:t>days</m:t>
                    </m:r>
                    <m:ctrlPr>
                      <w:rPr>
                        <w:rFonts w:ascii="Cambria Math" w:hAnsi="Cambria Math"/>
                        <w:b/>
                        <w:i/>
                      </w:rPr>
                    </m:ctrlPr>
                  </m:num>
                  <m:den>
                    <m:r>
                      <m:rPr>
                        <m:sty m:val="bi"/>
                      </m:rPr>
                      <w:rPr>
                        <w:rFonts w:ascii="Cambria Math" w:hAnsi="Cambria Math"/>
                      </w:rPr>
                      <m:t>365</m:t>
                    </m:r>
                  </m:den>
                </m:f>
                <m:r>
                  <m:rPr>
                    <m:sty m:val="bi"/>
                  </m:rPr>
                  <w:rPr>
                    <w:rFonts w:ascii="Cambria Math" w:hAnsi="Cambria Math"/>
                  </w:rPr>
                  <m:t>×</m:t>
                </m:r>
                <m:f>
                  <m:fPr>
                    <m:ctrlPr>
                      <w:rPr>
                        <w:rFonts w:ascii="Cambria Math" w:hAnsi="Cambria Math"/>
                        <w:b/>
                        <w:i/>
                        <w:iCs/>
                      </w:rPr>
                    </m:ctrlPr>
                  </m:fPr>
                  <m:num>
                    <m:r>
                      <m:rPr>
                        <m:sty m:val="bi"/>
                      </m:rPr>
                      <w:rPr>
                        <w:rFonts w:ascii="Cambria Math" w:hAnsi="Cambria Math"/>
                      </w:rPr>
                      <m:t>Hrs</m:t>
                    </m:r>
                    <m:ctrlPr>
                      <w:rPr>
                        <w:rFonts w:ascii="Cambria Math" w:hAnsi="Cambria Math"/>
                        <w:b/>
                        <w:i/>
                      </w:rPr>
                    </m:ctrlPr>
                  </m:num>
                  <m:den>
                    <m:r>
                      <m:rPr>
                        <m:sty m:val="bi"/>
                      </m:rPr>
                      <w:rPr>
                        <w:rFonts w:ascii="Cambria Math" w:hAnsi="Cambria Math"/>
                      </w:rPr>
                      <m:t>40</m:t>
                    </m:r>
                  </m:den>
                </m:f>
                <m:r>
                  <m:rPr>
                    <m:sty m:val="bi"/>
                  </m:rPr>
                  <w:rPr>
                    <w:rFonts w:ascii="Cambria Math" w:hAnsi="Cambria Math"/>
                  </w:rPr>
                  <m:t>× 0.3</m:t>
                </m:r>
              </m:oMath>
            </m:oMathPara>
          </w:p>
        </w:tc>
      </w:tr>
      <w:tr w:rsidR="00CC7367" w:rsidRPr="00C9343F" w14:paraId="0964A5B9" w14:textId="77777777" w:rsidTr="00374373">
        <w:trPr>
          <w:trHeight w:val="340"/>
        </w:trPr>
        <w:tc>
          <w:tcPr>
            <w:tcW w:w="991" w:type="dxa"/>
          </w:tcPr>
          <w:p w14:paraId="7E3C7103" w14:textId="77777777" w:rsidR="00CC7367" w:rsidRPr="00C9343F" w:rsidRDefault="00CC7367" w:rsidP="00F66D98">
            <w:pPr>
              <w:pStyle w:val="BlockText-Plain"/>
              <w:jc w:val="center"/>
              <w:rPr>
                <w:b/>
              </w:rPr>
            </w:pPr>
          </w:p>
        </w:tc>
        <w:tc>
          <w:tcPr>
            <w:tcW w:w="567" w:type="dxa"/>
          </w:tcPr>
          <w:p w14:paraId="6FC871FA" w14:textId="77777777" w:rsidR="00CC7367" w:rsidRPr="00C9343F" w:rsidRDefault="00CC7367" w:rsidP="00F66D98">
            <w:pPr>
              <w:pStyle w:val="BlockText-Plain"/>
              <w:rPr>
                <w:b/>
              </w:rPr>
            </w:pPr>
          </w:p>
        </w:tc>
        <w:tc>
          <w:tcPr>
            <w:tcW w:w="7809" w:type="dxa"/>
            <w:gridSpan w:val="4"/>
          </w:tcPr>
          <w:p w14:paraId="77C9879E" w14:textId="77777777" w:rsidR="00CC7367" w:rsidRPr="00C9343F" w:rsidRDefault="00CC7367" w:rsidP="00F66D98">
            <w:pPr>
              <w:pStyle w:val="BlockText-Plain"/>
            </w:pPr>
            <w:r w:rsidRPr="00C9343F">
              <w:t>Where:</w:t>
            </w:r>
          </w:p>
        </w:tc>
      </w:tr>
      <w:tr w:rsidR="00CC7367" w:rsidRPr="00C9343F" w14:paraId="3339EBAD" w14:textId="77777777" w:rsidTr="00374373">
        <w:trPr>
          <w:trHeight w:val="340"/>
        </w:trPr>
        <w:tc>
          <w:tcPr>
            <w:tcW w:w="991" w:type="dxa"/>
          </w:tcPr>
          <w:p w14:paraId="75365E47" w14:textId="77777777" w:rsidR="00CC7367" w:rsidRPr="00C9343F" w:rsidRDefault="00CC7367" w:rsidP="00F66D98">
            <w:pPr>
              <w:pStyle w:val="BlockText-Plain"/>
              <w:jc w:val="center"/>
              <w:rPr>
                <w:b/>
              </w:rPr>
            </w:pPr>
          </w:p>
        </w:tc>
        <w:tc>
          <w:tcPr>
            <w:tcW w:w="567" w:type="dxa"/>
          </w:tcPr>
          <w:p w14:paraId="41CBD336" w14:textId="77777777" w:rsidR="00CC7367" w:rsidRPr="00C9343F" w:rsidRDefault="00CC7367" w:rsidP="00F66D98">
            <w:pPr>
              <w:pStyle w:val="BlockText-Plain"/>
              <w:rPr>
                <w:b/>
              </w:rPr>
            </w:pPr>
          </w:p>
        </w:tc>
        <w:tc>
          <w:tcPr>
            <w:tcW w:w="705" w:type="dxa"/>
          </w:tcPr>
          <w:p w14:paraId="43729D8D" w14:textId="77777777" w:rsidR="00CC7367" w:rsidRPr="00C9343F" w:rsidRDefault="00CC7367" w:rsidP="00F66D98">
            <w:pPr>
              <w:pStyle w:val="BlockText-Plain"/>
              <w:rPr>
                <w:b/>
              </w:rPr>
            </w:pPr>
            <w:r w:rsidRPr="00C9343F">
              <w:rPr>
                <w:b/>
              </w:rPr>
              <w:t>days</w:t>
            </w:r>
          </w:p>
        </w:tc>
        <w:tc>
          <w:tcPr>
            <w:tcW w:w="7104" w:type="dxa"/>
            <w:gridSpan w:val="3"/>
          </w:tcPr>
          <w:p w14:paraId="385BC24E" w14:textId="2EDD4D77" w:rsidR="00CC7367" w:rsidRPr="00C9343F" w:rsidRDefault="00CC7367" w:rsidP="00F66D98">
            <w:pPr>
              <w:pStyle w:val="BlockText-Plain"/>
            </w:pPr>
            <w:r w:rsidRPr="00C9343F">
              <w:t>is the numbers of days in the period.</w:t>
            </w:r>
          </w:p>
        </w:tc>
      </w:tr>
      <w:tr w:rsidR="00CC7367" w:rsidRPr="00C9343F" w14:paraId="15D83FD8" w14:textId="77777777" w:rsidTr="00374373">
        <w:trPr>
          <w:trHeight w:val="340"/>
        </w:trPr>
        <w:tc>
          <w:tcPr>
            <w:tcW w:w="991" w:type="dxa"/>
          </w:tcPr>
          <w:p w14:paraId="50130E4F" w14:textId="77777777" w:rsidR="00CC7367" w:rsidRPr="00C9343F" w:rsidRDefault="00CC7367" w:rsidP="00F66D98">
            <w:pPr>
              <w:pStyle w:val="BlockText-Plain"/>
              <w:jc w:val="center"/>
              <w:rPr>
                <w:b/>
              </w:rPr>
            </w:pPr>
          </w:p>
        </w:tc>
        <w:tc>
          <w:tcPr>
            <w:tcW w:w="567" w:type="dxa"/>
          </w:tcPr>
          <w:p w14:paraId="0618CAF6" w14:textId="77777777" w:rsidR="00CC7367" w:rsidRPr="00C9343F" w:rsidRDefault="00CC7367" w:rsidP="00F66D98">
            <w:pPr>
              <w:pStyle w:val="BlockText-Plain"/>
              <w:rPr>
                <w:b/>
              </w:rPr>
            </w:pPr>
          </w:p>
        </w:tc>
        <w:tc>
          <w:tcPr>
            <w:tcW w:w="705" w:type="dxa"/>
          </w:tcPr>
          <w:p w14:paraId="002F062E" w14:textId="77777777" w:rsidR="00CC7367" w:rsidRPr="00C9343F" w:rsidRDefault="00CC7367" w:rsidP="00F66D98">
            <w:pPr>
              <w:pStyle w:val="BlockText-Plain"/>
              <w:rPr>
                <w:b/>
              </w:rPr>
            </w:pPr>
            <w:r w:rsidRPr="00C9343F">
              <w:rPr>
                <w:b/>
              </w:rPr>
              <w:t>Hrs</w:t>
            </w:r>
          </w:p>
        </w:tc>
        <w:tc>
          <w:tcPr>
            <w:tcW w:w="7104" w:type="dxa"/>
            <w:gridSpan w:val="3"/>
          </w:tcPr>
          <w:p w14:paraId="270CB8C7" w14:textId="77777777" w:rsidR="00CC7367" w:rsidRPr="00C9343F" w:rsidRDefault="00CC7367" w:rsidP="00F66D98">
            <w:pPr>
              <w:pStyle w:val="BlockText-Plain"/>
            </w:pPr>
            <w:r w:rsidRPr="00C9343F">
              <w:t>is the number of hours worked each week calculated using the following.</w:t>
            </w:r>
          </w:p>
          <w:p w14:paraId="2E196843" w14:textId="77777777" w:rsidR="00CC7367" w:rsidRPr="00C9343F" w:rsidRDefault="00CC7367" w:rsidP="00F66D98">
            <w:pPr>
              <w:pStyle w:val="BlockText-Plain"/>
              <w:tabs>
                <w:tab w:val="left" w:pos="176"/>
                <w:tab w:val="left" w:pos="459"/>
              </w:tabs>
              <w:ind w:left="459" w:hanging="459"/>
            </w:pPr>
            <w:r w:rsidRPr="00C9343F">
              <w:tab/>
              <w:t>–</w:t>
            </w:r>
            <w:r w:rsidRPr="00C9343F">
              <w:tab/>
              <w:t>Eight hours for any full day of duty.</w:t>
            </w:r>
          </w:p>
          <w:p w14:paraId="619E6D69" w14:textId="07527B24" w:rsidR="00CC7367" w:rsidRPr="00C9343F" w:rsidRDefault="00CC7367" w:rsidP="00F66D98">
            <w:pPr>
              <w:pStyle w:val="BlockText-Plain"/>
              <w:tabs>
                <w:tab w:val="left" w:pos="176"/>
                <w:tab w:val="left" w:pos="459"/>
              </w:tabs>
              <w:ind w:left="459" w:hanging="459"/>
            </w:pPr>
            <w:r w:rsidRPr="00C9343F">
              <w:tab/>
              <w:t>–</w:t>
            </w:r>
            <w:r w:rsidRPr="00C9343F">
              <w:tab/>
              <w:t>The number of duty hours under the flexible service determination for any part day.</w:t>
            </w:r>
          </w:p>
        </w:tc>
      </w:tr>
    </w:tbl>
    <w:p w14:paraId="24160E1F" w14:textId="5B5E38F2" w:rsidR="00117374" w:rsidRPr="00C9343F" w:rsidRDefault="00117374" w:rsidP="00F66D98">
      <w:pPr>
        <w:pStyle w:val="Heading5"/>
        <w:rPr>
          <w:rFonts w:cs="Arial"/>
          <w:color w:val="000000"/>
          <w:szCs w:val="22"/>
        </w:rPr>
      </w:pPr>
      <w:bookmarkStart w:id="1380" w:name="_Toc105054031"/>
      <w:bookmarkStart w:id="1381" w:name="bk1546405310Grantofotherleavewithlongse"/>
      <w:bookmarkStart w:id="1382" w:name="bk1055595310Grantofotherleavewithlongse"/>
      <w:bookmarkStart w:id="1383" w:name="bk1151585310Grantofotherleavewithlongse"/>
      <w:bookmarkStart w:id="1384" w:name="bk1157215310Grantofotherleavewithlongse"/>
      <w:bookmarkStart w:id="1385" w:name="bk11013PM5316Recreditoflongserviceleave"/>
      <w:bookmarkStart w:id="1386" w:name="bk13335PM5316Recreditoflongserviceleave"/>
      <w:bookmarkStart w:id="1387" w:name="bk13705PM5316Recreditoflongserviceleave"/>
      <w:bookmarkStart w:id="1388" w:name="bk41443PM5310Recreditoflongserviceleave"/>
      <w:bookmarkStart w:id="1389" w:name="bk937275310Recreditoflongserviceleave"/>
      <w:bookmarkStart w:id="1390" w:name="bk938175310Recreditoflongserviceleave"/>
      <w:bookmarkEnd w:id="1370"/>
      <w:bookmarkEnd w:id="1371"/>
      <w:bookmarkEnd w:id="1372"/>
      <w:bookmarkEnd w:id="1373"/>
      <w:bookmarkEnd w:id="1374"/>
      <w:bookmarkEnd w:id="1375"/>
      <w:bookmarkEnd w:id="1376"/>
      <w:bookmarkEnd w:id="1377"/>
      <w:bookmarkEnd w:id="1378"/>
      <w:bookmarkEnd w:id="1379"/>
      <w:r w:rsidRPr="00C9343F">
        <w:rPr>
          <w:rFonts w:cs="Arial"/>
          <w:color w:val="000000"/>
          <w:szCs w:val="22"/>
        </w:rPr>
        <w:t>5.5.9</w:t>
      </w:r>
      <w:r w:rsidR="00D94006" w:rsidRPr="00C9343F">
        <w:rPr>
          <w:rFonts w:cs="Arial"/>
          <w:color w:val="000000"/>
          <w:szCs w:val="22"/>
        </w:rPr>
        <w:t>    </w:t>
      </w:r>
      <w:r w:rsidRPr="00C9343F">
        <w:rPr>
          <w:rFonts w:cs="Arial"/>
          <w:color w:val="000000"/>
          <w:szCs w:val="22"/>
        </w:rPr>
        <w:t>Eligibility to take leave</w:t>
      </w:r>
      <w:bookmarkEnd w:id="1380"/>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563"/>
        <w:gridCol w:w="567"/>
        <w:gridCol w:w="7238"/>
      </w:tblGrid>
      <w:tr w:rsidR="00117374" w:rsidRPr="00C9343F" w14:paraId="41975888" w14:textId="77777777" w:rsidTr="00117374">
        <w:tc>
          <w:tcPr>
            <w:tcW w:w="992" w:type="dxa"/>
            <w:shd w:val="clear" w:color="auto" w:fill="FFFFFF"/>
            <w:tcMar>
              <w:top w:w="0" w:type="dxa"/>
              <w:left w:w="108" w:type="dxa"/>
              <w:bottom w:w="0" w:type="dxa"/>
              <w:right w:w="108" w:type="dxa"/>
            </w:tcMar>
            <w:hideMark/>
          </w:tcPr>
          <w:p w14:paraId="7D288E21"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1.</w:t>
            </w:r>
          </w:p>
        </w:tc>
        <w:tc>
          <w:tcPr>
            <w:tcW w:w="8368" w:type="dxa"/>
            <w:gridSpan w:val="3"/>
            <w:shd w:val="clear" w:color="auto" w:fill="FFFFFF"/>
            <w:tcMar>
              <w:top w:w="0" w:type="dxa"/>
              <w:left w:w="108" w:type="dxa"/>
              <w:bottom w:w="0" w:type="dxa"/>
              <w:right w:w="108" w:type="dxa"/>
            </w:tcMar>
            <w:hideMark/>
          </w:tcPr>
          <w:p w14:paraId="17E18426"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A member is eligible to take leave using long service leave credits if the CDF approves an application and all of the following apply.</w:t>
            </w:r>
          </w:p>
        </w:tc>
      </w:tr>
      <w:tr w:rsidR="00117374" w:rsidRPr="00C9343F" w14:paraId="5C87C0CA" w14:textId="77777777" w:rsidTr="00117374">
        <w:tc>
          <w:tcPr>
            <w:tcW w:w="992" w:type="dxa"/>
            <w:shd w:val="clear" w:color="auto" w:fill="FFFFFF"/>
            <w:tcMar>
              <w:top w:w="0" w:type="dxa"/>
              <w:left w:w="108" w:type="dxa"/>
              <w:bottom w:w="0" w:type="dxa"/>
              <w:right w:w="108" w:type="dxa"/>
            </w:tcMar>
            <w:hideMark/>
          </w:tcPr>
          <w:p w14:paraId="662C321F"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488BAB80"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a.</w:t>
            </w:r>
          </w:p>
        </w:tc>
        <w:tc>
          <w:tcPr>
            <w:tcW w:w="7805" w:type="dxa"/>
            <w:gridSpan w:val="2"/>
            <w:shd w:val="clear" w:color="auto" w:fill="FFFFFF"/>
            <w:tcMar>
              <w:top w:w="0" w:type="dxa"/>
              <w:left w:w="108" w:type="dxa"/>
              <w:bottom w:w="0" w:type="dxa"/>
              <w:right w:w="108" w:type="dxa"/>
            </w:tcMar>
            <w:hideMark/>
          </w:tcPr>
          <w:p w14:paraId="313F17FB"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member applies for leave using the approved form.</w:t>
            </w:r>
          </w:p>
        </w:tc>
      </w:tr>
      <w:tr w:rsidR="00117374" w:rsidRPr="00C9343F" w14:paraId="2FF5B0E1" w14:textId="77777777" w:rsidTr="00117374">
        <w:tc>
          <w:tcPr>
            <w:tcW w:w="992" w:type="dxa"/>
            <w:shd w:val="clear" w:color="auto" w:fill="FFFFFF"/>
            <w:tcMar>
              <w:top w:w="0" w:type="dxa"/>
              <w:left w:w="108" w:type="dxa"/>
              <w:bottom w:w="0" w:type="dxa"/>
              <w:right w:w="108" w:type="dxa"/>
            </w:tcMar>
            <w:hideMark/>
          </w:tcPr>
          <w:p w14:paraId="5EFBDF98"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7FBDBEBB"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b.</w:t>
            </w:r>
          </w:p>
        </w:tc>
        <w:tc>
          <w:tcPr>
            <w:tcW w:w="7805" w:type="dxa"/>
            <w:gridSpan w:val="2"/>
            <w:shd w:val="clear" w:color="auto" w:fill="FFFFFF"/>
            <w:tcMar>
              <w:top w:w="0" w:type="dxa"/>
              <w:left w:w="108" w:type="dxa"/>
              <w:bottom w:w="0" w:type="dxa"/>
              <w:right w:w="108" w:type="dxa"/>
            </w:tcMar>
            <w:hideMark/>
          </w:tcPr>
          <w:p w14:paraId="2D4AF715"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application for leave has been submitted not less than 30 days before the day on which the leave is to start.</w:t>
            </w:r>
          </w:p>
        </w:tc>
      </w:tr>
      <w:tr w:rsidR="00117374" w:rsidRPr="00C9343F" w14:paraId="208F034F" w14:textId="77777777" w:rsidTr="00117374">
        <w:tc>
          <w:tcPr>
            <w:tcW w:w="992" w:type="dxa"/>
            <w:shd w:val="clear" w:color="auto" w:fill="FFFFFF"/>
            <w:tcMar>
              <w:top w:w="0" w:type="dxa"/>
              <w:left w:w="108" w:type="dxa"/>
              <w:bottom w:w="0" w:type="dxa"/>
              <w:right w:w="108" w:type="dxa"/>
            </w:tcMar>
            <w:hideMark/>
          </w:tcPr>
          <w:p w14:paraId="7F8F6FD1"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3CC19B17"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c.</w:t>
            </w:r>
          </w:p>
        </w:tc>
        <w:tc>
          <w:tcPr>
            <w:tcW w:w="7805" w:type="dxa"/>
            <w:gridSpan w:val="2"/>
            <w:shd w:val="clear" w:color="auto" w:fill="FFFFFF"/>
            <w:tcMar>
              <w:top w:w="0" w:type="dxa"/>
              <w:left w:w="108" w:type="dxa"/>
              <w:bottom w:w="0" w:type="dxa"/>
              <w:right w:w="108" w:type="dxa"/>
            </w:tcMar>
            <w:hideMark/>
          </w:tcPr>
          <w:p w14:paraId="6A678610"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period of leave applied for is not less than the following.</w:t>
            </w:r>
          </w:p>
        </w:tc>
      </w:tr>
      <w:tr w:rsidR="00117374" w:rsidRPr="00C9343F" w14:paraId="222B0472" w14:textId="77777777" w:rsidTr="00117374">
        <w:tc>
          <w:tcPr>
            <w:tcW w:w="992" w:type="dxa"/>
            <w:shd w:val="clear" w:color="auto" w:fill="FFFFFF"/>
            <w:tcMar>
              <w:top w:w="0" w:type="dxa"/>
              <w:left w:w="108" w:type="dxa"/>
              <w:bottom w:w="0" w:type="dxa"/>
              <w:right w:w="108" w:type="dxa"/>
            </w:tcMar>
            <w:hideMark/>
          </w:tcPr>
          <w:p w14:paraId="297EABF7"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7B97FA65"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 </w:t>
            </w:r>
          </w:p>
        </w:tc>
        <w:tc>
          <w:tcPr>
            <w:tcW w:w="567" w:type="dxa"/>
            <w:shd w:val="clear" w:color="auto" w:fill="FFFFFF"/>
            <w:tcMar>
              <w:top w:w="0" w:type="dxa"/>
              <w:left w:w="108" w:type="dxa"/>
              <w:bottom w:w="0" w:type="dxa"/>
              <w:right w:w="108" w:type="dxa"/>
            </w:tcMar>
            <w:hideMark/>
          </w:tcPr>
          <w:p w14:paraId="106DE277" w14:textId="77777777" w:rsidR="00117374" w:rsidRPr="00C9343F" w:rsidRDefault="00117374" w:rsidP="00E62EB5">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w:t>
            </w:r>
          </w:p>
        </w:tc>
        <w:tc>
          <w:tcPr>
            <w:tcW w:w="7238" w:type="dxa"/>
            <w:shd w:val="clear" w:color="auto" w:fill="FFFFFF"/>
            <w:tcMar>
              <w:top w:w="0" w:type="dxa"/>
              <w:left w:w="108" w:type="dxa"/>
              <w:bottom w:w="0" w:type="dxa"/>
              <w:right w:w="108" w:type="dxa"/>
            </w:tcMar>
            <w:hideMark/>
          </w:tcPr>
          <w:p w14:paraId="6295A6C0"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If leave is taken at full pay — seven days.</w:t>
            </w:r>
          </w:p>
        </w:tc>
      </w:tr>
      <w:tr w:rsidR="00117374" w:rsidRPr="00C9343F" w14:paraId="1B0F6423" w14:textId="77777777" w:rsidTr="00117374">
        <w:tc>
          <w:tcPr>
            <w:tcW w:w="992" w:type="dxa"/>
            <w:shd w:val="clear" w:color="auto" w:fill="FFFFFF"/>
            <w:tcMar>
              <w:top w:w="0" w:type="dxa"/>
              <w:left w:w="108" w:type="dxa"/>
              <w:bottom w:w="0" w:type="dxa"/>
              <w:right w:w="108" w:type="dxa"/>
            </w:tcMar>
            <w:hideMark/>
          </w:tcPr>
          <w:p w14:paraId="67564415"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737EBC15"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 </w:t>
            </w:r>
          </w:p>
        </w:tc>
        <w:tc>
          <w:tcPr>
            <w:tcW w:w="567" w:type="dxa"/>
            <w:shd w:val="clear" w:color="auto" w:fill="FFFFFF"/>
            <w:tcMar>
              <w:top w:w="0" w:type="dxa"/>
              <w:left w:w="108" w:type="dxa"/>
              <w:bottom w:w="0" w:type="dxa"/>
              <w:right w:w="108" w:type="dxa"/>
            </w:tcMar>
            <w:hideMark/>
          </w:tcPr>
          <w:p w14:paraId="60026564" w14:textId="77777777" w:rsidR="00117374" w:rsidRPr="00C9343F" w:rsidRDefault="00117374" w:rsidP="00E62EB5">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ii.</w:t>
            </w:r>
          </w:p>
        </w:tc>
        <w:tc>
          <w:tcPr>
            <w:tcW w:w="7238" w:type="dxa"/>
            <w:shd w:val="clear" w:color="auto" w:fill="FFFFFF"/>
            <w:tcMar>
              <w:top w:w="0" w:type="dxa"/>
              <w:left w:w="108" w:type="dxa"/>
              <w:bottom w:w="0" w:type="dxa"/>
              <w:right w:w="108" w:type="dxa"/>
            </w:tcMar>
            <w:hideMark/>
          </w:tcPr>
          <w:p w14:paraId="56F89F98"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If leave is taken at half pay — 14 days.</w:t>
            </w:r>
          </w:p>
        </w:tc>
      </w:tr>
      <w:tr w:rsidR="00117374" w:rsidRPr="00C9343F" w14:paraId="51AEDDCC" w14:textId="77777777" w:rsidTr="00117374">
        <w:tc>
          <w:tcPr>
            <w:tcW w:w="992" w:type="dxa"/>
            <w:shd w:val="clear" w:color="auto" w:fill="FFFFFF"/>
            <w:tcMar>
              <w:top w:w="0" w:type="dxa"/>
              <w:left w:w="108" w:type="dxa"/>
              <w:bottom w:w="0" w:type="dxa"/>
              <w:right w:w="108" w:type="dxa"/>
            </w:tcMar>
            <w:hideMark/>
          </w:tcPr>
          <w:p w14:paraId="388144FE"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5240998B"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 </w:t>
            </w:r>
          </w:p>
        </w:tc>
        <w:tc>
          <w:tcPr>
            <w:tcW w:w="567" w:type="dxa"/>
            <w:shd w:val="clear" w:color="auto" w:fill="FFFFFF"/>
            <w:tcMar>
              <w:top w:w="0" w:type="dxa"/>
              <w:left w:w="108" w:type="dxa"/>
              <w:bottom w:w="0" w:type="dxa"/>
              <w:right w:w="108" w:type="dxa"/>
            </w:tcMar>
            <w:hideMark/>
          </w:tcPr>
          <w:p w14:paraId="134F3819" w14:textId="77777777" w:rsidR="00117374" w:rsidRPr="00C9343F" w:rsidRDefault="00117374" w:rsidP="00E62EB5">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iii.</w:t>
            </w:r>
          </w:p>
        </w:tc>
        <w:tc>
          <w:tcPr>
            <w:tcW w:w="7238" w:type="dxa"/>
            <w:shd w:val="clear" w:color="auto" w:fill="FFFFFF"/>
            <w:tcMar>
              <w:top w:w="0" w:type="dxa"/>
              <w:left w:w="108" w:type="dxa"/>
              <w:bottom w:w="0" w:type="dxa"/>
              <w:right w:w="108" w:type="dxa"/>
            </w:tcMar>
            <w:hideMark/>
          </w:tcPr>
          <w:p w14:paraId="6127DF50"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If the CDF is satisfied that there are compassionate reasons — one day.</w:t>
            </w:r>
          </w:p>
        </w:tc>
      </w:tr>
      <w:tr w:rsidR="00117374" w:rsidRPr="00C9343F" w14:paraId="5ACBE479" w14:textId="77777777" w:rsidTr="00117374">
        <w:tc>
          <w:tcPr>
            <w:tcW w:w="992" w:type="dxa"/>
            <w:shd w:val="clear" w:color="auto" w:fill="FFFFFF"/>
            <w:tcMar>
              <w:top w:w="0" w:type="dxa"/>
              <w:left w:w="108" w:type="dxa"/>
              <w:bottom w:w="0" w:type="dxa"/>
              <w:right w:w="108" w:type="dxa"/>
            </w:tcMar>
            <w:hideMark/>
          </w:tcPr>
          <w:p w14:paraId="3C7FBDDE"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0BA3B090"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d.</w:t>
            </w:r>
          </w:p>
        </w:tc>
        <w:tc>
          <w:tcPr>
            <w:tcW w:w="7805" w:type="dxa"/>
            <w:gridSpan w:val="2"/>
            <w:shd w:val="clear" w:color="auto" w:fill="FFFFFF"/>
            <w:tcMar>
              <w:top w:w="0" w:type="dxa"/>
              <w:left w:w="108" w:type="dxa"/>
              <w:bottom w:w="0" w:type="dxa"/>
              <w:right w:w="108" w:type="dxa"/>
            </w:tcMar>
            <w:hideMark/>
          </w:tcPr>
          <w:p w14:paraId="21B93FA8"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If the member has previously taken leave using long service leave credits, the member has been available for duty for a least 14 days from the last day of the previous period of leave taken using long service leave credits.</w:t>
            </w:r>
          </w:p>
        </w:tc>
      </w:tr>
      <w:tr w:rsidR="00117374" w:rsidRPr="00C9343F" w14:paraId="020A6432" w14:textId="77777777" w:rsidTr="00117374">
        <w:tc>
          <w:tcPr>
            <w:tcW w:w="992" w:type="dxa"/>
            <w:shd w:val="clear" w:color="auto" w:fill="FFFFFF"/>
            <w:tcMar>
              <w:top w:w="0" w:type="dxa"/>
              <w:left w:w="108" w:type="dxa"/>
              <w:bottom w:w="0" w:type="dxa"/>
              <w:right w:w="108" w:type="dxa"/>
            </w:tcMar>
            <w:hideMark/>
          </w:tcPr>
          <w:p w14:paraId="5B08EAFE"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002C07D7"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e.</w:t>
            </w:r>
          </w:p>
        </w:tc>
        <w:tc>
          <w:tcPr>
            <w:tcW w:w="7805" w:type="dxa"/>
            <w:gridSpan w:val="2"/>
            <w:shd w:val="clear" w:color="auto" w:fill="FFFFFF"/>
            <w:tcMar>
              <w:top w:w="0" w:type="dxa"/>
              <w:left w:w="108" w:type="dxa"/>
              <w:bottom w:w="0" w:type="dxa"/>
              <w:right w:w="108" w:type="dxa"/>
            </w:tcMar>
            <w:hideMark/>
          </w:tcPr>
          <w:p w14:paraId="3435765C"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period of leave does not include a part day.</w:t>
            </w:r>
          </w:p>
        </w:tc>
      </w:tr>
      <w:tr w:rsidR="00117374" w:rsidRPr="00C9343F" w14:paraId="78BD0D3E" w14:textId="77777777" w:rsidTr="00117374">
        <w:tc>
          <w:tcPr>
            <w:tcW w:w="992" w:type="dxa"/>
            <w:shd w:val="clear" w:color="auto" w:fill="FFFFFF"/>
            <w:tcMar>
              <w:top w:w="0" w:type="dxa"/>
              <w:left w:w="108" w:type="dxa"/>
              <w:bottom w:w="0" w:type="dxa"/>
              <w:right w:w="108" w:type="dxa"/>
            </w:tcMar>
            <w:hideMark/>
          </w:tcPr>
          <w:p w14:paraId="63B27993"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2.</w:t>
            </w:r>
          </w:p>
        </w:tc>
        <w:tc>
          <w:tcPr>
            <w:tcW w:w="8368" w:type="dxa"/>
            <w:gridSpan w:val="3"/>
            <w:shd w:val="clear" w:color="auto" w:fill="FFFFFF"/>
            <w:tcMar>
              <w:top w:w="0" w:type="dxa"/>
              <w:left w:w="108" w:type="dxa"/>
              <w:bottom w:w="0" w:type="dxa"/>
              <w:right w:w="108" w:type="dxa"/>
            </w:tcMar>
            <w:hideMark/>
          </w:tcPr>
          <w:p w14:paraId="50EEEB13"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For the purpose of paragraph 1.d, a member is available for duty if they are not on either of the following.</w:t>
            </w:r>
          </w:p>
        </w:tc>
      </w:tr>
      <w:tr w:rsidR="00117374" w:rsidRPr="00C9343F" w14:paraId="7A6D9674" w14:textId="77777777" w:rsidTr="00117374">
        <w:tc>
          <w:tcPr>
            <w:tcW w:w="992" w:type="dxa"/>
            <w:shd w:val="clear" w:color="auto" w:fill="FFFFFF"/>
            <w:tcMar>
              <w:top w:w="0" w:type="dxa"/>
              <w:left w:w="108" w:type="dxa"/>
              <w:bottom w:w="0" w:type="dxa"/>
              <w:right w:w="108" w:type="dxa"/>
            </w:tcMar>
            <w:hideMark/>
          </w:tcPr>
          <w:p w14:paraId="07B1FF75"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52A1EFC3"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a.</w:t>
            </w:r>
          </w:p>
        </w:tc>
        <w:tc>
          <w:tcPr>
            <w:tcW w:w="7805" w:type="dxa"/>
            <w:gridSpan w:val="2"/>
            <w:shd w:val="clear" w:color="auto" w:fill="FFFFFF"/>
            <w:tcMar>
              <w:top w:w="0" w:type="dxa"/>
              <w:left w:w="108" w:type="dxa"/>
              <w:bottom w:w="0" w:type="dxa"/>
              <w:right w:w="108" w:type="dxa"/>
            </w:tcMar>
            <w:hideMark/>
          </w:tcPr>
          <w:p w14:paraId="2977F7E3"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A type of leave other than short absence leave, a medical absence or examination leave.</w:t>
            </w:r>
          </w:p>
        </w:tc>
      </w:tr>
      <w:tr w:rsidR="00117374" w:rsidRPr="00C9343F" w14:paraId="515CE15B" w14:textId="77777777" w:rsidTr="00117374">
        <w:tc>
          <w:tcPr>
            <w:tcW w:w="992" w:type="dxa"/>
            <w:shd w:val="clear" w:color="auto" w:fill="FFFFFF"/>
            <w:tcMar>
              <w:top w:w="0" w:type="dxa"/>
              <w:left w:w="108" w:type="dxa"/>
              <w:bottom w:w="0" w:type="dxa"/>
              <w:right w:w="108" w:type="dxa"/>
            </w:tcMar>
            <w:hideMark/>
          </w:tcPr>
          <w:p w14:paraId="5931DBEC"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68CEC945"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b.</w:t>
            </w:r>
          </w:p>
        </w:tc>
        <w:tc>
          <w:tcPr>
            <w:tcW w:w="7805" w:type="dxa"/>
            <w:gridSpan w:val="2"/>
            <w:shd w:val="clear" w:color="auto" w:fill="FFFFFF"/>
            <w:tcMar>
              <w:top w:w="0" w:type="dxa"/>
              <w:left w:w="108" w:type="dxa"/>
              <w:bottom w:w="0" w:type="dxa"/>
              <w:right w:w="108" w:type="dxa"/>
            </w:tcMar>
            <w:hideMark/>
          </w:tcPr>
          <w:p w14:paraId="600C426B"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The Christmas stand-down.</w:t>
            </w:r>
          </w:p>
        </w:tc>
      </w:tr>
      <w:tr w:rsidR="00117374" w:rsidRPr="00C9343F" w14:paraId="37E927CD" w14:textId="77777777" w:rsidTr="00117374">
        <w:tc>
          <w:tcPr>
            <w:tcW w:w="992" w:type="dxa"/>
            <w:shd w:val="clear" w:color="auto" w:fill="FFFFFF"/>
            <w:tcMar>
              <w:top w:w="0" w:type="dxa"/>
              <w:left w:w="108" w:type="dxa"/>
              <w:bottom w:w="0" w:type="dxa"/>
              <w:right w:w="108" w:type="dxa"/>
            </w:tcMar>
            <w:hideMark/>
          </w:tcPr>
          <w:p w14:paraId="733E3BC5"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3.</w:t>
            </w:r>
          </w:p>
        </w:tc>
        <w:tc>
          <w:tcPr>
            <w:tcW w:w="8368" w:type="dxa"/>
            <w:gridSpan w:val="3"/>
            <w:shd w:val="clear" w:color="auto" w:fill="FFFFFF"/>
            <w:tcMar>
              <w:top w:w="0" w:type="dxa"/>
              <w:left w:w="108" w:type="dxa"/>
              <w:bottom w:w="0" w:type="dxa"/>
              <w:right w:w="108" w:type="dxa"/>
            </w:tcMar>
            <w:hideMark/>
          </w:tcPr>
          <w:p w14:paraId="3587DAFF"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Paragraphs 1.b and 1.d do not apply if the CDF is satisfied it is reasonable in the circumstances.</w:t>
            </w:r>
          </w:p>
        </w:tc>
      </w:tr>
    </w:tbl>
    <w:p w14:paraId="06A8C209" w14:textId="5AA13EC9" w:rsidR="00117374" w:rsidRPr="00C9343F" w:rsidRDefault="00117374" w:rsidP="00F66D98">
      <w:pPr>
        <w:pStyle w:val="Heading5"/>
        <w:rPr>
          <w:rFonts w:cs="Arial"/>
          <w:color w:val="000000"/>
          <w:szCs w:val="22"/>
        </w:rPr>
      </w:pPr>
      <w:bookmarkStart w:id="1391" w:name="_Toc105054032"/>
      <w:bookmarkStart w:id="1392" w:name="bk1055595311Grantoflongserviceleavetome"/>
      <w:bookmarkStart w:id="1393" w:name="bk1151585311Grantoflongserviceleavetome"/>
      <w:bookmarkStart w:id="1394" w:name="bk1157215311Grantoflongserviceleavetome"/>
      <w:bookmarkStart w:id="1395" w:name="bk1546405311Recreditoflongserviceleave"/>
      <w:bookmarkEnd w:id="1381"/>
      <w:bookmarkEnd w:id="1382"/>
      <w:bookmarkEnd w:id="1383"/>
      <w:bookmarkEnd w:id="1384"/>
      <w:r w:rsidRPr="00C9343F">
        <w:rPr>
          <w:rFonts w:cs="Arial"/>
          <w:color w:val="000000"/>
          <w:szCs w:val="22"/>
        </w:rPr>
        <w:t>5.5.10</w:t>
      </w:r>
      <w:r w:rsidR="00D94006" w:rsidRPr="00C9343F">
        <w:rPr>
          <w:rFonts w:cs="Arial"/>
          <w:color w:val="000000"/>
          <w:szCs w:val="22"/>
        </w:rPr>
        <w:t>    </w:t>
      </w:r>
      <w:r w:rsidRPr="00C9343F">
        <w:rPr>
          <w:rFonts w:cs="Arial"/>
          <w:color w:val="000000"/>
          <w:szCs w:val="22"/>
        </w:rPr>
        <w:t>Taking leave and long service leave credits</w:t>
      </w:r>
      <w:bookmarkEnd w:id="1391"/>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563"/>
        <w:gridCol w:w="7805"/>
      </w:tblGrid>
      <w:tr w:rsidR="00117374" w:rsidRPr="00C9343F" w14:paraId="64172AEF" w14:textId="77777777" w:rsidTr="00117374">
        <w:tc>
          <w:tcPr>
            <w:tcW w:w="992" w:type="dxa"/>
            <w:shd w:val="clear" w:color="auto" w:fill="FFFFFF"/>
            <w:tcMar>
              <w:top w:w="0" w:type="dxa"/>
              <w:left w:w="108" w:type="dxa"/>
              <w:bottom w:w="0" w:type="dxa"/>
              <w:right w:w="108" w:type="dxa"/>
            </w:tcMar>
            <w:hideMark/>
          </w:tcPr>
          <w:p w14:paraId="13288F97"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1.</w:t>
            </w:r>
          </w:p>
        </w:tc>
        <w:tc>
          <w:tcPr>
            <w:tcW w:w="8367" w:type="dxa"/>
            <w:gridSpan w:val="2"/>
            <w:shd w:val="clear" w:color="auto" w:fill="FFFFFF"/>
            <w:tcMar>
              <w:top w:w="0" w:type="dxa"/>
              <w:left w:w="108" w:type="dxa"/>
              <w:bottom w:w="0" w:type="dxa"/>
              <w:right w:w="108" w:type="dxa"/>
            </w:tcMar>
            <w:hideMark/>
          </w:tcPr>
          <w:p w14:paraId="16194FCD"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If a member takes leave using long service leave credits, the member’s long service leave credits are reduced in accordance with the following.</w:t>
            </w:r>
          </w:p>
        </w:tc>
      </w:tr>
      <w:tr w:rsidR="00117374" w:rsidRPr="00C9343F" w14:paraId="690EF31F" w14:textId="77777777" w:rsidTr="00117374">
        <w:tc>
          <w:tcPr>
            <w:tcW w:w="992" w:type="dxa"/>
            <w:shd w:val="clear" w:color="auto" w:fill="FFFFFF"/>
            <w:tcMar>
              <w:top w:w="0" w:type="dxa"/>
              <w:left w:w="108" w:type="dxa"/>
              <w:bottom w:w="0" w:type="dxa"/>
              <w:right w:w="108" w:type="dxa"/>
            </w:tcMar>
            <w:hideMark/>
          </w:tcPr>
          <w:p w14:paraId="67D70D41"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40246F2C"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a.</w:t>
            </w:r>
          </w:p>
        </w:tc>
        <w:tc>
          <w:tcPr>
            <w:tcW w:w="7804" w:type="dxa"/>
            <w:shd w:val="clear" w:color="auto" w:fill="FFFFFF"/>
            <w:tcMar>
              <w:top w:w="0" w:type="dxa"/>
              <w:left w:w="108" w:type="dxa"/>
              <w:bottom w:w="0" w:type="dxa"/>
              <w:right w:w="108" w:type="dxa"/>
            </w:tcMar>
            <w:hideMark/>
          </w:tcPr>
          <w:p w14:paraId="50C9CECA"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If the leave is taken at full pay — by the period of leave.</w:t>
            </w:r>
          </w:p>
        </w:tc>
      </w:tr>
      <w:tr w:rsidR="00117374" w:rsidRPr="00C9343F" w14:paraId="4C3FC2C5" w14:textId="77777777" w:rsidTr="00117374">
        <w:tc>
          <w:tcPr>
            <w:tcW w:w="992" w:type="dxa"/>
            <w:shd w:val="clear" w:color="auto" w:fill="FFFFFF"/>
            <w:tcMar>
              <w:top w:w="0" w:type="dxa"/>
              <w:left w:w="108" w:type="dxa"/>
              <w:bottom w:w="0" w:type="dxa"/>
              <w:right w:w="108" w:type="dxa"/>
            </w:tcMar>
            <w:hideMark/>
          </w:tcPr>
          <w:p w14:paraId="7D91E0FF"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 </w:t>
            </w:r>
          </w:p>
        </w:tc>
        <w:tc>
          <w:tcPr>
            <w:tcW w:w="563" w:type="dxa"/>
            <w:shd w:val="clear" w:color="auto" w:fill="FFFFFF"/>
            <w:tcMar>
              <w:top w:w="0" w:type="dxa"/>
              <w:left w:w="108" w:type="dxa"/>
              <w:bottom w:w="0" w:type="dxa"/>
              <w:right w:w="108" w:type="dxa"/>
            </w:tcMar>
            <w:hideMark/>
          </w:tcPr>
          <w:p w14:paraId="607196B0"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b.</w:t>
            </w:r>
          </w:p>
        </w:tc>
        <w:tc>
          <w:tcPr>
            <w:tcW w:w="7804" w:type="dxa"/>
            <w:shd w:val="clear" w:color="auto" w:fill="FFFFFF"/>
            <w:tcMar>
              <w:top w:w="0" w:type="dxa"/>
              <w:left w:w="108" w:type="dxa"/>
              <w:bottom w:w="0" w:type="dxa"/>
              <w:right w:w="108" w:type="dxa"/>
            </w:tcMar>
            <w:hideMark/>
          </w:tcPr>
          <w:p w14:paraId="00AEC81D"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If the leave is taken at half pay — by half the period of leave.</w:t>
            </w:r>
          </w:p>
        </w:tc>
      </w:tr>
      <w:tr w:rsidR="00117374" w:rsidRPr="00C9343F" w14:paraId="25F89BD2" w14:textId="77777777" w:rsidTr="00117374">
        <w:tc>
          <w:tcPr>
            <w:tcW w:w="992" w:type="dxa"/>
            <w:shd w:val="clear" w:color="auto" w:fill="FFFFFF"/>
            <w:tcMar>
              <w:top w:w="0" w:type="dxa"/>
              <w:left w:w="108" w:type="dxa"/>
              <w:bottom w:w="0" w:type="dxa"/>
              <w:right w:w="108" w:type="dxa"/>
            </w:tcMar>
            <w:hideMark/>
          </w:tcPr>
          <w:p w14:paraId="451FEF49" w14:textId="77777777" w:rsidR="00117374" w:rsidRPr="00C9343F" w:rsidRDefault="00117374" w:rsidP="00F66D98">
            <w:pPr>
              <w:pStyle w:val="sectiontext"/>
              <w:spacing w:before="0" w:beforeAutospacing="0" w:after="200" w:afterAutospacing="0"/>
              <w:jc w:val="center"/>
              <w:rPr>
                <w:rFonts w:ascii="Arial" w:hAnsi="Arial" w:cs="Arial"/>
                <w:color w:val="000000"/>
                <w:sz w:val="20"/>
                <w:szCs w:val="20"/>
              </w:rPr>
            </w:pPr>
            <w:r w:rsidRPr="00C9343F">
              <w:rPr>
                <w:rFonts w:ascii="Arial" w:hAnsi="Arial" w:cs="Arial"/>
                <w:color w:val="000000"/>
                <w:sz w:val="20"/>
                <w:szCs w:val="20"/>
              </w:rPr>
              <w:t>2.</w:t>
            </w:r>
          </w:p>
        </w:tc>
        <w:tc>
          <w:tcPr>
            <w:tcW w:w="8367" w:type="dxa"/>
            <w:gridSpan w:val="2"/>
            <w:shd w:val="clear" w:color="auto" w:fill="FFFFFF"/>
            <w:tcMar>
              <w:top w:w="0" w:type="dxa"/>
              <w:left w:w="108" w:type="dxa"/>
              <w:bottom w:w="0" w:type="dxa"/>
              <w:right w:w="108" w:type="dxa"/>
            </w:tcMar>
            <w:hideMark/>
          </w:tcPr>
          <w:p w14:paraId="752BA227" w14:textId="77777777" w:rsidR="00117374" w:rsidRPr="00C9343F" w:rsidRDefault="00117374" w:rsidP="00F66D98">
            <w:pPr>
              <w:pStyle w:val="sectiontext"/>
              <w:spacing w:before="0" w:beforeAutospacing="0" w:after="200" w:afterAutospacing="0"/>
              <w:rPr>
                <w:rFonts w:ascii="Arial" w:hAnsi="Arial" w:cs="Arial"/>
                <w:color w:val="000000"/>
                <w:sz w:val="20"/>
                <w:szCs w:val="20"/>
              </w:rPr>
            </w:pPr>
            <w:r w:rsidRPr="00C9343F">
              <w:rPr>
                <w:rFonts w:ascii="Arial" w:hAnsi="Arial" w:cs="Arial"/>
                <w:color w:val="000000"/>
                <w:sz w:val="20"/>
                <w:szCs w:val="20"/>
              </w:rPr>
              <w:t>A period of leave includes weekends and public holidays.</w:t>
            </w:r>
          </w:p>
        </w:tc>
      </w:tr>
    </w:tbl>
    <w:p w14:paraId="4D7E7F43" w14:textId="47747FEF" w:rsidR="008B4402" w:rsidRPr="00C9343F" w:rsidRDefault="008B4402" w:rsidP="00F66D98">
      <w:pPr>
        <w:pStyle w:val="Heading5"/>
      </w:pPr>
      <w:bookmarkStart w:id="1396" w:name="_Toc105054033"/>
      <w:bookmarkStart w:id="1397" w:name="bk1055595312Recreditoflongserviceleave"/>
      <w:bookmarkStart w:id="1398" w:name="bk1151585312Recreditoflongserviceleave"/>
      <w:bookmarkStart w:id="1399" w:name="bk1157215312Recreditoflongserviceleave"/>
      <w:bookmarkEnd w:id="1392"/>
      <w:bookmarkEnd w:id="1393"/>
      <w:bookmarkEnd w:id="1394"/>
      <w:r w:rsidRPr="00C9343F">
        <w:t>5.5.12</w:t>
      </w:r>
      <w:r w:rsidR="00D94006" w:rsidRPr="00C9343F">
        <w:t>    </w:t>
      </w:r>
      <w:r w:rsidRPr="00C9343F">
        <w:t>Re-credit of long service leave</w:t>
      </w:r>
      <w:bookmarkEnd w:id="1396"/>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4EFD8D98" w14:textId="77777777" w:rsidTr="008B4402">
        <w:tc>
          <w:tcPr>
            <w:tcW w:w="992" w:type="dxa"/>
          </w:tcPr>
          <w:bookmarkEnd w:id="1385"/>
          <w:bookmarkEnd w:id="1386"/>
          <w:bookmarkEnd w:id="1387"/>
          <w:bookmarkEnd w:id="1388"/>
          <w:bookmarkEnd w:id="1389"/>
          <w:bookmarkEnd w:id="1390"/>
          <w:bookmarkEnd w:id="1395"/>
          <w:bookmarkEnd w:id="1397"/>
          <w:bookmarkEnd w:id="1398"/>
          <w:bookmarkEnd w:id="1399"/>
          <w:p w14:paraId="08E4FB1E" w14:textId="77777777" w:rsidR="008B4402" w:rsidRPr="00C9343F" w:rsidRDefault="008B4402" w:rsidP="00F66D98">
            <w:pPr>
              <w:pStyle w:val="BlockText-Plain"/>
              <w:keepNext/>
              <w:keepLines/>
              <w:jc w:val="center"/>
            </w:pPr>
            <w:r w:rsidRPr="00C9343F">
              <w:t>1.</w:t>
            </w:r>
          </w:p>
        </w:tc>
        <w:tc>
          <w:tcPr>
            <w:tcW w:w="8363" w:type="dxa"/>
            <w:gridSpan w:val="2"/>
          </w:tcPr>
          <w:p w14:paraId="53827634" w14:textId="77777777" w:rsidR="008B4402" w:rsidRPr="00C9343F" w:rsidRDefault="008B4402" w:rsidP="00F66D98">
            <w:pPr>
              <w:pStyle w:val="BlockText-Plain"/>
              <w:keepNext/>
              <w:keepLines/>
            </w:pPr>
            <w:r w:rsidRPr="00C9343F">
              <w:t xml:space="preserve">A member on a period of long service leave is to be re-credited with leave if either of the following happens. </w:t>
            </w:r>
          </w:p>
        </w:tc>
      </w:tr>
      <w:tr w:rsidR="008B4402" w:rsidRPr="00C9343F" w14:paraId="1AE5029D" w14:textId="77777777" w:rsidTr="008B4402">
        <w:trPr>
          <w:cantSplit/>
        </w:trPr>
        <w:tc>
          <w:tcPr>
            <w:tcW w:w="992" w:type="dxa"/>
          </w:tcPr>
          <w:p w14:paraId="702DDEDA" w14:textId="77777777" w:rsidR="008B4402" w:rsidRPr="00C9343F" w:rsidRDefault="008B4402" w:rsidP="00F66D98">
            <w:pPr>
              <w:pStyle w:val="BlockText-Plain"/>
              <w:keepNext/>
              <w:keepLines/>
            </w:pPr>
          </w:p>
        </w:tc>
        <w:tc>
          <w:tcPr>
            <w:tcW w:w="567" w:type="dxa"/>
          </w:tcPr>
          <w:p w14:paraId="2ACB3AD9" w14:textId="77777777" w:rsidR="008B4402" w:rsidRPr="00C9343F" w:rsidRDefault="008B4402" w:rsidP="008D1B5D">
            <w:pPr>
              <w:pStyle w:val="BlockText-Plain"/>
              <w:keepNext/>
              <w:keepLines/>
              <w:jc w:val="center"/>
            </w:pPr>
            <w:r w:rsidRPr="00C9343F">
              <w:t>a.</w:t>
            </w:r>
          </w:p>
        </w:tc>
        <w:tc>
          <w:tcPr>
            <w:tcW w:w="7796" w:type="dxa"/>
          </w:tcPr>
          <w:p w14:paraId="519D4ECD" w14:textId="77777777" w:rsidR="008B4402" w:rsidRPr="00C9343F" w:rsidRDefault="008B4402" w:rsidP="00F66D98">
            <w:pPr>
              <w:pStyle w:val="BlockText-Plain"/>
              <w:keepNext/>
              <w:keepLines/>
            </w:pPr>
            <w:r w:rsidRPr="00C9343F">
              <w:t>They are admitted to hospital.</w:t>
            </w:r>
          </w:p>
        </w:tc>
      </w:tr>
      <w:tr w:rsidR="008B4402" w:rsidRPr="00C9343F" w14:paraId="77357286" w14:textId="77777777" w:rsidTr="008B4402">
        <w:trPr>
          <w:cantSplit/>
        </w:trPr>
        <w:tc>
          <w:tcPr>
            <w:tcW w:w="992" w:type="dxa"/>
          </w:tcPr>
          <w:p w14:paraId="5EA20957" w14:textId="77777777" w:rsidR="008B4402" w:rsidRPr="00C9343F" w:rsidRDefault="008B4402" w:rsidP="00F66D98">
            <w:pPr>
              <w:pStyle w:val="BlockText-Plain"/>
              <w:keepNext/>
              <w:keepLines/>
            </w:pPr>
          </w:p>
        </w:tc>
        <w:tc>
          <w:tcPr>
            <w:tcW w:w="567" w:type="dxa"/>
          </w:tcPr>
          <w:p w14:paraId="094D3350" w14:textId="77777777" w:rsidR="008B4402" w:rsidRPr="00C9343F" w:rsidRDefault="008B4402" w:rsidP="008D1B5D">
            <w:pPr>
              <w:pStyle w:val="BlockText-Plain"/>
              <w:keepNext/>
              <w:keepLines/>
              <w:jc w:val="center"/>
            </w:pPr>
            <w:r w:rsidRPr="00C9343F">
              <w:t>b.</w:t>
            </w:r>
          </w:p>
        </w:tc>
        <w:tc>
          <w:tcPr>
            <w:tcW w:w="7796" w:type="dxa"/>
          </w:tcPr>
          <w:p w14:paraId="71B63C55" w14:textId="77777777" w:rsidR="008B4402" w:rsidRPr="00C9343F" w:rsidRDefault="008B4402" w:rsidP="00F66D98">
            <w:pPr>
              <w:pStyle w:val="BlockText-Plain"/>
              <w:keepNext/>
              <w:keepLines/>
            </w:pPr>
            <w:r w:rsidRPr="00C9343F">
              <w:t>They provide a certificate from an ADF medical officer stating that they were not fit for duty.</w:t>
            </w:r>
          </w:p>
        </w:tc>
      </w:tr>
      <w:tr w:rsidR="008B4402" w:rsidRPr="00C9343F" w14:paraId="7175B7A0" w14:textId="77777777" w:rsidTr="008B4402">
        <w:tc>
          <w:tcPr>
            <w:tcW w:w="992" w:type="dxa"/>
          </w:tcPr>
          <w:p w14:paraId="58778360" w14:textId="77777777" w:rsidR="008B4402" w:rsidRPr="00C9343F" w:rsidRDefault="008B4402" w:rsidP="00F66D98">
            <w:pPr>
              <w:pStyle w:val="BlockText-Plain"/>
              <w:jc w:val="center"/>
            </w:pPr>
            <w:r w:rsidRPr="00C9343F">
              <w:t>2.</w:t>
            </w:r>
          </w:p>
        </w:tc>
        <w:tc>
          <w:tcPr>
            <w:tcW w:w="8363" w:type="dxa"/>
            <w:gridSpan w:val="2"/>
          </w:tcPr>
          <w:p w14:paraId="7BF7EE16" w14:textId="77777777" w:rsidR="008B4402" w:rsidRPr="00C9343F" w:rsidRDefault="008B4402" w:rsidP="00F66D98">
            <w:pPr>
              <w:pStyle w:val="BlockText-Plain"/>
            </w:pPr>
            <w:r w:rsidRPr="00C9343F">
              <w:t>If the member meets the condition in subsection 1 for less than a full day, long service leave is not re-credited.</w:t>
            </w:r>
          </w:p>
        </w:tc>
      </w:tr>
      <w:tr w:rsidR="008B4402" w:rsidRPr="00C9343F" w14:paraId="7FEE9DA3" w14:textId="77777777" w:rsidTr="008B4402">
        <w:tc>
          <w:tcPr>
            <w:tcW w:w="992" w:type="dxa"/>
          </w:tcPr>
          <w:p w14:paraId="4C127C38" w14:textId="77777777" w:rsidR="008B4402" w:rsidRPr="00C9343F" w:rsidRDefault="008B4402" w:rsidP="00F66D98">
            <w:pPr>
              <w:pStyle w:val="BlockText-Plain"/>
              <w:jc w:val="center"/>
            </w:pPr>
            <w:r w:rsidRPr="00C9343F">
              <w:t>3.</w:t>
            </w:r>
          </w:p>
        </w:tc>
        <w:tc>
          <w:tcPr>
            <w:tcW w:w="8363" w:type="dxa"/>
            <w:gridSpan w:val="2"/>
          </w:tcPr>
          <w:p w14:paraId="7C345D5C" w14:textId="77777777" w:rsidR="008B4402" w:rsidRPr="00C9343F" w:rsidRDefault="008B4402" w:rsidP="00F66D98">
            <w:pPr>
              <w:pStyle w:val="BlockText-Plain"/>
            </w:pPr>
            <w:r w:rsidRPr="00C9343F">
              <w:t xml:space="preserve">A member on a period of long service leave is to be re-credited for the leave on any day they are recalled to duty for operational reasons. </w:t>
            </w:r>
          </w:p>
        </w:tc>
      </w:tr>
      <w:tr w:rsidR="008B4402" w:rsidRPr="00C9343F" w14:paraId="53A4DA2F" w14:textId="77777777" w:rsidTr="008B4402">
        <w:tc>
          <w:tcPr>
            <w:tcW w:w="992" w:type="dxa"/>
          </w:tcPr>
          <w:p w14:paraId="002262F1" w14:textId="77777777" w:rsidR="008B4402" w:rsidRPr="00C9343F" w:rsidRDefault="008B4402" w:rsidP="00F66D98">
            <w:pPr>
              <w:pStyle w:val="BlockText-Plain"/>
              <w:jc w:val="center"/>
            </w:pPr>
            <w:r w:rsidRPr="00C9343F">
              <w:t>4.</w:t>
            </w:r>
          </w:p>
        </w:tc>
        <w:tc>
          <w:tcPr>
            <w:tcW w:w="8363" w:type="dxa"/>
            <w:gridSpan w:val="2"/>
          </w:tcPr>
          <w:p w14:paraId="423A5A3E" w14:textId="77777777" w:rsidR="008B4402" w:rsidRPr="00C9343F" w:rsidRDefault="008B4402" w:rsidP="00F66D98">
            <w:pPr>
              <w:pStyle w:val="BlockText-Plain"/>
            </w:pPr>
            <w:r w:rsidRPr="00C9343F">
              <w:t>The CDF may extend a member's period of leave by the amount of long service leave re-credited.</w:t>
            </w:r>
          </w:p>
        </w:tc>
      </w:tr>
    </w:tbl>
    <w:p w14:paraId="7653273F" w14:textId="6A3E9EC0" w:rsidR="008B4402" w:rsidRPr="00C9343F" w:rsidRDefault="008B4402" w:rsidP="00566775">
      <w:pPr>
        <w:pStyle w:val="Heading4"/>
        <w:pageBreakBefore/>
      </w:pPr>
      <w:bookmarkStart w:id="1400" w:name="_Toc105054034"/>
      <w:bookmarkEnd w:id="1356"/>
      <w:bookmarkEnd w:id="1357"/>
      <w:bookmarkEnd w:id="1358"/>
      <w:r w:rsidRPr="00C9343F">
        <w:t>Division 3: Accrual of service for long service leave</w:t>
      </w:r>
      <w:bookmarkEnd w:id="1400"/>
      <w:r w:rsidRPr="00C9343F">
        <w:t xml:space="preserve"> </w:t>
      </w:r>
    </w:p>
    <w:p w14:paraId="6F15847C" w14:textId="5D1D69F8" w:rsidR="008B4402" w:rsidRPr="00C9343F" w:rsidRDefault="008B4402" w:rsidP="00F66D98">
      <w:pPr>
        <w:pStyle w:val="Heading5"/>
      </w:pPr>
      <w:bookmarkStart w:id="1401" w:name="_Toc105054035"/>
      <w:bookmarkStart w:id="1402" w:name="bk13832PM5310Accruedservice"/>
      <w:bookmarkStart w:id="1403" w:name="bk41518PM5311Accruedservice"/>
      <w:bookmarkStart w:id="1404" w:name="bk1546545312Accruedservice"/>
      <w:bookmarkStart w:id="1405" w:name="bk1056125313Accruedservice"/>
      <w:bookmarkStart w:id="1406" w:name="bk933445313Accruedservice"/>
      <w:bookmarkStart w:id="1407" w:name="bk1152065313Accruedservice"/>
      <w:bookmarkStart w:id="1408" w:name="bk1157275313Accruedservice"/>
      <w:bookmarkStart w:id="1409" w:name="bk1413435313Accruedservice"/>
      <w:bookmarkStart w:id="1410" w:name="bk11013PM537Salaryforlongserviceleave"/>
      <w:r w:rsidRPr="00C9343F">
        <w:t>5.5.13</w:t>
      </w:r>
      <w:r w:rsidR="00D94006" w:rsidRPr="00C9343F">
        <w:t>    </w:t>
      </w:r>
      <w:r w:rsidRPr="00C9343F">
        <w:t>Accrued service</w:t>
      </w:r>
      <w:bookmarkEnd w:id="1401"/>
    </w:p>
    <w:bookmarkEnd w:id="1402"/>
    <w:bookmarkEnd w:id="1403"/>
    <w:bookmarkEnd w:id="1404"/>
    <w:bookmarkEnd w:id="1405"/>
    <w:bookmarkEnd w:id="1406"/>
    <w:bookmarkEnd w:id="1407"/>
    <w:bookmarkEnd w:id="1408"/>
    <w:bookmarkEnd w:id="1409"/>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0F9C700D" w14:textId="77777777" w:rsidTr="008B4402">
        <w:tc>
          <w:tcPr>
            <w:tcW w:w="992" w:type="dxa"/>
          </w:tcPr>
          <w:p w14:paraId="278878C4" w14:textId="77777777" w:rsidR="008B4402" w:rsidRPr="00C9343F" w:rsidRDefault="008B4402" w:rsidP="00F66D98">
            <w:pPr>
              <w:pStyle w:val="BlockText-Plain"/>
              <w:keepNext/>
              <w:keepLines/>
              <w:jc w:val="center"/>
            </w:pPr>
          </w:p>
        </w:tc>
        <w:tc>
          <w:tcPr>
            <w:tcW w:w="8363" w:type="dxa"/>
            <w:gridSpan w:val="2"/>
          </w:tcPr>
          <w:p w14:paraId="398DCA73" w14:textId="77777777" w:rsidR="008B4402" w:rsidRPr="00C9343F" w:rsidRDefault="008B4402" w:rsidP="00F66D98">
            <w:pPr>
              <w:pStyle w:val="BlockText-Plain"/>
              <w:keepNext/>
              <w:keepLines/>
            </w:pPr>
            <w:r w:rsidRPr="00C9343F">
              <w:t>In this Part, a member's accrued service is the sum of these periods.</w:t>
            </w:r>
          </w:p>
        </w:tc>
      </w:tr>
      <w:tr w:rsidR="008B4402" w:rsidRPr="00C9343F" w14:paraId="487D907F" w14:textId="77777777" w:rsidTr="008B4402">
        <w:trPr>
          <w:cantSplit/>
        </w:trPr>
        <w:tc>
          <w:tcPr>
            <w:tcW w:w="992" w:type="dxa"/>
          </w:tcPr>
          <w:p w14:paraId="7F836721" w14:textId="77777777" w:rsidR="008B4402" w:rsidRPr="00C9343F" w:rsidRDefault="008B4402" w:rsidP="00F66D98">
            <w:pPr>
              <w:pStyle w:val="BlockText-Plain"/>
              <w:keepNext/>
              <w:keepLines/>
            </w:pPr>
          </w:p>
        </w:tc>
        <w:tc>
          <w:tcPr>
            <w:tcW w:w="567" w:type="dxa"/>
          </w:tcPr>
          <w:p w14:paraId="6F1856F8" w14:textId="77777777" w:rsidR="008B4402" w:rsidRPr="00C9343F" w:rsidRDefault="008B4402" w:rsidP="008D1B5D">
            <w:pPr>
              <w:pStyle w:val="BlockText-Plain"/>
              <w:keepNext/>
              <w:keepLines/>
              <w:jc w:val="center"/>
            </w:pPr>
            <w:r w:rsidRPr="00C9343F">
              <w:t>a.</w:t>
            </w:r>
          </w:p>
        </w:tc>
        <w:tc>
          <w:tcPr>
            <w:tcW w:w="7796" w:type="dxa"/>
          </w:tcPr>
          <w:p w14:paraId="13CD5D36" w14:textId="77777777" w:rsidR="008B4402" w:rsidRPr="00C9343F" w:rsidRDefault="008B4402" w:rsidP="00F66D98">
            <w:pPr>
              <w:pStyle w:val="BlockText-Plain"/>
              <w:keepNext/>
              <w:keepLines/>
            </w:pPr>
            <w:r w:rsidRPr="00C9343F">
              <w:t>Their period of continuous full-time service.</w:t>
            </w:r>
          </w:p>
        </w:tc>
      </w:tr>
      <w:tr w:rsidR="008B4402" w:rsidRPr="00C9343F" w14:paraId="66477C94" w14:textId="77777777" w:rsidTr="008B4402">
        <w:trPr>
          <w:cantSplit/>
        </w:trPr>
        <w:tc>
          <w:tcPr>
            <w:tcW w:w="992" w:type="dxa"/>
          </w:tcPr>
          <w:p w14:paraId="141D349A" w14:textId="77777777" w:rsidR="008B4402" w:rsidRPr="00C9343F" w:rsidRDefault="008B4402" w:rsidP="00F66D98">
            <w:pPr>
              <w:pStyle w:val="BlockText-Plain"/>
            </w:pPr>
          </w:p>
        </w:tc>
        <w:tc>
          <w:tcPr>
            <w:tcW w:w="567" w:type="dxa"/>
          </w:tcPr>
          <w:p w14:paraId="3F77B0F7" w14:textId="77777777" w:rsidR="008B4402" w:rsidRPr="00C9343F" w:rsidRDefault="008B4402" w:rsidP="008D1B5D">
            <w:pPr>
              <w:pStyle w:val="BlockText-Plain"/>
              <w:jc w:val="center"/>
            </w:pPr>
            <w:r w:rsidRPr="00C9343F">
              <w:t>b.</w:t>
            </w:r>
          </w:p>
        </w:tc>
        <w:tc>
          <w:tcPr>
            <w:tcW w:w="7796" w:type="dxa"/>
          </w:tcPr>
          <w:p w14:paraId="6DCCD655" w14:textId="77777777" w:rsidR="008B4402" w:rsidRPr="00C9343F" w:rsidRDefault="008B4402" w:rsidP="00F66D98">
            <w:pPr>
              <w:pStyle w:val="BlockText-Plain"/>
            </w:pPr>
            <w:r w:rsidRPr="00C9343F">
              <w:t>Prior Reserve service, measured under section 5.5.14.</w:t>
            </w:r>
          </w:p>
        </w:tc>
      </w:tr>
      <w:tr w:rsidR="008B4402" w:rsidRPr="00C9343F" w14:paraId="5032616D" w14:textId="77777777" w:rsidTr="008B4402">
        <w:trPr>
          <w:cantSplit/>
        </w:trPr>
        <w:tc>
          <w:tcPr>
            <w:tcW w:w="992" w:type="dxa"/>
          </w:tcPr>
          <w:p w14:paraId="5F8323CA" w14:textId="77777777" w:rsidR="008B4402" w:rsidRPr="00C9343F" w:rsidRDefault="008B4402" w:rsidP="00F66D98">
            <w:pPr>
              <w:pStyle w:val="BlockText-Plain"/>
              <w:keepNext/>
              <w:keepLines/>
            </w:pPr>
          </w:p>
        </w:tc>
        <w:tc>
          <w:tcPr>
            <w:tcW w:w="567" w:type="dxa"/>
          </w:tcPr>
          <w:p w14:paraId="4500D70C" w14:textId="77777777" w:rsidR="008B4402" w:rsidRPr="00C9343F" w:rsidRDefault="008B4402" w:rsidP="008D1B5D">
            <w:pPr>
              <w:pStyle w:val="BlockText-Plain"/>
              <w:keepNext/>
              <w:keepLines/>
              <w:jc w:val="center"/>
            </w:pPr>
            <w:r w:rsidRPr="00C9343F">
              <w:t>c.</w:t>
            </w:r>
          </w:p>
        </w:tc>
        <w:tc>
          <w:tcPr>
            <w:tcW w:w="7796" w:type="dxa"/>
          </w:tcPr>
          <w:p w14:paraId="4C46B8F5" w14:textId="77777777" w:rsidR="008B4402" w:rsidRPr="00C9343F" w:rsidRDefault="008B4402" w:rsidP="00F66D98">
            <w:pPr>
              <w:pStyle w:val="BlockText-Plain"/>
              <w:keepNext/>
              <w:keepLines/>
            </w:pPr>
            <w:r w:rsidRPr="00C9343F">
              <w:t>Any prior service described in sections 5.5.15 or 5.5.16.</w:t>
            </w:r>
          </w:p>
        </w:tc>
      </w:tr>
      <w:tr w:rsidR="008B4402" w:rsidRPr="00C9343F" w14:paraId="18778584" w14:textId="77777777" w:rsidTr="008B4402">
        <w:trPr>
          <w:cantSplit/>
        </w:trPr>
        <w:tc>
          <w:tcPr>
            <w:tcW w:w="992" w:type="dxa"/>
          </w:tcPr>
          <w:p w14:paraId="37D064F2" w14:textId="77777777" w:rsidR="008B4402" w:rsidRPr="00C9343F" w:rsidRDefault="008B4402" w:rsidP="00F66D98">
            <w:pPr>
              <w:pStyle w:val="BlockText-Plain"/>
              <w:keepNext/>
              <w:keepLines/>
              <w:jc w:val="center"/>
            </w:pPr>
          </w:p>
        </w:tc>
        <w:tc>
          <w:tcPr>
            <w:tcW w:w="8363" w:type="dxa"/>
            <w:gridSpan w:val="2"/>
          </w:tcPr>
          <w:p w14:paraId="0C9703C0" w14:textId="13C6AE99" w:rsidR="008B4402" w:rsidRPr="00C9343F" w:rsidRDefault="008B4402" w:rsidP="00F66D98">
            <w:pPr>
              <w:pStyle w:val="BlockText-Plain"/>
              <w:keepNext/>
              <w:keepLines/>
            </w:pPr>
            <w:r w:rsidRPr="00C9343F">
              <w:rPr>
                <w:b/>
              </w:rPr>
              <w:t>Exception:</w:t>
            </w:r>
            <w:r w:rsidRPr="00C9343F">
              <w:t xml:space="preserve"> Special arrangements exist where a member had two employers at the same time. </w:t>
            </w:r>
          </w:p>
        </w:tc>
      </w:tr>
    </w:tbl>
    <w:p w14:paraId="3C49C53C" w14:textId="11FFCF49" w:rsidR="008B4402" w:rsidRPr="00C9343F" w:rsidRDefault="008B4402" w:rsidP="00F66D98">
      <w:pPr>
        <w:pStyle w:val="Heading5"/>
      </w:pPr>
      <w:bookmarkStart w:id="1411" w:name="_Toc105054036"/>
      <w:bookmarkStart w:id="1412" w:name="bk1546545313PriorReserveservice"/>
      <w:bookmarkStart w:id="1413" w:name="bk1056125314PriorReserveservice"/>
      <w:bookmarkStart w:id="1414" w:name="bk933445314PriorReserveservice"/>
      <w:bookmarkStart w:id="1415" w:name="bk1152065314PriorReserveservice"/>
      <w:bookmarkStart w:id="1416" w:name="bk1157275314PriorReserveservice"/>
      <w:bookmarkStart w:id="1417" w:name="bk1413435314PriorReserveservice"/>
      <w:bookmarkStart w:id="1418" w:name="bk13832PM5311Previousworkthatcanbecount"/>
      <w:bookmarkStart w:id="1419" w:name="bk41518PM5312Previousworkthatcanbecount"/>
      <w:r w:rsidRPr="00C9343F">
        <w:t>5.5.14</w:t>
      </w:r>
      <w:r w:rsidR="00D94006" w:rsidRPr="00C9343F">
        <w:t>    </w:t>
      </w:r>
      <w:r w:rsidRPr="00C9343F">
        <w:t>Prior Reserve service</w:t>
      </w:r>
      <w:bookmarkEnd w:id="1411"/>
    </w:p>
    <w:tbl>
      <w:tblPr>
        <w:tblW w:w="0" w:type="auto"/>
        <w:tblInd w:w="113" w:type="dxa"/>
        <w:tblLayout w:type="fixed"/>
        <w:tblLook w:val="0000" w:firstRow="0" w:lastRow="0" w:firstColumn="0" w:lastColumn="0" w:noHBand="0" w:noVBand="0"/>
      </w:tblPr>
      <w:tblGrid>
        <w:gridCol w:w="992"/>
        <w:gridCol w:w="8363"/>
      </w:tblGrid>
      <w:tr w:rsidR="008B4402" w:rsidRPr="00C9343F" w14:paraId="1560165C" w14:textId="77777777" w:rsidTr="008B4402">
        <w:tc>
          <w:tcPr>
            <w:tcW w:w="992" w:type="dxa"/>
          </w:tcPr>
          <w:bookmarkEnd w:id="1412"/>
          <w:bookmarkEnd w:id="1413"/>
          <w:bookmarkEnd w:id="1414"/>
          <w:bookmarkEnd w:id="1415"/>
          <w:bookmarkEnd w:id="1416"/>
          <w:bookmarkEnd w:id="1417"/>
          <w:p w14:paraId="7520760C" w14:textId="77777777" w:rsidR="008B4402" w:rsidRPr="00C9343F" w:rsidRDefault="008B4402" w:rsidP="00F66D98">
            <w:pPr>
              <w:pStyle w:val="BlockText-Plain"/>
              <w:jc w:val="center"/>
            </w:pPr>
            <w:r w:rsidRPr="00C9343F">
              <w:t>1.</w:t>
            </w:r>
          </w:p>
        </w:tc>
        <w:tc>
          <w:tcPr>
            <w:tcW w:w="8363" w:type="dxa"/>
          </w:tcPr>
          <w:p w14:paraId="795D8FBC" w14:textId="5009AC34" w:rsidR="008B4402" w:rsidRPr="00C9343F" w:rsidRDefault="00301536" w:rsidP="00F66D98">
            <w:pPr>
              <w:pStyle w:val="BlockText-Plain"/>
            </w:pPr>
            <w:r w:rsidRPr="00C9343F">
              <w:rPr>
                <w:iCs/>
              </w:rPr>
              <w:t>Subject to subsection 5.5.15.2, Reserve service</w:t>
            </w:r>
            <w:r w:rsidRPr="00C9343F">
              <w:t xml:space="preserve"> </w:t>
            </w:r>
            <w:r w:rsidR="008B4402" w:rsidRPr="00C9343F">
              <w:t xml:space="preserve">counts for long service leave as shown in this table. </w:t>
            </w:r>
          </w:p>
        </w:tc>
      </w:tr>
    </w:tbl>
    <w:p w14:paraId="22469307" w14:textId="77777777" w:rsidR="008B4402" w:rsidRPr="00C9343F" w:rsidRDefault="008B4402"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3898"/>
        <w:gridCol w:w="3898"/>
      </w:tblGrid>
      <w:tr w:rsidR="008B4402" w:rsidRPr="00C9343F" w14:paraId="2D60134A"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08833196" w14:textId="77777777" w:rsidR="008B4402" w:rsidRPr="00C9343F" w:rsidRDefault="008B4402" w:rsidP="00F66D98">
            <w:pPr>
              <w:pStyle w:val="TableHeaderArial"/>
            </w:pPr>
            <w:r w:rsidRPr="00C9343F">
              <w:t>Item</w:t>
            </w:r>
          </w:p>
        </w:tc>
        <w:tc>
          <w:tcPr>
            <w:tcW w:w="3898" w:type="dxa"/>
            <w:tcBorders>
              <w:top w:val="single" w:sz="6" w:space="0" w:color="auto"/>
              <w:left w:val="single" w:sz="6" w:space="0" w:color="auto"/>
              <w:bottom w:val="single" w:sz="6" w:space="0" w:color="auto"/>
              <w:right w:val="single" w:sz="6" w:space="0" w:color="auto"/>
            </w:tcBorders>
          </w:tcPr>
          <w:p w14:paraId="2C120A41" w14:textId="0F135819" w:rsidR="008B4402" w:rsidRPr="00C9343F" w:rsidRDefault="008B4402" w:rsidP="00F66D98">
            <w:pPr>
              <w:pStyle w:val="TableHeaderArial"/>
            </w:pPr>
            <w:r w:rsidRPr="00C9343F">
              <w:t>If a day of Reserve service</w:t>
            </w:r>
            <w:r w:rsidR="00D94006" w:rsidRPr="00C9343F">
              <w:t>    </w:t>
            </w:r>
          </w:p>
        </w:tc>
        <w:tc>
          <w:tcPr>
            <w:tcW w:w="3898" w:type="dxa"/>
            <w:tcBorders>
              <w:top w:val="single" w:sz="6" w:space="0" w:color="auto"/>
              <w:left w:val="single" w:sz="6" w:space="0" w:color="auto"/>
              <w:bottom w:val="single" w:sz="6" w:space="0" w:color="auto"/>
              <w:right w:val="single" w:sz="6" w:space="0" w:color="auto"/>
            </w:tcBorders>
          </w:tcPr>
          <w:p w14:paraId="4B203362" w14:textId="2663AACE" w:rsidR="008B4402" w:rsidRPr="00C9343F" w:rsidRDefault="008B4402" w:rsidP="00F66D98">
            <w:pPr>
              <w:pStyle w:val="TableHeaderArial"/>
            </w:pPr>
            <w:r w:rsidRPr="00C9343F">
              <w:t>then the member</w:t>
            </w:r>
            <w:r w:rsidR="00D94006" w:rsidRPr="00C9343F">
              <w:t>    </w:t>
            </w:r>
          </w:p>
        </w:tc>
      </w:tr>
      <w:tr w:rsidR="008B4402" w:rsidRPr="00C9343F" w14:paraId="2CDF29FA"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59D0CBCF" w14:textId="77777777" w:rsidR="008B4402" w:rsidRPr="00C9343F" w:rsidRDefault="008B4402" w:rsidP="00F66D98">
            <w:pPr>
              <w:pStyle w:val="TableTextArial-left"/>
              <w:jc w:val="center"/>
            </w:pPr>
            <w:r w:rsidRPr="00C9343F">
              <w:t>1.</w:t>
            </w:r>
          </w:p>
        </w:tc>
        <w:tc>
          <w:tcPr>
            <w:tcW w:w="3898" w:type="dxa"/>
            <w:tcBorders>
              <w:top w:val="single" w:sz="6" w:space="0" w:color="auto"/>
              <w:left w:val="single" w:sz="6" w:space="0" w:color="auto"/>
              <w:bottom w:val="single" w:sz="6" w:space="0" w:color="auto"/>
              <w:right w:val="single" w:sz="6" w:space="0" w:color="auto"/>
            </w:tcBorders>
          </w:tcPr>
          <w:p w14:paraId="3A279A71" w14:textId="77777777" w:rsidR="008B4402" w:rsidRPr="00C9343F" w:rsidRDefault="008B4402" w:rsidP="00F66D98">
            <w:pPr>
              <w:pStyle w:val="TableTextArial-left"/>
            </w:pPr>
            <w:r w:rsidRPr="00C9343F">
              <w:t>is for less than 6 hours</w:t>
            </w:r>
          </w:p>
        </w:tc>
        <w:tc>
          <w:tcPr>
            <w:tcW w:w="3898" w:type="dxa"/>
            <w:tcBorders>
              <w:top w:val="single" w:sz="6" w:space="0" w:color="auto"/>
              <w:left w:val="single" w:sz="6" w:space="0" w:color="auto"/>
              <w:bottom w:val="single" w:sz="6" w:space="0" w:color="auto"/>
              <w:right w:val="single" w:sz="6" w:space="0" w:color="auto"/>
            </w:tcBorders>
          </w:tcPr>
          <w:p w14:paraId="1C5CBD84" w14:textId="77777777" w:rsidR="008B4402" w:rsidRPr="00C9343F" w:rsidRDefault="008B4402" w:rsidP="00F66D98">
            <w:pPr>
              <w:pStyle w:val="TableTextArial-left"/>
            </w:pPr>
            <w:r w:rsidRPr="00C9343F">
              <w:t>does not accrue long service leave for the day.</w:t>
            </w:r>
          </w:p>
        </w:tc>
      </w:tr>
      <w:tr w:rsidR="008B4402" w:rsidRPr="00C9343F" w14:paraId="09678FD0"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085A1811" w14:textId="77777777" w:rsidR="008B4402" w:rsidRPr="00C9343F" w:rsidRDefault="008B4402" w:rsidP="00F66D98">
            <w:pPr>
              <w:pStyle w:val="TableTextArial-left"/>
              <w:jc w:val="center"/>
            </w:pPr>
            <w:r w:rsidRPr="00C9343F">
              <w:t>2.</w:t>
            </w:r>
          </w:p>
        </w:tc>
        <w:tc>
          <w:tcPr>
            <w:tcW w:w="3898" w:type="dxa"/>
            <w:tcBorders>
              <w:top w:val="single" w:sz="6" w:space="0" w:color="auto"/>
              <w:left w:val="single" w:sz="6" w:space="0" w:color="auto"/>
              <w:bottom w:val="single" w:sz="6" w:space="0" w:color="auto"/>
              <w:right w:val="single" w:sz="6" w:space="0" w:color="auto"/>
            </w:tcBorders>
          </w:tcPr>
          <w:p w14:paraId="0359F927" w14:textId="77777777" w:rsidR="008B4402" w:rsidRPr="00C9343F" w:rsidRDefault="008B4402" w:rsidP="00F66D98">
            <w:pPr>
              <w:pStyle w:val="TableTextArial-left"/>
            </w:pPr>
            <w:r w:rsidRPr="00C9343F">
              <w:t>is for 6 hours or more</w:t>
            </w:r>
          </w:p>
        </w:tc>
        <w:tc>
          <w:tcPr>
            <w:tcW w:w="3898" w:type="dxa"/>
            <w:tcBorders>
              <w:top w:val="single" w:sz="6" w:space="0" w:color="auto"/>
              <w:left w:val="single" w:sz="6" w:space="0" w:color="auto"/>
              <w:bottom w:val="single" w:sz="6" w:space="0" w:color="auto"/>
              <w:right w:val="single" w:sz="6" w:space="0" w:color="auto"/>
            </w:tcBorders>
          </w:tcPr>
          <w:p w14:paraId="2DB810C1" w14:textId="77777777" w:rsidR="008B4402" w:rsidRPr="00C9343F" w:rsidRDefault="008B4402" w:rsidP="00F66D98">
            <w:pPr>
              <w:pStyle w:val="TableTextArial-left"/>
            </w:pPr>
            <w:r w:rsidRPr="00C9343F">
              <w:t>accrues long service leave for the full day.</w:t>
            </w:r>
          </w:p>
        </w:tc>
      </w:tr>
    </w:tbl>
    <w:p w14:paraId="6504CDEA" w14:textId="77777777" w:rsidR="008B4402" w:rsidRPr="00C9343F" w:rsidRDefault="008B4402" w:rsidP="00F66D98"/>
    <w:tbl>
      <w:tblPr>
        <w:tblW w:w="9355" w:type="dxa"/>
        <w:tblInd w:w="113" w:type="dxa"/>
        <w:tblLayout w:type="fixed"/>
        <w:tblLook w:val="0000" w:firstRow="0" w:lastRow="0" w:firstColumn="0" w:lastColumn="0" w:noHBand="0" w:noVBand="0"/>
      </w:tblPr>
      <w:tblGrid>
        <w:gridCol w:w="992"/>
        <w:gridCol w:w="8363"/>
      </w:tblGrid>
      <w:tr w:rsidR="008B4402" w:rsidRPr="00C9343F" w14:paraId="105B118D" w14:textId="77777777" w:rsidTr="00301536">
        <w:tc>
          <w:tcPr>
            <w:tcW w:w="992" w:type="dxa"/>
          </w:tcPr>
          <w:p w14:paraId="537789A4" w14:textId="77777777" w:rsidR="008B4402" w:rsidRPr="00C9343F" w:rsidRDefault="008B4402" w:rsidP="00F66D98">
            <w:pPr>
              <w:pStyle w:val="BlockText-Plain"/>
              <w:jc w:val="center"/>
            </w:pPr>
            <w:r w:rsidRPr="00C9343F">
              <w:t>2.</w:t>
            </w:r>
          </w:p>
        </w:tc>
        <w:tc>
          <w:tcPr>
            <w:tcW w:w="8363" w:type="dxa"/>
          </w:tcPr>
          <w:p w14:paraId="07F9AC7E" w14:textId="1AF4BB73" w:rsidR="008B4402" w:rsidRPr="00C9343F" w:rsidRDefault="008B4402" w:rsidP="00F66D98">
            <w:pPr>
              <w:pStyle w:val="BlockText-Plain"/>
            </w:pPr>
            <w:r w:rsidRPr="00C9343F">
              <w:t>Thirty days of Reserve service counts as a month of service.</w:t>
            </w:r>
          </w:p>
        </w:tc>
      </w:tr>
    </w:tbl>
    <w:p w14:paraId="10BD1568" w14:textId="4A944BDB" w:rsidR="008B4402" w:rsidRPr="00C9343F" w:rsidRDefault="008B4402" w:rsidP="00F66D98">
      <w:pPr>
        <w:pStyle w:val="Heading5"/>
      </w:pPr>
      <w:bookmarkStart w:id="1420" w:name="_Toc105054037"/>
      <w:bookmarkStart w:id="1421" w:name="bk1546545314Priorworkthatcountsasaccrue"/>
      <w:bookmarkStart w:id="1422" w:name="bk1056135315Priorworkthatcountsasaccrue"/>
      <w:bookmarkStart w:id="1423" w:name="bk933445315Priorworkthatcountsasaccrued"/>
      <w:bookmarkStart w:id="1424" w:name="bk1152065315Priorservice"/>
      <w:bookmarkStart w:id="1425" w:name="bk1157275315Priorservice"/>
      <w:bookmarkStart w:id="1426" w:name="bk1413435315Priorservice"/>
      <w:r w:rsidRPr="00C9343F">
        <w:t>5.5.15</w:t>
      </w:r>
      <w:r w:rsidR="00D94006" w:rsidRPr="00C9343F">
        <w:t>    </w:t>
      </w:r>
      <w:r w:rsidRPr="00C9343F">
        <w:t>Prior service</w:t>
      </w:r>
      <w:bookmarkEnd w:id="1420"/>
    </w:p>
    <w:tbl>
      <w:tblPr>
        <w:tblW w:w="9359" w:type="dxa"/>
        <w:tblInd w:w="113" w:type="dxa"/>
        <w:tblLayout w:type="fixed"/>
        <w:tblLook w:val="0000" w:firstRow="0" w:lastRow="0" w:firstColumn="0" w:lastColumn="0" w:noHBand="0" w:noVBand="0"/>
      </w:tblPr>
      <w:tblGrid>
        <w:gridCol w:w="992"/>
        <w:gridCol w:w="567"/>
        <w:gridCol w:w="7800"/>
      </w:tblGrid>
      <w:tr w:rsidR="0094453B" w:rsidRPr="00C9343F" w14:paraId="254EB81E" w14:textId="77777777" w:rsidTr="003128DF">
        <w:tc>
          <w:tcPr>
            <w:tcW w:w="992" w:type="dxa"/>
          </w:tcPr>
          <w:bookmarkEnd w:id="1418"/>
          <w:bookmarkEnd w:id="1419"/>
          <w:bookmarkEnd w:id="1421"/>
          <w:bookmarkEnd w:id="1422"/>
          <w:bookmarkEnd w:id="1423"/>
          <w:bookmarkEnd w:id="1424"/>
          <w:bookmarkEnd w:id="1425"/>
          <w:bookmarkEnd w:id="1426"/>
          <w:p w14:paraId="40EAFFB0" w14:textId="5C80A631" w:rsidR="0094453B" w:rsidRPr="00C9343F" w:rsidRDefault="0094453B" w:rsidP="00F66D98">
            <w:pPr>
              <w:pStyle w:val="BlockText-PlainNoSpacing"/>
              <w:jc w:val="center"/>
            </w:pPr>
            <w:r w:rsidRPr="00C9343F">
              <w:t>1.</w:t>
            </w:r>
          </w:p>
        </w:tc>
        <w:tc>
          <w:tcPr>
            <w:tcW w:w="8367" w:type="dxa"/>
            <w:gridSpan w:val="2"/>
          </w:tcPr>
          <w:p w14:paraId="7D6EF8E1" w14:textId="61450F12" w:rsidR="0094453B" w:rsidRPr="00C9343F" w:rsidRDefault="0094453B" w:rsidP="00F66D98">
            <w:pPr>
              <w:pStyle w:val="BlockText-Plain"/>
            </w:pPr>
            <w:r w:rsidRPr="00C9343F">
              <w:rPr>
                <w:iCs/>
              </w:rPr>
              <w:t xml:space="preserve">A period that could be counted as service under the </w:t>
            </w:r>
            <w:r w:rsidR="006B12A7" w:rsidRPr="00C9343F">
              <w:rPr>
                <w:i/>
                <w:lang w:eastAsia="en-US"/>
              </w:rPr>
              <w:t>Long Service Leave (Commonwealth Employees) Act 1976</w:t>
            </w:r>
            <w:r w:rsidRPr="00C9343F">
              <w:rPr>
                <w:iCs/>
              </w:rPr>
              <w:t>, on or after 1 January 1973, is accrued service under this Part.</w:t>
            </w:r>
          </w:p>
        </w:tc>
      </w:tr>
      <w:tr w:rsidR="0094453B" w:rsidRPr="00C9343F" w14:paraId="0A2FFF71" w14:textId="77777777" w:rsidTr="003128DF">
        <w:tc>
          <w:tcPr>
            <w:tcW w:w="992" w:type="dxa"/>
          </w:tcPr>
          <w:p w14:paraId="339FDC86" w14:textId="0C46D15E" w:rsidR="0094453B" w:rsidRPr="00C9343F" w:rsidRDefault="0094453B" w:rsidP="00F66D98">
            <w:pPr>
              <w:pStyle w:val="BlockText-PlainNoSpacing"/>
              <w:jc w:val="center"/>
            </w:pPr>
            <w:r w:rsidRPr="00C9343F">
              <w:t>1A.</w:t>
            </w:r>
          </w:p>
        </w:tc>
        <w:tc>
          <w:tcPr>
            <w:tcW w:w="8367" w:type="dxa"/>
            <w:gridSpan w:val="2"/>
          </w:tcPr>
          <w:p w14:paraId="16DBD2BB" w14:textId="13DACAC8" w:rsidR="0094453B" w:rsidRPr="00C9343F" w:rsidRDefault="0094453B" w:rsidP="00F66D98">
            <w:pPr>
              <w:pStyle w:val="BlockText-Plain"/>
            </w:pPr>
            <w:r w:rsidRPr="00C9343F">
              <w:rPr>
                <w:iCs/>
              </w:rPr>
              <w:t xml:space="preserve">The following are not recognised as prior service under this Part. </w:t>
            </w:r>
          </w:p>
        </w:tc>
      </w:tr>
      <w:tr w:rsidR="0094453B" w:rsidRPr="00C9343F" w14:paraId="0E1824C4" w14:textId="77777777" w:rsidTr="000E1BE1">
        <w:tc>
          <w:tcPr>
            <w:tcW w:w="992" w:type="dxa"/>
          </w:tcPr>
          <w:p w14:paraId="44226C4D" w14:textId="77777777" w:rsidR="0094453B" w:rsidRPr="00C9343F" w:rsidRDefault="0094453B" w:rsidP="00F66D98">
            <w:pPr>
              <w:pStyle w:val="BlockText-PlainNoSpacing"/>
              <w:jc w:val="center"/>
            </w:pPr>
          </w:p>
        </w:tc>
        <w:tc>
          <w:tcPr>
            <w:tcW w:w="567" w:type="dxa"/>
          </w:tcPr>
          <w:p w14:paraId="19FEEAD0" w14:textId="04373CCA" w:rsidR="0094453B" w:rsidRPr="00C9343F" w:rsidRDefault="0094453B" w:rsidP="00F66D98">
            <w:pPr>
              <w:pStyle w:val="BlockText-Plain"/>
              <w:jc w:val="center"/>
            </w:pPr>
            <w:r w:rsidRPr="00C9343F">
              <w:t>a.</w:t>
            </w:r>
          </w:p>
        </w:tc>
        <w:tc>
          <w:tcPr>
            <w:tcW w:w="7800" w:type="dxa"/>
          </w:tcPr>
          <w:p w14:paraId="77A19D30" w14:textId="0E2AAAF3" w:rsidR="0094453B" w:rsidRPr="00C9343F" w:rsidRDefault="0094453B" w:rsidP="00F66D98">
            <w:pPr>
              <w:pStyle w:val="BlockText-Plain"/>
            </w:pPr>
            <w:r w:rsidRPr="00C9343F">
              <w:rPr>
                <w:iCs/>
              </w:rPr>
              <w:t>Periods of ineffective service with a prior employer.</w:t>
            </w:r>
          </w:p>
        </w:tc>
      </w:tr>
      <w:tr w:rsidR="0094453B" w:rsidRPr="00C9343F" w14:paraId="372A5362" w14:textId="77777777" w:rsidTr="000E1BE1">
        <w:tc>
          <w:tcPr>
            <w:tcW w:w="992" w:type="dxa"/>
          </w:tcPr>
          <w:p w14:paraId="584342DF" w14:textId="77777777" w:rsidR="0094453B" w:rsidRPr="00C9343F" w:rsidRDefault="0094453B" w:rsidP="00F66D98">
            <w:pPr>
              <w:pStyle w:val="BlockText-PlainNoSpacing"/>
              <w:jc w:val="center"/>
            </w:pPr>
          </w:p>
        </w:tc>
        <w:tc>
          <w:tcPr>
            <w:tcW w:w="567" w:type="dxa"/>
          </w:tcPr>
          <w:p w14:paraId="27693F4D" w14:textId="21E15CFD" w:rsidR="0094453B" w:rsidRPr="00C9343F" w:rsidRDefault="0094453B" w:rsidP="00F66D98">
            <w:pPr>
              <w:pStyle w:val="BlockText-Plain"/>
              <w:jc w:val="center"/>
            </w:pPr>
            <w:r w:rsidRPr="00C9343F">
              <w:t>b.</w:t>
            </w:r>
          </w:p>
        </w:tc>
        <w:tc>
          <w:tcPr>
            <w:tcW w:w="7800" w:type="dxa"/>
          </w:tcPr>
          <w:p w14:paraId="0BAE4218" w14:textId="15ECD80A" w:rsidR="0094453B" w:rsidRPr="00C9343F" w:rsidRDefault="0094453B" w:rsidP="00F66D98">
            <w:pPr>
              <w:pStyle w:val="BlockText-Plain"/>
            </w:pPr>
            <w:r w:rsidRPr="00C9343F">
              <w:rPr>
                <w:iCs/>
              </w:rPr>
              <w:t>Service with the armed forces of another country.</w:t>
            </w:r>
          </w:p>
        </w:tc>
      </w:tr>
      <w:tr w:rsidR="008B4402" w:rsidRPr="00C9343F" w14:paraId="7EA50FE0" w14:textId="77777777" w:rsidTr="003128DF">
        <w:tc>
          <w:tcPr>
            <w:tcW w:w="992" w:type="dxa"/>
          </w:tcPr>
          <w:p w14:paraId="57FA16F6" w14:textId="77777777" w:rsidR="008B4402" w:rsidRPr="00C9343F" w:rsidRDefault="008B4402" w:rsidP="00F66D98">
            <w:pPr>
              <w:pStyle w:val="BlockText-Plain"/>
              <w:jc w:val="center"/>
            </w:pPr>
            <w:r w:rsidRPr="00C9343F">
              <w:t>2.</w:t>
            </w:r>
          </w:p>
        </w:tc>
        <w:tc>
          <w:tcPr>
            <w:tcW w:w="8367" w:type="dxa"/>
            <w:gridSpan w:val="2"/>
          </w:tcPr>
          <w:p w14:paraId="304FC0D2" w14:textId="77777777" w:rsidR="008B4402" w:rsidRPr="00C9343F" w:rsidRDefault="00B06652" w:rsidP="00F66D98">
            <w:pPr>
              <w:pStyle w:val="BlockText-Plain"/>
            </w:pPr>
            <w:r w:rsidRPr="00C9343F">
              <w:t>If there is a gap of more than twelve months between any two periods of service</w:t>
            </w:r>
            <w:r w:rsidR="008B4402" w:rsidRPr="00C9343F">
              <w:t>, the earlier period cannot be recognised. There are two exceptions to this rule.</w:t>
            </w:r>
          </w:p>
        </w:tc>
      </w:tr>
      <w:tr w:rsidR="008B4402" w:rsidRPr="00C9343F" w14:paraId="152A2593" w14:textId="77777777" w:rsidTr="003128DF">
        <w:trPr>
          <w:cantSplit/>
        </w:trPr>
        <w:tc>
          <w:tcPr>
            <w:tcW w:w="992" w:type="dxa"/>
          </w:tcPr>
          <w:p w14:paraId="1D5F118B" w14:textId="77777777" w:rsidR="008B4402" w:rsidRPr="00C9343F" w:rsidRDefault="008B4402" w:rsidP="00F66D98">
            <w:pPr>
              <w:pStyle w:val="BlockText-Plain"/>
            </w:pPr>
          </w:p>
        </w:tc>
        <w:tc>
          <w:tcPr>
            <w:tcW w:w="567" w:type="dxa"/>
          </w:tcPr>
          <w:p w14:paraId="6330BD10" w14:textId="77777777" w:rsidR="008B4402" w:rsidRPr="00C9343F" w:rsidRDefault="008B4402" w:rsidP="00F66D98">
            <w:pPr>
              <w:pStyle w:val="BlockText-Plain"/>
              <w:jc w:val="center"/>
            </w:pPr>
            <w:r w:rsidRPr="00C9343F">
              <w:t>a.</w:t>
            </w:r>
          </w:p>
        </w:tc>
        <w:tc>
          <w:tcPr>
            <w:tcW w:w="7800" w:type="dxa"/>
          </w:tcPr>
          <w:p w14:paraId="5FD1F829" w14:textId="3F37011F" w:rsidR="008B4402" w:rsidRPr="00C9343F" w:rsidRDefault="003128DF" w:rsidP="00F66D98">
            <w:pPr>
              <w:pStyle w:val="BlockText-Plain"/>
            </w:pPr>
            <w:r w:rsidRPr="00C9343F">
              <w:t>If the previous period of service or employment was ceased due to illness and, having considered the member’s duties before their illness, the CDF is satisfied that the member has returned to suitable duties in the ADF within 1 year of their recovery.</w:t>
            </w:r>
          </w:p>
        </w:tc>
      </w:tr>
      <w:tr w:rsidR="008B4402" w:rsidRPr="00C9343F" w14:paraId="75F5822B" w14:textId="77777777" w:rsidTr="003128DF">
        <w:trPr>
          <w:cantSplit/>
        </w:trPr>
        <w:tc>
          <w:tcPr>
            <w:tcW w:w="992" w:type="dxa"/>
          </w:tcPr>
          <w:p w14:paraId="310BBA6B" w14:textId="77777777" w:rsidR="008B4402" w:rsidRPr="00C9343F" w:rsidRDefault="008B4402" w:rsidP="00F66D98">
            <w:pPr>
              <w:pStyle w:val="BlockText-Plain"/>
            </w:pPr>
          </w:p>
        </w:tc>
        <w:tc>
          <w:tcPr>
            <w:tcW w:w="567" w:type="dxa"/>
          </w:tcPr>
          <w:p w14:paraId="29FB6979" w14:textId="77777777" w:rsidR="008B4402" w:rsidRPr="00C9343F" w:rsidRDefault="008B4402" w:rsidP="00F66D98">
            <w:pPr>
              <w:pStyle w:val="BlockText-Plain"/>
              <w:jc w:val="center"/>
            </w:pPr>
            <w:r w:rsidRPr="00C9343F">
              <w:t>b.</w:t>
            </w:r>
          </w:p>
        </w:tc>
        <w:tc>
          <w:tcPr>
            <w:tcW w:w="7800" w:type="dxa"/>
          </w:tcPr>
          <w:p w14:paraId="2D0A0F30" w14:textId="77777777" w:rsidR="008B4402" w:rsidRPr="00C9343F" w:rsidRDefault="008B4402" w:rsidP="00F66D98">
            <w:pPr>
              <w:pStyle w:val="BlockText-Plain"/>
            </w:pPr>
            <w:r w:rsidRPr="00C9343F">
              <w:t>If the break was due to Service-approved full-time vocational training.</w:t>
            </w:r>
          </w:p>
        </w:tc>
      </w:tr>
      <w:tr w:rsidR="008B4402" w:rsidRPr="00C9343F" w14:paraId="42DF8961" w14:textId="77777777" w:rsidTr="003128DF">
        <w:tc>
          <w:tcPr>
            <w:tcW w:w="992" w:type="dxa"/>
          </w:tcPr>
          <w:p w14:paraId="6EA156F0" w14:textId="77777777" w:rsidR="008B4402" w:rsidRPr="00C9343F" w:rsidRDefault="008B4402" w:rsidP="00F66D98">
            <w:pPr>
              <w:pStyle w:val="BlockText-Plain"/>
              <w:jc w:val="center"/>
            </w:pPr>
            <w:r w:rsidRPr="00C9343F">
              <w:t>3.</w:t>
            </w:r>
          </w:p>
        </w:tc>
        <w:tc>
          <w:tcPr>
            <w:tcW w:w="8367" w:type="dxa"/>
            <w:gridSpan w:val="2"/>
          </w:tcPr>
          <w:p w14:paraId="62611E98" w14:textId="6B774768" w:rsidR="008B4402" w:rsidRPr="00C9343F" w:rsidRDefault="008B4402" w:rsidP="00F66D98">
            <w:pPr>
              <w:pStyle w:val="BlockText-Plain"/>
            </w:pPr>
            <w:r w:rsidRPr="00C9343F">
              <w:t>Service with another employer may only be recognised if it has ended.</w:t>
            </w:r>
          </w:p>
        </w:tc>
      </w:tr>
      <w:tr w:rsidR="008B4402" w:rsidRPr="00C9343F" w14:paraId="31A94D2E" w14:textId="77777777" w:rsidTr="003128DF">
        <w:tc>
          <w:tcPr>
            <w:tcW w:w="992" w:type="dxa"/>
          </w:tcPr>
          <w:p w14:paraId="14A6381D" w14:textId="77777777" w:rsidR="008B4402" w:rsidRPr="00C9343F" w:rsidRDefault="008B4402" w:rsidP="00F66D98">
            <w:pPr>
              <w:pStyle w:val="BlockText-Plain"/>
              <w:jc w:val="center"/>
            </w:pPr>
            <w:r w:rsidRPr="00C9343F">
              <w:t>4.</w:t>
            </w:r>
          </w:p>
        </w:tc>
        <w:tc>
          <w:tcPr>
            <w:tcW w:w="8367" w:type="dxa"/>
            <w:gridSpan w:val="2"/>
          </w:tcPr>
          <w:p w14:paraId="47C37D43" w14:textId="77777777" w:rsidR="008B4402" w:rsidRPr="00C9343F" w:rsidRDefault="008B4402" w:rsidP="00F66D98">
            <w:pPr>
              <w:pStyle w:val="BlockText-Plain"/>
            </w:pPr>
            <w:r w:rsidRPr="00C9343F">
              <w:t>A member's credit is reduced by either of these events.</w:t>
            </w:r>
          </w:p>
        </w:tc>
      </w:tr>
      <w:tr w:rsidR="008B4402" w:rsidRPr="00C9343F" w14:paraId="5659D340" w14:textId="77777777" w:rsidTr="003128DF">
        <w:trPr>
          <w:cantSplit/>
        </w:trPr>
        <w:tc>
          <w:tcPr>
            <w:tcW w:w="992" w:type="dxa"/>
          </w:tcPr>
          <w:p w14:paraId="4702AF62" w14:textId="77777777" w:rsidR="008B4402" w:rsidRPr="00C9343F" w:rsidRDefault="008B4402" w:rsidP="00F66D98">
            <w:pPr>
              <w:pStyle w:val="BlockText-Plain"/>
            </w:pPr>
          </w:p>
        </w:tc>
        <w:tc>
          <w:tcPr>
            <w:tcW w:w="567" w:type="dxa"/>
          </w:tcPr>
          <w:p w14:paraId="4D0F1BFE" w14:textId="77777777" w:rsidR="008B4402" w:rsidRPr="00C9343F" w:rsidRDefault="008B4402" w:rsidP="008D1B5D">
            <w:pPr>
              <w:pStyle w:val="BlockText-Plain"/>
              <w:jc w:val="center"/>
            </w:pPr>
            <w:r w:rsidRPr="00C9343F">
              <w:t>a.</w:t>
            </w:r>
          </w:p>
        </w:tc>
        <w:tc>
          <w:tcPr>
            <w:tcW w:w="7800" w:type="dxa"/>
          </w:tcPr>
          <w:p w14:paraId="57B1AD7F" w14:textId="77777777" w:rsidR="008B4402" w:rsidRPr="00C9343F" w:rsidRDefault="008B4402" w:rsidP="00F66D98">
            <w:pPr>
              <w:pStyle w:val="BlockText-Plain"/>
            </w:pPr>
            <w:r w:rsidRPr="00C9343F">
              <w:t xml:space="preserve">Long service leave granted during prior service. </w:t>
            </w:r>
          </w:p>
        </w:tc>
      </w:tr>
      <w:tr w:rsidR="008B4402" w:rsidRPr="00C9343F" w14:paraId="65165423" w14:textId="77777777" w:rsidTr="003128DF">
        <w:trPr>
          <w:cantSplit/>
        </w:trPr>
        <w:tc>
          <w:tcPr>
            <w:tcW w:w="992" w:type="dxa"/>
          </w:tcPr>
          <w:p w14:paraId="4F0A3097" w14:textId="77777777" w:rsidR="008B4402" w:rsidRPr="00C9343F" w:rsidRDefault="008B4402" w:rsidP="00F66D98">
            <w:pPr>
              <w:pStyle w:val="BlockText-Plain"/>
            </w:pPr>
          </w:p>
        </w:tc>
        <w:tc>
          <w:tcPr>
            <w:tcW w:w="567" w:type="dxa"/>
          </w:tcPr>
          <w:p w14:paraId="54F6F1BD" w14:textId="77777777" w:rsidR="008B4402" w:rsidRPr="00C9343F" w:rsidRDefault="008B4402" w:rsidP="008D1B5D">
            <w:pPr>
              <w:pStyle w:val="BlockText-Plain"/>
              <w:jc w:val="center"/>
            </w:pPr>
            <w:r w:rsidRPr="00C9343F">
              <w:t>b.</w:t>
            </w:r>
          </w:p>
        </w:tc>
        <w:tc>
          <w:tcPr>
            <w:tcW w:w="7800" w:type="dxa"/>
          </w:tcPr>
          <w:p w14:paraId="69A11E5A" w14:textId="79C22246" w:rsidR="008B4402" w:rsidRPr="00C9343F" w:rsidRDefault="008B4402" w:rsidP="00F66D98">
            <w:pPr>
              <w:pStyle w:val="BlockText-Plain"/>
            </w:pPr>
            <w:r w:rsidRPr="00C9343F">
              <w:t xml:space="preserve">Any payment instead of long service leave during prior service. </w:t>
            </w:r>
          </w:p>
        </w:tc>
      </w:tr>
    </w:tbl>
    <w:p w14:paraId="24A69CB5" w14:textId="425BABC9" w:rsidR="008B4402" w:rsidRPr="00C9343F" w:rsidRDefault="008B4402" w:rsidP="00F66D98">
      <w:pPr>
        <w:pStyle w:val="Heading5"/>
      </w:pPr>
      <w:bookmarkStart w:id="1427" w:name="_Toc105054038"/>
      <w:bookmarkStart w:id="1428" w:name="bk933455316Effectofparttimepriorworktha"/>
      <w:bookmarkStart w:id="1429" w:name="bk1152065316Effectofparttimepriorservic"/>
      <w:bookmarkStart w:id="1430" w:name="bk1157275316Effectofparttimepriorservic"/>
      <w:bookmarkStart w:id="1431" w:name="bk1413435316Effectofparttimepriorservic"/>
      <w:bookmarkStart w:id="1432" w:name="bk13833PM5312Periodsthatarenotaccruedse"/>
      <w:bookmarkStart w:id="1433" w:name="bk41518PM5313Periodsthatarenotaccruedse"/>
      <w:bookmarkStart w:id="1434" w:name="bk1546545315Periodsthatarenotaccruedser"/>
      <w:bookmarkStart w:id="1435" w:name="bk1056135316Periodsthatarenotaccruedser"/>
      <w:r w:rsidRPr="00C9343F">
        <w:t>5.5.16</w:t>
      </w:r>
      <w:r w:rsidR="00D94006" w:rsidRPr="00C9343F">
        <w:t>    </w:t>
      </w:r>
      <w:r w:rsidRPr="00C9343F">
        <w:t>Overlapping prior service</w:t>
      </w:r>
      <w:bookmarkEnd w:id="1427"/>
    </w:p>
    <w:tbl>
      <w:tblPr>
        <w:tblW w:w="0" w:type="auto"/>
        <w:tblInd w:w="113" w:type="dxa"/>
        <w:tblLayout w:type="fixed"/>
        <w:tblLook w:val="0000" w:firstRow="0" w:lastRow="0" w:firstColumn="0" w:lastColumn="0" w:noHBand="0" w:noVBand="0"/>
      </w:tblPr>
      <w:tblGrid>
        <w:gridCol w:w="992"/>
        <w:gridCol w:w="8363"/>
      </w:tblGrid>
      <w:tr w:rsidR="008B4402" w:rsidRPr="00C9343F" w14:paraId="4B58EF5D" w14:textId="77777777" w:rsidTr="008B4402">
        <w:tc>
          <w:tcPr>
            <w:tcW w:w="992" w:type="dxa"/>
          </w:tcPr>
          <w:p w14:paraId="26D68500" w14:textId="77777777" w:rsidR="008B4402" w:rsidRPr="00C9343F" w:rsidRDefault="008B4402" w:rsidP="00F66D98">
            <w:pPr>
              <w:pStyle w:val="BlockText-Plain"/>
              <w:jc w:val="center"/>
            </w:pPr>
            <w:r w:rsidRPr="00C9343F">
              <w:t>1.</w:t>
            </w:r>
          </w:p>
        </w:tc>
        <w:tc>
          <w:tcPr>
            <w:tcW w:w="8363" w:type="dxa"/>
          </w:tcPr>
          <w:p w14:paraId="6F5FDAC7" w14:textId="22CCC01A" w:rsidR="008B4402" w:rsidRPr="00C9343F" w:rsidRDefault="008B4402" w:rsidP="00F66D98">
            <w:pPr>
              <w:pStyle w:val="BlockText-Plain"/>
            </w:pPr>
            <w:r w:rsidRPr="00C9343F">
              <w:t>This section applies to a member who has recognised prior service with two different employers at the same time.</w:t>
            </w:r>
          </w:p>
        </w:tc>
      </w:tr>
      <w:tr w:rsidR="008B4402" w:rsidRPr="00C9343F" w14:paraId="624F2587" w14:textId="77777777" w:rsidTr="008B4402">
        <w:tc>
          <w:tcPr>
            <w:tcW w:w="992" w:type="dxa"/>
          </w:tcPr>
          <w:p w14:paraId="2DE3B25B" w14:textId="77777777" w:rsidR="008B4402" w:rsidRPr="00C9343F" w:rsidRDefault="008B4402" w:rsidP="00F66D98">
            <w:pPr>
              <w:pStyle w:val="BlockText-Plain"/>
              <w:jc w:val="center"/>
            </w:pPr>
            <w:r w:rsidRPr="00C9343F">
              <w:t>2.</w:t>
            </w:r>
          </w:p>
        </w:tc>
        <w:tc>
          <w:tcPr>
            <w:tcW w:w="8363" w:type="dxa"/>
          </w:tcPr>
          <w:p w14:paraId="4F509ACA" w14:textId="1B20EDBE" w:rsidR="008B4402" w:rsidRPr="00C9343F" w:rsidRDefault="008B4402" w:rsidP="00F66D98">
            <w:pPr>
              <w:pStyle w:val="BlockText-Plain"/>
            </w:pPr>
            <w:r w:rsidRPr="00C9343F">
              <w:t>A member cannot have more than one day of service for long service leave purposes recognised for a calendar day.</w:t>
            </w:r>
          </w:p>
        </w:tc>
      </w:tr>
      <w:tr w:rsidR="008B4402" w:rsidRPr="00C9343F" w14:paraId="62F100A9" w14:textId="77777777" w:rsidTr="008B4402">
        <w:tc>
          <w:tcPr>
            <w:tcW w:w="992" w:type="dxa"/>
          </w:tcPr>
          <w:p w14:paraId="115F8656" w14:textId="77777777" w:rsidR="008B4402" w:rsidRPr="00C9343F" w:rsidRDefault="008B4402" w:rsidP="00F66D98">
            <w:pPr>
              <w:pStyle w:val="BlockText-Plain"/>
              <w:jc w:val="center"/>
            </w:pPr>
            <w:r w:rsidRPr="00C9343F">
              <w:t>3.</w:t>
            </w:r>
          </w:p>
        </w:tc>
        <w:tc>
          <w:tcPr>
            <w:tcW w:w="8363" w:type="dxa"/>
          </w:tcPr>
          <w:p w14:paraId="18B14000" w14:textId="77777777" w:rsidR="008B4402" w:rsidRPr="00C9343F" w:rsidRDefault="008B4402" w:rsidP="00F66D98">
            <w:pPr>
              <w:pStyle w:val="BlockText-Plain"/>
              <w:rPr>
                <w:b/>
              </w:rPr>
            </w:pPr>
            <w:r w:rsidRPr="00C9343F">
              <w:t>If a member has part-time service with two employers at the same time, the weekly hours are added together to determine service for long service leave. The member is subject to the limit in subsection 2.</w:t>
            </w:r>
          </w:p>
        </w:tc>
      </w:tr>
    </w:tbl>
    <w:p w14:paraId="4333966B" w14:textId="36568A28" w:rsidR="008B4402" w:rsidRPr="00C9343F" w:rsidRDefault="008B4402" w:rsidP="00F66D98">
      <w:pPr>
        <w:pStyle w:val="Heading5"/>
      </w:pPr>
      <w:bookmarkStart w:id="1436" w:name="_Toc105054039"/>
      <w:r w:rsidRPr="00C9343F">
        <w:t>5.5.17</w:t>
      </w:r>
      <w:r w:rsidR="00D94006" w:rsidRPr="00C9343F">
        <w:t>    </w:t>
      </w:r>
      <w:r w:rsidRPr="00C9343F">
        <w:t>Effect of part-time prior service</w:t>
      </w:r>
      <w:bookmarkEnd w:id="1436"/>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599A4125" w14:textId="77777777" w:rsidTr="0094453B">
        <w:tc>
          <w:tcPr>
            <w:tcW w:w="992" w:type="dxa"/>
          </w:tcPr>
          <w:bookmarkEnd w:id="1428"/>
          <w:bookmarkEnd w:id="1429"/>
          <w:bookmarkEnd w:id="1430"/>
          <w:bookmarkEnd w:id="1431"/>
          <w:p w14:paraId="47A31EB0" w14:textId="77777777" w:rsidR="008B4402" w:rsidRPr="00C9343F" w:rsidRDefault="008B4402" w:rsidP="00F66D98">
            <w:pPr>
              <w:pStyle w:val="BlockText-Plain"/>
              <w:jc w:val="center"/>
            </w:pPr>
            <w:r w:rsidRPr="00C9343F">
              <w:t>2.</w:t>
            </w:r>
          </w:p>
        </w:tc>
        <w:tc>
          <w:tcPr>
            <w:tcW w:w="8363" w:type="dxa"/>
            <w:gridSpan w:val="2"/>
          </w:tcPr>
          <w:p w14:paraId="57DD2326" w14:textId="77777777" w:rsidR="008B4402" w:rsidRPr="00C9343F" w:rsidRDefault="008B4402" w:rsidP="00F66D98">
            <w:pPr>
              <w:pStyle w:val="BlockText-Plain"/>
            </w:pPr>
            <w:r w:rsidRPr="00C9343F">
              <w:t xml:space="preserve">Members with part-time prior service need to have these periods converted to full-time equivalents. </w:t>
            </w:r>
          </w:p>
        </w:tc>
      </w:tr>
      <w:tr w:rsidR="008B4402" w:rsidRPr="00C9343F" w14:paraId="72A44706" w14:textId="77777777" w:rsidTr="0094453B">
        <w:trPr>
          <w:cantSplit/>
        </w:trPr>
        <w:tc>
          <w:tcPr>
            <w:tcW w:w="992" w:type="dxa"/>
          </w:tcPr>
          <w:p w14:paraId="0DC20834" w14:textId="77777777" w:rsidR="008B4402" w:rsidRPr="00C9343F" w:rsidRDefault="008B4402" w:rsidP="00F66D98">
            <w:pPr>
              <w:pStyle w:val="BlockText-Plain"/>
            </w:pPr>
          </w:p>
        </w:tc>
        <w:tc>
          <w:tcPr>
            <w:tcW w:w="567" w:type="dxa"/>
          </w:tcPr>
          <w:p w14:paraId="67C16B9C" w14:textId="77777777" w:rsidR="008B4402" w:rsidRPr="00C9343F" w:rsidRDefault="008B4402" w:rsidP="008D1B5D">
            <w:pPr>
              <w:pStyle w:val="BlockText-Plain"/>
              <w:jc w:val="center"/>
            </w:pPr>
            <w:r w:rsidRPr="00C9343F">
              <w:t>a.</w:t>
            </w:r>
          </w:p>
        </w:tc>
        <w:tc>
          <w:tcPr>
            <w:tcW w:w="7796" w:type="dxa"/>
          </w:tcPr>
          <w:p w14:paraId="024A2CC6" w14:textId="77777777" w:rsidR="008B4402" w:rsidRPr="00C9343F" w:rsidRDefault="008B4402" w:rsidP="00F66D98">
            <w:pPr>
              <w:pStyle w:val="BlockText-Plain"/>
            </w:pPr>
            <w:r w:rsidRPr="00C9343F">
              <w:t xml:space="preserve">Subsection 3 gives the method for adjusting the period of part-time service to the </w:t>
            </w:r>
            <w:r w:rsidRPr="00C9343F">
              <w:br/>
              <w:t>full-time equivalent.</w:t>
            </w:r>
          </w:p>
        </w:tc>
      </w:tr>
      <w:tr w:rsidR="008B4402" w:rsidRPr="00C9343F" w14:paraId="5C1C588F" w14:textId="77777777" w:rsidTr="0094453B">
        <w:trPr>
          <w:cantSplit/>
        </w:trPr>
        <w:tc>
          <w:tcPr>
            <w:tcW w:w="992" w:type="dxa"/>
          </w:tcPr>
          <w:p w14:paraId="234599A2" w14:textId="77777777" w:rsidR="008B4402" w:rsidRPr="00C9343F" w:rsidRDefault="008B4402" w:rsidP="00F66D98">
            <w:pPr>
              <w:pStyle w:val="BlockText-Plain"/>
            </w:pPr>
          </w:p>
        </w:tc>
        <w:tc>
          <w:tcPr>
            <w:tcW w:w="567" w:type="dxa"/>
          </w:tcPr>
          <w:p w14:paraId="4023AE59" w14:textId="77777777" w:rsidR="008B4402" w:rsidRPr="00C9343F" w:rsidRDefault="008B4402" w:rsidP="008D1B5D">
            <w:pPr>
              <w:pStyle w:val="BlockText-Plain"/>
              <w:jc w:val="center"/>
            </w:pPr>
            <w:r w:rsidRPr="00C9343F">
              <w:t>b.</w:t>
            </w:r>
          </w:p>
        </w:tc>
        <w:tc>
          <w:tcPr>
            <w:tcW w:w="7796" w:type="dxa"/>
          </w:tcPr>
          <w:p w14:paraId="33E465A6" w14:textId="77777777" w:rsidR="008B4402" w:rsidRPr="00C9343F" w:rsidRDefault="008B4402" w:rsidP="00F66D98">
            <w:pPr>
              <w:pStyle w:val="BlockText-Plain"/>
            </w:pPr>
            <w:r w:rsidRPr="00C9343F">
              <w:t xml:space="preserve">Subsection 5 gives the method for adjusting the period of part-time leave to the </w:t>
            </w:r>
            <w:r w:rsidRPr="00C9343F">
              <w:br/>
              <w:t>full-time equivalent.</w:t>
            </w:r>
          </w:p>
        </w:tc>
      </w:tr>
      <w:tr w:rsidR="008B4402" w:rsidRPr="00C9343F" w14:paraId="3001890A" w14:textId="77777777" w:rsidTr="0094453B">
        <w:tc>
          <w:tcPr>
            <w:tcW w:w="992" w:type="dxa"/>
          </w:tcPr>
          <w:p w14:paraId="467E5C30" w14:textId="77777777" w:rsidR="008B4402" w:rsidRPr="00C9343F" w:rsidRDefault="008B4402" w:rsidP="00F66D98">
            <w:pPr>
              <w:pStyle w:val="BlockText-Plain"/>
              <w:jc w:val="center"/>
            </w:pPr>
            <w:r w:rsidRPr="00C9343F">
              <w:t>3.</w:t>
            </w:r>
          </w:p>
        </w:tc>
        <w:tc>
          <w:tcPr>
            <w:tcW w:w="8363" w:type="dxa"/>
            <w:gridSpan w:val="2"/>
          </w:tcPr>
          <w:p w14:paraId="78A36909" w14:textId="77777777" w:rsidR="008B4402" w:rsidRPr="00C9343F" w:rsidRDefault="008B4402" w:rsidP="00F66D98">
            <w:pPr>
              <w:pStyle w:val="BlockText-Plain"/>
            </w:pPr>
            <w:r w:rsidRPr="00C9343F">
              <w:t>Prior part-time</w:t>
            </w:r>
            <w:r w:rsidRPr="00C9343F">
              <w:rPr>
                <w:b/>
              </w:rPr>
              <w:t xml:space="preserve"> </w:t>
            </w:r>
            <w:r w:rsidRPr="00C9343F">
              <w:t>service counts as accrued service but the period of service is adjusted to reflect the part-time hours worked. This table shows the method.</w:t>
            </w:r>
          </w:p>
        </w:tc>
      </w:tr>
    </w:tbl>
    <w:p w14:paraId="45F30765" w14:textId="77777777" w:rsidR="008B4402" w:rsidRPr="00C9343F" w:rsidRDefault="008B4402" w:rsidP="00F66D98"/>
    <w:tbl>
      <w:tblPr>
        <w:tblW w:w="0" w:type="auto"/>
        <w:tblInd w:w="1021" w:type="dxa"/>
        <w:tblLayout w:type="fixed"/>
        <w:tblCellMar>
          <w:left w:w="28" w:type="dxa"/>
          <w:right w:w="28" w:type="dxa"/>
        </w:tblCellMar>
        <w:tblLook w:val="0000" w:firstRow="0" w:lastRow="0" w:firstColumn="0" w:lastColumn="0" w:noHBand="0" w:noVBand="0"/>
      </w:tblPr>
      <w:tblGrid>
        <w:gridCol w:w="850"/>
        <w:gridCol w:w="7513"/>
      </w:tblGrid>
      <w:tr w:rsidR="008B4402" w:rsidRPr="00C9343F" w14:paraId="75A5DD82"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176F8177" w14:textId="77777777" w:rsidR="008B4402" w:rsidRPr="00C9343F" w:rsidRDefault="008B4402" w:rsidP="00F66D98">
            <w:pPr>
              <w:pStyle w:val="TableHeaderArial"/>
            </w:pPr>
            <w:r w:rsidRPr="00C9343F">
              <w:t>Step</w:t>
            </w:r>
          </w:p>
        </w:tc>
        <w:tc>
          <w:tcPr>
            <w:tcW w:w="7513" w:type="dxa"/>
            <w:tcBorders>
              <w:top w:val="single" w:sz="6" w:space="0" w:color="auto"/>
              <w:bottom w:val="single" w:sz="6" w:space="0" w:color="auto"/>
              <w:right w:val="single" w:sz="6" w:space="0" w:color="auto"/>
            </w:tcBorders>
          </w:tcPr>
          <w:p w14:paraId="2BC6688E" w14:textId="77777777" w:rsidR="008B4402" w:rsidRPr="00C9343F" w:rsidRDefault="008B4402" w:rsidP="00F66D98">
            <w:pPr>
              <w:pStyle w:val="TableHeaderArial"/>
            </w:pPr>
            <w:r w:rsidRPr="00C9343F">
              <w:t>Action</w:t>
            </w:r>
          </w:p>
        </w:tc>
      </w:tr>
      <w:tr w:rsidR="008B4402" w:rsidRPr="00C9343F" w14:paraId="353C0270"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772FC0D4" w14:textId="77777777" w:rsidR="008B4402" w:rsidRPr="00C9343F" w:rsidRDefault="008B4402" w:rsidP="00F66D98">
            <w:pPr>
              <w:pStyle w:val="TableTextArial-ctrd"/>
            </w:pPr>
            <w:r w:rsidRPr="00C9343F">
              <w:t>1.</w:t>
            </w:r>
          </w:p>
        </w:tc>
        <w:tc>
          <w:tcPr>
            <w:tcW w:w="7513" w:type="dxa"/>
            <w:tcBorders>
              <w:top w:val="single" w:sz="6" w:space="0" w:color="auto"/>
              <w:bottom w:val="single" w:sz="6" w:space="0" w:color="auto"/>
              <w:right w:val="single" w:sz="6" w:space="0" w:color="auto"/>
            </w:tcBorders>
          </w:tcPr>
          <w:p w14:paraId="7E0587E9" w14:textId="77777777" w:rsidR="008B4402" w:rsidRPr="00C9343F" w:rsidRDefault="008B4402" w:rsidP="00F66D98">
            <w:pPr>
              <w:pStyle w:val="TableTextArial-left"/>
            </w:pPr>
            <w:r w:rsidRPr="00C9343F">
              <w:t xml:space="preserve">Work out the length of the member's part-time prior service, in days. </w:t>
            </w:r>
          </w:p>
        </w:tc>
      </w:tr>
      <w:tr w:rsidR="008B4402" w:rsidRPr="00C9343F" w14:paraId="1EA09CCC"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5A3641DA" w14:textId="77777777" w:rsidR="008B4402" w:rsidRPr="00C9343F" w:rsidRDefault="008B4402" w:rsidP="00F66D98">
            <w:pPr>
              <w:pStyle w:val="TableTextArial-ctrd"/>
            </w:pPr>
            <w:r w:rsidRPr="00C9343F">
              <w:t>2.</w:t>
            </w:r>
          </w:p>
        </w:tc>
        <w:tc>
          <w:tcPr>
            <w:tcW w:w="7513" w:type="dxa"/>
            <w:tcBorders>
              <w:top w:val="single" w:sz="6" w:space="0" w:color="auto"/>
              <w:bottom w:val="single" w:sz="6" w:space="0" w:color="auto"/>
              <w:right w:val="single" w:sz="6" w:space="0" w:color="auto"/>
            </w:tcBorders>
          </w:tcPr>
          <w:p w14:paraId="6E8926C1" w14:textId="77777777" w:rsidR="008B4402" w:rsidRPr="00C9343F" w:rsidRDefault="008B4402" w:rsidP="00F66D98">
            <w:pPr>
              <w:pStyle w:val="TableTextArial-left"/>
            </w:pPr>
            <w:r w:rsidRPr="00C9343F">
              <w:t>Work out the member's average weekly hours during that period. If the member had different periods at different weekly rates, these should be calculated separately.</w:t>
            </w:r>
          </w:p>
        </w:tc>
      </w:tr>
      <w:tr w:rsidR="008B4402" w:rsidRPr="00C9343F" w14:paraId="3876212F"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12ABFA21" w14:textId="77777777" w:rsidR="008B4402" w:rsidRPr="00C9343F" w:rsidRDefault="008B4402" w:rsidP="00F66D98">
            <w:pPr>
              <w:pStyle w:val="TableTextArial-ctrd"/>
            </w:pPr>
            <w:r w:rsidRPr="00C9343F">
              <w:t>3.</w:t>
            </w:r>
          </w:p>
        </w:tc>
        <w:tc>
          <w:tcPr>
            <w:tcW w:w="7513" w:type="dxa"/>
            <w:tcBorders>
              <w:top w:val="single" w:sz="6" w:space="0" w:color="auto"/>
              <w:bottom w:val="single" w:sz="6" w:space="0" w:color="auto"/>
              <w:right w:val="single" w:sz="6" w:space="0" w:color="auto"/>
            </w:tcBorders>
          </w:tcPr>
          <w:p w14:paraId="6AA78A6B" w14:textId="77777777" w:rsidR="008B4402" w:rsidRPr="00C9343F" w:rsidRDefault="008B4402" w:rsidP="00F66D98">
            <w:pPr>
              <w:pStyle w:val="TableTextArial-left"/>
            </w:pPr>
            <w:r w:rsidRPr="00C9343F">
              <w:t>Multiply the two figures together.</w:t>
            </w:r>
          </w:p>
        </w:tc>
      </w:tr>
      <w:tr w:rsidR="008B4402" w:rsidRPr="00C9343F" w14:paraId="73729034"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26E3DAA6" w14:textId="77777777" w:rsidR="008B4402" w:rsidRPr="00C9343F" w:rsidRDefault="008B4402" w:rsidP="00F66D98">
            <w:pPr>
              <w:pStyle w:val="TableTextArial-ctrd"/>
            </w:pPr>
            <w:r w:rsidRPr="00C9343F">
              <w:t>4.</w:t>
            </w:r>
          </w:p>
        </w:tc>
        <w:tc>
          <w:tcPr>
            <w:tcW w:w="7513" w:type="dxa"/>
            <w:tcBorders>
              <w:top w:val="single" w:sz="6" w:space="0" w:color="auto"/>
              <w:bottom w:val="single" w:sz="6" w:space="0" w:color="auto"/>
              <w:right w:val="single" w:sz="6" w:space="0" w:color="auto"/>
            </w:tcBorders>
          </w:tcPr>
          <w:p w14:paraId="0E47CC3A" w14:textId="77777777" w:rsidR="008B4402" w:rsidRPr="00C9343F" w:rsidRDefault="008B4402" w:rsidP="00F66D98">
            <w:pPr>
              <w:pStyle w:val="TableTextArial-left"/>
            </w:pPr>
            <w:r w:rsidRPr="00C9343F">
              <w:t xml:space="preserve">Divide this total by 36.75. This figure is the number of </w:t>
            </w:r>
            <w:r w:rsidRPr="00C9343F">
              <w:rPr>
                <w:color w:val="000000"/>
              </w:rPr>
              <w:t>days</w:t>
            </w:r>
            <w:r w:rsidRPr="00C9343F">
              <w:t xml:space="preserve"> of prior service that may be recognised.</w:t>
            </w:r>
          </w:p>
        </w:tc>
      </w:tr>
      <w:tr w:rsidR="008B4402" w:rsidRPr="00C9343F" w14:paraId="408B7895"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0D131181" w14:textId="77777777" w:rsidR="008B4402" w:rsidRPr="00C9343F" w:rsidRDefault="008B4402" w:rsidP="00F66D98">
            <w:pPr>
              <w:pStyle w:val="TableTextArial-ctrd"/>
            </w:pPr>
            <w:r w:rsidRPr="00C9343F">
              <w:t>5.</w:t>
            </w:r>
          </w:p>
        </w:tc>
        <w:tc>
          <w:tcPr>
            <w:tcW w:w="7513" w:type="dxa"/>
            <w:tcBorders>
              <w:top w:val="single" w:sz="6" w:space="0" w:color="auto"/>
              <w:bottom w:val="single" w:sz="6" w:space="0" w:color="auto"/>
              <w:right w:val="single" w:sz="6" w:space="0" w:color="auto"/>
            </w:tcBorders>
          </w:tcPr>
          <w:p w14:paraId="2F934A05" w14:textId="77777777" w:rsidR="008B4402" w:rsidRPr="00C9343F" w:rsidRDefault="008B4402" w:rsidP="00F66D98">
            <w:pPr>
              <w:pStyle w:val="TableTextArial-left"/>
            </w:pPr>
            <w:r w:rsidRPr="00C9343F">
              <w:t>If the member had different periods at different weekly rates, steps 1 to 4 should be worked out separately for each period. The periods are added at the end to give the total part-time prior service.</w:t>
            </w:r>
          </w:p>
        </w:tc>
      </w:tr>
      <w:tr w:rsidR="008B4402" w:rsidRPr="00C9343F" w14:paraId="6A325CB9"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419DD301" w14:textId="77777777" w:rsidR="008B4402" w:rsidRPr="00C9343F" w:rsidRDefault="008B4402" w:rsidP="00F66D98">
            <w:pPr>
              <w:pStyle w:val="TableTextArial-ctrd"/>
            </w:pPr>
            <w:r w:rsidRPr="00C9343F">
              <w:t>6.</w:t>
            </w:r>
          </w:p>
        </w:tc>
        <w:tc>
          <w:tcPr>
            <w:tcW w:w="7513" w:type="dxa"/>
            <w:tcBorders>
              <w:top w:val="single" w:sz="6" w:space="0" w:color="auto"/>
              <w:bottom w:val="single" w:sz="6" w:space="0" w:color="auto"/>
              <w:right w:val="single" w:sz="6" w:space="0" w:color="auto"/>
            </w:tcBorders>
          </w:tcPr>
          <w:p w14:paraId="5EB4B643" w14:textId="77777777" w:rsidR="008B4402" w:rsidRPr="00C9343F" w:rsidRDefault="008B4402" w:rsidP="00F66D98">
            <w:pPr>
              <w:pStyle w:val="TableTextArial-left"/>
              <w:spacing w:after="120"/>
            </w:pPr>
            <w:r w:rsidRPr="00C9343F">
              <w:t>The total should be included in the member's period of service for when working out their credit.</w:t>
            </w:r>
          </w:p>
          <w:p w14:paraId="55C10D91" w14:textId="77777777" w:rsidR="008B4402" w:rsidRPr="00C9343F" w:rsidRDefault="008B4402" w:rsidP="00F66D98">
            <w:pPr>
              <w:pStyle w:val="TableTextArial-left"/>
            </w:pPr>
            <w:r w:rsidRPr="00C9343F">
              <w:rPr>
                <w:b/>
              </w:rPr>
              <w:t>See:</w:t>
            </w:r>
            <w:r w:rsidRPr="00C9343F">
              <w:t xml:space="preserve"> Division 2 section 5.5.8, How much long service leave?</w:t>
            </w:r>
          </w:p>
        </w:tc>
      </w:tr>
    </w:tbl>
    <w:p w14:paraId="291C1860" w14:textId="77777777" w:rsidR="008B4402" w:rsidRPr="00C9343F" w:rsidRDefault="008B4402" w:rsidP="00F66D98"/>
    <w:tbl>
      <w:tblPr>
        <w:tblW w:w="9355" w:type="dxa"/>
        <w:tblInd w:w="113" w:type="dxa"/>
        <w:tblLayout w:type="fixed"/>
        <w:tblLook w:val="0000" w:firstRow="0" w:lastRow="0" w:firstColumn="0" w:lastColumn="0" w:noHBand="0" w:noVBand="0"/>
      </w:tblPr>
      <w:tblGrid>
        <w:gridCol w:w="992"/>
        <w:gridCol w:w="2972"/>
        <w:gridCol w:w="5391"/>
      </w:tblGrid>
      <w:tr w:rsidR="008B4402" w:rsidRPr="00C9343F" w14:paraId="31AE9283" w14:textId="77777777" w:rsidTr="0094453B">
        <w:trPr>
          <w:cantSplit/>
        </w:trPr>
        <w:tc>
          <w:tcPr>
            <w:tcW w:w="992" w:type="dxa"/>
          </w:tcPr>
          <w:p w14:paraId="3BA9B637" w14:textId="77777777" w:rsidR="008B4402" w:rsidRPr="00C9343F" w:rsidRDefault="008B4402" w:rsidP="00F66D98">
            <w:pPr>
              <w:pStyle w:val="BlockText-Plain"/>
            </w:pPr>
          </w:p>
        </w:tc>
        <w:tc>
          <w:tcPr>
            <w:tcW w:w="2972" w:type="dxa"/>
          </w:tcPr>
          <w:p w14:paraId="78C0397D" w14:textId="77777777" w:rsidR="008B4402" w:rsidRPr="00C9343F" w:rsidRDefault="008B4402" w:rsidP="00F66D98">
            <w:pPr>
              <w:pStyle w:val="BlockText-Plain"/>
            </w:pPr>
            <w:r w:rsidRPr="00C9343F">
              <w:t>1 July 2010 to 30 June 2011</w:t>
            </w:r>
          </w:p>
        </w:tc>
        <w:tc>
          <w:tcPr>
            <w:tcW w:w="5391" w:type="dxa"/>
          </w:tcPr>
          <w:p w14:paraId="016A64A1" w14:textId="77777777" w:rsidR="008B4402" w:rsidRPr="00C9343F" w:rsidRDefault="008B4402" w:rsidP="00F66D98">
            <w:pPr>
              <w:pStyle w:val="BlockText-Plain"/>
              <w:spacing w:after="0"/>
            </w:pPr>
            <w:r w:rsidRPr="00C9343F">
              <w:t>20 hours a week</w:t>
            </w:r>
          </w:p>
          <w:p w14:paraId="69A31D79" w14:textId="77777777" w:rsidR="008B4402" w:rsidRPr="00C9343F" w:rsidRDefault="008B4402" w:rsidP="00F66D98">
            <w:pPr>
              <w:pStyle w:val="BlockText-Plain"/>
              <w:spacing w:after="0"/>
            </w:pPr>
            <w:r w:rsidRPr="00C9343F">
              <w:t>1 to 31 March 2011 was non-effective service</w:t>
            </w:r>
          </w:p>
        </w:tc>
      </w:tr>
      <w:tr w:rsidR="008B4402" w:rsidRPr="00C9343F" w14:paraId="3C52B0CB" w14:textId="77777777" w:rsidTr="0094453B">
        <w:trPr>
          <w:cantSplit/>
        </w:trPr>
        <w:tc>
          <w:tcPr>
            <w:tcW w:w="992" w:type="dxa"/>
          </w:tcPr>
          <w:p w14:paraId="11376B95" w14:textId="77777777" w:rsidR="008B4402" w:rsidRPr="00C9343F" w:rsidRDefault="008B4402" w:rsidP="00F66D98">
            <w:pPr>
              <w:pStyle w:val="BlockText-Plain"/>
            </w:pPr>
          </w:p>
        </w:tc>
        <w:tc>
          <w:tcPr>
            <w:tcW w:w="2972" w:type="dxa"/>
          </w:tcPr>
          <w:p w14:paraId="1626EB41" w14:textId="77777777" w:rsidR="008B4402" w:rsidRPr="00C9343F" w:rsidRDefault="008B4402" w:rsidP="00F66D98">
            <w:pPr>
              <w:pStyle w:val="BlockText-Plain"/>
            </w:pPr>
            <w:r w:rsidRPr="00C9343F">
              <w:t>1 July 2011 to 30 June 2012</w:t>
            </w:r>
          </w:p>
        </w:tc>
        <w:tc>
          <w:tcPr>
            <w:tcW w:w="5391" w:type="dxa"/>
          </w:tcPr>
          <w:p w14:paraId="6E1BD1F6" w14:textId="77777777" w:rsidR="008B4402" w:rsidRPr="00C9343F" w:rsidRDefault="008B4402" w:rsidP="00F66D98">
            <w:pPr>
              <w:pStyle w:val="BlockText-Plain"/>
              <w:spacing w:after="0"/>
            </w:pPr>
            <w:r w:rsidRPr="00C9343F">
              <w:t>30 hours a week</w:t>
            </w:r>
          </w:p>
        </w:tc>
      </w:tr>
    </w:tbl>
    <w:p w14:paraId="4B554146" w14:textId="77777777" w:rsidR="008B4402" w:rsidRPr="00C9343F" w:rsidRDefault="008B4402" w:rsidP="00F66D98"/>
    <w:tbl>
      <w:tblPr>
        <w:tblW w:w="8363" w:type="dxa"/>
        <w:tblInd w:w="1049" w:type="dxa"/>
        <w:tblLayout w:type="fixed"/>
        <w:tblCellMar>
          <w:left w:w="56" w:type="dxa"/>
          <w:right w:w="56" w:type="dxa"/>
        </w:tblCellMar>
        <w:tblLook w:val="0000" w:firstRow="0" w:lastRow="0" w:firstColumn="0" w:lastColumn="0" w:noHBand="0" w:noVBand="0"/>
      </w:tblPr>
      <w:tblGrid>
        <w:gridCol w:w="850"/>
        <w:gridCol w:w="3756"/>
        <w:gridCol w:w="3757"/>
      </w:tblGrid>
      <w:tr w:rsidR="008B4402" w:rsidRPr="00C9343F" w14:paraId="15D7572A" w14:textId="77777777" w:rsidTr="00E40FE5">
        <w:trPr>
          <w:cantSplit/>
        </w:trPr>
        <w:tc>
          <w:tcPr>
            <w:tcW w:w="850" w:type="dxa"/>
            <w:tcBorders>
              <w:top w:val="single" w:sz="6" w:space="0" w:color="auto"/>
              <w:left w:val="single" w:sz="6" w:space="0" w:color="auto"/>
              <w:bottom w:val="single" w:sz="6" w:space="0" w:color="auto"/>
              <w:right w:val="single" w:sz="6" w:space="0" w:color="auto"/>
            </w:tcBorders>
          </w:tcPr>
          <w:p w14:paraId="20B5F8FE" w14:textId="77777777" w:rsidR="008B4402" w:rsidRPr="00C9343F" w:rsidRDefault="008B4402" w:rsidP="00F66D98">
            <w:pPr>
              <w:pStyle w:val="TableHeaderArial"/>
            </w:pPr>
            <w:r w:rsidRPr="00C9343F">
              <w:t>Step</w:t>
            </w:r>
          </w:p>
        </w:tc>
        <w:tc>
          <w:tcPr>
            <w:tcW w:w="7513" w:type="dxa"/>
            <w:gridSpan w:val="2"/>
            <w:tcBorders>
              <w:top w:val="single" w:sz="6" w:space="0" w:color="auto"/>
              <w:left w:val="single" w:sz="6" w:space="0" w:color="auto"/>
              <w:bottom w:val="single" w:sz="6" w:space="0" w:color="auto"/>
              <w:right w:val="single" w:sz="6" w:space="0" w:color="auto"/>
            </w:tcBorders>
          </w:tcPr>
          <w:p w14:paraId="001DE498" w14:textId="77777777" w:rsidR="008B4402" w:rsidRPr="00C9343F" w:rsidRDefault="008B4402" w:rsidP="00F66D98">
            <w:pPr>
              <w:pStyle w:val="TableHeaderArial"/>
            </w:pPr>
            <w:r w:rsidRPr="00C9343F">
              <w:t>Calculation</w:t>
            </w:r>
          </w:p>
        </w:tc>
      </w:tr>
      <w:tr w:rsidR="008B4402" w:rsidRPr="00C9343F" w14:paraId="7B4218BB" w14:textId="77777777" w:rsidTr="00E40FE5">
        <w:trPr>
          <w:cantSplit/>
        </w:trPr>
        <w:tc>
          <w:tcPr>
            <w:tcW w:w="850" w:type="dxa"/>
            <w:tcBorders>
              <w:top w:val="single" w:sz="6" w:space="0" w:color="auto"/>
              <w:left w:val="single" w:sz="6" w:space="0" w:color="auto"/>
              <w:bottom w:val="single" w:sz="6" w:space="0" w:color="auto"/>
              <w:right w:val="single" w:sz="6" w:space="0" w:color="auto"/>
            </w:tcBorders>
          </w:tcPr>
          <w:p w14:paraId="0137A5BA" w14:textId="77777777" w:rsidR="008B4402" w:rsidRPr="00C9343F" w:rsidRDefault="008B4402" w:rsidP="00F66D98">
            <w:pPr>
              <w:pStyle w:val="TableTextArial-left"/>
              <w:jc w:val="center"/>
            </w:pPr>
          </w:p>
        </w:tc>
        <w:tc>
          <w:tcPr>
            <w:tcW w:w="3756" w:type="dxa"/>
            <w:tcBorders>
              <w:top w:val="single" w:sz="6" w:space="0" w:color="auto"/>
              <w:left w:val="single" w:sz="6" w:space="0" w:color="auto"/>
              <w:bottom w:val="single" w:sz="6" w:space="0" w:color="auto"/>
              <w:right w:val="single" w:sz="6" w:space="0" w:color="auto"/>
            </w:tcBorders>
          </w:tcPr>
          <w:p w14:paraId="4EDD8CA5" w14:textId="77777777" w:rsidR="008B4402" w:rsidRPr="00C9343F" w:rsidRDefault="008B4402" w:rsidP="00F66D98">
            <w:pPr>
              <w:pStyle w:val="TableTextArial-left"/>
              <w:rPr>
                <w:b/>
              </w:rPr>
            </w:pPr>
            <w:r w:rsidRPr="00C9343F">
              <w:rPr>
                <w:b/>
              </w:rPr>
              <w:t>Period 1 July 2010 to 30 June 2011</w:t>
            </w:r>
          </w:p>
        </w:tc>
        <w:tc>
          <w:tcPr>
            <w:tcW w:w="3757" w:type="dxa"/>
            <w:tcBorders>
              <w:top w:val="single" w:sz="6" w:space="0" w:color="auto"/>
              <w:left w:val="single" w:sz="6" w:space="0" w:color="auto"/>
              <w:bottom w:val="single" w:sz="6" w:space="0" w:color="auto"/>
              <w:right w:val="single" w:sz="6" w:space="0" w:color="auto"/>
            </w:tcBorders>
          </w:tcPr>
          <w:p w14:paraId="24696B32" w14:textId="77777777" w:rsidR="008B4402" w:rsidRPr="00C9343F" w:rsidRDefault="008B4402" w:rsidP="00F66D98">
            <w:pPr>
              <w:pStyle w:val="TableTextArial-left"/>
              <w:rPr>
                <w:b/>
              </w:rPr>
            </w:pPr>
            <w:r w:rsidRPr="00C9343F">
              <w:rPr>
                <w:b/>
              </w:rPr>
              <w:t>Period 1 July 2011 to 30 June 2012</w:t>
            </w:r>
          </w:p>
        </w:tc>
      </w:tr>
      <w:tr w:rsidR="008B4402" w:rsidRPr="00C9343F" w14:paraId="44DD9039" w14:textId="77777777" w:rsidTr="00E40FE5">
        <w:trPr>
          <w:cantSplit/>
        </w:trPr>
        <w:tc>
          <w:tcPr>
            <w:tcW w:w="850" w:type="dxa"/>
            <w:tcBorders>
              <w:top w:val="single" w:sz="6" w:space="0" w:color="auto"/>
              <w:left w:val="single" w:sz="6" w:space="0" w:color="auto"/>
              <w:bottom w:val="single" w:sz="6" w:space="0" w:color="auto"/>
              <w:right w:val="single" w:sz="6" w:space="0" w:color="auto"/>
            </w:tcBorders>
          </w:tcPr>
          <w:p w14:paraId="31BBA749" w14:textId="77777777" w:rsidR="008B4402" w:rsidRPr="00C9343F" w:rsidRDefault="008B4402" w:rsidP="00F66D98">
            <w:pPr>
              <w:pStyle w:val="TableTextArial-left"/>
              <w:jc w:val="center"/>
            </w:pPr>
            <w:r w:rsidRPr="00C9343F">
              <w:t>1.</w:t>
            </w:r>
          </w:p>
        </w:tc>
        <w:tc>
          <w:tcPr>
            <w:tcW w:w="3756" w:type="dxa"/>
            <w:tcBorders>
              <w:top w:val="single" w:sz="6" w:space="0" w:color="auto"/>
              <w:left w:val="single" w:sz="6" w:space="0" w:color="auto"/>
              <w:bottom w:val="single" w:sz="6" w:space="0" w:color="auto"/>
              <w:right w:val="single" w:sz="6" w:space="0" w:color="auto"/>
            </w:tcBorders>
          </w:tcPr>
          <w:p w14:paraId="070D5DFC" w14:textId="77777777" w:rsidR="008B4402" w:rsidRPr="00C9343F" w:rsidRDefault="008B4402" w:rsidP="00F66D98">
            <w:pPr>
              <w:pStyle w:val="TableTextArial-left"/>
            </w:pPr>
            <w:r w:rsidRPr="00C9343F">
              <w:t xml:space="preserve">The member had 365 days service, less 31 days non-effective service = 334 days </w:t>
            </w:r>
          </w:p>
        </w:tc>
        <w:tc>
          <w:tcPr>
            <w:tcW w:w="3757" w:type="dxa"/>
            <w:tcBorders>
              <w:top w:val="single" w:sz="6" w:space="0" w:color="auto"/>
              <w:left w:val="single" w:sz="6" w:space="0" w:color="auto"/>
              <w:bottom w:val="single" w:sz="6" w:space="0" w:color="auto"/>
              <w:right w:val="single" w:sz="6" w:space="0" w:color="auto"/>
            </w:tcBorders>
          </w:tcPr>
          <w:p w14:paraId="26DB4472" w14:textId="77777777" w:rsidR="008B4402" w:rsidRPr="00C9343F" w:rsidRDefault="008B4402" w:rsidP="00F66D98">
            <w:pPr>
              <w:pStyle w:val="TableTextArial-left"/>
            </w:pPr>
            <w:r w:rsidRPr="00C9343F">
              <w:t>The member had 365 days service.</w:t>
            </w:r>
          </w:p>
        </w:tc>
      </w:tr>
      <w:tr w:rsidR="008B4402" w:rsidRPr="00C9343F" w14:paraId="1300250C" w14:textId="77777777" w:rsidTr="00E40FE5">
        <w:trPr>
          <w:cantSplit/>
        </w:trPr>
        <w:tc>
          <w:tcPr>
            <w:tcW w:w="850" w:type="dxa"/>
            <w:tcBorders>
              <w:top w:val="single" w:sz="6" w:space="0" w:color="auto"/>
              <w:left w:val="single" w:sz="6" w:space="0" w:color="auto"/>
              <w:bottom w:val="single" w:sz="6" w:space="0" w:color="auto"/>
              <w:right w:val="single" w:sz="6" w:space="0" w:color="auto"/>
            </w:tcBorders>
          </w:tcPr>
          <w:p w14:paraId="02F2A723" w14:textId="77777777" w:rsidR="008B4402" w:rsidRPr="00C9343F" w:rsidRDefault="008B4402" w:rsidP="00F66D98">
            <w:pPr>
              <w:pStyle w:val="TableTextArial-left"/>
              <w:jc w:val="center"/>
            </w:pPr>
            <w:r w:rsidRPr="00C9343F">
              <w:t>2.</w:t>
            </w:r>
          </w:p>
        </w:tc>
        <w:tc>
          <w:tcPr>
            <w:tcW w:w="3756" w:type="dxa"/>
            <w:tcBorders>
              <w:top w:val="single" w:sz="6" w:space="0" w:color="auto"/>
              <w:left w:val="single" w:sz="6" w:space="0" w:color="auto"/>
              <w:bottom w:val="single" w:sz="6" w:space="0" w:color="auto"/>
              <w:right w:val="single" w:sz="6" w:space="0" w:color="auto"/>
            </w:tcBorders>
          </w:tcPr>
          <w:p w14:paraId="3202A7AF" w14:textId="77777777" w:rsidR="008B4402" w:rsidRPr="00C9343F" w:rsidRDefault="008B4402" w:rsidP="00F66D98">
            <w:pPr>
              <w:pStyle w:val="TableTextArial-left"/>
            </w:pPr>
            <w:r w:rsidRPr="00C9343F">
              <w:t>The member worked 20 hours a week.</w:t>
            </w:r>
          </w:p>
        </w:tc>
        <w:tc>
          <w:tcPr>
            <w:tcW w:w="3757" w:type="dxa"/>
            <w:tcBorders>
              <w:top w:val="single" w:sz="6" w:space="0" w:color="auto"/>
              <w:left w:val="single" w:sz="6" w:space="0" w:color="auto"/>
              <w:bottom w:val="single" w:sz="6" w:space="0" w:color="auto"/>
              <w:right w:val="single" w:sz="6" w:space="0" w:color="auto"/>
            </w:tcBorders>
          </w:tcPr>
          <w:p w14:paraId="2AE7A05F" w14:textId="77777777" w:rsidR="008B4402" w:rsidRPr="00C9343F" w:rsidRDefault="008B4402" w:rsidP="00F66D98">
            <w:pPr>
              <w:pStyle w:val="TableTextArial-left"/>
            </w:pPr>
            <w:r w:rsidRPr="00C9343F">
              <w:t>The member worked 30 hours a week.</w:t>
            </w:r>
          </w:p>
        </w:tc>
      </w:tr>
      <w:tr w:rsidR="008B4402" w:rsidRPr="00C9343F" w14:paraId="267C8DF0" w14:textId="77777777" w:rsidTr="00E40FE5">
        <w:trPr>
          <w:cantSplit/>
        </w:trPr>
        <w:tc>
          <w:tcPr>
            <w:tcW w:w="850" w:type="dxa"/>
            <w:tcBorders>
              <w:top w:val="single" w:sz="6" w:space="0" w:color="auto"/>
              <w:left w:val="single" w:sz="6" w:space="0" w:color="auto"/>
              <w:bottom w:val="single" w:sz="6" w:space="0" w:color="auto"/>
              <w:right w:val="single" w:sz="6" w:space="0" w:color="auto"/>
            </w:tcBorders>
          </w:tcPr>
          <w:p w14:paraId="0799EA3F" w14:textId="77777777" w:rsidR="008B4402" w:rsidRPr="00C9343F" w:rsidRDefault="008B4402" w:rsidP="00F66D98">
            <w:pPr>
              <w:pStyle w:val="TableTextArial-left"/>
              <w:jc w:val="center"/>
            </w:pPr>
            <w:r w:rsidRPr="00C9343F">
              <w:t>3.</w:t>
            </w:r>
          </w:p>
        </w:tc>
        <w:tc>
          <w:tcPr>
            <w:tcW w:w="3756" w:type="dxa"/>
            <w:tcBorders>
              <w:top w:val="single" w:sz="6" w:space="0" w:color="auto"/>
              <w:left w:val="single" w:sz="6" w:space="0" w:color="auto"/>
              <w:bottom w:val="single" w:sz="6" w:space="0" w:color="auto"/>
              <w:right w:val="single" w:sz="6" w:space="0" w:color="auto"/>
            </w:tcBorders>
          </w:tcPr>
          <w:p w14:paraId="36BC1ECC" w14:textId="77777777" w:rsidR="008B4402" w:rsidRPr="00C9343F" w:rsidRDefault="008B4402" w:rsidP="00F66D98">
            <w:pPr>
              <w:pStyle w:val="TableTextArial-left"/>
            </w:pPr>
            <w:r w:rsidRPr="00C9343F">
              <w:t>Step 1 multiplied by Step 2 equals 6680.</w:t>
            </w:r>
          </w:p>
        </w:tc>
        <w:tc>
          <w:tcPr>
            <w:tcW w:w="3757" w:type="dxa"/>
            <w:tcBorders>
              <w:top w:val="single" w:sz="6" w:space="0" w:color="auto"/>
              <w:left w:val="single" w:sz="6" w:space="0" w:color="auto"/>
              <w:bottom w:val="single" w:sz="6" w:space="0" w:color="auto"/>
              <w:right w:val="single" w:sz="6" w:space="0" w:color="auto"/>
            </w:tcBorders>
          </w:tcPr>
          <w:p w14:paraId="69F63C84" w14:textId="77777777" w:rsidR="008B4402" w:rsidRPr="00C9343F" w:rsidRDefault="008B4402" w:rsidP="00F66D98">
            <w:pPr>
              <w:pStyle w:val="TableTextArial-left"/>
            </w:pPr>
            <w:r w:rsidRPr="00C9343F">
              <w:t>Step 1 multiplied by Step 2 equals 10950.</w:t>
            </w:r>
          </w:p>
        </w:tc>
      </w:tr>
      <w:tr w:rsidR="008B4402" w:rsidRPr="00C9343F" w14:paraId="78F65867" w14:textId="77777777" w:rsidTr="00E40FE5">
        <w:trPr>
          <w:cantSplit/>
        </w:trPr>
        <w:tc>
          <w:tcPr>
            <w:tcW w:w="850" w:type="dxa"/>
            <w:tcBorders>
              <w:top w:val="single" w:sz="6" w:space="0" w:color="auto"/>
              <w:left w:val="single" w:sz="6" w:space="0" w:color="auto"/>
              <w:bottom w:val="single" w:sz="6" w:space="0" w:color="auto"/>
              <w:right w:val="single" w:sz="6" w:space="0" w:color="auto"/>
            </w:tcBorders>
          </w:tcPr>
          <w:p w14:paraId="345F20C0" w14:textId="77777777" w:rsidR="008B4402" w:rsidRPr="00C9343F" w:rsidRDefault="008B4402" w:rsidP="00F66D98">
            <w:pPr>
              <w:pStyle w:val="TableTextArial-left"/>
              <w:jc w:val="center"/>
            </w:pPr>
            <w:r w:rsidRPr="00C9343F">
              <w:t>4.</w:t>
            </w:r>
          </w:p>
        </w:tc>
        <w:tc>
          <w:tcPr>
            <w:tcW w:w="3756" w:type="dxa"/>
            <w:tcBorders>
              <w:top w:val="single" w:sz="6" w:space="0" w:color="auto"/>
              <w:left w:val="single" w:sz="6" w:space="0" w:color="auto"/>
              <w:bottom w:val="single" w:sz="6" w:space="0" w:color="auto"/>
              <w:right w:val="single" w:sz="6" w:space="0" w:color="auto"/>
            </w:tcBorders>
          </w:tcPr>
          <w:p w14:paraId="40782BBC" w14:textId="77777777" w:rsidR="008B4402" w:rsidRPr="00C9343F" w:rsidRDefault="008B4402" w:rsidP="00F66D98">
            <w:pPr>
              <w:pStyle w:val="TableTextArial-left"/>
            </w:pPr>
            <w:r w:rsidRPr="00C9343F">
              <w:t xml:space="preserve">6680 hours divided by 36.75 equals 181.77 days. </w:t>
            </w:r>
          </w:p>
        </w:tc>
        <w:tc>
          <w:tcPr>
            <w:tcW w:w="3757" w:type="dxa"/>
            <w:tcBorders>
              <w:top w:val="single" w:sz="6" w:space="0" w:color="auto"/>
              <w:left w:val="single" w:sz="6" w:space="0" w:color="auto"/>
              <w:bottom w:val="single" w:sz="6" w:space="0" w:color="auto"/>
              <w:right w:val="single" w:sz="6" w:space="0" w:color="auto"/>
            </w:tcBorders>
          </w:tcPr>
          <w:p w14:paraId="5D3297CC" w14:textId="77777777" w:rsidR="008B4402" w:rsidRPr="00C9343F" w:rsidRDefault="008B4402" w:rsidP="00F66D98">
            <w:pPr>
              <w:pStyle w:val="TableTextArial-left"/>
            </w:pPr>
            <w:r w:rsidRPr="00C9343F">
              <w:t>10950 hours divided by 36.75 equals 297.96 days.</w:t>
            </w:r>
          </w:p>
        </w:tc>
      </w:tr>
      <w:tr w:rsidR="008B4402" w:rsidRPr="00C9343F" w14:paraId="792B5575" w14:textId="77777777" w:rsidTr="00E40FE5">
        <w:trPr>
          <w:cantSplit/>
        </w:trPr>
        <w:tc>
          <w:tcPr>
            <w:tcW w:w="850" w:type="dxa"/>
            <w:tcBorders>
              <w:top w:val="single" w:sz="6" w:space="0" w:color="auto"/>
              <w:left w:val="single" w:sz="6" w:space="0" w:color="auto"/>
              <w:bottom w:val="single" w:sz="6" w:space="0" w:color="auto"/>
              <w:right w:val="single" w:sz="6" w:space="0" w:color="auto"/>
            </w:tcBorders>
          </w:tcPr>
          <w:p w14:paraId="1DAA6BD2" w14:textId="77777777" w:rsidR="008B4402" w:rsidRPr="00C9343F" w:rsidRDefault="008B4402" w:rsidP="00F66D98">
            <w:pPr>
              <w:pStyle w:val="TableTextArial-left"/>
              <w:jc w:val="center"/>
            </w:pPr>
            <w:r w:rsidRPr="00C9343F">
              <w:t>5.</w:t>
            </w:r>
          </w:p>
        </w:tc>
        <w:tc>
          <w:tcPr>
            <w:tcW w:w="7513" w:type="dxa"/>
            <w:gridSpan w:val="2"/>
            <w:tcBorders>
              <w:top w:val="single" w:sz="6" w:space="0" w:color="auto"/>
              <w:left w:val="single" w:sz="6" w:space="0" w:color="auto"/>
              <w:bottom w:val="single" w:sz="6" w:space="0" w:color="auto"/>
              <w:right w:val="single" w:sz="6" w:space="0" w:color="auto"/>
            </w:tcBorders>
          </w:tcPr>
          <w:p w14:paraId="2DF70945" w14:textId="77777777" w:rsidR="008B4402" w:rsidRPr="00C9343F" w:rsidRDefault="008B4402" w:rsidP="00F66D98">
            <w:pPr>
              <w:pStyle w:val="TableTextArial-left"/>
            </w:pPr>
            <w:r w:rsidRPr="00C9343F">
              <w:t>The member's total part-time prior service is 181.77 days plus 297.96 days. This, rounded, becomes a total of 480 days.</w:t>
            </w:r>
          </w:p>
        </w:tc>
      </w:tr>
    </w:tbl>
    <w:p w14:paraId="0E7A6EF4" w14:textId="77777777" w:rsidR="008B4402" w:rsidRPr="00C9343F" w:rsidRDefault="008B4402" w:rsidP="00F66D98"/>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327A0C39" w14:textId="77777777" w:rsidTr="0094453B">
        <w:tc>
          <w:tcPr>
            <w:tcW w:w="992" w:type="dxa"/>
          </w:tcPr>
          <w:p w14:paraId="09FF4D74" w14:textId="77777777" w:rsidR="008B4402" w:rsidRPr="00C9343F" w:rsidRDefault="008B4402" w:rsidP="00F66D98">
            <w:pPr>
              <w:pStyle w:val="BlockText-Plain"/>
              <w:jc w:val="center"/>
            </w:pPr>
            <w:r w:rsidRPr="00C9343F">
              <w:t>4.</w:t>
            </w:r>
          </w:p>
        </w:tc>
        <w:tc>
          <w:tcPr>
            <w:tcW w:w="8363" w:type="dxa"/>
            <w:gridSpan w:val="2"/>
          </w:tcPr>
          <w:p w14:paraId="224B0135" w14:textId="77777777" w:rsidR="008B4402" w:rsidRPr="00C9343F" w:rsidRDefault="008B4402" w:rsidP="00F66D98">
            <w:pPr>
              <w:pStyle w:val="BlockText-Plain"/>
            </w:pPr>
            <w:r w:rsidRPr="00C9343F">
              <w:t xml:space="preserve">The difference between the following periods is recorded as non-service days. </w:t>
            </w:r>
          </w:p>
        </w:tc>
      </w:tr>
      <w:tr w:rsidR="008B4402" w:rsidRPr="00C9343F" w14:paraId="2977BD07" w14:textId="77777777" w:rsidTr="0094453B">
        <w:trPr>
          <w:cantSplit/>
        </w:trPr>
        <w:tc>
          <w:tcPr>
            <w:tcW w:w="992" w:type="dxa"/>
          </w:tcPr>
          <w:p w14:paraId="0F33A281" w14:textId="77777777" w:rsidR="008B4402" w:rsidRPr="00C9343F" w:rsidRDefault="008B4402" w:rsidP="00F66D98">
            <w:pPr>
              <w:pStyle w:val="BlockText-Plain"/>
            </w:pPr>
          </w:p>
        </w:tc>
        <w:tc>
          <w:tcPr>
            <w:tcW w:w="567" w:type="dxa"/>
          </w:tcPr>
          <w:p w14:paraId="4AEDE064" w14:textId="77777777" w:rsidR="008B4402" w:rsidRPr="00C9343F" w:rsidRDefault="008B4402" w:rsidP="008D1B5D">
            <w:pPr>
              <w:pStyle w:val="BlockText-Plain"/>
              <w:jc w:val="center"/>
            </w:pPr>
            <w:r w:rsidRPr="00C9343F">
              <w:t>a.</w:t>
            </w:r>
          </w:p>
        </w:tc>
        <w:tc>
          <w:tcPr>
            <w:tcW w:w="7796" w:type="dxa"/>
          </w:tcPr>
          <w:p w14:paraId="22C638A4" w14:textId="77777777" w:rsidR="008B4402" w:rsidRPr="00C9343F" w:rsidRDefault="008B4402" w:rsidP="00F66D98">
            <w:pPr>
              <w:pStyle w:val="BlockText-Plain"/>
            </w:pPr>
            <w:r w:rsidRPr="00C9343F">
              <w:t>The calendar days in the period.</w:t>
            </w:r>
          </w:p>
        </w:tc>
      </w:tr>
      <w:tr w:rsidR="008B4402" w:rsidRPr="00C9343F" w14:paraId="300F2EAC" w14:textId="77777777" w:rsidTr="0094453B">
        <w:trPr>
          <w:cantSplit/>
        </w:trPr>
        <w:tc>
          <w:tcPr>
            <w:tcW w:w="992" w:type="dxa"/>
          </w:tcPr>
          <w:p w14:paraId="719B7A06" w14:textId="77777777" w:rsidR="008B4402" w:rsidRPr="00C9343F" w:rsidRDefault="008B4402" w:rsidP="00F66D98">
            <w:pPr>
              <w:pStyle w:val="BlockText-Plain"/>
            </w:pPr>
          </w:p>
        </w:tc>
        <w:tc>
          <w:tcPr>
            <w:tcW w:w="567" w:type="dxa"/>
          </w:tcPr>
          <w:p w14:paraId="74A53921" w14:textId="77777777" w:rsidR="008B4402" w:rsidRPr="00C9343F" w:rsidRDefault="008B4402" w:rsidP="008D1B5D">
            <w:pPr>
              <w:pStyle w:val="BlockText-Plain"/>
              <w:jc w:val="center"/>
            </w:pPr>
            <w:r w:rsidRPr="00C9343F">
              <w:t>b.</w:t>
            </w:r>
          </w:p>
        </w:tc>
        <w:tc>
          <w:tcPr>
            <w:tcW w:w="7796" w:type="dxa"/>
          </w:tcPr>
          <w:p w14:paraId="018D980F" w14:textId="77777777" w:rsidR="008B4402" w:rsidRPr="00C9343F" w:rsidRDefault="008B4402" w:rsidP="00F66D98">
            <w:pPr>
              <w:pStyle w:val="BlockText-Plain"/>
            </w:pPr>
            <w:r w:rsidRPr="00C9343F">
              <w:t>The number of days to be recognised as a result of the calculations in subsection 3.</w:t>
            </w:r>
          </w:p>
        </w:tc>
      </w:tr>
      <w:tr w:rsidR="008B4402" w:rsidRPr="00C9343F" w14:paraId="7E93D46B" w14:textId="77777777" w:rsidTr="0094453B">
        <w:tc>
          <w:tcPr>
            <w:tcW w:w="992" w:type="dxa"/>
          </w:tcPr>
          <w:p w14:paraId="304C58FF" w14:textId="77777777" w:rsidR="008B4402" w:rsidRPr="00C9343F" w:rsidRDefault="008B4402" w:rsidP="00F66D98">
            <w:pPr>
              <w:pStyle w:val="BlockText-Plain"/>
              <w:jc w:val="center"/>
            </w:pPr>
            <w:r w:rsidRPr="00C9343F">
              <w:t>5.</w:t>
            </w:r>
          </w:p>
        </w:tc>
        <w:tc>
          <w:tcPr>
            <w:tcW w:w="8363" w:type="dxa"/>
            <w:gridSpan w:val="2"/>
          </w:tcPr>
          <w:p w14:paraId="7BFEF1EC" w14:textId="77777777" w:rsidR="008B4402" w:rsidRPr="00C9343F" w:rsidRDefault="008B4402" w:rsidP="00F66D98">
            <w:pPr>
              <w:pStyle w:val="BlockText-Plain"/>
            </w:pPr>
            <w:r w:rsidRPr="00C9343F">
              <w:t>Prior part-time leave should be adjusted to its full-time equivalent before being deducted from a member's long service leave credit. This table shows the method.</w:t>
            </w:r>
          </w:p>
        </w:tc>
      </w:tr>
    </w:tbl>
    <w:p w14:paraId="084901D6" w14:textId="77777777" w:rsidR="008B4402" w:rsidRPr="00C9343F" w:rsidRDefault="008B4402" w:rsidP="00F66D98"/>
    <w:tbl>
      <w:tblPr>
        <w:tblW w:w="0" w:type="auto"/>
        <w:tblInd w:w="1021" w:type="dxa"/>
        <w:tblLayout w:type="fixed"/>
        <w:tblCellMar>
          <w:left w:w="28" w:type="dxa"/>
          <w:right w:w="28" w:type="dxa"/>
        </w:tblCellMar>
        <w:tblLook w:val="0000" w:firstRow="0" w:lastRow="0" w:firstColumn="0" w:lastColumn="0" w:noHBand="0" w:noVBand="0"/>
      </w:tblPr>
      <w:tblGrid>
        <w:gridCol w:w="850"/>
        <w:gridCol w:w="7513"/>
      </w:tblGrid>
      <w:tr w:rsidR="008B4402" w:rsidRPr="00C9343F" w14:paraId="3C09C073"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73D8370C" w14:textId="77777777" w:rsidR="008B4402" w:rsidRPr="00C9343F" w:rsidRDefault="008B4402" w:rsidP="00F66D98">
            <w:pPr>
              <w:pStyle w:val="TableHeaderArial"/>
            </w:pPr>
            <w:r w:rsidRPr="00C9343F">
              <w:t>Step</w:t>
            </w:r>
          </w:p>
        </w:tc>
        <w:tc>
          <w:tcPr>
            <w:tcW w:w="7513" w:type="dxa"/>
            <w:tcBorders>
              <w:top w:val="single" w:sz="6" w:space="0" w:color="auto"/>
              <w:bottom w:val="single" w:sz="6" w:space="0" w:color="auto"/>
              <w:right w:val="single" w:sz="6" w:space="0" w:color="auto"/>
            </w:tcBorders>
          </w:tcPr>
          <w:p w14:paraId="48C4AC10" w14:textId="77777777" w:rsidR="008B4402" w:rsidRPr="00C9343F" w:rsidRDefault="008B4402" w:rsidP="00F66D98">
            <w:pPr>
              <w:pStyle w:val="TableHeaderArial"/>
            </w:pPr>
            <w:r w:rsidRPr="00C9343F">
              <w:t>Action</w:t>
            </w:r>
          </w:p>
        </w:tc>
      </w:tr>
      <w:tr w:rsidR="008B4402" w:rsidRPr="00C9343F" w14:paraId="275C8AA8"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5D28BF10" w14:textId="77777777" w:rsidR="008B4402" w:rsidRPr="00C9343F" w:rsidRDefault="008B4402" w:rsidP="00F66D98">
            <w:pPr>
              <w:pStyle w:val="TableTextArial-ctrd"/>
            </w:pPr>
            <w:r w:rsidRPr="00C9343F">
              <w:t>1.</w:t>
            </w:r>
          </w:p>
        </w:tc>
        <w:tc>
          <w:tcPr>
            <w:tcW w:w="7513" w:type="dxa"/>
            <w:tcBorders>
              <w:top w:val="single" w:sz="6" w:space="0" w:color="auto"/>
              <w:bottom w:val="single" w:sz="6" w:space="0" w:color="auto"/>
              <w:right w:val="single" w:sz="6" w:space="0" w:color="auto"/>
            </w:tcBorders>
          </w:tcPr>
          <w:p w14:paraId="7F36A6FE" w14:textId="77777777" w:rsidR="008B4402" w:rsidRPr="00C9343F" w:rsidRDefault="008B4402" w:rsidP="00F66D98">
            <w:pPr>
              <w:pStyle w:val="TableTextArial-left"/>
              <w:spacing w:after="120"/>
            </w:pPr>
            <w:r w:rsidRPr="00C9343F">
              <w:t>Work out</w:t>
            </w:r>
            <w:r w:rsidRPr="00C9343F">
              <w:rPr>
                <w:color w:val="0000FF"/>
              </w:rPr>
              <w:t xml:space="preserve"> </w:t>
            </w:r>
            <w:r w:rsidRPr="00C9343F">
              <w:t>the periods of long service leave that were paid at part-time rates.</w:t>
            </w:r>
            <w:r w:rsidRPr="00C9343F">
              <w:rPr>
                <w:color w:val="0000FF"/>
              </w:rPr>
              <w:t xml:space="preserve"> </w:t>
            </w:r>
          </w:p>
          <w:p w14:paraId="6EB16AD6" w14:textId="77777777" w:rsidR="008B4402" w:rsidRPr="00C9343F" w:rsidRDefault="008B4402" w:rsidP="00F66D98">
            <w:pPr>
              <w:pStyle w:val="TableTextArial-left"/>
            </w:pPr>
            <w:r w:rsidRPr="00C9343F">
              <w:rPr>
                <w:b/>
              </w:rPr>
              <w:t>Note:</w:t>
            </w:r>
            <w:r w:rsidRPr="00C9343F">
              <w:t xml:space="preserve"> This includes payment instead of long service leave. It does not include </w:t>
            </w:r>
            <w:r w:rsidRPr="00C9343F">
              <w:br/>
              <w:t>half-pay long service leave if the amount paid was half of the person's full-time hours.</w:t>
            </w:r>
          </w:p>
        </w:tc>
      </w:tr>
      <w:tr w:rsidR="008B4402" w:rsidRPr="00C9343F" w14:paraId="771373B6"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24400CB3" w14:textId="77777777" w:rsidR="008B4402" w:rsidRPr="00C9343F" w:rsidRDefault="008B4402" w:rsidP="00F66D98">
            <w:pPr>
              <w:pStyle w:val="TableTextArial-ctrd"/>
            </w:pPr>
            <w:r w:rsidRPr="00C9343F">
              <w:t>2.</w:t>
            </w:r>
          </w:p>
        </w:tc>
        <w:tc>
          <w:tcPr>
            <w:tcW w:w="7513" w:type="dxa"/>
            <w:tcBorders>
              <w:top w:val="single" w:sz="6" w:space="0" w:color="auto"/>
              <w:bottom w:val="single" w:sz="6" w:space="0" w:color="auto"/>
              <w:right w:val="single" w:sz="6" w:space="0" w:color="auto"/>
            </w:tcBorders>
          </w:tcPr>
          <w:p w14:paraId="4833F54F" w14:textId="77777777" w:rsidR="008B4402" w:rsidRPr="00C9343F" w:rsidRDefault="008B4402" w:rsidP="00F66D98">
            <w:pPr>
              <w:pStyle w:val="TableTextArial-left"/>
              <w:spacing w:after="120"/>
            </w:pPr>
            <w:r w:rsidRPr="00C9343F">
              <w:t>Work out weekly hours the person was paid for the leave. If the member had different periods of leave at different weekly rates, these should be calculated separately.</w:t>
            </w:r>
          </w:p>
          <w:p w14:paraId="0C56C014" w14:textId="77777777" w:rsidR="008B4402" w:rsidRPr="00C9343F" w:rsidRDefault="008B4402" w:rsidP="00F66D98">
            <w:pPr>
              <w:pStyle w:val="TableTextArial-left"/>
            </w:pPr>
            <w:r w:rsidRPr="00C9343F">
              <w:rPr>
                <w:b/>
              </w:rPr>
              <w:t>Note:</w:t>
            </w:r>
            <w:r w:rsidRPr="00C9343F">
              <w:t xml:space="preserve"> If the person took the leave at half pay, use their weekly part-time hours, not the half part-time hours that they were paid. </w:t>
            </w:r>
          </w:p>
        </w:tc>
      </w:tr>
      <w:tr w:rsidR="008B4402" w:rsidRPr="00C9343F" w14:paraId="00AFDBD2"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404B1304" w14:textId="77777777" w:rsidR="008B4402" w:rsidRPr="00C9343F" w:rsidRDefault="008B4402" w:rsidP="00F66D98">
            <w:pPr>
              <w:pStyle w:val="TableTextArial-ctrd"/>
            </w:pPr>
            <w:r w:rsidRPr="00C9343F">
              <w:t>3.</w:t>
            </w:r>
          </w:p>
        </w:tc>
        <w:tc>
          <w:tcPr>
            <w:tcW w:w="7513" w:type="dxa"/>
            <w:tcBorders>
              <w:top w:val="single" w:sz="6" w:space="0" w:color="auto"/>
              <w:bottom w:val="single" w:sz="6" w:space="0" w:color="auto"/>
              <w:right w:val="single" w:sz="6" w:space="0" w:color="auto"/>
            </w:tcBorders>
          </w:tcPr>
          <w:p w14:paraId="1B254AB6" w14:textId="77777777" w:rsidR="008B4402" w:rsidRPr="00C9343F" w:rsidRDefault="008B4402" w:rsidP="00F66D98">
            <w:pPr>
              <w:pStyle w:val="TableTextArial-left"/>
            </w:pPr>
            <w:r w:rsidRPr="00C9343F">
              <w:t xml:space="preserve">Divide their weekly part-time hours (Step 2) by 36.75. </w:t>
            </w:r>
          </w:p>
        </w:tc>
      </w:tr>
      <w:tr w:rsidR="008B4402" w:rsidRPr="00C9343F" w14:paraId="655841B7"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7590C780" w14:textId="77777777" w:rsidR="008B4402" w:rsidRPr="00C9343F" w:rsidRDefault="008B4402" w:rsidP="00F66D98">
            <w:pPr>
              <w:pStyle w:val="TableTextArial-ctrd"/>
            </w:pPr>
            <w:r w:rsidRPr="00C9343F">
              <w:t>4.</w:t>
            </w:r>
          </w:p>
        </w:tc>
        <w:tc>
          <w:tcPr>
            <w:tcW w:w="7513" w:type="dxa"/>
            <w:tcBorders>
              <w:top w:val="single" w:sz="6" w:space="0" w:color="auto"/>
              <w:bottom w:val="single" w:sz="6" w:space="0" w:color="auto"/>
              <w:right w:val="single" w:sz="6" w:space="0" w:color="auto"/>
            </w:tcBorders>
          </w:tcPr>
          <w:p w14:paraId="4E426CE4" w14:textId="77777777" w:rsidR="008B4402" w:rsidRPr="00C9343F" w:rsidRDefault="008B4402" w:rsidP="00F66D98">
            <w:pPr>
              <w:pStyle w:val="TableTextArial-left"/>
            </w:pPr>
            <w:r w:rsidRPr="00C9343F">
              <w:t xml:space="preserve">Multiply Step 1 by Step 3. </w:t>
            </w:r>
          </w:p>
        </w:tc>
      </w:tr>
      <w:tr w:rsidR="008B4402" w:rsidRPr="00C9343F" w14:paraId="428979C7"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05DDEFFC" w14:textId="77777777" w:rsidR="008B4402" w:rsidRPr="00C9343F" w:rsidRDefault="008B4402" w:rsidP="00F66D98">
            <w:pPr>
              <w:pStyle w:val="TableTextArial-ctrd"/>
            </w:pPr>
            <w:r w:rsidRPr="00C9343F">
              <w:t>5.</w:t>
            </w:r>
          </w:p>
        </w:tc>
        <w:tc>
          <w:tcPr>
            <w:tcW w:w="7513" w:type="dxa"/>
            <w:tcBorders>
              <w:top w:val="single" w:sz="6" w:space="0" w:color="auto"/>
              <w:bottom w:val="single" w:sz="6" w:space="0" w:color="auto"/>
              <w:right w:val="single" w:sz="6" w:space="0" w:color="auto"/>
            </w:tcBorders>
          </w:tcPr>
          <w:p w14:paraId="2E4C5C9B" w14:textId="77777777" w:rsidR="008B4402" w:rsidRPr="00C9343F" w:rsidRDefault="008B4402" w:rsidP="00F66D98">
            <w:pPr>
              <w:pStyle w:val="TableTextArial-left"/>
            </w:pPr>
            <w:r w:rsidRPr="00C9343F">
              <w:t xml:space="preserve">If any of the periods of leave were at half pay, divide Step 4 by 2. </w:t>
            </w:r>
          </w:p>
        </w:tc>
      </w:tr>
      <w:tr w:rsidR="008B4402" w:rsidRPr="00C9343F" w14:paraId="5DF5CB1B" w14:textId="77777777" w:rsidTr="008B4402">
        <w:trPr>
          <w:cantSplit/>
        </w:trPr>
        <w:tc>
          <w:tcPr>
            <w:tcW w:w="850" w:type="dxa"/>
            <w:tcBorders>
              <w:top w:val="single" w:sz="6" w:space="0" w:color="auto"/>
              <w:left w:val="single" w:sz="6" w:space="0" w:color="auto"/>
              <w:bottom w:val="single" w:sz="6" w:space="0" w:color="auto"/>
              <w:right w:val="single" w:sz="6" w:space="0" w:color="auto"/>
            </w:tcBorders>
          </w:tcPr>
          <w:p w14:paraId="2F11AE78" w14:textId="77777777" w:rsidR="008B4402" w:rsidRPr="00C9343F" w:rsidRDefault="008B4402" w:rsidP="00F66D98">
            <w:pPr>
              <w:pStyle w:val="TableTextArial-ctrd"/>
            </w:pPr>
            <w:r w:rsidRPr="00C9343F">
              <w:t>6.</w:t>
            </w:r>
          </w:p>
        </w:tc>
        <w:tc>
          <w:tcPr>
            <w:tcW w:w="7513" w:type="dxa"/>
            <w:tcBorders>
              <w:top w:val="single" w:sz="6" w:space="0" w:color="auto"/>
              <w:bottom w:val="single" w:sz="6" w:space="0" w:color="auto"/>
              <w:right w:val="single" w:sz="6" w:space="0" w:color="auto"/>
            </w:tcBorders>
          </w:tcPr>
          <w:p w14:paraId="545F1001" w14:textId="77777777" w:rsidR="008B4402" w:rsidRPr="00C9343F" w:rsidRDefault="008B4402" w:rsidP="00F66D98">
            <w:pPr>
              <w:pStyle w:val="TableTextArial-left"/>
            </w:pPr>
            <w:r w:rsidRPr="00C9343F">
              <w:t>If the member had different periods of leave at different weekly rates, steps 1 to 5 should be worked out separately for each period of leave. The periods are added at the end to give the total leave taken in respect of part-time service during the prior work.</w:t>
            </w:r>
          </w:p>
        </w:tc>
      </w:tr>
    </w:tbl>
    <w:p w14:paraId="57638A87" w14:textId="3E961A2E" w:rsidR="008B4402" w:rsidRPr="00C9343F" w:rsidRDefault="008B4402" w:rsidP="00F66D98">
      <w:pPr>
        <w:pStyle w:val="Heading5"/>
      </w:pPr>
      <w:bookmarkStart w:id="1437" w:name="_Toc105054040"/>
      <w:bookmarkStart w:id="1438" w:name="bk933455317Periodsthatarenotaccruedserv"/>
      <w:bookmarkStart w:id="1439" w:name="bk1152065317Periodsthatarenotaccruedser"/>
      <w:bookmarkStart w:id="1440" w:name="bk1157285317Periodsthatarenotaccruedser"/>
      <w:bookmarkStart w:id="1441" w:name="bk1413445317Periodsthatarenotaccruedser"/>
      <w:r w:rsidRPr="00C9343F">
        <w:t>5.5.18</w:t>
      </w:r>
      <w:r w:rsidR="00D94006" w:rsidRPr="00C9343F">
        <w:t>    </w:t>
      </w:r>
      <w:r w:rsidRPr="00C9343F">
        <w:t>Periods that are not accrued service</w:t>
      </w:r>
      <w:bookmarkEnd w:id="1437"/>
    </w:p>
    <w:bookmarkEnd w:id="1432"/>
    <w:bookmarkEnd w:id="1433"/>
    <w:bookmarkEnd w:id="1434"/>
    <w:bookmarkEnd w:id="1435"/>
    <w:bookmarkEnd w:id="1438"/>
    <w:bookmarkEnd w:id="1439"/>
    <w:bookmarkEnd w:id="1440"/>
    <w:bookmarkEnd w:id="1441"/>
    <w:tbl>
      <w:tblPr>
        <w:tblW w:w="9359" w:type="dxa"/>
        <w:tblInd w:w="113" w:type="dxa"/>
        <w:tblLayout w:type="fixed"/>
        <w:tblLook w:val="0000" w:firstRow="0" w:lastRow="0" w:firstColumn="0" w:lastColumn="0" w:noHBand="0" w:noVBand="0"/>
      </w:tblPr>
      <w:tblGrid>
        <w:gridCol w:w="992"/>
        <w:gridCol w:w="567"/>
        <w:gridCol w:w="567"/>
        <w:gridCol w:w="7233"/>
      </w:tblGrid>
      <w:tr w:rsidR="008B4402" w:rsidRPr="00C9343F" w14:paraId="507E4B21" w14:textId="77777777" w:rsidTr="00A92644">
        <w:tc>
          <w:tcPr>
            <w:tcW w:w="992" w:type="dxa"/>
          </w:tcPr>
          <w:p w14:paraId="20C63396" w14:textId="77777777" w:rsidR="008B4402" w:rsidRPr="00C9343F" w:rsidRDefault="008B4402" w:rsidP="00F66D98">
            <w:pPr>
              <w:pStyle w:val="BlockText-Plain"/>
              <w:jc w:val="center"/>
            </w:pPr>
          </w:p>
        </w:tc>
        <w:tc>
          <w:tcPr>
            <w:tcW w:w="8367" w:type="dxa"/>
            <w:gridSpan w:val="3"/>
          </w:tcPr>
          <w:p w14:paraId="6EB5D376" w14:textId="77777777" w:rsidR="008B4402" w:rsidRPr="00C9343F" w:rsidRDefault="008B4402" w:rsidP="00F66D98">
            <w:pPr>
              <w:pStyle w:val="BlockText-Plain"/>
            </w:pPr>
            <w:r w:rsidRPr="00C9343F">
              <w:t xml:space="preserve">In this Part, these periods are not accrued service. </w:t>
            </w:r>
          </w:p>
        </w:tc>
      </w:tr>
      <w:tr w:rsidR="008B4402" w:rsidRPr="00C9343F" w14:paraId="62EB4DCC" w14:textId="77777777" w:rsidTr="00A92644">
        <w:trPr>
          <w:cantSplit/>
        </w:trPr>
        <w:tc>
          <w:tcPr>
            <w:tcW w:w="992" w:type="dxa"/>
          </w:tcPr>
          <w:p w14:paraId="1815152C" w14:textId="77777777" w:rsidR="008B4402" w:rsidRPr="00C9343F" w:rsidRDefault="008B4402" w:rsidP="00F66D98">
            <w:pPr>
              <w:pStyle w:val="BlockText-Plain"/>
            </w:pPr>
          </w:p>
        </w:tc>
        <w:tc>
          <w:tcPr>
            <w:tcW w:w="567" w:type="dxa"/>
          </w:tcPr>
          <w:p w14:paraId="7BD9E6D6" w14:textId="77777777" w:rsidR="008B4402" w:rsidRPr="00C9343F" w:rsidRDefault="008B4402" w:rsidP="008D1B5D">
            <w:pPr>
              <w:pStyle w:val="BlockText-Plain"/>
              <w:jc w:val="center"/>
            </w:pPr>
            <w:r w:rsidRPr="00C9343F">
              <w:t>a.</w:t>
            </w:r>
          </w:p>
        </w:tc>
        <w:tc>
          <w:tcPr>
            <w:tcW w:w="7800" w:type="dxa"/>
            <w:gridSpan w:val="2"/>
          </w:tcPr>
          <w:p w14:paraId="7179A63C" w14:textId="77777777" w:rsidR="008B4402" w:rsidRPr="00C9343F" w:rsidRDefault="008B4402" w:rsidP="00F66D98">
            <w:pPr>
              <w:pStyle w:val="BlockText-Plain"/>
            </w:pPr>
            <w:r w:rsidRPr="00C9343F">
              <w:t>Any period the member is absent without leave for more than a day.</w:t>
            </w:r>
          </w:p>
        </w:tc>
      </w:tr>
      <w:tr w:rsidR="008B4402" w:rsidRPr="00C9343F" w14:paraId="30679B80" w14:textId="77777777" w:rsidTr="00A92644">
        <w:trPr>
          <w:cantSplit/>
        </w:trPr>
        <w:tc>
          <w:tcPr>
            <w:tcW w:w="992" w:type="dxa"/>
          </w:tcPr>
          <w:p w14:paraId="78146AA4" w14:textId="77777777" w:rsidR="008B4402" w:rsidRPr="00C9343F" w:rsidRDefault="008B4402" w:rsidP="00F66D98">
            <w:pPr>
              <w:pStyle w:val="BlockText-Plain"/>
              <w:keepNext/>
              <w:keepLines/>
            </w:pPr>
          </w:p>
        </w:tc>
        <w:tc>
          <w:tcPr>
            <w:tcW w:w="567" w:type="dxa"/>
          </w:tcPr>
          <w:p w14:paraId="424C061F" w14:textId="77777777" w:rsidR="008B4402" w:rsidRPr="00C9343F" w:rsidRDefault="008B4402" w:rsidP="008D1B5D">
            <w:pPr>
              <w:pStyle w:val="BlockText-Plain"/>
              <w:keepNext/>
              <w:keepLines/>
              <w:jc w:val="center"/>
            </w:pPr>
            <w:r w:rsidRPr="00C9343F">
              <w:t>b.</w:t>
            </w:r>
          </w:p>
        </w:tc>
        <w:tc>
          <w:tcPr>
            <w:tcW w:w="7800" w:type="dxa"/>
            <w:gridSpan w:val="2"/>
          </w:tcPr>
          <w:p w14:paraId="7993A681" w14:textId="77777777" w:rsidR="008B4402" w:rsidRPr="00C9343F" w:rsidRDefault="008B4402" w:rsidP="00F66D98">
            <w:pPr>
              <w:pStyle w:val="BlockText-Plain"/>
              <w:keepNext/>
              <w:keepLines/>
            </w:pPr>
            <w:r w:rsidRPr="00C9343F">
              <w:t>A period of unpaid leave of more than three months. There are two exceptions to this rule.</w:t>
            </w:r>
          </w:p>
        </w:tc>
      </w:tr>
      <w:tr w:rsidR="008B4402" w:rsidRPr="00C9343F" w14:paraId="434FEEB7" w14:textId="77777777" w:rsidTr="00A92644">
        <w:trPr>
          <w:cantSplit/>
        </w:trPr>
        <w:tc>
          <w:tcPr>
            <w:tcW w:w="1559" w:type="dxa"/>
            <w:gridSpan w:val="2"/>
          </w:tcPr>
          <w:p w14:paraId="11C54210" w14:textId="77777777" w:rsidR="008B4402" w:rsidRPr="00C9343F" w:rsidRDefault="008B4402" w:rsidP="00F66D98">
            <w:pPr>
              <w:pStyle w:val="BlockText-Plain"/>
            </w:pPr>
          </w:p>
        </w:tc>
        <w:tc>
          <w:tcPr>
            <w:tcW w:w="567" w:type="dxa"/>
          </w:tcPr>
          <w:p w14:paraId="57841B01" w14:textId="77777777" w:rsidR="008B4402" w:rsidRPr="00C9343F" w:rsidRDefault="008B4402" w:rsidP="008D1B5D">
            <w:pPr>
              <w:pStyle w:val="BlockText-Plain"/>
            </w:pPr>
            <w:r w:rsidRPr="00C9343F">
              <w:t>i.</w:t>
            </w:r>
          </w:p>
        </w:tc>
        <w:tc>
          <w:tcPr>
            <w:tcW w:w="7233" w:type="dxa"/>
          </w:tcPr>
          <w:p w14:paraId="020CE23D" w14:textId="77777777" w:rsidR="008B4402" w:rsidRPr="00C9343F" w:rsidRDefault="008B4402" w:rsidP="00F66D98">
            <w:pPr>
              <w:pStyle w:val="BlockText-Plain"/>
            </w:pPr>
            <w:r w:rsidRPr="00C9343F">
              <w:t>Leave without pay for illness.</w:t>
            </w:r>
            <w:r w:rsidRPr="00C9343F">
              <w:rPr>
                <w:b/>
                <w:color w:val="FF0000"/>
              </w:rPr>
              <w:t xml:space="preserve"> </w:t>
            </w:r>
          </w:p>
        </w:tc>
      </w:tr>
      <w:tr w:rsidR="008B4402" w:rsidRPr="00C9343F" w14:paraId="5ED2C3B2" w14:textId="77777777" w:rsidTr="00A92644">
        <w:trPr>
          <w:cantSplit/>
        </w:trPr>
        <w:tc>
          <w:tcPr>
            <w:tcW w:w="1559" w:type="dxa"/>
            <w:gridSpan w:val="2"/>
          </w:tcPr>
          <w:p w14:paraId="6C85B0EE" w14:textId="77777777" w:rsidR="008B4402" w:rsidRPr="00C9343F" w:rsidRDefault="008B4402" w:rsidP="00F66D98">
            <w:pPr>
              <w:pStyle w:val="BlockText-Plain"/>
            </w:pPr>
          </w:p>
        </w:tc>
        <w:tc>
          <w:tcPr>
            <w:tcW w:w="567" w:type="dxa"/>
          </w:tcPr>
          <w:p w14:paraId="5FE1921F" w14:textId="77777777" w:rsidR="008B4402" w:rsidRPr="00C9343F" w:rsidRDefault="008B4402" w:rsidP="008D1B5D">
            <w:pPr>
              <w:pStyle w:val="BlockText-Plain"/>
            </w:pPr>
            <w:r w:rsidRPr="00C9343F">
              <w:t>ii.</w:t>
            </w:r>
          </w:p>
        </w:tc>
        <w:tc>
          <w:tcPr>
            <w:tcW w:w="7233" w:type="dxa"/>
          </w:tcPr>
          <w:p w14:paraId="48A436AF" w14:textId="343FBCF6" w:rsidR="008B4402" w:rsidRPr="00C9343F" w:rsidRDefault="008B4402" w:rsidP="00F66D98">
            <w:pPr>
              <w:pStyle w:val="BlockText-Plain"/>
            </w:pPr>
            <w:r w:rsidRPr="00C9343F">
              <w:t xml:space="preserve">Leave without pay under the </w:t>
            </w:r>
            <w:r w:rsidRPr="00C9343F">
              <w:rPr>
                <w:i/>
              </w:rPr>
              <w:t>Defence (Parliamentary Candidates) Act 1969.</w:t>
            </w:r>
          </w:p>
        </w:tc>
      </w:tr>
      <w:tr w:rsidR="00A92644" w:rsidRPr="00C9343F" w14:paraId="6237D14F" w14:textId="77777777" w:rsidTr="00A92644">
        <w:trPr>
          <w:cantSplit/>
        </w:trPr>
        <w:tc>
          <w:tcPr>
            <w:tcW w:w="992" w:type="dxa"/>
          </w:tcPr>
          <w:p w14:paraId="56AA61A0" w14:textId="77777777" w:rsidR="00A92644" w:rsidRPr="00C9343F" w:rsidRDefault="00A92644" w:rsidP="00F66D98">
            <w:pPr>
              <w:pStyle w:val="BlockText-Plain"/>
            </w:pPr>
          </w:p>
        </w:tc>
        <w:tc>
          <w:tcPr>
            <w:tcW w:w="567" w:type="dxa"/>
          </w:tcPr>
          <w:p w14:paraId="6170086C" w14:textId="3742F922" w:rsidR="00A92644" w:rsidRPr="00C9343F" w:rsidRDefault="00A92644" w:rsidP="008D1B5D">
            <w:pPr>
              <w:pStyle w:val="BlockText-Plain"/>
              <w:jc w:val="center"/>
            </w:pPr>
            <w:r w:rsidRPr="00C9343F">
              <w:rPr>
                <w:iCs/>
              </w:rPr>
              <w:t>c.</w:t>
            </w:r>
          </w:p>
        </w:tc>
        <w:tc>
          <w:tcPr>
            <w:tcW w:w="7800" w:type="dxa"/>
            <w:gridSpan w:val="2"/>
          </w:tcPr>
          <w:p w14:paraId="73461245" w14:textId="34F5AB3C" w:rsidR="00A92644" w:rsidRPr="00C9343F" w:rsidRDefault="00A92644" w:rsidP="00F66D98">
            <w:pPr>
              <w:pStyle w:val="BlockText-Plain"/>
            </w:pPr>
            <w:r w:rsidRPr="00C9343F">
              <w:rPr>
                <w:iCs/>
              </w:rPr>
              <w:t>Any period of more than one day that the member is not entitled to salary or allowances under Chapter 1 Part 7.</w:t>
            </w:r>
          </w:p>
        </w:tc>
      </w:tr>
    </w:tbl>
    <w:p w14:paraId="5FEF0214" w14:textId="38245EB3" w:rsidR="008B4402" w:rsidRPr="00C9343F" w:rsidRDefault="008B4402" w:rsidP="00F66D98">
      <w:pPr>
        <w:pStyle w:val="Heading5"/>
      </w:pPr>
      <w:bookmarkStart w:id="1442" w:name="_Toc105054041"/>
      <w:bookmarkStart w:id="1443" w:name="bk1152065318Membersresponsibilities"/>
      <w:bookmarkStart w:id="1444" w:name="bk1157285318Membersresponsibilities"/>
      <w:bookmarkStart w:id="1445" w:name="bk1413445318Membersresponsibilities"/>
      <w:bookmarkStart w:id="1446" w:name="bk1546545316Membersresponsibilities"/>
      <w:bookmarkStart w:id="1447" w:name="bk1056135317Membersresponsibilities"/>
      <w:bookmarkStart w:id="1448" w:name="bk933455318Membersresponsibilities"/>
      <w:r w:rsidRPr="00C9343F">
        <w:t>5.5.19</w:t>
      </w:r>
      <w:r w:rsidR="00D94006" w:rsidRPr="00C9343F">
        <w:t>    </w:t>
      </w:r>
      <w:r w:rsidRPr="00C9343F">
        <w:t>Member's responsibilities</w:t>
      </w:r>
      <w:bookmarkEnd w:id="1442"/>
    </w:p>
    <w:tbl>
      <w:tblPr>
        <w:tblW w:w="9355" w:type="dxa"/>
        <w:tblInd w:w="113" w:type="dxa"/>
        <w:tblLayout w:type="fixed"/>
        <w:tblLook w:val="0000" w:firstRow="0" w:lastRow="0" w:firstColumn="0" w:lastColumn="0" w:noHBand="0" w:noVBand="0"/>
      </w:tblPr>
      <w:tblGrid>
        <w:gridCol w:w="992"/>
        <w:gridCol w:w="8363"/>
      </w:tblGrid>
      <w:tr w:rsidR="008B4402" w:rsidRPr="00C9343F" w14:paraId="4698318D" w14:textId="77777777" w:rsidTr="00A92644">
        <w:tc>
          <w:tcPr>
            <w:tcW w:w="992" w:type="dxa"/>
          </w:tcPr>
          <w:bookmarkEnd w:id="1443"/>
          <w:bookmarkEnd w:id="1444"/>
          <w:bookmarkEnd w:id="1445"/>
          <w:p w14:paraId="6F2FA28A" w14:textId="77777777" w:rsidR="008B4402" w:rsidRPr="00C9343F" w:rsidRDefault="008B4402" w:rsidP="00F66D98">
            <w:pPr>
              <w:pStyle w:val="BlockText-Plain"/>
              <w:jc w:val="center"/>
            </w:pPr>
            <w:r w:rsidRPr="00C9343F">
              <w:t>1.</w:t>
            </w:r>
          </w:p>
        </w:tc>
        <w:tc>
          <w:tcPr>
            <w:tcW w:w="8363" w:type="dxa"/>
          </w:tcPr>
          <w:p w14:paraId="117B69D8" w14:textId="77777777" w:rsidR="008B4402" w:rsidRPr="00C9343F" w:rsidRDefault="008B4402" w:rsidP="00F66D98">
            <w:pPr>
              <w:pStyle w:val="BlockText-Plain"/>
            </w:pPr>
            <w:r w:rsidRPr="00C9343F">
              <w:t>A member should ask for recognition of their prior service as soon as reasonably practical after starting continuous full-time service. This includes prior Reserve service.</w:t>
            </w:r>
          </w:p>
        </w:tc>
      </w:tr>
      <w:tr w:rsidR="008B4402" w:rsidRPr="00C9343F" w14:paraId="5612CFBA" w14:textId="77777777" w:rsidTr="00A92644">
        <w:tc>
          <w:tcPr>
            <w:tcW w:w="992" w:type="dxa"/>
          </w:tcPr>
          <w:p w14:paraId="57B1BCE5" w14:textId="77777777" w:rsidR="008B4402" w:rsidRPr="00C9343F" w:rsidRDefault="008B4402" w:rsidP="00F66D98">
            <w:pPr>
              <w:pStyle w:val="BlockText-Plain"/>
              <w:jc w:val="center"/>
            </w:pPr>
            <w:bookmarkStart w:id="1449" w:name="bk13833PM5313Workingoutthetotalperiodfo"/>
            <w:bookmarkStart w:id="1450" w:name="bk41518PM5314Workingoutthetotalperiodfo"/>
            <w:bookmarkEnd w:id="1446"/>
            <w:bookmarkEnd w:id="1447"/>
            <w:bookmarkEnd w:id="1448"/>
            <w:r w:rsidRPr="00C9343F">
              <w:t>2.</w:t>
            </w:r>
          </w:p>
        </w:tc>
        <w:tc>
          <w:tcPr>
            <w:tcW w:w="8363" w:type="dxa"/>
          </w:tcPr>
          <w:p w14:paraId="58A892C1" w14:textId="77777777" w:rsidR="008B4402" w:rsidRPr="00C9343F" w:rsidRDefault="008B4402" w:rsidP="00F66D98">
            <w:pPr>
              <w:pStyle w:val="BlockText-Plain"/>
            </w:pPr>
            <w:r w:rsidRPr="00C9343F">
              <w:t>The member must give the CDF written evidence of their prior service. If not, the periods will not be counted as accrued service.</w:t>
            </w:r>
          </w:p>
        </w:tc>
      </w:tr>
    </w:tbl>
    <w:p w14:paraId="6B374A26" w14:textId="6C8EFAC2" w:rsidR="008B4402" w:rsidRPr="00C9343F" w:rsidRDefault="008B4402" w:rsidP="00F66D98">
      <w:pPr>
        <w:pStyle w:val="Heading5"/>
      </w:pPr>
      <w:bookmarkStart w:id="1451" w:name="_Toc105054042"/>
      <w:bookmarkStart w:id="1452" w:name="bk1546545317Workingoutthetotalperiodfor"/>
      <w:bookmarkStart w:id="1453" w:name="bk1056135318Workingoutthetotalperiodfor"/>
      <w:bookmarkStart w:id="1454" w:name="bk933455319Workingoutthetotalperiodfora"/>
      <w:bookmarkStart w:id="1455" w:name="bk1152075319Workingoutthetotalperiodfor"/>
      <w:bookmarkStart w:id="1456" w:name="bk1157285319Workingoutthetotalperiodfor"/>
      <w:bookmarkStart w:id="1457" w:name="bk1413445319Workingoutthetotalperiodfor"/>
      <w:r w:rsidRPr="00C9343F">
        <w:t>5.5.20</w:t>
      </w:r>
      <w:r w:rsidR="00D94006" w:rsidRPr="00C9343F">
        <w:t>    </w:t>
      </w:r>
      <w:r w:rsidRPr="00C9343F">
        <w:t>Working out the total period for a member’s long service leave credit</w:t>
      </w:r>
      <w:bookmarkEnd w:id="1451"/>
      <w:r w:rsidRPr="00C9343F">
        <w:t xml:space="preserve"> </w:t>
      </w:r>
    </w:p>
    <w:tbl>
      <w:tblPr>
        <w:tblW w:w="0" w:type="auto"/>
        <w:tblInd w:w="113" w:type="dxa"/>
        <w:tblLayout w:type="fixed"/>
        <w:tblLook w:val="0000" w:firstRow="0" w:lastRow="0" w:firstColumn="0" w:lastColumn="0" w:noHBand="0" w:noVBand="0"/>
      </w:tblPr>
      <w:tblGrid>
        <w:gridCol w:w="992"/>
        <w:gridCol w:w="8363"/>
      </w:tblGrid>
      <w:tr w:rsidR="008B4402" w:rsidRPr="00C9343F" w14:paraId="62FC2D55" w14:textId="77777777" w:rsidTr="008B4402">
        <w:tc>
          <w:tcPr>
            <w:tcW w:w="992" w:type="dxa"/>
          </w:tcPr>
          <w:bookmarkEnd w:id="1449"/>
          <w:bookmarkEnd w:id="1450"/>
          <w:bookmarkEnd w:id="1452"/>
          <w:bookmarkEnd w:id="1453"/>
          <w:bookmarkEnd w:id="1454"/>
          <w:bookmarkEnd w:id="1455"/>
          <w:bookmarkEnd w:id="1456"/>
          <w:bookmarkEnd w:id="1457"/>
          <w:p w14:paraId="43248F49" w14:textId="77777777" w:rsidR="008B4402" w:rsidRPr="00C9343F" w:rsidRDefault="008B4402" w:rsidP="00F66D98">
            <w:pPr>
              <w:pStyle w:val="BlockText-Plain"/>
              <w:jc w:val="center"/>
            </w:pPr>
            <w:r w:rsidRPr="00C9343F">
              <w:t>1.</w:t>
            </w:r>
          </w:p>
        </w:tc>
        <w:tc>
          <w:tcPr>
            <w:tcW w:w="8363" w:type="dxa"/>
          </w:tcPr>
          <w:p w14:paraId="6C99CA8B" w14:textId="77777777" w:rsidR="008B4402" w:rsidRPr="00C9343F" w:rsidRDefault="008B4402" w:rsidP="00F66D98">
            <w:pPr>
              <w:pStyle w:val="BlockText-PlainNoSpacing"/>
              <w:spacing w:after="200"/>
            </w:pPr>
            <w:r w:rsidRPr="00C9343F">
              <w:t>This table shows how to work out the total period that a member's long service leave credit is assessed on.</w:t>
            </w:r>
          </w:p>
        </w:tc>
      </w:tr>
    </w:tbl>
    <w:p w14:paraId="7F63F303" w14:textId="77777777" w:rsidR="008B4402" w:rsidRPr="00C9343F" w:rsidRDefault="008B4402" w:rsidP="00F66D98"/>
    <w:tbl>
      <w:tblPr>
        <w:tblW w:w="8363"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850"/>
        <w:gridCol w:w="5812"/>
        <w:gridCol w:w="1701"/>
      </w:tblGrid>
      <w:tr w:rsidR="008B4402" w:rsidRPr="00C9343F" w14:paraId="698FE3EE" w14:textId="77777777" w:rsidTr="00504077">
        <w:trPr>
          <w:cantSplit/>
        </w:trPr>
        <w:tc>
          <w:tcPr>
            <w:tcW w:w="850" w:type="dxa"/>
          </w:tcPr>
          <w:p w14:paraId="386EB1D3" w14:textId="77777777" w:rsidR="008B4402" w:rsidRPr="00C9343F" w:rsidRDefault="008B4402" w:rsidP="00F66D98">
            <w:pPr>
              <w:pStyle w:val="TableHeaderArial"/>
            </w:pPr>
            <w:r w:rsidRPr="00C9343F">
              <w:t>Step</w:t>
            </w:r>
          </w:p>
        </w:tc>
        <w:tc>
          <w:tcPr>
            <w:tcW w:w="5812" w:type="dxa"/>
          </w:tcPr>
          <w:p w14:paraId="09A8CFAF" w14:textId="77777777" w:rsidR="008B4402" w:rsidRPr="00C9343F" w:rsidRDefault="008B4402" w:rsidP="00F66D98">
            <w:pPr>
              <w:pStyle w:val="TableHeaderArial"/>
            </w:pPr>
            <w:r w:rsidRPr="00C9343F">
              <w:t>Action</w:t>
            </w:r>
          </w:p>
        </w:tc>
        <w:tc>
          <w:tcPr>
            <w:tcW w:w="1701" w:type="dxa"/>
          </w:tcPr>
          <w:p w14:paraId="2C3432DC" w14:textId="77777777" w:rsidR="008B4402" w:rsidRPr="00C9343F" w:rsidRDefault="008B4402" w:rsidP="00F66D98">
            <w:pPr>
              <w:pStyle w:val="TableHeaderArial"/>
            </w:pPr>
            <w:r w:rsidRPr="00C9343F">
              <w:t xml:space="preserve">See </w:t>
            </w:r>
          </w:p>
        </w:tc>
      </w:tr>
      <w:tr w:rsidR="008B4402" w:rsidRPr="00C9343F" w14:paraId="2340C68F" w14:textId="77777777" w:rsidTr="00504077">
        <w:trPr>
          <w:cantSplit/>
        </w:trPr>
        <w:tc>
          <w:tcPr>
            <w:tcW w:w="850" w:type="dxa"/>
          </w:tcPr>
          <w:p w14:paraId="502822A3" w14:textId="77777777" w:rsidR="008B4402" w:rsidRPr="00C9343F" w:rsidRDefault="008B4402" w:rsidP="00F66D98">
            <w:pPr>
              <w:pStyle w:val="TableTextArial-ctrd"/>
            </w:pPr>
            <w:r w:rsidRPr="00C9343F">
              <w:t>1.</w:t>
            </w:r>
          </w:p>
        </w:tc>
        <w:tc>
          <w:tcPr>
            <w:tcW w:w="5812" w:type="dxa"/>
          </w:tcPr>
          <w:p w14:paraId="2EC5A6C0" w14:textId="77777777" w:rsidR="008B4402" w:rsidRPr="00C9343F" w:rsidRDefault="008B4402" w:rsidP="00F66D98">
            <w:pPr>
              <w:pStyle w:val="TableTextArial-left"/>
            </w:pPr>
            <w:r w:rsidRPr="00C9343F">
              <w:t>Work out the member's total period of accrued service. This includes the member's current service, prior full days of Reserve service and other prior service.</w:t>
            </w:r>
          </w:p>
        </w:tc>
        <w:tc>
          <w:tcPr>
            <w:tcW w:w="1701" w:type="dxa"/>
          </w:tcPr>
          <w:p w14:paraId="6F9ADDED" w14:textId="77777777" w:rsidR="008B4402" w:rsidRPr="00C9343F" w:rsidRDefault="008B4402" w:rsidP="00F66D98">
            <w:pPr>
              <w:pStyle w:val="TableTextArial-left"/>
            </w:pPr>
            <w:r w:rsidRPr="00C9343F">
              <w:t>Sections 5.5.13 to 5.5.17</w:t>
            </w:r>
          </w:p>
        </w:tc>
      </w:tr>
      <w:tr w:rsidR="008B4402" w:rsidRPr="00C9343F" w14:paraId="31B67E8E" w14:textId="77777777" w:rsidTr="00504077">
        <w:trPr>
          <w:cantSplit/>
        </w:trPr>
        <w:tc>
          <w:tcPr>
            <w:tcW w:w="850" w:type="dxa"/>
          </w:tcPr>
          <w:p w14:paraId="070E205D" w14:textId="77777777" w:rsidR="008B4402" w:rsidRPr="00C9343F" w:rsidRDefault="008B4402" w:rsidP="00F66D98">
            <w:pPr>
              <w:pStyle w:val="TableTextArial-ctrd"/>
            </w:pPr>
            <w:r w:rsidRPr="00C9343F">
              <w:t>2.</w:t>
            </w:r>
          </w:p>
        </w:tc>
        <w:tc>
          <w:tcPr>
            <w:tcW w:w="5812" w:type="dxa"/>
          </w:tcPr>
          <w:p w14:paraId="43FC3D0B" w14:textId="77777777" w:rsidR="008B4402" w:rsidRPr="00C9343F" w:rsidRDefault="008B4402" w:rsidP="00F66D98">
            <w:pPr>
              <w:pStyle w:val="TableTextArial-left"/>
            </w:pPr>
            <w:r w:rsidRPr="00C9343F">
              <w:t>Work out their total long service leave credit for completed years of service.</w:t>
            </w:r>
          </w:p>
        </w:tc>
        <w:tc>
          <w:tcPr>
            <w:tcW w:w="1701" w:type="dxa"/>
          </w:tcPr>
          <w:p w14:paraId="3EBE9DBF" w14:textId="77777777" w:rsidR="008B4402" w:rsidRPr="00C9343F" w:rsidRDefault="008B4402" w:rsidP="00F66D98">
            <w:pPr>
              <w:pStyle w:val="TableTextArial-left"/>
            </w:pPr>
            <w:r w:rsidRPr="00C9343F">
              <w:t>Division 2 section 5.5.8</w:t>
            </w:r>
          </w:p>
        </w:tc>
      </w:tr>
      <w:tr w:rsidR="008B4402" w:rsidRPr="00C9343F" w14:paraId="3430BCF8" w14:textId="77777777" w:rsidTr="00504077">
        <w:trPr>
          <w:cantSplit/>
        </w:trPr>
        <w:tc>
          <w:tcPr>
            <w:tcW w:w="850" w:type="dxa"/>
          </w:tcPr>
          <w:p w14:paraId="4121E314" w14:textId="77777777" w:rsidR="008B4402" w:rsidRPr="00C9343F" w:rsidRDefault="008B4402" w:rsidP="00F66D98">
            <w:pPr>
              <w:pStyle w:val="TableTextArial-ctrd"/>
            </w:pPr>
            <w:r w:rsidRPr="00C9343F">
              <w:t>3.</w:t>
            </w:r>
          </w:p>
        </w:tc>
        <w:tc>
          <w:tcPr>
            <w:tcW w:w="5812" w:type="dxa"/>
          </w:tcPr>
          <w:p w14:paraId="4C1159C5" w14:textId="77777777" w:rsidR="008B4402" w:rsidRPr="00C9343F" w:rsidRDefault="008B4402" w:rsidP="00F66D98">
            <w:pPr>
              <w:pStyle w:val="TableTextArial-left"/>
            </w:pPr>
            <w:r w:rsidRPr="00C9343F">
              <w:t>Subtract any leave that they have already taken as leave or been paid for instead of leave.</w:t>
            </w:r>
          </w:p>
        </w:tc>
        <w:tc>
          <w:tcPr>
            <w:tcW w:w="1701" w:type="dxa"/>
          </w:tcPr>
          <w:p w14:paraId="50ADBCCC" w14:textId="77777777" w:rsidR="008B4402" w:rsidRPr="00C9343F" w:rsidRDefault="008B4402" w:rsidP="00F66D98">
            <w:pPr>
              <w:pStyle w:val="TableTextArial-left"/>
            </w:pPr>
          </w:p>
        </w:tc>
      </w:tr>
    </w:tbl>
    <w:p w14:paraId="28B26C46" w14:textId="77777777" w:rsidR="00504077" w:rsidRPr="00C9343F" w:rsidRDefault="00504077"/>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52159ECE" w14:textId="77777777" w:rsidTr="00504077">
        <w:tc>
          <w:tcPr>
            <w:tcW w:w="992" w:type="dxa"/>
          </w:tcPr>
          <w:p w14:paraId="219E1858" w14:textId="77777777" w:rsidR="008B4402" w:rsidRPr="00C9343F" w:rsidRDefault="008B4402" w:rsidP="00F66D98">
            <w:pPr>
              <w:pStyle w:val="BlockText-Plain"/>
              <w:jc w:val="center"/>
            </w:pPr>
            <w:r w:rsidRPr="00C9343F">
              <w:t>2.</w:t>
            </w:r>
          </w:p>
        </w:tc>
        <w:tc>
          <w:tcPr>
            <w:tcW w:w="8363" w:type="dxa"/>
            <w:gridSpan w:val="2"/>
          </w:tcPr>
          <w:p w14:paraId="4918A8EE" w14:textId="77777777" w:rsidR="008B4402" w:rsidRPr="00C9343F" w:rsidRDefault="008B4402" w:rsidP="00F66D98">
            <w:pPr>
              <w:pStyle w:val="BlockText-Plain"/>
            </w:pPr>
            <w:r w:rsidRPr="00C9343F">
              <w:t>For a grant of long service leave, the entitlement to the actual credit is set out in section 5.5.8.</w:t>
            </w:r>
          </w:p>
        </w:tc>
      </w:tr>
      <w:tr w:rsidR="008B4402" w:rsidRPr="00C9343F" w14:paraId="344D8330" w14:textId="77777777" w:rsidTr="00504077">
        <w:tc>
          <w:tcPr>
            <w:tcW w:w="992" w:type="dxa"/>
          </w:tcPr>
          <w:p w14:paraId="227A37B4" w14:textId="77777777" w:rsidR="008B4402" w:rsidRPr="00C9343F" w:rsidRDefault="008B4402" w:rsidP="00F66D98">
            <w:pPr>
              <w:pStyle w:val="BlockText-Plain"/>
              <w:jc w:val="center"/>
            </w:pPr>
            <w:r w:rsidRPr="00C9343F">
              <w:t>3.</w:t>
            </w:r>
          </w:p>
        </w:tc>
        <w:tc>
          <w:tcPr>
            <w:tcW w:w="8363" w:type="dxa"/>
            <w:gridSpan w:val="2"/>
          </w:tcPr>
          <w:p w14:paraId="45B7B953" w14:textId="77777777" w:rsidR="008B4402" w:rsidRPr="00C9343F" w:rsidRDefault="008B4402" w:rsidP="00F66D98">
            <w:pPr>
              <w:pStyle w:val="BlockText-Plain"/>
            </w:pPr>
            <w:r w:rsidRPr="00C9343F">
              <w:t>For a payment instead of long service leave, the entitlement to the actual credit is set out in the following sections.</w:t>
            </w:r>
          </w:p>
        </w:tc>
      </w:tr>
      <w:tr w:rsidR="008B4402" w:rsidRPr="00C9343F" w14:paraId="23A04ABB" w14:textId="77777777" w:rsidTr="00504077">
        <w:trPr>
          <w:cantSplit/>
        </w:trPr>
        <w:tc>
          <w:tcPr>
            <w:tcW w:w="992" w:type="dxa"/>
          </w:tcPr>
          <w:p w14:paraId="1CAEA0B5" w14:textId="77777777" w:rsidR="008B4402" w:rsidRPr="00C9343F" w:rsidRDefault="008B4402" w:rsidP="00F66D98">
            <w:pPr>
              <w:pStyle w:val="BlockText-Plain"/>
            </w:pPr>
          </w:p>
        </w:tc>
        <w:tc>
          <w:tcPr>
            <w:tcW w:w="567" w:type="dxa"/>
          </w:tcPr>
          <w:p w14:paraId="7257F22E" w14:textId="77777777" w:rsidR="008B4402" w:rsidRPr="00C9343F" w:rsidRDefault="008B4402" w:rsidP="008D1B5D">
            <w:pPr>
              <w:pStyle w:val="BlockText-Plain"/>
              <w:jc w:val="center"/>
            </w:pPr>
            <w:r w:rsidRPr="00C9343F">
              <w:t>a.</w:t>
            </w:r>
          </w:p>
        </w:tc>
        <w:tc>
          <w:tcPr>
            <w:tcW w:w="7796" w:type="dxa"/>
          </w:tcPr>
          <w:p w14:paraId="32F2B1EB" w14:textId="77777777" w:rsidR="008B4402" w:rsidRPr="00C9343F" w:rsidRDefault="008B4402" w:rsidP="00F66D98">
            <w:pPr>
              <w:pStyle w:val="BlockText-Plain"/>
            </w:pPr>
            <w:r w:rsidRPr="00C9343F">
              <w:t>Section 5.5.26 for a member who has an established long service leave credit.</w:t>
            </w:r>
          </w:p>
        </w:tc>
      </w:tr>
      <w:tr w:rsidR="008B4402" w:rsidRPr="00C9343F" w14:paraId="728E36D8" w14:textId="77777777" w:rsidTr="00504077">
        <w:trPr>
          <w:cantSplit/>
        </w:trPr>
        <w:tc>
          <w:tcPr>
            <w:tcW w:w="992" w:type="dxa"/>
          </w:tcPr>
          <w:p w14:paraId="575FB0EA" w14:textId="77777777" w:rsidR="008B4402" w:rsidRPr="00C9343F" w:rsidRDefault="008B4402" w:rsidP="00F66D98">
            <w:pPr>
              <w:pStyle w:val="BlockText-Plain"/>
            </w:pPr>
          </w:p>
        </w:tc>
        <w:tc>
          <w:tcPr>
            <w:tcW w:w="567" w:type="dxa"/>
          </w:tcPr>
          <w:p w14:paraId="0D12D7B4" w14:textId="77777777" w:rsidR="008B4402" w:rsidRPr="00C9343F" w:rsidRDefault="008B4402" w:rsidP="008D1B5D">
            <w:pPr>
              <w:pStyle w:val="BlockText-Plain"/>
              <w:jc w:val="center"/>
            </w:pPr>
            <w:r w:rsidRPr="00C9343F">
              <w:t>b.</w:t>
            </w:r>
          </w:p>
        </w:tc>
        <w:tc>
          <w:tcPr>
            <w:tcW w:w="7796" w:type="dxa"/>
          </w:tcPr>
          <w:p w14:paraId="26E9CDF0" w14:textId="77777777" w:rsidR="008B4402" w:rsidRPr="00C9343F" w:rsidRDefault="008B4402" w:rsidP="00F66D98">
            <w:pPr>
              <w:pStyle w:val="BlockText-Plain"/>
            </w:pPr>
            <w:r w:rsidRPr="00C9343F">
              <w:t>Section 5.5.28 for a member who does not have an established long service leave credit, but has at least one year's service. They must be leaving the ADF for a reason stated in that section.</w:t>
            </w:r>
          </w:p>
        </w:tc>
      </w:tr>
    </w:tbl>
    <w:p w14:paraId="54DAE152" w14:textId="1FC669FD" w:rsidR="008B4402" w:rsidRPr="00C9343F" w:rsidRDefault="008B4402" w:rsidP="00F66D98">
      <w:pPr>
        <w:pStyle w:val="Heading4"/>
        <w:pageBreakBefore/>
      </w:pPr>
      <w:bookmarkStart w:id="1458" w:name="_Toc105054043"/>
      <w:bookmarkEnd w:id="1410"/>
      <w:r w:rsidRPr="00C9343F">
        <w:t xml:space="preserve">Division 4: Salary </w:t>
      </w:r>
      <w:r w:rsidR="007C6BD2" w:rsidRPr="00C9343F">
        <w:t>and allowances during</w:t>
      </w:r>
      <w:r w:rsidRPr="00C9343F">
        <w:t xml:space="preserve"> long service leave</w:t>
      </w:r>
      <w:bookmarkEnd w:id="1458"/>
    </w:p>
    <w:p w14:paraId="67AAA163" w14:textId="3E6B2C9D" w:rsidR="007C6BD2" w:rsidRPr="00C9343F" w:rsidRDefault="007C6BD2" w:rsidP="00F66D98">
      <w:pPr>
        <w:pStyle w:val="Heading5"/>
      </w:pPr>
      <w:bookmarkStart w:id="1459" w:name="_Toc105054044"/>
      <w:bookmarkStart w:id="1460" w:name="bk122056PM538Salaryforlongserviceleavem"/>
      <w:bookmarkStart w:id="1461" w:name="bk122146PM538Salaryforlongserviceleavem"/>
      <w:bookmarkStart w:id="1462" w:name="bk122235PM538Salaryforlongserviceleavem"/>
      <w:bookmarkStart w:id="1463" w:name="bk11014PM538Salaryforlongserviceleaveme"/>
      <w:bookmarkStart w:id="1464" w:name="bk13847PM538Salaryforlongserviceleaveme"/>
      <w:bookmarkStart w:id="1465" w:name="bk20428PM538Salaryforlongserviceleaveme"/>
      <w:bookmarkStart w:id="1466" w:name="bk41547PM5316Salaryforlongserviceleavem"/>
      <w:bookmarkStart w:id="1467" w:name="bk1547045319Salarymemberonhigherdutiest"/>
      <w:bookmarkStart w:id="1468" w:name="bk1056215320Salarymemberonhigherdutiest"/>
      <w:bookmarkStart w:id="1469" w:name="bk934015321Salarymemberonhigherdutieste"/>
      <w:bookmarkStart w:id="1470" w:name="bk1157385321Salarymemberonhigherdutiest"/>
      <w:r w:rsidRPr="00C9343F">
        <w:t>5.5.21</w:t>
      </w:r>
      <w:r w:rsidR="00D94006" w:rsidRPr="00C9343F">
        <w:t>    </w:t>
      </w:r>
      <w:r w:rsidRPr="00C9343F">
        <w:t>Salary during long service leave</w:t>
      </w:r>
      <w:bookmarkEnd w:id="1459"/>
    </w:p>
    <w:tbl>
      <w:tblPr>
        <w:tblW w:w="9359" w:type="dxa"/>
        <w:tblInd w:w="113" w:type="dxa"/>
        <w:tblLayout w:type="fixed"/>
        <w:tblLook w:val="04A0" w:firstRow="1" w:lastRow="0" w:firstColumn="1" w:lastColumn="0" w:noHBand="0" w:noVBand="1"/>
      </w:tblPr>
      <w:tblGrid>
        <w:gridCol w:w="992"/>
        <w:gridCol w:w="8367"/>
      </w:tblGrid>
      <w:tr w:rsidR="007C6BD2" w:rsidRPr="00C9343F" w14:paraId="4CE07CCF" w14:textId="77777777" w:rsidTr="006E5056">
        <w:tc>
          <w:tcPr>
            <w:tcW w:w="992" w:type="dxa"/>
          </w:tcPr>
          <w:p w14:paraId="17FE34E6" w14:textId="77777777" w:rsidR="007C6BD2" w:rsidRPr="00C9343F" w:rsidRDefault="007C6BD2" w:rsidP="00F66D98">
            <w:pPr>
              <w:pStyle w:val="Sectiontext0"/>
              <w:jc w:val="center"/>
              <w:rPr>
                <w:lang w:eastAsia="en-US"/>
              </w:rPr>
            </w:pPr>
            <w:r w:rsidRPr="00C9343F">
              <w:rPr>
                <w:lang w:eastAsia="en-US"/>
              </w:rPr>
              <w:t>1.</w:t>
            </w:r>
          </w:p>
        </w:tc>
        <w:tc>
          <w:tcPr>
            <w:tcW w:w="8367" w:type="dxa"/>
          </w:tcPr>
          <w:p w14:paraId="0E401E8B" w14:textId="77777777" w:rsidR="007C6BD2" w:rsidRPr="00C9343F" w:rsidRDefault="007C6BD2" w:rsidP="00F66D98">
            <w:pPr>
              <w:pStyle w:val="Sectiontext0"/>
              <w:rPr>
                <w:rFonts w:cs="Arial"/>
                <w:lang w:eastAsia="en-US"/>
              </w:rPr>
            </w:pPr>
            <w:r w:rsidRPr="00C9343F">
              <w:rPr>
                <w:rFonts w:cs="Arial"/>
                <w:lang w:eastAsia="en-US"/>
              </w:rPr>
              <w:t>A member is eligible to receive the salary payable to them while on long service leave.</w:t>
            </w:r>
          </w:p>
        </w:tc>
      </w:tr>
      <w:tr w:rsidR="007C6BD2" w:rsidRPr="00C9343F" w14:paraId="09BAF19D" w14:textId="77777777" w:rsidTr="006E5056">
        <w:tc>
          <w:tcPr>
            <w:tcW w:w="992" w:type="dxa"/>
          </w:tcPr>
          <w:p w14:paraId="5B20E185" w14:textId="77777777" w:rsidR="007C6BD2" w:rsidRPr="00C9343F" w:rsidRDefault="007C6BD2" w:rsidP="00F66D98">
            <w:pPr>
              <w:pStyle w:val="Sectiontext0"/>
              <w:jc w:val="center"/>
              <w:rPr>
                <w:lang w:eastAsia="en-US"/>
              </w:rPr>
            </w:pPr>
            <w:r w:rsidRPr="00C9343F">
              <w:rPr>
                <w:lang w:eastAsia="en-US"/>
              </w:rPr>
              <w:t>2.</w:t>
            </w:r>
          </w:p>
        </w:tc>
        <w:tc>
          <w:tcPr>
            <w:tcW w:w="8367" w:type="dxa"/>
          </w:tcPr>
          <w:p w14:paraId="1778A0BB" w14:textId="77777777" w:rsidR="007C6BD2" w:rsidRPr="00C9343F" w:rsidRDefault="007C6BD2" w:rsidP="00F66D98">
            <w:pPr>
              <w:pStyle w:val="Sectiontext0"/>
              <w:rPr>
                <w:rFonts w:cs="Arial"/>
                <w:lang w:eastAsia="en-US"/>
              </w:rPr>
            </w:pPr>
            <w:r w:rsidRPr="00C9343F">
              <w:rPr>
                <w:rFonts w:cs="Arial"/>
                <w:lang w:eastAsia="en-US"/>
              </w:rPr>
              <w:t>If a member was under a direction to act a higher rank under section 13(1)(b) of the Defence Regulation before the start date of their long service leave, the member’s salary is paid at the rate of the higher rank at which they were directed to act.</w:t>
            </w:r>
          </w:p>
        </w:tc>
      </w:tr>
    </w:tbl>
    <w:p w14:paraId="21D29F1F" w14:textId="52C58BDE" w:rsidR="007C6BD2" w:rsidRPr="00C9343F" w:rsidRDefault="007C6BD2" w:rsidP="00F66D98">
      <w:pPr>
        <w:pStyle w:val="Heading5"/>
      </w:pPr>
      <w:bookmarkStart w:id="1471" w:name="_Toc105054045"/>
      <w:bookmarkEnd w:id="1460"/>
      <w:bookmarkEnd w:id="1461"/>
      <w:bookmarkEnd w:id="1462"/>
      <w:bookmarkEnd w:id="1463"/>
      <w:bookmarkEnd w:id="1464"/>
      <w:bookmarkEnd w:id="1465"/>
      <w:bookmarkEnd w:id="1466"/>
      <w:bookmarkEnd w:id="1467"/>
      <w:bookmarkEnd w:id="1468"/>
      <w:bookmarkEnd w:id="1469"/>
      <w:bookmarkEnd w:id="1470"/>
      <w:r w:rsidRPr="00C9343F">
        <w:t>5.5.23</w:t>
      </w:r>
      <w:r w:rsidR="00D94006" w:rsidRPr="00C9343F">
        <w:t>    </w:t>
      </w:r>
      <w:r w:rsidRPr="00C9343F">
        <w:t>DFRT allowances during long service leave</w:t>
      </w:r>
      <w:bookmarkEnd w:id="1471"/>
    </w:p>
    <w:tbl>
      <w:tblPr>
        <w:tblW w:w="9359" w:type="dxa"/>
        <w:tblInd w:w="113" w:type="dxa"/>
        <w:tblLayout w:type="fixed"/>
        <w:tblLook w:val="04A0" w:firstRow="1" w:lastRow="0" w:firstColumn="1" w:lastColumn="0" w:noHBand="0" w:noVBand="1"/>
      </w:tblPr>
      <w:tblGrid>
        <w:gridCol w:w="992"/>
        <w:gridCol w:w="563"/>
        <w:gridCol w:w="7804"/>
      </w:tblGrid>
      <w:tr w:rsidR="007C6BD2" w:rsidRPr="00C9343F" w14:paraId="5FBDAB32" w14:textId="77777777" w:rsidTr="006E5056">
        <w:tc>
          <w:tcPr>
            <w:tcW w:w="992" w:type="dxa"/>
          </w:tcPr>
          <w:p w14:paraId="282F26C1" w14:textId="77777777" w:rsidR="007C6BD2" w:rsidRPr="00C9343F" w:rsidRDefault="007C6BD2" w:rsidP="00F66D98">
            <w:pPr>
              <w:pStyle w:val="Sectiontext0"/>
              <w:jc w:val="center"/>
              <w:rPr>
                <w:lang w:eastAsia="en-US"/>
              </w:rPr>
            </w:pPr>
            <w:r w:rsidRPr="00C9343F">
              <w:rPr>
                <w:lang w:eastAsia="en-US"/>
              </w:rPr>
              <w:t>1.</w:t>
            </w:r>
          </w:p>
        </w:tc>
        <w:tc>
          <w:tcPr>
            <w:tcW w:w="8367" w:type="dxa"/>
            <w:gridSpan w:val="2"/>
          </w:tcPr>
          <w:p w14:paraId="33EE8052" w14:textId="77777777" w:rsidR="007C6BD2" w:rsidRPr="00C9343F" w:rsidRDefault="007C6BD2" w:rsidP="00F66D98">
            <w:pPr>
              <w:pStyle w:val="Sectiontext0"/>
              <w:rPr>
                <w:rFonts w:cs="Arial"/>
                <w:lang w:eastAsia="en-US"/>
              </w:rPr>
            </w:pPr>
            <w:r w:rsidRPr="00C9343F">
              <w:rPr>
                <w:rFonts w:cs="Arial"/>
                <w:lang w:eastAsia="en-US"/>
              </w:rPr>
              <w:t xml:space="preserve">A member is eligible to receive a DFRT allowance during long service leave if they were </w:t>
            </w:r>
            <w:r w:rsidRPr="00C9343F">
              <w:t>eligible for the allowance on the day immediately before the member commences long service leave.</w:t>
            </w:r>
          </w:p>
        </w:tc>
      </w:tr>
      <w:tr w:rsidR="007C6BD2" w:rsidRPr="00C9343F" w14:paraId="1385DA3A" w14:textId="77777777" w:rsidTr="006E5056">
        <w:tc>
          <w:tcPr>
            <w:tcW w:w="992" w:type="dxa"/>
          </w:tcPr>
          <w:p w14:paraId="0A5D7C1A" w14:textId="77777777" w:rsidR="007C6BD2" w:rsidRPr="00C9343F" w:rsidRDefault="007C6BD2" w:rsidP="00F66D98">
            <w:pPr>
              <w:pStyle w:val="Sectiontext0"/>
              <w:jc w:val="center"/>
              <w:rPr>
                <w:lang w:eastAsia="en-US"/>
              </w:rPr>
            </w:pPr>
            <w:r w:rsidRPr="00C9343F">
              <w:rPr>
                <w:lang w:eastAsia="en-US"/>
              </w:rPr>
              <w:t>2.</w:t>
            </w:r>
          </w:p>
        </w:tc>
        <w:tc>
          <w:tcPr>
            <w:tcW w:w="8367" w:type="dxa"/>
            <w:gridSpan w:val="2"/>
          </w:tcPr>
          <w:p w14:paraId="3F6EAA3E" w14:textId="77777777" w:rsidR="007C6BD2" w:rsidRPr="00C9343F" w:rsidRDefault="007C6BD2" w:rsidP="00F66D98">
            <w:pPr>
              <w:pStyle w:val="Sectiontext0"/>
              <w:rPr>
                <w:rFonts w:cs="Arial"/>
                <w:lang w:eastAsia="en-US"/>
              </w:rPr>
            </w:pPr>
            <w:r w:rsidRPr="00C9343F">
              <w:rPr>
                <w:rFonts w:cs="Arial"/>
                <w:lang w:eastAsia="en-US"/>
              </w:rPr>
              <w:t xml:space="preserve">If a </w:t>
            </w:r>
            <w:r w:rsidRPr="00C9343F">
              <w:t xml:space="preserve">member was in one of the following situations for the whole period from when they were last eligible for a DFRT allowance until they commence long service leave the member is eligible to receive the allowance during their long service leave. </w:t>
            </w:r>
          </w:p>
        </w:tc>
      </w:tr>
      <w:tr w:rsidR="007C6BD2" w:rsidRPr="00C9343F" w14:paraId="70AC81FE" w14:textId="77777777" w:rsidTr="006E5056">
        <w:tc>
          <w:tcPr>
            <w:tcW w:w="992" w:type="dxa"/>
          </w:tcPr>
          <w:p w14:paraId="1111A469" w14:textId="77777777" w:rsidR="007C6BD2" w:rsidRPr="00C9343F" w:rsidRDefault="007C6BD2" w:rsidP="00F66D98">
            <w:pPr>
              <w:pStyle w:val="Sectiontext0"/>
              <w:jc w:val="center"/>
              <w:rPr>
                <w:lang w:eastAsia="en-US"/>
              </w:rPr>
            </w:pPr>
          </w:p>
        </w:tc>
        <w:tc>
          <w:tcPr>
            <w:tcW w:w="563" w:type="dxa"/>
            <w:hideMark/>
          </w:tcPr>
          <w:p w14:paraId="6CDD129B" w14:textId="77777777" w:rsidR="007C6BD2" w:rsidRPr="00C9343F" w:rsidRDefault="007C6BD2" w:rsidP="00F66D98">
            <w:pPr>
              <w:pStyle w:val="Sectiontext0"/>
              <w:jc w:val="center"/>
              <w:rPr>
                <w:rFonts w:cs="Arial"/>
                <w:lang w:eastAsia="en-US"/>
              </w:rPr>
            </w:pPr>
            <w:r w:rsidRPr="00C9343F">
              <w:rPr>
                <w:rFonts w:cs="Arial"/>
                <w:lang w:eastAsia="en-US"/>
              </w:rPr>
              <w:t>a.</w:t>
            </w:r>
          </w:p>
        </w:tc>
        <w:tc>
          <w:tcPr>
            <w:tcW w:w="7804" w:type="dxa"/>
          </w:tcPr>
          <w:p w14:paraId="781FA291" w14:textId="77777777" w:rsidR="007C6BD2" w:rsidRPr="00C9343F" w:rsidRDefault="007C6BD2" w:rsidP="00F66D98">
            <w:pPr>
              <w:pStyle w:val="Sectiontext0"/>
              <w:rPr>
                <w:rFonts w:cs="Arial"/>
                <w:lang w:eastAsia="en-US"/>
              </w:rPr>
            </w:pPr>
            <w:r w:rsidRPr="00C9343F">
              <w:t>The member was ill or in hospital.</w:t>
            </w:r>
          </w:p>
        </w:tc>
      </w:tr>
      <w:tr w:rsidR="007C6BD2" w:rsidRPr="00C9343F" w14:paraId="1CFF1A80" w14:textId="77777777" w:rsidTr="006E5056">
        <w:tc>
          <w:tcPr>
            <w:tcW w:w="992" w:type="dxa"/>
          </w:tcPr>
          <w:p w14:paraId="2503EE14" w14:textId="77777777" w:rsidR="007C6BD2" w:rsidRPr="00C9343F" w:rsidRDefault="007C6BD2" w:rsidP="00F66D98">
            <w:pPr>
              <w:pStyle w:val="Sectiontext0"/>
              <w:jc w:val="center"/>
              <w:rPr>
                <w:lang w:eastAsia="en-US"/>
              </w:rPr>
            </w:pPr>
          </w:p>
        </w:tc>
        <w:tc>
          <w:tcPr>
            <w:tcW w:w="563" w:type="dxa"/>
          </w:tcPr>
          <w:p w14:paraId="22D13209" w14:textId="77777777" w:rsidR="007C6BD2" w:rsidRPr="00C9343F" w:rsidRDefault="007C6BD2" w:rsidP="00F66D98">
            <w:pPr>
              <w:pStyle w:val="Sectiontext0"/>
              <w:jc w:val="center"/>
              <w:rPr>
                <w:rFonts w:cs="Arial"/>
                <w:lang w:eastAsia="en-US"/>
              </w:rPr>
            </w:pPr>
            <w:r w:rsidRPr="00C9343F">
              <w:rPr>
                <w:rFonts w:cs="Arial"/>
                <w:lang w:eastAsia="en-US"/>
              </w:rPr>
              <w:t>b.</w:t>
            </w:r>
          </w:p>
        </w:tc>
        <w:tc>
          <w:tcPr>
            <w:tcW w:w="7804" w:type="dxa"/>
          </w:tcPr>
          <w:p w14:paraId="4E7942A9" w14:textId="77777777" w:rsidR="007C6BD2" w:rsidRPr="00C9343F" w:rsidRDefault="007C6BD2" w:rsidP="00F66D98">
            <w:pPr>
              <w:pStyle w:val="Sectiontext0"/>
              <w:rPr>
                <w:rFonts w:cs="Arial"/>
                <w:lang w:eastAsia="en-US"/>
              </w:rPr>
            </w:pPr>
            <w:r w:rsidRPr="00C9343F">
              <w:t>The member was prevented from taking long service leave because they were required to remain on duty.</w:t>
            </w:r>
          </w:p>
        </w:tc>
      </w:tr>
      <w:tr w:rsidR="007C6BD2" w:rsidRPr="00C9343F" w14:paraId="341D8175" w14:textId="77777777" w:rsidTr="006E5056">
        <w:tc>
          <w:tcPr>
            <w:tcW w:w="992" w:type="dxa"/>
          </w:tcPr>
          <w:p w14:paraId="01A85075" w14:textId="77777777" w:rsidR="007C6BD2" w:rsidRPr="00C9343F" w:rsidRDefault="007C6BD2" w:rsidP="00F66D98">
            <w:pPr>
              <w:pStyle w:val="Sectiontext0"/>
              <w:jc w:val="center"/>
              <w:rPr>
                <w:lang w:eastAsia="en-US"/>
              </w:rPr>
            </w:pPr>
          </w:p>
        </w:tc>
        <w:tc>
          <w:tcPr>
            <w:tcW w:w="563" w:type="dxa"/>
          </w:tcPr>
          <w:p w14:paraId="31235592" w14:textId="77777777" w:rsidR="007C6BD2" w:rsidRPr="00C9343F" w:rsidRDefault="007C6BD2" w:rsidP="00F66D98">
            <w:pPr>
              <w:pStyle w:val="Sectiontext0"/>
              <w:jc w:val="center"/>
              <w:rPr>
                <w:rFonts w:cs="Arial"/>
                <w:lang w:eastAsia="en-US"/>
              </w:rPr>
            </w:pPr>
            <w:r w:rsidRPr="00C9343F">
              <w:rPr>
                <w:rFonts w:cs="Arial"/>
                <w:lang w:eastAsia="en-US"/>
              </w:rPr>
              <w:t>c.</w:t>
            </w:r>
          </w:p>
        </w:tc>
        <w:tc>
          <w:tcPr>
            <w:tcW w:w="7804" w:type="dxa"/>
          </w:tcPr>
          <w:p w14:paraId="33969D4E" w14:textId="77777777" w:rsidR="007C6BD2" w:rsidRPr="00C9343F" w:rsidRDefault="007C6BD2" w:rsidP="00F66D98">
            <w:pPr>
              <w:pStyle w:val="Sectiontext0"/>
            </w:pPr>
            <w:r w:rsidRPr="00C9343F">
              <w:t>If the member has received notice to show cause that results in their service being terminated under section 24(1)(a) of the Defence Regulation due to medically unfit for service in the Defence Force.</w:t>
            </w:r>
          </w:p>
        </w:tc>
      </w:tr>
    </w:tbl>
    <w:p w14:paraId="387473D2" w14:textId="4B218836" w:rsidR="008B4402" w:rsidRPr="00C9343F" w:rsidRDefault="008B4402" w:rsidP="003746DB">
      <w:pPr>
        <w:pStyle w:val="Heading4"/>
        <w:pageBreakBefore/>
      </w:pPr>
      <w:bookmarkStart w:id="1472" w:name="_Toc105054046"/>
      <w:bookmarkStart w:id="1473" w:name="bk122056PM539Salaryforpaymentinsteadofl"/>
      <w:bookmarkStart w:id="1474" w:name="bk122146PM539Salaryforpaymentinsteadofl"/>
      <w:bookmarkStart w:id="1475" w:name="bk122235PM539Salaryforpaymentinsteadofl"/>
      <w:bookmarkStart w:id="1476" w:name="bk11014PM539Salaryforpaymentinsteadoflo"/>
      <w:bookmarkStart w:id="1477" w:name="bk13847PM539Salaryforpaymentinsteadoflo"/>
      <w:r w:rsidRPr="00C9343F">
        <w:t>Division 5: Payment instead of long service leave</w:t>
      </w:r>
      <w:bookmarkStart w:id="1478" w:name="bk41619PM5318Paymentinsteadoflongservic"/>
      <w:bookmarkEnd w:id="1472"/>
    </w:p>
    <w:p w14:paraId="668C1096" w14:textId="7F4CE4EC" w:rsidR="008B4402" w:rsidRPr="00C9343F" w:rsidRDefault="008B4402" w:rsidP="00F66D98">
      <w:pPr>
        <w:pStyle w:val="Heading5"/>
      </w:pPr>
      <w:bookmarkStart w:id="1479" w:name="_Toc105054047"/>
      <w:bookmarkStart w:id="1480" w:name="bk1055355319MembersthisDivisionappliest"/>
      <w:bookmarkStart w:id="1481" w:name="bk1055495319MembersthisDivisionappliest"/>
      <w:bookmarkStart w:id="1482" w:name="bk1143125319MemberthisDivisionappliesto"/>
      <w:bookmarkStart w:id="1483" w:name="bk1547135321MemberthisDivisionappliesto"/>
      <w:bookmarkStart w:id="1484" w:name="bk1056465322MemberthisDivisionappliesto"/>
      <w:bookmarkStart w:id="1485" w:name="bk934105323MemberthisDivisionappliesto"/>
      <w:bookmarkStart w:id="1486" w:name="bk1157435323MemberthisDivisionappliesto"/>
      <w:bookmarkStart w:id="1487" w:name="bk41642PM5318Paymentinsteadoflongservic"/>
      <w:r w:rsidRPr="00C9343F">
        <w:t>5.5.24</w:t>
      </w:r>
      <w:r w:rsidR="00D94006" w:rsidRPr="00C9343F">
        <w:t>    </w:t>
      </w:r>
      <w:r w:rsidRPr="00C9343F">
        <w:t>Member this Division applies to</w:t>
      </w:r>
      <w:bookmarkEnd w:id="1479"/>
    </w:p>
    <w:bookmarkEnd w:id="1480"/>
    <w:bookmarkEnd w:id="1481"/>
    <w:bookmarkEnd w:id="1482"/>
    <w:bookmarkEnd w:id="1483"/>
    <w:bookmarkEnd w:id="1484"/>
    <w:bookmarkEnd w:id="1485"/>
    <w:bookmarkEnd w:id="1486"/>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14C2CA22" w14:textId="77777777" w:rsidTr="000E1BE1">
        <w:tc>
          <w:tcPr>
            <w:tcW w:w="992" w:type="dxa"/>
          </w:tcPr>
          <w:p w14:paraId="26652768" w14:textId="77777777" w:rsidR="008B4402" w:rsidRPr="00C9343F" w:rsidRDefault="008B4402" w:rsidP="00F66D98">
            <w:pPr>
              <w:pStyle w:val="BlockText-Plain"/>
              <w:jc w:val="center"/>
            </w:pPr>
          </w:p>
        </w:tc>
        <w:tc>
          <w:tcPr>
            <w:tcW w:w="8363" w:type="dxa"/>
            <w:gridSpan w:val="2"/>
          </w:tcPr>
          <w:p w14:paraId="11A57D40" w14:textId="260F3705" w:rsidR="008B4402" w:rsidRPr="00C9343F" w:rsidRDefault="008B4402" w:rsidP="00F66D98">
            <w:pPr>
              <w:pStyle w:val="BlockText-Plain"/>
            </w:pPr>
            <w:r w:rsidRPr="00C9343F">
              <w:t>This Division applies to a me</w:t>
            </w:r>
            <w:r w:rsidR="00253E76" w:rsidRPr="00C9343F">
              <w:t>mber who ceases continuous full-</w:t>
            </w:r>
            <w:r w:rsidRPr="00C9343F">
              <w:t>time service, and who meets one of these conditions.</w:t>
            </w:r>
          </w:p>
        </w:tc>
      </w:tr>
      <w:tr w:rsidR="008B4402" w:rsidRPr="00C9343F" w14:paraId="6BB46AE0" w14:textId="77777777" w:rsidTr="000E1BE1">
        <w:trPr>
          <w:cantSplit/>
        </w:trPr>
        <w:tc>
          <w:tcPr>
            <w:tcW w:w="992" w:type="dxa"/>
          </w:tcPr>
          <w:p w14:paraId="0FD13194" w14:textId="77777777" w:rsidR="008B4402" w:rsidRPr="00C9343F" w:rsidRDefault="008B4402" w:rsidP="00F66D98">
            <w:pPr>
              <w:pStyle w:val="BlockText-Plain"/>
            </w:pPr>
          </w:p>
        </w:tc>
        <w:tc>
          <w:tcPr>
            <w:tcW w:w="567" w:type="dxa"/>
          </w:tcPr>
          <w:p w14:paraId="6767A938" w14:textId="77777777" w:rsidR="008B4402" w:rsidRPr="00C9343F" w:rsidRDefault="008B4402" w:rsidP="008D1B5D">
            <w:pPr>
              <w:pStyle w:val="BlockText-Plain"/>
              <w:jc w:val="center"/>
            </w:pPr>
            <w:r w:rsidRPr="00C9343F">
              <w:t>a.</w:t>
            </w:r>
          </w:p>
        </w:tc>
        <w:tc>
          <w:tcPr>
            <w:tcW w:w="7796" w:type="dxa"/>
          </w:tcPr>
          <w:p w14:paraId="0ED3BADD" w14:textId="77777777" w:rsidR="008B4402" w:rsidRPr="00C9343F" w:rsidRDefault="008B4402" w:rsidP="00F66D98">
            <w:pPr>
              <w:pStyle w:val="BlockText-Plain"/>
            </w:pPr>
            <w:r w:rsidRPr="00C9343F">
              <w:t>They are entitled to a long service leave credit.</w:t>
            </w:r>
          </w:p>
        </w:tc>
      </w:tr>
      <w:tr w:rsidR="008B4402" w:rsidRPr="00C9343F" w14:paraId="3F68A8EC" w14:textId="77777777" w:rsidTr="000E1BE1">
        <w:trPr>
          <w:cantSplit/>
        </w:trPr>
        <w:tc>
          <w:tcPr>
            <w:tcW w:w="992" w:type="dxa"/>
          </w:tcPr>
          <w:p w14:paraId="0375153B" w14:textId="77777777" w:rsidR="008B4402" w:rsidRPr="00C9343F" w:rsidRDefault="008B4402" w:rsidP="00F66D98">
            <w:pPr>
              <w:pStyle w:val="BlockText-Plain"/>
            </w:pPr>
          </w:p>
        </w:tc>
        <w:tc>
          <w:tcPr>
            <w:tcW w:w="567" w:type="dxa"/>
          </w:tcPr>
          <w:p w14:paraId="3DBC23AB" w14:textId="77777777" w:rsidR="008B4402" w:rsidRPr="00C9343F" w:rsidRDefault="008B4402" w:rsidP="008D1B5D">
            <w:pPr>
              <w:pStyle w:val="BlockText-Plain"/>
              <w:jc w:val="center"/>
            </w:pPr>
            <w:r w:rsidRPr="00C9343F">
              <w:t>b.</w:t>
            </w:r>
          </w:p>
        </w:tc>
        <w:tc>
          <w:tcPr>
            <w:tcW w:w="7796" w:type="dxa"/>
          </w:tcPr>
          <w:p w14:paraId="28938BD8" w14:textId="7EC9FB47" w:rsidR="008B4402" w:rsidRPr="00C9343F" w:rsidRDefault="008B4402" w:rsidP="00F66D98">
            <w:pPr>
              <w:pStyle w:val="BlockText-Plain"/>
            </w:pPr>
            <w:r w:rsidRPr="00C9343F">
              <w:t>They qualify under section 5.5.28. This section applies to members who have at least one year of effective service and who leave the ADF in a way listed in section 5.5.28.</w:t>
            </w:r>
          </w:p>
        </w:tc>
      </w:tr>
    </w:tbl>
    <w:p w14:paraId="65C1E983" w14:textId="77777777" w:rsidR="000E1BE1" w:rsidRPr="00C9343F" w:rsidRDefault="000E1BE1" w:rsidP="00F66D98">
      <w:pPr>
        <w:pStyle w:val="Heading5"/>
      </w:pPr>
      <w:bookmarkStart w:id="1488" w:name="_Toc105054048"/>
      <w:bookmarkStart w:id="1489" w:name="bk1055355318Paymentinsteadoflongservice"/>
      <w:bookmarkStart w:id="1490" w:name="bk1055495318Paymentinsteadoflongservice"/>
      <w:bookmarkStart w:id="1491" w:name="bk1547135323Paymentinsteadoflongservice"/>
      <w:bookmarkStart w:id="1492" w:name="bk20142PM5317Paymentinsteadoflongservic"/>
      <w:bookmarkStart w:id="1493" w:name="bk20440PM5317Paymentinsteadoflongservic"/>
      <w:bookmarkStart w:id="1494" w:name="bk11431253187Paymentinsteadoflongservic"/>
      <w:bookmarkStart w:id="1495" w:name="bk1056465324Paymentinsteadoflongservice"/>
      <w:bookmarkStart w:id="1496" w:name="bk934105325Paymentinsteadoflongservicel"/>
      <w:bookmarkStart w:id="1497" w:name="bk1157435325Paymentinsteadoflongservice"/>
      <w:r w:rsidRPr="00C9343F">
        <w:t>5.5.25    Members this Division does not apply to</w:t>
      </w:r>
      <w:bookmarkEnd w:id="1488"/>
    </w:p>
    <w:tbl>
      <w:tblPr>
        <w:tblW w:w="9364" w:type="dxa"/>
        <w:tblInd w:w="108" w:type="dxa"/>
        <w:tblLayout w:type="fixed"/>
        <w:tblLook w:val="0000" w:firstRow="0" w:lastRow="0" w:firstColumn="0" w:lastColumn="0" w:noHBand="0" w:noVBand="0"/>
      </w:tblPr>
      <w:tblGrid>
        <w:gridCol w:w="995"/>
        <w:gridCol w:w="598"/>
        <w:gridCol w:w="7771"/>
      </w:tblGrid>
      <w:tr w:rsidR="000E1BE1" w:rsidRPr="00C9343F" w14:paraId="30459192" w14:textId="77777777" w:rsidTr="000E1BE1">
        <w:tc>
          <w:tcPr>
            <w:tcW w:w="995" w:type="dxa"/>
          </w:tcPr>
          <w:p w14:paraId="5B284119" w14:textId="77777777" w:rsidR="000E1BE1" w:rsidRPr="00C9343F" w:rsidRDefault="000E1BE1" w:rsidP="00F66D98">
            <w:pPr>
              <w:pStyle w:val="Sectiontext0"/>
              <w:jc w:val="center"/>
            </w:pPr>
          </w:p>
        </w:tc>
        <w:tc>
          <w:tcPr>
            <w:tcW w:w="8369" w:type="dxa"/>
            <w:gridSpan w:val="2"/>
          </w:tcPr>
          <w:p w14:paraId="3256353F" w14:textId="77777777" w:rsidR="000E1BE1" w:rsidRPr="00C9343F" w:rsidRDefault="000E1BE1" w:rsidP="00F66D98">
            <w:pPr>
              <w:pStyle w:val="Sectiontext0"/>
              <w:rPr>
                <w:iCs/>
              </w:rPr>
            </w:pPr>
            <w:r w:rsidRPr="00C9343F">
              <w:rPr>
                <w:iCs/>
              </w:rPr>
              <w:t>This Division does not apply to the following members.</w:t>
            </w:r>
          </w:p>
        </w:tc>
      </w:tr>
      <w:tr w:rsidR="000E1BE1" w:rsidRPr="00C9343F" w14:paraId="4D97B634" w14:textId="77777777" w:rsidTr="000E1BE1">
        <w:tc>
          <w:tcPr>
            <w:tcW w:w="995" w:type="dxa"/>
          </w:tcPr>
          <w:p w14:paraId="77EE6627" w14:textId="77777777" w:rsidR="000E1BE1" w:rsidRPr="00C9343F" w:rsidRDefault="000E1BE1" w:rsidP="00F66D98">
            <w:pPr>
              <w:pStyle w:val="Sectiontext0"/>
              <w:jc w:val="center"/>
            </w:pPr>
          </w:p>
        </w:tc>
        <w:tc>
          <w:tcPr>
            <w:tcW w:w="598" w:type="dxa"/>
          </w:tcPr>
          <w:p w14:paraId="0FD1D763" w14:textId="77777777" w:rsidR="000E1BE1" w:rsidRPr="00C9343F" w:rsidRDefault="000E1BE1" w:rsidP="008D1B5D">
            <w:pPr>
              <w:pStyle w:val="Sectiontext0"/>
              <w:jc w:val="center"/>
              <w:rPr>
                <w:iCs/>
              </w:rPr>
            </w:pPr>
            <w:r w:rsidRPr="00C9343F">
              <w:rPr>
                <w:iCs/>
              </w:rPr>
              <w:t>a.</w:t>
            </w:r>
          </w:p>
        </w:tc>
        <w:tc>
          <w:tcPr>
            <w:tcW w:w="7771" w:type="dxa"/>
          </w:tcPr>
          <w:p w14:paraId="0040B621" w14:textId="77777777" w:rsidR="000E1BE1" w:rsidRPr="00C9343F" w:rsidRDefault="000E1BE1" w:rsidP="00F66D98">
            <w:pPr>
              <w:pStyle w:val="Sectiontext0"/>
              <w:rPr>
                <w:iCs/>
              </w:rPr>
            </w:pPr>
            <w:r w:rsidRPr="00C9343F">
              <w:rPr>
                <w:iCs/>
              </w:rPr>
              <w:t>A member who is discharged from on Service to start an appointment in another Service without a break.</w:t>
            </w:r>
          </w:p>
        </w:tc>
      </w:tr>
      <w:tr w:rsidR="000E1BE1" w:rsidRPr="00C9343F" w14:paraId="7ADA468B" w14:textId="77777777" w:rsidTr="000E1BE1">
        <w:tc>
          <w:tcPr>
            <w:tcW w:w="995" w:type="dxa"/>
          </w:tcPr>
          <w:p w14:paraId="5035B4CB" w14:textId="77777777" w:rsidR="000E1BE1" w:rsidRPr="00C9343F" w:rsidRDefault="000E1BE1" w:rsidP="00F66D98">
            <w:pPr>
              <w:pStyle w:val="Sectiontext0"/>
              <w:jc w:val="center"/>
            </w:pPr>
          </w:p>
        </w:tc>
        <w:tc>
          <w:tcPr>
            <w:tcW w:w="598" w:type="dxa"/>
          </w:tcPr>
          <w:p w14:paraId="3765B80C" w14:textId="77777777" w:rsidR="000E1BE1" w:rsidRPr="00C9343F" w:rsidRDefault="000E1BE1" w:rsidP="008D1B5D">
            <w:pPr>
              <w:pStyle w:val="Sectiontext0"/>
              <w:jc w:val="center"/>
              <w:rPr>
                <w:iCs/>
              </w:rPr>
            </w:pPr>
            <w:r w:rsidRPr="00C9343F">
              <w:rPr>
                <w:iCs/>
              </w:rPr>
              <w:t>b.</w:t>
            </w:r>
          </w:p>
        </w:tc>
        <w:tc>
          <w:tcPr>
            <w:tcW w:w="7771" w:type="dxa"/>
          </w:tcPr>
          <w:p w14:paraId="54527834" w14:textId="77777777" w:rsidR="000E1BE1" w:rsidRPr="00C9343F" w:rsidRDefault="000E1BE1" w:rsidP="00F66D98">
            <w:pPr>
              <w:pStyle w:val="Sectiontext0"/>
              <w:rPr>
                <w:iCs/>
              </w:rPr>
            </w:pPr>
            <w:r w:rsidRPr="00C9343F">
              <w:rPr>
                <w:iCs/>
              </w:rPr>
              <w:t>A member who has died.</w:t>
            </w:r>
          </w:p>
        </w:tc>
      </w:tr>
    </w:tbl>
    <w:p w14:paraId="2F5B5BED" w14:textId="5D140ED7" w:rsidR="008B4402" w:rsidRPr="00C9343F" w:rsidRDefault="008B4402" w:rsidP="00F66D98">
      <w:pPr>
        <w:pStyle w:val="Heading5"/>
      </w:pPr>
      <w:bookmarkStart w:id="1498" w:name="_Toc105054049"/>
      <w:r w:rsidRPr="00C9343F">
        <w:t>5.5.26</w:t>
      </w:r>
      <w:r w:rsidR="00D94006" w:rsidRPr="00C9343F">
        <w:t>    </w:t>
      </w:r>
      <w:r w:rsidRPr="00C9343F">
        <w:t>Payment instead of long service leave</w:t>
      </w:r>
      <w:bookmarkEnd w:id="1498"/>
    </w:p>
    <w:tbl>
      <w:tblPr>
        <w:tblW w:w="0" w:type="auto"/>
        <w:tblInd w:w="113" w:type="dxa"/>
        <w:tblLayout w:type="fixed"/>
        <w:tblLook w:val="0000" w:firstRow="0" w:lastRow="0" w:firstColumn="0" w:lastColumn="0" w:noHBand="0" w:noVBand="0"/>
      </w:tblPr>
      <w:tblGrid>
        <w:gridCol w:w="992"/>
        <w:gridCol w:w="8363"/>
      </w:tblGrid>
      <w:tr w:rsidR="008B4402" w:rsidRPr="00C9343F" w14:paraId="4F5AD724" w14:textId="77777777" w:rsidTr="008B4402">
        <w:tc>
          <w:tcPr>
            <w:tcW w:w="992" w:type="dxa"/>
          </w:tcPr>
          <w:bookmarkEnd w:id="1478"/>
          <w:bookmarkEnd w:id="1487"/>
          <w:bookmarkEnd w:id="1489"/>
          <w:bookmarkEnd w:id="1490"/>
          <w:bookmarkEnd w:id="1491"/>
          <w:bookmarkEnd w:id="1492"/>
          <w:bookmarkEnd w:id="1493"/>
          <w:bookmarkEnd w:id="1494"/>
          <w:bookmarkEnd w:id="1495"/>
          <w:bookmarkEnd w:id="1496"/>
          <w:bookmarkEnd w:id="1497"/>
          <w:p w14:paraId="5EE262F8" w14:textId="77777777" w:rsidR="008B4402" w:rsidRPr="00C9343F" w:rsidRDefault="008B4402" w:rsidP="00F66D98">
            <w:pPr>
              <w:pStyle w:val="BlockText-Plain"/>
              <w:keepNext/>
              <w:keepLines/>
              <w:jc w:val="center"/>
            </w:pPr>
            <w:r w:rsidRPr="00C9343F">
              <w:t>1.</w:t>
            </w:r>
          </w:p>
        </w:tc>
        <w:tc>
          <w:tcPr>
            <w:tcW w:w="8363" w:type="dxa"/>
          </w:tcPr>
          <w:p w14:paraId="5AFA4CA2" w14:textId="0B1C3D47" w:rsidR="008B4402" w:rsidRPr="00C9343F" w:rsidRDefault="008B4402" w:rsidP="00F66D98">
            <w:pPr>
              <w:pStyle w:val="BlockText-Plain"/>
              <w:keepNext/>
              <w:keepLines/>
            </w:pPr>
            <w:r w:rsidRPr="00C9343F">
              <w:t xml:space="preserve">The member is entitled to a payment instead of their long service leave credit. </w:t>
            </w:r>
          </w:p>
        </w:tc>
      </w:tr>
      <w:tr w:rsidR="008B4402" w:rsidRPr="00C9343F" w14:paraId="247ACAC9" w14:textId="77777777" w:rsidTr="008B4402">
        <w:tc>
          <w:tcPr>
            <w:tcW w:w="992" w:type="dxa"/>
          </w:tcPr>
          <w:p w14:paraId="6AFC5651" w14:textId="77777777" w:rsidR="008B4402" w:rsidRPr="00C9343F" w:rsidRDefault="008B4402" w:rsidP="00F66D98">
            <w:pPr>
              <w:pStyle w:val="BlockText-Plain"/>
              <w:keepNext/>
              <w:keepLines/>
              <w:jc w:val="center"/>
            </w:pPr>
            <w:r w:rsidRPr="00C9343F">
              <w:t>2.</w:t>
            </w:r>
          </w:p>
        </w:tc>
        <w:tc>
          <w:tcPr>
            <w:tcW w:w="8363" w:type="dxa"/>
          </w:tcPr>
          <w:p w14:paraId="6D886440" w14:textId="77777777" w:rsidR="008B4402" w:rsidRPr="00C9343F" w:rsidRDefault="008B4402" w:rsidP="00F66D98">
            <w:pPr>
              <w:pStyle w:val="BlockText-Plain"/>
              <w:keepNext/>
              <w:keepLines/>
            </w:pPr>
            <w:r w:rsidRPr="00C9343F">
              <w:t>The member's credit is calculated in accordance with this table.</w:t>
            </w:r>
          </w:p>
        </w:tc>
      </w:tr>
    </w:tbl>
    <w:p w14:paraId="15C24B47" w14:textId="77777777" w:rsidR="008B4402" w:rsidRPr="00C9343F" w:rsidRDefault="008B4402" w:rsidP="00F66D98"/>
    <w:tbl>
      <w:tblPr>
        <w:tblW w:w="0" w:type="auto"/>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8"/>
        <w:gridCol w:w="5812"/>
        <w:gridCol w:w="1843"/>
      </w:tblGrid>
      <w:tr w:rsidR="008B4402" w:rsidRPr="00C9343F" w14:paraId="1D60038F" w14:textId="77777777" w:rsidTr="008B4402">
        <w:trPr>
          <w:cantSplit/>
        </w:trPr>
        <w:tc>
          <w:tcPr>
            <w:tcW w:w="708" w:type="dxa"/>
          </w:tcPr>
          <w:p w14:paraId="59CE967E" w14:textId="77777777" w:rsidR="008B4402" w:rsidRPr="00C9343F" w:rsidRDefault="008B4402" w:rsidP="00F66D98">
            <w:pPr>
              <w:pStyle w:val="TableHeaderArial"/>
            </w:pPr>
            <w:r w:rsidRPr="00C9343F">
              <w:t>Step</w:t>
            </w:r>
          </w:p>
        </w:tc>
        <w:tc>
          <w:tcPr>
            <w:tcW w:w="5812" w:type="dxa"/>
          </w:tcPr>
          <w:p w14:paraId="65704659" w14:textId="77777777" w:rsidR="008B4402" w:rsidRPr="00C9343F" w:rsidRDefault="008B4402" w:rsidP="00F66D98">
            <w:pPr>
              <w:pStyle w:val="TableHeaderArial"/>
            </w:pPr>
            <w:r w:rsidRPr="00C9343F">
              <w:t>Action</w:t>
            </w:r>
          </w:p>
        </w:tc>
        <w:tc>
          <w:tcPr>
            <w:tcW w:w="1843" w:type="dxa"/>
          </w:tcPr>
          <w:p w14:paraId="1F47B7B9" w14:textId="77777777" w:rsidR="008B4402" w:rsidRPr="00C9343F" w:rsidRDefault="008B4402" w:rsidP="00F66D98">
            <w:pPr>
              <w:pStyle w:val="TableHeaderArial"/>
            </w:pPr>
            <w:r w:rsidRPr="00C9343F">
              <w:t>See</w:t>
            </w:r>
          </w:p>
        </w:tc>
      </w:tr>
      <w:tr w:rsidR="008B4402" w:rsidRPr="00C9343F" w14:paraId="19D52F37" w14:textId="77777777" w:rsidTr="008B4402">
        <w:trPr>
          <w:cantSplit/>
        </w:trPr>
        <w:tc>
          <w:tcPr>
            <w:tcW w:w="708" w:type="dxa"/>
          </w:tcPr>
          <w:p w14:paraId="07754624" w14:textId="77777777" w:rsidR="008B4402" w:rsidRPr="00C9343F" w:rsidRDefault="008B4402" w:rsidP="00F66D98">
            <w:pPr>
              <w:pStyle w:val="TableTextArial-ctrd"/>
            </w:pPr>
            <w:r w:rsidRPr="00C9343F">
              <w:t>1.</w:t>
            </w:r>
          </w:p>
        </w:tc>
        <w:tc>
          <w:tcPr>
            <w:tcW w:w="5812" w:type="dxa"/>
          </w:tcPr>
          <w:p w14:paraId="3910879B" w14:textId="77777777" w:rsidR="008B4402" w:rsidRPr="00C9343F" w:rsidRDefault="008B4402" w:rsidP="00F66D98">
            <w:pPr>
              <w:pStyle w:val="TableTextArial-left"/>
              <w:spacing w:after="120"/>
            </w:pPr>
            <w:r w:rsidRPr="00C9343F">
              <w:t xml:space="preserve">Work out the member's total period of accrued service, in years and months. </w:t>
            </w:r>
          </w:p>
          <w:p w14:paraId="4A2F0572" w14:textId="77777777" w:rsidR="008B4402" w:rsidRPr="00C9343F" w:rsidRDefault="008B4402" w:rsidP="00F66D98">
            <w:pPr>
              <w:pStyle w:val="TableTextArial-left"/>
            </w:pPr>
            <w:r w:rsidRPr="00C9343F">
              <w:t xml:space="preserve">This includes the member's current service, prior full days of Reserve service and other prior service. </w:t>
            </w:r>
          </w:p>
        </w:tc>
        <w:tc>
          <w:tcPr>
            <w:tcW w:w="1843" w:type="dxa"/>
          </w:tcPr>
          <w:p w14:paraId="08F0D2D7" w14:textId="77777777" w:rsidR="008B4402" w:rsidRPr="00C9343F" w:rsidRDefault="008B4402" w:rsidP="00F66D98">
            <w:pPr>
              <w:pStyle w:val="TableTextArial-left"/>
            </w:pPr>
            <w:r w:rsidRPr="00C9343F">
              <w:t>Division 3 sections 5.5.13 to 5.5.17</w:t>
            </w:r>
          </w:p>
        </w:tc>
      </w:tr>
      <w:tr w:rsidR="008B4402" w:rsidRPr="00C9343F" w14:paraId="41AC7DFA" w14:textId="77777777" w:rsidTr="008B4402">
        <w:trPr>
          <w:cantSplit/>
        </w:trPr>
        <w:tc>
          <w:tcPr>
            <w:tcW w:w="708" w:type="dxa"/>
          </w:tcPr>
          <w:p w14:paraId="228111CC" w14:textId="77777777" w:rsidR="008B4402" w:rsidRPr="00C9343F" w:rsidRDefault="008B4402" w:rsidP="00F66D98">
            <w:pPr>
              <w:pStyle w:val="TableTextArial-ctrd"/>
            </w:pPr>
            <w:r w:rsidRPr="00C9343F">
              <w:t>2.</w:t>
            </w:r>
          </w:p>
        </w:tc>
        <w:tc>
          <w:tcPr>
            <w:tcW w:w="5812" w:type="dxa"/>
          </w:tcPr>
          <w:p w14:paraId="4C947728" w14:textId="77777777" w:rsidR="008B4402" w:rsidRPr="00C9343F" w:rsidRDefault="008B4402" w:rsidP="00F66D98">
            <w:pPr>
              <w:pStyle w:val="TableTextArial-left"/>
            </w:pPr>
            <w:r w:rsidRPr="00C9343F">
              <w:t>Work out their total long service leave credit for the years of service. The credit should be expr</w:t>
            </w:r>
            <w:r w:rsidR="001450D7" w:rsidRPr="00C9343F">
              <w:t>essed in months and part months.</w:t>
            </w:r>
          </w:p>
        </w:tc>
        <w:tc>
          <w:tcPr>
            <w:tcW w:w="1843" w:type="dxa"/>
          </w:tcPr>
          <w:p w14:paraId="76AC0E46" w14:textId="77777777" w:rsidR="008B4402" w:rsidRPr="00C9343F" w:rsidRDefault="008B4402" w:rsidP="00F66D98">
            <w:pPr>
              <w:pStyle w:val="TableTextArial-left"/>
            </w:pPr>
            <w:r w:rsidRPr="00C9343F">
              <w:t>Division 2 section 5.5.8</w:t>
            </w:r>
          </w:p>
        </w:tc>
      </w:tr>
      <w:tr w:rsidR="008B4402" w:rsidRPr="00C9343F" w14:paraId="2DE482B9" w14:textId="77777777" w:rsidTr="008B4402">
        <w:trPr>
          <w:cantSplit/>
        </w:trPr>
        <w:tc>
          <w:tcPr>
            <w:tcW w:w="708" w:type="dxa"/>
          </w:tcPr>
          <w:p w14:paraId="1169C50D" w14:textId="77777777" w:rsidR="008B4402" w:rsidRPr="00C9343F" w:rsidRDefault="008B4402" w:rsidP="00F66D98">
            <w:pPr>
              <w:pStyle w:val="TableTextArial-ctrd"/>
            </w:pPr>
            <w:r w:rsidRPr="00C9343F">
              <w:t>3.</w:t>
            </w:r>
          </w:p>
        </w:tc>
        <w:tc>
          <w:tcPr>
            <w:tcW w:w="5812" w:type="dxa"/>
          </w:tcPr>
          <w:p w14:paraId="21B94669" w14:textId="77777777" w:rsidR="008B4402" w:rsidRPr="00C9343F" w:rsidRDefault="008B4402" w:rsidP="00F66D98">
            <w:pPr>
              <w:pStyle w:val="TableTextArial-left"/>
            </w:pPr>
            <w:r w:rsidRPr="00C9343F">
              <w:t>Work out their total long service leave credit for the remaining months of service.</w:t>
            </w:r>
          </w:p>
        </w:tc>
        <w:tc>
          <w:tcPr>
            <w:tcW w:w="1843" w:type="dxa"/>
          </w:tcPr>
          <w:p w14:paraId="5BCEF6F2" w14:textId="77777777" w:rsidR="008B4402" w:rsidRPr="00C9343F" w:rsidRDefault="008B4402" w:rsidP="00F66D98">
            <w:pPr>
              <w:pStyle w:val="TableTextArial-left"/>
            </w:pPr>
            <w:r w:rsidRPr="00C9343F">
              <w:t>Subsection 5.5.26.3</w:t>
            </w:r>
          </w:p>
        </w:tc>
      </w:tr>
      <w:tr w:rsidR="008B4402" w:rsidRPr="00C9343F" w14:paraId="5EB63B94" w14:textId="77777777" w:rsidTr="008B4402">
        <w:trPr>
          <w:cantSplit/>
        </w:trPr>
        <w:tc>
          <w:tcPr>
            <w:tcW w:w="708" w:type="dxa"/>
          </w:tcPr>
          <w:p w14:paraId="3277C0C2" w14:textId="77777777" w:rsidR="008B4402" w:rsidRPr="00C9343F" w:rsidRDefault="008B4402" w:rsidP="00F66D98">
            <w:pPr>
              <w:pStyle w:val="TableTextArial-ctrd"/>
            </w:pPr>
            <w:r w:rsidRPr="00C9343F">
              <w:t>4.</w:t>
            </w:r>
          </w:p>
        </w:tc>
        <w:tc>
          <w:tcPr>
            <w:tcW w:w="5812" w:type="dxa"/>
          </w:tcPr>
          <w:p w14:paraId="372AAC3E" w14:textId="77777777" w:rsidR="008B4402" w:rsidRPr="00C9343F" w:rsidRDefault="008B4402" w:rsidP="00F66D98">
            <w:pPr>
              <w:pStyle w:val="TableTextArial-left"/>
            </w:pPr>
            <w:r w:rsidRPr="00C9343F">
              <w:t>Add the credits from Steps 2 and 3 together.</w:t>
            </w:r>
          </w:p>
        </w:tc>
        <w:tc>
          <w:tcPr>
            <w:tcW w:w="1843" w:type="dxa"/>
          </w:tcPr>
          <w:p w14:paraId="7B1E9139" w14:textId="77777777" w:rsidR="008B4402" w:rsidRPr="00C9343F" w:rsidRDefault="008B4402" w:rsidP="00F66D98">
            <w:pPr>
              <w:pStyle w:val="TableTextArial-left"/>
            </w:pPr>
          </w:p>
        </w:tc>
      </w:tr>
      <w:tr w:rsidR="008B4402" w:rsidRPr="00C9343F" w14:paraId="51FFEC00" w14:textId="77777777" w:rsidTr="008B4402">
        <w:trPr>
          <w:cantSplit/>
        </w:trPr>
        <w:tc>
          <w:tcPr>
            <w:tcW w:w="708" w:type="dxa"/>
          </w:tcPr>
          <w:p w14:paraId="101890FC" w14:textId="77777777" w:rsidR="008B4402" w:rsidRPr="00C9343F" w:rsidRDefault="008B4402" w:rsidP="00F66D98">
            <w:pPr>
              <w:pStyle w:val="TableTextArial-ctrd"/>
            </w:pPr>
            <w:r w:rsidRPr="00C9343F">
              <w:t>5.</w:t>
            </w:r>
          </w:p>
        </w:tc>
        <w:tc>
          <w:tcPr>
            <w:tcW w:w="5812" w:type="dxa"/>
          </w:tcPr>
          <w:p w14:paraId="197EBC76" w14:textId="77777777" w:rsidR="008B4402" w:rsidRPr="00C9343F" w:rsidRDefault="008B4402" w:rsidP="00F66D98">
            <w:pPr>
              <w:pStyle w:val="TableTextArial-left"/>
            </w:pPr>
            <w:r w:rsidRPr="00C9343F">
              <w:t>Subtract any leave that they have already taken as leave or been paid for instead of leave.</w:t>
            </w:r>
          </w:p>
        </w:tc>
        <w:tc>
          <w:tcPr>
            <w:tcW w:w="1843" w:type="dxa"/>
          </w:tcPr>
          <w:p w14:paraId="2E10B517" w14:textId="77777777" w:rsidR="008B4402" w:rsidRPr="00C9343F" w:rsidRDefault="008B4402" w:rsidP="00F66D98">
            <w:pPr>
              <w:pStyle w:val="TableTextArial-left"/>
            </w:pPr>
          </w:p>
        </w:tc>
      </w:tr>
    </w:tbl>
    <w:p w14:paraId="620DA220" w14:textId="77777777" w:rsidR="008B4402" w:rsidRPr="00C9343F" w:rsidRDefault="008B4402" w:rsidP="00F66D98"/>
    <w:tbl>
      <w:tblPr>
        <w:tblW w:w="9359" w:type="dxa"/>
        <w:tblInd w:w="113" w:type="dxa"/>
        <w:tblLayout w:type="fixed"/>
        <w:tblLook w:val="0000" w:firstRow="0" w:lastRow="0" w:firstColumn="0" w:lastColumn="0" w:noHBand="0" w:noVBand="0"/>
      </w:tblPr>
      <w:tblGrid>
        <w:gridCol w:w="992"/>
        <w:gridCol w:w="567"/>
        <w:gridCol w:w="7800"/>
      </w:tblGrid>
      <w:tr w:rsidR="008B4402" w:rsidRPr="00C9343F" w14:paraId="4CF75C0D" w14:textId="77777777" w:rsidTr="00246373">
        <w:tc>
          <w:tcPr>
            <w:tcW w:w="992" w:type="dxa"/>
          </w:tcPr>
          <w:p w14:paraId="424A2A3B" w14:textId="77777777" w:rsidR="008B4402" w:rsidRPr="00C9343F" w:rsidRDefault="008B4402" w:rsidP="00F66D98">
            <w:pPr>
              <w:pStyle w:val="BlockText-Plain"/>
              <w:jc w:val="center"/>
            </w:pPr>
            <w:r w:rsidRPr="00C9343F">
              <w:t>3.</w:t>
            </w:r>
          </w:p>
        </w:tc>
        <w:tc>
          <w:tcPr>
            <w:tcW w:w="8367" w:type="dxa"/>
            <w:gridSpan w:val="2"/>
          </w:tcPr>
          <w:p w14:paraId="3242EFD4" w14:textId="77777777" w:rsidR="008B4402" w:rsidRPr="00C9343F" w:rsidRDefault="001450D7" w:rsidP="00F66D98">
            <w:pPr>
              <w:pStyle w:val="BlockText-Plain"/>
            </w:pPr>
            <w:r w:rsidRPr="00C9343F">
              <w:rPr>
                <w:iCs/>
              </w:rPr>
              <w:t>Long service leave credits for completed months of accrued service are calculated in accordance with the following.</w:t>
            </w:r>
          </w:p>
        </w:tc>
      </w:tr>
      <w:tr w:rsidR="001450D7" w:rsidRPr="00C9343F" w14:paraId="2D328F1D" w14:textId="77777777" w:rsidTr="00246373">
        <w:tc>
          <w:tcPr>
            <w:tcW w:w="992" w:type="dxa"/>
          </w:tcPr>
          <w:p w14:paraId="489335DD" w14:textId="77777777" w:rsidR="001450D7" w:rsidRPr="00C9343F" w:rsidRDefault="001450D7" w:rsidP="00F66D98">
            <w:pPr>
              <w:pStyle w:val="BlockText-Plain"/>
              <w:jc w:val="center"/>
            </w:pPr>
          </w:p>
        </w:tc>
        <w:tc>
          <w:tcPr>
            <w:tcW w:w="567" w:type="dxa"/>
          </w:tcPr>
          <w:p w14:paraId="528642A4" w14:textId="77777777" w:rsidR="001450D7" w:rsidRPr="00C9343F" w:rsidRDefault="001450D7" w:rsidP="00F66D98">
            <w:pPr>
              <w:pStyle w:val="BlockText-Plain"/>
              <w:jc w:val="center"/>
              <w:rPr>
                <w:iCs/>
              </w:rPr>
            </w:pPr>
            <w:r w:rsidRPr="00C9343F">
              <w:rPr>
                <w:iCs/>
              </w:rPr>
              <w:t>a.</w:t>
            </w:r>
          </w:p>
        </w:tc>
        <w:tc>
          <w:tcPr>
            <w:tcW w:w="7800" w:type="dxa"/>
          </w:tcPr>
          <w:p w14:paraId="03B761E0" w14:textId="77777777" w:rsidR="001450D7" w:rsidRPr="00C9343F" w:rsidRDefault="001450D7" w:rsidP="00F66D98">
            <w:pPr>
              <w:pStyle w:val="BlockText-Plain"/>
              <w:rPr>
                <w:iCs/>
              </w:rPr>
            </w:pPr>
            <w:r w:rsidRPr="00C9343F">
              <w:rPr>
                <w:iCs/>
              </w:rPr>
              <w:t>For a member who has not been on a flexible service determination</w:t>
            </w:r>
            <w:r w:rsidRPr="00C9343F">
              <w:rPr>
                <w:b/>
                <w:i/>
                <w:iCs/>
              </w:rPr>
              <w:t xml:space="preserve"> </w:t>
            </w:r>
            <w:r w:rsidRPr="00C9343F">
              <w:rPr>
                <w:iCs/>
              </w:rPr>
              <w:t xml:space="preserve">since their last long service leave credit anniversary </w:t>
            </w:r>
            <w:r w:rsidRPr="00C9343F">
              <w:rPr>
                <w:rFonts w:cs="Arial"/>
                <w:iCs/>
              </w:rPr>
              <w:t xml:space="preserve">— </w:t>
            </w:r>
            <w:r w:rsidRPr="00C9343F">
              <w:rPr>
                <w:iCs/>
              </w:rPr>
              <w:t>the following table shows how to work out the credit for completed months of accrued service.</w:t>
            </w:r>
          </w:p>
        </w:tc>
      </w:tr>
    </w:tbl>
    <w:p w14:paraId="07A922FB" w14:textId="77777777" w:rsidR="001450D7" w:rsidRPr="00C9343F" w:rsidRDefault="001450D7" w:rsidP="00F66D98"/>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000"/>
      </w:tblGrid>
      <w:tr w:rsidR="00374373" w:rsidRPr="00C9343F" w14:paraId="0643F011" w14:textId="77777777" w:rsidTr="00374373">
        <w:tc>
          <w:tcPr>
            <w:tcW w:w="2953" w:type="dxa"/>
            <w:shd w:val="clear" w:color="auto" w:fill="auto"/>
          </w:tcPr>
          <w:p w14:paraId="7EAFA9AF" w14:textId="77777777" w:rsidR="001450D7" w:rsidRPr="00C9343F" w:rsidRDefault="001450D7" w:rsidP="00F66D98">
            <w:pPr>
              <w:jc w:val="center"/>
              <w:rPr>
                <w:b/>
                <w:sz w:val="20"/>
              </w:rPr>
            </w:pPr>
            <w:r w:rsidRPr="00C9343F">
              <w:rPr>
                <w:b/>
                <w:sz w:val="20"/>
              </w:rPr>
              <w:t>Months of Service</w:t>
            </w:r>
          </w:p>
        </w:tc>
        <w:tc>
          <w:tcPr>
            <w:tcW w:w="3000" w:type="dxa"/>
            <w:shd w:val="clear" w:color="auto" w:fill="auto"/>
          </w:tcPr>
          <w:p w14:paraId="340D88C0" w14:textId="77777777" w:rsidR="001450D7" w:rsidRPr="00C9343F" w:rsidRDefault="001450D7" w:rsidP="00F66D98">
            <w:pPr>
              <w:jc w:val="center"/>
              <w:rPr>
                <w:b/>
                <w:sz w:val="20"/>
              </w:rPr>
            </w:pPr>
            <w:r w:rsidRPr="00C9343F">
              <w:rPr>
                <w:b/>
                <w:sz w:val="20"/>
              </w:rPr>
              <w:t>Long service leave as part of a month</w:t>
            </w:r>
          </w:p>
        </w:tc>
      </w:tr>
      <w:tr w:rsidR="00374373" w:rsidRPr="00C9343F" w14:paraId="6549F9F4" w14:textId="77777777" w:rsidTr="00374373">
        <w:tc>
          <w:tcPr>
            <w:tcW w:w="2953" w:type="dxa"/>
            <w:shd w:val="clear" w:color="auto" w:fill="auto"/>
          </w:tcPr>
          <w:p w14:paraId="775D6622" w14:textId="77777777" w:rsidR="001450D7" w:rsidRPr="00C9343F" w:rsidRDefault="001450D7" w:rsidP="00F66D98">
            <w:pPr>
              <w:jc w:val="center"/>
              <w:rPr>
                <w:sz w:val="20"/>
              </w:rPr>
            </w:pPr>
            <w:r w:rsidRPr="00C9343F">
              <w:rPr>
                <w:sz w:val="20"/>
              </w:rPr>
              <w:t>1</w:t>
            </w:r>
          </w:p>
        </w:tc>
        <w:tc>
          <w:tcPr>
            <w:tcW w:w="3000" w:type="dxa"/>
            <w:shd w:val="clear" w:color="auto" w:fill="auto"/>
          </w:tcPr>
          <w:p w14:paraId="55241BC3" w14:textId="77777777" w:rsidR="001450D7" w:rsidRPr="00C9343F" w:rsidRDefault="001450D7" w:rsidP="00F66D98">
            <w:pPr>
              <w:jc w:val="center"/>
              <w:rPr>
                <w:sz w:val="20"/>
              </w:rPr>
            </w:pPr>
            <w:r w:rsidRPr="00C9343F">
              <w:rPr>
                <w:sz w:val="20"/>
              </w:rPr>
              <w:t>0.025</w:t>
            </w:r>
          </w:p>
        </w:tc>
      </w:tr>
      <w:tr w:rsidR="00374373" w:rsidRPr="00C9343F" w14:paraId="5FEE15B1" w14:textId="77777777" w:rsidTr="00374373">
        <w:tc>
          <w:tcPr>
            <w:tcW w:w="2953" w:type="dxa"/>
            <w:shd w:val="clear" w:color="auto" w:fill="auto"/>
          </w:tcPr>
          <w:p w14:paraId="6206F7FB" w14:textId="77777777" w:rsidR="001450D7" w:rsidRPr="00C9343F" w:rsidRDefault="001450D7" w:rsidP="00F66D98">
            <w:pPr>
              <w:jc w:val="center"/>
              <w:rPr>
                <w:sz w:val="20"/>
              </w:rPr>
            </w:pPr>
            <w:r w:rsidRPr="00C9343F">
              <w:rPr>
                <w:sz w:val="20"/>
              </w:rPr>
              <w:t>2</w:t>
            </w:r>
          </w:p>
        </w:tc>
        <w:tc>
          <w:tcPr>
            <w:tcW w:w="3000" w:type="dxa"/>
            <w:shd w:val="clear" w:color="auto" w:fill="auto"/>
          </w:tcPr>
          <w:p w14:paraId="40643911" w14:textId="77777777" w:rsidR="001450D7" w:rsidRPr="00C9343F" w:rsidRDefault="001450D7" w:rsidP="00F66D98">
            <w:pPr>
              <w:jc w:val="center"/>
              <w:rPr>
                <w:sz w:val="20"/>
              </w:rPr>
            </w:pPr>
            <w:r w:rsidRPr="00C9343F">
              <w:rPr>
                <w:sz w:val="20"/>
              </w:rPr>
              <w:t>0.050</w:t>
            </w:r>
          </w:p>
        </w:tc>
      </w:tr>
      <w:tr w:rsidR="00374373" w:rsidRPr="00C9343F" w14:paraId="4510A448" w14:textId="77777777" w:rsidTr="00374373">
        <w:tc>
          <w:tcPr>
            <w:tcW w:w="2953" w:type="dxa"/>
            <w:shd w:val="clear" w:color="auto" w:fill="auto"/>
          </w:tcPr>
          <w:p w14:paraId="4BC3234F" w14:textId="77777777" w:rsidR="001450D7" w:rsidRPr="00C9343F" w:rsidRDefault="001450D7" w:rsidP="00F66D98">
            <w:pPr>
              <w:jc w:val="center"/>
              <w:rPr>
                <w:sz w:val="20"/>
              </w:rPr>
            </w:pPr>
            <w:r w:rsidRPr="00C9343F">
              <w:rPr>
                <w:sz w:val="20"/>
              </w:rPr>
              <w:t>3</w:t>
            </w:r>
          </w:p>
        </w:tc>
        <w:tc>
          <w:tcPr>
            <w:tcW w:w="3000" w:type="dxa"/>
            <w:shd w:val="clear" w:color="auto" w:fill="auto"/>
          </w:tcPr>
          <w:p w14:paraId="182E58C8" w14:textId="77777777" w:rsidR="001450D7" w:rsidRPr="00C9343F" w:rsidRDefault="001450D7" w:rsidP="00F66D98">
            <w:pPr>
              <w:jc w:val="center"/>
              <w:rPr>
                <w:sz w:val="20"/>
              </w:rPr>
            </w:pPr>
            <w:r w:rsidRPr="00C9343F">
              <w:rPr>
                <w:sz w:val="20"/>
              </w:rPr>
              <w:t>0.075</w:t>
            </w:r>
          </w:p>
        </w:tc>
      </w:tr>
      <w:tr w:rsidR="00374373" w:rsidRPr="00C9343F" w14:paraId="1659A0AC" w14:textId="77777777" w:rsidTr="00374373">
        <w:tc>
          <w:tcPr>
            <w:tcW w:w="2953" w:type="dxa"/>
            <w:shd w:val="clear" w:color="auto" w:fill="auto"/>
          </w:tcPr>
          <w:p w14:paraId="2A7B3DC4" w14:textId="77777777" w:rsidR="001450D7" w:rsidRPr="00C9343F" w:rsidRDefault="001450D7" w:rsidP="00F66D98">
            <w:pPr>
              <w:jc w:val="center"/>
              <w:rPr>
                <w:sz w:val="20"/>
              </w:rPr>
            </w:pPr>
            <w:r w:rsidRPr="00C9343F">
              <w:rPr>
                <w:sz w:val="20"/>
              </w:rPr>
              <w:t>4</w:t>
            </w:r>
          </w:p>
        </w:tc>
        <w:tc>
          <w:tcPr>
            <w:tcW w:w="3000" w:type="dxa"/>
            <w:shd w:val="clear" w:color="auto" w:fill="auto"/>
          </w:tcPr>
          <w:p w14:paraId="54FD5959" w14:textId="77777777" w:rsidR="001450D7" w:rsidRPr="00C9343F" w:rsidRDefault="001450D7" w:rsidP="00F66D98">
            <w:pPr>
              <w:jc w:val="center"/>
              <w:rPr>
                <w:sz w:val="20"/>
              </w:rPr>
            </w:pPr>
            <w:r w:rsidRPr="00C9343F">
              <w:rPr>
                <w:sz w:val="20"/>
              </w:rPr>
              <w:t>0.100</w:t>
            </w:r>
          </w:p>
        </w:tc>
      </w:tr>
      <w:tr w:rsidR="00374373" w:rsidRPr="00C9343F" w14:paraId="43A22FE0" w14:textId="77777777" w:rsidTr="00374373">
        <w:tc>
          <w:tcPr>
            <w:tcW w:w="2953" w:type="dxa"/>
            <w:shd w:val="clear" w:color="auto" w:fill="auto"/>
          </w:tcPr>
          <w:p w14:paraId="0775AB33" w14:textId="77777777" w:rsidR="001450D7" w:rsidRPr="00C9343F" w:rsidRDefault="001450D7" w:rsidP="00F66D98">
            <w:pPr>
              <w:jc w:val="center"/>
              <w:rPr>
                <w:sz w:val="20"/>
              </w:rPr>
            </w:pPr>
            <w:r w:rsidRPr="00C9343F">
              <w:rPr>
                <w:sz w:val="20"/>
              </w:rPr>
              <w:t>5</w:t>
            </w:r>
          </w:p>
        </w:tc>
        <w:tc>
          <w:tcPr>
            <w:tcW w:w="3000" w:type="dxa"/>
            <w:shd w:val="clear" w:color="auto" w:fill="auto"/>
          </w:tcPr>
          <w:p w14:paraId="4835664B" w14:textId="77777777" w:rsidR="001450D7" w:rsidRPr="00C9343F" w:rsidRDefault="001450D7" w:rsidP="00F66D98">
            <w:pPr>
              <w:jc w:val="center"/>
              <w:rPr>
                <w:sz w:val="20"/>
              </w:rPr>
            </w:pPr>
            <w:r w:rsidRPr="00C9343F">
              <w:rPr>
                <w:sz w:val="20"/>
              </w:rPr>
              <w:t>0.125</w:t>
            </w:r>
          </w:p>
        </w:tc>
      </w:tr>
      <w:tr w:rsidR="00374373" w:rsidRPr="00C9343F" w14:paraId="4960423A" w14:textId="77777777" w:rsidTr="00374373">
        <w:tc>
          <w:tcPr>
            <w:tcW w:w="2953" w:type="dxa"/>
            <w:shd w:val="clear" w:color="auto" w:fill="auto"/>
          </w:tcPr>
          <w:p w14:paraId="40137C0B" w14:textId="77777777" w:rsidR="001450D7" w:rsidRPr="00C9343F" w:rsidRDefault="001450D7" w:rsidP="00F66D98">
            <w:pPr>
              <w:jc w:val="center"/>
              <w:rPr>
                <w:sz w:val="20"/>
              </w:rPr>
            </w:pPr>
            <w:r w:rsidRPr="00C9343F">
              <w:rPr>
                <w:sz w:val="20"/>
              </w:rPr>
              <w:t>6</w:t>
            </w:r>
          </w:p>
        </w:tc>
        <w:tc>
          <w:tcPr>
            <w:tcW w:w="3000" w:type="dxa"/>
            <w:shd w:val="clear" w:color="auto" w:fill="auto"/>
          </w:tcPr>
          <w:p w14:paraId="468A7967" w14:textId="77777777" w:rsidR="001450D7" w:rsidRPr="00C9343F" w:rsidRDefault="001450D7" w:rsidP="00F66D98">
            <w:pPr>
              <w:jc w:val="center"/>
              <w:rPr>
                <w:sz w:val="20"/>
              </w:rPr>
            </w:pPr>
            <w:r w:rsidRPr="00C9343F">
              <w:rPr>
                <w:sz w:val="20"/>
              </w:rPr>
              <w:t>0.150</w:t>
            </w:r>
          </w:p>
        </w:tc>
      </w:tr>
      <w:tr w:rsidR="00374373" w:rsidRPr="00C9343F" w14:paraId="0CE49DA4" w14:textId="77777777" w:rsidTr="00374373">
        <w:tc>
          <w:tcPr>
            <w:tcW w:w="2953" w:type="dxa"/>
            <w:shd w:val="clear" w:color="auto" w:fill="auto"/>
          </w:tcPr>
          <w:p w14:paraId="0CD994CC" w14:textId="77777777" w:rsidR="001450D7" w:rsidRPr="00C9343F" w:rsidRDefault="001450D7" w:rsidP="00F66D98">
            <w:pPr>
              <w:jc w:val="center"/>
              <w:rPr>
                <w:sz w:val="20"/>
              </w:rPr>
            </w:pPr>
            <w:r w:rsidRPr="00C9343F">
              <w:rPr>
                <w:sz w:val="20"/>
              </w:rPr>
              <w:t>7</w:t>
            </w:r>
          </w:p>
        </w:tc>
        <w:tc>
          <w:tcPr>
            <w:tcW w:w="3000" w:type="dxa"/>
            <w:shd w:val="clear" w:color="auto" w:fill="auto"/>
          </w:tcPr>
          <w:p w14:paraId="122E14E7" w14:textId="77777777" w:rsidR="001450D7" w:rsidRPr="00C9343F" w:rsidRDefault="001450D7" w:rsidP="00F66D98">
            <w:pPr>
              <w:jc w:val="center"/>
              <w:rPr>
                <w:sz w:val="20"/>
              </w:rPr>
            </w:pPr>
            <w:r w:rsidRPr="00C9343F">
              <w:rPr>
                <w:sz w:val="20"/>
              </w:rPr>
              <w:t>0.175</w:t>
            </w:r>
          </w:p>
        </w:tc>
      </w:tr>
      <w:tr w:rsidR="00374373" w:rsidRPr="00C9343F" w14:paraId="746484E0" w14:textId="77777777" w:rsidTr="00374373">
        <w:tc>
          <w:tcPr>
            <w:tcW w:w="2953" w:type="dxa"/>
            <w:shd w:val="clear" w:color="auto" w:fill="auto"/>
          </w:tcPr>
          <w:p w14:paraId="39804723" w14:textId="77777777" w:rsidR="001450D7" w:rsidRPr="00C9343F" w:rsidRDefault="001450D7" w:rsidP="00F66D98">
            <w:pPr>
              <w:jc w:val="center"/>
              <w:rPr>
                <w:sz w:val="20"/>
              </w:rPr>
            </w:pPr>
            <w:r w:rsidRPr="00C9343F">
              <w:rPr>
                <w:sz w:val="20"/>
              </w:rPr>
              <w:t>8</w:t>
            </w:r>
          </w:p>
        </w:tc>
        <w:tc>
          <w:tcPr>
            <w:tcW w:w="3000" w:type="dxa"/>
            <w:shd w:val="clear" w:color="auto" w:fill="auto"/>
          </w:tcPr>
          <w:p w14:paraId="0935EA27" w14:textId="77777777" w:rsidR="001450D7" w:rsidRPr="00C9343F" w:rsidRDefault="001450D7" w:rsidP="00F66D98">
            <w:pPr>
              <w:jc w:val="center"/>
              <w:rPr>
                <w:sz w:val="20"/>
              </w:rPr>
            </w:pPr>
            <w:r w:rsidRPr="00C9343F">
              <w:rPr>
                <w:sz w:val="20"/>
              </w:rPr>
              <w:t>0.200</w:t>
            </w:r>
          </w:p>
        </w:tc>
      </w:tr>
      <w:tr w:rsidR="00374373" w:rsidRPr="00C9343F" w14:paraId="23EE1FF9" w14:textId="77777777" w:rsidTr="00374373">
        <w:tc>
          <w:tcPr>
            <w:tcW w:w="2953" w:type="dxa"/>
            <w:shd w:val="clear" w:color="auto" w:fill="auto"/>
          </w:tcPr>
          <w:p w14:paraId="4F4A73BE" w14:textId="77777777" w:rsidR="001450D7" w:rsidRPr="00C9343F" w:rsidRDefault="001450D7" w:rsidP="00F66D98">
            <w:pPr>
              <w:jc w:val="center"/>
              <w:rPr>
                <w:sz w:val="20"/>
              </w:rPr>
            </w:pPr>
            <w:r w:rsidRPr="00C9343F">
              <w:rPr>
                <w:sz w:val="20"/>
              </w:rPr>
              <w:t>9</w:t>
            </w:r>
          </w:p>
        </w:tc>
        <w:tc>
          <w:tcPr>
            <w:tcW w:w="3000" w:type="dxa"/>
            <w:shd w:val="clear" w:color="auto" w:fill="auto"/>
          </w:tcPr>
          <w:p w14:paraId="76472F4A" w14:textId="77777777" w:rsidR="001450D7" w:rsidRPr="00C9343F" w:rsidRDefault="001450D7" w:rsidP="00F66D98">
            <w:pPr>
              <w:jc w:val="center"/>
              <w:rPr>
                <w:sz w:val="20"/>
              </w:rPr>
            </w:pPr>
            <w:r w:rsidRPr="00C9343F">
              <w:rPr>
                <w:sz w:val="20"/>
              </w:rPr>
              <w:t>0.225</w:t>
            </w:r>
          </w:p>
        </w:tc>
      </w:tr>
      <w:tr w:rsidR="00374373" w:rsidRPr="00C9343F" w14:paraId="1598F2A9" w14:textId="77777777" w:rsidTr="00374373">
        <w:tc>
          <w:tcPr>
            <w:tcW w:w="2953" w:type="dxa"/>
            <w:shd w:val="clear" w:color="auto" w:fill="auto"/>
          </w:tcPr>
          <w:p w14:paraId="014D5121" w14:textId="77777777" w:rsidR="001450D7" w:rsidRPr="00C9343F" w:rsidRDefault="001450D7" w:rsidP="00F66D98">
            <w:pPr>
              <w:jc w:val="center"/>
              <w:rPr>
                <w:sz w:val="20"/>
              </w:rPr>
            </w:pPr>
            <w:r w:rsidRPr="00C9343F">
              <w:rPr>
                <w:sz w:val="20"/>
              </w:rPr>
              <w:t>10</w:t>
            </w:r>
          </w:p>
        </w:tc>
        <w:tc>
          <w:tcPr>
            <w:tcW w:w="3000" w:type="dxa"/>
            <w:shd w:val="clear" w:color="auto" w:fill="auto"/>
          </w:tcPr>
          <w:p w14:paraId="0E2DFEE9" w14:textId="77777777" w:rsidR="001450D7" w:rsidRPr="00C9343F" w:rsidRDefault="001450D7" w:rsidP="00F66D98">
            <w:pPr>
              <w:jc w:val="center"/>
              <w:rPr>
                <w:sz w:val="20"/>
              </w:rPr>
            </w:pPr>
            <w:r w:rsidRPr="00C9343F">
              <w:rPr>
                <w:sz w:val="20"/>
              </w:rPr>
              <w:t>0.250</w:t>
            </w:r>
          </w:p>
        </w:tc>
      </w:tr>
      <w:tr w:rsidR="00374373" w:rsidRPr="00C9343F" w14:paraId="4CFC2DC2" w14:textId="77777777" w:rsidTr="00374373">
        <w:tc>
          <w:tcPr>
            <w:tcW w:w="2953" w:type="dxa"/>
            <w:shd w:val="clear" w:color="auto" w:fill="auto"/>
          </w:tcPr>
          <w:p w14:paraId="27A1FD59" w14:textId="77777777" w:rsidR="001450D7" w:rsidRPr="00C9343F" w:rsidRDefault="001450D7" w:rsidP="00F66D98">
            <w:pPr>
              <w:jc w:val="center"/>
              <w:rPr>
                <w:sz w:val="20"/>
              </w:rPr>
            </w:pPr>
            <w:r w:rsidRPr="00C9343F">
              <w:rPr>
                <w:sz w:val="20"/>
              </w:rPr>
              <w:t>11</w:t>
            </w:r>
          </w:p>
        </w:tc>
        <w:tc>
          <w:tcPr>
            <w:tcW w:w="3000" w:type="dxa"/>
            <w:shd w:val="clear" w:color="auto" w:fill="auto"/>
          </w:tcPr>
          <w:p w14:paraId="0C810727" w14:textId="77777777" w:rsidR="001450D7" w:rsidRPr="00C9343F" w:rsidRDefault="001450D7" w:rsidP="00F66D98">
            <w:pPr>
              <w:jc w:val="center"/>
              <w:rPr>
                <w:sz w:val="20"/>
              </w:rPr>
            </w:pPr>
            <w:r w:rsidRPr="00C9343F">
              <w:rPr>
                <w:sz w:val="20"/>
              </w:rPr>
              <w:t>0.275</w:t>
            </w:r>
          </w:p>
        </w:tc>
      </w:tr>
    </w:tbl>
    <w:p w14:paraId="017451B8" w14:textId="77777777" w:rsidR="001450D7" w:rsidRPr="00C9343F" w:rsidRDefault="001450D7" w:rsidP="00F66D98"/>
    <w:tbl>
      <w:tblPr>
        <w:tblW w:w="9367" w:type="dxa"/>
        <w:tblInd w:w="113" w:type="dxa"/>
        <w:tblLayout w:type="fixed"/>
        <w:tblLook w:val="0000" w:firstRow="0" w:lastRow="0" w:firstColumn="0" w:lastColumn="0" w:noHBand="0" w:noVBand="0"/>
      </w:tblPr>
      <w:tblGrid>
        <w:gridCol w:w="992"/>
        <w:gridCol w:w="567"/>
        <w:gridCol w:w="707"/>
        <w:gridCol w:w="7086"/>
        <w:gridCol w:w="15"/>
      </w:tblGrid>
      <w:tr w:rsidR="001450D7" w:rsidRPr="00C9343F" w14:paraId="0F1DACB7" w14:textId="77777777" w:rsidTr="00246373">
        <w:tc>
          <w:tcPr>
            <w:tcW w:w="992" w:type="dxa"/>
          </w:tcPr>
          <w:p w14:paraId="666FC0BB" w14:textId="77777777" w:rsidR="001450D7" w:rsidRPr="00C9343F" w:rsidRDefault="001450D7" w:rsidP="00F66D98">
            <w:pPr>
              <w:pStyle w:val="BlockText-Plain"/>
              <w:jc w:val="center"/>
            </w:pPr>
          </w:p>
        </w:tc>
        <w:tc>
          <w:tcPr>
            <w:tcW w:w="567" w:type="dxa"/>
          </w:tcPr>
          <w:p w14:paraId="6841AB50" w14:textId="77777777" w:rsidR="001450D7" w:rsidRPr="00C9343F" w:rsidRDefault="001450D7" w:rsidP="00F66D98">
            <w:pPr>
              <w:pStyle w:val="BlockText-Plain"/>
              <w:jc w:val="center"/>
              <w:rPr>
                <w:iCs/>
              </w:rPr>
            </w:pPr>
            <w:r w:rsidRPr="00C9343F">
              <w:rPr>
                <w:iCs/>
              </w:rPr>
              <w:t>b.</w:t>
            </w:r>
          </w:p>
        </w:tc>
        <w:tc>
          <w:tcPr>
            <w:tcW w:w="7808" w:type="dxa"/>
            <w:gridSpan w:val="3"/>
          </w:tcPr>
          <w:p w14:paraId="3A55F826" w14:textId="77777777" w:rsidR="001450D7" w:rsidRPr="00C9343F" w:rsidRDefault="001450D7" w:rsidP="00F66D98">
            <w:pPr>
              <w:pStyle w:val="BlockText-Plain"/>
              <w:rPr>
                <w:iCs/>
              </w:rPr>
            </w:pPr>
            <w:r w:rsidRPr="00C9343F">
              <w:rPr>
                <w:iCs/>
              </w:rPr>
              <w:t xml:space="preserve">For a member who has been on a flexible service determination since their last long service leave credit anniversary </w:t>
            </w:r>
            <w:r w:rsidRPr="00C9343F">
              <w:rPr>
                <w:rFonts w:cs="Arial"/>
                <w:iCs/>
              </w:rPr>
              <w:t xml:space="preserve">— </w:t>
            </w:r>
            <w:r w:rsidRPr="00C9343F">
              <w:rPr>
                <w:iCs/>
              </w:rPr>
              <w:t>the following calculation is used to work out the credit for completed months of accrued service.</w:t>
            </w:r>
          </w:p>
        </w:tc>
      </w:tr>
      <w:tr w:rsidR="001450D7" w:rsidRPr="00C9343F" w14:paraId="75AB3E5B" w14:textId="77777777" w:rsidTr="00246373">
        <w:tc>
          <w:tcPr>
            <w:tcW w:w="992" w:type="dxa"/>
          </w:tcPr>
          <w:p w14:paraId="007792F8" w14:textId="77777777" w:rsidR="001450D7" w:rsidRPr="00C9343F" w:rsidRDefault="001450D7" w:rsidP="00F66D98">
            <w:pPr>
              <w:pStyle w:val="BlockText-Plain"/>
              <w:jc w:val="center"/>
            </w:pPr>
          </w:p>
        </w:tc>
        <w:tc>
          <w:tcPr>
            <w:tcW w:w="8375" w:type="dxa"/>
            <w:gridSpan w:val="4"/>
          </w:tcPr>
          <w:p w14:paraId="064DE733" w14:textId="77777777" w:rsidR="001450D7" w:rsidRPr="00C9343F" w:rsidRDefault="00E9487A" w:rsidP="00F66D98">
            <w:pPr>
              <w:pStyle w:val="BlockText-Plain"/>
              <w:spacing w:before="120"/>
              <w:jc w:val="center"/>
              <w:rPr>
                <w:b/>
                <w:i/>
                <w:iCs/>
              </w:rPr>
            </w:pPr>
            <m:oMathPara>
              <m:oMath>
                <m:r>
                  <m:rPr>
                    <m:sty m:val="bi"/>
                  </m:rPr>
                  <w:rPr>
                    <w:rFonts w:ascii="Cambria Math" w:hAnsi="Cambria Math"/>
                  </w:rPr>
                  <m:t>long service leave credit=</m:t>
                </m:r>
                <m:f>
                  <m:fPr>
                    <m:ctrlPr>
                      <w:rPr>
                        <w:rFonts w:ascii="Cambria Math" w:hAnsi="Cambria Math"/>
                        <w:b/>
                        <w:i/>
                        <w:iCs/>
                      </w:rPr>
                    </m:ctrlPr>
                  </m:fPr>
                  <m:num>
                    <m:r>
                      <m:rPr>
                        <m:sty m:val="bi"/>
                      </m:rPr>
                      <w:rPr>
                        <w:rFonts w:ascii="Cambria Math" w:hAnsi="Cambria Math"/>
                      </w:rPr>
                      <m:t>POS</m:t>
                    </m:r>
                  </m:num>
                  <m:den>
                    <m:r>
                      <m:rPr>
                        <m:sty m:val="bi"/>
                      </m:rPr>
                      <w:rPr>
                        <w:rFonts w:ascii="Cambria Math" w:hAnsi="Cambria Math"/>
                      </w:rPr>
                      <m:t>260</m:t>
                    </m:r>
                  </m:den>
                </m:f>
                <m:r>
                  <m:rPr>
                    <m:sty m:val="bi"/>
                  </m:rPr>
                  <w:rPr>
                    <w:rFonts w:ascii="Cambria Math" w:hAnsi="Cambria Math"/>
                  </w:rPr>
                  <m:t xml:space="preserve"> × 0.025 × AS</m:t>
                </m:r>
              </m:oMath>
            </m:oMathPara>
          </w:p>
        </w:tc>
      </w:tr>
      <w:tr w:rsidR="001450D7" w:rsidRPr="00C9343F" w14:paraId="6B4A93D6" w14:textId="77777777" w:rsidTr="00246373">
        <w:tc>
          <w:tcPr>
            <w:tcW w:w="992" w:type="dxa"/>
          </w:tcPr>
          <w:p w14:paraId="4584228D" w14:textId="77777777" w:rsidR="001450D7" w:rsidRPr="00C9343F" w:rsidRDefault="001450D7" w:rsidP="00F66D98">
            <w:pPr>
              <w:pStyle w:val="BlockText-Plain"/>
              <w:jc w:val="center"/>
            </w:pPr>
          </w:p>
        </w:tc>
        <w:tc>
          <w:tcPr>
            <w:tcW w:w="567" w:type="dxa"/>
          </w:tcPr>
          <w:p w14:paraId="792E4E9D" w14:textId="77777777" w:rsidR="001450D7" w:rsidRPr="00C9343F" w:rsidRDefault="001450D7" w:rsidP="00F66D98">
            <w:pPr>
              <w:pStyle w:val="BlockText-Plain"/>
              <w:jc w:val="center"/>
              <w:rPr>
                <w:iCs/>
              </w:rPr>
            </w:pPr>
          </w:p>
        </w:tc>
        <w:tc>
          <w:tcPr>
            <w:tcW w:w="7808" w:type="dxa"/>
            <w:gridSpan w:val="3"/>
          </w:tcPr>
          <w:p w14:paraId="008AE39C" w14:textId="77777777" w:rsidR="001450D7" w:rsidRPr="00C9343F" w:rsidRDefault="001450D7" w:rsidP="00F66D98">
            <w:pPr>
              <w:pStyle w:val="BlockText-Plain"/>
              <w:rPr>
                <w:iCs/>
              </w:rPr>
            </w:pPr>
            <w:r w:rsidRPr="00C9343F">
              <w:rPr>
                <w:iCs/>
              </w:rPr>
              <w:t>Where:</w:t>
            </w:r>
          </w:p>
        </w:tc>
      </w:tr>
      <w:tr w:rsidR="001450D7" w:rsidRPr="00C9343F" w14:paraId="73A13F8E" w14:textId="77777777" w:rsidTr="00246373">
        <w:tc>
          <w:tcPr>
            <w:tcW w:w="992" w:type="dxa"/>
          </w:tcPr>
          <w:p w14:paraId="2716737A" w14:textId="77777777" w:rsidR="001450D7" w:rsidRPr="00C9343F" w:rsidRDefault="001450D7" w:rsidP="00F66D98">
            <w:pPr>
              <w:pStyle w:val="BlockText-Plain"/>
              <w:jc w:val="center"/>
            </w:pPr>
          </w:p>
        </w:tc>
        <w:tc>
          <w:tcPr>
            <w:tcW w:w="567" w:type="dxa"/>
          </w:tcPr>
          <w:p w14:paraId="2358E291" w14:textId="77777777" w:rsidR="001450D7" w:rsidRPr="00C9343F" w:rsidRDefault="001450D7" w:rsidP="00F66D98">
            <w:pPr>
              <w:pStyle w:val="BlockText-Plain"/>
              <w:jc w:val="center"/>
              <w:rPr>
                <w:iCs/>
              </w:rPr>
            </w:pPr>
          </w:p>
        </w:tc>
        <w:tc>
          <w:tcPr>
            <w:tcW w:w="707" w:type="dxa"/>
          </w:tcPr>
          <w:p w14:paraId="23F8A6F3" w14:textId="77777777" w:rsidR="001450D7" w:rsidRPr="00C9343F" w:rsidRDefault="001450D7" w:rsidP="00F66D98">
            <w:pPr>
              <w:pStyle w:val="BlockText-Plain"/>
              <w:jc w:val="center"/>
              <w:rPr>
                <w:b/>
                <w:iCs/>
              </w:rPr>
            </w:pPr>
            <w:r w:rsidRPr="00C9343F">
              <w:rPr>
                <w:b/>
                <w:iCs/>
              </w:rPr>
              <w:t>POS</w:t>
            </w:r>
          </w:p>
        </w:tc>
        <w:tc>
          <w:tcPr>
            <w:tcW w:w="7101" w:type="dxa"/>
            <w:gridSpan w:val="2"/>
          </w:tcPr>
          <w:p w14:paraId="15297CB1" w14:textId="77777777" w:rsidR="001450D7" w:rsidRPr="00C9343F" w:rsidRDefault="001450D7" w:rsidP="00F66D98">
            <w:pPr>
              <w:pStyle w:val="BlockText-Plain"/>
              <w:rPr>
                <w:iCs/>
              </w:rPr>
            </w:pPr>
            <w:r w:rsidRPr="00C9343F">
              <w:t>is the number of days in the member's pattern of service that they would have expected to complete in the year of accrued service.</w:t>
            </w:r>
          </w:p>
        </w:tc>
      </w:tr>
      <w:tr w:rsidR="001450D7" w:rsidRPr="00C9343F" w14:paraId="574E5134" w14:textId="77777777" w:rsidTr="00246373">
        <w:tc>
          <w:tcPr>
            <w:tcW w:w="992" w:type="dxa"/>
          </w:tcPr>
          <w:p w14:paraId="0C101FB4" w14:textId="77777777" w:rsidR="001450D7" w:rsidRPr="00C9343F" w:rsidRDefault="001450D7" w:rsidP="00F66D98">
            <w:pPr>
              <w:pStyle w:val="BlockText-Plain"/>
              <w:jc w:val="center"/>
            </w:pPr>
          </w:p>
        </w:tc>
        <w:tc>
          <w:tcPr>
            <w:tcW w:w="567" w:type="dxa"/>
          </w:tcPr>
          <w:p w14:paraId="619CEC45" w14:textId="77777777" w:rsidR="001450D7" w:rsidRPr="00C9343F" w:rsidRDefault="001450D7" w:rsidP="00F66D98">
            <w:pPr>
              <w:pStyle w:val="BlockText-Plain"/>
              <w:jc w:val="center"/>
              <w:rPr>
                <w:iCs/>
              </w:rPr>
            </w:pPr>
          </w:p>
        </w:tc>
        <w:tc>
          <w:tcPr>
            <w:tcW w:w="707" w:type="dxa"/>
          </w:tcPr>
          <w:p w14:paraId="5C20EF87" w14:textId="77777777" w:rsidR="001450D7" w:rsidRPr="00C9343F" w:rsidRDefault="001450D7" w:rsidP="00F66D98">
            <w:pPr>
              <w:pStyle w:val="BlockText-Plain"/>
              <w:rPr>
                <w:b/>
                <w:iCs/>
              </w:rPr>
            </w:pPr>
            <w:r w:rsidRPr="00C9343F">
              <w:rPr>
                <w:b/>
                <w:iCs/>
              </w:rPr>
              <w:t>AS</w:t>
            </w:r>
          </w:p>
        </w:tc>
        <w:tc>
          <w:tcPr>
            <w:tcW w:w="7101" w:type="dxa"/>
            <w:gridSpan w:val="2"/>
          </w:tcPr>
          <w:p w14:paraId="7691ED6C" w14:textId="77777777" w:rsidR="001450D7" w:rsidRPr="00C9343F" w:rsidRDefault="001450D7" w:rsidP="00F66D98">
            <w:pPr>
              <w:pStyle w:val="BlockText-Plain"/>
              <w:rPr>
                <w:iCs/>
              </w:rPr>
            </w:pPr>
            <w:r w:rsidRPr="00C9343F">
              <w:rPr>
                <w:iCs/>
              </w:rPr>
              <w:t xml:space="preserve">Number of completed months of accrued service. </w:t>
            </w:r>
          </w:p>
        </w:tc>
      </w:tr>
      <w:tr w:rsidR="008B4402" w:rsidRPr="00C9343F" w14:paraId="297CCDAA" w14:textId="77777777" w:rsidTr="00246373">
        <w:trPr>
          <w:gridAfter w:val="1"/>
          <w:wAfter w:w="15" w:type="dxa"/>
        </w:trPr>
        <w:tc>
          <w:tcPr>
            <w:tcW w:w="992" w:type="dxa"/>
          </w:tcPr>
          <w:p w14:paraId="728E133A" w14:textId="77777777" w:rsidR="008B4402" w:rsidRPr="00C9343F" w:rsidRDefault="008B4402" w:rsidP="00F66D98">
            <w:pPr>
              <w:pStyle w:val="BlockText-Plain"/>
              <w:keepNext/>
              <w:keepLines/>
              <w:jc w:val="center"/>
            </w:pPr>
            <w:r w:rsidRPr="00C9343F">
              <w:t>4.</w:t>
            </w:r>
          </w:p>
        </w:tc>
        <w:tc>
          <w:tcPr>
            <w:tcW w:w="8360" w:type="dxa"/>
            <w:gridSpan w:val="3"/>
          </w:tcPr>
          <w:p w14:paraId="4F848205" w14:textId="1B4B0F39" w:rsidR="008B4402" w:rsidRPr="00C9343F" w:rsidRDefault="008B4402" w:rsidP="00F66D98">
            <w:pPr>
              <w:pStyle w:val="BlockText-Plain"/>
              <w:keepNext/>
              <w:keepLines/>
            </w:pPr>
            <w:r w:rsidRPr="00C9343F">
              <w:t xml:space="preserve">Unless </w:t>
            </w:r>
            <w:r w:rsidR="00152F2C" w:rsidRPr="00C9343F">
              <w:t>subsection 5.5.26.6</w:t>
            </w:r>
            <w:r w:rsidRPr="00C9343F">
              <w:t xml:space="preserve"> applies, salary for a period of long service leave for a member who is to be paid instead of long service leave is the sum of these amounts.</w:t>
            </w:r>
          </w:p>
        </w:tc>
      </w:tr>
      <w:tr w:rsidR="008B4402" w:rsidRPr="00C9343F" w14:paraId="2F226556" w14:textId="77777777" w:rsidTr="00246373">
        <w:trPr>
          <w:gridAfter w:val="1"/>
          <w:wAfter w:w="15" w:type="dxa"/>
          <w:cantSplit/>
        </w:trPr>
        <w:tc>
          <w:tcPr>
            <w:tcW w:w="992" w:type="dxa"/>
          </w:tcPr>
          <w:p w14:paraId="33EAB00D" w14:textId="77777777" w:rsidR="008B4402" w:rsidRPr="00C9343F" w:rsidRDefault="008B4402" w:rsidP="00F66D98">
            <w:pPr>
              <w:pStyle w:val="BlockText-Plain"/>
              <w:keepNext/>
              <w:keepLines/>
            </w:pPr>
          </w:p>
        </w:tc>
        <w:tc>
          <w:tcPr>
            <w:tcW w:w="567" w:type="dxa"/>
          </w:tcPr>
          <w:p w14:paraId="4D70AC87" w14:textId="77777777" w:rsidR="008B4402" w:rsidRPr="00C9343F" w:rsidRDefault="008B4402" w:rsidP="008D1B5D">
            <w:pPr>
              <w:pStyle w:val="BlockText-Plain"/>
              <w:keepNext/>
              <w:keepLines/>
              <w:jc w:val="center"/>
            </w:pPr>
            <w:r w:rsidRPr="00C9343F">
              <w:t>a.</w:t>
            </w:r>
          </w:p>
        </w:tc>
        <w:tc>
          <w:tcPr>
            <w:tcW w:w="7793" w:type="dxa"/>
            <w:gridSpan w:val="2"/>
          </w:tcPr>
          <w:p w14:paraId="76978DA8" w14:textId="03745247" w:rsidR="008B4402" w:rsidRPr="00C9343F" w:rsidRDefault="008B4402" w:rsidP="00F66D98">
            <w:pPr>
              <w:pStyle w:val="BlockText-Plain"/>
              <w:keepNext/>
              <w:keepLines/>
            </w:pPr>
            <w:r w:rsidRPr="00C9343F">
              <w:t xml:space="preserve">Salary at the applicable rate for their </w:t>
            </w:r>
            <w:r w:rsidR="003C090B" w:rsidRPr="00C9343F">
              <w:rPr>
                <w:lang w:eastAsia="en-US"/>
              </w:rPr>
              <w:t xml:space="preserve">rank, including a higher rank which the member has been directed to act in under section 13(1)(b) of the Defence Regulation, </w:t>
            </w:r>
            <w:r w:rsidRPr="00C9343F">
              <w:t>and (if applicable) their pay grade.</w:t>
            </w:r>
          </w:p>
        </w:tc>
      </w:tr>
      <w:tr w:rsidR="008B4402" w:rsidRPr="00C9343F" w14:paraId="29D90529" w14:textId="77777777" w:rsidTr="00246373">
        <w:trPr>
          <w:gridAfter w:val="1"/>
          <w:wAfter w:w="15" w:type="dxa"/>
          <w:cantSplit/>
        </w:trPr>
        <w:tc>
          <w:tcPr>
            <w:tcW w:w="992" w:type="dxa"/>
          </w:tcPr>
          <w:p w14:paraId="55965F18" w14:textId="77777777" w:rsidR="008B4402" w:rsidRPr="00C9343F" w:rsidRDefault="008B4402" w:rsidP="00F66D98">
            <w:pPr>
              <w:pStyle w:val="BlockText-Plain"/>
            </w:pPr>
          </w:p>
        </w:tc>
        <w:tc>
          <w:tcPr>
            <w:tcW w:w="567" w:type="dxa"/>
          </w:tcPr>
          <w:p w14:paraId="04CB072B" w14:textId="77777777" w:rsidR="008B4402" w:rsidRPr="00C9343F" w:rsidRDefault="008B4402" w:rsidP="008D1B5D">
            <w:pPr>
              <w:pStyle w:val="BlockText-Plain"/>
              <w:jc w:val="center"/>
            </w:pPr>
            <w:r w:rsidRPr="00C9343F">
              <w:t>b.</w:t>
            </w:r>
          </w:p>
        </w:tc>
        <w:tc>
          <w:tcPr>
            <w:tcW w:w="7793" w:type="dxa"/>
            <w:gridSpan w:val="2"/>
          </w:tcPr>
          <w:p w14:paraId="7BDEC23A" w14:textId="77777777" w:rsidR="008B4402" w:rsidRPr="00C9343F" w:rsidRDefault="008B4402" w:rsidP="00F66D98">
            <w:pPr>
              <w:pStyle w:val="BlockText-Plain"/>
            </w:pPr>
            <w:r w:rsidRPr="00C9343F">
              <w:t xml:space="preserve">The amount of any allowance that the member may be paid during long service leave. </w:t>
            </w:r>
          </w:p>
          <w:p w14:paraId="1DE65F0C" w14:textId="77777777" w:rsidR="008B4402" w:rsidRPr="00C9343F" w:rsidRDefault="008B4402" w:rsidP="00F66D98">
            <w:pPr>
              <w:pStyle w:val="BlockText-Plain"/>
            </w:pPr>
            <w:r w:rsidRPr="00C9343F">
              <w:rPr>
                <w:b/>
              </w:rPr>
              <w:t>Exceptions:</w:t>
            </w:r>
            <w:r w:rsidRPr="00C9343F">
              <w:t xml:space="preserve"> Antarctic allowance, Port Wakefield allowance, ADF district allowance, uniform allowance, hardship allowance, rent allowance and executive vehicle allowance are not payable.</w:t>
            </w:r>
          </w:p>
        </w:tc>
      </w:tr>
      <w:tr w:rsidR="008B4402" w:rsidRPr="00C9343F" w14:paraId="6510375B" w14:textId="77777777" w:rsidTr="00246373">
        <w:trPr>
          <w:gridAfter w:val="1"/>
          <w:wAfter w:w="15" w:type="dxa"/>
        </w:trPr>
        <w:tc>
          <w:tcPr>
            <w:tcW w:w="992" w:type="dxa"/>
          </w:tcPr>
          <w:p w14:paraId="012ED760" w14:textId="77777777" w:rsidR="008B4402" w:rsidRPr="00C9343F" w:rsidRDefault="008B4402" w:rsidP="00F66D98">
            <w:pPr>
              <w:pStyle w:val="BlockText-Plain"/>
              <w:jc w:val="center"/>
            </w:pPr>
            <w:r w:rsidRPr="00C9343F">
              <w:t>5.</w:t>
            </w:r>
          </w:p>
        </w:tc>
        <w:tc>
          <w:tcPr>
            <w:tcW w:w="8360" w:type="dxa"/>
            <w:gridSpan w:val="3"/>
          </w:tcPr>
          <w:p w14:paraId="7D0933AC" w14:textId="77777777" w:rsidR="008B4402" w:rsidRPr="00C9343F" w:rsidRDefault="008B4402" w:rsidP="00F66D98">
            <w:pPr>
              <w:pStyle w:val="BlockText-Plain"/>
            </w:pPr>
            <w:r w:rsidRPr="00C9343F">
              <w:t>This table shows how to calculate the final payment instead of long service leave</w:t>
            </w:r>
            <w:r w:rsidR="00D560B7" w:rsidRPr="00C9343F">
              <w:t xml:space="preserve"> for a member other than a senior officer who transitioned</w:t>
            </w:r>
            <w:r w:rsidRPr="00C9343F">
              <w:t>.</w:t>
            </w:r>
          </w:p>
        </w:tc>
      </w:tr>
    </w:tbl>
    <w:p w14:paraId="3A289CC3" w14:textId="77777777" w:rsidR="008B4402" w:rsidRPr="00C9343F" w:rsidRDefault="008B4402" w:rsidP="00F66D98"/>
    <w:tbl>
      <w:tblPr>
        <w:tblW w:w="8361" w:type="dxa"/>
        <w:tblInd w:w="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0"/>
        <w:gridCol w:w="7511"/>
      </w:tblGrid>
      <w:tr w:rsidR="008B4402" w:rsidRPr="00C9343F" w14:paraId="07DF66DB" w14:textId="77777777" w:rsidTr="00D560B7">
        <w:trPr>
          <w:cantSplit/>
        </w:trPr>
        <w:tc>
          <w:tcPr>
            <w:tcW w:w="850" w:type="dxa"/>
          </w:tcPr>
          <w:p w14:paraId="4312C499" w14:textId="77777777" w:rsidR="008B4402" w:rsidRPr="00C9343F" w:rsidRDefault="008B4402" w:rsidP="00F66D98">
            <w:pPr>
              <w:pStyle w:val="TableHeaderArial"/>
            </w:pPr>
            <w:r w:rsidRPr="00C9343F">
              <w:t>Step</w:t>
            </w:r>
          </w:p>
        </w:tc>
        <w:tc>
          <w:tcPr>
            <w:tcW w:w="7511" w:type="dxa"/>
          </w:tcPr>
          <w:p w14:paraId="420D00AB" w14:textId="77777777" w:rsidR="008B4402" w:rsidRPr="00C9343F" w:rsidRDefault="008B4402" w:rsidP="00F66D98">
            <w:pPr>
              <w:pStyle w:val="TableTextArial-left"/>
              <w:jc w:val="center"/>
              <w:rPr>
                <w:b/>
              </w:rPr>
            </w:pPr>
            <w:r w:rsidRPr="00C9343F">
              <w:rPr>
                <w:b/>
              </w:rPr>
              <w:t>Action</w:t>
            </w:r>
          </w:p>
        </w:tc>
      </w:tr>
      <w:tr w:rsidR="008B4402" w:rsidRPr="00C9343F" w14:paraId="27625384" w14:textId="77777777" w:rsidTr="00D560B7">
        <w:trPr>
          <w:cantSplit/>
        </w:trPr>
        <w:tc>
          <w:tcPr>
            <w:tcW w:w="850" w:type="dxa"/>
          </w:tcPr>
          <w:p w14:paraId="2079A505" w14:textId="77777777" w:rsidR="008B4402" w:rsidRPr="00C9343F" w:rsidRDefault="008B4402" w:rsidP="00F66D98">
            <w:pPr>
              <w:pStyle w:val="TableTextArial-ctrd"/>
            </w:pPr>
            <w:r w:rsidRPr="00C9343F">
              <w:t>1.</w:t>
            </w:r>
          </w:p>
        </w:tc>
        <w:tc>
          <w:tcPr>
            <w:tcW w:w="7511" w:type="dxa"/>
          </w:tcPr>
          <w:p w14:paraId="75BC72E6" w14:textId="77777777" w:rsidR="008B4402" w:rsidRPr="00C9343F" w:rsidRDefault="008B4402" w:rsidP="00F66D98">
            <w:pPr>
              <w:pStyle w:val="TableTextArial-left"/>
              <w:spacing w:after="120"/>
            </w:pPr>
            <w:r w:rsidRPr="00C9343F">
              <w:t>Divide the salary for long service leave by 12, to give the monthly rate.</w:t>
            </w:r>
          </w:p>
          <w:p w14:paraId="5990E9B3" w14:textId="77777777" w:rsidR="008B4402" w:rsidRPr="00C9343F" w:rsidRDefault="008B4402" w:rsidP="00F66D98">
            <w:pPr>
              <w:pStyle w:val="TableTextArial-left"/>
            </w:pPr>
            <w:r w:rsidRPr="00C9343F">
              <w:rPr>
                <w:b/>
              </w:rPr>
              <w:t>Note:</w:t>
            </w:r>
            <w:r w:rsidRPr="00C9343F">
              <w:t xml:space="preserve"> This rule applies no matter how many days there are in the month.</w:t>
            </w:r>
          </w:p>
        </w:tc>
      </w:tr>
      <w:tr w:rsidR="008B4402" w:rsidRPr="00C9343F" w14:paraId="631C100F" w14:textId="77777777" w:rsidTr="00D560B7">
        <w:trPr>
          <w:cantSplit/>
        </w:trPr>
        <w:tc>
          <w:tcPr>
            <w:tcW w:w="850" w:type="dxa"/>
          </w:tcPr>
          <w:p w14:paraId="022AC07B" w14:textId="77777777" w:rsidR="008B4402" w:rsidRPr="00C9343F" w:rsidRDefault="008B4402" w:rsidP="00F66D98">
            <w:pPr>
              <w:pStyle w:val="TableTextArial-ctrd"/>
            </w:pPr>
            <w:r w:rsidRPr="00C9343F">
              <w:t>2.</w:t>
            </w:r>
          </w:p>
        </w:tc>
        <w:tc>
          <w:tcPr>
            <w:tcW w:w="7511" w:type="dxa"/>
          </w:tcPr>
          <w:p w14:paraId="15972967" w14:textId="79AD027A" w:rsidR="008B4402" w:rsidRPr="00C9343F" w:rsidRDefault="008B4402" w:rsidP="00F66D98">
            <w:pPr>
              <w:pStyle w:val="TableTextArial-left"/>
              <w:spacing w:after="120"/>
            </w:pPr>
            <w:r w:rsidRPr="00C9343F">
              <w:t>Multiply by the member's credit. This figure is the amount to be paid.</w:t>
            </w:r>
          </w:p>
        </w:tc>
      </w:tr>
    </w:tbl>
    <w:p w14:paraId="46A0FFC4" w14:textId="77777777" w:rsidR="00D560B7" w:rsidRPr="00C9343F" w:rsidRDefault="00D560B7" w:rsidP="00F66D98">
      <w:bookmarkStart w:id="1499" w:name="bk20142PM539Salaryforpaymentinsteadoflo"/>
      <w:bookmarkStart w:id="1500" w:name="bk20440PM539Salaryforpaymentinsteadoflo"/>
      <w:bookmarkStart w:id="1501" w:name="bk41619PM5319Memberonhigherdutiestempor"/>
      <w:bookmarkStart w:id="1502" w:name="bk41642PM5319Memberonhigherdutiestempor"/>
      <w:bookmarkStart w:id="1503" w:name="bk1055355319Memberonhigherdutiestempora"/>
      <w:bookmarkStart w:id="1504" w:name="bk1055505319Memberonhigherdutiestempora"/>
      <w:bookmarkStart w:id="1505" w:name="bk1143125319Memberonhigherdutiestempora"/>
      <w:bookmarkStart w:id="1506" w:name="bk1547135324Memberonhigherdutiestempora"/>
      <w:bookmarkStart w:id="1507" w:name="bk1056465325Memberonhigherdutiestempora"/>
      <w:bookmarkStart w:id="1508" w:name="bk934105326Memberonhigherdutiestemporar"/>
      <w:bookmarkStart w:id="1509" w:name="bk1157435326Memberonhigherdutiestempora"/>
    </w:p>
    <w:tbl>
      <w:tblPr>
        <w:tblW w:w="9360" w:type="dxa"/>
        <w:tblInd w:w="113" w:type="dxa"/>
        <w:tblLayout w:type="fixed"/>
        <w:tblLook w:val="0000" w:firstRow="0" w:lastRow="0" w:firstColumn="0" w:lastColumn="0" w:noHBand="0" w:noVBand="0"/>
      </w:tblPr>
      <w:tblGrid>
        <w:gridCol w:w="989"/>
        <w:gridCol w:w="560"/>
        <w:gridCol w:w="573"/>
        <w:gridCol w:w="7238"/>
      </w:tblGrid>
      <w:tr w:rsidR="00D560B7" w:rsidRPr="00C9343F" w14:paraId="0AFF96E1" w14:textId="77777777" w:rsidTr="001450D7">
        <w:tc>
          <w:tcPr>
            <w:tcW w:w="989" w:type="dxa"/>
          </w:tcPr>
          <w:p w14:paraId="2980E6C2" w14:textId="77777777" w:rsidR="00D560B7" w:rsidRPr="00C9343F" w:rsidRDefault="00D560B7" w:rsidP="00F66D98">
            <w:pPr>
              <w:pStyle w:val="BlockText-Plain"/>
              <w:keepNext/>
              <w:keepLines/>
              <w:jc w:val="center"/>
            </w:pPr>
            <w:r w:rsidRPr="00C9343F">
              <w:t>6.</w:t>
            </w:r>
          </w:p>
        </w:tc>
        <w:tc>
          <w:tcPr>
            <w:tcW w:w="8371" w:type="dxa"/>
            <w:gridSpan w:val="3"/>
          </w:tcPr>
          <w:p w14:paraId="5121712C" w14:textId="77777777" w:rsidR="00D560B7" w:rsidRPr="00C9343F" w:rsidRDefault="00D560B7" w:rsidP="00F66D98">
            <w:pPr>
              <w:pStyle w:val="BlockText-Plain"/>
              <w:keepNext/>
              <w:keepLines/>
            </w:pPr>
            <w:r w:rsidRPr="00C9343F">
              <w:t>This subsection applies to a member on becoming a senior officer who transitioned. Both the following apply.</w:t>
            </w:r>
          </w:p>
        </w:tc>
      </w:tr>
      <w:tr w:rsidR="00D560B7" w:rsidRPr="00C9343F" w:rsidDel="004A5BB4" w14:paraId="427FCB68" w14:textId="77777777" w:rsidTr="001450D7">
        <w:tc>
          <w:tcPr>
            <w:tcW w:w="989" w:type="dxa"/>
          </w:tcPr>
          <w:p w14:paraId="0A4BECD0" w14:textId="77777777" w:rsidR="00D560B7" w:rsidRPr="00C9343F" w:rsidRDefault="00D560B7" w:rsidP="00F66D98">
            <w:pPr>
              <w:pStyle w:val="BlockText-Plain"/>
              <w:jc w:val="center"/>
            </w:pPr>
          </w:p>
        </w:tc>
        <w:tc>
          <w:tcPr>
            <w:tcW w:w="560" w:type="dxa"/>
          </w:tcPr>
          <w:p w14:paraId="1DC8AE72" w14:textId="77777777" w:rsidR="00D560B7" w:rsidRPr="00C9343F" w:rsidDel="004A5BB4" w:rsidRDefault="00D560B7" w:rsidP="008D1B5D">
            <w:pPr>
              <w:pStyle w:val="BlockText-Plain"/>
              <w:jc w:val="center"/>
            </w:pPr>
            <w:r w:rsidRPr="00C9343F">
              <w:t>a.</w:t>
            </w:r>
          </w:p>
        </w:tc>
        <w:tc>
          <w:tcPr>
            <w:tcW w:w="7811" w:type="dxa"/>
            <w:gridSpan w:val="2"/>
          </w:tcPr>
          <w:p w14:paraId="36D91ECF" w14:textId="77777777" w:rsidR="00D560B7" w:rsidRPr="00C9343F" w:rsidDel="004A5BB4" w:rsidRDefault="00D560B7" w:rsidP="00F66D98">
            <w:pPr>
              <w:pStyle w:val="BlockText-Plain"/>
            </w:pPr>
            <w:r w:rsidRPr="00C9343F">
              <w:t>The senior officer is to be paid an amount for their long service leave credit calculated using the following formula.</w:t>
            </w:r>
          </w:p>
        </w:tc>
      </w:tr>
      <w:tr w:rsidR="00D560B7" w:rsidRPr="00C9343F" w14:paraId="6C308607" w14:textId="77777777" w:rsidTr="001450D7">
        <w:tc>
          <w:tcPr>
            <w:tcW w:w="989" w:type="dxa"/>
          </w:tcPr>
          <w:p w14:paraId="3BAB3750" w14:textId="77777777" w:rsidR="00D560B7" w:rsidRPr="00C9343F" w:rsidRDefault="00D560B7" w:rsidP="00F66D98">
            <w:pPr>
              <w:pStyle w:val="BlockText-Plain"/>
              <w:jc w:val="center"/>
            </w:pPr>
          </w:p>
        </w:tc>
        <w:tc>
          <w:tcPr>
            <w:tcW w:w="8371" w:type="dxa"/>
            <w:gridSpan w:val="3"/>
          </w:tcPr>
          <w:p w14:paraId="3275CC6F" w14:textId="77777777" w:rsidR="00D560B7" w:rsidRPr="00C9343F" w:rsidRDefault="00115333" w:rsidP="00F66D98">
            <w:pPr>
              <w:pStyle w:val="BlockText-Plain"/>
              <w:jc w:val="center"/>
              <w:rPr>
                <w:i/>
                <w:sz w:val="22"/>
                <w:szCs w:val="22"/>
              </w:rPr>
            </w:pPr>
            <w:r w:rsidRPr="00C9343F">
              <w:rPr>
                <w:i/>
              </w:rPr>
              <w:t>payment for long service leave credits = A + B – C</w:t>
            </w:r>
          </w:p>
        </w:tc>
      </w:tr>
      <w:tr w:rsidR="00D560B7" w:rsidRPr="00C9343F" w14:paraId="476DD7B1" w14:textId="77777777" w:rsidTr="001450D7">
        <w:tc>
          <w:tcPr>
            <w:tcW w:w="989" w:type="dxa"/>
          </w:tcPr>
          <w:p w14:paraId="1C92B43B" w14:textId="77777777" w:rsidR="00D560B7" w:rsidRPr="00C9343F" w:rsidRDefault="00D560B7" w:rsidP="00F66D98">
            <w:pPr>
              <w:pStyle w:val="BlockText-Plain"/>
              <w:jc w:val="center"/>
            </w:pPr>
          </w:p>
        </w:tc>
        <w:tc>
          <w:tcPr>
            <w:tcW w:w="560" w:type="dxa"/>
          </w:tcPr>
          <w:p w14:paraId="4318EE4F" w14:textId="77777777" w:rsidR="00D560B7" w:rsidRPr="00C9343F" w:rsidRDefault="00D560B7" w:rsidP="00F66D98">
            <w:pPr>
              <w:pStyle w:val="BlockText-Plain"/>
            </w:pPr>
          </w:p>
        </w:tc>
        <w:tc>
          <w:tcPr>
            <w:tcW w:w="7811" w:type="dxa"/>
            <w:gridSpan w:val="2"/>
          </w:tcPr>
          <w:p w14:paraId="2E7B335A" w14:textId="77777777" w:rsidR="00D560B7" w:rsidRPr="00C9343F" w:rsidRDefault="00D560B7" w:rsidP="00F66D98">
            <w:pPr>
              <w:pStyle w:val="BlockText-Plain"/>
            </w:pPr>
            <w:r w:rsidRPr="00C9343F">
              <w:t>Where:</w:t>
            </w:r>
          </w:p>
        </w:tc>
      </w:tr>
      <w:tr w:rsidR="001450D7" w:rsidRPr="00C9343F" w14:paraId="79B84622" w14:textId="77777777" w:rsidTr="001450D7">
        <w:trPr>
          <w:trHeight w:val="832"/>
        </w:trPr>
        <w:tc>
          <w:tcPr>
            <w:tcW w:w="989" w:type="dxa"/>
            <w:vMerge w:val="restart"/>
          </w:tcPr>
          <w:p w14:paraId="5BF86C87" w14:textId="77777777" w:rsidR="001450D7" w:rsidRPr="00C9343F" w:rsidRDefault="001450D7" w:rsidP="00F66D98">
            <w:pPr>
              <w:pStyle w:val="BlockText-Plain"/>
              <w:jc w:val="center"/>
            </w:pPr>
          </w:p>
        </w:tc>
        <w:tc>
          <w:tcPr>
            <w:tcW w:w="560" w:type="dxa"/>
          </w:tcPr>
          <w:p w14:paraId="64685EF7" w14:textId="77777777" w:rsidR="001450D7" w:rsidRPr="00C9343F" w:rsidRDefault="001450D7" w:rsidP="00F66D98">
            <w:pPr>
              <w:pStyle w:val="BlockText-Plain"/>
              <w:jc w:val="right"/>
            </w:pPr>
          </w:p>
        </w:tc>
        <w:tc>
          <w:tcPr>
            <w:tcW w:w="573" w:type="dxa"/>
          </w:tcPr>
          <w:p w14:paraId="13102777" w14:textId="77777777" w:rsidR="001450D7" w:rsidRPr="00C9343F" w:rsidRDefault="001450D7" w:rsidP="00F66D98">
            <w:pPr>
              <w:pStyle w:val="BlockText-Plain"/>
              <w:jc w:val="center"/>
            </w:pPr>
            <w:r w:rsidRPr="00C9343F">
              <w:rPr>
                <w:b/>
              </w:rPr>
              <w:t>A</w:t>
            </w:r>
          </w:p>
        </w:tc>
        <w:tc>
          <w:tcPr>
            <w:tcW w:w="7238" w:type="dxa"/>
          </w:tcPr>
          <w:p w14:paraId="6DC6ABC3" w14:textId="77777777" w:rsidR="001450D7" w:rsidRPr="00C9343F" w:rsidRDefault="001450D7" w:rsidP="00F66D98">
            <w:pPr>
              <w:pStyle w:val="BlockText-Plain"/>
            </w:pPr>
            <w:r w:rsidRPr="00C9343F">
              <w:t>is the amount of long service leave credits (in months) held by the senior officer at the end of their appointment, multiplied by the monthly rate of salary and allowances payable to the senior officer on the last day of their appointment.</w:t>
            </w:r>
          </w:p>
        </w:tc>
      </w:tr>
      <w:tr w:rsidR="001450D7" w:rsidRPr="00C9343F" w14:paraId="7C01247D" w14:textId="77777777" w:rsidTr="001450D7">
        <w:trPr>
          <w:trHeight w:val="832"/>
        </w:trPr>
        <w:tc>
          <w:tcPr>
            <w:tcW w:w="989" w:type="dxa"/>
            <w:vMerge/>
          </w:tcPr>
          <w:p w14:paraId="2D676E94" w14:textId="77777777" w:rsidR="001450D7" w:rsidRPr="00C9343F" w:rsidRDefault="001450D7" w:rsidP="00F66D98">
            <w:pPr>
              <w:pStyle w:val="BlockText-Plain"/>
              <w:jc w:val="center"/>
            </w:pPr>
          </w:p>
        </w:tc>
        <w:tc>
          <w:tcPr>
            <w:tcW w:w="560" w:type="dxa"/>
          </w:tcPr>
          <w:p w14:paraId="7409F0B7" w14:textId="77777777" w:rsidR="001450D7" w:rsidRPr="00C9343F" w:rsidRDefault="001450D7" w:rsidP="00F66D98">
            <w:pPr>
              <w:pStyle w:val="BlockText-Plain"/>
              <w:jc w:val="right"/>
            </w:pPr>
          </w:p>
        </w:tc>
        <w:tc>
          <w:tcPr>
            <w:tcW w:w="573" w:type="dxa"/>
          </w:tcPr>
          <w:p w14:paraId="3C648B3A" w14:textId="77777777" w:rsidR="001450D7" w:rsidRPr="00C9343F" w:rsidRDefault="001450D7" w:rsidP="00F66D98">
            <w:pPr>
              <w:pStyle w:val="BlockText-Plain"/>
              <w:jc w:val="center"/>
            </w:pPr>
            <w:r w:rsidRPr="00C9343F">
              <w:rPr>
                <w:b/>
              </w:rPr>
              <w:t>B</w:t>
            </w:r>
          </w:p>
        </w:tc>
        <w:tc>
          <w:tcPr>
            <w:tcW w:w="7238" w:type="dxa"/>
          </w:tcPr>
          <w:p w14:paraId="783DF587" w14:textId="77777777" w:rsidR="001450D7" w:rsidRPr="00C9343F" w:rsidRDefault="001450D7" w:rsidP="00F66D98">
            <w:pPr>
              <w:pStyle w:val="BlockText-Plain"/>
            </w:pPr>
            <w:r w:rsidRPr="00C9343F">
              <w:t>is the amount equal to each day of long service leave credits (in months) accrued during the senior officer's transition period, multiplied by the monthly rate of salary and allowances payable to the senior officer on their last day in the Permanent Forces.</w:t>
            </w:r>
          </w:p>
        </w:tc>
      </w:tr>
      <w:tr w:rsidR="001450D7" w:rsidRPr="00C9343F" w14:paraId="6E7E24ED" w14:textId="77777777" w:rsidTr="001450D7">
        <w:trPr>
          <w:trHeight w:val="832"/>
        </w:trPr>
        <w:tc>
          <w:tcPr>
            <w:tcW w:w="989" w:type="dxa"/>
            <w:vMerge/>
          </w:tcPr>
          <w:p w14:paraId="52E1D7B4" w14:textId="77777777" w:rsidR="001450D7" w:rsidRPr="00C9343F" w:rsidRDefault="001450D7" w:rsidP="00F66D98">
            <w:pPr>
              <w:pStyle w:val="BlockText-Plain"/>
              <w:jc w:val="center"/>
            </w:pPr>
          </w:p>
        </w:tc>
        <w:tc>
          <w:tcPr>
            <w:tcW w:w="560" w:type="dxa"/>
          </w:tcPr>
          <w:p w14:paraId="3D1CFDD1" w14:textId="77777777" w:rsidR="001450D7" w:rsidRPr="00C9343F" w:rsidRDefault="001450D7" w:rsidP="00F66D98">
            <w:pPr>
              <w:pStyle w:val="BlockText-Plain"/>
              <w:jc w:val="right"/>
              <w:rPr>
                <w:b/>
              </w:rPr>
            </w:pPr>
          </w:p>
        </w:tc>
        <w:tc>
          <w:tcPr>
            <w:tcW w:w="573" w:type="dxa"/>
          </w:tcPr>
          <w:p w14:paraId="1C420435" w14:textId="77777777" w:rsidR="001450D7" w:rsidRPr="00C9343F" w:rsidRDefault="001450D7" w:rsidP="00F66D98">
            <w:pPr>
              <w:pStyle w:val="BlockText-Plain"/>
              <w:jc w:val="center"/>
              <w:rPr>
                <w:b/>
              </w:rPr>
            </w:pPr>
            <w:r w:rsidRPr="00C9343F">
              <w:rPr>
                <w:b/>
              </w:rPr>
              <w:t>C</w:t>
            </w:r>
          </w:p>
        </w:tc>
        <w:tc>
          <w:tcPr>
            <w:tcW w:w="7238" w:type="dxa"/>
          </w:tcPr>
          <w:p w14:paraId="2BA83175" w14:textId="77777777" w:rsidR="001450D7" w:rsidRPr="00C9343F" w:rsidRDefault="001450D7" w:rsidP="00F66D98">
            <w:pPr>
              <w:pStyle w:val="BlockText-Plain"/>
            </w:pPr>
            <w:r w:rsidRPr="00C9343F">
              <w:t>is the amount of long service leave (in months) the senior officer took during their transition period, multiplied by the monthly rate of salary and allowances payable to the senior officer during their transition period.</w:t>
            </w:r>
          </w:p>
        </w:tc>
      </w:tr>
      <w:tr w:rsidR="00D560B7" w:rsidRPr="00C9343F" w:rsidDel="004A5BB4" w14:paraId="4659B703" w14:textId="77777777" w:rsidTr="001450D7">
        <w:tc>
          <w:tcPr>
            <w:tcW w:w="989" w:type="dxa"/>
          </w:tcPr>
          <w:p w14:paraId="785B869D" w14:textId="77777777" w:rsidR="00D560B7" w:rsidRPr="00C9343F" w:rsidRDefault="00D560B7" w:rsidP="00F66D98">
            <w:pPr>
              <w:pStyle w:val="BlockText-Plain"/>
              <w:jc w:val="center"/>
            </w:pPr>
          </w:p>
        </w:tc>
        <w:tc>
          <w:tcPr>
            <w:tcW w:w="560" w:type="dxa"/>
          </w:tcPr>
          <w:p w14:paraId="6A48323D" w14:textId="77777777" w:rsidR="00D560B7" w:rsidRPr="00C9343F" w:rsidDel="004A5BB4" w:rsidRDefault="00D560B7" w:rsidP="008D1B5D">
            <w:pPr>
              <w:pStyle w:val="BlockText-Plain"/>
              <w:jc w:val="center"/>
            </w:pPr>
            <w:r w:rsidRPr="00C9343F">
              <w:t>b.</w:t>
            </w:r>
          </w:p>
        </w:tc>
        <w:tc>
          <w:tcPr>
            <w:tcW w:w="7811" w:type="dxa"/>
            <w:gridSpan w:val="2"/>
          </w:tcPr>
          <w:p w14:paraId="6EBC3C14" w14:textId="77777777" w:rsidR="00D560B7" w:rsidRPr="00C9343F" w:rsidDel="004A5BB4" w:rsidRDefault="00D560B7" w:rsidP="00F66D98">
            <w:pPr>
              <w:pStyle w:val="BlockText-Plain"/>
            </w:pPr>
            <w:r w:rsidRPr="00C9343F">
              <w:t>For the purpose of this subsection, monthly rate of salary and allowances means the sum of the applicable annual rate of salary and the annual rate of allowances payable to the member on the specified day, other than rent allowance and ADF district allowance, divided by 12.</w:t>
            </w:r>
          </w:p>
        </w:tc>
      </w:tr>
    </w:tbl>
    <w:p w14:paraId="7ACECFB8" w14:textId="01535345" w:rsidR="008B4402" w:rsidRPr="00C9343F" w:rsidRDefault="008B4402" w:rsidP="00F66D98">
      <w:pPr>
        <w:pStyle w:val="Heading5"/>
        <w:rPr>
          <w:rStyle w:val="Query"/>
          <w:b/>
          <w:smallCaps w:val="0"/>
        </w:rPr>
      </w:pPr>
      <w:bookmarkStart w:id="1510" w:name="_Toc105054050"/>
      <w:r w:rsidRPr="00C9343F">
        <w:rPr>
          <w:rStyle w:val="Query"/>
          <w:b/>
          <w:smallCaps w:val="0"/>
          <w:color w:val="auto"/>
          <w:sz w:val="22"/>
          <w:szCs w:val="22"/>
        </w:rPr>
        <w:t>5.5.27</w:t>
      </w:r>
      <w:r w:rsidR="00D94006" w:rsidRPr="00C9343F">
        <w:rPr>
          <w:rStyle w:val="Query"/>
          <w:b/>
          <w:smallCaps w:val="0"/>
          <w:color w:val="auto"/>
        </w:rPr>
        <w:t>    </w:t>
      </w:r>
      <w:bookmarkStart w:id="1511" w:name="_Hlt78084273"/>
      <w:bookmarkEnd w:id="1511"/>
      <w:r w:rsidRPr="00C9343F">
        <w:rPr>
          <w:rStyle w:val="Query"/>
          <w:b/>
          <w:smallCaps w:val="0"/>
          <w:color w:val="auto"/>
        </w:rPr>
        <w:t>M</w:t>
      </w:r>
      <w:r w:rsidRPr="00C9343F">
        <w:t>ember on higher duties, temporary or acting rank</w:t>
      </w:r>
      <w:bookmarkEnd w:id="1510"/>
    </w:p>
    <w:tbl>
      <w:tblPr>
        <w:tblW w:w="9364" w:type="dxa"/>
        <w:tblInd w:w="108" w:type="dxa"/>
        <w:tblLayout w:type="fixed"/>
        <w:tblLook w:val="0000" w:firstRow="0" w:lastRow="0" w:firstColumn="0" w:lastColumn="0" w:noHBand="0" w:noVBand="0"/>
      </w:tblPr>
      <w:tblGrid>
        <w:gridCol w:w="995"/>
        <w:gridCol w:w="567"/>
        <w:gridCol w:w="7802"/>
      </w:tblGrid>
      <w:tr w:rsidR="008B4402" w:rsidRPr="00C9343F" w14:paraId="10996828" w14:textId="77777777" w:rsidTr="00A20FA0">
        <w:tc>
          <w:tcPr>
            <w:tcW w:w="992" w:type="dxa"/>
          </w:tcPr>
          <w:bookmarkEnd w:id="1473"/>
          <w:bookmarkEnd w:id="1474"/>
          <w:bookmarkEnd w:id="1475"/>
          <w:bookmarkEnd w:id="1476"/>
          <w:bookmarkEnd w:id="1477"/>
          <w:bookmarkEnd w:id="1499"/>
          <w:bookmarkEnd w:id="1500"/>
          <w:bookmarkEnd w:id="1501"/>
          <w:bookmarkEnd w:id="1502"/>
          <w:bookmarkEnd w:id="1503"/>
          <w:bookmarkEnd w:id="1504"/>
          <w:bookmarkEnd w:id="1505"/>
          <w:bookmarkEnd w:id="1506"/>
          <w:bookmarkEnd w:id="1507"/>
          <w:bookmarkEnd w:id="1508"/>
          <w:bookmarkEnd w:id="1509"/>
          <w:p w14:paraId="6B03B9AE" w14:textId="77777777" w:rsidR="008B4402" w:rsidRPr="00C9343F" w:rsidRDefault="008B4402" w:rsidP="00F66D98">
            <w:pPr>
              <w:pStyle w:val="BlockText-Plain"/>
              <w:keepNext/>
              <w:keepLines/>
              <w:jc w:val="center"/>
            </w:pPr>
            <w:r w:rsidRPr="00C9343F">
              <w:t>1.</w:t>
            </w:r>
          </w:p>
        </w:tc>
        <w:tc>
          <w:tcPr>
            <w:tcW w:w="8363" w:type="dxa"/>
            <w:gridSpan w:val="2"/>
          </w:tcPr>
          <w:p w14:paraId="08F74186" w14:textId="77777777" w:rsidR="008B4402" w:rsidRPr="00C9343F" w:rsidRDefault="008B4402" w:rsidP="00F66D98">
            <w:pPr>
              <w:pStyle w:val="BlockText-Plain"/>
              <w:keepNext/>
              <w:keepLines/>
              <w:rPr>
                <w:color w:val="000080"/>
              </w:rPr>
            </w:pPr>
            <w:r w:rsidRPr="00C9343F">
              <w:t>This section applies to a member who held temporary or acting rank, or was entitled to higher duties allowance, for either of these periods.</w:t>
            </w:r>
          </w:p>
        </w:tc>
      </w:tr>
      <w:tr w:rsidR="008B4402" w:rsidRPr="00C9343F" w14:paraId="6764A31D" w14:textId="77777777" w:rsidTr="00A20FA0">
        <w:trPr>
          <w:cantSplit/>
        </w:trPr>
        <w:tc>
          <w:tcPr>
            <w:tcW w:w="992" w:type="dxa"/>
          </w:tcPr>
          <w:p w14:paraId="683D7C07" w14:textId="77777777" w:rsidR="008B4402" w:rsidRPr="00C9343F" w:rsidRDefault="008B4402" w:rsidP="00F66D98">
            <w:pPr>
              <w:pStyle w:val="BlockText-Plain"/>
              <w:keepNext/>
              <w:keepLines/>
            </w:pPr>
          </w:p>
        </w:tc>
        <w:tc>
          <w:tcPr>
            <w:tcW w:w="567" w:type="dxa"/>
          </w:tcPr>
          <w:p w14:paraId="19CC0CE9" w14:textId="77777777" w:rsidR="008B4402" w:rsidRPr="00C9343F" w:rsidRDefault="008B4402" w:rsidP="008D1B5D">
            <w:pPr>
              <w:pStyle w:val="BlockText-Plain"/>
              <w:keepNext/>
              <w:keepLines/>
              <w:jc w:val="center"/>
            </w:pPr>
            <w:r w:rsidRPr="00C9343F">
              <w:t>a.</w:t>
            </w:r>
          </w:p>
        </w:tc>
        <w:tc>
          <w:tcPr>
            <w:tcW w:w="7796" w:type="dxa"/>
          </w:tcPr>
          <w:p w14:paraId="4417FD7E" w14:textId="77777777" w:rsidR="008B4402" w:rsidRPr="00C9343F" w:rsidRDefault="008B4402" w:rsidP="00F66D98">
            <w:pPr>
              <w:pStyle w:val="BlockText-Plain"/>
              <w:keepNext/>
              <w:keepLines/>
            </w:pPr>
            <w:r w:rsidRPr="00C9343F">
              <w:t>The year before the start date.</w:t>
            </w:r>
          </w:p>
        </w:tc>
      </w:tr>
      <w:tr w:rsidR="008B4402" w:rsidRPr="00C9343F" w14:paraId="1D490A7F" w14:textId="77777777" w:rsidTr="00A20FA0">
        <w:trPr>
          <w:cantSplit/>
        </w:trPr>
        <w:tc>
          <w:tcPr>
            <w:tcW w:w="992" w:type="dxa"/>
          </w:tcPr>
          <w:p w14:paraId="1AD26F4C" w14:textId="77777777" w:rsidR="008B4402" w:rsidRPr="00C9343F" w:rsidRDefault="008B4402" w:rsidP="00F66D98">
            <w:pPr>
              <w:pStyle w:val="BlockText-Plain"/>
            </w:pPr>
          </w:p>
        </w:tc>
        <w:tc>
          <w:tcPr>
            <w:tcW w:w="567" w:type="dxa"/>
          </w:tcPr>
          <w:p w14:paraId="16046F55" w14:textId="77777777" w:rsidR="008B4402" w:rsidRPr="00C9343F" w:rsidRDefault="008B4402" w:rsidP="008D1B5D">
            <w:pPr>
              <w:pStyle w:val="BlockText-Plain"/>
              <w:jc w:val="center"/>
            </w:pPr>
            <w:r w:rsidRPr="00C9343F">
              <w:t>b.</w:t>
            </w:r>
          </w:p>
        </w:tc>
        <w:tc>
          <w:tcPr>
            <w:tcW w:w="7796" w:type="dxa"/>
          </w:tcPr>
          <w:p w14:paraId="432FD69D" w14:textId="77777777" w:rsidR="008B4402" w:rsidRPr="00C9343F" w:rsidRDefault="008B4402" w:rsidP="00F66D98">
            <w:pPr>
              <w:pStyle w:val="BlockText-Plain"/>
            </w:pPr>
            <w:r w:rsidRPr="00C9343F">
              <w:t xml:space="preserve">The start date plus three of the five years immediately before and including the start date. The three years may be in a single period, or broken periods. </w:t>
            </w:r>
          </w:p>
        </w:tc>
      </w:tr>
      <w:tr w:rsidR="008B4402" w:rsidRPr="00C9343F" w14:paraId="4F158496" w14:textId="77777777" w:rsidTr="00A20FA0">
        <w:tc>
          <w:tcPr>
            <w:tcW w:w="992" w:type="dxa"/>
          </w:tcPr>
          <w:p w14:paraId="1C52F3E8" w14:textId="77777777" w:rsidR="008B4402" w:rsidRPr="00C9343F" w:rsidRDefault="008B4402" w:rsidP="00F66D98">
            <w:pPr>
              <w:pStyle w:val="BlockText-Plain"/>
              <w:jc w:val="center"/>
            </w:pPr>
            <w:r w:rsidRPr="00C9343F">
              <w:t>2.</w:t>
            </w:r>
          </w:p>
        </w:tc>
        <w:tc>
          <w:tcPr>
            <w:tcW w:w="8363" w:type="dxa"/>
            <w:gridSpan w:val="2"/>
          </w:tcPr>
          <w:p w14:paraId="3563C1FB" w14:textId="77777777" w:rsidR="008B4402" w:rsidRPr="00C9343F" w:rsidRDefault="008B4402" w:rsidP="00F66D98">
            <w:pPr>
              <w:pStyle w:val="BlockText-Plain"/>
            </w:pPr>
            <w:r w:rsidRPr="00C9343F">
              <w:t>If a member only held one rank during the period, the rate of salary is the sum of these amounts.</w:t>
            </w:r>
          </w:p>
        </w:tc>
      </w:tr>
      <w:tr w:rsidR="008B4402" w:rsidRPr="00C9343F" w14:paraId="1DD34396" w14:textId="77777777" w:rsidTr="00A20FA0">
        <w:trPr>
          <w:cantSplit/>
        </w:trPr>
        <w:tc>
          <w:tcPr>
            <w:tcW w:w="992" w:type="dxa"/>
          </w:tcPr>
          <w:p w14:paraId="078C567F" w14:textId="77777777" w:rsidR="008B4402" w:rsidRPr="00C9343F" w:rsidRDefault="008B4402" w:rsidP="00F66D98">
            <w:pPr>
              <w:pStyle w:val="BlockText-Plain"/>
            </w:pPr>
          </w:p>
        </w:tc>
        <w:tc>
          <w:tcPr>
            <w:tcW w:w="567" w:type="dxa"/>
          </w:tcPr>
          <w:p w14:paraId="2DDEFE1C" w14:textId="77777777" w:rsidR="008B4402" w:rsidRPr="00C9343F" w:rsidRDefault="008B4402" w:rsidP="008D1B5D">
            <w:pPr>
              <w:pStyle w:val="BlockText-Plain"/>
              <w:jc w:val="center"/>
            </w:pPr>
            <w:r w:rsidRPr="00C9343F">
              <w:t>a.</w:t>
            </w:r>
          </w:p>
        </w:tc>
        <w:tc>
          <w:tcPr>
            <w:tcW w:w="7796" w:type="dxa"/>
          </w:tcPr>
          <w:p w14:paraId="5EC745F2" w14:textId="77777777" w:rsidR="008B4402" w:rsidRPr="00C9343F" w:rsidRDefault="008B4402" w:rsidP="00F66D98">
            <w:pPr>
              <w:pStyle w:val="BlockText-Plain"/>
            </w:pPr>
            <w:r w:rsidRPr="00C9343F">
              <w:t>The rate of salary for the higher duties or temporary or acting rank and (if applicable) their pay grade, held immediately before the start date.</w:t>
            </w:r>
          </w:p>
        </w:tc>
      </w:tr>
      <w:tr w:rsidR="008B4402" w:rsidRPr="00C9343F" w14:paraId="776EA1AB" w14:textId="77777777" w:rsidTr="00A20FA0">
        <w:trPr>
          <w:cantSplit/>
        </w:trPr>
        <w:tc>
          <w:tcPr>
            <w:tcW w:w="992" w:type="dxa"/>
          </w:tcPr>
          <w:p w14:paraId="4CD48FD5" w14:textId="77777777" w:rsidR="008B4402" w:rsidRPr="00C9343F" w:rsidRDefault="008B4402" w:rsidP="00F66D98">
            <w:pPr>
              <w:pStyle w:val="BlockText-Plain"/>
            </w:pPr>
          </w:p>
        </w:tc>
        <w:tc>
          <w:tcPr>
            <w:tcW w:w="567" w:type="dxa"/>
          </w:tcPr>
          <w:p w14:paraId="119EBD04" w14:textId="77777777" w:rsidR="008B4402" w:rsidRPr="00C9343F" w:rsidRDefault="008B4402" w:rsidP="008D1B5D">
            <w:pPr>
              <w:pStyle w:val="BlockText-Plain"/>
              <w:jc w:val="center"/>
            </w:pPr>
            <w:r w:rsidRPr="00C9343F">
              <w:t>b.</w:t>
            </w:r>
          </w:p>
        </w:tc>
        <w:tc>
          <w:tcPr>
            <w:tcW w:w="7796" w:type="dxa"/>
          </w:tcPr>
          <w:p w14:paraId="74D701D8" w14:textId="799EE450" w:rsidR="008B4402" w:rsidRPr="00C9343F" w:rsidRDefault="008B4402" w:rsidP="00F66D98">
            <w:pPr>
              <w:pStyle w:val="BlockText-Plain"/>
              <w:keepNext/>
              <w:keepLines/>
            </w:pPr>
            <w:r w:rsidRPr="00C9343F">
              <w:t>The amount of any allowance that the member may be paid during long service leave. These are paid at the same rank as salary under paragraph a.</w:t>
            </w:r>
          </w:p>
        </w:tc>
      </w:tr>
      <w:tr w:rsidR="008B4402" w:rsidRPr="00C9343F" w14:paraId="744B6F78" w14:textId="77777777" w:rsidTr="00A20FA0">
        <w:trPr>
          <w:cantSplit/>
        </w:trPr>
        <w:tc>
          <w:tcPr>
            <w:tcW w:w="992" w:type="dxa"/>
          </w:tcPr>
          <w:p w14:paraId="6A3D1408" w14:textId="77777777" w:rsidR="008B4402" w:rsidRPr="00C9343F" w:rsidRDefault="008B4402" w:rsidP="00F66D98">
            <w:pPr>
              <w:pStyle w:val="BlockText-Plain"/>
              <w:jc w:val="center"/>
            </w:pPr>
            <w:r w:rsidRPr="00C9343F">
              <w:t>3.</w:t>
            </w:r>
          </w:p>
        </w:tc>
        <w:tc>
          <w:tcPr>
            <w:tcW w:w="8363" w:type="dxa"/>
            <w:gridSpan w:val="2"/>
          </w:tcPr>
          <w:p w14:paraId="44365AF0" w14:textId="77777777" w:rsidR="008B4402" w:rsidRPr="00C9343F" w:rsidRDefault="008B4402" w:rsidP="00F66D98">
            <w:pPr>
              <w:pStyle w:val="BlockText-Plain"/>
            </w:pPr>
            <w:r w:rsidRPr="00C9343F">
              <w:t xml:space="preserve">If a member held more than one level of higher duties or temporary or acting rank during the period, the rate of salary is the sum of these amounts. </w:t>
            </w:r>
          </w:p>
        </w:tc>
      </w:tr>
      <w:tr w:rsidR="008B4402" w:rsidRPr="00C9343F" w14:paraId="0449801C" w14:textId="77777777" w:rsidTr="00A20FA0">
        <w:trPr>
          <w:cantSplit/>
        </w:trPr>
        <w:tc>
          <w:tcPr>
            <w:tcW w:w="992" w:type="dxa"/>
          </w:tcPr>
          <w:p w14:paraId="0D0036F9" w14:textId="77777777" w:rsidR="008B4402" w:rsidRPr="00C9343F" w:rsidRDefault="008B4402" w:rsidP="00F66D98">
            <w:pPr>
              <w:pStyle w:val="BlockText-Plain"/>
            </w:pPr>
          </w:p>
        </w:tc>
        <w:tc>
          <w:tcPr>
            <w:tcW w:w="567" w:type="dxa"/>
          </w:tcPr>
          <w:p w14:paraId="5C49A2FB" w14:textId="77777777" w:rsidR="008B4402" w:rsidRPr="00C9343F" w:rsidRDefault="008B4402" w:rsidP="008D1B5D">
            <w:pPr>
              <w:pStyle w:val="BlockText-Plain"/>
              <w:jc w:val="center"/>
            </w:pPr>
            <w:r w:rsidRPr="00C9343F">
              <w:t>a.</w:t>
            </w:r>
          </w:p>
        </w:tc>
        <w:tc>
          <w:tcPr>
            <w:tcW w:w="7796" w:type="dxa"/>
          </w:tcPr>
          <w:p w14:paraId="2C5CEEFF" w14:textId="1FF351B6" w:rsidR="008B4402" w:rsidRPr="00C9343F" w:rsidRDefault="008B4402" w:rsidP="00F66D98">
            <w:pPr>
              <w:pStyle w:val="BlockText-Plain"/>
              <w:rPr>
                <w:b/>
              </w:rPr>
            </w:pPr>
            <w:r w:rsidRPr="00C9343F">
              <w:t>The rate of salary for the lowest level of higher duties or temporary or acting rank.</w:t>
            </w:r>
            <w:r w:rsidRPr="00C9343F">
              <w:rPr>
                <w:b/>
              </w:rPr>
              <w:t xml:space="preserve"> </w:t>
            </w:r>
          </w:p>
        </w:tc>
      </w:tr>
      <w:tr w:rsidR="008B4402" w:rsidRPr="00C9343F" w14:paraId="2B26D4E7" w14:textId="77777777" w:rsidTr="00A20FA0">
        <w:trPr>
          <w:cantSplit/>
        </w:trPr>
        <w:tc>
          <w:tcPr>
            <w:tcW w:w="992" w:type="dxa"/>
          </w:tcPr>
          <w:p w14:paraId="12C472FD" w14:textId="77777777" w:rsidR="008B4402" w:rsidRPr="00C9343F" w:rsidRDefault="008B4402" w:rsidP="00F66D98">
            <w:pPr>
              <w:pStyle w:val="BlockText-Plain"/>
            </w:pPr>
          </w:p>
        </w:tc>
        <w:tc>
          <w:tcPr>
            <w:tcW w:w="567" w:type="dxa"/>
          </w:tcPr>
          <w:p w14:paraId="157C0BF6" w14:textId="77777777" w:rsidR="008B4402" w:rsidRPr="00C9343F" w:rsidRDefault="008B4402" w:rsidP="008D1B5D">
            <w:pPr>
              <w:pStyle w:val="BlockText-Plain"/>
              <w:jc w:val="center"/>
            </w:pPr>
            <w:r w:rsidRPr="00C9343F">
              <w:t>b.</w:t>
            </w:r>
          </w:p>
        </w:tc>
        <w:tc>
          <w:tcPr>
            <w:tcW w:w="7796" w:type="dxa"/>
          </w:tcPr>
          <w:p w14:paraId="7E4EABEE" w14:textId="5C923653" w:rsidR="008B4402" w:rsidRPr="00C9343F" w:rsidRDefault="008B4402" w:rsidP="00F66D98">
            <w:pPr>
              <w:pStyle w:val="BlockText-Plain"/>
              <w:keepNext/>
              <w:keepLines/>
            </w:pPr>
            <w:r w:rsidRPr="00C9343F">
              <w:t>The amount of any allowance that the member may be paid during long service leave. These are paid at the same rank as salary under paragraph a.</w:t>
            </w:r>
          </w:p>
        </w:tc>
      </w:tr>
      <w:tr w:rsidR="008B4402" w:rsidRPr="00C9343F" w14:paraId="0797643B" w14:textId="77777777" w:rsidTr="00A20FA0">
        <w:tc>
          <w:tcPr>
            <w:tcW w:w="992" w:type="dxa"/>
          </w:tcPr>
          <w:p w14:paraId="0BC27D1C" w14:textId="77777777" w:rsidR="008B4402" w:rsidRPr="00C9343F" w:rsidRDefault="008B4402" w:rsidP="00F66D98">
            <w:pPr>
              <w:pStyle w:val="BlockText-Plain"/>
              <w:jc w:val="center"/>
            </w:pPr>
            <w:r w:rsidRPr="00C9343F">
              <w:t>4.</w:t>
            </w:r>
          </w:p>
        </w:tc>
        <w:tc>
          <w:tcPr>
            <w:tcW w:w="8363" w:type="dxa"/>
            <w:gridSpan w:val="2"/>
          </w:tcPr>
          <w:p w14:paraId="3F4650D2" w14:textId="77777777" w:rsidR="008B4402" w:rsidRPr="00C9343F" w:rsidRDefault="008B4402" w:rsidP="00F66D98">
            <w:pPr>
              <w:pStyle w:val="BlockText-Plain"/>
            </w:pPr>
            <w:r w:rsidRPr="00C9343F">
              <w:t>A member's rate of salary for the higher duties, temporary or acting rank may increase after the start date and before the day before the member ceases continuous full-time service. In this case, their salary is taken to increase by the same amount.</w:t>
            </w:r>
          </w:p>
        </w:tc>
      </w:tr>
      <w:tr w:rsidR="00A20FA0" w:rsidRPr="00C9343F" w14:paraId="1BC55925" w14:textId="77777777" w:rsidTr="00A20FA0">
        <w:tc>
          <w:tcPr>
            <w:tcW w:w="992" w:type="dxa"/>
          </w:tcPr>
          <w:p w14:paraId="72DC7038" w14:textId="77777777" w:rsidR="00A20FA0" w:rsidRPr="00C9343F" w:rsidRDefault="00A20FA0" w:rsidP="00A20FA0">
            <w:pPr>
              <w:pStyle w:val="BlockText-Plain"/>
              <w:jc w:val="center"/>
            </w:pPr>
            <w:bookmarkStart w:id="1512" w:name="bk1056465326Prorataentitlement"/>
            <w:bookmarkStart w:id="1513" w:name="bk934105327Prorataentitlement"/>
            <w:bookmarkStart w:id="1514" w:name="bk1157435327Prorataentitlement"/>
            <w:r w:rsidRPr="00C9343F">
              <w:t>5.</w:t>
            </w:r>
          </w:p>
        </w:tc>
        <w:tc>
          <w:tcPr>
            <w:tcW w:w="8363" w:type="dxa"/>
            <w:gridSpan w:val="2"/>
          </w:tcPr>
          <w:p w14:paraId="0DCA0F9B" w14:textId="77777777" w:rsidR="00A20FA0" w:rsidRPr="00C9343F" w:rsidRDefault="00A20FA0" w:rsidP="00A20FA0">
            <w:pPr>
              <w:pStyle w:val="BlockText-Plain"/>
            </w:pPr>
            <w:r w:rsidRPr="00C9343F">
              <w:t>In this section, start date means the earliest of the following days.</w:t>
            </w:r>
          </w:p>
        </w:tc>
      </w:tr>
      <w:tr w:rsidR="00A20FA0" w:rsidRPr="00C9343F" w14:paraId="67F64207" w14:textId="77777777" w:rsidTr="00A20FA0">
        <w:tblPrEx>
          <w:tblLook w:val="04A0" w:firstRow="1" w:lastRow="0" w:firstColumn="1" w:lastColumn="0" w:noHBand="0" w:noVBand="1"/>
        </w:tblPrEx>
        <w:tc>
          <w:tcPr>
            <w:tcW w:w="995" w:type="dxa"/>
          </w:tcPr>
          <w:p w14:paraId="7CF99DE1" w14:textId="77777777" w:rsidR="00A20FA0" w:rsidRPr="00C9343F" w:rsidRDefault="00A20FA0" w:rsidP="00445FEB">
            <w:pPr>
              <w:pStyle w:val="BlockText-Plain"/>
              <w:spacing w:line="276" w:lineRule="auto"/>
              <w:jc w:val="center"/>
              <w:rPr>
                <w:lang w:eastAsia="en-US"/>
              </w:rPr>
            </w:pPr>
          </w:p>
        </w:tc>
        <w:tc>
          <w:tcPr>
            <w:tcW w:w="567" w:type="dxa"/>
            <w:hideMark/>
          </w:tcPr>
          <w:p w14:paraId="0F2ABED9" w14:textId="77777777" w:rsidR="00A20FA0" w:rsidRPr="00C9343F" w:rsidRDefault="00A20FA0" w:rsidP="00445FEB">
            <w:pPr>
              <w:pStyle w:val="BlockText-Plain"/>
              <w:spacing w:line="276" w:lineRule="auto"/>
              <w:jc w:val="center"/>
              <w:rPr>
                <w:lang w:eastAsia="en-US"/>
              </w:rPr>
            </w:pPr>
            <w:r w:rsidRPr="00C9343F">
              <w:rPr>
                <w:lang w:eastAsia="en-US"/>
              </w:rPr>
              <w:t>a.</w:t>
            </w:r>
          </w:p>
        </w:tc>
        <w:tc>
          <w:tcPr>
            <w:tcW w:w="7802" w:type="dxa"/>
            <w:hideMark/>
          </w:tcPr>
          <w:p w14:paraId="75E832EA" w14:textId="77777777" w:rsidR="00A20FA0" w:rsidRPr="00C9343F" w:rsidRDefault="00A20FA0" w:rsidP="00445FEB">
            <w:pPr>
              <w:pStyle w:val="BlockText-Plain"/>
              <w:spacing w:line="276" w:lineRule="auto"/>
              <w:rPr>
                <w:lang w:eastAsia="en-US"/>
              </w:rPr>
            </w:pPr>
            <w:r w:rsidRPr="00C9343F">
              <w:rPr>
                <w:lang w:eastAsia="en-US"/>
              </w:rPr>
              <w:t>The day the member met the criteria set out in section 2.2.3.</w:t>
            </w:r>
          </w:p>
        </w:tc>
      </w:tr>
      <w:tr w:rsidR="00A20FA0" w:rsidRPr="00C9343F" w14:paraId="05B84E83" w14:textId="77777777" w:rsidTr="00A20FA0">
        <w:tblPrEx>
          <w:tblLook w:val="04A0" w:firstRow="1" w:lastRow="0" w:firstColumn="1" w:lastColumn="0" w:noHBand="0" w:noVBand="1"/>
        </w:tblPrEx>
        <w:tc>
          <w:tcPr>
            <w:tcW w:w="995" w:type="dxa"/>
          </w:tcPr>
          <w:p w14:paraId="6D4FECAB" w14:textId="77777777" w:rsidR="00A20FA0" w:rsidRPr="00C9343F" w:rsidRDefault="00A20FA0" w:rsidP="00445FEB">
            <w:pPr>
              <w:pStyle w:val="BlockText-Plain"/>
              <w:spacing w:line="276" w:lineRule="auto"/>
              <w:jc w:val="center"/>
              <w:rPr>
                <w:lang w:eastAsia="en-US"/>
              </w:rPr>
            </w:pPr>
          </w:p>
        </w:tc>
        <w:tc>
          <w:tcPr>
            <w:tcW w:w="567" w:type="dxa"/>
          </w:tcPr>
          <w:p w14:paraId="2E374C11" w14:textId="77777777" w:rsidR="00A20FA0" w:rsidRPr="00C9343F" w:rsidRDefault="00A20FA0" w:rsidP="00445FEB">
            <w:pPr>
              <w:pStyle w:val="BlockText-Plain"/>
              <w:spacing w:line="276" w:lineRule="auto"/>
              <w:jc w:val="center"/>
              <w:rPr>
                <w:lang w:eastAsia="en-US"/>
              </w:rPr>
            </w:pPr>
          </w:p>
        </w:tc>
        <w:tc>
          <w:tcPr>
            <w:tcW w:w="7802" w:type="dxa"/>
            <w:hideMark/>
          </w:tcPr>
          <w:p w14:paraId="1A6DEA0A" w14:textId="77777777" w:rsidR="00A20FA0" w:rsidRPr="00C9343F" w:rsidRDefault="00A20FA0" w:rsidP="00445FEB">
            <w:pPr>
              <w:pStyle w:val="BlockText-Plain"/>
              <w:spacing w:line="276" w:lineRule="auto"/>
              <w:rPr>
                <w:lang w:eastAsia="en-US"/>
              </w:rPr>
            </w:pPr>
            <w:r w:rsidRPr="00C9343F">
              <w:rPr>
                <w:b/>
                <w:lang w:eastAsia="en-US"/>
              </w:rPr>
              <w:t>Note:</w:t>
            </w:r>
            <w:r w:rsidRPr="00C9343F">
              <w:rPr>
                <w:lang w:eastAsia="en-US"/>
              </w:rPr>
              <w:t xml:space="preserve"> Chapter 2 Part provides career transition benefits for members when they change service category or cease service with the ADF.</w:t>
            </w:r>
          </w:p>
        </w:tc>
      </w:tr>
      <w:tr w:rsidR="00A20FA0" w:rsidRPr="00C9343F" w14:paraId="019320A7" w14:textId="77777777" w:rsidTr="00A20FA0">
        <w:tblPrEx>
          <w:tblLook w:val="04A0" w:firstRow="1" w:lastRow="0" w:firstColumn="1" w:lastColumn="0" w:noHBand="0" w:noVBand="1"/>
        </w:tblPrEx>
        <w:tc>
          <w:tcPr>
            <w:tcW w:w="995" w:type="dxa"/>
          </w:tcPr>
          <w:p w14:paraId="0AA8B901" w14:textId="77777777" w:rsidR="00A20FA0" w:rsidRPr="00C9343F" w:rsidRDefault="00A20FA0" w:rsidP="00445FEB">
            <w:pPr>
              <w:pStyle w:val="BlockText-Plain"/>
              <w:spacing w:line="276" w:lineRule="auto"/>
              <w:jc w:val="center"/>
              <w:rPr>
                <w:lang w:eastAsia="en-US"/>
              </w:rPr>
            </w:pPr>
          </w:p>
        </w:tc>
        <w:tc>
          <w:tcPr>
            <w:tcW w:w="567" w:type="dxa"/>
            <w:hideMark/>
          </w:tcPr>
          <w:p w14:paraId="05CE24CC" w14:textId="77777777" w:rsidR="00A20FA0" w:rsidRPr="00C9343F" w:rsidRDefault="00A20FA0" w:rsidP="00445FEB">
            <w:pPr>
              <w:pStyle w:val="BlockText-Plain"/>
              <w:spacing w:line="276" w:lineRule="auto"/>
              <w:jc w:val="center"/>
              <w:rPr>
                <w:lang w:eastAsia="en-US"/>
              </w:rPr>
            </w:pPr>
            <w:r w:rsidRPr="00C9343F">
              <w:rPr>
                <w:lang w:eastAsia="en-US"/>
              </w:rPr>
              <w:t>b.</w:t>
            </w:r>
          </w:p>
        </w:tc>
        <w:tc>
          <w:tcPr>
            <w:tcW w:w="7802" w:type="dxa"/>
            <w:hideMark/>
          </w:tcPr>
          <w:p w14:paraId="506659E2" w14:textId="77777777" w:rsidR="00A20FA0" w:rsidRPr="00C9343F" w:rsidRDefault="00A20FA0" w:rsidP="00445FEB">
            <w:pPr>
              <w:pStyle w:val="BlockText-Plain"/>
              <w:spacing w:line="276" w:lineRule="auto"/>
              <w:rPr>
                <w:lang w:eastAsia="en-US"/>
              </w:rPr>
            </w:pPr>
            <w:r w:rsidRPr="00C9343F">
              <w:rPr>
                <w:lang w:eastAsia="en-US"/>
              </w:rPr>
              <w:t>The day the member begins a period of recreation leave or long service leave that ends immediately before the member ceases continuous full-time service.</w:t>
            </w:r>
          </w:p>
        </w:tc>
      </w:tr>
      <w:tr w:rsidR="00A20FA0" w:rsidRPr="00C9343F" w14:paraId="132D26AE" w14:textId="77777777" w:rsidTr="00A20FA0">
        <w:tblPrEx>
          <w:tblLook w:val="04A0" w:firstRow="1" w:lastRow="0" w:firstColumn="1" w:lastColumn="0" w:noHBand="0" w:noVBand="1"/>
        </w:tblPrEx>
        <w:tc>
          <w:tcPr>
            <w:tcW w:w="995" w:type="dxa"/>
          </w:tcPr>
          <w:p w14:paraId="04584937" w14:textId="77777777" w:rsidR="00A20FA0" w:rsidRPr="00C9343F" w:rsidRDefault="00A20FA0" w:rsidP="00445FEB">
            <w:pPr>
              <w:pStyle w:val="BlockText-Plain"/>
              <w:spacing w:line="276" w:lineRule="auto"/>
              <w:jc w:val="center"/>
              <w:rPr>
                <w:lang w:eastAsia="en-US"/>
              </w:rPr>
            </w:pPr>
          </w:p>
        </w:tc>
        <w:tc>
          <w:tcPr>
            <w:tcW w:w="567" w:type="dxa"/>
            <w:hideMark/>
          </w:tcPr>
          <w:p w14:paraId="49FD6C57" w14:textId="77777777" w:rsidR="00A20FA0" w:rsidRPr="00C9343F" w:rsidRDefault="00A20FA0" w:rsidP="00445FEB">
            <w:pPr>
              <w:pStyle w:val="BlockText-Plain"/>
              <w:spacing w:line="276" w:lineRule="auto"/>
              <w:jc w:val="center"/>
              <w:rPr>
                <w:lang w:eastAsia="en-US"/>
              </w:rPr>
            </w:pPr>
            <w:r w:rsidRPr="00C9343F">
              <w:rPr>
                <w:lang w:eastAsia="en-US"/>
              </w:rPr>
              <w:t>c.</w:t>
            </w:r>
          </w:p>
        </w:tc>
        <w:tc>
          <w:tcPr>
            <w:tcW w:w="7802" w:type="dxa"/>
            <w:hideMark/>
          </w:tcPr>
          <w:p w14:paraId="1A323522" w14:textId="77777777" w:rsidR="00A20FA0" w:rsidRPr="00C9343F" w:rsidRDefault="00A20FA0" w:rsidP="00445FEB">
            <w:pPr>
              <w:pStyle w:val="BlockText-Plain"/>
              <w:spacing w:line="276" w:lineRule="auto"/>
              <w:rPr>
                <w:lang w:eastAsia="en-US"/>
              </w:rPr>
            </w:pPr>
            <w:r w:rsidRPr="00C9343F">
              <w:rPr>
                <w:lang w:eastAsia="en-US"/>
              </w:rPr>
              <w:t>The day the member ceases continuous full-time service.</w:t>
            </w:r>
          </w:p>
        </w:tc>
      </w:tr>
    </w:tbl>
    <w:p w14:paraId="55ECDA0A" w14:textId="3E1C44C4" w:rsidR="008B4402" w:rsidRPr="00C9343F" w:rsidRDefault="008B4402" w:rsidP="00F66D98">
      <w:pPr>
        <w:pStyle w:val="Heading5"/>
      </w:pPr>
      <w:bookmarkStart w:id="1515" w:name="_Toc105054051"/>
      <w:r w:rsidRPr="00C9343F">
        <w:t>5.5.28</w:t>
      </w:r>
      <w:r w:rsidR="00D94006" w:rsidRPr="00C9343F">
        <w:t>    </w:t>
      </w:r>
      <w:r w:rsidRPr="00C9343F">
        <w:t>Pro rata entitlement</w:t>
      </w:r>
      <w:bookmarkEnd w:id="1515"/>
    </w:p>
    <w:tbl>
      <w:tblPr>
        <w:tblW w:w="0" w:type="auto"/>
        <w:tblInd w:w="108" w:type="dxa"/>
        <w:tblLayout w:type="fixed"/>
        <w:tblLook w:val="0000" w:firstRow="0" w:lastRow="0" w:firstColumn="0" w:lastColumn="0" w:noHBand="0" w:noVBand="0"/>
      </w:tblPr>
      <w:tblGrid>
        <w:gridCol w:w="992"/>
        <w:gridCol w:w="562"/>
        <w:gridCol w:w="9"/>
        <w:gridCol w:w="664"/>
        <w:gridCol w:w="7132"/>
        <w:gridCol w:w="6"/>
      </w:tblGrid>
      <w:tr w:rsidR="00E6361F" w:rsidRPr="00C9343F" w14:paraId="619E40F8" w14:textId="77777777" w:rsidTr="0068358F">
        <w:trPr>
          <w:gridAfter w:val="1"/>
          <w:wAfter w:w="6" w:type="dxa"/>
        </w:trPr>
        <w:tc>
          <w:tcPr>
            <w:tcW w:w="992" w:type="dxa"/>
          </w:tcPr>
          <w:bookmarkEnd w:id="1512"/>
          <w:bookmarkEnd w:id="1513"/>
          <w:bookmarkEnd w:id="1514"/>
          <w:p w14:paraId="7A758AB8" w14:textId="77777777" w:rsidR="00E6361F" w:rsidRPr="00C9343F" w:rsidRDefault="00E6361F" w:rsidP="00F66D98">
            <w:pPr>
              <w:pStyle w:val="BlockText-Plain"/>
              <w:jc w:val="center"/>
            </w:pPr>
            <w:r w:rsidRPr="00C9343F">
              <w:t>1.</w:t>
            </w:r>
          </w:p>
        </w:tc>
        <w:tc>
          <w:tcPr>
            <w:tcW w:w="8367" w:type="dxa"/>
            <w:gridSpan w:val="4"/>
          </w:tcPr>
          <w:p w14:paraId="0A57B3ED" w14:textId="77777777" w:rsidR="00E6361F" w:rsidRPr="00C9343F" w:rsidRDefault="00E6361F" w:rsidP="00F66D98">
            <w:pPr>
              <w:pStyle w:val="BlockText-Plain"/>
              <w:rPr>
                <w:iCs/>
              </w:rPr>
            </w:pPr>
            <w:r w:rsidRPr="00C9343F">
              <w:rPr>
                <w:rFonts w:ascii="Helvetica" w:hAnsi="Helvetica" w:cs="Helvetica"/>
                <w:shd w:val="clear" w:color="auto" w:fill="FFFFFF"/>
              </w:rPr>
              <w:t>A member who has more than one year but less than 10 years of accrued service may be entitled to a pro rata payment instead of long service leave. Their service must end for one of these reasons.</w:t>
            </w:r>
          </w:p>
        </w:tc>
      </w:tr>
      <w:tr w:rsidR="00E6361F" w:rsidRPr="00C9343F" w14:paraId="35AD7585" w14:textId="77777777" w:rsidTr="0068358F">
        <w:trPr>
          <w:gridAfter w:val="1"/>
          <w:wAfter w:w="6" w:type="dxa"/>
          <w:cantSplit/>
        </w:trPr>
        <w:tc>
          <w:tcPr>
            <w:tcW w:w="992" w:type="dxa"/>
          </w:tcPr>
          <w:p w14:paraId="0F2F5AF0" w14:textId="77777777" w:rsidR="00E6361F" w:rsidRPr="00C9343F" w:rsidRDefault="00E6361F" w:rsidP="00F66D98">
            <w:pPr>
              <w:pStyle w:val="BlockText-Plain"/>
            </w:pPr>
          </w:p>
        </w:tc>
        <w:tc>
          <w:tcPr>
            <w:tcW w:w="571" w:type="dxa"/>
            <w:gridSpan w:val="2"/>
          </w:tcPr>
          <w:p w14:paraId="26C071CB" w14:textId="77777777" w:rsidR="00E6361F" w:rsidRPr="00C9343F" w:rsidRDefault="00E6361F" w:rsidP="008D1B5D">
            <w:pPr>
              <w:pStyle w:val="BlockText-Plain"/>
              <w:jc w:val="center"/>
            </w:pPr>
            <w:r w:rsidRPr="00C9343F">
              <w:t>a.</w:t>
            </w:r>
          </w:p>
        </w:tc>
        <w:tc>
          <w:tcPr>
            <w:tcW w:w="7796" w:type="dxa"/>
            <w:gridSpan w:val="2"/>
          </w:tcPr>
          <w:p w14:paraId="3FDA52F6" w14:textId="77777777" w:rsidR="00E6361F" w:rsidRPr="00C9343F" w:rsidRDefault="00E6361F" w:rsidP="00F66D98">
            <w:pPr>
              <w:pStyle w:val="BlockText-Plain"/>
            </w:pPr>
            <w:r w:rsidRPr="00C9343F">
              <w:t>The member cannot usefully serve because of redundancy.</w:t>
            </w:r>
          </w:p>
        </w:tc>
      </w:tr>
      <w:tr w:rsidR="00E6361F" w:rsidRPr="00C9343F" w14:paraId="7113E067" w14:textId="77777777" w:rsidTr="0068358F">
        <w:trPr>
          <w:gridAfter w:val="1"/>
          <w:wAfter w:w="6" w:type="dxa"/>
          <w:cantSplit/>
        </w:trPr>
        <w:tc>
          <w:tcPr>
            <w:tcW w:w="992" w:type="dxa"/>
          </w:tcPr>
          <w:p w14:paraId="5A823419" w14:textId="77777777" w:rsidR="00E6361F" w:rsidRPr="00C9343F" w:rsidRDefault="00E6361F" w:rsidP="00F66D98">
            <w:pPr>
              <w:pStyle w:val="BlockText-Plain"/>
            </w:pPr>
          </w:p>
        </w:tc>
        <w:tc>
          <w:tcPr>
            <w:tcW w:w="571" w:type="dxa"/>
            <w:gridSpan w:val="2"/>
          </w:tcPr>
          <w:p w14:paraId="5015998B" w14:textId="77777777" w:rsidR="00E6361F" w:rsidRPr="00C9343F" w:rsidRDefault="00E6361F" w:rsidP="008D1B5D">
            <w:pPr>
              <w:pStyle w:val="BlockText-Plain"/>
              <w:jc w:val="center"/>
            </w:pPr>
            <w:r w:rsidRPr="00C9343F">
              <w:t>b.</w:t>
            </w:r>
          </w:p>
        </w:tc>
        <w:tc>
          <w:tcPr>
            <w:tcW w:w="7796" w:type="dxa"/>
            <w:gridSpan w:val="2"/>
          </w:tcPr>
          <w:p w14:paraId="67B04A00" w14:textId="77777777" w:rsidR="00E6361F" w:rsidRPr="00C9343F" w:rsidRDefault="00E6361F" w:rsidP="00F66D98">
            <w:pPr>
              <w:pStyle w:val="BlockText-Plain"/>
            </w:pPr>
            <w:r w:rsidRPr="00C9343F">
              <w:t>The member is medically unfit for service.</w:t>
            </w:r>
          </w:p>
        </w:tc>
      </w:tr>
      <w:tr w:rsidR="00E6361F" w:rsidRPr="00C9343F" w14:paraId="6F8B8A13" w14:textId="77777777" w:rsidTr="0068358F">
        <w:trPr>
          <w:gridAfter w:val="1"/>
          <w:wAfter w:w="6" w:type="dxa"/>
          <w:cantSplit/>
        </w:trPr>
        <w:tc>
          <w:tcPr>
            <w:tcW w:w="992" w:type="dxa"/>
          </w:tcPr>
          <w:p w14:paraId="2294B9AB" w14:textId="77777777" w:rsidR="00E6361F" w:rsidRPr="00C9343F" w:rsidRDefault="00E6361F" w:rsidP="00F66D98">
            <w:pPr>
              <w:pStyle w:val="BlockText-Plain"/>
            </w:pPr>
          </w:p>
        </w:tc>
        <w:tc>
          <w:tcPr>
            <w:tcW w:w="571" w:type="dxa"/>
            <w:gridSpan w:val="2"/>
          </w:tcPr>
          <w:p w14:paraId="3EA39E7A" w14:textId="77777777" w:rsidR="00E6361F" w:rsidRPr="00C9343F" w:rsidRDefault="00E6361F" w:rsidP="008D1B5D">
            <w:pPr>
              <w:pStyle w:val="BlockText-Plain"/>
              <w:jc w:val="center"/>
            </w:pPr>
            <w:r w:rsidRPr="00C9343F">
              <w:t>c.</w:t>
            </w:r>
          </w:p>
        </w:tc>
        <w:tc>
          <w:tcPr>
            <w:tcW w:w="7796" w:type="dxa"/>
            <w:gridSpan w:val="2"/>
          </w:tcPr>
          <w:p w14:paraId="2603817E" w14:textId="77777777" w:rsidR="00E6361F" w:rsidRPr="00C9343F" w:rsidRDefault="0068358F" w:rsidP="00F66D98">
            <w:pPr>
              <w:pStyle w:val="BlockText-Plain"/>
            </w:pPr>
            <w:r w:rsidRPr="00C9343F">
              <w:t>The member has reached the later of the following.</w:t>
            </w:r>
          </w:p>
        </w:tc>
      </w:tr>
      <w:tr w:rsidR="0068358F" w:rsidRPr="00C9343F" w14:paraId="6FEFDC49" w14:textId="77777777" w:rsidTr="0068358F">
        <w:trPr>
          <w:cantSplit/>
        </w:trPr>
        <w:tc>
          <w:tcPr>
            <w:tcW w:w="1554" w:type="dxa"/>
            <w:gridSpan w:val="2"/>
          </w:tcPr>
          <w:p w14:paraId="573CE9CC" w14:textId="77777777" w:rsidR="0068358F" w:rsidRPr="00C9343F" w:rsidRDefault="0068358F" w:rsidP="00F66D98">
            <w:pPr>
              <w:pStyle w:val="BlockText-Plain"/>
            </w:pPr>
          </w:p>
        </w:tc>
        <w:tc>
          <w:tcPr>
            <w:tcW w:w="673" w:type="dxa"/>
            <w:gridSpan w:val="2"/>
          </w:tcPr>
          <w:p w14:paraId="56E20A5B" w14:textId="77777777" w:rsidR="0068358F" w:rsidRPr="00C9343F" w:rsidRDefault="0068358F" w:rsidP="008D1B5D">
            <w:pPr>
              <w:pStyle w:val="BlockText-Plain"/>
            </w:pPr>
            <w:r w:rsidRPr="00C9343F">
              <w:t>i.</w:t>
            </w:r>
          </w:p>
        </w:tc>
        <w:tc>
          <w:tcPr>
            <w:tcW w:w="7138" w:type="dxa"/>
            <w:gridSpan w:val="2"/>
          </w:tcPr>
          <w:p w14:paraId="38B41755" w14:textId="77777777" w:rsidR="0068358F" w:rsidRPr="00C9343F" w:rsidRDefault="0068358F" w:rsidP="00F66D98">
            <w:pPr>
              <w:pStyle w:val="BlockText-Plain"/>
            </w:pPr>
            <w:r w:rsidRPr="00C9343F">
              <w:t>Their retirement age.</w:t>
            </w:r>
          </w:p>
        </w:tc>
      </w:tr>
      <w:tr w:rsidR="0068358F" w:rsidRPr="00C9343F" w14:paraId="78C91261" w14:textId="77777777" w:rsidTr="0068358F">
        <w:trPr>
          <w:cantSplit/>
        </w:trPr>
        <w:tc>
          <w:tcPr>
            <w:tcW w:w="1554" w:type="dxa"/>
            <w:gridSpan w:val="2"/>
          </w:tcPr>
          <w:p w14:paraId="5FE2D680" w14:textId="77777777" w:rsidR="0068358F" w:rsidRPr="00C9343F" w:rsidRDefault="0068358F" w:rsidP="00F66D98">
            <w:pPr>
              <w:pStyle w:val="BlockText-Plain"/>
            </w:pPr>
          </w:p>
        </w:tc>
        <w:tc>
          <w:tcPr>
            <w:tcW w:w="673" w:type="dxa"/>
            <w:gridSpan w:val="2"/>
          </w:tcPr>
          <w:p w14:paraId="1C4BE19E" w14:textId="77777777" w:rsidR="0068358F" w:rsidRPr="00C9343F" w:rsidRDefault="0068358F" w:rsidP="008D1B5D">
            <w:pPr>
              <w:pStyle w:val="BlockText-Plain"/>
            </w:pPr>
            <w:r w:rsidRPr="00C9343F">
              <w:t>ii.</w:t>
            </w:r>
          </w:p>
        </w:tc>
        <w:tc>
          <w:tcPr>
            <w:tcW w:w="7138" w:type="dxa"/>
            <w:gridSpan w:val="2"/>
          </w:tcPr>
          <w:p w14:paraId="261B1A34" w14:textId="77777777" w:rsidR="0068358F" w:rsidRPr="00C9343F" w:rsidRDefault="0068358F" w:rsidP="00F66D98">
            <w:pPr>
              <w:pStyle w:val="BlockText-Plain"/>
            </w:pPr>
            <w:r w:rsidRPr="00C9343F">
              <w:t>The day on which the member ceases to be allowed to work beyond their retirement age.</w:t>
            </w:r>
          </w:p>
        </w:tc>
      </w:tr>
      <w:tr w:rsidR="00E6361F" w:rsidRPr="00C9343F" w14:paraId="61144EF6" w14:textId="77777777" w:rsidTr="0068358F">
        <w:trPr>
          <w:gridAfter w:val="1"/>
          <w:wAfter w:w="6" w:type="dxa"/>
          <w:cantSplit/>
        </w:trPr>
        <w:tc>
          <w:tcPr>
            <w:tcW w:w="992" w:type="dxa"/>
          </w:tcPr>
          <w:p w14:paraId="54D31D1B" w14:textId="77777777" w:rsidR="00E6361F" w:rsidRPr="00C9343F" w:rsidRDefault="00E6361F" w:rsidP="00F66D98">
            <w:pPr>
              <w:pStyle w:val="BlockText-Plain"/>
            </w:pPr>
          </w:p>
        </w:tc>
        <w:tc>
          <w:tcPr>
            <w:tcW w:w="571" w:type="dxa"/>
            <w:gridSpan w:val="2"/>
          </w:tcPr>
          <w:p w14:paraId="4210770A" w14:textId="77777777" w:rsidR="00E6361F" w:rsidRPr="00C9343F" w:rsidRDefault="00E6361F" w:rsidP="008D1B5D">
            <w:pPr>
              <w:pStyle w:val="BlockText-Plain"/>
              <w:jc w:val="center"/>
            </w:pPr>
            <w:r w:rsidRPr="00C9343F">
              <w:t>d.</w:t>
            </w:r>
          </w:p>
        </w:tc>
        <w:tc>
          <w:tcPr>
            <w:tcW w:w="7796" w:type="dxa"/>
            <w:gridSpan w:val="2"/>
          </w:tcPr>
          <w:p w14:paraId="0CB3997F" w14:textId="77777777" w:rsidR="00E6361F" w:rsidRPr="00C9343F" w:rsidRDefault="00E6361F" w:rsidP="00F66D98">
            <w:pPr>
              <w:pStyle w:val="BlockText-Plain"/>
              <w:rPr>
                <w:iCs/>
              </w:rPr>
            </w:pPr>
            <w:r w:rsidRPr="00C9343F">
              <w:rPr>
                <w:iCs/>
              </w:rPr>
              <w:t>The member has received a special benefit payment under Chapter 2 Part 3 Division 3.</w:t>
            </w:r>
          </w:p>
        </w:tc>
      </w:tr>
      <w:tr w:rsidR="00E6361F" w:rsidRPr="00C9343F" w14:paraId="16A6C7C2" w14:textId="77777777" w:rsidTr="0068358F">
        <w:trPr>
          <w:gridAfter w:val="1"/>
          <w:wAfter w:w="6" w:type="dxa"/>
          <w:cantSplit/>
        </w:trPr>
        <w:tc>
          <w:tcPr>
            <w:tcW w:w="992" w:type="dxa"/>
          </w:tcPr>
          <w:p w14:paraId="63262B8D" w14:textId="77777777" w:rsidR="00E6361F" w:rsidRPr="00C9343F" w:rsidRDefault="00E6361F" w:rsidP="00F66D98">
            <w:pPr>
              <w:pStyle w:val="BlockText-Plain"/>
            </w:pPr>
          </w:p>
        </w:tc>
        <w:tc>
          <w:tcPr>
            <w:tcW w:w="571" w:type="dxa"/>
            <w:gridSpan w:val="2"/>
          </w:tcPr>
          <w:p w14:paraId="4A61A78C" w14:textId="77777777" w:rsidR="00E6361F" w:rsidRPr="00C9343F" w:rsidRDefault="00E6361F" w:rsidP="008D1B5D">
            <w:pPr>
              <w:pStyle w:val="BlockText-Plain"/>
              <w:jc w:val="center"/>
            </w:pPr>
            <w:r w:rsidRPr="00C9343F">
              <w:t>e.</w:t>
            </w:r>
          </w:p>
        </w:tc>
        <w:tc>
          <w:tcPr>
            <w:tcW w:w="7796" w:type="dxa"/>
            <w:gridSpan w:val="2"/>
          </w:tcPr>
          <w:p w14:paraId="1F659235" w14:textId="77777777" w:rsidR="00E6361F" w:rsidRPr="00C9343F" w:rsidRDefault="00E6361F" w:rsidP="00F66D98">
            <w:pPr>
              <w:pStyle w:val="BlockText-Plain"/>
              <w:rPr>
                <w:iCs/>
              </w:rPr>
            </w:pPr>
            <w:r w:rsidRPr="00C9343F">
              <w:t>The member dies.</w:t>
            </w:r>
          </w:p>
        </w:tc>
      </w:tr>
      <w:tr w:rsidR="00E6361F" w:rsidRPr="00C9343F" w14:paraId="15A260FB" w14:textId="77777777" w:rsidTr="0068358F">
        <w:trPr>
          <w:gridAfter w:val="1"/>
          <w:wAfter w:w="6" w:type="dxa"/>
        </w:trPr>
        <w:tc>
          <w:tcPr>
            <w:tcW w:w="992" w:type="dxa"/>
          </w:tcPr>
          <w:p w14:paraId="174A226A" w14:textId="77777777" w:rsidR="00E6361F" w:rsidRPr="00C9343F" w:rsidRDefault="00E6361F" w:rsidP="00F66D98">
            <w:pPr>
              <w:pStyle w:val="BlockText-Plain"/>
              <w:jc w:val="center"/>
            </w:pPr>
            <w:r w:rsidRPr="00C9343F">
              <w:t>2.</w:t>
            </w:r>
          </w:p>
        </w:tc>
        <w:tc>
          <w:tcPr>
            <w:tcW w:w="8367" w:type="dxa"/>
            <w:gridSpan w:val="4"/>
          </w:tcPr>
          <w:p w14:paraId="1216F42F" w14:textId="77777777" w:rsidR="00E6361F" w:rsidRPr="00C9343F" w:rsidRDefault="00E6361F" w:rsidP="00F66D98">
            <w:pPr>
              <w:pStyle w:val="BlockText-Plain"/>
            </w:pPr>
            <w:r w:rsidRPr="00C9343F">
              <w:t>A member (other than a member mentioned in subsection 1) who has less than 10 years of accrued service and who voluntarily ceases continuous full-time service before reaching retirement age, is not entitled to a pro rata payment instead of long service leave.</w:t>
            </w:r>
          </w:p>
        </w:tc>
      </w:tr>
      <w:tr w:rsidR="00E6361F" w:rsidRPr="00C9343F" w14:paraId="647BD423" w14:textId="77777777" w:rsidTr="0068358F">
        <w:trPr>
          <w:gridAfter w:val="1"/>
          <w:wAfter w:w="6" w:type="dxa"/>
        </w:trPr>
        <w:tc>
          <w:tcPr>
            <w:tcW w:w="992" w:type="dxa"/>
          </w:tcPr>
          <w:p w14:paraId="116F2F9D" w14:textId="77777777" w:rsidR="00E6361F" w:rsidRPr="00C9343F" w:rsidRDefault="00E6361F" w:rsidP="00F66D98">
            <w:pPr>
              <w:pStyle w:val="BlockText-Plain"/>
              <w:jc w:val="center"/>
            </w:pPr>
            <w:r w:rsidRPr="00C9343F">
              <w:t>3.</w:t>
            </w:r>
          </w:p>
        </w:tc>
        <w:tc>
          <w:tcPr>
            <w:tcW w:w="8367" w:type="dxa"/>
            <w:gridSpan w:val="4"/>
          </w:tcPr>
          <w:p w14:paraId="304BBC19" w14:textId="02C0AA09" w:rsidR="00E6361F" w:rsidRPr="00C9343F" w:rsidRDefault="00E6361F" w:rsidP="00F66D98">
            <w:pPr>
              <w:pStyle w:val="BlockText-Plain"/>
            </w:pPr>
            <w:r w:rsidRPr="00C9343F">
              <w:t>The payment is worked out using the process described in section 5.5.26.</w:t>
            </w:r>
          </w:p>
        </w:tc>
      </w:tr>
    </w:tbl>
    <w:p w14:paraId="7D86205F" w14:textId="4C3647C1" w:rsidR="00204F89" w:rsidRPr="00C9343F" w:rsidRDefault="008B4402" w:rsidP="00F66D98">
      <w:pPr>
        <w:pStyle w:val="Heading5"/>
      </w:pPr>
      <w:bookmarkStart w:id="1516" w:name="bk1547135326Alternativeoption"/>
      <w:bookmarkStart w:id="1517" w:name="bk1056475327Optionnottobepaid"/>
      <w:bookmarkStart w:id="1518" w:name="bk934105328Optionnottobepaid"/>
      <w:bookmarkStart w:id="1519" w:name="bk1157435328Optionnottobepaid"/>
      <w:bookmarkStart w:id="1520" w:name="_Toc105054052"/>
      <w:r w:rsidRPr="00C9343F">
        <w:t>5.5.29</w:t>
      </w:r>
      <w:r w:rsidR="00D94006" w:rsidRPr="00C9343F">
        <w:t>    </w:t>
      </w:r>
      <w:bookmarkEnd w:id="1516"/>
      <w:bookmarkEnd w:id="1517"/>
      <w:bookmarkEnd w:id="1518"/>
      <w:bookmarkEnd w:id="1519"/>
      <w:r w:rsidR="00204F89" w:rsidRPr="00C9343F">
        <w:t>Transfer of long service leave credits</w:t>
      </w:r>
      <w:bookmarkEnd w:id="1520"/>
    </w:p>
    <w:tbl>
      <w:tblPr>
        <w:tblW w:w="9360" w:type="dxa"/>
        <w:tblInd w:w="113" w:type="dxa"/>
        <w:tblLayout w:type="fixed"/>
        <w:tblLook w:val="0000" w:firstRow="0" w:lastRow="0" w:firstColumn="0" w:lastColumn="0" w:noHBand="0" w:noVBand="0"/>
      </w:tblPr>
      <w:tblGrid>
        <w:gridCol w:w="992"/>
        <w:gridCol w:w="563"/>
        <w:gridCol w:w="567"/>
        <w:gridCol w:w="7238"/>
      </w:tblGrid>
      <w:tr w:rsidR="00204F89" w:rsidRPr="00C9343F" w14:paraId="695B9495" w14:textId="77777777" w:rsidTr="00204F89">
        <w:tc>
          <w:tcPr>
            <w:tcW w:w="992" w:type="dxa"/>
          </w:tcPr>
          <w:p w14:paraId="1D94DEAA" w14:textId="77777777" w:rsidR="00204F89" w:rsidRPr="00C9343F" w:rsidRDefault="00204F89" w:rsidP="00F66D98">
            <w:pPr>
              <w:pStyle w:val="BlockText-Plain"/>
              <w:jc w:val="center"/>
            </w:pPr>
            <w:r w:rsidRPr="00C9343F">
              <w:t>1.</w:t>
            </w:r>
          </w:p>
        </w:tc>
        <w:tc>
          <w:tcPr>
            <w:tcW w:w="8368" w:type="dxa"/>
            <w:gridSpan w:val="3"/>
          </w:tcPr>
          <w:p w14:paraId="732EE6DD" w14:textId="77777777" w:rsidR="00204F89" w:rsidRPr="00C9343F" w:rsidRDefault="00204F89" w:rsidP="00F66D98">
            <w:pPr>
              <w:pStyle w:val="BlockText-Plain"/>
            </w:pPr>
            <w:r w:rsidRPr="00C9343F">
              <w:t>This section applies to a member to whom all of the following apply.</w:t>
            </w:r>
          </w:p>
        </w:tc>
      </w:tr>
      <w:tr w:rsidR="00204F89" w:rsidRPr="00C9343F" w14:paraId="4A4BCCDB" w14:textId="77777777" w:rsidTr="00204F89">
        <w:tblPrEx>
          <w:tblLook w:val="04A0" w:firstRow="1" w:lastRow="0" w:firstColumn="1" w:lastColumn="0" w:noHBand="0" w:noVBand="1"/>
        </w:tblPrEx>
        <w:tc>
          <w:tcPr>
            <w:tcW w:w="992" w:type="dxa"/>
          </w:tcPr>
          <w:p w14:paraId="79601255" w14:textId="77777777" w:rsidR="00204F89" w:rsidRPr="00C9343F" w:rsidRDefault="00204F89" w:rsidP="00F66D98">
            <w:pPr>
              <w:pStyle w:val="BlockText-Plain"/>
              <w:jc w:val="center"/>
              <w:rPr>
                <w:lang w:eastAsia="en-US"/>
              </w:rPr>
            </w:pPr>
          </w:p>
        </w:tc>
        <w:tc>
          <w:tcPr>
            <w:tcW w:w="563" w:type="dxa"/>
            <w:hideMark/>
          </w:tcPr>
          <w:p w14:paraId="75AC50E5" w14:textId="77777777" w:rsidR="00204F89" w:rsidRPr="00C9343F" w:rsidRDefault="00204F89" w:rsidP="00F66D98">
            <w:pPr>
              <w:pStyle w:val="BlockText-Plain"/>
              <w:jc w:val="center"/>
              <w:rPr>
                <w:rFonts w:cs="Arial"/>
                <w:lang w:eastAsia="en-US"/>
              </w:rPr>
            </w:pPr>
            <w:r w:rsidRPr="00C9343F">
              <w:rPr>
                <w:rFonts w:cs="Arial"/>
                <w:lang w:eastAsia="en-US"/>
              </w:rPr>
              <w:t>a.</w:t>
            </w:r>
          </w:p>
        </w:tc>
        <w:tc>
          <w:tcPr>
            <w:tcW w:w="7805" w:type="dxa"/>
            <w:gridSpan w:val="2"/>
          </w:tcPr>
          <w:p w14:paraId="6EA85182" w14:textId="77777777" w:rsidR="00204F89" w:rsidRPr="00C9343F" w:rsidRDefault="00204F89" w:rsidP="00F66D98">
            <w:pPr>
              <w:pStyle w:val="BlockText-Plain"/>
              <w:rPr>
                <w:rFonts w:cs="Arial"/>
                <w:lang w:eastAsia="en-US"/>
              </w:rPr>
            </w:pPr>
            <w:r w:rsidRPr="00C9343F">
              <w:t>The member has ceased continuous full-time service.</w:t>
            </w:r>
          </w:p>
        </w:tc>
      </w:tr>
      <w:tr w:rsidR="00204F89" w:rsidRPr="00C9343F" w14:paraId="63A80AEA" w14:textId="77777777" w:rsidTr="00204F89">
        <w:tblPrEx>
          <w:tblLook w:val="04A0" w:firstRow="1" w:lastRow="0" w:firstColumn="1" w:lastColumn="0" w:noHBand="0" w:noVBand="1"/>
        </w:tblPrEx>
        <w:tc>
          <w:tcPr>
            <w:tcW w:w="992" w:type="dxa"/>
          </w:tcPr>
          <w:p w14:paraId="58FEC54C" w14:textId="77777777" w:rsidR="00204F89" w:rsidRPr="00C9343F" w:rsidRDefault="00204F89" w:rsidP="00F66D98">
            <w:pPr>
              <w:pStyle w:val="BlockText-Plain"/>
              <w:jc w:val="center"/>
              <w:rPr>
                <w:lang w:eastAsia="en-US"/>
              </w:rPr>
            </w:pPr>
          </w:p>
        </w:tc>
        <w:tc>
          <w:tcPr>
            <w:tcW w:w="563" w:type="dxa"/>
          </w:tcPr>
          <w:p w14:paraId="40E3E959" w14:textId="77777777" w:rsidR="00204F89" w:rsidRPr="00C9343F" w:rsidRDefault="00204F89" w:rsidP="00F66D98">
            <w:pPr>
              <w:pStyle w:val="BlockText-Plain"/>
              <w:jc w:val="center"/>
              <w:rPr>
                <w:rFonts w:cs="Arial"/>
                <w:lang w:eastAsia="en-US"/>
              </w:rPr>
            </w:pPr>
            <w:r w:rsidRPr="00C9343F">
              <w:rPr>
                <w:rFonts w:cs="Arial"/>
                <w:lang w:eastAsia="en-US"/>
              </w:rPr>
              <w:t>b.</w:t>
            </w:r>
          </w:p>
        </w:tc>
        <w:tc>
          <w:tcPr>
            <w:tcW w:w="7805" w:type="dxa"/>
            <w:gridSpan w:val="2"/>
          </w:tcPr>
          <w:p w14:paraId="027BD506" w14:textId="77777777" w:rsidR="00204F89" w:rsidRPr="00C9343F" w:rsidRDefault="00204F89" w:rsidP="00F66D98">
            <w:pPr>
              <w:pStyle w:val="BlockText-Plain"/>
            </w:pPr>
            <w:r w:rsidRPr="00C9343F">
              <w:t xml:space="preserve">The member is eligible for payment instead of long service leave. </w:t>
            </w:r>
          </w:p>
        </w:tc>
      </w:tr>
      <w:tr w:rsidR="00204F89" w:rsidRPr="00C9343F" w14:paraId="5819155C" w14:textId="77777777" w:rsidTr="00204F89">
        <w:tblPrEx>
          <w:tblLook w:val="04A0" w:firstRow="1" w:lastRow="0" w:firstColumn="1" w:lastColumn="0" w:noHBand="0" w:noVBand="1"/>
        </w:tblPrEx>
        <w:tc>
          <w:tcPr>
            <w:tcW w:w="992" w:type="dxa"/>
          </w:tcPr>
          <w:p w14:paraId="40B794A4" w14:textId="77777777" w:rsidR="00204F89" w:rsidRPr="00C9343F" w:rsidRDefault="00204F89" w:rsidP="00F66D98">
            <w:pPr>
              <w:pStyle w:val="BlockText-Plain"/>
              <w:jc w:val="center"/>
              <w:rPr>
                <w:lang w:eastAsia="en-US"/>
              </w:rPr>
            </w:pPr>
          </w:p>
        </w:tc>
        <w:tc>
          <w:tcPr>
            <w:tcW w:w="563" w:type="dxa"/>
            <w:hideMark/>
          </w:tcPr>
          <w:p w14:paraId="5DCE3C0E" w14:textId="77777777" w:rsidR="00204F89" w:rsidRPr="00C9343F" w:rsidRDefault="00204F89" w:rsidP="00F66D98">
            <w:pPr>
              <w:pStyle w:val="BlockText-Plain"/>
              <w:jc w:val="center"/>
              <w:rPr>
                <w:rFonts w:cs="Arial"/>
                <w:lang w:eastAsia="en-US"/>
              </w:rPr>
            </w:pPr>
            <w:r w:rsidRPr="00C9343F">
              <w:rPr>
                <w:rFonts w:cs="Arial"/>
                <w:lang w:eastAsia="en-US"/>
              </w:rPr>
              <w:t>c.</w:t>
            </w:r>
          </w:p>
        </w:tc>
        <w:tc>
          <w:tcPr>
            <w:tcW w:w="7805" w:type="dxa"/>
            <w:gridSpan w:val="2"/>
          </w:tcPr>
          <w:p w14:paraId="4BE2D52E" w14:textId="77777777" w:rsidR="00204F89" w:rsidRPr="00C9343F" w:rsidRDefault="00204F89" w:rsidP="00F66D98">
            <w:pPr>
              <w:pStyle w:val="BlockText-Plain"/>
              <w:rPr>
                <w:rFonts w:cs="Arial"/>
                <w:lang w:eastAsia="en-US"/>
              </w:rPr>
            </w:pPr>
            <w:r w:rsidRPr="00C9343F">
              <w:t>The member has elected to transfer all or part of their long service leave credits to a new employer that is a Commonwealth entity.</w:t>
            </w:r>
          </w:p>
        </w:tc>
      </w:tr>
      <w:tr w:rsidR="00204F89" w:rsidRPr="00C9343F" w14:paraId="133661A1" w14:textId="77777777" w:rsidTr="00204F89">
        <w:tblPrEx>
          <w:tblLook w:val="04A0" w:firstRow="1" w:lastRow="0" w:firstColumn="1" w:lastColumn="0" w:noHBand="0" w:noVBand="1"/>
        </w:tblPrEx>
        <w:tc>
          <w:tcPr>
            <w:tcW w:w="992" w:type="dxa"/>
          </w:tcPr>
          <w:p w14:paraId="5555477B" w14:textId="77777777" w:rsidR="00204F89" w:rsidRPr="00C9343F" w:rsidRDefault="00204F89" w:rsidP="00F66D98">
            <w:pPr>
              <w:pStyle w:val="BlockText-Plain"/>
              <w:jc w:val="center"/>
              <w:rPr>
                <w:lang w:eastAsia="en-US"/>
              </w:rPr>
            </w:pPr>
          </w:p>
        </w:tc>
        <w:tc>
          <w:tcPr>
            <w:tcW w:w="563" w:type="dxa"/>
          </w:tcPr>
          <w:p w14:paraId="43A42A73" w14:textId="77777777" w:rsidR="00204F89" w:rsidRPr="00C9343F" w:rsidRDefault="00204F89" w:rsidP="00F66D98">
            <w:pPr>
              <w:pStyle w:val="BlockText-Plain"/>
              <w:jc w:val="center"/>
              <w:rPr>
                <w:rFonts w:cs="Arial"/>
                <w:lang w:eastAsia="en-US"/>
              </w:rPr>
            </w:pPr>
            <w:r w:rsidRPr="00C9343F">
              <w:rPr>
                <w:rFonts w:cs="Arial"/>
                <w:lang w:eastAsia="en-US"/>
              </w:rPr>
              <w:t>d.</w:t>
            </w:r>
          </w:p>
        </w:tc>
        <w:tc>
          <w:tcPr>
            <w:tcW w:w="7805" w:type="dxa"/>
            <w:gridSpan w:val="2"/>
          </w:tcPr>
          <w:p w14:paraId="0BFD65C8" w14:textId="77777777" w:rsidR="00204F89" w:rsidRPr="00C9343F" w:rsidRDefault="00204F89" w:rsidP="00F66D98">
            <w:pPr>
              <w:pStyle w:val="BlockText-Plain"/>
            </w:pPr>
            <w:r w:rsidRPr="00C9343F">
              <w:t>The election made under paragraph c was made not less than 30 days before the date that they ceased continuous full-time service.</w:t>
            </w:r>
          </w:p>
        </w:tc>
      </w:tr>
      <w:tr w:rsidR="00204F89" w:rsidRPr="00C9343F" w14:paraId="22217F99" w14:textId="77777777" w:rsidTr="00204F89">
        <w:tblPrEx>
          <w:tblLook w:val="04A0" w:firstRow="1" w:lastRow="0" w:firstColumn="1" w:lastColumn="0" w:noHBand="0" w:noVBand="1"/>
        </w:tblPrEx>
        <w:tc>
          <w:tcPr>
            <w:tcW w:w="992" w:type="dxa"/>
          </w:tcPr>
          <w:p w14:paraId="284C2B44" w14:textId="77777777" w:rsidR="00204F89" w:rsidRPr="00C9343F" w:rsidRDefault="00204F89" w:rsidP="00F66D98">
            <w:pPr>
              <w:pStyle w:val="BlockText-Plain"/>
              <w:jc w:val="center"/>
              <w:rPr>
                <w:lang w:eastAsia="en-US"/>
              </w:rPr>
            </w:pPr>
          </w:p>
        </w:tc>
        <w:tc>
          <w:tcPr>
            <w:tcW w:w="563" w:type="dxa"/>
            <w:hideMark/>
          </w:tcPr>
          <w:p w14:paraId="0D249803" w14:textId="77777777" w:rsidR="00204F89" w:rsidRPr="00C9343F" w:rsidRDefault="00204F89" w:rsidP="00F66D98">
            <w:pPr>
              <w:pStyle w:val="BlockText-Plain"/>
              <w:jc w:val="center"/>
              <w:rPr>
                <w:rFonts w:cs="Arial"/>
                <w:lang w:eastAsia="en-US"/>
              </w:rPr>
            </w:pPr>
            <w:r w:rsidRPr="00C9343F">
              <w:rPr>
                <w:rFonts w:cs="Arial"/>
                <w:lang w:eastAsia="en-US"/>
              </w:rPr>
              <w:t>e.</w:t>
            </w:r>
          </w:p>
        </w:tc>
        <w:tc>
          <w:tcPr>
            <w:tcW w:w="7805" w:type="dxa"/>
            <w:gridSpan w:val="2"/>
          </w:tcPr>
          <w:p w14:paraId="4FE8696E" w14:textId="77777777" w:rsidR="00204F89" w:rsidRPr="00C9343F" w:rsidRDefault="00204F89" w:rsidP="00F66D98">
            <w:pPr>
              <w:pStyle w:val="BlockText-Plain"/>
              <w:rPr>
                <w:rFonts w:cs="Arial"/>
                <w:lang w:eastAsia="en-US"/>
              </w:rPr>
            </w:pPr>
            <w:r w:rsidRPr="00C9343F">
              <w:t>The new employer has agreed to the transfer.</w:t>
            </w:r>
          </w:p>
        </w:tc>
      </w:tr>
      <w:tr w:rsidR="00204F89" w:rsidRPr="00C9343F" w14:paraId="4ECFD6A8" w14:textId="77777777" w:rsidTr="00204F89">
        <w:tc>
          <w:tcPr>
            <w:tcW w:w="992" w:type="dxa"/>
          </w:tcPr>
          <w:p w14:paraId="7A28D3DD" w14:textId="77777777" w:rsidR="00204F89" w:rsidRPr="00C9343F" w:rsidRDefault="00204F89" w:rsidP="00F66D98">
            <w:pPr>
              <w:pStyle w:val="BlockText-Plain"/>
              <w:jc w:val="center"/>
            </w:pPr>
            <w:r w:rsidRPr="00C9343F">
              <w:t>2.</w:t>
            </w:r>
          </w:p>
        </w:tc>
        <w:tc>
          <w:tcPr>
            <w:tcW w:w="8368" w:type="dxa"/>
            <w:gridSpan w:val="3"/>
          </w:tcPr>
          <w:p w14:paraId="0B54C9D6" w14:textId="77777777" w:rsidR="00204F89" w:rsidRPr="00C9343F" w:rsidRDefault="00204F89" w:rsidP="00F66D98">
            <w:pPr>
              <w:pStyle w:val="BlockText-Plain"/>
            </w:pPr>
            <w:r w:rsidRPr="00C9343F">
              <w:t>A member is eligible for the following.</w:t>
            </w:r>
          </w:p>
        </w:tc>
      </w:tr>
      <w:tr w:rsidR="00204F89" w:rsidRPr="00C9343F" w14:paraId="01A095AD" w14:textId="77777777" w:rsidTr="00204F89">
        <w:tblPrEx>
          <w:tblLook w:val="04A0" w:firstRow="1" w:lastRow="0" w:firstColumn="1" w:lastColumn="0" w:noHBand="0" w:noVBand="1"/>
        </w:tblPrEx>
        <w:tc>
          <w:tcPr>
            <w:tcW w:w="992" w:type="dxa"/>
          </w:tcPr>
          <w:p w14:paraId="166AC28D" w14:textId="77777777" w:rsidR="00204F89" w:rsidRPr="00C9343F" w:rsidRDefault="00204F89" w:rsidP="00F66D98">
            <w:pPr>
              <w:pStyle w:val="BlockText-Plain"/>
              <w:jc w:val="center"/>
              <w:rPr>
                <w:lang w:eastAsia="en-US"/>
              </w:rPr>
            </w:pPr>
          </w:p>
        </w:tc>
        <w:tc>
          <w:tcPr>
            <w:tcW w:w="563" w:type="dxa"/>
            <w:hideMark/>
          </w:tcPr>
          <w:p w14:paraId="18B654B2" w14:textId="77777777" w:rsidR="00204F89" w:rsidRPr="00C9343F" w:rsidRDefault="00204F89" w:rsidP="00F66D98">
            <w:pPr>
              <w:pStyle w:val="BlockText-Plain"/>
              <w:jc w:val="center"/>
              <w:rPr>
                <w:rFonts w:cs="Arial"/>
                <w:lang w:eastAsia="en-US"/>
              </w:rPr>
            </w:pPr>
            <w:r w:rsidRPr="00C9343F">
              <w:rPr>
                <w:rFonts w:cs="Arial"/>
                <w:lang w:eastAsia="en-US"/>
              </w:rPr>
              <w:t>a.</w:t>
            </w:r>
          </w:p>
        </w:tc>
        <w:tc>
          <w:tcPr>
            <w:tcW w:w="7805" w:type="dxa"/>
            <w:gridSpan w:val="2"/>
          </w:tcPr>
          <w:p w14:paraId="25DBF05B" w14:textId="77777777" w:rsidR="00204F89" w:rsidRPr="00C9343F" w:rsidRDefault="00204F89" w:rsidP="00F66D98">
            <w:pPr>
              <w:pStyle w:val="BlockText-Plain"/>
              <w:rPr>
                <w:rFonts w:cs="Arial"/>
                <w:lang w:eastAsia="en-US"/>
              </w:rPr>
            </w:pPr>
            <w:r w:rsidRPr="00C9343F">
              <w:rPr>
                <w:rFonts w:cs="Arial"/>
                <w:lang w:eastAsia="en-US"/>
              </w:rPr>
              <w:t>To have an amount of long service leave equal to the long service leave credits the member elected to be transferred to the new employer.</w:t>
            </w:r>
          </w:p>
        </w:tc>
      </w:tr>
      <w:tr w:rsidR="00204F89" w:rsidRPr="00C9343F" w14:paraId="34C6703B" w14:textId="77777777" w:rsidTr="00204F89">
        <w:tblPrEx>
          <w:tblLook w:val="04A0" w:firstRow="1" w:lastRow="0" w:firstColumn="1" w:lastColumn="0" w:noHBand="0" w:noVBand="1"/>
        </w:tblPrEx>
        <w:tc>
          <w:tcPr>
            <w:tcW w:w="992" w:type="dxa"/>
          </w:tcPr>
          <w:p w14:paraId="089AAD52" w14:textId="77777777" w:rsidR="00204F89" w:rsidRPr="00C9343F" w:rsidRDefault="00204F89" w:rsidP="00F66D98">
            <w:pPr>
              <w:pStyle w:val="BlockText-Plain"/>
              <w:jc w:val="center"/>
              <w:rPr>
                <w:lang w:eastAsia="en-US"/>
              </w:rPr>
            </w:pPr>
          </w:p>
        </w:tc>
        <w:tc>
          <w:tcPr>
            <w:tcW w:w="563" w:type="dxa"/>
            <w:hideMark/>
          </w:tcPr>
          <w:p w14:paraId="30F7E15B" w14:textId="77777777" w:rsidR="00204F89" w:rsidRPr="00C9343F" w:rsidRDefault="00204F89" w:rsidP="00F66D98">
            <w:pPr>
              <w:pStyle w:val="BlockText-Plain"/>
              <w:jc w:val="center"/>
              <w:rPr>
                <w:rFonts w:cs="Arial"/>
                <w:lang w:eastAsia="en-US"/>
              </w:rPr>
            </w:pPr>
            <w:r w:rsidRPr="00C9343F">
              <w:rPr>
                <w:rFonts w:cs="Arial"/>
                <w:lang w:eastAsia="en-US"/>
              </w:rPr>
              <w:t>b.</w:t>
            </w:r>
          </w:p>
        </w:tc>
        <w:tc>
          <w:tcPr>
            <w:tcW w:w="7805" w:type="dxa"/>
            <w:gridSpan w:val="2"/>
          </w:tcPr>
          <w:p w14:paraId="308D38BD" w14:textId="77777777" w:rsidR="00204F89" w:rsidRPr="00C9343F" w:rsidRDefault="00204F89" w:rsidP="00F66D98">
            <w:pPr>
              <w:pStyle w:val="BlockText-Plain"/>
              <w:rPr>
                <w:rFonts w:cs="Arial"/>
                <w:lang w:eastAsia="en-US"/>
              </w:rPr>
            </w:pPr>
            <w:r w:rsidRPr="00C9343F">
              <w:t xml:space="preserve">To be paid an amount being equal to the difference between the following. </w:t>
            </w:r>
          </w:p>
        </w:tc>
      </w:tr>
      <w:tr w:rsidR="00204F89" w:rsidRPr="00C9343F" w14:paraId="48882255" w14:textId="77777777" w:rsidTr="00204F89">
        <w:tblPrEx>
          <w:tblLook w:val="04A0" w:firstRow="1" w:lastRow="0" w:firstColumn="1" w:lastColumn="0" w:noHBand="0" w:noVBand="1"/>
        </w:tblPrEx>
        <w:tc>
          <w:tcPr>
            <w:tcW w:w="992" w:type="dxa"/>
          </w:tcPr>
          <w:p w14:paraId="3BCC6728" w14:textId="77777777" w:rsidR="00204F89" w:rsidRPr="00C9343F" w:rsidRDefault="00204F89" w:rsidP="00F66D98">
            <w:pPr>
              <w:pStyle w:val="BlockText-Plain"/>
              <w:jc w:val="center"/>
              <w:rPr>
                <w:lang w:eastAsia="en-US"/>
              </w:rPr>
            </w:pPr>
          </w:p>
        </w:tc>
        <w:tc>
          <w:tcPr>
            <w:tcW w:w="563" w:type="dxa"/>
            <w:hideMark/>
          </w:tcPr>
          <w:p w14:paraId="2B9E31F3" w14:textId="77777777" w:rsidR="00204F89" w:rsidRPr="00C9343F" w:rsidRDefault="00204F89" w:rsidP="00F66D98">
            <w:pPr>
              <w:pStyle w:val="BlockText-Plain"/>
              <w:rPr>
                <w:rFonts w:cs="Arial"/>
                <w:lang w:eastAsia="en-US"/>
              </w:rPr>
            </w:pPr>
          </w:p>
        </w:tc>
        <w:tc>
          <w:tcPr>
            <w:tcW w:w="567" w:type="dxa"/>
          </w:tcPr>
          <w:p w14:paraId="6EEF1349" w14:textId="77777777" w:rsidR="00204F89" w:rsidRPr="00C9343F" w:rsidRDefault="00204F89" w:rsidP="00E62EB5">
            <w:pPr>
              <w:pStyle w:val="BlockText-Plain"/>
              <w:rPr>
                <w:rFonts w:cs="Arial"/>
                <w:lang w:eastAsia="en-US"/>
              </w:rPr>
            </w:pPr>
            <w:r w:rsidRPr="00C9343F">
              <w:rPr>
                <w:rFonts w:cs="Arial"/>
                <w:lang w:eastAsia="en-US"/>
              </w:rPr>
              <w:t>i.</w:t>
            </w:r>
          </w:p>
        </w:tc>
        <w:tc>
          <w:tcPr>
            <w:tcW w:w="7238" w:type="dxa"/>
          </w:tcPr>
          <w:p w14:paraId="64C3D9D1" w14:textId="77777777" w:rsidR="00204F89" w:rsidRPr="00C9343F" w:rsidRDefault="00204F89" w:rsidP="00F66D98">
            <w:pPr>
              <w:pStyle w:val="BlockText-Plain"/>
              <w:rPr>
                <w:rFonts w:cs="Arial"/>
                <w:lang w:eastAsia="en-US"/>
              </w:rPr>
            </w:pPr>
            <w:r w:rsidRPr="00C9343F">
              <w:t xml:space="preserve">The member’s long service leave credits held by the member on ceasing continuous full-time service. </w:t>
            </w:r>
          </w:p>
        </w:tc>
      </w:tr>
      <w:tr w:rsidR="00204F89" w:rsidRPr="00C9343F" w14:paraId="6001B08B" w14:textId="77777777" w:rsidTr="00204F89">
        <w:tblPrEx>
          <w:tblLook w:val="04A0" w:firstRow="1" w:lastRow="0" w:firstColumn="1" w:lastColumn="0" w:noHBand="0" w:noVBand="1"/>
        </w:tblPrEx>
        <w:tc>
          <w:tcPr>
            <w:tcW w:w="992" w:type="dxa"/>
          </w:tcPr>
          <w:p w14:paraId="2999F6F0" w14:textId="77777777" w:rsidR="00204F89" w:rsidRPr="00C9343F" w:rsidRDefault="00204F89" w:rsidP="00F66D98">
            <w:pPr>
              <w:pStyle w:val="BlockText-Plain"/>
              <w:jc w:val="center"/>
              <w:rPr>
                <w:lang w:eastAsia="en-US"/>
              </w:rPr>
            </w:pPr>
          </w:p>
        </w:tc>
        <w:tc>
          <w:tcPr>
            <w:tcW w:w="563" w:type="dxa"/>
          </w:tcPr>
          <w:p w14:paraId="12A329C9" w14:textId="77777777" w:rsidR="00204F89" w:rsidRPr="00C9343F" w:rsidRDefault="00204F89" w:rsidP="00F66D98">
            <w:pPr>
              <w:pStyle w:val="BlockText-Plain"/>
              <w:rPr>
                <w:rFonts w:cs="Arial"/>
                <w:lang w:eastAsia="en-US"/>
              </w:rPr>
            </w:pPr>
          </w:p>
        </w:tc>
        <w:tc>
          <w:tcPr>
            <w:tcW w:w="567" w:type="dxa"/>
          </w:tcPr>
          <w:p w14:paraId="1886BA45" w14:textId="77777777" w:rsidR="00204F89" w:rsidRPr="00C9343F" w:rsidRDefault="00204F89" w:rsidP="00E62EB5">
            <w:pPr>
              <w:pStyle w:val="BlockText-Plain"/>
              <w:rPr>
                <w:rFonts w:cs="Arial"/>
                <w:lang w:eastAsia="en-US"/>
              </w:rPr>
            </w:pPr>
            <w:r w:rsidRPr="00C9343F">
              <w:rPr>
                <w:rFonts w:cs="Arial"/>
                <w:lang w:eastAsia="en-US"/>
              </w:rPr>
              <w:t>ii.</w:t>
            </w:r>
          </w:p>
        </w:tc>
        <w:tc>
          <w:tcPr>
            <w:tcW w:w="7238" w:type="dxa"/>
          </w:tcPr>
          <w:p w14:paraId="03A4B007" w14:textId="77777777" w:rsidR="00204F89" w:rsidRPr="00C9343F" w:rsidRDefault="00204F89" w:rsidP="00F66D98">
            <w:pPr>
              <w:pStyle w:val="BlockText-Plain"/>
            </w:pPr>
            <w:r w:rsidRPr="00C9343F">
              <w:rPr>
                <w:rFonts w:cs="Arial"/>
                <w:lang w:eastAsia="en-US"/>
              </w:rPr>
              <w:t>T</w:t>
            </w:r>
            <w:r w:rsidRPr="00C9343F">
              <w:t>he long service leave credits transferred to the new employer under paragraph a.</w:t>
            </w:r>
          </w:p>
        </w:tc>
      </w:tr>
      <w:tr w:rsidR="00204F89" w:rsidRPr="00C9343F" w14:paraId="6EEEC51D" w14:textId="77777777" w:rsidTr="00204F89">
        <w:tblPrEx>
          <w:tblLook w:val="04A0" w:firstRow="1" w:lastRow="0" w:firstColumn="1" w:lastColumn="0" w:noHBand="0" w:noVBand="1"/>
        </w:tblPrEx>
        <w:tc>
          <w:tcPr>
            <w:tcW w:w="992" w:type="dxa"/>
          </w:tcPr>
          <w:p w14:paraId="3BDEA095" w14:textId="77777777" w:rsidR="00204F89" w:rsidRPr="00C9343F" w:rsidRDefault="00204F89" w:rsidP="00F66D98">
            <w:pPr>
              <w:pStyle w:val="BlockText-Plain"/>
              <w:jc w:val="center"/>
              <w:rPr>
                <w:lang w:eastAsia="en-US"/>
              </w:rPr>
            </w:pPr>
            <w:r w:rsidRPr="00C9343F">
              <w:rPr>
                <w:lang w:eastAsia="en-US"/>
              </w:rPr>
              <w:t>3.</w:t>
            </w:r>
          </w:p>
        </w:tc>
        <w:tc>
          <w:tcPr>
            <w:tcW w:w="8368" w:type="dxa"/>
            <w:gridSpan w:val="3"/>
          </w:tcPr>
          <w:p w14:paraId="66C35708" w14:textId="77777777" w:rsidR="00204F89" w:rsidRPr="00C9343F" w:rsidRDefault="00204F89" w:rsidP="00F66D98">
            <w:pPr>
              <w:pStyle w:val="BlockText-Plain"/>
              <w:rPr>
                <w:rFonts w:cs="Arial"/>
                <w:lang w:eastAsia="en-US"/>
              </w:rPr>
            </w:pPr>
            <w:r w:rsidRPr="00C9343F">
              <w:t>A member who does not commence employment with a Commonwealth agency within 12 months of ceasing continuous full-time service is eligible to be paid an amount equal to the long service leave credits the member elected to transfer to the new employer under paragraph 2.a.</w:t>
            </w:r>
          </w:p>
        </w:tc>
      </w:tr>
    </w:tbl>
    <w:p w14:paraId="78DFB70E" w14:textId="5C0C3CF9" w:rsidR="00B30B05" w:rsidRPr="00C9343F" w:rsidRDefault="00B30B05" w:rsidP="00F66D98">
      <w:pPr>
        <w:sectPr w:rsidR="00B30B05" w:rsidRPr="00C9343F" w:rsidSect="00C0188F">
          <w:pgSz w:w="11907" w:h="16840" w:code="9"/>
          <w:pgMar w:top="1134" w:right="1134" w:bottom="992" w:left="1418" w:header="720" w:footer="720" w:gutter="0"/>
          <w:cols w:space="720"/>
        </w:sectPr>
      </w:pPr>
      <w:bookmarkStart w:id="1521" w:name="bk134427541Purpose"/>
    </w:p>
    <w:p w14:paraId="397E988F" w14:textId="77777777" w:rsidR="008B4402" w:rsidRPr="00C9343F" w:rsidRDefault="008B4402" w:rsidP="00F66D98">
      <w:pPr>
        <w:pStyle w:val="Heading3"/>
      </w:pPr>
      <w:bookmarkStart w:id="1522" w:name="_Toc105054053"/>
      <w:r w:rsidRPr="00C9343F">
        <w:t>Part 6: Maternity leave</w:t>
      </w:r>
      <w:bookmarkEnd w:id="1522"/>
    </w:p>
    <w:p w14:paraId="48AF852F" w14:textId="14F0F1A0" w:rsidR="008B4402" w:rsidRPr="00C9343F" w:rsidRDefault="008B4402" w:rsidP="00F66D98">
      <w:pPr>
        <w:pStyle w:val="Heading5"/>
      </w:pPr>
      <w:bookmarkStart w:id="1523" w:name="_Toc105054054"/>
      <w:r w:rsidRPr="00C9343F">
        <w:t>5.6.1</w:t>
      </w:r>
      <w:r w:rsidR="00D94006" w:rsidRPr="00C9343F">
        <w:t>    </w:t>
      </w:r>
      <w:r w:rsidRPr="00C9343F">
        <w:t>Purpose</w:t>
      </w:r>
      <w:bookmarkEnd w:id="1523"/>
    </w:p>
    <w:bookmarkEnd w:id="1521"/>
    <w:tbl>
      <w:tblPr>
        <w:tblW w:w="0" w:type="auto"/>
        <w:tblInd w:w="113" w:type="dxa"/>
        <w:tblLayout w:type="fixed"/>
        <w:tblLook w:val="0000" w:firstRow="0" w:lastRow="0" w:firstColumn="0" w:lastColumn="0" w:noHBand="0" w:noVBand="0"/>
      </w:tblPr>
      <w:tblGrid>
        <w:gridCol w:w="992"/>
        <w:gridCol w:w="8363"/>
      </w:tblGrid>
      <w:tr w:rsidR="008B4402" w:rsidRPr="00C9343F" w14:paraId="16651926" w14:textId="77777777" w:rsidTr="008B4402">
        <w:tc>
          <w:tcPr>
            <w:tcW w:w="992" w:type="dxa"/>
          </w:tcPr>
          <w:p w14:paraId="109530BF" w14:textId="77777777" w:rsidR="008B4402" w:rsidRPr="00C9343F" w:rsidRDefault="008B4402" w:rsidP="00F66D98">
            <w:pPr>
              <w:pStyle w:val="BlockText-PlainNoSpacing"/>
              <w:jc w:val="center"/>
            </w:pPr>
          </w:p>
        </w:tc>
        <w:tc>
          <w:tcPr>
            <w:tcW w:w="8363" w:type="dxa"/>
          </w:tcPr>
          <w:p w14:paraId="467BCC9A" w14:textId="77777777" w:rsidR="008B4402" w:rsidRPr="00C9343F" w:rsidRDefault="008B4402" w:rsidP="00F66D98">
            <w:pPr>
              <w:pStyle w:val="BlockText-PlainNoSpacing"/>
              <w:spacing w:after="200"/>
            </w:pPr>
            <w:r w:rsidRPr="00C9343F">
              <w:t>This Part sets out a member's entitlement to maternity leave. The leave recognises the physical aspects of the later stages of pregnancy, childbirth and recovery after childbirth. It also provides time for initial care of the child.</w:t>
            </w:r>
          </w:p>
        </w:tc>
      </w:tr>
    </w:tbl>
    <w:p w14:paraId="3F827B2E" w14:textId="3B9C884C" w:rsidR="008B4402" w:rsidRPr="00C9343F" w:rsidRDefault="008B4402" w:rsidP="003746DB">
      <w:pPr>
        <w:pStyle w:val="Heading4"/>
        <w:pageBreakBefore/>
      </w:pPr>
      <w:bookmarkStart w:id="1524" w:name="_Toc105054055"/>
      <w:r w:rsidRPr="00C9343F">
        <w:t>Division 1: Overview</w:t>
      </w:r>
      <w:bookmarkEnd w:id="1524"/>
    </w:p>
    <w:p w14:paraId="0BBC6C48" w14:textId="2F08B42C" w:rsidR="008B4402" w:rsidRPr="00C9343F" w:rsidRDefault="008B4402" w:rsidP="00F66D98">
      <w:pPr>
        <w:pStyle w:val="Heading5"/>
      </w:pPr>
      <w:bookmarkStart w:id="1525" w:name="_Toc105054056"/>
      <w:bookmarkStart w:id="1526" w:name="bk92602543Summary"/>
      <w:bookmarkStart w:id="1527" w:name="bk144234543Summary"/>
      <w:bookmarkStart w:id="1528" w:name="bk145227543Summary"/>
      <w:bookmarkStart w:id="1529" w:name="bk145252543Summary"/>
      <w:bookmarkStart w:id="1530" w:name="bk115611543Summary"/>
      <w:bookmarkStart w:id="1531" w:name="bk40436PM532Definitions"/>
      <w:bookmarkStart w:id="1532" w:name="bk144614542Definitions"/>
      <w:bookmarkStart w:id="1533" w:name="bk115341542Definitions"/>
      <w:bookmarkStart w:id="1534" w:name="bk154953542Definitions"/>
      <w:bookmarkStart w:id="1535" w:name="bk160239542Definitions"/>
      <w:bookmarkStart w:id="1536" w:name="bk113130AM542Definitions"/>
      <w:bookmarkStart w:id="1537" w:name="bk91523PM542Definitions"/>
      <w:bookmarkStart w:id="1538" w:name="bk91737PM543Definitions"/>
      <w:bookmarkStart w:id="1539" w:name="bk111441543Definitions"/>
      <w:bookmarkStart w:id="1540" w:name="bk134437543Definitions"/>
      <w:r w:rsidRPr="00C9343F">
        <w:t>5.6.3</w:t>
      </w:r>
      <w:r w:rsidR="00D94006" w:rsidRPr="00C9343F">
        <w:t>    </w:t>
      </w:r>
      <w:r w:rsidRPr="00C9343F">
        <w:t>Summary</w:t>
      </w:r>
      <w:bookmarkEnd w:id="1525"/>
    </w:p>
    <w:tbl>
      <w:tblPr>
        <w:tblW w:w="9355" w:type="dxa"/>
        <w:tblInd w:w="113" w:type="dxa"/>
        <w:tblLayout w:type="fixed"/>
        <w:tblLook w:val="0000" w:firstRow="0" w:lastRow="0" w:firstColumn="0" w:lastColumn="0" w:noHBand="0" w:noVBand="0"/>
      </w:tblPr>
      <w:tblGrid>
        <w:gridCol w:w="992"/>
        <w:gridCol w:w="8363"/>
      </w:tblGrid>
      <w:tr w:rsidR="008B4402" w:rsidRPr="00C9343F" w14:paraId="759733E7" w14:textId="77777777" w:rsidTr="003C090B">
        <w:tc>
          <w:tcPr>
            <w:tcW w:w="992" w:type="dxa"/>
          </w:tcPr>
          <w:bookmarkEnd w:id="1526"/>
          <w:bookmarkEnd w:id="1527"/>
          <w:bookmarkEnd w:id="1528"/>
          <w:bookmarkEnd w:id="1529"/>
          <w:bookmarkEnd w:id="1530"/>
          <w:p w14:paraId="5692AE18" w14:textId="77777777" w:rsidR="008B4402" w:rsidRPr="00C9343F" w:rsidRDefault="008B4402" w:rsidP="00F66D98">
            <w:pPr>
              <w:pStyle w:val="BlockText-Plain"/>
              <w:jc w:val="center"/>
            </w:pPr>
            <w:r w:rsidRPr="00C9343F">
              <w:t>1.</w:t>
            </w:r>
          </w:p>
        </w:tc>
        <w:tc>
          <w:tcPr>
            <w:tcW w:w="8363" w:type="dxa"/>
          </w:tcPr>
          <w:p w14:paraId="542DA170" w14:textId="77777777" w:rsidR="008B4402" w:rsidRPr="00C9343F" w:rsidRDefault="008B4402" w:rsidP="00F66D98">
            <w:pPr>
              <w:pStyle w:val="BlockText-Plain"/>
            </w:pPr>
            <w:r w:rsidRPr="00C9343F">
              <w:t>Maternity leave is described in full in this Part. This section describes some of its main features.</w:t>
            </w:r>
          </w:p>
        </w:tc>
      </w:tr>
      <w:tr w:rsidR="008B4402" w:rsidRPr="00C9343F" w14:paraId="32360510" w14:textId="77777777" w:rsidTr="003C090B">
        <w:tc>
          <w:tcPr>
            <w:tcW w:w="992" w:type="dxa"/>
          </w:tcPr>
          <w:p w14:paraId="44AF2C8A" w14:textId="77777777" w:rsidR="008B4402" w:rsidRPr="00C9343F" w:rsidRDefault="008B4402" w:rsidP="00F66D98">
            <w:pPr>
              <w:pStyle w:val="BlockText-Plain"/>
              <w:jc w:val="center"/>
            </w:pPr>
            <w:r w:rsidRPr="00C9343F">
              <w:t>2.</w:t>
            </w:r>
          </w:p>
        </w:tc>
        <w:tc>
          <w:tcPr>
            <w:tcW w:w="8363" w:type="dxa"/>
          </w:tcPr>
          <w:p w14:paraId="04224822" w14:textId="6C5DA612" w:rsidR="008B4402" w:rsidRPr="00C9343F" w:rsidRDefault="008B4402" w:rsidP="00F66D98">
            <w:pPr>
              <w:pStyle w:val="BlockText-Plain"/>
            </w:pPr>
            <w:r w:rsidRPr="00C9343F">
              <w:t>Maternity leave allows for an absence of 52 weeks. It consists of paid and unpaid leave. New members may not have access to the paid leave component.</w:t>
            </w:r>
          </w:p>
        </w:tc>
      </w:tr>
      <w:tr w:rsidR="008B4402" w:rsidRPr="00C9343F" w14:paraId="0C7C29A6" w14:textId="77777777" w:rsidTr="003C090B">
        <w:tc>
          <w:tcPr>
            <w:tcW w:w="992" w:type="dxa"/>
          </w:tcPr>
          <w:p w14:paraId="5D6CFFF1" w14:textId="77777777" w:rsidR="008B4402" w:rsidRPr="00C9343F" w:rsidRDefault="008B4402" w:rsidP="00F66D98">
            <w:pPr>
              <w:pStyle w:val="BlockText-Plain"/>
              <w:jc w:val="center"/>
            </w:pPr>
            <w:r w:rsidRPr="00C9343F">
              <w:t>3.</w:t>
            </w:r>
          </w:p>
        </w:tc>
        <w:tc>
          <w:tcPr>
            <w:tcW w:w="8363" w:type="dxa"/>
          </w:tcPr>
          <w:p w14:paraId="5604AD60" w14:textId="79B5FC4D" w:rsidR="008B4402" w:rsidRPr="00C9343F" w:rsidRDefault="008B4402" w:rsidP="00F66D98">
            <w:pPr>
              <w:pStyle w:val="BlockText-Plain"/>
            </w:pPr>
            <w:r w:rsidRPr="00C9343F">
              <w:t>A member who meets the eligibility criteria is entitled to the leave. An application cannot be refused for any reason.</w:t>
            </w:r>
          </w:p>
        </w:tc>
      </w:tr>
      <w:tr w:rsidR="008B4402" w:rsidRPr="00C9343F" w14:paraId="5BDE7240" w14:textId="77777777" w:rsidTr="003C090B">
        <w:tc>
          <w:tcPr>
            <w:tcW w:w="992" w:type="dxa"/>
          </w:tcPr>
          <w:p w14:paraId="12567CC1" w14:textId="77777777" w:rsidR="008B4402" w:rsidRPr="00C9343F" w:rsidRDefault="008B4402" w:rsidP="00F66D98">
            <w:pPr>
              <w:pStyle w:val="BlockText-Plain"/>
              <w:jc w:val="center"/>
            </w:pPr>
            <w:r w:rsidRPr="00C9343F">
              <w:t>4.</w:t>
            </w:r>
          </w:p>
        </w:tc>
        <w:tc>
          <w:tcPr>
            <w:tcW w:w="8363" w:type="dxa"/>
          </w:tcPr>
          <w:p w14:paraId="6CB0F61C" w14:textId="2AEDB4C2" w:rsidR="008B4402" w:rsidRPr="00C9343F" w:rsidRDefault="008B4402" w:rsidP="00F66D98">
            <w:pPr>
              <w:pStyle w:val="BlockText-Plain"/>
            </w:pPr>
            <w:r w:rsidRPr="00C9343F">
              <w:t>Maternity leave includes a period of required absence.</w:t>
            </w:r>
          </w:p>
        </w:tc>
      </w:tr>
      <w:tr w:rsidR="008B4402" w:rsidRPr="00C9343F" w14:paraId="03D8EAF1" w14:textId="77777777" w:rsidTr="003C090B">
        <w:tc>
          <w:tcPr>
            <w:tcW w:w="992" w:type="dxa"/>
          </w:tcPr>
          <w:p w14:paraId="7FD1F89B" w14:textId="77777777" w:rsidR="008B4402" w:rsidRPr="00C9343F" w:rsidRDefault="008B4402" w:rsidP="00F66D98">
            <w:pPr>
              <w:pStyle w:val="BlockText-Plain"/>
              <w:jc w:val="center"/>
            </w:pPr>
            <w:r w:rsidRPr="00C9343F">
              <w:t>5.</w:t>
            </w:r>
          </w:p>
        </w:tc>
        <w:tc>
          <w:tcPr>
            <w:tcW w:w="8363" w:type="dxa"/>
          </w:tcPr>
          <w:p w14:paraId="41E185DB" w14:textId="31AE7EF2" w:rsidR="008B4402" w:rsidRPr="00C9343F" w:rsidRDefault="008B4402" w:rsidP="00F66D98">
            <w:pPr>
              <w:pStyle w:val="BlockText-Plain"/>
            </w:pPr>
            <w:r w:rsidRPr="00C9343F">
              <w:t xml:space="preserve">A member may take recreation leave or long service leave instead of unpaid maternity leave. </w:t>
            </w:r>
          </w:p>
        </w:tc>
      </w:tr>
      <w:tr w:rsidR="008B4402" w:rsidRPr="00C9343F" w14:paraId="59636312" w14:textId="77777777" w:rsidTr="003C090B">
        <w:tc>
          <w:tcPr>
            <w:tcW w:w="992" w:type="dxa"/>
          </w:tcPr>
          <w:p w14:paraId="33B9E4DC" w14:textId="77777777" w:rsidR="008B4402" w:rsidRPr="00C9343F" w:rsidRDefault="008B4402" w:rsidP="00F66D98">
            <w:pPr>
              <w:pStyle w:val="BlockText-Plain"/>
              <w:jc w:val="center"/>
            </w:pPr>
            <w:r w:rsidRPr="00C9343F">
              <w:t>6.</w:t>
            </w:r>
          </w:p>
        </w:tc>
        <w:tc>
          <w:tcPr>
            <w:tcW w:w="8363" w:type="dxa"/>
          </w:tcPr>
          <w:p w14:paraId="3E36DA59" w14:textId="37E0CEDD" w:rsidR="008B4402" w:rsidRPr="00C9343F" w:rsidRDefault="008B4402" w:rsidP="00F66D98">
            <w:pPr>
              <w:pStyle w:val="BlockText-Plain"/>
            </w:pPr>
            <w:r w:rsidRPr="00C9343F">
              <w:t>Unpaid maternity leave is not the same as leave without pay.</w:t>
            </w:r>
          </w:p>
        </w:tc>
      </w:tr>
      <w:tr w:rsidR="008B4402" w:rsidRPr="00C9343F" w14:paraId="6201410C" w14:textId="77777777" w:rsidTr="003C090B">
        <w:tc>
          <w:tcPr>
            <w:tcW w:w="992" w:type="dxa"/>
          </w:tcPr>
          <w:p w14:paraId="54DC821A" w14:textId="77777777" w:rsidR="008B4402" w:rsidRPr="00C9343F" w:rsidRDefault="008B4402" w:rsidP="00F66D98">
            <w:pPr>
              <w:pStyle w:val="BlockText-Plain"/>
              <w:jc w:val="center"/>
            </w:pPr>
            <w:r w:rsidRPr="00C9343F">
              <w:t>7.</w:t>
            </w:r>
          </w:p>
        </w:tc>
        <w:tc>
          <w:tcPr>
            <w:tcW w:w="8363" w:type="dxa"/>
          </w:tcPr>
          <w:p w14:paraId="5BA848E4" w14:textId="4D5B3EF5" w:rsidR="008B4402" w:rsidRPr="00C9343F" w:rsidRDefault="008B4402" w:rsidP="00F66D98">
            <w:pPr>
              <w:pStyle w:val="BlockText-Plain"/>
            </w:pPr>
            <w:r w:rsidRPr="00C9343F">
              <w:t>Convalescence may happen at the same time as maternity leave.</w:t>
            </w:r>
          </w:p>
        </w:tc>
      </w:tr>
    </w:tbl>
    <w:p w14:paraId="4C8E5271" w14:textId="76242637" w:rsidR="003C090B" w:rsidRPr="00C9343F" w:rsidRDefault="003C090B" w:rsidP="00F66D98">
      <w:pPr>
        <w:pStyle w:val="Heading5"/>
        <w:keepNext w:val="0"/>
        <w:keepLines w:val="0"/>
      </w:pPr>
      <w:bookmarkStart w:id="1541" w:name="_Toc105054057"/>
      <w:bookmarkStart w:id="1542" w:name="bk145227545MembersthisPartappliesto"/>
      <w:bookmarkStart w:id="1543" w:name="bk145252545MembersthisPartappliesto"/>
      <w:bookmarkStart w:id="1544" w:name="bk115611545MembersthisPartappliesto"/>
      <w:bookmarkStart w:id="1545" w:name="bk111442544Requiredabsenceandmaternityl"/>
      <w:bookmarkStart w:id="1546" w:name="bk134437544Requiredabsenceandmaternityl"/>
      <w:bookmarkStart w:id="1547" w:name="bk92602545Requiredabsenceandmaternityle"/>
      <w:bookmarkStart w:id="1548" w:name="bk144234545Requiredabsenceandmaternityl"/>
      <w:bookmarkEnd w:id="1531"/>
      <w:bookmarkEnd w:id="1532"/>
      <w:bookmarkEnd w:id="1533"/>
      <w:bookmarkEnd w:id="1534"/>
      <w:bookmarkEnd w:id="1535"/>
      <w:bookmarkEnd w:id="1536"/>
      <w:bookmarkEnd w:id="1537"/>
      <w:bookmarkEnd w:id="1538"/>
      <w:bookmarkEnd w:id="1539"/>
      <w:bookmarkEnd w:id="1540"/>
      <w:r w:rsidRPr="00C9343F">
        <w:t>5.6.4</w:t>
      </w:r>
      <w:r w:rsidR="00D94006" w:rsidRPr="00C9343F">
        <w:t>    </w:t>
      </w:r>
      <w:r w:rsidRPr="00C9343F">
        <w:t>Definitions</w:t>
      </w:r>
      <w:bookmarkEnd w:id="1541"/>
    </w:p>
    <w:tbl>
      <w:tblPr>
        <w:tblW w:w="9359" w:type="dxa"/>
        <w:tblInd w:w="113" w:type="dxa"/>
        <w:tblLayout w:type="fixed"/>
        <w:tblLook w:val="04A0" w:firstRow="1" w:lastRow="0" w:firstColumn="1" w:lastColumn="0" w:noHBand="0" w:noVBand="1"/>
      </w:tblPr>
      <w:tblGrid>
        <w:gridCol w:w="992"/>
        <w:gridCol w:w="563"/>
        <w:gridCol w:w="7804"/>
      </w:tblGrid>
      <w:tr w:rsidR="003C090B" w:rsidRPr="00C9343F" w14:paraId="57E25FC4" w14:textId="77777777" w:rsidTr="006E5056">
        <w:tc>
          <w:tcPr>
            <w:tcW w:w="992" w:type="dxa"/>
          </w:tcPr>
          <w:p w14:paraId="0AFD9717" w14:textId="77777777" w:rsidR="003C090B" w:rsidRPr="00C9343F" w:rsidRDefault="003C090B" w:rsidP="00F66D98">
            <w:pPr>
              <w:pStyle w:val="Sectiontext0"/>
              <w:rPr>
                <w:lang w:eastAsia="en-US"/>
              </w:rPr>
            </w:pPr>
          </w:p>
        </w:tc>
        <w:tc>
          <w:tcPr>
            <w:tcW w:w="8367" w:type="dxa"/>
            <w:gridSpan w:val="2"/>
          </w:tcPr>
          <w:p w14:paraId="3D99FF42" w14:textId="77777777" w:rsidR="003C090B" w:rsidRPr="00C9343F" w:rsidRDefault="003C090B" w:rsidP="00F66D98">
            <w:pPr>
              <w:pStyle w:val="Sectiontext0"/>
            </w:pPr>
            <w:r w:rsidRPr="00C9343F">
              <w:t>In this Part the following apply.</w:t>
            </w:r>
          </w:p>
        </w:tc>
      </w:tr>
      <w:tr w:rsidR="003C090B" w:rsidRPr="00C9343F" w14:paraId="32EDA929" w14:textId="77777777" w:rsidTr="006E5056">
        <w:tc>
          <w:tcPr>
            <w:tcW w:w="992" w:type="dxa"/>
          </w:tcPr>
          <w:p w14:paraId="2280C569" w14:textId="77777777" w:rsidR="003C090B" w:rsidRPr="00C9343F" w:rsidRDefault="003C090B" w:rsidP="00F66D98">
            <w:pPr>
              <w:pStyle w:val="Sectiontext0"/>
              <w:rPr>
                <w:lang w:eastAsia="en-US"/>
              </w:rPr>
            </w:pPr>
          </w:p>
        </w:tc>
        <w:tc>
          <w:tcPr>
            <w:tcW w:w="8367" w:type="dxa"/>
            <w:gridSpan w:val="2"/>
          </w:tcPr>
          <w:p w14:paraId="41221381" w14:textId="77777777" w:rsidR="003C090B" w:rsidRPr="00C9343F" w:rsidRDefault="003C090B" w:rsidP="00F66D98">
            <w:pPr>
              <w:pStyle w:val="Sectiontext0"/>
            </w:pPr>
            <w:r w:rsidRPr="00C9343F">
              <w:rPr>
                <w:b/>
              </w:rPr>
              <w:t>Birth</w:t>
            </w:r>
            <w:r w:rsidRPr="00C9343F">
              <w:t xml:space="preserve"> means the birth of a child that occurs from 20 weeks before the expected date of the birth.</w:t>
            </w:r>
          </w:p>
          <w:p w14:paraId="535304D8" w14:textId="77777777" w:rsidR="003C090B" w:rsidRPr="00C9343F" w:rsidRDefault="003C090B" w:rsidP="00F66D98">
            <w:pPr>
              <w:pStyle w:val="Sectiontext0"/>
            </w:pPr>
            <w:r w:rsidRPr="00C9343F">
              <w:rPr>
                <w:b/>
                <w:bCs/>
                <w:lang w:eastAsia="en-US"/>
              </w:rPr>
              <w:t xml:space="preserve">Note: </w:t>
            </w:r>
            <w:r w:rsidRPr="00C9343F">
              <w:t>A multiple birth is taken to be a single event under this Part.</w:t>
            </w:r>
          </w:p>
        </w:tc>
      </w:tr>
      <w:tr w:rsidR="003C090B" w:rsidRPr="00C9343F" w14:paraId="320728A1" w14:textId="77777777" w:rsidTr="006E5056">
        <w:tc>
          <w:tcPr>
            <w:tcW w:w="992" w:type="dxa"/>
          </w:tcPr>
          <w:p w14:paraId="627F69CD" w14:textId="77777777" w:rsidR="003C090B" w:rsidRPr="00C9343F" w:rsidRDefault="003C090B" w:rsidP="00F66D98">
            <w:pPr>
              <w:pStyle w:val="Sectiontext0"/>
              <w:rPr>
                <w:lang w:eastAsia="en-US"/>
              </w:rPr>
            </w:pPr>
          </w:p>
        </w:tc>
        <w:tc>
          <w:tcPr>
            <w:tcW w:w="8367" w:type="dxa"/>
            <w:gridSpan w:val="2"/>
          </w:tcPr>
          <w:p w14:paraId="4D0ACA7E" w14:textId="77777777" w:rsidR="003C090B" w:rsidRPr="00C9343F" w:rsidRDefault="003C090B" w:rsidP="00F66D98">
            <w:pPr>
              <w:pStyle w:val="Sectiontext0"/>
              <w:rPr>
                <w:bCs/>
              </w:rPr>
            </w:pPr>
            <w:r w:rsidRPr="00C9343F">
              <w:rPr>
                <w:b/>
              </w:rPr>
              <w:t>Qualifying service</w:t>
            </w:r>
            <w:r w:rsidRPr="00C9343F">
              <w:rPr>
                <w:bCs/>
              </w:rPr>
              <w:t xml:space="preserve"> means a continuous period of 12 months of the following.</w:t>
            </w:r>
          </w:p>
        </w:tc>
      </w:tr>
      <w:tr w:rsidR="003C090B" w:rsidRPr="00C9343F" w14:paraId="5D89521D" w14:textId="77777777" w:rsidTr="006E5056">
        <w:tc>
          <w:tcPr>
            <w:tcW w:w="992" w:type="dxa"/>
          </w:tcPr>
          <w:p w14:paraId="57AE6EB2" w14:textId="77777777" w:rsidR="003C090B" w:rsidRPr="00C9343F" w:rsidRDefault="003C090B" w:rsidP="00F66D98">
            <w:pPr>
              <w:pStyle w:val="Sectiontext0"/>
              <w:jc w:val="center"/>
              <w:rPr>
                <w:lang w:eastAsia="en-US"/>
              </w:rPr>
            </w:pPr>
          </w:p>
        </w:tc>
        <w:tc>
          <w:tcPr>
            <w:tcW w:w="563" w:type="dxa"/>
            <w:hideMark/>
          </w:tcPr>
          <w:p w14:paraId="59D98412" w14:textId="77777777" w:rsidR="003C090B" w:rsidRPr="00C9343F" w:rsidRDefault="003C090B" w:rsidP="00F66D98">
            <w:pPr>
              <w:pStyle w:val="Sectiontext0"/>
              <w:jc w:val="center"/>
              <w:rPr>
                <w:rFonts w:cs="Arial"/>
                <w:lang w:eastAsia="en-US"/>
              </w:rPr>
            </w:pPr>
            <w:r w:rsidRPr="00C9343F">
              <w:rPr>
                <w:rFonts w:cs="Arial"/>
                <w:lang w:eastAsia="en-US"/>
              </w:rPr>
              <w:t>a.</w:t>
            </w:r>
          </w:p>
        </w:tc>
        <w:tc>
          <w:tcPr>
            <w:tcW w:w="7804" w:type="dxa"/>
          </w:tcPr>
          <w:p w14:paraId="08AC857A" w14:textId="77777777" w:rsidR="003C090B" w:rsidRPr="00C9343F" w:rsidRDefault="003C090B" w:rsidP="00F66D98">
            <w:pPr>
              <w:pStyle w:val="Sectiontext0"/>
              <w:rPr>
                <w:rFonts w:cs="Arial"/>
                <w:lang w:eastAsia="en-US"/>
              </w:rPr>
            </w:pPr>
            <w:r w:rsidRPr="00C9343F">
              <w:t>Full-time service in the ADF.</w:t>
            </w:r>
          </w:p>
        </w:tc>
      </w:tr>
      <w:tr w:rsidR="003C090B" w:rsidRPr="00C9343F" w14:paraId="316DD072" w14:textId="77777777" w:rsidTr="006E5056">
        <w:tc>
          <w:tcPr>
            <w:tcW w:w="992" w:type="dxa"/>
          </w:tcPr>
          <w:p w14:paraId="78201699" w14:textId="77777777" w:rsidR="003C090B" w:rsidRPr="00C9343F" w:rsidRDefault="003C090B" w:rsidP="00F66D98">
            <w:pPr>
              <w:pStyle w:val="Sectiontext0"/>
              <w:jc w:val="center"/>
              <w:rPr>
                <w:lang w:eastAsia="en-US"/>
              </w:rPr>
            </w:pPr>
          </w:p>
        </w:tc>
        <w:tc>
          <w:tcPr>
            <w:tcW w:w="563" w:type="dxa"/>
          </w:tcPr>
          <w:p w14:paraId="020FD349" w14:textId="77777777" w:rsidR="003C090B" w:rsidRPr="00C9343F" w:rsidRDefault="003C090B" w:rsidP="00F66D98">
            <w:pPr>
              <w:pStyle w:val="Sectiontext0"/>
              <w:jc w:val="center"/>
              <w:rPr>
                <w:rFonts w:cs="Arial"/>
                <w:lang w:eastAsia="en-US"/>
              </w:rPr>
            </w:pPr>
            <w:r w:rsidRPr="00C9343F">
              <w:rPr>
                <w:rFonts w:cs="Arial"/>
                <w:lang w:eastAsia="en-US"/>
              </w:rPr>
              <w:t>b.</w:t>
            </w:r>
          </w:p>
        </w:tc>
        <w:tc>
          <w:tcPr>
            <w:tcW w:w="7804" w:type="dxa"/>
          </w:tcPr>
          <w:p w14:paraId="342959FB" w14:textId="77777777" w:rsidR="003C090B" w:rsidRPr="00C9343F" w:rsidRDefault="003C090B" w:rsidP="00F66D98">
            <w:pPr>
              <w:pStyle w:val="Sectiontext0"/>
            </w:pPr>
            <w:r w:rsidRPr="00C9343F">
              <w:t xml:space="preserve">Any other employment recognised for the purpose of the </w:t>
            </w:r>
            <w:r w:rsidRPr="00C9343F">
              <w:rPr>
                <w:i/>
                <w:iCs/>
              </w:rPr>
              <w:t>Maternity Leave (Australian Government Employees) Act 1973</w:t>
            </w:r>
            <w:r w:rsidRPr="00C9343F">
              <w:t>, subsection 6(4).</w:t>
            </w:r>
          </w:p>
        </w:tc>
      </w:tr>
      <w:tr w:rsidR="003C090B" w:rsidRPr="00C9343F" w14:paraId="06B0601E" w14:textId="77777777" w:rsidTr="006E5056">
        <w:tc>
          <w:tcPr>
            <w:tcW w:w="992" w:type="dxa"/>
          </w:tcPr>
          <w:p w14:paraId="5CE28339" w14:textId="77777777" w:rsidR="003C090B" w:rsidRPr="00C9343F" w:rsidRDefault="003C090B" w:rsidP="00F66D98">
            <w:pPr>
              <w:pStyle w:val="Sectiontext0"/>
              <w:rPr>
                <w:lang w:eastAsia="en-US"/>
              </w:rPr>
            </w:pPr>
          </w:p>
        </w:tc>
        <w:tc>
          <w:tcPr>
            <w:tcW w:w="8367" w:type="dxa"/>
            <w:gridSpan w:val="2"/>
          </w:tcPr>
          <w:p w14:paraId="78D10B6D" w14:textId="77777777" w:rsidR="003C090B" w:rsidRPr="00C9343F" w:rsidRDefault="003C090B" w:rsidP="00F66D98">
            <w:pPr>
              <w:pStyle w:val="Sectiontext0"/>
              <w:rPr>
                <w:bCs/>
              </w:rPr>
            </w:pPr>
            <w:r w:rsidRPr="00C9343F">
              <w:rPr>
                <w:b/>
              </w:rPr>
              <w:t xml:space="preserve">Required absence </w:t>
            </w:r>
            <w:r w:rsidRPr="00C9343F">
              <w:rPr>
                <w:bCs/>
              </w:rPr>
              <w:t>means a period of absence under Division 3.</w:t>
            </w:r>
          </w:p>
        </w:tc>
      </w:tr>
      <w:tr w:rsidR="003C090B" w:rsidRPr="00C9343F" w14:paraId="09662E02" w14:textId="77777777" w:rsidTr="006E5056">
        <w:tc>
          <w:tcPr>
            <w:tcW w:w="992" w:type="dxa"/>
          </w:tcPr>
          <w:p w14:paraId="37641AC4" w14:textId="77777777" w:rsidR="003C090B" w:rsidRPr="00C9343F" w:rsidRDefault="003C090B" w:rsidP="00F66D98">
            <w:pPr>
              <w:pStyle w:val="Sectiontext0"/>
              <w:rPr>
                <w:lang w:eastAsia="en-US"/>
              </w:rPr>
            </w:pPr>
          </w:p>
        </w:tc>
        <w:tc>
          <w:tcPr>
            <w:tcW w:w="8367" w:type="dxa"/>
            <w:gridSpan w:val="2"/>
          </w:tcPr>
          <w:p w14:paraId="1663B011" w14:textId="77777777" w:rsidR="003C090B" w:rsidRPr="00C9343F" w:rsidRDefault="003C090B" w:rsidP="00F66D98">
            <w:pPr>
              <w:pStyle w:val="Sectiontext0"/>
              <w:rPr>
                <w:bCs/>
              </w:rPr>
            </w:pPr>
            <w:r w:rsidRPr="00C9343F">
              <w:rPr>
                <w:b/>
              </w:rPr>
              <w:t>Termination</w:t>
            </w:r>
            <w:r w:rsidRPr="00C9343F">
              <w:rPr>
                <w:bCs/>
              </w:rPr>
              <w:t xml:space="preserve"> means an event that results in a pregnancy ending, without the birth of a live child. The event must occur </w:t>
            </w:r>
            <w:r w:rsidRPr="00C9343F">
              <w:t>from 20 weeks before the expected date of the birth.</w:t>
            </w:r>
          </w:p>
        </w:tc>
      </w:tr>
    </w:tbl>
    <w:p w14:paraId="60A3844A" w14:textId="6501FDBC" w:rsidR="008B4402" w:rsidRPr="00C9343F" w:rsidRDefault="008B4402" w:rsidP="00F66D98">
      <w:pPr>
        <w:pStyle w:val="Heading5"/>
      </w:pPr>
      <w:bookmarkStart w:id="1549" w:name="_Toc105054058"/>
      <w:r w:rsidRPr="00C9343F">
        <w:t>5.6.5</w:t>
      </w:r>
      <w:r w:rsidR="00D94006" w:rsidRPr="00C9343F">
        <w:t>    </w:t>
      </w:r>
      <w:r w:rsidRPr="00C9343F">
        <w:t>Members this Part applies to</w:t>
      </w:r>
      <w:bookmarkEnd w:id="1549"/>
    </w:p>
    <w:bookmarkEnd w:id="1542"/>
    <w:bookmarkEnd w:id="1543"/>
    <w:bookmarkEnd w:id="1544"/>
    <w:tbl>
      <w:tblPr>
        <w:tblW w:w="0" w:type="auto"/>
        <w:tblInd w:w="113" w:type="dxa"/>
        <w:tblLayout w:type="fixed"/>
        <w:tblLook w:val="0000" w:firstRow="0" w:lastRow="0" w:firstColumn="0" w:lastColumn="0" w:noHBand="0" w:noVBand="0"/>
      </w:tblPr>
      <w:tblGrid>
        <w:gridCol w:w="992"/>
        <w:gridCol w:w="8363"/>
      </w:tblGrid>
      <w:tr w:rsidR="008B4402" w:rsidRPr="00C9343F" w14:paraId="578EC75B" w14:textId="77777777" w:rsidTr="008B4402">
        <w:tc>
          <w:tcPr>
            <w:tcW w:w="992" w:type="dxa"/>
          </w:tcPr>
          <w:p w14:paraId="7C16F7C0" w14:textId="77777777" w:rsidR="008B4402" w:rsidRPr="00C9343F" w:rsidRDefault="008B4402" w:rsidP="00F66D98">
            <w:pPr>
              <w:pStyle w:val="BlockText-PlainNoSpacing"/>
              <w:jc w:val="center"/>
            </w:pPr>
          </w:p>
        </w:tc>
        <w:tc>
          <w:tcPr>
            <w:tcW w:w="8363" w:type="dxa"/>
          </w:tcPr>
          <w:p w14:paraId="182B7E08" w14:textId="77777777" w:rsidR="008B4402" w:rsidRPr="00C9343F" w:rsidRDefault="008B4402" w:rsidP="00F66D98">
            <w:pPr>
              <w:pStyle w:val="BlockText-Plain"/>
            </w:pPr>
            <w:r w:rsidRPr="00C9343F">
              <w:t>This Part applies to a member whose pregnancy ends by a birth or a termination.</w:t>
            </w:r>
          </w:p>
        </w:tc>
      </w:tr>
    </w:tbl>
    <w:p w14:paraId="1B82CEB8" w14:textId="1AA8B2B5" w:rsidR="008B4402" w:rsidRPr="00C9343F" w:rsidRDefault="008B4402" w:rsidP="00F66D98">
      <w:pPr>
        <w:pStyle w:val="Heading5"/>
      </w:pPr>
      <w:bookmarkStart w:id="1550" w:name="_Toc105054059"/>
      <w:bookmarkStart w:id="1551" w:name="bk145227546Requiredabsenceandmaternityl"/>
      <w:bookmarkStart w:id="1552" w:name="bk145252546Requiredabsenceandmaternityl"/>
      <w:bookmarkStart w:id="1553" w:name="bk115611546Requiredabsenceandmaternityl"/>
      <w:r w:rsidRPr="00C9343F">
        <w:t>5.6.6</w:t>
      </w:r>
      <w:r w:rsidR="00D94006" w:rsidRPr="00C9343F">
        <w:t>    </w:t>
      </w:r>
      <w:r w:rsidRPr="00C9343F">
        <w:t>Required absence and maternity leave</w:t>
      </w:r>
      <w:bookmarkEnd w:id="1550"/>
    </w:p>
    <w:tbl>
      <w:tblPr>
        <w:tblW w:w="0" w:type="auto"/>
        <w:tblInd w:w="113" w:type="dxa"/>
        <w:tblLayout w:type="fixed"/>
        <w:tblLook w:val="0000" w:firstRow="0" w:lastRow="0" w:firstColumn="0" w:lastColumn="0" w:noHBand="0" w:noVBand="0"/>
      </w:tblPr>
      <w:tblGrid>
        <w:gridCol w:w="992"/>
        <w:gridCol w:w="8363"/>
      </w:tblGrid>
      <w:tr w:rsidR="008B4402" w:rsidRPr="00C9343F" w14:paraId="4299558B" w14:textId="77777777" w:rsidTr="008B4402">
        <w:tc>
          <w:tcPr>
            <w:tcW w:w="992" w:type="dxa"/>
          </w:tcPr>
          <w:bookmarkEnd w:id="1545"/>
          <w:bookmarkEnd w:id="1546"/>
          <w:bookmarkEnd w:id="1547"/>
          <w:bookmarkEnd w:id="1548"/>
          <w:bookmarkEnd w:id="1551"/>
          <w:bookmarkEnd w:id="1552"/>
          <w:bookmarkEnd w:id="1553"/>
          <w:p w14:paraId="04412876" w14:textId="77777777" w:rsidR="008B4402" w:rsidRPr="00C9343F" w:rsidRDefault="008B4402" w:rsidP="00F66D98">
            <w:pPr>
              <w:pStyle w:val="BlockText-Plain"/>
              <w:jc w:val="center"/>
            </w:pPr>
            <w:r w:rsidRPr="00C9343F">
              <w:t>1.</w:t>
            </w:r>
          </w:p>
        </w:tc>
        <w:tc>
          <w:tcPr>
            <w:tcW w:w="8363" w:type="dxa"/>
          </w:tcPr>
          <w:p w14:paraId="52B9F282" w14:textId="77777777" w:rsidR="008B4402" w:rsidRPr="00C9343F" w:rsidRDefault="008B4402" w:rsidP="00F66D98">
            <w:pPr>
              <w:pStyle w:val="BlockText-Plain"/>
              <w:rPr>
                <w:color w:val="FF0000"/>
              </w:rPr>
            </w:pPr>
            <w:r w:rsidRPr="00C9343F">
              <w:t>Two key concepts in this Part are required absence and maternity leave.</w:t>
            </w:r>
          </w:p>
        </w:tc>
      </w:tr>
      <w:tr w:rsidR="008B4402" w:rsidRPr="00C9343F" w14:paraId="6EED0546" w14:textId="77777777" w:rsidTr="008B4402">
        <w:tc>
          <w:tcPr>
            <w:tcW w:w="992" w:type="dxa"/>
          </w:tcPr>
          <w:p w14:paraId="0F739A0E" w14:textId="77777777" w:rsidR="008B4402" w:rsidRPr="00C9343F" w:rsidRDefault="008B4402" w:rsidP="00F66D98">
            <w:pPr>
              <w:pStyle w:val="BlockText-Plain"/>
              <w:jc w:val="center"/>
            </w:pPr>
            <w:r w:rsidRPr="00C9343F">
              <w:t>2.</w:t>
            </w:r>
          </w:p>
        </w:tc>
        <w:tc>
          <w:tcPr>
            <w:tcW w:w="8363" w:type="dxa"/>
          </w:tcPr>
          <w:p w14:paraId="00E1BBC4" w14:textId="322DCAE8" w:rsidR="008B4402" w:rsidRPr="00C9343F" w:rsidRDefault="008B4402" w:rsidP="00F66D98">
            <w:pPr>
              <w:pStyle w:val="BlockText-PlainNoSpacing"/>
              <w:spacing w:after="200"/>
            </w:pPr>
            <w:r w:rsidRPr="00C9343F">
              <w:t>Required absence is the period that a member is required to be away from duty. It usually covers the later stages of pregnancy and the first few weeks after the birth. It can be reduced if the member has medical approval. Maternity leave is granted to cover the period of required absence.</w:t>
            </w:r>
          </w:p>
        </w:tc>
      </w:tr>
      <w:tr w:rsidR="008B4402" w:rsidRPr="00C9343F" w14:paraId="7CC3C49F" w14:textId="77777777" w:rsidTr="008B4402">
        <w:tc>
          <w:tcPr>
            <w:tcW w:w="992" w:type="dxa"/>
          </w:tcPr>
          <w:p w14:paraId="15F03BAE" w14:textId="77777777" w:rsidR="008B4402" w:rsidRPr="00C9343F" w:rsidRDefault="008B4402" w:rsidP="00F66D98">
            <w:pPr>
              <w:pStyle w:val="BlockText-Plain"/>
              <w:jc w:val="center"/>
            </w:pPr>
            <w:r w:rsidRPr="00C9343F">
              <w:t>3.</w:t>
            </w:r>
          </w:p>
        </w:tc>
        <w:tc>
          <w:tcPr>
            <w:tcW w:w="8363" w:type="dxa"/>
          </w:tcPr>
          <w:p w14:paraId="5491E9D0" w14:textId="58DB1F51" w:rsidR="008B4402" w:rsidRPr="00C9343F" w:rsidRDefault="008B4402" w:rsidP="00F66D98">
            <w:pPr>
              <w:pStyle w:val="BlockText-Plain"/>
            </w:pPr>
            <w:r w:rsidRPr="00C9343F">
              <w:t xml:space="preserve">Maternity leave is leave granted to a member who is pregnant or who has recently given birth. It has paid and unpaid components, for eligible members. </w:t>
            </w:r>
          </w:p>
        </w:tc>
      </w:tr>
    </w:tbl>
    <w:p w14:paraId="7D5B15D3" w14:textId="27B1A697" w:rsidR="008B4402" w:rsidRPr="00C9343F" w:rsidRDefault="008B4402" w:rsidP="00F66D98">
      <w:pPr>
        <w:pStyle w:val="Heading5"/>
      </w:pPr>
      <w:bookmarkStart w:id="1554" w:name="_Toc105054060"/>
      <w:bookmarkStart w:id="1555" w:name="bk134437545Terminationoverview"/>
      <w:bookmarkStart w:id="1556" w:name="bk92602546Terminationofpregnancyovervie"/>
      <w:bookmarkStart w:id="1557" w:name="bk144234546Terminationofpregnancyovervi"/>
      <w:bookmarkStart w:id="1558" w:name="bk145227547Terminationofpregnancyovervi"/>
      <w:bookmarkStart w:id="1559" w:name="bk145252547Terminationofpregnancyovervi"/>
      <w:bookmarkStart w:id="1560" w:name="bk115611547Terminationofpregnancyovervi"/>
      <w:bookmarkStart w:id="1561" w:name="bk111442545Leavewithoutpayandmaternityl"/>
      <w:r w:rsidRPr="00C9343F">
        <w:t>5.6.7</w:t>
      </w:r>
      <w:r w:rsidR="00D94006" w:rsidRPr="00C9343F">
        <w:t>    </w:t>
      </w:r>
      <w:r w:rsidRPr="00C9343F">
        <w:t>Termination of pregnancy – overview</w:t>
      </w:r>
      <w:bookmarkEnd w:id="1554"/>
    </w:p>
    <w:tbl>
      <w:tblPr>
        <w:tblW w:w="9355" w:type="dxa"/>
        <w:tblInd w:w="113" w:type="dxa"/>
        <w:tblLayout w:type="fixed"/>
        <w:tblLook w:val="0000" w:firstRow="0" w:lastRow="0" w:firstColumn="0" w:lastColumn="0" w:noHBand="0" w:noVBand="0"/>
      </w:tblPr>
      <w:tblGrid>
        <w:gridCol w:w="992"/>
        <w:gridCol w:w="8363"/>
      </w:tblGrid>
      <w:tr w:rsidR="008B4402" w:rsidRPr="00C9343F" w14:paraId="3FF93184" w14:textId="77777777" w:rsidTr="00246373">
        <w:tc>
          <w:tcPr>
            <w:tcW w:w="992" w:type="dxa"/>
          </w:tcPr>
          <w:bookmarkEnd w:id="1555"/>
          <w:bookmarkEnd w:id="1556"/>
          <w:bookmarkEnd w:id="1557"/>
          <w:bookmarkEnd w:id="1558"/>
          <w:bookmarkEnd w:id="1559"/>
          <w:bookmarkEnd w:id="1560"/>
          <w:p w14:paraId="72BC3DA7" w14:textId="77777777" w:rsidR="008B4402" w:rsidRPr="00C9343F" w:rsidRDefault="008B4402" w:rsidP="00F66D98">
            <w:pPr>
              <w:pStyle w:val="BlockText-Plain"/>
              <w:jc w:val="center"/>
            </w:pPr>
            <w:r w:rsidRPr="00C9343F">
              <w:t>2.</w:t>
            </w:r>
          </w:p>
        </w:tc>
        <w:tc>
          <w:tcPr>
            <w:tcW w:w="8363" w:type="dxa"/>
          </w:tcPr>
          <w:p w14:paraId="2CB1E70A" w14:textId="4B55FBA1" w:rsidR="008B4402" w:rsidRPr="00C9343F" w:rsidRDefault="008B4402" w:rsidP="00F66D98">
            <w:pPr>
              <w:pStyle w:val="BlockText-Plain"/>
            </w:pPr>
            <w:r w:rsidRPr="00C9343F">
              <w:t>If a member's pregnancy terminates 20 weeks or later before the expected date of the birth, the member is entitled to maternity leave.</w:t>
            </w:r>
          </w:p>
        </w:tc>
      </w:tr>
      <w:tr w:rsidR="008B4402" w:rsidRPr="00C9343F" w14:paraId="5B9715B1" w14:textId="77777777" w:rsidTr="00246373">
        <w:tc>
          <w:tcPr>
            <w:tcW w:w="992" w:type="dxa"/>
          </w:tcPr>
          <w:p w14:paraId="0FC8FE8B" w14:textId="77777777" w:rsidR="008B4402" w:rsidRPr="00C9343F" w:rsidRDefault="008B4402" w:rsidP="00F66D98">
            <w:pPr>
              <w:pStyle w:val="BlockText-Plain"/>
              <w:jc w:val="center"/>
            </w:pPr>
            <w:r w:rsidRPr="00C9343F">
              <w:t>3.</w:t>
            </w:r>
          </w:p>
        </w:tc>
        <w:tc>
          <w:tcPr>
            <w:tcW w:w="8363" w:type="dxa"/>
          </w:tcPr>
          <w:p w14:paraId="3C0D0C21" w14:textId="4D463C56" w:rsidR="008B4402" w:rsidRPr="00C9343F" w:rsidRDefault="008B4402" w:rsidP="00F66D98">
            <w:pPr>
              <w:pStyle w:val="BlockText-Plain"/>
            </w:pPr>
            <w:r w:rsidRPr="00C9343F">
              <w:t>If the member's pregnancy terminates earlier than 20 weeks before the expected date of birth, the member is not entitled to maternity leave. If she is unfit for duty, normal fitness for duty arrangements apply.</w:t>
            </w:r>
          </w:p>
        </w:tc>
      </w:tr>
    </w:tbl>
    <w:p w14:paraId="4E2820FC" w14:textId="65307D5B" w:rsidR="008B4402" w:rsidRPr="00C9343F" w:rsidRDefault="008B4402" w:rsidP="00F66D98">
      <w:pPr>
        <w:pStyle w:val="Heading5"/>
      </w:pPr>
      <w:bookmarkStart w:id="1562" w:name="_Toc105054061"/>
      <w:bookmarkStart w:id="1563" w:name="bk134437546Leavewithoutpayandmaternityl"/>
      <w:bookmarkStart w:id="1564" w:name="bk92602547Leavewithoutpayandmaternityle"/>
      <w:bookmarkStart w:id="1565" w:name="bk144234547Leavewithoutpayandmaternityl"/>
      <w:bookmarkStart w:id="1566" w:name="bk145227548Leavewithoutpayandmaternityl"/>
      <w:bookmarkStart w:id="1567" w:name="bk145253548Leavewithoutpayandmaternityl"/>
      <w:bookmarkStart w:id="1568" w:name="bk115611548Leavewithoutpayandmaternityl"/>
      <w:r w:rsidRPr="00C9343F">
        <w:t>5.6.8</w:t>
      </w:r>
      <w:r w:rsidR="00D94006" w:rsidRPr="00C9343F">
        <w:t>    </w:t>
      </w:r>
      <w:r w:rsidRPr="00C9343F">
        <w:t>Leave without pay and maternity leave</w:t>
      </w:r>
      <w:bookmarkEnd w:id="1562"/>
    </w:p>
    <w:bookmarkEnd w:id="1561"/>
    <w:bookmarkEnd w:id="1563"/>
    <w:bookmarkEnd w:id="1564"/>
    <w:bookmarkEnd w:id="1565"/>
    <w:bookmarkEnd w:id="1566"/>
    <w:bookmarkEnd w:id="1567"/>
    <w:bookmarkEnd w:id="1568"/>
    <w:tbl>
      <w:tblPr>
        <w:tblW w:w="0" w:type="auto"/>
        <w:tblInd w:w="113" w:type="dxa"/>
        <w:tblLayout w:type="fixed"/>
        <w:tblLook w:val="0000" w:firstRow="0" w:lastRow="0" w:firstColumn="0" w:lastColumn="0" w:noHBand="0" w:noVBand="0"/>
      </w:tblPr>
      <w:tblGrid>
        <w:gridCol w:w="992"/>
        <w:gridCol w:w="8363"/>
      </w:tblGrid>
      <w:tr w:rsidR="008B4402" w:rsidRPr="00C9343F" w14:paraId="1AB3E208" w14:textId="77777777" w:rsidTr="008B4402">
        <w:tc>
          <w:tcPr>
            <w:tcW w:w="992" w:type="dxa"/>
          </w:tcPr>
          <w:p w14:paraId="74863CC9" w14:textId="77777777" w:rsidR="008B4402" w:rsidRPr="00C9343F" w:rsidRDefault="008B4402" w:rsidP="00F66D98">
            <w:pPr>
              <w:pStyle w:val="BlockText-Plain"/>
              <w:jc w:val="center"/>
            </w:pPr>
          </w:p>
        </w:tc>
        <w:tc>
          <w:tcPr>
            <w:tcW w:w="8363" w:type="dxa"/>
          </w:tcPr>
          <w:p w14:paraId="1BDA246B" w14:textId="02C7B238" w:rsidR="008B4402" w:rsidRPr="00C9343F" w:rsidRDefault="008B4402" w:rsidP="00F66D98">
            <w:pPr>
              <w:pStyle w:val="BlockText-Plain"/>
            </w:pPr>
            <w:r w:rsidRPr="00C9343F">
              <w:t>The unpaid component of maternity leave is a different leave type to leave without pay. The two leave types are both unpaid, but in other respects are quite different. Unpaid maternity leave cannot be refused for any reason. Unpaid maternity leave is administered under this Part.</w:t>
            </w:r>
          </w:p>
        </w:tc>
      </w:tr>
    </w:tbl>
    <w:p w14:paraId="01F3197D" w14:textId="3BD3A623" w:rsidR="008B4402" w:rsidRPr="00C9343F" w:rsidRDefault="008B4402" w:rsidP="00F66D98">
      <w:pPr>
        <w:pStyle w:val="Heading5"/>
      </w:pPr>
      <w:bookmarkStart w:id="1569" w:name="_Toc105054062"/>
      <w:bookmarkStart w:id="1570" w:name="bk111442546Parentalleaveandmaternitylea"/>
      <w:bookmarkStart w:id="1571" w:name="bk134437546Parentalleaveandmaternitylea"/>
      <w:bookmarkStart w:id="1572" w:name="bk92602548Parentalleaveandmaternityleav"/>
      <w:bookmarkStart w:id="1573" w:name="bk144234548Parentalleaveandmaternitylea"/>
      <w:bookmarkStart w:id="1574" w:name="bk145227549Parentalleaveandmaternitylea"/>
      <w:bookmarkStart w:id="1575" w:name="bk145253549Parentalleaveandmaternitylea"/>
      <w:bookmarkStart w:id="1576" w:name="bk115611549Parentalleaveandmaternitylea"/>
      <w:r w:rsidRPr="00C9343F">
        <w:t>5.6.9</w:t>
      </w:r>
      <w:r w:rsidR="00D94006" w:rsidRPr="00C9343F">
        <w:t>    </w:t>
      </w:r>
      <w:r w:rsidRPr="00C9343F">
        <w:t>Parental leave and maternity leave</w:t>
      </w:r>
      <w:bookmarkEnd w:id="1569"/>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71DBD871" w14:textId="77777777" w:rsidTr="002208F9">
        <w:tc>
          <w:tcPr>
            <w:tcW w:w="992" w:type="dxa"/>
          </w:tcPr>
          <w:bookmarkEnd w:id="1570"/>
          <w:bookmarkEnd w:id="1571"/>
          <w:bookmarkEnd w:id="1572"/>
          <w:bookmarkEnd w:id="1573"/>
          <w:bookmarkEnd w:id="1574"/>
          <w:bookmarkEnd w:id="1575"/>
          <w:bookmarkEnd w:id="1576"/>
          <w:p w14:paraId="662575F2" w14:textId="77777777" w:rsidR="008B4402" w:rsidRPr="00C9343F" w:rsidRDefault="008B4402" w:rsidP="00F66D98">
            <w:pPr>
              <w:pStyle w:val="BlockText-Plain"/>
              <w:jc w:val="center"/>
            </w:pPr>
            <w:r w:rsidRPr="00C9343F">
              <w:t>1.</w:t>
            </w:r>
          </w:p>
        </w:tc>
        <w:tc>
          <w:tcPr>
            <w:tcW w:w="8363" w:type="dxa"/>
            <w:gridSpan w:val="2"/>
          </w:tcPr>
          <w:p w14:paraId="462AC532" w14:textId="77777777" w:rsidR="008B4402" w:rsidRPr="00C9343F" w:rsidRDefault="008B4402" w:rsidP="00F66D98">
            <w:pPr>
              <w:pStyle w:val="BlockText-Plain"/>
            </w:pPr>
            <w:r w:rsidRPr="00C9343F">
              <w:t xml:space="preserve">Maternity leave is not available to these members. Parental leave may be available instead. </w:t>
            </w:r>
          </w:p>
        </w:tc>
      </w:tr>
      <w:tr w:rsidR="008B4402" w:rsidRPr="00C9343F" w14:paraId="7DA96CDA" w14:textId="77777777" w:rsidTr="002208F9">
        <w:trPr>
          <w:cantSplit/>
        </w:trPr>
        <w:tc>
          <w:tcPr>
            <w:tcW w:w="992" w:type="dxa"/>
          </w:tcPr>
          <w:p w14:paraId="1A0B599E" w14:textId="77777777" w:rsidR="008B4402" w:rsidRPr="00C9343F" w:rsidRDefault="008B4402" w:rsidP="00F66D98">
            <w:pPr>
              <w:pStyle w:val="BlockText-Plain"/>
            </w:pPr>
          </w:p>
        </w:tc>
        <w:tc>
          <w:tcPr>
            <w:tcW w:w="567" w:type="dxa"/>
          </w:tcPr>
          <w:p w14:paraId="4079D1E6" w14:textId="77777777" w:rsidR="008B4402" w:rsidRPr="00C9343F" w:rsidRDefault="008B4402" w:rsidP="008D1B5D">
            <w:pPr>
              <w:pStyle w:val="BlockText-Plain"/>
              <w:jc w:val="center"/>
            </w:pPr>
            <w:r w:rsidRPr="00C9343F">
              <w:t>a.</w:t>
            </w:r>
          </w:p>
        </w:tc>
        <w:tc>
          <w:tcPr>
            <w:tcW w:w="7796" w:type="dxa"/>
          </w:tcPr>
          <w:p w14:paraId="1C7633AE" w14:textId="77777777" w:rsidR="008B4402" w:rsidRPr="00C9343F" w:rsidRDefault="008B4402" w:rsidP="00F66D98">
            <w:pPr>
              <w:pStyle w:val="BlockText-Plain"/>
            </w:pPr>
            <w:r w:rsidRPr="00C9343F">
              <w:t>Fathers of new babies.</w:t>
            </w:r>
            <w:r w:rsidRPr="00C9343F">
              <w:rPr>
                <w:b/>
                <w:color w:val="FF0000"/>
              </w:rPr>
              <w:t xml:space="preserve"> </w:t>
            </w:r>
          </w:p>
        </w:tc>
      </w:tr>
      <w:tr w:rsidR="008B4402" w:rsidRPr="00C9343F" w14:paraId="05B958AC" w14:textId="77777777" w:rsidTr="002208F9">
        <w:trPr>
          <w:cantSplit/>
        </w:trPr>
        <w:tc>
          <w:tcPr>
            <w:tcW w:w="992" w:type="dxa"/>
          </w:tcPr>
          <w:p w14:paraId="67C1F4CF" w14:textId="77777777" w:rsidR="008B4402" w:rsidRPr="00C9343F" w:rsidRDefault="008B4402" w:rsidP="00F66D98">
            <w:pPr>
              <w:pStyle w:val="BlockText-Plain"/>
            </w:pPr>
          </w:p>
        </w:tc>
        <w:tc>
          <w:tcPr>
            <w:tcW w:w="567" w:type="dxa"/>
          </w:tcPr>
          <w:p w14:paraId="16D98EBB" w14:textId="77777777" w:rsidR="008B4402" w:rsidRPr="00C9343F" w:rsidRDefault="008B4402" w:rsidP="008D1B5D">
            <w:pPr>
              <w:pStyle w:val="BlockText-Plain"/>
              <w:jc w:val="center"/>
            </w:pPr>
            <w:r w:rsidRPr="00C9343F">
              <w:t>b.</w:t>
            </w:r>
          </w:p>
        </w:tc>
        <w:tc>
          <w:tcPr>
            <w:tcW w:w="7796" w:type="dxa"/>
          </w:tcPr>
          <w:p w14:paraId="33455422" w14:textId="77777777" w:rsidR="008B4402" w:rsidRPr="00C9343F" w:rsidRDefault="008B4402" w:rsidP="00F66D98">
            <w:pPr>
              <w:pStyle w:val="BlockText-Plain"/>
            </w:pPr>
            <w:r w:rsidRPr="00C9343F">
              <w:t>Parents of adopted children.</w:t>
            </w:r>
          </w:p>
        </w:tc>
      </w:tr>
      <w:tr w:rsidR="008B4402" w:rsidRPr="00C9343F" w14:paraId="2E600C52" w14:textId="77777777" w:rsidTr="002208F9">
        <w:trPr>
          <w:cantSplit/>
        </w:trPr>
        <w:tc>
          <w:tcPr>
            <w:tcW w:w="992" w:type="dxa"/>
          </w:tcPr>
          <w:p w14:paraId="328B7A6E" w14:textId="77777777" w:rsidR="008B4402" w:rsidRPr="00C9343F" w:rsidRDefault="008B4402" w:rsidP="00F66D98">
            <w:pPr>
              <w:pStyle w:val="BlockText-Plain"/>
            </w:pPr>
          </w:p>
        </w:tc>
        <w:tc>
          <w:tcPr>
            <w:tcW w:w="567" w:type="dxa"/>
          </w:tcPr>
          <w:p w14:paraId="2BE48D6D" w14:textId="77777777" w:rsidR="008B4402" w:rsidRPr="00C9343F" w:rsidRDefault="008B4402" w:rsidP="008D1B5D">
            <w:pPr>
              <w:pStyle w:val="BlockText-Plain"/>
              <w:jc w:val="center"/>
            </w:pPr>
            <w:r w:rsidRPr="00C9343F">
              <w:t>c.</w:t>
            </w:r>
          </w:p>
        </w:tc>
        <w:tc>
          <w:tcPr>
            <w:tcW w:w="7796" w:type="dxa"/>
          </w:tcPr>
          <w:p w14:paraId="7A1262AA" w14:textId="77777777" w:rsidR="008B4402" w:rsidRPr="00C9343F" w:rsidRDefault="008B4402" w:rsidP="00F66D98">
            <w:pPr>
              <w:pStyle w:val="BlockText-Plain"/>
            </w:pPr>
            <w:r w:rsidRPr="00C9343F">
              <w:t>A partner of the person who has given birth.</w:t>
            </w:r>
          </w:p>
        </w:tc>
      </w:tr>
      <w:tr w:rsidR="002208F9" w:rsidRPr="00C9343F" w14:paraId="0DC3152D" w14:textId="77777777" w:rsidTr="002208F9">
        <w:tc>
          <w:tcPr>
            <w:tcW w:w="992" w:type="dxa"/>
          </w:tcPr>
          <w:p w14:paraId="35C5634E" w14:textId="7BF37462" w:rsidR="002208F9" w:rsidRPr="00C9343F" w:rsidRDefault="002208F9" w:rsidP="00F66D98">
            <w:pPr>
              <w:pStyle w:val="BlockText-Plain"/>
              <w:jc w:val="center"/>
            </w:pPr>
            <w:r w:rsidRPr="00C9343F">
              <w:t>2.</w:t>
            </w:r>
          </w:p>
        </w:tc>
        <w:tc>
          <w:tcPr>
            <w:tcW w:w="8363" w:type="dxa"/>
            <w:gridSpan w:val="2"/>
          </w:tcPr>
          <w:p w14:paraId="6746449C" w14:textId="2BAACFD3" w:rsidR="002208F9" w:rsidRPr="00C9343F" w:rsidRDefault="002208F9" w:rsidP="00F66D98">
            <w:pPr>
              <w:pStyle w:val="BlockText-Plain"/>
            </w:pPr>
            <w:r w:rsidRPr="00C9343F">
              <w:rPr>
                <w:iCs/>
              </w:rPr>
              <w:t>A member who has been granted maternity leave may also be eligible for parental leave under Part 7.</w:t>
            </w:r>
          </w:p>
        </w:tc>
      </w:tr>
    </w:tbl>
    <w:p w14:paraId="10102688" w14:textId="219943B1" w:rsidR="008B4402" w:rsidRPr="00C9343F" w:rsidRDefault="008B4402" w:rsidP="00F66D98">
      <w:pPr>
        <w:pStyle w:val="Heading5"/>
      </w:pPr>
      <w:bookmarkStart w:id="1577" w:name="_Toc105054063"/>
      <w:bookmarkStart w:id="1578" w:name="bk134437547Notification"/>
      <w:bookmarkStart w:id="1579" w:name="bk92602549Notification"/>
      <w:bookmarkStart w:id="1580" w:name="bk144234549Notice"/>
      <w:bookmarkStart w:id="1581" w:name="bk1452275410Notice"/>
      <w:bookmarkStart w:id="1582" w:name="bk1452535410Notice"/>
      <w:bookmarkStart w:id="1583" w:name="bk1156115410Notice"/>
      <w:r w:rsidRPr="00C9343F">
        <w:t>5.6.10</w:t>
      </w:r>
      <w:r w:rsidR="00D94006" w:rsidRPr="00C9343F">
        <w:t>    </w:t>
      </w:r>
      <w:r w:rsidRPr="00C9343F">
        <w:t>Notice</w:t>
      </w:r>
      <w:bookmarkEnd w:id="1577"/>
    </w:p>
    <w:tbl>
      <w:tblPr>
        <w:tblW w:w="9359" w:type="dxa"/>
        <w:tblInd w:w="113" w:type="dxa"/>
        <w:tblLayout w:type="fixed"/>
        <w:tblLook w:val="0000" w:firstRow="0" w:lastRow="0" w:firstColumn="0" w:lastColumn="0" w:noHBand="0" w:noVBand="0"/>
      </w:tblPr>
      <w:tblGrid>
        <w:gridCol w:w="992"/>
        <w:gridCol w:w="567"/>
        <w:gridCol w:w="7800"/>
      </w:tblGrid>
      <w:tr w:rsidR="008B4402" w:rsidRPr="00C9343F" w14:paraId="0081D70E" w14:textId="77777777" w:rsidTr="002208F9">
        <w:tc>
          <w:tcPr>
            <w:tcW w:w="992" w:type="dxa"/>
          </w:tcPr>
          <w:p w14:paraId="56A2F84F" w14:textId="77777777" w:rsidR="008B4402" w:rsidRPr="00C9343F" w:rsidRDefault="008B4402" w:rsidP="00F66D98">
            <w:pPr>
              <w:pStyle w:val="BlockText-Plain"/>
              <w:jc w:val="center"/>
            </w:pPr>
            <w:bookmarkStart w:id="1584" w:name="bk134437548Howtoapplyformaternityleave"/>
            <w:bookmarkStart w:id="1585" w:name="bk926025410Howtoapplyformaternityleave"/>
            <w:bookmarkStart w:id="1586" w:name="bk1442345410Howtoapplyformaternityleave"/>
            <w:bookmarkStart w:id="1587" w:name="bk1452275411Howtoapplyformaternityleave"/>
            <w:bookmarkStart w:id="1588" w:name="bk1452535411Howtoapplyformaternityleave"/>
            <w:bookmarkStart w:id="1589" w:name="bk1156115411Howtoapplyformaternityleave"/>
            <w:bookmarkEnd w:id="1578"/>
            <w:bookmarkEnd w:id="1579"/>
            <w:bookmarkEnd w:id="1580"/>
            <w:bookmarkEnd w:id="1581"/>
            <w:bookmarkEnd w:id="1582"/>
            <w:bookmarkEnd w:id="1583"/>
            <w:r w:rsidRPr="00C9343F">
              <w:t>1.</w:t>
            </w:r>
          </w:p>
        </w:tc>
        <w:tc>
          <w:tcPr>
            <w:tcW w:w="8367" w:type="dxa"/>
            <w:gridSpan w:val="2"/>
          </w:tcPr>
          <w:p w14:paraId="451CE4C9" w14:textId="77777777" w:rsidR="008B4402" w:rsidRPr="00C9343F" w:rsidRDefault="008B4402" w:rsidP="00F66D98">
            <w:pPr>
              <w:pStyle w:val="BlockText-Plain"/>
            </w:pPr>
            <w:r w:rsidRPr="00C9343F">
              <w:t xml:space="preserve">A member must report to an ADF health facility when she believes she is pregnant.  </w:t>
            </w:r>
          </w:p>
        </w:tc>
      </w:tr>
      <w:tr w:rsidR="008B4402" w:rsidRPr="00C9343F" w14:paraId="34EF97E8" w14:textId="77777777" w:rsidTr="002208F9">
        <w:trPr>
          <w:cantSplit/>
        </w:trPr>
        <w:tc>
          <w:tcPr>
            <w:tcW w:w="992" w:type="dxa"/>
          </w:tcPr>
          <w:p w14:paraId="7464B899" w14:textId="77777777" w:rsidR="008B4402" w:rsidRPr="00C9343F" w:rsidRDefault="008B4402" w:rsidP="00F66D98">
            <w:pPr>
              <w:pStyle w:val="BlockText-Plain"/>
            </w:pPr>
          </w:p>
        </w:tc>
        <w:tc>
          <w:tcPr>
            <w:tcW w:w="567" w:type="dxa"/>
          </w:tcPr>
          <w:p w14:paraId="570AC63C" w14:textId="77777777" w:rsidR="008B4402" w:rsidRPr="00C9343F" w:rsidRDefault="008B4402" w:rsidP="008D1B5D">
            <w:pPr>
              <w:pStyle w:val="BlockText-Plain"/>
              <w:jc w:val="center"/>
            </w:pPr>
            <w:r w:rsidRPr="00C9343F">
              <w:t>a.</w:t>
            </w:r>
          </w:p>
        </w:tc>
        <w:tc>
          <w:tcPr>
            <w:tcW w:w="7800" w:type="dxa"/>
          </w:tcPr>
          <w:p w14:paraId="5363C0FD" w14:textId="77777777" w:rsidR="008B4402" w:rsidRPr="00C9343F" w:rsidRDefault="008B4402" w:rsidP="00F66D98">
            <w:pPr>
              <w:pStyle w:val="BlockText-Plain"/>
            </w:pPr>
            <w:r w:rsidRPr="00C9343F">
              <w:rPr>
                <w:snapToGrid w:val="0"/>
              </w:rPr>
              <w:t>To ensure that the member is employed safely within WHS policies and procedures relevant to her employment environment.</w:t>
            </w:r>
          </w:p>
        </w:tc>
      </w:tr>
      <w:tr w:rsidR="008B4402" w:rsidRPr="00C9343F" w14:paraId="04E36CB6" w14:textId="77777777" w:rsidTr="002208F9">
        <w:trPr>
          <w:cantSplit/>
        </w:trPr>
        <w:tc>
          <w:tcPr>
            <w:tcW w:w="992" w:type="dxa"/>
          </w:tcPr>
          <w:p w14:paraId="66A36BA2" w14:textId="77777777" w:rsidR="008B4402" w:rsidRPr="00C9343F" w:rsidRDefault="008B4402" w:rsidP="00F66D98">
            <w:pPr>
              <w:pStyle w:val="BlockText-Plain"/>
            </w:pPr>
          </w:p>
        </w:tc>
        <w:tc>
          <w:tcPr>
            <w:tcW w:w="567" w:type="dxa"/>
          </w:tcPr>
          <w:p w14:paraId="26650337" w14:textId="77777777" w:rsidR="008B4402" w:rsidRPr="00C9343F" w:rsidRDefault="008B4402" w:rsidP="008D1B5D">
            <w:pPr>
              <w:pStyle w:val="BlockText-Plain"/>
              <w:jc w:val="center"/>
            </w:pPr>
            <w:r w:rsidRPr="00C9343F">
              <w:t>b.</w:t>
            </w:r>
          </w:p>
        </w:tc>
        <w:tc>
          <w:tcPr>
            <w:tcW w:w="7800" w:type="dxa"/>
          </w:tcPr>
          <w:p w14:paraId="0C3914E6" w14:textId="77777777" w:rsidR="008B4402" w:rsidRPr="00C9343F" w:rsidRDefault="008B4402" w:rsidP="00F66D98">
            <w:pPr>
              <w:pStyle w:val="BlockText-Plain"/>
            </w:pPr>
            <w:r w:rsidRPr="00C9343F">
              <w:rPr>
                <w:snapToGrid w:val="0"/>
              </w:rPr>
              <w:t>To approve the member's access to benefits and conditions of service.</w:t>
            </w:r>
          </w:p>
        </w:tc>
      </w:tr>
      <w:tr w:rsidR="008B4402" w:rsidRPr="00C9343F" w14:paraId="773417CA" w14:textId="77777777" w:rsidTr="002208F9">
        <w:trPr>
          <w:cantSplit/>
        </w:trPr>
        <w:tc>
          <w:tcPr>
            <w:tcW w:w="992" w:type="dxa"/>
          </w:tcPr>
          <w:p w14:paraId="23CE3B97" w14:textId="77777777" w:rsidR="008B4402" w:rsidRPr="00C9343F" w:rsidRDefault="008B4402" w:rsidP="00F66D98">
            <w:pPr>
              <w:pStyle w:val="BlockText-Plain"/>
            </w:pPr>
          </w:p>
        </w:tc>
        <w:tc>
          <w:tcPr>
            <w:tcW w:w="567" w:type="dxa"/>
          </w:tcPr>
          <w:p w14:paraId="39D0CF8C" w14:textId="77777777" w:rsidR="008B4402" w:rsidRPr="00C9343F" w:rsidRDefault="008B4402" w:rsidP="008D1B5D">
            <w:pPr>
              <w:pStyle w:val="BlockText-Plain"/>
              <w:jc w:val="center"/>
            </w:pPr>
            <w:r w:rsidRPr="00C9343F">
              <w:t>c.</w:t>
            </w:r>
          </w:p>
        </w:tc>
        <w:tc>
          <w:tcPr>
            <w:tcW w:w="7800" w:type="dxa"/>
          </w:tcPr>
          <w:p w14:paraId="1AB6F079" w14:textId="77777777" w:rsidR="008B4402" w:rsidRPr="00C9343F" w:rsidRDefault="008B4402" w:rsidP="00F66D98">
            <w:pPr>
              <w:pStyle w:val="BlockText-Plain"/>
            </w:pPr>
            <w:r w:rsidRPr="00C9343F">
              <w:rPr>
                <w:snapToGrid w:val="0"/>
              </w:rPr>
              <w:t>To provide information to ensure that members are not disadvantaged in relevant career management agency decisions.</w:t>
            </w:r>
          </w:p>
        </w:tc>
      </w:tr>
      <w:tr w:rsidR="008B4402" w:rsidRPr="00C9343F" w14:paraId="24F8B052" w14:textId="77777777" w:rsidTr="002208F9">
        <w:tc>
          <w:tcPr>
            <w:tcW w:w="992" w:type="dxa"/>
          </w:tcPr>
          <w:p w14:paraId="24818550" w14:textId="77777777" w:rsidR="008B4402" w:rsidRPr="00C9343F" w:rsidRDefault="008B4402" w:rsidP="00F66D98">
            <w:pPr>
              <w:pStyle w:val="BlockText-Plain"/>
              <w:jc w:val="center"/>
            </w:pPr>
            <w:r w:rsidRPr="00C9343F">
              <w:t>2.</w:t>
            </w:r>
          </w:p>
        </w:tc>
        <w:tc>
          <w:tcPr>
            <w:tcW w:w="8367" w:type="dxa"/>
            <w:gridSpan w:val="2"/>
          </w:tcPr>
          <w:p w14:paraId="17E41B51" w14:textId="77777777" w:rsidR="008B4402" w:rsidRPr="00C9343F" w:rsidRDefault="008B4402" w:rsidP="00F66D98">
            <w:pPr>
              <w:pStyle w:val="BlockText-Plain"/>
            </w:pPr>
            <w:r w:rsidRPr="00C9343F">
              <w:t xml:space="preserve">The member must provide the CDF with evidence of the end of pregnancy within six weeks of it happening. Another person may provide the evidence on the member's behalf. This is required regardless of the way the pregnancy ends. </w:t>
            </w:r>
          </w:p>
        </w:tc>
      </w:tr>
    </w:tbl>
    <w:p w14:paraId="7390EE9C" w14:textId="4FACF3F7" w:rsidR="008B4402" w:rsidRPr="00C9343F" w:rsidRDefault="008B4402" w:rsidP="00F66D98">
      <w:pPr>
        <w:pStyle w:val="Heading5"/>
      </w:pPr>
      <w:bookmarkStart w:id="1590" w:name="_Toc105054064"/>
      <w:r w:rsidRPr="00C9343F">
        <w:t>5.6.11</w:t>
      </w:r>
      <w:r w:rsidR="00D94006" w:rsidRPr="00C9343F">
        <w:t>    </w:t>
      </w:r>
      <w:r w:rsidRPr="00C9343F">
        <w:t>How to apply for maternity leave</w:t>
      </w:r>
      <w:bookmarkEnd w:id="1590"/>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4BC8A194" w14:textId="77777777" w:rsidTr="00CD78BB">
        <w:tc>
          <w:tcPr>
            <w:tcW w:w="992" w:type="dxa"/>
          </w:tcPr>
          <w:bookmarkEnd w:id="1584"/>
          <w:bookmarkEnd w:id="1585"/>
          <w:bookmarkEnd w:id="1586"/>
          <w:bookmarkEnd w:id="1587"/>
          <w:bookmarkEnd w:id="1588"/>
          <w:bookmarkEnd w:id="1589"/>
          <w:p w14:paraId="1A1ED90D" w14:textId="77777777" w:rsidR="008B4402" w:rsidRPr="00C9343F" w:rsidRDefault="008B4402" w:rsidP="00F66D98">
            <w:pPr>
              <w:pStyle w:val="BlockText-Plain"/>
              <w:jc w:val="center"/>
            </w:pPr>
            <w:r w:rsidRPr="00C9343F">
              <w:t>1.</w:t>
            </w:r>
          </w:p>
        </w:tc>
        <w:tc>
          <w:tcPr>
            <w:tcW w:w="8363" w:type="dxa"/>
            <w:gridSpan w:val="2"/>
          </w:tcPr>
          <w:p w14:paraId="2C797D4C" w14:textId="77777777" w:rsidR="008B4402" w:rsidRPr="00C9343F" w:rsidRDefault="008B4402" w:rsidP="00F66D98">
            <w:pPr>
              <w:pStyle w:val="BlockText-Plain"/>
            </w:pPr>
            <w:r w:rsidRPr="00C9343F">
              <w:t xml:space="preserve">A member must apply for maternity leave. </w:t>
            </w:r>
          </w:p>
        </w:tc>
      </w:tr>
      <w:tr w:rsidR="008B4402" w:rsidRPr="00C9343F" w14:paraId="518AF6AA" w14:textId="77777777" w:rsidTr="00CD78BB">
        <w:tc>
          <w:tcPr>
            <w:tcW w:w="992" w:type="dxa"/>
          </w:tcPr>
          <w:p w14:paraId="6AEB83DA" w14:textId="77777777" w:rsidR="008B4402" w:rsidRPr="00C9343F" w:rsidRDefault="008B4402" w:rsidP="00F66D98">
            <w:pPr>
              <w:pStyle w:val="BlockText-Para"/>
              <w:spacing w:before="20" w:after="200"/>
              <w:ind w:firstLine="0"/>
              <w:jc w:val="center"/>
              <w:rPr>
                <w:sz w:val="20"/>
              </w:rPr>
            </w:pPr>
            <w:r w:rsidRPr="00C9343F">
              <w:rPr>
                <w:sz w:val="20"/>
              </w:rPr>
              <w:t>2.</w:t>
            </w:r>
          </w:p>
        </w:tc>
        <w:tc>
          <w:tcPr>
            <w:tcW w:w="8363" w:type="dxa"/>
            <w:gridSpan w:val="2"/>
          </w:tcPr>
          <w:p w14:paraId="682E4146" w14:textId="77777777" w:rsidR="008B4402" w:rsidRPr="00C9343F" w:rsidRDefault="008B4402" w:rsidP="00F66D98">
            <w:pPr>
              <w:pStyle w:val="BlockText-Para"/>
              <w:spacing w:before="20" w:after="200"/>
              <w:ind w:firstLine="0"/>
              <w:rPr>
                <w:sz w:val="20"/>
              </w:rPr>
            </w:pPr>
            <w:r w:rsidRPr="00C9343F">
              <w:rPr>
                <w:sz w:val="20"/>
              </w:rPr>
              <w:t>A member who has not applied for maternity leave but who would be eligible, had they applied, is taken to be on the required absence for maternity leave from the earlier of the following dates.</w:t>
            </w:r>
          </w:p>
        </w:tc>
      </w:tr>
      <w:tr w:rsidR="008B4402" w:rsidRPr="00C9343F" w14:paraId="124869D7" w14:textId="77777777" w:rsidTr="00CD78BB">
        <w:trPr>
          <w:cantSplit/>
        </w:trPr>
        <w:tc>
          <w:tcPr>
            <w:tcW w:w="992" w:type="dxa"/>
          </w:tcPr>
          <w:p w14:paraId="5B25C899" w14:textId="77777777" w:rsidR="008B4402" w:rsidRPr="00C9343F" w:rsidRDefault="008B4402" w:rsidP="00F66D98">
            <w:pPr>
              <w:pStyle w:val="BlockText-Plain"/>
            </w:pPr>
          </w:p>
        </w:tc>
        <w:tc>
          <w:tcPr>
            <w:tcW w:w="567" w:type="dxa"/>
          </w:tcPr>
          <w:p w14:paraId="538D848D" w14:textId="77777777" w:rsidR="008B4402" w:rsidRPr="00C9343F" w:rsidRDefault="008B4402" w:rsidP="008D1B5D">
            <w:pPr>
              <w:pStyle w:val="BlockText-Plain"/>
              <w:jc w:val="center"/>
            </w:pPr>
            <w:r w:rsidRPr="00C9343F">
              <w:t>a.</w:t>
            </w:r>
          </w:p>
        </w:tc>
        <w:tc>
          <w:tcPr>
            <w:tcW w:w="7796" w:type="dxa"/>
          </w:tcPr>
          <w:p w14:paraId="7722EF6F" w14:textId="77777777" w:rsidR="008B4402" w:rsidRPr="00C9343F" w:rsidRDefault="008B4402" w:rsidP="00F66D98">
            <w:pPr>
              <w:pStyle w:val="BlockText-Plain"/>
            </w:pPr>
            <w:r w:rsidRPr="00C9343F">
              <w:t>Six weeks before the expected date of birth notified under subsection 5.6.10.1.</w:t>
            </w:r>
          </w:p>
        </w:tc>
      </w:tr>
      <w:tr w:rsidR="008B4402" w:rsidRPr="00C9343F" w14:paraId="4A74654B" w14:textId="77777777" w:rsidTr="00CD78BB">
        <w:trPr>
          <w:cantSplit/>
        </w:trPr>
        <w:tc>
          <w:tcPr>
            <w:tcW w:w="992" w:type="dxa"/>
          </w:tcPr>
          <w:p w14:paraId="7F1121F6" w14:textId="77777777" w:rsidR="008B4402" w:rsidRPr="00C9343F" w:rsidRDefault="008B4402" w:rsidP="00F66D98">
            <w:pPr>
              <w:pStyle w:val="BlockText-Plain"/>
            </w:pPr>
          </w:p>
        </w:tc>
        <w:tc>
          <w:tcPr>
            <w:tcW w:w="567" w:type="dxa"/>
          </w:tcPr>
          <w:p w14:paraId="4F50D7CC" w14:textId="77777777" w:rsidR="008B4402" w:rsidRPr="00C9343F" w:rsidRDefault="008B4402" w:rsidP="008D1B5D">
            <w:pPr>
              <w:pStyle w:val="BlockText-Plain"/>
              <w:jc w:val="center"/>
            </w:pPr>
            <w:r w:rsidRPr="00C9343F">
              <w:t>b.</w:t>
            </w:r>
          </w:p>
        </w:tc>
        <w:tc>
          <w:tcPr>
            <w:tcW w:w="7796" w:type="dxa"/>
          </w:tcPr>
          <w:p w14:paraId="6B7389A5" w14:textId="77777777" w:rsidR="008B4402" w:rsidRPr="00C9343F" w:rsidRDefault="008B4402" w:rsidP="00F66D98">
            <w:pPr>
              <w:pStyle w:val="BlockText-Plain"/>
            </w:pPr>
            <w:r w:rsidRPr="00C9343F">
              <w:t>The date of birth, when the birth occurs earlier than six weeks before the expected date of birth notified under subsection 5.6.10.1.</w:t>
            </w:r>
          </w:p>
        </w:tc>
      </w:tr>
    </w:tbl>
    <w:p w14:paraId="0D2D2D92" w14:textId="033FF1F4" w:rsidR="008B4402" w:rsidRPr="00C9343F" w:rsidRDefault="008B4402" w:rsidP="00352D0B">
      <w:pPr>
        <w:pStyle w:val="Heading4"/>
        <w:pageBreakBefore/>
      </w:pPr>
      <w:bookmarkStart w:id="1591" w:name="_Toc105054065"/>
      <w:r w:rsidRPr="00C9343F">
        <w:t>Division 2: Maternity leave entitlements</w:t>
      </w:r>
      <w:bookmarkEnd w:id="1591"/>
    </w:p>
    <w:p w14:paraId="1939E9D9" w14:textId="648420EA" w:rsidR="008B4402" w:rsidRPr="00C9343F" w:rsidRDefault="008B4402" w:rsidP="00F66D98">
      <w:pPr>
        <w:pStyle w:val="Heading5"/>
      </w:pPr>
      <w:bookmarkStart w:id="1592" w:name="_Toc105054066"/>
      <w:bookmarkStart w:id="1593" w:name="bk1345335415Overview"/>
      <w:bookmarkStart w:id="1594" w:name="bk1438175411Overview"/>
      <w:bookmarkStart w:id="1595" w:name="bk1419005411Overview"/>
      <w:bookmarkStart w:id="1596" w:name="bk1423135411Overview"/>
      <w:bookmarkStart w:id="1597" w:name="bk1457195412Overview"/>
      <w:bookmarkStart w:id="1598" w:name="bk906235412Overview"/>
      <w:bookmarkStart w:id="1599" w:name="bk1156195412Overview"/>
      <w:bookmarkStart w:id="1600" w:name="bk1202155413Entitlement"/>
      <w:bookmarkStart w:id="1601" w:name="bk1202515413Entitlement"/>
      <w:r w:rsidRPr="00C9343F">
        <w:t>5.6.12</w:t>
      </w:r>
      <w:r w:rsidR="00D94006" w:rsidRPr="00C9343F">
        <w:t>    </w:t>
      </w:r>
      <w:r w:rsidR="002208F9" w:rsidRPr="00C9343F">
        <w:t>Purpose</w:t>
      </w:r>
      <w:bookmarkEnd w:id="1592"/>
    </w:p>
    <w:tbl>
      <w:tblPr>
        <w:tblW w:w="9359" w:type="dxa"/>
        <w:tblInd w:w="113" w:type="dxa"/>
        <w:tblLayout w:type="fixed"/>
        <w:tblLook w:val="0000" w:firstRow="0" w:lastRow="0" w:firstColumn="0" w:lastColumn="0" w:noHBand="0" w:noVBand="0"/>
      </w:tblPr>
      <w:tblGrid>
        <w:gridCol w:w="992"/>
        <w:gridCol w:w="567"/>
        <w:gridCol w:w="567"/>
        <w:gridCol w:w="7233"/>
      </w:tblGrid>
      <w:tr w:rsidR="002208F9" w:rsidRPr="00C9343F" w14:paraId="5A8EF9CA" w14:textId="77777777" w:rsidTr="002208F9">
        <w:tc>
          <w:tcPr>
            <w:tcW w:w="992" w:type="dxa"/>
          </w:tcPr>
          <w:bookmarkEnd w:id="1593"/>
          <w:bookmarkEnd w:id="1594"/>
          <w:bookmarkEnd w:id="1595"/>
          <w:bookmarkEnd w:id="1596"/>
          <w:bookmarkEnd w:id="1597"/>
          <w:bookmarkEnd w:id="1598"/>
          <w:bookmarkEnd w:id="1599"/>
          <w:p w14:paraId="5DCCD8F6" w14:textId="060BB798" w:rsidR="002208F9" w:rsidRPr="00C9343F" w:rsidRDefault="002208F9" w:rsidP="00F66D98">
            <w:pPr>
              <w:pStyle w:val="BlockText-Plain"/>
              <w:jc w:val="center"/>
            </w:pPr>
            <w:r w:rsidRPr="00C9343F">
              <w:t>1.</w:t>
            </w:r>
          </w:p>
        </w:tc>
        <w:tc>
          <w:tcPr>
            <w:tcW w:w="8367" w:type="dxa"/>
            <w:gridSpan w:val="3"/>
          </w:tcPr>
          <w:p w14:paraId="14E61A63" w14:textId="2B182C75" w:rsidR="002208F9" w:rsidRPr="00C9343F" w:rsidRDefault="002208F9" w:rsidP="00F66D98">
            <w:pPr>
              <w:pStyle w:val="BlockText-Plain"/>
            </w:pPr>
            <w:r w:rsidRPr="00C9343F">
              <w:rPr>
                <w:iCs/>
              </w:rPr>
              <w:t>This Division sets out the maternity leave entitlement available to a member.</w:t>
            </w:r>
          </w:p>
        </w:tc>
      </w:tr>
      <w:tr w:rsidR="008B4402" w:rsidRPr="00C9343F" w14:paraId="10FC8859" w14:textId="77777777" w:rsidTr="002208F9">
        <w:tc>
          <w:tcPr>
            <w:tcW w:w="992" w:type="dxa"/>
          </w:tcPr>
          <w:p w14:paraId="3A11B292" w14:textId="77777777" w:rsidR="008B4402" w:rsidRPr="00C9343F" w:rsidRDefault="008B4402" w:rsidP="00F66D98">
            <w:pPr>
              <w:pStyle w:val="BlockText-Plain"/>
              <w:jc w:val="center"/>
            </w:pPr>
            <w:r w:rsidRPr="00C9343F">
              <w:t>2.</w:t>
            </w:r>
          </w:p>
        </w:tc>
        <w:tc>
          <w:tcPr>
            <w:tcW w:w="8367" w:type="dxa"/>
            <w:gridSpan w:val="3"/>
          </w:tcPr>
          <w:p w14:paraId="53FC4C00" w14:textId="77777777" w:rsidR="008B4402" w:rsidRPr="00C9343F" w:rsidRDefault="008B4402" w:rsidP="00F66D98">
            <w:pPr>
              <w:pStyle w:val="BlockText-Plain"/>
            </w:pPr>
            <w:r w:rsidRPr="00C9343F">
              <w:t>Maternity leave has features that make it an unusual leave type.</w:t>
            </w:r>
          </w:p>
        </w:tc>
      </w:tr>
      <w:tr w:rsidR="008B4402" w:rsidRPr="00C9343F" w14:paraId="4569D05E" w14:textId="77777777" w:rsidTr="002208F9">
        <w:trPr>
          <w:cantSplit/>
        </w:trPr>
        <w:tc>
          <w:tcPr>
            <w:tcW w:w="992" w:type="dxa"/>
          </w:tcPr>
          <w:p w14:paraId="43078AD5" w14:textId="77777777" w:rsidR="008B4402" w:rsidRPr="00C9343F" w:rsidRDefault="008B4402" w:rsidP="00F66D98">
            <w:pPr>
              <w:pStyle w:val="BlockText-Plain"/>
            </w:pPr>
          </w:p>
        </w:tc>
        <w:tc>
          <w:tcPr>
            <w:tcW w:w="567" w:type="dxa"/>
          </w:tcPr>
          <w:p w14:paraId="1365F8AE" w14:textId="77777777" w:rsidR="008B4402" w:rsidRPr="00C9343F" w:rsidRDefault="008B4402" w:rsidP="008D1B5D">
            <w:pPr>
              <w:pStyle w:val="BlockText-Plain"/>
              <w:jc w:val="center"/>
            </w:pPr>
            <w:r w:rsidRPr="00C9343F">
              <w:t>a.</w:t>
            </w:r>
          </w:p>
        </w:tc>
        <w:tc>
          <w:tcPr>
            <w:tcW w:w="7800" w:type="dxa"/>
            <w:gridSpan w:val="2"/>
          </w:tcPr>
          <w:p w14:paraId="4A01E2E2" w14:textId="77777777" w:rsidR="008B4402" w:rsidRPr="00C9343F" w:rsidRDefault="008B4402" w:rsidP="00F66D98">
            <w:pPr>
              <w:pStyle w:val="BlockText-Plain"/>
            </w:pPr>
            <w:r w:rsidRPr="00C9343F">
              <w:t>The leave is an entitlement. Approval is an administrative formality. If the member is entitled to take the leave, it must be approved.</w:t>
            </w:r>
          </w:p>
        </w:tc>
      </w:tr>
      <w:tr w:rsidR="008B4402" w:rsidRPr="00C9343F" w14:paraId="229F00B4" w14:textId="77777777" w:rsidTr="002208F9">
        <w:trPr>
          <w:cantSplit/>
        </w:trPr>
        <w:tc>
          <w:tcPr>
            <w:tcW w:w="992" w:type="dxa"/>
          </w:tcPr>
          <w:p w14:paraId="076B7EF1" w14:textId="77777777" w:rsidR="008B4402" w:rsidRPr="00C9343F" w:rsidRDefault="008B4402" w:rsidP="00F66D98">
            <w:pPr>
              <w:pStyle w:val="BlockText-Plain"/>
            </w:pPr>
          </w:p>
        </w:tc>
        <w:tc>
          <w:tcPr>
            <w:tcW w:w="567" w:type="dxa"/>
          </w:tcPr>
          <w:p w14:paraId="41F1A065" w14:textId="77777777" w:rsidR="008B4402" w:rsidRPr="00C9343F" w:rsidRDefault="008B4402" w:rsidP="008D1B5D">
            <w:pPr>
              <w:pStyle w:val="BlockText-Plain"/>
              <w:jc w:val="center"/>
            </w:pPr>
            <w:r w:rsidRPr="00C9343F">
              <w:t>b.</w:t>
            </w:r>
          </w:p>
        </w:tc>
        <w:tc>
          <w:tcPr>
            <w:tcW w:w="7800" w:type="dxa"/>
            <w:gridSpan w:val="2"/>
          </w:tcPr>
          <w:p w14:paraId="6DA3090C" w14:textId="77777777" w:rsidR="008B4402" w:rsidRPr="00C9343F" w:rsidRDefault="008B4402" w:rsidP="00F66D98">
            <w:pPr>
              <w:pStyle w:val="BlockText-Plain"/>
            </w:pPr>
            <w:r w:rsidRPr="00C9343F">
              <w:t>If a member was pregnant 20 weeks before the expected date of birth, she is entitled to a maternity leave absence. This is true of members on Permanent or Reserve service. It is also true of members of long and short service.</w:t>
            </w:r>
          </w:p>
        </w:tc>
      </w:tr>
      <w:tr w:rsidR="008B4402" w:rsidRPr="00C9343F" w14:paraId="26C8B80E" w14:textId="77777777" w:rsidTr="002208F9">
        <w:trPr>
          <w:cantSplit/>
        </w:trPr>
        <w:tc>
          <w:tcPr>
            <w:tcW w:w="1559" w:type="dxa"/>
            <w:gridSpan w:val="2"/>
          </w:tcPr>
          <w:p w14:paraId="48EAD03B" w14:textId="77777777" w:rsidR="008B4402" w:rsidRPr="00C9343F" w:rsidRDefault="008B4402" w:rsidP="00F66D98">
            <w:pPr>
              <w:pStyle w:val="BlockText-Plain"/>
            </w:pPr>
          </w:p>
        </w:tc>
        <w:tc>
          <w:tcPr>
            <w:tcW w:w="567" w:type="dxa"/>
          </w:tcPr>
          <w:p w14:paraId="73435547" w14:textId="77777777" w:rsidR="008B4402" w:rsidRPr="00C9343F" w:rsidRDefault="008B4402" w:rsidP="008D1B5D">
            <w:pPr>
              <w:pStyle w:val="BlockText-Plain"/>
            </w:pPr>
            <w:r w:rsidRPr="00C9343F">
              <w:t>i.</w:t>
            </w:r>
          </w:p>
        </w:tc>
        <w:tc>
          <w:tcPr>
            <w:tcW w:w="7233" w:type="dxa"/>
          </w:tcPr>
          <w:p w14:paraId="117DEBB8" w14:textId="7246D80B" w:rsidR="008B4402" w:rsidRPr="00C9343F" w:rsidRDefault="008B4402" w:rsidP="00F66D98">
            <w:pPr>
              <w:pStyle w:val="BlockText-Plain"/>
            </w:pPr>
            <w:r w:rsidRPr="00C9343F">
              <w:t>If members have the required qualifying service, part of the leave is paid.</w:t>
            </w:r>
          </w:p>
        </w:tc>
      </w:tr>
      <w:tr w:rsidR="008B4402" w:rsidRPr="00C9343F" w14:paraId="7064FA6B" w14:textId="77777777" w:rsidTr="002208F9">
        <w:trPr>
          <w:cantSplit/>
        </w:trPr>
        <w:tc>
          <w:tcPr>
            <w:tcW w:w="1559" w:type="dxa"/>
            <w:gridSpan w:val="2"/>
          </w:tcPr>
          <w:p w14:paraId="7D49AC20" w14:textId="77777777" w:rsidR="008B4402" w:rsidRPr="00C9343F" w:rsidRDefault="008B4402" w:rsidP="00F66D98">
            <w:pPr>
              <w:pStyle w:val="BlockText-Plain"/>
            </w:pPr>
          </w:p>
        </w:tc>
        <w:tc>
          <w:tcPr>
            <w:tcW w:w="567" w:type="dxa"/>
          </w:tcPr>
          <w:p w14:paraId="0E5D4CED" w14:textId="77777777" w:rsidR="008B4402" w:rsidRPr="00C9343F" w:rsidRDefault="008B4402" w:rsidP="008D1B5D">
            <w:pPr>
              <w:pStyle w:val="BlockText-Plain"/>
            </w:pPr>
            <w:r w:rsidRPr="00C9343F">
              <w:t>ii.</w:t>
            </w:r>
          </w:p>
        </w:tc>
        <w:tc>
          <w:tcPr>
            <w:tcW w:w="7233" w:type="dxa"/>
          </w:tcPr>
          <w:p w14:paraId="00FC76C4" w14:textId="5C223ACA" w:rsidR="008B4402" w:rsidRPr="00C9343F" w:rsidRDefault="008B4402" w:rsidP="00F66D98">
            <w:pPr>
              <w:pStyle w:val="BlockText-Plain"/>
            </w:pPr>
            <w:r w:rsidRPr="00C9343F">
              <w:t>Members may substitute recreation or long service leave for unpaid maternity leave.</w:t>
            </w:r>
          </w:p>
        </w:tc>
      </w:tr>
      <w:tr w:rsidR="008B4402" w:rsidRPr="00C9343F" w14:paraId="7DEF310B" w14:textId="77777777" w:rsidTr="002208F9">
        <w:trPr>
          <w:cantSplit/>
        </w:trPr>
        <w:tc>
          <w:tcPr>
            <w:tcW w:w="992" w:type="dxa"/>
          </w:tcPr>
          <w:p w14:paraId="6CE7C412" w14:textId="77777777" w:rsidR="008B4402" w:rsidRPr="00C9343F" w:rsidRDefault="008B4402" w:rsidP="00F66D98">
            <w:pPr>
              <w:pStyle w:val="BlockText-Plain"/>
            </w:pPr>
            <w:bookmarkStart w:id="1602" w:name="bk1345335416Entitlement"/>
            <w:bookmarkStart w:id="1603" w:name="bk1438175412Entitlement"/>
            <w:bookmarkStart w:id="1604" w:name="bk1419005412Entitlement"/>
            <w:bookmarkStart w:id="1605" w:name="bk1423135412Entitlement"/>
            <w:bookmarkStart w:id="1606" w:name="bk1457195413Entitlement"/>
          </w:p>
        </w:tc>
        <w:tc>
          <w:tcPr>
            <w:tcW w:w="567" w:type="dxa"/>
          </w:tcPr>
          <w:p w14:paraId="1259CCD2" w14:textId="77777777" w:rsidR="008B4402" w:rsidRPr="00C9343F" w:rsidRDefault="008B4402" w:rsidP="008D1B5D">
            <w:pPr>
              <w:pStyle w:val="BlockText-Plain"/>
              <w:jc w:val="center"/>
            </w:pPr>
            <w:r w:rsidRPr="00C9343F">
              <w:t>c.</w:t>
            </w:r>
          </w:p>
        </w:tc>
        <w:tc>
          <w:tcPr>
            <w:tcW w:w="7800" w:type="dxa"/>
            <w:gridSpan w:val="2"/>
          </w:tcPr>
          <w:p w14:paraId="705EBFC1" w14:textId="6982120C" w:rsidR="008B4402" w:rsidRPr="00C9343F" w:rsidRDefault="008B4402" w:rsidP="00F66D98">
            <w:pPr>
              <w:pStyle w:val="BlockText-Plain"/>
            </w:pPr>
            <w:r w:rsidRPr="00C9343F">
              <w:t xml:space="preserve">If the member resumes duty early, she is entitled to go on maternity leave again during the 52-week period. </w:t>
            </w:r>
          </w:p>
        </w:tc>
      </w:tr>
    </w:tbl>
    <w:p w14:paraId="5C395C6B" w14:textId="6B770536" w:rsidR="008B4402" w:rsidRPr="00C9343F" w:rsidRDefault="008B4402" w:rsidP="00F66D98">
      <w:pPr>
        <w:pStyle w:val="Heading5"/>
      </w:pPr>
      <w:bookmarkStart w:id="1607" w:name="_Toc105054067"/>
      <w:bookmarkStart w:id="1608" w:name="bk1202155414Rateofpayment"/>
      <w:bookmarkStart w:id="1609" w:name="bk1202515414Rateofpayment"/>
      <w:bookmarkStart w:id="1610" w:name="bk1345335417Paidmaternityleave"/>
      <w:bookmarkStart w:id="1611" w:name="bk1438175413Paidmaternityleave"/>
      <w:bookmarkStart w:id="1612" w:name="bk1419005413Paidmaternityleave"/>
      <w:bookmarkStart w:id="1613" w:name="bk1423135413Paidmaternityleave"/>
      <w:bookmarkStart w:id="1614" w:name="bk1457195414Paidmaternityleave"/>
      <w:bookmarkStart w:id="1615" w:name="bk906245414Paidmaternityleave"/>
      <w:bookmarkStart w:id="1616" w:name="bk1156195414Paidmaternityleave"/>
      <w:bookmarkEnd w:id="1600"/>
      <w:bookmarkEnd w:id="1601"/>
      <w:bookmarkEnd w:id="1602"/>
      <w:bookmarkEnd w:id="1603"/>
      <w:bookmarkEnd w:id="1604"/>
      <w:bookmarkEnd w:id="1605"/>
      <w:bookmarkEnd w:id="1606"/>
      <w:r w:rsidRPr="00C9343F">
        <w:t>5.6.13</w:t>
      </w:r>
      <w:r w:rsidR="00D94006" w:rsidRPr="00C9343F">
        <w:t>    </w:t>
      </w:r>
      <w:r w:rsidRPr="00C9343F">
        <w:t>Leave entitlement</w:t>
      </w:r>
      <w:bookmarkEnd w:id="1607"/>
    </w:p>
    <w:tbl>
      <w:tblPr>
        <w:tblW w:w="9359" w:type="dxa"/>
        <w:tblInd w:w="113" w:type="dxa"/>
        <w:tblLayout w:type="fixed"/>
        <w:tblLook w:val="0000" w:firstRow="0" w:lastRow="0" w:firstColumn="0" w:lastColumn="0" w:noHBand="0" w:noVBand="0"/>
      </w:tblPr>
      <w:tblGrid>
        <w:gridCol w:w="992"/>
        <w:gridCol w:w="567"/>
        <w:gridCol w:w="7800"/>
      </w:tblGrid>
      <w:tr w:rsidR="008B4402" w:rsidRPr="00C9343F" w14:paraId="5FFC7FD8" w14:textId="77777777" w:rsidTr="003C090B">
        <w:tc>
          <w:tcPr>
            <w:tcW w:w="992" w:type="dxa"/>
          </w:tcPr>
          <w:p w14:paraId="1F9B6497" w14:textId="77777777" w:rsidR="008B4402" w:rsidRPr="00C9343F" w:rsidRDefault="008B4402" w:rsidP="00F66D98">
            <w:pPr>
              <w:pStyle w:val="BlockText-Plain"/>
              <w:jc w:val="center"/>
            </w:pPr>
            <w:r w:rsidRPr="00C9343F">
              <w:t>1.</w:t>
            </w:r>
          </w:p>
        </w:tc>
        <w:tc>
          <w:tcPr>
            <w:tcW w:w="8367" w:type="dxa"/>
            <w:gridSpan w:val="2"/>
          </w:tcPr>
          <w:p w14:paraId="276EC807" w14:textId="77777777" w:rsidR="008B4402" w:rsidRPr="00C9343F" w:rsidRDefault="008B4402" w:rsidP="00F66D98">
            <w:pPr>
              <w:pStyle w:val="BlockText-Plain"/>
            </w:pPr>
            <w:r w:rsidRPr="00C9343F">
              <w:t>The member is entitled to be absent from duty during the following period.</w:t>
            </w:r>
          </w:p>
        </w:tc>
      </w:tr>
      <w:tr w:rsidR="008B4402" w:rsidRPr="00C9343F" w14:paraId="422DA4FE" w14:textId="77777777" w:rsidTr="003C090B">
        <w:trPr>
          <w:cantSplit/>
        </w:trPr>
        <w:tc>
          <w:tcPr>
            <w:tcW w:w="992" w:type="dxa"/>
          </w:tcPr>
          <w:p w14:paraId="74C1705C" w14:textId="77777777" w:rsidR="008B4402" w:rsidRPr="00C9343F" w:rsidRDefault="008B4402" w:rsidP="00F66D98">
            <w:pPr>
              <w:pStyle w:val="BlockText-Plain"/>
            </w:pPr>
          </w:p>
        </w:tc>
        <w:tc>
          <w:tcPr>
            <w:tcW w:w="567" w:type="dxa"/>
          </w:tcPr>
          <w:p w14:paraId="3C007308" w14:textId="77777777" w:rsidR="008B4402" w:rsidRPr="00C9343F" w:rsidRDefault="008B4402" w:rsidP="008D1B5D">
            <w:pPr>
              <w:pStyle w:val="BlockText-Plain"/>
              <w:jc w:val="center"/>
            </w:pPr>
            <w:r w:rsidRPr="00C9343F">
              <w:t>a.</w:t>
            </w:r>
          </w:p>
        </w:tc>
        <w:tc>
          <w:tcPr>
            <w:tcW w:w="7800" w:type="dxa"/>
          </w:tcPr>
          <w:p w14:paraId="7849CC40" w14:textId="77777777" w:rsidR="008B4402" w:rsidRPr="00C9343F" w:rsidRDefault="008B4402" w:rsidP="00F66D98">
            <w:pPr>
              <w:pStyle w:val="BlockText-Plain"/>
            </w:pPr>
            <w:r w:rsidRPr="00C9343F">
              <w:t>From the first day of the member's maternity leave.</w:t>
            </w:r>
          </w:p>
        </w:tc>
      </w:tr>
      <w:tr w:rsidR="008B4402" w:rsidRPr="00C9343F" w14:paraId="1AB37E56" w14:textId="77777777" w:rsidTr="003C090B">
        <w:trPr>
          <w:cantSplit/>
        </w:trPr>
        <w:tc>
          <w:tcPr>
            <w:tcW w:w="992" w:type="dxa"/>
          </w:tcPr>
          <w:p w14:paraId="6C1F73EB" w14:textId="77777777" w:rsidR="008B4402" w:rsidRPr="00C9343F" w:rsidRDefault="008B4402" w:rsidP="00F66D98">
            <w:pPr>
              <w:pStyle w:val="BlockText-Plain"/>
            </w:pPr>
          </w:p>
        </w:tc>
        <w:tc>
          <w:tcPr>
            <w:tcW w:w="567" w:type="dxa"/>
          </w:tcPr>
          <w:p w14:paraId="0DAF01CC" w14:textId="77777777" w:rsidR="008B4402" w:rsidRPr="00C9343F" w:rsidRDefault="008B4402" w:rsidP="008D1B5D">
            <w:pPr>
              <w:pStyle w:val="BlockText-Plain"/>
              <w:jc w:val="center"/>
            </w:pPr>
            <w:r w:rsidRPr="00C9343F">
              <w:t>b.</w:t>
            </w:r>
          </w:p>
        </w:tc>
        <w:tc>
          <w:tcPr>
            <w:tcW w:w="7800" w:type="dxa"/>
          </w:tcPr>
          <w:p w14:paraId="0DE4B9AB" w14:textId="77777777" w:rsidR="008B4402" w:rsidRPr="00C9343F" w:rsidRDefault="008B4402" w:rsidP="00F66D98">
            <w:pPr>
              <w:pStyle w:val="BlockText-Plain"/>
            </w:pPr>
            <w:r w:rsidRPr="00C9343F">
              <w:t>Until the day 52 weeks after the day in paragraph a.</w:t>
            </w:r>
          </w:p>
        </w:tc>
      </w:tr>
      <w:tr w:rsidR="008B4402" w:rsidRPr="00C9343F" w14:paraId="2EAECA59" w14:textId="77777777" w:rsidTr="003C090B">
        <w:tc>
          <w:tcPr>
            <w:tcW w:w="992" w:type="dxa"/>
          </w:tcPr>
          <w:p w14:paraId="6025F877" w14:textId="77777777" w:rsidR="008B4402" w:rsidRPr="00C9343F" w:rsidRDefault="008B4402" w:rsidP="00F66D98">
            <w:pPr>
              <w:pStyle w:val="BlockText-Plain"/>
              <w:jc w:val="center"/>
            </w:pPr>
            <w:r w:rsidRPr="00C9343F">
              <w:t>2.</w:t>
            </w:r>
          </w:p>
        </w:tc>
        <w:tc>
          <w:tcPr>
            <w:tcW w:w="8367" w:type="dxa"/>
            <w:gridSpan w:val="2"/>
          </w:tcPr>
          <w:p w14:paraId="13EE0E7F" w14:textId="45099847" w:rsidR="008B4402" w:rsidRPr="00C9343F" w:rsidRDefault="008B4402" w:rsidP="00F66D98">
            <w:pPr>
              <w:pStyle w:val="BlockText-Plain"/>
            </w:pPr>
            <w:r w:rsidRPr="00C9343F">
              <w:t>The period of absence starts on the first day of the member's required absence.</w:t>
            </w:r>
          </w:p>
        </w:tc>
      </w:tr>
    </w:tbl>
    <w:p w14:paraId="54600454" w14:textId="7C36E0AD" w:rsidR="003C090B" w:rsidRPr="00C9343F" w:rsidRDefault="003C090B" w:rsidP="00F66D98">
      <w:pPr>
        <w:pStyle w:val="Heading5"/>
      </w:pPr>
      <w:bookmarkStart w:id="1617" w:name="_Toc105054068"/>
      <w:bookmarkStart w:id="1618" w:name="bk1345335418Maternityleaveathalfpay"/>
      <w:bookmarkStart w:id="1619" w:name="bk1438185414Maternityleaveathalfpay"/>
      <w:bookmarkStart w:id="1620" w:name="bk1419005414Maternityleaveathalfpay"/>
      <w:bookmarkStart w:id="1621" w:name="bk1423135414Maternityleaveathalfpay"/>
      <w:bookmarkStart w:id="1622" w:name="bk1457195415Maternityleaveathalfpay"/>
      <w:bookmarkStart w:id="1623" w:name="bk906245415Maternityleaveathalfpay"/>
      <w:bookmarkStart w:id="1624" w:name="bk1156205415Maternityleaveathalfpay"/>
      <w:bookmarkStart w:id="1625" w:name="bk120215Clause5415Rateofpaymentmemberso"/>
      <w:bookmarkStart w:id="1626" w:name="bk1202515415RateofpaymentmembersonReser"/>
      <w:bookmarkEnd w:id="1608"/>
      <w:bookmarkEnd w:id="1609"/>
      <w:bookmarkEnd w:id="1610"/>
      <w:bookmarkEnd w:id="1611"/>
      <w:bookmarkEnd w:id="1612"/>
      <w:bookmarkEnd w:id="1613"/>
      <w:bookmarkEnd w:id="1614"/>
      <w:bookmarkEnd w:id="1615"/>
      <w:bookmarkEnd w:id="1616"/>
      <w:r w:rsidRPr="00C9343F">
        <w:t>5.6.14</w:t>
      </w:r>
      <w:r w:rsidR="00D94006" w:rsidRPr="00C9343F">
        <w:t>    </w:t>
      </w:r>
      <w:r w:rsidRPr="00C9343F">
        <w:t>Paid maternity leave</w:t>
      </w:r>
      <w:bookmarkEnd w:id="1617"/>
    </w:p>
    <w:tbl>
      <w:tblPr>
        <w:tblW w:w="9359" w:type="dxa"/>
        <w:tblInd w:w="113" w:type="dxa"/>
        <w:tblLayout w:type="fixed"/>
        <w:tblLook w:val="04A0" w:firstRow="1" w:lastRow="0" w:firstColumn="1" w:lastColumn="0" w:noHBand="0" w:noVBand="1"/>
      </w:tblPr>
      <w:tblGrid>
        <w:gridCol w:w="992"/>
        <w:gridCol w:w="563"/>
        <w:gridCol w:w="7804"/>
      </w:tblGrid>
      <w:tr w:rsidR="003C090B" w:rsidRPr="00C9343F" w14:paraId="142C4E50" w14:textId="77777777" w:rsidTr="006E5056">
        <w:tc>
          <w:tcPr>
            <w:tcW w:w="992" w:type="dxa"/>
          </w:tcPr>
          <w:p w14:paraId="0292E3AF" w14:textId="77777777" w:rsidR="003C090B" w:rsidRPr="00C9343F" w:rsidRDefault="003C090B" w:rsidP="00F66D98">
            <w:pPr>
              <w:pStyle w:val="Sectiontext0"/>
              <w:jc w:val="center"/>
              <w:rPr>
                <w:lang w:eastAsia="en-US"/>
              </w:rPr>
            </w:pPr>
            <w:r w:rsidRPr="00C9343F">
              <w:rPr>
                <w:lang w:eastAsia="en-US"/>
              </w:rPr>
              <w:t>1.</w:t>
            </w:r>
          </w:p>
        </w:tc>
        <w:tc>
          <w:tcPr>
            <w:tcW w:w="8367" w:type="dxa"/>
            <w:gridSpan w:val="2"/>
          </w:tcPr>
          <w:p w14:paraId="583569E5" w14:textId="77777777" w:rsidR="003C090B" w:rsidRPr="00C9343F" w:rsidRDefault="003C090B" w:rsidP="00F66D98">
            <w:pPr>
              <w:pStyle w:val="Sectiontext0"/>
              <w:rPr>
                <w:lang w:eastAsia="en-US"/>
              </w:rPr>
            </w:pPr>
            <w:r w:rsidRPr="00C9343F">
              <w:rPr>
                <w:lang w:eastAsia="en-US"/>
              </w:rPr>
              <w:t>Subject to subsection 2, a member is eligible for the following for the first 14 weeks of maternity leave.</w:t>
            </w:r>
          </w:p>
        </w:tc>
      </w:tr>
      <w:tr w:rsidR="003C090B" w:rsidRPr="00C9343F" w14:paraId="0DC5C8FF" w14:textId="77777777" w:rsidTr="006E5056">
        <w:tc>
          <w:tcPr>
            <w:tcW w:w="992" w:type="dxa"/>
          </w:tcPr>
          <w:p w14:paraId="02C50E8F" w14:textId="77777777" w:rsidR="003C090B" w:rsidRPr="00C9343F" w:rsidRDefault="003C090B" w:rsidP="00F66D98">
            <w:pPr>
              <w:pStyle w:val="Sectiontext0"/>
              <w:jc w:val="center"/>
              <w:rPr>
                <w:lang w:eastAsia="en-US"/>
              </w:rPr>
            </w:pPr>
          </w:p>
        </w:tc>
        <w:tc>
          <w:tcPr>
            <w:tcW w:w="563" w:type="dxa"/>
            <w:hideMark/>
          </w:tcPr>
          <w:p w14:paraId="5CCC3FF7" w14:textId="77777777" w:rsidR="003C090B" w:rsidRPr="00C9343F" w:rsidRDefault="003C090B" w:rsidP="00F66D98">
            <w:pPr>
              <w:pStyle w:val="Sectiontext0"/>
              <w:jc w:val="center"/>
              <w:rPr>
                <w:rFonts w:cs="Arial"/>
                <w:lang w:eastAsia="en-US"/>
              </w:rPr>
            </w:pPr>
            <w:r w:rsidRPr="00C9343F">
              <w:rPr>
                <w:rFonts w:cs="Arial"/>
                <w:lang w:eastAsia="en-US"/>
              </w:rPr>
              <w:t>a.</w:t>
            </w:r>
          </w:p>
        </w:tc>
        <w:tc>
          <w:tcPr>
            <w:tcW w:w="7804" w:type="dxa"/>
          </w:tcPr>
          <w:p w14:paraId="22BED388" w14:textId="77777777" w:rsidR="003C090B" w:rsidRPr="00C9343F" w:rsidRDefault="003C090B" w:rsidP="00F66D98">
            <w:pPr>
              <w:pStyle w:val="Sectiontext0"/>
              <w:rPr>
                <w:rFonts w:cs="Arial"/>
                <w:lang w:eastAsia="en-US"/>
              </w:rPr>
            </w:pPr>
            <w:r w:rsidRPr="00C9343F">
              <w:t>Salary that would be payable under section 5.4.36 if the member were on recreation leave.</w:t>
            </w:r>
          </w:p>
        </w:tc>
      </w:tr>
      <w:tr w:rsidR="003C090B" w:rsidRPr="00C9343F" w14:paraId="128DD9C8" w14:textId="77777777" w:rsidTr="006E5056">
        <w:tc>
          <w:tcPr>
            <w:tcW w:w="992" w:type="dxa"/>
          </w:tcPr>
          <w:p w14:paraId="77BCA823" w14:textId="77777777" w:rsidR="003C090B" w:rsidRPr="00C9343F" w:rsidRDefault="003C090B" w:rsidP="00F66D98">
            <w:pPr>
              <w:pStyle w:val="Sectiontext0"/>
              <w:jc w:val="center"/>
              <w:rPr>
                <w:lang w:eastAsia="en-US"/>
              </w:rPr>
            </w:pPr>
          </w:p>
        </w:tc>
        <w:tc>
          <w:tcPr>
            <w:tcW w:w="563" w:type="dxa"/>
          </w:tcPr>
          <w:p w14:paraId="1B8B4E30" w14:textId="77777777" w:rsidR="003C090B" w:rsidRPr="00C9343F" w:rsidRDefault="003C090B" w:rsidP="00F66D98">
            <w:pPr>
              <w:pStyle w:val="Sectiontext0"/>
              <w:jc w:val="center"/>
              <w:rPr>
                <w:rFonts w:cs="Arial"/>
                <w:lang w:eastAsia="en-US"/>
              </w:rPr>
            </w:pPr>
            <w:r w:rsidRPr="00C9343F">
              <w:rPr>
                <w:rFonts w:cs="Arial"/>
                <w:lang w:eastAsia="en-US"/>
              </w:rPr>
              <w:t>b.</w:t>
            </w:r>
          </w:p>
        </w:tc>
        <w:tc>
          <w:tcPr>
            <w:tcW w:w="7804" w:type="dxa"/>
          </w:tcPr>
          <w:p w14:paraId="4A434A7F" w14:textId="77777777" w:rsidR="003C090B" w:rsidRPr="00C9343F" w:rsidRDefault="003C090B" w:rsidP="00F66D98">
            <w:pPr>
              <w:pStyle w:val="Sectiontext0"/>
            </w:pPr>
            <w:r w:rsidRPr="00C9343F">
              <w:t>Allowances that would be payable under section 5.4.37 if the member were on recreation leave.</w:t>
            </w:r>
          </w:p>
        </w:tc>
      </w:tr>
      <w:tr w:rsidR="003C090B" w:rsidRPr="00C9343F" w14:paraId="72DA8A7C" w14:textId="77777777" w:rsidTr="006E5056">
        <w:tc>
          <w:tcPr>
            <w:tcW w:w="992" w:type="dxa"/>
          </w:tcPr>
          <w:p w14:paraId="66E899DB" w14:textId="77777777" w:rsidR="003C090B" w:rsidRPr="00C9343F" w:rsidRDefault="003C090B" w:rsidP="00F66D98">
            <w:pPr>
              <w:pStyle w:val="Sectiontext0"/>
              <w:jc w:val="center"/>
              <w:rPr>
                <w:lang w:eastAsia="en-US"/>
              </w:rPr>
            </w:pPr>
            <w:r w:rsidRPr="00C9343F">
              <w:rPr>
                <w:lang w:eastAsia="en-US"/>
              </w:rPr>
              <w:t>2.</w:t>
            </w:r>
          </w:p>
        </w:tc>
        <w:tc>
          <w:tcPr>
            <w:tcW w:w="8367" w:type="dxa"/>
            <w:gridSpan w:val="2"/>
          </w:tcPr>
          <w:p w14:paraId="04635C5A" w14:textId="77777777" w:rsidR="003C090B" w:rsidRPr="00C9343F" w:rsidRDefault="003C090B" w:rsidP="00F66D98">
            <w:pPr>
              <w:pStyle w:val="Sectiontext0"/>
              <w:rPr>
                <w:lang w:eastAsia="en-US"/>
              </w:rPr>
            </w:pPr>
            <w:r w:rsidRPr="00C9343F">
              <w:rPr>
                <w:lang w:eastAsia="en-US"/>
              </w:rPr>
              <w:t>Subsection 1 does not apply to a member during a period when she has not completed her qualifying service.</w:t>
            </w:r>
          </w:p>
        </w:tc>
      </w:tr>
      <w:tr w:rsidR="003C090B" w:rsidRPr="00C9343F" w14:paraId="5569CB51" w14:textId="77777777" w:rsidTr="006E5056">
        <w:tc>
          <w:tcPr>
            <w:tcW w:w="992" w:type="dxa"/>
          </w:tcPr>
          <w:p w14:paraId="44FFB42D" w14:textId="77777777" w:rsidR="003C090B" w:rsidRPr="00C9343F" w:rsidRDefault="003C090B" w:rsidP="00F66D98">
            <w:pPr>
              <w:pStyle w:val="Sectiontext0"/>
              <w:jc w:val="center"/>
              <w:rPr>
                <w:lang w:eastAsia="en-US"/>
              </w:rPr>
            </w:pPr>
            <w:r w:rsidRPr="00C9343F">
              <w:rPr>
                <w:lang w:eastAsia="en-US"/>
              </w:rPr>
              <w:t>3.</w:t>
            </w:r>
          </w:p>
        </w:tc>
        <w:tc>
          <w:tcPr>
            <w:tcW w:w="8367" w:type="dxa"/>
            <w:gridSpan w:val="2"/>
          </w:tcPr>
          <w:p w14:paraId="20B00960" w14:textId="77777777" w:rsidR="003C090B" w:rsidRPr="00C9343F" w:rsidRDefault="003C090B" w:rsidP="00F66D98">
            <w:pPr>
              <w:pStyle w:val="Sectiontext0"/>
              <w:rPr>
                <w:lang w:eastAsia="en-US"/>
              </w:rPr>
            </w:pPr>
            <w:r w:rsidRPr="00C9343F">
              <w:rPr>
                <w:lang w:eastAsia="en-US"/>
              </w:rPr>
              <w:t>If a member completes her qualifying service during the first 14 weeks of maternity leave the member is eligible for salary and allowances payable under subsection 1 for the remaining period of her 14 weeks maternity leave.</w:t>
            </w:r>
          </w:p>
          <w:p w14:paraId="1C64785A" w14:textId="77777777" w:rsidR="003C090B" w:rsidRPr="00C9343F" w:rsidRDefault="003C090B" w:rsidP="00F66D98">
            <w:pPr>
              <w:pStyle w:val="Sectiontext0"/>
              <w:rPr>
                <w:lang w:eastAsia="en-US"/>
              </w:rPr>
            </w:pPr>
            <w:r w:rsidRPr="00C9343F">
              <w:rPr>
                <w:b/>
                <w:lang w:eastAsia="en-US"/>
              </w:rPr>
              <w:t xml:space="preserve">Note: </w:t>
            </w:r>
            <w:r w:rsidRPr="00C9343F">
              <w:rPr>
                <w:lang w:eastAsia="en-US"/>
              </w:rPr>
              <w:t>The member’s first 14 weeks of maternity leave is not extended.</w:t>
            </w:r>
          </w:p>
        </w:tc>
      </w:tr>
    </w:tbl>
    <w:p w14:paraId="54FAA33B" w14:textId="67F0F366" w:rsidR="003C090B" w:rsidRPr="00C9343F" w:rsidRDefault="003C090B" w:rsidP="00F66D98">
      <w:pPr>
        <w:pStyle w:val="Heading5"/>
      </w:pPr>
      <w:bookmarkStart w:id="1627" w:name="_Toc105054069"/>
      <w:bookmarkStart w:id="1628" w:name="bk1345335419MembersonReserveservice"/>
      <w:bookmarkStart w:id="1629" w:name="bk1438185415MembersonReserveservice"/>
      <w:bookmarkStart w:id="1630" w:name="bk1419005415MembersonReserveservice"/>
      <w:bookmarkStart w:id="1631" w:name="bk1423135415MembersonReserveservice"/>
      <w:bookmarkStart w:id="1632" w:name="bk1457195416MembersonReserveservice"/>
      <w:bookmarkStart w:id="1633" w:name="bk906245416MemberonReserveservice"/>
      <w:bookmarkStart w:id="1634" w:name="bk1156205416MemberonReserveservice"/>
      <w:bookmarkEnd w:id="1618"/>
      <w:bookmarkEnd w:id="1619"/>
      <w:bookmarkEnd w:id="1620"/>
      <w:bookmarkEnd w:id="1621"/>
      <w:bookmarkEnd w:id="1622"/>
      <w:bookmarkEnd w:id="1623"/>
      <w:bookmarkEnd w:id="1624"/>
      <w:r w:rsidRPr="00C9343F">
        <w:t>5.6.15</w:t>
      </w:r>
      <w:r w:rsidR="00D94006" w:rsidRPr="00C9343F">
        <w:t>    </w:t>
      </w:r>
      <w:r w:rsidRPr="00C9343F">
        <w:t>Maternity leave at half pay</w:t>
      </w:r>
      <w:bookmarkEnd w:id="1627"/>
    </w:p>
    <w:tbl>
      <w:tblPr>
        <w:tblW w:w="9359" w:type="dxa"/>
        <w:tblInd w:w="113" w:type="dxa"/>
        <w:tblLayout w:type="fixed"/>
        <w:tblLook w:val="04A0" w:firstRow="1" w:lastRow="0" w:firstColumn="1" w:lastColumn="0" w:noHBand="0" w:noVBand="1"/>
      </w:tblPr>
      <w:tblGrid>
        <w:gridCol w:w="992"/>
        <w:gridCol w:w="562"/>
        <w:gridCol w:w="7805"/>
      </w:tblGrid>
      <w:tr w:rsidR="003C090B" w:rsidRPr="00C9343F" w14:paraId="01CC576E" w14:textId="77777777" w:rsidTr="006E5056">
        <w:tc>
          <w:tcPr>
            <w:tcW w:w="992" w:type="dxa"/>
          </w:tcPr>
          <w:p w14:paraId="2E55013A" w14:textId="77777777" w:rsidR="003C090B" w:rsidRPr="00C9343F" w:rsidRDefault="003C090B" w:rsidP="00F66D98">
            <w:pPr>
              <w:pStyle w:val="Sectiontext0"/>
              <w:jc w:val="center"/>
              <w:rPr>
                <w:lang w:eastAsia="en-US"/>
              </w:rPr>
            </w:pPr>
            <w:r w:rsidRPr="00C9343F">
              <w:rPr>
                <w:lang w:eastAsia="en-US"/>
              </w:rPr>
              <w:t>1.</w:t>
            </w:r>
          </w:p>
        </w:tc>
        <w:tc>
          <w:tcPr>
            <w:tcW w:w="8367" w:type="dxa"/>
            <w:gridSpan w:val="2"/>
          </w:tcPr>
          <w:p w14:paraId="0E1CCC0A" w14:textId="77777777" w:rsidR="003C090B" w:rsidRPr="00C9343F" w:rsidRDefault="003C090B" w:rsidP="00F66D98">
            <w:pPr>
              <w:pStyle w:val="Sectiontext0"/>
            </w:pPr>
            <w:r w:rsidRPr="00C9343F">
              <w:t>If a member is eligible for paid maternity leave under section 5.6.14, the member may be paid at half the rate payable under subsection 5.6.14.1 for a specified period.</w:t>
            </w:r>
          </w:p>
        </w:tc>
      </w:tr>
      <w:tr w:rsidR="003C090B" w:rsidRPr="00C9343F" w14:paraId="6F2384A8" w14:textId="77777777" w:rsidTr="006E5056">
        <w:tc>
          <w:tcPr>
            <w:tcW w:w="992" w:type="dxa"/>
          </w:tcPr>
          <w:p w14:paraId="1742C87E" w14:textId="77777777" w:rsidR="003C090B" w:rsidRPr="00C9343F" w:rsidRDefault="003C090B" w:rsidP="00F66D98">
            <w:pPr>
              <w:pStyle w:val="Sectiontext0"/>
              <w:jc w:val="center"/>
              <w:rPr>
                <w:lang w:eastAsia="en-US"/>
              </w:rPr>
            </w:pPr>
            <w:r w:rsidRPr="00C9343F">
              <w:rPr>
                <w:lang w:eastAsia="en-US"/>
              </w:rPr>
              <w:t>2.</w:t>
            </w:r>
          </w:p>
        </w:tc>
        <w:tc>
          <w:tcPr>
            <w:tcW w:w="8367" w:type="dxa"/>
            <w:gridSpan w:val="2"/>
          </w:tcPr>
          <w:p w14:paraId="78123FB9" w14:textId="77777777" w:rsidR="003C090B" w:rsidRPr="00C9343F" w:rsidRDefault="003C090B" w:rsidP="00F66D98">
            <w:pPr>
              <w:pStyle w:val="Sectiontext0"/>
            </w:pPr>
            <w:r w:rsidRPr="00C9343F">
              <w:t>Paid maternity leave paid at half the rate payable under subsection 5.6.14.1 has the following effects.</w:t>
            </w:r>
            <w:r w:rsidRPr="00C9343F" w:rsidDel="00CA5AD3">
              <w:t xml:space="preserve"> </w:t>
            </w:r>
          </w:p>
        </w:tc>
      </w:tr>
      <w:tr w:rsidR="003C090B" w:rsidRPr="00C9343F" w14:paraId="09A999C0" w14:textId="77777777" w:rsidTr="006E5056">
        <w:tc>
          <w:tcPr>
            <w:tcW w:w="992" w:type="dxa"/>
          </w:tcPr>
          <w:p w14:paraId="40A502F6" w14:textId="77777777" w:rsidR="003C090B" w:rsidRPr="00C9343F" w:rsidRDefault="003C090B" w:rsidP="00F66D98">
            <w:pPr>
              <w:pStyle w:val="Sectiontext0"/>
              <w:jc w:val="center"/>
              <w:rPr>
                <w:lang w:eastAsia="en-US"/>
              </w:rPr>
            </w:pPr>
          </w:p>
        </w:tc>
        <w:tc>
          <w:tcPr>
            <w:tcW w:w="562" w:type="dxa"/>
            <w:hideMark/>
          </w:tcPr>
          <w:p w14:paraId="156F80CB" w14:textId="77777777" w:rsidR="003C090B" w:rsidRPr="00C9343F" w:rsidRDefault="003C090B" w:rsidP="00F66D98">
            <w:pPr>
              <w:pStyle w:val="Sectiontext0"/>
              <w:jc w:val="center"/>
              <w:rPr>
                <w:rFonts w:cs="Arial"/>
                <w:lang w:eastAsia="en-US"/>
              </w:rPr>
            </w:pPr>
            <w:r w:rsidRPr="00C9343F">
              <w:rPr>
                <w:rFonts w:cs="Arial"/>
                <w:lang w:eastAsia="en-US"/>
              </w:rPr>
              <w:t>a.</w:t>
            </w:r>
          </w:p>
        </w:tc>
        <w:tc>
          <w:tcPr>
            <w:tcW w:w="7805" w:type="dxa"/>
          </w:tcPr>
          <w:p w14:paraId="71ACB506" w14:textId="77777777" w:rsidR="003C090B" w:rsidRPr="00C9343F" w:rsidRDefault="003C090B" w:rsidP="00F66D98">
            <w:pPr>
              <w:pStyle w:val="Sectiontext0"/>
              <w:rPr>
                <w:rFonts w:cs="Arial"/>
                <w:lang w:eastAsia="en-US"/>
              </w:rPr>
            </w:pPr>
            <w:r w:rsidRPr="00C9343F">
              <w:t xml:space="preserve">The period of </w:t>
            </w:r>
            <w:r w:rsidRPr="00C9343F">
              <w:rPr>
                <w:rFonts w:cs="Arial"/>
              </w:rPr>
              <w:t xml:space="preserve">paid maternity leave is increased by the </w:t>
            </w:r>
            <w:r w:rsidRPr="00C9343F">
              <w:t>number of weeks of the portion of paid maternity leave paid at half the rate (the additional period).</w:t>
            </w:r>
          </w:p>
        </w:tc>
      </w:tr>
      <w:tr w:rsidR="003C090B" w:rsidRPr="00C9343F" w14:paraId="606196C0" w14:textId="77777777" w:rsidTr="006E5056">
        <w:tc>
          <w:tcPr>
            <w:tcW w:w="992" w:type="dxa"/>
          </w:tcPr>
          <w:p w14:paraId="4A7C03E3" w14:textId="77777777" w:rsidR="003C090B" w:rsidRPr="00C9343F" w:rsidRDefault="003C090B" w:rsidP="00F66D98">
            <w:pPr>
              <w:pStyle w:val="Sectiontext0"/>
              <w:jc w:val="center"/>
              <w:rPr>
                <w:lang w:eastAsia="en-US"/>
              </w:rPr>
            </w:pPr>
          </w:p>
        </w:tc>
        <w:tc>
          <w:tcPr>
            <w:tcW w:w="562" w:type="dxa"/>
          </w:tcPr>
          <w:p w14:paraId="12ADEA98" w14:textId="77777777" w:rsidR="003C090B" w:rsidRPr="00C9343F" w:rsidRDefault="003C090B" w:rsidP="00F66D98">
            <w:pPr>
              <w:pStyle w:val="Sectiontext0"/>
              <w:jc w:val="center"/>
              <w:rPr>
                <w:rFonts w:cs="Arial"/>
                <w:lang w:eastAsia="en-US"/>
              </w:rPr>
            </w:pPr>
            <w:r w:rsidRPr="00C9343F">
              <w:rPr>
                <w:rFonts w:cs="Arial"/>
                <w:lang w:eastAsia="en-US"/>
              </w:rPr>
              <w:t>b.</w:t>
            </w:r>
          </w:p>
        </w:tc>
        <w:tc>
          <w:tcPr>
            <w:tcW w:w="7805" w:type="dxa"/>
          </w:tcPr>
          <w:p w14:paraId="350D7581" w14:textId="77777777" w:rsidR="003C090B" w:rsidRPr="00C9343F" w:rsidRDefault="003C090B" w:rsidP="00F66D98">
            <w:pPr>
              <w:pStyle w:val="Sectiontext0"/>
            </w:pPr>
            <w:r w:rsidRPr="00C9343F">
              <w:t>The member is eligible for payment at half the rate payable under subsection 5.6.14.1 for the additional period under paragraph a.</w:t>
            </w:r>
          </w:p>
        </w:tc>
      </w:tr>
      <w:tr w:rsidR="003C090B" w:rsidRPr="00C9343F" w14:paraId="0071F699" w14:textId="77777777" w:rsidTr="006E5056">
        <w:tc>
          <w:tcPr>
            <w:tcW w:w="992" w:type="dxa"/>
          </w:tcPr>
          <w:p w14:paraId="1AE12921" w14:textId="77777777" w:rsidR="003C090B" w:rsidRPr="00C9343F" w:rsidRDefault="003C090B" w:rsidP="00F66D98">
            <w:pPr>
              <w:pStyle w:val="Sectiontext0"/>
              <w:jc w:val="center"/>
              <w:rPr>
                <w:lang w:eastAsia="en-US"/>
              </w:rPr>
            </w:pPr>
            <w:r w:rsidRPr="00C9343F">
              <w:rPr>
                <w:lang w:eastAsia="en-US"/>
              </w:rPr>
              <w:t>3.</w:t>
            </w:r>
          </w:p>
        </w:tc>
        <w:tc>
          <w:tcPr>
            <w:tcW w:w="8367" w:type="dxa"/>
            <w:gridSpan w:val="2"/>
          </w:tcPr>
          <w:p w14:paraId="4AF3A79C" w14:textId="77777777" w:rsidR="003C090B" w:rsidRPr="00C9343F" w:rsidRDefault="003C090B" w:rsidP="00F66D98">
            <w:pPr>
              <w:pStyle w:val="Sectiontext0"/>
            </w:pPr>
            <w:r w:rsidRPr="00C9343F">
              <w:t>The period that the member receives maternity leave at half pay cannot be more than the period the member takes maternity leave.</w:t>
            </w:r>
          </w:p>
        </w:tc>
      </w:tr>
    </w:tbl>
    <w:p w14:paraId="41F04BE7" w14:textId="14010CB4" w:rsidR="008B4402" w:rsidRPr="00C9343F" w:rsidRDefault="008B4402" w:rsidP="00F66D98">
      <w:pPr>
        <w:pStyle w:val="Heading5"/>
      </w:pPr>
      <w:bookmarkStart w:id="1635" w:name="_Toc105054070"/>
      <w:r w:rsidRPr="00C9343F">
        <w:t>5.6.16</w:t>
      </w:r>
      <w:r w:rsidR="00D94006" w:rsidRPr="00C9343F">
        <w:t>    </w:t>
      </w:r>
      <w:r w:rsidRPr="00C9343F">
        <w:t>Member on Reserve service</w:t>
      </w:r>
      <w:bookmarkEnd w:id="1635"/>
    </w:p>
    <w:bookmarkEnd w:id="1625"/>
    <w:bookmarkEnd w:id="1626"/>
    <w:bookmarkEnd w:id="1628"/>
    <w:bookmarkEnd w:id="1629"/>
    <w:bookmarkEnd w:id="1630"/>
    <w:bookmarkEnd w:id="1631"/>
    <w:bookmarkEnd w:id="1632"/>
    <w:bookmarkEnd w:id="1633"/>
    <w:bookmarkEnd w:id="1634"/>
    <w:tbl>
      <w:tblPr>
        <w:tblW w:w="0" w:type="auto"/>
        <w:tblInd w:w="113" w:type="dxa"/>
        <w:tblLayout w:type="fixed"/>
        <w:tblLook w:val="0000" w:firstRow="0" w:lastRow="0" w:firstColumn="0" w:lastColumn="0" w:noHBand="0" w:noVBand="0"/>
      </w:tblPr>
      <w:tblGrid>
        <w:gridCol w:w="992"/>
        <w:gridCol w:w="8363"/>
      </w:tblGrid>
      <w:tr w:rsidR="008B4402" w:rsidRPr="00C9343F" w14:paraId="073E4E83" w14:textId="77777777" w:rsidTr="008B4402">
        <w:tc>
          <w:tcPr>
            <w:tcW w:w="992" w:type="dxa"/>
          </w:tcPr>
          <w:p w14:paraId="3A9CB5DC" w14:textId="77777777" w:rsidR="008B4402" w:rsidRPr="00C9343F" w:rsidRDefault="008B4402" w:rsidP="00F66D98">
            <w:pPr>
              <w:pStyle w:val="BlockText-Plain"/>
              <w:jc w:val="center"/>
            </w:pPr>
          </w:p>
        </w:tc>
        <w:tc>
          <w:tcPr>
            <w:tcW w:w="8363" w:type="dxa"/>
          </w:tcPr>
          <w:p w14:paraId="28F983B4" w14:textId="77777777" w:rsidR="008B4402" w:rsidRPr="00C9343F" w:rsidRDefault="008B4402" w:rsidP="00F66D98">
            <w:pPr>
              <w:pStyle w:val="BlockText-Plain"/>
            </w:pPr>
            <w:r w:rsidRPr="00C9343F">
              <w:t xml:space="preserve">A member on Reserve service is not entitled to maternity leave. They are entitled to a </w:t>
            </w:r>
            <w:r w:rsidRPr="00C9343F">
              <w:br/>
              <w:t>52-week break in their minimum training service obligation, as if they had access to maternity leave.</w:t>
            </w:r>
          </w:p>
        </w:tc>
      </w:tr>
    </w:tbl>
    <w:p w14:paraId="7C569AF4" w14:textId="15A4AA1A" w:rsidR="008B4402" w:rsidRPr="00C9343F" w:rsidRDefault="008B4402" w:rsidP="00F66D98">
      <w:pPr>
        <w:pStyle w:val="Heading5"/>
      </w:pPr>
      <w:bookmarkStart w:id="1636" w:name="_Toc105054071"/>
      <w:bookmarkStart w:id="1637" w:name="bk1419005416Secondperiodofmaternityleav"/>
      <w:bookmarkStart w:id="1638" w:name="bk1423135416Secondperiodofmaternityleav"/>
      <w:bookmarkStart w:id="1639" w:name="bk1457195417Secondperiodofmaternityleav"/>
      <w:bookmarkStart w:id="1640" w:name="bk906245417Secondperiodofmaternityleave"/>
      <w:bookmarkStart w:id="1641" w:name="bk1156205417Secondperiodofmaternityleav"/>
      <w:bookmarkStart w:id="1642" w:name="bk120215Clause5416Accesstootherleave"/>
      <w:bookmarkStart w:id="1643" w:name="bk1202515416Accesstootherleave"/>
      <w:bookmarkStart w:id="1644" w:name="bk1345335420Accesstootherleave"/>
      <w:bookmarkStart w:id="1645" w:name="bk1438185416Accesstootherleave"/>
      <w:r w:rsidRPr="00C9343F">
        <w:t>5.6.17</w:t>
      </w:r>
      <w:r w:rsidR="00D94006" w:rsidRPr="00C9343F">
        <w:t>    </w:t>
      </w:r>
      <w:r w:rsidRPr="00C9343F">
        <w:t>Second period of maternity leave</w:t>
      </w:r>
      <w:bookmarkEnd w:id="1636"/>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7F725F34" w14:textId="77777777" w:rsidTr="008B4402">
        <w:tc>
          <w:tcPr>
            <w:tcW w:w="992" w:type="dxa"/>
          </w:tcPr>
          <w:bookmarkEnd w:id="1637"/>
          <w:bookmarkEnd w:id="1638"/>
          <w:bookmarkEnd w:id="1639"/>
          <w:bookmarkEnd w:id="1640"/>
          <w:bookmarkEnd w:id="1641"/>
          <w:p w14:paraId="218378A8" w14:textId="77777777" w:rsidR="008B4402" w:rsidRPr="00C9343F" w:rsidRDefault="008B4402" w:rsidP="00F66D98">
            <w:pPr>
              <w:pStyle w:val="BlockText-Plain"/>
              <w:jc w:val="center"/>
            </w:pPr>
            <w:r w:rsidRPr="00C9343F">
              <w:t>1.</w:t>
            </w:r>
          </w:p>
        </w:tc>
        <w:tc>
          <w:tcPr>
            <w:tcW w:w="8363" w:type="dxa"/>
            <w:gridSpan w:val="2"/>
          </w:tcPr>
          <w:p w14:paraId="4BB87BCE" w14:textId="77777777" w:rsidR="008B4402" w:rsidRPr="00C9343F" w:rsidRDefault="008B4402" w:rsidP="00F66D98">
            <w:pPr>
              <w:pStyle w:val="BlockText-Plain"/>
            </w:pPr>
            <w:r w:rsidRPr="00C9343F">
              <w:t>This section applies to a member who meets both of these conditions.</w:t>
            </w:r>
          </w:p>
        </w:tc>
      </w:tr>
      <w:tr w:rsidR="008B4402" w:rsidRPr="00C9343F" w14:paraId="39D8E722" w14:textId="77777777" w:rsidTr="008B4402">
        <w:trPr>
          <w:cantSplit/>
        </w:trPr>
        <w:tc>
          <w:tcPr>
            <w:tcW w:w="992" w:type="dxa"/>
          </w:tcPr>
          <w:p w14:paraId="61BB5822" w14:textId="77777777" w:rsidR="008B4402" w:rsidRPr="00C9343F" w:rsidRDefault="008B4402" w:rsidP="00F66D98">
            <w:pPr>
              <w:pStyle w:val="BlockText-Plain"/>
            </w:pPr>
          </w:p>
        </w:tc>
        <w:tc>
          <w:tcPr>
            <w:tcW w:w="567" w:type="dxa"/>
          </w:tcPr>
          <w:p w14:paraId="6B30EF22" w14:textId="77777777" w:rsidR="008B4402" w:rsidRPr="00C9343F" w:rsidRDefault="008B4402" w:rsidP="008D1B5D">
            <w:pPr>
              <w:pStyle w:val="BlockText-Plain"/>
              <w:jc w:val="center"/>
            </w:pPr>
            <w:r w:rsidRPr="00C9343F">
              <w:t>a.</w:t>
            </w:r>
          </w:p>
        </w:tc>
        <w:tc>
          <w:tcPr>
            <w:tcW w:w="7796" w:type="dxa"/>
          </w:tcPr>
          <w:p w14:paraId="4F52E2F0" w14:textId="77777777" w:rsidR="008B4402" w:rsidRPr="00C9343F" w:rsidRDefault="008B4402" w:rsidP="00F66D98">
            <w:pPr>
              <w:pStyle w:val="BlockText-Plain"/>
            </w:pPr>
            <w:r w:rsidRPr="00C9343F">
              <w:t>The member has been granted maternity leave.</w:t>
            </w:r>
          </w:p>
        </w:tc>
      </w:tr>
      <w:tr w:rsidR="008B4402" w:rsidRPr="00C9343F" w14:paraId="54B04139" w14:textId="77777777" w:rsidTr="008B4402">
        <w:trPr>
          <w:cantSplit/>
        </w:trPr>
        <w:tc>
          <w:tcPr>
            <w:tcW w:w="992" w:type="dxa"/>
          </w:tcPr>
          <w:p w14:paraId="5127C3F0" w14:textId="77777777" w:rsidR="008B4402" w:rsidRPr="00C9343F" w:rsidRDefault="008B4402" w:rsidP="00F66D98">
            <w:pPr>
              <w:pStyle w:val="BlockText-Plain"/>
            </w:pPr>
          </w:p>
        </w:tc>
        <w:tc>
          <w:tcPr>
            <w:tcW w:w="567" w:type="dxa"/>
          </w:tcPr>
          <w:p w14:paraId="7D94BE0D" w14:textId="77777777" w:rsidR="008B4402" w:rsidRPr="00C9343F" w:rsidRDefault="008B4402" w:rsidP="008D1B5D">
            <w:pPr>
              <w:pStyle w:val="BlockText-Plain"/>
              <w:jc w:val="center"/>
            </w:pPr>
            <w:r w:rsidRPr="00C9343F">
              <w:t>b.</w:t>
            </w:r>
          </w:p>
        </w:tc>
        <w:tc>
          <w:tcPr>
            <w:tcW w:w="7796" w:type="dxa"/>
          </w:tcPr>
          <w:p w14:paraId="4E4C0031" w14:textId="77777777" w:rsidR="008B4402" w:rsidRPr="00C9343F" w:rsidRDefault="008B4402" w:rsidP="00F66D98">
            <w:pPr>
              <w:pStyle w:val="BlockText-Plain"/>
            </w:pPr>
            <w:r w:rsidRPr="00C9343F">
              <w:t>During the period of the leave, the member qualifies for a second grant of maternity leave.</w:t>
            </w:r>
          </w:p>
        </w:tc>
      </w:tr>
      <w:tr w:rsidR="008B4402" w:rsidRPr="00C9343F" w14:paraId="6C937DFA" w14:textId="77777777" w:rsidTr="008B4402">
        <w:tc>
          <w:tcPr>
            <w:tcW w:w="992" w:type="dxa"/>
          </w:tcPr>
          <w:p w14:paraId="08C3175B" w14:textId="77777777" w:rsidR="008B4402" w:rsidRPr="00C9343F" w:rsidRDefault="008B4402" w:rsidP="00F66D98">
            <w:pPr>
              <w:pStyle w:val="BlockText-Plain"/>
              <w:jc w:val="center"/>
            </w:pPr>
            <w:r w:rsidRPr="00C9343F">
              <w:t>2.</w:t>
            </w:r>
          </w:p>
        </w:tc>
        <w:tc>
          <w:tcPr>
            <w:tcW w:w="8363" w:type="dxa"/>
            <w:gridSpan w:val="2"/>
          </w:tcPr>
          <w:p w14:paraId="3F63A3E6" w14:textId="77777777" w:rsidR="008B4402" w:rsidRPr="00C9343F" w:rsidRDefault="008B4402" w:rsidP="00F66D98">
            <w:pPr>
              <w:pStyle w:val="BlockText-Plain"/>
            </w:pPr>
            <w:r w:rsidRPr="00C9343F">
              <w:t xml:space="preserve">The member is entitled to a second grant of maternity leave. The leave should be worked out under this Part. </w:t>
            </w:r>
          </w:p>
        </w:tc>
      </w:tr>
    </w:tbl>
    <w:p w14:paraId="7154CE56" w14:textId="5067154E" w:rsidR="008B4402" w:rsidRPr="00C9343F" w:rsidRDefault="008B4402" w:rsidP="00F66D98">
      <w:pPr>
        <w:pStyle w:val="Heading5"/>
      </w:pPr>
      <w:bookmarkStart w:id="1646" w:name="_Toc105054072"/>
      <w:bookmarkStart w:id="1647" w:name="bk1419005417Accesstootherleave"/>
      <w:bookmarkStart w:id="1648" w:name="bk1423135417Accesstootherleave"/>
      <w:bookmarkStart w:id="1649" w:name="bk1457195418Accesstootherleave"/>
      <w:bookmarkStart w:id="1650" w:name="bk906245418Accesstootherleave"/>
      <w:bookmarkStart w:id="1651" w:name="bk1156205418Accesstootherleave"/>
      <w:r w:rsidRPr="00C9343F">
        <w:t>5.6.18</w:t>
      </w:r>
      <w:r w:rsidR="00D94006" w:rsidRPr="00C9343F">
        <w:t>    </w:t>
      </w:r>
      <w:r w:rsidRPr="00C9343F">
        <w:t>Access to other leave</w:t>
      </w:r>
      <w:bookmarkEnd w:id="1646"/>
    </w:p>
    <w:tbl>
      <w:tblPr>
        <w:tblW w:w="9355" w:type="dxa"/>
        <w:tblInd w:w="113" w:type="dxa"/>
        <w:tblLayout w:type="fixed"/>
        <w:tblLook w:val="0000" w:firstRow="0" w:lastRow="0" w:firstColumn="0" w:lastColumn="0" w:noHBand="0" w:noVBand="0"/>
      </w:tblPr>
      <w:tblGrid>
        <w:gridCol w:w="992"/>
        <w:gridCol w:w="8363"/>
      </w:tblGrid>
      <w:tr w:rsidR="008B4402" w:rsidRPr="00C9343F" w14:paraId="35CDCC9C" w14:textId="77777777" w:rsidTr="00F66F9F">
        <w:tc>
          <w:tcPr>
            <w:tcW w:w="992" w:type="dxa"/>
          </w:tcPr>
          <w:bookmarkEnd w:id="1642"/>
          <w:bookmarkEnd w:id="1643"/>
          <w:bookmarkEnd w:id="1644"/>
          <w:bookmarkEnd w:id="1645"/>
          <w:bookmarkEnd w:id="1647"/>
          <w:bookmarkEnd w:id="1648"/>
          <w:bookmarkEnd w:id="1649"/>
          <w:bookmarkEnd w:id="1650"/>
          <w:bookmarkEnd w:id="1651"/>
          <w:p w14:paraId="5D7CB672" w14:textId="77777777" w:rsidR="008B4402" w:rsidRPr="00C9343F" w:rsidRDefault="008B4402" w:rsidP="00F66D98">
            <w:pPr>
              <w:pStyle w:val="BlockText-Plain"/>
              <w:jc w:val="center"/>
            </w:pPr>
            <w:r w:rsidRPr="00C9343F">
              <w:t>1.</w:t>
            </w:r>
          </w:p>
        </w:tc>
        <w:tc>
          <w:tcPr>
            <w:tcW w:w="8363" w:type="dxa"/>
          </w:tcPr>
          <w:p w14:paraId="14702156" w14:textId="77777777" w:rsidR="008B4402" w:rsidRPr="00C9343F" w:rsidRDefault="008B4402" w:rsidP="00F66D98">
            <w:pPr>
              <w:pStyle w:val="BlockText-Plain"/>
            </w:pPr>
            <w:r w:rsidRPr="00C9343F">
              <w:t xml:space="preserve">A member may substitute recreation leave or long service leave for unpaid maternity leave. </w:t>
            </w:r>
          </w:p>
          <w:p w14:paraId="2CBBA5A1" w14:textId="4D359A54" w:rsidR="008B4402" w:rsidRPr="00C9343F" w:rsidRDefault="008B4402" w:rsidP="00F66D98">
            <w:pPr>
              <w:pStyle w:val="BlockText-Plain"/>
            </w:pPr>
          </w:p>
        </w:tc>
      </w:tr>
      <w:tr w:rsidR="008B4402" w:rsidRPr="00C9343F" w14:paraId="22186A4A" w14:textId="77777777" w:rsidTr="00F66F9F">
        <w:tc>
          <w:tcPr>
            <w:tcW w:w="992" w:type="dxa"/>
          </w:tcPr>
          <w:p w14:paraId="153A4572" w14:textId="77777777" w:rsidR="008B4402" w:rsidRPr="00C9343F" w:rsidRDefault="008B4402" w:rsidP="00F66D98">
            <w:pPr>
              <w:pStyle w:val="BlockText-Plain"/>
              <w:jc w:val="center"/>
            </w:pPr>
            <w:r w:rsidRPr="00C9343F">
              <w:t>2.</w:t>
            </w:r>
          </w:p>
        </w:tc>
        <w:tc>
          <w:tcPr>
            <w:tcW w:w="8363" w:type="dxa"/>
          </w:tcPr>
          <w:p w14:paraId="7786D8EA" w14:textId="77777777" w:rsidR="008B4402" w:rsidRPr="00C9343F" w:rsidRDefault="008B4402" w:rsidP="00F66D98">
            <w:pPr>
              <w:pStyle w:val="BlockText-Plain"/>
            </w:pPr>
            <w:r w:rsidRPr="00C9343F">
              <w:t>A member who substitutes other leave for unpaid maternity leave may not extend the total period of maternity leave. The limits in section 5.6.13 continue to apply.</w:t>
            </w:r>
          </w:p>
          <w:p w14:paraId="291B9463" w14:textId="62F7A220" w:rsidR="008B4402" w:rsidRPr="00C9343F" w:rsidRDefault="008B4402" w:rsidP="00F66D98">
            <w:pPr>
              <w:pStyle w:val="BlockText-Plain"/>
            </w:pPr>
            <w:r w:rsidRPr="00C9343F">
              <w:rPr>
                <w:b/>
              </w:rPr>
              <w:t>Note:</w:t>
            </w:r>
            <w:r w:rsidRPr="00C9343F">
              <w:t xml:space="preserve"> A member on maternity leave is still subject to the recreation leave lapsing provisions in section 5.4.34. It may be in a member's interest to substitute recreation leave for unpaid maternity leave, to prevent it from lapsing. </w:t>
            </w:r>
          </w:p>
        </w:tc>
      </w:tr>
      <w:tr w:rsidR="008B4402" w:rsidRPr="00C9343F" w14:paraId="33D7E404" w14:textId="77777777" w:rsidTr="00F66F9F">
        <w:tc>
          <w:tcPr>
            <w:tcW w:w="992" w:type="dxa"/>
          </w:tcPr>
          <w:p w14:paraId="1DB267EF" w14:textId="77777777" w:rsidR="008B4402" w:rsidRPr="00C9343F" w:rsidRDefault="008B4402" w:rsidP="00F66D98">
            <w:pPr>
              <w:pStyle w:val="BlockText-Plain"/>
              <w:jc w:val="center"/>
            </w:pPr>
          </w:p>
        </w:tc>
        <w:tc>
          <w:tcPr>
            <w:tcW w:w="8363" w:type="dxa"/>
          </w:tcPr>
          <w:p w14:paraId="130EA4E0" w14:textId="5B920D9D" w:rsidR="008B4402" w:rsidRPr="00C9343F" w:rsidRDefault="008B4402" w:rsidP="00F66D98">
            <w:pPr>
              <w:pStyle w:val="BlockText-Plain"/>
            </w:pPr>
            <w:r w:rsidRPr="00C9343F">
              <w:rPr>
                <w:b/>
              </w:rPr>
              <w:t>Note:</w:t>
            </w:r>
            <w:r w:rsidRPr="00C9343F">
              <w:t xml:space="preserve"> A member may be entitled to a further 14 weeks’ parental leave. This is an unpaid leave type. This would take the total period of absence in this example to 66 weeks.</w:t>
            </w:r>
          </w:p>
        </w:tc>
      </w:tr>
    </w:tbl>
    <w:p w14:paraId="7C534198" w14:textId="1560AD6B" w:rsidR="008B4402" w:rsidRPr="00C9343F" w:rsidRDefault="008B4402" w:rsidP="00F66D98">
      <w:pPr>
        <w:pStyle w:val="Heading5"/>
      </w:pPr>
      <w:bookmarkStart w:id="1652" w:name="_Toc105054073"/>
      <w:bookmarkStart w:id="1653" w:name="bk1202155418Effectofunpaidmaternityleav"/>
      <w:bookmarkStart w:id="1654" w:name="bk1202515418Effectofunpaidmaternityleav"/>
      <w:bookmarkStart w:id="1655" w:name="bk1345335422Effectofunpaidmaternityleav"/>
      <w:bookmarkStart w:id="1656" w:name="bk1438185417Effectofunpaidmaternityleav"/>
      <w:bookmarkStart w:id="1657" w:name="bk1419005418Effectofunpaidmaternityleav"/>
      <w:bookmarkStart w:id="1658" w:name="bk1423135418Effectofunpaidmaternityleav"/>
      <w:bookmarkStart w:id="1659" w:name="bk1457195419Effectofunpaidmaternityleav"/>
      <w:bookmarkStart w:id="1660" w:name="bk906245419Effectofunpaidmaternityleave"/>
      <w:bookmarkStart w:id="1661" w:name="bk1156205419Effectofunpaidmaternityleav"/>
      <w:r w:rsidRPr="00C9343F">
        <w:t>5.6.19</w:t>
      </w:r>
      <w:r w:rsidR="00D94006" w:rsidRPr="00C9343F">
        <w:t>    </w:t>
      </w:r>
      <w:r w:rsidRPr="00C9343F">
        <w:t>Effect of unpaid maternity leave</w:t>
      </w:r>
      <w:bookmarkEnd w:id="1652"/>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1FAF2866" w14:textId="77777777" w:rsidTr="008B4402">
        <w:tc>
          <w:tcPr>
            <w:tcW w:w="992" w:type="dxa"/>
          </w:tcPr>
          <w:bookmarkEnd w:id="1653"/>
          <w:bookmarkEnd w:id="1654"/>
          <w:bookmarkEnd w:id="1655"/>
          <w:bookmarkEnd w:id="1656"/>
          <w:bookmarkEnd w:id="1657"/>
          <w:bookmarkEnd w:id="1658"/>
          <w:bookmarkEnd w:id="1659"/>
          <w:bookmarkEnd w:id="1660"/>
          <w:bookmarkEnd w:id="1661"/>
          <w:p w14:paraId="210863C0" w14:textId="77777777" w:rsidR="008B4402" w:rsidRPr="00C9343F" w:rsidRDefault="008B4402" w:rsidP="00F66D98">
            <w:pPr>
              <w:pStyle w:val="BlockText-Plain"/>
              <w:jc w:val="center"/>
            </w:pPr>
            <w:r w:rsidRPr="00C9343F">
              <w:t>1.</w:t>
            </w:r>
          </w:p>
        </w:tc>
        <w:tc>
          <w:tcPr>
            <w:tcW w:w="8363" w:type="dxa"/>
            <w:gridSpan w:val="2"/>
          </w:tcPr>
          <w:p w14:paraId="59E77638" w14:textId="77777777" w:rsidR="008B4402" w:rsidRPr="00C9343F" w:rsidRDefault="008B4402" w:rsidP="00F66D98">
            <w:pPr>
              <w:pStyle w:val="BlockText-Plain"/>
              <w:rPr>
                <w:b/>
              </w:rPr>
            </w:pPr>
            <w:r w:rsidRPr="00C9343F">
              <w:t>Any period of paid maternity leave is a period of effective service. This includes maternity leave at half pay.</w:t>
            </w:r>
          </w:p>
        </w:tc>
      </w:tr>
      <w:tr w:rsidR="008B4402" w:rsidRPr="00C9343F" w14:paraId="7B3A2A43" w14:textId="77777777" w:rsidTr="008B4402">
        <w:tc>
          <w:tcPr>
            <w:tcW w:w="992" w:type="dxa"/>
          </w:tcPr>
          <w:p w14:paraId="1DAD93AB" w14:textId="77777777" w:rsidR="008B4402" w:rsidRPr="00C9343F" w:rsidRDefault="008B4402" w:rsidP="00F66D98">
            <w:pPr>
              <w:pStyle w:val="BlockText-Plain"/>
              <w:jc w:val="center"/>
            </w:pPr>
            <w:r w:rsidRPr="00C9343F">
              <w:t>2.</w:t>
            </w:r>
          </w:p>
        </w:tc>
        <w:tc>
          <w:tcPr>
            <w:tcW w:w="8363" w:type="dxa"/>
            <w:gridSpan w:val="2"/>
          </w:tcPr>
          <w:p w14:paraId="2706CCF5" w14:textId="77777777" w:rsidR="008B4402" w:rsidRPr="00C9343F" w:rsidRDefault="008B4402" w:rsidP="00F66D98">
            <w:pPr>
              <w:pStyle w:val="BlockText-Plain"/>
              <w:rPr>
                <w:b/>
              </w:rPr>
            </w:pPr>
            <w:r w:rsidRPr="00C9343F">
              <w:t>Any period of unpaid maternity leave is not a period of effective service.</w:t>
            </w:r>
            <w:r w:rsidRPr="00C9343F">
              <w:rPr>
                <w:b/>
              </w:rPr>
              <w:t xml:space="preserve"> </w:t>
            </w:r>
          </w:p>
          <w:p w14:paraId="306A5B37" w14:textId="5E999715" w:rsidR="008B4402" w:rsidRPr="00C9343F" w:rsidRDefault="008B4402" w:rsidP="00F66D98">
            <w:pPr>
              <w:pStyle w:val="BlockText-Plain"/>
              <w:rPr>
                <w:b/>
              </w:rPr>
            </w:pPr>
            <w:r w:rsidRPr="00C9343F">
              <w:rPr>
                <w:b/>
              </w:rPr>
              <w:t>Note:</w:t>
            </w:r>
            <w:r w:rsidRPr="00C9343F">
              <w:t xml:space="preserve"> MSBS members may choose to maintain their superannuation contributions.</w:t>
            </w:r>
            <w:r w:rsidRPr="00C9343F">
              <w:rPr>
                <w:b/>
              </w:rPr>
              <w:t xml:space="preserve"> </w:t>
            </w:r>
          </w:p>
        </w:tc>
      </w:tr>
      <w:tr w:rsidR="008B4402" w:rsidRPr="00C9343F" w14:paraId="1B707708" w14:textId="77777777" w:rsidTr="008B4402">
        <w:tc>
          <w:tcPr>
            <w:tcW w:w="992" w:type="dxa"/>
          </w:tcPr>
          <w:p w14:paraId="01745204" w14:textId="77777777" w:rsidR="008B4402" w:rsidRPr="00C9343F" w:rsidRDefault="008B4402" w:rsidP="00F66D98">
            <w:pPr>
              <w:pStyle w:val="BlockText-Plain"/>
              <w:jc w:val="center"/>
            </w:pPr>
            <w:r w:rsidRPr="00C9343F">
              <w:t>3.</w:t>
            </w:r>
          </w:p>
        </w:tc>
        <w:tc>
          <w:tcPr>
            <w:tcW w:w="8363" w:type="dxa"/>
            <w:gridSpan w:val="2"/>
          </w:tcPr>
          <w:p w14:paraId="667B18BA" w14:textId="77777777" w:rsidR="008B4402" w:rsidRPr="00C9343F" w:rsidRDefault="008B4402" w:rsidP="00F66D98">
            <w:pPr>
              <w:pStyle w:val="BlockText-Plain"/>
            </w:pPr>
            <w:r w:rsidRPr="00C9343F">
              <w:t xml:space="preserve">A period of unpaid maternity leave has these features. </w:t>
            </w:r>
          </w:p>
        </w:tc>
      </w:tr>
      <w:tr w:rsidR="008B4402" w:rsidRPr="00C9343F" w14:paraId="681D2C1E" w14:textId="77777777" w:rsidTr="008B4402">
        <w:trPr>
          <w:cantSplit/>
        </w:trPr>
        <w:tc>
          <w:tcPr>
            <w:tcW w:w="992" w:type="dxa"/>
          </w:tcPr>
          <w:p w14:paraId="44933C95" w14:textId="77777777" w:rsidR="008B4402" w:rsidRPr="00C9343F" w:rsidRDefault="008B4402" w:rsidP="00F66D98">
            <w:pPr>
              <w:pStyle w:val="BlockText-Plain"/>
            </w:pPr>
            <w:bookmarkStart w:id="1662" w:name="bk1202155419Resumingduty"/>
            <w:bookmarkStart w:id="1663" w:name="bk1202515419Resumingduty"/>
            <w:bookmarkStart w:id="1664" w:name="bk1345335423Resumingduty"/>
            <w:bookmarkStart w:id="1665" w:name="bk1438185418Resumingduty"/>
          </w:p>
        </w:tc>
        <w:tc>
          <w:tcPr>
            <w:tcW w:w="567" w:type="dxa"/>
          </w:tcPr>
          <w:p w14:paraId="5F87EF54" w14:textId="77777777" w:rsidR="008B4402" w:rsidRPr="00C9343F" w:rsidRDefault="008B4402" w:rsidP="008D1B5D">
            <w:pPr>
              <w:pStyle w:val="BlockText-Plain"/>
              <w:jc w:val="center"/>
            </w:pPr>
            <w:r w:rsidRPr="00C9343F">
              <w:t>a.</w:t>
            </w:r>
          </w:p>
        </w:tc>
        <w:tc>
          <w:tcPr>
            <w:tcW w:w="7796" w:type="dxa"/>
          </w:tcPr>
          <w:p w14:paraId="7CF54320" w14:textId="77777777" w:rsidR="008B4402" w:rsidRPr="00C9343F" w:rsidRDefault="008B4402" w:rsidP="00F66D98">
            <w:pPr>
              <w:pStyle w:val="BlockText-Plain"/>
            </w:pPr>
            <w:r w:rsidRPr="00C9343F">
              <w:t>It counts as continuous service.</w:t>
            </w:r>
          </w:p>
        </w:tc>
      </w:tr>
      <w:tr w:rsidR="008B4402" w:rsidRPr="00C9343F" w14:paraId="36D5ABBC" w14:textId="77777777" w:rsidTr="008B4402">
        <w:trPr>
          <w:cantSplit/>
        </w:trPr>
        <w:tc>
          <w:tcPr>
            <w:tcW w:w="992" w:type="dxa"/>
          </w:tcPr>
          <w:p w14:paraId="423260BA" w14:textId="77777777" w:rsidR="008B4402" w:rsidRPr="00C9343F" w:rsidRDefault="008B4402" w:rsidP="00F66D98">
            <w:pPr>
              <w:pStyle w:val="BlockText-Plain"/>
            </w:pPr>
          </w:p>
        </w:tc>
        <w:tc>
          <w:tcPr>
            <w:tcW w:w="567" w:type="dxa"/>
          </w:tcPr>
          <w:p w14:paraId="21B593A4" w14:textId="77777777" w:rsidR="008B4402" w:rsidRPr="00C9343F" w:rsidRDefault="008B4402" w:rsidP="008D1B5D">
            <w:pPr>
              <w:pStyle w:val="BlockText-Plain"/>
              <w:jc w:val="center"/>
            </w:pPr>
            <w:r w:rsidRPr="00C9343F">
              <w:t>b.</w:t>
            </w:r>
          </w:p>
        </w:tc>
        <w:tc>
          <w:tcPr>
            <w:tcW w:w="7796" w:type="dxa"/>
          </w:tcPr>
          <w:p w14:paraId="4DEDCCC6" w14:textId="77777777" w:rsidR="008B4402" w:rsidRPr="00C9343F" w:rsidRDefault="008B4402" w:rsidP="00F66D98">
            <w:pPr>
              <w:pStyle w:val="BlockText-Plain"/>
            </w:pPr>
            <w:r w:rsidRPr="00C9343F">
              <w:t>It will not break continuity of service if the conditions for a particular entitlement are met.</w:t>
            </w:r>
          </w:p>
        </w:tc>
      </w:tr>
      <w:tr w:rsidR="008B4402" w:rsidRPr="00C9343F" w14:paraId="5D8387AE" w14:textId="77777777" w:rsidTr="008B4402">
        <w:trPr>
          <w:cantSplit/>
        </w:trPr>
        <w:tc>
          <w:tcPr>
            <w:tcW w:w="992" w:type="dxa"/>
          </w:tcPr>
          <w:p w14:paraId="3E2A230A" w14:textId="77777777" w:rsidR="008B4402" w:rsidRPr="00C9343F" w:rsidRDefault="008B4402" w:rsidP="00F66D98">
            <w:pPr>
              <w:pStyle w:val="BlockText-Plain"/>
            </w:pPr>
          </w:p>
        </w:tc>
        <w:tc>
          <w:tcPr>
            <w:tcW w:w="567" w:type="dxa"/>
          </w:tcPr>
          <w:p w14:paraId="718F0501" w14:textId="77777777" w:rsidR="008B4402" w:rsidRPr="00C9343F" w:rsidRDefault="008B4402" w:rsidP="008D1B5D">
            <w:pPr>
              <w:pStyle w:val="BlockText-Plain"/>
              <w:jc w:val="center"/>
            </w:pPr>
            <w:r w:rsidRPr="00C9343F">
              <w:t>c.</w:t>
            </w:r>
          </w:p>
        </w:tc>
        <w:tc>
          <w:tcPr>
            <w:tcW w:w="7796" w:type="dxa"/>
          </w:tcPr>
          <w:p w14:paraId="16BFF76B" w14:textId="77777777" w:rsidR="008B4402" w:rsidRPr="00C9343F" w:rsidRDefault="008B4402" w:rsidP="00F66D98">
            <w:pPr>
              <w:pStyle w:val="BlockText-Plain"/>
            </w:pPr>
            <w:r w:rsidRPr="00C9343F">
              <w:t>The member is not required to remain fit or deployable.</w:t>
            </w:r>
          </w:p>
        </w:tc>
      </w:tr>
      <w:tr w:rsidR="008B4402" w:rsidRPr="00C9343F" w14:paraId="7244F3CC" w14:textId="77777777" w:rsidTr="008B4402">
        <w:trPr>
          <w:cantSplit/>
        </w:trPr>
        <w:tc>
          <w:tcPr>
            <w:tcW w:w="992" w:type="dxa"/>
          </w:tcPr>
          <w:p w14:paraId="19F906D0" w14:textId="77777777" w:rsidR="008B4402" w:rsidRPr="00C9343F" w:rsidRDefault="008B4402" w:rsidP="00F66D98">
            <w:pPr>
              <w:pStyle w:val="BlockText-Plain"/>
            </w:pPr>
          </w:p>
        </w:tc>
        <w:tc>
          <w:tcPr>
            <w:tcW w:w="567" w:type="dxa"/>
          </w:tcPr>
          <w:p w14:paraId="018722EC" w14:textId="77777777" w:rsidR="008B4402" w:rsidRPr="00C9343F" w:rsidRDefault="008B4402" w:rsidP="008D1B5D">
            <w:pPr>
              <w:pStyle w:val="BlockText-Plain"/>
              <w:jc w:val="center"/>
            </w:pPr>
            <w:r w:rsidRPr="00C9343F">
              <w:t>d.</w:t>
            </w:r>
          </w:p>
        </w:tc>
        <w:tc>
          <w:tcPr>
            <w:tcW w:w="7796" w:type="dxa"/>
          </w:tcPr>
          <w:p w14:paraId="3853648B" w14:textId="77777777" w:rsidR="008B4402" w:rsidRPr="00C9343F" w:rsidRDefault="008B4402" w:rsidP="00F66D98">
            <w:pPr>
              <w:pStyle w:val="BlockText-Plain"/>
            </w:pPr>
            <w:r w:rsidRPr="00C9343F">
              <w:t xml:space="preserve">The member continues to receive free medical care. The member is not returned to the payroll for hospitalisation, treatment, illness or </w:t>
            </w:r>
            <w:r w:rsidRPr="00C9343F">
              <w:rPr>
                <w:iCs/>
              </w:rPr>
              <w:t>medical absence</w:t>
            </w:r>
            <w:r w:rsidRPr="00C9343F">
              <w:t>.</w:t>
            </w:r>
          </w:p>
        </w:tc>
      </w:tr>
      <w:tr w:rsidR="008B4402" w:rsidRPr="00C9343F" w14:paraId="155AF43E" w14:textId="77777777" w:rsidTr="008B4402">
        <w:trPr>
          <w:cantSplit/>
        </w:trPr>
        <w:tc>
          <w:tcPr>
            <w:tcW w:w="992" w:type="dxa"/>
          </w:tcPr>
          <w:p w14:paraId="5A49D377" w14:textId="77777777" w:rsidR="008B4402" w:rsidRPr="00C9343F" w:rsidRDefault="008B4402" w:rsidP="00F66D98">
            <w:pPr>
              <w:pStyle w:val="BlockText-Plain"/>
            </w:pPr>
          </w:p>
        </w:tc>
        <w:tc>
          <w:tcPr>
            <w:tcW w:w="567" w:type="dxa"/>
          </w:tcPr>
          <w:p w14:paraId="5D426DE5" w14:textId="77777777" w:rsidR="008B4402" w:rsidRPr="00C9343F" w:rsidRDefault="008B4402" w:rsidP="008D1B5D">
            <w:pPr>
              <w:pStyle w:val="BlockText-Plain"/>
              <w:jc w:val="center"/>
            </w:pPr>
            <w:r w:rsidRPr="00C9343F">
              <w:t>e.</w:t>
            </w:r>
          </w:p>
        </w:tc>
        <w:tc>
          <w:tcPr>
            <w:tcW w:w="7796" w:type="dxa"/>
          </w:tcPr>
          <w:p w14:paraId="587ED916" w14:textId="77777777" w:rsidR="008B4402" w:rsidRPr="00C9343F" w:rsidRDefault="008B4402" w:rsidP="00F66D98">
            <w:pPr>
              <w:pStyle w:val="BlockText-Plain"/>
            </w:pPr>
            <w:r w:rsidRPr="00C9343F">
              <w:t>The member keeps their housing assistance.</w:t>
            </w:r>
          </w:p>
        </w:tc>
      </w:tr>
    </w:tbl>
    <w:p w14:paraId="5D589A6E" w14:textId="53728FBA" w:rsidR="008B4402" w:rsidRPr="00C9343F" w:rsidRDefault="008B4402" w:rsidP="00F66D98">
      <w:pPr>
        <w:pStyle w:val="Heading5"/>
      </w:pPr>
      <w:bookmarkStart w:id="1666" w:name="_Toc105054074"/>
      <w:bookmarkStart w:id="1667" w:name="bk1419005419Resumingduty"/>
      <w:bookmarkStart w:id="1668" w:name="bk1423135419Resumingduty"/>
      <w:bookmarkStart w:id="1669" w:name="bk1457195420Resumingduty"/>
      <w:bookmarkStart w:id="1670" w:name="bk906245420Resumingduty"/>
      <w:bookmarkStart w:id="1671" w:name="bk1156205420Resumingduty"/>
      <w:r w:rsidRPr="00C9343F">
        <w:t>5.6.20</w:t>
      </w:r>
      <w:r w:rsidR="00D94006" w:rsidRPr="00C9343F">
        <w:t>    </w:t>
      </w:r>
      <w:r w:rsidRPr="00C9343F">
        <w:t>Resuming duty</w:t>
      </w:r>
      <w:bookmarkEnd w:id="1666"/>
    </w:p>
    <w:tbl>
      <w:tblPr>
        <w:tblW w:w="9355" w:type="dxa"/>
        <w:tblInd w:w="113" w:type="dxa"/>
        <w:tblLayout w:type="fixed"/>
        <w:tblLook w:val="0000" w:firstRow="0" w:lastRow="0" w:firstColumn="0" w:lastColumn="0" w:noHBand="0" w:noVBand="0"/>
      </w:tblPr>
      <w:tblGrid>
        <w:gridCol w:w="992"/>
        <w:gridCol w:w="8363"/>
      </w:tblGrid>
      <w:tr w:rsidR="008B4402" w:rsidRPr="00C9343F" w14:paraId="21699882" w14:textId="77777777" w:rsidTr="00AD15AE">
        <w:tc>
          <w:tcPr>
            <w:tcW w:w="992" w:type="dxa"/>
          </w:tcPr>
          <w:bookmarkEnd w:id="1662"/>
          <w:bookmarkEnd w:id="1663"/>
          <w:bookmarkEnd w:id="1664"/>
          <w:bookmarkEnd w:id="1665"/>
          <w:bookmarkEnd w:id="1667"/>
          <w:bookmarkEnd w:id="1668"/>
          <w:bookmarkEnd w:id="1669"/>
          <w:bookmarkEnd w:id="1670"/>
          <w:bookmarkEnd w:id="1671"/>
          <w:p w14:paraId="2B2958BC" w14:textId="77777777" w:rsidR="008B4402" w:rsidRPr="00C9343F" w:rsidRDefault="008B4402" w:rsidP="00F66D98">
            <w:pPr>
              <w:pStyle w:val="BlockText-Plain"/>
              <w:jc w:val="center"/>
            </w:pPr>
            <w:r w:rsidRPr="00C9343F">
              <w:t>1.</w:t>
            </w:r>
          </w:p>
        </w:tc>
        <w:tc>
          <w:tcPr>
            <w:tcW w:w="8363" w:type="dxa"/>
          </w:tcPr>
          <w:p w14:paraId="205CC11F" w14:textId="3B5DF703" w:rsidR="008B4402" w:rsidRPr="00C9343F" w:rsidRDefault="008B4402" w:rsidP="00F66D98">
            <w:pPr>
              <w:pStyle w:val="BlockText-Plain"/>
              <w:rPr>
                <w:b/>
              </w:rPr>
            </w:pPr>
            <w:r w:rsidRPr="00C9343F">
              <w:t>A member may apply to resume duty on a date after her required absence is completed. The member must apply in writing.</w:t>
            </w:r>
            <w:r w:rsidRPr="00C9343F">
              <w:rPr>
                <w:b/>
              </w:rPr>
              <w:t xml:space="preserve"> </w:t>
            </w:r>
          </w:p>
        </w:tc>
      </w:tr>
      <w:tr w:rsidR="008B4402" w:rsidRPr="00C9343F" w14:paraId="698A6F74" w14:textId="77777777" w:rsidTr="00AD15AE">
        <w:trPr>
          <w:cantSplit/>
        </w:trPr>
        <w:tc>
          <w:tcPr>
            <w:tcW w:w="992" w:type="dxa"/>
          </w:tcPr>
          <w:p w14:paraId="56317489" w14:textId="77777777" w:rsidR="008B4402" w:rsidRPr="00C9343F" w:rsidRDefault="008B4402" w:rsidP="00F66D98">
            <w:pPr>
              <w:pStyle w:val="BlockText-Plain"/>
              <w:jc w:val="center"/>
            </w:pPr>
            <w:r w:rsidRPr="00C9343F">
              <w:t>2.</w:t>
            </w:r>
          </w:p>
        </w:tc>
        <w:tc>
          <w:tcPr>
            <w:tcW w:w="8363" w:type="dxa"/>
          </w:tcPr>
          <w:p w14:paraId="2775B416" w14:textId="09E284FA" w:rsidR="008B4402" w:rsidRPr="00C9343F" w:rsidRDefault="008B4402" w:rsidP="00F66D98">
            <w:pPr>
              <w:pStyle w:val="BlockText-Plain"/>
            </w:pPr>
            <w:r w:rsidRPr="00C9343F">
              <w:t>The member does not have to provide a medical certificate with her application.</w:t>
            </w:r>
          </w:p>
        </w:tc>
      </w:tr>
      <w:tr w:rsidR="008B4402" w:rsidRPr="00C9343F" w14:paraId="75466604" w14:textId="77777777" w:rsidTr="00AD15AE">
        <w:tc>
          <w:tcPr>
            <w:tcW w:w="992" w:type="dxa"/>
          </w:tcPr>
          <w:p w14:paraId="7EE2AF92" w14:textId="77777777" w:rsidR="008B4402" w:rsidRPr="00C9343F" w:rsidRDefault="008B4402" w:rsidP="00F66D98">
            <w:pPr>
              <w:pStyle w:val="BlockText-Plain"/>
              <w:jc w:val="center"/>
            </w:pPr>
            <w:r w:rsidRPr="00C9343F">
              <w:t>3.</w:t>
            </w:r>
          </w:p>
        </w:tc>
        <w:tc>
          <w:tcPr>
            <w:tcW w:w="8363" w:type="dxa"/>
          </w:tcPr>
          <w:p w14:paraId="59766C99" w14:textId="77777777" w:rsidR="008B4402" w:rsidRPr="00C9343F" w:rsidRDefault="008B4402" w:rsidP="00F66D98">
            <w:pPr>
              <w:pStyle w:val="BlockText-Plain"/>
              <w:rPr>
                <w:b/>
              </w:rPr>
            </w:pPr>
            <w:r w:rsidRPr="00C9343F">
              <w:t>The CDF may give the member permission to resume duty on a date after her required absence is completed.</w:t>
            </w:r>
          </w:p>
          <w:p w14:paraId="07DE4695" w14:textId="5E28BAD0" w:rsidR="008B4402" w:rsidRPr="00C9343F" w:rsidRDefault="008B4402" w:rsidP="00F66D98">
            <w:pPr>
              <w:pStyle w:val="BlockText-Plain"/>
            </w:pPr>
            <w:r w:rsidRPr="00C9343F">
              <w:rPr>
                <w:b/>
              </w:rPr>
              <w:t>Note:</w:t>
            </w:r>
            <w:r w:rsidRPr="00C9343F">
              <w:t xml:space="preserve"> The CDF may also allow a member to resume duty during her required absence. </w:t>
            </w:r>
          </w:p>
        </w:tc>
      </w:tr>
      <w:tr w:rsidR="008B4402" w:rsidRPr="00C9343F" w14:paraId="31343532" w14:textId="77777777" w:rsidTr="00AD15AE">
        <w:tc>
          <w:tcPr>
            <w:tcW w:w="992" w:type="dxa"/>
          </w:tcPr>
          <w:p w14:paraId="28C4A7E2" w14:textId="77777777" w:rsidR="008B4402" w:rsidRPr="00C9343F" w:rsidRDefault="008B4402" w:rsidP="00F66D98">
            <w:pPr>
              <w:pStyle w:val="BlockText-Plain"/>
              <w:jc w:val="center"/>
            </w:pPr>
            <w:r w:rsidRPr="00C9343F">
              <w:t>4.</w:t>
            </w:r>
          </w:p>
        </w:tc>
        <w:tc>
          <w:tcPr>
            <w:tcW w:w="8363" w:type="dxa"/>
          </w:tcPr>
          <w:p w14:paraId="1B694978" w14:textId="77777777" w:rsidR="008B4402" w:rsidRPr="00C9343F" w:rsidRDefault="008B4402" w:rsidP="00F66D98">
            <w:pPr>
              <w:pStyle w:val="BlockText-Plain"/>
            </w:pPr>
            <w:r w:rsidRPr="00C9343F">
              <w:t>The CDF must make a decision on an application under subsection 1 within seven days of receiving it. The member must be told of the decision in writing.</w:t>
            </w:r>
            <w:r w:rsidRPr="00C9343F">
              <w:rPr>
                <w:b/>
                <w:color w:val="FF0000"/>
              </w:rPr>
              <w:t xml:space="preserve"> </w:t>
            </w:r>
          </w:p>
        </w:tc>
      </w:tr>
    </w:tbl>
    <w:p w14:paraId="3AE98646" w14:textId="0CBA121F" w:rsidR="008B4402" w:rsidRPr="00C9343F" w:rsidRDefault="008B4402" w:rsidP="00F66D98">
      <w:pPr>
        <w:pStyle w:val="Heading5"/>
      </w:pPr>
      <w:bookmarkStart w:id="1672" w:name="_Toc105054075"/>
      <w:bookmarkStart w:id="1673" w:name="bk1345345424Resumingleave"/>
      <w:bookmarkStart w:id="1674" w:name="bk1438185419Resumingleave"/>
      <w:bookmarkStart w:id="1675" w:name="bk1419005420Resumingleave"/>
      <w:bookmarkStart w:id="1676" w:name="bk1423135420Resumingleave"/>
      <w:bookmarkStart w:id="1677" w:name="bk1457205421Resumingleave"/>
      <w:bookmarkStart w:id="1678" w:name="bk906245421Resumingleave"/>
      <w:bookmarkStart w:id="1679" w:name="bk1156205421Resumingleave"/>
      <w:bookmarkStart w:id="1680" w:name="bk1202155420Examples"/>
      <w:bookmarkStart w:id="1681" w:name="bk1202515420Examples"/>
      <w:r w:rsidRPr="00C9343F">
        <w:t>5.6.21</w:t>
      </w:r>
      <w:r w:rsidR="00D94006" w:rsidRPr="00C9343F">
        <w:t>    </w:t>
      </w:r>
      <w:r w:rsidRPr="00C9343F">
        <w:t>Resuming leave</w:t>
      </w:r>
      <w:bookmarkEnd w:id="1672"/>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6B92ADED" w14:textId="77777777" w:rsidTr="008B4402">
        <w:tc>
          <w:tcPr>
            <w:tcW w:w="992" w:type="dxa"/>
          </w:tcPr>
          <w:bookmarkEnd w:id="1673"/>
          <w:bookmarkEnd w:id="1674"/>
          <w:bookmarkEnd w:id="1675"/>
          <w:bookmarkEnd w:id="1676"/>
          <w:bookmarkEnd w:id="1677"/>
          <w:bookmarkEnd w:id="1678"/>
          <w:bookmarkEnd w:id="1679"/>
          <w:p w14:paraId="2BD0ED5E" w14:textId="77777777" w:rsidR="008B4402" w:rsidRPr="00C9343F" w:rsidRDefault="008B4402" w:rsidP="00F66D98">
            <w:pPr>
              <w:pStyle w:val="BlockText-Plain"/>
              <w:jc w:val="center"/>
            </w:pPr>
            <w:r w:rsidRPr="00C9343F">
              <w:t>1.</w:t>
            </w:r>
          </w:p>
        </w:tc>
        <w:tc>
          <w:tcPr>
            <w:tcW w:w="8363" w:type="dxa"/>
            <w:gridSpan w:val="2"/>
          </w:tcPr>
          <w:p w14:paraId="092F02FF" w14:textId="77777777" w:rsidR="008B4402" w:rsidRPr="00C9343F" w:rsidRDefault="008B4402" w:rsidP="00F66D98">
            <w:pPr>
              <w:pStyle w:val="BlockText-Plain"/>
            </w:pPr>
            <w:r w:rsidRPr="00C9343F">
              <w:t>This section applies to a member who meets all of these conditions.</w:t>
            </w:r>
          </w:p>
        </w:tc>
      </w:tr>
      <w:tr w:rsidR="008B4402" w:rsidRPr="00C9343F" w14:paraId="0FCB748D" w14:textId="77777777" w:rsidTr="008B4402">
        <w:trPr>
          <w:cantSplit/>
        </w:trPr>
        <w:tc>
          <w:tcPr>
            <w:tcW w:w="992" w:type="dxa"/>
          </w:tcPr>
          <w:p w14:paraId="75274D43" w14:textId="77777777" w:rsidR="008B4402" w:rsidRPr="00C9343F" w:rsidRDefault="008B4402" w:rsidP="00F66D98">
            <w:pPr>
              <w:pStyle w:val="BlockText-Plain"/>
            </w:pPr>
          </w:p>
        </w:tc>
        <w:tc>
          <w:tcPr>
            <w:tcW w:w="567" w:type="dxa"/>
          </w:tcPr>
          <w:p w14:paraId="7FCC0064" w14:textId="77777777" w:rsidR="008B4402" w:rsidRPr="00C9343F" w:rsidRDefault="008B4402" w:rsidP="008D1B5D">
            <w:pPr>
              <w:pStyle w:val="BlockText-Plain"/>
              <w:jc w:val="center"/>
            </w:pPr>
            <w:r w:rsidRPr="00C9343F">
              <w:t>a.</w:t>
            </w:r>
          </w:p>
        </w:tc>
        <w:tc>
          <w:tcPr>
            <w:tcW w:w="7796" w:type="dxa"/>
          </w:tcPr>
          <w:p w14:paraId="503802AD" w14:textId="77777777" w:rsidR="008B4402" w:rsidRPr="00C9343F" w:rsidRDefault="008B4402" w:rsidP="00F66D98">
            <w:pPr>
              <w:pStyle w:val="BlockText-Plain"/>
            </w:pPr>
            <w:r w:rsidRPr="00C9343F">
              <w:t>The member has taken maternity leave.</w:t>
            </w:r>
          </w:p>
        </w:tc>
      </w:tr>
      <w:tr w:rsidR="008B4402" w:rsidRPr="00C9343F" w14:paraId="2276E49C" w14:textId="77777777" w:rsidTr="008B4402">
        <w:trPr>
          <w:cantSplit/>
        </w:trPr>
        <w:tc>
          <w:tcPr>
            <w:tcW w:w="992" w:type="dxa"/>
          </w:tcPr>
          <w:p w14:paraId="0B430690" w14:textId="77777777" w:rsidR="008B4402" w:rsidRPr="00C9343F" w:rsidRDefault="008B4402" w:rsidP="00F66D98">
            <w:pPr>
              <w:pStyle w:val="BlockText-Plain"/>
            </w:pPr>
          </w:p>
        </w:tc>
        <w:tc>
          <w:tcPr>
            <w:tcW w:w="567" w:type="dxa"/>
          </w:tcPr>
          <w:p w14:paraId="255F84C7" w14:textId="77777777" w:rsidR="008B4402" w:rsidRPr="00C9343F" w:rsidRDefault="008B4402" w:rsidP="008D1B5D">
            <w:pPr>
              <w:pStyle w:val="BlockText-Plain"/>
              <w:jc w:val="center"/>
            </w:pPr>
            <w:r w:rsidRPr="00C9343F">
              <w:t>b.</w:t>
            </w:r>
          </w:p>
        </w:tc>
        <w:tc>
          <w:tcPr>
            <w:tcW w:w="7796" w:type="dxa"/>
          </w:tcPr>
          <w:p w14:paraId="5C757E30" w14:textId="77777777" w:rsidR="008B4402" w:rsidRPr="00C9343F" w:rsidRDefault="008B4402" w:rsidP="00F66D98">
            <w:pPr>
              <w:pStyle w:val="BlockText-Plain"/>
            </w:pPr>
            <w:r w:rsidRPr="00C9343F">
              <w:t>The member has resumed duty.</w:t>
            </w:r>
          </w:p>
        </w:tc>
      </w:tr>
      <w:tr w:rsidR="008B4402" w:rsidRPr="00C9343F" w14:paraId="3401C7DD" w14:textId="77777777" w:rsidTr="008B4402">
        <w:trPr>
          <w:cantSplit/>
        </w:trPr>
        <w:tc>
          <w:tcPr>
            <w:tcW w:w="992" w:type="dxa"/>
          </w:tcPr>
          <w:p w14:paraId="462D0119" w14:textId="77777777" w:rsidR="008B4402" w:rsidRPr="00C9343F" w:rsidRDefault="008B4402" w:rsidP="00F66D98">
            <w:pPr>
              <w:pStyle w:val="BlockText-Plain"/>
            </w:pPr>
          </w:p>
        </w:tc>
        <w:tc>
          <w:tcPr>
            <w:tcW w:w="567" w:type="dxa"/>
          </w:tcPr>
          <w:p w14:paraId="47900069" w14:textId="77777777" w:rsidR="008B4402" w:rsidRPr="00C9343F" w:rsidRDefault="008B4402" w:rsidP="008D1B5D">
            <w:pPr>
              <w:pStyle w:val="BlockText-Plain"/>
              <w:jc w:val="center"/>
            </w:pPr>
            <w:r w:rsidRPr="00C9343F">
              <w:t>c.</w:t>
            </w:r>
          </w:p>
        </w:tc>
        <w:tc>
          <w:tcPr>
            <w:tcW w:w="7796" w:type="dxa"/>
          </w:tcPr>
          <w:p w14:paraId="7A6C9E4C" w14:textId="77777777" w:rsidR="008B4402" w:rsidRPr="00C9343F" w:rsidRDefault="008B4402" w:rsidP="00F66D98">
            <w:pPr>
              <w:pStyle w:val="BlockText-Plain"/>
            </w:pPr>
            <w:r w:rsidRPr="00C9343F">
              <w:t>The member wishes to take further maternity leave.</w:t>
            </w:r>
          </w:p>
        </w:tc>
      </w:tr>
      <w:tr w:rsidR="008B4402" w:rsidRPr="00C9343F" w14:paraId="6ED6F147" w14:textId="77777777" w:rsidTr="008B4402">
        <w:tc>
          <w:tcPr>
            <w:tcW w:w="992" w:type="dxa"/>
          </w:tcPr>
          <w:p w14:paraId="435D45AC" w14:textId="77777777" w:rsidR="008B4402" w:rsidRPr="00C9343F" w:rsidRDefault="008B4402" w:rsidP="00F66D98">
            <w:pPr>
              <w:pStyle w:val="BlockText-Plain"/>
              <w:jc w:val="center"/>
            </w:pPr>
            <w:r w:rsidRPr="00C9343F">
              <w:t>2.</w:t>
            </w:r>
          </w:p>
        </w:tc>
        <w:tc>
          <w:tcPr>
            <w:tcW w:w="8363" w:type="dxa"/>
            <w:gridSpan w:val="2"/>
          </w:tcPr>
          <w:p w14:paraId="6C46AFE6" w14:textId="77777777" w:rsidR="008B4402" w:rsidRPr="00C9343F" w:rsidRDefault="008B4402" w:rsidP="00F66D98">
            <w:pPr>
              <w:pStyle w:val="BlockText-Plain"/>
            </w:pPr>
            <w:r w:rsidRPr="00C9343F">
              <w:t>If the further maternity leave falls in this period, the member is entitled to take the further leave.</w:t>
            </w:r>
          </w:p>
        </w:tc>
      </w:tr>
      <w:tr w:rsidR="008B4402" w:rsidRPr="00C9343F" w14:paraId="306CD5DE" w14:textId="77777777" w:rsidTr="008B4402">
        <w:trPr>
          <w:cantSplit/>
        </w:trPr>
        <w:tc>
          <w:tcPr>
            <w:tcW w:w="992" w:type="dxa"/>
          </w:tcPr>
          <w:p w14:paraId="46F33232" w14:textId="77777777" w:rsidR="008B4402" w:rsidRPr="00C9343F" w:rsidRDefault="008B4402" w:rsidP="00F66D98">
            <w:pPr>
              <w:pStyle w:val="BlockText-Plain"/>
            </w:pPr>
          </w:p>
        </w:tc>
        <w:tc>
          <w:tcPr>
            <w:tcW w:w="567" w:type="dxa"/>
          </w:tcPr>
          <w:p w14:paraId="7AD97650" w14:textId="77777777" w:rsidR="008B4402" w:rsidRPr="00C9343F" w:rsidRDefault="008B4402" w:rsidP="008D1B5D">
            <w:pPr>
              <w:pStyle w:val="BlockText-Plain"/>
              <w:jc w:val="center"/>
            </w:pPr>
            <w:r w:rsidRPr="00C9343F">
              <w:t>a.</w:t>
            </w:r>
          </w:p>
        </w:tc>
        <w:tc>
          <w:tcPr>
            <w:tcW w:w="7796" w:type="dxa"/>
          </w:tcPr>
          <w:p w14:paraId="039CC637" w14:textId="77777777" w:rsidR="008B4402" w:rsidRPr="00C9343F" w:rsidRDefault="008B4402" w:rsidP="00F66D98">
            <w:pPr>
              <w:pStyle w:val="BlockText-Plain"/>
            </w:pPr>
            <w:r w:rsidRPr="00C9343F">
              <w:rPr>
                <w:b/>
              </w:rPr>
              <w:t>From</w:t>
            </w:r>
            <w:r w:rsidRPr="00C9343F">
              <w:t xml:space="preserve"> the day the member first takes maternity leave.</w:t>
            </w:r>
          </w:p>
        </w:tc>
      </w:tr>
      <w:tr w:rsidR="008B4402" w:rsidRPr="00C9343F" w14:paraId="47D320FC" w14:textId="77777777" w:rsidTr="008B4402">
        <w:trPr>
          <w:cantSplit/>
        </w:trPr>
        <w:tc>
          <w:tcPr>
            <w:tcW w:w="992" w:type="dxa"/>
          </w:tcPr>
          <w:p w14:paraId="5A556DBA" w14:textId="77777777" w:rsidR="008B4402" w:rsidRPr="00C9343F" w:rsidRDefault="008B4402" w:rsidP="00F66D98">
            <w:pPr>
              <w:pStyle w:val="BlockText-Plain"/>
            </w:pPr>
          </w:p>
        </w:tc>
        <w:tc>
          <w:tcPr>
            <w:tcW w:w="567" w:type="dxa"/>
          </w:tcPr>
          <w:p w14:paraId="1A5F6EBC" w14:textId="77777777" w:rsidR="008B4402" w:rsidRPr="00C9343F" w:rsidRDefault="008B4402" w:rsidP="008D1B5D">
            <w:pPr>
              <w:pStyle w:val="BlockText-Plain"/>
              <w:jc w:val="center"/>
            </w:pPr>
            <w:r w:rsidRPr="00C9343F">
              <w:t>b.</w:t>
            </w:r>
          </w:p>
        </w:tc>
        <w:tc>
          <w:tcPr>
            <w:tcW w:w="7796" w:type="dxa"/>
          </w:tcPr>
          <w:p w14:paraId="5A27E6EE" w14:textId="77777777" w:rsidR="008B4402" w:rsidRPr="00C9343F" w:rsidRDefault="008B4402" w:rsidP="00F66D98">
            <w:pPr>
              <w:pStyle w:val="BlockText-Plain"/>
            </w:pPr>
            <w:r w:rsidRPr="00C9343F">
              <w:rPr>
                <w:b/>
              </w:rPr>
              <w:t>Until</w:t>
            </w:r>
            <w:r w:rsidRPr="00C9343F">
              <w:t xml:space="preserve"> the day 52 weeks after the day in paragraph a.</w:t>
            </w:r>
          </w:p>
        </w:tc>
      </w:tr>
      <w:tr w:rsidR="008B4402" w:rsidRPr="00C9343F" w14:paraId="6B481EE2" w14:textId="77777777" w:rsidTr="008B4402">
        <w:tc>
          <w:tcPr>
            <w:tcW w:w="992" w:type="dxa"/>
          </w:tcPr>
          <w:p w14:paraId="09A54C4D" w14:textId="77777777" w:rsidR="008B4402" w:rsidRPr="00C9343F" w:rsidRDefault="008B4402" w:rsidP="00F66D98">
            <w:pPr>
              <w:pStyle w:val="BlockText-Plain"/>
              <w:jc w:val="center"/>
            </w:pPr>
            <w:r w:rsidRPr="00C9343F">
              <w:t>3.</w:t>
            </w:r>
          </w:p>
        </w:tc>
        <w:tc>
          <w:tcPr>
            <w:tcW w:w="8363" w:type="dxa"/>
            <w:gridSpan w:val="2"/>
          </w:tcPr>
          <w:p w14:paraId="5B7D26D8" w14:textId="10ABD52C" w:rsidR="008B4402" w:rsidRPr="00C9343F" w:rsidRDefault="008B4402" w:rsidP="00F66D98">
            <w:pPr>
              <w:pStyle w:val="BlockText-Plain"/>
            </w:pPr>
            <w:r w:rsidRPr="00C9343F">
              <w:t xml:space="preserve">If the further leave falls outside the period in subsection 2, the member is not entitled to maternity leave. The member may </w:t>
            </w:r>
            <w:r w:rsidR="00F66F9F" w:rsidRPr="00C9343F">
              <w:rPr>
                <w:iCs/>
              </w:rPr>
              <w:t>be eligible for parental leave under Part 7</w:t>
            </w:r>
            <w:r w:rsidRPr="00C9343F">
              <w:t>.</w:t>
            </w:r>
          </w:p>
        </w:tc>
      </w:tr>
    </w:tbl>
    <w:p w14:paraId="75463B85" w14:textId="7DB88B89" w:rsidR="008B4402" w:rsidRPr="00C9343F" w:rsidRDefault="008B4402" w:rsidP="00F66D98">
      <w:pPr>
        <w:pStyle w:val="Heading4"/>
        <w:pageBreakBefore/>
      </w:pPr>
      <w:bookmarkStart w:id="1682" w:name="_Toc105054076"/>
      <w:bookmarkEnd w:id="1680"/>
      <w:bookmarkEnd w:id="1681"/>
      <w:r w:rsidRPr="00C9343F">
        <w:t>Division 3: Required absence</w:t>
      </w:r>
      <w:bookmarkEnd w:id="1682"/>
    </w:p>
    <w:p w14:paraId="22664C96" w14:textId="5A4A9024" w:rsidR="008B4402" w:rsidRPr="00C9343F" w:rsidRDefault="008B4402" w:rsidP="00F66D98">
      <w:pPr>
        <w:pStyle w:val="Heading5"/>
      </w:pPr>
      <w:bookmarkStart w:id="1683" w:name="_Toc105054077"/>
      <w:bookmarkStart w:id="1684" w:name="bk111504547Requiredabsence"/>
      <w:bookmarkStart w:id="1685" w:name="bk134446549Requiredabsence"/>
      <w:bookmarkStart w:id="1686" w:name="bk134507549Requiredabsence"/>
      <w:bookmarkStart w:id="1687" w:name="bk1439115422Requiredabsence"/>
      <w:bookmarkStart w:id="1688" w:name="bk1515515423Requiredabsence"/>
      <w:bookmarkStart w:id="1689" w:name="bk1516485423Requiredabsence"/>
      <w:bookmarkStart w:id="1690" w:name="bk1156295423Requiredabsence"/>
      <w:bookmarkStart w:id="1691" w:name="bk91723PM547Compulsoryperiodofabsence"/>
      <w:r w:rsidRPr="00C9343F">
        <w:t>5.6.23</w:t>
      </w:r>
      <w:r w:rsidR="00D94006" w:rsidRPr="00C9343F">
        <w:t>    </w:t>
      </w:r>
      <w:r w:rsidRPr="00C9343F">
        <w:t>Required absence</w:t>
      </w:r>
      <w:bookmarkEnd w:id="1683"/>
    </w:p>
    <w:tbl>
      <w:tblPr>
        <w:tblW w:w="0" w:type="auto"/>
        <w:tblInd w:w="113" w:type="dxa"/>
        <w:tblLayout w:type="fixed"/>
        <w:tblLook w:val="0000" w:firstRow="0" w:lastRow="0" w:firstColumn="0" w:lastColumn="0" w:noHBand="0" w:noVBand="0"/>
      </w:tblPr>
      <w:tblGrid>
        <w:gridCol w:w="992"/>
        <w:gridCol w:w="8363"/>
      </w:tblGrid>
      <w:tr w:rsidR="008B4402" w:rsidRPr="00C9343F" w14:paraId="50C39343" w14:textId="77777777" w:rsidTr="008B4402">
        <w:tc>
          <w:tcPr>
            <w:tcW w:w="992" w:type="dxa"/>
          </w:tcPr>
          <w:bookmarkEnd w:id="1684"/>
          <w:bookmarkEnd w:id="1685"/>
          <w:bookmarkEnd w:id="1686"/>
          <w:bookmarkEnd w:id="1687"/>
          <w:bookmarkEnd w:id="1688"/>
          <w:bookmarkEnd w:id="1689"/>
          <w:bookmarkEnd w:id="1690"/>
          <w:p w14:paraId="4994E64A" w14:textId="77777777" w:rsidR="008B4402" w:rsidRPr="00C9343F" w:rsidRDefault="008B4402" w:rsidP="00F66D98">
            <w:pPr>
              <w:pStyle w:val="BlockText-Plain"/>
              <w:jc w:val="center"/>
            </w:pPr>
            <w:r w:rsidRPr="00C9343F">
              <w:t>1.</w:t>
            </w:r>
          </w:p>
        </w:tc>
        <w:tc>
          <w:tcPr>
            <w:tcW w:w="8363" w:type="dxa"/>
          </w:tcPr>
          <w:p w14:paraId="70538FE1" w14:textId="73DD56CE" w:rsidR="008B4402" w:rsidRPr="00C9343F" w:rsidRDefault="00CD78BB" w:rsidP="00F66D98">
            <w:pPr>
              <w:pStyle w:val="BlockText-Plain"/>
            </w:pPr>
            <w:r w:rsidRPr="00C9343F">
              <w:t>This Division pre</w:t>
            </w:r>
            <w:r w:rsidR="008B4402" w:rsidRPr="00C9343F">
              <w:t>scribes the period a member must be away from duty owing to her pregnancy.</w:t>
            </w:r>
          </w:p>
        </w:tc>
      </w:tr>
      <w:tr w:rsidR="008B4402" w:rsidRPr="00C9343F" w14:paraId="54424446" w14:textId="77777777" w:rsidTr="008B4402">
        <w:tc>
          <w:tcPr>
            <w:tcW w:w="992" w:type="dxa"/>
          </w:tcPr>
          <w:p w14:paraId="79F55A29" w14:textId="77777777" w:rsidR="008B4402" w:rsidRPr="00C9343F" w:rsidRDefault="008B4402" w:rsidP="00F66D98">
            <w:pPr>
              <w:pStyle w:val="BlockText-Plain"/>
              <w:jc w:val="center"/>
            </w:pPr>
            <w:r w:rsidRPr="00C9343F">
              <w:t>2.</w:t>
            </w:r>
          </w:p>
        </w:tc>
        <w:tc>
          <w:tcPr>
            <w:tcW w:w="8363" w:type="dxa"/>
          </w:tcPr>
          <w:p w14:paraId="5490DB84" w14:textId="77777777" w:rsidR="008B4402" w:rsidRPr="00C9343F" w:rsidRDefault="008B4402" w:rsidP="00F66D98">
            <w:pPr>
              <w:pStyle w:val="BlockText-Plain"/>
            </w:pPr>
            <w:r w:rsidRPr="00C9343F">
              <w:t>The purpose of the required absence is to protect a member in the later stages of her pregnancy when she is unlikely to be able to work comfortably. It also assists her to recover from her pregnancy, and to care for her child.</w:t>
            </w:r>
          </w:p>
        </w:tc>
      </w:tr>
      <w:tr w:rsidR="008B4402" w:rsidRPr="00C9343F" w14:paraId="54D87310" w14:textId="77777777" w:rsidTr="008B4402">
        <w:tc>
          <w:tcPr>
            <w:tcW w:w="992" w:type="dxa"/>
          </w:tcPr>
          <w:p w14:paraId="0D420BCC" w14:textId="77777777" w:rsidR="008B4402" w:rsidRPr="00C9343F" w:rsidRDefault="008B4402" w:rsidP="00F66D98">
            <w:pPr>
              <w:pStyle w:val="BlockText-Plain"/>
              <w:jc w:val="center"/>
            </w:pPr>
            <w:r w:rsidRPr="00C9343F">
              <w:t>3.</w:t>
            </w:r>
          </w:p>
        </w:tc>
        <w:tc>
          <w:tcPr>
            <w:tcW w:w="8363" w:type="dxa"/>
          </w:tcPr>
          <w:p w14:paraId="39CB46D5" w14:textId="77777777" w:rsidR="008B4402" w:rsidRPr="00C9343F" w:rsidRDefault="008B4402" w:rsidP="00F66D98">
            <w:pPr>
              <w:pStyle w:val="BlockText-Plain"/>
            </w:pPr>
            <w:r w:rsidRPr="00C9343F">
              <w:t>A member who is absent during this period will be granted maternity leave. In most cases the required absence will only be part of a member's period of maternity leave. It is not in addition to the 52 weeks' leave.</w:t>
            </w:r>
          </w:p>
          <w:p w14:paraId="4C78E43A" w14:textId="1C283DDA" w:rsidR="008B4402" w:rsidRPr="00C9343F" w:rsidRDefault="008B4402" w:rsidP="00F66D98">
            <w:pPr>
              <w:pStyle w:val="BlockText-Plain"/>
            </w:pPr>
            <w:r w:rsidRPr="00C9343F">
              <w:rPr>
                <w:b/>
              </w:rPr>
              <w:t>Exception:</w:t>
            </w:r>
            <w:r w:rsidRPr="00C9343F">
              <w:t xml:space="preserve"> Member already on leave without pay, see Division 4.</w:t>
            </w:r>
          </w:p>
        </w:tc>
      </w:tr>
    </w:tbl>
    <w:p w14:paraId="0EC31F88" w14:textId="08B9E9B5" w:rsidR="008B4402" w:rsidRPr="00C9343F" w:rsidRDefault="008B4402" w:rsidP="00F66D98">
      <w:pPr>
        <w:pStyle w:val="Heading5"/>
      </w:pPr>
      <w:bookmarkStart w:id="1692" w:name="_Toc105054078"/>
      <w:bookmarkStart w:id="1693" w:name="bk111505548Periodofrequiredabsence"/>
      <w:bookmarkStart w:id="1694" w:name="bk1344465410Periodofrequiredabsence"/>
      <w:bookmarkStart w:id="1695" w:name="bk1345075410Periodofrequiredabsence"/>
      <w:bookmarkStart w:id="1696" w:name="bk1439115423Periodofrequiredabsence"/>
      <w:bookmarkStart w:id="1697" w:name="bk1515515424Periodofrequiredabsence"/>
      <w:bookmarkStart w:id="1698" w:name="bk1516485424Periodofrequiredabsence"/>
      <w:bookmarkStart w:id="1699" w:name="bk1156295424Periodofrequiredabsence"/>
      <w:r w:rsidRPr="00C9343F">
        <w:t>5.6.24</w:t>
      </w:r>
      <w:r w:rsidR="00D94006" w:rsidRPr="00C9343F">
        <w:t>    </w:t>
      </w:r>
      <w:r w:rsidRPr="00C9343F">
        <w:t>Period of required absence</w:t>
      </w:r>
      <w:bookmarkEnd w:id="1692"/>
    </w:p>
    <w:bookmarkEnd w:id="1691"/>
    <w:bookmarkEnd w:id="1693"/>
    <w:bookmarkEnd w:id="1694"/>
    <w:bookmarkEnd w:id="1695"/>
    <w:bookmarkEnd w:id="1696"/>
    <w:bookmarkEnd w:id="1697"/>
    <w:bookmarkEnd w:id="1698"/>
    <w:bookmarkEnd w:id="1699"/>
    <w:tbl>
      <w:tblPr>
        <w:tblW w:w="0" w:type="auto"/>
        <w:tblInd w:w="113" w:type="dxa"/>
        <w:tblLayout w:type="fixed"/>
        <w:tblLook w:val="0000" w:firstRow="0" w:lastRow="0" w:firstColumn="0" w:lastColumn="0" w:noHBand="0" w:noVBand="0"/>
      </w:tblPr>
      <w:tblGrid>
        <w:gridCol w:w="992"/>
        <w:gridCol w:w="8363"/>
      </w:tblGrid>
      <w:tr w:rsidR="008B4402" w:rsidRPr="00C9343F" w14:paraId="13CBD842" w14:textId="77777777" w:rsidTr="008B4402">
        <w:tc>
          <w:tcPr>
            <w:tcW w:w="992" w:type="dxa"/>
          </w:tcPr>
          <w:p w14:paraId="6E9D5B67" w14:textId="77777777" w:rsidR="008B4402" w:rsidRPr="00C9343F" w:rsidRDefault="008B4402" w:rsidP="00F66D98">
            <w:pPr>
              <w:pStyle w:val="BlockText-PlainNoSpacing"/>
              <w:jc w:val="center"/>
            </w:pPr>
          </w:p>
        </w:tc>
        <w:tc>
          <w:tcPr>
            <w:tcW w:w="8363" w:type="dxa"/>
          </w:tcPr>
          <w:p w14:paraId="25C864B2" w14:textId="77777777" w:rsidR="008B4402" w:rsidRPr="00C9343F" w:rsidRDefault="008B4402" w:rsidP="00F66D98">
            <w:pPr>
              <w:pStyle w:val="BlockText-PlainNoSpacing"/>
              <w:spacing w:after="200"/>
            </w:pPr>
            <w:r w:rsidRPr="00C9343F">
              <w:t xml:space="preserve">This table sets out the period a member who is pregnant must be absent. </w:t>
            </w:r>
          </w:p>
        </w:tc>
      </w:tr>
    </w:tbl>
    <w:p w14:paraId="0E341C6B" w14:textId="77777777" w:rsidR="008B4402" w:rsidRPr="00C9343F" w:rsidRDefault="008B4402" w:rsidP="00F66D98">
      <w:pPr>
        <w:pStyle w:val="BlockText-PlainNoSpacing"/>
      </w:pPr>
    </w:p>
    <w:tbl>
      <w:tblPr>
        <w:tblW w:w="8363" w:type="dxa"/>
        <w:tblInd w:w="1049" w:type="dxa"/>
        <w:tblLayout w:type="fixed"/>
        <w:tblCellMar>
          <w:left w:w="56" w:type="dxa"/>
          <w:right w:w="56" w:type="dxa"/>
        </w:tblCellMar>
        <w:tblLook w:val="0000" w:firstRow="0" w:lastRow="0" w:firstColumn="0" w:lastColumn="0" w:noHBand="0" w:noVBand="0"/>
      </w:tblPr>
      <w:tblGrid>
        <w:gridCol w:w="567"/>
        <w:gridCol w:w="3402"/>
        <w:gridCol w:w="4394"/>
      </w:tblGrid>
      <w:tr w:rsidR="008B4402" w:rsidRPr="00C9343F" w14:paraId="2E3E31A0" w14:textId="77777777" w:rsidTr="00927540">
        <w:trPr>
          <w:cantSplit/>
        </w:trPr>
        <w:tc>
          <w:tcPr>
            <w:tcW w:w="567" w:type="dxa"/>
            <w:tcBorders>
              <w:top w:val="single" w:sz="6" w:space="0" w:color="auto"/>
              <w:left w:val="single" w:sz="6" w:space="0" w:color="auto"/>
              <w:bottom w:val="single" w:sz="6" w:space="0" w:color="auto"/>
              <w:right w:val="single" w:sz="6" w:space="0" w:color="auto"/>
            </w:tcBorders>
          </w:tcPr>
          <w:p w14:paraId="0032F071" w14:textId="77777777" w:rsidR="008B4402" w:rsidRPr="00C9343F" w:rsidRDefault="008B4402" w:rsidP="00F66D98">
            <w:pPr>
              <w:pStyle w:val="TableHeaderArial"/>
            </w:pPr>
            <w:r w:rsidRPr="00C9343F">
              <w:t>Item</w:t>
            </w:r>
          </w:p>
        </w:tc>
        <w:tc>
          <w:tcPr>
            <w:tcW w:w="3402" w:type="dxa"/>
            <w:tcBorders>
              <w:top w:val="single" w:sz="6" w:space="0" w:color="auto"/>
              <w:left w:val="single" w:sz="6" w:space="0" w:color="auto"/>
              <w:bottom w:val="single" w:sz="6" w:space="0" w:color="auto"/>
              <w:right w:val="single" w:sz="6" w:space="0" w:color="auto"/>
            </w:tcBorders>
          </w:tcPr>
          <w:p w14:paraId="3D3EE20A" w14:textId="77777777" w:rsidR="008B4402" w:rsidRPr="00C9343F" w:rsidRDefault="008B4402" w:rsidP="00F66D98">
            <w:pPr>
              <w:pStyle w:val="TableHeaderArial"/>
            </w:pPr>
            <w:r w:rsidRPr="00C9343F">
              <w:t>If the member…</w:t>
            </w:r>
          </w:p>
        </w:tc>
        <w:tc>
          <w:tcPr>
            <w:tcW w:w="4394" w:type="dxa"/>
            <w:tcBorders>
              <w:top w:val="single" w:sz="6" w:space="0" w:color="auto"/>
              <w:left w:val="single" w:sz="6" w:space="0" w:color="auto"/>
              <w:bottom w:val="single" w:sz="6" w:space="0" w:color="auto"/>
              <w:right w:val="single" w:sz="6" w:space="0" w:color="auto"/>
            </w:tcBorders>
          </w:tcPr>
          <w:p w14:paraId="30725BF2" w14:textId="77777777" w:rsidR="008B4402" w:rsidRPr="00C9343F" w:rsidRDefault="008B4402" w:rsidP="00F66D98">
            <w:pPr>
              <w:pStyle w:val="TableHeaderArial"/>
            </w:pPr>
            <w:r w:rsidRPr="00C9343F">
              <w:t>then she must be absent…</w:t>
            </w:r>
          </w:p>
        </w:tc>
      </w:tr>
      <w:tr w:rsidR="008B4402" w:rsidRPr="00C9343F" w14:paraId="23EE1C9A" w14:textId="77777777" w:rsidTr="00927540">
        <w:trPr>
          <w:cantSplit/>
        </w:trPr>
        <w:tc>
          <w:tcPr>
            <w:tcW w:w="567" w:type="dxa"/>
            <w:tcBorders>
              <w:top w:val="single" w:sz="6" w:space="0" w:color="auto"/>
              <w:left w:val="single" w:sz="6" w:space="0" w:color="auto"/>
              <w:bottom w:val="single" w:sz="6" w:space="0" w:color="auto"/>
              <w:right w:val="single" w:sz="6" w:space="0" w:color="auto"/>
            </w:tcBorders>
          </w:tcPr>
          <w:p w14:paraId="23029162" w14:textId="77777777" w:rsidR="008B4402" w:rsidRPr="00C9343F" w:rsidRDefault="008B4402" w:rsidP="00F66D98">
            <w:pPr>
              <w:pStyle w:val="TableTextArial-left"/>
              <w:jc w:val="center"/>
            </w:pPr>
            <w:r w:rsidRPr="00C9343F">
              <w:t>1.</w:t>
            </w:r>
          </w:p>
        </w:tc>
        <w:tc>
          <w:tcPr>
            <w:tcW w:w="3402" w:type="dxa"/>
            <w:tcBorders>
              <w:top w:val="single" w:sz="6" w:space="0" w:color="auto"/>
              <w:left w:val="single" w:sz="6" w:space="0" w:color="auto"/>
              <w:bottom w:val="single" w:sz="6" w:space="0" w:color="auto"/>
              <w:right w:val="single" w:sz="6" w:space="0" w:color="auto"/>
            </w:tcBorders>
          </w:tcPr>
          <w:p w14:paraId="3490104E" w14:textId="77777777" w:rsidR="008B4402" w:rsidRPr="00C9343F" w:rsidRDefault="008B4402" w:rsidP="00F66D98">
            <w:pPr>
              <w:pStyle w:val="TableTextArial-left"/>
            </w:pPr>
            <w:r w:rsidRPr="00C9343F">
              <w:t>has a birth or termination earlier than six weeks before the expected date of the birth</w:t>
            </w:r>
          </w:p>
        </w:tc>
        <w:tc>
          <w:tcPr>
            <w:tcW w:w="4394" w:type="dxa"/>
            <w:tcBorders>
              <w:top w:val="single" w:sz="6" w:space="0" w:color="auto"/>
              <w:left w:val="single" w:sz="6" w:space="0" w:color="auto"/>
              <w:bottom w:val="single" w:sz="6" w:space="0" w:color="auto"/>
              <w:right w:val="single" w:sz="6" w:space="0" w:color="auto"/>
            </w:tcBorders>
          </w:tcPr>
          <w:p w14:paraId="248F2E40" w14:textId="55519E04" w:rsidR="008B4402" w:rsidRPr="00C9343F" w:rsidRDefault="008B4402" w:rsidP="00F66D98">
            <w:pPr>
              <w:pStyle w:val="TableTextArial-left"/>
            </w:pPr>
            <w:r w:rsidRPr="00C9343F">
              <w:t>for six weeks starting on the date of the birth or termination.</w:t>
            </w:r>
          </w:p>
        </w:tc>
      </w:tr>
      <w:tr w:rsidR="008B4402" w:rsidRPr="00C9343F" w14:paraId="57F9AE8B" w14:textId="77777777" w:rsidTr="00927540">
        <w:trPr>
          <w:cantSplit/>
        </w:trPr>
        <w:tc>
          <w:tcPr>
            <w:tcW w:w="567" w:type="dxa"/>
            <w:tcBorders>
              <w:top w:val="single" w:sz="6" w:space="0" w:color="auto"/>
              <w:left w:val="single" w:sz="6" w:space="0" w:color="auto"/>
              <w:bottom w:val="single" w:sz="6" w:space="0" w:color="auto"/>
              <w:right w:val="single" w:sz="6" w:space="0" w:color="auto"/>
            </w:tcBorders>
          </w:tcPr>
          <w:p w14:paraId="00CC0123" w14:textId="77777777" w:rsidR="008B4402" w:rsidRPr="00C9343F" w:rsidRDefault="008B4402" w:rsidP="00F66D98">
            <w:pPr>
              <w:pStyle w:val="TableTextArial-left"/>
              <w:jc w:val="center"/>
            </w:pPr>
            <w:r w:rsidRPr="00C9343F">
              <w:t>2.</w:t>
            </w:r>
          </w:p>
        </w:tc>
        <w:tc>
          <w:tcPr>
            <w:tcW w:w="3402" w:type="dxa"/>
            <w:tcBorders>
              <w:top w:val="single" w:sz="6" w:space="0" w:color="auto"/>
              <w:left w:val="single" w:sz="6" w:space="0" w:color="auto"/>
              <w:bottom w:val="single" w:sz="6" w:space="0" w:color="auto"/>
              <w:right w:val="single" w:sz="6" w:space="0" w:color="auto"/>
            </w:tcBorders>
          </w:tcPr>
          <w:p w14:paraId="2D54503E" w14:textId="77777777" w:rsidR="008B4402" w:rsidRPr="00C9343F" w:rsidRDefault="008B4402" w:rsidP="00F66D98">
            <w:pPr>
              <w:pStyle w:val="TableTextArial-left"/>
            </w:pPr>
            <w:r w:rsidRPr="00C9343F">
              <w:t>is still pregnant six weeks before the expected date of the birth</w:t>
            </w:r>
          </w:p>
        </w:tc>
        <w:tc>
          <w:tcPr>
            <w:tcW w:w="4394" w:type="dxa"/>
            <w:tcBorders>
              <w:top w:val="single" w:sz="6" w:space="0" w:color="auto"/>
              <w:left w:val="single" w:sz="6" w:space="0" w:color="auto"/>
              <w:bottom w:val="single" w:sz="6" w:space="0" w:color="auto"/>
              <w:right w:val="single" w:sz="6" w:space="0" w:color="auto"/>
            </w:tcBorders>
          </w:tcPr>
          <w:p w14:paraId="16971AAB" w14:textId="77777777" w:rsidR="008B4402" w:rsidRPr="00C9343F" w:rsidRDefault="008B4402" w:rsidP="00F66D98">
            <w:pPr>
              <w:pStyle w:val="TableTextNumbered"/>
              <w:tabs>
                <w:tab w:val="clear" w:pos="284"/>
              </w:tabs>
              <w:ind w:left="0" w:firstLine="0"/>
            </w:pPr>
            <w:r w:rsidRPr="00C9343F">
              <w:rPr>
                <w:b/>
              </w:rPr>
              <w:t>from</w:t>
            </w:r>
            <w:r w:rsidRPr="00C9343F">
              <w:t xml:space="preserve"> six weeks before the expected date of the birth,</w:t>
            </w:r>
          </w:p>
          <w:p w14:paraId="3DE6BD51" w14:textId="77777777" w:rsidR="008B4402" w:rsidRPr="00C9343F" w:rsidRDefault="008B4402" w:rsidP="00F66D98">
            <w:pPr>
              <w:pStyle w:val="TableTextNumbered"/>
              <w:tabs>
                <w:tab w:val="clear" w:pos="284"/>
              </w:tabs>
              <w:ind w:left="0" w:firstLine="0"/>
            </w:pPr>
            <w:r w:rsidRPr="00C9343F">
              <w:rPr>
                <w:b/>
              </w:rPr>
              <w:t>until</w:t>
            </w:r>
            <w:r w:rsidRPr="00C9343F">
              <w:t xml:space="preserve"> six weeks after the actual date of the birth or termination.</w:t>
            </w:r>
          </w:p>
        </w:tc>
      </w:tr>
      <w:tr w:rsidR="008B4402" w:rsidRPr="00C9343F" w14:paraId="0E8B0F64" w14:textId="77777777" w:rsidTr="00927540">
        <w:trPr>
          <w:cantSplit/>
        </w:trPr>
        <w:tc>
          <w:tcPr>
            <w:tcW w:w="567" w:type="dxa"/>
            <w:tcBorders>
              <w:top w:val="single" w:sz="6" w:space="0" w:color="auto"/>
              <w:left w:val="single" w:sz="6" w:space="0" w:color="auto"/>
              <w:bottom w:val="single" w:sz="6" w:space="0" w:color="auto"/>
              <w:right w:val="single" w:sz="6" w:space="0" w:color="auto"/>
            </w:tcBorders>
          </w:tcPr>
          <w:p w14:paraId="20A9F20D" w14:textId="77777777" w:rsidR="008B4402" w:rsidRPr="00C9343F" w:rsidRDefault="008B4402" w:rsidP="00F66D98">
            <w:pPr>
              <w:pStyle w:val="TableTextArial-left"/>
              <w:jc w:val="center"/>
            </w:pPr>
            <w:r w:rsidRPr="00C9343F">
              <w:t>3.</w:t>
            </w:r>
          </w:p>
        </w:tc>
        <w:tc>
          <w:tcPr>
            <w:tcW w:w="3402" w:type="dxa"/>
            <w:tcBorders>
              <w:top w:val="single" w:sz="6" w:space="0" w:color="auto"/>
              <w:left w:val="single" w:sz="6" w:space="0" w:color="auto"/>
              <w:bottom w:val="single" w:sz="6" w:space="0" w:color="auto"/>
              <w:right w:val="single" w:sz="6" w:space="0" w:color="auto"/>
            </w:tcBorders>
          </w:tcPr>
          <w:p w14:paraId="32B79140" w14:textId="66B5CA39" w:rsidR="008B4402" w:rsidRPr="00C9343F" w:rsidRDefault="008B4402" w:rsidP="00F66D98">
            <w:pPr>
              <w:pStyle w:val="TableTextArial-left"/>
            </w:pPr>
            <w:r w:rsidRPr="00C9343F">
              <w:t>meets all of these conditions</w:t>
            </w:r>
            <w:r w:rsidR="00D94006" w:rsidRPr="00C9343F">
              <w:t>    </w:t>
            </w:r>
          </w:p>
          <w:p w14:paraId="474C0463" w14:textId="77777777" w:rsidR="008B4402" w:rsidRPr="00C9343F" w:rsidRDefault="008B4402" w:rsidP="00F66D98">
            <w:pPr>
              <w:pStyle w:val="TableTextArial-left"/>
            </w:pPr>
            <w:r w:rsidRPr="00C9343F">
              <w:t>a. The member is still pregnant six weeks before the expected date of the birth.</w:t>
            </w:r>
          </w:p>
          <w:p w14:paraId="4A513663" w14:textId="77777777" w:rsidR="008B4402" w:rsidRPr="00C9343F" w:rsidRDefault="008B4402" w:rsidP="00F66D98">
            <w:pPr>
              <w:pStyle w:val="TableTextArial-left"/>
            </w:pPr>
            <w:r w:rsidRPr="00C9343F">
              <w:t xml:space="preserve">b. The member is given permission by the CDF to continue to perform duty (see section 5.6.26). </w:t>
            </w:r>
          </w:p>
          <w:p w14:paraId="28A04770" w14:textId="77777777" w:rsidR="008B4402" w:rsidRPr="00C9343F" w:rsidRDefault="008B4402" w:rsidP="00F66D98">
            <w:pPr>
              <w:pStyle w:val="TableTextArial-left"/>
            </w:pPr>
            <w:r w:rsidRPr="00C9343F">
              <w:t xml:space="preserve">c. The member </w:t>
            </w:r>
            <w:r w:rsidRPr="00C9343F">
              <w:rPr>
                <w:b/>
              </w:rPr>
              <w:t xml:space="preserve">is able </w:t>
            </w:r>
            <w:r w:rsidRPr="00C9343F">
              <w:t>to continue working until the date approved by the CDF.</w:t>
            </w:r>
          </w:p>
        </w:tc>
        <w:tc>
          <w:tcPr>
            <w:tcW w:w="4394" w:type="dxa"/>
            <w:tcBorders>
              <w:top w:val="single" w:sz="6" w:space="0" w:color="auto"/>
              <w:left w:val="single" w:sz="6" w:space="0" w:color="auto"/>
              <w:bottom w:val="single" w:sz="6" w:space="0" w:color="auto"/>
              <w:right w:val="single" w:sz="6" w:space="0" w:color="auto"/>
            </w:tcBorders>
          </w:tcPr>
          <w:p w14:paraId="27E15481" w14:textId="77777777" w:rsidR="008B4402" w:rsidRPr="00C9343F" w:rsidRDefault="008B4402" w:rsidP="00F66D98">
            <w:pPr>
              <w:pStyle w:val="TableTextNumbered"/>
              <w:tabs>
                <w:tab w:val="clear" w:pos="284"/>
              </w:tabs>
              <w:ind w:left="0" w:firstLine="0"/>
            </w:pPr>
            <w:r w:rsidRPr="00C9343F">
              <w:rPr>
                <w:b/>
              </w:rPr>
              <w:t>from</w:t>
            </w:r>
            <w:r w:rsidRPr="00C9343F">
              <w:t xml:space="preserve"> the end of the day immediately after the day she has  permission to work to,</w:t>
            </w:r>
          </w:p>
          <w:p w14:paraId="0A7390EA" w14:textId="77777777" w:rsidR="008B4402" w:rsidRPr="00C9343F" w:rsidRDefault="008B4402" w:rsidP="00F66D98">
            <w:pPr>
              <w:pStyle w:val="TableTextNumbered"/>
              <w:tabs>
                <w:tab w:val="clear" w:pos="284"/>
                <w:tab w:val="left" w:pos="0"/>
              </w:tabs>
              <w:ind w:left="0" w:firstLine="0"/>
            </w:pPr>
            <w:r w:rsidRPr="00C9343F">
              <w:rPr>
                <w:b/>
              </w:rPr>
              <w:t>until</w:t>
            </w:r>
            <w:r w:rsidRPr="00C9343F">
              <w:t xml:space="preserve"> six weeks after the date of the birth or termination.</w:t>
            </w:r>
          </w:p>
        </w:tc>
      </w:tr>
      <w:tr w:rsidR="008B4402" w:rsidRPr="00C9343F" w14:paraId="5CA7DAE0" w14:textId="77777777" w:rsidTr="00927540">
        <w:trPr>
          <w:cantSplit/>
        </w:trPr>
        <w:tc>
          <w:tcPr>
            <w:tcW w:w="567" w:type="dxa"/>
            <w:tcBorders>
              <w:top w:val="single" w:sz="6" w:space="0" w:color="auto"/>
              <w:left w:val="single" w:sz="6" w:space="0" w:color="auto"/>
              <w:bottom w:val="single" w:sz="6" w:space="0" w:color="auto"/>
              <w:right w:val="single" w:sz="6" w:space="0" w:color="auto"/>
            </w:tcBorders>
          </w:tcPr>
          <w:p w14:paraId="5AF5BDDA" w14:textId="77777777" w:rsidR="008B4402" w:rsidRPr="00C9343F" w:rsidRDefault="008B4402" w:rsidP="00F66D98">
            <w:pPr>
              <w:pStyle w:val="TableTextArial-left"/>
              <w:jc w:val="center"/>
            </w:pPr>
            <w:r w:rsidRPr="00C9343F">
              <w:t>4.</w:t>
            </w:r>
          </w:p>
        </w:tc>
        <w:tc>
          <w:tcPr>
            <w:tcW w:w="3402" w:type="dxa"/>
            <w:tcBorders>
              <w:top w:val="single" w:sz="6" w:space="0" w:color="auto"/>
              <w:left w:val="single" w:sz="6" w:space="0" w:color="auto"/>
              <w:bottom w:val="single" w:sz="6" w:space="0" w:color="auto"/>
              <w:right w:val="single" w:sz="6" w:space="0" w:color="auto"/>
            </w:tcBorders>
          </w:tcPr>
          <w:p w14:paraId="208130CF" w14:textId="32A4D79D" w:rsidR="008B4402" w:rsidRPr="00C9343F" w:rsidRDefault="008B4402" w:rsidP="00F66D98">
            <w:pPr>
              <w:pStyle w:val="TableTextArial-left"/>
            </w:pPr>
            <w:r w:rsidRPr="00C9343F">
              <w:t>meets all of these conditions</w:t>
            </w:r>
            <w:r w:rsidR="00D94006" w:rsidRPr="00C9343F">
              <w:t>    </w:t>
            </w:r>
          </w:p>
          <w:p w14:paraId="173A3C29" w14:textId="77777777" w:rsidR="008B4402" w:rsidRPr="00C9343F" w:rsidRDefault="008B4402" w:rsidP="00F66D98">
            <w:pPr>
              <w:pStyle w:val="TableTextArial-left"/>
            </w:pPr>
            <w:r w:rsidRPr="00C9343F">
              <w:t>a. The member is still pregnant six weeks before the expected date of the birth.</w:t>
            </w:r>
          </w:p>
          <w:p w14:paraId="3022A4E5" w14:textId="77777777" w:rsidR="008B4402" w:rsidRPr="00C9343F" w:rsidRDefault="008B4402" w:rsidP="00F66D98">
            <w:pPr>
              <w:pStyle w:val="TableTextArial-left"/>
            </w:pPr>
            <w:r w:rsidRPr="00C9343F">
              <w:t>b. The member is given permission by the CDF to continue to perform duty (see section 5.6.26).</w:t>
            </w:r>
          </w:p>
          <w:p w14:paraId="3C1CC147" w14:textId="77777777" w:rsidR="008B4402" w:rsidRPr="00C9343F" w:rsidRDefault="008B4402" w:rsidP="00F66D98">
            <w:pPr>
              <w:pStyle w:val="TableTextArial-left"/>
            </w:pPr>
            <w:r w:rsidRPr="00C9343F">
              <w:t xml:space="preserve">c. The member </w:t>
            </w:r>
            <w:r w:rsidRPr="00C9343F">
              <w:rPr>
                <w:b/>
              </w:rPr>
              <w:t xml:space="preserve">is not able </w:t>
            </w:r>
            <w:r w:rsidRPr="00C9343F">
              <w:t>to continue working until the date approved by the CDF, because the birth or termination happens before that date.</w:t>
            </w:r>
          </w:p>
        </w:tc>
        <w:tc>
          <w:tcPr>
            <w:tcW w:w="4394" w:type="dxa"/>
            <w:tcBorders>
              <w:top w:val="single" w:sz="6" w:space="0" w:color="auto"/>
              <w:left w:val="single" w:sz="6" w:space="0" w:color="auto"/>
              <w:bottom w:val="single" w:sz="6" w:space="0" w:color="auto"/>
              <w:right w:val="single" w:sz="6" w:space="0" w:color="auto"/>
            </w:tcBorders>
          </w:tcPr>
          <w:p w14:paraId="362FA3B3" w14:textId="77777777" w:rsidR="008B4402" w:rsidRPr="00C9343F" w:rsidRDefault="008B4402" w:rsidP="00F66D98">
            <w:pPr>
              <w:pStyle w:val="TableTextNumbered"/>
              <w:tabs>
                <w:tab w:val="clear" w:pos="284"/>
              </w:tabs>
              <w:ind w:left="0" w:firstLine="0"/>
            </w:pPr>
            <w:r w:rsidRPr="00C9343F">
              <w:t>for six weeks starting on the date of the birth or termination.</w:t>
            </w:r>
          </w:p>
        </w:tc>
      </w:tr>
      <w:tr w:rsidR="008B4402" w:rsidRPr="00C9343F" w14:paraId="716EB4A8" w14:textId="77777777" w:rsidTr="00927540">
        <w:trPr>
          <w:cantSplit/>
        </w:trPr>
        <w:tc>
          <w:tcPr>
            <w:tcW w:w="567" w:type="dxa"/>
            <w:tcBorders>
              <w:top w:val="single" w:sz="6" w:space="0" w:color="auto"/>
              <w:left w:val="single" w:sz="6" w:space="0" w:color="auto"/>
              <w:bottom w:val="single" w:sz="6" w:space="0" w:color="auto"/>
              <w:right w:val="single" w:sz="6" w:space="0" w:color="auto"/>
            </w:tcBorders>
          </w:tcPr>
          <w:p w14:paraId="2E849CD7" w14:textId="77777777" w:rsidR="008B4402" w:rsidRPr="00C9343F" w:rsidRDefault="008B4402" w:rsidP="00F66D98">
            <w:pPr>
              <w:pStyle w:val="TableTextArial-left"/>
              <w:jc w:val="center"/>
            </w:pPr>
            <w:r w:rsidRPr="00C9343F">
              <w:t>5.</w:t>
            </w:r>
          </w:p>
        </w:tc>
        <w:tc>
          <w:tcPr>
            <w:tcW w:w="3402" w:type="dxa"/>
            <w:tcBorders>
              <w:top w:val="single" w:sz="6" w:space="0" w:color="auto"/>
              <w:left w:val="single" w:sz="6" w:space="0" w:color="auto"/>
              <w:bottom w:val="single" w:sz="6" w:space="0" w:color="auto"/>
              <w:right w:val="single" w:sz="6" w:space="0" w:color="auto"/>
            </w:tcBorders>
          </w:tcPr>
          <w:p w14:paraId="3081B94D" w14:textId="77777777" w:rsidR="008B4402" w:rsidRPr="00C9343F" w:rsidRDefault="008B4402" w:rsidP="00F66D98">
            <w:pPr>
              <w:pStyle w:val="TableTextArial-left"/>
            </w:pPr>
            <w:r w:rsidRPr="00C9343F">
              <w:t>is given permission by the CDF to return to duty early (see section 5.6.27)</w:t>
            </w:r>
          </w:p>
        </w:tc>
        <w:tc>
          <w:tcPr>
            <w:tcW w:w="4394" w:type="dxa"/>
            <w:tcBorders>
              <w:top w:val="single" w:sz="6" w:space="0" w:color="auto"/>
              <w:left w:val="single" w:sz="6" w:space="0" w:color="auto"/>
              <w:bottom w:val="single" w:sz="6" w:space="0" w:color="auto"/>
              <w:right w:val="single" w:sz="6" w:space="0" w:color="auto"/>
            </w:tcBorders>
          </w:tcPr>
          <w:p w14:paraId="7BAE869A" w14:textId="77777777" w:rsidR="008B4402" w:rsidRPr="00C9343F" w:rsidRDefault="008B4402" w:rsidP="00F66D98">
            <w:pPr>
              <w:pStyle w:val="TableTextArial-left"/>
            </w:pPr>
            <w:r w:rsidRPr="00C9343F">
              <w:t>for the period up to the end of the day she has permission to return to duty.</w:t>
            </w:r>
          </w:p>
        </w:tc>
      </w:tr>
    </w:tbl>
    <w:p w14:paraId="3F1594D5" w14:textId="29F4B224" w:rsidR="008B4402" w:rsidRPr="00C9343F" w:rsidRDefault="008B4402" w:rsidP="00F66D98">
      <w:pPr>
        <w:pStyle w:val="Heading5"/>
      </w:pPr>
      <w:bookmarkStart w:id="1700" w:name="_Toc105054079"/>
      <w:bookmarkStart w:id="1701" w:name="bk40437PM536Membersfitnessfordutybefore"/>
      <w:bookmarkStart w:id="1702" w:name="bk144615546Membersfitnessfordutybeforec"/>
      <w:bookmarkStart w:id="1703" w:name="bk115342546Membersfitnessfordutybeforec"/>
      <w:bookmarkStart w:id="1704" w:name="bk154953546Membersfitnessfordutybeforec"/>
      <w:bookmarkStart w:id="1705" w:name="bk160240546Membersfitnessfordutybeforec"/>
      <w:bookmarkStart w:id="1706" w:name="bk113131AM546Fitnessfordutybeforecompul"/>
      <w:bookmarkStart w:id="1707" w:name="bk91724PM548Fitnessfordutybeforecompuls"/>
      <w:bookmarkStart w:id="1708" w:name="bk111505549Fitnessfordutyandtherequired"/>
      <w:bookmarkStart w:id="1709" w:name="bk1344475411Fitnessfordutyandtherequire"/>
      <w:bookmarkStart w:id="1710" w:name="bk1345075411Fitnessfordutyandtherequire"/>
      <w:bookmarkStart w:id="1711" w:name="bk1439115424Fitnessfordutyandtherequire"/>
      <w:bookmarkStart w:id="1712" w:name="bk1515515425Fitnessfordutyandtherequire"/>
      <w:bookmarkStart w:id="1713" w:name="bk1516485425Fitnessfordutyandtherequire"/>
      <w:bookmarkStart w:id="1714" w:name="bk1156295425Fitnessfordutyandtherequire"/>
      <w:r w:rsidRPr="00C9343F">
        <w:t>5.6.25</w:t>
      </w:r>
      <w:r w:rsidR="00D94006" w:rsidRPr="00C9343F">
        <w:t>    </w:t>
      </w:r>
      <w:r w:rsidRPr="00C9343F">
        <w:t>Fitness for duty and the required absence</w:t>
      </w:r>
      <w:bookmarkEnd w:id="1700"/>
    </w:p>
    <w:tbl>
      <w:tblPr>
        <w:tblW w:w="0" w:type="auto"/>
        <w:tblInd w:w="113" w:type="dxa"/>
        <w:tblLayout w:type="fixed"/>
        <w:tblLook w:val="0000" w:firstRow="0" w:lastRow="0" w:firstColumn="0" w:lastColumn="0" w:noHBand="0" w:noVBand="0"/>
      </w:tblPr>
      <w:tblGrid>
        <w:gridCol w:w="992"/>
        <w:gridCol w:w="8363"/>
      </w:tblGrid>
      <w:tr w:rsidR="008B4402" w:rsidRPr="00C9343F" w14:paraId="7C196564" w14:textId="77777777" w:rsidTr="008B4402">
        <w:tc>
          <w:tcPr>
            <w:tcW w:w="992" w:type="dxa"/>
          </w:tcP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14:paraId="39FB7656" w14:textId="77777777" w:rsidR="008B4402" w:rsidRPr="00C9343F" w:rsidRDefault="008B4402" w:rsidP="00F66D98">
            <w:pPr>
              <w:pStyle w:val="BlockText-Plain"/>
              <w:jc w:val="center"/>
            </w:pPr>
            <w:r w:rsidRPr="00C9343F">
              <w:t>1.</w:t>
            </w:r>
          </w:p>
        </w:tc>
        <w:tc>
          <w:tcPr>
            <w:tcW w:w="8363" w:type="dxa"/>
          </w:tcPr>
          <w:p w14:paraId="7EF79B9A" w14:textId="77777777" w:rsidR="008B4402" w:rsidRPr="00C9343F" w:rsidRDefault="008B4402" w:rsidP="00F66D98">
            <w:pPr>
              <w:pStyle w:val="BlockText-Plain"/>
            </w:pPr>
            <w:r w:rsidRPr="00C9343F">
              <w:t xml:space="preserve">A member cannot be made to go on maternity leave earlier than six weeks before the expected date of birth. </w:t>
            </w:r>
          </w:p>
        </w:tc>
      </w:tr>
      <w:tr w:rsidR="008B4402" w:rsidRPr="00C9343F" w14:paraId="69AE8B42" w14:textId="77777777" w:rsidTr="008B4402">
        <w:tc>
          <w:tcPr>
            <w:tcW w:w="992" w:type="dxa"/>
          </w:tcPr>
          <w:p w14:paraId="7553B6AB" w14:textId="77777777" w:rsidR="008B4402" w:rsidRPr="00C9343F" w:rsidRDefault="008B4402" w:rsidP="00F66D98">
            <w:pPr>
              <w:pStyle w:val="BlockText-Plain"/>
              <w:jc w:val="center"/>
            </w:pPr>
            <w:r w:rsidRPr="00C9343F">
              <w:t>2.</w:t>
            </w:r>
          </w:p>
        </w:tc>
        <w:tc>
          <w:tcPr>
            <w:tcW w:w="8363" w:type="dxa"/>
          </w:tcPr>
          <w:p w14:paraId="2793BC61" w14:textId="77777777" w:rsidR="008B4402" w:rsidRPr="00C9343F" w:rsidRDefault="008B4402" w:rsidP="00F66D98">
            <w:pPr>
              <w:pStyle w:val="BlockText-Plain"/>
            </w:pPr>
            <w:r w:rsidRPr="00C9343F">
              <w:t>A medical officer or doctor may declare a member unfit for duty for reasons related to her pregnancy. In this case, the normal ADF fitness for duty arrangements must apply. They apply until the member is declared fit for duty or her required absence starts.</w:t>
            </w:r>
          </w:p>
        </w:tc>
      </w:tr>
      <w:tr w:rsidR="008B4402" w:rsidRPr="00C9343F" w14:paraId="745C8611" w14:textId="77777777" w:rsidTr="008B4402">
        <w:tc>
          <w:tcPr>
            <w:tcW w:w="992" w:type="dxa"/>
          </w:tcPr>
          <w:p w14:paraId="682161C1" w14:textId="77777777" w:rsidR="008B4402" w:rsidRPr="00C9343F" w:rsidRDefault="008B4402" w:rsidP="00F66D98">
            <w:pPr>
              <w:pStyle w:val="BlockText-Plain"/>
              <w:jc w:val="center"/>
            </w:pPr>
            <w:r w:rsidRPr="00C9343F">
              <w:t>3.</w:t>
            </w:r>
          </w:p>
        </w:tc>
        <w:tc>
          <w:tcPr>
            <w:tcW w:w="8363" w:type="dxa"/>
          </w:tcPr>
          <w:p w14:paraId="63B00FD7" w14:textId="77777777" w:rsidR="008B4402" w:rsidRPr="00C9343F" w:rsidRDefault="008B4402" w:rsidP="00F66D98">
            <w:pPr>
              <w:pStyle w:val="BlockText-Plain"/>
            </w:pPr>
            <w:r w:rsidRPr="00C9343F">
              <w:t xml:space="preserve">The member may be considered fit for other duties. </w:t>
            </w:r>
          </w:p>
        </w:tc>
      </w:tr>
      <w:tr w:rsidR="008B4402" w:rsidRPr="00C9343F" w14:paraId="00CA773E" w14:textId="77777777" w:rsidTr="008B4402">
        <w:tc>
          <w:tcPr>
            <w:tcW w:w="992" w:type="dxa"/>
          </w:tcPr>
          <w:p w14:paraId="1C9027A6" w14:textId="77777777" w:rsidR="008B4402" w:rsidRPr="00C9343F" w:rsidRDefault="008B4402" w:rsidP="00F66D98">
            <w:pPr>
              <w:pStyle w:val="BlockText-Plain"/>
              <w:jc w:val="center"/>
            </w:pPr>
            <w:bookmarkStart w:id="1715" w:name="bk1115055410Continuingtoperformdutyduri"/>
            <w:bookmarkStart w:id="1716" w:name="bk1344475412Continuingtoperformdutyduri"/>
            <w:bookmarkStart w:id="1717" w:name="bk1345075412Continuingtoperformdutyduri"/>
            <w:bookmarkStart w:id="1718" w:name="bk144615547Permissiontocontinuetoperfor"/>
            <w:bookmarkStart w:id="1719" w:name="bk115342547Permissiontocontinuetoperfor"/>
            <w:bookmarkStart w:id="1720" w:name="bk154953547Permissiontocontinuetoperfor"/>
            <w:bookmarkStart w:id="1721" w:name="bk160240547Permissiontocontinuetoperfor"/>
            <w:bookmarkStart w:id="1722" w:name="bk113131AM547Continuingtoperformduty"/>
            <w:bookmarkStart w:id="1723" w:name="bk91724PM549Continuingtoperformduty"/>
            <w:r w:rsidRPr="00C9343F">
              <w:t>4.</w:t>
            </w:r>
          </w:p>
        </w:tc>
        <w:tc>
          <w:tcPr>
            <w:tcW w:w="8363" w:type="dxa"/>
          </w:tcPr>
          <w:p w14:paraId="614DCD51" w14:textId="77777777" w:rsidR="008B4402" w:rsidRPr="00C9343F" w:rsidRDefault="008B4402" w:rsidP="00F66D98">
            <w:pPr>
              <w:pStyle w:val="BlockText-Plain"/>
              <w:rPr>
                <w:b/>
              </w:rPr>
            </w:pPr>
            <w:r w:rsidRPr="00C9343F">
              <w:t>One of the purposes of maternity leave is to recognise that a member may not be fit for duty because of her pregnancy. If a member is placed on convalescence at the same time as this Part provides for maternity leave, they should happen at the same time.</w:t>
            </w:r>
          </w:p>
        </w:tc>
      </w:tr>
    </w:tbl>
    <w:p w14:paraId="724D3EB1" w14:textId="60220D9D" w:rsidR="008B4402" w:rsidRPr="00C9343F" w:rsidRDefault="008B4402" w:rsidP="00F66D98">
      <w:pPr>
        <w:pStyle w:val="Heading5"/>
      </w:pPr>
      <w:bookmarkStart w:id="1724" w:name="_Toc105054080"/>
      <w:bookmarkStart w:id="1725" w:name="bk1439115425Continuingtoperformdutyduri"/>
      <w:bookmarkStart w:id="1726" w:name="bk1515515426Continuingtoperformdutyduri"/>
      <w:bookmarkStart w:id="1727" w:name="bk1516485426Continuingtoperformdutyduri"/>
      <w:bookmarkStart w:id="1728" w:name="bk1156295426Continuingtoperformdutyduri"/>
      <w:r w:rsidRPr="00C9343F">
        <w:t>5.6.26</w:t>
      </w:r>
      <w:r w:rsidR="00D94006" w:rsidRPr="00C9343F">
        <w:t>    </w:t>
      </w:r>
      <w:r w:rsidRPr="00C9343F">
        <w:t>Continuing to perform duty during the required absence</w:t>
      </w:r>
      <w:bookmarkEnd w:id="1724"/>
    </w:p>
    <w:tbl>
      <w:tblPr>
        <w:tblW w:w="9359" w:type="dxa"/>
        <w:tblInd w:w="113" w:type="dxa"/>
        <w:tblLayout w:type="fixed"/>
        <w:tblLook w:val="0000" w:firstRow="0" w:lastRow="0" w:firstColumn="0" w:lastColumn="0" w:noHBand="0" w:noVBand="0"/>
      </w:tblPr>
      <w:tblGrid>
        <w:gridCol w:w="992"/>
        <w:gridCol w:w="567"/>
        <w:gridCol w:w="567"/>
        <w:gridCol w:w="7233"/>
      </w:tblGrid>
      <w:tr w:rsidR="008B4402" w:rsidRPr="00C9343F" w14:paraId="5D99D418" w14:textId="77777777" w:rsidTr="00927540">
        <w:tc>
          <w:tcPr>
            <w:tcW w:w="992" w:type="dxa"/>
          </w:tcPr>
          <w:bookmarkEnd w:id="1715"/>
          <w:bookmarkEnd w:id="1716"/>
          <w:bookmarkEnd w:id="1717"/>
          <w:bookmarkEnd w:id="1725"/>
          <w:bookmarkEnd w:id="1726"/>
          <w:bookmarkEnd w:id="1727"/>
          <w:bookmarkEnd w:id="1728"/>
          <w:p w14:paraId="186AFCD9" w14:textId="77777777" w:rsidR="008B4402" w:rsidRPr="00C9343F" w:rsidRDefault="008B4402" w:rsidP="00F66D98">
            <w:pPr>
              <w:pStyle w:val="BlockText-Plain"/>
              <w:jc w:val="center"/>
            </w:pPr>
            <w:r w:rsidRPr="00C9343F">
              <w:t>1.</w:t>
            </w:r>
          </w:p>
        </w:tc>
        <w:tc>
          <w:tcPr>
            <w:tcW w:w="8367" w:type="dxa"/>
            <w:gridSpan w:val="3"/>
          </w:tcPr>
          <w:p w14:paraId="5B72C91A" w14:textId="77777777" w:rsidR="008B4402" w:rsidRPr="00C9343F" w:rsidRDefault="008B4402" w:rsidP="00F66D98">
            <w:pPr>
              <w:pStyle w:val="BlockText-Plain"/>
            </w:pPr>
            <w:r w:rsidRPr="00C9343F">
              <w:t>A member may apply to perform duty during the period that would otherwise be her required absence.</w:t>
            </w:r>
          </w:p>
        </w:tc>
      </w:tr>
      <w:tr w:rsidR="008B4402" w:rsidRPr="00C9343F" w14:paraId="65087027" w14:textId="77777777" w:rsidTr="00927540">
        <w:trPr>
          <w:cantSplit/>
        </w:trPr>
        <w:tc>
          <w:tcPr>
            <w:tcW w:w="992" w:type="dxa"/>
          </w:tcPr>
          <w:p w14:paraId="716A7AE7" w14:textId="77777777" w:rsidR="008B4402" w:rsidRPr="00C9343F" w:rsidRDefault="008B4402" w:rsidP="00F66D98">
            <w:pPr>
              <w:pStyle w:val="BlockText-Plain"/>
            </w:pPr>
          </w:p>
        </w:tc>
        <w:tc>
          <w:tcPr>
            <w:tcW w:w="567" w:type="dxa"/>
          </w:tcPr>
          <w:p w14:paraId="1CF9D61F" w14:textId="77777777" w:rsidR="008B4402" w:rsidRPr="00C9343F" w:rsidRDefault="008B4402" w:rsidP="008D1B5D">
            <w:pPr>
              <w:pStyle w:val="BlockText-Plain"/>
              <w:jc w:val="center"/>
            </w:pPr>
            <w:r w:rsidRPr="00C9343F">
              <w:t>a.</w:t>
            </w:r>
          </w:p>
        </w:tc>
        <w:tc>
          <w:tcPr>
            <w:tcW w:w="7800" w:type="dxa"/>
            <w:gridSpan w:val="2"/>
          </w:tcPr>
          <w:p w14:paraId="379833CF" w14:textId="77777777" w:rsidR="008B4402" w:rsidRPr="00C9343F" w:rsidRDefault="008B4402" w:rsidP="00F66D98">
            <w:pPr>
              <w:pStyle w:val="BlockText-Plain"/>
            </w:pPr>
            <w:r w:rsidRPr="00C9343F">
              <w:t>The member must provide a doctor's certificate that states that she will continue to be fit for duty until a nominated date.</w:t>
            </w:r>
          </w:p>
        </w:tc>
      </w:tr>
      <w:tr w:rsidR="008B4402" w:rsidRPr="00C9343F" w14:paraId="324F35AD" w14:textId="77777777" w:rsidTr="00927540">
        <w:trPr>
          <w:cantSplit/>
        </w:trPr>
        <w:tc>
          <w:tcPr>
            <w:tcW w:w="992" w:type="dxa"/>
          </w:tcPr>
          <w:p w14:paraId="0FC36DD9" w14:textId="77777777" w:rsidR="008B4402" w:rsidRPr="00C9343F" w:rsidRDefault="008B4402" w:rsidP="00F66D98">
            <w:pPr>
              <w:pStyle w:val="BlockText-Plain"/>
            </w:pPr>
          </w:p>
        </w:tc>
        <w:tc>
          <w:tcPr>
            <w:tcW w:w="567" w:type="dxa"/>
          </w:tcPr>
          <w:p w14:paraId="5759E3F7" w14:textId="77777777" w:rsidR="008B4402" w:rsidRPr="00C9343F" w:rsidRDefault="008B4402" w:rsidP="008D1B5D">
            <w:pPr>
              <w:pStyle w:val="BlockText-Plain"/>
              <w:jc w:val="center"/>
            </w:pPr>
            <w:r w:rsidRPr="00C9343F">
              <w:t>b.</w:t>
            </w:r>
          </w:p>
        </w:tc>
        <w:tc>
          <w:tcPr>
            <w:tcW w:w="7800" w:type="dxa"/>
            <w:gridSpan w:val="2"/>
          </w:tcPr>
          <w:p w14:paraId="2E8B552C" w14:textId="77777777" w:rsidR="008B4402" w:rsidRPr="00C9343F" w:rsidRDefault="008B4402" w:rsidP="00F66D98">
            <w:pPr>
              <w:pStyle w:val="BlockText-Plain"/>
            </w:pPr>
            <w:r w:rsidRPr="00C9343F">
              <w:t>The certificate must be provided at either of these times.</w:t>
            </w:r>
          </w:p>
        </w:tc>
      </w:tr>
      <w:tr w:rsidR="008B4402" w:rsidRPr="00C9343F" w14:paraId="16E28F6C" w14:textId="77777777" w:rsidTr="00927540">
        <w:trPr>
          <w:cantSplit/>
        </w:trPr>
        <w:tc>
          <w:tcPr>
            <w:tcW w:w="1559" w:type="dxa"/>
            <w:gridSpan w:val="2"/>
          </w:tcPr>
          <w:p w14:paraId="23CB0CA2" w14:textId="77777777" w:rsidR="008B4402" w:rsidRPr="00C9343F" w:rsidRDefault="008B4402" w:rsidP="00F66D98">
            <w:pPr>
              <w:pStyle w:val="BlockText-Plain"/>
            </w:pPr>
          </w:p>
        </w:tc>
        <w:tc>
          <w:tcPr>
            <w:tcW w:w="567" w:type="dxa"/>
          </w:tcPr>
          <w:p w14:paraId="3FB07413" w14:textId="77777777" w:rsidR="008B4402" w:rsidRPr="00C9343F" w:rsidRDefault="008B4402" w:rsidP="008D1B5D">
            <w:pPr>
              <w:pStyle w:val="BlockText-Plain"/>
            </w:pPr>
            <w:r w:rsidRPr="00C9343F">
              <w:t>i.</w:t>
            </w:r>
          </w:p>
        </w:tc>
        <w:tc>
          <w:tcPr>
            <w:tcW w:w="7233" w:type="dxa"/>
          </w:tcPr>
          <w:p w14:paraId="6F61D2D8" w14:textId="77777777" w:rsidR="008B4402" w:rsidRPr="00C9343F" w:rsidRDefault="008B4402" w:rsidP="00F66D98">
            <w:pPr>
              <w:pStyle w:val="BlockText-Plain"/>
            </w:pPr>
            <w:r w:rsidRPr="00C9343F">
              <w:t>At least six weeks before the expected date of birth.</w:t>
            </w:r>
          </w:p>
        </w:tc>
      </w:tr>
      <w:tr w:rsidR="008B4402" w:rsidRPr="00C9343F" w14:paraId="599A542C" w14:textId="77777777" w:rsidTr="00927540">
        <w:trPr>
          <w:cantSplit/>
        </w:trPr>
        <w:tc>
          <w:tcPr>
            <w:tcW w:w="1559" w:type="dxa"/>
            <w:gridSpan w:val="2"/>
          </w:tcPr>
          <w:p w14:paraId="0CA4EBE4" w14:textId="77777777" w:rsidR="008B4402" w:rsidRPr="00C9343F" w:rsidRDefault="008B4402" w:rsidP="00F66D98">
            <w:pPr>
              <w:pStyle w:val="BlockText-Plain"/>
            </w:pPr>
          </w:p>
        </w:tc>
        <w:tc>
          <w:tcPr>
            <w:tcW w:w="567" w:type="dxa"/>
          </w:tcPr>
          <w:p w14:paraId="2DFA5283" w14:textId="77777777" w:rsidR="008B4402" w:rsidRPr="00C9343F" w:rsidRDefault="008B4402" w:rsidP="008D1B5D">
            <w:pPr>
              <w:pStyle w:val="BlockText-Plain"/>
            </w:pPr>
            <w:r w:rsidRPr="00C9343F">
              <w:t>ii.</w:t>
            </w:r>
          </w:p>
        </w:tc>
        <w:tc>
          <w:tcPr>
            <w:tcW w:w="7233" w:type="dxa"/>
          </w:tcPr>
          <w:p w14:paraId="773C2668" w14:textId="77777777" w:rsidR="008B4402" w:rsidRPr="00C9343F" w:rsidRDefault="008B4402" w:rsidP="00F66D98">
            <w:pPr>
              <w:pStyle w:val="BlockText-Plain"/>
            </w:pPr>
            <w:r w:rsidRPr="00C9343F">
              <w:t>If she has previously been given permission under this section – on or before the day she already has permission to work to.</w:t>
            </w:r>
          </w:p>
        </w:tc>
      </w:tr>
      <w:bookmarkEnd w:id="1718"/>
      <w:bookmarkEnd w:id="1719"/>
      <w:bookmarkEnd w:id="1720"/>
      <w:bookmarkEnd w:id="1721"/>
      <w:bookmarkEnd w:id="1722"/>
      <w:bookmarkEnd w:id="1723"/>
      <w:tr w:rsidR="008B4402" w:rsidRPr="00C9343F" w14:paraId="54899E74" w14:textId="77777777" w:rsidTr="00927540">
        <w:tc>
          <w:tcPr>
            <w:tcW w:w="992" w:type="dxa"/>
          </w:tcPr>
          <w:p w14:paraId="4CD8D2CE" w14:textId="77777777" w:rsidR="008B4402" w:rsidRPr="00C9343F" w:rsidRDefault="008B4402" w:rsidP="00F66D98">
            <w:pPr>
              <w:pStyle w:val="BlockText-Plain"/>
              <w:jc w:val="center"/>
            </w:pPr>
            <w:r w:rsidRPr="00C9343F">
              <w:t>2.</w:t>
            </w:r>
          </w:p>
        </w:tc>
        <w:tc>
          <w:tcPr>
            <w:tcW w:w="8367" w:type="dxa"/>
            <w:gridSpan w:val="3"/>
          </w:tcPr>
          <w:p w14:paraId="2CF52B44" w14:textId="18D636F4" w:rsidR="008B4402" w:rsidRPr="00C9343F" w:rsidRDefault="008B4402" w:rsidP="00F66D98">
            <w:pPr>
              <w:pStyle w:val="BlockText-Plain"/>
            </w:pPr>
            <w:r w:rsidRPr="00C9343F">
              <w:t xml:space="preserve">The CDF may permit a member to continue to perform duty during what would have been her required absence. The permission must be in writing and state the day the permission ends. </w:t>
            </w:r>
          </w:p>
        </w:tc>
      </w:tr>
      <w:tr w:rsidR="008B4402" w:rsidRPr="00C9343F" w14:paraId="62C4C54E" w14:textId="77777777" w:rsidTr="00927540">
        <w:trPr>
          <w:cantSplit/>
        </w:trPr>
        <w:tc>
          <w:tcPr>
            <w:tcW w:w="992" w:type="dxa"/>
          </w:tcPr>
          <w:p w14:paraId="3E909E4F" w14:textId="77777777" w:rsidR="008B4402" w:rsidRPr="00C9343F" w:rsidRDefault="008B4402" w:rsidP="00F66D98">
            <w:pPr>
              <w:pStyle w:val="BlockText-Plain"/>
              <w:jc w:val="center"/>
            </w:pPr>
            <w:r w:rsidRPr="00C9343F">
              <w:t>3.</w:t>
            </w:r>
          </w:p>
        </w:tc>
        <w:tc>
          <w:tcPr>
            <w:tcW w:w="8367" w:type="dxa"/>
            <w:gridSpan w:val="3"/>
          </w:tcPr>
          <w:p w14:paraId="4D161231" w14:textId="77777777" w:rsidR="008B4402" w:rsidRPr="00C9343F" w:rsidRDefault="008B4402" w:rsidP="00F66D98">
            <w:pPr>
              <w:pStyle w:val="BlockText-Plain"/>
            </w:pPr>
            <w:r w:rsidRPr="00C9343F">
              <w:t>If the CDF considers it necessary, the CDF may require a supporting certificate by an ADF medical officer. It should state that the member will continue to be fit for duty until a nominated date.</w:t>
            </w:r>
          </w:p>
        </w:tc>
      </w:tr>
      <w:tr w:rsidR="008B4402" w:rsidRPr="00C9343F" w14:paraId="783D6FF5" w14:textId="77777777" w:rsidTr="00927540">
        <w:tc>
          <w:tcPr>
            <w:tcW w:w="992" w:type="dxa"/>
          </w:tcPr>
          <w:p w14:paraId="31D22391" w14:textId="77777777" w:rsidR="008B4402" w:rsidRPr="00C9343F" w:rsidRDefault="008B4402" w:rsidP="00F66D98">
            <w:pPr>
              <w:pStyle w:val="BlockText-Plain"/>
              <w:jc w:val="center"/>
            </w:pPr>
            <w:r w:rsidRPr="00C9343F">
              <w:t>4.</w:t>
            </w:r>
          </w:p>
        </w:tc>
        <w:tc>
          <w:tcPr>
            <w:tcW w:w="8367" w:type="dxa"/>
            <w:gridSpan w:val="3"/>
          </w:tcPr>
          <w:p w14:paraId="65AB5088" w14:textId="77777777" w:rsidR="008B4402" w:rsidRPr="00C9343F" w:rsidRDefault="008B4402" w:rsidP="00F66D98">
            <w:pPr>
              <w:pStyle w:val="BlockText-Plain"/>
            </w:pPr>
            <w:r w:rsidRPr="00C9343F">
              <w:t>A doctor may certify a member unfit for duty for reasons related to her pregnancy. The member may later produce a medical certificate stating that she is fit for duty until a nominated date. In this case, the CDF may consider that certificate under subsection 1.</w:t>
            </w:r>
          </w:p>
        </w:tc>
      </w:tr>
      <w:tr w:rsidR="008B4402" w:rsidRPr="00C9343F" w14:paraId="74F230DC" w14:textId="77777777" w:rsidTr="00927540">
        <w:tc>
          <w:tcPr>
            <w:tcW w:w="992" w:type="dxa"/>
          </w:tcPr>
          <w:p w14:paraId="12E15118" w14:textId="77777777" w:rsidR="008B4402" w:rsidRPr="00C9343F" w:rsidRDefault="008B4402" w:rsidP="00F66D98">
            <w:pPr>
              <w:pStyle w:val="BlockText-Plain"/>
              <w:jc w:val="center"/>
            </w:pPr>
            <w:r w:rsidRPr="00C9343F">
              <w:t>5.</w:t>
            </w:r>
          </w:p>
        </w:tc>
        <w:tc>
          <w:tcPr>
            <w:tcW w:w="8367" w:type="dxa"/>
            <w:gridSpan w:val="3"/>
          </w:tcPr>
          <w:p w14:paraId="68F0B239" w14:textId="77777777" w:rsidR="008B4402" w:rsidRPr="00C9343F" w:rsidRDefault="008B4402" w:rsidP="00F66D98">
            <w:pPr>
              <w:pStyle w:val="BlockText-Plain"/>
            </w:pPr>
            <w:r w:rsidRPr="00C9343F">
              <w:t>If the CDF has approved a member to continue to perform duty under subsection 2, the member may be granted other leave not related to her pregnancy during that period.</w:t>
            </w:r>
          </w:p>
        </w:tc>
      </w:tr>
    </w:tbl>
    <w:p w14:paraId="0A49674E" w14:textId="6C2A972E" w:rsidR="008B4402" w:rsidRPr="00C9343F" w:rsidRDefault="008B4402" w:rsidP="00F66D98">
      <w:pPr>
        <w:pStyle w:val="Heading5"/>
      </w:pPr>
      <w:bookmarkStart w:id="1729" w:name="_Toc105054081"/>
      <w:bookmarkStart w:id="1730" w:name="bk1115055412Resumingdutyduringtherequir"/>
      <w:bookmarkStart w:id="1731" w:name="bk1344475414Resumingdutyduringtherequir"/>
      <w:bookmarkStart w:id="1732" w:name="bk1345075414Resumingdutyduringtherequir"/>
      <w:bookmarkStart w:id="1733" w:name="bk1439115427Resumingdutyduringtherequir"/>
      <w:bookmarkStart w:id="1734" w:name="bk1515515427Resumingdutyduringtherequir"/>
      <w:bookmarkStart w:id="1735" w:name="bk1516485428Resumingdutyduringtherequir"/>
      <w:bookmarkStart w:id="1736" w:name="bk1156295428Resumingdutyduringtherequir"/>
      <w:bookmarkStart w:id="1737" w:name="bk144615548Permissiontoresumedutyearly"/>
      <w:bookmarkStart w:id="1738" w:name="bk115342548Permissiontoresumedutyearly"/>
      <w:bookmarkStart w:id="1739" w:name="bk154954548Permissiontoresumedutyearly"/>
      <w:bookmarkStart w:id="1740" w:name="bk160240548Permissiontoresumedutyearly"/>
      <w:bookmarkStart w:id="1741" w:name="bk113131AM548Resumingdutyearly"/>
      <w:bookmarkStart w:id="1742" w:name="bk91724PM5410Resumingdutyearly"/>
      <w:r w:rsidRPr="00C9343F">
        <w:t>5.6.27</w:t>
      </w:r>
      <w:r w:rsidR="00D94006" w:rsidRPr="00C9343F">
        <w:t>    </w:t>
      </w:r>
      <w:r w:rsidRPr="00C9343F">
        <w:t>Resuming duty during the required absence</w:t>
      </w:r>
      <w:bookmarkEnd w:id="1729"/>
    </w:p>
    <w:tbl>
      <w:tblPr>
        <w:tblW w:w="0" w:type="auto"/>
        <w:tblInd w:w="113" w:type="dxa"/>
        <w:tblLayout w:type="fixed"/>
        <w:tblLook w:val="0000" w:firstRow="0" w:lastRow="0" w:firstColumn="0" w:lastColumn="0" w:noHBand="0" w:noVBand="0"/>
      </w:tblPr>
      <w:tblGrid>
        <w:gridCol w:w="992"/>
        <w:gridCol w:w="8363"/>
      </w:tblGrid>
      <w:tr w:rsidR="008B4402" w:rsidRPr="00C9343F" w14:paraId="110DD1FF" w14:textId="77777777" w:rsidTr="008B4402">
        <w:tc>
          <w:tcPr>
            <w:tcW w:w="992" w:type="dxa"/>
          </w:tcPr>
          <w:bookmarkEnd w:id="1730"/>
          <w:bookmarkEnd w:id="1731"/>
          <w:bookmarkEnd w:id="1732"/>
          <w:bookmarkEnd w:id="1733"/>
          <w:bookmarkEnd w:id="1734"/>
          <w:bookmarkEnd w:id="1735"/>
          <w:bookmarkEnd w:id="1736"/>
          <w:p w14:paraId="3D0CC6B8" w14:textId="77777777" w:rsidR="008B4402" w:rsidRPr="00C9343F" w:rsidRDefault="008B4402" w:rsidP="00F66D98">
            <w:pPr>
              <w:pStyle w:val="BlockText-Plain"/>
              <w:jc w:val="center"/>
            </w:pPr>
            <w:r w:rsidRPr="00C9343F">
              <w:t>1.</w:t>
            </w:r>
          </w:p>
        </w:tc>
        <w:tc>
          <w:tcPr>
            <w:tcW w:w="8363" w:type="dxa"/>
          </w:tcPr>
          <w:p w14:paraId="2E306134" w14:textId="77777777" w:rsidR="008B4402" w:rsidRPr="00C9343F" w:rsidRDefault="008B4402" w:rsidP="00F66D98">
            <w:pPr>
              <w:pStyle w:val="BlockText-Plain"/>
            </w:pPr>
            <w:r w:rsidRPr="00C9343F">
              <w:t>A member may apply to resume duty during the period that would otherwise be her required absence. The member must provide a doctor's certificate. It should state that she will be fit to resume duty on a nominated date.</w:t>
            </w:r>
          </w:p>
        </w:tc>
      </w:tr>
      <w:tr w:rsidR="008B4402" w:rsidRPr="00C9343F" w14:paraId="2053F1AC" w14:textId="77777777" w:rsidTr="008B4402">
        <w:tc>
          <w:tcPr>
            <w:tcW w:w="992" w:type="dxa"/>
          </w:tcPr>
          <w:p w14:paraId="5A3DEFC3" w14:textId="77777777" w:rsidR="008B4402" w:rsidRPr="00C9343F" w:rsidRDefault="008B4402" w:rsidP="00F66D98">
            <w:pPr>
              <w:pStyle w:val="BlockText-Plain"/>
              <w:jc w:val="center"/>
            </w:pPr>
            <w:r w:rsidRPr="00C9343F">
              <w:t>2.</w:t>
            </w:r>
          </w:p>
        </w:tc>
        <w:tc>
          <w:tcPr>
            <w:tcW w:w="8363" w:type="dxa"/>
          </w:tcPr>
          <w:p w14:paraId="1523FAA9" w14:textId="77777777" w:rsidR="008B4402" w:rsidRPr="00C9343F" w:rsidRDefault="008B4402" w:rsidP="00F66D98">
            <w:pPr>
              <w:pStyle w:val="BlockText-Plain"/>
            </w:pPr>
            <w:r w:rsidRPr="00C9343F">
              <w:t xml:space="preserve">The CDF may permit a member to resume duty during what would have been her required absence. The permission should be in writing and state the day the member may resume duty. </w:t>
            </w:r>
          </w:p>
        </w:tc>
      </w:tr>
      <w:tr w:rsidR="008B4402" w:rsidRPr="00C9343F" w14:paraId="70B76312" w14:textId="77777777" w:rsidTr="008B4402">
        <w:trPr>
          <w:cantSplit/>
        </w:trPr>
        <w:tc>
          <w:tcPr>
            <w:tcW w:w="992" w:type="dxa"/>
          </w:tcPr>
          <w:p w14:paraId="4F6B29E0" w14:textId="77777777" w:rsidR="008B4402" w:rsidRPr="00C9343F" w:rsidRDefault="008B4402" w:rsidP="00F66D98">
            <w:pPr>
              <w:pStyle w:val="BlockText-Plain"/>
              <w:jc w:val="center"/>
            </w:pPr>
            <w:r w:rsidRPr="00C9343F">
              <w:t>3.</w:t>
            </w:r>
          </w:p>
        </w:tc>
        <w:tc>
          <w:tcPr>
            <w:tcW w:w="8363" w:type="dxa"/>
          </w:tcPr>
          <w:p w14:paraId="5D3260C6" w14:textId="77777777" w:rsidR="008B4402" w:rsidRPr="00C9343F" w:rsidRDefault="008B4402" w:rsidP="00F66D98">
            <w:pPr>
              <w:pStyle w:val="BlockText-Plain"/>
            </w:pPr>
            <w:r w:rsidRPr="00C9343F">
              <w:t>If the CDF considers it necessary, the CDF may require a supporting certificate by an ADF medical officer. It should state that the member will continue to be fit to resume duty on a nominated date.</w:t>
            </w:r>
          </w:p>
        </w:tc>
      </w:tr>
      <w:bookmarkEnd w:id="1737"/>
      <w:bookmarkEnd w:id="1738"/>
      <w:bookmarkEnd w:id="1739"/>
      <w:bookmarkEnd w:id="1740"/>
      <w:bookmarkEnd w:id="1741"/>
      <w:bookmarkEnd w:id="1742"/>
      <w:tr w:rsidR="008B4402" w:rsidRPr="00C9343F" w14:paraId="77ED98E3" w14:textId="77777777" w:rsidTr="008B4402">
        <w:tc>
          <w:tcPr>
            <w:tcW w:w="992" w:type="dxa"/>
          </w:tcPr>
          <w:p w14:paraId="46608CE5" w14:textId="77777777" w:rsidR="008B4402" w:rsidRPr="00C9343F" w:rsidRDefault="008B4402" w:rsidP="00F66D98">
            <w:pPr>
              <w:pStyle w:val="BlockText-Plain"/>
              <w:jc w:val="center"/>
            </w:pPr>
            <w:r w:rsidRPr="00C9343F">
              <w:t>4.</w:t>
            </w:r>
          </w:p>
        </w:tc>
        <w:tc>
          <w:tcPr>
            <w:tcW w:w="8363" w:type="dxa"/>
          </w:tcPr>
          <w:p w14:paraId="010A01A4" w14:textId="77777777" w:rsidR="008B4402" w:rsidRPr="00C9343F" w:rsidRDefault="008B4402" w:rsidP="00F66D98">
            <w:pPr>
              <w:pStyle w:val="BlockText-Plain"/>
            </w:pPr>
            <w:r w:rsidRPr="00C9343F">
              <w:t>After the required absence has begun, the member may want to return to duty on a day different from the one already approved. In this case, she must apply to the CDF, for a new decision under subsection 2. The application must be in writing.</w:t>
            </w:r>
          </w:p>
        </w:tc>
      </w:tr>
      <w:tr w:rsidR="008B4402" w:rsidRPr="00C9343F" w14:paraId="42540619" w14:textId="77777777" w:rsidTr="008B4402">
        <w:tc>
          <w:tcPr>
            <w:tcW w:w="992" w:type="dxa"/>
          </w:tcPr>
          <w:p w14:paraId="710F3207" w14:textId="77777777" w:rsidR="008B4402" w:rsidRPr="00C9343F" w:rsidRDefault="008B4402" w:rsidP="00F66D98">
            <w:pPr>
              <w:pStyle w:val="BlockText-Plain"/>
              <w:jc w:val="center"/>
            </w:pPr>
            <w:r w:rsidRPr="00C9343F">
              <w:t>5.</w:t>
            </w:r>
          </w:p>
        </w:tc>
        <w:tc>
          <w:tcPr>
            <w:tcW w:w="8363" w:type="dxa"/>
          </w:tcPr>
          <w:p w14:paraId="6EFF1BC5" w14:textId="77777777" w:rsidR="008B4402" w:rsidRPr="00C9343F" w:rsidRDefault="008B4402" w:rsidP="00F66D98">
            <w:pPr>
              <w:pStyle w:val="BlockText-Plain"/>
            </w:pPr>
            <w:r w:rsidRPr="00C9343F">
              <w:t>The CDF must make a decision under subsection 2 on an application under subsection 1 within seven days of receiving it. The member must be told of the decision in writing.</w:t>
            </w:r>
          </w:p>
          <w:p w14:paraId="68208325" w14:textId="30616C57" w:rsidR="008B4402" w:rsidRPr="00C9343F" w:rsidRDefault="008B4402" w:rsidP="00F66D98">
            <w:pPr>
              <w:pStyle w:val="BlockText-Plain"/>
            </w:pPr>
            <w:r w:rsidRPr="00C9343F">
              <w:rPr>
                <w:b/>
              </w:rPr>
              <w:t>Note:</w:t>
            </w:r>
            <w:r w:rsidRPr="00C9343F">
              <w:t xml:space="preserve"> The CDF may also allow a member to resume duty on a date after her required absence is completed. </w:t>
            </w:r>
          </w:p>
        </w:tc>
      </w:tr>
    </w:tbl>
    <w:p w14:paraId="7AC6F914" w14:textId="52899442" w:rsidR="008B4402" w:rsidRPr="00C9343F" w:rsidRDefault="008B4402" w:rsidP="00352D0B">
      <w:pPr>
        <w:pStyle w:val="Heading4"/>
        <w:pageBreakBefore/>
      </w:pPr>
      <w:bookmarkStart w:id="1743" w:name="_Toc105054082"/>
      <w:r w:rsidRPr="00C9343F">
        <w:t>Division 4: Member already on leave without pay</w:t>
      </w:r>
      <w:bookmarkEnd w:id="1743"/>
    </w:p>
    <w:p w14:paraId="3E4E7392" w14:textId="42D8F8EE" w:rsidR="008B4402" w:rsidRPr="00C9343F" w:rsidRDefault="008B4402" w:rsidP="00F66D98">
      <w:pPr>
        <w:pStyle w:val="Heading5"/>
      </w:pPr>
      <w:bookmarkStart w:id="1744" w:name="_Toc105054083"/>
      <w:bookmarkStart w:id="1745" w:name="bk1203055422Memberalreadyonleavewithout"/>
      <w:bookmarkStart w:id="1746" w:name="bk1345525426Memberalreadyonleavewithout"/>
      <w:bookmarkStart w:id="1747" w:name="bk1418405428Memberalreadyonleavewithout"/>
      <w:bookmarkStart w:id="1748" w:name="bk1517555429Memberalreadyonleavewithout"/>
      <w:bookmarkStart w:id="1749" w:name="bk1525245429Memberalreadyonleavewithout"/>
      <w:bookmarkStart w:id="1750" w:name="bk1156355429Memberalreadyonleavewithout"/>
      <w:r w:rsidRPr="00C9343F">
        <w:t>5.6.28</w:t>
      </w:r>
      <w:r w:rsidR="00D94006" w:rsidRPr="00C9343F">
        <w:t>    </w:t>
      </w:r>
      <w:r w:rsidRPr="00C9343F">
        <w:t>Member already on leave without pay</w:t>
      </w:r>
      <w:bookmarkEnd w:id="1744"/>
    </w:p>
    <w:bookmarkEnd w:id="1745"/>
    <w:bookmarkEnd w:id="1746"/>
    <w:bookmarkEnd w:id="1747"/>
    <w:bookmarkEnd w:id="1748"/>
    <w:bookmarkEnd w:id="1749"/>
    <w:bookmarkEnd w:id="1750"/>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3E4DE967" w14:textId="77777777" w:rsidTr="008B4402">
        <w:tc>
          <w:tcPr>
            <w:tcW w:w="992" w:type="dxa"/>
          </w:tcPr>
          <w:p w14:paraId="62B472E4" w14:textId="77777777" w:rsidR="008B4402" w:rsidRPr="00C9343F" w:rsidRDefault="008B4402" w:rsidP="00F66D98">
            <w:pPr>
              <w:pStyle w:val="BlockText-Plain"/>
              <w:jc w:val="center"/>
            </w:pPr>
          </w:p>
        </w:tc>
        <w:tc>
          <w:tcPr>
            <w:tcW w:w="8363" w:type="dxa"/>
            <w:gridSpan w:val="2"/>
          </w:tcPr>
          <w:p w14:paraId="3FA88047" w14:textId="77777777" w:rsidR="008B4402" w:rsidRPr="00C9343F" w:rsidRDefault="008B4402" w:rsidP="00F66D98">
            <w:pPr>
              <w:pStyle w:val="BlockText-Plain"/>
            </w:pPr>
            <w:r w:rsidRPr="00C9343F">
              <w:t>This Division applies to a member who meets both these conditions.</w:t>
            </w:r>
          </w:p>
        </w:tc>
      </w:tr>
      <w:tr w:rsidR="008B4402" w:rsidRPr="00C9343F" w14:paraId="7C19EAFB" w14:textId="77777777" w:rsidTr="008B4402">
        <w:trPr>
          <w:cantSplit/>
        </w:trPr>
        <w:tc>
          <w:tcPr>
            <w:tcW w:w="992" w:type="dxa"/>
          </w:tcPr>
          <w:p w14:paraId="4DFFE471" w14:textId="77777777" w:rsidR="008B4402" w:rsidRPr="00C9343F" w:rsidRDefault="008B4402" w:rsidP="00F66D98">
            <w:pPr>
              <w:pStyle w:val="BlockText-Plain"/>
            </w:pPr>
            <w:bookmarkStart w:id="1751" w:name="bk1203055423Cancellingtheleavewithoutpa"/>
            <w:bookmarkStart w:id="1752" w:name="bk1345525427Cancellingtheleavewithoutpa"/>
            <w:bookmarkStart w:id="1753" w:name="bk1418405429Cancellingtheleavewithoutpa"/>
            <w:bookmarkStart w:id="1754" w:name="bk1517555430Cancellingtheleavewithoutpa"/>
          </w:p>
        </w:tc>
        <w:tc>
          <w:tcPr>
            <w:tcW w:w="567" w:type="dxa"/>
          </w:tcPr>
          <w:p w14:paraId="6CEB9C96" w14:textId="77777777" w:rsidR="008B4402" w:rsidRPr="00C9343F" w:rsidRDefault="008B4402" w:rsidP="008D1B5D">
            <w:pPr>
              <w:pStyle w:val="BlockText-Plain"/>
              <w:jc w:val="center"/>
            </w:pPr>
            <w:r w:rsidRPr="00C9343F">
              <w:t>a.</w:t>
            </w:r>
          </w:p>
        </w:tc>
        <w:tc>
          <w:tcPr>
            <w:tcW w:w="7796" w:type="dxa"/>
          </w:tcPr>
          <w:p w14:paraId="16A9687B" w14:textId="674A654A" w:rsidR="008B4402" w:rsidRPr="00C9343F" w:rsidRDefault="008B4402" w:rsidP="00F66D98">
            <w:pPr>
              <w:pStyle w:val="BlockText-Plain"/>
            </w:pPr>
            <w:r w:rsidRPr="00C9343F">
              <w:t>She has been granted leave without pay of more than six weeks.</w:t>
            </w:r>
          </w:p>
        </w:tc>
      </w:tr>
      <w:tr w:rsidR="008B4402" w:rsidRPr="00C9343F" w14:paraId="4782A41F" w14:textId="77777777" w:rsidTr="008B4402">
        <w:trPr>
          <w:cantSplit/>
        </w:trPr>
        <w:tc>
          <w:tcPr>
            <w:tcW w:w="992" w:type="dxa"/>
          </w:tcPr>
          <w:p w14:paraId="09589726" w14:textId="77777777" w:rsidR="008B4402" w:rsidRPr="00C9343F" w:rsidRDefault="008B4402" w:rsidP="00F66D98">
            <w:pPr>
              <w:pStyle w:val="BlockText-Plain"/>
            </w:pPr>
          </w:p>
        </w:tc>
        <w:tc>
          <w:tcPr>
            <w:tcW w:w="567" w:type="dxa"/>
          </w:tcPr>
          <w:p w14:paraId="26AB38F0" w14:textId="77777777" w:rsidR="008B4402" w:rsidRPr="00C9343F" w:rsidRDefault="008B4402" w:rsidP="008D1B5D">
            <w:pPr>
              <w:pStyle w:val="BlockText-Plain"/>
              <w:jc w:val="center"/>
            </w:pPr>
            <w:r w:rsidRPr="00C9343F">
              <w:t>b.</w:t>
            </w:r>
          </w:p>
        </w:tc>
        <w:tc>
          <w:tcPr>
            <w:tcW w:w="7796" w:type="dxa"/>
          </w:tcPr>
          <w:p w14:paraId="11B42881" w14:textId="77777777" w:rsidR="008B4402" w:rsidRPr="00C9343F" w:rsidRDefault="008B4402" w:rsidP="00F66D98">
            <w:pPr>
              <w:pStyle w:val="BlockText-Plain"/>
            </w:pPr>
            <w:r w:rsidRPr="00C9343F">
              <w:t>She becomes pregnant.</w:t>
            </w:r>
          </w:p>
        </w:tc>
      </w:tr>
    </w:tbl>
    <w:p w14:paraId="79DF0922" w14:textId="1B3FA5B4" w:rsidR="008B4402" w:rsidRPr="00C9343F" w:rsidRDefault="008B4402" w:rsidP="00F66D98">
      <w:pPr>
        <w:pStyle w:val="Heading5"/>
      </w:pPr>
      <w:bookmarkStart w:id="1755" w:name="_Toc105054084"/>
      <w:bookmarkStart w:id="1756" w:name="bk1525245430Cancellingtheleavewithoutpa"/>
      <w:bookmarkStart w:id="1757" w:name="bk1156355430Cancellingtheleavewithoutpa"/>
      <w:r w:rsidRPr="00C9343F">
        <w:t>5.6.29</w:t>
      </w:r>
      <w:r w:rsidR="00D94006" w:rsidRPr="00C9343F">
        <w:t>    </w:t>
      </w:r>
      <w:r w:rsidRPr="00C9343F">
        <w:t>Cancelling the leave without pay</w:t>
      </w:r>
      <w:bookmarkEnd w:id="1755"/>
    </w:p>
    <w:tbl>
      <w:tblPr>
        <w:tblW w:w="0" w:type="auto"/>
        <w:tblInd w:w="113" w:type="dxa"/>
        <w:tblLayout w:type="fixed"/>
        <w:tblLook w:val="0000" w:firstRow="0" w:lastRow="0" w:firstColumn="0" w:lastColumn="0" w:noHBand="0" w:noVBand="0"/>
      </w:tblPr>
      <w:tblGrid>
        <w:gridCol w:w="992"/>
        <w:gridCol w:w="8363"/>
      </w:tblGrid>
      <w:tr w:rsidR="008B4402" w:rsidRPr="00C9343F" w14:paraId="3D1BC29C" w14:textId="77777777" w:rsidTr="008B4402">
        <w:tc>
          <w:tcPr>
            <w:tcW w:w="992" w:type="dxa"/>
          </w:tcPr>
          <w:bookmarkEnd w:id="1751"/>
          <w:bookmarkEnd w:id="1752"/>
          <w:bookmarkEnd w:id="1753"/>
          <w:bookmarkEnd w:id="1754"/>
          <w:bookmarkEnd w:id="1756"/>
          <w:bookmarkEnd w:id="1757"/>
          <w:p w14:paraId="7C6E4F50" w14:textId="77777777" w:rsidR="008B4402" w:rsidRPr="00C9343F" w:rsidRDefault="008B4402" w:rsidP="00F66D98">
            <w:pPr>
              <w:pStyle w:val="BlockText-Plain"/>
              <w:jc w:val="center"/>
            </w:pPr>
            <w:r w:rsidRPr="00C9343F">
              <w:t>1.</w:t>
            </w:r>
          </w:p>
        </w:tc>
        <w:tc>
          <w:tcPr>
            <w:tcW w:w="8363" w:type="dxa"/>
          </w:tcPr>
          <w:p w14:paraId="3E402016" w14:textId="42154137" w:rsidR="008B4402" w:rsidRPr="00C9343F" w:rsidRDefault="008B4402" w:rsidP="00F66D98">
            <w:pPr>
              <w:pStyle w:val="BlockText-Plain"/>
            </w:pPr>
            <w:r w:rsidRPr="00C9343F">
              <w:t>If a member has not started the leave without pay, she may cancel her application. The member is then entitled to maternity leave under Division 2.</w:t>
            </w:r>
          </w:p>
        </w:tc>
      </w:tr>
      <w:tr w:rsidR="008B4402" w:rsidRPr="00C9343F" w14:paraId="37040831" w14:textId="77777777" w:rsidTr="008B4402">
        <w:tc>
          <w:tcPr>
            <w:tcW w:w="992" w:type="dxa"/>
          </w:tcPr>
          <w:p w14:paraId="6D05B39C" w14:textId="77777777" w:rsidR="008B4402" w:rsidRPr="00C9343F" w:rsidRDefault="008B4402" w:rsidP="00F66D98">
            <w:pPr>
              <w:pStyle w:val="BlockText-Plain"/>
              <w:jc w:val="center"/>
            </w:pPr>
            <w:r w:rsidRPr="00C9343F">
              <w:t>2.</w:t>
            </w:r>
          </w:p>
        </w:tc>
        <w:tc>
          <w:tcPr>
            <w:tcW w:w="8363" w:type="dxa"/>
          </w:tcPr>
          <w:p w14:paraId="0EC858D1" w14:textId="77777777" w:rsidR="008B4402" w:rsidRPr="00C9343F" w:rsidRDefault="008B4402" w:rsidP="00F66D98">
            <w:pPr>
              <w:pStyle w:val="BlockText-Plain"/>
            </w:pPr>
            <w:r w:rsidRPr="00C9343F">
              <w:t>If the member has started the leave without pay, cancelling the application will be of no effect. This Division will continue to apply to her.</w:t>
            </w:r>
          </w:p>
        </w:tc>
      </w:tr>
    </w:tbl>
    <w:p w14:paraId="30BB1778" w14:textId="63059AED" w:rsidR="008B4402" w:rsidRPr="00C9343F" w:rsidRDefault="008B4402" w:rsidP="00F66D98">
      <w:pPr>
        <w:pStyle w:val="Heading5"/>
      </w:pPr>
      <w:bookmarkStart w:id="1758" w:name="_Toc105054085"/>
      <w:bookmarkStart w:id="1759" w:name="bk1203055424Requiredabsence"/>
      <w:bookmarkStart w:id="1760" w:name="bk1345525428Requiredabsence"/>
      <w:bookmarkStart w:id="1761" w:name="bk1418405430Requiredabsence"/>
      <w:bookmarkStart w:id="1762" w:name="bk1517555431Requiredabsence"/>
      <w:bookmarkStart w:id="1763" w:name="bk1525245431Requiredabsence"/>
      <w:bookmarkStart w:id="1764" w:name="bk1156355431Requiredabsence"/>
      <w:r w:rsidRPr="00C9343F">
        <w:t>5.6.30</w:t>
      </w:r>
      <w:r w:rsidR="00D94006" w:rsidRPr="00C9343F">
        <w:t>    </w:t>
      </w:r>
      <w:bookmarkStart w:id="1765" w:name="_Hlt86740448"/>
      <w:bookmarkEnd w:id="1765"/>
      <w:r w:rsidRPr="00C9343F">
        <w:t>Required absence</w:t>
      </w:r>
      <w:bookmarkEnd w:id="1758"/>
    </w:p>
    <w:tbl>
      <w:tblPr>
        <w:tblW w:w="9359" w:type="dxa"/>
        <w:tblInd w:w="113" w:type="dxa"/>
        <w:tblLayout w:type="fixed"/>
        <w:tblLook w:val="0000" w:firstRow="0" w:lastRow="0" w:firstColumn="0" w:lastColumn="0" w:noHBand="0" w:noVBand="0"/>
      </w:tblPr>
      <w:tblGrid>
        <w:gridCol w:w="992"/>
        <w:gridCol w:w="567"/>
        <w:gridCol w:w="567"/>
        <w:gridCol w:w="7233"/>
      </w:tblGrid>
      <w:tr w:rsidR="008B4402" w:rsidRPr="00C9343F" w14:paraId="56ACD3E3" w14:textId="77777777" w:rsidTr="00927540">
        <w:tc>
          <w:tcPr>
            <w:tcW w:w="992" w:type="dxa"/>
          </w:tcPr>
          <w:bookmarkEnd w:id="1759"/>
          <w:bookmarkEnd w:id="1760"/>
          <w:bookmarkEnd w:id="1761"/>
          <w:bookmarkEnd w:id="1762"/>
          <w:bookmarkEnd w:id="1763"/>
          <w:bookmarkEnd w:id="1764"/>
          <w:p w14:paraId="14801E01" w14:textId="77777777" w:rsidR="008B4402" w:rsidRPr="00C9343F" w:rsidRDefault="008B4402" w:rsidP="00F66D98">
            <w:pPr>
              <w:pStyle w:val="BlockText-Plain"/>
              <w:jc w:val="center"/>
            </w:pPr>
            <w:r w:rsidRPr="00C9343F">
              <w:t>1.</w:t>
            </w:r>
          </w:p>
        </w:tc>
        <w:tc>
          <w:tcPr>
            <w:tcW w:w="8367" w:type="dxa"/>
            <w:gridSpan w:val="3"/>
          </w:tcPr>
          <w:p w14:paraId="6863C5EC" w14:textId="7B4017BB" w:rsidR="008B4402" w:rsidRPr="00C9343F" w:rsidRDefault="008B4402" w:rsidP="00F66D98">
            <w:pPr>
              <w:pStyle w:val="BlockText-Plain"/>
            </w:pPr>
            <w:r w:rsidRPr="00C9343F">
              <w:t>A member on leave without pay must be absent from duty for the period described in Division 3.</w:t>
            </w:r>
          </w:p>
        </w:tc>
      </w:tr>
      <w:tr w:rsidR="008B4402" w:rsidRPr="00C9343F" w14:paraId="2B6C4D17" w14:textId="77777777" w:rsidTr="00927540">
        <w:tc>
          <w:tcPr>
            <w:tcW w:w="992" w:type="dxa"/>
          </w:tcPr>
          <w:p w14:paraId="3F498D8C" w14:textId="77777777" w:rsidR="008B4402" w:rsidRPr="00C9343F" w:rsidRDefault="008B4402" w:rsidP="00F66D98">
            <w:pPr>
              <w:pStyle w:val="BlockText-Plain"/>
              <w:jc w:val="center"/>
            </w:pPr>
            <w:r w:rsidRPr="00C9343F">
              <w:t>2.</w:t>
            </w:r>
          </w:p>
        </w:tc>
        <w:tc>
          <w:tcPr>
            <w:tcW w:w="8367" w:type="dxa"/>
            <w:gridSpan w:val="3"/>
          </w:tcPr>
          <w:p w14:paraId="03C804C9" w14:textId="77777777" w:rsidR="008B4402" w:rsidRPr="00C9343F" w:rsidRDefault="008B4402" w:rsidP="00F66D98">
            <w:pPr>
              <w:pStyle w:val="BlockText-Plain"/>
            </w:pPr>
            <w:r w:rsidRPr="00C9343F">
              <w:t>Part or all of the required absence may fall in the same period as the leave without pay. The member is not entitled to maternity leave for this period.</w:t>
            </w:r>
          </w:p>
        </w:tc>
      </w:tr>
      <w:tr w:rsidR="008B4402" w:rsidRPr="00C9343F" w14:paraId="774665FF" w14:textId="77777777" w:rsidTr="00927540">
        <w:tc>
          <w:tcPr>
            <w:tcW w:w="992" w:type="dxa"/>
          </w:tcPr>
          <w:p w14:paraId="74D63C6D" w14:textId="77777777" w:rsidR="008B4402" w:rsidRPr="00C9343F" w:rsidRDefault="008B4402" w:rsidP="00F66D98">
            <w:pPr>
              <w:pStyle w:val="BlockText-Plain"/>
              <w:jc w:val="center"/>
            </w:pPr>
            <w:r w:rsidRPr="00C9343F">
              <w:t>3.</w:t>
            </w:r>
          </w:p>
        </w:tc>
        <w:tc>
          <w:tcPr>
            <w:tcW w:w="8367" w:type="dxa"/>
            <w:gridSpan w:val="3"/>
          </w:tcPr>
          <w:p w14:paraId="59D90FF7" w14:textId="77777777" w:rsidR="008B4402" w:rsidRPr="00C9343F" w:rsidRDefault="008B4402" w:rsidP="00F66D98">
            <w:pPr>
              <w:pStyle w:val="BlockText-Plain"/>
            </w:pPr>
            <w:r w:rsidRPr="00C9343F">
              <w:t xml:space="preserve">Part of the required absence may fall after the leave without pay has finished. These conditions apply to the member. </w:t>
            </w:r>
          </w:p>
        </w:tc>
      </w:tr>
      <w:tr w:rsidR="008B4402" w:rsidRPr="00C9343F" w14:paraId="3E176F6D" w14:textId="77777777" w:rsidTr="00927540">
        <w:trPr>
          <w:cantSplit/>
        </w:trPr>
        <w:tc>
          <w:tcPr>
            <w:tcW w:w="992" w:type="dxa"/>
          </w:tcPr>
          <w:p w14:paraId="62C3DDB9" w14:textId="77777777" w:rsidR="008B4402" w:rsidRPr="00C9343F" w:rsidRDefault="008B4402" w:rsidP="00F66D98">
            <w:pPr>
              <w:pStyle w:val="BlockText-Plain"/>
            </w:pPr>
          </w:p>
        </w:tc>
        <w:tc>
          <w:tcPr>
            <w:tcW w:w="567" w:type="dxa"/>
          </w:tcPr>
          <w:p w14:paraId="0F1DE63D" w14:textId="77777777" w:rsidR="008B4402" w:rsidRPr="00C9343F" w:rsidRDefault="008B4402" w:rsidP="008D1B5D">
            <w:pPr>
              <w:pStyle w:val="BlockText-Plain"/>
              <w:jc w:val="center"/>
            </w:pPr>
            <w:r w:rsidRPr="00C9343F">
              <w:t>a.</w:t>
            </w:r>
          </w:p>
        </w:tc>
        <w:tc>
          <w:tcPr>
            <w:tcW w:w="7800" w:type="dxa"/>
            <w:gridSpan w:val="2"/>
          </w:tcPr>
          <w:p w14:paraId="09167872" w14:textId="77777777" w:rsidR="008B4402" w:rsidRPr="00C9343F" w:rsidRDefault="008B4402" w:rsidP="00F66D98">
            <w:pPr>
              <w:pStyle w:val="BlockText-Plain"/>
            </w:pPr>
            <w:r w:rsidRPr="00C9343F">
              <w:t>The member is entitled to paid maternity leave for this period.</w:t>
            </w:r>
          </w:p>
        </w:tc>
      </w:tr>
      <w:tr w:rsidR="008B4402" w:rsidRPr="00C9343F" w14:paraId="2DC95A6D" w14:textId="77777777" w:rsidTr="00927540">
        <w:trPr>
          <w:cantSplit/>
        </w:trPr>
        <w:tc>
          <w:tcPr>
            <w:tcW w:w="1559" w:type="dxa"/>
            <w:gridSpan w:val="2"/>
          </w:tcPr>
          <w:p w14:paraId="241A836A" w14:textId="77777777" w:rsidR="008B4402" w:rsidRPr="00C9343F" w:rsidRDefault="008B4402" w:rsidP="00F66D98">
            <w:pPr>
              <w:pStyle w:val="BlockText-Plain"/>
            </w:pPr>
          </w:p>
        </w:tc>
        <w:tc>
          <w:tcPr>
            <w:tcW w:w="567" w:type="dxa"/>
          </w:tcPr>
          <w:p w14:paraId="283032AE" w14:textId="77777777" w:rsidR="008B4402" w:rsidRPr="00C9343F" w:rsidRDefault="008B4402" w:rsidP="008D1B5D">
            <w:pPr>
              <w:pStyle w:val="BlockText-Plain"/>
            </w:pPr>
            <w:r w:rsidRPr="00C9343F">
              <w:t>i.</w:t>
            </w:r>
          </w:p>
        </w:tc>
        <w:tc>
          <w:tcPr>
            <w:tcW w:w="7233" w:type="dxa"/>
          </w:tcPr>
          <w:p w14:paraId="5C150763" w14:textId="77777777" w:rsidR="008B4402" w:rsidRPr="00C9343F" w:rsidRDefault="008B4402" w:rsidP="00F66D98">
            <w:pPr>
              <w:pStyle w:val="BlockText-Plain"/>
            </w:pPr>
            <w:r w:rsidRPr="00C9343F">
              <w:rPr>
                <w:b/>
              </w:rPr>
              <w:t>From</w:t>
            </w:r>
            <w:r w:rsidRPr="00C9343F">
              <w:t xml:space="preserve"> the day after the end of her leave without pay.</w:t>
            </w:r>
          </w:p>
        </w:tc>
      </w:tr>
      <w:tr w:rsidR="008B4402" w:rsidRPr="00C9343F" w14:paraId="76293897" w14:textId="77777777" w:rsidTr="00927540">
        <w:trPr>
          <w:cantSplit/>
        </w:trPr>
        <w:tc>
          <w:tcPr>
            <w:tcW w:w="1559" w:type="dxa"/>
            <w:gridSpan w:val="2"/>
          </w:tcPr>
          <w:p w14:paraId="209ECBEF" w14:textId="77777777" w:rsidR="008B4402" w:rsidRPr="00C9343F" w:rsidRDefault="008B4402" w:rsidP="00F66D98">
            <w:pPr>
              <w:pStyle w:val="BlockText-Plain"/>
            </w:pPr>
          </w:p>
        </w:tc>
        <w:tc>
          <w:tcPr>
            <w:tcW w:w="567" w:type="dxa"/>
          </w:tcPr>
          <w:p w14:paraId="07025C7B" w14:textId="77777777" w:rsidR="008B4402" w:rsidRPr="00C9343F" w:rsidRDefault="008B4402" w:rsidP="008D1B5D">
            <w:pPr>
              <w:pStyle w:val="BlockText-Plain"/>
            </w:pPr>
            <w:r w:rsidRPr="00C9343F">
              <w:t>ii.</w:t>
            </w:r>
          </w:p>
        </w:tc>
        <w:tc>
          <w:tcPr>
            <w:tcW w:w="7233" w:type="dxa"/>
          </w:tcPr>
          <w:p w14:paraId="00A28732" w14:textId="77777777" w:rsidR="008B4402" w:rsidRPr="00C9343F" w:rsidRDefault="008B4402" w:rsidP="00F66D98">
            <w:pPr>
              <w:pStyle w:val="BlockText-Plain"/>
            </w:pPr>
            <w:r w:rsidRPr="00C9343F">
              <w:rPr>
                <w:b/>
              </w:rPr>
              <w:t>To</w:t>
            </w:r>
            <w:r w:rsidRPr="00C9343F">
              <w:t xml:space="preserve"> the day no later than 14 weeks after her required absence begins.</w:t>
            </w:r>
          </w:p>
        </w:tc>
      </w:tr>
      <w:tr w:rsidR="008B4402" w:rsidRPr="00C9343F" w14:paraId="17597B82" w14:textId="77777777" w:rsidTr="00927540">
        <w:trPr>
          <w:cantSplit/>
        </w:trPr>
        <w:tc>
          <w:tcPr>
            <w:tcW w:w="992" w:type="dxa"/>
          </w:tcPr>
          <w:p w14:paraId="0D5F353E" w14:textId="77777777" w:rsidR="008B4402" w:rsidRPr="00C9343F" w:rsidRDefault="008B4402" w:rsidP="00F66D98">
            <w:pPr>
              <w:pStyle w:val="BlockText-Plain"/>
            </w:pPr>
          </w:p>
        </w:tc>
        <w:tc>
          <w:tcPr>
            <w:tcW w:w="567" w:type="dxa"/>
          </w:tcPr>
          <w:p w14:paraId="188A4CA4" w14:textId="77777777" w:rsidR="008B4402" w:rsidRPr="00C9343F" w:rsidRDefault="008B4402" w:rsidP="008D1B5D">
            <w:pPr>
              <w:pStyle w:val="BlockText-Plain"/>
              <w:jc w:val="center"/>
            </w:pPr>
            <w:r w:rsidRPr="00C9343F">
              <w:t>b.</w:t>
            </w:r>
          </w:p>
        </w:tc>
        <w:tc>
          <w:tcPr>
            <w:tcW w:w="7800" w:type="dxa"/>
            <w:gridSpan w:val="2"/>
          </w:tcPr>
          <w:p w14:paraId="11F24BFA" w14:textId="0FACA7F8" w:rsidR="008B4402" w:rsidRPr="00C9343F" w:rsidRDefault="008B4402" w:rsidP="00F66D98">
            <w:pPr>
              <w:pStyle w:val="BlockText-Plain"/>
            </w:pPr>
            <w:r w:rsidRPr="00C9343F">
              <w:t>The member must have completed the period of qualifying service.</w:t>
            </w:r>
          </w:p>
        </w:tc>
      </w:tr>
      <w:tr w:rsidR="008B4402" w:rsidRPr="00C9343F" w14:paraId="3B2FC2A1" w14:textId="77777777" w:rsidTr="00927540">
        <w:tc>
          <w:tcPr>
            <w:tcW w:w="992" w:type="dxa"/>
          </w:tcPr>
          <w:p w14:paraId="664FD8FA" w14:textId="77777777" w:rsidR="008B4402" w:rsidRPr="00C9343F" w:rsidRDefault="008B4402" w:rsidP="00F66D98">
            <w:pPr>
              <w:pStyle w:val="BlockText-Plain"/>
              <w:jc w:val="center"/>
            </w:pPr>
            <w:r w:rsidRPr="00C9343F">
              <w:t>4.</w:t>
            </w:r>
          </w:p>
        </w:tc>
        <w:tc>
          <w:tcPr>
            <w:tcW w:w="8367" w:type="dxa"/>
            <w:gridSpan w:val="3"/>
          </w:tcPr>
          <w:p w14:paraId="63DD4869" w14:textId="7BBAD6D6" w:rsidR="008B4402" w:rsidRPr="00C9343F" w:rsidRDefault="008B4402" w:rsidP="00F66D98">
            <w:pPr>
              <w:pStyle w:val="BlockText-Plain"/>
            </w:pPr>
            <w:r w:rsidRPr="00C9343F">
              <w:t xml:space="preserve">The member may apply to resume duty during the period of required absence. </w:t>
            </w:r>
          </w:p>
        </w:tc>
      </w:tr>
    </w:tbl>
    <w:p w14:paraId="324A7634" w14:textId="742525A9" w:rsidR="008B4402" w:rsidRPr="00C9343F" w:rsidRDefault="008B4402" w:rsidP="00F66D98">
      <w:pPr>
        <w:pStyle w:val="Heading5"/>
      </w:pPr>
      <w:bookmarkStart w:id="1766" w:name="_Toc105054086"/>
      <w:bookmarkStart w:id="1767" w:name="bk1203055425Maternityleave"/>
      <w:bookmarkStart w:id="1768" w:name="bk1345525429Maternityleave"/>
      <w:bookmarkStart w:id="1769" w:name="bk1418405431Maternityleave"/>
      <w:bookmarkStart w:id="1770" w:name="bk1517555432Maternityleave"/>
      <w:bookmarkStart w:id="1771" w:name="bk1525245432Maternityleave"/>
      <w:bookmarkStart w:id="1772" w:name="bk1156355432Maternityleave"/>
      <w:r w:rsidRPr="00C9343F">
        <w:t>5.6.31</w:t>
      </w:r>
      <w:r w:rsidR="00D94006" w:rsidRPr="00C9343F">
        <w:t>    </w:t>
      </w:r>
      <w:r w:rsidRPr="00C9343F">
        <w:t>Maternity leave</w:t>
      </w:r>
      <w:bookmarkEnd w:id="1766"/>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2032F676" w14:textId="77777777" w:rsidTr="0066334C">
        <w:tc>
          <w:tcPr>
            <w:tcW w:w="992" w:type="dxa"/>
          </w:tcPr>
          <w:bookmarkEnd w:id="1767"/>
          <w:bookmarkEnd w:id="1768"/>
          <w:bookmarkEnd w:id="1769"/>
          <w:bookmarkEnd w:id="1770"/>
          <w:bookmarkEnd w:id="1771"/>
          <w:bookmarkEnd w:id="1772"/>
          <w:p w14:paraId="6DA568F4" w14:textId="77777777" w:rsidR="008B4402" w:rsidRPr="00C9343F" w:rsidRDefault="008B4402" w:rsidP="00F66D98">
            <w:pPr>
              <w:pStyle w:val="BlockText-Plain"/>
              <w:jc w:val="center"/>
            </w:pPr>
            <w:r w:rsidRPr="00C9343F">
              <w:t>1.</w:t>
            </w:r>
          </w:p>
        </w:tc>
        <w:tc>
          <w:tcPr>
            <w:tcW w:w="8363" w:type="dxa"/>
            <w:gridSpan w:val="2"/>
          </w:tcPr>
          <w:p w14:paraId="7DB83E17" w14:textId="77777777" w:rsidR="008B4402" w:rsidRPr="00C9343F" w:rsidRDefault="008B4402" w:rsidP="00F66D98">
            <w:pPr>
              <w:pStyle w:val="BlockText-Plain"/>
            </w:pPr>
            <w:r w:rsidRPr="00C9343F">
              <w:t>A member this Division applies to is entitled to maternity leave for this period.</w:t>
            </w:r>
          </w:p>
        </w:tc>
      </w:tr>
      <w:tr w:rsidR="008B4402" w:rsidRPr="00C9343F" w14:paraId="77078663" w14:textId="77777777" w:rsidTr="0066334C">
        <w:trPr>
          <w:cantSplit/>
        </w:trPr>
        <w:tc>
          <w:tcPr>
            <w:tcW w:w="992" w:type="dxa"/>
          </w:tcPr>
          <w:p w14:paraId="5E25DB51" w14:textId="77777777" w:rsidR="008B4402" w:rsidRPr="00C9343F" w:rsidRDefault="008B4402" w:rsidP="00F66D98">
            <w:pPr>
              <w:pStyle w:val="BlockText-Plain"/>
            </w:pPr>
          </w:p>
        </w:tc>
        <w:tc>
          <w:tcPr>
            <w:tcW w:w="567" w:type="dxa"/>
          </w:tcPr>
          <w:p w14:paraId="6D5B9315" w14:textId="77777777" w:rsidR="008B4402" w:rsidRPr="00C9343F" w:rsidRDefault="008B4402" w:rsidP="008D1B5D">
            <w:pPr>
              <w:pStyle w:val="BlockText-Plain"/>
              <w:jc w:val="center"/>
            </w:pPr>
            <w:r w:rsidRPr="00C9343F">
              <w:t>a.</w:t>
            </w:r>
          </w:p>
        </w:tc>
        <w:tc>
          <w:tcPr>
            <w:tcW w:w="7796" w:type="dxa"/>
          </w:tcPr>
          <w:p w14:paraId="6D26729B" w14:textId="77777777" w:rsidR="008B4402" w:rsidRPr="00C9343F" w:rsidRDefault="008B4402" w:rsidP="00F66D98">
            <w:pPr>
              <w:pStyle w:val="BlockText-Plain"/>
            </w:pPr>
            <w:r w:rsidRPr="00C9343F">
              <w:rPr>
                <w:b/>
              </w:rPr>
              <w:t>From</w:t>
            </w:r>
            <w:r w:rsidRPr="00C9343F">
              <w:t xml:space="preserve"> the day after the end of her leave without pay.</w:t>
            </w:r>
          </w:p>
        </w:tc>
      </w:tr>
      <w:tr w:rsidR="008B4402" w:rsidRPr="00C9343F" w14:paraId="03A5BA47" w14:textId="77777777" w:rsidTr="0066334C">
        <w:trPr>
          <w:cantSplit/>
        </w:trPr>
        <w:tc>
          <w:tcPr>
            <w:tcW w:w="992" w:type="dxa"/>
          </w:tcPr>
          <w:p w14:paraId="76BB7B53" w14:textId="77777777" w:rsidR="008B4402" w:rsidRPr="00C9343F" w:rsidRDefault="008B4402" w:rsidP="00F66D98">
            <w:pPr>
              <w:pStyle w:val="BlockText-Plain"/>
            </w:pPr>
          </w:p>
        </w:tc>
        <w:tc>
          <w:tcPr>
            <w:tcW w:w="567" w:type="dxa"/>
          </w:tcPr>
          <w:p w14:paraId="117706A2" w14:textId="77777777" w:rsidR="008B4402" w:rsidRPr="00C9343F" w:rsidRDefault="008B4402" w:rsidP="008D1B5D">
            <w:pPr>
              <w:pStyle w:val="BlockText-Plain"/>
              <w:jc w:val="center"/>
            </w:pPr>
            <w:r w:rsidRPr="00C9343F">
              <w:t>b.</w:t>
            </w:r>
          </w:p>
        </w:tc>
        <w:tc>
          <w:tcPr>
            <w:tcW w:w="7796" w:type="dxa"/>
          </w:tcPr>
          <w:p w14:paraId="1E46227C" w14:textId="77777777" w:rsidR="008B4402" w:rsidRPr="00C9343F" w:rsidRDefault="008B4402" w:rsidP="00F66D98">
            <w:pPr>
              <w:pStyle w:val="BlockText-Plain"/>
              <w:rPr>
                <w:b/>
              </w:rPr>
            </w:pPr>
            <w:r w:rsidRPr="00C9343F">
              <w:rPr>
                <w:b/>
              </w:rPr>
              <w:t xml:space="preserve">To </w:t>
            </w:r>
            <w:r w:rsidRPr="00C9343F">
              <w:t>the day 52 weeks after her required absence begins.</w:t>
            </w:r>
          </w:p>
        </w:tc>
      </w:tr>
      <w:tr w:rsidR="008B4402" w:rsidRPr="00C9343F" w14:paraId="6BEC72CF" w14:textId="77777777" w:rsidTr="0066334C">
        <w:tc>
          <w:tcPr>
            <w:tcW w:w="992" w:type="dxa"/>
          </w:tcPr>
          <w:p w14:paraId="6F16FD05" w14:textId="77777777" w:rsidR="008B4402" w:rsidRPr="00C9343F" w:rsidRDefault="008B4402" w:rsidP="00F66D98">
            <w:pPr>
              <w:pStyle w:val="BlockText-Plain"/>
              <w:jc w:val="center"/>
            </w:pPr>
            <w:r w:rsidRPr="00C9343F">
              <w:t>2.</w:t>
            </w:r>
          </w:p>
        </w:tc>
        <w:tc>
          <w:tcPr>
            <w:tcW w:w="8363" w:type="dxa"/>
            <w:gridSpan w:val="2"/>
          </w:tcPr>
          <w:p w14:paraId="5FF5989C" w14:textId="7D37D84A" w:rsidR="008B4402" w:rsidRPr="00C9343F" w:rsidRDefault="008B4402" w:rsidP="00F66D98">
            <w:pPr>
              <w:pStyle w:val="BlockText-Plain"/>
            </w:pPr>
            <w:r w:rsidRPr="00C9343F">
              <w:t>These conditions apply to payment of salary</w:t>
            </w:r>
            <w:r w:rsidR="003C090B" w:rsidRPr="00C9343F">
              <w:t xml:space="preserve"> and allowances</w:t>
            </w:r>
            <w:r w:rsidRPr="00C9343F">
              <w:t xml:space="preserve"> during maternity leave.</w:t>
            </w:r>
          </w:p>
        </w:tc>
      </w:tr>
      <w:tr w:rsidR="008B4402" w:rsidRPr="00C9343F" w14:paraId="2B95D851" w14:textId="77777777" w:rsidTr="0066334C">
        <w:trPr>
          <w:cantSplit/>
        </w:trPr>
        <w:tc>
          <w:tcPr>
            <w:tcW w:w="992" w:type="dxa"/>
          </w:tcPr>
          <w:p w14:paraId="68FD5CBE" w14:textId="77777777" w:rsidR="008B4402" w:rsidRPr="00C9343F" w:rsidRDefault="008B4402" w:rsidP="00F66D98">
            <w:pPr>
              <w:pStyle w:val="BlockText-Plain"/>
            </w:pPr>
          </w:p>
        </w:tc>
        <w:tc>
          <w:tcPr>
            <w:tcW w:w="567" w:type="dxa"/>
          </w:tcPr>
          <w:p w14:paraId="5ADBD471" w14:textId="77777777" w:rsidR="008B4402" w:rsidRPr="00C9343F" w:rsidRDefault="008B4402" w:rsidP="008D1B5D">
            <w:pPr>
              <w:pStyle w:val="BlockText-Plain"/>
              <w:jc w:val="center"/>
            </w:pPr>
            <w:r w:rsidRPr="00C9343F">
              <w:t>a.</w:t>
            </w:r>
          </w:p>
        </w:tc>
        <w:tc>
          <w:tcPr>
            <w:tcW w:w="7796" w:type="dxa"/>
          </w:tcPr>
          <w:p w14:paraId="2F60B1E8" w14:textId="440CDB54" w:rsidR="008B4402" w:rsidRPr="00C9343F" w:rsidRDefault="008B4402" w:rsidP="00F66D98">
            <w:pPr>
              <w:pStyle w:val="BlockText-Plain"/>
            </w:pPr>
            <w:r w:rsidRPr="00C9343F">
              <w:t>If the member meets the conditions for paid leave in section 5.6.14, that part of the leave is paid.</w:t>
            </w:r>
          </w:p>
        </w:tc>
      </w:tr>
      <w:tr w:rsidR="008B4402" w:rsidRPr="00C9343F" w14:paraId="62FF9263" w14:textId="77777777" w:rsidTr="0066334C">
        <w:trPr>
          <w:cantSplit/>
        </w:trPr>
        <w:tc>
          <w:tcPr>
            <w:tcW w:w="992" w:type="dxa"/>
          </w:tcPr>
          <w:p w14:paraId="2E985665" w14:textId="77777777" w:rsidR="008B4402" w:rsidRPr="00C9343F" w:rsidRDefault="008B4402" w:rsidP="00F66D98">
            <w:pPr>
              <w:pStyle w:val="BlockText-Plain"/>
            </w:pPr>
          </w:p>
        </w:tc>
        <w:tc>
          <w:tcPr>
            <w:tcW w:w="567" w:type="dxa"/>
          </w:tcPr>
          <w:p w14:paraId="253738A9" w14:textId="77777777" w:rsidR="008B4402" w:rsidRPr="00C9343F" w:rsidRDefault="008B4402" w:rsidP="008D1B5D">
            <w:pPr>
              <w:pStyle w:val="BlockText-Plain"/>
              <w:jc w:val="center"/>
            </w:pPr>
            <w:r w:rsidRPr="00C9343F">
              <w:t>b.</w:t>
            </w:r>
          </w:p>
        </w:tc>
        <w:tc>
          <w:tcPr>
            <w:tcW w:w="7796" w:type="dxa"/>
          </w:tcPr>
          <w:p w14:paraId="5285684F" w14:textId="77777777" w:rsidR="008B4402" w:rsidRPr="00C9343F" w:rsidRDefault="008B4402" w:rsidP="00F66D98">
            <w:pPr>
              <w:pStyle w:val="BlockText-Plain"/>
            </w:pPr>
            <w:r w:rsidRPr="00C9343F">
              <w:t>All other maternity leave is unpaid.</w:t>
            </w:r>
          </w:p>
        </w:tc>
      </w:tr>
      <w:tr w:rsidR="008B4402" w:rsidRPr="00C9343F" w14:paraId="71678720" w14:textId="77777777" w:rsidTr="0066334C">
        <w:trPr>
          <w:cantSplit/>
        </w:trPr>
        <w:tc>
          <w:tcPr>
            <w:tcW w:w="992" w:type="dxa"/>
          </w:tcPr>
          <w:p w14:paraId="019FCB31" w14:textId="77777777" w:rsidR="008B4402" w:rsidRPr="00C9343F" w:rsidRDefault="008B4402" w:rsidP="00F66D98">
            <w:pPr>
              <w:pStyle w:val="BlockText-Plain"/>
            </w:pPr>
          </w:p>
        </w:tc>
        <w:tc>
          <w:tcPr>
            <w:tcW w:w="567" w:type="dxa"/>
          </w:tcPr>
          <w:p w14:paraId="6A42C780" w14:textId="77777777" w:rsidR="008B4402" w:rsidRPr="00C9343F" w:rsidRDefault="008B4402" w:rsidP="00F66D98">
            <w:pPr>
              <w:pStyle w:val="BlockText-Plain"/>
            </w:pPr>
          </w:p>
        </w:tc>
        <w:tc>
          <w:tcPr>
            <w:tcW w:w="7796" w:type="dxa"/>
          </w:tcPr>
          <w:p w14:paraId="1EEC7C41" w14:textId="77777777" w:rsidR="008B4402" w:rsidRPr="00C9343F" w:rsidRDefault="008B4402" w:rsidP="00F66D98">
            <w:pPr>
              <w:pStyle w:val="BlockText-Plain"/>
            </w:pPr>
            <w:r w:rsidRPr="00C9343F">
              <w:rPr>
                <w:b/>
              </w:rPr>
              <w:t>Note:</w:t>
            </w:r>
            <w:r w:rsidRPr="00C9343F">
              <w:t xml:space="preserve"> A member on unpaid leave combined with maternity leave may choose to keep contributing to the Military Superannuation and Benefits scheme. She can choose to contribute for up to nine months, but must do so before the expiration of the period of leave without pay. The full employer benefit for the scheme will be met. The period of unpaid leave counts as eligible service for payment of the retention benefit only if the member makes their election to contribute (and contributed) to the Military Superannuation and Benefits scheme before their period of unpaid leave ends.</w:t>
            </w:r>
          </w:p>
        </w:tc>
      </w:tr>
      <w:tr w:rsidR="008B4402" w:rsidRPr="00C9343F" w14:paraId="1BBC0CFE" w14:textId="77777777" w:rsidTr="0066334C">
        <w:trPr>
          <w:cantSplit/>
        </w:trPr>
        <w:tc>
          <w:tcPr>
            <w:tcW w:w="992" w:type="dxa"/>
          </w:tcPr>
          <w:p w14:paraId="2BB7DBB3" w14:textId="77777777" w:rsidR="008B4402" w:rsidRPr="00C9343F" w:rsidRDefault="008B4402" w:rsidP="00F66D98">
            <w:pPr>
              <w:pStyle w:val="BlockText-Plain"/>
            </w:pPr>
          </w:p>
        </w:tc>
        <w:tc>
          <w:tcPr>
            <w:tcW w:w="567" w:type="dxa"/>
          </w:tcPr>
          <w:p w14:paraId="47742C48" w14:textId="77777777" w:rsidR="008B4402" w:rsidRPr="00C9343F" w:rsidRDefault="008B4402" w:rsidP="008D1B5D">
            <w:pPr>
              <w:pStyle w:val="BlockText-Plain"/>
              <w:jc w:val="center"/>
            </w:pPr>
            <w:r w:rsidRPr="00C9343F">
              <w:t>c.</w:t>
            </w:r>
          </w:p>
        </w:tc>
        <w:tc>
          <w:tcPr>
            <w:tcW w:w="7796" w:type="dxa"/>
          </w:tcPr>
          <w:p w14:paraId="12608431" w14:textId="2F588424" w:rsidR="008B4402" w:rsidRPr="00C9343F" w:rsidRDefault="008B4402" w:rsidP="00F66D98">
            <w:pPr>
              <w:pStyle w:val="BlockText-Plain"/>
            </w:pPr>
            <w:r w:rsidRPr="00C9343F">
              <w:t>Arrangements for the substitution of other leave, and half-pay maternity leave in Division 2 may apply to the member.</w:t>
            </w:r>
          </w:p>
        </w:tc>
      </w:tr>
    </w:tbl>
    <w:p w14:paraId="184B20CD" w14:textId="62A12D63" w:rsidR="008B4402" w:rsidRPr="00C9343F" w:rsidRDefault="008B4402" w:rsidP="00F66D98">
      <w:pPr>
        <w:pStyle w:val="Heading5"/>
      </w:pPr>
      <w:bookmarkStart w:id="1773" w:name="_Toc105054087"/>
      <w:bookmarkStart w:id="1774" w:name="bk1203065426Discretiontovary"/>
      <w:bookmarkStart w:id="1775" w:name="bk1345525430Discretiontovary"/>
      <w:bookmarkStart w:id="1776" w:name="bk1418405432Discretiontovary"/>
      <w:bookmarkStart w:id="1777" w:name="bk1517555433Discretiontovary"/>
      <w:bookmarkStart w:id="1778" w:name="bk1525245433Discretiontovary"/>
      <w:bookmarkStart w:id="1779" w:name="bk1156355433Discretiontovary"/>
      <w:r w:rsidRPr="00C9343F">
        <w:t>5.6.32</w:t>
      </w:r>
      <w:r w:rsidR="00D94006" w:rsidRPr="00C9343F">
        <w:t>    </w:t>
      </w:r>
      <w:r w:rsidRPr="00C9343F">
        <w:t>Discretion to vary</w:t>
      </w:r>
      <w:bookmarkEnd w:id="1773"/>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59DF3D30" w14:textId="77777777" w:rsidTr="00927540">
        <w:tc>
          <w:tcPr>
            <w:tcW w:w="992" w:type="dxa"/>
          </w:tcPr>
          <w:bookmarkEnd w:id="1774"/>
          <w:bookmarkEnd w:id="1775"/>
          <w:bookmarkEnd w:id="1776"/>
          <w:bookmarkEnd w:id="1777"/>
          <w:bookmarkEnd w:id="1778"/>
          <w:bookmarkEnd w:id="1779"/>
          <w:p w14:paraId="1536189D" w14:textId="77777777" w:rsidR="008B4402" w:rsidRPr="00C9343F" w:rsidRDefault="008B4402" w:rsidP="00F66D98">
            <w:pPr>
              <w:pStyle w:val="BlockText-Plain"/>
              <w:jc w:val="center"/>
            </w:pPr>
            <w:r w:rsidRPr="00C9343F">
              <w:t>1.</w:t>
            </w:r>
          </w:p>
        </w:tc>
        <w:tc>
          <w:tcPr>
            <w:tcW w:w="8363" w:type="dxa"/>
            <w:gridSpan w:val="2"/>
          </w:tcPr>
          <w:p w14:paraId="575B0518" w14:textId="77777777" w:rsidR="008B4402" w:rsidRPr="00C9343F" w:rsidRDefault="008B4402" w:rsidP="00F66D98">
            <w:pPr>
              <w:pStyle w:val="BlockText-Plain"/>
            </w:pPr>
            <w:r w:rsidRPr="00C9343F">
              <w:t xml:space="preserve">The CDF may decide that this Division should not apply to a member, or should apply in part. </w:t>
            </w:r>
          </w:p>
        </w:tc>
      </w:tr>
      <w:tr w:rsidR="008B4402" w:rsidRPr="00C9343F" w14:paraId="4ED7A428" w14:textId="77777777" w:rsidTr="00927540">
        <w:tc>
          <w:tcPr>
            <w:tcW w:w="992" w:type="dxa"/>
          </w:tcPr>
          <w:p w14:paraId="643B419D" w14:textId="77777777" w:rsidR="008B4402" w:rsidRPr="00C9343F" w:rsidRDefault="008B4402" w:rsidP="00F66D98">
            <w:pPr>
              <w:pStyle w:val="BlockText-Plain"/>
              <w:jc w:val="center"/>
            </w:pPr>
            <w:r w:rsidRPr="00C9343F">
              <w:t>2.</w:t>
            </w:r>
          </w:p>
        </w:tc>
        <w:tc>
          <w:tcPr>
            <w:tcW w:w="8363" w:type="dxa"/>
            <w:gridSpan w:val="2"/>
          </w:tcPr>
          <w:p w14:paraId="50510272" w14:textId="77777777" w:rsidR="008B4402" w:rsidRPr="00C9343F" w:rsidRDefault="008B4402" w:rsidP="00F66D98">
            <w:pPr>
              <w:pStyle w:val="BlockText-Plain"/>
            </w:pPr>
            <w:r w:rsidRPr="00C9343F">
              <w:t xml:space="preserve">The CDF must consider both these criteria. </w:t>
            </w:r>
          </w:p>
        </w:tc>
      </w:tr>
      <w:tr w:rsidR="008B4402" w:rsidRPr="00C9343F" w14:paraId="61656EAC" w14:textId="77777777" w:rsidTr="00927540">
        <w:trPr>
          <w:cantSplit/>
        </w:trPr>
        <w:tc>
          <w:tcPr>
            <w:tcW w:w="992" w:type="dxa"/>
          </w:tcPr>
          <w:p w14:paraId="41C17D14" w14:textId="77777777" w:rsidR="008B4402" w:rsidRPr="00C9343F" w:rsidRDefault="008B4402" w:rsidP="00F66D98">
            <w:pPr>
              <w:pStyle w:val="BlockText-Plain"/>
            </w:pPr>
          </w:p>
        </w:tc>
        <w:tc>
          <w:tcPr>
            <w:tcW w:w="567" w:type="dxa"/>
          </w:tcPr>
          <w:p w14:paraId="36E84D58" w14:textId="77777777" w:rsidR="008B4402" w:rsidRPr="00C9343F" w:rsidRDefault="008B4402" w:rsidP="005849DD">
            <w:pPr>
              <w:pStyle w:val="BlockText-Plain"/>
              <w:jc w:val="center"/>
            </w:pPr>
            <w:r w:rsidRPr="00C9343F">
              <w:t>a.</w:t>
            </w:r>
          </w:p>
        </w:tc>
        <w:tc>
          <w:tcPr>
            <w:tcW w:w="7796" w:type="dxa"/>
          </w:tcPr>
          <w:p w14:paraId="08EC0416" w14:textId="77777777" w:rsidR="008B4402" w:rsidRPr="00C9343F" w:rsidRDefault="008B4402" w:rsidP="00F66D98">
            <w:pPr>
              <w:pStyle w:val="BlockText-Plain"/>
            </w:pPr>
            <w:r w:rsidRPr="00C9343F">
              <w:t>Why the leave without pay was granted.</w:t>
            </w:r>
          </w:p>
        </w:tc>
      </w:tr>
      <w:tr w:rsidR="008B4402" w:rsidRPr="00C9343F" w14:paraId="3867040D" w14:textId="77777777" w:rsidTr="00927540">
        <w:trPr>
          <w:cantSplit/>
        </w:trPr>
        <w:tc>
          <w:tcPr>
            <w:tcW w:w="992" w:type="dxa"/>
          </w:tcPr>
          <w:p w14:paraId="0B539C8C" w14:textId="77777777" w:rsidR="008B4402" w:rsidRPr="00C9343F" w:rsidRDefault="008B4402" w:rsidP="00F66D98">
            <w:pPr>
              <w:pStyle w:val="BlockText-Plain"/>
            </w:pPr>
          </w:p>
        </w:tc>
        <w:tc>
          <w:tcPr>
            <w:tcW w:w="567" w:type="dxa"/>
          </w:tcPr>
          <w:p w14:paraId="21A95518" w14:textId="77777777" w:rsidR="008B4402" w:rsidRPr="00C9343F" w:rsidRDefault="008B4402" w:rsidP="005849DD">
            <w:pPr>
              <w:pStyle w:val="BlockText-Plain"/>
              <w:jc w:val="center"/>
            </w:pPr>
            <w:r w:rsidRPr="00C9343F">
              <w:t>b.</w:t>
            </w:r>
          </w:p>
        </w:tc>
        <w:tc>
          <w:tcPr>
            <w:tcW w:w="7796" w:type="dxa"/>
          </w:tcPr>
          <w:p w14:paraId="78322FF7" w14:textId="77777777" w:rsidR="008B4402" w:rsidRPr="00C9343F" w:rsidRDefault="008B4402" w:rsidP="00F66D98">
            <w:pPr>
              <w:pStyle w:val="BlockText-Plain"/>
            </w:pPr>
            <w:r w:rsidRPr="00C9343F">
              <w:t>If it was granted in the interests of the ADF.</w:t>
            </w:r>
          </w:p>
        </w:tc>
      </w:tr>
    </w:tbl>
    <w:p w14:paraId="5CF0FB75" w14:textId="2569F035" w:rsidR="008B4402" w:rsidRPr="00C9343F" w:rsidRDefault="008B4402" w:rsidP="00F66D98">
      <w:pPr>
        <w:pStyle w:val="Heading3"/>
        <w:pageBreakBefore/>
      </w:pPr>
      <w:bookmarkStart w:id="1780" w:name="_Toc105054088"/>
      <w:r w:rsidRPr="00C9343F">
        <w:t>Part 7: Parental leave</w:t>
      </w:r>
      <w:bookmarkEnd w:id="1780"/>
    </w:p>
    <w:p w14:paraId="364C32DA" w14:textId="77777777" w:rsidR="006E5056" w:rsidRPr="00C9343F" w:rsidRDefault="006E5056" w:rsidP="00F66D98">
      <w:pPr>
        <w:pStyle w:val="Heading4"/>
      </w:pPr>
      <w:bookmarkStart w:id="1781" w:name="_Toc105054089"/>
      <w:r w:rsidRPr="00C9343F">
        <w:t>Division 1: General provisions</w:t>
      </w:r>
      <w:bookmarkEnd w:id="1781"/>
    </w:p>
    <w:p w14:paraId="7DFE03DB" w14:textId="3CB61315" w:rsidR="00840F4F" w:rsidRPr="00C9343F" w:rsidRDefault="00840F4F" w:rsidP="00F66D98">
      <w:pPr>
        <w:pStyle w:val="Heading5"/>
      </w:pPr>
      <w:bookmarkStart w:id="1782" w:name="_Toc105054090"/>
      <w:r w:rsidRPr="00C9343F">
        <w:t>5.7.1</w:t>
      </w:r>
      <w:r w:rsidR="00D94006" w:rsidRPr="00C9343F">
        <w:t>    </w:t>
      </w:r>
      <w:r w:rsidRPr="00C9343F">
        <w:t>Purpose</w:t>
      </w:r>
      <w:bookmarkEnd w:id="1782"/>
    </w:p>
    <w:tbl>
      <w:tblPr>
        <w:tblW w:w="9364" w:type="dxa"/>
        <w:tblInd w:w="113" w:type="dxa"/>
        <w:tblLayout w:type="fixed"/>
        <w:tblLook w:val="0000" w:firstRow="0" w:lastRow="0" w:firstColumn="0" w:lastColumn="0" w:noHBand="0" w:noVBand="0"/>
      </w:tblPr>
      <w:tblGrid>
        <w:gridCol w:w="992"/>
        <w:gridCol w:w="8372"/>
      </w:tblGrid>
      <w:tr w:rsidR="00840F4F" w:rsidRPr="00C9343F" w14:paraId="50E04EBA" w14:textId="77777777" w:rsidTr="003039DD">
        <w:tc>
          <w:tcPr>
            <w:tcW w:w="992" w:type="dxa"/>
            <w:shd w:val="clear" w:color="auto" w:fill="auto"/>
          </w:tcPr>
          <w:p w14:paraId="14E6ECF6" w14:textId="77777777" w:rsidR="00840F4F" w:rsidRPr="00C9343F" w:rsidRDefault="00840F4F" w:rsidP="00F66D98">
            <w:pPr>
              <w:pStyle w:val="BlockText-PlainNoSpacing"/>
              <w:jc w:val="center"/>
            </w:pPr>
          </w:p>
        </w:tc>
        <w:tc>
          <w:tcPr>
            <w:tcW w:w="8372" w:type="dxa"/>
            <w:shd w:val="clear" w:color="auto" w:fill="auto"/>
          </w:tcPr>
          <w:p w14:paraId="7A1D4B57" w14:textId="0ACA98C3" w:rsidR="00840F4F" w:rsidRPr="00C9343F" w:rsidRDefault="006E5056" w:rsidP="00F66D98">
            <w:pPr>
              <w:pStyle w:val="Sectiontext0"/>
            </w:pPr>
            <w:r w:rsidRPr="00C9343F">
              <w:t>Parental leave is provided to a member to care for and engage with their child after it has joined their family on a permanent basis.</w:t>
            </w:r>
          </w:p>
        </w:tc>
      </w:tr>
    </w:tbl>
    <w:p w14:paraId="7C11F25F" w14:textId="49EFFE60" w:rsidR="00840F4F" w:rsidRPr="00C9343F" w:rsidRDefault="00840F4F" w:rsidP="00F66D98">
      <w:pPr>
        <w:pStyle w:val="Heading5"/>
      </w:pPr>
      <w:bookmarkStart w:id="1783" w:name="_Toc105054091"/>
      <w:r w:rsidRPr="00C9343F">
        <w:t>5.7.3</w:t>
      </w:r>
      <w:r w:rsidR="00D94006" w:rsidRPr="00C9343F">
        <w:t>    </w:t>
      </w:r>
      <w:r w:rsidRPr="00C9343F">
        <w:t>Member this Part does not apply to</w:t>
      </w:r>
      <w:bookmarkEnd w:id="1783"/>
      <w:r w:rsidRPr="00C9343F">
        <w:t xml:space="preserve"> </w:t>
      </w:r>
    </w:p>
    <w:tbl>
      <w:tblPr>
        <w:tblW w:w="9359" w:type="dxa"/>
        <w:tblInd w:w="113" w:type="dxa"/>
        <w:tblLayout w:type="fixed"/>
        <w:tblLook w:val="0000" w:firstRow="0" w:lastRow="0" w:firstColumn="0" w:lastColumn="0" w:noHBand="0" w:noVBand="0"/>
      </w:tblPr>
      <w:tblGrid>
        <w:gridCol w:w="992"/>
        <w:gridCol w:w="8367"/>
      </w:tblGrid>
      <w:tr w:rsidR="00840F4F" w:rsidRPr="00C9343F" w14:paraId="77BBB352" w14:textId="77777777" w:rsidTr="003039DD">
        <w:tc>
          <w:tcPr>
            <w:tcW w:w="992" w:type="dxa"/>
          </w:tcPr>
          <w:p w14:paraId="578C0F7C" w14:textId="77777777" w:rsidR="00840F4F" w:rsidRPr="00C9343F" w:rsidRDefault="00840F4F" w:rsidP="00F66D98">
            <w:pPr>
              <w:pStyle w:val="BlockText-Plain"/>
              <w:jc w:val="center"/>
            </w:pPr>
          </w:p>
        </w:tc>
        <w:tc>
          <w:tcPr>
            <w:tcW w:w="8367" w:type="dxa"/>
          </w:tcPr>
          <w:p w14:paraId="333AF452" w14:textId="77777777" w:rsidR="00840F4F" w:rsidRPr="00C9343F" w:rsidRDefault="00840F4F" w:rsidP="00F66D98">
            <w:pPr>
              <w:pStyle w:val="BlockText-Plain"/>
            </w:pPr>
            <w:r w:rsidRPr="00C9343F">
              <w:t>This Part does not apply to a member who is on a period of maternity leave.</w:t>
            </w:r>
          </w:p>
        </w:tc>
      </w:tr>
    </w:tbl>
    <w:p w14:paraId="76DB4034" w14:textId="636AC49C" w:rsidR="00840F4F" w:rsidRPr="00C9343F" w:rsidRDefault="00840F4F" w:rsidP="00F66D98">
      <w:pPr>
        <w:pStyle w:val="Heading5"/>
      </w:pPr>
      <w:bookmarkStart w:id="1784" w:name="_Toc105054092"/>
      <w:r w:rsidRPr="00C9343F">
        <w:t>5.7.4</w:t>
      </w:r>
      <w:r w:rsidR="00D94006" w:rsidRPr="00C9343F">
        <w:t>    </w:t>
      </w:r>
      <w:r w:rsidRPr="00C9343F">
        <w:t>Definitions</w:t>
      </w:r>
      <w:bookmarkEnd w:id="1784"/>
    </w:p>
    <w:tbl>
      <w:tblPr>
        <w:tblW w:w="9364" w:type="dxa"/>
        <w:tblInd w:w="113" w:type="dxa"/>
        <w:tblLayout w:type="fixed"/>
        <w:tblLook w:val="04A0" w:firstRow="1" w:lastRow="0" w:firstColumn="1" w:lastColumn="0" w:noHBand="0" w:noVBand="1"/>
      </w:tblPr>
      <w:tblGrid>
        <w:gridCol w:w="992"/>
        <w:gridCol w:w="563"/>
        <w:gridCol w:w="7809"/>
      </w:tblGrid>
      <w:tr w:rsidR="00840F4F" w:rsidRPr="00C9343F" w14:paraId="34995CE7" w14:textId="77777777" w:rsidTr="003039DD">
        <w:tc>
          <w:tcPr>
            <w:tcW w:w="992" w:type="dxa"/>
          </w:tcPr>
          <w:p w14:paraId="543B0EFD" w14:textId="77777777" w:rsidR="00840F4F" w:rsidRPr="00C9343F" w:rsidRDefault="00840F4F" w:rsidP="00F66D98">
            <w:pPr>
              <w:pStyle w:val="Sectiontext0"/>
              <w:jc w:val="center"/>
              <w:rPr>
                <w:rFonts w:cs="Arial"/>
                <w:lang w:eastAsia="en-US"/>
              </w:rPr>
            </w:pPr>
          </w:p>
        </w:tc>
        <w:tc>
          <w:tcPr>
            <w:tcW w:w="8372" w:type="dxa"/>
            <w:gridSpan w:val="2"/>
          </w:tcPr>
          <w:p w14:paraId="78BAE2BD" w14:textId="77777777" w:rsidR="00840F4F" w:rsidRPr="00C9343F" w:rsidRDefault="00840F4F" w:rsidP="00F66D98">
            <w:pPr>
              <w:pStyle w:val="Sectiontext0"/>
              <w:rPr>
                <w:rFonts w:cs="Arial"/>
              </w:rPr>
            </w:pPr>
            <w:r w:rsidRPr="00C9343F">
              <w:rPr>
                <w:rFonts w:cs="Arial"/>
              </w:rPr>
              <w:t xml:space="preserve">In this Part, the following apply. </w:t>
            </w:r>
          </w:p>
        </w:tc>
      </w:tr>
      <w:tr w:rsidR="006E5056" w:rsidRPr="00C9343F" w14:paraId="5F712888" w14:textId="77777777" w:rsidTr="006E5056">
        <w:tc>
          <w:tcPr>
            <w:tcW w:w="992" w:type="dxa"/>
          </w:tcPr>
          <w:p w14:paraId="3DAF35D2" w14:textId="77777777" w:rsidR="006E5056" w:rsidRPr="00C9343F" w:rsidRDefault="006E5056" w:rsidP="00F66D98">
            <w:pPr>
              <w:pStyle w:val="Sectiontext0"/>
              <w:jc w:val="center"/>
              <w:rPr>
                <w:rFonts w:cs="Arial"/>
                <w:lang w:eastAsia="en-US"/>
              </w:rPr>
            </w:pPr>
          </w:p>
        </w:tc>
        <w:tc>
          <w:tcPr>
            <w:tcW w:w="8372" w:type="dxa"/>
            <w:gridSpan w:val="2"/>
          </w:tcPr>
          <w:p w14:paraId="05B081D3" w14:textId="77777777" w:rsidR="006E5056" w:rsidRPr="00C9343F" w:rsidRDefault="006E5056" w:rsidP="00F66D98">
            <w:pPr>
              <w:pStyle w:val="Sectiontext0"/>
              <w:rPr>
                <w:rFonts w:cs="Arial"/>
              </w:rPr>
            </w:pPr>
            <w:r w:rsidRPr="00C9343F">
              <w:rPr>
                <w:rFonts w:cs="Arial"/>
                <w:b/>
              </w:rPr>
              <w:t>Dual serving parent</w:t>
            </w:r>
            <w:r w:rsidRPr="00C9343F">
              <w:rPr>
                <w:rFonts w:cs="Arial"/>
              </w:rPr>
              <w:t xml:space="preserve"> means a member to whom all of the following apply.</w:t>
            </w:r>
          </w:p>
        </w:tc>
      </w:tr>
      <w:tr w:rsidR="006E5056" w:rsidRPr="00C9343F" w14:paraId="5B08072B" w14:textId="77777777" w:rsidTr="006E5056">
        <w:tc>
          <w:tcPr>
            <w:tcW w:w="992" w:type="dxa"/>
          </w:tcPr>
          <w:p w14:paraId="132CE20B" w14:textId="77777777" w:rsidR="006E5056" w:rsidRPr="00C9343F" w:rsidRDefault="006E5056" w:rsidP="00F66D98">
            <w:pPr>
              <w:pStyle w:val="Sectiontext0"/>
              <w:jc w:val="center"/>
              <w:rPr>
                <w:lang w:eastAsia="en-US"/>
              </w:rPr>
            </w:pPr>
          </w:p>
        </w:tc>
        <w:tc>
          <w:tcPr>
            <w:tcW w:w="563" w:type="dxa"/>
            <w:hideMark/>
          </w:tcPr>
          <w:p w14:paraId="3BE88468" w14:textId="77777777" w:rsidR="006E5056" w:rsidRPr="00C9343F" w:rsidRDefault="006E5056" w:rsidP="00F66D98">
            <w:pPr>
              <w:pStyle w:val="Sectiontext0"/>
              <w:jc w:val="center"/>
              <w:rPr>
                <w:rFonts w:cs="Arial"/>
                <w:lang w:eastAsia="en-US"/>
              </w:rPr>
            </w:pPr>
            <w:r w:rsidRPr="00C9343F">
              <w:rPr>
                <w:rFonts w:cs="Arial"/>
                <w:lang w:eastAsia="en-US"/>
              </w:rPr>
              <w:t>a.</w:t>
            </w:r>
          </w:p>
        </w:tc>
        <w:tc>
          <w:tcPr>
            <w:tcW w:w="7809" w:type="dxa"/>
          </w:tcPr>
          <w:p w14:paraId="622C5D66" w14:textId="77777777" w:rsidR="006E5056" w:rsidRPr="00C9343F" w:rsidRDefault="006E5056" w:rsidP="00F66D98">
            <w:pPr>
              <w:pStyle w:val="Sectiontext0"/>
              <w:rPr>
                <w:rFonts w:cs="Arial"/>
                <w:lang w:eastAsia="en-US"/>
              </w:rPr>
            </w:pPr>
            <w:r w:rsidRPr="00C9343F">
              <w:rPr>
                <w:rFonts w:cs="Arial"/>
                <w:lang w:eastAsia="en-US"/>
              </w:rPr>
              <w:t>They have a child.</w:t>
            </w:r>
          </w:p>
        </w:tc>
      </w:tr>
      <w:tr w:rsidR="006E5056" w:rsidRPr="00C9343F" w14:paraId="758741F7" w14:textId="77777777" w:rsidTr="006E5056">
        <w:tc>
          <w:tcPr>
            <w:tcW w:w="992" w:type="dxa"/>
          </w:tcPr>
          <w:p w14:paraId="5E07D2CA" w14:textId="77777777" w:rsidR="006E5056" w:rsidRPr="00C9343F" w:rsidRDefault="006E5056" w:rsidP="00F66D98">
            <w:pPr>
              <w:pStyle w:val="Sectiontext0"/>
              <w:jc w:val="center"/>
              <w:rPr>
                <w:lang w:eastAsia="en-US"/>
              </w:rPr>
            </w:pPr>
          </w:p>
        </w:tc>
        <w:tc>
          <w:tcPr>
            <w:tcW w:w="563" w:type="dxa"/>
            <w:hideMark/>
          </w:tcPr>
          <w:p w14:paraId="6D2E64E0"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809" w:type="dxa"/>
          </w:tcPr>
          <w:p w14:paraId="27E0C8E2" w14:textId="77777777" w:rsidR="006E5056" w:rsidRPr="00C9343F" w:rsidRDefault="006E5056" w:rsidP="00F66D98">
            <w:pPr>
              <w:pStyle w:val="Sectiontext0"/>
              <w:rPr>
                <w:rFonts w:cs="Arial"/>
                <w:lang w:eastAsia="en-US"/>
              </w:rPr>
            </w:pPr>
            <w:r w:rsidRPr="00C9343F">
              <w:rPr>
                <w:rFonts w:cs="Arial"/>
                <w:lang w:eastAsia="en-US"/>
              </w:rPr>
              <w:t xml:space="preserve">The child’s </w:t>
            </w:r>
            <w:r w:rsidRPr="00C9343F">
              <w:t>other parent is also a member.</w:t>
            </w:r>
          </w:p>
        </w:tc>
      </w:tr>
      <w:tr w:rsidR="006E5056" w:rsidRPr="00C9343F" w14:paraId="1D31D1F2" w14:textId="77777777" w:rsidTr="006E5056">
        <w:tc>
          <w:tcPr>
            <w:tcW w:w="992" w:type="dxa"/>
          </w:tcPr>
          <w:p w14:paraId="60FAA5F4" w14:textId="77777777" w:rsidR="006E5056" w:rsidRPr="00C9343F" w:rsidRDefault="006E5056" w:rsidP="00F66D98">
            <w:pPr>
              <w:pStyle w:val="Sectiontext0"/>
              <w:jc w:val="center"/>
              <w:rPr>
                <w:lang w:eastAsia="en-US"/>
              </w:rPr>
            </w:pPr>
          </w:p>
        </w:tc>
        <w:tc>
          <w:tcPr>
            <w:tcW w:w="8372" w:type="dxa"/>
            <w:gridSpan w:val="2"/>
          </w:tcPr>
          <w:p w14:paraId="0ABD59FC" w14:textId="77777777" w:rsidR="006E5056" w:rsidRPr="00C9343F" w:rsidRDefault="006E5056" w:rsidP="00F66D98">
            <w:pPr>
              <w:pStyle w:val="Sectiontext0"/>
            </w:pPr>
            <w:r w:rsidRPr="00C9343F">
              <w:rPr>
                <w:b/>
              </w:rPr>
              <w:t>Parental leave</w:t>
            </w:r>
            <w:r w:rsidRPr="00C9343F">
              <w:t xml:space="preserve"> means all of the following.</w:t>
            </w:r>
          </w:p>
        </w:tc>
      </w:tr>
      <w:tr w:rsidR="006E5056" w:rsidRPr="00C9343F" w14:paraId="1E74BFC0" w14:textId="77777777" w:rsidTr="006E5056">
        <w:tc>
          <w:tcPr>
            <w:tcW w:w="992" w:type="dxa"/>
          </w:tcPr>
          <w:p w14:paraId="1B4FE9A3" w14:textId="77777777" w:rsidR="006E5056" w:rsidRPr="00C9343F" w:rsidRDefault="006E5056" w:rsidP="00F66D98">
            <w:pPr>
              <w:pStyle w:val="Sectiontext0"/>
              <w:jc w:val="center"/>
              <w:rPr>
                <w:lang w:eastAsia="en-US"/>
              </w:rPr>
            </w:pPr>
          </w:p>
        </w:tc>
        <w:tc>
          <w:tcPr>
            <w:tcW w:w="563" w:type="dxa"/>
            <w:hideMark/>
          </w:tcPr>
          <w:p w14:paraId="63C2D8F2" w14:textId="77777777" w:rsidR="006E5056" w:rsidRPr="00C9343F" w:rsidRDefault="006E5056" w:rsidP="00F66D98">
            <w:pPr>
              <w:pStyle w:val="Sectiontext0"/>
              <w:jc w:val="center"/>
              <w:rPr>
                <w:rFonts w:cs="Arial"/>
                <w:lang w:eastAsia="en-US"/>
              </w:rPr>
            </w:pPr>
            <w:r w:rsidRPr="00C9343F">
              <w:rPr>
                <w:rFonts w:cs="Arial"/>
                <w:lang w:eastAsia="en-US"/>
              </w:rPr>
              <w:t>a.</w:t>
            </w:r>
          </w:p>
        </w:tc>
        <w:tc>
          <w:tcPr>
            <w:tcW w:w="7809" w:type="dxa"/>
          </w:tcPr>
          <w:p w14:paraId="4509A7BC" w14:textId="77777777" w:rsidR="006E5056" w:rsidRPr="00C9343F" w:rsidRDefault="006E5056" w:rsidP="00F66D98">
            <w:pPr>
              <w:pStyle w:val="Sectiontext0"/>
              <w:rPr>
                <w:rFonts w:cs="Arial"/>
                <w:lang w:eastAsia="en-US"/>
              </w:rPr>
            </w:pPr>
            <w:r w:rsidRPr="00C9343F">
              <w:t>Paid parental leave.</w:t>
            </w:r>
          </w:p>
        </w:tc>
      </w:tr>
      <w:tr w:rsidR="006E5056" w:rsidRPr="00C9343F" w14:paraId="7B420E39" w14:textId="77777777" w:rsidTr="006E5056">
        <w:tc>
          <w:tcPr>
            <w:tcW w:w="992" w:type="dxa"/>
          </w:tcPr>
          <w:p w14:paraId="7FECE42A" w14:textId="77777777" w:rsidR="006E5056" w:rsidRPr="00C9343F" w:rsidRDefault="006E5056" w:rsidP="00F66D98">
            <w:pPr>
              <w:pStyle w:val="Sectiontext0"/>
              <w:jc w:val="center"/>
              <w:rPr>
                <w:lang w:eastAsia="en-US"/>
              </w:rPr>
            </w:pPr>
          </w:p>
        </w:tc>
        <w:tc>
          <w:tcPr>
            <w:tcW w:w="563" w:type="dxa"/>
            <w:hideMark/>
          </w:tcPr>
          <w:p w14:paraId="3DFA2109"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809" w:type="dxa"/>
          </w:tcPr>
          <w:p w14:paraId="3FD220D3" w14:textId="77777777" w:rsidR="006E5056" w:rsidRPr="00C9343F" w:rsidRDefault="006E5056" w:rsidP="00F66D98">
            <w:pPr>
              <w:pStyle w:val="Sectiontext0"/>
              <w:rPr>
                <w:rFonts w:cs="Arial"/>
                <w:lang w:eastAsia="en-US"/>
              </w:rPr>
            </w:pPr>
            <w:r w:rsidRPr="00C9343F">
              <w:t>Special paid parental leave.</w:t>
            </w:r>
          </w:p>
        </w:tc>
      </w:tr>
      <w:tr w:rsidR="006E5056" w:rsidRPr="00C9343F" w14:paraId="5A1827E7" w14:textId="77777777" w:rsidTr="006E5056">
        <w:tc>
          <w:tcPr>
            <w:tcW w:w="992" w:type="dxa"/>
          </w:tcPr>
          <w:p w14:paraId="30289D2A" w14:textId="77777777" w:rsidR="006E5056" w:rsidRPr="00C9343F" w:rsidRDefault="006E5056" w:rsidP="00F66D98">
            <w:pPr>
              <w:pStyle w:val="Sectiontext0"/>
              <w:jc w:val="center"/>
              <w:rPr>
                <w:lang w:eastAsia="en-US"/>
              </w:rPr>
            </w:pPr>
          </w:p>
        </w:tc>
        <w:tc>
          <w:tcPr>
            <w:tcW w:w="563" w:type="dxa"/>
            <w:hideMark/>
          </w:tcPr>
          <w:p w14:paraId="212222DC" w14:textId="77777777" w:rsidR="006E5056" w:rsidRPr="00C9343F" w:rsidRDefault="006E5056" w:rsidP="00F66D98">
            <w:pPr>
              <w:pStyle w:val="Sectiontext0"/>
              <w:jc w:val="center"/>
              <w:rPr>
                <w:rFonts w:cs="Arial"/>
                <w:lang w:eastAsia="en-US"/>
              </w:rPr>
            </w:pPr>
            <w:r w:rsidRPr="00C9343F">
              <w:rPr>
                <w:rFonts w:cs="Arial"/>
                <w:lang w:eastAsia="en-US"/>
              </w:rPr>
              <w:t>c.</w:t>
            </w:r>
          </w:p>
        </w:tc>
        <w:tc>
          <w:tcPr>
            <w:tcW w:w="7809" w:type="dxa"/>
          </w:tcPr>
          <w:p w14:paraId="35A01A27" w14:textId="77777777" w:rsidR="006E5056" w:rsidRPr="00C9343F" w:rsidRDefault="006E5056" w:rsidP="00F66D98">
            <w:pPr>
              <w:pStyle w:val="Sectiontext0"/>
              <w:rPr>
                <w:rFonts w:cs="Arial"/>
                <w:lang w:eastAsia="en-US"/>
              </w:rPr>
            </w:pPr>
            <w:r w:rsidRPr="00C9343F">
              <w:t>Unpaid parental leave.</w:t>
            </w:r>
          </w:p>
        </w:tc>
      </w:tr>
      <w:tr w:rsidR="00840F4F" w:rsidRPr="00C9343F" w14:paraId="65939AEF" w14:textId="77777777" w:rsidTr="003039DD">
        <w:tc>
          <w:tcPr>
            <w:tcW w:w="992" w:type="dxa"/>
          </w:tcPr>
          <w:p w14:paraId="45AE49EC" w14:textId="77777777" w:rsidR="00840F4F" w:rsidRPr="00C9343F" w:rsidRDefault="00840F4F" w:rsidP="00F66D98">
            <w:pPr>
              <w:keepLines w:val="0"/>
              <w:rPr>
                <w:rFonts w:cs="Arial"/>
                <w:lang w:eastAsia="en-US"/>
              </w:rPr>
            </w:pPr>
          </w:p>
        </w:tc>
        <w:tc>
          <w:tcPr>
            <w:tcW w:w="8372" w:type="dxa"/>
            <w:gridSpan w:val="2"/>
          </w:tcPr>
          <w:p w14:paraId="4A56BFA5" w14:textId="77777777" w:rsidR="00840F4F" w:rsidRPr="00C9343F" w:rsidRDefault="00840F4F" w:rsidP="00F66D98">
            <w:pPr>
              <w:pStyle w:val="Sectiontext0"/>
              <w:rPr>
                <w:rFonts w:cs="Arial"/>
                <w:b/>
                <w:lang w:eastAsia="en-US"/>
              </w:rPr>
            </w:pPr>
            <w:r w:rsidRPr="00C9343F">
              <w:rPr>
                <w:rFonts w:cs="Arial"/>
                <w:b/>
                <w:lang w:eastAsia="en-US"/>
              </w:rPr>
              <w:t xml:space="preserve">Notes: </w:t>
            </w:r>
          </w:p>
          <w:p w14:paraId="7D02FFC5" w14:textId="77777777" w:rsidR="00840F4F" w:rsidRPr="00C9343F" w:rsidRDefault="00840F4F" w:rsidP="00F66D98">
            <w:pPr>
              <w:pStyle w:val="Sectiontext0"/>
              <w:rPr>
                <w:rFonts w:cs="Arial"/>
                <w:lang w:eastAsia="en-US"/>
              </w:rPr>
            </w:pPr>
            <w:r w:rsidRPr="00C9343F">
              <w:rPr>
                <w:rFonts w:cs="Arial"/>
                <w:lang w:eastAsia="en-US"/>
              </w:rPr>
              <w:t>1.</w:t>
            </w:r>
            <w:r w:rsidRPr="00C9343F">
              <w:rPr>
                <w:rFonts w:cs="Arial"/>
                <w:b/>
                <w:lang w:eastAsia="en-US"/>
              </w:rPr>
              <w:t xml:space="preserve"> </w:t>
            </w:r>
            <w:r w:rsidRPr="00C9343F">
              <w:rPr>
                <w:rFonts w:cs="Arial"/>
                <w:lang w:eastAsia="en-US"/>
              </w:rPr>
              <w:t>A member cannot be on more than one type of parental leave at a time.</w:t>
            </w:r>
          </w:p>
          <w:p w14:paraId="771B18CE" w14:textId="77777777" w:rsidR="00840F4F" w:rsidRPr="00C9343F" w:rsidRDefault="00840F4F" w:rsidP="00F66D98">
            <w:pPr>
              <w:pStyle w:val="Sectiontext0"/>
              <w:rPr>
                <w:rFonts w:cs="Arial"/>
                <w:b/>
                <w:lang w:eastAsia="en-US"/>
              </w:rPr>
            </w:pPr>
            <w:r w:rsidRPr="00C9343F">
              <w:rPr>
                <w:rFonts w:cs="Arial"/>
                <w:lang w:eastAsia="en-US"/>
              </w:rPr>
              <w:t>2. Parental leave is not a type of leave that can be accrued.</w:t>
            </w:r>
          </w:p>
        </w:tc>
      </w:tr>
      <w:tr w:rsidR="00840F4F" w:rsidRPr="00C9343F" w14:paraId="2F13B33B" w14:textId="77777777" w:rsidTr="003039DD">
        <w:tc>
          <w:tcPr>
            <w:tcW w:w="992" w:type="dxa"/>
          </w:tcPr>
          <w:p w14:paraId="6AABA5A7" w14:textId="77777777" w:rsidR="00840F4F" w:rsidRPr="00C9343F" w:rsidRDefault="00840F4F" w:rsidP="00F66D98">
            <w:pPr>
              <w:pStyle w:val="Sectiontext0"/>
              <w:jc w:val="center"/>
              <w:rPr>
                <w:rFonts w:cs="Arial"/>
                <w:lang w:eastAsia="en-US"/>
              </w:rPr>
            </w:pPr>
          </w:p>
        </w:tc>
        <w:tc>
          <w:tcPr>
            <w:tcW w:w="8372" w:type="dxa"/>
            <w:gridSpan w:val="2"/>
          </w:tcPr>
          <w:p w14:paraId="55FEE7E9" w14:textId="77777777" w:rsidR="00840F4F" w:rsidRPr="00C9343F" w:rsidRDefault="00840F4F" w:rsidP="00F66D98">
            <w:pPr>
              <w:pStyle w:val="Sectiontext0"/>
              <w:rPr>
                <w:rFonts w:cs="Arial"/>
              </w:rPr>
            </w:pPr>
            <w:r w:rsidRPr="00C9343F">
              <w:rPr>
                <w:rFonts w:cs="Arial"/>
                <w:b/>
                <w:lang w:eastAsia="en-US"/>
              </w:rPr>
              <w:t>Qualifying service</w:t>
            </w:r>
            <w:r w:rsidRPr="00C9343F">
              <w:rPr>
                <w:rFonts w:cs="Arial"/>
                <w:lang w:eastAsia="en-US"/>
              </w:rPr>
              <w:t xml:space="preserve"> means a period of 12 months continuous full-time service.</w:t>
            </w:r>
          </w:p>
        </w:tc>
      </w:tr>
    </w:tbl>
    <w:p w14:paraId="60C2C0D5" w14:textId="171DC40D" w:rsidR="006E5056" w:rsidRPr="00C9343F" w:rsidRDefault="006E5056" w:rsidP="00F66D98">
      <w:pPr>
        <w:pStyle w:val="Heading5"/>
      </w:pPr>
      <w:bookmarkStart w:id="1785" w:name="_Toc105054093"/>
      <w:r w:rsidRPr="00C9343F">
        <w:t>5.7.4A</w:t>
      </w:r>
      <w:r w:rsidR="00D94006" w:rsidRPr="00C9343F">
        <w:t>    </w:t>
      </w:r>
      <w:r w:rsidRPr="00C9343F">
        <w:t>How to apply for parental leave</w:t>
      </w:r>
      <w:bookmarkEnd w:id="1785"/>
    </w:p>
    <w:tbl>
      <w:tblPr>
        <w:tblW w:w="9359" w:type="dxa"/>
        <w:tblInd w:w="113" w:type="dxa"/>
        <w:tblLayout w:type="fixed"/>
        <w:tblLook w:val="04A0" w:firstRow="1" w:lastRow="0" w:firstColumn="1" w:lastColumn="0" w:noHBand="0" w:noVBand="1"/>
      </w:tblPr>
      <w:tblGrid>
        <w:gridCol w:w="992"/>
        <w:gridCol w:w="8367"/>
      </w:tblGrid>
      <w:tr w:rsidR="006E5056" w:rsidRPr="00C9343F" w14:paraId="1BFDA2FC" w14:textId="77777777" w:rsidTr="006E5056">
        <w:tc>
          <w:tcPr>
            <w:tcW w:w="992" w:type="dxa"/>
          </w:tcPr>
          <w:p w14:paraId="2A6CA297" w14:textId="77777777" w:rsidR="006E5056" w:rsidRPr="00C9343F" w:rsidRDefault="006E5056" w:rsidP="00F66D98">
            <w:pPr>
              <w:pStyle w:val="Sectiontext0"/>
            </w:pPr>
          </w:p>
        </w:tc>
        <w:tc>
          <w:tcPr>
            <w:tcW w:w="8367" w:type="dxa"/>
          </w:tcPr>
          <w:p w14:paraId="24A65452" w14:textId="77777777" w:rsidR="006E5056" w:rsidRPr="00C9343F" w:rsidRDefault="006E5056" w:rsidP="00F66D98">
            <w:pPr>
              <w:pStyle w:val="Sectiontext0"/>
            </w:pPr>
            <w:r w:rsidRPr="00C9343F">
              <w:t>A member must apply for parental leave using the approved form.</w:t>
            </w:r>
          </w:p>
        </w:tc>
      </w:tr>
    </w:tbl>
    <w:p w14:paraId="6C62652D" w14:textId="1C53D146" w:rsidR="006E5056" w:rsidRPr="00C9343F" w:rsidRDefault="006E5056" w:rsidP="00F66D98">
      <w:pPr>
        <w:pStyle w:val="Heading5"/>
      </w:pPr>
      <w:bookmarkStart w:id="1786" w:name="_Toc71899827"/>
      <w:bookmarkStart w:id="1787" w:name="_Toc105054094"/>
      <w:r w:rsidRPr="00C9343F">
        <w:t>5.7.4B</w:t>
      </w:r>
      <w:r w:rsidR="00D94006" w:rsidRPr="00C9343F">
        <w:t>    </w:t>
      </w:r>
      <w:r w:rsidRPr="00C9343F">
        <w:t>Limit on the amount of parental leave</w:t>
      </w:r>
      <w:bookmarkEnd w:id="1786"/>
      <w:bookmarkEnd w:id="1787"/>
    </w:p>
    <w:tbl>
      <w:tblPr>
        <w:tblW w:w="9369" w:type="dxa"/>
        <w:tblInd w:w="108" w:type="dxa"/>
        <w:tblLayout w:type="fixed"/>
        <w:tblLook w:val="04A0" w:firstRow="1" w:lastRow="0" w:firstColumn="1" w:lastColumn="0" w:noHBand="0" w:noVBand="1"/>
      </w:tblPr>
      <w:tblGrid>
        <w:gridCol w:w="992"/>
        <w:gridCol w:w="578"/>
        <w:gridCol w:w="7799"/>
      </w:tblGrid>
      <w:tr w:rsidR="006E5056" w:rsidRPr="00C9343F" w14:paraId="4A8AA722" w14:textId="77777777" w:rsidTr="006E5056">
        <w:tc>
          <w:tcPr>
            <w:tcW w:w="992" w:type="dxa"/>
            <w:hideMark/>
          </w:tcPr>
          <w:p w14:paraId="15D06211" w14:textId="77777777" w:rsidR="006E5056" w:rsidRPr="00C9343F" w:rsidRDefault="006E5056" w:rsidP="00F66D98">
            <w:pPr>
              <w:pStyle w:val="Sectiontext0"/>
              <w:jc w:val="center"/>
            </w:pPr>
            <w:r w:rsidRPr="00C9343F">
              <w:t>1.</w:t>
            </w:r>
          </w:p>
        </w:tc>
        <w:tc>
          <w:tcPr>
            <w:tcW w:w="8377" w:type="dxa"/>
            <w:gridSpan w:val="2"/>
            <w:hideMark/>
          </w:tcPr>
          <w:p w14:paraId="764EDD3F" w14:textId="77777777" w:rsidR="006E5056" w:rsidRPr="00C9343F" w:rsidRDefault="006E5056" w:rsidP="00F66D98">
            <w:pPr>
              <w:pStyle w:val="Sectiontext0"/>
            </w:pPr>
            <w:r w:rsidRPr="00C9343F">
              <w:rPr>
                <w:iCs/>
              </w:rPr>
              <w:t>Subject to subsection 2, the maximum amount of parental leave a member can take is 66 weeks.</w:t>
            </w:r>
          </w:p>
        </w:tc>
      </w:tr>
      <w:tr w:rsidR="006E5056" w:rsidRPr="00C9343F" w14:paraId="3B5B6688" w14:textId="77777777" w:rsidTr="006E5056">
        <w:tc>
          <w:tcPr>
            <w:tcW w:w="992" w:type="dxa"/>
            <w:hideMark/>
          </w:tcPr>
          <w:p w14:paraId="443A96E6" w14:textId="77777777" w:rsidR="006E5056" w:rsidRPr="00C9343F" w:rsidRDefault="006E5056" w:rsidP="00F66D98">
            <w:pPr>
              <w:pStyle w:val="Sectiontext0"/>
              <w:jc w:val="center"/>
            </w:pPr>
            <w:r w:rsidRPr="00C9343F">
              <w:t>2.</w:t>
            </w:r>
          </w:p>
        </w:tc>
        <w:tc>
          <w:tcPr>
            <w:tcW w:w="8377" w:type="dxa"/>
            <w:gridSpan w:val="2"/>
            <w:hideMark/>
          </w:tcPr>
          <w:p w14:paraId="16BBBD57" w14:textId="77777777" w:rsidR="006E5056" w:rsidRPr="00C9343F" w:rsidRDefault="006E5056" w:rsidP="00F66D98">
            <w:pPr>
              <w:pStyle w:val="Sectiontext0"/>
              <w:rPr>
                <w:iCs/>
              </w:rPr>
            </w:pPr>
            <w:r w:rsidRPr="00C9343F">
              <w:rPr>
                <w:iCs/>
              </w:rPr>
              <w:t>The maximum amount of parental leave a member can take is reduced by the following.</w:t>
            </w:r>
          </w:p>
        </w:tc>
      </w:tr>
      <w:tr w:rsidR="006E5056" w:rsidRPr="00C9343F" w14:paraId="48EA250E" w14:textId="77777777" w:rsidTr="006E5056">
        <w:tc>
          <w:tcPr>
            <w:tcW w:w="992" w:type="dxa"/>
          </w:tcPr>
          <w:p w14:paraId="3C794486" w14:textId="77777777" w:rsidR="006E5056" w:rsidRPr="00C9343F" w:rsidRDefault="006E5056" w:rsidP="00F66D98">
            <w:pPr>
              <w:pStyle w:val="Sectiontext0"/>
              <w:jc w:val="center"/>
              <w:rPr>
                <w:lang w:eastAsia="en-US"/>
              </w:rPr>
            </w:pPr>
          </w:p>
        </w:tc>
        <w:tc>
          <w:tcPr>
            <w:tcW w:w="578" w:type="dxa"/>
            <w:hideMark/>
          </w:tcPr>
          <w:p w14:paraId="1346AFB6" w14:textId="77777777" w:rsidR="006E5056" w:rsidRPr="00C9343F" w:rsidRDefault="006E5056" w:rsidP="00F66D98">
            <w:pPr>
              <w:pStyle w:val="Sectiontext0"/>
              <w:jc w:val="center"/>
              <w:rPr>
                <w:rFonts w:cs="Arial"/>
                <w:lang w:eastAsia="en-US"/>
              </w:rPr>
            </w:pPr>
            <w:r w:rsidRPr="00C9343F">
              <w:rPr>
                <w:rFonts w:cs="Arial"/>
                <w:lang w:eastAsia="en-US"/>
              </w:rPr>
              <w:t>a.</w:t>
            </w:r>
          </w:p>
        </w:tc>
        <w:tc>
          <w:tcPr>
            <w:tcW w:w="7799" w:type="dxa"/>
            <w:hideMark/>
          </w:tcPr>
          <w:p w14:paraId="19CF833B" w14:textId="77777777" w:rsidR="006E5056" w:rsidRPr="00C9343F" w:rsidRDefault="006E5056" w:rsidP="00F66D98">
            <w:pPr>
              <w:pStyle w:val="Sectiontext0"/>
              <w:rPr>
                <w:rFonts w:cs="Arial"/>
                <w:lang w:eastAsia="en-US"/>
              </w:rPr>
            </w:pPr>
            <w:r w:rsidRPr="00C9343F">
              <w:t>Parental leave taken by the member's partner under this Part.</w:t>
            </w:r>
          </w:p>
        </w:tc>
      </w:tr>
      <w:tr w:rsidR="006E5056" w:rsidRPr="00C9343F" w14:paraId="7B22126A" w14:textId="77777777" w:rsidTr="006E5056">
        <w:tc>
          <w:tcPr>
            <w:tcW w:w="992" w:type="dxa"/>
          </w:tcPr>
          <w:p w14:paraId="599C73E2" w14:textId="77777777" w:rsidR="006E5056" w:rsidRPr="00C9343F" w:rsidRDefault="006E5056" w:rsidP="00F66D98">
            <w:pPr>
              <w:pStyle w:val="Sectiontext0"/>
              <w:jc w:val="center"/>
              <w:rPr>
                <w:lang w:eastAsia="en-US"/>
              </w:rPr>
            </w:pPr>
          </w:p>
        </w:tc>
        <w:tc>
          <w:tcPr>
            <w:tcW w:w="578" w:type="dxa"/>
            <w:hideMark/>
          </w:tcPr>
          <w:p w14:paraId="62169139"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799" w:type="dxa"/>
            <w:hideMark/>
          </w:tcPr>
          <w:p w14:paraId="16CE15AC" w14:textId="77777777" w:rsidR="006E5056" w:rsidRPr="00C9343F" w:rsidRDefault="006E5056" w:rsidP="00F66D98">
            <w:pPr>
              <w:pStyle w:val="Sectiontext0"/>
              <w:rPr>
                <w:rFonts w:cs="Arial"/>
                <w:lang w:eastAsia="en-US"/>
              </w:rPr>
            </w:pPr>
            <w:r w:rsidRPr="00C9343F">
              <w:t>Maternity leave taken by the member or their partner under Part 6.</w:t>
            </w:r>
          </w:p>
        </w:tc>
      </w:tr>
      <w:tr w:rsidR="006E5056" w:rsidRPr="00C9343F" w14:paraId="56256378" w14:textId="77777777" w:rsidTr="006E5056">
        <w:tc>
          <w:tcPr>
            <w:tcW w:w="992" w:type="dxa"/>
          </w:tcPr>
          <w:p w14:paraId="65296FC8" w14:textId="77777777" w:rsidR="006E5056" w:rsidRPr="00C9343F" w:rsidRDefault="006E5056" w:rsidP="00F66D98">
            <w:pPr>
              <w:pStyle w:val="Sectiontext0"/>
              <w:jc w:val="center"/>
              <w:rPr>
                <w:lang w:eastAsia="en-US"/>
              </w:rPr>
            </w:pPr>
          </w:p>
        </w:tc>
        <w:tc>
          <w:tcPr>
            <w:tcW w:w="578" w:type="dxa"/>
            <w:hideMark/>
          </w:tcPr>
          <w:p w14:paraId="01B22E7E" w14:textId="77777777" w:rsidR="006E5056" w:rsidRPr="00C9343F" w:rsidRDefault="006E5056" w:rsidP="00F66D98">
            <w:pPr>
              <w:pStyle w:val="Sectiontext0"/>
              <w:jc w:val="center"/>
              <w:rPr>
                <w:rFonts w:cs="Arial"/>
                <w:lang w:eastAsia="en-US"/>
              </w:rPr>
            </w:pPr>
            <w:r w:rsidRPr="00C9343F">
              <w:rPr>
                <w:rFonts w:cs="Arial"/>
                <w:lang w:eastAsia="en-US"/>
              </w:rPr>
              <w:t>c.</w:t>
            </w:r>
          </w:p>
        </w:tc>
        <w:tc>
          <w:tcPr>
            <w:tcW w:w="7799" w:type="dxa"/>
            <w:hideMark/>
          </w:tcPr>
          <w:p w14:paraId="2BAE3B4B" w14:textId="77777777" w:rsidR="006E5056" w:rsidRPr="00C9343F" w:rsidRDefault="006E5056" w:rsidP="00F66D98">
            <w:pPr>
              <w:pStyle w:val="Sectiontext0"/>
              <w:rPr>
                <w:rFonts w:cs="Arial"/>
                <w:lang w:eastAsia="en-US"/>
              </w:rPr>
            </w:pPr>
            <w:r w:rsidRPr="00C9343F">
              <w:rPr>
                <w:rFonts w:cs="Arial"/>
                <w:color w:val="000000"/>
              </w:rPr>
              <w:t xml:space="preserve">Maternity leave taken by the member's partner under the </w:t>
            </w:r>
            <w:r w:rsidRPr="00C9343F">
              <w:rPr>
                <w:rFonts w:cs="Arial"/>
                <w:i/>
                <w:iCs/>
                <w:color w:val="000000"/>
              </w:rPr>
              <w:t>Maternity Leave (Commonwealth Employees) Act 1973</w:t>
            </w:r>
            <w:r w:rsidRPr="00C9343F">
              <w:rPr>
                <w:rFonts w:cs="Arial"/>
                <w:color w:val="000000"/>
              </w:rPr>
              <w:t>.</w:t>
            </w:r>
          </w:p>
        </w:tc>
      </w:tr>
      <w:tr w:rsidR="006E5056" w:rsidRPr="00C9343F" w14:paraId="2C8448F0" w14:textId="77777777" w:rsidTr="006E5056">
        <w:tc>
          <w:tcPr>
            <w:tcW w:w="992" w:type="dxa"/>
          </w:tcPr>
          <w:p w14:paraId="7365DE6A" w14:textId="77777777" w:rsidR="006E5056" w:rsidRPr="00C9343F" w:rsidRDefault="006E5056" w:rsidP="00F66D98">
            <w:pPr>
              <w:pStyle w:val="Sectiontext0"/>
              <w:jc w:val="center"/>
              <w:rPr>
                <w:lang w:eastAsia="en-US"/>
              </w:rPr>
            </w:pPr>
            <w:r w:rsidRPr="00C9343F">
              <w:rPr>
                <w:lang w:eastAsia="en-US"/>
              </w:rPr>
              <w:t>3.</w:t>
            </w:r>
          </w:p>
        </w:tc>
        <w:tc>
          <w:tcPr>
            <w:tcW w:w="8377" w:type="dxa"/>
            <w:gridSpan w:val="2"/>
          </w:tcPr>
          <w:p w14:paraId="261270F6" w14:textId="77777777" w:rsidR="006E5056" w:rsidRPr="00C9343F" w:rsidRDefault="006E5056" w:rsidP="00F66D98">
            <w:pPr>
              <w:pStyle w:val="Sectiontext0"/>
              <w:rPr>
                <w:rFonts w:cs="Arial"/>
                <w:color w:val="000000"/>
              </w:rPr>
            </w:pPr>
            <w:r w:rsidRPr="00C9343F">
              <w:rPr>
                <w:rFonts w:cs="Arial"/>
                <w:color w:val="000000"/>
              </w:rPr>
              <w:t>If the member becomes a parent of more than one child as a consequence of any of the following, the member is only eligible for one benefit in respect of those the children.</w:t>
            </w:r>
          </w:p>
        </w:tc>
      </w:tr>
      <w:tr w:rsidR="006E5056" w:rsidRPr="00C9343F" w14:paraId="413F02E5" w14:textId="77777777" w:rsidTr="006E5056">
        <w:tc>
          <w:tcPr>
            <w:tcW w:w="992" w:type="dxa"/>
          </w:tcPr>
          <w:p w14:paraId="69EEE22C" w14:textId="77777777" w:rsidR="006E5056" w:rsidRPr="00C9343F" w:rsidRDefault="006E5056" w:rsidP="00F66D98">
            <w:pPr>
              <w:pStyle w:val="Sectiontext0"/>
              <w:jc w:val="center"/>
              <w:rPr>
                <w:lang w:eastAsia="en-US"/>
              </w:rPr>
            </w:pPr>
          </w:p>
        </w:tc>
        <w:tc>
          <w:tcPr>
            <w:tcW w:w="578" w:type="dxa"/>
            <w:hideMark/>
          </w:tcPr>
          <w:p w14:paraId="0C679AAA" w14:textId="77777777" w:rsidR="006E5056" w:rsidRPr="00C9343F" w:rsidRDefault="006E5056" w:rsidP="00F66D98">
            <w:pPr>
              <w:pStyle w:val="Sectiontext0"/>
              <w:jc w:val="center"/>
              <w:rPr>
                <w:rFonts w:cs="Arial"/>
                <w:lang w:eastAsia="en-US"/>
              </w:rPr>
            </w:pPr>
            <w:r w:rsidRPr="00C9343F">
              <w:rPr>
                <w:rFonts w:cs="Arial"/>
                <w:lang w:eastAsia="en-US"/>
              </w:rPr>
              <w:t>a.</w:t>
            </w:r>
          </w:p>
        </w:tc>
        <w:tc>
          <w:tcPr>
            <w:tcW w:w="7799" w:type="dxa"/>
            <w:hideMark/>
          </w:tcPr>
          <w:p w14:paraId="7DA515B7" w14:textId="77777777" w:rsidR="006E5056" w:rsidRPr="00C9343F" w:rsidRDefault="006E5056" w:rsidP="00F66D98">
            <w:pPr>
              <w:pStyle w:val="Sectiontext0"/>
              <w:rPr>
                <w:rFonts w:cs="Arial"/>
                <w:lang w:eastAsia="en-US"/>
              </w:rPr>
            </w:pPr>
            <w:r w:rsidRPr="00C9343F">
              <w:t>A multiple birth.</w:t>
            </w:r>
          </w:p>
        </w:tc>
      </w:tr>
      <w:tr w:rsidR="006E5056" w:rsidRPr="00C9343F" w14:paraId="01830EA4" w14:textId="77777777" w:rsidTr="006E5056">
        <w:tc>
          <w:tcPr>
            <w:tcW w:w="992" w:type="dxa"/>
          </w:tcPr>
          <w:p w14:paraId="295ED6F2" w14:textId="77777777" w:rsidR="006E5056" w:rsidRPr="00C9343F" w:rsidRDefault="006E5056" w:rsidP="00F66D98">
            <w:pPr>
              <w:pStyle w:val="Sectiontext0"/>
              <w:jc w:val="center"/>
              <w:rPr>
                <w:lang w:eastAsia="en-US"/>
              </w:rPr>
            </w:pPr>
          </w:p>
        </w:tc>
        <w:tc>
          <w:tcPr>
            <w:tcW w:w="578" w:type="dxa"/>
          </w:tcPr>
          <w:p w14:paraId="3668CDE4"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799" w:type="dxa"/>
          </w:tcPr>
          <w:p w14:paraId="6DAF84B5" w14:textId="77777777" w:rsidR="006E5056" w:rsidRPr="00C9343F" w:rsidRDefault="006E5056" w:rsidP="00F66D98">
            <w:pPr>
              <w:pStyle w:val="Sectiontext0"/>
            </w:pPr>
            <w:r w:rsidRPr="00C9343F">
              <w:t xml:space="preserve">The adoption of more than one child at the same time. </w:t>
            </w:r>
          </w:p>
        </w:tc>
      </w:tr>
      <w:tr w:rsidR="006E5056" w:rsidRPr="00C9343F" w14:paraId="359CADB5" w14:textId="77777777" w:rsidTr="006E5056">
        <w:tc>
          <w:tcPr>
            <w:tcW w:w="992" w:type="dxa"/>
          </w:tcPr>
          <w:p w14:paraId="1BD558DC" w14:textId="77777777" w:rsidR="006E5056" w:rsidRPr="00C9343F" w:rsidRDefault="006E5056" w:rsidP="00F66D98">
            <w:pPr>
              <w:pStyle w:val="Sectiontext0"/>
              <w:jc w:val="center"/>
              <w:rPr>
                <w:lang w:eastAsia="en-US"/>
              </w:rPr>
            </w:pPr>
          </w:p>
        </w:tc>
        <w:tc>
          <w:tcPr>
            <w:tcW w:w="578" w:type="dxa"/>
          </w:tcPr>
          <w:p w14:paraId="62BEBB00" w14:textId="77777777" w:rsidR="006E5056" w:rsidRPr="00C9343F" w:rsidRDefault="006E5056" w:rsidP="00F66D98">
            <w:pPr>
              <w:pStyle w:val="Sectiontext0"/>
              <w:jc w:val="center"/>
              <w:rPr>
                <w:rFonts w:cs="Arial"/>
                <w:lang w:eastAsia="en-US"/>
              </w:rPr>
            </w:pPr>
            <w:r w:rsidRPr="00C9343F">
              <w:rPr>
                <w:rFonts w:cs="Arial"/>
                <w:lang w:eastAsia="en-US"/>
              </w:rPr>
              <w:t>c.</w:t>
            </w:r>
          </w:p>
        </w:tc>
        <w:tc>
          <w:tcPr>
            <w:tcW w:w="7799" w:type="dxa"/>
          </w:tcPr>
          <w:p w14:paraId="4A18D47D" w14:textId="77777777" w:rsidR="006E5056" w:rsidRPr="00C9343F" w:rsidRDefault="006E5056" w:rsidP="00F66D98">
            <w:pPr>
              <w:pStyle w:val="Sectiontext0"/>
            </w:pPr>
            <w:r w:rsidRPr="00C9343F">
              <w:t>More than one child being placed in the member’s or their partner’s care under the same permanent care order issued by a court or statutory authority.</w:t>
            </w:r>
          </w:p>
        </w:tc>
      </w:tr>
    </w:tbl>
    <w:p w14:paraId="3C0FBD54" w14:textId="77777777" w:rsidR="00AA4E4D" w:rsidRPr="00C9343F" w:rsidRDefault="00AA4E4D" w:rsidP="00AA4E4D">
      <w:pPr>
        <w:pStyle w:val="Heading5"/>
      </w:pPr>
      <w:bookmarkStart w:id="1788" w:name="_Toc105054095"/>
      <w:r w:rsidRPr="00C9343F">
        <w:t>5.7.4C    Dual serving parents</w:t>
      </w:r>
      <w:bookmarkEnd w:id="1788"/>
    </w:p>
    <w:tbl>
      <w:tblPr>
        <w:tblW w:w="9359" w:type="dxa"/>
        <w:tblInd w:w="113" w:type="dxa"/>
        <w:tblLayout w:type="fixed"/>
        <w:tblLook w:val="04A0" w:firstRow="1" w:lastRow="0" w:firstColumn="1" w:lastColumn="0" w:noHBand="0" w:noVBand="1"/>
      </w:tblPr>
      <w:tblGrid>
        <w:gridCol w:w="992"/>
        <w:gridCol w:w="563"/>
        <w:gridCol w:w="7804"/>
      </w:tblGrid>
      <w:tr w:rsidR="00AA4E4D" w:rsidRPr="00C9343F" w14:paraId="4C2B1AFC" w14:textId="77777777" w:rsidTr="00AA4E4D">
        <w:tc>
          <w:tcPr>
            <w:tcW w:w="992" w:type="dxa"/>
          </w:tcPr>
          <w:p w14:paraId="42DF227F" w14:textId="77777777" w:rsidR="00AA4E4D" w:rsidRPr="00C9343F" w:rsidRDefault="00AA4E4D" w:rsidP="00AA4E4D">
            <w:pPr>
              <w:pStyle w:val="Sectiontext0"/>
              <w:jc w:val="center"/>
              <w:rPr>
                <w:lang w:eastAsia="en-US"/>
              </w:rPr>
            </w:pPr>
            <w:r w:rsidRPr="00C9343F">
              <w:rPr>
                <w:lang w:eastAsia="en-US"/>
              </w:rPr>
              <w:t>1.</w:t>
            </w:r>
          </w:p>
        </w:tc>
        <w:tc>
          <w:tcPr>
            <w:tcW w:w="8367" w:type="dxa"/>
            <w:gridSpan w:val="2"/>
          </w:tcPr>
          <w:p w14:paraId="053B39F5" w14:textId="77777777" w:rsidR="00AA4E4D" w:rsidRPr="00C9343F" w:rsidRDefault="00AA4E4D" w:rsidP="00AA4E4D">
            <w:pPr>
              <w:pStyle w:val="Sectiontext0"/>
              <w:rPr>
                <w:rFonts w:cs="Arial"/>
                <w:lang w:eastAsia="en-US"/>
              </w:rPr>
            </w:pPr>
            <w:r w:rsidRPr="00C9343F">
              <w:t>In relation to a child, dual serving parents are not eligible for more than a combined total of 18 weeks of the following types of leave.</w:t>
            </w:r>
          </w:p>
        </w:tc>
      </w:tr>
      <w:tr w:rsidR="00AA4E4D" w:rsidRPr="00C9343F" w14:paraId="506104FA" w14:textId="77777777" w:rsidTr="00AA4E4D">
        <w:tc>
          <w:tcPr>
            <w:tcW w:w="992" w:type="dxa"/>
          </w:tcPr>
          <w:p w14:paraId="2CB70B1E" w14:textId="77777777" w:rsidR="00AA4E4D" w:rsidRPr="00C9343F" w:rsidRDefault="00AA4E4D" w:rsidP="00AA4E4D">
            <w:pPr>
              <w:pStyle w:val="Sectiontext0"/>
              <w:jc w:val="center"/>
              <w:rPr>
                <w:lang w:eastAsia="en-US"/>
              </w:rPr>
            </w:pPr>
          </w:p>
        </w:tc>
        <w:tc>
          <w:tcPr>
            <w:tcW w:w="563" w:type="dxa"/>
            <w:hideMark/>
          </w:tcPr>
          <w:p w14:paraId="05324203" w14:textId="77777777" w:rsidR="00AA4E4D" w:rsidRPr="00C9343F" w:rsidRDefault="00AA4E4D" w:rsidP="00AA4E4D">
            <w:pPr>
              <w:pStyle w:val="Sectiontext0"/>
              <w:jc w:val="center"/>
              <w:rPr>
                <w:rFonts w:cs="Arial"/>
                <w:lang w:eastAsia="en-US"/>
              </w:rPr>
            </w:pPr>
            <w:r w:rsidRPr="00C9343F">
              <w:rPr>
                <w:rFonts w:cs="Arial"/>
                <w:lang w:eastAsia="en-US"/>
              </w:rPr>
              <w:t>a.</w:t>
            </w:r>
          </w:p>
        </w:tc>
        <w:tc>
          <w:tcPr>
            <w:tcW w:w="7804" w:type="dxa"/>
          </w:tcPr>
          <w:p w14:paraId="741B24D5" w14:textId="77777777" w:rsidR="00AA4E4D" w:rsidRPr="00C9343F" w:rsidRDefault="00AA4E4D" w:rsidP="00AA4E4D">
            <w:pPr>
              <w:pStyle w:val="Default"/>
            </w:pPr>
            <w:r w:rsidRPr="00C9343F">
              <w:t xml:space="preserve">Paid maternity leave. </w:t>
            </w:r>
          </w:p>
        </w:tc>
      </w:tr>
      <w:tr w:rsidR="00AA4E4D" w:rsidRPr="00C9343F" w14:paraId="5C02CD1D" w14:textId="77777777" w:rsidTr="00AA4E4D">
        <w:tc>
          <w:tcPr>
            <w:tcW w:w="992" w:type="dxa"/>
          </w:tcPr>
          <w:p w14:paraId="3508BF91" w14:textId="77777777" w:rsidR="00AA4E4D" w:rsidRPr="00C9343F" w:rsidRDefault="00AA4E4D" w:rsidP="00AA4E4D">
            <w:pPr>
              <w:pStyle w:val="Sectiontext0"/>
              <w:jc w:val="center"/>
              <w:rPr>
                <w:lang w:eastAsia="en-US"/>
              </w:rPr>
            </w:pPr>
          </w:p>
        </w:tc>
        <w:tc>
          <w:tcPr>
            <w:tcW w:w="563" w:type="dxa"/>
            <w:hideMark/>
          </w:tcPr>
          <w:p w14:paraId="2BA9E1DD" w14:textId="77777777" w:rsidR="00AA4E4D" w:rsidRPr="00C9343F" w:rsidRDefault="00AA4E4D" w:rsidP="00AA4E4D">
            <w:pPr>
              <w:pStyle w:val="Sectiontext0"/>
              <w:jc w:val="center"/>
              <w:rPr>
                <w:rFonts w:cs="Arial"/>
                <w:lang w:eastAsia="en-US"/>
              </w:rPr>
            </w:pPr>
            <w:r w:rsidRPr="00C9343F">
              <w:rPr>
                <w:rFonts w:cs="Arial"/>
                <w:lang w:eastAsia="en-US"/>
              </w:rPr>
              <w:t>b.</w:t>
            </w:r>
          </w:p>
        </w:tc>
        <w:tc>
          <w:tcPr>
            <w:tcW w:w="7804" w:type="dxa"/>
          </w:tcPr>
          <w:p w14:paraId="2F4A9A00" w14:textId="77777777" w:rsidR="00AA4E4D" w:rsidRPr="00C9343F" w:rsidRDefault="00AA4E4D" w:rsidP="00AA4E4D">
            <w:pPr>
              <w:pStyle w:val="Default"/>
            </w:pPr>
            <w:r w:rsidRPr="00C9343F">
              <w:t xml:space="preserve">Paid parental leave. </w:t>
            </w:r>
          </w:p>
        </w:tc>
      </w:tr>
      <w:tr w:rsidR="00AA4E4D" w:rsidRPr="00C9343F" w14:paraId="5DB4473D" w14:textId="77777777" w:rsidTr="00AA4E4D">
        <w:tc>
          <w:tcPr>
            <w:tcW w:w="992" w:type="dxa"/>
          </w:tcPr>
          <w:p w14:paraId="7283A693" w14:textId="77777777" w:rsidR="00AA4E4D" w:rsidRPr="00C9343F" w:rsidRDefault="00AA4E4D" w:rsidP="00AA4E4D">
            <w:pPr>
              <w:pStyle w:val="Sectiontext0"/>
              <w:jc w:val="center"/>
              <w:rPr>
                <w:lang w:eastAsia="en-US"/>
              </w:rPr>
            </w:pPr>
          </w:p>
        </w:tc>
        <w:tc>
          <w:tcPr>
            <w:tcW w:w="563" w:type="dxa"/>
            <w:hideMark/>
          </w:tcPr>
          <w:p w14:paraId="3F9A5BD3" w14:textId="77777777" w:rsidR="00AA4E4D" w:rsidRPr="00C9343F" w:rsidRDefault="00AA4E4D" w:rsidP="00AA4E4D">
            <w:pPr>
              <w:pStyle w:val="Sectiontext0"/>
              <w:jc w:val="center"/>
              <w:rPr>
                <w:rFonts w:cs="Arial"/>
                <w:lang w:eastAsia="en-US"/>
              </w:rPr>
            </w:pPr>
            <w:r w:rsidRPr="00C9343F">
              <w:rPr>
                <w:rFonts w:cs="Arial"/>
                <w:lang w:eastAsia="en-US"/>
              </w:rPr>
              <w:t>c.</w:t>
            </w:r>
          </w:p>
        </w:tc>
        <w:tc>
          <w:tcPr>
            <w:tcW w:w="7804" w:type="dxa"/>
          </w:tcPr>
          <w:p w14:paraId="1FC18266" w14:textId="77777777" w:rsidR="00AA4E4D" w:rsidRPr="00C9343F" w:rsidRDefault="00AA4E4D" w:rsidP="00AA4E4D">
            <w:pPr>
              <w:pStyle w:val="Default"/>
            </w:pPr>
            <w:r w:rsidRPr="00C9343F">
              <w:t xml:space="preserve">Special paid parental leave. </w:t>
            </w:r>
          </w:p>
        </w:tc>
      </w:tr>
      <w:tr w:rsidR="00AA4E4D" w:rsidRPr="00C9343F" w14:paraId="26DE697A" w14:textId="77777777" w:rsidTr="00AA4E4D">
        <w:tc>
          <w:tcPr>
            <w:tcW w:w="992" w:type="dxa"/>
          </w:tcPr>
          <w:p w14:paraId="681DD43C" w14:textId="77777777" w:rsidR="00AA4E4D" w:rsidRPr="00C9343F" w:rsidRDefault="00AA4E4D" w:rsidP="00AA4E4D">
            <w:pPr>
              <w:pStyle w:val="Sectiontext0"/>
              <w:jc w:val="center"/>
              <w:rPr>
                <w:lang w:eastAsia="en-US"/>
              </w:rPr>
            </w:pPr>
            <w:r w:rsidRPr="00C9343F">
              <w:rPr>
                <w:lang w:eastAsia="en-US"/>
              </w:rPr>
              <w:t>2.</w:t>
            </w:r>
          </w:p>
        </w:tc>
        <w:tc>
          <w:tcPr>
            <w:tcW w:w="8367" w:type="dxa"/>
            <w:gridSpan w:val="2"/>
          </w:tcPr>
          <w:p w14:paraId="5B640346" w14:textId="77777777" w:rsidR="00AA4E4D" w:rsidRPr="00C9343F" w:rsidRDefault="00AA4E4D" w:rsidP="00AA4E4D">
            <w:pPr>
              <w:pStyle w:val="Sectiontext0"/>
              <w:rPr>
                <w:rFonts w:cs="Arial"/>
                <w:lang w:eastAsia="en-US"/>
              </w:rPr>
            </w:pPr>
            <w:r w:rsidRPr="00C9343F">
              <w:t xml:space="preserve">The combined total under subsection 1 is increased by one day for each day any of the following applies. </w:t>
            </w:r>
          </w:p>
        </w:tc>
      </w:tr>
      <w:tr w:rsidR="00AA4E4D" w:rsidRPr="00C9343F" w14:paraId="1534406B" w14:textId="77777777" w:rsidTr="00AA4E4D">
        <w:tc>
          <w:tcPr>
            <w:tcW w:w="992" w:type="dxa"/>
          </w:tcPr>
          <w:p w14:paraId="3D812704" w14:textId="77777777" w:rsidR="00AA4E4D" w:rsidRPr="00C9343F" w:rsidRDefault="00AA4E4D" w:rsidP="00AA4E4D">
            <w:pPr>
              <w:pStyle w:val="Sectiontext0"/>
              <w:jc w:val="center"/>
              <w:rPr>
                <w:lang w:eastAsia="en-US"/>
              </w:rPr>
            </w:pPr>
          </w:p>
        </w:tc>
        <w:tc>
          <w:tcPr>
            <w:tcW w:w="563" w:type="dxa"/>
            <w:hideMark/>
          </w:tcPr>
          <w:p w14:paraId="1EC2990D" w14:textId="77777777" w:rsidR="00AA4E4D" w:rsidRPr="00C9343F" w:rsidRDefault="00AA4E4D" w:rsidP="00AA4E4D">
            <w:pPr>
              <w:pStyle w:val="Sectiontext0"/>
              <w:jc w:val="center"/>
              <w:rPr>
                <w:rFonts w:cs="Arial"/>
                <w:lang w:eastAsia="en-US"/>
              </w:rPr>
            </w:pPr>
            <w:r w:rsidRPr="00C9343F">
              <w:rPr>
                <w:rFonts w:cs="Arial"/>
                <w:lang w:eastAsia="en-US"/>
              </w:rPr>
              <w:t>a.</w:t>
            </w:r>
          </w:p>
        </w:tc>
        <w:tc>
          <w:tcPr>
            <w:tcW w:w="7804" w:type="dxa"/>
          </w:tcPr>
          <w:p w14:paraId="2A763DF9" w14:textId="77777777" w:rsidR="00AA4E4D" w:rsidRPr="00C9343F" w:rsidRDefault="00AA4E4D" w:rsidP="00AA4E4D">
            <w:pPr>
              <w:pStyle w:val="Default"/>
            </w:pPr>
            <w:r w:rsidRPr="00C9343F">
              <w:t>Subsection 5.7.6C.2 applies.</w:t>
            </w:r>
          </w:p>
        </w:tc>
      </w:tr>
      <w:tr w:rsidR="00AA4E4D" w:rsidRPr="00C9343F" w14:paraId="26BBE2C2" w14:textId="77777777" w:rsidTr="00AA4E4D">
        <w:tc>
          <w:tcPr>
            <w:tcW w:w="992" w:type="dxa"/>
          </w:tcPr>
          <w:p w14:paraId="1097FCE0" w14:textId="77777777" w:rsidR="00AA4E4D" w:rsidRPr="00C9343F" w:rsidRDefault="00AA4E4D" w:rsidP="00AA4E4D">
            <w:pPr>
              <w:pStyle w:val="Sectiontext0"/>
              <w:jc w:val="center"/>
              <w:rPr>
                <w:lang w:eastAsia="en-US"/>
              </w:rPr>
            </w:pPr>
          </w:p>
        </w:tc>
        <w:tc>
          <w:tcPr>
            <w:tcW w:w="563" w:type="dxa"/>
            <w:hideMark/>
          </w:tcPr>
          <w:p w14:paraId="31CCD31A" w14:textId="77777777" w:rsidR="00AA4E4D" w:rsidRPr="00C9343F" w:rsidRDefault="00AA4E4D" w:rsidP="00AA4E4D">
            <w:pPr>
              <w:pStyle w:val="Sectiontext0"/>
              <w:jc w:val="center"/>
              <w:rPr>
                <w:rFonts w:cs="Arial"/>
                <w:lang w:eastAsia="en-US"/>
              </w:rPr>
            </w:pPr>
            <w:r w:rsidRPr="00C9343F">
              <w:rPr>
                <w:rFonts w:cs="Arial"/>
                <w:lang w:eastAsia="en-US"/>
              </w:rPr>
              <w:t>b.</w:t>
            </w:r>
          </w:p>
        </w:tc>
        <w:tc>
          <w:tcPr>
            <w:tcW w:w="7804" w:type="dxa"/>
          </w:tcPr>
          <w:p w14:paraId="19CB48FD" w14:textId="77777777" w:rsidR="00AA4E4D" w:rsidRPr="00C9343F" w:rsidRDefault="00AA4E4D" w:rsidP="00AA4E4D">
            <w:pPr>
              <w:pStyle w:val="Default"/>
            </w:pPr>
            <w:r w:rsidRPr="00C9343F">
              <w:t>The leave is taken at half pay.</w:t>
            </w:r>
          </w:p>
        </w:tc>
      </w:tr>
    </w:tbl>
    <w:p w14:paraId="6662C912" w14:textId="26D4B0D4" w:rsidR="006E5056" w:rsidRPr="00C9343F" w:rsidRDefault="006E5056" w:rsidP="00F66D98">
      <w:pPr>
        <w:pStyle w:val="Heading5"/>
      </w:pPr>
      <w:bookmarkStart w:id="1789" w:name="_Toc105054096"/>
      <w:r w:rsidRPr="00C9343F">
        <w:t>5.7.4D</w:t>
      </w:r>
      <w:r w:rsidR="00D94006" w:rsidRPr="00C9343F">
        <w:t>    </w:t>
      </w:r>
      <w:r w:rsidRPr="00C9343F">
        <w:t>Members subject to a flexible service determination</w:t>
      </w:r>
      <w:bookmarkEnd w:id="1789"/>
    </w:p>
    <w:tbl>
      <w:tblPr>
        <w:tblW w:w="9359" w:type="dxa"/>
        <w:tblInd w:w="113" w:type="dxa"/>
        <w:tblLayout w:type="fixed"/>
        <w:tblLook w:val="04A0" w:firstRow="1" w:lastRow="0" w:firstColumn="1" w:lastColumn="0" w:noHBand="0" w:noVBand="1"/>
      </w:tblPr>
      <w:tblGrid>
        <w:gridCol w:w="992"/>
        <w:gridCol w:w="563"/>
        <w:gridCol w:w="7804"/>
      </w:tblGrid>
      <w:tr w:rsidR="006E5056" w:rsidRPr="00C9343F" w14:paraId="5520DF62" w14:textId="77777777" w:rsidTr="006E5056">
        <w:tc>
          <w:tcPr>
            <w:tcW w:w="992" w:type="dxa"/>
          </w:tcPr>
          <w:p w14:paraId="76C8ACA6" w14:textId="77777777" w:rsidR="006E5056" w:rsidRPr="00C9343F" w:rsidRDefault="006E5056" w:rsidP="00F66D98">
            <w:pPr>
              <w:pStyle w:val="Sectiontext0"/>
            </w:pPr>
          </w:p>
        </w:tc>
        <w:tc>
          <w:tcPr>
            <w:tcW w:w="8367" w:type="dxa"/>
            <w:gridSpan w:val="2"/>
          </w:tcPr>
          <w:p w14:paraId="0B9458D7" w14:textId="77777777" w:rsidR="006E5056" w:rsidRPr="00C9343F" w:rsidRDefault="006E5056" w:rsidP="00F66D98">
            <w:pPr>
              <w:pStyle w:val="Sectiontext0"/>
            </w:pPr>
            <w:r w:rsidRPr="00C9343F">
              <w:t>If a member is the subject of a flexible service determination, the following apply.</w:t>
            </w:r>
          </w:p>
        </w:tc>
      </w:tr>
      <w:tr w:rsidR="006E5056" w:rsidRPr="00C9343F" w14:paraId="1DAFF1AE" w14:textId="77777777" w:rsidTr="006E5056">
        <w:tc>
          <w:tcPr>
            <w:tcW w:w="992" w:type="dxa"/>
          </w:tcPr>
          <w:p w14:paraId="6926A40A" w14:textId="77777777" w:rsidR="006E5056" w:rsidRPr="00C9343F" w:rsidRDefault="006E5056" w:rsidP="00F66D98">
            <w:pPr>
              <w:pStyle w:val="Sectiontext0"/>
              <w:jc w:val="center"/>
              <w:rPr>
                <w:lang w:eastAsia="en-US"/>
              </w:rPr>
            </w:pPr>
          </w:p>
        </w:tc>
        <w:tc>
          <w:tcPr>
            <w:tcW w:w="563" w:type="dxa"/>
            <w:hideMark/>
          </w:tcPr>
          <w:p w14:paraId="0A7013FD" w14:textId="77777777" w:rsidR="006E5056" w:rsidRPr="00C9343F" w:rsidRDefault="006E5056" w:rsidP="00F66D98">
            <w:pPr>
              <w:pStyle w:val="Sectiontext0"/>
              <w:jc w:val="center"/>
              <w:rPr>
                <w:rFonts w:cs="Arial"/>
                <w:lang w:eastAsia="en-US"/>
              </w:rPr>
            </w:pPr>
            <w:r w:rsidRPr="00C9343F">
              <w:rPr>
                <w:rFonts w:cs="Arial"/>
                <w:lang w:eastAsia="en-US"/>
              </w:rPr>
              <w:t>a.</w:t>
            </w:r>
          </w:p>
        </w:tc>
        <w:tc>
          <w:tcPr>
            <w:tcW w:w="7804" w:type="dxa"/>
          </w:tcPr>
          <w:p w14:paraId="08BB8A29" w14:textId="77777777" w:rsidR="006E5056" w:rsidRPr="00C9343F" w:rsidRDefault="006E5056" w:rsidP="00F66D98">
            <w:pPr>
              <w:pStyle w:val="Sectiontext0"/>
              <w:rPr>
                <w:rFonts w:cs="Arial"/>
                <w:lang w:eastAsia="en-US"/>
              </w:rPr>
            </w:pPr>
            <w:r w:rsidRPr="00C9343F">
              <w:t>Leave is only taken on days in the member’s pattern of service.</w:t>
            </w:r>
          </w:p>
        </w:tc>
      </w:tr>
      <w:tr w:rsidR="006E5056" w:rsidRPr="00C9343F" w14:paraId="0D3A6F76" w14:textId="77777777" w:rsidTr="006E5056">
        <w:tc>
          <w:tcPr>
            <w:tcW w:w="992" w:type="dxa"/>
          </w:tcPr>
          <w:p w14:paraId="01D76F31" w14:textId="77777777" w:rsidR="006E5056" w:rsidRPr="00C9343F" w:rsidRDefault="006E5056" w:rsidP="00F66D98">
            <w:pPr>
              <w:pStyle w:val="Sectiontext0"/>
              <w:jc w:val="center"/>
              <w:rPr>
                <w:lang w:eastAsia="en-US"/>
              </w:rPr>
            </w:pPr>
          </w:p>
        </w:tc>
        <w:tc>
          <w:tcPr>
            <w:tcW w:w="563" w:type="dxa"/>
            <w:hideMark/>
          </w:tcPr>
          <w:p w14:paraId="40D14926"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804" w:type="dxa"/>
          </w:tcPr>
          <w:p w14:paraId="37EFFFF0" w14:textId="77777777" w:rsidR="006E5056" w:rsidRPr="00C9343F" w:rsidRDefault="006E5056" w:rsidP="00F66D98">
            <w:pPr>
              <w:pStyle w:val="Sectiontext0"/>
              <w:rPr>
                <w:rFonts w:cs="Arial"/>
                <w:lang w:eastAsia="en-US"/>
              </w:rPr>
            </w:pPr>
            <w:r w:rsidRPr="00C9343F">
              <w:t>A nonworking period does not break a period of leave.</w:t>
            </w:r>
          </w:p>
        </w:tc>
      </w:tr>
    </w:tbl>
    <w:p w14:paraId="15D2AA1B" w14:textId="29BB2614" w:rsidR="006E5056" w:rsidRPr="00C9343F" w:rsidRDefault="006E5056" w:rsidP="00352D0B">
      <w:pPr>
        <w:pStyle w:val="Heading4"/>
        <w:pageBreakBefore/>
      </w:pPr>
      <w:bookmarkStart w:id="1790" w:name="_Toc105054097"/>
      <w:r w:rsidRPr="00C9343F">
        <w:t>Division 2: Paid parental leave</w:t>
      </w:r>
      <w:bookmarkEnd w:id="1790"/>
    </w:p>
    <w:p w14:paraId="4DD4960A" w14:textId="1C54B6A9" w:rsidR="006E5056" w:rsidRPr="00C9343F" w:rsidRDefault="006E5056" w:rsidP="00F66D98">
      <w:pPr>
        <w:pStyle w:val="Heading5"/>
      </w:pPr>
      <w:bookmarkStart w:id="1791" w:name="_Toc105054098"/>
      <w:r w:rsidRPr="00C9343F">
        <w:t>5.7.4E</w:t>
      </w:r>
      <w:r w:rsidR="00D94006" w:rsidRPr="00C9343F">
        <w:t>    </w:t>
      </w:r>
      <w:r w:rsidRPr="00C9343F">
        <w:t>Member this Division applies to</w:t>
      </w:r>
      <w:bookmarkEnd w:id="1791"/>
    </w:p>
    <w:tbl>
      <w:tblPr>
        <w:tblW w:w="9364" w:type="dxa"/>
        <w:tblInd w:w="113" w:type="dxa"/>
        <w:tblLayout w:type="fixed"/>
        <w:tblLook w:val="04A0" w:firstRow="1" w:lastRow="0" w:firstColumn="1" w:lastColumn="0" w:noHBand="0" w:noVBand="1"/>
      </w:tblPr>
      <w:tblGrid>
        <w:gridCol w:w="992"/>
        <w:gridCol w:w="563"/>
        <w:gridCol w:w="567"/>
        <w:gridCol w:w="7242"/>
      </w:tblGrid>
      <w:tr w:rsidR="006E5056" w:rsidRPr="00C9343F" w14:paraId="6D129257" w14:textId="77777777" w:rsidTr="006E5056">
        <w:tc>
          <w:tcPr>
            <w:tcW w:w="992" w:type="dxa"/>
          </w:tcPr>
          <w:p w14:paraId="6F8CDB5E" w14:textId="77777777" w:rsidR="006E5056" w:rsidRPr="00C9343F" w:rsidRDefault="006E5056" w:rsidP="00F66D98">
            <w:pPr>
              <w:pStyle w:val="Sectiontext0"/>
              <w:spacing w:line="256" w:lineRule="auto"/>
            </w:pPr>
          </w:p>
        </w:tc>
        <w:tc>
          <w:tcPr>
            <w:tcW w:w="8372" w:type="dxa"/>
            <w:gridSpan w:val="3"/>
            <w:hideMark/>
          </w:tcPr>
          <w:p w14:paraId="09C887E8" w14:textId="77777777" w:rsidR="006E5056" w:rsidRPr="00C9343F" w:rsidRDefault="006E5056" w:rsidP="00F66D98">
            <w:pPr>
              <w:pStyle w:val="Sectiontext0"/>
              <w:spacing w:line="256" w:lineRule="auto"/>
            </w:pPr>
            <w:r w:rsidRPr="00C9343F">
              <w:t>This Division applies to a member in the first 66 weeks after one of the following.</w:t>
            </w:r>
          </w:p>
        </w:tc>
      </w:tr>
      <w:tr w:rsidR="006E5056" w:rsidRPr="00C9343F" w14:paraId="478BCD7C" w14:textId="77777777" w:rsidTr="006E5056">
        <w:tc>
          <w:tcPr>
            <w:tcW w:w="992" w:type="dxa"/>
          </w:tcPr>
          <w:p w14:paraId="7C85033F" w14:textId="77777777" w:rsidR="006E5056" w:rsidRPr="00C9343F" w:rsidRDefault="006E5056" w:rsidP="00F66D98">
            <w:pPr>
              <w:pStyle w:val="Sectiontext0"/>
              <w:spacing w:line="256" w:lineRule="auto"/>
            </w:pPr>
          </w:p>
        </w:tc>
        <w:tc>
          <w:tcPr>
            <w:tcW w:w="563" w:type="dxa"/>
            <w:hideMark/>
          </w:tcPr>
          <w:p w14:paraId="15DA7A9B" w14:textId="77777777" w:rsidR="006E5056" w:rsidRPr="00C9343F" w:rsidRDefault="006E5056" w:rsidP="00F66D98">
            <w:pPr>
              <w:pStyle w:val="Sectiontext0"/>
              <w:spacing w:line="256" w:lineRule="auto"/>
              <w:jc w:val="center"/>
            </w:pPr>
            <w:r w:rsidRPr="00C9343F">
              <w:t>a.</w:t>
            </w:r>
          </w:p>
        </w:tc>
        <w:tc>
          <w:tcPr>
            <w:tcW w:w="7809" w:type="dxa"/>
            <w:gridSpan w:val="2"/>
            <w:hideMark/>
          </w:tcPr>
          <w:p w14:paraId="799E4361" w14:textId="77777777" w:rsidR="006E5056" w:rsidRPr="00C9343F" w:rsidRDefault="006E5056" w:rsidP="00F66D98">
            <w:pPr>
              <w:pStyle w:val="Sectiontext0"/>
              <w:spacing w:line="256" w:lineRule="auto"/>
            </w:pPr>
            <w:r w:rsidRPr="00C9343F">
              <w:t>The birth of a child of the member.</w:t>
            </w:r>
          </w:p>
        </w:tc>
      </w:tr>
      <w:tr w:rsidR="006E5056" w:rsidRPr="00C9343F" w14:paraId="2917CA14" w14:textId="77777777" w:rsidTr="006E5056">
        <w:tc>
          <w:tcPr>
            <w:tcW w:w="992" w:type="dxa"/>
          </w:tcPr>
          <w:p w14:paraId="5956E197" w14:textId="77777777" w:rsidR="006E5056" w:rsidRPr="00C9343F" w:rsidRDefault="006E5056" w:rsidP="00F66D98">
            <w:pPr>
              <w:pStyle w:val="Sectiontext0"/>
              <w:spacing w:line="256" w:lineRule="auto"/>
            </w:pPr>
          </w:p>
        </w:tc>
        <w:tc>
          <w:tcPr>
            <w:tcW w:w="563" w:type="dxa"/>
            <w:hideMark/>
          </w:tcPr>
          <w:p w14:paraId="75194BFF" w14:textId="77777777" w:rsidR="006E5056" w:rsidRPr="00C9343F" w:rsidRDefault="006E5056" w:rsidP="00F66D98">
            <w:pPr>
              <w:pStyle w:val="Sectiontext0"/>
              <w:spacing w:line="256" w:lineRule="auto"/>
              <w:jc w:val="center"/>
            </w:pPr>
            <w:r w:rsidRPr="00C9343F">
              <w:t>b.</w:t>
            </w:r>
          </w:p>
        </w:tc>
        <w:tc>
          <w:tcPr>
            <w:tcW w:w="7809" w:type="dxa"/>
            <w:gridSpan w:val="2"/>
            <w:hideMark/>
          </w:tcPr>
          <w:p w14:paraId="66857649" w14:textId="3E316FAE" w:rsidR="006E5056" w:rsidRPr="00C9343F" w:rsidRDefault="0086619A" w:rsidP="00F66D98">
            <w:pPr>
              <w:pStyle w:val="Sectiontext0"/>
              <w:spacing w:line="256" w:lineRule="auto"/>
            </w:pPr>
            <w:r w:rsidRPr="00C9343F">
              <w:t>One of the following.</w:t>
            </w:r>
          </w:p>
        </w:tc>
      </w:tr>
      <w:tr w:rsidR="0086619A" w:rsidRPr="00C9343F" w14:paraId="328BDB82" w14:textId="77777777" w:rsidTr="0086619A">
        <w:tc>
          <w:tcPr>
            <w:tcW w:w="992" w:type="dxa"/>
          </w:tcPr>
          <w:p w14:paraId="724A9D73" w14:textId="77777777" w:rsidR="0086619A" w:rsidRPr="00C9343F" w:rsidRDefault="0086619A" w:rsidP="0086619A">
            <w:pPr>
              <w:pStyle w:val="Sectiontext0"/>
              <w:spacing w:line="256" w:lineRule="auto"/>
            </w:pPr>
          </w:p>
        </w:tc>
        <w:tc>
          <w:tcPr>
            <w:tcW w:w="563" w:type="dxa"/>
          </w:tcPr>
          <w:p w14:paraId="338745E1" w14:textId="77777777" w:rsidR="0086619A" w:rsidRPr="00C9343F" w:rsidRDefault="0086619A" w:rsidP="0086619A">
            <w:pPr>
              <w:pStyle w:val="Sectiontext0"/>
              <w:spacing w:line="256" w:lineRule="auto"/>
              <w:jc w:val="center"/>
            </w:pPr>
          </w:p>
        </w:tc>
        <w:tc>
          <w:tcPr>
            <w:tcW w:w="567" w:type="dxa"/>
          </w:tcPr>
          <w:p w14:paraId="3BFEA152" w14:textId="71BA2A3F" w:rsidR="0086619A" w:rsidRPr="00C9343F" w:rsidRDefault="0086619A" w:rsidP="0086619A">
            <w:pPr>
              <w:pStyle w:val="Sectiontext0"/>
              <w:spacing w:line="256" w:lineRule="auto"/>
            </w:pPr>
            <w:r w:rsidRPr="00C9343F">
              <w:t>i.</w:t>
            </w:r>
          </w:p>
        </w:tc>
        <w:tc>
          <w:tcPr>
            <w:tcW w:w="7242" w:type="dxa"/>
          </w:tcPr>
          <w:p w14:paraId="6790A160" w14:textId="561049D6" w:rsidR="0086619A" w:rsidRPr="00C9343F" w:rsidRDefault="0086619A" w:rsidP="0086619A">
            <w:pPr>
              <w:pStyle w:val="Sectiontext0"/>
              <w:spacing w:line="256" w:lineRule="auto"/>
            </w:pPr>
            <w:r w:rsidRPr="00C9343F">
              <w:rPr>
                <w:rFonts w:cs="Arial"/>
                <w:lang w:eastAsia="en-US"/>
              </w:rPr>
              <w:t>The adoption of a child by the member.</w:t>
            </w:r>
          </w:p>
        </w:tc>
      </w:tr>
      <w:tr w:rsidR="0086619A" w:rsidRPr="00C9343F" w14:paraId="61715AE2" w14:textId="77777777" w:rsidTr="0086619A">
        <w:tc>
          <w:tcPr>
            <w:tcW w:w="992" w:type="dxa"/>
          </w:tcPr>
          <w:p w14:paraId="5A3C392E" w14:textId="77777777" w:rsidR="0086619A" w:rsidRPr="00C9343F" w:rsidRDefault="0086619A" w:rsidP="0086619A">
            <w:pPr>
              <w:pStyle w:val="Sectiontext0"/>
              <w:spacing w:line="256" w:lineRule="auto"/>
            </w:pPr>
          </w:p>
        </w:tc>
        <w:tc>
          <w:tcPr>
            <w:tcW w:w="563" w:type="dxa"/>
          </w:tcPr>
          <w:p w14:paraId="536A8755" w14:textId="77777777" w:rsidR="0086619A" w:rsidRPr="00C9343F" w:rsidRDefault="0086619A" w:rsidP="0086619A">
            <w:pPr>
              <w:pStyle w:val="Sectiontext0"/>
              <w:spacing w:line="256" w:lineRule="auto"/>
              <w:jc w:val="center"/>
            </w:pPr>
          </w:p>
        </w:tc>
        <w:tc>
          <w:tcPr>
            <w:tcW w:w="567" w:type="dxa"/>
          </w:tcPr>
          <w:p w14:paraId="38D697C1" w14:textId="4B63E4CF" w:rsidR="0086619A" w:rsidRPr="00C9343F" w:rsidRDefault="0086619A" w:rsidP="0086619A">
            <w:pPr>
              <w:pStyle w:val="Sectiontext0"/>
              <w:spacing w:line="256" w:lineRule="auto"/>
            </w:pPr>
            <w:r w:rsidRPr="00C9343F">
              <w:t>ii.</w:t>
            </w:r>
          </w:p>
        </w:tc>
        <w:tc>
          <w:tcPr>
            <w:tcW w:w="7242" w:type="dxa"/>
          </w:tcPr>
          <w:p w14:paraId="1B8892B8" w14:textId="49ED8C01" w:rsidR="0086619A" w:rsidRPr="00C9343F" w:rsidRDefault="0086619A" w:rsidP="0086619A">
            <w:pPr>
              <w:pStyle w:val="Sectiontext0"/>
              <w:spacing w:line="256" w:lineRule="auto"/>
            </w:pPr>
            <w:r w:rsidRPr="00C9343F">
              <w:rPr>
                <w:rFonts w:cs="Arial"/>
                <w:lang w:eastAsia="en-US"/>
              </w:rPr>
              <w:t xml:space="preserve">The child joining the member’s household in anticipation of being adopted by the member. </w:t>
            </w:r>
          </w:p>
        </w:tc>
      </w:tr>
      <w:tr w:rsidR="006E5056" w:rsidRPr="00C9343F" w14:paraId="319C59DB" w14:textId="77777777" w:rsidTr="006E5056">
        <w:tc>
          <w:tcPr>
            <w:tcW w:w="992" w:type="dxa"/>
          </w:tcPr>
          <w:p w14:paraId="10B028E6" w14:textId="77777777" w:rsidR="006E5056" w:rsidRPr="00C9343F" w:rsidRDefault="006E5056" w:rsidP="00F66D98">
            <w:pPr>
              <w:pStyle w:val="Sectiontext0"/>
              <w:spacing w:line="256" w:lineRule="auto"/>
            </w:pPr>
          </w:p>
        </w:tc>
        <w:tc>
          <w:tcPr>
            <w:tcW w:w="563" w:type="dxa"/>
            <w:hideMark/>
          </w:tcPr>
          <w:p w14:paraId="511DCBE8" w14:textId="77777777" w:rsidR="006E5056" w:rsidRPr="00C9343F" w:rsidRDefault="006E5056" w:rsidP="00F66D98">
            <w:pPr>
              <w:pStyle w:val="Sectiontext0"/>
              <w:spacing w:line="256" w:lineRule="auto"/>
              <w:jc w:val="center"/>
            </w:pPr>
            <w:r w:rsidRPr="00C9343F">
              <w:t>c.</w:t>
            </w:r>
          </w:p>
        </w:tc>
        <w:tc>
          <w:tcPr>
            <w:tcW w:w="7809" w:type="dxa"/>
            <w:gridSpan w:val="2"/>
            <w:hideMark/>
          </w:tcPr>
          <w:p w14:paraId="7F2460A3" w14:textId="034A0A3A" w:rsidR="006E5056" w:rsidRPr="00C9343F" w:rsidRDefault="0045179A" w:rsidP="00F66D98">
            <w:pPr>
              <w:pStyle w:val="Sectiontext0"/>
              <w:spacing w:line="256" w:lineRule="auto"/>
            </w:pPr>
            <w:r w:rsidRPr="00C9343F">
              <w:t>One of the following.</w:t>
            </w:r>
          </w:p>
        </w:tc>
      </w:tr>
      <w:tr w:rsidR="0045179A" w:rsidRPr="00C9343F" w14:paraId="38E0C6ED" w14:textId="77777777" w:rsidTr="0045179A">
        <w:tc>
          <w:tcPr>
            <w:tcW w:w="992" w:type="dxa"/>
          </w:tcPr>
          <w:p w14:paraId="1948BFCC" w14:textId="77777777" w:rsidR="0045179A" w:rsidRPr="00C9343F" w:rsidRDefault="0045179A" w:rsidP="0045179A">
            <w:pPr>
              <w:pStyle w:val="Sectiontext0"/>
              <w:spacing w:line="256" w:lineRule="auto"/>
            </w:pPr>
          </w:p>
        </w:tc>
        <w:tc>
          <w:tcPr>
            <w:tcW w:w="563" w:type="dxa"/>
          </w:tcPr>
          <w:p w14:paraId="16F2A18B" w14:textId="77777777" w:rsidR="0045179A" w:rsidRPr="00C9343F" w:rsidRDefault="0045179A" w:rsidP="0045179A">
            <w:pPr>
              <w:pStyle w:val="Sectiontext0"/>
              <w:spacing w:line="256" w:lineRule="auto"/>
              <w:jc w:val="center"/>
            </w:pPr>
          </w:p>
        </w:tc>
        <w:tc>
          <w:tcPr>
            <w:tcW w:w="567" w:type="dxa"/>
          </w:tcPr>
          <w:p w14:paraId="4C73C87D" w14:textId="5524897C" w:rsidR="0045179A" w:rsidRPr="00C9343F" w:rsidRDefault="0045179A" w:rsidP="0045179A">
            <w:pPr>
              <w:pStyle w:val="Sectiontext0"/>
              <w:spacing w:line="256" w:lineRule="auto"/>
            </w:pPr>
            <w:r w:rsidRPr="00C9343F">
              <w:t>i.</w:t>
            </w:r>
          </w:p>
        </w:tc>
        <w:tc>
          <w:tcPr>
            <w:tcW w:w="7242" w:type="dxa"/>
          </w:tcPr>
          <w:p w14:paraId="752C2051" w14:textId="3D930CA3" w:rsidR="0045179A" w:rsidRPr="00C9343F" w:rsidRDefault="0045179A" w:rsidP="0045179A">
            <w:pPr>
              <w:pStyle w:val="Sectiontext0"/>
              <w:spacing w:line="256" w:lineRule="auto"/>
            </w:pPr>
            <w:r w:rsidRPr="00C9343F">
              <w:rPr>
                <w:rFonts w:cs="Arial"/>
                <w:lang w:eastAsia="en-US"/>
              </w:rPr>
              <w:t>The child being placed in the member’s or their partner’s care under a permanent care order issued by a court or statutory authority.</w:t>
            </w:r>
          </w:p>
        </w:tc>
      </w:tr>
      <w:tr w:rsidR="0045179A" w:rsidRPr="00C9343F" w14:paraId="1B761E76" w14:textId="77777777" w:rsidTr="0045179A">
        <w:tc>
          <w:tcPr>
            <w:tcW w:w="992" w:type="dxa"/>
          </w:tcPr>
          <w:p w14:paraId="7342B39C" w14:textId="77777777" w:rsidR="0045179A" w:rsidRPr="00C9343F" w:rsidRDefault="0045179A" w:rsidP="0045179A">
            <w:pPr>
              <w:pStyle w:val="Sectiontext0"/>
              <w:spacing w:line="256" w:lineRule="auto"/>
            </w:pPr>
          </w:p>
        </w:tc>
        <w:tc>
          <w:tcPr>
            <w:tcW w:w="563" w:type="dxa"/>
          </w:tcPr>
          <w:p w14:paraId="60F15477" w14:textId="77777777" w:rsidR="0045179A" w:rsidRPr="00C9343F" w:rsidRDefault="0045179A" w:rsidP="0045179A">
            <w:pPr>
              <w:pStyle w:val="Sectiontext0"/>
              <w:spacing w:line="256" w:lineRule="auto"/>
              <w:jc w:val="center"/>
            </w:pPr>
          </w:p>
        </w:tc>
        <w:tc>
          <w:tcPr>
            <w:tcW w:w="567" w:type="dxa"/>
          </w:tcPr>
          <w:p w14:paraId="25424F8B" w14:textId="41B4B8D0" w:rsidR="0045179A" w:rsidRPr="00C9343F" w:rsidRDefault="0045179A" w:rsidP="0045179A">
            <w:pPr>
              <w:pStyle w:val="Sectiontext0"/>
              <w:spacing w:line="256" w:lineRule="auto"/>
            </w:pPr>
            <w:r w:rsidRPr="00C9343F">
              <w:t>ii.</w:t>
            </w:r>
          </w:p>
        </w:tc>
        <w:tc>
          <w:tcPr>
            <w:tcW w:w="7242" w:type="dxa"/>
          </w:tcPr>
          <w:p w14:paraId="7BF25A10" w14:textId="4D58AB12" w:rsidR="0045179A" w:rsidRPr="00C9343F" w:rsidRDefault="0045179A" w:rsidP="0045179A">
            <w:pPr>
              <w:pStyle w:val="Sectiontext0"/>
              <w:spacing w:line="256" w:lineRule="auto"/>
            </w:pPr>
            <w:r w:rsidRPr="00C9343F">
              <w:rPr>
                <w:rFonts w:cs="Arial"/>
                <w:lang w:eastAsia="en-US"/>
              </w:rPr>
              <w:t>The child joining the member’s household in anticipation of being placed in the member’s or their partner’s care under a permanent care order issued by a court or statutory authority.</w:t>
            </w:r>
          </w:p>
        </w:tc>
      </w:tr>
    </w:tbl>
    <w:p w14:paraId="5B1690F6" w14:textId="77777777" w:rsidR="00E53BB2" w:rsidRPr="00C9343F" w:rsidRDefault="00E53BB2" w:rsidP="00E53BB2">
      <w:pPr>
        <w:pStyle w:val="Heading5"/>
      </w:pPr>
      <w:bookmarkStart w:id="1792" w:name="_Toc105054099"/>
      <w:r w:rsidRPr="00C9343F">
        <w:t>5.7.5    Paid parental leave</w:t>
      </w:r>
      <w:bookmarkEnd w:id="1792"/>
    </w:p>
    <w:tbl>
      <w:tblPr>
        <w:tblW w:w="9359" w:type="dxa"/>
        <w:tblInd w:w="113" w:type="dxa"/>
        <w:tblLayout w:type="fixed"/>
        <w:tblLook w:val="04A0" w:firstRow="1" w:lastRow="0" w:firstColumn="1" w:lastColumn="0" w:noHBand="0" w:noVBand="1"/>
      </w:tblPr>
      <w:tblGrid>
        <w:gridCol w:w="992"/>
        <w:gridCol w:w="563"/>
        <w:gridCol w:w="600"/>
        <w:gridCol w:w="7204"/>
      </w:tblGrid>
      <w:tr w:rsidR="00E53BB2" w:rsidRPr="00C9343F" w14:paraId="10030BFE" w14:textId="77777777" w:rsidTr="00E53BB2">
        <w:tc>
          <w:tcPr>
            <w:tcW w:w="992" w:type="dxa"/>
          </w:tcPr>
          <w:p w14:paraId="0BC40E67" w14:textId="77777777" w:rsidR="00E53BB2" w:rsidRPr="00C9343F" w:rsidRDefault="00E53BB2" w:rsidP="00E53BB2">
            <w:pPr>
              <w:pStyle w:val="Sectiontext0"/>
              <w:jc w:val="center"/>
              <w:rPr>
                <w:lang w:eastAsia="en-US"/>
              </w:rPr>
            </w:pPr>
            <w:r w:rsidRPr="00C9343F">
              <w:rPr>
                <w:lang w:eastAsia="en-US"/>
              </w:rPr>
              <w:t>1.</w:t>
            </w:r>
          </w:p>
        </w:tc>
        <w:tc>
          <w:tcPr>
            <w:tcW w:w="8367" w:type="dxa"/>
            <w:gridSpan w:val="3"/>
          </w:tcPr>
          <w:p w14:paraId="7B694182" w14:textId="77777777" w:rsidR="00E53BB2" w:rsidRPr="00C9343F" w:rsidRDefault="00E53BB2" w:rsidP="00E53BB2">
            <w:pPr>
              <w:pStyle w:val="Sectiontext0"/>
              <w:rPr>
                <w:rFonts w:cs="Arial"/>
                <w:lang w:eastAsia="en-US"/>
              </w:rPr>
            </w:pPr>
            <w:r w:rsidRPr="00C9343F">
              <w:t>A member is eligible for up to 20 days of paid parental leave if they are not eligible for maternity leave.</w:t>
            </w:r>
          </w:p>
        </w:tc>
      </w:tr>
      <w:tr w:rsidR="00E53BB2" w:rsidRPr="00C9343F" w14:paraId="26C70DFB" w14:textId="77777777" w:rsidTr="00E53BB2">
        <w:tc>
          <w:tcPr>
            <w:tcW w:w="992" w:type="dxa"/>
          </w:tcPr>
          <w:p w14:paraId="5FEFDB2D" w14:textId="77777777" w:rsidR="00E53BB2" w:rsidRPr="00C9343F" w:rsidRDefault="00E53BB2" w:rsidP="00E53BB2">
            <w:pPr>
              <w:pStyle w:val="Sectiontext0"/>
              <w:rPr>
                <w:lang w:eastAsia="en-US"/>
              </w:rPr>
            </w:pPr>
          </w:p>
        </w:tc>
        <w:tc>
          <w:tcPr>
            <w:tcW w:w="8367" w:type="dxa"/>
            <w:gridSpan w:val="3"/>
          </w:tcPr>
          <w:p w14:paraId="0FB82744" w14:textId="77777777" w:rsidR="00E53BB2" w:rsidRPr="00C9343F" w:rsidRDefault="00E53BB2" w:rsidP="00E53BB2">
            <w:pPr>
              <w:pStyle w:val="Sectiontext0"/>
              <w:rPr>
                <w:rFonts w:cs="Arial"/>
                <w:lang w:eastAsia="en-US"/>
              </w:rPr>
            </w:pPr>
            <w:r w:rsidRPr="00C9343F">
              <w:rPr>
                <w:b/>
              </w:rPr>
              <w:t xml:space="preserve">Note: </w:t>
            </w:r>
            <w:r w:rsidRPr="00C9343F">
              <w:t>The child does not have to be a recognised dependant of the member.</w:t>
            </w:r>
          </w:p>
        </w:tc>
      </w:tr>
      <w:tr w:rsidR="00E53BB2" w:rsidRPr="00C9343F" w14:paraId="12117442" w14:textId="77777777" w:rsidTr="00E53BB2">
        <w:tc>
          <w:tcPr>
            <w:tcW w:w="992" w:type="dxa"/>
          </w:tcPr>
          <w:p w14:paraId="3D702B74" w14:textId="77777777" w:rsidR="00E53BB2" w:rsidRPr="00C9343F" w:rsidRDefault="00E53BB2" w:rsidP="00E53BB2">
            <w:pPr>
              <w:pStyle w:val="Sectiontext0"/>
              <w:jc w:val="center"/>
              <w:rPr>
                <w:lang w:eastAsia="en-US"/>
              </w:rPr>
            </w:pPr>
            <w:r w:rsidRPr="00C9343F">
              <w:rPr>
                <w:lang w:eastAsia="en-US"/>
              </w:rPr>
              <w:t>2.</w:t>
            </w:r>
          </w:p>
        </w:tc>
        <w:tc>
          <w:tcPr>
            <w:tcW w:w="8367" w:type="dxa"/>
            <w:gridSpan w:val="3"/>
          </w:tcPr>
          <w:p w14:paraId="133FCFBE" w14:textId="77777777" w:rsidR="00E53BB2" w:rsidRPr="00C9343F" w:rsidRDefault="00E53BB2" w:rsidP="00E53BB2">
            <w:pPr>
              <w:pStyle w:val="Sectiontext0"/>
              <w:rPr>
                <w:rFonts w:cs="Arial"/>
                <w:lang w:eastAsia="en-US"/>
              </w:rPr>
            </w:pPr>
            <w:r w:rsidRPr="00C9343F">
              <w:t>The following conditions apply to a grant of paid parental leave.</w:t>
            </w:r>
          </w:p>
        </w:tc>
      </w:tr>
      <w:tr w:rsidR="00E53BB2" w:rsidRPr="00C9343F" w14:paraId="39F8CF7C" w14:textId="77777777" w:rsidTr="00E53BB2">
        <w:tc>
          <w:tcPr>
            <w:tcW w:w="992" w:type="dxa"/>
          </w:tcPr>
          <w:p w14:paraId="42A5BF59" w14:textId="77777777" w:rsidR="00E53BB2" w:rsidRPr="00C9343F" w:rsidRDefault="00E53BB2" w:rsidP="00E53BB2">
            <w:pPr>
              <w:pStyle w:val="Sectiontext0"/>
              <w:jc w:val="center"/>
              <w:rPr>
                <w:lang w:eastAsia="en-US"/>
              </w:rPr>
            </w:pPr>
          </w:p>
        </w:tc>
        <w:tc>
          <w:tcPr>
            <w:tcW w:w="563" w:type="dxa"/>
            <w:hideMark/>
          </w:tcPr>
          <w:p w14:paraId="6BAA9C16" w14:textId="77777777" w:rsidR="00E53BB2" w:rsidRPr="00C9343F" w:rsidRDefault="00E53BB2" w:rsidP="00E53BB2">
            <w:pPr>
              <w:pStyle w:val="Sectiontext0"/>
              <w:jc w:val="center"/>
              <w:rPr>
                <w:rFonts w:cs="Arial"/>
                <w:lang w:eastAsia="en-US"/>
              </w:rPr>
            </w:pPr>
            <w:r w:rsidRPr="00C9343F">
              <w:rPr>
                <w:rFonts w:cs="Arial"/>
                <w:lang w:eastAsia="en-US"/>
              </w:rPr>
              <w:t>a.</w:t>
            </w:r>
          </w:p>
        </w:tc>
        <w:tc>
          <w:tcPr>
            <w:tcW w:w="7804" w:type="dxa"/>
            <w:gridSpan w:val="2"/>
          </w:tcPr>
          <w:p w14:paraId="0B32E145" w14:textId="77777777" w:rsidR="00E53BB2" w:rsidRPr="00C9343F" w:rsidRDefault="00E53BB2" w:rsidP="00E53BB2">
            <w:pPr>
              <w:pStyle w:val="Sectiontext0"/>
              <w:rPr>
                <w:rFonts w:cs="Arial"/>
                <w:lang w:eastAsia="en-US"/>
              </w:rPr>
            </w:pPr>
            <w:r w:rsidRPr="00C9343F">
              <w:t>Paid parental leave may be taken at full pay or half pay.</w:t>
            </w:r>
          </w:p>
        </w:tc>
      </w:tr>
      <w:tr w:rsidR="00E53BB2" w:rsidRPr="00C9343F" w14:paraId="0A31514C" w14:textId="77777777" w:rsidTr="00E53BB2">
        <w:tc>
          <w:tcPr>
            <w:tcW w:w="992" w:type="dxa"/>
          </w:tcPr>
          <w:p w14:paraId="193CA376" w14:textId="77777777" w:rsidR="00E53BB2" w:rsidRPr="00C9343F" w:rsidRDefault="00E53BB2" w:rsidP="00E53BB2">
            <w:pPr>
              <w:pStyle w:val="Sectiontext0"/>
              <w:jc w:val="center"/>
              <w:rPr>
                <w:lang w:eastAsia="en-US"/>
              </w:rPr>
            </w:pPr>
          </w:p>
        </w:tc>
        <w:tc>
          <w:tcPr>
            <w:tcW w:w="563" w:type="dxa"/>
            <w:hideMark/>
          </w:tcPr>
          <w:p w14:paraId="4657B06C" w14:textId="77777777" w:rsidR="00E53BB2" w:rsidRPr="00C9343F" w:rsidRDefault="00E53BB2" w:rsidP="00E53BB2">
            <w:pPr>
              <w:pStyle w:val="Sectiontext0"/>
              <w:jc w:val="center"/>
              <w:rPr>
                <w:rFonts w:cs="Arial"/>
                <w:lang w:eastAsia="en-US"/>
              </w:rPr>
            </w:pPr>
            <w:r w:rsidRPr="00C9343F">
              <w:rPr>
                <w:rFonts w:cs="Arial"/>
                <w:lang w:eastAsia="en-US"/>
              </w:rPr>
              <w:t>b.</w:t>
            </w:r>
          </w:p>
        </w:tc>
        <w:tc>
          <w:tcPr>
            <w:tcW w:w="7804" w:type="dxa"/>
            <w:gridSpan w:val="2"/>
          </w:tcPr>
          <w:p w14:paraId="2D17EECF" w14:textId="77777777" w:rsidR="00E53BB2" w:rsidRPr="00C9343F" w:rsidRDefault="00E53BB2" w:rsidP="00E53BB2">
            <w:pPr>
              <w:pStyle w:val="Sectiontext0"/>
              <w:rPr>
                <w:rFonts w:cs="Arial"/>
                <w:lang w:eastAsia="en-US"/>
              </w:rPr>
            </w:pPr>
            <w:r w:rsidRPr="00C9343F">
              <w:t>The minimum period of paid parental leave that may be taken at a time is 1 day.</w:t>
            </w:r>
            <w:r w:rsidRPr="00C9343F">
              <w:rPr>
                <w:rFonts w:cs="Arial"/>
                <w:lang w:eastAsia="en-US"/>
              </w:rPr>
              <w:t xml:space="preserve"> </w:t>
            </w:r>
          </w:p>
        </w:tc>
      </w:tr>
      <w:tr w:rsidR="00E53BB2" w:rsidRPr="00C9343F" w14:paraId="16A7B16A" w14:textId="77777777" w:rsidTr="00E53BB2">
        <w:tc>
          <w:tcPr>
            <w:tcW w:w="992" w:type="dxa"/>
          </w:tcPr>
          <w:p w14:paraId="210878C6" w14:textId="77777777" w:rsidR="00E53BB2" w:rsidRPr="00C9343F" w:rsidRDefault="00E53BB2" w:rsidP="00E53BB2">
            <w:pPr>
              <w:pStyle w:val="Sectiontext0"/>
              <w:jc w:val="center"/>
              <w:rPr>
                <w:lang w:eastAsia="en-US"/>
              </w:rPr>
            </w:pPr>
          </w:p>
        </w:tc>
        <w:tc>
          <w:tcPr>
            <w:tcW w:w="563" w:type="dxa"/>
            <w:hideMark/>
          </w:tcPr>
          <w:p w14:paraId="5D0E0531" w14:textId="77777777" w:rsidR="00E53BB2" w:rsidRPr="00C9343F" w:rsidRDefault="00E53BB2" w:rsidP="00E53BB2">
            <w:pPr>
              <w:pStyle w:val="Sectiontext0"/>
              <w:jc w:val="center"/>
              <w:rPr>
                <w:rFonts w:cs="Arial"/>
                <w:lang w:eastAsia="en-US"/>
              </w:rPr>
            </w:pPr>
            <w:r w:rsidRPr="00C9343F">
              <w:rPr>
                <w:rFonts w:cs="Arial"/>
                <w:lang w:eastAsia="en-US"/>
              </w:rPr>
              <w:t>c.</w:t>
            </w:r>
          </w:p>
        </w:tc>
        <w:tc>
          <w:tcPr>
            <w:tcW w:w="7804" w:type="dxa"/>
            <w:gridSpan w:val="2"/>
          </w:tcPr>
          <w:p w14:paraId="7DEA0AA7" w14:textId="77777777" w:rsidR="00E53BB2" w:rsidRPr="00C9343F" w:rsidRDefault="00E53BB2" w:rsidP="00E53BB2">
            <w:pPr>
              <w:pStyle w:val="Sectiontext0"/>
              <w:rPr>
                <w:rFonts w:cs="Arial"/>
                <w:lang w:eastAsia="en-US"/>
              </w:rPr>
            </w:pPr>
            <w:r w:rsidRPr="00C9343F">
              <w:t>Paid parental leave under subsection 1 is reduced by the following for each day the member would otherwise be required for duty.</w:t>
            </w:r>
          </w:p>
        </w:tc>
      </w:tr>
      <w:tr w:rsidR="00E53BB2" w:rsidRPr="00C9343F" w14:paraId="2153B229" w14:textId="77777777" w:rsidTr="00E53BB2">
        <w:tc>
          <w:tcPr>
            <w:tcW w:w="992" w:type="dxa"/>
          </w:tcPr>
          <w:p w14:paraId="3A4DF604" w14:textId="77777777" w:rsidR="00E53BB2" w:rsidRPr="00C9343F" w:rsidRDefault="00E53BB2" w:rsidP="00E53BB2">
            <w:pPr>
              <w:pStyle w:val="Sectiontext0"/>
              <w:jc w:val="center"/>
              <w:rPr>
                <w:lang w:eastAsia="en-US"/>
              </w:rPr>
            </w:pPr>
          </w:p>
        </w:tc>
        <w:tc>
          <w:tcPr>
            <w:tcW w:w="563" w:type="dxa"/>
            <w:hideMark/>
          </w:tcPr>
          <w:p w14:paraId="5BE3CE5E" w14:textId="77777777" w:rsidR="00E53BB2" w:rsidRPr="00C9343F" w:rsidRDefault="00E53BB2" w:rsidP="00E53BB2">
            <w:pPr>
              <w:pStyle w:val="Sectiontext0"/>
              <w:jc w:val="center"/>
              <w:rPr>
                <w:rFonts w:cs="Arial"/>
                <w:lang w:eastAsia="en-US"/>
              </w:rPr>
            </w:pPr>
          </w:p>
        </w:tc>
        <w:tc>
          <w:tcPr>
            <w:tcW w:w="600" w:type="dxa"/>
          </w:tcPr>
          <w:p w14:paraId="4D70E0F6" w14:textId="77777777" w:rsidR="00E53BB2" w:rsidRPr="00C9343F" w:rsidRDefault="00E53BB2" w:rsidP="00E62EB5">
            <w:pPr>
              <w:pStyle w:val="Sectiontext0"/>
              <w:rPr>
                <w:rFonts w:cs="Arial"/>
                <w:lang w:eastAsia="en-US"/>
              </w:rPr>
            </w:pPr>
            <w:r w:rsidRPr="00C9343F">
              <w:rPr>
                <w:rFonts w:cs="Arial"/>
                <w:lang w:eastAsia="en-US"/>
              </w:rPr>
              <w:t>i.</w:t>
            </w:r>
          </w:p>
        </w:tc>
        <w:tc>
          <w:tcPr>
            <w:tcW w:w="7204" w:type="dxa"/>
          </w:tcPr>
          <w:p w14:paraId="7E731E05" w14:textId="77777777" w:rsidR="00E53BB2" w:rsidRPr="00C9343F" w:rsidRDefault="00E53BB2" w:rsidP="00E53BB2">
            <w:pPr>
              <w:pStyle w:val="Sectiontext0"/>
              <w:rPr>
                <w:rFonts w:cs="Arial"/>
                <w:lang w:eastAsia="en-US"/>
              </w:rPr>
            </w:pPr>
            <w:r w:rsidRPr="00C9343F">
              <w:rPr>
                <w:rFonts w:cs="Arial"/>
                <w:lang w:eastAsia="en-US"/>
              </w:rPr>
              <w:t>For each day taken at full pay — 1 day.</w:t>
            </w:r>
          </w:p>
        </w:tc>
      </w:tr>
      <w:tr w:rsidR="00E53BB2" w:rsidRPr="00C9343F" w14:paraId="19758D63" w14:textId="77777777" w:rsidTr="00E53BB2">
        <w:tc>
          <w:tcPr>
            <w:tcW w:w="992" w:type="dxa"/>
          </w:tcPr>
          <w:p w14:paraId="22E68A9D" w14:textId="77777777" w:rsidR="00E53BB2" w:rsidRPr="00C9343F" w:rsidRDefault="00E53BB2" w:rsidP="00E53BB2">
            <w:pPr>
              <w:pStyle w:val="Sectiontext0"/>
              <w:jc w:val="center"/>
              <w:rPr>
                <w:lang w:eastAsia="en-US"/>
              </w:rPr>
            </w:pPr>
          </w:p>
        </w:tc>
        <w:tc>
          <w:tcPr>
            <w:tcW w:w="563" w:type="dxa"/>
            <w:hideMark/>
          </w:tcPr>
          <w:p w14:paraId="016079F6" w14:textId="77777777" w:rsidR="00E53BB2" w:rsidRPr="00C9343F" w:rsidRDefault="00E53BB2" w:rsidP="00E53BB2">
            <w:pPr>
              <w:pStyle w:val="Sectiontext0"/>
              <w:jc w:val="center"/>
              <w:rPr>
                <w:rFonts w:cs="Arial"/>
                <w:lang w:eastAsia="en-US"/>
              </w:rPr>
            </w:pPr>
          </w:p>
        </w:tc>
        <w:tc>
          <w:tcPr>
            <w:tcW w:w="600" w:type="dxa"/>
          </w:tcPr>
          <w:p w14:paraId="6D338C6F" w14:textId="77777777" w:rsidR="00E53BB2" w:rsidRPr="00C9343F" w:rsidRDefault="00E53BB2" w:rsidP="00E62EB5">
            <w:pPr>
              <w:pStyle w:val="Sectiontext0"/>
              <w:rPr>
                <w:rFonts w:cs="Arial"/>
                <w:lang w:eastAsia="en-US"/>
              </w:rPr>
            </w:pPr>
            <w:r w:rsidRPr="00C9343F">
              <w:rPr>
                <w:rFonts w:cs="Arial"/>
                <w:lang w:eastAsia="en-US"/>
              </w:rPr>
              <w:t>ii.</w:t>
            </w:r>
          </w:p>
        </w:tc>
        <w:tc>
          <w:tcPr>
            <w:tcW w:w="7204" w:type="dxa"/>
          </w:tcPr>
          <w:p w14:paraId="6D9F75C2" w14:textId="77777777" w:rsidR="00E53BB2" w:rsidRPr="00C9343F" w:rsidRDefault="00E53BB2" w:rsidP="00E53BB2">
            <w:pPr>
              <w:pStyle w:val="Sectiontext0"/>
              <w:rPr>
                <w:rFonts w:cs="Arial"/>
                <w:lang w:eastAsia="en-US"/>
              </w:rPr>
            </w:pPr>
            <w:r w:rsidRPr="00C9343F">
              <w:rPr>
                <w:rFonts w:cs="Arial"/>
                <w:lang w:eastAsia="en-US"/>
              </w:rPr>
              <w:t>For each day taken at half pay — 0.5 day.</w:t>
            </w:r>
          </w:p>
        </w:tc>
      </w:tr>
      <w:tr w:rsidR="00E53BB2" w:rsidRPr="00C9343F" w14:paraId="4817FF4B" w14:textId="77777777" w:rsidTr="00E53BB2">
        <w:tc>
          <w:tcPr>
            <w:tcW w:w="992" w:type="dxa"/>
          </w:tcPr>
          <w:p w14:paraId="1B005852" w14:textId="77777777" w:rsidR="00E53BB2" w:rsidRPr="00C9343F" w:rsidRDefault="00E53BB2" w:rsidP="00E53BB2">
            <w:pPr>
              <w:pStyle w:val="Sectiontext0"/>
              <w:jc w:val="center"/>
              <w:rPr>
                <w:lang w:eastAsia="en-US"/>
              </w:rPr>
            </w:pPr>
            <w:r w:rsidRPr="00C9343F">
              <w:rPr>
                <w:lang w:eastAsia="en-US"/>
              </w:rPr>
              <w:t>3.</w:t>
            </w:r>
          </w:p>
        </w:tc>
        <w:tc>
          <w:tcPr>
            <w:tcW w:w="8367" w:type="dxa"/>
            <w:gridSpan w:val="3"/>
          </w:tcPr>
          <w:p w14:paraId="77490A2B" w14:textId="77777777" w:rsidR="00E53BB2" w:rsidRPr="00C9343F" w:rsidRDefault="00E53BB2" w:rsidP="00E53BB2">
            <w:pPr>
              <w:pStyle w:val="Sectiontext0"/>
              <w:rPr>
                <w:rFonts w:cs="Arial"/>
                <w:lang w:eastAsia="en-US"/>
              </w:rPr>
            </w:pPr>
            <w:r w:rsidRPr="00C9343F">
              <w:t xml:space="preserve">Paid parental leave counts as effective service. </w:t>
            </w:r>
          </w:p>
        </w:tc>
      </w:tr>
    </w:tbl>
    <w:p w14:paraId="41ADFCEE" w14:textId="66FD39B1" w:rsidR="006E5056" w:rsidRPr="00C9343F" w:rsidRDefault="006E5056" w:rsidP="00352D0B">
      <w:pPr>
        <w:pStyle w:val="Heading4"/>
        <w:pageBreakBefore/>
      </w:pPr>
      <w:bookmarkStart w:id="1793" w:name="_Toc105054100"/>
      <w:r w:rsidRPr="00C9343F">
        <w:t>Division 3: Special paid parental leave</w:t>
      </w:r>
      <w:bookmarkEnd w:id="1793"/>
    </w:p>
    <w:p w14:paraId="4ACD08A8" w14:textId="7AE0D5A7" w:rsidR="006E5056" w:rsidRPr="00C9343F" w:rsidRDefault="006E5056" w:rsidP="00F66D98">
      <w:pPr>
        <w:pStyle w:val="Heading5"/>
      </w:pPr>
      <w:bookmarkStart w:id="1794" w:name="_Toc105054101"/>
      <w:r w:rsidRPr="00C9343F">
        <w:t>5.7.6</w:t>
      </w:r>
      <w:r w:rsidR="00D94006" w:rsidRPr="00C9343F">
        <w:t>    </w:t>
      </w:r>
      <w:r w:rsidRPr="00C9343F">
        <w:t>Purpose of special paid parental leave</w:t>
      </w:r>
      <w:bookmarkEnd w:id="1794"/>
    </w:p>
    <w:tbl>
      <w:tblPr>
        <w:tblW w:w="9359" w:type="dxa"/>
        <w:tblInd w:w="113" w:type="dxa"/>
        <w:tblLayout w:type="fixed"/>
        <w:tblLook w:val="04A0" w:firstRow="1" w:lastRow="0" w:firstColumn="1" w:lastColumn="0" w:noHBand="0" w:noVBand="1"/>
      </w:tblPr>
      <w:tblGrid>
        <w:gridCol w:w="992"/>
        <w:gridCol w:w="8367"/>
      </w:tblGrid>
      <w:tr w:rsidR="006E5056" w:rsidRPr="00C9343F" w14:paraId="3BF9C06C" w14:textId="77777777" w:rsidTr="006E5056">
        <w:tc>
          <w:tcPr>
            <w:tcW w:w="992" w:type="dxa"/>
          </w:tcPr>
          <w:p w14:paraId="36D1F8D6" w14:textId="77777777" w:rsidR="006E5056" w:rsidRPr="00C9343F" w:rsidRDefault="006E5056" w:rsidP="00F66D98">
            <w:pPr>
              <w:pStyle w:val="Sectiontext0"/>
              <w:jc w:val="center"/>
              <w:rPr>
                <w:lang w:eastAsia="en-US"/>
              </w:rPr>
            </w:pPr>
          </w:p>
        </w:tc>
        <w:tc>
          <w:tcPr>
            <w:tcW w:w="8367" w:type="dxa"/>
          </w:tcPr>
          <w:p w14:paraId="3044017C" w14:textId="77777777" w:rsidR="006E5056" w:rsidRPr="00C9343F" w:rsidRDefault="006E5056" w:rsidP="00F66D98">
            <w:pPr>
              <w:pStyle w:val="Sectiontext0"/>
              <w:rPr>
                <w:rFonts w:cs="Arial"/>
                <w:lang w:eastAsia="en-US"/>
              </w:rPr>
            </w:pPr>
            <w:r w:rsidRPr="00C9343F">
              <w:t>Special paid parental leave is to provide members with a type of leave in the early days of becoming a parent of a child in circumstances when the other parent is not available to be the primary caregiver of the child during that leave period.</w:t>
            </w:r>
          </w:p>
        </w:tc>
      </w:tr>
    </w:tbl>
    <w:p w14:paraId="7757C8EC" w14:textId="5933FEE0" w:rsidR="006E5056" w:rsidRPr="00C9343F" w:rsidRDefault="006E5056" w:rsidP="00F66D98">
      <w:pPr>
        <w:pStyle w:val="Heading5"/>
      </w:pPr>
      <w:bookmarkStart w:id="1795" w:name="_Toc105054102"/>
      <w:r w:rsidRPr="00C9343F">
        <w:t>5.7.6A</w:t>
      </w:r>
      <w:r w:rsidR="00D94006" w:rsidRPr="00C9343F">
        <w:t>    </w:t>
      </w:r>
      <w:r w:rsidRPr="00C9343F">
        <w:t>Members this Division applies to</w:t>
      </w:r>
      <w:bookmarkEnd w:id="1795"/>
    </w:p>
    <w:tbl>
      <w:tblPr>
        <w:tblW w:w="9359" w:type="dxa"/>
        <w:tblInd w:w="113" w:type="dxa"/>
        <w:tblLayout w:type="fixed"/>
        <w:tblLook w:val="04A0" w:firstRow="1" w:lastRow="0" w:firstColumn="1" w:lastColumn="0" w:noHBand="0" w:noVBand="1"/>
      </w:tblPr>
      <w:tblGrid>
        <w:gridCol w:w="992"/>
        <w:gridCol w:w="563"/>
        <w:gridCol w:w="567"/>
        <w:gridCol w:w="7237"/>
      </w:tblGrid>
      <w:tr w:rsidR="006E5056" w:rsidRPr="00C9343F" w14:paraId="580B60A4" w14:textId="77777777" w:rsidTr="006E5056">
        <w:tc>
          <w:tcPr>
            <w:tcW w:w="992" w:type="dxa"/>
          </w:tcPr>
          <w:p w14:paraId="7DC3EFD4" w14:textId="77777777" w:rsidR="006E5056" w:rsidRPr="00C9343F" w:rsidRDefault="006E5056" w:rsidP="00F66D98">
            <w:pPr>
              <w:pStyle w:val="Sectiontext0"/>
              <w:jc w:val="center"/>
              <w:rPr>
                <w:lang w:eastAsia="en-US"/>
              </w:rPr>
            </w:pPr>
            <w:r w:rsidRPr="00C9343F">
              <w:rPr>
                <w:lang w:eastAsia="en-US"/>
              </w:rPr>
              <w:t>1.</w:t>
            </w:r>
          </w:p>
        </w:tc>
        <w:tc>
          <w:tcPr>
            <w:tcW w:w="8367" w:type="dxa"/>
            <w:gridSpan w:val="3"/>
          </w:tcPr>
          <w:p w14:paraId="60D4A002" w14:textId="77777777" w:rsidR="006E5056" w:rsidRPr="00C9343F" w:rsidRDefault="006E5056" w:rsidP="00F66D98">
            <w:pPr>
              <w:pStyle w:val="Sectiontext0"/>
              <w:rPr>
                <w:rFonts w:cs="Arial"/>
                <w:lang w:eastAsia="en-US"/>
              </w:rPr>
            </w:pPr>
            <w:r w:rsidRPr="00C9343F">
              <w:t>This Division applies to a member if all of the following apply.</w:t>
            </w:r>
          </w:p>
        </w:tc>
      </w:tr>
      <w:tr w:rsidR="006E5056" w:rsidRPr="00C9343F" w14:paraId="4032067D" w14:textId="77777777" w:rsidTr="006E5056">
        <w:tc>
          <w:tcPr>
            <w:tcW w:w="992" w:type="dxa"/>
          </w:tcPr>
          <w:p w14:paraId="47874D58" w14:textId="77777777" w:rsidR="006E5056" w:rsidRPr="00C9343F" w:rsidRDefault="006E5056" w:rsidP="00F66D98">
            <w:pPr>
              <w:pStyle w:val="Sectiontext0"/>
              <w:spacing w:line="254" w:lineRule="auto"/>
              <w:jc w:val="center"/>
            </w:pPr>
          </w:p>
        </w:tc>
        <w:tc>
          <w:tcPr>
            <w:tcW w:w="563" w:type="dxa"/>
            <w:hideMark/>
          </w:tcPr>
          <w:p w14:paraId="2CAEF3AC" w14:textId="77777777" w:rsidR="006E5056" w:rsidRPr="00C9343F" w:rsidRDefault="006E5056" w:rsidP="00F66D98">
            <w:pPr>
              <w:pStyle w:val="Sectiontext0"/>
              <w:spacing w:line="254" w:lineRule="auto"/>
              <w:jc w:val="center"/>
            </w:pPr>
            <w:r w:rsidRPr="00C9343F">
              <w:t>a.</w:t>
            </w:r>
          </w:p>
        </w:tc>
        <w:tc>
          <w:tcPr>
            <w:tcW w:w="7804" w:type="dxa"/>
            <w:gridSpan w:val="2"/>
            <w:hideMark/>
          </w:tcPr>
          <w:p w14:paraId="4EC6EAFF" w14:textId="77777777" w:rsidR="006E5056" w:rsidRPr="00C9343F" w:rsidRDefault="006E5056" w:rsidP="00F66D98">
            <w:pPr>
              <w:pStyle w:val="Sectiontext0"/>
              <w:spacing w:line="254" w:lineRule="auto"/>
            </w:pPr>
            <w:r w:rsidRPr="00C9343F">
              <w:t>The member meets all of the following.</w:t>
            </w:r>
          </w:p>
        </w:tc>
      </w:tr>
      <w:tr w:rsidR="006E5056" w:rsidRPr="00C9343F" w14:paraId="5A4AD6EB" w14:textId="77777777" w:rsidTr="006E5056">
        <w:tc>
          <w:tcPr>
            <w:tcW w:w="992" w:type="dxa"/>
          </w:tcPr>
          <w:p w14:paraId="5A2FB8AF" w14:textId="77777777" w:rsidR="006E5056" w:rsidRPr="00C9343F" w:rsidRDefault="006E5056" w:rsidP="00F66D98">
            <w:pPr>
              <w:pStyle w:val="Sectiontext0"/>
              <w:jc w:val="center"/>
              <w:rPr>
                <w:lang w:eastAsia="en-US"/>
              </w:rPr>
            </w:pPr>
          </w:p>
        </w:tc>
        <w:tc>
          <w:tcPr>
            <w:tcW w:w="563" w:type="dxa"/>
          </w:tcPr>
          <w:p w14:paraId="73CCF227" w14:textId="77777777" w:rsidR="006E5056" w:rsidRPr="00C9343F" w:rsidRDefault="006E5056" w:rsidP="00F66D98">
            <w:pPr>
              <w:pStyle w:val="Sectiontext0"/>
              <w:rPr>
                <w:rFonts w:cs="Arial"/>
                <w:iCs/>
                <w:lang w:eastAsia="en-US"/>
              </w:rPr>
            </w:pPr>
          </w:p>
        </w:tc>
        <w:tc>
          <w:tcPr>
            <w:tcW w:w="567" w:type="dxa"/>
          </w:tcPr>
          <w:p w14:paraId="1872C78B" w14:textId="77777777" w:rsidR="006E5056" w:rsidRPr="00C9343F" w:rsidRDefault="006E5056" w:rsidP="00F66D98">
            <w:pPr>
              <w:pStyle w:val="Sectiontext0"/>
              <w:rPr>
                <w:rFonts w:cs="Arial"/>
                <w:iCs/>
                <w:lang w:eastAsia="en-US"/>
              </w:rPr>
            </w:pPr>
            <w:r w:rsidRPr="00C9343F">
              <w:rPr>
                <w:rFonts w:cs="Arial"/>
                <w:iCs/>
                <w:lang w:eastAsia="en-US"/>
              </w:rPr>
              <w:t>i.</w:t>
            </w:r>
          </w:p>
        </w:tc>
        <w:tc>
          <w:tcPr>
            <w:tcW w:w="7237" w:type="dxa"/>
          </w:tcPr>
          <w:p w14:paraId="065DDF44" w14:textId="77777777" w:rsidR="006E5056" w:rsidRPr="00C9343F" w:rsidRDefault="006E5056" w:rsidP="00F66D98">
            <w:pPr>
              <w:pStyle w:val="Sectiontext0"/>
            </w:pPr>
            <w:r w:rsidRPr="00C9343F">
              <w:t>They are not eligible for paid maternity leave.</w:t>
            </w:r>
          </w:p>
        </w:tc>
      </w:tr>
      <w:tr w:rsidR="006E5056" w:rsidRPr="00C9343F" w14:paraId="6711EBC3" w14:textId="77777777" w:rsidTr="006E5056">
        <w:tc>
          <w:tcPr>
            <w:tcW w:w="992" w:type="dxa"/>
          </w:tcPr>
          <w:p w14:paraId="0423DD73" w14:textId="77777777" w:rsidR="006E5056" w:rsidRPr="00C9343F" w:rsidRDefault="006E5056" w:rsidP="00F66D98">
            <w:pPr>
              <w:pStyle w:val="Sectiontext0"/>
              <w:jc w:val="center"/>
              <w:rPr>
                <w:lang w:eastAsia="en-US"/>
              </w:rPr>
            </w:pPr>
          </w:p>
        </w:tc>
        <w:tc>
          <w:tcPr>
            <w:tcW w:w="563" w:type="dxa"/>
          </w:tcPr>
          <w:p w14:paraId="6EF343B7" w14:textId="77777777" w:rsidR="006E5056" w:rsidRPr="00C9343F" w:rsidRDefault="006E5056" w:rsidP="00F66D98">
            <w:pPr>
              <w:pStyle w:val="Sectiontext0"/>
              <w:rPr>
                <w:rFonts w:cs="Arial"/>
                <w:iCs/>
                <w:lang w:eastAsia="en-US"/>
              </w:rPr>
            </w:pPr>
          </w:p>
        </w:tc>
        <w:tc>
          <w:tcPr>
            <w:tcW w:w="567" w:type="dxa"/>
          </w:tcPr>
          <w:p w14:paraId="0579B381" w14:textId="77777777" w:rsidR="006E5056" w:rsidRPr="00C9343F" w:rsidRDefault="006E5056" w:rsidP="00F66D98">
            <w:pPr>
              <w:pStyle w:val="Sectiontext0"/>
              <w:rPr>
                <w:rFonts w:cs="Arial"/>
                <w:iCs/>
                <w:lang w:eastAsia="en-US"/>
              </w:rPr>
            </w:pPr>
            <w:r w:rsidRPr="00C9343F">
              <w:rPr>
                <w:rFonts w:cs="Arial"/>
                <w:iCs/>
                <w:lang w:eastAsia="en-US"/>
              </w:rPr>
              <w:t>ii.</w:t>
            </w:r>
          </w:p>
        </w:tc>
        <w:tc>
          <w:tcPr>
            <w:tcW w:w="7237" w:type="dxa"/>
          </w:tcPr>
          <w:p w14:paraId="28E7FE42" w14:textId="77777777" w:rsidR="006E5056" w:rsidRPr="00C9343F" w:rsidRDefault="006E5056" w:rsidP="00F66D98">
            <w:pPr>
              <w:pStyle w:val="Sectiontext0"/>
            </w:pPr>
            <w:r w:rsidRPr="00C9343F">
              <w:t>They will be the primary caregiver of the child for the duration of the special paid parental leave.</w:t>
            </w:r>
          </w:p>
        </w:tc>
      </w:tr>
      <w:tr w:rsidR="006E5056" w:rsidRPr="00C9343F" w14:paraId="64AB1486" w14:textId="77777777" w:rsidTr="006E5056">
        <w:tc>
          <w:tcPr>
            <w:tcW w:w="992" w:type="dxa"/>
          </w:tcPr>
          <w:p w14:paraId="358E841D" w14:textId="77777777" w:rsidR="006E5056" w:rsidRPr="00C9343F" w:rsidRDefault="006E5056" w:rsidP="00F66D98">
            <w:pPr>
              <w:pStyle w:val="Sectiontext0"/>
              <w:jc w:val="center"/>
              <w:rPr>
                <w:lang w:eastAsia="en-US"/>
              </w:rPr>
            </w:pPr>
          </w:p>
        </w:tc>
        <w:tc>
          <w:tcPr>
            <w:tcW w:w="563" w:type="dxa"/>
          </w:tcPr>
          <w:p w14:paraId="376F1212" w14:textId="77777777" w:rsidR="006E5056" w:rsidRPr="00C9343F" w:rsidRDefault="006E5056" w:rsidP="00F66D98">
            <w:pPr>
              <w:pStyle w:val="Sectiontext0"/>
              <w:rPr>
                <w:rFonts w:cs="Arial"/>
                <w:iCs/>
                <w:lang w:eastAsia="en-US"/>
              </w:rPr>
            </w:pPr>
          </w:p>
        </w:tc>
        <w:tc>
          <w:tcPr>
            <w:tcW w:w="567" w:type="dxa"/>
          </w:tcPr>
          <w:p w14:paraId="3B150598" w14:textId="77777777" w:rsidR="006E5056" w:rsidRPr="00C9343F" w:rsidRDefault="006E5056" w:rsidP="00F66D98">
            <w:pPr>
              <w:pStyle w:val="Sectiontext0"/>
              <w:rPr>
                <w:rFonts w:cs="Arial"/>
                <w:iCs/>
                <w:lang w:eastAsia="en-US"/>
              </w:rPr>
            </w:pPr>
            <w:r w:rsidRPr="00C9343F">
              <w:rPr>
                <w:rFonts w:cs="Arial"/>
                <w:iCs/>
                <w:lang w:eastAsia="en-US"/>
              </w:rPr>
              <w:t>iii.</w:t>
            </w:r>
          </w:p>
        </w:tc>
        <w:tc>
          <w:tcPr>
            <w:tcW w:w="7237" w:type="dxa"/>
          </w:tcPr>
          <w:p w14:paraId="308475E1" w14:textId="77777777" w:rsidR="006E5056" w:rsidRPr="00C9343F" w:rsidRDefault="006E5056" w:rsidP="00F66D98">
            <w:pPr>
              <w:pStyle w:val="Sectiontext0"/>
            </w:pPr>
            <w:r w:rsidRPr="00C9343F">
              <w:t>They have completed their qualifying service.</w:t>
            </w:r>
          </w:p>
        </w:tc>
      </w:tr>
      <w:tr w:rsidR="006E5056" w:rsidRPr="00C9343F" w14:paraId="4D4DE51F" w14:textId="77777777" w:rsidTr="006E5056">
        <w:tc>
          <w:tcPr>
            <w:tcW w:w="992" w:type="dxa"/>
          </w:tcPr>
          <w:p w14:paraId="123F4614" w14:textId="77777777" w:rsidR="006E5056" w:rsidRPr="00C9343F" w:rsidRDefault="006E5056" w:rsidP="00F66D98">
            <w:pPr>
              <w:pStyle w:val="Sectiontext0"/>
              <w:jc w:val="center"/>
              <w:rPr>
                <w:lang w:eastAsia="en-US"/>
              </w:rPr>
            </w:pPr>
          </w:p>
        </w:tc>
        <w:tc>
          <w:tcPr>
            <w:tcW w:w="563" w:type="dxa"/>
          </w:tcPr>
          <w:p w14:paraId="2070283D"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804" w:type="dxa"/>
            <w:gridSpan w:val="2"/>
          </w:tcPr>
          <w:p w14:paraId="09C45DC4" w14:textId="77777777" w:rsidR="006E5056" w:rsidRPr="00C9343F" w:rsidRDefault="006E5056" w:rsidP="00F66D98">
            <w:pPr>
              <w:pStyle w:val="Sectiontext0"/>
            </w:pPr>
            <w:r w:rsidRPr="00C9343F">
              <w:t>The child in relation to whom special paid parental leave will be taken meets all of the following.</w:t>
            </w:r>
          </w:p>
        </w:tc>
      </w:tr>
      <w:tr w:rsidR="006E5056" w:rsidRPr="00C9343F" w14:paraId="3C5D0B4D" w14:textId="77777777" w:rsidTr="006E5056">
        <w:tc>
          <w:tcPr>
            <w:tcW w:w="992" w:type="dxa"/>
          </w:tcPr>
          <w:p w14:paraId="405BA397" w14:textId="77777777" w:rsidR="006E5056" w:rsidRPr="00C9343F" w:rsidRDefault="006E5056" w:rsidP="00F66D98">
            <w:pPr>
              <w:pStyle w:val="Sectiontext0"/>
              <w:jc w:val="center"/>
              <w:rPr>
                <w:lang w:eastAsia="en-US"/>
              </w:rPr>
            </w:pPr>
          </w:p>
        </w:tc>
        <w:tc>
          <w:tcPr>
            <w:tcW w:w="563" w:type="dxa"/>
          </w:tcPr>
          <w:p w14:paraId="169F9CB8" w14:textId="77777777" w:rsidR="006E5056" w:rsidRPr="00C9343F" w:rsidRDefault="006E5056" w:rsidP="00F66D98">
            <w:pPr>
              <w:pStyle w:val="Sectiontext0"/>
              <w:rPr>
                <w:rFonts w:cs="Arial"/>
                <w:iCs/>
                <w:lang w:eastAsia="en-US"/>
              </w:rPr>
            </w:pPr>
          </w:p>
        </w:tc>
        <w:tc>
          <w:tcPr>
            <w:tcW w:w="567" w:type="dxa"/>
            <w:hideMark/>
          </w:tcPr>
          <w:p w14:paraId="044BEF8D" w14:textId="77777777" w:rsidR="006E5056" w:rsidRPr="00C9343F" w:rsidRDefault="006E5056" w:rsidP="00F66D98">
            <w:pPr>
              <w:pStyle w:val="Sectiontext0"/>
              <w:rPr>
                <w:rFonts w:cs="Arial"/>
                <w:iCs/>
                <w:lang w:eastAsia="en-US"/>
              </w:rPr>
            </w:pPr>
            <w:r w:rsidRPr="00C9343F">
              <w:rPr>
                <w:rFonts w:cs="Arial"/>
                <w:iCs/>
                <w:lang w:eastAsia="en-US"/>
              </w:rPr>
              <w:t>i.</w:t>
            </w:r>
          </w:p>
        </w:tc>
        <w:tc>
          <w:tcPr>
            <w:tcW w:w="7237" w:type="dxa"/>
          </w:tcPr>
          <w:p w14:paraId="7031AA3E" w14:textId="77777777" w:rsidR="006E5056" w:rsidRPr="00C9343F" w:rsidRDefault="006E5056" w:rsidP="00F66D98">
            <w:pPr>
              <w:pStyle w:val="Sectiontext0"/>
              <w:rPr>
                <w:rFonts w:cs="Arial"/>
                <w:iCs/>
                <w:lang w:eastAsia="en-US"/>
              </w:rPr>
            </w:pPr>
            <w:r w:rsidRPr="00C9343F">
              <w:t>They are a dependant of the member.</w:t>
            </w:r>
          </w:p>
        </w:tc>
      </w:tr>
      <w:tr w:rsidR="006E5056" w:rsidRPr="00C9343F" w14:paraId="15AE5DFB" w14:textId="77777777" w:rsidTr="006E5056">
        <w:tc>
          <w:tcPr>
            <w:tcW w:w="992" w:type="dxa"/>
          </w:tcPr>
          <w:p w14:paraId="58876FB3" w14:textId="77777777" w:rsidR="006E5056" w:rsidRPr="00C9343F" w:rsidRDefault="006E5056" w:rsidP="00F66D98">
            <w:pPr>
              <w:pStyle w:val="Sectiontext0"/>
              <w:jc w:val="center"/>
              <w:rPr>
                <w:lang w:eastAsia="en-US"/>
              </w:rPr>
            </w:pPr>
          </w:p>
        </w:tc>
        <w:tc>
          <w:tcPr>
            <w:tcW w:w="563" w:type="dxa"/>
          </w:tcPr>
          <w:p w14:paraId="5ED500FD" w14:textId="77777777" w:rsidR="006E5056" w:rsidRPr="00C9343F" w:rsidRDefault="006E5056" w:rsidP="00F66D98">
            <w:pPr>
              <w:pStyle w:val="Sectiontext0"/>
              <w:rPr>
                <w:rFonts w:cs="Arial"/>
                <w:iCs/>
                <w:lang w:eastAsia="en-US"/>
              </w:rPr>
            </w:pPr>
          </w:p>
        </w:tc>
        <w:tc>
          <w:tcPr>
            <w:tcW w:w="567" w:type="dxa"/>
            <w:hideMark/>
          </w:tcPr>
          <w:p w14:paraId="2C93D762" w14:textId="77777777" w:rsidR="006E5056" w:rsidRPr="00C9343F" w:rsidRDefault="006E5056" w:rsidP="00F66D98">
            <w:pPr>
              <w:pStyle w:val="Sectiontext0"/>
              <w:rPr>
                <w:rFonts w:cs="Arial"/>
                <w:iCs/>
                <w:lang w:eastAsia="en-US"/>
              </w:rPr>
            </w:pPr>
            <w:r w:rsidRPr="00C9343F">
              <w:rPr>
                <w:rFonts w:cs="Arial"/>
                <w:iCs/>
                <w:lang w:eastAsia="en-US"/>
              </w:rPr>
              <w:t>ii.</w:t>
            </w:r>
          </w:p>
        </w:tc>
        <w:tc>
          <w:tcPr>
            <w:tcW w:w="7237" w:type="dxa"/>
          </w:tcPr>
          <w:p w14:paraId="3EBA8C8A" w14:textId="77777777" w:rsidR="006E5056" w:rsidRPr="00C9343F" w:rsidRDefault="006E5056" w:rsidP="00F66D98">
            <w:pPr>
              <w:pStyle w:val="Sectiontext0"/>
              <w:rPr>
                <w:rFonts w:cs="Arial"/>
                <w:iCs/>
                <w:lang w:eastAsia="en-US"/>
              </w:rPr>
            </w:pPr>
            <w:r w:rsidRPr="00C9343F">
              <w:t>They have lived with the member for less than 66 weeks.</w:t>
            </w:r>
          </w:p>
        </w:tc>
      </w:tr>
    </w:tbl>
    <w:p w14:paraId="5D582379" w14:textId="2036F0FE" w:rsidR="006E5056" w:rsidRPr="00C9343F" w:rsidRDefault="006E5056" w:rsidP="00F66D98">
      <w:pPr>
        <w:pStyle w:val="Heading5"/>
      </w:pPr>
      <w:bookmarkStart w:id="1796" w:name="_Toc105054103"/>
      <w:r w:rsidRPr="00C9343F">
        <w:t>5.7.6B</w:t>
      </w:r>
      <w:r w:rsidR="00D94006" w:rsidRPr="00C9343F">
        <w:t>    </w:t>
      </w:r>
      <w:r w:rsidRPr="00C9343F">
        <w:t>Members this Division does not apply to</w:t>
      </w:r>
      <w:bookmarkEnd w:id="1796"/>
    </w:p>
    <w:tbl>
      <w:tblPr>
        <w:tblW w:w="9359" w:type="dxa"/>
        <w:tblInd w:w="113" w:type="dxa"/>
        <w:tblLayout w:type="fixed"/>
        <w:tblLook w:val="04A0" w:firstRow="1" w:lastRow="0" w:firstColumn="1" w:lastColumn="0" w:noHBand="0" w:noVBand="1"/>
      </w:tblPr>
      <w:tblGrid>
        <w:gridCol w:w="992"/>
        <w:gridCol w:w="563"/>
        <w:gridCol w:w="7804"/>
      </w:tblGrid>
      <w:tr w:rsidR="006E5056" w:rsidRPr="00C9343F" w14:paraId="3F49CE77" w14:textId="77777777" w:rsidTr="006E5056">
        <w:tc>
          <w:tcPr>
            <w:tcW w:w="992" w:type="dxa"/>
          </w:tcPr>
          <w:p w14:paraId="1955C921" w14:textId="77777777" w:rsidR="006E5056" w:rsidRPr="00C9343F" w:rsidRDefault="006E5056" w:rsidP="00F66D98">
            <w:pPr>
              <w:pStyle w:val="Sectiontext0"/>
              <w:jc w:val="center"/>
              <w:rPr>
                <w:lang w:eastAsia="en-US"/>
              </w:rPr>
            </w:pPr>
          </w:p>
        </w:tc>
        <w:tc>
          <w:tcPr>
            <w:tcW w:w="8367" w:type="dxa"/>
            <w:gridSpan w:val="2"/>
          </w:tcPr>
          <w:p w14:paraId="0B11A73F" w14:textId="77777777" w:rsidR="006E5056" w:rsidRPr="00C9343F" w:rsidRDefault="006E5056" w:rsidP="00F66D98">
            <w:pPr>
              <w:pStyle w:val="Sectiontext0"/>
              <w:rPr>
                <w:rFonts w:cs="Arial"/>
                <w:lang w:eastAsia="en-US"/>
              </w:rPr>
            </w:pPr>
            <w:r w:rsidRPr="00C9343F">
              <w:t>This Division does not apply to a member if the child’s other parent is on any of the following types of leave.</w:t>
            </w:r>
          </w:p>
        </w:tc>
      </w:tr>
      <w:tr w:rsidR="006E5056" w:rsidRPr="00C9343F" w14:paraId="009AEC33" w14:textId="77777777" w:rsidTr="006E5056">
        <w:tc>
          <w:tcPr>
            <w:tcW w:w="992" w:type="dxa"/>
          </w:tcPr>
          <w:p w14:paraId="0D827603" w14:textId="77777777" w:rsidR="006E5056" w:rsidRPr="00C9343F" w:rsidRDefault="006E5056" w:rsidP="00F66D98">
            <w:pPr>
              <w:pStyle w:val="Sectiontext0"/>
              <w:jc w:val="center"/>
              <w:rPr>
                <w:lang w:eastAsia="en-US"/>
              </w:rPr>
            </w:pPr>
          </w:p>
        </w:tc>
        <w:tc>
          <w:tcPr>
            <w:tcW w:w="563" w:type="dxa"/>
          </w:tcPr>
          <w:p w14:paraId="60F60F34" w14:textId="77777777" w:rsidR="006E5056" w:rsidRPr="00C9343F" w:rsidRDefault="006E5056" w:rsidP="00F66D98">
            <w:pPr>
              <w:pStyle w:val="Sectiontext0"/>
              <w:jc w:val="center"/>
              <w:rPr>
                <w:rFonts w:cs="Arial"/>
                <w:lang w:eastAsia="en-US"/>
              </w:rPr>
            </w:pPr>
            <w:r w:rsidRPr="00C9343F">
              <w:rPr>
                <w:rFonts w:cs="Arial"/>
                <w:lang w:eastAsia="en-US"/>
              </w:rPr>
              <w:t>a.</w:t>
            </w:r>
          </w:p>
        </w:tc>
        <w:tc>
          <w:tcPr>
            <w:tcW w:w="7804" w:type="dxa"/>
          </w:tcPr>
          <w:p w14:paraId="5AB22DFB" w14:textId="77777777" w:rsidR="006E5056" w:rsidRPr="00C9343F" w:rsidRDefault="006E5056" w:rsidP="00F66D98">
            <w:pPr>
              <w:pStyle w:val="Sectiontext0"/>
            </w:pPr>
            <w:r w:rsidRPr="00C9343F">
              <w:t>Paid parental leave.</w:t>
            </w:r>
          </w:p>
        </w:tc>
      </w:tr>
      <w:tr w:rsidR="006E5056" w:rsidRPr="00C9343F" w14:paraId="3A1EAC8D" w14:textId="77777777" w:rsidTr="006E5056">
        <w:tc>
          <w:tcPr>
            <w:tcW w:w="992" w:type="dxa"/>
          </w:tcPr>
          <w:p w14:paraId="52641739" w14:textId="77777777" w:rsidR="006E5056" w:rsidRPr="00C9343F" w:rsidRDefault="006E5056" w:rsidP="00F66D98">
            <w:pPr>
              <w:pStyle w:val="Sectiontext0"/>
              <w:jc w:val="center"/>
              <w:rPr>
                <w:lang w:eastAsia="en-US"/>
              </w:rPr>
            </w:pPr>
          </w:p>
        </w:tc>
        <w:tc>
          <w:tcPr>
            <w:tcW w:w="563" w:type="dxa"/>
          </w:tcPr>
          <w:p w14:paraId="64DBD679"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804" w:type="dxa"/>
          </w:tcPr>
          <w:p w14:paraId="60BFD36B" w14:textId="77777777" w:rsidR="006E5056" w:rsidRPr="00C9343F" w:rsidRDefault="006E5056" w:rsidP="00F66D98">
            <w:pPr>
              <w:pStyle w:val="Sectiontext0"/>
            </w:pPr>
            <w:r w:rsidRPr="00C9343F">
              <w:t>Unpaid parental leave.</w:t>
            </w:r>
          </w:p>
        </w:tc>
      </w:tr>
      <w:tr w:rsidR="006E5056" w:rsidRPr="00C9343F" w14:paraId="089228DF" w14:textId="77777777" w:rsidTr="006E5056">
        <w:tc>
          <w:tcPr>
            <w:tcW w:w="992" w:type="dxa"/>
          </w:tcPr>
          <w:p w14:paraId="45CE80A7" w14:textId="77777777" w:rsidR="006E5056" w:rsidRPr="00C9343F" w:rsidRDefault="006E5056" w:rsidP="00F66D98">
            <w:pPr>
              <w:pStyle w:val="Sectiontext0"/>
              <w:jc w:val="center"/>
              <w:rPr>
                <w:lang w:eastAsia="en-US"/>
              </w:rPr>
            </w:pPr>
          </w:p>
        </w:tc>
        <w:tc>
          <w:tcPr>
            <w:tcW w:w="563" w:type="dxa"/>
          </w:tcPr>
          <w:p w14:paraId="1E2A61EF" w14:textId="77777777" w:rsidR="006E5056" w:rsidRPr="00C9343F" w:rsidRDefault="006E5056" w:rsidP="00F66D98">
            <w:pPr>
              <w:pStyle w:val="Sectiontext0"/>
              <w:jc w:val="center"/>
              <w:rPr>
                <w:rFonts w:cs="Arial"/>
                <w:lang w:eastAsia="en-US"/>
              </w:rPr>
            </w:pPr>
            <w:r w:rsidRPr="00C9343F">
              <w:rPr>
                <w:rFonts w:cs="Arial"/>
                <w:lang w:eastAsia="en-US"/>
              </w:rPr>
              <w:t>c.</w:t>
            </w:r>
          </w:p>
        </w:tc>
        <w:tc>
          <w:tcPr>
            <w:tcW w:w="7804" w:type="dxa"/>
          </w:tcPr>
          <w:p w14:paraId="5AFBCA71" w14:textId="77777777" w:rsidR="006E5056" w:rsidRPr="00C9343F" w:rsidRDefault="006E5056" w:rsidP="00F66D98">
            <w:pPr>
              <w:pStyle w:val="Sectiontext0"/>
            </w:pPr>
            <w:r w:rsidRPr="00C9343F">
              <w:t>A type of leave of provided to the member’s partner by their employer, however described, for similar purposes.</w:t>
            </w:r>
          </w:p>
        </w:tc>
      </w:tr>
    </w:tbl>
    <w:p w14:paraId="6A36A1FD" w14:textId="09FAD124" w:rsidR="006E5056" w:rsidRPr="00C9343F" w:rsidRDefault="006E5056" w:rsidP="00F66D98">
      <w:pPr>
        <w:pStyle w:val="Heading5"/>
      </w:pPr>
      <w:bookmarkStart w:id="1797" w:name="_Toc105054104"/>
      <w:r w:rsidRPr="00C9343F">
        <w:t>5.7.6C</w:t>
      </w:r>
      <w:r w:rsidR="00D94006" w:rsidRPr="00C9343F">
        <w:t>    </w:t>
      </w:r>
      <w:r w:rsidRPr="00C9343F">
        <w:t>Special paid parental leave – dual serving parent</w:t>
      </w:r>
      <w:bookmarkEnd w:id="1797"/>
    </w:p>
    <w:tbl>
      <w:tblPr>
        <w:tblW w:w="9359" w:type="dxa"/>
        <w:tblInd w:w="113" w:type="dxa"/>
        <w:tblLayout w:type="fixed"/>
        <w:tblLook w:val="04A0" w:firstRow="1" w:lastRow="0" w:firstColumn="1" w:lastColumn="0" w:noHBand="0" w:noVBand="1"/>
      </w:tblPr>
      <w:tblGrid>
        <w:gridCol w:w="992"/>
        <w:gridCol w:w="563"/>
        <w:gridCol w:w="7804"/>
      </w:tblGrid>
      <w:tr w:rsidR="006E5056" w:rsidRPr="00C9343F" w14:paraId="6A7457E0" w14:textId="77777777" w:rsidTr="006E5056">
        <w:tc>
          <w:tcPr>
            <w:tcW w:w="992" w:type="dxa"/>
          </w:tcPr>
          <w:p w14:paraId="4CF162D7" w14:textId="77777777" w:rsidR="006E5056" w:rsidRPr="00C9343F" w:rsidRDefault="006E5056" w:rsidP="00F66D98">
            <w:pPr>
              <w:pStyle w:val="Sectiontext0"/>
              <w:jc w:val="center"/>
              <w:rPr>
                <w:lang w:eastAsia="en-US"/>
              </w:rPr>
            </w:pPr>
            <w:r w:rsidRPr="00C9343F">
              <w:rPr>
                <w:lang w:eastAsia="en-US"/>
              </w:rPr>
              <w:t>1.</w:t>
            </w:r>
          </w:p>
        </w:tc>
        <w:tc>
          <w:tcPr>
            <w:tcW w:w="8367" w:type="dxa"/>
            <w:gridSpan w:val="2"/>
          </w:tcPr>
          <w:p w14:paraId="6369BC94" w14:textId="77777777" w:rsidR="006E5056" w:rsidRPr="00C9343F" w:rsidRDefault="006E5056" w:rsidP="00F66D98">
            <w:pPr>
              <w:pStyle w:val="Sectiontext0"/>
            </w:pPr>
            <w:r w:rsidRPr="00C9343F">
              <w:t>Subject to subsection 2 and section 5.7.6E, a member who is a dual serving parent is eligible for up to 10 weeks of special paid parental leave.</w:t>
            </w:r>
          </w:p>
        </w:tc>
      </w:tr>
      <w:tr w:rsidR="006E5056" w:rsidRPr="00C9343F" w14:paraId="3482D130" w14:textId="77777777" w:rsidTr="006E5056">
        <w:tc>
          <w:tcPr>
            <w:tcW w:w="992" w:type="dxa"/>
          </w:tcPr>
          <w:p w14:paraId="0C5C0B9D" w14:textId="77777777" w:rsidR="006E5056" w:rsidRPr="00C9343F" w:rsidRDefault="006E5056" w:rsidP="00F66D98">
            <w:pPr>
              <w:pStyle w:val="Sectiontext0"/>
              <w:jc w:val="center"/>
              <w:rPr>
                <w:lang w:eastAsia="en-US"/>
              </w:rPr>
            </w:pPr>
            <w:r w:rsidRPr="00C9343F">
              <w:rPr>
                <w:lang w:eastAsia="en-US"/>
              </w:rPr>
              <w:t>2.</w:t>
            </w:r>
          </w:p>
        </w:tc>
        <w:tc>
          <w:tcPr>
            <w:tcW w:w="8367" w:type="dxa"/>
            <w:gridSpan w:val="2"/>
          </w:tcPr>
          <w:p w14:paraId="42363457" w14:textId="77777777" w:rsidR="006E5056" w:rsidRPr="00C9343F" w:rsidRDefault="006E5056" w:rsidP="00F66D98">
            <w:pPr>
              <w:pStyle w:val="Sectiontext0"/>
            </w:pPr>
            <w:r w:rsidRPr="00C9343F">
              <w:t>Subsection 1 does not apply if the other parent of the child for whom special paid parental leave will be taken is on maternity leave unless the CDF is satisfied that the child’s other parent is not capable of providing care for the child for any of the following reasons.</w:t>
            </w:r>
          </w:p>
        </w:tc>
      </w:tr>
      <w:tr w:rsidR="006E5056" w:rsidRPr="00C9343F" w14:paraId="52455EBD" w14:textId="77777777" w:rsidTr="006E5056">
        <w:tc>
          <w:tcPr>
            <w:tcW w:w="992" w:type="dxa"/>
          </w:tcPr>
          <w:p w14:paraId="199FE147" w14:textId="77777777" w:rsidR="006E5056" w:rsidRPr="00C9343F" w:rsidRDefault="006E5056" w:rsidP="00F66D98">
            <w:pPr>
              <w:pStyle w:val="Sectiontext0"/>
              <w:jc w:val="center"/>
              <w:rPr>
                <w:lang w:eastAsia="en-US"/>
              </w:rPr>
            </w:pPr>
          </w:p>
        </w:tc>
        <w:tc>
          <w:tcPr>
            <w:tcW w:w="563" w:type="dxa"/>
          </w:tcPr>
          <w:p w14:paraId="2592152B" w14:textId="77777777" w:rsidR="006E5056" w:rsidRPr="00C9343F" w:rsidRDefault="006E5056" w:rsidP="00F66D98">
            <w:pPr>
              <w:pStyle w:val="Sectiontext0"/>
              <w:jc w:val="center"/>
              <w:rPr>
                <w:rFonts w:cs="Arial"/>
                <w:lang w:eastAsia="en-US"/>
              </w:rPr>
            </w:pPr>
            <w:r w:rsidRPr="00C9343F">
              <w:rPr>
                <w:rFonts w:cs="Arial"/>
                <w:lang w:eastAsia="en-US"/>
              </w:rPr>
              <w:t>a.</w:t>
            </w:r>
          </w:p>
        </w:tc>
        <w:tc>
          <w:tcPr>
            <w:tcW w:w="7804" w:type="dxa"/>
          </w:tcPr>
          <w:p w14:paraId="7042EB2F" w14:textId="77777777" w:rsidR="006E5056" w:rsidRPr="00C9343F" w:rsidRDefault="006E5056" w:rsidP="00F66D98">
            <w:pPr>
              <w:pStyle w:val="Sectiontext0"/>
            </w:pPr>
            <w:r w:rsidRPr="00C9343F">
              <w:t>Disability or impairment which impacts their ability to provide care for the child.</w:t>
            </w:r>
          </w:p>
        </w:tc>
      </w:tr>
      <w:tr w:rsidR="006E5056" w:rsidRPr="00C9343F" w14:paraId="53AD650A" w14:textId="77777777" w:rsidTr="006E5056">
        <w:tc>
          <w:tcPr>
            <w:tcW w:w="992" w:type="dxa"/>
          </w:tcPr>
          <w:p w14:paraId="4A504B75" w14:textId="77777777" w:rsidR="006E5056" w:rsidRPr="00C9343F" w:rsidRDefault="006E5056" w:rsidP="00F66D98">
            <w:pPr>
              <w:pStyle w:val="Sectiontext0"/>
              <w:jc w:val="center"/>
              <w:rPr>
                <w:lang w:eastAsia="en-US"/>
              </w:rPr>
            </w:pPr>
          </w:p>
        </w:tc>
        <w:tc>
          <w:tcPr>
            <w:tcW w:w="563" w:type="dxa"/>
          </w:tcPr>
          <w:p w14:paraId="056B9655"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804" w:type="dxa"/>
          </w:tcPr>
          <w:p w14:paraId="0B72F1A8" w14:textId="77777777" w:rsidR="006E5056" w:rsidRPr="00C9343F" w:rsidRDefault="006E5056" w:rsidP="00F66D98">
            <w:pPr>
              <w:pStyle w:val="Sectiontext0"/>
            </w:pPr>
            <w:r w:rsidRPr="00C9343F">
              <w:t>Hospitalisation, serious illness or very serious illness.</w:t>
            </w:r>
          </w:p>
        </w:tc>
      </w:tr>
      <w:tr w:rsidR="006E5056" w:rsidRPr="00C9343F" w14:paraId="6C3AF322" w14:textId="77777777" w:rsidTr="006E5056">
        <w:tc>
          <w:tcPr>
            <w:tcW w:w="992" w:type="dxa"/>
          </w:tcPr>
          <w:p w14:paraId="3E0A1483" w14:textId="77777777" w:rsidR="006E5056" w:rsidRPr="00C9343F" w:rsidRDefault="006E5056" w:rsidP="00F66D98">
            <w:pPr>
              <w:pStyle w:val="Sectiontext0"/>
              <w:jc w:val="center"/>
              <w:rPr>
                <w:lang w:eastAsia="en-US"/>
              </w:rPr>
            </w:pPr>
          </w:p>
        </w:tc>
        <w:tc>
          <w:tcPr>
            <w:tcW w:w="563" w:type="dxa"/>
          </w:tcPr>
          <w:p w14:paraId="23C1C44D" w14:textId="77777777" w:rsidR="006E5056" w:rsidRPr="00C9343F" w:rsidRDefault="006E5056" w:rsidP="00F66D98">
            <w:pPr>
              <w:pStyle w:val="Sectiontext0"/>
              <w:jc w:val="center"/>
              <w:rPr>
                <w:rFonts w:cs="Arial"/>
                <w:lang w:eastAsia="en-US"/>
              </w:rPr>
            </w:pPr>
            <w:r w:rsidRPr="00C9343F">
              <w:rPr>
                <w:rFonts w:cs="Arial"/>
                <w:lang w:eastAsia="en-US"/>
              </w:rPr>
              <w:t>c.</w:t>
            </w:r>
          </w:p>
        </w:tc>
        <w:tc>
          <w:tcPr>
            <w:tcW w:w="7804" w:type="dxa"/>
          </w:tcPr>
          <w:p w14:paraId="5B94883A" w14:textId="77777777" w:rsidR="006E5056" w:rsidRPr="00C9343F" w:rsidRDefault="006E5056" w:rsidP="00F66D98">
            <w:pPr>
              <w:pStyle w:val="Sectiontext0"/>
            </w:pPr>
            <w:r w:rsidRPr="00C9343F">
              <w:t>The child has been removed by court order from the birth parent’s care.</w:t>
            </w:r>
          </w:p>
        </w:tc>
      </w:tr>
    </w:tbl>
    <w:p w14:paraId="2C8E45EE" w14:textId="02C6AF72" w:rsidR="006E5056" w:rsidRPr="00C9343F" w:rsidRDefault="006E5056" w:rsidP="00F66D98">
      <w:pPr>
        <w:pStyle w:val="Heading5"/>
      </w:pPr>
      <w:bookmarkStart w:id="1798" w:name="_Toc105054105"/>
      <w:r w:rsidRPr="00C9343F">
        <w:t>5.7.6D</w:t>
      </w:r>
      <w:r w:rsidR="00D94006" w:rsidRPr="00C9343F">
        <w:t>    </w:t>
      </w:r>
      <w:r w:rsidRPr="00C9343F">
        <w:t>Special paid parental leave – other circumstances</w:t>
      </w:r>
      <w:bookmarkEnd w:id="1798"/>
    </w:p>
    <w:tbl>
      <w:tblPr>
        <w:tblW w:w="9359" w:type="dxa"/>
        <w:tblInd w:w="113" w:type="dxa"/>
        <w:tblLayout w:type="fixed"/>
        <w:tblLook w:val="04A0" w:firstRow="1" w:lastRow="0" w:firstColumn="1" w:lastColumn="0" w:noHBand="0" w:noVBand="1"/>
      </w:tblPr>
      <w:tblGrid>
        <w:gridCol w:w="992"/>
        <w:gridCol w:w="563"/>
        <w:gridCol w:w="7804"/>
      </w:tblGrid>
      <w:tr w:rsidR="006E5056" w:rsidRPr="00C9343F" w14:paraId="5FF94DEB" w14:textId="77777777" w:rsidTr="006E5056">
        <w:tc>
          <w:tcPr>
            <w:tcW w:w="992" w:type="dxa"/>
          </w:tcPr>
          <w:p w14:paraId="691D888F" w14:textId="77777777" w:rsidR="006E5056" w:rsidRPr="00C9343F" w:rsidRDefault="006E5056" w:rsidP="00F66D98">
            <w:pPr>
              <w:pStyle w:val="Sectiontext0"/>
              <w:jc w:val="center"/>
              <w:rPr>
                <w:lang w:eastAsia="en-US"/>
              </w:rPr>
            </w:pPr>
            <w:r w:rsidRPr="00C9343F">
              <w:rPr>
                <w:lang w:eastAsia="en-US"/>
              </w:rPr>
              <w:t>1.</w:t>
            </w:r>
          </w:p>
        </w:tc>
        <w:tc>
          <w:tcPr>
            <w:tcW w:w="8367" w:type="dxa"/>
            <w:gridSpan w:val="2"/>
          </w:tcPr>
          <w:p w14:paraId="2D0CD2A2" w14:textId="77777777" w:rsidR="006E5056" w:rsidRPr="00C9343F" w:rsidRDefault="006E5056" w:rsidP="00F66D98">
            <w:pPr>
              <w:pStyle w:val="Sectiontext0"/>
            </w:pPr>
            <w:r w:rsidRPr="00C9343F">
              <w:t>Subject to subsection 5.7.6E, a member who is not a dual serving parent is eligible for special paid parental leave if the CDF is satisfied that the other parent, if any, of the child for whom special paid parental leave will be taken is not capable of providing care for the child for any of the following reasons.</w:t>
            </w:r>
          </w:p>
        </w:tc>
      </w:tr>
      <w:tr w:rsidR="006E5056" w:rsidRPr="00C9343F" w14:paraId="2A417274" w14:textId="77777777" w:rsidTr="006E5056">
        <w:tc>
          <w:tcPr>
            <w:tcW w:w="992" w:type="dxa"/>
          </w:tcPr>
          <w:p w14:paraId="7A2F0BA1" w14:textId="77777777" w:rsidR="006E5056" w:rsidRPr="00C9343F" w:rsidRDefault="006E5056" w:rsidP="00F66D98">
            <w:pPr>
              <w:pStyle w:val="Sectiontext0"/>
              <w:jc w:val="center"/>
              <w:rPr>
                <w:lang w:eastAsia="en-US"/>
              </w:rPr>
            </w:pPr>
          </w:p>
        </w:tc>
        <w:tc>
          <w:tcPr>
            <w:tcW w:w="563" w:type="dxa"/>
          </w:tcPr>
          <w:p w14:paraId="79DE28D4" w14:textId="77777777" w:rsidR="006E5056" w:rsidRPr="00C9343F" w:rsidRDefault="006E5056" w:rsidP="00F66D98">
            <w:pPr>
              <w:pStyle w:val="Sectiontext0"/>
              <w:jc w:val="center"/>
              <w:rPr>
                <w:rFonts w:cs="Arial"/>
                <w:lang w:eastAsia="en-US"/>
              </w:rPr>
            </w:pPr>
            <w:r w:rsidRPr="00C9343F">
              <w:rPr>
                <w:rFonts w:cs="Arial"/>
                <w:lang w:eastAsia="en-US"/>
              </w:rPr>
              <w:t>a.</w:t>
            </w:r>
          </w:p>
        </w:tc>
        <w:tc>
          <w:tcPr>
            <w:tcW w:w="7804" w:type="dxa"/>
          </w:tcPr>
          <w:p w14:paraId="5AD14B45" w14:textId="77777777" w:rsidR="006E5056" w:rsidRPr="00C9343F" w:rsidRDefault="006E5056" w:rsidP="00F66D98">
            <w:pPr>
              <w:pStyle w:val="Sectiontext0"/>
            </w:pPr>
            <w:r w:rsidRPr="00C9343F">
              <w:t>Disability or impairment which impacts their ability to provide care for the child.</w:t>
            </w:r>
          </w:p>
        </w:tc>
      </w:tr>
      <w:tr w:rsidR="006E5056" w:rsidRPr="00C9343F" w14:paraId="06239DCE" w14:textId="77777777" w:rsidTr="006E5056">
        <w:tc>
          <w:tcPr>
            <w:tcW w:w="992" w:type="dxa"/>
          </w:tcPr>
          <w:p w14:paraId="2BD0A48F" w14:textId="77777777" w:rsidR="006E5056" w:rsidRPr="00C9343F" w:rsidRDefault="006E5056" w:rsidP="00F66D98">
            <w:pPr>
              <w:pStyle w:val="Sectiontext0"/>
              <w:jc w:val="center"/>
              <w:rPr>
                <w:lang w:eastAsia="en-US"/>
              </w:rPr>
            </w:pPr>
          </w:p>
        </w:tc>
        <w:tc>
          <w:tcPr>
            <w:tcW w:w="563" w:type="dxa"/>
          </w:tcPr>
          <w:p w14:paraId="7E45C24F"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804" w:type="dxa"/>
          </w:tcPr>
          <w:p w14:paraId="553C5206" w14:textId="77777777" w:rsidR="006E5056" w:rsidRPr="00C9343F" w:rsidRDefault="006E5056" w:rsidP="00F66D98">
            <w:pPr>
              <w:pStyle w:val="Sectiontext0"/>
            </w:pPr>
            <w:r w:rsidRPr="00C9343F">
              <w:t>Hospitalisation, serious illness or very serious illness.</w:t>
            </w:r>
          </w:p>
        </w:tc>
      </w:tr>
      <w:tr w:rsidR="006E5056" w:rsidRPr="00C9343F" w14:paraId="00DE1933" w14:textId="77777777" w:rsidTr="006E5056">
        <w:tc>
          <w:tcPr>
            <w:tcW w:w="992" w:type="dxa"/>
          </w:tcPr>
          <w:p w14:paraId="1F699159" w14:textId="77777777" w:rsidR="006E5056" w:rsidRPr="00C9343F" w:rsidRDefault="006E5056" w:rsidP="00F66D98">
            <w:pPr>
              <w:pStyle w:val="Sectiontext0"/>
              <w:jc w:val="center"/>
              <w:rPr>
                <w:lang w:eastAsia="en-US"/>
              </w:rPr>
            </w:pPr>
          </w:p>
        </w:tc>
        <w:tc>
          <w:tcPr>
            <w:tcW w:w="563" w:type="dxa"/>
          </w:tcPr>
          <w:p w14:paraId="2FF9CEF0" w14:textId="77777777" w:rsidR="006E5056" w:rsidRPr="00C9343F" w:rsidRDefault="006E5056" w:rsidP="00F66D98">
            <w:pPr>
              <w:pStyle w:val="Sectiontext0"/>
              <w:jc w:val="center"/>
              <w:rPr>
                <w:rFonts w:cs="Arial"/>
                <w:lang w:eastAsia="en-US"/>
              </w:rPr>
            </w:pPr>
            <w:r w:rsidRPr="00C9343F">
              <w:rPr>
                <w:rFonts w:cs="Arial"/>
                <w:lang w:eastAsia="en-US"/>
              </w:rPr>
              <w:t>c.</w:t>
            </w:r>
          </w:p>
        </w:tc>
        <w:tc>
          <w:tcPr>
            <w:tcW w:w="7804" w:type="dxa"/>
          </w:tcPr>
          <w:p w14:paraId="1D848B3B" w14:textId="77777777" w:rsidR="006E5056" w:rsidRPr="00C9343F" w:rsidRDefault="006E5056" w:rsidP="00F66D98">
            <w:pPr>
              <w:pStyle w:val="Sectiontext0"/>
            </w:pPr>
            <w:r w:rsidRPr="00C9343F">
              <w:t>The child has been removed by court order from the birth parent’s care.</w:t>
            </w:r>
          </w:p>
        </w:tc>
      </w:tr>
      <w:tr w:rsidR="006E5056" w:rsidRPr="00C9343F" w14:paraId="0A1C69FC" w14:textId="77777777" w:rsidTr="006E5056">
        <w:tc>
          <w:tcPr>
            <w:tcW w:w="992" w:type="dxa"/>
          </w:tcPr>
          <w:p w14:paraId="637966EF" w14:textId="77777777" w:rsidR="006E5056" w:rsidRPr="00C9343F" w:rsidRDefault="006E5056" w:rsidP="00F66D98">
            <w:pPr>
              <w:pStyle w:val="Sectiontext0"/>
              <w:jc w:val="center"/>
              <w:rPr>
                <w:lang w:eastAsia="en-US"/>
              </w:rPr>
            </w:pPr>
            <w:r w:rsidRPr="00C9343F">
              <w:rPr>
                <w:lang w:eastAsia="en-US"/>
              </w:rPr>
              <w:t>2.</w:t>
            </w:r>
          </w:p>
        </w:tc>
        <w:tc>
          <w:tcPr>
            <w:tcW w:w="8367" w:type="dxa"/>
            <w:gridSpan w:val="2"/>
          </w:tcPr>
          <w:p w14:paraId="436EBB83" w14:textId="77777777" w:rsidR="006E5056" w:rsidRPr="00C9343F" w:rsidRDefault="006E5056" w:rsidP="00F66D98">
            <w:pPr>
              <w:pStyle w:val="Sectiontext0"/>
            </w:pPr>
            <w:r w:rsidRPr="00C9343F">
              <w:t>For the purpose of subsection 1, the amount of special paid parental leave for the member is an amount set by CDF that is not more than 10 weeks, having regard to the following.</w:t>
            </w:r>
          </w:p>
        </w:tc>
      </w:tr>
      <w:tr w:rsidR="006E5056" w:rsidRPr="00C9343F" w14:paraId="7D574828" w14:textId="77777777" w:rsidTr="006E5056">
        <w:tc>
          <w:tcPr>
            <w:tcW w:w="992" w:type="dxa"/>
          </w:tcPr>
          <w:p w14:paraId="7F1A9068" w14:textId="77777777" w:rsidR="006E5056" w:rsidRPr="00C9343F" w:rsidRDefault="006E5056" w:rsidP="00F66D98">
            <w:pPr>
              <w:pStyle w:val="Sectiontext0"/>
              <w:jc w:val="center"/>
              <w:rPr>
                <w:lang w:eastAsia="en-US"/>
              </w:rPr>
            </w:pPr>
          </w:p>
        </w:tc>
        <w:tc>
          <w:tcPr>
            <w:tcW w:w="563" w:type="dxa"/>
          </w:tcPr>
          <w:p w14:paraId="3922D7E6" w14:textId="77777777" w:rsidR="006E5056" w:rsidRPr="00C9343F" w:rsidRDefault="006E5056" w:rsidP="00F66D98">
            <w:pPr>
              <w:pStyle w:val="Sectiontext0"/>
              <w:jc w:val="center"/>
              <w:rPr>
                <w:rFonts w:cs="Arial"/>
                <w:lang w:eastAsia="en-US"/>
              </w:rPr>
            </w:pPr>
            <w:r w:rsidRPr="00C9343F">
              <w:rPr>
                <w:rFonts w:cs="Arial"/>
                <w:lang w:eastAsia="en-US"/>
              </w:rPr>
              <w:t>a.</w:t>
            </w:r>
          </w:p>
        </w:tc>
        <w:tc>
          <w:tcPr>
            <w:tcW w:w="7804" w:type="dxa"/>
          </w:tcPr>
          <w:p w14:paraId="08C15E9C" w14:textId="77777777" w:rsidR="006E5056" w:rsidRPr="00C9343F" w:rsidRDefault="006E5056" w:rsidP="00F66D98">
            <w:pPr>
              <w:pStyle w:val="Sectiontext0"/>
            </w:pPr>
            <w:r w:rsidRPr="00C9343F">
              <w:t>The age of the child.</w:t>
            </w:r>
          </w:p>
        </w:tc>
      </w:tr>
      <w:tr w:rsidR="006E5056" w:rsidRPr="00C9343F" w14:paraId="3A73CD9D" w14:textId="77777777" w:rsidTr="006E5056">
        <w:tc>
          <w:tcPr>
            <w:tcW w:w="992" w:type="dxa"/>
          </w:tcPr>
          <w:p w14:paraId="18781D4C" w14:textId="77777777" w:rsidR="006E5056" w:rsidRPr="00C9343F" w:rsidRDefault="006E5056" w:rsidP="00F66D98">
            <w:pPr>
              <w:pStyle w:val="Sectiontext0"/>
              <w:jc w:val="center"/>
              <w:rPr>
                <w:lang w:eastAsia="en-US"/>
              </w:rPr>
            </w:pPr>
          </w:p>
        </w:tc>
        <w:tc>
          <w:tcPr>
            <w:tcW w:w="563" w:type="dxa"/>
          </w:tcPr>
          <w:p w14:paraId="53089C56" w14:textId="77777777" w:rsidR="006E5056" w:rsidRPr="00C9343F" w:rsidRDefault="006E5056" w:rsidP="00F66D98">
            <w:pPr>
              <w:pStyle w:val="Sectiontext0"/>
              <w:jc w:val="center"/>
              <w:rPr>
                <w:rFonts w:cs="Arial"/>
                <w:lang w:eastAsia="en-US"/>
              </w:rPr>
            </w:pPr>
            <w:r w:rsidRPr="00C9343F">
              <w:rPr>
                <w:rFonts w:cs="Arial"/>
                <w:lang w:eastAsia="en-US"/>
              </w:rPr>
              <w:t>b.</w:t>
            </w:r>
          </w:p>
        </w:tc>
        <w:tc>
          <w:tcPr>
            <w:tcW w:w="7804" w:type="dxa"/>
          </w:tcPr>
          <w:p w14:paraId="0C628422" w14:textId="77777777" w:rsidR="006E5056" w:rsidRPr="00C9343F" w:rsidRDefault="006E5056" w:rsidP="00F66D98">
            <w:pPr>
              <w:pStyle w:val="Sectiontext0"/>
            </w:pPr>
            <w:r w:rsidRPr="00C9343F">
              <w:t>Any special needs of the child.</w:t>
            </w:r>
          </w:p>
        </w:tc>
      </w:tr>
      <w:tr w:rsidR="006E5056" w:rsidRPr="00C9343F" w14:paraId="731D02AB" w14:textId="77777777" w:rsidTr="006E5056">
        <w:tc>
          <w:tcPr>
            <w:tcW w:w="992" w:type="dxa"/>
          </w:tcPr>
          <w:p w14:paraId="07A3E1E5" w14:textId="77777777" w:rsidR="006E5056" w:rsidRPr="00C9343F" w:rsidRDefault="006E5056" w:rsidP="00F66D98">
            <w:pPr>
              <w:pStyle w:val="Sectiontext0"/>
              <w:jc w:val="center"/>
              <w:rPr>
                <w:lang w:eastAsia="en-US"/>
              </w:rPr>
            </w:pPr>
          </w:p>
        </w:tc>
        <w:tc>
          <w:tcPr>
            <w:tcW w:w="563" w:type="dxa"/>
          </w:tcPr>
          <w:p w14:paraId="351DCA36" w14:textId="77777777" w:rsidR="006E5056" w:rsidRPr="00C9343F" w:rsidRDefault="006E5056" w:rsidP="00F66D98">
            <w:pPr>
              <w:pStyle w:val="Sectiontext0"/>
              <w:jc w:val="center"/>
              <w:rPr>
                <w:rFonts w:cs="Arial"/>
                <w:lang w:eastAsia="en-US"/>
              </w:rPr>
            </w:pPr>
            <w:r w:rsidRPr="00C9343F">
              <w:rPr>
                <w:rFonts w:cs="Arial"/>
                <w:lang w:eastAsia="en-US"/>
              </w:rPr>
              <w:t>c.</w:t>
            </w:r>
          </w:p>
        </w:tc>
        <w:tc>
          <w:tcPr>
            <w:tcW w:w="7804" w:type="dxa"/>
          </w:tcPr>
          <w:p w14:paraId="52E3400D" w14:textId="77777777" w:rsidR="006E5056" w:rsidRPr="00C9343F" w:rsidRDefault="006E5056" w:rsidP="00F66D98">
            <w:pPr>
              <w:pStyle w:val="Sectiontext0"/>
            </w:pPr>
            <w:r w:rsidRPr="00C9343F">
              <w:t>The amount of time the child has been living with the member.</w:t>
            </w:r>
          </w:p>
        </w:tc>
      </w:tr>
      <w:tr w:rsidR="006E5056" w:rsidRPr="00C9343F" w14:paraId="16B7477D" w14:textId="77777777" w:rsidTr="006E5056">
        <w:tc>
          <w:tcPr>
            <w:tcW w:w="992" w:type="dxa"/>
          </w:tcPr>
          <w:p w14:paraId="3AFC530E" w14:textId="77777777" w:rsidR="006E5056" w:rsidRPr="00C9343F" w:rsidRDefault="006E5056" w:rsidP="00F66D98">
            <w:pPr>
              <w:pStyle w:val="Sectiontext0"/>
              <w:jc w:val="center"/>
              <w:rPr>
                <w:lang w:eastAsia="en-US"/>
              </w:rPr>
            </w:pPr>
          </w:p>
        </w:tc>
        <w:tc>
          <w:tcPr>
            <w:tcW w:w="563" w:type="dxa"/>
          </w:tcPr>
          <w:p w14:paraId="7D0B2084" w14:textId="77777777" w:rsidR="006E5056" w:rsidRPr="00C9343F" w:rsidRDefault="006E5056" w:rsidP="00F66D98">
            <w:pPr>
              <w:pStyle w:val="Sectiontext0"/>
              <w:jc w:val="center"/>
              <w:rPr>
                <w:rFonts w:cs="Arial"/>
                <w:lang w:eastAsia="en-US"/>
              </w:rPr>
            </w:pPr>
            <w:r w:rsidRPr="00C9343F">
              <w:rPr>
                <w:rFonts w:cs="Arial"/>
                <w:lang w:eastAsia="en-US"/>
              </w:rPr>
              <w:t>d.</w:t>
            </w:r>
          </w:p>
        </w:tc>
        <w:tc>
          <w:tcPr>
            <w:tcW w:w="7804" w:type="dxa"/>
          </w:tcPr>
          <w:p w14:paraId="2EEB5F64" w14:textId="77777777" w:rsidR="006E5056" w:rsidRPr="00C9343F" w:rsidRDefault="006E5056" w:rsidP="00F66D98">
            <w:pPr>
              <w:pStyle w:val="Sectiontext0"/>
            </w:pPr>
            <w:r w:rsidRPr="00C9343F">
              <w:t>Any other compelling reasons.</w:t>
            </w:r>
          </w:p>
        </w:tc>
      </w:tr>
    </w:tbl>
    <w:p w14:paraId="617A7920" w14:textId="77777777" w:rsidR="001065B6" w:rsidRPr="00C9343F" w:rsidRDefault="001065B6" w:rsidP="001065B6">
      <w:pPr>
        <w:pStyle w:val="Heading5"/>
      </w:pPr>
      <w:bookmarkStart w:id="1799" w:name="_Toc105054106"/>
      <w:r w:rsidRPr="00C9343F">
        <w:t>5.7.6E    How special paid parental leave must be taken</w:t>
      </w:r>
      <w:bookmarkEnd w:id="1799"/>
    </w:p>
    <w:tbl>
      <w:tblPr>
        <w:tblW w:w="9359" w:type="dxa"/>
        <w:tblInd w:w="113" w:type="dxa"/>
        <w:tblLayout w:type="fixed"/>
        <w:tblLook w:val="04A0" w:firstRow="1" w:lastRow="0" w:firstColumn="1" w:lastColumn="0" w:noHBand="0" w:noVBand="1"/>
      </w:tblPr>
      <w:tblGrid>
        <w:gridCol w:w="992"/>
        <w:gridCol w:w="563"/>
        <w:gridCol w:w="600"/>
        <w:gridCol w:w="7204"/>
      </w:tblGrid>
      <w:tr w:rsidR="001065B6" w:rsidRPr="00C9343F" w14:paraId="58C2A150" w14:textId="77777777" w:rsidTr="00F1669E">
        <w:tc>
          <w:tcPr>
            <w:tcW w:w="992" w:type="dxa"/>
          </w:tcPr>
          <w:p w14:paraId="3285A40E" w14:textId="77777777" w:rsidR="001065B6" w:rsidRPr="00C9343F" w:rsidRDefault="001065B6" w:rsidP="00F1669E">
            <w:pPr>
              <w:pStyle w:val="Sectiontext0"/>
              <w:jc w:val="center"/>
              <w:rPr>
                <w:lang w:eastAsia="en-US"/>
              </w:rPr>
            </w:pPr>
            <w:r w:rsidRPr="00C9343F">
              <w:rPr>
                <w:lang w:eastAsia="en-US"/>
              </w:rPr>
              <w:t>1.</w:t>
            </w:r>
          </w:p>
        </w:tc>
        <w:tc>
          <w:tcPr>
            <w:tcW w:w="8367" w:type="dxa"/>
            <w:gridSpan w:val="3"/>
            <w:hideMark/>
          </w:tcPr>
          <w:p w14:paraId="4BF38859" w14:textId="77777777" w:rsidR="001065B6" w:rsidRPr="00C9343F" w:rsidRDefault="001065B6" w:rsidP="00F1669E">
            <w:pPr>
              <w:pStyle w:val="Sectiontext0"/>
              <w:rPr>
                <w:rFonts w:cs="Arial"/>
                <w:lang w:eastAsia="en-US"/>
              </w:rPr>
            </w:pPr>
            <w:r w:rsidRPr="00C9343F">
              <w:rPr>
                <w:rFonts w:cs="Arial"/>
                <w:lang w:eastAsia="en-US"/>
              </w:rPr>
              <w:t>All the following apply to special paid parental leave.</w:t>
            </w:r>
          </w:p>
        </w:tc>
      </w:tr>
      <w:tr w:rsidR="001065B6" w:rsidRPr="00C9343F" w14:paraId="4692E1A3" w14:textId="77777777" w:rsidTr="00F1669E">
        <w:tc>
          <w:tcPr>
            <w:tcW w:w="992" w:type="dxa"/>
          </w:tcPr>
          <w:p w14:paraId="3DB351E1" w14:textId="77777777" w:rsidR="001065B6" w:rsidRPr="00C9343F" w:rsidRDefault="001065B6" w:rsidP="00F1669E">
            <w:pPr>
              <w:pStyle w:val="Sectiontext0"/>
              <w:jc w:val="center"/>
              <w:rPr>
                <w:lang w:eastAsia="en-US"/>
              </w:rPr>
            </w:pPr>
          </w:p>
        </w:tc>
        <w:tc>
          <w:tcPr>
            <w:tcW w:w="563" w:type="dxa"/>
            <w:hideMark/>
          </w:tcPr>
          <w:p w14:paraId="2358FA15" w14:textId="77777777" w:rsidR="001065B6" w:rsidRPr="00C9343F" w:rsidRDefault="001065B6" w:rsidP="00F1669E">
            <w:pPr>
              <w:pStyle w:val="Sectiontext0"/>
              <w:jc w:val="center"/>
              <w:rPr>
                <w:rFonts w:cs="Arial"/>
                <w:lang w:eastAsia="en-US"/>
              </w:rPr>
            </w:pPr>
            <w:r w:rsidRPr="00C9343F">
              <w:rPr>
                <w:rFonts w:cs="Arial"/>
                <w:lang w:eastAsia="en-US"/>
              </w:rPr>
              <w:t>a.</w:t>
            </w:r>
          </w:p>
        </w:tc>
        <w:tc>
          <w:tcPr>
            <w:tcW w:w="7804" w:type="dxa"/>
            <w:gridSpan w:val="2"/>
          </w:tcPr>
          <w:p w14:paraId="277ECD33" w14:textId="77777777" w:rsidR="001065B6" w:rsidRPr="00C9343F" w:rsidRDefault="001065B6" w:rsidP="00F1669E">
            <w:pPr>
              <w:pStyle w:val="Sectiontext0"/>
              <w:rPr>
                <w:rFonts w:cs="Arial"/>
                <w:lang w:eastAsia="en-US"/>
              </w:rPr>
            </w:pPr>
            <w:r w:rsidRPr="00C9343F">
              <w:t>The leave must be taken within 14 weeks of one of the following.</w:t>
            </w:r>
          </w:p>
        </w:tc>
      </w:tr>
      <w:tr w:rsidR="001065B6" w:rsidRPr="00C9343F" w14:paraId="1D20342A" w14:textId="77777777" w:rsidTr="00F1669E">
        <w:tc>
          <w:tcPr>
            <w:tcW w:w="992" w:type="dxa"/>
          </w:tcPr>
          <w:p w14:paraId="0BE70854" w14:textId="77777777" w:rsidR="001065B6" w:rsidRPr="00C9343F" w:rsidRDefault="001065B6" w:rsidP="00F1669E">
            <w:pPr>
              <w:pStyle w:val="Sectiontext0"/>
              <w:jc w:val="center"/>
              <w:rPr>
                <w:lang w:eastAsia="en-US"/>
              </w:rPr>
            </w:pPr>
          </w:p>
        </w:tc>
        <w:tc>
          <w:tcPr>
            <w:tcW w:w="563" w:type="dxa"/>
            <w:hideMark/>
          </w:tcPr>
          <w:p w14:paraId="39373763" w14:textId="77777777" w:rsidR="001065B6" w:rsidRPr="00C9343F" w:rsidRDefault="001065B6" w:rsidP="00F1669E">
            <w:pPr>
              <w:pStyle w:val="Sectiontext0"/>
              <w:jc w:val="center"/>
              <w:rPr>
                <w:rFonts w:cs="Arial"/>
                <w:lang w:eastAsia="en-US"/>
              </w:rPr>
            </w:pPr>
          </w:p>
        </w:tc>
        <w:tc>
          <w:tcPr>
            <w:tcW w:w="600" w:type="dxa"/>
          </w:tcPr>
          <w:p w14:paraId="1654A5A3" w14:textId="77777777" w:rsidR="001065B6" w:rsidRPr="00C9343F" w:rsidRDefault="001065B6" w:rsidP="00F1669E">
            <w:pPr>
              <w:pStyle w:val="Sectiontext0"/>
              <w:jc w:val="center"/>
              <w:rPr>
                <w:rFonts w:cs="Arial"/>
                <w:lang w:eastAsia="en-US"/>
              </w:rPr>
            </w:pPr>
            <w:r w:rsidRPr="00C9343F">
              <w:rPr>
                <w:rFonts w:cs="Arial"/>
                <w:lang w:eastAsia="en-US"/>
              </w:rPr>
              <w:t>i.</w:t>
            </w:r>
          </w:p>
        </w:tc>
        <w:tc>
          <w:tcPr>
            <w:tcW w:w="7204" w:type="dxa"/>
          </w:tcPr>
          <w:p w14:paraId="48631B6E" w14:textId="77777777" w:rsidR="001065B6" w:rsidRPr="00C9343F" w:rsidRDefault="001065B6" w:rsidP="00F1669E">
            <w:pPr>
              <w:pStyle w:val="Sectiontext0"/>
              <w:rPr>
                <w:rFonts w:cs="Arial"/>
                <w:lang w:eastAsia="en-US"/>
              </w:rPr>
            </w:pPr>
            <w:r w:rsidRPr="00C9343F">
              <w:rPr>
                <w:rFonts w:cs="Arial"/>
                <w:lang w:eastAsia="en-US"/>
              </w:rPr>
              <w:t>The birth of a child of the member.</w:t>
            </w:r>
          </w:p>
        </w:tc>
      </w:tr>
      <w:tr w:rsidR="001065B6" w:rsidRPr="00C9343F" w14:paraId="55EAFA64" w14:textId="77777777" w:rsidTr="00F1669E">
        <w:tc>
          <w:tcPr>
            <w:tcW w:w="992" w:type="dxa"/>
          </w:tcPr>
          <w:p w14:paraId="777DE3A1" w14:textId="77777777" w:rsidR="001065B6" w:rsidRPr="00C9343F" w:rsidRDefault="001065B6" w:rsidP="00F1669E">
            <w:pPr>
              <w:pStyle w:val="Sectiontext0"/>
              <w:jc w:val="center"/>
              <w:rPr>
                <w:lang w:eastAsia="en-US"/>
              </w:rPr>
            </w:pPr>
          </w:p>
        </w:tc>
        <w:tc>
          <w:tcPr>
            <w:tcW w:w="563" w:type="dxa"/>
            <w:hideMark/>
          </w:tcPr>
          <w:p w14:paraId="3392966B" w14:textId="77777777" w:rsidR="001065B6" w:rsidRPr="00C9343F" w:rsidRDefault="001065B6" w:rsidP="00F1669E">
            <w:pPr>
              <w:pStyle w:val="Sectiontext0"/>
              <w:jc w:val="center"/>
              <w:rPr>
                <w:rFonts w:cs="Arial"/>
                <w:lang w:eastAsia="en-US"/>
              </w:rPr>
            </w:pPr>
          </w:p>
        </w:tc>
        <w:tc>
          <w:tcPr>
            <w:tcW w:w="600" w:type="dxa"/>
          </w:tcPr>
          <w:p w14:paraId="19A15553" w14:textId="77777777" w:rsidR="001065B6" w:rsidRPr="00C9343F" w:rsidRDefault="001065B6" w:rsidP="00F1669E">
            <w:pPr>
              <w:pStyle w:val="Sectiontext0"/>
              <w:jc w:val="center"/>
              <w:rPr>
                <w:rFonts w:cs="Arial"/>
                <w:lang w:eastAsia="en-US"/>
              </w:rPr>
            </w:pPr>
            <w:r w:rsidRPr="00C9343F">
              <w:rPr>
                <w:rFonts w:cs="Arial"/>
                <w:lang w:eastAsia="en-US"/>
              </w:rPr>
              <w:t>ii.</w:t>
            </w:r>
          </w:p>
        </w:tc>
        <w:tc>
          <w:tcPr>
            <w:tcW w:w="7204" w:type="dxa"/>
          </w:tcPr>
          <w:p w14:paraId="5D530B72" w14:textId="77777777" w:rsidR="001065B6" w:rsidRPr="00C9343F" w:rsidRDefault="001065B6" w:rsidP="00F1669E">
            <w:pPr>
              <w:pStyle w:val="Sectiontext0"/>
              <w:rPr>
                <w:rFonts w:cs="Arial"/>
                <w:lang w:eastAsia="en-US"/>
              </w:rPr>
            </w:pPr>
            <w:r w:rsidRPr="00C9343F">
              <w:rPr>
                <w:rFonts w:cs="Arial"/>
                <w:lang w:eastAsia="en-US"/>
              </w:rPr>
              <w:t>The adoption of the child by the member or the day the child will enter the member’s home in anticipation of being adopted by the member.</w:t>
            </w:r>
          </w:p>
        </w:tc>
      </w:tr>
      <w:tr w:rsidR="001065B6" w:rsidRPr="00C9343F" w14:paraId="30B69A06" w14:textId="77777777" w:rsidTr="00F1669E">
        <w:tc>
          <w:tcPr>
            <w:tcW w:w="992" w:type="dxa"/>
          </w:tcPr>
          <w:p w14:paraId="3294B056" w14:textId="77777777" w:rsidR="001065B6" w:rsidRPr="00C9343F" w:rsidRDefault="001065B6" w:rsidP="00F1669E">
            <w:pPr>
              <w:pStyle w:val="Sectiontext0"/>
              <w:jc w:val="center"/>
              <w:rPr>
                <w:lang w:eastAsia="en-US"/>
              </w:rPr>
            </w:pPr>
          </w:p>
        </w:tc>
        <w:tc>
          <w:tcPr>
            <w:tcW w:w="563" w:type="dxa"/>
            <w:hideMark/>
          </w:tcPr>
          <w:p w14:paraId="0D3D9D33" w14:textId="77777777" w:rsidR="001065B6" w:rsidRPr="00C9343F" w:rsidRDefault="001065B6" w:rsidP="00F1669E">
            <w:pPr>
              <w:pStyle w:val="Sectiontext0"/>
              <w:jc w:val="center"/>
              <w:rPr>
                <w:rFonts w:cs="Arial"/>
                <w:lang w:eastAsia="en-US"/>
              </w:rPr>
            </w:pPr>
          </w:p>
        </w:tc>
        <w:tc>
          <w:tcPr>
            <w:tcW w:w="600" w:type="dxa"/>
          </w:tcPr>
          <w:p w14:paraId="0FC46BB9" w14:textId="77777777" w:rsidR="001065B6" w:rsidRPr="00C9343F" w:rsidRDefault="001065B6" w:rsidP="00F1669E">
            <w:pPr>
              <w:pStyle w:val="Sectiontext0"/>
              <w:jc w:val="center"/>
              <w:rPr>
                <w:rFonts w:cs="Arial"/>
                <w:lang w:eastAsia="en-US"/>
              </w:rPr>
            </w:pPr>
            <w:r w:rsidRPr="00C9343F">
              <w:rPr>
                <w:rFonts w:cs="Arial"/>
                <w:lang w:eastAsia="en-US"/>
              </w:rPr>
              <w:t>iii.</w:t>
            </w:r>
          </w:p>
        </w:tc>
        <w:tc>
          <w:tcPr>
            <w:tcW w:w="7204" w:type="dxa"/>
          </w:tcPr>
          <w:p w14:paraId="7D65428A" w14:textId="77777777" w:rsidR="001065B6" w:rsidRPr="00C9343F" w:rsidRDefault="001065B6" w:rsidP="00F1669E">
            <w:pPr>
              <w:pStyle w:val="Sectiontext0"/>
              <w:rPr>
                <w:rFonts w:cs="Arial"/>
                <w:b/>
                <w:lang w:eastAsia="en-US"/>
              </w:rPr>
            </w:pPr>
            <w:r w:rsidRPr="00C9343F">
              <w:rPr>
                <w:rFonts w:cs="Arial"/>
                <w:lang w:eastAsia="en-US"/>
              </w:rPr>
              <w:t>The child being placed in the member’s or their partner’s care under a permanent care order issued by a court or statutory authority or the day the child will enter the member’s home in anticipation of being placed in the member’s or their partner’s care under a permanent care order issued by a court or statutory authority.</w:t>
            </w:r>
          </w:p>
        </w:tc>
      </w:tr>
      <w:tr w:rsidR="001065B6" w:rsidRPr="00C9343F" w14:paraId="36EDA782" w14:textId="77777777" w:rsidTr="00F1669E">
        <w:tc>
          <w:tcPr>
            <w:tcW w:w="992" w:type="dxa"/>
          </w:tcPr>
          <w:p w14:paraId="683FB59D" w14:textId="77777777" w:rsidR="001065B6" w:rsidRPr="00C9343F" w:rsidRDefault="001065B6" w:rsidP="00F1669E">
            <w:pPr>
              <w:pStyle w:val="Sectiontext0"/>
              <w:jc w:val="center"/>
              <w:rPr>
                <w:lang w:eastAsia="en-US"/>
              </w:rPr>
            </w:pPr>
          </w:p>
        </w:tc>
        <w:tc>
          <w:tcPr>
            <w:tcW w:w="563" w:type="dxa"/>
            <w:hideMark/>
          </w:tcPr>
          <w:p w14:paraId="6F273547" w14:textId="77777777" w:rsidR="001065B6" w:rsidRPr="00C9343F" w:rsidRDefault="001065B6" w:rsidP="00F1669E">
            <w:pPr>
              <w:pStyle w:val="Sectiontext0"/>
              <w:jc w:val="center"/>
              <w:rPr>
                <w:rFonts w:cs="Arial"/>
                <w:lang w:eastAsia="en-US"/>
              </w:rPr>
            </w:pPr>
            <w:r w:rsidRPr="00C9343F">
              <w:rPr>
                <w:rFonts w:cs="Arial"/>
                <w:lang w:eastAsia="en-US"/>
              </w:rPr>
              <w:t>b.</w:t>
            </w:r>
          </w:p>
        </w:tc>
        <w:tc>
          <w:tcPr>
            <w:tcW w:w="7804" w:type="dxa"/>
            <w:gridSpan w:val="2"/>
          </w:tcPr>
          <w:p w14:paraId="4E33DE8D" w14:textId="77777777" w:rsidR="001065B6" w:rsidRPr="00C9343F" w:rsidRDefault="001065B6" w:rsidP="00F1669E">
            <w:pPr>
              <w:pStyle w:val="Sectiontext0"/>
              <w:rPr>
                <w:rFonts w:cs="Arial"/>
                <w:lang w:eastAsia="en-US"/>
              </w:rPr>
            </w:pPr>
            <w:r w:rsidRPr="00C9343F">
              <w:t>The leave must be taken in a single continuous period.</w:t>
            </w:r>
          </w:p>
        </w:tc>
      </w:tr>
      <w:tr w:rsidR="001065B6" w:rsidRPr="00C9343F" w14:paraId="782A96A4" w14:textId="77777777" w:rsidTr="00F1669E">
        <w:tc>
          <w:tcPr>
            <w:tcW w:w="992" w:type="dxa"/>
          </w:tcPr>
          <w:p w14:paraId="563FE95C" w14:textId="77777777" w:rsidR="001065B6" w:rsidRPr="00C9343F" w:rsidRDefault="001065B6" w:rsidP="00F1669E">
            <w:pPr>
              <w:pStyle w:val="Sectiontext0"/>
              <w:jc w:val="center"/>
              <w:rPr>
                <w:lang w:eastAsia="en-US"/>
              </w:rPr>
            </w:pPr>
          </w:p>
        </w:tc>
        <w:tc>
          <w:tcPr>
            <w:tcW w:w="563" w:type="dxa"/>
            <w:hideMark/>
          </w:tcPr>
          <w:p w14:paraId="6CE86508" w14:textId="77777777" w:rsidR="001065B6" w:rsidRPr="00C9343F" w:rsidRDefault="001065B6" w:rsidP="00F1669E">
            <w:pPr>
              <w:pStyle w:val="Sectiontext0"/>
              <w:jc w:val="center"/>
              <w:rPr>
                <w:rFonts w:cs="Arial"/>
                <w:lang w:eastAsia="en-US"/>
              </w:rPr>
            </w:pPr>
            <w:r w:rsidRPr="00C9343F">
              <w:rPr>
                <w:rFonts w:cs="Arial"/>
                <w:lang w:eastAsia="en-US"/>
              </w:rPr>
              <w:t>c.</w:t>
            </w:r>
          </w:p>
        </w:tc>
        <w:tc>
          <w:tcPr>
            <w:tcW w:w="7804" w:type="dxa"/>
            <w:gridSpan w:val="2"/>
          </w:tcPr>
          <w:p w14:paraId="2A78D25A" w14:textId="77777777" w:rsidR="001065B6" w:rsidRPr="00C9343F" w:rsidRDefault="001065B6" w:rsidP="00F1669E">
            <w:pPr>
              <w:pStyle w:val="Sectiontext0"/>
              <w:rPr>
                <w:rFonts w:cs="Arial"/>
                <w:lang w:eastAsia="en-US"/>
              </w:rPr>
            </w:pPr>
            <w:r w:rsidRPr="00C9343F">
              <w:t>The leave may be taken in any combination of full pay or half pay that is not more than the equivalent amount of full-time leave.</w:t>
            </w:r>
          </w:p>
        </w:tc>
      </w:tr>
      <w:tr w:rsidR="001065B6" w:rsidRPr="00C9343F" w14:paraId="0604CB42" w14:textId="77777777" w:rsidTr="00F1669E">
        <w:tc>
          <w:tcPr>
            <w:tcW w:w="992" w:type="dxa"/>
          </w:tcPr>
          <w:p w14:paraId="14E20A84" w14:textId="77777777" w:rsidR="001065B6" w:rsidRPr="00C9343F" w:rsidRDefault="001065B6" w:rsidP="00F1669E">
            <w:pPr>
              <w:pStyle w:val="Sectiontext0"/>
              <w:jc w:val="center"/>
              <w:rPr>
                <w:lang w:eastAsia="en-US"/>
              </w:rPr>
            </w:pPr>
            <w:r w:rsidRPr="00C9343F">
              <w:rPr>
                <w:lang w:eastAsia="en-US"/>
              </w:rPr>
              <w:t>2.</w:t>
            </w:r>
          </w:p>
        </w:tc>
        <w:tc>
          <w:tcPr>
            <w:tcW w:w="8367" w:type="dxa"/>
            <w:gridSpan w:val="3"/>
            <w:hideMark/>
          </w:tcPr>
          <w:p w14:paraId="3EBA2406" w14:textId="77777777" w:rsidR="001065B6" w:rsidRPr="00C9343F" w:rsidRDefault="001065B6" w:rsidP="00F1669E">
            <w:pPr>
              <w:pStyle w:val="Sectiontext0"/>
              <w:rPr>
                <w:rFonts w:cs="Arial"/>
                <w:lang w:eastAsia="en-US"/>
              </w:rPr>
            </w:pPr>
            <w:r w:rsidRPr="00C9343F">
              <w:rPr>
                <w:rFonts w:cs="Arial"/>
                <w:lang w:eastAsia="en-US"/>
              </w:rPr>
              <w:t xml:space="preserve">The time limit under paragraph 1.a is increased by one day for each day of special paid parental leave taken at half pay. </w:t>
            </w:r>
          </w:p>
        </w:tc>
      </w:tr>
    </w:tbl>
    <w:p w14:paraId="6D21FEE1" w14:textId="5DA6DE24" w:rsidR="006E5056" w:rsidRPr="00C9343F" w:rsidRDefault="006E5056" w:rsidP="00F66D98">
      <w:pPr>
        <w:pStyle w:val="Heading5"/>
      </w:pPr>
      <w:bookmarkStart w:id="1800" w:name="_Toc105054107"/>
      <w:r w:rsidRPr="00C9343F">
        <w:t>5.7.6F</w:t>
      </w:r>
      <w:r w:rsidR="00D94006" w:rsidRPr="00C9343F">
        <w:t>    </w:t>
      </w:r>
      <w:r w:rsidRPr="00C9343F">
        <w:t>Special paid parental leave and effective service</w:t>
      </w:r>
      <w:bookmarkEnd w:id="1800"/>
    </w:p>
    <w:tbl>
      <w:tblPr>
        <w:tblW w:w="9359" w:type="dxa"/>
        <w:tblInd w:w="113" w:type="dxa"/>
        <w:tblLayout w:type="fixed"/>
        <w:tblLook w:val="04A0" w:firstRow="1" w:lastRow="0" w:firstColumn="1" w:lastColumn="0" w:noHBand="0" w:noVBand="1"/>
      </w:tblPr>
      <w:tblGrid>
        <w:gridCol w:w="992"/>
        <w:gridCol w:w="8367"/>
      </w:tblGrid>
      <w:tr w:rsidR="006E5056" w:rsidRPr="00C9343F" w14:paraId="3118A7BD" w14:textId="77777777" w:rsidTr="006E5056">
        <w:tc>
          <w:tcPr>
            <w:tcW w:w="992" w:type="dxa"/>
          </w:tcPr>
          <w:p w14:paraId="4C3BFCD1" w14:textId="77777777" w:rsidR="006E5056" w:rsidRPr="00C9343F" w:rsidRDefault="006E5056" w:rsidP="00F66D98">
            <w:pPr>
              <w:pStyle w:val="Sectiontext0"/>
              <w:jc w:val="center"/>
              <w:rPr>
                <w:lang w:eastAsia="en-US"/>
              </w:rPr>
            </w:pPr>
          </w:p>
        </w:tc>
        <w:tc>
          <w:tcPr>
            <w:tcW w:w="8367" w:type="dxa"/>
          </w:tcPr>
          <w:p w14:paraId="345EBA2A" w14:textId="77777777" w:rsidR="006E5056" w:rsidRPr="00C9343F" w:rsidRDefault="006E5056" w:rsidP="00F66D98">
            <w:pPr>
              <w:pStyle w:val="Sectiontext0"/>
            </w:pPr>
            <w:r w:rsidRPr="00C9343F">
              <w:t>Special paid parental leave counts as effective service.</w:t>
            </w:r>
          </w:p>
        </w:tc>
      </w:tr>
    </w:tbl>
    <w:p w14:paraId="19E7C645" w14:textId="795A1AE7" w:rsidR="006E5056" w:rsidRPr="00C9343F" w:rsidRDefault="006E5056" w:rsidP="00130031">
      <w:pPr>
        <w:pStyle w:val="Heading4"/>
        <w:pageBreakBefore/>
      </w:pPr>
      <w:bookmarkStart w:id="1801" w:name="_Toc105054108"/>
      <w:r w:rsidRPr="00C9343F">
        <w:t>Division 4: Unpaid parental leave</w:t>
      </w:r>
      <w:bookmarkEnd w:id="1801"/>
    </w:p>
    <w:p w14:paraId="6BADF8EA" w14:textId="79B953F3" w:rsidR="006E5056" w:rsidRPr="00C9343F" w:rsidRDefault="006E5056" w:rsidP="00F66D98">
      <w:pPr>
        <w:pStyle w:val="Heading5"/>
      </w:pPr>
      <w:bookmarkStart w:id="1802" w:name="_Toc105054109"/>
      <w:r w:rsidRPr="00C9343F">
        <w:t>5.7.6G</w:t>
      </w:r>
      <w:r w:rsidR="00D94006" w:rsidRPr="00C9343F">
        <w:t>    </w:t>
      </w:r>
      <w:r w:rsidRPr="00C9343F">
        <w:t>Member this Division applies to</w:t>
      </w:r>
      <w:bookmarkEnd w:id="1802"/>
    </w:p>
    <w:tbl>
      <w:tblPr>
        <w:tblW w:w="9364" w:type="dxa"/>
        <w:tblInd w:w="113" w:type="dxa"/>
        <w:tblLayout w:type="fixed"/>
        <w:tblLook w:val="04A0" w:firstRow="1" w:lastRow="0" w:firstColumn="1" w:lastColumn="0" w:noHBand="0" w:noVBand="1"/>
      </w:tblPr>
      <w:tblGrid>
        <w:gridCol w:w="992"/>
        <w:gridCol w:w="563"/>
        <w:gridCol w:w="7809"/>
      </w:tblGrid>
      <w:tr w:rsidR="006E5056" w:rsidRPr="00C9343F" w14:paraId="49D11F33" w14:textId="77777777" w:rsidTr="006E5056">
        <w:tc>
          <w:tcPr>
            <w:tcW w:w="992" w:type="dxa"/>
          </w:tcPr>
          <w:p w14:paraId="0C331D86" w14:textId="77777777" w:rsidR="006E5056" w:rsidRPr="00C9343F" w:rsidRDefault="006E5056" w:rsidP="00F66D98">
            <w:pPr>
              <w:pStyle w:val="Sectiontext0"/>
              <w:spacing w:line="256" w:lineRule="auto"/>
            </w:pPr>
          </w:p>
        </w:tc>
        <w:tc>
          <w:tcPr>
            <w:tcW w:w="8372" w:type="dxa"/>
            <w:gridSpan w:val="2"/>
            <w:hideMark/>
          </w:tcPr>
          <w:p w14:paraId="2000628B" w14:textId="77777777" w:rsidR="006E5056" w:rsidRPr="00C9343F" w:rsidRDefault="006E5056" w:rsidP="00F66D98">
            <w:pPr>
              <w:pStyle w:val="Sectiontext0"/>
              <w:spacing w:line="256" w:lineRule="auto"/>
            </w:pPr>
            <w:r w:rsidRPr="00C9343F">
              <w:t>This Division applies to a member in the first 66 weeks after one of the following.</w:t>
            </w:r>
          </w:p>
        </w:tc>
      </w:tr>
      <w:tr w:rsidR="006E5056" w:rsidRPr="00C9343F" w14:paraId="271D1968" w14:textId="77777777" w:rsidTr="006E5056">
        <w:tc>
          <w:tcPr>
            <w:tcW w:w="992" w:type="dxa"/>
          </w:tcPr>
          <w:p w14:paraId="76A6C3E9" w14:textId="77777777" w:rsidR="006E5056" w:rsidRPr="00C9343F" w:rsidRDefault="006E5056" w:rsidP="00F66D98">
            <w:pPr>
              <w:pStyle w:val="Sectiontext0"/>
              <w:spacing w:line="256" w:lineRule="auto"/>
            </w:pPr>
          </w:p>
        </w:tc>
        <w:tc>
          <w:tcPr>
            <w:tcW w:w="563" w:type="dxa"/>
            <w:hideMark/>
          </w:tcPr>
          <w:p w14:paraId="76B6C06C" w14:textId="77777777" w:rsidR="006E5056" w:rsidRPr="00C9343F" w:rsidRDefault="006E5056" w:rsidP="00F66D98">
            <w:pPr>
              <w:pStyle w:val="Sectiontext0"/>
              <w:spacing w:line="256" w:lineRule="auto"/>
              <w:jc w:val="center"/>
            </w:pPr>
            <w:r w:rsidRPr="00C9343F">
              <w:t>a.</w:t>
            </w:r>
          </w:p>
        </w:tc>
        <w:tc>
          <w:tcPr>
            <w:tcW w:w="7809" w:type="dxa"/>
            <w:hideMark/>
          </w:tcPr>
          <w:p w14:paraId="5C00D5F6" w14:textId="77777777" w:rsidR="006E5056" w:rsidRPr="00C9343F" w:rsidRDefault="006E5056" w:rsidP="00F66D98">
            <w:pPr>
              <w:pStyle w:val="Sectiontext0"/>
              <w:spacing w:line="256" w:lineRule="auto"/>
            </w:pPr>
            <w:r w:rsidRPr="00C9343F">
              <w:t>The birth of a child of the member.</w:t>
            </w:r>
          </w:p>
        </w:tc>
      </w:tr>
      <w:tr w:rsidR="006E5056" w:rsidRPr="00C9343F" w14:paraId="46FFDADF" w14:textId="77777777" w:rsidTr="006E5056">
        <w:tc>
          <w:tcPr>
            <w:tcW w:w="992" w:type="dxa"/>
          </w:tcPr>
          <w:p w14:paraId="226478DC" w14:textId="77777777" w:rsidR="006E5056" w:rsidRPr="00C9343F" w:rsidRDefault="006E5056" w:rsidP="00F66D98">
            <w:pPr>
              <w:pStyle w:val="Sectiontext0"/>
              <w:spacing w:line="256" w:lineRule="auto"/>
            </w:pPr>
          </w:p>
        </w:tc>
        <w:tc>
          <w:tcPr>
            <w:tcW w:w="563" w:type="dxa"/>
            <w:hideMark/>
          </w:tcPr>
          <w:p w14:paraId="037D4DBE" w14:textId="77777777" w:rsidR="006E5056" w:rsidRPr="00C9343F" w:rsidRDefault="006E5056" w:rsidP="00F66D98">
            <w:pPr>
              <w:pStyle w:val="Sectiontext0"/>
              <w:spacing w:line="256" w:lineRule="auto"/>
              <w:jc w:val="center"/>
            </w:pPr>
            <w:r w:rsidRPr="00C9343F">
              <w:t>b.</w:t>
            </w:r>
          </w:p>
        </w:tc>
        <w:tc>
          <w:tcPr>
            <w:tcW w:w="7809" w:type="dxa"/>
            <w:hideMark/>
          </w:tcPr>
          <w:p w14:paraId="791C1FE0" w14:textId="77777777" w:rsidR="006E5056" w:rsidRPr="00C9343F" w:rsidRDefault="006E5056" w:rsidP="00F66D98">
            <w:pPr>
              <w:pStyle w:val="Sectiontext0"/>
              <w:spacing w:line="256" w:lineRule="auto"/>
            </w:pPr>
            <w:r w:rsidRPr="00C9343F">
              <w:t>The adoption of a child by the member.</w:t>
            </w:r>
          </w:p>
        </w:tc>
      </w:tr>
      <w:tr w:rsidR="006E5056" w:rsidRPr="00C9343F" w14:paraId="724B62B9" w14:textId="77777777" w:rsidTr="006E5056">
        <w:tc>
          <w:tcPr>
            <w:tcW w:w="992" w:type="dxa"/>
          </w:tcPr>
          <w:p w14:paraId="607C78A6" w14:textId="77777777" w:rsidR="006E5056" w:rsidRPr="00C9343F" w:rsidRDefault="006E5056" w:rsidP="00F66D98">
            <w:pPr>
              <w:pStyle w:val="Sectiontext0"/>
              <w:spacing w:line="256" w:lineRule="auto"/>
            </w:pPr>
          </w:p>
        </w:tc>
        <w:tc>
          <w:tcPr>
            <w:tcW w:w="563" w:type="dxa"/>
            <w:hideMark/>
          </w:tcPr>
          <w:p w14:paraId="222D57C4" w14:textId="77777777" w:rsidR="006E5056" w:rsidRPr="00C9343F" w:rsidRDefault="006E5056" w:rsidP="00F66D98">
            <w:pPr>
              <w:pStyle w:val="Sectiontext0"/>
              <w:spacing w:line="256" w:lineRule="auto"/>
              <w:jc w:val="center"/>
            </w:pPr>
            <w:r w:rsidRPr="00C9343F">
              <w:t>c.</w:t>
            </w:r>
          </w:p>
        </w:tc>
        <w:tc>
          <w:tcPr>
            <w:tcW w:w="7809" w:type="dxa"/>
            <w:hideMark/>
          </w:tcPr>
          <w:p w14:paraId="408CBD6A" w14:textId="77777777" w:rsidR="006E5056" w:rsidRPr="00C9343F" w:rsidRDefault="006E5056" w:rsidP="00F66D98">
            <w:pPr>
              <w:pStyle w:val="Sectiontext0"/>
              <w:spacing w:line="256" w:lineRule="auto"/>
            </w:pPr>
            <w:r w:rsidRPr="00C9343F">
              <w:t>The child being placed in the member’s or their partner’s care under a permanent care order issued by a court or statutory authority.</w:t>
            </w:r>
          </w:p>
        </w:tc>
      </w:tr>
    </w:tbl>
    <w:p w14:paraId="4A492F76" w14:textId="319B70C8" w:rsidR="00840F4F" w:rsidRPr="00C9343F" w:rsidRDefault="00840F4F" w:rsidP="00F66D98">
      <w:pPr>
        <w:pStyle w:val="Heading5"/>
      </w:pPr>
      <w:bookmarkStart w:id="1803" w:name="_Toc105054110"/>
      <w:r w:rsidRPr="00C9343F">
        <w:t>5.7.7</w:t>
      </w:r>
      <w:r w:rsidR="00D94006" w:rsidRPr="00C9343F">
        <w:t>    </w:t>
      </w:r>
      <w:r w:rsidRPr="00C9343F">
        <w:t>Unpaid parental leave</w:t>
      </w:r>
      <w:bookmarkEnd w:id="1803"/>
    </w:p>
    <w:tbl>
      <w:tblPr>
        <w:tblW w:w="9358" w:type="dxa"/>
        <w:tblInd w:w="108" w:type="dxa"/>
        <w:tblLayout w:type="fixed"/>
        <w:tblLook w:val="04A0" w:firstRow="1" w:lastRow="0" w:firstColumn="1" w:lastColumn="0" w:noHBand="0" w:noVBand="1"/>
      </w:tblPr>
      <w:tblGrid>
        <w:gridCol w:w="992"/>
        <w:gridCol w:w="8366"/>
      </w:tblGrid>
      <w:tr w:rsidR="00840F4F" w:rsidRPr="00C9343F" w14:paraId="3344E8DD" w14:textId="77777777" w:rsidTr="003039DD">
        <w:tc>
          <w:tcPr>
            <w:tcW w:w="992" w:type="dxa"/>
          </w:tcPr>
          <w:p w14:paraId="74AEA539" w14:textId="77777777" w:rsidR="00840F4F" w:rsidRPr="00C9343F" w:rsidRDefault="00840F4F" w:rsidP="00F66D98">
            <w:pPr>
              <w:pStyle w:val="Sectiontext0"/>
              <w:jc w:val="center"/>
              <w:rPr>
                <w:lang w:eastAsia="en-US"/>
              </w:rPr>
            </w:pPr>
            <w:r w:rsidRPr="00C9343F">
              <w:rPr>
                <w:lang w:eastAsia="en-US"/>
              </w:rPr>
              <w:t>1.</w:t>
            </w:r>
          </w:p>
        </w:tc>
        <w:tc>
          <w:tcPr>
            <w:tcW w:w="8366" w:type="dxa"/>
          </w:tcPr>
          <w:p w14:paraId="6B056701" w14:textId="77777777" w:rsidR="00840F4F" w:rsidRPr="00C9343F" w:rsidRDefault="00840F4F" w:rsidP="00F66D98">
            <w:pPr>
              <w:pStyle w:val="Sectiontext0"/>
              <w:rPr>
                <w:rFonts w:cs="Arial"/>
                <w:lang w:eastAsia="en-US"/>
              </w:rPr>
            </w:pPr>
            <w:r w:rsidRPr="00C9343F">
              <w:rPr>
                <w:rFonts w:cs="Arial"/>
                <w:lang w:eastAsia="en-US"/>
              </w:rPr>
              <w:t>A member is eligible for unpaid parental leave.</w:t>
            </w:r>
          </w:p>
          <w:p w14:paraId="494D6F66" w14:textId="77777777" w:rsidR="00840F4F" w:rsidRPr="00C9343F" w:rsidRDefault="00840F4F" w:rsidP="00F66D98">
            <w:pPr>
              <w:pStyle w:val="Sectiontext0"/>
              <w:rPr>
                <w:rFonts w:cs="Arial"/>
                <w:b/>
                <w:lang w:eastAsia="en-US"/>
              </w:rPr>
            </w:pPr>
            <w:r w:rsidRPr="00C9343F">
              <w:rPr>
                <w:rFonts w:cs="Arial"/>
                <w:b/>
                <w:lang w:eastAsia="en-US"/>
              </w:rPr>
              <w:t>Notes:</w:t>
            </w:r>
          </w:p>
          <w:p w14:paraId="3AB77465" w14:textId="77777777" w:rsidR="00840F4F" w:rsidRPr="00C9343F" w:rsidRDefault="00840F4F" w:rsidP="00F66D98">
            <w:pPr>
              <w:pStyle w:val="Sectiontext0"/>
              <w:rPr>
                <w:rFonts w:cs="Arial"/>
                <w:lang w:eastAsia="en-US"/>
              </w:rPr>
            </w:pPr>
            <w:r w:rsidRPr="00C9343F">
              <w:rPr>
                <w:rFonts w:cs="Arial"/>
                <w:lang w:eastAsia="en-US"/>
              </w:rPr>
              <w:t>1. A member is not eligible to receive salary under DFRT Determination 2017 No. 2 for periods of unpaid leave.</w:t>
            </w:r>
          </w:p>
          <w:p w14:paraId="2AF92674" w14:textId="77777777" w:rsidR="00840F4F" w:rsidRPr="00C9343F" w:rsidRDefault="00840F4F" w:rsidP="00F66D98">
            <w:pPr>
              <w:pStyle w:val="Sectiontext0"/>
              <w:rPr>
                <w:rFonts w:cs="Arial"/>
                <w:lang w:eastAsia="en-US"/>
              </w:rPr>
            </w:pPr>
            <w:r w:rsidRPr="00C9343F">
              <w:rPr>
                <w:rFonts w:cs="Arial"/>
                <w:lang w:eastAsia="en-US"/>
              </w:rPr>
              <w:t>2. The child does not have to be a dependant of the member.</w:t>
            </w:r>
          </w:p>
        </w:tc>
      </w:tr>
      <w:tr w:rsidR="00840F4F" w:rsidRPr="00C9343F" w14:paraId="12710BF5" w14:textId="77777777" w:rsidTr="003039DD">
        <w:tc>
          <w:tcPr>
            <w:tcW w:w="992" w:type="dxa"/>
          </w:tcPr>
          <w:p w14:paraId="75A62D04" w14:textId="77777777" w:rsidR="00840F4F" w:rsidRPr="00C9343F" w:rsidRDefault="00840F4F" w:rsidP="00F66D98">
            <w:pPr>
              <w:pStyle w:val="Sectiontext0"/>
              <w:jc w:val="center"/>
              <w:rPr>
                <w:lang w:eastAsia="en-US"/>
              </w:rPr>
            </w:pPr>
            <w:r w:rsidRPr="00C9343F">
              <w:rPr>
                <w:lang w:eastAsia="en-US"/>
              </w:rPr>
              <w:t>2.</w:t>
            </w:r>
          </w:p>
        </w:tc>
        <w:tc>
          <w:tcPr>
            <w:tcW w:w="8366" w:type="dxa"/>
          </w:tcPr>
          <w:p w14:paraId="0319DE47" w14:textId="40A246D1" w:rsidR="00840F4F" w:rsidRPr="00C9343F" w:rsidRDefault="00840F4F" w:rsidP="00F66D98">
            <w:pPr>
              <w:pStyle w:val="Sectiontext0"/>
              <w:rPr>
                <w:rFonts w:cs="Arial"/>
                <w:lang w:eastAsia="en-US"/>
              </w:rPr>
            </w:pPr>
            <w:r w:rsidRPr="00C9343F">
              <w:rPr>
                <w:rFonts w:cs="Arial"/>
                <w:lang w:eastAsia="en-US"/>
              </w:rPr>
              <w:t xml:space="preserve">Unpaid parental leave does not count as </w:t>
            </w:r>
            <w:r w:rsidR="006E5056" w:rsidRPr="00C9343F">
              <w:rPr>
                <w:rFonts w:cs="Arial"/>
                <w:lang w:eastAsia="en-US"/>
              </w:rPr>
              <w:t xml:space="preserve">effective </w:t>
            </w:r>
            <w:r w:rsidRPr="00C9343F">
              <w:rPr>
                <w:rFonts w:cs="Arial"/>
                <w:lang w:eastAsia="en-US"/>
              </w:rPr>
              <w:t>service.</w:t>
            </w:r>
          </w:p>
        </w:tc>
      </w:tr>
    </w:tbl>
    <w:p w14:paraId="3B5D5837" w14:textId="77777777" w:rsidR="00840F4F" w:rsidRPr="00C9343F" w:rsidRDefault="00840F4F" w:rsidP="00F66D98"/>
    <w:p w14:paraId="6C1F7F8E" w14:textId="0E7B92A1" w:rsidR="008B4402" w:rsidRPr="00C9343F" w:rsidRDefault="008B4402" w:rsidP="00F66D98">
      <w:pPr>
        <w:pStyle w:val="Heading3"/>
        <w:pageBreakBefore/>
      </w:pPr>
      <w:bookmarkStart w:id="1804" w:name="_Toc105054111"/>
      <w:r w:rsidRPr="00C9343F">
        <w:t>Part 8: War service leave</w:t>
      </w:r>
      <w:bookmarkEnd w:id="1804"/>
    </w:p>
    <w:p w14:paraId="70E68E7D" w14:textId="7C687C84" w:rsidR="008B4402" w:rsidRPr="00C9343F" w:rsidRDefault="008B4402" w:rsidP="00F66D98">
      <w:pPr>
        <w:pStyle w:val="Heading5"/>
      </w:pPr>
      <w:bookmarkStart w:id="1805" w:name="_Toc105054112"/>
      <w:bookmarkStart w:id="1806" w:name="bk33726PM561Purpose"/>
      <w:bookmarkStart w:id="1807" w:name="bk91645AM561Purpose"/>
      <w:bookmarkStart w:id="1808" w:name="bk112142561Purpose"/>
      <w:bookmarkStart w:id="1809" w:name="bk115509561Purpose"/>
      <w:r w:rsidRPr="00C9343F">
        <w:t>5.8.1</w:t>
      </w:r>
      <w:r w:rsidR="00D94006" w:rsidRPr="00C9343F">
        <w:t>    </w:t>
      </w:r>
      <w:r w:rsidRPr="00C9343F">
        <w:t>Purpose</w:t>
      </w:r>
      <w:bookmarkEnd w:id="1805"/>
    </w:p>
    <w:bookmarkEnd w:id="1806"/>
    <w:bookmarkEnd w:id="1807"/>
    <w:bookmarkEnd w:id="1808"/>
    <w:bookmarkEnd w:id="1809"/>
    <w:tbl>
      <w:tblPr>
        <w:tblW w:w="9355" w:type="dxa"/>
        <w:tblInd w:w="113" w:type="dxa"/>
        <w:tblLayout w:type="fixed"/>
        <w:tblLook w:val="0000" w:firstRow="0" w:lastRow="0" w:firstColumn="0" w:lastColumn="0" w:noHBand="0" w:noVBand="0"/>
      </w:tblPr>
      <w:tblGrid>
        <w:gridCol w:w="992"/>
        <w:gridCol w:w="8363"/>
      </w:tblGrid>
      <w:tr w:rsidR="008B4402" w:rsidRPr="00C9343F" w14:paraId="5CDD79AB" w14:textId="77777777" w:rsidTr="0066334C">
        <w:tc>
          <w:tcPr>
            <w:tcW w:w="992" w:type="dxa"/>
          </w:tcPr>
          <w:p w14:paraId="57F53A75" w14:textId="77777777" w:rsidR="008B4402" w:rsidRPr="00C9343F" w:rsidRDefault="008B4402" w:rsidP="00F66D98">
            <w:pPr>
              <w:pStyle w:val="BlockText-PlainNoSpacing"/>
              <w:jc w:val="center"/>
            </w:pPr>
          </w:p>
        </w:tc>
        <w:tc>
          <w:tcPr>
            <w:tcW w:w="8363" w:type="dxa"/>
          </w:tcPr>
          <w:p w14:paraId="75D08DD1" w14:textId="77777777" w:rsidR="008B4402" w:rsidRPr="00C9343F" w:rsidRDefault="008B4402" w:rsidP="00F66D98">
            <w:pPr>
              <w:pStyle w:val="BlockText-PlainNoSpacing"/>
              <w:spacing w:after="200"/>
            </w:pPr>
            <w:r w:rsidRPr="00C9343F">
              <w:t>War service leave is an additional leave benefit for a member who is on warlike service. It allows them to adjust to living back in Australia and to recover from the demands of that service.</w:t>
            </w:r>
          </w:p>
        </w:tc>
      </w:tr>
    </w:tbl>
    <w:p w14:paraId="4F40C4E8" w14:textId="77777777" w:rsidR="0066334C" w:rsidRPr="00C9343F" w:rsidRDefault="0066334C" w:rsidP="00F66D98">
      <w:pPr>
        <w:pStyle w:val="Heading5"/>
      </w:pPr>
      <w:bookmarkStart w:id="1810" w:name="_Toc105054113"/>
      <w:r w:rsidRPr="00C9343F">
        <w:t>5.8.2    Definitions</w:t>
      </w:r>
      <w:bookmarkEnd w:id="1810"/>
    </w:p>
    <w:tbl>
      <w:tblPr>
        <w:tblW w:w="9364" w:type="dxa"/>
        <w:tblInd w:w="108" w:type="dxa"/>
        <w:tblLayout w:type="fixed"/>
        <w:tblLook w:val="0000" w:firstRow="0" w:lastRow="0" w:firstColumn="0" w:lastColumn="0" w:noHBand="0" w:noVBand="0"/>
      </w:tblPr>
      <w:tblGrid>
        <w:gridCol w:w="995"/>
        <w:gridCol w:w="567"/>
        <w:gridCol w:w="7802"/>
      </w:tblGrid>
      <w:tr w:rsidR="0066334C" w:rsidRPr="00C9343F" w14:paraId="52AC2DB7" w14:textId="77777777" w:rsidTr="001E65AE">
        <w:tc>
          <w:tcPr>
            <w:tcW w:w="995" w:type="dxa"/>
          </w:tcPr>
          <w:p w14:paraId="02CECFBA" w14:textId="77777777" w:rsidR="0066334C" w:rsidRPr="00C9343F" w:rsidRDefault="0066334C" w:rsidP="00F66D98">
            <w:pPr>
              <w:pStyle w:val="BlockText-Plain"/>
              <w:jc w:val="center"/>
            </w:pPr>
          </w:p>
        </w:tc>
        <w:tc>
          <w:tcPr>
            <w:tcW w:w="8369" w:type="dxa"/>
            <w:gridSpan w:val="2"/>
          </w:tcPr>
          <w:p w14:paraId="5303C512" w14:textId="77777777" w:rsidR="0066334C" w:rsidRPr="00C9343F" w:rsidRDefault="0066334C" w:rsidP="00F66D98">
            <w:pPr>
              <w:pStyle w:val="BlockText-Plain"/>
            </w:pPr>
            <w:r w:rsidRPr="00C9343F">
              <w:t>In this Part the following apply.</w:t>
            </w:r>
          </w:p>
        </w:tc>
      </w:tr>
      <w:tr w:rsidR="0066334C" w:rsidRPr="00C9343F" w14:paraId="3ADDDF22" w14:textId="77777777" w:rsidTr="001E65AE">
        <w:tc>
          <w:tcPr>
            <w:tcW w:w="995" w:type="dxa"/>
          </w:tcPr>
          <w:p w14:paraId="32629EB9" w14:textId="77777777" w:rsidR="0066334C" w:rsidRPr="00C9343F" w:rsidRDefault="0066334C" w:rsidP="00F66D98">
            <w:pPr>
              <w:pStyle w:val="BlockText-Plain"/>
              <w:jc w:val="center"/>
            </w:pPr>
          </w:p>
        </w:tc>
        <w:tc>
          <w:tcPr>
            <w:tcW w:w="8369" w:type="dxa"/>
            <w:gridSpan w:val="2"/>
          </w:tcPr>
          <w:p w14:paraId="0C6FDF80" w14:textId="77777777" w:rsidR="0066334C" w:rsidRPr="00C9343F" w:rsidRDefault="0066334C" w:rsidP="00F66D98">
            <w:pPr>
              <w:pStyle w:val="BlockText-Plain"/>
            </w:pPr>
            <w:r w:rsidRPr="00C9343F">
              <w:rPr>
                <w:b/>
              </w:rPr>
              <w:t xml:space="preserve">Operational area </w:t>
            </w:r>
            <w:r w:rsidRPr="00C9343F">
              <w:t>means any of the following.</w:t>
            </w:r>
          </w:p>
        </w:tc>
      </w:tr>
      <w:tr w:rsidR="0066334C" w:rsidRPr="00C9343F" w14:paraId="7DDE15F6" w14:textId="77777777" w:rsidTr="001E65AE">
        <w:tc>
          <w:tcPr>
            <w:tcW w:w="995" w:type="dxa"/>
          </w:tcPr>
          <w:p w14:paraId="6CC5E694" w14:textId="77777777" w:rsidR="0066334C" w:rsidRPr="00C9343F" w:rsidRDefault="0066334C" w:rsidP="00F66D98">
            <w:pPr>
              <w:pStyle w:val="BlockText-Plain"/>
              <w:jc w:val="center"/>
            </w:pPr>
          </w:p>
        </w:tc>
        <w:tc>
          <w:tcPr>
            <w:tcW w:w="567" w:type="dxa"/>
          </w:tcPr>
          <w:p w14:paraId="7F2BA3B0" w14:textId="77777777" w:rsidR="0066334C" w:rsidRPr="00C9343F" w:rsidRDefault="0066334C" w:rsidP="00F66D98">
            <w:pPr>
              <w:pStyle w:val="BlockText-Plain"/>
              <w:jc w:val="center"/>
            </w:pPr>
            <w:r w:rsidRPr="00C9343F">
              <w:t>a.</w:t>
            </w:r>
          </w:p>
        </w:tc>
        <w:tc>
          <w:tcPr>
            <w:tcW w:w="7802" w:type="dxa"/>
          </w:tcPr>
          <w:p w14:paraId="483394BE" w14:textId="77777777" w:rsidR="0066334C" w:rsidRPr="00C9343F" w:rsidRDefault="0066334C" w:rsidP="00F66D98">
            <w:pPr>
              <w:pStyle w:val="BlockText-Plain"/>
            </w:pPr>
            <w:r w:rsidRPr="00C9343F">
              <w:t>For overseas service on deployment, has the meaning given in section 1.3.48.</w:t>
            </w:r>
          </w:p>
        </w:tc>
      </w:tr>
      <w:tr w:rsidR="0066334C" w:rsidRPr="00C9343F" w14:paraId="4CFA9F7A" w14:textId="77777777" w:rsidTr="001E65AE">
        <w:tc>
          <w:tcPr>
            <w:tcW w:w="995" w:type="dxa"/>
          </w:tcPr>
          <w:p w14:paraId="4BFD6F82" w14:textId="77777777" w:rsidR="0066334C" w:rsidRPr="00C9343F" w:rsidRDefault="0066334C" w:rsidP="00F66D98">
            <w:pPr>
              <w:pStyle w:val="BlockText-Plain"/>
              <w:jc w:val="center"/>
            </w:pPr>
          </w:p>
        </w:tc>
        <w:tc>
          <w:tcPr>
            <w:tcW w:w="567" w:type="dxa"/>
          </w:tcPr>
          <w:p w14:paraId="54ABB2DB" w14:textId="77777777" w:rsidR="0066334C" w:rsidRPr="00C9343F" w:rsidRDefault="0066334C" w:rsidP="00F66D98">
            <w:pPr>
              <w:pStyle w:val="BlockText-Plain"/>
              <w:jc w:val="center"/>
            </w:pPr>
            <w:r w:rsidRPr="00C9343F">
              <w:t>b.</w:t>
            </w:r>
          </w:p>
        </w:tc>
        <w:tc>
          <w:tcPr>
            <w:tcW w:w="7802" w:type="dxa"/>
          </w:tcPr>
          <w:p w14:paraId="59F95339" w14:textId="77777777" w:rsidR="0066334C" w:rsidRPr="00C9343F" w:rsidRDefault="0066334C" w:rsidP="00F66D98">
            <w:pPr>
              <w:pStyle w:val="BlockText-Plain"/>
            </w:pPr>
            <w:r w:rsidRPr="00C9343F">
              <w:t xml:space="preserve">For overseas service other than a deployment, has the meaning given in section 6 of the </w:t>
            </w:r>
            <w:r w:rsidRPr="00C9343F">
              <w:rPr>
                <w:i/>
              </w:rPr>
              <w:t>Veterans’ Entitlements Act 1986</w:t>
            </w:r>
            <w:r w:rsidRPr="00C9343F">
              <w:t>.</w:t>
            </w:r>
          </w:p>
        </w:tc>
      </w:tr>
      <w:tr w:rsidR="00D25B22" w:rsidRPr="00C9343F" w14:paraId="3174404A" w14:textId="77777777" w:rsidTr="00445FEB">
        <w:tc>
          <w:tcPr>
            <w:tcW w:w="995" w:type="dxa"/>
          </w:tcPr>
          <w:p w14:paraId="22FA8160" w14:textId="77777777" w:rsidR="00D25B22" w:rsidRPr="00C9343F" w:rsidRDefault="00D25B22" w:rsidP="00D25B22">
            <w:pPr>
              <w:pStyle w:val="BlockText-Plain"/>
              <w:jc w:val="center"/>
            </w:pPr>
          </w:p>
        </w:tc>
        <w:tc>
          <w:tcPr>
            <w:tcW w:w="8369" w:type="dxa"/>
            <w:gridSpan w:val="2"/>
          </w:tcPr>
          <w:p w14:paraId="219A246D" w14:textId="6CEA3B18" w:rsidR="00D25B22" w:rsidRPr="00C9343F" w:rsidRDefault="00D25B22" w:rsidP="00D25B22">
            <w:pPr>
              <w:pStyle w:val="BlockText-Plain"/>
            </w:pPr>
            <w:r w:rsidRPr="00C9343F">
              <w:rPr>
                <w:b/>
                <w:iCs/>
                <w:lang w:eastAsia="en-US"/>
              </w:rPr>
              <w:t>Warlike service</w:t>
            </w:r>
            <w:r w:rsidRPr="00C9343F">
              <w:rPr>
                <w:iCs/>
                <w:lang w:eastAsia="en-US"/>
              </w:rPr>
              <w:t xml:space="preserve"> has the same meaning given by section 1.3.79.</w:t>
            </w:r>
          </w:p>
        </w:tc>
      </w:tr>
    </w:tbl>
    <w:p w14:paraId="5B27F109" w14:textId="6EF83E9A" w:rsidR="008B4402" w:rsidRPr="00C9343F" w:rsidRDefault="008B4402" w:rsidP="00F66D98">
      <w:pPr>
        <w:pStyle w:val="Heading5"/>
      </w:pPr>
      <w:bookmarkStart w:id="1811" w:name="_Toc105054114"/>
      <w:r w:rsidRPr="00C9343F">
        <w:t>5.8.3</w:t>
      </w:r>
      <w:r w:rsidR="00D94006" w:rsidRPr="00C9343F">
        <w:t>    </w:t>
      </w:r>
      <w:r w:rsidRPr="00C9343F">
        <w:t>Members this Part applies to</w:t>
      </w:r>
      <w:bookmarkEnd w:id="1811"/>
    </w:p>
    <w:tbl>
      <w:tblPr>
        <w:tblW w:w="0" w:type="auto"/>
        <w:tblInd w:w="113" w:type="dxa"/>
        <w:tblLayout w:type="fixed"/>
        <w:tblLook w:val="0000" w:firstRow="0" w:lastRow="0" w:firstColumn="0" w:lastColumn="0" w:noHBand="0" w:noVBand="0"/>
      </w:tblPr>
      <w:tblGrid>
        <w:gridCol w:w="992"/>
        <w:gridCol w:w="8363"/>
      </w:tblGrid>
      <w:tr w:rsidR="008B4402" w:rsidRPr="00C9343F" w14:paraId="2945137D" w14:textId="77777777" w:rsidTr="008B4402">
        <w:tc>
          <w:tcPr>
            <w:tcW w:w="992" w:type="dxa"/>
          </w:tcPr>
          <w:p w14:paraId="2656C7E7" w14:textId="77777777" w:rsidR="008B4402" w:rsidRPr="00C9343F" w:rsidRDefault="008B4402" w:rsidP="00F66D98">
            <w:pPr>
              <w:pStyle w:val="BlockText-Plain"/>
              <w:jc w:val="center"/>
            </w:pPr>
          </w:p>
        </w:tc>
        <w:tc>
          <w:tcPr>
            <w:tcW w:w="8363" w:type="dxa"/>
          </w:tcPr>
          <w:p w14:paraId="6A3FB664" w14:textId="77777777" w:rsidR="008B4402" w:rsidRPr="00C9343F" w:rsidRDefault="008B4402" w:rsidP="00F66D98">
            <w:pPr>
              <w:pStyle w:val="BlockText-Plain"/>
            </w:pPr>
            <w:r w:rsidRPr="00C9343F">
              <w:t>This Part applies to a member who performs warlike service in an operational area.</w:t>
            </w:r>
          </w:p>
        </w:tc>
      </w:tr>
    </w:tbl>
    <w:p w14:paraId="5A09713C" w14:textId="5BD662D1" w:rsidR="008B4402" w:rsidRPr="00C9343F" w:rsidRDefault="008B4402" w:rsidP="00F66D98">
      <w:pPr>
        <w:pStyle w:val="Heading5"/>
      </w:pPr>
      <w:bookmarkStart w:id="1812" w:name="_Toc105054115"/>
      <w:r w:rsidRPr="00C9343F">
        <w:t>5.8.4</w:t>
      </w:r>
      <w:r w:rsidR="00D94006" w:rsidRPr="00C9343F">
        <w:t>    </w:t>
      </w:r>
      <w:r w:rsidRPr="00C9343F">
        <w:t>War service leave credit</w:t>
      </w:r>
      <w:bookmarkEnd w:id="1812"/>
    </w:p>
    <w:tbl>
      <w:tblPr>
        <w:tblW w:w="9368" w:type="dxa"/>
        <w:tblInd w:w="108" w:type="dxa"/>
        <w:tblLayout w:type="fixed"/>
        <w:tblLook w:val="0000" w:firstRow="0" w:lastRow="0" w:firstColumn="0" w:lastColumn="0" w:noHBand="0" w:noVBand="0"/>
      </w:tblPr>
      <w:tblGrid>
        <w:gridCol w:w="995"/>
        <w:gridCol w:w="598"/>
        <w:gridCol w:w="567"/>
        <w:gridCol w:w="7208"/>
      </w:tblGrid>
      <w:tr w:rsidR="008B4402" w:rsidRPr="00C9343F" w14:paraId="055C9B0C" w14:textId="77777777" w:rsidTr="0014535D">
        <w:tc>
          <w:tcPr>
            <w:tcW w:w="992" w:type="dxa"/>
          </w:tcPr>
          <w:p w14:paraId="3749E7EF" w14:textId="77777777" w:rsidR="008B4402" w:rsidRPr="00C9343F" w:rsidRDefault="008B4402" w:rsidP="00F66D98">
            <w:pPr>
              <w:pStyle w:val="BlockText-Plain"/>
              <w:jc w:val="center"/>
              <w:rPr>
                <w:rFonts w:cs="Arial"/>
              </w:rPr>
            </w:pPr>
            <w:bookmarkStart w:id="1813" w:name="bk33726PM563Entitlement"/>
            <w:bookmarkStart w:id="1814" w:name="bk91645AM563Entitlement"/>
            <w:bookmarkStart w:id="1815" w:name="bk112142563Entitlement"/>
            <w:bookmarkStart w:id="1816" w:name="bk115510563Entitlement"/>
            <w:r w:rsidRPr="00C9343F">
              <w:rPr>
                <w:rFonts w:cs="Arial"/>
              </w:rPr>
              <w:t>1.</w:t>
            </w:r>
          </w:p>
        </w:tc>
        <w:tc>
          <w:tcPr>
            <w:tcW w:w="8371" w:type="dxa"/>
            <w:gridSpan w:val="3"/>
          </w:tcPr>
          <w:p w14:paraId="29538D33" w14:textId="77777777" w:rsidR="008B4402" w:rsidRPr="00C9343F" w:rsidRDefault="008B4402" w:rsidP="00F66D98">
            <w:pPr>
              <w:pStyle w:val="BlockText-Plain"/>
              <w:rPr>
                <w:rFonts w:cs="Arial"/>
              </w:rPr>
            </w:pPr>
            <w:r w:rsidRPr="00C9343F">
              <w:rPr>
                <w:rFonts w:cs="Arial"/>
              </w:rPr>
              <w:t>A member may accrue war service leave credit for any day they perform warlike service in an operational area.</w:t>
            </w:r>
          </w:p>
        </w:tc>
      </w:tr>
      <w:tr w:rsidR="008B4402" w:rsidRPr="00C9343F" w14:paraId="0C09D3CB" w14:textId="77777777" w:rsidTr="0014535D">
        <w:tc>
          <w:tcPr>
            <w:tcW w:w="992" w:type="dxa"/>
          </w:tcPr>
          <w:p w14:paraId="4CB4D3B4" w14:textId="77777777" w:rsidR="008B4402" w:rsidRPr="00C9343F" w:rsidRDefault="008B4402" w:rsidP="00F66D98">
            <w:pPr>
              <w:pStyle w:val="BlockText-PlainNoSpacing"/>
              <w:keepNext w:val="0"/>
              <w:keepLines w:val="0"/>
              <w:jc w:val="center"/>
            </w:pPr>
            <w:r w:rsidRPr="00C9343F">
              <w:t>2.</w:t>
            </w:r>
          </w:p>
        </w:tc>
        <w:tc>
          <w:tcPr>
            <w:tcW w:w="8371" w:type="dxa"/>
            <w:gridSpan w:val="3"/>
          </w:tcPr>
          <w:p w14:paraId="502A9102" w14:textId="77777777" w:rsidR="008B4402" w:rsidRPr="00C9343F" w:rsidRDefault="008B4402" w:rsidP="00F66D98">
            <w:pPr>
              <w:pStyle w:val="BlockText-Plain"/>
            </w:pPr>
            <w:r w:rsidRPr="00C9343F">
              <w:t>Credit accrues at the rate of 18 days a year, on a pro rata basis. It is processed at the end of each fortnightly pay period, calculated using the method in subsection 3.</w:t>
            </w:r>
          </w:p>
        </w:tc>
      </w:tr>
      <w:tr w:rsidR="0014535D" w:rsidRPr="00C9343F" w14:paraId="065AA41A" w14:textId="77777777" w:rsidTr="0014535D">
        <w:tc>
          <w:tcPr>
            <w:tcW w:w="995" w:type="dxa"/>
          </w:tcPr>
          <w:p w14:paraId="4C3D4C80" w14:textId="77777777" w:rsidR="0014535D" w:rsidRPr="00C9343F" w:rsidRDefault="0014535D" w:rsidP="00F66D98">
            <w:pPr>
              <w:pStyle w:val="Sectiontext0"/>
              <w:jc w:val="center"/>
            </w:pPr>
            <w:r w:rsidRPr="00C9343F">
              <w:t>3.</w:t>
            </w:r>
          </w:p>
        </w:tc>
        <w:tc>
          <w:tcPr>
            <w:tcW w:w="8369" w:type="dxa"/>
            <w:gridSpan w:val="3"/>
          </w:tcPr>
          <w:p w14:paraId="66AC9846" w14:textId="77777777" w:rsidR="0014535D" w:rsidRPr="00C9343F" w:rsidRDefault="0014535D" w:rsidP="00F66D98">
            <w:pPr>
              <w:pStyle w:val="Sectiontext0"/>
              <w:rPr>
                <w:iCs/>
              </w:rPr>
            </w:pPr>
            <w:r w:rsidRPr="00C9343F">
              <w:rPr>
                <w:iCs/>
              </w:rPr>
              <w:t>The amount of war service leave credit for a fortnightly pay period is calculated using the following formula and rounded to the nearest 2 decimal places.</w:t>
            </w:r>
          </w:p>
        </w:tc>
      </w:tr>
      <w:tr w:rsidR="0014535D" w:rsidRPr="00C9343F" w14:paraId="1C9E0852" w14:textId="77777777" w:rsidTr="0014535D">
        <w:tc>
          <w:tcPr>
            <w:tcW w:w="995" w:type="dxa"/>
          </w:tcPr>
          <w:p w14:paraId="5E5637C9" w14:textId="77777777" w:rsidR="0014535D" w:rsidRPr="00C9343F" w:rsidRDefault="0014535D" w:rsidP="00F66D98">
            <w:pPr>
              <w:pStyle w:val="Sectiontext0"/>
              <w:jc w:val="center"/>
            </w:pPr>
          </w:p>
        </w:tc>
        <w:tc>
          <w:tcPr>
            <w:tcW w:w="8369" w:type="dxa"/>
            <w:gridSpan w:val="3"/>
          </w:tcPr>
          <w:p w14:paraId="2CA6F8A8" w14:textId="77777777" w:rsidR="0014535D" w:rsidRPr="00C9343F" w:rsidRDefault="0014535D" w:rsidP="00F66D98">
            <w:pPr>
              <w:pStyle w:val="Sectiontext0"/>
              <w:rPr>
                <w:b/>
                <w:iCs/>
              </w:rPr>
            </w:pPr>
            <m:oMathPara>
              <m:oMath>
                <m:r>
                  <m:rPr>
                    <m:sty m:val="bi"/>
                  </m:rPr>
                  <w:rPr>
                    <w:rFonts w:ascii="Cambria Math" w:hAnsi="Cambria Math"/>
                  </w:rPr>
                  <m:t xml:space="preserve">leave credit= </m:t>
                </m:r>
                <m:f>
                  <m:fPr>
                    <m:ctrlPr>
                      <w:rPr>
                        <w:rFonts w:ascii="Cambria Math" w:hAnsi="Cambria Math"/>
                        <w:b/>
                        <w:i/>
                      </w:rPr>
                    </m:ctrlPr>
                  </m:fPr>
                  <m:num>
                    <m:r>
                      <m:rPr>
                        <m:sty m:val="bi"/>
                      </m:rPr>
                      <w:rPr>
                        <w:rFonts w:ascii="Cambria Math" w:hAnsi="Cambria Math"/>
                      </w:rPr>
                      <m:t>A+B</m:t>
                    </m:r>
                  </m:num>
                  <m:den>
                    <m:r>
                      <m:rPr>
                        <m:sty m:val="bi"/>
                      </m:rPr>
                      <w:rPr>
                        <w:rFonts w:ascii="Cambria Math" w:hAnsi="Cambria Math"/>
                      </w:rPr>
                      <m:t>365</m:t>
                    </m:r>
                  </m:den>
                </m:f>
                <m:r>
                  <m:rPr>
                    <m:sty m:val="bi"/>
                  </m:rPr>
                  <w:rPr>
                    <w:rFonts w:ascii="Cambria Math" w:hAnsi="Cambria Math"/>
                  </w:rPr>
                  <m:t>×18</m:t>
                </m:r>
              </m:oMath>
            </m:oMathPara>
          </w:p>
        </w:tc>
      </w:tr>
      <w:tr w:rsidR="0014535D" w:rsidRPr="00C9343F" w14:paraId="7274C0EC" w14:textId="77777777" w:rsidTr="0014535D">
        <w:tc>
          <w:tcPr>
            <w:tcW w:w="995" w:type="dxa"/>
          </w:tcPr>
          <w:p w14:paraId="75B1E99C" w14:textId="77777777" w:rsidR="0014535D" w:rsidRPr="00C9343F" w:rsidRDefault="0014535D" w:rsidP="00F66D98">
            <w:pPr>
              <w:pStyle w:val="Sectiontext0"/>
              <w:jc w:val="center"/>
            </w:pPr>
          </w:p>
        </w:tc>
        <w:tc>
          <w:tcPr>
            <w:tcW w:w="8369" w:type="dxa"/>
            <w:gridSpan w:val="3"/>
          </w:tcPr>
          <w:p w14:paraId="455BEBE0" w14:textId="77777777" w:rsidR="0014535D" w:rsidRPr="00C9343F" w:rsidRDefault="0014535D" w:rsidP="00F66D98">
            <w:pPr>
              <w:pStyle w:val="Sectiontext0"/>
              <w:rPr>
                <w:iCs/>
              </w:rPr>
            </w:pPr>
            <w:r w:rsidRPr="00C9343F">
              <w:rPr>
                <w:iCs/>
              </w:rPr>
              <w:t>Where:</w:t>
            </w:r>
          </w:p>
        </w:tc>
      </w:tr>
      <w:tr w:rsidR="0014535D" w:rsidRPr="00C9343F" w14:paraId="400E08C7" w14:textId="77777777" w:rsidTr="0014535D">
        <w:tc>
          <w:tcPr>
            <w:tcW w:w="995" w:type="dxa"/>
          </w:tcPr>
          <w:p w14:paraId="041A01B1" w14:textId="77777777" w:rsidR="0014535D" w:rsidRPr="00C9343F" w:rsidRDefault="0014535D" w:rsidP="00F66D98">
            <w:pPr>
              <w:pStyle w:val="Sectiontext0"/>
              <w:jc w:val="center"/>
            </w:pPr>
          </w:p>
        </w:tc>
        <w:tc>
          <w:tcPr>
            <w:tcW w:w="598" w:type="dxa"/>
          </w:tcPr>
          <w:p w14:paraId="74BFA2C3" w14:textId="77777777" w:rsidR="0014535D" w:rsidRPr="00C9343F" w:rsidRDefault="0014535D" w:rsidP="00F66D98">
            <w:pPr>
              <w:pStyle w:val="Sectiontext0"/>
              <w:rPr>
                <w:b/>
                <w:iCs/>
              </w:rPr>
            </w:pPr>
            <w:r w:rsidRPr="00C9343F">
              <w:rPr>
                <w:b/>
                <w:iCs/>
              </w:rPr>
              <w:t>A</w:t>
            </w:r>
          </w:p>
        </w:tc>
        <w:tc>
          <w:tcPr>
            <w:tcW w:w="7771" w:type="dxa"/>
            <w:gridSpan w:val="2"/>
          </w:tcPr>
          <w:p w14:paraId="76D40D45" w14:textId="77777777" w:rsidR="0014535D" w:rsidRPr="00C9343F" w:rsidRDefault="0014535D" w:rsidP="00F66D98">
            <w:pPr>
              <w:pStyle w:val="Sectiontext0"/>
              <w:rPr>
                <w:iCs/>
              </w:rPr>
            </w:pPr>
            <w:r w:rsidRPr="00C9343F">
              <w:rPr>
                <w:iCs/>
              </w:rPr>
              <w:t xml:space="preserve">is the number of days the member spent in an operational area while on warlike service during a fortnightly pay period. </w:t>
            </w:r>
          </w:p>
        </w:tc>
      </w:tr>
      <w:tr w:rsidR="0014535D" w:rsidRPr="00C9343F" w14:paraId="23F94927" w14:textId="77777777" w:rsidTr="0014535D">
        <w:tc>
          <w:tcPr>
            <w:tcW w:w="995" w:type="dxa"/>
          </w:tcPr>
          <w:p w14:paraId="757385BE" w14:textId="77777777" w:rsidR="0014535D" w:rsidRPr="00C9343F" w:rsidRDefault="0014535D" w:rsidP="00F66D98">
            <w:pPr>
              <w:pStyle w:val="Sectiontext0"/>
              <w:jc w:val="center"/>
            </w:pPr>
          </w:p>
        </w:tc>
        <w:tc>
          <w:tcPr>
            <w:tcW w:w="598" w:type="dxa"/>
          </w:tcPr>
          <w:p w14:paraId="6BDEC6DA" w14:textId="77777777" w:rsidR="0014535D" w:rsidRPr="00C9343F" w:rsidRDefault="0014535D" w:rsidP="00F66D98">
            <w:pPr>
              <w:pStyle w:val="Sectiontext0"/>
              <w:rPr>
                <w:b/>
                <w:iCs/>
              </w:rPr>
            </w:pPr>
            <w:r w:rsidRPr="00C9343F">
              <w:rPr>
                <w:b/>
                <w:iCs/>
              </w:rPr>
              <w:t>B</w:t>
            </w:r>
          </w:p>
        </w:tc>
        <w:tc>
          <w:tcPr>
            <w:tcW w:w="7771" w:type="dxa"/>
            <w:gridSpan w:val="2"/>
          </w:tcPr>
          <w:p w14:paraId="5C7F8AB6" w14:textId="77777777" w:rsidR="0014535D" w:rsidRPr="00C9343F" w:rsidRDefault="0014535D" w:rsidP="00F66D98">
            <w:pPr>
              <w:pStyle w:val="Sectiontext0"/>
              <w:rPr>
                <w:iCs/>
              </w:rPr>
            </w:pPr>
            <w:r w:rsidRPr="00C9343F">
              <w:rPr>
                <w:iCs/>
              </w:rPr>
              <w:t>is any of the following part days which count as a full day.</w:t>
            </w:r>
          </w:p>
        </w:tc>
      </w:tr>
      <w:tr w:rsidR="0014535D" w:rsidRPr="00C9343F" w14:paraId="676D07D6" w14:textId="77777777" w:rsidTr="0014535D">
        <w:tc>
          <w:tcPr>
            <w:tcW w:w="995" w:type="dxa"/>
          </w:tcPr>
          <w:p w14:paraId="2D781943" w14:textId="77777777" w:rsidR="0014535D" w:rsidRPr="00C9343F" w:rsidRDefault="0014535D" w:rsidP="00F66D98">
            <w:pPr>
              <w:pStyle w:val="Sectiontext0"/>
              <w:jc w:val="center"/>
            </w:pPr>
          </w:p>
        </w:tc>
        <w:tc>
          <w:tcPr>
            <w:tcW w:w="598" w:type="dxa"/>
          </w:tcPr>
          <w:p w14:paraId="736DECBD" w14:textId="77777777" w:rsidR="0014535D" w:rsidRPr="00C9343F" w:rsidRDefault="0014535D" w:rsidP="00F66D98">
            <w:pPr>
              <w:pStyle w:val="Sectiontext0"/>
              <w:rPr>
                <w:b/>
                <w:iCs/>
              </w:rPr>
            </w:pPr>
          </w:p>
        </w:tc>
        <w:tc>
          <w:tcPr>
            <w:tcW w:w="567" w:type="dxa"/>
          </w:tcPr>
          <w:p w14:paraId="5B2000D9" w14:textId="77777777" w:rsidR="0014535D" w:rsidRPr="00C9343F" w:rsidRDefault="0014535D" w:rsidP="00F66D98">
            <w:pPr>
              <w:pStyle w:val="Sectiontext0"/>
              <w:jc w:val="center"/>
              <w:rPr>
                <w:iCs/>
              </w:rPr>
            </w:pPr>
            <w:r w:rsidRPr="00C9343F">
              <w:rPr>
                <w:iCs/>
              </w:rPr>
              <w:t>a.</w:t>
            </w:r>
          </w:p>
        </w:tc>
        <w:tc>
          <w:tcPr>
            <w:tcW w:w="7204" w:type="dxa"/>
          </w:tcPr>
          <w:p w14:paraId="75CD7E23" w14:textId="77777777" w:rsidR="0014535D" w:rsidRPr="00C9343F" w:rsidRDefault="0014535D" w:rsidP="00F66D98">
            <w:pPr>
              <w:pStyle w:val="Sectiontext0"/>
              <w:rPr>
                <w:iCs/>
              </w:rPr>
            </w:pPr>
            <w:r w:rsidRPr="00C9343F">
              <w:rPr>
                <w:iCs/>
              </w:rPr>
              <w:t>Any part day at the beginning or the end of the period.</w:t>
            </w:r>
          </w:p>
        </w:tc>
      </w:tr>
      <w:tr w:rsidR="0014535D" w:rsidRPr="00C9343F" w14:paraId="4475F6A7" w14:textId="77777777" w:rsidTr="0014535D">
        <w:tc>
          <w:tcPr>
            <w:tcW w:w="995" w:type="dxa"/>
          </w:tcPr>
          <w:p w14:paraId="5CD29826" w14:textId="77777777" w:rsidR="0014535D" w:rsidRPr="00C9343F" w:rsidRDefault="0014535D" w:rsidP="00F66D98">
            <w:pPr>
              <w:pStyle w:val="Sectiontext0"/>
              <w:jc w:val="center"/>
            </w:pPr>
          </w:p>
        </w:tc>
        <w:tc>
          <w:tcPr>
            <w:tcW w:w="598" w:type="dxa"/>
          </w:tcPr>
          <w:p w14:paraId="1623C9DE" w14:textId="77777777" w:rsidR="0014535D" w:rsidRPr="00C9343F" w:rsidRDefault="0014535D" w:rsidP="00F66D98">
            <w:pPr>
              <w:pStyle w:val="Sectiontext0"/>
              <w:rPr>
                <w:b/>
                <w:iCs/>
              </w:rPr>
            </w:pPr>
          </w:p>
        </w:tc>
        <w:tc>
          <w:tcPr>
            <w:tcW w:w="567" w:type="dxa"/>
          </w:tcPr>
          <w:p w14:paraId="7603F7E0" w14:textId="77777777" w:rsidR="0014535D" w:rsidRPr="00C9343F" w:rsidRDefault="0014535D" w:rsidP="00F66D98">
            <w:pPr>
              <w:pStyle w:val="Sectiontext0"/>
              <w:jc w:val="center"/>
              <w:rPr>
                <w:iCs/>
              </w:rPr>
            </w:pPr>
            <w:r w:rsidRPr="00C9343F">
              <w:rPr>
                <w:iCs/>
              </w:rPr>
              <w:t>b.</w:t>
            </w:r>
          </w:p>
        </w:tc>
        <w:tc>
          <w:tcPr>
            <w:tcW w:w="7204" w:type="dxa"/>
          </w:tcPr>
          <w:p w14:paraId="11494F5A" w14:textId="77777777" w:rsidR="0014535D" w:rsidRPr="00C9343F" w:rsidRDefault="0014535D" w:rsidP="00F66D98">
            <w:pPr>
              <w:pStyle w:val="Sectiontext0"/>
              <w:rPr>
                <w:iCs/>
              </w:rPr>
            </w:pPr>
            <w:r w:rsidRPr="00C9343F">
              <w:rPr>
                <w:iCs/>
              </w:rPr>
              <w:t>Any part day when the member is absent from the operational area.</w:t>
            </w:r>
          </w:p>
        </w:tc>
      </w:tr>
    </w:tbl>
    <w:p w14:paraId="02ADEE9C" w14:textId="71F99B79" w:rsidR="008B4402" w:rsidRPr="00C9343F" w:rsidRDefault="008B4402" w:rsidP="00F66D98">
      <w:pPr>
        <w:pStyle w:val="Heading5"/>
      </w:pPr>
      <w:bookmarkStart w:id="1817" w:name="_Toc105054116"/>
      <w:bookmarkStart w:id="1818" w:name="bk33726PM564Grantofleave"/>
      <w:bookmarkStart w:id="1819" w:name="bk91645AM564Grantofleave"/>
      <w:bookmarkStart w:id="1820" w:name="bk112142564Grantingleave"/>
      <w:bookmarkStart w:id="1821" w:name="bk115510564Grantingleave"/>
      <w:bookmarkEnd w:id="1813"/>
      <w:bookmarkEnd w:id="1814"/>
      <w:bookmarkEnd w:id="1815"/>
      <w:bookmarkEnd w:id="1816"/>
      <w:r w:rsidRPr="00C9343F">
        <w:t>5.8.5</w:t>
      </w:r>
      <w:r w:rsidR="00D94006" w:rsidRPr="00C9343F">
        <w:t>    </w:t>
      </w:r>
      <w:r w:rsidRPr="00C9343F">
        <w:t>Granting leave</w:t>
      </w:r>
      <w:bookmarkEnd w:id="1817"/>
    </w:p>
    <w:tbl>
      <w:tblPr>
        <w:tblW w:w="0" w:type="auto"/>
        <w:tblInd w:w="113" w:type="dxa"/>
        <w:tblLayout w:type="fixed"/>
        <w:tblLook w:val="0000" w:firstRow="0" w:lastRow="0" w:firstColumn="0" w:lastColumn="0" w:noHBand="0" w:noVBand="0"/>
      </w:tblPr>
      <w:tblGrid>
        <w:gridCol w:w="992"/>
        <w:gridCol w:w="8363"/>
      </w:tblGrid>
      <w:tr w:rsidR="008B4402" w:rsidRPr="00C9343F" w14:paraId="78DBA51C" w14:textId="77777777" w:rsidTr="008B4402">
        <w:tc>
          <w:tcPr>
            <w:tcW w:w="992" w:type="dxa"/>
          </w:tcPr>
          <w:p w14:paraId="65A77A1C" w14:textId="77777777" w:rsidR="008B4402" w:rsidRPr="00C9343F" w:rsidRDefault="008B4402" w:rsidP="00F66D98">
            <w:pPr>
              <w:pStyle w:val="BlockText-Plain"/>
              <w:jc w:val="center"/>
            </w:pPr>
            <w:r w:rsidRPr="00C9343F">
              <w:t>1.</w:t>
            </w:r>
          </w:p>
        </w:tc>
        <w:tc>
          <w:tcPr>
            <w:tcW w:w="8363" w:type="dxa"/>
          </w:tcPr>
          <w:p w14:paraId="65048127" w14:textId="77777777" w:rsidR="008B4402" w:rsidRPr="00C9343F" w:rsidRDefault="008B4402" w:rsidP="00F66D98">
            <w:pPr>
              <w:pStyle w:val="BlockText-Plain"/>
            </w:pPr>
            <w:r w:rsidRPr="00C9343F">
              <w:t>The CDF may grant war service leave to a member for a period up to the period of the member's war service leave credit.</w:t>
            </w:r>
          </w:p>
        </w:tc>
      </w:tr>
      <w:tr w:rsidR="008B4402" w:rsidRPr="00C9343F" w14:paraId="44FC7513" w14:textId="77777777" w:rsidTr="008B4402">
        <w:tc>
          <w:tcPr>
            <w:tcW w:w="992" w:type="dxa"/>
          </w:tcPr>
          <w:p w14:paraId="1D5A0B40" w14:textId="77777777" w:rsidR="008B4402" w:rsidRPr="00C9343F" w:rsidRDefault="008B4402" w:rsidP="00F66D98">
            <w:pPr>
              <w:pStyle w:val="BlockText-Plain"/>
              <w:jc w:val="center"/>
            </w:pPr>
            <w:r w:rsidRPr="00C9343F">
              <w:t>2.</w:t>
            </w:r>
          </w:p>
        </w:tc>
        <w:tc>
          <w:tcPr>
            <w:tcW w:w="8363" w:type="dxa"/>
          </w:tcPr>
          <w:p w14:paraId="7DC9E253" w14:textId="71184CB0" w:rsidR="008B4402" w:rsidRPr="00C9343F" w:rsidRDefault="008B4402" w:rsidP="00F66D98">
            <w:pPr>
              <w:pStyle w:val="BlockText-Para"/>
              <w:keepLines w:val="0"/>
              <w:spacing w:before="0" w:after="200"/>
              <w:rPr>
                <w:sz w:val="20"/>
              </w:rPr>
            </w:pPr>
            <w:r w:rsidRPr="00C9343F">
              <w:rPr>
                <w:sz w:val="20"/>
              </w:rPr>
              <w:t>The member may only be granted a part day of war service leave in combination with a part day of recreation leave.</w:t>
            </w:r>
          </w:p>
        </w:tc>
      </w:tr>
    </w:tbl>
    <w:p w14:paraId="24243B89" w14:textId="7C0378A5" w:rsidR="008B4402" w:rsidRPr="00C9343F" w:rsidRDefault="008B4402" w:rsidP="00F66D98">
      <w:pPr>
        <w:pStyle w:val="Heading5"/>
      </w:pPr>
      <w:bookmarkStart w:id="1822" w:name="_Toc105054117"/>
      <w:bookmarkStart w:id="1823" w:name="bk33726PM565Warserviceleaveandotherleav"/>
      <w:bookmarkStart w:id="1824" w:name="bk91645AM565Warserviceleaveandotherleav"/>
      <w:bookmarkStart w:id="1825" w:name="bk112142565Warserviceleaveandotherleave"/>
      <w:bookmarkStart w:id="1826" w:name="bk115510565Warserviceleaveandotherleave"/>
      <w:bookmarkEnd w:id="1818"/>
      <w:bookmarkEnd w:id="1819"/>
      <w:bookmarkEnd w:id="1820"/>
      <w:bookmarkEnd w:id="1821"/>
      <w:r w:rsidRPr="00C9343F">
        <w:t>5.8.6</w:t>
      </w:r>
      <w:r w:rsidR="00D94006" w:rsidRPr="00C9343F">
        <w:t>    </w:t>
      </w:r>
      <w:r w:rsidRPr="00C9343F">
        <w:t>War service leave and other leave</w:t>
      </w:r>
      <w:bookmarkEnd w:id="1822"/>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37E94366" w14:textId="77777777" w:rsidTr="00927540">
        <w:tc>
          <w:tcPr>
            <w:tcW w:w="992" w:type="dxa"/>
          </w:tcPr>
          <w:bookmarkEnd w:id="1823"/>
          <w:bookmarkEnd w:id="1824"/>
          <w:bookmarkEnd w:id="1825"/>
          <w:bookmarkEnd w:id="1826"/>
          <w:p w14:paraId="1D0CC43F" w14:textId="77777777" w:rsidR="008B4402" w:rsidRPr="00C9343F" w:rsidRDefault="008B4402" w:rsidP="00F66D98">
            <w:pPr>
              <w:pStyle w:val="BlockText-Plain"/>
              <w:keepNext/>
              <w:keepLines/>
              <w:jc w:val="center"/>
            </w:pPr>
            <w:r w:rsidRPr="00C9343F">
              <w:t>1.</w:t>
            </w:r>
          </w:p>
        </w:tc>
        <w:tc>
          <w:tcPr>
            <w:tcW w:w="8363" w:type="dxa"/>
            <w:gridSpan w:val="2"/>
          </w:tcPr>
          <w:p w14:paraId="0DD177B0" w14:textId="77777777" w:rsidR="008B4402" w:rsidRPr="00C9343F" w:rsidRDefault="008B4402" w:rsidP="00F66D98">
            <w:pPr>
              <w:pStyle w:val="BlockText-Plain"/>
              <w:keepNext/>
              <w:keepLines/>
            </w:pPr>
            <w:r w:rsidRPr="00C9343F">
              <w:t>If a member takes leave after warlike service, they must take war service leave before recreation leave.</w:t>
            </w:r>
          </w:p>
        </w:tc>
      </w:tr>
      <w:tr w:rsidR="00711298" w:rsidRPr="00C9343F" w14:paraId="678A85DD" w14:textId="77777777" w:rsidTr="00927540">
        <w:tc>
          <w:tcPr>
            <w:tcW w:w="992" w:type="dxa"/>
          </w:tcPr>
          <w:p w14:paraId="0ACB7D32" w14:textId="4C529569" w:rsidR="00711298" w:rsidRPr="00C9343F" w:rsidRDefault="00711298" w:rsidP="00F66D98">
            <w:pPr>
              <w:pStyle w:val="BlockText-Plain"/>
              <w:jc w:val="center"/>
            </w:pPr>
            <w:r w:rsidRPr="00C9343F">
              <w:t>2.</w:t>
            </w:r>
          </w:p>
        </w:tc>
        <w:tc>
          <w:tcPr>
            <w:tcW w:w="8363" w:type="dxa"/>
            <w:gridSpan w:val="2"/>
          </w:tcPr>
          <w:p w14:paraId="3B8E922C" w14:textId="423756F8" w:rsidR="00711298" w:rsidRPr="00C9343F" w:rsidRDefault="00711298" w:rsidP="00F66D98">
            <w:pPr>
              <w:pStyle w:val="BlockText-Plain"/>
            </w:pPr>
            <w:r w:rsidRPr="00C9343F">
              <w:rPr>
                <w:iCs/>
              </w:rPr>
              <w:t>The member does not accrue any of the following leave types while on warlike service in an operational area.</w:t>
            </w:r>
          </w:p>
        </w:tc>
      </w:tr>
      <w:tr w:rsidR="00711298" w:rsidRPr="00C9343F" w14:paraId="0D7090D0" w14:textId="77777777" w:rsidTr="00927540">
        <w:trPr>
          <w:cantSplit/>
        </w:trPr>
        <w:tc>
          <w:tcPr>
            <w:tcW w:w="992" w:type="dxa"/>
          </w:tcPr>
          <w:p w14:paraId="483E4DFF" w14:textId="77777777" w:rsidR="00711298" w:rsidRPr="00C9343F" w:rsidRDefault="00711298" w:rsidP="00F66D98">
            <w:pPr>
              <w:pStyle w:val="BlockText-Plain"/>
            </w:pPr>
            <w:bookmarkStart w:id="1827" w:name="bk33726PM566Debitofleavecredit"/>
            <w:bookmarkStart w:id="1828" w:name="bk91645AM566Debitofleavecredit"/>
            <w:bookmarkStart w:id="1829" w:name="bk112142566Debitingleavecredit"/>
          </w:p>
        </w:tc>
        <w:tc>
          <w:tcPr>
            <w:tcW w:w="567" w:type="dxa"/>
          </w:tcPr>
          <w:p w14:paraId="1942F9E5" w14:textId="77777777" w:rsidR="00711298" w:rsidRPr="00C9343F" w:rsidRDefault="00711298" w:rsidP="005849DD">
            <w:pPr>
              <w:pStyle w:val="BlockText-Plain"/>
              <w:jc w:val="center"/>
            </w:pPr>
            <w:r w:rsidRPr="00C9343F">
              <w:t>a.</w:t>
            </w:r>
          </w:p>
        </w:tc>
        <w:tc>
          <w:tcPr>
            <w:tcW w:w="7796" w:type="dxa"/>
          </w:tcPr>
          <w:p w14:paraId="04460669" w14:textId="6705E701" w:rsidR="00711298" w:rsidRPr="00C9343F" w:rsidRDefault="00711298" w:rsidP="00F66D98">
            <w:pPr>
              <w:pStyle w:val="BlockText-Plain"/>
            </w:pPr>
            <w:r w:rsidRPr="00C9343F">
              <w:rPr>
                <w:iCs/>
              </w:rPr>
              <w:t>Additional recreation leave in a remote location under section 5.4.17.</w:t>
            </w:r>
          </w:p>
        </w:tc>
      </w:tr>
      <w:tr w:rsidR="00711298" w:rsidRPr="00C9343F" w14:paraId="2721F434" w14:textId="77777777" w:rsidTr="00927540">
        <w:trPr>
          <w:cantSplit/>
        </w:trPr>
        <w:tc>
          <w:tcPr>
            <w:tcW w:w="992" w:type="dxa"/>
          </w:tcPr>
          <w:p w14:paraId="3270248D" w14:textId="77777777" w:rsidR="00711298" w:rsidRPr="00C9343F" w:rsidRDefault="00711298" w:rsidP="00F66D98">
            <w:pPr>
              <w:pStyle w:val="BlockText-Plain"/>
            </w:pPr>
          </w:p>
        </w:tc>
        <w:tc>
          <w:tcPr>
            <w:tcW w:w="567" w:type="dxa"/>
          </w:tcPr>
          <w:p w14:paraId="1336F66A" w14:textId="77777777" w:rsidR="00711298" w:rsidRPr="00C9343F" w:rsidRDefault="00711298" w:rsidP="005849DD">
            <w:pPr>
              <w:pStyle w:val="BlockText-Plain"/>
              <w:jc w:val="center"/>
            </w:pPr>
            <w:r w:rsidRPr="00C9343F">
              <w:t>b.</w:t>
            </w:r>
          </w:p>
        </w:tc>
        <w:tc>
          <w:tcPr>
            <w:tcW w:w="7796" w:type="dxa"/>
          </w:tcPr>
          <w:p w14:paraId="66A01A68" w14:textId="7A927B28" w:rsidR="00711298" w:rsidRPr="00C9343F" w:rsidRDefault="00711298" w:rsidP="00F66D98">
            <w:pPr>
              <w:pStyle w:val="BlockText-Plain"/>
            </w:pPr>
            <w:r w:rsidRPr="00C9343F">
              <w:rPr>
                <w:iCs/>
              </w:rPr>
              <w:t>Additional recreation leave in a hardship location under Chapter 16 Part 3A.</w:t>
            </w:r>
          </w:p>
        </w:tc>
      </w:tr>
      <w:tr w:rsidR="00711298" w:rsidRPr="00C9343F" w14:paraId="558D6A00" w14:textId="77777777" w:rsidTr="00927540">
        <w:trPr>
          <w:cantSplit/>
        </w:trPr>
        <w:tc>
          <w:tcPr>
            <w:tcW w:w="992" w:type="dxa"/>
          </w:tcPr>
          <w:p w14:paraId="5CA2425C" w14:textId="77777777" w:rsidR="00711298" w:rsidRPr="00C9343F" w:rsidRDefault="00711298" w:rsidP="00F66D98">
            <w:pPr>
              <w:pStyle w:val="BlockText-Plain"/>
            </w:pPr>
          </w:p>
        </w:tc>
        <w:tc>
          <w:tcPr>
            <w:tcW w:w="567" w:type="dxa"/>
          </w:tcPr>
          <w:p w14:paraId="57D8AA99" w14:textId="77777777" w:rsidR="00711298" w:rsidRPr="00C9343F" w:rsidRDefault="00711298" w:rsidP="005849DD">
            <w:pPr>
              <w:pStyle w:val="BlockText-Plain"/>
              <w:jc w:val="center"/>
            </w:pPr>
            <w:r w:rsidRPr="00C9343F">
              <w:t>c.</w:t>
            </w:r>
          </w:p>
        </w:tc>
        <w:tc>
          <w:tcPr>
            <w:tcW w:w="7796" w:type="dxa"/>
          </w:tcPr>
          <w:p w14:paraId="0BF51E05" w14:textId="66A978AB" w:rsidR="00711298" w:rsidRPr="00C9343F" w:rsidRDefault="00711298" w:rsidP="00F66D98">
            <w:pPr>
              <w:pStyle w:val="BlockText-Plain"/>
            </w:pPr>
            <w:r w:rsidRPr="00C9343F">
              <w:rPr>
                <w:iCs/>
              </w:rPr>
              <w:t>Additional recreation leave for non-warlike service under Chapter 17 Part 7 Division 3.</w:t>
            </w:r>
          </w:p>
        </w:tc>
      </w:tr>
      <w:tr w:rsidR="00711298" w:rsidRPr="00C9343F" w14:paraId="2BD912A7" w14:textId="77777777" w:rsidTr="00927540">
        <w:trPr>
          <w:cantSplit/>
        </w:trPr>
        <w:tc>
          <w:tcPr>
            <w:tcW w:w="992" w:type="dxa"/>
          </w:tcPr>
          <w:p w14:paraId="2D286714" w14:textId="77777777" w:rsidR="00711298" w:rsidRPr="00C9343F" w:rsidRDefault="00711298" w:rsidP="00F66D98">
            <w:pPr>
              <w:pStyle w:val="BlockText-Plain"/>
            </w:pPr>
          </w:p>
        </w:tc>
        <w:tc>
          <w:tcPr>
            <w:tcW w:w="567" w:type="dxa"/>
          </w:tcPr>
          <w:p w14:paraId="02074562" w14:textId="77777777" w:rsidR="00711298" w:rsidRPr="00C9343F" w:rsidRDefault="00711298" w:rsidP="005849DD">
            <w:pPr>
              <w:pStyle w:val="BlockText-Plain"/>
              <w:jc w:val="center"/>
            </w:pPr>
            <w:r w:rsidRPr="00C9343F">
              <w:t>d.</w:t>
            </w:r>
          </w:p>
        </w:tc>
        <w:tc>
          <w:tcPr>
            <w:tcW w:w="7796" w:type="dxa"/>
          </w:tcPr>
          <w:p w14:paraId="74A2FD37" w14:textId="6F5B7571" w:rsidR="00711298" w:rsidRPr="00C9343F" w:rsidRDefault="00711298" w:rsidP="00F66D98">
            <w:pPr>
              <w:pStyle w:val="BlockText-Plain"/>
            </w:pPr>
            <w:r w:rsidRPr="00C9343F">
              <w:rPr>
                <w:iCs/>
              </w:rPr>
              <w:t>Extra recreation leave for arduous or prolonged duty under Part 4 Division 4.</w:t>
            </w:r>
          </w:p>
        </w:tc>
      </w:tr>
      <w:tr w:rsidR="008B4402" w:rsidRPr="00C9343F" w14:paraId="084AFA86" w14:textId="77777777" w:rsidTr="00927540">
        <w:tc>
          <w:tcPr>
            <w:tcW w:w="992" w:type="dxa"/>
          </w:tcPr>
          <w:p w14:paraId="34F88D9B" w14:textId="77777777" w:rsidR="008B4402" w:rsidRPr="00C9343F" w:rsidRDefault="008B4402" w:rsidP="00F66D98">
            <w:pPr>
              <w:pStyle w:val="BlockText-Plain"/>
              <w:jc w:val="center"/>
            </w:pPr>
            <w:r w:rsidRPr="00C9343F">
              <w:t>3.</w:t>
            </w:r>
          </w:p>
        </w:tc>
        <w:tc>
          <w:tcPr>
            <w:tcW w:w="8363" w:type="dxa"/>
            <w:gridSpan w:val="2"/>
          </w:tcPr>
          <w:p w14:paraId="1BE7022B" w14:textId="121AB06C" w:rsidR="008B4402" w:rsidRPr="00C9343F" w:rsidRDefault="008B4402" w:rsidP="00F66D98">
            <w:pPr>
              <w:pStyle w:val="BlockText-Plain"/>
            </w:pPr>
            <w:r w:rsidRPr="00C9343F">
              <w:t>If eligible, the member may continue to accrue additional recreation leave</w:t>
            </w:r>
            <w:r w:rsidR="00582E1C" w:rsidRPr="00C9343F">
              <w:t xml:space="preserve"> under Part 4 Division 3</w:t>
            </w:r>
            <w:r w:rsidRPr="00C9343F">
              <w:t xml:space="preserve"> for sea, field or flying service. </w:t>
            </w:r>
          </w:p>
        </w:tc>
      </w:tr>
    </w:tbl>
    <w:p w14:paraId="3F79A46C" w14:textId="119CAC8E" w:rsidR="008B4402" w:rsidRPr="00C9343F" w:rsidRDefault="008B4402" w:rsidP="00F66D98">
      <w:pPr>
        <w:pStyle w:val="Heading5"/>
      </w:pPr>
      <w:bookmarkStart w:id="1830" w:name="_Toc105054118"/>
      <w:bookmarkStart w:id="1831" w:name="bk115510566Debitingleavecredit"/>
      <w:r w:rsidRPr="00C9343F">
        <w:t>5.8.7</w:t>
      </w:r>
      <w:r w:rsidR="00D94006" w:rsidRPr="00C9343F">
        <w:t>    </w:t>
      </w:r>
      <w:r w:rsidRPr="00C9343F">
        <w:t>Debiting leave credit</w:t>
      </w:r>
      <w:bookmarkEnd w:id="1830"/>
    </w:p>
    <w:tbl>
      <w:tblPr>
        <w:tblW w:w="0" w:type="auto"/>
        <w:tblInd w:w="113" w:type="dxa"/>
        <w:tblLayout w:type="fixed"/>
        <w:tblLook w:val="0000" w:firstRow="0" w:lastRow="0" w:firstColumn="0" w:lastColumn="0" w:noHBand="0" w:noVBand="0"/>
      </w:tblPr>
      <w:tblGrid>
        <w:gridCol w:w="992"/>
        <w:gridCol w:w="8363"/>
      </w:tblGrid>
      <w:tr w:rsidR="008B4402" w:rsidRPr="00C9343F" w14:paraId="46CB6A29" w14:textId="77777777" w:rsidTr="008B4402">
        <w:tc>
          <w:tcPr>
            <w:tcW w:w="992" w:type="dxa"/>
          </w:tcPr>
          <w:bookmarkEnd w:id="1827"/>
          <w:bookmarkEnd w:id="1828"/>
          <w:bookmarkEnd w:id="1829"/>
          <w:bookmarkEnd w:id="1831"/>
          <w:p w14:paraId="38A5907C" w14:textId="77777777" w:rsidR="008B4402" w:rsidRPr="00C9343F" w:rsidRDefault="008B4402" w:rsidP="00F66D98">
            <w:pPr>
              <w:pStyle w:val="BlockText-Plain"/>
              <w:jc w:val="center"/>
            </w:pPr>
            <w:r w:rsidRPr="00C9343F">
              <w:t>1.</w:t>
            </w:r>
          </w:p>
        </w:tc>
        <w:tc>
          <w:tcPr>
            <w:tcW w:w="8363" w:type="dxa"/>
          </w:tcPr>
          <w:p w14:paraId="42A4C94D" w14:textId="77777777" w:rsidR="008B4402" w:rsidRPr="00C9343F" w:rsidRDefault="008B4402" w:rsidP="00F66D98">
            <w:pPr>
              <w:pStyle w:val="BlockText-Plain"/>
            </w:pPr>
            <w:r w:rsidRPr="00C9343F">
              <w:t xml:space="preserve">At the end of a period of war service leave, a member’s war service leave credit must be reduced by the number of days of leave granted. </w:t>
            </w:r>
            <w:r w:rsidR="00472C73" w:rsidRPr="00C9343F">
              <w:rPr>
                <w:iCs/>
              </w:rPr>
              <w:t>Weekends, public holidays and nonworking periods</w:t>
            </w:r>
            <w:r w:rsidR="00472C73" w:rsidRPr="00C9343F">
              <w:t xml:space="preserve"> </w:t>
            </w:r>
            <w:r w:rsidRPr="00C9343F">
              <w:t>are not counted.</w:t>
            </w:r>
          </w:p>
        </w:tc>
      </w:tr>
      <w:tr w:rsidR="008B4402" w:rsidRPr="00C9343F" w14:paraId="00D66B51" w14:textId="77777777" w:rsidTr="008B4402">
        <w:tc>
          <w:tcPr>
            <w:tcW w:w="992" w:type="dxa"/>
          </w:tcPr>
          <w:p w14:paraId="04B482E9" w14:textId="77777777" w:rsidR="008B4402" w:rsidRPr="00C9343F" w:rsidRDefault="008B4402" w:rsidP="00F66D98">
            <w:pPr>
              <w:pStyle w:val="BlockText-Plain"/>
              <w:jc w:val="center"/>
            </w:pPr>
            <w:r w:rsidRPr="00C9343F">
              <w:t>2.</w:t>
            </w:r>
          </w:p>
        </w:tc>
        <w:tc>
          <w:tcPr>
            <w:tcW w:w="8363" w:type="dxa"/>
          </w:tcPr>
          <w:p w14:paraId="1C0EDA39" w14:textId="77777777" w:rsidR="008B4402" w:rsidRPr="00C9343F" w:rsidRDefault="008B4402" w:rsidP="00F66D98">
            <w:pPr>
              <w:pStyle w:val="BlockText-Plain"/>
            </w:pPr>
            <w:r w:rsidRPr="00C9343F">
              <w:t>If the member takes payment instead of leave under section 5.8.9, their war service leave credit reduces by the number of days they took pay for instead of leave.</w:t>
            </w:r>
          </w:p>
        </w:tc>
      </w:tr>
      <w:tr w:rsidR="008B4402" w:rsidRPr="00C9343F" w14:paraId="6EC9EB4B" w14:textId="77777777" w:rsidTr="008B4402">
        <w:tc>
          <w:tcPr>
            <w:tcW w:w="992" w:type="dxa"/>
          </w:tcPr>
          <w:p w14:paraId="3CDFB527" w14:textId="77777777" w:rsidR="008B4402" w:rsidRPr="00C9343F" w:rsidRDefault="008B4402" w:rsidP="00F66D98">
            <w:pPr>
              <w:pStyle w:val="BlockText-Plain"/>
              <w:jc w:val="center"/>
            </w:pPr>
            <w:r w:rsidRPr="00C9343F">
              <w:t>3.</w:t>
            </w:r>
          </w:p>
        </w:tc>
        <w:tc>
          <w:tcPr>
            <w:tcW w:w="8363" w:type="dxa"/>
          </w:tcPr>
          <w:p w14:paraId="365ED2CE" w14:textId="42930A2E" w:rsidR="008B4402" w:rsidRPr="00C9343F" w:rsidRDefault="008B4402" w:rsidP="00F66D98">
            <w:pPr>
              <w:pStyle w:val="BlockText-Plain"/>
            </w:pPr>
            <w:r w:rsidRPr="00C9343F">
              <w:t>If a member has a part-day of war service leave credit, it can be combined with a part day of recreation leave credit in order to provide the member with a whole day of leave credit to take.</w:t>
            </w:r>
          </w:p>
        </w:tc>
      </w:tr>
    </w:tbl>
    <w:p w14:paraId="6F202ECE" w14:textId="1C3BA0FA" w:rsidR="008B4402" w:rsidRPr="00C9343F" w:rsidRDefault="008B4402" w:rsidP="00F66D98">
      <w:pPr>
        <w:pStyle w:val="Heading5"/>
      </w:pPr>
      <w:bookmarkStart w:id="1832" w:name="_Toc105054119"/>
      <w:bookmarkStart w:id="1833" w:name="bk33726PM568Paymentinsteadofleave"/>
      <w:bookmarkStart w:id="1834" w:name="bk91645AM568Paymentinsteadofleave"/>
      <w:bookmarkStart w:id="1835" w:name="bk112142568Paymentinsteadofleave"/>
      <w:bookmarkStart w:id="1836" w:name="bk115510568Paymentinsteadofleave"/>
      <w:r w:rsidRPr="00C9343F">
        <w:t>5.8.9</w:t>
      </w:r>
      <w:r w:rsidR="00D94006" w:rsidRPr="00C9343F">
        <w:t>    </w:t>
      </w:r>
      <w:r w:rsidRPr="00C9343F">
        <w:t xml:space="preserve">Payment instead of leave </w:t>
      </w:r>
      <w:r w:rsidRPr="00C9343F">
        <w:rPr>
          <w:rFonts w:cs="Arial"/>
        </w:rPr>
        <w:t>—</w:t>
      </w:r>
      <w:r w:rsidRPr="00C9343F">
        <w:t xml:space="preserve"> during ADF service</w:t>
      </w:r>
      <w:bookmarkEnd w:id="1832"/>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30124CA7" w14:textId="77777777" w:rsidTr="003C090B">
        <w:tc>
          <w:tcPr>
            <w:tcW w:w="992" w:type="dxa"/>
          </w:tcPr>
          <w:p w14:paraId="40B0895A" w14:textId="77777777" w:rsidR="008B4402" w:rsidRPr="00C9343F" w:rsidRDefault="008B4402" w:rsidP="00F66D98">
            <w:pPr>
              <w:pStyle w:val="BlockText-Plain"/>
              <w:jc w:val="center"/>
            </w:pPr>
            <w:r w:rsidRPr="00C9343F">
              <w:t>1.</w:t>
            </w:r>
          </w:p>
        </w:tc>
        <w:tc>
          <w:tcPr>
            <w:tcW w:w="8363" w:type="dxa"/>
            <w:gridSpan w:val="2"/>
          </w:tcPr>
          <w:p w14:paraId="4F92068E" w14:textId="77777777" w:rsidR="008B4402" w:rsidRPr="00C9343F" w:rsidRDefault="008B4402" w:rsidP="00F66D98">
            <w:pPr>
              <w:pStyle w:val="BlockText-Plain"/>
            </w:pPr>
            <w:r w:rsidRPr="00C9343F">
              <w:t>The CDF may approve payment instead of war service leave to a member who meets both the following conditions.</w:t>
            </w:r>
          </w:p>
        </w:tc>
      </w:tr>
      <w:tr w:rsidR="008B4402" w:rsidRPr="00C9343F" w14:paraId="241CE109" w14:textId="77777777" w:rsidTr="003C090B">
        <w:trPr>
          <w:cantSplit/>
        </w:trPr>
        <w:tc>
          <w:tcPr>
            <w:tcW w:w="992" w:type="dxa"/>
          </w:tcPr>
          <w:p w14:paraId="49137F0E" w14:textId="77777777" w:rsidR="008B4402" w:rsidRPr="00C9343F" w:rsidRDefault="008B4402" w:rsidP="00F66D98">
            <w:pPr>
              <w:pStyle w:val="BlockText-Plain"/>
            </w:pPr>
          </w:p>
        </w:tc>
        <w:tc>
          <w:tcPr>
            <w:tcW w:w="567" w:type="dxa"/>
          </w:tcPr>
          <w:p w14:paraId="0BFE1481" w14:textId="77777777" w:rsidR="008B4402" w:rsidRPr="00C9343F" w:rsidRDefault="008B4402" w:rsidP="005849DD">
            <w:pPr>
              <w:pStyle w:val="BlockText-Plain"/>
              <w:jc w:val="center"/>
            </w:pPr>
            <w:r w:rsidRPr="00C9343F">
              <w:t>a.</w:t>
            </w:r>
          </w:p>
        </w:tc>
        <w:tc>
          <w:tcPr>
            <w:tcW w:w="7796" w:type="dxa"/>
          </w:tcPr>
          <w:p w14:paraId="2D65593A" w14:textId="77777777" w:rsidR="008B4402" w:rsidRPr="00C9343F" w:rsidRDefault="008B4402" w:rsidP="00F66D98">
            <w:pPr>
              <w:pStyle w:val="BlockText-Plain"/>
            </w:pPr>
            <w:r w:rsidRPr="00C9343F">
              <w:t>The member is not permitted to take the leave for Service reasons.</w:t>
            </w:r>
          </w:p>
        </w:tc>
      </w:tr>
      <w:tr w:rsidR="008B4402" w:rsidRPr="00C9343F" w14:paraId="670A9075" w14:textId="77777777" w:rsidTr="003C090B">
        <w:trPr>
          <w:cantSplit/>
        </w:trPr>
        <w:tc>
          <w:tcPr>
            <w:tcW w:w="992" w:type="dxa"/>
          </w:tcPr>
          <w:p w14:paraId="02F1DD61" w14:textId="77777777" w:rsidR="008B4402" w:rsidRPr="00C9343F" w:rsidRDefault="008B4402" w:rsidP="00F66D98">
            <w:pPr>
              <w:pStyle w:val="BlockText-Plain"/>
            </w:pPr>
          </w:p>
        </w:tc>
        <w:tc>
          <w:tcPr>
            <w:tcW w:w="567" w:type="dxa"/>
          </w:tcPr>
          <w:p w14:paraId="13C6942E" w14:textId="77777777" w:rsidR="008B4402" w:rsidRPr="00C9343F" w:rsidRDefault="008B4402" w:rsidP="005849DD">
            <w:pPr>
              <w:pStyle w:val="BlockText-Plain"/>
              <w:jc w:val="center"/>
            </w:pPr>
            <w:r w:rsidRPr="00C9343F">
              <w:t>b.</w:t>
            </w:r>
          </w:p>
        </w:tc>
        <w:tc>
          <w:tcPr>
            <w:tcW w:w="7796" w:type="dxa"/>
          </w:tcPr>
          <w:p w14:paraId="442F5632" w14:textId="77777777" w:rsidR="008B4402" w:rsidRPr="00C9343F" w:rsidRDefault="008B4402" w:rsidP="00F66D98">
            <w:pPr>
              <w:pStyle w:val="BlockText-Plain"/>
            </w:pPr>
            <w:r w:rsidRPr="00C9343F">
              <w:t>The member applies for payment instead of leave.</w:t>
            </w:r>
          </w:p>
        </w:tc>
      </w:tr>
      <w:tr w:rsidR="003C090B" w:rsidRPr="00C9343F" w14:paraId="5956C29D" w14:textId="77777777" w:rsidTr="003C090B">
        <w:tc>
          <w:tcPr>
            <w:tcW w:w="992" w:type="dxa"/>
          </w:tcPr>
          <w:p w14:paraId="1B54BF9C" w14:textId="77777777" w:rsidR="003C090B" w:rsidRPr="00C9343F" w:rsidRDefault="003C090B" w:rsidP="00F66D98">
            <w:pPr>
              <w:pStyle w:val="BlockText-Plain"/>
              <w:jc w:val="center"/>
            </w:pPr>
            <w:r w:rsidRPr="00C9343F">
              <w:t>2.</w:t>
            </w:r>
          </w:p>
        </w:tc>
        <w:tc>
          <w:tcPr>
            <w:tcW w:w="8363" w:type="dxa"/>
            <w:gridSpan w:val="2"/>
          </w:tcPr>
          <w:p w14:paraId="1D4774C1" w14:textId="7EF265E5" w:rsidR="003C090B" w:rsidRPr="00C9343F" w:rsidRDefault="003C090B" w:rsidP="00F66D98">
            <w:pPr>
              <w:pStyle w:val="BlockText-Plain"/>
            </w:pPr>
            <w:r w:rsidRPr="00C9343F">
              <w:t>If payment instead of war service leave is approved under subsection 1, for each period in an item in column A of the following table the member is eligible for the amount in column B of the same item.</w:t>
            </w:r>
          </w:p>
        </w:tc>
      </w:tr>
    </w:tbl>
    <w:p w14:paraId="38B13099" w14:textId="77777777" w:rsidR="003C090B" w:rsidRPr="00C9343F" w:rsidRDefault="003C090B" w:rsidP="00F66D98"/>
    <w:tbl>
      <w:tblPr>
        <w:tblW w:w="8402" w:type="dxa"/>
        <w:tblInd w:w="1053" w:type="dxa"/>
        <w:tblLayout w:type="fixed"/>
        <w:tblCellMar>
          <w:left w:w="56" w:type="dxa"/>
          <w:right w:w="56" w:type="dxa"/>
        </w:tblCellMar>
        <w:tblLook w:val="0000" w:firstRow="0" w:lastRow="0" w:firstColumn="0" w:lastColumn="0" w:noHBand="0" w:noVBand="0"/>
      </w:tblPr>
      <w:tblGrid>
        <w:gridCol w:w="567"/>
        <w:gridCol w:w="3917"/>
        <w:gridCol w:w="3918"/>
      </w:tblGrid>
      <w:tr w:rsidR="003C090B" w:rsidRPr="00C9343F" w14:paraId="165CD583" w14:textId="77777777" w:rsidTr="006E5056">
        <w:trPr>
          <w:cantSplit/>
        </w:trPr>
        <w:tc>
          <w:tcPr>
            <w:tcW w:w="567" w:type="dxa"/>
            <w:tcBorders>
              <w:top w:val="single" w:sz="6" w:space="0" w:color="auto"/>
              <w:left w:val="single" w:sz="6" w:space="0" w:color="auto"/>
              <w:bottom w:val="single" w:sz="6" w:space="0" w:color="auto"/>
              <w:right w:val="single" w:sz="6" w:space="0" w:color="auto"/>
            </w:tcBorders>
          </w:tcPr>
          <w:p w14:paraId="00A23CBF" w14:textId="77777777" w:rsidR="003C090B" w:rsidRPr="00C9343F" w:rsidRDefault="003C090B" w:rsidP="00F66D98">
            <w:pPr>
              <w:pStyle w:val="TableHeaderArial"/>
              <w:jc w:val="right"/>
            </w:pPr>
            <w:r w:rsidRPr="00C9343F">
              <w:t>Item</w:t>
            </w:r>
          </w:p>
        </w:tc>
        <w:tc>
          <w:tcPr>
            <w:tcW w:w="3917" w:type="dxa"/>
            <w:tcBorders>
              <w:top w:val="single" w:sz="6" w:space="0" w:color="auto"/>
              <w:left w:val="single" w:sz="6" w:space="0" w:color="auto"/>
              <w:bottom w:val="single" w:sz="6" w:space="0" w:color="auto"/>
              <w:right w:val="single" w:sz="6" w:space="0" w:color="auto"/>
            </w:tcBorders>
          </w:tcPr>
          <w:p w14:paraId="6B0112B9" w14:textId="77777777" w:rsidR="003C090B" w:rsidRPr="00C9343F" w:rsidRDefault="003C090B" w:rsidP="00F66D98">
            <w:pPr>
              <w:pStyle w:val="TableHeaderArial"/>
            </w:pPr>
            <w:r w:rsidRPr="00C9343F">
              <w:t>Column A</w:t>
            </w:r>
          </w:p>
          <w:p w14:paraId="23382AE9" w14:textId="77777777" w:rsidR="003C090B" w:rsidRPr="00C9343F" w:rsidRDefault="003C090B" w:rsidP="00F66D98">
            <w:pPr>
              <w:pStyle w:val="TableHeaderArial"/>
            </w:pPr>
            <w:r w:rsidRPr="00C9343F">
              <w:t>Period</w:t>
            </w:r>
          </w:p>
        </w:tc>
        <w:tc>
          <w:tcPr>
            <w:tcW w:w="3918" w:type="dxa"/>
            <w:tcBorders>
              <w:top w:val="single" w:sz="6" w:space="0" w:color="auto"/>
              <w:left w:val="single" w:sz="6" w:space="0" w:color="auto"/>
              <w:bottom w:val="single" w:sz="6" w:space="0" w:color="auto"/>
              <w:right w:val="single" w:sz="6" w:space="0" w:color="auto"/>
            </w:tcBorders>
          </w:tcPr>
          <w:p w14:paraId="3CD2FAA5" w14:textId="77777777" w:rsidR="003C090B" w:rsidRPr="00C9343F" w:rsidRDefault="003C090B" w:rsidP="00F66D98">
            <w:pPr>
              <w:pStyle w:val="TableHeaderArial"/>
            </w:pPr>
            <w:r w:rsidRPr="00C9343F">
              <w:t>Column B</w:t>
            </w:r>
          </w:p>
          <w:p w14:paraId="04E66928" w14:textId="77777777" w:rsidR="003C090B" w:rsidRPr="00C9343F" w:rsidRDefault="003C090B" w:rsidP="00F66D98">
            <w:pPr>
              <w:pStyle w:val="TableHeaderArial"/>
            </w:pPr>
            <w:r w:rsidRPr="00C9343F">
              <w:t>Amount to be paid</w:t>
            </w:r>
          </w:p>
        </w:tc>
      </w:tr>
      <w:tr w:rsidR="003C090B" w:rsidRPr="00C9343F" w14:paraId="4950E8F4" w14:textId="77777777" w:rsidTr="006E5056">
        <w:trPr>
          <w:cantSplit/>
        </w:trPr>
        <w:tc>
          <w:tcPr>
            <w:tcW w:w="567" w:type="dxa"/>
            <w:tcBorders>
              <w:top w:val="single" w:sz="6" w:space="0" w:color="auto"/>
              <w:left w:val="single" w:sz="6" w:space="0" w:color="auto"/>
              <w:bottom w:val="single" w:sz="6" w:space="0" w:color="auto"/>
              <w:right w:val="single" w:sz="6" w:space="0" w:color="auto"/>
            </w:tcBorders>
          </w:tcPr>
          <w:p w14:paraId="0277BBFD" w14:textId="77777777" w:rsidR="003C090B" w:rsidRPr="00C9343F" w:rsidRDefault="003C090B" w:rsidP="00F66D98">
            <w:pPr>
              <w:pStyle w:val="TableTextArial-left"/>
              <w:jc w:val="center"/>
            </w:pPr>
            <w:r w:rsidRPr="00C9343F">
              <w:t>1.</w:t>
            </w:r>
          </w:p>
        </w:tc>
        <w:tc>
          <w:tcPr>
            <w:tcW w:w="3917" w:type="dxa"/>
            <w:tcBorders>
              <w:top w:val="single" w:sz="6" w:space="0" w:color="auto"/>
              <w:left w:val="single" w:sz="6" w:space="0" w:color="auto"/>
              <w:bottom w:val="single" w:sz="6" w:space="0" w:color="auto"/>
              <w:right w:val="single" w:sz="6" w:space="0" w:color="auto"/>
            </w:tcBorders>
          </w:tcPr>
          <w:p w14:paraId="467391A1" w14:textId="77777777" w:rsidR="003C090B" w:rsidRPr="00C9343F" w:rsidRDefault="003C090B" w:rsidP="00F66D98">
            <w:pPr>
              <w:pStyle w:val="TableTextArial-left"/>
            </w:pPr>
            <w:r w:rsidRPr="00C9343F">
              <w:t>For every 5 days of war service leave credit.</w:t>
            </w:r>
          </w:p>
        </w:tc>
        <w:tc>
          <w:tcPr>
            <w:tcW w:w="3918" w:type="dxa"/>
            <w:tcBorders>
              <w:top w:val="single" w:sz="6" w:space="0" w:color="auto"/>
              <w:left w:val="single" w:sz="6" w:space="0" w:color="auto"/>
              <w:bottom w:val="single" w:sz="6" w:space="0" w:color="auto"/>
              <w:right w:val="single" w:sz="6" w:space="0" w:color="auto"/>
            </w:tcBorders>
          </w:tcPr>
          <w:p w14:paraId="5AA6BA96" w14:textId="77777777" w:rsidR="003C090B" w:rsidRPr="00C9343F" w:rsidRDefault="003C090B" w:rsidP="00F66D98">
            <w:pPr>
              <w:pStyle w:val="TableTextArial-left"/>
            </w:pPr>
            <w:r w:rsidRPr="00C9343F">
              <w:t>Seven days of salary and allowances payable under sections 5.4.36 and 5.4.37.</w:t>
            </w:r>
          </w:p>
        </w:tc>
      </w:tr>
      <w:tr w:rsidR="003C090B" w:rsidRPr="00C9343F" w14:paraId="5D29FF01" w14:textId="77777777" w:rsidTr="006E5056">
        <w:trPr>
          <w:cantSplit/>
        </w:trPr>
        <w:tc>
          <w:tcPr>
            <w:tcW w:w="567" w:type="dxa"/>
            <w:tcBorders>
              <w:top w:val="single" w:sz="6" w:space="0" w:color="auto"/>
              <w:left w:val="single" w:sz="6" w:space="0" w:color="auto"/>
              <w:bottom w:val="single" w:sz="6" w:space="0" w:color="auto"/>
              <w:right w:val="single" w:sz="6" w:space="0" w:color="auto"/>
            </w:tcBorders>
          </w:tcPr>
          <w:p w14:paraId="4005B806" w14:textId="77777777" w:rsidR="003C090B" w:rsidRPr="00C9343F" w:rsidRDefault="003C090B" w:rsidP="00F66D98">
            <w:pPr>
              <w:pStyle w:val="TableTextArial-left"/>
              <w:jc w:val="center"/>
            </w:pPr>
            <w:r w:rsidRPr="00C9343F">
              <w:t>2.</w:t>
            </w:r>
          </w:p>
        </w:tc>
        <w:tc>
          <w:tcPr>
            <w:tcW w:w="3917" w:type="dxa"/>
            <w:tcBorders>
              <w:top w:val="single" w:sz="6" w:space="0" w:color="auto"/>
              <w:left w:val="single" w:sz="6" w:space="0" w:color="auto"/>
              <w:bottom w:val="single" w:sz="6" w:space="0" w:color="auto"/>
              <w:right w:val="single" w:sz="6" w:space="0" w:color="auto"/>
            </w:tcBorders>
          </w:tcPr>
          <w:p w14:paraId="3671A0C9" w14:textId="77777777" w:rsidR="003C090B" w:rsidRPr="00C9343F" w:rsidRDefault="003C090B" w:rsidP="00F66D98">
            <w:pPr>
              <w:pStyle w:val="TableTextArial-left"/>
            </w:pPr>
            <w:r w:rsidRPr="00C9343F">
              <w:t>For every remaining whole day of war service leave credit.</w:t>
            </w:r>
          </w:p>
        </w:tc>
        <w:tc>
          <w:tcPr>
            <w:tcW w:w="3918" w:type="dxa"/>
            <w:tcBorders>
              <w:top w:val="single" w:sz="6" w:space="0" w:color="auto"/>
              <w:left w:val="single" w:sz="6" w:space="0" w:color="auto"/>
              <w:bottom w:val="single" w:sz="6" w:space="0" w:color="auto"/>
              <w:right w:val="single" w:sz="6" w:space="0" w:color="auto"/>
            </w:tcBorders>
          </w:tcPr>
          <w:p w14:paraId="40321A5C" w14:textId="77777777" w:rsidR="003C090B" w:rsidRPr="00C9343F" w:rsidRDefault="003C090B" w:rsidP="00F66D98">
            <w:pPr>
              <w:pStyle w:val="TableTextArial-left"/>
            </w:pPr>
            <w:r w:rsidRPr="00C9343F">
              <w:t>One day of salary and allowances payable under sections 5.4.36 and 5.4.37.</w:t>
            </w:r>
          </w:p>
        </w:tc>
      </w:tr>
    </w:tbl>
    <w:p w14:paraId="19866131" w14:textId="1F06C4ED" w:rsidR="00CC1ED0" w:rsidRPr="00C9343F" w:rsidRDefault="00CC1ED0" w:rsidP="00F66D98">
      <w:pPr>
        <w:rPr>
          <w:sz w:val="20"/>
        </w:rPr>
      </w:pPr>
    </w:p>
    <w:p w14:paraId="0EA29A9D" w14:textId="00A31E96" w:rsidR="008B4402" w:rsidRPr="00C9343F" w:rsidRDefault="008B4402" w:rsidP="00F66D98">
      <w:pPr>
        <w:pStyle w:val="Heading5"/>
      </w:pPr>
      <w:bookmarkStart w:id="1837" w:name="_Toc105054120"/>
      <w:r w:rsidRPr="00C9343F">
        <w:t>5.8.10</w:t>
      </w:r>
      <w:r w:rsidR="00D94006" w:rsidRPr="00C9343F">
        <w:t>    </w:t>
      </w:r>
      <w:r w:rsidRPr="00C9343F">
        <w:t xml:space="preserve">Payment instead of leave </w:t>
      </w:r>
      <w:r w:rsidRPr="00C9343F">
        <w:rPr>
          <w:rFonts w:cs="Arial"/>
        </w:rPr>
        <w:t>—</w:t>
      </w:r>
      <w:r w:rsidRPr="00C9343F">
        <w:t xml:space="preserve"> leaving continuous full-time service</w:t>
      </w:r>
      <w:bookmarkEnd w:id="1837"/>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590A8CE1" w14:textId="77777777" w:rsidTr="00427BF8">
        <w:tc>
          <w:tcPr>
            <w:tcW w:w="992" w:type="dxa"/>
          </w:tcPr>
          <w:p w14:paraId="0F122013" w14:textId="77777777" w:rsidR="008B4402" w:rsidRPr="00C9343F" w:rsidRDefault="008B4402" w:rsidP="00F66D98">
            <w:pPr>
              <w:pStyle w:val="BlockText-Plain"/>
              <w:jc w:val="center"/>
            </w:pPr>
            <w:r w:rsidRPr="00C9343F">
              <w:t>1.</w:t>
            </w:r>
          </w:p>
        </w:tc>
        <w:tc>
          <w:tcPr>
            <w:tcW w:w="8363" w:type="dxa"/>
            <w:gridSpan w:val="2"/>
          </w:tcPr>
          <w:p w14:paraId="456544BB" w14:textId="77777777" w:rsidR="008B4402" w:rsidRPr="00C9343F" w:rsidRDefault="008B4402" w:rsidP="00F66D98">
            <w:pPr>
              <w:pStyle w:val="BlockText-Plain"/>
            </w:pPr>
            <w:r w:rsidRPr="00C9343F">
              <w:t>A member must be paid an amount instead of their war service leave credit in the following situations.</w:t>
            </w:r>
          </w:p>
        </w:tc>
      </w:tr>
      <w:tr w:rsidR="008B4402" w:rsidRPr="00C9343F" w14:paraId="42801FEB" w14:textId="77777777" w:rsidTr="00427BF8">
        <w:trPr>
          <w:cantSplit/>
        </w:trPr>
        <w:tc>
          <w:tcPr>
            <w:tcW w:w="992" w:type="dxa"/>
          </w:tcPr>
          <w:p w14:paraId="04CB7081" w14:textId="77777777" w:rsidR="008B4402" w:rsidRPr="00C9343F" w:rsidRDefault="008B4402" w:rsidP="00F66D98">
            <w:pPr>
              <w:pStyle w:val="BlockText-Plain"/>
            </w:pPr>
          </w:p>
        </w:tc>
        <w:tc>
          <w:tcPr>
            <w:tcW w:w="567" w:type="dxa"/>
          </w:tcPr>
          <w:p w14:paraId="0BA7B366" w14:textId="77777777" w:rsidR="008B4402" w:rsidRPr="00C9343F" w:rsidRDefault="008B4402" w:rsidP="005849DD">
            <w:pPr>
              <w:pStyle w:val="BlockText-Plain"/>
              <w:jc w:val="center"/>
            </w:pPr>
            <w:r w:rsidRPr="00C9343F">
              <w:t>a.</w:t>
            </w:r>
          </w:p>
        </w:tc>
        <w:tc>
          <w:tcPr>
            <w:tcW w:w="7796" w:type="dxa"/>
          </w:tcPr>
          <w:p w14:paraId="1D5E3767" w14:textId="5A14CB39" w:rsidR="008B4402" w:rsidRPr="00C9343F" w:rsidRDefault="008B4402" w:rsidP="00F66D98">
            <w:pPr>
              <w:pStyle w:val="BlockText-Plain"/>
            </w:pPr>
            <w:r w:rsidRPr="00C9343F">
              <w:t>The member leaves the Permanent Forces.</w:t>
            </w:r>
          </w:p>
        </w:tc>
      </w:tr>
      <w:tr w:rsidR="008B4402" w:rsidRPr="00C9343F" w14:paraId="510A909E" w14:textId="77777777" w:rsidTr="00427BF8">
        <w:trPr>
          <w:cantSplit/>
        </w:trPr>
        <w:tc>
          <w:tcPr>
            <w:tcW w:w="992" w:type="dxa"/>
          </w:tcPr>
          <w:p w14:paraId="4855485F" w14:textId="77777777" w:rsidR="008B4402" w:rsidRPr="00C9343F" w:rsidRDefault="008B4402" w:rsidP="00F66D98">
            <w:pPr>
              <w:pStyle w:val="BlockText-Plain"/>
            </w:pPr>
          </w:p>
        </w:tc>
        <w:tc>
          <w:tcPr>
            <w:tcW w:w="567" w:type="dxa"/>
          </w:tcPr>
          <w:p w14:paraId="0AC641BA" w14:textId="77777777" w:rsidR="008B4402" w:rsidRPr="00C9343F" w:rsidRDefault="008B4402" w:rsidP="005849DD">
            <w:pPr>
              <w:pStyle w:val="BlockText-Plain"/>
              <w:jc w:val="center"/>
            </w:pPr>
            <w:r w:rsidRPr="00C9343F">
              <w:t>b.</w:t>
            </w:r>
          </w:p>
        </w:tc>
        <w:tc>
          <w:tcPr>
            <w:tcW w:w="7796" w:type="dxa"/>
          </w:tcPr>
          <w:p w14:paraId="72D42E8B" w14:textId="77777777" w:rsidR="008B4402" w:rsidRPr="00C9343F" w:rsidRDefault="008B4402" w:rsidP="00F66D98">
            <w:pPr>
              <w:pStyle w:val="BlockText-Plain"/>
            </w:pPr>
            <w:r w:rsidRPr="00C9343F">
              <w:t xml:space="preserve">The member is a Reserve member and ends a period of </w:t>
            </w:r>
            <w:r w:rsidRPr="00C9343F">
              <w:rPr>
                <w:b/>
                <w:i/>
              </w:rPr>
              <w:t>continuous full-time service</w:t>
            </w:r>
            <w:r w:rsidRPr="00C9343F">
              <w:t>.</w:t>
            </w:r>
          </w:p>
        </w:tc>
      </w:tr>
      <w:tr w:rsidR="008B4402" w:rsidRPr="00C9343F" w14:paraId="65BED5BD" w14:textId="77777777" w:rsidTr="00427BF8">
        <w:tc>
          <w:tcPr>
            <w:tcW w:w="992" w:type="dxa"/>
          </w:tcPr>
          <w:p w14:paraId="11D8A665" w14:textId="77777777" w:rsidR="008B4402" w:rsidRPr="00C9343F" w:rsidRDefault="008B4402" w:rsidP="00F66D98">
            <w:pPr>
              <w:pStyle w:val="BlockText-Plain"/>
              <w:jc w:val="center"/>
            </w:pPr>
            <w:r w:rsidRPr="00C9343F">
              <w:t>2.</w:t>
            </w:r>
          </w:p>
        </w:tc>
        <w:tc>
          <w:tcPr>
            <w:tcW w:w="8363" w:type="dxa"/>
            <w:gridSpan w:val="2"/>
          </w:tcPr>
          <w:p w14:paraId="3F742511" w14:textId="77777777" w:rsidR="008B4402" w:rsidRPr="00C9343F" w:rsidRDefault="008B4402" w:rsidP="00F66D98">
            <w:pPr>
              <w:pStyle w:val="BlockText-Plain"/>
              <w:rPr>
                <w:rFonts w:cs="Arial"/>
                <w:b/>
                <w:bCs/>
              </w:rPr>
            </w:pPr>
            <w:r w:rsidRPr="00C9343F">
              <w:t>Payment instead of war service leave is worked out in accordance with the following table.</w:t>
            </w:r>
          </w:p>
        </w:tc>
      </w:tr>
    </w:tbl>
    <w:p w14:paraId="651AA852" w14:textId="77777777" w:rsidR="008B4402" w:rsidRPr="00C9343F" w:rsidRDefault="008B4402"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3898"/>
        <w:gridCol w:w="3898"/>
      </w:tblGrid>
      <w:tr w:rsidR="008B4402" w:rsidRPr="00C9343F" w14:paraId="0EDD824D"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4AB84ADF" w14:textId="77777777" w:rsidR="008B4402" w:rsidRPr="00C9343F" w:rsidRDefault="008B4402" w:rsidP="00F66D98">
            <w:pPr>
              <w:pStyle w:val="TableHeaderArial"/>
            </w:pPr>
            <w:r w:rsidRPr="00C9343F">
              <w:t>Item</w:t>
            </w:r>
          </w:p>
        </w:tc>
        <w:tc>
          <w:tcPr>
            <w:tcW w:w="3898" w:type="dxa"/>
            <w:tcBorders>
              <w:top w:val="single" w:sz="6" w:space="0" w:color="auto"/>
              <w:left w:val="single" w:sz="6" w:space="0" w:color="auto"/>
              <w:bottom w:val="single" w:sz="6" w:space="0" w:color="auto"/>
              <w:right w:val="single" w:sz="6" w:space="0" w:color="auto"/>
            </w:tcBorders>
          </w:tcPr>
          <w:p w14:paraId="1B1D3B3C" w14:textId="10333124" w:rsidR="008B4402" w:rsidRPr="00C9343F" w:rsidRDefault="008B4402" w:rsidP="00F66D98">
            <w:pPr>
              <w:pStyle w:val="TableHeaderArial"/>
            </w:pPr>
            <w:r w:rsidRPr="00C9343F">
              <w:t>For</w:t>
            </w:r>
            <w:r w:rsidR="00D94006" w:rsidRPr="00C9343F">
              <w:t>    </w:t>
            </w:r>
          </w:p>
        </w:tc>
        <w:tc>
          <w:tcPr>
            <w:tcW w:w="3898" w:type="dxa"/>
            <w:tcBorders>
              <w:top w:val="single" w:sz="6" w:space="0" w:color="auto"/>
              <w:left w:val="single" w:sz="6" w:space="0" w:color="auto"/>
              <w:bottom w:val="single" w:sz="6" w:space="0" w:color="auto"/>
              <w:right w:val="single" w:sz="6" w:space="0" w:color="auto"/>
            </w:tcBorders>
          </w:tcPr>
          <w:p w14:paraId="4B7627B1" w14:textId="359FE7DC" w:rsidR="008B4402" w:rsidRPr="00C9343F" w:rsidRDefault="008B4402" w:rsidP="00F66D98">
            <w:pPr>
              <w:pStyle w:val="TableHeaderArial"/>
            </w:pPr>
            <w:r w:rsidRPr="00C9343F">
              <w:t>the member is paid</w:t>
            </w:r>
            <w:r w:rsidR="00D94006" w:rsidRPr="00C9343F">
              <w:t>    </w:t>
            </w:r>
          </w:p>
        </w:tc>
      </w:tr>
      <w:tr w:rsidR="008B4402" w:rsidRPr="00C9343F" w14:paraId="2E8B1D8C"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62DC8502" w14:textId="77777777" w:rsidR="008B4402" w:rsidRPr="00C9343F" w:rsidRDefault="008B4402" w:rsidP="00F66D98">
            <w:pPr>
              <w:pStyle w:val="TableTextArial-left"/>
              <w:jc w:val="center"/>
            </w:pPr>
            <w:r w:rsidRPr="00C9343F">
              <w:t>1.</w:t>
            </w:r>
          </w:p>
        </w:tc>
        <w:tc>
          <w:tcPr>
            <w:tcW w:w="3898" w:type="dxa"/>
            <w:tcBorders>
              <w:top w:val="single" w:sz="6" w:space="0" w:color="auto"/>
              <w:left w:val="single" w:sz="6" w:space="0" w:color="auto"/>
              <w:bottom w:val="single" w:sz="6" w:space="0" w:color="auto"/>
              <w:right w:val="single" w:sz="6" w:space="0" w:color="auto"/>
            </w:tcBorders>
          </w:tcPr>
          <w:p w14:paraId="40E7910B" w14:textId="77777777" w:rsidR="008B4402" w:rsidRPr="00C9343F" w:rsidRDefault="008B4402" w:rsidP="00F66D98">
            <w:pPr>
              <w:pStyle w:val="TableTextArial-left"/>
            </w:pPr>
            <w:r w:rsidRPr="00C9343F">
              <w:t>every five days of war service leave credit</w:t>
            </w:r>
          </w:p>
        </w:tc>
        <w:tc>
          <w:tcPr>
            <w:tcW w:w="3898" w:type="dxa"/>
            <w:tcBorders>
              <w:top w:val="single" w:sz="6" w:space="0" w:color="auto"/>
              <w:left w:val="single" w:sz="6" w:space="0" w:color="auto"/>
              <w:bottom w:val="single" w:sz="6" w:space="0" w:color="auto"/>
              <w:right w:val="single" w:sz="6" w:space="0" w:color="auto"/>
            </w:tcBorders>
          </w:tcPr>
          <w:p w14:paraId="0EB41B61" w14:textId="77777777" w:rsidR="008B4402" w:rsidRPr="00C9343F" w:rsidRDefault="008B4402" w:rsidP="00F66D98">
            <w:pPr>
              <w:pStyle w:val="TableTextArial-left"/>
            </w:pPr>
            <w:r w:rsidRPr="00C9343F">
              <w:t>for seven days of salary.</w:t>
            </w:r>
          </w:p>
        </w:tc>
      </w:tr>
      <w:tr w:rsidR="008B4402" w:rsidRPr="00C9343F" w14:paraId="3577B9EC"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29F95E60" w14:textId="77777777" w:rsidR="008B4402" w:rsidRPr="00C9343F" w:rsidRDefault="008B4402" w:rsidP="00F66D98">
            <w:pPr>
              <w:pStyle w:val="TableTextArial-left"/>
              <w:jc w:val="center"/>
            </w:pPr>
            <w:r w:rsidRPr="00C9343F">
              <w:t>2.</w:t>
            </w:r>
          </w:p>
        </w:tc>
        <w:tc>
          <w:tcPr>
            <w:tcW w:w="3898" w:type="dxa"/>
            <w:tcBorders>
              <w:top w:val="single" w:sz="6" w:space="0" w:color="auto"/>
              <w:left w:val="single" w:sz="6" w:space="0" w:color="auto"/>
              <w:bottom w:val="single" w:sz="6" w:space="0" w:color="auto"/>
              <w:right w:val="single" w:sz="6" w:space="0" w:color="auto"/>
            </w:tcBorders>
          </w:tcPr>
          <w:p w14:paraId="5EA64C89" w14:textId="77777777" w:rsidR="008B4402" w:rsidRPr="00C9343F" w:rsidRDefault="008B4402" w:rsidP="00F66D98">
            <w:pPr>
              <w:pStyle w:val="TableTextArial-left"/>
            </w:pPr>
            <w:r w:rsidRPr="00C9343F">
              <w:t>every remaining whole day of war service leave credit</w:t>
            </w:r>
          </w:p>
        </w:tc>
        <w:tc>
          <w:tcPr>
            <w:tcW w:w="3898" w:type="dxa"/>
            <w:tcBorders>
              <w:top w:val="single" w:sz="6" w:space="0" w:color="auto"/>
              <w:left w:val="single" w:sz="6" w:space="0" w:color="auto"/>
              <w:bottom w:val="single" w:sz="6" w:space="0" w:color="auto"/>
              <w:right w:val="single" w:sz="6" w:space="0" w:color="auto"/>
            </w:tcBorders>
          </w:tcPr>
          <w:p w14:paraId="2CD2FE6F" w14:textId="77777777" w:rsidR="008B4402" w:rsidRPr="00C9343F" w:rsidRDefault="008B4402" w:rsidP="00F66D98">
            <w:pPr>
              <w:pStyle w:val="TableTextArial-left"/>
            </w:pPr>
            <w:r w:rsidRPr="00C9343F">
              <w:t>for one day of salary.</w:t>
            </w:r>
          </w:p>
        </w:tc>
      </w:tr>
      <w:tr w:rsidR="008B4402" w:rsidRPr="00C9343F" w14:paraId="675C2E65"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4D246528" w14:textId="77777777" w:rsidR="008B4402" w:rsidRPr="00C9343F" w:rsidRDefault="008B4402" w:rsidP="00F66D98">
            <w:pPr>
              <w:pStyle w:val="TableTextArial-left"/>
              <w:jc w:val="center"/>
            </w:pPr>
            <w:r w:rsidRPr="00C9343F">
              <w:t>3.</w:t>
            </w:r>
          </w:p>
        </w:tc>
        <w:tc>
          <w:tcPr>
            <w:tcW w:w="3898" w:type="dxa"/>
            <w:tcBorders>
              <w:top w:val="single" w:sz="6" w:space="0" w:color="auto"/>
              <w:left w:val="single" w:sz="6" w:space="0" w:color="auto"/>
              <w:bottom w:val="single" w:sz="6" w:space="0" w:color="auto"/>
              <w:right w:val="single" w:sz="6" w:space="0" w:color="auto"/>
            </w:tcBorders>
          </w:tcPr>
          <w:p w14:paraId="084981E2" w14:textId="77777777" w:rsidR="008B4402" w:rsidRPr="00C9343F" w:rsidRDefault="008B4402" w:rsidP="00F66D98">
            <w:pPr>
              <w:pStyle w:val="TableTextArial-left"/>
            </w:pPr>
            <w:r w:rsidRPr="00C9343F">
              <w:t>remaining part day of war service leave credit</w:t>
            </w:r>
          </w:p>
        </w:tc>
        <w:tc>
          <w:tcPr>
            <w:tcW w:w="3898" w:type="dxa"/>
            <w:tcBorders>
              <w:top w:val="single" w:sz="6" w:space="0" w:color="auto"/>
              <w:left w:val="single" w:sz="6" w:space="0" w:color="auto"/>
              <w:bottom w:val="single" w:sz="6" w:space="0" w:color="auto"/>
              <w:right w:val="single" w:sz="6" w:space="0" w:color="auto"/>
            </w:tcBorders>
          </w:tcPr>
          <w:p w14:paraId="0708601F" w14:textId="77777777" w:rsidR="008B4402" w:rsidRPr="00C9343F" w:rsidRDefault="008B4402" w:rsidP="00F66D98">
            <w:pPr>
              <w:pStyle w:val="TableTextArial-left"/>
            </w:pPr>
            <w:r w:rsidRPr="00C9343F">
              <w:t>salary for the part of the day.</w:t>
            </w:r>
          </w:p>
        </w:tc>
      </w:tr>
    </w:tbl>
    <w:p w14:paraId="2B51F22F" w14:textId="458DFD4F" w:rsidR="008B4402" w:rsidRPr="00C9343F" w:rsidRDefault="008B4402" w:rsidP="00F66D98">
      <w:pPr>
        <w:pStyle w:val="Heading5"/>
      </w:pPr>
      <w:bookmarkStart w:id="1838" w:name="_Toc105054121"/>
      <w:bookmarkStart w:id="1839" w:name="bk113132AM5413Howtoapplyformaternitylea"/>
      <w:bookmarkStart w:id="1840" w:name="bk33726PM569Howtoapplyforwarserviceleav"/>
      <w:bookmarkStart w:id="1841" w:name="bk91645AM569Howtoapplyforwarserviceleav"/>
      <w:bookmarkStart w:id="1842" w:name="bk112142569Howtoapplyforwarserviceleave"/>
      <w:bookmarkStart w:id="1843" w:name="bk115510569Howtoapplyforwarserviceleave"/>
      <w:bookmarkEnd w:id="1833"/>
      <w:bookmarkEnd w:id="1834"/>
      <w:bookmarkEnd w:id="1835"/>
      <w:bookmarkEnd w:id="1836"/>
      <w:r w:rsidRPr="00C9343F">
        <w:t>5.8.11</w:t>
      </w:r>
      <w:r w:rsidR="00D94006" w:rsidRPr="00C9343F">
        <w:t>    </w:t>
      </w:r>
      <w:r w:rsidRPr="00C9343F">
        <w:t>How to apply for war service leave</w:t>
      </w:r>
      <w:bookmarkEnd w:id="1838"/>
    </w:p>
    <w:bookmarkEnd w:id="1839"/>
    <w:bookmarkEnd w:id="1840"/>
    <w:bookmarkEnd w:id="1841"/>
    <w:bookmarkEnd w:id="1842"/>
    <w:bookmarkEnd w:id="1843"/>
    <w:tbl>
      <w:tblPr>
        <w:tblW w:w="0" w:type="auto"/>
        <w:tblInd w:w="113" w:type="dxa"/>
        <w:tblLayout w:type="fixed"/>
        <w:tblLook w:val="0000" w:firstRow="0" w:lastRow="0" w:firstColumn="0" w:lastColumn="0" w:noHBand="0" w:noVBand="0"/>
      </w:tblPr>
      <w:tblGrid>
        <w:gridCol w:w="992"/>
        <w:gridCol w:w="8363"/>
      </w:tblGrid>
      <w:tr w:rsidR="008B4402" w:rsidRPr="00C9343F" w14:paraId="5DF42E9A" w14:textId="77777777" w:rsidTr="008B4402">
        <w:tc>
          <w:tcPr>
            <w:tcW w:w="992" w:type="dxa"/>
          </w:tcPr>
          <w:p w14:paraId="01C4AE06" w14:textId="77777777" w:rsidR="008B4402" w:rsidRPr="00C9343F" w:rsidRDefault="008B4402" w:rsidP="00F66D98">
            <w:pPr>
              <w:pStyle w:val="BlockText-Plain"/>
              <w:jc w:val="center"/>
            </w:pPr>
          </w:p>
        </w:tc>
        <w:tc>
          <w:tcPr>
            <w:tcW w:w="8363" w:type="dxa"/>
          </w:tcPr>
          <w:p w14:paraId="7154D173" w14:textId="77777777" w:rsidR="008B4402" w:rsidRPr="00C9343F" w:rsidRDefault="00CC1ED0" w:rsidP="00F66D98">
            <w:pPr>
              <w:pStyle w:val="BlockText-Plain"/>
            </w:pPr>
            <w:r w:rsidRPr="00C9343F">
              <w:t>A member must use the approved form to apply for war service leave.</w:t>
            </w:r>
          </w:p>
        </w:tc>
      </w:tr>
    </w:tbl>
    <w:p w14:paraId="7BACA43B" w14:textId="4A6FBBA3" w:rsidR="008B4402" w:rsidRPr="00C9343F" w:rsidRDefault="008B4402" w:rsidP="00130031">
      <w:pPr>
        <w:pStyle w:val="Heading3"/>
        <w:pageBreakBefore/>
      </w:pPr>
      <w:bookmarkStart w:id="1844" w:name="_Toc105054122"/>
      <w:r w:rsidRPr="00C9343F">
        <w:t>Part 9: Other leave with pay</w:t>
      </w:r>
      <w:bookmarkEnd w:id="1844"/>
    </w:p>
    <w:p w14:paraId="2AABD7CE" w14:textId="7170A68B" w:rsidR="008B4402" w:rsidRPr="00C9343F" w:rsidRDefault="008B4402" w:rsidP="00F66D98">
      <w:pPr>
        <w:pStyle w:val="Heading4"/>
      </w:pPr>
      <w:bookmarkStart w:id="1845" w:name="_Toc105054123"/>
      <w:r w:rsidRPr="00C9343F">
        <w:t xml:space="preserve">Division 1: </w:t>
      </w:r>
      <w:r w:rsidR="00427BF8" w:rsidRPr="00C9343F">
        <w:t>General provisions</w:t>
      </w:r>
      <w:bookmarkEnd w:id="1845"/>
    </w:p>
    <w:p w14:paraId="1D82B16F" w14:textId="25F8F2DB" w:rsidR="008B4402" w:rsidRPr="00C9343F" w:rsidRDefault="008B4402" w:rsidP="00F66D98">
      <w:pPr>
        <w:pStyle w:val="Heading5"/>
      </w:pPr>
      <w:bookmarkStart w:id="1846" w:name="_Toc105054124"/>
      <w:bookmarkStart w:id="1847" w:name="bk150443571Purpose"/>
      <w:bookmarkStart w:id="1848" w:name="bk150506571Purpose"/>
      <w:bookmarkStart w:id="1849" w:name="bk154203573Purpose"/>
      <w:bookmarkStart w:id="1850" w:name="bk115402573Purpose"/>
      <w:r w:rsidRPr="00C9343F">
        <w:t>5.9.3</w:t>
      </w:r>
      <w:r w:rsidR="00D94006" w:rsidRPr="00C9343F">
        <w:t>    </w:t>
      </w:r>
      <w:r w:rsidRPr="00C9343F">
        <w:t>Purpose</w:t>
      </w:r>
      <w:bookmarkEnd w:id="1846"/>
    </w:p>
    <w:bookmarkEnd w:id="1847"/>
    <w:bookmarkEnd w:id="1848"/>
    <w:bookmarkEnd w:id="1849"/>
    <w:bookmarkEnd w:id="1850"/>
    <w:tbl>
      <w:tblPr>
        <w:tblW w:w="0" w:type="auto"/>
        <w:tblInd w:w="113" w:type="dxa"/>
        <w:tblLayout w:type="fixed"/>
        <w:tblLook w:val="0000" w:firstRow="0" w:lastRow="0" w:firstColumn="0" w:lastColumn="0" w:noHBand="0" w:noVBand="0"/>
      </w:tblPr>
      <w:tblGrid>
        <w:gridCol w:w="992"/>
        <w:gridCol w:w="8363"/>
      </w:tblGrid>
      <w:tr w:rsidR="008B4402" w:rsidRPr="00C9343F" w14:paraId="4F765950" w14:textId="77777777" w:rsidTr="008B4402">
        <w:tc>
          <w:tcPr>
            <w:tcW w:w="992" w:type="dxa"/>
          </w:tcPr>
          <w:p w14:paraId="39DDC09F" w14:textId="77777777" w:rsidR="008B4402" w:rsidRPr="00C9343F" w:rsidRDefault="008B4402" w:rsidP="00F66D98">
            <w:pPr>
              <w:pStyle w:val="BlockText-PlainNoSpacing"/>
              <w:jc w:val="center"/>
            </w:pPr>
          </w:p>
        </w:tc>
        <w:tc>
          <w:tcPr>
            <w:tcW w:w="8363" w:type="dxa"/>
          </w:tcPr>
          <w:p w14:paraId="0B3370AD" w14:textId="06EED94B" w:rsidR="008B4402" w:rsidRPr="00C9343F" w:rsidRDefault="008B4402" w:rsidP="00F66D98">
            <w:pPr>
              <w:pStyle w:val="BlockText-Plain"/>
            </w:pPr>
            <w:r w:rsidRPr="00C9343F">
              <w:t xml:space="preserve">A range of leave types are available to a member for specific events that happen during a </w:t>
            </w:r>
            <w:r w:rsidR="00EB5AE6" w:rsidRPr="00C9343F">
              <w:t>financial</w:t>
            </w:r>
            <w:r w:rsidRPr="00C9343F">
              <w:t xml:space="preserve"> year.</w:t>
            </w:r>
          </w:p>
        </w:tc>
      </w:tr>
    </w:tbl>
    <w:p w14:paraId="0A4D424F" w14:textId="61E368E7" w:rsidR="008B4402" w:rsidRPr="00C9343F" w:rsidRDefault="008B4402" w:rsidP="00F66D98">
      <w:pPr>
        <w:pStyle w:val="Heading5"/>
      </w:pPr>
      <w:bookmarkStart w:id="1851" w:name="_Toc105054125"/>
      <w:bookmarkStart w:id="1852" w:name="bk150443572MemberthisPartdoesnotapplyto"/>
      <w:bookmarkStart w:id="1853" w:name="bk150506572MemberthisPartdoesnotapplyto"/>
      <w:bookmarkStart w:id="1854" w:name="bk154203574MemberthisPartdoesnotapplyto"/>
      <w:bookmarkStart w:id="1855" w:name="bk115402574MemberthisPartdoesnotapplyto"/>
      <w:r w:rsidRPr="00C9343F">
        <w:t>5.9.4</w:t>
      </w:r>
      <w:r w:rsidR="00D94006" w:rsidRPr="00C9343F">
        <w:t>    </w:t>
      </w:r>
      <w:r w:rsidRPr="00C9343F">
        <w:t>Member this Part does not apply to</w:t>
      </w:r>
      <w:bookmarkEnd w:id="1851"/>
    </w:p>
    <w:bookmarkEnd w:id="1852"/>
    <w:bookmarkEnd w:id="1853"/>
    <w:bookmarkEnd w:id="1854"/>
    <w:bookmarkEnd w:id="1855"/>
    <w:tbl>
      <w:tblPr>
        <w:tblW w:w="0" w:type="auto"/>
        <w:tblInd w:w="113" w:type="dxa"/>
        <w:tblLayout w:type="fixed"/>
        <w:tblLook w:val="0000" w:firstRow="0" w:lastRow="0" w:firstColumn="0" w:lastColumn="0" w:noHBand="0" w:noVBand="0"/>
      </w:tblPr>
      <w:tblGrid>
        <w:gridCol w:w="992"/>
        <w:gridCol w:w="8363"/>
      </w:tblGrid>
      <w:tr w:rsidR="008B4402" w:rsidRPr="00C9343F" w14:paraId="31823BBD" w14:textId="77777777" w:rsidTr="008B4402">
        <w:tc>
          <w:tcPr>
            <w:tcW w:w="992" w:type="dxa"/>
          </w:tcPr>
          <w:p w14:paraId="50F587EC" w14:textId="77777777" w:rsidR="008B4402" w:rsidRPr="00C9343F" w:rsidRDefault="008B4402" w:rsidP="00F66D98">
            <w:pPr>
              <w:pStyle w:val="BlockText-Plain"/>
              <w:jc w:val="center"/>
            </w:pPr>
          </w:p>
        </w:tc>
        <w:tc>
          <w:tcPr>
            <w:tcW w:w="8363" w:type="dxa"/>
          </w:tcPr>
          <w:p w14:paraId="766C3D8D" w14:textId="77777777" w:rsidR="008B4402" w:rsidRPr="00C9343F" w:rsidRDefault="008B4402" w:rsidP="00F66D98">
            <w:pPr>
              <w:pStyle w:val="BlockText-Plain"/>
            </w:pPr>
            <w:r w:rsidRPr="00C9343F">
              <w:t>This Part does not apply to a member on Reserve service.</w:t>
            </w:r>
          </w:p>
        </w:tc>
      </w:tr>
    </w:tbl>
    <w:p w14:paraId="6C3AA2B1" w14:textId="3848332D" w:rsidR="008B4402" w:rsidRPr="00C9343F" w:rsidRDefault="008B4402" w:rsidP="00F66D98">
      <w:pPr>
        <w:pStyle w:val="Heading5"/>
      </w:pPr>
      <w:bookmarkStart w:id="1856" w:name="_Toc105054126"/>
      <w:bookmarkStart w:id="1857" w:name="bk150443573LeavedoesnotaccrueunderthisP"/>
      <w:bookmarkStart w:id="1858" w:name="bk150506573LeavenottoaccrueunderthisPar"/>
      <w:bookmarkStart w:id="1859" w:name="bk154203575LeavenottoaccrueunderthisPar"/>
      <w:bookmarkStart w:id="1860" w:name="bk115402575LeavenottoaccrueunderthisPar"/>
      <w:r w:rsidRPr="00C9343F">
        <w:t>5.9.5</w:t>
      </w:r>
      <w:r w:rsidR="00D94006" w:rsidRPr="00C9343F">
        <w:t>    </w:t>
      </w:r>
      <w:r w:rsidRPr="00C9343F">
        <w:t>Leave not to accrue under this Part</w:t>
      </w:r>
      <w:bookmarkEnd w:id="1856"/>
    </w:p>
    <w:bookmarkEnd w:id="1857"/>
    <w:bookmarkEnd w:id="1858"/>
    <w:bookmarkEnd w:id="1859"/>
    <w:bookmarkEnd w:id="1860"/>
    <w:tbl>
      <w:tblPr>
        <w:tblW w:w="0" w:type="auto"/>
        <w:tblInd w:w="113" w:type="dxa"/>
        <w:tblLayout w:type="fixed"/>
        <w:tblLook w:val="0000" w:firstRow="0" w:lastRow="0" w:firstColumn="0" w:lastColumn="0" w:noHBand="0" w:noVBand="0"/>
      </w:tblPr>
      <w:tblGrid>
        <w:gridCol w:w="992"/>
        <w:gridCol w:w="8363"/>
      </w:tblGrid>
      <w:tr w:rsidR="008B4402" w:rsidRPr="00C9343F" w14:paraId="23F2184F" w14:textId="77777777" w:rsidTr="008B4402">
        <w:tc>
          <w:tcPr>
            <w:tcW w:w="992" w:type="dxa"/>
          </w:tcPr>
          <w:p w14:paraId="208042C2" w14:textId="77777777" w:rsidR="008B4402" w:rsidRPr="00C9343F" w:rsidRDefault="008B4402" w:rsidP="00F66D98">
            <w:pPr>
              <w:pStyle w:val="BlockText-Plain"/>
              <w:jc w:val="center"/>
            </w:pPr>
          </w:p>
        </w:tc>
        <w:tc>
          <w:tcPr>
            <w:tcW w:w="8363" w:type="dxa"/>
          </w:tcPr>
          <w:p w14:paraId="738DDA06" w14:textId="77777777" w:rsidR="008B4402" w:rsidRPr="00C9343F" w:rsidRDefault="008B4402" w:rsidP="00F66D98">
            <w:pPr>
              <w:pStyle w:val="BlockText-Plain"/>
            </w:pPr>
            <w:r w:rsidRPr="00C9343F">
              <w:t xml:space="preserve">Leave under this Part does not accrue. Leave or other absence that is not taken at the time of the specific event does not attract a credit for later use. </w:t>
            </w:r>
          </w:p>
        </w:tc>
      </w:tr>
    </w:tbl>
    <w:p w14:paraId="199B598E" w14:textId="2E5CC2E2" w:rsidR="008B4402" w:rsidRPr="00C9343F" w:rsidRDefault="008B4402" w:rsidP="00F66D98">
      <w:pPr>
        <w:pStyle w:val="Heading5"/>
      </w:pPr>
      <w:bookmarkStart w:id="1861" w:name="_Toc105054127"/>
      <w:bookmarkStart w:id="1862" w:name="bk150443574Salaryforleave"/>
      <w:bookmarkStart w:id="1863" w:name="bk150506574Salaryforleave"/>
      <w:bookmarkStart w:id="1864" w:name="bk154203576Salaryforleave"/>
      <w:bookmarkStart w:id="1865" w:name="bk115402576Salaryforleave"/>
      <w:r w:rsidRPr="00C9343F">
        <w:t>5.9.6</w:t>
      </w:r>
      <w:r w:rsidR="00D94006" w:rsidRPr="00C9343F">
        <w:t>    </w:t>
      </w:r>
      <w:r w:rsidR="00472C73" w:rsidRPr="00C9343F">
        <w:t>Member on a flexible service determination</w:t>
      </w:r>
      <w:bookmarkEnd w:id="1861"/>
    </w:p>
    <w:tbl>
      <w:tblPr>
        <w:tblW w:w="0" w:type="auto"/>
        <w:tblInd w:w="113" w:type="dxa"/>
        <w:tblLayout w:type="fixed"/>
        <w:tblLook w:val="0000" w:firstRow="0" w:lastRow="0" w:firstColumn="0" w:lastColumn="0" w:noHBand="0" w:noVBand="0"/>
      </w:tblPr>
      <w:tblGrid>
        <w:gridCol w:w="992"/>
        <w:gridCol w:w="8371"/>
      </w:tblGrid>
      <w:tr w:rsidR="00472C73" w:rsidRPr="00C9343F" w14:paraId="4E016DD1" w14:textId="77777777" w:rsidTr="00374373">
        <w:tc>
          <w:tcPr>
            <w:tcW w:w="992" w:type="dxa"/>
          </w:tcPr>
          <w:p w14:paraId="77C761AB" w14:textId="77777777" w:rsidR="00472C73" w:rsidRPr="00C9343F" w:rsidRDefault="00472C73" w:rsidP="00F66D98">
            <w:pPr>
              <w:pStyle w:val="BlockText-Plain"/>
              <w:jc w:val="center"/>
              <w:rPr>
                <w:color w:val="000000"/>
              </w:rPr>
            </w:pPr>
            <w:bookmarkStart w:id="1866" w:name="bk150443575Howtoapplyforleave"/>
            <w:bookmarkStart w:id="1867" w:name="bk150506575Howtoapplyforleave"/>
            <w:bookmarkStart w:id="1868" w:name="bk154203577Howtoapplyforleave"/>
            <w:bookmarkStart w:id="1869" w:name="bk115402577Howtoapplyforleave"/>
            <w:bookmarkEnd w:id="1862"/>
            <w:bookmarkEnd w:id="1863"/>
            <w:bookmarkEnd w:id="1864"/>
            <w:bookmarkEnd w:id="1865"/>
          </w:p>
        </w:tc>
        <w:tc>
          <w:tcPr>
            <w:tcW w:w="8371" w:type="dxa"/>
          </w:tcPr>
          <w:p w14:paraId="36FAC918" w14:textId="77777777" w:rsidR="00472C73" w:rsidRPr="00C9343F" w:rsidRDefault="00472C73" w:rsidP="00F66D98">
            <w:pPr>
              <w:pStyle w:val="BlockText-Plain"/>
            </w:pPr>
            <w:r w:rsidRPr="00C9343F">
              <w:rPr>
                <w:iCs/>
              </w:rPr>
              <w:t xml:space="preserve">For a member on a flexible service determination, leave under this Part can only be taken during the member’s pattern of service. </w:t>
            </w:r>
          </w:p>
        </w:tc>
      </w:tr>
    </w:tbl>
    <w:p w14:paraId="27DECB6F" w14:textId="0AD4B70E" w:rsidR="008B4402" w:rsidRPr="00C9343F" w:rsidRDefault="008B4402" w:rsidP="00F66D98">
      <w:pPr>
        <w:pStyle w:val="Heading5"/>
      </w:pPr>
      <w:bookmarkStart w:id="1870" w:name="_Toc105054128"/>
      <w:r w:rsidRPr="00C9343F">
        <w:t>5.9.7</w:t>
      </w:r>
      <w:r w:rsidR="00D94006" w:rsidRPr="00C9343F">
        <w:t>    </w:t>
      </w:r>
      <w:r w:rsidRPr="00C9343F">
        <w:t>How to apply for leave</w:t>
      </w:r>
      <w:bookmarkEnd w:id="1870"/>
    </w:p>
    <w:bookmarkEnd w:id="1866"/>
    <w:bookmarkEnd w:id="1867"/>
    <w:bookmarkEnd w:id="1868"/>
    <w:bookmarkEnd w:id="1869"/>
    <w:tbl>
      <w:tblPr>
        <w:tblW w:w="0" w:type="auto"/>
        <w:tblInd w:w="113" w:type="dxa"/>
        <w:tblLayout w:type="fixed"/>
        <w:tblLook w:val="0000" w:firstRow="0" w:lastRow="0" w:firstColumn="0" w:lastColumn="0" w:noHBand="0" w:noVBand="0"/>
      </w:tblPr>
      <w:tblGrid>
        <w:gridCol w:w="992"/>
        <w:gridCol w:w="8363"/>
      </w:tblGrid>
      <w:tr w:rsidR="008B4402" w:rsidRPr="00C9343F" w14:paraId="2A54157A" w14:textId="77777777" w:rsidTr="008B4402">
        <w:tc>
          <w:tcPr>
            <w:tcW w:w="992" w:type="dxa"/>
          </w:tcPr>
          <w:p w14:paraId="292F395E" w14:textId="77777777" w:rsidR="008B4402" w:rsidRPr="00C9343F" w:rsidRDefault="008B4402" w:rsidP="00F66D98">
            <w:pPr>
              <w:pStyle w:val="BlockText-Plain"/>
              <w:jc w:val="center"/>
            </w:pPr>
          </w:p>
        </w:tc>
        <w:tc>
          <w:tcPr>
            <w:tcW w:w="8363" w:type="dxa"/>
          </w:tcPr>
          <w:p w14:paraId="13B88F09" w14:textId="77777777" w:rsidR="008B4402" w:rsidRPr="00C9343F" w:rsidRDefault="00CC1ED0" w:rsidP="00F66D98">
            <w:pPr>
              <w:pStyle w:val="BlockText-Plain"/>
            </w:pPr>
            <w:r w:rsidRPr="00C9343F">
              <w:t>A member must apply for leave using the approved form.</w:t>
            </w:r>
          </w:p>
        </w:tc>
      </w:tr>
    </w:tbl>
    <w:p w14:paraId="0BDD5122" w14:textId="27D1062C" w:rsidR="008B4402" w:rsidRPr="00C9343F" w:rsidRDefault="008B4402" w:rsidP="00130031">
      <w:pPr>
        <w:pStyle w:val="Heading4"/>
        <w:pageBreakBefore/>
      </w:pPr>
      <w:bookmarkStart w:id="1871" w:name="_Toc105054129"/>
      <w:r w:rsidRPr="00C9343F">
        <w:t>Division 2: Compassionate leave</w:t>
      </w:r>
      <w:bookmarkEnd w:id="1871"/>
    </w:p>
    <w:p w14:paraId="447E4D35" w14:textId="0DC3BEF6" w:rsidR="008B4402" w:rsidRPr="00C9343F" w:rsidRDefault="008B4402" w:rsidP="00F66D98">
      <w:pPr>
        <w:pStyle w:val="Heading5"/>
      </w:pPr>
      <w:bookmarkStart w:id="1872" w:name="_Toc105054130"/>
      <w:bookmarkStart w:id="1873" w:name="bk95735PM57xPurpose"/>
      <w:bookmarkStart w:id="1874" w:name="bk121604576Purpose"/>
      <w:bookmarkStart w:id="1875" w:name="bk121657576Purpose"/>
      <w:bookmarkStart w:id="1876" w:name="bk154212578Purpose"/>
      <w:bookmarkStart w:id="1877" w:name="bk121034578Purpose"/>
      <w:bookmarkStart w:id="1878" w:name="bk121049578Purpose"/>
      <w:bookmarkStart w:id="1879" w:name="bk115407578Purpose"/>
      <w:r w:rsidRPr="00C9343F">
        <w:t>5.9.8</w:t>
      </w:r>
      <w:r w:rsidR="00D94006" w:rsidRPr="00C9343F">
        <w:t>    </w:t>
      </w:r>
      <w:r w:rsidRPr="00C9343F">
        <w:t>Purpose</w:t>
      </w:r>
      <w:bookmarkEnd w:id="1872"/>
    </w:p>
    <w:bookmarkEnd w:id="1873"/>
    <w:bookmarkEnd w:id="1874"/>
    <w:bookmarkEnd w:id="1875"/>
    <w:bookmarkEnd w:id="1876"/>
    <w:bookmarkEnd w:id="1877"/>
    <w:bookmarkEnd w:id="1878"/>
    <w:bookmarkEnd w:id="1879"/>
    <w:tbl>
      <w:tblPr>
        <w:tblW w:w="0" w:type="auto"/>
        <w:tblInd w:w="113" w:type="dxa"/>
        <w:tblLayout w:type="fixed"/>
        <w:tblLook w:val="0000" w:firstRow="0" w:lastRow="0" w:firstColumn="0" w:lastColumn="0" w:noHBand="0" w:noVBand="0"/>
      </w:tblPr>
      <w:tblGrid>
        <w:gridCol w:w="992"/>
        <w:gridCol w:w="8363"/>
      </w:tblGrid>
      <w:tr w:rsidR="008B4402" w:rsidRPr="00C9343F" w14:paraId="10DB2EE5" w14:textId="77777777" w:rsidTr="008B4402">
        <w:tc>
          <w:tcPr>
            <w:tcW w:w="992" w:type="dxa"/>
          </w:tcPr>
          <w:p w14:paraId="3C64CB83" w14:textId="77777777" w:rsidR="008B4402" w:rsidRPr="00C9343F" w:rsidRDefault="008B4402" w:rsidP="00F66D98">
            <w:pPr>
              <w:pStyle w:val="BlockText-Plain"/>
              <w:jc w:val="center"/>
            </w:pPr>
          </w:p>
        </w:tc>
        <w:tc>
          <w:tcPr>
            <w:tcW w:w="8363" w:type="dxa"/>
          </w:tcPr>
          <w:p w14:paraId="01E03197" w14:textId="77777777" w:rsidR="008B4402" w:rsidRPr="00C9343F" w:rsidRDefault="008B4402" w:rsidP="00F66D98">
            <w:pPr>
              <w:pStyle w:val="BlockText-Plain"/>
            </w:pPr>
            <w:r w:rsidRPr="00C9343F">
              <w:t>Compassionate leave gives a member leave when their close relative is seriously ill, very seriously ill or dies.</w:t>
            </w:r>
          </w:p>
        </w:tc>
      </w:tr>
    </w:tbl>
    <w:p w14:paraId="577F43D0" w14:textId="0371EB0C" w:rsidR="008B4402" w:rsidRPr="00C9343F" w:rsidRDefault="008B4402" w:rsidP="00F66D98">
      <w:pPr>
        <w:pStyle w:val="Heading5"/>
      </w:pPr>
      <w:bookmarkStart w:id="1880" w:name="_Toc105054131"/>
      <w:bookmarkStart w:id="1881" w:name="bk95735PM57xCompassionateleave"/>
      <w:bookmarkStart w:id="1882" w:name="bk121604577Compassionateleave"/>
      <w:bookmarkStart w:id="1883" w:name="bk121657577Compassionateleave"/>
      <w:bookmarkStart w:id="1884" w:name="bk154212579Compassionateleave"/>
      <w:bookmarkStart w:id="1885" w:name="bk1210345710Compassionateleave"/>
      <w:bookmarkStart w:id="1886" w:name="bk1210495710Compassionateleave"/>
      <w:bookmarkStart w:id="1887" w:name="bk1154075710Compassionateleave"/>
      <w:r w:rsidRPr="00C9343F">
        <w:t>5.9.10</w:t>
      </w:r>
      <w:r w:rsidR="00D94006" w:rsidRPr="00C9343F">
        <w:t>    </w:t>
      </w:r>
      <w:r w:rsidRPr="00C9343F">
        <w:t>Compassionate leave</w:t>
      </w:r>
      <w:bookmarkEnd w:id="1880"/>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7556A5E3" w14:textId="77777777" w:rsidTr="00AD15AE">
        <w:tc>
          <w:tcPr>
            <w:tcW w:w="992" w:type="dxa"/>
          </w:tcPr>
          <w:bookmarkEnd w:id="1881"/>
          <w:bookmarkEnd w:id="1882"/>
          <w:bookmarkEnd w:id="1883"/>
          <w:bookmarkEnd w:id="1884"/>
          <w:bookmarkEnd w:id="1885"/>
          <w:bookmarkEnd w:id="1886"/>
          <w:bookmarkEnd w:id="1887"/>
          <w:p w14:paraId="48596278" w14:textId="77777777" w:rsidR="008B4402" w:rsidRPr="00C9343F" w:rsidRDefault="008B4402" w:rsidP="00F66D98">
            <w:pPr>
              <w:pStyle w:val="BlockText-Plain"/>
              <w:jc w:val="center"/>
            </w:pPr>
            <w:r w:rsidRPr="00C9343F">
              <w:t>1.</w:t>
            </w:r>
          </w:p>
        </w:tc>
        <w:tc>
          <w:tcPr>
            <w:tcW w:w="8363" w:type="dxa"/>
            <w:gridSpan w:val="2"/>
          </w:tcPr>
          <w:p w14:paraId="2823829E" w14:textId="1CB04CC2" w:rsidR="008B4402" w:rsidRPr="00C9343F" w:rsidRDefault="008B4402" w:rsidP="00F66D98">
            <w:pPr>
              <w:pStyle w:val="BlockText-Plain"/>
            </w:pPr>
            <w:r w:rsidRPr="00C9343F">
              <w:t xml:space="preserve">The CDF may grant up to five days of compassionate leave in a </w:t>
            </w:r>
            <w:r w:rsidR="00EB5AE6" w:rsidRPr="00C9343F">
              <w:t>financial</w:t>
            </w:r>
            <w:r w:rsidRPr="00C9343F">
              <w:t xml:space="preserve"> year, for any of these situations.</w:t>
            </w:r>
          </w:p>
        </w:tc>
      </w:tr>
      <w:tr w:rsidR="008B4402" w:rsidRPr="00C9343F" w14:paraId="4CFAF4B5" w14:textId="77777777" w:rsidTr="00AD15AE">
        <w:trPr>
          <w:cantSplit/>
        </w:trPr>
        <w:tc>
          <w:tcPr>
            <w:tcW w:w="992" w:type="dxa"/>
          </w:tcPr>
          <w:p w14:paraId="1826E20A" w14:textId="77777777" w:rsidR="008B4402" w:rsidRPr="00C9343F" w:rsidRDefault="008B4402" w:rsidP="00F66D98">
            <w:pPr>
              <w:pStyle w:val="BlockText-Plain"/>
            </w:pPr>
          </w:p>
        </w:tc>
        <w:tc>
          <w:tcPr>
            <w:tcW w:w="567" w:type="dxa"/>
          </w:tcPr>
          <w:p w14:paraId="26BA54C1" w14:textId="77777777" w:rsidR="008B4402" w:rsidRPr="00C9343F" w:rsidRDefault="008B4402" w:rsidP="005849DD">
            <w:pPr>
              <w:pStyle w:val="BlockText-Plain"/>
              <w:jc w:val="center"/>
            </w:pPr>
            <w:r w:rsidRPr="00C9343F">
              <w:t>a.</w:t>
            </w:r>
          </w:p>
        </w:tc>
        <w:tc>
          <w:tcPr>
            <w:tcW w:w="7796" w:type="dxa"/>
          </w:tcPr>
          <w:p w14:paraId="55522FA7" w14:textId="77777777" w:rsidR="008B4402" w:rsidRPr="00C9343F" w:rsidRDefault="008B4402" w:rsidP="00F66D98">
            <w:pPr>
              <w:pStyle w:val="BlockText-Plain"/>
            </w:pPr>
            <w:r w:rsidRPr="00C9343F">
              <w:t>A close relative has died.</w:t>
            </w:r>
          </w:p>
        </w:tc>
      </w:tr>
      <w:tr w:rsidR="008B4402" w:rsidRPr="00C9343F" w14:paraId="3C7BDFBC" w14:textId="77777777" w:rsidTr="00AD15AE">
        <w:trPr>
          <w:cantSplit/>
        </w:trPr>
        <w:tc>
          <w:tcPr>
            <w:tcW w:w="992" w:type="dxa"/>
          </w:tcPr>
          <w:p w14:paraId="528A91D4" w14:textId="77777777" w:rsidR="008B4402" w:rsidRPr="00C9343F" w:rsidRDefault="008B4402" w:rsidP="00F66D98">
            <w:pPr>
              <w:pStyle w:val="BlockText-Plain"/>
            </w:pPr>
          </w:p>
        </w:tc>
        <w:tc>
          <w:tcPr>
            <w:tcW w:w="567" w:type="dxa"/>
          </w:tcPr>
          <w:p w14:paraId="29095632" w14:textId="77777777" w:rsidR="008B4402" w:rsidRPr="00C9343F" w:rsidRDefault="008B4402" w:rsidP="005849DD">
            <w:pPr>
              <w:pStyle w:val="BlockText-Plain"/>
              <w:jc w:val="center"/>
            </w:pPr>
            <w:r w:rsidRPr="00C9343F">
              <w:t>b.</w:t>
            </w:r>
          </w:p>
        </w:tc>
        <w:tc>
          <w:tcPr>
            <w:tcW w:w="7796" w:type="dxa"/>
          </w:tcPr>
          <w:p w14:paraId="663C9062" w14:textId="77777777" w:rsidR="008B4402" w:rsidRPr="00C9343F" w:rsidRDefault="008B4402" w:rsidP="00F66D98">
            <w:pPr>
              <w:pStyle w:val="BlockText-Plain"/>
            </w:pPr>
            <w:r w:rsidRPr="00C9343F">
              <w:t>A close relative is seriously ill.</w:t>
            </w:r>
          </w:p>
        </w:tc>
      </w:tr>
      <w:tr w:rsidR="008B4402" w:rsidRPr="00C9343F" w14:paraId="0156D5D2" w14:textId="77777777" w:rsidTr="00AD15AE">
        <w:trPr>
          <w:cantSplit/>
        </w:trPr>
        <w:tc>
          <w:tcPr>
            <w:tcW w:w="992" w:type="dxa"/>
          </w:tcPr>
          <w:p w14:paraId="77430ADB" w14:textId="77777777" w:rsidR="008B4402" w:rsidRPr="00C9343F" w:rsidRDefault="008B4402" w:rsidP="00F66D98">
            <w:pPr>
              <w:pStyle w:val="BlockText-Plain"/>
            </w:pPr>
          </w:p>
        </w:tc>
        <w:tc>
          <w:tcPr>
            <w:tcW w:w="567" w:type="dxa"/>
          </w:tcPr>
          <w:p w14:paraId="62047269" w14:textId="77777777" w:rsidR="008B4402" w:rsidRPr="00C9343F" w:rsidRDefault="008B4402" w:rsidP="005849DD">
            <w:pPr>
              <w:pStyle w:val="BlockText-Plain"/>
              <w:jc w:val="center"/>
            </w:pPr>
            <w:r w:rsidRPr="00C9343F">
              <w:t>c.</w:t>
            </w:r>
          </w:p>
        </w:tc>
        <w:tc>
          <w:tcPr>
            <w:tcW w:w="7796" w:type="dxa"/>
          </w:tcPr>
          <w:p w14:paraId="5FA613EA" w14:textId="77777777" w:rsidR="008B4402" w:rsidRPr="00C9343F" w:rsidRDefault="008B4402" w:rsidP="00F66D98">
            <w:pPr>
              <w:pStyle w:val="BlockText-Plain"/>
            </w:pPr>
            <w:r w:rsidRPr="00C9343F">
              <w:t>A close relative is very seriously ill.</w:t>
            </w:r>
          </w:p>
        </w:tc>
      </w:tr>
      <w:tr w:rsidR="008B4402" w:rsidRPr="00C9343F" w14:paraId="074B3281" w14:textId="77777777" w:rsidTr="00AD15AE">
        <w:tc>
          <w:tcPr>
            <w:tcW w:w="992" w:type="dxa"/>
          </w:tcPr>
          <w:p w14:paraId="1E677176" w14:textId="77777777" w:rsidR="008B4402" w:rsidRPr="00C9343F" w:rsidRDefault="008B4402" w:rsidP="00F66D98">
            <w:pPr>
              <w:pStyle w:val="BlockText-Plain"/>
              <w:jc w:val="center"/>
            </w:pPr>
            <w:r w:rsidRPr="00C9343F">
              <w:t>2.</w:t>
            </w:r>
          </w:p>
        </w:tc>
        <w:tc>
          <w:tcPr>
            <w:tcW w:w="8363" w:type="dxa"/>
            <w:gridSpan w:val="2"/>
          </w:tcPr>
          <w:p w14:paraId="01788321" w14:textId="77777777" w:rsidR="008B4402" w:rsidRPr="00C9343F" w:rsidRDefault="008B4402" w:rsidP="00F66D98">
            <w:pPr>
              <w:pStyle w:val="BlockText-Plain"/>
            </w:pPr>
            <w:r w:rsidRPr="00C9343F">
              <w:t>These conditions apply to a grant of compassionate leave.</w:t>
            </w:r>
          </w:p>
        </w:tc>
      </w:tr>
      <w:tr w:rsidR="008B4402" w:rsidRPr="00C9343F" w14:paraId="7A1E96EC" w14:textId="77777777" w:rsidTr="00AD15AE">
        <w:trPr>
          <w:cantSplit/>
        </w:trPr>
        <w:tc>
          <w:tcPr>
            <w:tcW w:w="992" w:type="dxa"/>
          </w:tcPr>
          <w:p w14:paraId="6ADD241A" w14:textId="77777777" w:rsidR="008B4402" w:rsidRPr="00C9343F" w:rsidRDefault="008B4402" w:rsidP="00F66D98">
            <w:pPr>
              <w:pStyle w:val="BlockText-Plain"/>
            </w:pPr>
          </w:p>
        </w:tc>
        <w:tc>
          <w:tcPr>
            <w:tcW w:w="567" w:type="dxa"/>
          </w:tcPr>
          <w:p w14:paraId="40BEE95A" w14:textId="77777777" w:rsidR="008B4402" w:rsidRPr="00C9343F" w:rsidRDefault="008B4402" w:rsidP="005849DD">
            <w:pPr>
              <w:pStyle w:val="BlockText-Plain"/>
              <w:jc w:val="center"/>
            </w:pPr>
            <w:r w:rsidRPr="00C9343F">
              <w:t>a.</w:t>
            </w:r>
          </w:p>
        </w:tc>
        <w:tc>
          <w:tcPr>
            <w:tcW w:w="7796" w:type="dxa"/>
          </w:tcPr>
          <w:p w14:paraId="770AF324" w14:textId="77777777" w:rsidR="008B4402" w:rsidRPr="00C9343F" w:rsidRDefault="008B4402" w:rsidP="00F66D98">
            <w:pPr>
              <w:pStyle w:val="BlockText-Plain"/>
            </w:pPr>
            <w:r w:rsidRPr="00C9343F">
              <w:t>Only days that would otherwise be duty count towards the five days.</w:t>
            </w:r>
          </w:p>
        </w:tc>
      </w:tr>
      <w:tr w:rsidR="008B4402" w:rsidRPr="00C9343F" w14:paraId="4D5DF28D" w14:textId="77777777" w:rsidTr="00AD15AE">
        <w:trPr>
          <w:cantSplit/>
        </w:trPr>
        <w:tc>
          <w:tcPr>
            <w:tcW w:w="992" w:type="dxa"/>
          </w:tcPr>
          <w:p w14:paraId="0290DCD7" w14:textId="77777777" w:rsidR="008B4402" w:rsidRPr="00C9343F" w:rsidRDefault="008B4402" w:rsidP="00F66D98">
            <w:pPr>
              <w:pStyle w:val="BlockText-Plain"/>
            </w:pPr>
          </w:p>
        </w:tc>
        <w:tc>
          <w:tcPr>
            <w:tcW w:w="567" w:type="dxa"/>
          </w:tcPr>
          <w:p w14:paraId="0A74D663" w14:textId="77777777" w:rsidR="008B4402" w:rsidRPr="00C9343F" w:rsidRDefault="008B4402" w:rsidP="005849DD">
            <w:pPr>
              <w:pStyle w:val="BlockText-Plain"/>
              <w:jc w:val="center"/>
            </w:pPr>
            <w:r w:rsidRPr="00C9343F">
              <w:t>b.</w:t>
            </w:r>
          </w:p>
        </w:tc>
        <w:tc>
          <w:tcPr>
            <w:tcW w:w="7796" w:type="dxa"/>
          </w:tcPr>
          <w:p w14:paraId="2B7F4A9B" w14:textId="7D64C0BE" w:rsidR="008B4402" w:rsidRPr="00C9343F" w:rsidRDefault="008B4402" w:rsidP="00F66D98">
            <w:pPr>
              <w:pStyle w:val="BlockText-Plain"/>
            </w:pPr>
            <w:r w:rsidRPr="00C9343F">
              <w:t xml:space="preserve">Leave may be taken in broken periods. </w:t>
            </w:r>
          </w:p>
        </w:tc>
      </w:tr>
      <w:tr w:rsidR="008B4402" w:rsidRPr="00C9343F" w14:paraId="4C53B09C" w14:textId="77777777" w:rsidTr="00AD15AE">
        <w:tc>
          <w:tcPr>
            <w:tcW w:w="992" w:type="dxa"/>
          </w:tcPr>
          <w:p w14:paraId="282EE7B0" w14:textId="77777777" w:rsidR="008B4402" w:rsidRPr="00C9343F" w:rsidRDefault="008B4402" w:rsidP="00F66D98">
            <w:pPr>
              <w:pStyle w:val="BlockText-Plain"/>
              <w:jc w:val="center"/>
            </w:pPr>
            <w:r w:rsidRPr="00C9343F">
              <w:t>3.</w:t>
            </w:r>
          </w:p>
        </w:tc>
        <w:tc>
          <w:tcPr>
            <w:tcW w:w="8363" w:type="dxa"/>
            <w:gridSpan w:val="2"/>
          </w:tcPr>
          <w:p w14:paraId="2A7B03F6" w14:textId="77777777" w:rsidR="008B4402" w:rsidRPr="00C9343F" w:rsidRDefault="008B4402" w:rsidP="00F66D98">
            <w:pPr>
              <w:pStyle w:val="BlockText-Plain"/>
            </w:pPr>
            <w:r w:rsidRPr="00C9343F">
              <w:t>The CDF may grant additional compassionate leave to a member. The CDF must consider these factors.</w:t>
            </w:r>
          </w:p>
        </w:tc>
      </w:tr>
      <w:tr w:rsidR="008B4402" w:rsidRPr="00C9343F" w14:paraId="47AAAC37" w14:textId="77777777" w:rsidTr="00AD15AE">
        <w:trPr>
          <w:cantSplit/>
        </w:trPr>
        <w:tc>
          <w:tcPr>
            <w:tcW w:w="992" w:type="dxa"/>
          </w:tcPr>
          <w:p w14:paraId="41AB2C02" w14:textId="77777777" w:rsidR="008B4402" w:rsidRPr="00C9343F" w:rsidRDefault="008B4402" w:rsidP="00F66D98">
            <w:pPr>
              <w:pStyle w:val="BlockText-Plain"/>
            </w:pPr>
          </w:p>
        </w:tc>
        <w:tc>
          <w:tcPr>
            <w:tcW w:w="567" w:type="dxa"/>
          </w:tcPr>
          <w:p w14:paraId="5EC432AC" w14:textId="77777777" w:rsidR="008B4402" w:rsidRPr="00C9343F" w:rsidRDefault="008B4402" w:rsidP="005849DD">
            <w:pPr>
              <w:pStyle w:val="BlockText-Plain"/>
              <w:jc w:val="center"/>
            </w:pPr>
            <w:r w:rsidRPr="00C9343F">
              <w:t>a.</w:t>
            </w:r>
          </w:p>
        </w:tc>
        <w:tc>
          <w:tcPr>
            <w:tcW w:w="7796" w:type="dxa"/>
          </w:tcPr>
          <w:p w14:paraId="27D8EA8B" w14:textId="77777777" w:rsidR="008B4402" w:rsidRPr="00C9343F" w:rsidRDefault="008B4402" w:rsidP="00F66D98">
            <w:pPr>
              <w:pStyle w:val="BlockText-Plain"/>
            </w:pPr>
            <w:r w:rsidRPr="00C9343F">
              <w:t>The member's circumstances.</w:t>
            </w:r>
          </w:p>
        </w:tc>
      </w:tr>
      <w:tr w:rsidR="008B4402" w:rsidRPr="00C9343F" w14:paraId="28D8595B" w14:textId="77777777" w:rsidTr="00AD15AE">
        <w:trPr>
          <w:cantSplit/>
        </w:trPr>
        <w:tc>
          <w:tcPr>
            <w:tcW w:w="992" w:type="dxa"/>
          </w:tcPr>
          <w:p w14:paraId="799D8C06" w14:textId="77777777" w:rsidR="008B4402" w:rsidRPr="00C9343F" w:rsidRDefault="008B4402" w:rsidP="00F66D98">
            <w:pPr>
              <w:pStyle w:val="BlockText-Plain"/>
            </w:pPr>
          </w:p>
        </w:tc>
        <w:tc>
          <w:tcPr>
            <w:tcW w:w="567" w:type="dxa"/>
          </w:tcPr>
          <w:p w14:paraId="2C11BE6A" w14:textId="77777777" w:rsidR="008B4402" w:rsidRPr="00C9343F" w:rsidRDefault="008B4402" w:rsidP="005849DD">
            <w:pPr>
              <w:pStyle w:val="BlockText-Plain"/>
              <w:jc w:val="center"/>
            </w:pPr>
            <w:r w:rsidRPr="00C9343F">
              <w:t>b.</w:t>
            </w:r>
          </w:p>
        </w:tc>
        <w:tc>
          <w:tcPr>
            <w:tcW w:w="7796" w:type="dxa"/>
          </w:tcPr>
          <w:p w14:paraId="3FC2A247" w14:textId="77777777" w:rsidR="008B4402" w:rsidRPr="00C9343F" w:rsidRDefault="008B4402" w:rsidP="00F66D98">
            <w:pPr>
              <w:pStyle w:val="BlockText-Plain"/>
            </w:pPr>
            <w:r w:rsidRPr="00C9343F">
              <w:t>The reasons the member gives for their request.</w:t>
            </w:r>
          </w:p>
        </w:tc>
      </w:tr>
    </w:tbl>
    <w:p w14:paraId="414C10D4" w14:textId="77777777" w:rsidR="008B4402" w:rsidRPr="00C9343F" w:rsidRDefault="008B4402" w:rsidP="00F66D98">
      <w:bookmarkStart w:id="1888" w:name="bk95735PM57xCarersleave"/>
      <w:bookmarkStart w:id="1889" w:name="bk121604578Carersleave"/>
      <w:bookmarkStart w:id="1890" w:name="bk121657578Carersleave"/>
      <w:bookmarkStart w:id="1891" w:name="bk1542125710Carersleave"/>
      <w:bookmarkStart w:id="1892" w:name="bk1210345711Carersleave"/>
      <w:bookmarkStart w:id="1893" w:name="bk1210495711Carersleave"/>
      <w:bookmarkStart w:id="1894" w:name="bk1154075711Carersleave"/>
    </w:p>
    <w:p w14:paraId="1E2E7A9F" w14:textId="21D43A6B" w:rsidR="008B4402" w:rsidRPr="00C9343F" w:rsidRDefault="008B4402" w:rsidP="00F66D98">
      <w:pPr>
        <w:pStyle w:val="Heading4"/>
        <w:pageBreakBefore/>
      </w:pPr>
      <w:bookmarkStart w:id="1895" w:name="_Toc105054132"/>
      <w:r w:rsidRPr="00C9343F">
        <w:t>Division 3: Carer's leave</w:t>
      </w:r>
      <w:bookmarkEnd w:id="1895"/>
    </w:p>
    <w:p w14:paraId="7822E4EC" w14:textId="7D0EE89C" w:rsidR="008B4402" w:rsidRPr="00C9343F" w:rsidRDefault="008B4402" w:rsidP="00F66D98">
      <w:pPr>
        <w:pStyle w:val="Heading5"/>
      </w:pPr>
      <w:bookmarkStart w:id="1896" w:name="_Toc105054133"/>
      <w:r w:rsidRPr="00C9343F">
        <w:t>5.9.11</w:t>
      </w:r>
      <w:r w:rsidR="00D94006" w:rsidRPr="00C9343F">
        <w:t>    </w:t>
      </w:r>
      <w:r w:rsidRPr="00C9343F">
        <w:t>Purpose</w:t>
      </w:r>
      <w:bookmarkEnd w:id="1896"/>
    </w:p>
    <w:bookmarkEnd w:id="1888"/>
    <w:bookmarkEnd w:id="1889"/>
    <w:bookmarkEnd w:id="1890"/>
    <w:bookmarkEnd w:id="1891"/>
    <w:bookmarkEnd w:id="1892"/>
    <w:bookmarkEnd w:id="1893"/>
    <w:bookmarkEnd w:id="1894"/>
    <w:tbl>
      <w:tblPr>
        <w:tblW w:w="0" w:type="auto"/>
        <w:tblInd w:w="113" w:type="dxa"/>
        <w:tblLayout w:type="fixed"/>
        <w:tblLook w:val="0000" w:firstRow="0" w:lastRow="0" w:firstColumn="0" w:lastColumn="0" w:noHBand="0" w:noVBand="0"/>
      </w:tblPr>
      <w:tblGrid>
        <w:gridCol w:w="992"/>
        <w:gridCol w:w="8363"/>
      </w:tblGrid>
      <w:tr w:rsidR="008B4402" w:rsidRPr="00C9343F" w14:paraId="5460C13D" w14:textId="77777777" w:rsidTr="008B4402">
        <w:tc>
          <w:tcPr>
            <w:tcW w:w="992" w:type="dxa"/>
          </w:tcPr>
          <w:p w14:paraId="6DB536A8" w14:textId="77777777" w:rsidR="008B4402" w:rsidRPr="00C9343F" w:rsidRDefault="008B4402" w:rsidP="00F66D98">
            <w:pPr>
              <w:pStyle w:val="BlockText-Plain"/>
              <w:jc w:val="center"/>
            </w:pPr>
          </w:p>
        </w:tc>
        <w:tc>
          <w:tcPr>
            <w:tcW w:w="8363" w:type="dxa"/>
          </w:tcPr>
          <w:p w14:paraId="5BFEADDC" w14:textId="77777777" w:rsidR="008B4402" w:rsidRPr="00C9343F" w:rsidRDefault="00B51D49" w:rsidP="00F66D98">
            <w:pPr>
              <w:pStyle w:val="blocktext-plain00"/>
              <w:rPr>
                <w:rFonts w:ascii="Times New Roman" w:hAnsi="Times New Roman"/>
                <w:color w:val="000000"/>
                <w:sz w:val="24"/>
              </w:rPr>
            </w:pPr>
            <w:r w:rsidRPr="00C9343F">
              <w:rPr>
                <w:color w:val="000000"/>
              </w:rPr>
              <w:t>The purpose of carer's leave is to provide a member leave to care for and support their close relatives when they are sick or injured, or affected by an unexpected emergency.</w:t>
            </w:r>
          </w:p>
        </w:tc>
      </w:tr>
    </w:tbl>
    <w:p w14:paraId="1EE225B7" w14:textId="639CDAF8" w:rsidR="008B4402" w:rsidRPr="00C9343F" w:rsidRDefault="008B4402" w:rsidP="00F66D98">
      <w:pPr>
        <w:pStyle w:val="Heading5"/>
      </w:pPr>
      <w:bookmarkStart w:id="1897" w:name="_Toc105054134"/>
      <w:r w:rsidRPr="00C9343F">
        <w:t>5.9.12</w:t>
      </w:r>
      <w:r w:rsidR="00D94006" w:rsidRPr="00C9343F">
        <w:t>    </w:t>
      </w:r>
      <w:r w:rsidRPr="00C9343F">
        <w:t>Carer's leave</w:t>
      </w:r>
      <w:bookmarkEnd w:id="1897"/>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2E508F99" w14:textId="77777777" w:rsidTr="008B4402">
        <w:tc>
          <w:tcPr>
            <w:tcW w:w="992" w:type="dxa"/>
          </w:tcPr>
          <w:p w14:paraId="64CDAE2D" w14:textId="77777777" w:rsidR="008B4402" w:rsidRPr="00C9343F" w:rsidRDefault="008B4402" w:rsidP="00F66D98">
            <w:pPr>
              <w:pStyle w:val="BlockText-Plain"/>
              <w:jc w:val="center"/>
            </w:pPr>
            <w:r w:rsidRPr="00C9343F">
              <w:t>1.</w:t>
            </w:r>
          </w:p>
        </w:tc>
        <w:tc>
          <w:tcPr>
            <w:tcW w:w="8363" w:type="dxa"/>
            <w:gridSpan w:val="2"/>
          </w:tcPr>
          <w:p w14:paraId="419FE63D" w14:textId="77777777" w:rsidR="008B4402" w:rsidRPr="00C9343F" w:rsidRDefault="008B4402" w:rsidP="00F66D98">
            <w:pPr>
              <w:pStyle w:val="BlockText-Plain"/>
            </w:pPr>
            <w:r w:rsidRPr="00C9343F">
              <w:t>A member may be granted carer's leave by a supervisor in their direct chain of command. The supervisor must be at one of these ranks or higher.</w:t>
            </w:r>
          </w:p>
        </w:tc>
      </w:tr>
      <w:tr w:rsidR="008B4402" w:rsidRPr="00C9343F" w14:paraId="1692FC6A" w14:textId="77777777" w:rsidTr="008B4402">
        <w:trPr>
          <w:cantSplit/>
        </w:trPr>
        <w:tc>
          <w:tcPr>
            <w:tcW w:w="992" w:type="dxa"/>
          </w:tcPr>
          <w:p w14:paraId="63A1A776" w14:textId="77777777" w:rsidR="008B4402" w:rsidRPr="00C9343F" w:rsidRDefault="008B4402" w:rsidP="00F66D98">
            <w:pPr>
              <w:pStyle w:val="BlockText-Plain"/>
            </w:pPr>
          </w:p>
        </w:tc>
        <w:tc>
          <w:tcPr>
            <w:tcW w:w="567" w:type="dxa"/>
          </w:tcPr>
          <w:p w14:paraId="4BA253A0" w14:textId="77777777" w:rsidR="008B4402" w:rsidRPr="00C9343F" w:rsidRDefault="008B4402" w:rsidP="005849DD">
            <w:pPr>
              <w:pStyle w:val="BlockText-Plain"/>
              <w:jc w:val="center"/>
            </w:pPr>
            <w:r w:rsidRPr="00C9343F">
              <w:t>a.</w:t>
            </w:r>
          </w:p>
        </w:tc>
        <w:tc>
          <w:tcPr>
            <w:tcW w:w="7796" w:type="dxa"/>
          </w:tcPr>
          <w:p w14:paraId="2D6F0156" w14:textId="77777777" w:rsidR="008B4402" w:rsidRPr="00C9343F" w:rsidRDefault="008B4402" w:rsidP="00F66D98">
            <w:pPr>
              <w:pStyle w:val="BlockText-Plain"/>
            </w:pPr>
            <w:r w:rsidRPr="00C9343F">
              <w:t>Warrant Officer Class 2.</w:t>
            </w:r>
          </w:p>
        </w:tc>
      </w:tr>
      <w:tr w:rsidR="008B4402" w:rsidRPr="00C9343F" w14:paraId="423DE6B8" w14:textId="77777777" w:rsidTr="008B4402">
        <w:trPr>
          <w:cantSplit/>
        </w:trPr>
        <w:tc>
          <w:tcPr>
            <w:tcW w:w="992" w:type="dxa"/>
          </w:tcPr>
          <w:p w14:paraId="1FEA1C84" w14:textId="77777777" w:rsidR="008B4402" w:rsidRPr="00C9343F" w:rsidRDefault="008B4402" w:rsidP="00F66D98">
            <w:pPr>
              <w:pStyle w:val="BlockText-Plain"/>
              <w:rPr>
                <w:color w:val="0000FF"/>
              </w:rPr>
            </w:pPr>
          </w:p>
        </w:tc>
        <w:tc>
          <w:tcPr>
            <w:tcW w:w="567" w:type="dxa"/>
          </w:tcPr>
          <w:p w14:paraId="7354BBA8" w14:textId="77777777" w:rsidR="008B4402" w:rsidRPr="00C9343F" w:rsidRDefault="008B4402" w:rsidP="005849DD">
            <w:pPr>
              <w:pStyle w:val="BlockText-Plain"/>
              <w:jc w:val="center"/>
            </w:pPr>
            <w:r w:rsidRPr="00C9343F">
              <w:t>b.</w:t>
            </w:r>
          </w:p>
        </w:tc>
        <w:tc>
          <w:tcPr>
            <w:tcW w:w="7796" w:type="dxa"/>
          </w:tcPr>
          <w:p w14:paraId="14B015B8" w14:textId="77777777" w:rsidR="008B4402" w:rsidRPr="00C9343F" w:rsidRDefault="008B4402" w:rsidP="00F66D98">
            <w:pPr>
              <w:pStyle w:val="BlockText-Plain"/>
            </w:pPr>
            <w:r w:rsidRPr="00C9343F">
              <w:t>APS 4.</w:t>
            </w:r>
          </w:p>
        </w:tc>
      </w:tr>
      <w:tr w:rsidR="008B4402" w:rsidRPr="00C9343F" w14:paraId="644E4E94" w14:textId="77777777" w:rsidTr="008B4402">
        <w:tc>
          <w:tcPr>
            <w:tcW w:w="992" w:type="dxa"/>
          </w:tcPr>
          <w:p w14:paraId="5BC9077E" w14:textId="77777777" w:rsidR="008B4402" w:rsidRPr="00C9343F" w:rsidRDefault="008B4402" w:rsidP="00F66D98">
            <w:pPr>
              <w:pStyle w:val="BlockText-Plain"/>
              <w:jc w:val="center"/>
            </w:pPr>
            <w:r w:rsidRPr="00C9343F">
              <w:t>2.</w:t>
            </w:r>
          </w:p>
        </w:tc>
        <w:tc>
          <w:tcPr>
            <w:tcW w:w="8363" w:type="dxa"/>
            <w:gridSpan w:val="2"/>
          </w:tcPr>
          <w:p w14:paraId="4A316722" w14:textId="77777777" w:rsidR="008B4402" w:rsidRPr="00C9343F" w:rsidRDefault="00D15C20" w:rsidP="00F66D98">
            <w:pPr>
              <w:pStyle w:val="BlockText-Plain"/>
            </w:pPr>
            <w:r w:rsidRPr="00C9343F">
              <w:rPr>
                <w:rFonts w:cs="Arial"/>
                <w:color w:val="000000"/>
                <w:shd w:val="clear" w:color="auto" w:fill="FFFFFF"/>
              </w:rPr>
              <w:t>Carer's leave may be granted to a member who is to provide direct care and support to a close relative in any of the following circumstances.</w:t>
            </w:r>
          </w:p>
        </w:tc>
      </w:tr>
      <w:tr w:rsidR="008B4402" w:rsidRPr="00C9343F" w14:paraId="55E90DD2" w14:textId="77777777" w:rsidTr="008B4402">
        <w:trPr>
          <w:cantSplit/>
        </w:trPr>
        <w:tc>
          <w:tcPr>
            <w:tcW w:w="992" w:type="dxa"/>
          </w:tcPr>
          <w:p w14:paraId="2B296BB1" w14:textId="77777777" w:rsidR="008B4402" w:rsidRPr="00C9343F" w:rsidRDefault="008B4402" w:rsidP="00F66D98">
            <w:pPr>
              <w:pStyle w:val="BlockText-Plain"/>
            </w:pPr>
          </w:p>
        </w:tc>
        <w:tc>
          <w:tcPr>
            <w:tcW w:w="567" w:type="dxa"/>
          </w:tcPr>
          <w:p w14:paraId="6F153CAA" w14:textId="77777777" w:rsidR="008B4402" w:rsidRPr="00C9343F" w:rsidRDefault="008B4402" w:rsidP="005849DD">
            <w:pPr>
              <w:pStyle w:val="BlockText-Plain"/>
              <w:jc w:val="center"/>
            </w:pPr>
            <w:r w:rsidRPr="00C9343F">
              <w:t>a.</w:t>
            </w:r>
          </w:p>
        </w:tc>
        <w:tc>
          <w:tcPr>
            <w:tcW w:w="7796" w:type="dxa"/>
          </w:tcPr>
          <w:p w14:paraId="1CC53E05" w14:textId="77777777" w:rsidR="008B4402" w:rsidRPr="00C9343F" w:rsidRDefault="00D15C20" w:rsidP="00F66D98">
            <w:pPr>
              <w:pStyle w:val="BlockText-Plain"/>
            </w:pPr>
            <w:r w:rsidRPr="00C9343F">
              <w:rPr>
                <w:rFonts w:cs="Arial"/>
                <w:color w:val="000000"/>
                <w:shd w:val="clear" w:color="auto" w:fill="FFFFFF"/>
              </w:rPr>
              <w:t>The close relative is sick or injured.</w:t>
            </w:r>
          </w:p>
        </w:tc>
      </w:tr>
      <w:tr w:rsidR="008B4402" w:rsidRPr="00C9343F" w14:paraId="6EDB8508" w14:textId="77777777" w:rsidTr="008B4402">
        <w:trPr>
          <w:cantSplit/>
        </w:trPr>
        <w:tc>
          <w:tcPr>
            <w:tcW w:w="992" w:type="dxa"/>
          </w:tcPr>
          <w:p w14:paraId="68C4207B" w14:textId="77777777" w:rsidR="008B4402" w:rsidRPr="00C9343F" w:rsidRDefault="008B4402" w:rsidP="00F66D98">
            <w:pPr>
              <w:pStyle w:val="BlockText-Plain"/>
            </w:pPr>
          </w:p>
        </w:tc>
        <w:tc>
          <w:tcPr>
            <w:tcW w:w="567" w:type="dxa"/>
          </w:tcPr>
          <w:p w14:paraId="471EFDCD" w14:textId="77777777" w:rsidR="008B4402" w:rsidRPr="00C9343F" w:rsidRDefault="008B4402" w:rsidP="005849DD">
            <w:pPr>
              <w:pStyle w:val="BlockText-Plain"/>
              <w:jc w:val="center"/>
            </w:pPr>
            <w:r w:rsidRPr="00C9343F">
              <w:t>b.</w:t>
            </w:r>
          </w:p>
        </w:tc>
        <w:tc>
          <w:tcPr>
            <w:tcW w:w="7796" w:type="dxa"/>
          </w:tcPr>
          <w:p w14:paraId="0AFB89A0" w14:textId="77777777" w:rsidR="008B4402" w:rsidRPr="00C9343F" w:rsidRDefault="00D15C20" w:rsidP="00F66D98">
            <w:pPr>
              <w:pStyle w:val="BlockText-Plain"/>
            </w:pPr>
            <w:r w:rsidRPr="00C9343F">
              <w:rPr>
                <w:rFonts w:cs="Arial"/>
                <w:color w:val="000000"/>
                <w:shd w:val="clear" w:color="auto" w:fill="FFFFFF"/>
              </w:rPr>
              <w:t>The close relative is affected by an unexpected emergency.</w:t>
            </w:r>
          </w:p>
        </w:tc>
      </w:tr>
      <w:tr w:rsidR="008B4402" w:rsidRPr="00C9343F" w14:paraId="4A41DA90" w14:textId="77777777" w:rsidTr="008B4402">
        <w:tc>
          <w:tcPr>
            <w:tcW w:w="992" w:type="dxa"/>
          </w:tcPr>
          <w:p w14:paraId="768B6FCD" w14:textId="77777777" w:rsidR="008B4402" w:rsidRPr="00C9343F" w:rsidRDefault="008B4402" w:rsidP="00F66D98">
            <w:pPr>
              <w:pStyle w:val="BlockText-Plain"/>
              <w:jc w:val="center"/>
            </w:pPr>
            <w:r w:rsidRPr="00C9343F">
              <w:t>3.</w:t>
            </w:r>
          </w:p>
        </w:tc>
        <w:tc>
          <w:tcPr>
            <w:tcW w:w="8363" w:type="dxa"/>
            <w:gridSpan w:val="2"/>
          </w:tcPr>
          <w:p w14:paraId="5E4CFAE4" w14:textId="77777777" w:rsidR="008B4402" w:rsidRPr="00C9343F" w:rsidRDefault="008B4402" w:rsidP="00F66D98">
            <w:pPr>
              <w:pStyle w:val="BlockText-Plain"/>
            </w:pPr>
            <w:r w:rsidRPr="00C9343F">
              <w:t>These conditions apply to a grant of carer's leave.</w:t>
            </w:r>
          </w:p>
        </w:tc>
      </w:tr>
      <w:tr w:rsidR="008B4402" w:rsidRPr="00C9343F" w14:paraId="48FF1C7E" w14:textId="77777777" w:rsidTr="008B4402">
        <w:trPr>
          <w:cantSplit/>
        </w:trPr>
        <w:tc>
          <w:tcPr>
            <w:tcW w:w="992" w:type="dxa"/>
          </w:tcPr>
          <w:p w14:paraId="5B6AA911" w14:textId="77777777" w:rsidR="008B4402" w:rsidRPr="00C9343F" w:rsidRDefault="008B4402" w:rsidP="00F66D98">
            <w:pPr>
              <w:pStyle w:val="BlockText-Plain"/>
            </w:pPr>
          </w:p>
        </w:tc>
        <w:tc>
          <w:tcPr>
            <w:tcW w:w="567" w:type="dxa"/>
          </w:tcPr>
          <w:p w14:paraId="25E4DA74" w14:textId="77777777" w:rsidR="008B4402" w:rsidRPr="00C9343F" w:rsidRDefault="008B4402" w:rsidP="005849DD">
            <w:pPr>
              <w:pStyle w:val="BlockText-Plain"/>
              <w:jc w:val="center"/>
            </w:pPr>
            <w:r w:rsidRPr="00C9343F">
              <w:t>a.</w:t>
            </w:r>
          </w:p>
        </w:tc>
        <w:tc>
          <w:tcPr>
            <w:tcW w:w="7796" w:type="dxa"/>
          </w:tcPr>
          <w:p w14:paraId="579D4F7C" w14:textId="0C011B5A" w:rsidR="008B4402" w:rsidRPr="00C9343F" w:rsidRDefault="008B4402" w:rsidP="00F66D98">
            <w:pPr>
              <w:pStyle w:val="BlockText-Plain"/>
            </w:pPr>
            <w:r w:rsidRPr="00C9343F">
              <w:t xml:space="preserve">A member may be granted up to 10 working days of carer's leave in a </w:t>
            </w:r>
            <w:r w:rsidR="008F78C4" w:rsidRPr="00C9343F">
              <w:t>financial</w:t>
            </w:r>
            <w:r w:rsidRPr="00C9343F">
              <w:t xml:space="preserve"> year.</w:t>
            </w:r>
          </w:p>
        </w:tc>
      </w:tr>
      <w:tr w:rsidR="008B4402" w:rsidRPr="00C9343F" w14:paraId="77E79B52" w14:textId="77777777" w:rsidTr="008B4402">
        <w:trPr>
          <w:cantSplit/>
        </w:trPr>
        <w:tc>
          <w:tcPr>
            <w:tcW w:w="992" w:type="dxa"/>
          </w:tcPr>
          <w:p w14:paraId="7DF4DC72" w14:textId="77777777" w:rsidR="008B4402" w:rsidRPr="00C9343F" w:rsidRDefault="008B4402" w:rsidP="00F66D98">
            <w:pPr>
              <w:pStyle w:val="BlockText-Plain"/>
            </w:pPr>
          </w:p>
        </w:tc>
        <w:tc>
          <w:tcPr>
            <w:tcW w:w="567" w:type="dxa"/>
          </w:tcPr>
          <w:p w14:paraId="35B9F6FA" w14:textId="77777777" w:rsidR="008B4402" w:rsidRPr="00C9343F" w:rsidRDefault="008B4402" w:rsidP="005849DD">
            <w:pPr>
              <w:pStyle w:val="BlockText-Plain"/>
              <w:jc w:val="center"/>
            </w:pPr>
            <w:r w:rsidRPr="00C9343F">
              <w:t>b.</w:t>
            </w:r>
          </w:p>
        </w:tc>
        <w:tc>
          <w:tcPr>
            <w:tcW w:w="7796" w:type="dxa"/>
          </w:tcPr>
          <w:p w14:paraId="3A44AE83" w14:textId="77777777" w:rsidR="008B4402" w:rsidRPr="00C9343F" w:rsidRDefault="008B4402" w:rsidP="00F66D98">
            <w:pPr>
              <w:pStyle w:val="BlockText-Plain"/>
            </w:pPr>
            <w:r w:rsidRPr="00C9343F">
              <w:t>Only days that would otherwise be duty count towards the 10 days.</w:t>
            </w:r>
          </w:p>
        </w:tc>
      </w:tr>
      <w:tr w:rsidR="008B4402" w:rsidRPr="00C9343F" w14:paraId="2166F663" w14:textId="77777777" w:rsidTr="008B4402">
        <w:trPr>
          <w:cantSplit/>
        </w:trPr>
        <w:tc>
          <w:tcPr>
            <w:tcW w:w="992" w:type="dxa"/>
          </w:tcPr>
          <w:p w14:paraId="0B3EA0CA" w14:textId="77777777" w:rsidR="008B4402" w:rsidRPr="00C9343F" w:rsidRDefault="008B4402" w:rsidP="00F66D98">
            <w:pPr>
              <w:pStyle w:val="BlockText-Plain"/>
            </w:pPr>
          </w:p>
        </w:tc>
        <w:tc>
          <w:tcPr>
            <w:tcW w:w="567" w:type="dxa"/>
          </w:tcPr>
          <w:p w14:paraId="7CAB0C91" w14:textId="77777777" w:rsidR="008B4402" w:rsidRPr="00C9343F" w:rsidRDefault="008B4402" w:rsidP="005849DD">
            <w:pPr>
              <w:pStyle w:val="BlockText-Plain"/>
              <w:jc w:val="center"/>
            </w:pPr>
            <w:r w:rsidRPr="00C9343F">
              <w:t>c.</w:t>
            </w:r>
          </w:p>
        </w:tc>
        <w:tc>
          <w:tcPr>
            <w:tcW w:w="7796" w:type="dxa"/>
          </w:tcPr>
          <w:p w14:paraId="3C8DA7B1" w14:textId="36F2F0F4" w:rsidR="008B4402" w:rsidRPr="00C9343F" w:rsidRDefault="008B4402" w:rsidP="00F66D98">
            <w:pPr>
              <w:pStyle w:val="BlockText-Plain"/>
              <w:rPr>
                <w:b/>
              </w:rPr>
            </w:pPr>
            <w:r w:rsidRPr="00C9343F">
              <w:t>Leave may be taken in broken periods.</w:t>
            </w:r>
            <w:r w:rsidRPr="00C9343F">
              <w:rPr>
                <w:b/>
              </w:rPr>
              <w:t xml:space="preserve"> </w:t>
            </w:r>
          </w:p>
        </w:tc>
      </w:tr>
      <w:tr w:rsidR="008B4402" w:rsidRPr="00C9343F" w14:paraId="55C1503F" w14:textId="77777777" w:rsidTr="008B4402">
        <w:trPr>
          <w:cantSplit/>
        </w:trPr>
        <w:tc>
          <w:tcPr>
            <w:tcW w:w="992" w:type="dxa"/>
          </w:tcPr>
          <w:p w14:paraId="0606F994" w14:textId="77777777" w:rsidR="008B4402" w:rsidRPr="00C9343F" w:rsidRDefault="008B4402" w:rsidP="00F66D98">
            <w:pPr>
              <w:pStyle w:val="BlockText-Plain"/>
            </w:pPr>
          </w:p>
        </w:tc>
        <w:tc>
          <w:tcPr>
            <w:tcW w:w="567" w:type="dxa"/>
          </w:tcPr>
          <w:p w14:paraId="54A14C6D" w14:textId="77777777" w:rsidR="008B4402" w:rsidRPr="00C9343F" w:rsidRDefault="008B4402" w:rsidP="005849DD">
            <w:pPr>
              <w:pStyle w:val="BlockText-Plain"/>
              <w:jc w:val="center"/>
            </w:pPr>
            <w:r w:rsidRPr="00C9343F">
              <w:t>d.</w:t>
            </w:r>
          </w:p>
        </w:tc>
        <w:tc>
          <w:tcPr>
            <w:tcW w:w="7796" w:type="dxa"/>
          </w:tcPr>
          <w:p w14:paraId="0566D9E1" w14:textId="515A69B8" w:rsidR="008B4402" w:rsidRPr="00C9343F" w:rsidRDefault="008B4402" w:rsidP="00F66D98">
            <w:pPr>
              <w:pStyle w:val="BlockText-Plain"/>
            </w:pPr>
            <w:r w:rsidRPr="00C9343F">
              <w:t xml:space="preserve">Documentary evidence must be provided to support any application for a period of carer's leave that is longer than three consecutive working days, for the </w:t>
            </w:r>
            <w:r w:rsidR="00D15C20" w:rsidRPr="00C9343F">
              <w:rPr>
                <w:rFonts w:cs="Arial"/>
                <w:color w:val="000000"/>
                <w:shd w:val="clear" w:color="auto" w:fill="FFFFFF"/>
              </w:rPr>
              <w:t>circumstance under paragraph 2.a</w:t>
            </w:r>
            <w:r w:rsidRPr="00C9343F">
              <w:t xml:space="preserve">. </w:t>
            </w:r>
          </w:p>
        </w:tc>
      </w:tr>
      <w:tr w:rsidR="008B4402" w:rsidRPr="00C9343F" w14:paraId="38C6C570" w14:textId="77777777" w:rsidTr="008B4402">
        <w:trPr>
          <w:cantSplit/>
        </w:trPr>
        <w:tc>
          <w:tcPr>
            <w:tcW w:w="992" w:type="dxa"/>
          </w:tcPr>
          <w:p w14:paraId="743073F9" w14:textId="77777777" w:rsidR="008B4402" w:rsidRPr="00C9343F" w:rsidRDefault="008B4402" w:rsidP="00F66D98">
            <w:pPr>
              <w:pStyle w:val="BlockText-Plain"/>
            </w:pPr>
          </w:p>
        </w:tc>
        <w:tc>
          <w:tcPr>
            <w:tcW w:w="567" w:type="dxa"/>
          </w:tcPr>
          <w:p w14:paraId="01DE17AA" w14:textId="77777777" w:rsidR="008B4402" w:rsidRPr="00C9343F" w:rsidRDefault="008B4402" w:rsidP="005849DD">
            <w:pPr>
              <w:pStyle w:val="BlockText-Plain"/>
              <w:jc w:val="center"/>
            </w:pPr>
            <w:r w:rsidRPr="00C9343F">
              <w:t>e.</w:t>
            </w:r>
          </w:p>
        </w:tc>
        <w:tc>
          <w:tcPr>
            <w:tcW w:w="7796" w:type="dxa"/>
          </w:tcPr>
          <w:p w14:paraId="403E8024" w14:textId="77777777" w:rsidR="008B4402" w:rsidRPr="00C9343F" w:rsidRDefault="008B4402" w:rsidP="00F66D98">
            <w:pPr>
              <w:pStyle w:val="BlockText-Plain"/>
            </w:pPr>
            <w:r w:rsidRPr="00C9343F">
              <w:t>The member's supervisor may request supporting documents for a period of carer's leave of less than the three days to confirm that the use of the carer's leave is consistent with the circumstances for which it was granted.</w:t>
            </w:r>
          </w:p>
        </w:tc>
      </w:tr>
      <w:tr w:rsidR="008B4402" w:rsidRPr="00C9343F" w14:paraId="017418E9" w14:textId="77777777" w:rsidTr="008B4402">
        <w:trPr>
          <w:cantSplit/>
        </w:trPr>
        <w:tc>
          <w:tcPr>
            <w:tcW w:w="992" w:type="dxa"/>
          </w:tcPr>
          <w:p w14:paraId="3C913ACC" w14:textId="77777777" w:rsidR="008B4402" w:rsidRPr="00C9343F" w:rsidRDefault="008B4402" w:rsidP="00F66D98">
            <w:pPr>
              <w:pStyle w:val="BlockText-Plain"/>
            </w:pPr>
          </w:p>
        </w:tc>
        <w:tc>
          <w:tcPr>
            <w:tcW w:w="567" w:type="dxa"/>
          </w:tcPr>
          <w:p w14:paraId="2A89672C" w14:textId="77777777" w:rsidR="008B4402" w:rsidRPr="00C9343F" w:rsidRDefault="008B4402" w:rsidP="005849DD">
            <w:pPr>
              <w:pStyle w:val="BlockText-Plain"/>
              <w:jc w:val="center"/>
            </w:pPr>
            <w:r w:rsidRPr="00C9343F">
              <w:t>f.</w:t>
            </w:r>
          </w:p>
        </w:tc>
        <w:tc>
          <w:tcPr>
            <w:tcW w:w="7796" w:type="dxa"/>
          </w:tcPr>
          <w:p w14:paraId="7447CC43" w14:textId="77777777" w:rsidR="008B4402" w:rsidRPr="00C9343F" w:rsidRDefault="008B4402" w:rsidP="00F66D98">
            <w:pPr>
              <w:pStyle w:val="BlockText-Plain"/>
            </w:pPr>
            <w:r w:rsidRPr="00C9343F">
              <w:t xml:space="preserve">Carer's leave for an unexpected emergency under </w:t>
            </w:r>
            <w:r w:rsidR="00D15C20" w:rsidRPr="00C9343F">
              <w:rPr>
                <w:rFonts w:cs="Arial"/>
                <w:color w:val="000000"/>
                <w:shd w:val="clear" w:color="auto" w:fill="FFFFFF"/>
              </w:rPr>
              <w:t>paragraph 2.b</w:t>
            </w:r>
            <w:r w:rsidRPr="00C9343F">
              <w:t>, may only be granted for a maximum of two days for each occurrence.</w:t>
            </w:r>
          </w:p>
        </w:tc>
      </w:tr>
      <w:tr w:rsidR="008B4402" w:rsidRPr="00C9343F" w14:paraId="7A2504C3" w14:textId="77777777" w:rsidTr="008B4402">
        <w:tc>
          <w:tcPr>
            <w:tcW w:w="992" w:type="dxa"/>
          </w:tcPr>
          <w:p w14:paraId="5DEC4BC7" w14:textId="77777777" w:rsidR="008B4402" w:rsidRPr="00C9343F" w:rsidRDefault="008B4402" w:rsidP="00F66D98">
            <w:pPr>
              <w:pStyle w:val="BlockText-Plain"/>
              <w:jc w:val="center"/>
            </w:pPr>
            <w:r w:rsidRPr="00C9343F">
              <w:t>4.</w:t>
            </w:r>
          </w:p>
        </w:tc>
        <w:tc>
          <w:tcPr>
            <w:tcW w:w="8363" w:type="dxa"/>
            <w:gridSpan w:val="2"/>
          </w:tcPr>
          <w:p w14:paraId="4D2406C8" w14:textId="77777777" w:rsidR="008B4402" w:rsidRPr="00C9343F" w:rsidRDefault="00D15C20" w:rsidP="00F66D98">
            <w:pPr>
              <w:pStyle w:val="BlockText-Plain"/>
            </w:pPr>
            <w:r w:rsidRPr="00C9343F">
              <w:rPr>
                <w:rFonts w:cs="Arial"/>
                <w:color w:val="000000"/>
                <w:shd w:val="clear" w:color="auto" w:fill="FFFFFF"/>
              </w:rPr>
              <w:t>The CDF may grant additional carer's leave to a member who has already been granted their leave limit. The CDF must consider whether any of the following are available to the member.</w:t>
            </w:r>
          </w:p>
        </w:tc>
      </w:tr>
      <w:tr w:rsidR="008B4402" w:rsidRPr="00C9343F" w14:paraId="5B360D40" w14:textId="77777777" w:rsidTr="008B4402">
        <w:trPr>
          <w:cantSplit/>
        </w:trPr>
        <w:tc>
          <w:tcPr>
            <w:tcW w:w="992" w:type="dxa"/>
          </w:tcPr>
          <w:p w14:paraId="7934B26F" w14:textId="77777777" w:rsidR="008B4402" w:rsidRPr="00C9343F" w:rsidRDefault="008B4402" w:rsidP="00F66D98">
            <w:pPr>
              <w:pStyle w:val="BlockText-Plain"/>
            </w:pPr>
          </w:p>
        </w:tc>
        <w:tc>
          <w:tcPr>
            <w:tcW w:w="567" w:type="dxa"/>
          </w:tcPr>
          <w:p w14:paraId="75AE476E" w14:textId="77777777" w:rsidR="008B4402" w:rsidRPr="00C9343F" w:rsidRDefault="008B4402" w:rsidP="005849DD">
            <w:pPr>
              <w:pStyle w:val="BlockText-Plain"/>
              <w:jc w:val="center"/>
            </w:pPr>
            <w:r w:rsidRPr="00C9343F">
              <w:t>a.</w:t>
            </w:r>
          </w:p>
        </w:tc>
        <w:tc>
          <w:tcPr>
            <w:tcW w:w="7796" w:type="dxa"/>
          </w:tcPr>
          <w:p w14:paraId="39F73196" w14:textId="77777777" w:rsidR="008B4402" w:rsidRPr="00C9343F" w:rsidRDefault="00D15C20" w:rsidP="00F66D98">
            <w:pPr>
              <w:pStyle w:val="BlockText-Plain"/>
            </w:pPr>
            <w:r w:rsidRPr="00C9343F">
              <w:rPr>
                <w:rFonts w:cs="Arial"/>
                <w:color w:val="000000"/>
                <w:shd w:val="clear" w:color="auto" w:fill="FFFFFF"/>
              </w:rPr>
              <w:t>Other forms of paid leave.</w:t>
            </w:r>
          </w:p>
        </w:tc>
      </w:tr>
      <w:tr w:rsidR="008B4402" w:rsidRPr="00C9343F" w14:paraId="3BAD4134" w14:textId="77777777" w:rsidTr="008B4402">
        <w:trPr>
          <w:cantSplit/>
        </w:trPr>
        <w:tc>
          <w:tcPr>
            <w:tcW w:w="992" w:type="dxa"/>
          </w:tcPr>
          <w:p w14:paraId="43A72E36" w14:textId="77777777" w:rsidR="008B4402" w:rsidRPr="00C9343F" w:rsidRDefault="008B4402" w:rsidP="00F66D98">
            <w:pPr>
              <w:pStyle w:val="BlockText-Plain"/>
            </w:pPr>
          </w:p>
        </w:tc>
        <w:tc>
          <w:tcPr>
            <w:tcW w:w="567" w:type="dxa"/>
          </w:tcPr>
          <w:p w14:paraId="7FA49EE9" w14:textId="77777777" w:rsidR="008B4402" w:rsidRPr="00C9343F" w:rsidRDefault="008B4402" w:rsidP="005849DD">
            <w:pPr>
              <w:pStyle w:val="BlockText-Plain"/>
              <w:jc w:val="center"/>
            </w:pPr>
            <w:r w:rsidRPr="00C9343F">
              <w:t>b.</w:t>
            </w:r>
          </w:p>
        </w:tc>
        <w:tc>
          <w:tcPr>
            <w:tcW w:w="7796" w:type="dxa"/>
          </w:tcPr>
          <w:p w14:paraId="697153EB" w14:textId="77777777" w:rsidR="008B4402" w:rsidRPr="00C9343F" w:rsidRDefault="00D15C20" w:rsidP="00F66D98">
            <w:pPr>
              <w:pStyle w:val="BlockText-Plain"/>
            </w:pPr>
            <w:r w:rsidRPr="00C9343F">
              <w:rPr>
                <w:rFonts w:cs="Arial"/>
                <w:color w:val="000000"/>
                <w:shd w:val="clear" w:color="auto" w:fill="FFFFFF"/>
              </w:rPr>
              <w:t>Alternative care options.</w:t>
            </w:r>
          </w:p>
        </w:tc>
      </w:tr>
    </w:tbl>
    <w:p w14:paraId="00AB31C6" w14:textId="1902B1AD" w:rsidR="008B4402" w:rsidRPr="00C9343F" w:rsidRDefault="008B4402" w:rsidP="00F66D98">
      <w:pPr>
        <w:pStyle w:val="Heading4"/>
        <w:pageBreakBefore/>
      </w:pPr>
      <w:bookmarkStart w:id="1898" w:name="_Toc105054135"/>
      <w:r w:rsidRPr="00C9343F">
        <w:t>Division 4: Special leave for private purposes</w:t>
      </w:r>
      <w:bookmarkEnd w:id="1898"/>
    </w:p>
    <w:p w14:paraId="42A13027" w14:textId="3733FB86" w:rsidR="008B4402" w:rsidRPr="00C9343F" w:rsidRDefault="008B4402" w:rsidP="00F66D98">
      <w:pPr>
        <w:pStyle w:val="Heading5"/>
      </w:pPr>
      <w:bookmarkStart w:id="1899" w:name="_Toc105054136"/>
      <w:r w:rsidRPr="00C9343F">
        <w:t>5.9.13</w:t>
      </w:r>
      <w:r w:rsidR="00D94006" w:rsidRPr="00C9343F">
        <w:t>    </w:t>
      </w:r>
      <w:r w:rsidRPr="00C9343F">
        <w:t>Member this Division applies to</w:t>
      </w:r>
      <w:bookmarkEnd w:id="1899"/>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2E5BCFFC" w14:textId="77777777" w:rsidTr="008B4402">
        <w:tc>
          <w:tcPr>
            <w:tcW w:w="992" w:type="dxa"/>
          </w:tcPr>
          <w:p w14:paraId="3CC11CFD" w14:textId="77777777" w:rsidR="008B4402" w:rsidRPr="00C9343F" w:rsidRDefault="008B4402" w:rsidP="00F66D98">
            <w:pPr>
              <w:pStyle w:val="BlockText-Plain"/>
              <w:jc w:val="center"/>
            </w:pPr>
          </w:p>
        </w:tc>
        <w:tc>
          <w:tcPr>
            <w:tcW w:w="8363" w:type="dxa"/>
            <w:gridSpan w:val="2"/>
          </w:tcPr>
          <w:p w14:paraId="5781EC87" w14:textId="77777777" w:rsidR="008B4402" w:rsidRPr="00C9343F" w:rsidRDefault="008B4402" w:rsidP="00F66D98">
            <w:pPr>
              <w:pStyle w:val="BlockText-Plain"/>
            </w:pPr>
            <w:r w:rsidRPr="00C9343F">
              <w:t xml:space="preserve">This Division applies to these members. </w:t>
            </w:r>
          </w:p>
        </w:tc>
      </w:tr>
      <w:tr w:rsidR="008B4402" w:rsidRPr="00C9343F" w14:paraId="580AACC7" w14:textId="77777777" w:rsidTr="008B4402">
        <w:trPr>
          <w:cantSplit/>
        </w:trPr>
        <w:tc>
          <w:tcPr>
            <w:tcW w:w="992" w:type="dxa"/>
          </w:tcPr>
          <w:p w14:paraId="1346C154" w14:textId="77777777" w:rsidR="008B4402" w:rsidRPr="00C9343F" w:rsidRDefault="008B4402" w:rsidP="00F66D98">
            <w:pPr>
              <w:pStyle w:val="BlockText-Plain"/>
            </w:pPr>
          </w:p>
        </w:tc>
        <w:tc>
          <w:tcPr>
            <w:tcW w:w="567" w:type="dxa"/>
          </w:tcPr>
          <w:p w14:paraId="1C7371A2" w14:textId="77777777" w:rsidR="008B4402" w:rsidRPr="00C9343F" w:rsidRDefault="008B4402" w:rsidP="005849DD">
            <w:pPr>
              <w:pStyle w:val="BlockText-Plain"/>
              <w:jc w:val="center"/>
            </w:pPr>
            <w:r w:rsidRPr="00C9343F">
              <w:t>a.</w:t>
            </w:r>
          </w:p>
        </w:tc>
        <w:tc>
          <w:tcPr>
            <w:tcW w:w="7796" w:type="dxa"/>
          </w:tcPr>
          <w:p w14:paraId="13DB1D96" w14:textId="77777777" w:rsidR="008B4402" w:rsidRPr="00C9343F" w:rsidRDefault="008B4402" w:rsidP="00F66D98">
            <w:pPr>
              <w:pStyle w:val="BlockText-Plain"/>
            </w:pPr>
            <w:r w:rsidRPr="00C9343F">
              <w:t>The CDF.</w:t>
            </w:r>
          </w:p>
        </w:tc>
      </w:tr>
      <w:tr w:rsidR="008B4402" w:rsidRPr="00C9343F" w14:paraId="663F0CFB" w14:textId="77777777" w:rsidTr="008B4402">
        <w:trPr>
          <w:cantSplit/>
        </w:trPr>
        <w:tc>
          <w:tcPr>
            <w:tcW w:w="992" w:type="dxa"/>
          </w:tcPr>
          <w:p w14:paraId="2C932B5B" w14:textId="77777777" w:rsidR="008B4402" w:rsidRPr="00C9343F" w:rsidRDefault="008B4402" w:rsidP="00F66D98">
            <w:pPr>
              <w:pStyle w:val="BlockText-Plain"/>
            </w:pPr>
          </w:p>
        </w:tc>
        <w:tc>
          <w:tcPr>
            <w:tcW w:w="567" w:type="dxa"/>
          </w:tcPr>
          <w:p w14:paraId="24F30C77" w14:textId="77777777" w:rsidR="008B4402" w:rsidRPr="00C9343F" w:rsidRDefault="008B4402" w:rsidP="005849DD">
            <w:pPr>
              <w:pStyle w:val="BlockText-Plain"/>
              <w:jc w:val="center"/>
            </w:pPr>
            <w:r w:rsidRPr="00C9343F">
              <w:t>b.</w:t>
            </w:r>
          </w:p>
        </w:tc>
        <w:tc>
          <w:tcPr>
            <w:tcW w:w="7796" w:type="dxa"/>
          </w:tcPr>
          <w:p w14:paraId="1B31F2DF" w14:textId="77777777" w:rsidR="008B4402" w:rsidRPr="00C9343F" w:rsidRDefault="008B4402" w:rsidP="00F66D98">
            <w:pPr>
              <w:pStyle w:val="BlockText-Plain"/>
            </w:pPr>
            <w:r w:rsidRPr="00C9343F">
              <w:t>The Vice Chief of the Defence Force.</w:t>
            </w:r>
          </w:p>
        </w:tc>
      </w:tr>
      <w:tr w:rsidR="008B4402" w:rsidRPr="00C9343F" w14:paraId="0A0701E4" w14:textId="77777777" w:rsidTr="008B4402">
        <w:trPr>
          <w:cantSplit/>
        </w:trPr>
        <w:tc>
          <w:tcPr>
            <w:tcW w:w="992" w:type="dxa"/>
          </w:tcPr>
          <w:p w14:paraId="1BE1ED53" w14:textId="77777777" w:rsidR="008B4402" w:rsidRPr="00C9343F" w:rsidRDefault="008B4402" w:rsidP="00F66D98">
            <w:pPr>
              <w:pStyle w:val="BlockText-Plain"/>
            </w:pPr>
          </w:p>
        </w:tc>
        <w:tc>
          <w:tcPr>
            <w:tcW w:w="567" w:type="dxa"/>
          </w:tcPr>
          <w:p w14:paraId="455A5175" w14:textId="77777777" w:rsidR="008B4402" w:rsidRPr="00C9343F" w:rsidRDefault="008B4402" w:rsidP="005849DD">
            <w:pPr>
              <w:pStyle w:val="BlockText-Plain"/>
              <w:jc w:val="center"/>
            </w:pPr>
            <w:r w:rsidRPr="00C9343F">
              <w:t>c.</w:t>
            </w:r>
          </w:p>
        </w:tc>
        <w:tc>
          <w:tcPr>
            <w:tcW w:w="7796" w:type="dxa"/>
          </w:tcPr>
          <w:p w14:paraId="34F3DA35" w14:textId="77777777" w:rsidR="008B4402" w:rsidRPr="00C9343F" w:rsidRDefault="008B4402" w:rsidP="00F66D98">
            <w:pPr>
              <w:pStyle w:val="BlockText-Plain"/>
            </w:pPr>
            <w:r w:rsidRPr="00C9343F">
              <w:t>A Service Chief.</w:t>
            </w:r>
          </w:p>
        </w:tc>
      </w:tr>
    </w:tbl>
    <w:p w14:paraId="49E04B1D" w14:textId="3976CCED" w:rsidR="008B4402" w:rsidRPr="00C9343F" w:rsidRDefault="008B4402" w:rsidP="00F66D98">
      <w:pPr>
        <w:pStyle w:val="Heading5"/>
      </w:pPr>
      <w:bookmarkStart w:id="1900" w:name="_Toc105054137"/>
      <w:r w:rsidRPr="00C9343F">
        <w:t>5.9.14</w:t>
      </w:r>
      <w:r w:rsidR="00D94006" w:rsidRPr="00C9343F">
        <w:t>    </w:t>
      </w:r>
      <w:r w:rsidRPr="00C9343F">
        <w:t>Special leave for private purposes</w:t>
      </w:r>
      <w:bookmarkEnd w:id="1900"/>
    </w:p>
    <w:tbl>
      <w:tblPr>
        <w:tblW w:w="0" w:type="auto"/>
        <w:tblInd w:w="113" w:type="dxa"/>
        <w:tblLayout w:type="fixed"/>
        <w:tblLook w:val="0000" w:firstRow="0" w:lastRow="0" w:firstColumn="0" w:lastColumn="0" w:noHBand="0" w:noVBand="0"/>
      </w:tblPr>
      <w:tblGrid>
        <w:gridCol w:w="992"/>
        <w:gridCol w:w="8363"/>
      </w:tblGrid>
      <w:tr w:rsidR="008B4402" w:rsidRPr="00C9343F" w14:paraId="7F929E3B" w14:textId="77777777" w:rsidTr="008B4402">
        <w:tc>
          <w:tcPr>
            <w:tcW w:w="992" w:type="dxa"/>
          </w:tcPr>
          <w:p w14:paraId="3CAE75B8" w14:textId="77777777" w:rsidR="008B4402" w:rsidRPr="00C9343F" w:rsidRDefault="008B4402" w:rsidP="00F66D98">
            <w:pPr>
              <w:pStyle w:val="BlockText-Plain"/>
              <w:jc w:val="center"/>
            </w:pPr>
            <w:r w:rsidRPr="00C9343F">
              <w:t>1.</w:t>
            </w:r>
          </w:p>
        </w:tc>
        <w:tc>
          <w:tcPr>
            <w:tcW w:w="8363" w:type="dxa"/>
          </w:tcPr>
          <w:p w14:paraId="37136EE8" w14:textId="36F9A07C" w:rsidR="008B4402" w:rsidRPr="00C9343F" w:rsidRDefault="008B4402" w:rsidP="00F66D98">
            <w:pPr>
              <w:pStyle w:val="BlockText-Plain"/>
            </w:pPr>
            <w:r w:rsidRPr="00C9343F">
              <w:t>If a member’s recreation leave credit expires under section 5.4.34, an approving authority may grant them a period of special leave for private purposes equal to the period of recreation leave credit that expires.</w:t>
            </w:r>
          </w:p>
        </w:tc>
      </w:tr>
      <w:tr w:rsidR="008B4402" w:rsidRPr="00C9343F" w14:paraId="1E908374" w14:textId="77777777" w:rsidTr="008B4402">
        <w:tc>
          <w:tcPr>
            <w:tcW w:w="992" w:type="dxa"/>
          </w:tcPr>
          <w:p w14:paraId="36CD497A" w14:textId="77777777" w:rsidR="008B4402" w:rsidRPr="00C9343F" w:rsidRDefault="008B4402" w:rsidP="00F66D98">
            <w:pPr>
              <w:pStyle w:val="BlockText-Plain"/>
              <w:jc w:val="center"/>
            </w:pPr>
            <w:r w:rsidRPr="00C9343F">
              <w:t>2.</w:t>
            </w:r>
          </w:p>
        </w:tc>
        <w:tc>
          <w:tcPr>
            <w:tcW w:w="8363" w:type="dxa"/>
          </w:tcPr>
          <w:p w14:paraId="7C889386" w14:textId="718CB753" w:rsidR="008B4402" w:rsidRPr="00C9343F" w:rsidRDefault="008B4402" w:rsidP="00F66D98">
            <w:pPr>
              <w:pStyle w:val="BlockText-Plain"/>
            </w:pPr>
            <w:r w:rsidRPr="00C9343F">
              <w:t xml:space="preserve">The maximum period of leave that may be granted to the member is 30 days in any </w:t>
            </w:r>
            <w:r w:rsidR="008F78C4" w:rsidRPr="00C9343F">
              <w:t>financial</w:t>
            </w:r>
            <w:r w:rsidRPr="00C9343F">
              <w:t xml:space="preserve"> year. This is unless an approving authority decides otherwise.</w:t>
            </w:r>
          </w:p>
        </w:tc>
      </w:tr>
      <w:tr w:rsidR="008B4402" w:rsidRPr="00C9343F" w14:paraId="5029DB7E" w14:textId="77777777" w:rsidTr="008B4402">
        <w:tc>
          <w:tcPr>
            <w:tcW w:w="992" w:type="dxa"/>
          </w:tcPr>
          <w:p w14:paraId="290FB1B7" w14:textId="77777777" w:rsidR="008B4402" w:rsidRPr="00C9343F" w:rsidRDefault="008B4402" w:rsidP="00F66D98">
            <w:pPr>
              <w:pStyle w:val="BlockText-Plain"/>
              <w:jc w:val="center"/>
            </w:pPr>
            <w:r w:rsidRPr="00C9343F">
              <w:t>3.</w:t>
            </w:r>
          </w:p>
        </w:tc>
        <w:tc>
          <w:tcPr>
            <w:tcW w:w="8363" w:type="dxa"/>
          </w:tcPr>
          <w:p w14:paraId="5A217246" w14:textId="77777777" w:rsidR="008B4402" w:rsidRPr="00C9343F" w:rsidRDefault="008B4402" w:rsidP="00F66D98">
            <w:pPr>
              <w:pStyle w:val="BlockText-Plain"/>
            </w:pPr>
            <w:r w:rsidRPr="00C9343F">
              <w:t>This table sets out who has the authority to approve special leave for private purposes.</w:t>
            </w:r>
          </w:p>
        </w:tc>
      </w:tr>
    </w:tbl>
    <w:p w14:paraId="70D65879" w14:textId="77777777" w:rsidR="008B4402" w:rsidRPr="00C9343F" w:rsidRDefault="008B4402" w:rsidP="00F66D98">
      <w:pPr>
        <w:pStyle w:val="BlockText-PlainNoSpacing"/>
      </w:pPr>
    </w:p>
    <w:tbl>
      <w:tblPr>
        <w:tblW w:w="0" w:type="auto"/>
        <w:tblInd w:w="1049" w:type="dxa"/>
        <w:tblLayout w:type="fixed"/>
        <w:tblCellMar>
          <w:left w:w="56" w:type="dxa"/>
          <w:right w:w="56" w:type="dxa"/>
        </w:tblCellMar>
        <w:tblLook w:val="0000" w:firstRow="0" w:lastRow="0" w:firstColumn="0" w:lastColumn="0" w:noHBand="0" w:noVBand="0"/>
      </w:tblPr>
      <w:tblGrid>
        <w:gridCol w:w="708"/>
        <w:gridCol w:w="3614"/>
        <w:gridCol w:w="4041"/>
      </w:tblGrid>
      <w:tr w:rsidR="008B4402" w:rsidRPr="00C9343F" w14:paraId="09EE7108"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6A0D02C8" w14:textId="77777777" w:rsidR="008B4402" w:rsidRPr="00C9343F" w:rsidRDefault="008B4402" w:rsidP="00F66D98">
            <w:pPr>
              <w:pStyle w:val="TableHeaderArial"/>
            </w:pPr>
            <w:r w:rsidRPr="00C9343F">
              <w:t>Item</w:t>
            </w:r>
          </w:p>
        </w:tc>
        <w:tc>
          <w:tcPr>
            <w:tcW w:w="3614" w:type="dxa"/>
            <w:tcBorders>
              <w:top w:val="single" w:sz="6" w:space="0" w:color="auto"/>
              <w:left w:val="single" w:sz="6" w:space="0" w:color="auto"/>
              <w:bottom w:val="single" w:sz="6" w:space="0" w:color="auto"/>
              <w:right w:val="single" w:sz="6" w:space="0" w:color="auto"/>
            </w:tcBorders>
          </w:tcPr>
          <w:p w14:paraId="103090FF" w14:textId="554F529D" w:rsidR="008B4402" w:rsidRPr="00C9343F" w:rsidRDefault="008B4402" w:rsidP="00F66D98">
            <w:pPr>
              <w:pStyle w:val="TableHeaderArial"/>
            </w:pPr>
            <w:r w:rsidRPr="00C9343F">
              <w:t>If the member is the</w:t>
            </w:r>
            <w:r w:rsidR="00D94006" w:rsidRPr="00C9343F">
              <w:t>    </w:t>
            </w:r>
          </w:p>
        </w:tc>
        <w:tc>
          <w:tcPr>
            <w:tcW w:w="4041" w:type="dxa"/>
            <w:tcBorders>
              <w:top w:val="single" w:sz="6" w:space="0" w:color="auto"/>
              <w:left w:val="single" w:sz="6" w:space="0" w:color="auto"/>
              <w:bottom w:val="single" w:sz="6" w:space="0" w:color="auto"/>
              <w:right w:val="single" w:sz="6" w:space="0" w:color="auto"/>
            </w:tcBorders>
          </w:tcPr>
          <w:p w14:paraId="32372E0D" w14:textId="18AFCB71" w:rsidR="008B4402" w:rsidRPr="00C9343F" w:rsidRDefault="008B4402" w:rsidP="00F66D98">
            <w:pPr>
              <w:pStyle w:val="TableHeaderArial"/>
            </w:pPr>
            <w:r w:rsidRPr="00C9343F">
              <w:t>then the approving authority is the</w:t>
            </w:r>
            <w:r w:rsidR="00D94006" w:rsidRPr="00C9343F">
              <w:t>    </w:t>
            </w:r>
          </w:p>
        </w:tc>
      </w:tr>
      <w:tr w:rsidR="008B4402" w:rsidRPr="00C9343F" w14:paraId="3D8FF9EA"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1B72FE40" w14:textId="77777777" w:rsidR="008B4402" w:rsidRPr="00C9343F" w:rsidRDefault="008B4402" w:rsidP="00F66D98">
            <w:pPr>
              <w:pStyle w:val="TableTextArial-left"/>
              <w:jc w:val="center"/>
            </w:pPr>
            <w:r w:rsidRPr="00C9343F">
              <w:t>1.</w:t>
            </w:r>
          </w:p>
        </w:tc>
        <w:tc>
          <w:tcPr>
            <w:tcW w:w="3614" w:type="dxa"/>
            <w:tcBorders>
              <w:top w:val="single" w:sz="6" w:space="0" w:color="auto"/>
              <w:left w:val="single" w:sz="6" w:space="0" w:color="auto"/>
              <w:bottom w:val="single" w:sz="6" w:space="0" w:color="auto"/>
              <w:right w:val="single" w:sz="6" w:space="0" w:color="auto"/>
            </w:tcBorders>
          </w:tcPr>
          <w:p w14:paraId="25909586" w14:textId="77777777" w:rsidR="008B4402" w:rsidRPr="00C9343F" w:rsidRDefault="008B4402" w:rsidP="00F66D98">
            <w:pPr>
              <w:pStyle w:val="TableTextArial-left"/>
            </w:pPr>
            <w:r w:rsidRPr="00C9343F">
              <w:t>CDF</w:t>
            </w:r>
          </w:p>
        </w:tc>
        <w:tc>
          <w:tcPr>
            <w:tcW w:w="4041" w:type="dxa"/>
            <w:tcBorders>
              <w:top w:val="single" w:sz="6" w:space="0" w:color="auto"/>
              <w:left w:val="single" w:sz="6" w:space="0" w:color="auto"/>
              <w:bottom w:val="single" w:sz="6" w:space="0" w:color="auto"/>
              <w:right w:val="single" w:sz="6" w:space="0" w:color="auto"/>
            </w:tcBorders>
          </w:tcPr>
          <w:p w14:paraId="36C4F8F7" w14:textId="77777777" w:rsidR="008B4402" w:rsidRPr="00C9343F" w:rsidRDefault="008B4402" w:rsidP="00F66D98">
            <w:pPr>
              <w:pStyle w:val="TableTextArial-left"/>
            </w:pPr>
            <w:r w:rsidRPr="00C9343F">
              <w:t>Minister.</w:t>
            </w:r>
          </w:p>
        </w:tc>
      </w:tr>
      <w:tr w:rsidR="008B4402" w:rsidRPr="00C9343F" w14:paraId="7A5A544B"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57736C35" w14:textId="77777777" w:rsidR="008B4402" w:rsidRPr="00C9343F" w:rsidRDefault="008B4402" w:rsidP="00F66D98">
            <w:pPr>
              <w:pStyle w:val="TableTextArial-left"/>
              <w:jc w:val="center"/>
            </w:pPr>
            <w:r w:rsidRPr="00C9343F">
              <w:t>2.</w:t>
            </w:r>
          </w:p>
        </w:tc>
        <w:tc>
          <w:tcPr>
            <w:tcW w:w="3614" w:type="dxa"/>
            <w:tcBorders>
              <w:top w:val="single" w:sz="6" w:space="0" w:color="auto"/>
              <w:left w:val="single" w:sz="6" w:space="0" w:color="auto"/>
              <w:bottom w:val="single" w:sz="6" w:space="0" w:color="auto"/>
              <w:right w:val="single" w:sz="6" w:space="0" w:color="auto"/>
            </w:tcBorders>
          </w:tcPr>
          <w:p w14:paraId="020B242B" w14:textId="77777777" w:rsidR="008B4402" w:rsidRPr="00C9343F" w:rsidRDefault="008B4402" w:rsidP="00F66D98">
            <w:pPr>
              <w:pStyle w:val="TableTextArial-left"/>
            </w:pPr>
            <w:r w:rsidRPr="00C9343F">
              <w:t>Vice Chief of the Defence Force or a Service Chief</w:t>
            </w:r>
          </w:p>
        </w:tc>
        <w:tc>
          <w:tcPr>
            <w:tcW w:w="4041" w:type="dxa"/>
            <w:tcBorders>
              <w:top w:val="single" w:sz="6" w:space="0" w:color="auto"/>
              <w:left w:val="single" w:sz="6" w:space="0" w:color="auto"/>
              <w:bottom w:val="single" w:sz="6" w:space="0" w:color="auto"/>
              <w:right w:val="single" w:sz="6" w:space="0" w:color="auto"/>
            </w:tcBorders>
          </w:tcPr>
          <w:p w14:paraId="00774337" w14:textId="77777777" w:rsidR="008B4402" w:rsidRPr="00C9343F" w:rsidRDefault="008B4402" w:rsidP="00F66D98">
            <w:pPr>
              <w:pStyle w:val="TableTextArial-left"/>
            </w:pPr>
            <w:r w:rsidRPr="00C9343F">
              <w:t>CDF.</w:t>
            </w:r>
          </w:p>
        </w:tc>
      </w:tr>
    </w:tbl>
    <w:p w14:paraId="79686B49" w14:textId="5023FD49" w:rsidR="008B4402" w:rsidRPr="00C9343F" w:rsidRDefault="008B4402" w:rsidP="00130031">
      <w:pPr>
        <w:pStyle w:val="Heading4"/>
        <w:pageBreakBefore/>
      </w:pPr>
      <w:bookmarkStart w:id="1901" w:name="_Toc105054138"/>
      <w:r w:rsidRPr="00C9343F">
        <w:t>Division 5: Examination leave</w:t>
      </w:r>
      <w:bookmarkEnd w:id="1901"/>
    </w:p>
    <w:p w14:paraId="35E8CDA0" w14:textId="524DD226" w:rsidR="008B4402" w:rsidRPr="00C9343F" w:rsidRDefault="008B4402" w:rsidP="00F66D98">
      <w:pPr>
        <w:pStyle w:val="Heading5"/>
      </w:pPr>
      <w:bookmarkStart w:id="1902" w:name="_Toc105054139"/>
      <w:r w:rsidRPr="00C9343F">
        <w:t>5.9.15</w:t>
      </w:r>
      <w:r w:rsidR="00D94006" w:rsidRPr="00C9343F">
        <w:t>    </w:t>
      </w:r>
      <w:r w:rsidRPr="00C9343F">
        <w:t>Examination leave</w:t>
      </w:r>
      <w:bookmarkEnd w:id="1902"/>
    </w:p>
    <w:tbl>
      <w:tblPr>
        <w:tblW w:w="0" w:type="auto"/>
        <w:tblInd w:w="113" w:type="dxa"/>
        <w:tblLayout w:type="fixed"/>
        <w:tblLook w:val="0000" w:firstRow="0" w:lastRow="0" w:firstColumn="0" w:lastColumn="0" w:noHBand="0" w:noVBand="0"/>
      </w:tblPr>
      <w:tblGrid>
        <w:gridCol w:w="992"/>
        <w:gridCol w:w="8363"/>
      </w:tblGrid>
      <w:tr w:rsidR="008B4402" w:rsidRPr="00C9343F" w14:paraId="396A766D" w14:textId="77777777" w:rsidTr="008B4402">
        <w:tc>
          <w:tcPr>
            <w:tcW w:w="992" w:type="dxa"/>
          </w:tcPr>
          <w:p w14:paraId="3F254193" w14:textId="77777777" w:rsidR="008B4402" w:rsidRPr="00C9343F" w:rsidRDefault="008B4402" w:rsidP="00F66D98">
            <w:pPr>
              <w:pStyle w:val="BlockText-Plain"/>
              <w:jc w:val="center"/>
            </w:pPr>
            <w:r w:rsidRPr="00C9343F">
              <w:t>1.</w:t>
            </w:r>
          </w:p>
        </w:tc>
        <w:tc>
          <w:tcPr>
            <w:tcW w:w="8363" w:type="dxa"/>
          </w:tcPr>
          <w:p w14:paraId="13518510" w14:textId="794556C3" w:rsidR="008B4402" w:rsidRPr="00C9343F" w:rsidRDefault="008B4402" w:rsidP="00F66D98">
            <w:pPr>
              <w:pStyle w:val="BlockText-Plain"/>
            </w:pPr>
            <w:r w:rsidRPr="00C9343F">
              <w:t xml:space="preserve">The CDF may grant a member up to </w:t>
            </w:r>
            <w:r w:rsidR="00C86EAA" w:rsidRPr="00C9343F">
              <w:t>forty hours</w:t>
            </w:r>
            <w:r w:rsidRPr="00C9343F">
              <w:t xml:space="preserve"> leave in a </w:t>
            </w:r>
            <w:r w:rsidR="008F78C4" w:rsidRPr="00C9343F">
              <w:t>financial</w:t>
            </w:r>
            <w:r w:rsidRPr="00C9343F">
              <w:t xml:space="preserve"> year to attend examinations for a course of study.</w:t>
            </w:r>
          </w:p>
        </w:tc>
      </w:tr>
      <w:tr w:rsidR="004C5ED5" w:rsidRPr="00C9343F" w14:paraId="610124E4" w14:textId="77777777" w:rsidTr="008B4402">
        <w:tc>
          <w:tcPr>
            <w:tcW w:w="992" w:type="dxa"/>
          </w:tcPr>
          <w:p w14:paraId="444E159B" w14:textId="77777777" w:rsidR="004C5ED5" w:rsidRPr="00C9343F" w:rsidRDefault="004C5ED5" w:rsidP="00F66D98">
            <w:pPr>
              <w:pStyle w:val="BlockText-Plain"/>
              <w:jc w:val="center"/>
            </w:pPr>
            <w:r w:rsidRPr="00C9343F">
              <w:t>1A.</w:t>
            </w:r>
          </w:p>
        </w:tc>
        <w:tc>
          <w:tcPr>
            <w:tcW w:w="8363" w:type="dxa"/>
          </w:tcPr>
          <w:p w14:paraId="029FA544" w14:textId="77777777" w:rsidR="004C5ED5" w:rsidRPr="00C9343F" w:rsidRDefault="004C5ED5" w:rsidP="00F66D98">
            <w:pPr>
              <w:pStyle w:val="BlockText-Plain"/>
            </w:pPr>
            <w:r w:rsidRPr="00C9343F">
              <w:t>Examination leave and another type of leave may not be granted on the same day.</w:t>
            </w:r>
          </w:p>
          <w:p w14:paraId="4193DFE5" w14:textId="77777777" w:rsidR="004C5ED5" w:rsidRPr="00C9343F" w:rsidRDefault="004C5ED5" w:rsidP="00F66D98">
            <w:pPr>
              <w:pStyle w:val="BlockText-Plain"/>
            </w:pPr>
            <w:r w:rsidRPr="00C9343F">
              <w:rPr>
                <w:b/>
              </w:rPr>
              <w:t>Exception:</w:t>
            </w:r>
            <w:r w:rsidRPr="00C9343F">
              <w:t xml:space="preserve"> Short absence may be granted on the same day as examination leave.</w:t>
            </w:r>
          </w:p>
        </w:tc>
      </w:tr>
      <w:tr w:rsidR="008B4402" w:rsidRPr="00C9343F" w14:paraId="23D42574" w14:textId="77777777" w:rsidTr="008B4402">
        <w:tc>
          <w:tcPr>
            <w:tcW w:w="992" w:type="dxa"/>
          </w:tcPr>
          <w:p w14:paraId="03F1215D" w14:textId="77777777" w:rsidR="008B4402" w:rsidRPr="00C9343F" w:rsidRDefault="008B4402" w:rsidP="00F66D98">
            <w:pPr>
              <w:pStyle w:val="BlockText-Plain"/>
              <w:jc w:val="center"/>
            </w:pPr>
            <w:r w:rsidRPr="00C9343F">
              <w:t>2.</w:t>
            </w:r>
          </w:p>
        </w:tc>
        <w:tc>
          <w:tcPr>
            <w:tcW w:w="8363" w:type="dxa"/>
          </w:tcPr>
          <w:p w14:paraId="54999ACA" w14:textId="77777777" w:rsidR="008B4402" w:rsidRPr="00C9343F" w:rsidRDefault="008B4402" w:rsidP="00F66D98">
            <w:pPr>
              <w:pStyle w:val="BlockText-Plain"/>
            </w:pPr>
            <w:r w:rsidRPr="00C9343F">
              <w:t>The course of study must be one for which the member received Commonwealth financial assistance to pay fees.</w:t>
            </w:r>
          </w:p>
        </w:tc>
      </w:tr>
      <w:tr w:rsidR="008B4402" w:rsidRPr="00C9343F" w14:paraId="0F3DB077" w14:textId="77777777" w:rsidTr="008B4402">
        <w:tc>
          <w:tcPr>
            <w:tcW w:w="992" w:type="dxa"/>
          </w:tcPr>
          <w:p w14:paraId="1CADA677" w14:textId="77777777" w:rsidR="008B4402" w:rsidRPr="00C9343F" w:rsidRDefault="008B4402" w:rsidP="00F66D98">
            <w:pPr>
              <w:pStyle w:val="BlockText-Plain"/>
              <w:jc w:val="center"/>
            </w:pPr>
            <w:r w:rsidRPr="00C9343F">
              <w:t>3.</w:t>
            </w:r>
          </w:p>
        </w:tc>
        <w:tc>
          <w:tcPr>
            <w:tcW w:w="8363" w:type="dxa"/>
          </w:tcPr>
          <w:p w14:paraId="4CD7D61B" w14:textId="77777777" w:rsidR="008B4402" w:rsidRPr="00C9343F" w:rsidRDefault="008B4402" w:rsidP="00F66D98">
            <w:pPr>
              <w:pStyle w:val="BlockText-Plain"/>
            </w:pPr>
            <w:r w:rsidRPr="00C9343F">
              <w:t xml:space="preserve">The </w:t>
            </w:r>
            <w:r w:rsidR="004C5ED5" w:rsidRPr="00C9343F">
              <w:t>forty hours</w:t>
            </w:r>
            <w:r w:rsidRPr="00C9343F">
              <w:t xml:space="preserve"> leave do not include Saturdays, Sundays and public holidays.</w:t>
            </w:r>
          </w:p>
        </w:tc>
      </w:tr>
      <w:tr w:rsidR="008B4402" w:rsidRPr="00C9343F" w14:paraId="2806B084" w14:textId="77777777" w:rsidTr="008B4402">
        <w:tc>
          <w:tcPr>
            <w:tcW w:w="992" w:type="dxa"/>
          </w:tcPr>
          <w:p w14:paraId="4CA772DD" w14:textId="77777777" w:rsidR="008B4402" w:rsidRPr="00C9343F" w:rsidRDefault="008B4402" w:rsidP="00F66D98">
            <w:pPr>
              <w:pStyle w:val="BlockText-Plain"/>
              <w:jc w:val="center"/>
            </w:pPr>
            <w:r w:rsidRPr="00C9343F">
              <w:t>4.</w:t>
            </w:r>
          </w:p>
        </w:tc>
        <w:tc>
          <w:tcPr>
            <w:tcW w:w="8363" w:type="dxa"/>
          </w:tcPr>
          <w:p w14:paraId="4EEE5383" w14:textId="77777777" w:rsidR="008B4402" w:rsidRPr="00C9343F" w:rsidRDefault="008B4402" w:rsidP="00F66D98">
            <w:pPr>
              <w:pStyle w:val="BlockText-Plain"/>
            </w:pPr>
            <w:r w:rsidRPr="00C9343F">
              <w:t>Examination leave may only be granted for the specific hours of the examination and a reasonable period for local travel to and from the examination.</w:t>
            </w:r>
          </w:p>
        </w:tc>
      </w:tr>
    </w:tbl>
    <w:p w14:paraId="7ABD0EAF" w14:textId="718B561C" w:rsidR="008B4402" w:rsidRPr="00C9343F" w:rsidRDefault="008B4402" w:rsidP="00130031">
      <w:pPr>
        <w:pStyle w:val="Heading4"/>
        <w:pageBreakBefore/>
      </w:pPr>
      <w:bookmarkStart w:id="1903" w:name="_Toc105054140"/>
      <w:r w:rsidRPr="00C9343F">
        <w:t>Division 6: Travelling leave</w:t>
      </w:r>
      <w:bookmarkEnd w:id="1903"/>
    </w:p>
    <w:p w14:paraId="41E93DDE" w14:textId="2C5CAAFC" w:rsidR="008B4402" w:rsidRPr="00C9343F" w:rsidRDefault="008B4402" w:rsidP="00F66D98">
      <w:pPr>
        <w:pStyle w:val="Heading5"/>
      </w:pPr>
      <w:bookmarkStart w:id="1904" w:name="_Toc105054141"/>
      <w:bookmarkStart w:id="1905" w:name="bk95725PM57xPurpose"/>
      <w:bookmarkStart w:id="1906" w:name="bk1217335710Purpose"/>
      <w:bookmarkStart w:id="1907" w:name="bk1542195712Purpose"/>
      <w:bookmarkStart w:id="1908" w:name="bk1406075714Purpose"/>
      <w:bookmarkStart w:id="1909" w:name="bk1211435715Purpose"/>
      <w:bookmarkStart w:id="1910" w:name="bk1154175715Purpose"/>
      <w:r w:rsidRPr="00C9343F">
        <w:t>5.9.16</w:t>
      </w:r>
      <w:r w:rsidR="00D94006" w:rsidRPr="00C9343F">
        <w:t>    </w:t>
      </w:r>
      <w:r w:rsidRPr="00C9343F">
        <w:t>Purpose</w:t>
      </w:r>
      <w:bookmarkEnd w:id="1904"/>
      <w:r w:rsidRPr="00C9343F">
        <w:t xml:space="preserve"> </w:t>
      </w:r>
    </w:p>
    <w:bookmarkEnd w:id="1905"/>
    <w:bookmarkEnd w:id="1906"/>
    <w:bookmarkEnd w:id="1907"/>
    <w:bookmarkEnd w:id="1908"/>
    <w:bookmarkEnd w:id="1909"/>
    <w:bookmarkEnd w:id="1910"/>
    <w:tbl>
      <w:tblPr>
        <w:tblW w:w="0" w:type="auto"/>
        <w:tblInd w:w="113" w:type="dxa"/>
        <w:tblLayout w:type="fixed"/>
        <w:tblLook w:val="0000" w:firstRow="0" w:lastRow="0" w:firstColumn="0" w:lastColumn="0" w:noHBand="0" w:noVBand="0"/>
      </w:tblPr>
      <w:tblGrid>
        <w:gridCol w:w="992"/>
        <w:gridCol w:w="8363"/>
      </w:tblGrid>
      <w:tr w:rsidR="008B4402" w:rsidRPr="00C9343F" w14:paraId="66D56206" w14:textId="77777777" w:rsidTr="008B4402">
        <w:tc>
          <w:tcPr>
            <w:tcW w:w="992" w:type="dxa"/>
          </w:tcPr>
          <w:p w14:paraId="2BF755E0" w14:textId="77777777" w:rsidR="008B4402" w:rsidRPr="00C9343F" w:rsidRDefault="008B4402" w:rsidP="00F66D98">
            <w:pPr>
              <w:pStyle w:val="BlockText-Plain"/>
              <w:jc w:val="center"/>
            </w:pPr>
          </w:p>
        </w:tc>
        <w:tc>
          <w:tcPr>
            <w:tcW w:w="8363" w:type="dxa"/>
          </w:tcPr>
          <w:p w14:paraId="4AA63F40" w14:textId="13F984C7" w:rsidR="008B4402" w:rsidRPr="00C9343F" w:rsidRDefault="008B4402" w:rsidP="00FE42AE">
            <w:pPr>
              <w:pStyle w:val="BlockText-Plain"/>
            </w:pPr>
            <w:r w:rsidRPr="00C9343F">
              <w:t>Travelling leave may be available to a member who is granted travel for longer than 12 hours. It allows the member to spend all of a recreation or compassionate leave period at the leave destination, no matter what the location.</w:t>
            </w:r>
          </w:p>
        </w:tc>
      </w:tr>
    </w:tbl>
    <w:p w14:paraId="231E6FFA" w14:textId="248840CA" w:rsidR="008B4402" w:rsidRPr="00C9343F" w:rsidRDefault="008B4402" w:rsidP="00F66D98">
      <w:pPr>
        <w:pStyle w:val="Heading5"/>
      </w:pPr>
      <w:bookmarkStart w:id="1911" w:name="_Toc105054142"/>
      <w:bookmarkStart w:id="1912" w:name="bk95726PM57xMemberthisDivisionappliesto"/>
      <w:bookmarkStart w:id="1913" w:name="bk1217335711MemberthisDivisionappliesto"/>
      <w:bookmarkStart w:id="1914" w:name="bk1542195713MemberthisDivisionappliesto"/>
      <w:bookmarkStart w:id="1915" w:name="bk1406075715MemberthisDivisionappliesto"/>
      <w:bookmarkStart w:id="1916" w:name="bk1211435716MemberthisDivisionappliesto"/>
      <w:bookmarkStart w:id="1917" w:name="bk1154175716MemberthisDivisionappliesto"/>
      <w:r w:rsidRPr="00C9343F">
        <w:t>5.9.17</w:t>
      </w:r>
      <w:r w:rsidR="00D94006" w:rsidRPr="00C9343F">
        <w:t>    </w:t>
      </w:r>
      <w:r w:rsidRPr="00C9343F">
        <w:t>Member this Division applies to</w:t>
      </w:r>
      <w:bookmarkEnd w:id="1911"/>
    </w:p>
    <w:tbl>
      <w:tblPr>
        <w:tblW w:w="9355" w:type="dxa"/>
        <w:tblInd w:w="113" w:type="dxa"/>
        <w:tblLayout w:type="fixed"/>
        <w:tblLook w:val="0000" w:firstRow="0" w:lastRow="0" w:firstColumn="0" w:lastColumn="0" w:noHBand="0" w:noVBand="0"/>
      </w:tblPr>
      <w:tblGrid>
        <w:gridCol w:w="992"/>
        <w:gridCol w:w="567"/>
        <w:gridCol w:w="7796"/>
      </w:tblGrid>
      <w:tr w:rsidR="008A3831" w:rsidRPr="00C9343F" w14:paraId="708FB11B" w14:textId="77777777" w:rsidTr="008A3831">
        <w:tc>
          <w:tcPr>
            <w:tcW w:w="992" w:type="dxa"/>
          </w:tcPr>
          <w:bookmarkEnd w:id="1912"/>
          <w:bookmarkEnd w:id="1913"/>
          <w:bookmarkEnd w:id="1914"/>
          <w:bookmarkEnd w:id="1915"/>
          <w:bookmarkEnd w:id="1916"/>
          <w:bookmarkEnd w:id="1917"/>
          <w:p w14:paraId="61BA7D98" w14:textId="12004195" w:rsidR="008A3831" w:rsidRPr="00C9343F" w:rsidRDefault="008A3831" w:rsidP="00F66D98">
            <w:pPr>
              <w:pStyle w:val="BlockText-Plain"/>
              <w:jc w:val="center"/>
            </w:pPr>
            <w:r w:rsidRPr="00C9343F">
              <w:t xml:space="preserve">1. </w:t>
            </w:r>
          </w:p>
        </w:tc>
        <w:tc>
          <w:tcPr>
            <w:tcW w:w="8363" w:type="dxa"/>
            <w:gridSpan w:val="2"/>
          </w:tcPr>
          <w:p w14:paraId="4A711DC3" w14:textId="79C74F1C" w:rsidR="008A3831" w:rsidRPr="00C9343F" w:rsidRDefault="008A3831" w:rsidP="00F66D98">
            <w:pPr>
              <w:pStyle w:val="BlockText-Plain"/>
            </w:pPr>
            <w:r w:rsidRPr="00C9343F">
              <w:rPr>
                <w:iCs/>
              </w:rPr>
              <w:t>This Division applies to a member who undertakes any of the following kinds of travel.</w:t>
            </w:r>
          </w:p>
        </w:tc>
      </w:tr>
      <w:tr w:rsidR="008A3831" w:rsidRPr="00C9343F" w14:paraId="692B5C12" w14:textId="77777777" w:rsidTr="008A3831">
        <w:trPr>
          <w:cantSplit/>
        </w:trPr>
        <w:tc>
          <w:tcPr>
            <w:tcW w:w="992" w:type="dxa"/>
          </w:tcPr>
          <w:p w14:paraId="538A4EE5" w14:textId="77777777" w:rsidR="008A3831" w:rsidRPr="00C9343F" w:rsidRDefault="008A3831" w:rsidP="00F66D98">
            <w:pPr>
              <w:pStyle w:val="BlockText-Plain"/>
            </w:pPr>
          </w:p>
        </w:tc>
        <w:tc>
          <w:tcPr>
            <w:tcW w:w="567" w:type="dxa"/>
          </w:tcPr>
          <w:p w14:paraId="7C018B38" w14:textId="77777777" w:rsidR="008A3831" w:rsidRPr="00C9343F" w:rsidRDefault="008A3831" w:rsidP="00F66D98">
            <w:pPr>
              <w:pStyle w:val="BlockText-Plain"/>
              <w:jc w:val="center"/>
            </w:pPr>
            <w:r w:rsidRPr="00C9343F">
              <w:t>a.</w:t>
            </w:r>
          </w:p>
        </w:tc>
        <w:tc>
          <w:tcPr>
            <w:tcW w:w="7796" w:type="dxa"/>
          </w:tcPr>
          <w:p w14:paraId="51A6056F" w14:textId="71A408CF" w:rsidR="008A3831" w:rsidRPr="00C9343F" w:rsidRDefault="008A3831" w:rsidP="00F66D98">
            <w:pPr>
              <w:pStyle w:val="BlockText-Plain"/>
            </w:pPr>
            <w:r w:rsidRPr="00C9343F">
              <w:rPr>
                <w:iCs/>
              </w:rPr>
              <w:t>Recreation leave travel taken in Australia only under Chapter 9 Part 4 Division 1.</w:t>
            </w:r>
          </w:p>
        </w:tc>
      </w:tr>
      <w:tr w:rsidR="008A3831" w:rsidRPr="00C9343F" w14:paraId="6B2A1F23" w14:textId="77777777" w:rsidTr="008A3831">
        <w:trPr>
          <w:cantSplit/>
        </w:trPr>
        <w:tc>
          <w:tcPr>
            <w:tcW w:w="992" w:type="dxa"/>
          </w:tcPr>
          <w:p w14:paraId="3F781C32" w14:textId="77777777" w:rsidR="008A3831" w:rsidRPr="00C9343F" w:rsidRDefault="008A3831" w:rsidP="00F66D98">
            <w:pPr>
              <w:pStyle w:val="BlockText-Plain"/>
            </w:pPr>
          </w:p>
        </w:tc>
        <w:tc>
          <w:tcPr>
            <w:tcW w:w="567" w:type="dxa"/>
          </w:tcPr>
          <w:p w14:paraId="7DDE7517" w14:textId="77777777" w:rsidR="008A3831" w:rsidRPr="00C9343F" w:rsidRDefault="008A3831" w:rsidP="00F66D98">
            <w:pPr>
              <w:pStyle w:val="BlockText-Plain"/>
              <w:jc w:val="center"/>
            </w:pPr>
            <w:r w:rsidRPr="00C9343F">
              <w:t>b.</w:t>
            </w:r>
          </w:p>
        </w:tc>
        <w:tc>
          <w:tcPr>
            <w:tcW w:w="7796" w:type="dxa"/>
          </w:tcPr>
          <w:p w14:paraId="3A019E7E" w14:textId="4DFD8093" w:rsidR="008A3831" w:rsidRPr="00C9343F" w:rsidRDefault="008A3831" w:rsidP="00F66D98">
            <w:pPr>
              <w:pStyle w:val="BlockText-Plain"/>
            </w:pPr>
            <w:r w:rsidRPr="00C9343F">
              <w:rPr>
                <w:iCs/>
              </w:rPr>
              <w:t>Compassionate travel under Chapter 9 Part 3 Division 8.</w:t>
            </w:r>
          </w:p>
        </w:tc>
      </w:tr>
      <w:tr w:rsidR="008A3831" w:rsidRPr="00C9343F" w14:paraId="67E026A5" w14:textId="77777777" w:rsidTr="008A3831">
        <w:trPr>
          <w:cantSplit/>
        </w:trPr>
        <w:tc>
          <w:tcPr>
            <w:tcW w:w="992" w:type="dxa"/>
          </w:tcPr>
          <w:p w14:paraId="49F979F9" w14:textId="77777777" w:rsidR="008A3831" w:rsidRPr="00C9343F" w:rsidRDefault="008A3831" w:rsidP="00F66D98">
            <w:pPr>
              <w:pStyle w:val="BlockText-Plain"/>
            </w:pPr>
          </w:p>
        </w:tc>
        <w:tc>
          <w:tcPr>
            <w:tcW w:w="567" w:type="dxa"/>
          </w:tcPr>
          <w:p w14:paraId="02C933D5" w14:textId="77777777" w:rsidR="008A3831" w:rsidRPr="00C9343F" w:rsidRDefault="008A3831" w:rsidP="00F66D98">
            <w:pPr>
              <w:pStyle w:val="BlockText-Plain"/>
              <w:jc w:val="center"/>
            </w:pPr>
            <w:r w:rsidRPr="00C9343F">
              <w:t>c.</w:t>
            </w:r>
          </w:p>
        </w:tc>
        <w:tc>
          <w:tcPr>
            <w:tcW w:w="7796" w:type="dxa"/>
          </w:tcPr>
          <w:p w14:paraId="5EEA9197" w14:textId="0B3AD076" w:rsidR="008A3831" w:rsidRPr="00C9343F" w:rsidRDefault="008A3831" w:rsidP="00F66D98">
            <w:pPr>
              <w:pStyle w:val="BlockText-Plain"/>
            </w:pPr>
            <w:r w:rsidRPr="00C9343F">
              <w:rPr>
                <w:iCs/>
              </w:rPr>
              <w:t>Pre-deployment leave travel under Chapter 9 Part 4 Division 2.</w:t>
            </w:r>
          </w:p>
        </w:tc>
      </w:tr>
      <w:tr w:rsidR="008A3831" w:rsidRPr="00C9343F" w14:paraId="5C7183D8" w14:textId="77777777" w:rsidTr="008A3831">
        <w:trPr>
          <w:cantSplit/>
        </w:trPr>
        <w:tc>
          <w:tcPr>
            <w:tcW w:w="992" w:type="dxa"/>
          </w:tcPr>
          <w:p w14:paraId="1D376B26" w14:textId="77777777" w:rsidR="008A3831" w:rsidRPr="00C9343F" w:rsidRDefault="008A3831" w:rsidP="00F66D98">
            <w:pPr>
              <w:pStyle w:val="BlockText-Plain"/>
            </w:pPr>
          </w:p>
        </w:tc>
        <w:tc>
          <w:tcPr>
            <w:tcW w:w="567" w:type="dxa"/>
          </w:tcPr>
          <w:p w14:paraId="72165729" w14:textId="77777777" w:rsidR="008A3831" w:rsidRPr="00C9343F" w:rsidRDefault="008A3831" w:rsidP="00F66D98">
            <w:pPr>
              <w:pStyle w:val="BlockText-Plain"/>
              <w:jc w:val="center"/>
            </w:pPr>
            <w:r w:rsidRPr="00C9343F">
              <w:t>d.</w:t>
            </w:r>
          </w:p>
        </w:tc>
        <w:tc>
          <w:tcPr>
            <w:tcW w:w="7796" w:type="dxa"/>
          </w:tcPr>
          <w:p w14:paraId="40C18E01" w14:textId="654A41AE" w:rsidR="008A3831" w:rsidRPr="00C9343F" w:rsidRDefault="008A3831" w:rsidP="00F66D98">
            <w:pPr>
              <w:pStyle w:val="BlockText-Plain"/>
            </w:pPr>
            <w:r w:rsidRPr="00C9343F">
              <w:rPr>
                <w:iCs/>
              </w:rPr>
              <w:t>Travel for removal purposes in Australia under Chapter 9 Part 2 Division 3.</w:t>
            </w:r>
          </w:p>
        </w:tc>
      </w:tr>
      <w:tr w:rsidR="008A3831" w:rsidRPr="00C9343F" w14:paraId="5E4C2B37" w14:textId="77777777" w:rsidTr="008A3831">
        <w:trPr>
          <w:cantSplit/>
        </w:trPr>
        <w:tc>
          <w:tcPr>
            <w:tcW w:w="992" w:type="dxa"/>
          </w:tcPr>
          <w:p w14:paraId="09DBDA40" w14:textId="77777777" w:rsidR="008A3831" w:rsidRPr="00C9343F" w:rsidRDefault="008A3831" w:rsidP="00F66D98">
            <w:pPr>
              <w:pStyle w:val="BlockText-Plain"/>
            </w:pPr>
          </w:p>
        </w:tc>
        <w:tc>
          <w:tcPr>
            <w:tcW w:w="567" w:type="dxa"/>
          </w:tcPr>
          <w:p w14:paraId="5250887D" w14:textId="77777777" w:rsidR="008A3831" w:rsidRPr="00C9343F" w:rsidRDefault="008A3831" w:rsidP="00F66D98">
            <w:pPr>
              <w:pStyle w:val="BlockText-Plain"/>
              <w:jc w:val="center"/>
            </w:pPr>
            <w:r w:rsidRPr="00C9343F">
              <w:t>e.</w:t>
            </w:r>
          </w:p>
        </w:tc>
        <w:tc>
          <w:tcPr>
            <w:tcW w:w="7796" w:type="dxa"/>
          </w:tcPr>
          <w:p w14:paraId="3510BDBF" w14:textId="1BC9D6EF" w:rsidR="008A3831" w:rsidRPr="00C9343F" w:rsidRDefault="008A3831" w:rsidP="00F66D98">
            <w:pPr>
              <w:pStyle w:val="BlockText-Plain"/>
            </w:pPr>
            <w:r w:rsidRPr="00C9343F">
              <w:rPr>
                <w:iCs/>
              </w:rPr>
              <w:t>Return travel to Australia from a deployment using relief out-of-country travel fare assistance under Chapter 17 Part 7 Division 4.</w:t>
            </w:r>
          </w:p>
        </w:tc>
      </w:tr>
      <w:tr w:rsidR="008B4402" w:rsidRPr="00C9343F" w14:paraId="0055997A" w14:textId="77777777" w:rsidTr="008A3831">
        <w:tc>
          <w:tcPr>
            <w:tcW w:w="992" w:type="dxa"/>
          </w:tcPr>
          <w:p w14:paraId="2B22CD3A" w14:textId="77777777" w:rsidR="008B4402" w:rsidRPr="00C9343F" w:rsidRDefault="008B4402" w:rsidP="00F66D98">
            <w:pPr>
              <w:pStyle w:val="BlockText-Plain"/>
              <w:jc w:val="center"/>
            </w:pPr>
            <w:r w:rsidRPr="00C9343F">
              <w:t>2.</w:t>
            </w:r>
          </w:p>
        </w:tc>
        <w:tc>
          <w:tcPr>
            <w:tcW w:w="8363" w:type="dxa"/>
            <w:gridSpan w:val="2"/>
          </w:tcPr>
          <w:p w14:paraId="2DE68A55" w14:textId="6A341586" w:rsidR="008B4402" w:rsidRPr="00C9343F" w:rsidRDefault="008B4402" w:rsidP="00F66D98">
            <w:pPr>
              <w:pStyle w:val="BlockText-Plain"/>
            </w:pPr>
            <w:r w:rsidRPr="00C9343F">
              <w:t>Travelling leave is granted only for the period that the member would take to travel by the most economical means.</w:t>
            </w:r>
          </w:p>
        </w:tc>
      </w:tr>
    </w:tbl>
    <w:p w14:paraId="6EED9271" w14:textId="3DB53A00" w:rsidR="008B4402" w:rsidRPr="00C9343F" w:rsidRDefault="008B4402" w:rsidP="00F66D98">
      <w:pPr>
        <w:pStyle w:val="Heading5"/>
      </w:pPr>
      <w:bookmarkStart w:id="1918" w:name="_Toc105054143"/>
      <w:bookmarkStart w:id="1919" w:name="bk95726PM57xEntitlement"/>
      <w:bookmarkStart w:id="1920" w:name="bk1217335712Entitlement"/>
      <w:bookmarkStart w:id="1921" w:name="bk1542205714Entitlement"/>
      <w:bookmarkStart w:id="1922" w:name="bk1406075716Entitlement"/>
      <w:bookmarkStart w:id="1923" w:name="bk1211435717Entitlement"/>
      <w:bookmarkStart w:id="1924" w:name="bk1154175717Entitlement"/>
      <w:r w:rsidRPr="00C9343F">
        <w:t>5.9.18</w:t>
      </w:r>
      <w:r w:rsidR="00D94006" w:rsidRPr="00C9343F">
        <w:t>    </w:t>
      </w:r>
      <w:r w:rsidRPr="00C9343F">
        <w:t>Benefit</w:t>
      </w:r>
      <w:bookmarkEnd w:id="1918"/>
    </w:p>
    <w:tbl>
      <w:tblPr>
        <w:tblW w:w="0" w:type="auto"/>
        <w:tblInd w:w="113" w:type="dxa"/>
        <w:tblLayout w:type="fixed"/>
        <w:tblLook w:val="0000" w:firstRow="0" w:lastRow="0" w:firstColumn="0" w:lastColumn="0" w:noHBand="0" w:noVBand="0"/>
      </w:tblPr>
      <w:tblGrid>
        <w:gridCol w:w="992"/>
        <w:gridCol w:w="8363"/>
      </w:tblGrid>
      <w:tr w:rsidR="008B4402" w:rsidRPr="00C9343F" w14:paraId="4CCB3B37" w14:textId="77777777" w:rsidTr="008B4402">
        <w:tc>
          <w:tcPr>
            <w:tcW w:w="992" w:type="dxa"/>
          </w:tcPr>
          <w:bookmarkEnd w:id="1919"/>
          <w:bookmarkEnd w:id="1920"/>
          <w:bookmarkEnd w:id="1921"/>
          <w:bookmarkEnd w:id="1922"/>
          <w:bookmarkEnd w:id="1923"/>
          <w:bookmarkEnd w:id="1924"/>
          <w:p w14:paraId="2B17F0F0" w14:textId="77777777" w:rsidR="008B4402" w:rsidRPr="00C9343F" w:rsidRDefault="008B4402" w:rsidP="00F66D98">
            <w:pPr>
              <w:pStyle w:val="BlockText-Plain"/>
              <w:jc w:val="center"/>
            </w:pPr>
            <w:r w:rsidRPr="00C9343F">
              <w:t>1.</w:t>
            </w:r>
          </w:p>
        </w:tc>
        <w:tc>
          <w:tcPr>
            <w:tcW w:w="8363" w:type="dxa"/>
          </w:tcPr>
          <w:p w14:paraId="50830107" w14:textId="77777777" w:rsidR="008B4402" w:rsidRPr="00C9343F" w:rsidRDefault="008B4402" w:rsidP="00F66D98">
            <w:pPr>
              <w:pStyle w:val="BlockText-Plain"/>
            </w:pPr>
            <w:r w:rsidRPr="00C9343F">
              <w:t>The CDF may grant a member travelling leave up to the period worked out under subsection 2 below. The period includes Saturdays, Sundays and public holidays.</w:t>
            </w:r>
          </w:p>
        </w:tc>
      </w:tr>
      <w:tr w:rsidR="008B4402" w:rsidRPr="00C9343F" w14:paraId="5D11F669" w14:textId="77777777" w:rsidTr="008B4402">
        <w:tc>
          <w:tcPr>
            <w:tcW w:w="992" w:type="dxa"/>
          </w:tcPr>
          <w:p w14:paraId="2BAB865F" w14:textId="77777777" w:rsidR="008B4402" w:rsidRPr="00C9343F" w:rsidRDefault="008B4402" w:rsidP="00F66D98">
            <w:pPr>
              <w:pStyle w:val="BlockText-PlainNoSpacing"/>
              <w:jc w:val="center"/>
            </w:pPr>
            <w:r w:rsidRPr="00C9343F">
              <w:t>2.</w:t>
            </w:r>
          </w:p>
        </w:tc>
        <w:tc>
          <w:tcPr>
            <w:tcW w:w="8363" w:type="dxa"/>
          </w:tcPr>
          <w:p w14:paraId="6E4EB8BC" w14:textId="77777777" w:rsidR="008B4402" w:rsidRPr="00C9343F" w:rsidRDefault="008B4402" w:rsidP="00F66D98">
            <w:pPr>
              <w:pStyle w:val="BlockText-Plain"/>
            </w:pPr>
            <w:r w:rsidRPr="00C9343F">
              <w:t>This table sets out how much travelling leave the member is eligible for.</w:t>
            </w:r>
          </w:p>
        </w:tc>
      </w:tr>
    </w:tbl>
    <w:p w14:paraId="15270C90" w14:textId="77777777" w:rsidR="008B4402" w:rsidRPr="00C9343F" w:rsidRDefault="008B4402" w:rsidP="00F66D98"/>
    <w:tbl>
      <w:tblPr>
        <w:tblW w:w="0" w:type="auto"/>
        <w:tblInd w:w="1049" w:type="dxa"/>
        <w:tblLayout w:type="fixed"/>
        <w:tblCellMar>
          <w:left w:w="56" w:type="dxa"/>
          <w:right w:w="56" w:type="dxa"/>
        </w:tblCellMar>
        <w:tblLook w:val="0000" w:firstRow="0" w:lastRow="0" w:firstColumn="0" w:lastColumn="0" w:noHBand="0" w:noVBand="0"/>
      </w:tblPr>
      <w:tblGrid>
        <w:gridCol w:w="708"/>
        <w:gridCol w:w="3402"/>
        <w:gridCol w:w="3686"/>
      </w:tblGrid>
      <w:tr w:rsidR="008B4402" w:rsidRPr="00C9343F" w14:paraId="2CDFD477"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1619B1CD" w14:textId="77777777" w:rsidR="008B4402" w:rsidRPr="00C9343F" w:rsidRDefault="008B4402" w:rsidP="00F66D98">
            <w:pPr>
              <w:pStyle w:val="TableHeaderArial"/>
            </w:pPr>
            <w:r w:rsidRPr="00C9343F">
              <w:t xml:space="preserve">Item </w:t>
            </w:r>
          </w:p>
        </w:tc>
        <w:tc>
          <w:tcPr>
            <w:tcW w:w="3402" w:type="dxa"/>
            <w:tcBorders>
              <w:top w:val="single" w:sz="6" w:space="0" w:color="auto"/>
              <w:left w:val="single" w:sz="6" w:space="0" w:color="auto"/>
              <w:bottom w:val="single" w:sz="6" w:space="0" w:color="auto"/>
              <w:right w:val="single" w:sz="6" w:space="0" w:color="auto"/>
            </w:tcBorders>
          </w:tcPr>
          <w:p w14:paraId="72C6D5DE" w14:textId="77777777" w:rsidR="008B4402" w:rsidRPr="00C9343F" w:rsidRDefault="008B4402" w:rsidP="00F66D98">
            <w:pPr>
              <w:pStyle w:val="TableHeaderArial"/>
            </w:pPr>
            <w:r w:rsidRPr="00C9343F">
              <w:t xml:space="preserve">If the member's travel period </w:t>
            </w:r>
            <w:r w:rsidRPr="00C9343F">
              <w:br/>
              <w:t>(in hours) is…</w:t>
            </w:r>
          </w:p>
        </w:tc>
        <w:tc>
          <w:tcPr>
            <w:tcW w:w="3686" w:type="dxa"/>
            <w:tcBorders>
              <w:top w:val="single" w:sz="6" w:space="0" w:color="auto"/>
              <w:left w:val="single" w:sz="6" w:space="0" w:color="auto"/>
              <w:bottom w:val="single" w:sz="6" w:space="0" w:color="auto"/>
              <w:right w:val="single" w:sz="6" w:space="0" w:color="auto"/>
            </w:tcBorders>
          </w:tcPr>
          <w:p w14:paraId="5107A207" w14:textId="77777777" w:rsidR="008B4402" w:rsidRPr="00C9343F" w:rsidRDefault="008B4402" w:rsidP="00F66D98">
            <w:pPr>
              <w:pStyle w:val="TableHeaderArial"/>
            </w:pPr>
            <w:r w:rsidRPr="00C9343F">
              <w:t>then they are eligible for a maximum period of travelling leave of…</w:t>
            </w:r>
          </w:p>
        </w:tc>
      </w:tr>
      <w:tr w:rsidR="008B4402" w:rsidRPr="00C9343F" w14:paraId="27094399"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21E69E9E" w14:textId="77777777" w:rsidR="008B4402" w:rsidRPr="00C9343F" w:rsidRDefault="008B4402" w:rsidP="00F66D98">
            <w:pPr>
              <w:pStyle w:val="TableTextArial-left"/>
              <w:jc w:val="center"/>
            </w:pPr>
            <w:r w:rsidRPr="00C9343F">
              <w:t>1.</w:t>
            </w:r>
          </w:p>
        </w:tc>
        <w:tc>
          <w:tcPr>
            <w:tcW w:w="3402" w:type="dxa"/>
            <w:tcBorders>
              <w:top w:val="single" w:sz="6" w:space="0" w:color="auto"/>
              <w:left w:val="single" w:sz="6" w:space="0" w:color="auto"/>
              <w:bottom w:val="single" w:sz="6" w:space="0" w:color="auto"/>
              <w:right w:val="single" w:sz="6" w:space="0" w:color="auto"/>
            </w:tcBorders>
          </w:tcPr>
          <w:p w14:paraId="275FCE85" w14:textId="77777777" w:rsidR="008B4402" w:rsidRPr="00C9343F" w:rsidRDefault="008B4402" w:rsidP="00F66D98">
            <w:pPr>
              <w:pStyle w:val="TableTextArial-left"/>
            </w:pPr>
            <w:r w:rsidRPr="00C9343F">
              <w:t xml:space="preserve">12 or more but less than 36 </w:t>
            </w:r>
          </w:p>
        </w:tc>
        <w:tc>
          <w:tcPr>
            <w:tcW w:w="3686" w:type="dxa"/>
            <w:tcBorders>
              <w:top w:val="single" w:sz="6" w:space="0" w:color="auto"/>
              <w:left w:val="single" w:sz="6" w:space="0" w:color="auto"/>
              <w:bottom w:val="single" w:sz="6" w:space="0" w:color="auto"/>
              <w:right w:val="single" w:sz="6" w:space="0" w:color="auto"/>
            </w:tcBorders>
          </w:tcPr>
          <w:p w14:paraId="218283DC" w14:textId="77777777" w:rsidR="008B4402" w:rsidRPr="00C9343F" w:rsidRDefault="008B4402" w:rsidP="00F66D98">
            <w:pPr>
              <w:pStyle w:val="TableTextArial-left"/>
            </w:pPr>
            <w:r w:rsidRPr="00C9343F">
              <w:t>one day.</w:t>
            </w:r>
          </w:p>
        </w:tc>
      </w:tr>
      <w:tr w:rsidR="008B4402" w:rsidRPr="00C9343F" w14:paraId="326803E0"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297312A9" w14:textId="77777777" w:rsidR="008B4402" w:rsidRPr="00C9343F" w:rsidRDefault="008B4402" w:rsidP="00F66D98">
            <w:pPr>
              <w:pStyle w:val="TableTextArial-left"/>
              <w:jc w:val="center"/>
            </w:pPr>
            <w:r w:rsidRPr="00C9343F">
              <w:t>2.</w:t>
            </w:r>
          </w:p>
        </w:tc>
        <w:tc>
          <w:tcPr>
            <w:tcW w:w="3402" w:type="dxa"/>
            <w:tcBorders>
              <w:top w:val="single" w:sz="6" w:space="0" w:color="auto"/>
              <w:left w:val="single" w:sz="6" w:space="0" w:color="auto"/>
              <w:bottom w:val="single" w:sz="6" w:space="0" w:color="auto"/>
              <w:right w:val="single" w:sz="6" w:space="0" w:color="auto"/>
            </w:tcBorders>
          </w:tcPr>
          <w:p w14:paraId="3E9F9B36" w14:textId="77777777" w:rsidR="008B4402" w:rsidRPr="00C9343F" w:rsidRDefault="008B4402" w:rsidP="00F66D98">
            <w:pPr>
              <w:pStyle w:val="TableTextArial-left"/>
            </w:pPr>
            <w:r w:rsidRPr="00C9343F">
              <w:t xml:space="preserve">36 or more but less than 60 </w:t>
            </w:r>
          </w:p>
        </w:tc>
        <w:tc>
          <w:tcPr>
            <w:tcW w:w="3686" w:type="dxa"/>
            <w:tcBorders>
              <w:top w:val="single" w:sz="6" w:space="0" w:color="auto"/>
              <w:left w:val="single" w:sz="6" w:space="0" w:color="auto"/>
              <w:bottom w:val="single" w:sz="6" w:space="0" w:color="auto"/>
              <w:right w:val="single" w:sz="6" w:space="0" w:color="auto"/>
            </w:tcBorders>
          </w:tcPr>
          <w:p w14:paraId="0C123AD7" w14:textId="77777777" w:rsidR="008B4402" w:rsidRPr="00C9343F" w:rsidRDefault="008B4402" w:rsidP="00F66D98">
            <w:pPr>
              <w:pStyle w:val="TableTextArial-left"/>
            </w:pPr>
            <w:r w:rsidRPr="00C9343F">
              <w:t>two days.</w:t>
            </w:r>
          </w:p>
        </w:tc>
      </w:tr>
      <w:tr w:rsidR="008B4402" w:rsidRPr="00C9343F" w14:paraId="4027F357"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5B6983F0" w14:textId="77777777" w:rsidR="008B4402" w:rsidRPr="00C9343F" w:rsidRDefault="008B4402" w:rsidP="00F66D98">
            <w:pPr>
              <w:pStyle w:val="TableTextArial-left"/>
              <w:jc w:val="center"/>
            </w:pPr>
            <w:r w:rsidRPr="00C9343F">
              <w:t>3.</w:t>
            </w:r>
          </w:p>
        </w:tc>
        <w:tc>
          <w:tcPr>
            <w:tcW w:w="3402" w:type="dxa"/>
            <w:tcBorders>
              <w:top w:val="single" w:sz="6" w:space="0" w:color="auto"/>
              <w:left w:val="single" w:sz="6" w:space="0" w:color="auto"/>
              <w:bottom w:val="single" w:sz="6" w:space="0" w:color="auto"/>
              <w:right w:val="single" w:sz="6" w:space="0" w:color="auto"/>
            </w:tcBorders>
          </w:tcPr>
          <w:p w14:paraId="79F766AD" w14:textId="77777777" w:rsidR="008B4402" w:rsidRPr="00C9343F" w:rsidRDefault="008B4402" w:rsidP="00F66D98">
            <w:pPr>
              <w:pStyle w:val="TableTextArial-left"/>
            </w:pPr>
            <w:r w:rsidRPr="00C9343F">
              <w:t xml:space="preserve">60 or more but less than 84 </w:t>
            </w:r>
          </w:p>
        </w:tc>
        <w:tc>
          <w:tcPr>
            <w:tcW w:w="3686" w:type="dxa"/>
            <w:tcBorders>
              <w:top w:val="single" w:sz="6" w:space="0" w:color="auto"/>
              <w:left w:val="single" w:sz="6" w:space="0" w:color="auto"/>
              <w:bottom w:val="single" w:sz="6" w:space="0" w:color="auto"/>
              <w:right w:val="single" w:sz="6" w:space="0" w:color="auto"/>
            </w:tcBorders>
          </w:tcPr>
          <w:p w14:paraId="232AE88B" w14:textId="77777777" w:rsidR="008B4402" w:rsidRPr="00C9343F" w:rsidRDefault="008B4402" w:rsidP="00F66D98">
            <w:pPr>
              <w:pStyle w:val="TableTextArial-left"/>
            </w:pPr>
            <w:r w:rsidRPr="00C9343F">
              <w:t>three days.</w:t>
            </w:r>
          </w:p>
        </w:tc>
      </w:tr>
      <w:tr w:rsidR="008B4402" w:rsidRPr="00C9343F" w14:paraId="1DBEB9A7"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2F4FF078" w14:textId="77777777" w:rsidR="008B4402" w:rsidRPr="00C9343F" w:rsidRDefault="008B4402" w:rsidP="00F66D98">
            <w:pPr>
              <w:pStyle w:val="TableTextArial-left"/>
              <w:jc w:val="center"/>
            </w:pPr>
            <w:r w:rsidRPr="00C9343F">
              <w:t>4.</w:t>
            </w:r>
          </w:p>
        </w:tc>
        <w:tc>
          <w:tcPr>
            <w:tcW w:w="3402" w:type="dxa"/>
            <w:tcBorders>
              <w:top w:val="single" w:sz="6" w:space="0" w:color="auto"/>
              <w:left w:val="single" w:sz="6" w:space="0" w:color="auto"/>
              <w:bottom w:val="single" w:sz="6" w:space="0" w:color="auto"/>
              <w:right w:val="single" w:sz="6" w:space="0" w:color="auto"/>
            </w:tcBorders>
          </w:tcPr>
          <w:p w14:paraId="28C8E78A" w14:textId="77777777" w:rsidR="008B4402" w:rsidRPr="00C9343F" w:rsidRDefault="008B4402" w:rsidP="00F66D98">
            <w:pPr>
              <w:pStyle w:val="TableTextArial-left"/>
            </w:pPr>
            <w:r w:rsidRPr="00C9343F">
              <w:t xml:space="preserve">84 or more but less than 108 </w:t>
            </w:r>
          </w:p>
        </w:tc>
        <w:tc>
          <w:tcPr>
            <w:tcW w:w="3686" w:type="dxa"/>
            <w:tcBorders>
              <w:top w:val="single" w:sz="6" w:space="0" w:color="auto"/>
              <w:left w:val="single" w:sz="6" w:space="0" w:color="auto"/>
              <w:bottom w:val="single" w:sz="6" w:space="0" w:color="auto"/>
              <w:right w:val="single" w:sz="6" w:space="0" w:color="auto"/>
            </w:tcBorders>
          </w:tcPr>
          <w:p w14:paraId="3E675899" w14:textId="77777777" w:rsidR="008B4402" w:rsidRPr="00C9343F" w:rsidRDefault="008B4402" w:rsidP="00F66D98">
            <w:pPr>
              <w:pStyle w:val="TableTextArial-left"/>
            </w:pPr>
            <w:r w:rsidRPr="00C9343F">
              <w:t>four days.</w:t>
            </w:r>
          </w:p>
        </w:tc>
      </w:tr>
      <w:tr w:rsidR="008B4402" w:rsidRPr="00C9343F" w14:paraId="6D324274"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38E50DDD" w14:textId="77777777" w:rsidR="008B4402" w:rsidRPr="00C9343F" w:rsidRDefault="008B4402" w:rsidP="00F66D98">
            <w:pPr>
              <w:pStyle w:val="TableTextArial-left"/>
              <w:jc w:val="center"/>
            </w:pPr>
            <w:r w:rsidRPr="00C9343F">
              <w:t>5.</w:t>
            </w:r>
          </w:p>
        </w:tc>
        <w:tc>
          <w:tcPr>
            <w:tcW w:w="3402" w:type="dxa"/>
            <w:tcBorders>
              <w:top w:val="single" w:sz="6" w:space="0" w:color="auto"/>
              <w:left w:val="single" w:sz="6" w:space="0" w:color="auto"/>
              <w:bottom w:val="single" w:sz="6" w:space="0" w:color="auto"/>
              <w:right w:val="single" w:sz="6" w:space="0" w:color="auto"/>
            </w:tcBorders>
          </w:tcPr>
          <w:p w14:paraId="4651BB17" w14:textId="77777777" w:rsidR="008B4402" w:rsidRPr="00C9343F" w:rsidRDefault="008B4402" w:rsidP="00F66D98">
            <w:pPr>
              <w:pStyle w:val="TableTextArial-left"/>
            </w:pPr>
            <w:r w:rsidRPr="00C9343F">
              <w:t xml:space="preserve">108 or more but less than 132 </w:t>
            </w:r>
          </w:p>
        </w:tc>
        <w:tc>
          <w:tcPr>
            <w:tcW w:w="3686" w:type="dxa"/>
            <w:tcBorders>
              <w:top w:val="single" w:sz="6" w:space="0" w:color="auto"/>
              <w:left w:val="single" w:sz="6" w:space="0" w:color="auto"/>
              <w:bottom w:val="single" w:sz="6" w:space="0" w:color="auto"/>
              <w:right w:val="single" w:sz="6" w:space="0" w:color="auto"/>
            </w:tcBorders>
          </w:tcPr>
          <w:p w14:paraId="48833919" w14:textId="77777777" w:rsidR="008B4402" w:rsidRPr="00C9343F" w:rsidRDefault="008B4402" w:rsidP="00F66D98">
            <w:pPr>
              <w:pStyle w:val="TableTextArial-left"/>
            </w:pPr>
            <w:r w:rsidRPr="00C9343F">
              <w:t>five days.</w:t>
            </w:r>
          </w:p>
        </w:tc>
      </w:tr>
      <w:tr w:rsidR="008B4402" w:rsidRPr="00C9343F" w14:paraId="4F6592CE" w14:textId="77777777" w:rsidTr="008B4402">
        <w:trPr>
          <w:cantSplit/>
        </w:trPr>
        <w:tc>
          <w:tcPr>
            <w:tcW w:w="708" w:type="dxa"/>
            <w:tcBorders>
              <w:top w:val="single" w:sz="6" w:space="0" w:color="auto"/>
              <w:left w:val="single" w:sz="6" w:space="0" w:color="auto"/>
              <w:bottom w:val="single" w:sz="6" w:space="0" w:color="auto"/>
              <w:right w:val="single" w:sz="6" w:space="0" w:color="auto"/>
            </w:tcBorders>
          </w:tcPr>
          <w:p w14:paraId="3C2C5C32" w14:textId="77777777" w:rsidR="008B4402" w:rsidRPr="00C9343F" w:rsidRDefault="008B4402" w:rsidP="00F66D98">
            <w:pPr>
              <w:pStyle w:val="TableTextArial-left"/>
              <w:jc w:val="center"/>
            </w:pPr>
            <w:r w:rsidRPr="00C9343F">
              <w:t>6.</w:t>
            </w:r>
          </w:p>
        </w:tc>
        <w:tc>
          <w:tcPr>
            <w:tcW w:w="3402" w:type="dxa"/>
            <w:tcBorders>
              <w:top w:val="single" w:sz="6" w:space="0" w:color="auto"/>
              <w:left w:val="single" w:sz="6" w:space="0" w:color="auto"/>
              <w:bottom w:val="single" w:sz="6" w:space="0" w:color="auto"/>
              <w:right w:val="single" w:sz="6" w:space="0" w:color="auto"/>
            </w:tcBorders>
          </w:tcPr>
          <w:p w14:paraId="0CD9ADFA" w14:textId="77777777" w:rsidR="008B4402" w:rsidRPr="00C9343F" w:rsidRDefault="008B4402" w:rsidP="00F66D98">
            <w:pPr>
              <w:pStyle w:val="TableTextArial-left"/>
            </w:pPr>
            <w:r w:rsidRPr="00C9343F">
              <w:t xml:space="preserve">132 or more but less than 144 </w:t>
            </w:r>
          </w:p>
        </w:tc>
        <w:tc>
          <w:tcPr>
            <w:tcW w:w="3686" w:type="dxa"/>
            <w:tcBorders>
              <w:top w:val="single" w:sz="6" w:space="0" w:color="auto"/>
              <w:left w:val="single" w:sz="6" w:space="0" w:color="auto"/>
              <w:bottom w:val="single" w:sz="6" w:space="0" w:color="auto"/>
              <w:right w:val="single" w:sz="6" w:space="0" w:color="auto"/>
            </w:tcBorders>
          </w:tcPr>
          <w:p w14:paraId="15F4120F" w14:textId="77777777" w:rsidR="008B4402" w:rsidRPr="00C9343F" w:rsidRDefault="008B4402" w:rsidP="00F66D98">
            <w:pPr>
              <w:pStyle w:val="TableTextArial-left"/>
            </w:pPr>
            <w:r w:rsidRPr="00C9343F">
              <w:t>six days.</w:t>
            </w:r>
          </w:p>
        </w:tc>
      </w:tr>
    </w:tbl>
    <w:p w14:paraId="06BDBC03" w14:textId="77777777" w:rsidR="008B4402" w:rsidRPr="00C9343F" w:rsidRDefault="008B4402" w:rsidP="00F66D98"/>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23084EEF" w14:textId="77777777" w:rsidTr="008B4402">
        <w:tc>
          <w:tcPr>
            <w:tcW w:w="992" w:type="dxa"/>
          </w:tcPr>
          <w:p w14:paraId="37E26408" w14:textId="77777777" w:rsidR="008B4402" w:rsidRPr="00C9343F" w:rsidRDefault="008B4402" w:rsidP="00F66D98">
            <w:pPr>
              <w:pStyle w:val="BlockText-Plain"/>
              <w:keepNext/>
              <w:keepLines/>
              <w:jc w:val="center"/>
            </w:pPr>
            <w:r w:rsidRPr="00C9343F">
              <w:t>3.</w:t>
            </w:r>
          </w:p>
        </w:tc>
        <w:tc>
          <w:tcPr>
            <w:tcW w:w="8363" w:type="dxa"/>
            <w:gridSpan w:val="2"/>
          </w:tcPr>
          <w:p w14:paraId="03244F71" w14:textId="77777777" w:rsidR="008B4402" w:rsidRPr="00C9343F" w:rsidRDefault="008B4402" w:rsidP="00F66D98">
            <w:pPr>
              <w:pStyle w:val="BlockText-Plain"/>
              <w:keepNext/>
              <w:keepLines/>
            </w:pPr>
            <w:r w:rsidRPr="00C9343F">
              <w:t>This subsection applies to a member serving in an overseas location who travels at their own cost between that location and Australia while on compassionate leave. In this case, the CDF may grant them travelling leave up to the period worked out under subsection 2.</w:t>
            </w:r>
          </w:p>
        </w:tc>
      </w:tr>
      <w:tr w:rsidR="008B4402" w:rsidRPr="00C9343F" w14:paraId="3BA445B1" w14:textId="77777777" w:rsidTr="008B4402">
        <w:tc>
          <w:tcPr>
            <w:tcW w:w="992" w:type="dxa"/>
          </w:tcPr>
          <w:p w14:paraId="10C8F91A" w14:textId="77777777" w:rsidR="008B4402" w:rsidRPr="00C9343F" w:rsidRDefault="008B4402" w:rsidP="00F66D98">
            <w:pPr>
              <w:pStyle w:val="BlockText-Plain"/>
              <w:jc w:val="center"/>
            </w:pPr>
            <w:r w:rsidRPr="00C9343F">
              <w:t>4.</w:t>
            </w:r>
          </w:p>
        </w:tc>
        <w:tc>
          <w:tcPr>
            <w:tcW w:w="8363" w:type="dxa"/>
            <w:gridSpan w:val="2"/>
          </w:tcPr>
          <w:p w14:paraId="09090F80" w14:textId="77777777" w:rsidR="008B4402" w:rsidRPr="00C9343F" w:rsidRDefault="008B4402" w:rsidP="00F66D98">
            <w:pPr>
              <w:pStyle w:val="BlockText-Plain"/>
            </w:pPr>
            <w:r w:rsidRPr="00C9343F">
              <w:t>For subsection 3, travelling leave is granted for both of these periods.</w:t>
            </w:r>
          </w:p>
        </w:tc>
      </w:tr>
      <w:tr w:rsidR="008B4402" w:rsidRPr="00C9343F" w14:paraId="33C2A586" w14:textId="77777777" w:rsidTr="008B4402">
        <w:trPr>
          <w:cantSplit/>
        </w:trPr>
        <w:tc>
          <w:tcPr>
            <w:tcW w:w="992" w:type="dxa"/>
          </w:tcPr>
          <w:p w14:paraId="281266E0" w14:textId="77777777" w:rsidR="008B4402" w:rsidRPr="00C9343F" w:rsidRDefault="008B4402" w:rsidP="00F66D98">
            <w:pPr>
              <w:pStyle w:val="BlockText-Plain"/>
            </w:pPr>
          </w:p>
        </w:tc>
        <w:tc>
          <w:tcPr>
            <w:tcW w:w="567" w:type="dxa"/>
          </w:tcPr>
          <w:p w14:paraId="65017577" w14:textId="77777777" w:rsidR="008B4402" w:rsidRPr="00C9343F" w:rsidRDefault="008B4402" w:rsidP="005849DD">
            <w:pPr>
              <w:pStyle w:val="BlockText-Plain"/>
              <w:jc w:val="center"/>
            </w:pPr>
            <w:r w:rsidRPr="00C9343F">
              <w:t>a.</w:t>
            </w:r>
          </w:p>
        </w:tc>
        <w:tc>
          <w:tcPr>
            <w:tcW w:w="7796" w:type="dxa"/>
          </w:tcPr>
          <w:p w14:paraId="04044B1F" w14:textId="77777777" w:rsidR="008B4402" w:rsidRPr="00C9343F" w:rsidRDefault="008B4402" w:rsidP="00F66D98">
            <w:pPr>
              <w:pStyle w:val="BlockText-Plain"/>
            </w:pPr>
            <w:r w:rsidRPr="00C9343F">
              <w:t>From the time of departure from the overseas location to first port of call in Australia.</w:t>
            </w:r>
          </w:p>
        </w:tc>
      </w:tr>
      <w:tr w:rsidR="008B4402" w:rsidRPr="00C9343F" w14:paraId="7EFA06E4" w14:textId="77777777" w:rsidTr="008B4402">
        <w:trPr>
          <w:cantSplit/>
        </w:trPr>
        <w:tc>
          <w:tcPr>
            <w:tcW w:w="992" w:type="dxa"/>
          </w:tcPr>
          <w:p w14:paraId="4D54E789" w14:textId="77777777" w:rsidR="008B4402" w:rsidRPr="00C9343F" w:rsidRDefault="008B4402" w:rsidP="00F66D98">
            <w:pPr>
              <w:pStyle w:val="BlockText-Plain"/>
            </w:pPr>
          </w:p>
        </w:tc>
        <w:tc>
          <w:tcPr>
            <w:tcW w:w="567" w:type="dxa"/>
          </w:tcPr>
          <w:p w14:paraId="4D435526" w14:textId="77777777" w:rsidR="008B4402" w:rsidRPr="00C9343F" w:rsidRDefault="008B4402" w:rsidP="005849DD">
            <w:pPr>
              <w:pStyle w:val="BlockText-Plain"/>
              <w:jc w:val="center"/>
            </w:pPr>
            <w:r w:rsidRPr="00C9343F">
              <w:t>b.</w:t>
            </w:r>
          </w:p>
        </w:tc>
        <w:tc>
          <w:tcPr>
            <w:tcW w:w="7796" w:type="dxa"/>
          </w:tcPr>
          <w:p w14:paraId="2B267F9A" w14:textId="77777777" w:rsidR="008B4402" w:rsidRPr="00C9343F" w:rsidRDefault="008B4402" w:rsidP="00F66D98">
            <w:pPr>
              <w:pStyle w:val="BlockText-Plain"/>
            </w:pPr>
            <w:r w:rsidRPr="00C9343F">
              <w:t>From the time of departure from Australia to arrival at the overseas location on the return journey.</w:t>
            </w:r>
          </w:p>
        </w:tc>
      </w:tr>
      <w:tr w:rsidR="008B4402" w:rsidRPr="00C9343F" w14:paraId="3C83FC81" w14:textId="77777777" w:rsidTr="008B4402">
        <w:tc>
          <w:tcPr>
            <w:tcW w:w="992" w:type="dxa"/>
          </w:tcPr>
          <w:p w14:paraId="58E751C3" w14:textId="77777777" w:rsidR="008B4402" w:rsidRPr="00C9343F" w:rsidRDefault="008B4402" w:rsidP="00F66D98">
            <w:pPr>
              <w:pStyle w:val="BlockText-Plain"/>
              <w:jc w:val="center"/>
            </w:pPr>
            <w:r w:rsidRPr="00C9343F">
              <w:t>5.</w:t>
            </w:r>
          </w:p>
        </w:tc>
        <w:tc>
          <w:tcPr>
            <w:tcW w:w="8363" w:type="dxa"/>
            <w:gridSpan w:val="2"/>
          </w:tcPr>
          <w:p w14:paraId="3D388646" w14:textId="77777777" w:rsidR="008B4402" w:rsidRPr="00C9343F" w:rsidRDefault="008B4402" w:rsidP="00F66D98">
            <w:pPr>
              <w:pStyle w:val="BlockText-Plain"/>
            </w:pPr>
            <w:r w:rsidRPr="00C9343F">
              <w:t>If leave destinations are not connected by a rail service, travelling leave may be granted as set out in subsection 2 based on the shortest journey time of a scheduled coach service.</w:t>
            </w:r>
          </w:p>
        </w:tc>
      </w:tr>
      <w:tr w:rsidR="008B4402" w:rsidRPr="00C9343F" w14:paraId="3ADD963A" w14:textId="77777777" w:rsidTr="008B4402">
        <w:tc>
          <w:tcPr>
            <w:tcW w:w="992" w:type="dxa"/>
          </w:tcPr>
          <w:p w14:paraId="2E7AA8DF" w14:textId="77777777" w:rsidR="008B4402" w:rsidRPr="00C9343F" w:rsidRDefault="008B4402" w:rsidP="00F66D98">
            <w:pPr>
              <w:pStyle w:val="BlockText-Plain"/>
              <w:jc w:val="center"/>
            </w:pPr>
            <w:r w:rsidRPr="00C9343F">
              <w:t>6.</w:t>
            </w:r>
          </w:p>
        </w:tc>
        <w:tc>
          <w:tcPr>
            <w:tcW w:w="8363" w:type="dxa"/>
            <w:gridSpan w:val="2"/>
          </w:tcPr>
          <w:p w14:paraId="32AD3BD8" w14:textId="70C9597C" w:rsidR="008B4402" w:rsidRPr="00C9343F" w:rsidRDefault="008B4402" w:rsidP="009523D6">
            <w:pPr>
              <w:pStyle w:val="BlockText-Plain"/>
            </w:pPr>
            <w:r w:rsidRPr="00C9343F">
              <w:t xml:space="preserve">This subsection applies to a member of the Navy who travels for recreation leave. If their travelling time by the most direct normal means of travel is more than 48 hours, then they must not be granted leave under this Division for such travel more than once in a </w:t>
            </w:r>
            <w:r w:rsidR="008F78C4" w:rsidRPr="00C9343F">
              <w:t>financial</w:t>
            </w:r>
            <w:r w:rsidRPr="00C9343F">
              <w:t xml:space="preserve"> year.</w:t>
            </w:r>
          </w:p>
        </w:tc>
      </w:tr>
      <w:tr w:rsidR="008B4402" w:rsidRPr="00C9343F" w14:paraId="515CC9E9" w14:textId="77777777" w:rsidTr="008B4402">
        <w:tc>
          <w:tcPr>
            <w:tcW w:w="992" w:type="dxa"/>
          </w:tcPr>
          <w:p w14:paraId="61D8F0DB" w14:textId="77777777" w:rsidR="008B4402" w:rsidRPr="00C9343F" w:rsidRDefault="008B4402" w:rsidP="00F66D98">
            <w:pPr>
              <w:pStyle w:val="BlockText-Plain"/>
              <w:jc w:val="center"/>
            </w:pPr>
            <w:r w:rsidRPr="00C9343F">
              <w:t>7.</w:t>
            </w:r>
          </w:p>
        </w:tc>
        <w:tc>
          <w:tcPr>
            <w:tcW w:w="8363" w:type="dxa"/>
            <w:gridSpan w:val="2"/>
          </w:tcPr>
          <w:p w14:paraId="5A9CEDD4" w14:textId="77777777" w:rsidR="008B4402" w:rsidRPr="00C9343F" w:rsidRDefault="008B4402" w:rsidP="00F66D98">
            <w:pPr>
              <w:pStyle w:val="BlockText-Plain"/>
            </w:pPr>
            <w:r w:rsidRPr="00C9343F">
              <w:t>For a member travelling on a journey to or from Australia on relief out-of-country travel fare assistance, the period of travelling leave is a form of additional recreation leave. It is taken on occurrence and does not accrue as a leave credit.</w:t>
            </w:r>
          </w:p>
        </w:tc>
      </w:tr>
    </w:tbl>
    <w:p w14:paraId="6FBADF0F" w14:textId="77777777" w:rsidR="008B4402" w:rsidRPr="00C9343F" w:rsidRDefault="008B4402" w:rsidP="00F66D98"/>
    <w:p w14:paraId="6F0C4678" w14:textId="0E87821A" w:rsidR="008B4402" w:rsidRPr="00C9343F" w:rsidRDefault="008B4402" w:rsidP="008169EA">
      <w:pPr>
        <w:pStyle w:val="Heading4"/>
        <w:pageBreakBefore/>
      </w:pPr>
      <w:bookmarkStart w:id="1925" w:name="_Toc105054144"/>
      <w:r w:rsidRPr="00C9343F">
        <w:t>Division 7: Pre-deployment leave</w:t>
      </w:r>
      <w:bookmarkEnd w:id="1925"/>
    </w:p>
    <w:p w14:paraId="44F86BE5" w14:textId="2116A16B" w:rsidR="008B4402" w:rsidRPr="00C9343F" w:rsidRDefault="008B4402" w:rsidP="00F66D98">
      <w:pPr>
        <w:pStyle w:val="Heading5"/>
      </w:pPr>
      <w:bookmarkStart w:id="1926" w:name="_Toc105054145"/>
      <w:bookmarkStart w:id="1927" w:name="bk95701PM57xPurpose"/>
      <w:bookmarkStart w:id="1928" w:name="bk1218115714Purpose"/>
      <w:bookmarkStart w:id="1929" w:name="bk1542325716Purpose"/>
      <w:bookmarkStart w:id="1930" w:name="bk1353575717Purpose"/>
      <w:bookmarkStart w:id="1931" w:name="bk1437305717Purpose"/>
      <w:bookmarkStart w:id="1932" w:name="bk1236235718Purpose"/>
      <w:bookmarkStart w:id="1933" w:name="bk1154235718Purpose"/>
      <w:r w:rsidRPr="00C9343F">
        <w:t>5.9.19</w:t>
      </w:r>
      <w:r w:rsidR="00D94006" w:rsidRPr="00C9343F">
        <w:t>    </w:t>
      </w:r>
      <w:r w:rsidRPr="00C9343F">
        <w:t>Purpose</w:t>
      </w:r>
      <w:bookmarkEnd w:id="1926"/>
    </w:p>
    <w:bookmarkEnd w:id="1927"/>
    <w:bookmarkEnd w:id="1928"/>
    <w:bookmarkEnd w:id="1929"/>
    <w:bookmarkEnd w:id="1930"/>
    <w:bookmarkEnd w:id="1931"/>
    <w:bookmarkEnd w:id="1932"/>
    <w:bookmarkEnd w:id="1933"/>
    <w:tbl>
      <w:tblPr>
        <w:tblW w:w="0" w:type="auto"/>
        <w:tblInd w:w="113" w:type="dxa"/>
        <w:tblLayout w:type="fixed"/>
        <w:tblLook w:val="0000" w:firstRow="0" w:lastRow="0" w:firstColumn="0" w:lastColumn="0" w:noHBand="0" w:noVBand="0"/>
      </w:tblPr>
      <w:tblGrid>
        <w:gridCol w:w="992"/>
        <w:gridCol w:w="8363"/>
      </w:tblGrid>
      <w:tr w:rsidR="008B4402" w:rsidRPr="00C9343F" w14:paraId="5E17A0C7" w14:textId="77777777" w:rsidTr="008B4402">
        <w:tc>
          <w:tcPr>
            <w:tcW w:w="992" w:type="dxa"/>
          </w:tcPr>
          <w:p w14:paraId="0950053D" w14:textId="77777777" w:rsidR="008B4402" w:rsidRPr="00C9343F" w:rsidRDefault="008B4402" w:rsidP="00F66D98">
            <w:pPr>
              <w:pStyle w:val="BlockText-Plain"/>
              <w:jc w:val="center"/>
            </w:pPr>
          </w:p>
        </w:tc>
        <w:tc>
          <w:tcPr>
            <w:tcW w:w="8363" w:type="dxa"/>
          </w:tcPr>
          <w:p w14:paraId="4F71DC27" w14:textId="1AC438E2" w:rsidR="008B4402" w:rsidRPr="00C9343F" w:rsidRDefault="008B4402" w:rsidP="00F66D98">
            <w:pPr>
              <w:pStyle w:val="BlockText-Plain"/>
            </w:pPr>
            <w:r w:rsidRPr="00C9343F">
              <w:t>Pre-deployment leave allows a member going on duty to a prescribed area overseas to finalise their personal affairs and make their farewells before they leave Australia.</w:t>
            </w:r>
          </w:p>
        </w:tc>
      </w:tr>
    </w:tbl>
    <w:p w14:paraId="5B3DDBF2" w14:textId="29FBA665" w:rsidR="008B4402" w:rsidRPr="00C9343F" w:rsidRDefault="008B4402" w:rsidP="00F66D98">
      <w:pPr>
        <w:pStyle w:val="Heading5"/>
      </w:pPr>
      <w:bookmarkStart w:id="1934" w:name="_Toc105054146"/>
      <w:bookmarkStart w:id="1935" w:name="bk95701PM57xEntitlement"/>
      <w:bookmarkStart w:id="1936" w:name="bk1218115715Entitlement"/>
      <w:bookmarkStart w:id="1937" w:name="bk1542325717Entitlement"/>
      <w:bookmarkStart w:id="1938" w:name="bk1353575718Entitlement"/>
      <w:bookmarkStart w:id="1939" w:name="bk1437305719Entitlement"/>
      <w:bookmarkStart w:id="1940" w:name="bk1236235720Entitlement"/>
      <w:bookmarkStart w:id="1941" w:name="bk1154235720Entitlement"/>
      <w:r w:rsidRPr="00C9343F">
        <w:t>5.9.21</w:t>
      </w:r>
      <w:r w:rsidR="00D94006" w:rsidRPr="00C9343F">
        <w:t>    </w:t>
      </w:r>
      <w:r w:rsidRPr="00C9343F">
        <w:t>Benefit</w:t>
      </w:r>
      <w:bookmarkEnd w:id="1934"/>
    </w:p>
    <w:bookmarkEnd w:id="1935"/>
    <w:bookmarkEnd w:id="1936"/>
    <w:bookmarkEnd w:id="1937"/>
    <w:bookmarkEnd w:id="1938"/>
    <w:bookmarkEnd w:id="1939"/>
    <w:bookmarkEnd w:id="1940"/>
    <w:bookmarkEnd w:id="1941"/>
    <w:tbl>
      <w:tblPr>
        <w:tblW w:w="0" w:type="auto"/>
        <w:tblInd w:w="113" w:type="dxa"/>
        <w:tblLayout w:type="fixed"/>
        <w:tblLook w:val="0000" w:firstRow="0" w:lastRow="0" w:firstColumn="0" w:lastColumn="0" w:noHBand="0" w:noVBand="0"/>
      </w:tblPr>
      <w:tblGrid>
        <w:gridCol w:w="992"/>
        <w:gridCol w:w="8363"/>
      </w:tblGrid>
      <w:tr w:rsidR="008B4402" w:rsidRPr="00C9343F" w14:paraId="3D7E19AA" w14:textId="77777777" w:rsidTr="008B4402">
        <w:tc>
          <w:tcPr>
            <w:tcW w:w="992" w:type="dxa"/>
          </w:tcPr>
          <w:p w14:paraId="6F2BB8F7" w14:textId="77777777" w:rsidR="008B4402" w:rsidRPr="00C9343F" w:rsidRDefault="008B4402" w:rsidP="00F66D98">
            <w:pPr>
              <w:pStyle w:val="BlockText-Plain"/>
              <w:jc w:val="center"/>
            </w:pPr>
          </w:p>
        </w:tc>
        <w:tc>
          <w:tcPr>
            <w:tcW w:w="8363" w:type="dxa"/>
          </w:tcPr>
          <w:p w14:paraId="7B63C4B4" w14:textId="77777777" w:rsidR="008B4402" w:rsidRPr="00C9343F" w:rsidRDefault="008B4402" w:rsidP="00F66D98">
            <w:pPr>
              <w:pStyle w:val="BlockText-Plain"/>
            </w:pPr>
            <w:r w:rsidRPr="00C9343F">
              <w:t>The CDF may grant a member pre-deployment leave of up to seven days. This period includes weekends and public holidays. The CDF must consider the operational situation.</w:t>
            </w:r>
          </w:p>
        </w:tc>
      </w:tr>
    </w:tbl>
    <w:p w14:paraId="29AB545E" w14:textId="371DD288" w:rsidR="008B4402" w:rsidRPr="00C9343F" w:rsidRDefault="008B4402" w:rsidP="00F66D98">
      <w:pPr>
        <w:pStyle w:val="Heading5"/>
      </w:pPr>
      <w:bookmarkStart w:id="1942" w:name="_Toc105054147"/>
      <w:bookmarkStart w:id="1943" w:name="bk95701PM57xConditionsofentitlement"/>
      <w:bookmarkStart w:id="1944" w:name="bk1218115716Conditionsofentitlement"/>
      <w:bookmarkStart w:id="1945" w:name="bk1542325718Conditionsofentitlement"/>
      <w:bookmarkStart w:id="1946" w:name="bk1353575719Conditionsofentitlement"/>
      <w:bookmarkStart w:id="1947" w:name="bk1437305720Conditionsofentitlement"/>
      <w:bookmarkStart w:id="1948" w:name="bk1236235721Conditionsofentitlement"/>
      <w:bookmarkStart w:id="1949" w:name="bk1154235721Conditionsofentitlement"/>
      <w:r w:rsidRPr="00C9343F">
        <w:t>5.9.22</w:t>
      </w:r>
      <w:r w:rsidR="00D94006" w:rsidRPr="00C9343F">
        <w:t>    </w:t>
      </w:r>
      <w:r w:rsidRPr="00C9343F">
        <w:t>Conditions of benefit</w:t>
      </w:r>
      <w:bookmarkEnd w:id="1942"/>
    </w:p>
    <w:tbl>
      <w:tblPr>
        <w:tblW w:w="9364" w:type="dxa"/>
        <w:tblInd w:w="108" w:type="dxa"/>
        <w:tblLayout w:type="fixed"/>
        <w:tblLook w:val="0000" w:firstRow="0" w:lastRow="0" w:firstColumn="0" w:lastColumn="0" w:noHBand="0" w:noVBand="0"/>
      </w:tblPr>
      <w:tblGrid>
        <w:gridCol w:w="995"/>
        <w:gridCol w:w="567"/>
        <w:gridCol w:w="7802"/>
      </w:tblGrid>
      <w:tr w:rsidR="008B4402" w:rsidRPr="00C9343F" w14:paraId="77DC37D7" w14:textId="77777777" w:rsidTr="0085629D">
        <w:tc>
          <w:tcPr>
            <w:tcW w:w="992" w:type="dxa"/>
          </w:tcPr>
          <w:bookmarkEnd w:id="1943"/>
          <w:bookmarkEnd w:id="1944"/>
          <w:bookmarkEnd w:id="1945"/>
          <w:bookmarkEnd w:id="1946"/>
          <w:bookmarkEnd w:id="1947"/>
          <w:bookmarkEnd w:id="1948"/>
          <w:bookmarkEnd w:id="1949"/>
          <w:p w14:paraId="2CD06A2C" w14:textId="77777777" w:rsidR="008B4402" w:rsidRPr="00C9343F" w:rsidRDefault="008B4402" w:rsidP="00F66D98">
            <w:pPr>
              <w:pStyle w:val="BlockText-Plain"/>
              <w:jc w:val="center"/>
            </w:pPr>
            <w:r w:rsidRPr="00C9343F">
              <w:t>1.</w:t>
            </w:r>
          </w:p>
        </w:tc>
        <w:tc>
          <w:tcPr>
            <w:tcW w:w="8363" w:type="dxa"/>
            <w:gridSpan w:val="2"/>
          </w:tcPr>
          <w:p w14:paraId="5285F386" w14:textId="77777777" w:rsidR="008B4402" w:rsidRPr="00C9343F" w:rsidRDefault="008B4402" w:rsidP="00F66D98">
            <w:pPr>
              <w:pStyle w:val="BlockText-Plain"/>
            </w:pPr>
            <w:r w:rsidRPr="00C9343F">
              <w:t>The member may be granted pre-deployment leave only if the intended period of service in a prescribed area is at least six months.</w:t>
            </w:r>
          </w:p>
        </w:tc>
      </w:tr>
      <w:tr w:rsidR="008B4402" w:rsidRPr="00C9343F" w14:paraId="789B9782" w14:textId="77777777" w:rsidTr="0085629D">
        <w:tc>
          <w:tcPr>
            <w:tcW w:w="992" w:type="dxa"/>
          </w:tcPr>
          <w:p w14:paraId="56571CFA" w14:textId="77777777" w:rsidR="008B4402" w:rsidRPr="00C9343F" w:rsidRDefault="008B4402" w:rsidP="00F66D98">
            <w:pPr>
              <w:pStyle w:val="BlockText-Plain"/>
              <w:jc w:val="center"/>
            </w:pPr>
            <w:r w:rsidRPr="00C9343F">
              <w:t>2.</w:t>
            </w:r>
          </w:p>
        </w:tc>
        <w:tc>
          <w:tcPr>
            <w:tcW w:w="8363" w:type="dxa"/>
            <w:gridSpan w:val="2"/>
          </w:tcPr>
          <w:p w14:paraId="66FF95FC" w14:textId="77777777" w:rsidR="008B4402" w:rsidRPr="00C9343F" w:rsidRDefault="008B4402" w:rsidP="00F66D98">
            <w:pPr>
              <w:pStyle w:val="BlockText-Plain"/>
            </w:pPr>
            <w:r w:rsidRPr="00C9343F">
              <w:t>Pre-deployment leave is only granted inside six weeks of the expected date of deployment.</w:t>
            </w:r>
          </w:p>
          <w:p w14:paraId="3B85019C" w14:textId="62351ADE" w:rsidR="008B4402" w:rsidRPr="00C9343F" w:rsidRDefault="008B4402" w:rsidP="00F66D98">
            <w:pPr>
              <w:pStyle w:val="BlockText-Plain"/>
            </w:pPr>
            <w:r w:rsidRPr="00C9343F">
              <w:rPr>
                <w:b/>
              </w:rPr>
              <w:t>Exception:</w:t>
            </w:r>
            <w:r w:rsidRPr="00C9343F">
              <w:t xml:space="preserve"> The CDF may approve earlier leave in special cases.</w:t>
            </w:r>
          </w:p>
        </w:tc>
      </w:tr>
      <w:tr w:rsidR="008B4402" w:rsidRPr="00C9343F" w14:paraId="449448E6" w14:textId="77777777" w:rsidTr="0085629D">
        <w:tc>
          <w:tcPr>
            <w:tcW w:w="992" w:type="dxa"/>
          </w:tcPr>
          <w:p w14:paraId="04104E44" w14:textId="77777777" w:rsidR="008B4402" w:rsidRPr="00C9343F" w:rsidRDefault="008B4402" w:rsidP="00F66D98">
            <w:pPr>
              <w:pStyle w:val="BlockText-Plain"/>
              <w:jc w:val="center"/>
            </w:pPr>
            <w:r w:rsidRPr="00C9343F">
              <w:t>3.</w:t>
            </w:r>
          </w:p>
        </w:tc>
        <w:tc>
          <w:tcPr>
            <w:tcW w:w="8363" w:type="dxa"/>
            <w:gridSpan w:val="2"/>
          </w:tcPr>
          <w:p w14:paraId="009739E2" w14:textId="77777777" w:rsidR="008B4402" w:rsidRPr="00C9343F" w:rsidRDefault="008B4402" w:rsidP="00F66D98">
            <w:pPr>
              <w:pStyle w:val="BlockText-Plain"/>
            </w:pPr>
            <w:r w:rsidRPr="00C9343F">
              <w:t>A member may be granted recreation leave with pre-deployment leave.</w:t>
            </w:r>
          </w:p>
        </w:tc>
      </w:tr>
      <w:tr w:rsidR="008B4402" w:rsidRPr="00C9343F" w14:paraId="0827BEFE" w14:textId="77777777" w:rsidTr="0085629D">
        <w:tc>
          <w:tcPr>
            <w:tcW w:w="992" w:type="dxa"/>
          </w:tcPr>
          <w:p w14:paraId="07BD896F" w14:textId="77777777" w:rsidR="008B4402" w:rsidRPr="00C9343F" w:rsidRDefault="008B4402" w:rsidP="00F66D98">
            <w:pPr>
              <w:pStyle w:val="BlockText-Plain"/>
              <w:jc w:val="center"/>
            </w:pPr>
            <w:r w:rsidRPr="00C9343F">
              <w:t>4.</w:t>
            </w:r>
          </w:p>
        </w:tc>
        <w:tc>
          <w:tcPr>
            <w:tcW w:w="8363" w:type="dxa"/>
            <w:gridSpan w:val="2"/>
          </w:tcPr>
          <w:p w14:paraId="0D4E1928" w14:textId="77777777" w:rsidR="008B4402" w:rsidRPr="00C9343F" w:rsidRDefault="008B4402" w:rsidP="00F66D98">
            <w:pPr>
              <w:pStyle w:val="BlockText-Plain"/>
            </w:pPr>
            <w:r w:rsidRPr="00C9343F">
              <w:t>The member will be notified if pre-deployment leave is available as part of the conditions of service package for the deployment.</w:t>
            </w:r>
          </w:p>
        </w:tc>
      </w:tr>
      <w:tr w:rsidR="0085629D" w:rsidRPr="00C9343F" w14:paraId="0E9846B3" w14:textId="77777777" w:rsidTr="0085629D">
        <w:tc>
          <w:tcPr>
            <w:tcW w:w="992" w:type="dxa"/>
          </w:tcPr>
          <w:p w14:paraId="76F9AE06" w14:textId="77777777" w:rsidR="0085629D" w:rsidRPr="00C9343F" w:rsidRDefault="0085629D" w:rsidP="0085629D">
            <w:pPr>
              <w:pStyle w:val="BlockText-Plain"/>
              <w:jc w:val="center"/>
            </w:pPr>
            <w:bookmarkStart w:id="1950" w:name="bk95701PM57xMemberofReserveforces"/>
            <w:bookmarkStart w:id="1951" w:name="bk1218115717MemberofReserveforces"/>
            <w:bookmarkStart w:id="1952" w:name="bk1542325719MemberofReserveforces"/>
            <w:bookmarkStart w:id="1953" w:name="bk1353575720MemberofReserveforces"/>
            <w:bookmarkStart w:id="1954" w:name="bk1437305721MemberofReserveforces"/>
            <w:bookmarkStart w:id="1955" w:name="bk1236245722MemberofReserveForces"/>
            <w:bookmarkStart w:id="1956" w:name="bk1154235722MemberofReserveForces"/>
            <w:r w:rsidRPr="00C9343F">
              <w:t>5.</w:t>
            </w:r>
          </w:p>
        </w:tc>
        <w:tc>
          <w:tcPr>
            <w:tcW w:w="8363" w:type="dxa"/>
            <w:gridSpan w:val="2"/>
          </w:tcPr>
          <w:p w14:paraId="63960DB2" w14:textId="77777777" w:rsidR="0085629D" w:rsidRPr="00C9343F" w:rsidRDefault="0085629D" w:rsidP="0085629D">
            <w:pPr>
              <w:pStyle w:val="BlockText-Plain"/>
            </w:pPr>
            <w:r w:rsidRPr="00C9343F">
              <w:t xml:space="preserve">In this section, </w:t>
            </w:r>
            <w:r w:rsidRPr="00C9343F">
              <w:rPr>
                <w:b/>
              </w:rPr>
              <w:t>prescribed area</w:t>
            </w:r>
            <w:r w:rsidRPr="00C9343F">
              <w:t xml:space="preserve"> means one of the following.</w:t>
            </w:r>
          </w:p>
        </w:tc>
      </w:tr>
      <w:tr w:rsidR="0085629D" w:rsidRPr="00C9343F" w14:paraId="111DE885" w14:textId="77777777" w:rsidTr="0085629D">
        <w:tblPrEx>
          <w:tblLook w:val="04A0" w:firstRow="1" w:lastRow="0" w:firstColumn="1" w:lastColumn="0" w:noHBand="0" w:noVBand="1"/>
        </w:tblPrEx>
        <w:tc>
          <w:tcPr>
            <w:tcW w:w="995" w:type="dxa"/>
          </w:tcPr>
          <w:p w14:paraId="02DCFD20" w14:textId="77777777" w:rsidR="0085629D" w:rsidRPr="00C9343F" w:rsidRDefault="0085629D" w:rsidP="00445FEB">
            <w:pPr>
              <w:pStyle w:val="Sectiontext0"/>
              <w:spacing w:line="276" w:lineRule="auto"/>
              <w:jc w:val="center"/>
              <w:rPr>
                <w:lang w:eastAsia="en-US"/>
              </w:rPr>
            </w:pPr>
          </w:p>
        </w:tc>
        <w:tc>
          <w:tcPr>
            <w:tcW w:w="567" w:type="dxa"/>
            <w:hideMark/>
          </w:tcPr>
          <w:p w14:paraId="72E75BA9" w14:textId="77777777" w:rsidR="0085629D" w:rsidRPr="00C9343F" w:rsidRDefault="0085629D" w:rsidP="00445FEB">
            <w:pPr>
              <w:pStyle w:val="Sectiontext0"/>
              <w:spacing w:line="276" w:lineRule="auto"/>
              <w:jc w:val="center"/>
              <w:rPr>
                <w:rFonts w:cs="Arial"/>
                <w:lang w:eastAsia="en-US"/>
              </w:rPr>
            </w:pPr>
            <w:r w:rsidRPr="00C9343F">
              <w:rPr>
                <w:rFonts w:cs="Arial"/>
                <w:lang w:eastAsia="en-US"/>
              </w:rPr>
              <w:t>a.</w:t>
            </w:r>
          </w:p>
        </w:tc>
        <w:tc>
          <w:tcPr>
            <w:tcW w:w="7802" w:type="dxa"/>
            <w:hideMark/>
          </w:tcPr>
          <w:p w14:paraId="30B45497" w14:textId="77777777" w:rsidR="0085629D" w:rsidRPr="00C9343F" w:rsidRDefault="0085629D" w:rsidP="00445FEB">
            <w:pPr>
              <w:pStyle w:val="Default"/>
              <w:spacing w:after="240" w:line="276" w:lineRule="auto"/>
            </w:pPr>
            <w:r w:rsidRPr="00C9343F">
              <w:t>An operational area, as defined in section 1.3.48.</w:t>
            </w:r>
          </w:p>
        </w:tc>
      </w:tr>
      <w:tr w:rsidR="0085629D" w:rsidRPr="00C9343F" w14:paraId="6091D6CB" w14:textId="77777777" w:rsidTr="0085629D">
        <w:tblPrEx>
          <w:tblLook w:val="04A0" w:firstRow="1" w:lastRow="0" w:firstColumn="1" w:lastColumn="0" w:noHBand="0" w:noVBand="1"/>
        </w:tblPrEx>
        <w:tc>
          <w:tcPr>
            <w:tcW w:w="995" w:type="dxa"/>
          </w:tcPr>
          <w:p w14:paraId="436DEA9E" w14:textId="77777777" w:rsidR="0085629D" w:rsidRPr="00C9343F" w:rsidRDefault="0085629D" w:rsidP="00445FEB">
            <w:pPr>
              <w:pStyle w:val="Sectiontext0"/>
              <w:spacing w:line="276" w:lineRule="auto"/>
              <w:jc w:val="center"/>
              <w:rPr>
                <w:lang w:eastAsia="en-US"/>
              </w:rPr>
            </w:pPr>
          </w:p>
        </w:tc>
        <w:tc>
          <w:tcPr>
            <w:tcW w:w="567" w:type="dxa"/>
            <w:hideMark/>
          </w:tcPr>
          <w:p w14:paraId="6ACE80FE" w14:textId="77777777" w:rsidR="0085629D" w:rsidRPr="00C9343F" w:rsidRDefault="0085629D" w:rsidP="00445FEB">
            <w:pPr>
              <w:pStyle w:val="Sectiontext0"/>
              <w:spacing w:line="276" w:lineRule="auto"/>
              <w:jc w:val="center"/>
              <w:rPr>
                <w:rFonts w:cs="Arial"/>
                <w:lang w:eastAsia="en-US"/>
              </w:rPr>
            </w:pPr>
            <w:r w:rsidRPr="00C9343F">
              <w:rPr>
                <w:rFonts w:cs="Arial"/>
                <w:lang w:eastAsia="en-US"/>
              </w:rPr>
              <w:t>b.</w:t>
            </w:r>
          </w:p>
        </w:tc>
        <w:tc>
          <w:tcPr>
            <w:tcW w:w="7802" w:type="dxa"/>
            <w:hideMark/>
          </w:tcPr>
          <w:p w14:paraId="0F378910" w14:textId="77777777" w:rsidR="0085629D" w:rsidRPr="00C9343F" w:rsidRDefault="0085629D" w:rsidP="00445FEB">
            <w:pPr>
              <w:pStyle w:val="Default"/>
              <w:spacing w:after="240" w:line="276" w:lineRule="auto"/>
              <w:rPr>
                <w:i/>
              </w:rPr>
            </w:pPr>
            <w:r w:rsidRPr="00C9343F">
              <w:t>A defined area approved by the minister.</w:t>
            </w:r>
          </w:p>
        </w:tc>
      </w:tr>
    </w:tbl>
    <w:p w14:paraId="77D6D73C" w14:textId="70567DC6" w:rsidR="008B4402" w:rsidRPr="00C9343F" w:rsidRDefault="008B4402" w:rsidP="00F66D98">
      <w:pPr>
        <w:pStyle w:val="Heading5"/>
      </w:pPr>
      <w:bookmarkStart w:id="1957" w:name="_Toc105054148"/>
      <w:r w:rsidRPr="00C9343F">
        <w:t>5.9.23</w:t>
      </w:r>
      <w:r w:rsidR="00D94006" w:rsidRPr="00C9343F">
        <w:t>    </w:t>
      </w:r>
      <w:r w:rsidRPr="00C9343F">
        <w:t>Member of the Reserves</w:t>
      </w:r>
      <w:bookmarkEnd w:id="1957"/>
    </w:p>
    <w:bookmarkEnd w:id="1950"/>
    <w:bookmarkEnd w:id="1951"/>
    <w:bookmarkEnd w:id="1952"/>
    <w:bookmarkEnd w:id="1953"/>
    <w:bookmarkEnd w:id="1954"/>
    <w:bookmarkEnd w:id="1955"/>
    <w:bookmarkEnd w:id="1956"/>
    <w:tbl>
      <w:tblPr>
        <w:tblW w:w="0" w:type="auto"/>
        <w:tblInd w:w="113" w:type="dxa"/>
        <w:tblLayout w:type="fixed"/>
        <w:tblLook w:val="0000" w:firstRow="0" w:lastRow="0" w:firstColumn="0" w:lastColumn="0" w:noHBand="0" w:noVBand="0"/>
      </w:tblPr>
      <w:tblGrid>
        <w:gridCol w:w="992"/>
        <w:gridCol w:w="8363"/>
      </w:tblGrid>
      <w:tr w:rsidR="008B4402" w:rsidRPr="00C9343F" w14:paraId="15EB5098" w14:textId="77777777" w:rsidTr="008B4402">
        <w:tc>
          <w:tcPr>
            <w:tcW w:w="992" w:type="dxa"/>
          </w:tcPr>
          <w:p w14:paraId="080C0526" w14:textId="77777777" w:rsidR="008B4402" w:rsidRPr="00C9343F" w:rsidRDefault="008B4402" w:rsidP="00F66D98">
            <w:pPr>
              <w:pStyle w:val="BlockText-Plain"/>
              <w:jc w:val="center"/>
            </w:pPr>
          </w:p>
        </w:tc>
        <w:tc>
          <w:tcPr>
            <w:tcW w:w="8363" w:type="dxa"/>
          </w:tcPr>
          <w:p w14:paraId="502E2918" w14:textId="77777777" w:rsidR="008B4402" w:rsidRPr="00C9343F" w:rsidRDefault="008B4402" w:rsidP="00F66D98">
            <w:pPr>
              <w:pStyle w:val="BlockText-Plain"/>
            </w:pPr>
            <w:r w:rsidRPr="00C9343F">
              <w:t xml:space="preserve">A member of the Reserves on continuous full-time service may be eligible for </w:t>
            </w:r>
            <w:r w:rsidRPr="00C9343F">
              <w:br/>
              <w:t>pre-deployment leave. To qualify, their period of continuous full-time service must begin more than 12 weeks before the expected date of deployment.</w:t>
            </w:r>
          </w:p>
        </w:tc>
      </w:tr>
    </w:tbl>
    <w:p w14:paraId="5A5D6751" w14:textId="761B0C47" w:rsidR="008B4402" w:rsidRPr="00C9343F" w:rsidRDefault="008B4402" w:rsidP="00130031">
      <w:pPr>
        <w:pStyle w:val="Heading4"/>
        <w:pageBreakBefore/>
      </w:pPr>
      <w:bookmarkStart w:id="1958" w:name="_Toc105054149"/>
      <w:r w:rsidRPr="00C9343F">
        <w:t>Division 8: Leave to attend civilian court proceedings</w:t>
      </w:r>
      <w:bookmarkEnd w:id="1958"/>
    </w:p>
    <w:p w14:paraId="4C518689" w14:textId="0D0C4388" w:rsidR="008B4402" w:rsidRPr="00C9343F" w:rsidRDefault="008B4402" w:rsidP="00F66D98">
      <w:pPr>
        <w:pStyle w:val="Heading5"/>
      </w:pPr>
      <w:bookmarkStart w:id="1959" w:name="_Toc105054150"/>
      <w:r w:rsidRPr="00C9343F">
        <w:t>5.9.24</w:t>
      </w:r>
      <w:r w:rsidR="00D94006" w:rsidRPr="00C9343F">
        <w:t>    </w:t>
      </w:r>
      <w:r w:rsidRPr="00C9343F">
        <w:t>Attendance at court proceedings</w:t>
      </w:r>
      <w:bookmarkEnd w:id="1959"/>
    </w:p>
    <w:tbl>
      <w:tblPr>
        <w:tblW w:w="0" w:type="auto"/>
        <w:tblInd w:w="113" w:type="dxa"/>
        <w:tblLayout w:type="fixed"/>
        <w:tblLook w:val="0000" w:firstRow="0" w:lastRow="0" w:firstColumn="0" w:lastColumn="0" w:noHBand="0" w:noVBand="0"/>
      </w:tblPr>
      <w:tblGrid>
        <w:gridCol w:w="992"/>
        <w:gridCol w:w="8363"/>
      </w:tblGrid>
      <w:tr w:rsidR="008B4402" w:rsidRPr="00C9343F" w14:paraId="30148B29" w14:textId="77777777" w:rsidTr="008B4402">
        <w:tc>
          <w:tcPr>
            <w:tcW w:w="992" w:type="dxa"/>
          </w:tcPr>
          <w:p w14:paraId="6EA31620" w14:textId="77777777" w:rsidR="008B4402" w:rsidRPr="00C9343F" w:rsidRDefault="008B4402" w:rsidP="00F66D98">
            <w:pPr>
              <w:pStyle w:val="BlockText-Plain"/>
              <w:jc w:val="center"/>
            </w:pPr>
            <w:r w:rsidRPr="00C9343F">
              <w:t>1.</w:t>
            </w:r>
          </w:p>
        </w:tc>
        <w:tc>
          <w:tcPr>
            <w:tcW w:w="8363" w:type="dxa"/>
          </w:tcPr>
          <w:p w14:paraId="41B3F6EC" w14:textId="7D25321B" w:rsidR="008B4402" w:rsidRPr="00C9343F" w:rsidRDefault="008B4402" w:rsidP="00F66D98">
            <w:pPr>
              <w:pStyle w:val="BlockText-Plain"/>
            </w:pPr>
            <w:r w:rsidRPr="00C9343F">
              <w:t>A member appearing for the Commonwealth in court proceedings is treated as being on duty.</w:t>
            </w:r>
          </w:p>
        </w:tc>
      </w:tr>
      <w:tr w:rsidR="008B4402" w:rsidRPr="00C9343F" w14:paraId="21C6C58F" w14:textId="77777777" w:rsidTr="008B4402">
        <w:tc>
          <w:tcPr>
            <w:tcW w:w="992" w:type="dxa"/>
          </w:tcPr>
          <w:p w14:paraId="1F2B7784" w14:textId="77777777" w:rsidR="008B4402" w:rsidRPr="00C9343F" w:rsidRDefault="008B4402" w:rsidP="00F66D98">
            <w:pPr>
              <w:pStyle w:val="BlockText-Plain"/>
              <w:jc w:val="center"/>
            </w:pPr>
            <w:r w:rsidRPr="00C9343F">
              <w:t>2.</w:t>
            </w:r>
          </w:p>
        </w:tc>
        <w:tc>
          <w:tcPr>
            <w:tcW w:w="8363" w:type="dxa"/>
          </w:tcPr>
          <w:p w14:paraId="4C778F71" w14:textId="7C61D6F8" w:rsidR="008B4402" w:rsidRPr="00C9343F" w:rsidRDefault="008B4402" w:rsidP="00F66D98">
            <w:pPr>
              <w:pStyle w:val="BlockText-Plain"/>
            </w:pPr>
            <w:r w:rsidRPr="00C9343F">
              <w:t xml:space="preserve">In any other case where the member is attending a court or tribunal proceeding, the CDF may grant short absence from duty or leave without pay.  </w:t>
            </w:r>
          </w:p>
        </w:tc>
      </w:tr>
    </w:tbl>
    <w:p w14:paraId="482CC2C9" w14:textId="5F4C54F3" w:rsidR="008B4402" w:rsidRPr="00C9343F" w:rsidRDefault="008B4402" w:rsidP="00F66D98">
      <w:pPr>
        <w:pStyle w:val="Heading3"/>
        <w:pageBreakBefore/>
      </w:pPr>
      <w:bookmarkStart w:id="1960" w:name="_Toc105054151"/>
      <w:r w:rsidRPr="00C9343F">
        <w:t>Part 10: Leave without pay</w:t>
      </w:r>
      <w:bookmarkEnd w:id="1960"/>
    </w:p>
    <w:p w14:paraId="0FA31ABD" w14:textId="7EF81A1F" w:rsidR="008B4402" w:rsidRPr="00C9343F" w:rsidRDefault="008B4402" w:rsidP="00F66D98">
      <w:pPr>
        <w:pStyle w:val="Heading5"/>
      </w:pPr>
      <w:bookmarkStart w:id="1961" w:name="_Toc105054152"/>
      <w:bookmarkStart w:id="1962" w:name="bk101106583Purpose"/>
      <w:bookmarkStart w:id="1963" w:name="bk101312583Purpose"/>
      <w:bookmarkStart w:id="1964" w:name="bk110834583Purpose"/>
      <w:bookmarkStart w:id="1965" w:name="bk111104583Purpose"/>
      <w:bookmarkStart w:id="1966" w:name="bk111129583Purpose"/>
      <w:bookmarkStart w:id="1967" w:name="bk111304583Purpose"/>
      <w:bookmarkStart w:id="1968" w:name="bk102144583Purpose"/>
      <w:bookmarkStart w:id="1969" w:name="bk102249583Purpose"/>
      <w:bookmarkStart w:id="1970" w:name="bk132410583Purpose"/>
      <w:bookmarkStart w:id="1971" w:name="bk145326583Purpose"/>
      <w:bookmarkStart w:id="1972" w:name="bk115249583Purpose"/>
      <w:r w:rsidRPr="00C9343F">
        <w:t>5.10.3</w:t>
      </w:r>
      <w:r w:rsidR="00D94006" w:rsidRPr="00C9343F">
        <w:t>    </w:t>
      </w:r>
      <w:r w:rsidRPr="00C9343F">
        <w:t>Purpose</w:t>
      </w:r>
      <w:bookmarkEnd w:id="1961"/>
    </w:p>
    <w:bookmarkEnd w:id="1962"/>
    <w:bookmarkEnd w:id="1963"/>
    <w:bookmarkEnd w:id="1964"/>
    <w:bookmarkEnd w:id="1965"/>
    <w:bookmarkEnd w:id="1966"/>
    <w:bookmarkEnd w:id="1967"/>
    <w:bookmarkEnd w:id="1968"/>
    <w:bookmarkEnd w:id="1969"/>
    <w:bookmarkEnd w:id="1970"/>
    <w:bookmarkEnd w:id="1971"/>
    <w:bookmarkEnd w:id="1972"/>
    <w:tbl>
      <w:tblPr>
        <w:tblW w:w="0" w:type="auto"/>
        <w:tblInd w:w="113" w:type="dxa"/>
        <w:tblLayout w:type="fixed"/>
        <w:tblLook w:val="0000" w:firstRow="0" w:lastRow="0" w:firstColumn="0" w:lastColumn="0" w:noHBand="0" w:noVBand="0"/>
      </w:tblPr>
      <w:tblGrid>
        <w:gridCol w:w="992"/>
        <w:gridCol w:w="8363"/>
      </w:tblGrid>
      <w:tr w:rsidR="008B4402" w:rsidRPr="00C9343F" w14:paraId="7D95E161" w14:textId="77777777" w:rsidTr="008B4402">
        <w:tc>
          <w:tcPr>
            <w:tcW w:w="992" w:type="dxa"/>
          </w:tcPr>
          <w:p w14:paraId="7F457C54" w14:textId="77777777" w:rsidR="008B4402" w:rsidRPr="00C9343F" w:rsidRDefault="008B4402" w:rsidP="00F66D98">
            <w:pPr>
              <w:pStyle w:val="BlockText-Plain"/>
              <w:jc w:val="center"/>
            </w:pPr>
          </w:p>
        </w:tc>
        <w:tc>
          <w:tcPr>
            <w:tcW w:w="8363" w:type="dxa"/>
          </w:tcPr>
          <w:p w14:paraId="27BFA125" w14:textId="77777777" w:rsidR="008B4402" w:rsidRPr="00C9343F" w:rsidRDefault="008B4402" w:rsidP="00F66D98">
            <w:pPr>
              <w:pStyle w:val="BlockText-Plain"/>
            </w:pPr>
            <w:r w:rsidRPr="00C9343F">
              <w:t>Leave without pay allows a member to take leave when no other leave type is suitable.</w:t>
            </w:r>
          </w:p>
        </w:tc>
      </w:tr>
    </w:tbl>
    <w:p w14:paraId="79F43760" w14:textId="2119C779" w:rsidR="008B4402" w:rsidRPr="00C9343F" w:rsidRDefault="008B4402" w:rsidP="00F66D98">
      <w:pPr>
        <w:pStyle w:val="Heading5"/>
      </w:pPr>
      <w:bookmarkStart w:id="1973" w:name="_Toc105054153"/>
      <w:bookmarkStart w:id="1974" w:name="bk101106584Grantofleavewithoutpay"/>
      <w:bookmarkStart w:id="1975" w:name="bk101312584Grantofleavewithoutpay"/>
      <w:bookmarkStart w:id="1976" w:name="bk110834584Grantofleavewithoutpay"/>
      <w:bookmarkStart w:id="1977" w:name="bk111104584Grantofleavewithoutpay"/>
      <w:bookmarkStart w:id="1978" w:name="bk111129584Grantofleavewithoutpay"/>
      <w:bookmarkStart w:id="1979" w:name="bk111304584Grantofleavewithoutpay"/>
      <w:bookmarkStart w:id="1980" w:name="bk102144584Grantofleavewithoutpay"/>
      <w:bookmarkStart w:id="1981" w:name="bk102249584Grantofleavewithoutpay"/>
      <w:bookmarkStart w:id="1982" w:name="bk132410584Grantofleavewithoutpay"/>
      <w:bookmarkStart w:id="1983" w:name="bk145326584Grantofleavewithoutpay"/>
      <w:bookmarkStart w:id="1984" w:name="bk115249584Grantofleavewithoutpay"/>
      <w:r w:rsidRPr="00C9343F">
        <w:t>5.10.4</w:t>
      </w:r>
      <w:r w:rsidR="00D94006" w:rsidRPr="00C9343F">
        <w:t>    </w:t>
      </w:r>
      <w:r w:rsidRPr="00C9343F">
        <w:t>Grant of leave without pay</w:t>
      </w:r>
      <w:bookmarkEnd w:id="1973"/>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584F3914" w14:textId="77777777" w:rsidTr="00020A90">
        <w:tc>
          <w:tcPr>
            <w:tcW w:w="992" w:type="dxa"/>
          </w:tcPr>
          <w:bookmarkEnd w:id="1974"/>
          <w:bookmarkEnd w:id="1975"/>
          <w:bookmarkEnd w:id="1976"/>
          <w:bookmarkEnd w:id="1977"/>
          <w:bookmarkEnd w:id="1978"/>
          <w:bookmarkEnd w:id="1979"/>
          <w:bookmarkEnd w:id="1980"/>
          <w:bookmarkEnd w:id="1981"/>
          <w:bookmarkEnd w:id="1982"/>
          <w:bookmarkEnd w:id="1983"/>
          <w:bookmarkEnd w:id="1984"/>
          <w:p w14:paraId="28FD68DE" w14:textId="77777777" w:rsidR="008B4402" w:rsidRPr="00C9343F" w:rsidRDefault="008B4402" w:rsidP="00F66D98">
            <w:pPr>
              <w:pStyle w:val="BlockText-Plain"/>
              <w:jc w:val="center"/>
            </w:pPr>
            <w:r w:rsidRPr="00C9343F">
              <w:t>1.</w:t>
            </w:r>
          </w:p>
        </w:tc>
        <w:tc>
          <w:tcPr>
            <w:tcW w:w="8363" w:type="dxa"/>
            <w:gridSpan w:val="2"/>
          </w:tcPr>
          <w:p w14:paraId="1CACE464" w14:textId="77777777" w:rsidR="008B4402" w:rsidRPr="00C9343F" w:rsidRDefault="008B4402" w:rsidP="00F66D98">
            <w:pPr>
              <w:pStyle w:val="BlockText-Plain"/>
            </w:pPr>
            <w:r w:rsidRPr="00C9343F">
              <w:t xml:space="preserve">The CDF may grant a member a period of leave without pay on the member's application. </w:t>
            </w:r>
          </w:p>
          <w:p w14:paraId="2FC29EB4" w14:textId="77777777" w:rsidR="008B4402" w:rsidRPr="00C9343F" w:rsidRDefault="008B4402" w:rsidP="00F66D98">
            <w:pPr>
              <w:pStyle w:val="BlockText-Plain"/>
            </w:pPr>
            <w:r w:rsidRPr="00C9343F">
              <w:rPr>
                <w:b/>
              </w:rPr>
              <w:t>Note:</w:t>
            </w:r>
            <w:r w:rsidRPr="00C9343F">
              <w:t xml:space="preserve"> For a member on Reserve service, this means permission to interrupt their training obligations.</w:t>
            </w:r>
          </w:p>
        </w:tc>
      </w:tr>
      <w:tr w:rsidR="008B4402" w:rsidRPr="00C9343F" w14:paraId="5D77D16C" w14:textId="77777777" w:rsidTr="00020A90">
        <w:tc>
          <w:tcPr>
            <w:tcW w:w="992" w:type="dxa"/>
          </w:tcPr>
          <w:p w14:paraId="724D9E5D" w14:textId="77777777" w:rsidR="008B4402" w:rsidRPr="00C9343F" w:rsidRDefault="008B4402" w:rsidP="00F66D98">
            <w:pPr>
              <w:pStyle w:val="BlockText-Plain"/>
              <w:jc w:val="center"/>
            </w:pPr>
            <w:r w:rsidRPr="00C9343F">
              <w:t>2.</w:t>
            </w:r>
          </w:p>
        </w:tc>
        <w:tc>
          <w:tcPr>
            <w:tcW w:w="8363" w:type="dxa"/>
            <w:gridSpan w:val="2"/>
          </w:tcPr>
          <w:p w14:paraId="26C1376B" w14:textId="77777777" w:rsidR="008B4402" w:rsidRPr="00C9343F" w:rsidRDefault="008B4402" w:rsidP="00F66D98">
            <w:pPr>
              <w:pStyle w:val="BlockText-Plain"/>
            </w:pPr>
            <w:r w:rsidRPr="00C9343F">
              <w:t>A period of leave without pay must not be longer than two years, unless section 5.10.5 applies.</w:t>
            </w:r>
          </w:p>
        </w:tc>
      </w:tr>
      <w:tr w:rsidR="008B4402" w:rsidRPr="00C9343F" w14:paraId="76D95EE6" w14:textId="77777777" w:rsidTr="00020A90">
        <w:tc>
          <w:tcPr>
            <w:tcW w:w="992" w:type="dxa"/>
          </w:tcPr>
          <w:p w14:paraId="58A9F5FF" w14:textId="77777777" w:rsidR="008B4402" w:rsidRPr="00C9343F" w:rsidRDefault="008B4402" w:rsidP="00F66D98">
            <w:pPr>
              <w:pStyle w:val="BlockText-Plain"/>
              <w:jc w:val="center"/>
            </w:pPr>
            <w:r w:rsidRPr="00C9343F">
              <w:t>3.</w:t>
            </w:r>
          </w:p>
        </w:tc>
        <w:tc>
          <w:tcPr>
            <w:tcW w:w="8363" w:type="dxa"/>
            <w:gridSpan w:val="2"/>
          </w:tcPr>
          <w:p w14:paraId="0B4F28B5" w14:textId="77777777" w:rsidR="008B4402" w:rsidRPr="00C9343F" w:rsidRDefault="008B4402" w:rsidP="00F66D98">
            <w:pPr>
              <w:pStyle w:val="BlockText-Plain"/>
            </w:pPr>
            <w:r w:rsidRPr="00C9343F">
              <w:t>For subsection 1, the CDF must consider all of these criteria.</w:t>
            </w:r>
          </w:p>
        </w:tc>
      </w:tr>
      <w:tr w:rsidR="008B4402" w:rsidRPr="00C9343F" w14:paraId="5B6C29FC" w14:textId="77777777" w:rsidTr="00020A90">
        <w:trPr>
          <w:cantSplit/>
        </w:trPr>
        <w:tc>
          <w:tcPr>
            <w:tcW w:w="992" w:type="dxa"/>
          </w:tcPr>
          <w:p w14:paraId="0C1A91C6" w14:textId="77777777" w:rsidR="008B4402" w:rsidRPr="00C9343F" w:rsidRDefault="008B4402" w:rsidP="00F66D98">
            <w:pPr>
              <w:pStyle w:val="BlockText-Plain"/>
            </w:pPr>
          </w:p>
        </w:tc>
        <w:tc>
          <w:tcPr>
            <w:tcW w:w="567" w:type="dxa"/>
          </w:tcPr>
          <w:p w14:paraId="725701EA" w14:textId="77777777" w:rsidR="008B4402" w:rsidRPr="00C9343F" w:rsidRDefault="008B4402" w:rsidP="005849DD">
            <w:pPr>
              <w:pStyle w:val="BlockText-Plain"/>
              <w:jc w:val="center"/>
            </w:pPr>
            <w:r w:rsidRPr="00C9343F">
              <w:t>a.</w:t>
            </w:r>
          </w:p>
        </w:tc>
        <w:tc>
          <w:tcPr>
            <w:tcW w:w="7796" w:type="dxa"/>
          </w:tcPr>
          <w:p w14:paraId="0EF15590" w14:textId="77777777" w:rsidR="008B4402" w:rsidRPr="00C9343F" w:rsidRDefault="008B4402" w:rsidP="00F66D98">
            <w:pPr>
              <w:pStyle w:val="BlockText-Plain"/>
            </w:pPr>
            <w:r w:rsidRPr="00C9343F">
              <w:t>The purpose and length of the period of leave.</w:t>
            </w:r>
          </w:p>
        </w:tc>
      </w:tr>
      <w:tr w:rsidR="008B4402" w:rsidRPr="00C9343F" w14:paraId="20585785" w14:textId="77777777" w:rsidTr="00020A90">
        <w:trPr>
          <w:cantSplit/>
        </w:trPr>
        <w:tc>
          <w:tcPr>
            <w:tcW w:w="992" w:type="dxa"/>
          </w:tcPr>
          <w:p w14:paraId="5F939CFC" w14:textId="77777777" w:rsidR="008B4402" w:rsidRPr="00C9343F" w:rsidRDefault="008B4402" w:rsidP="00F66D98">
            <w:pPr>
              <w:pStyle w:val="BlockText-Plain"/>
            </w:pPr>
          </w:p>
        </w:tc>
        <w:tc>
          <w:tcPr>
            <w:tcW w:w="567" w:type="dxa"/>
          </w:tcPr>
          <w:p w14:paraId="3CFA53BA" w14:textId="77777777" w:rsidR="008B4402" w:rsidRPr="00C9343F" w:rsidRDefault="008B4402" w:rsidP="005849DD">
            <w:pPr>
              <w:pStyle w:val="BlockText-Plain"/>
              <w:jc w:val="center"/>
            </w:pPr>
            <w:r w:rsidRPr="00C9343F">
              <w:t>b.</w:t>
            </w:r>
          </w:p>
        </w:tc>
        <w:tc>
          <w:tcPr>
            <w:tcW w:w="7796" w:type="dxa"/>
          </w:tcPr>
          <w:p w14:paraId="6A6ADACA" w14:textId="77777777" w:rsidR="008B4402" w:rsidRPr="00C9343F" w:rsidRDefault="008B4402" w:rsidP="00F66D98">
            <w:pPr>
              <w:pStyle w:val="BlockText-Plain"/>
            </w:pPr>
            <w:r w:rsidRPr="00C9343F">
              <w:t>The operational efficiency of the ADF.</w:t>
            </w:r>
          </w:p>
        </w:tc>
      </w:tr>
      <w:tr w:rsidR="008B4402" w:rsidRPr="00C9343F" w14:paraId="59861819" w14:textId="77777777" w:rsidTr="00020A90">
        <w:trPr>
          <w:cantSplit/>
        </w:trPr>
        <w:tc>
          <w:tcPr>
            <w:tcW w:w="992" w:type="dxa"/>
          </w:tcPr>
          <w:p w14:paraId="78223E83" w14:textId="77777777" w:rsidR="008B4402" w:rsidRPr="00C9343F" w:rsidRDefault="008B4402" w:rsidP="00F66D98">
            <w:pPr>
              <w:pStyle w:val="BlockText-Plain"/>
            </w:pPr>
          </w:p>
        </w:tc>
        <w:tc>
          <w:tcPr>
            <w:tcW w:w="567" w:type="dxa"/>
          </w:tcPr>
          <w:p w14:paraId="54C52671" w14:textId="77777777" w:rsidR="008B4402" w:rsidRPr="00C9343F" w:rsidRDefault="008B4402" w:rsidP="005849DD">
            <w:pPr>
              <w:pStyle w:val="BlockText-Plain"/>
              <w:jc w:val="center"/>
            </w:pPr>
            <w:r w:rsidRPr="00C9343F">
              <w:t>c.</w:t>
            </w:r>
          </w:p>
        </w:tc>
        <w:tc>
          <w:tcPr>
            <w:tcW w:w="7796" w:type="dxa"/>
          </w:tcPr>
          <w:p w14:paraId="2A60AAD3" w14:textId="77777777" w:rsidR="008B4402" w:rsidRPr="00C9343F" w:rsidRDefault="008B4402" w:rsidP="00F66D98">
            <w:pPr>
              <w:pStyle w:val="BlockText-Plain"/>
            </w:pPr>
            <w:r w:rsidRPr="00C9343F">
              <w:t>The member’s length of service.</w:t>
            </w:r>
          </w:p>
        </w:tc>
      </w:tr>
      <w:tr w:rsidR="008B4402" w:rsidRPr="00C9343F" w14:paraId="34D09B32" w14:textId="77777777" w:rsidTr="00020A90">
        <w:trPr>
          <w:cantSplit/>
        </w:trPr>
        <w:tc>
          <w:tcPr>
            <w:tcW w:w="992" w:type="dxa"/>
          </w:tcPr>
          <w:p w14:paraId="085760CF" w14:textId="77777777" w:rsidR="008B4402" w:rsidRPr="00C9343F" w:rsidRDefault="008B4402" w:rsidP="00F66D98">
            <w:pPr>
              <w:pStyle w:val="BlockText-Plain"/>
            </w:pPr>
          </w:p>
        </w:tc>
        <w:tc>
          <w:tcPr>
            <w:tcW w:w="567" w:type="dxa"/>
          </w:tcPr>
          <w:p w14:paraId="1B29A3FE" w14:textId="77777777" w:rsidR="008B4402" w:rsidRPr="00C9343F" w:rsidRDefault="008B4402" w:rsidP="005849DD">
            <w:pPr>
              <w:pStyle w:val="BlockText-Plain"/>
              <w:jc w:val="center"/>
            </w:pPr>
            <w:r w:rsidRPr="00C9343F">
              <w:t>d.</w:t>
            </w:r>
          </w:p>
        </w:tc>
        <w:tc>
          <w:tcPr>
            <w:tcW w:w="7796" w:type="dxa"/>
          </w:tcPr>
          <w:p w14:paraId="278502FE" w14:textId="77777777" w:rsidR="008B4402" w:rsidRPr="00C9343F" w:rsidRDefault="008B4402" w:rsidP="00F66D98">
            <w:pPr>
              <w:pStyle w:val="BlockText-Plain"/>
            </w:pPr>
            <w:r w:rsidRPr="00C9343F">
              <w:t>The extent and appropriateness of any other leave available to the member.</w:t>
            </w:r>
          </w:p>
        </w:tc>
      </w:tr>
      <w:tr w:rsidR="008B4402" w:rsidRPr="00C9343F" w14:paraId="660DD876" w14:textId="77777777" w:rsidTr="00020A90">
        <w:trPr>
          <w:cantSplit/>
        </w:trPr>
        <w:tc>
          <w:tcPr>
            <w:tcW w:w="992" w:type="dxa"/>
          </w:tcPr>
          <w:p w14:paraId="41DEAD99" w14:textId="77777777" w:rsidR="008B4402" w:rsidRPr="00C9343F" w:rsidRDefault="008B4402" w:rsidP="00F66D98">
            <w:pPr>
              <w:pStyle w:val="BlockText-Plain"/>
            </w:pPr>
          </w:p>
        </w:tc>
        <w:tc>
          <w:tcPr>
            <w:tcW w:w="567" w:type="dxa"/>
          </w:tcPr>
          <w:p w14:paraId="16B697A8" w14:textId="77777777" w:rsidR="008B4402" w:rsidRPr="00C9343F" w:rsidRDefault="008B4402" w:rsidP="005849DD">
            <w:pPr>
              <w:pStyle w:val="BlockText-Plain"/>
              <w:jc w:val="center"/>
            </w:pPr>
            <w:r w:rsidRPr="00C9343F">
              <w:t>e.</w:t>
            </w:r>
          </w:p>
        </w:tc>
        <w:tc>
          <w:tcPr>
            <w:tcW w:w="7796" w:type="dxa"/>
          </w:tcPr>
          <w:p w14:paraId="75E4D009" w14:textId="77777777" w:rsidR="008B4402" w:rsidRPr="00C9343F" w:rsidRDefault="008B4402" w:rsidP="00F66D98">
            <w:pPr>
              <w:pStyle w:val="BlockText-Plain"/>
            </w:pPr>
            <w:r w:rsidRPr="00C9343F">
              <w:t>The nature of any training or study that the member intends to undertake during the period.</w:t>
            </w:r>
          </w:p>
        </w:tc>
      </w:tr>
      <w:tr w:rsidR="008B4402" w:rsidRPr="00C9343F" w14:paraId="6DA0A0B9" w14:textId="77777777" w:rsidTr="00020A90">
        <w:trPr>
          <w:cantSplit/>
        </w:trPr>
        <w:tc>
          <w:tcPr>
            <w:tcW w:w="992" w:type="dxa"/>
          </w:tcPr>
          <w:p w14:paraId="3C3615FD" w14:textId="77777777" w:rsidR="008B4402" w:rsidRPr="00C9343F" w:rsidRDefault="008B4402" w:rsidP="00F66D98">
            <w:pPr>
              <w:pStyle w:val="BlockText-Plain"/>
            </w:pPr>
          </w:p>
        </w:tc>
        <w:tc>
          <w:tcPr>
            <w:tcW w:w="567" w:type="dxa"/>
          </w:tcPr>
          <w:p w14:paraId="01F64CB4" w14:textId="77777777" w:rsidR="008B4402" w:rsidRPr="00C9343F" w:rsidRDefault="008B4402" w:rsidP="005849DD">
            <w:pPr>
              <w:pStyle w:val="BlockText-Plain"/>
              <w:jc w:val="center"/>
            </w:pPr>
            <w:r w:rsidRPr="00C9343F">
              <w:t>f.</w:t>
            </w:r>
          </w:p>
        </w:tc>
        <w:tc>
          <w:tcPr>
            <w:tcW w:w="7796" w:type="dxa"/>
          </w:tcPr>
          <w:p w14:paraId="60E934EF" w14:textId="77777777" w:rsidR="008B4402" w:rsidRPr="00C9343F" w:rsidRDefault="008B4402" w:rsidP="00F66D98">
            <w:pPr>
              <w:pStyle w:val="BlockText-Plain"/>
            </w:pPr>
            <w:r w:rsidRPr="00C9343F">
              <w:t>The likelihood of the member resuming continuous full-time service at the end of the period.</w:t>
            </w:r>
          </w:p>
        </w:tc>
      </w:tr>
      <w:tr w:rsidR="008B4402" w:rsidRPr="00C9343F" w14:paraId="628AEF72" w14:textId="77777777" w:rsidTr="00020A90">
        <w:trPr>
          <w:cantSplit/>
        </w:trPr>
        <w:tc>
          <w:tcPr>
            <w:tcW w:w="992" w:type="dxa"/>
          </w:tcPr>
          <w:p w14:paraId="4642B944" w14:textId="77777777" w:rsidR="008B4402" w:rsidRPr="00C9343F" w:rsidRDefault="008B4402" w:rsidP="00F66D98">
            <w:pPr>
              <w:pStyle w:val="BlockText-Plain"/>
            </w:pPr>
          </w:p>
        </w:tc>
        <w:tc>
          <w:tcPr>
            <w:tcW w:w="567" w:type="dxa"/>
          </w:tcPr>
          <w:p w14:paraId="08CA3A73" w14:textId="77777777" w:rsidR="008B4402" w:rsidRPr="00C9343F" w:rsidRDefault="008B4402" w:rsidP="005849DD">
            <w:pPr>
              <w:pStyle w:val="BlockText-Plain"/>
              <w:jc w:val="center"/>
            </w:pPr>
            <w:r w:rsidRPr="00C9343F">
              <w:t>g.</w:t>
            </w:r>
          </w:p>
        </w:tc>
        <w:tc>
          <w:tcPr>
            <w:tcW w:w="7796" w:type="dxa"/>
          </w:tcPr>
          <w:p w14:paraId="513111F6" w14:textId="77777777" w:rsidR="008B4402" w:rsidRPr="00C9343F" w:rsidRDefault="008B4402" w:rsidP="00F66D98">
            <w:pPr>
              <w:pStyle w:val="BlockText-Plain"/>
            </w:pPr>
            <w:r w:rsidRPr="00C9343F">
              <w:t>The personal circumstances of the member or their dependants.</w:t>
            </w:r>
          </w:p>
        </w:tc>
      </w:tr>
      <w:tr w:rsidR="00020A90" w:rsidRPr="00C9343F" w14:paraId="794472EB" w14:textId="77777777" w:rsidTr="00020A90">
        <w:trPr>
          <w:cantSplit/>
        </w:trPr>
        <w:tc>
          <w:tcPr>
            <w:tcW w:w="992" w:type="dxa"/>
          </w:tcPr>
          <w:p w14:paraId="37A4B4E6" w14:textId="77777777" w:rsidR="00020A90" w:rsidRPr="00C9343F" w:rsidRDefault="00020A90" w:rsidP="00F66D98">
            <w:pPr>
              <w:pStyle w:val="BlockText-Plain"/>
            </w:pPr>
          </w:p>
        </w:tc>
        <w:tc>
          <w:tcPr>
            <w:tcW w:w="567" w:type="dxa"/>
          </w:tcPr>
          <w:p w14:paraId="44BCAF66" w14:textId="4F1EAD53" w:rsidR="00020A90" w:rsidRPr="00C9343F" w:rsidRDefault="00020A90" w:rsidP="005849DD">
            <w:pPr>
              <w:pStyle w:val="BlockText-Plain"/>
              <w:jc w:val="center"/>
            </w:pPr>
            <w:r w:rsidRPr="00C9343F">
              <w:rPr>
                <w:rFonts w:cs="Arial"/>
                <w:lang w:eastAsia="en-US"/>
              </w:rPr>
              <w:t>h.</w:t>
            </w:r>
          </w:p>
        </w:tc>
        <w:tc>
          <w:tcPr>
            <w:tcW w:w="7796" w:type="dxa"/>
          </w:tcPr>
          <w:p w14:paraId="15A1BFB6" w14:textId="66EC2E61" w:rsidR="00020A90" w:rsidRPr="00C9343F" w:rsidRDefault="00020A90" w:rsidP="00F66D98">
            <w:pPr>
              <w:pStyle w:val="BlockText-Plain"/>
            </w:pPr>
            <w:r w:rsidRPr="00C9343F">
              <w:t>Any approved employment to be undertaken by the member.</w:t>
            </w:r>
          </w:p>
        </w:tc>
      </w:tr>
      <w:tr w:rsidR="008B4402" w:rsidRPr="00C9343F" w14:paraId="094009DF" w14:textId="77777777" w:rsidTr="00020A90">
        <w:trPr>
          <w:cantSplit/>
        </w:trPr>
        <w:tc>
          <w:tcPr>
            <w:tcW w:w="992" w:type="dxa"/>
          </w:tcPr>
          <w:p w14:paraId="14795A0A" w14:textId="77777777" w:rsidR="008B4402" w:rsidRPr="00C9343F" w:rsidRDefault="008B4402" w:rsidP="00F66D98">
            <w:pPr>
              <w:pStyle w:val="BlockText-Plain"/>
            </w:pPr>
          </w:p>
        </w:tc>
        <w:tc>
          <w:tcPr>
            <w:tcW w:w="567" w:type="dxa"/>
          </w:tcPr>
          <w:p w14:paraId="0E7FF898" w14:textId="77777777" w:rsidR="008B4402" w:rsidRPr="00C9343F" w:rsidRDefault="008B4402" w:rsidP="005849DD">
            <w:pPr>
              <w:pStyle w:val="BlockText-Plain"/>
              <w:jc w:val="center"/>
            </w:pPr>
            <w:r w:rsidRPr="00C9343F">
              <w:t>i.</w:t>
            </w:r>
          </w:p>
        </w:tc>
        <w:tc>
          <w:tcPr>
            <w:tcW w:w="7796" w:type="dxa"/>
          </w:tcPr>
          <w:p w14:paraId="1FCCA76F" w14:textId="54B436E2" w:rsidR="008B4402" w:rsidRPr="00C9343F" w:rsidRDefault="008B4402" w:rsidP="00F66D98">
            <w:pPr>
              <w:pStyle w:val="BlockText-Plain"/>
            </w:pPr>
            <w:r w:rsidRPr="00C9343F">
              <w:t>Any other factor relevant to the application for leave.</w:t>
            </w:r>
          </w:p>
        </w:tc>
      </w:tr>
      <w:tr w:rsidR="008B4402" w:rsidRPr="00C9343F" w14:paraId="1B6BB241" w14:textId="77777777" w:rsidTr="00020A90">
        <w:tc>
          <w:tcPr>
            <w:tcW w:w="992" w:type="dxa"/>
          </w:tcPr>
          <w:p w14:paraId="78C75A7E" w14:textId="77777777" w:rsidR="008B4402" w:rsidRPr="00C9343F" w:rsidRDefault="008B4402" w:rsidP="00F66D98">
            <w:pPr>
              <w:pStyle w:val="BlockText-Plain"/>
              <w:jc w:val="center"/>
            </w:pPr>
            <w:r w:rsidRPr="00C9343F">
              <w:t>4.</w:t>
            </w:r>
          </w:p>
        </w:tc>
        <w:tc>
          <w:tcPr>
            <w:tcW w:w="8363" w:type="dxa"/>
            <w:gridSpan w:val="2"/>
          </w:tcPr>
          <w:p w14:paraId="4812FC73" w14:textId="42E14EB6" w:rsidR="008B4402" w:rsidRPr="00C9343F" w:rsidRDefault="008B4402" w:rsidP="00F66D98">
            <w:pPr>
              <w:pStyle w:val="BlockText-Plain"/>
            </w:pPr>
            <w:r w:rsidRPr="00C9343F">
              <w:t xml:space="preserve">Leave without pay must not be used for unpaid maternity leave. </w:t>
            </w:r>
          </w:p>
        </w:tc>
      </w:tr>
    </w:tbl>
    <w:p w14:paraId="0DA21F5D" w14:textId="40754B6B" w:rsidR="008B4402" w:rsidRPr="00C9343F" w:rsidRDefault="008B4402" w:rsidP="00F66D98">
      <w:pPr>
        <w:pStyle w:val="Heading5"/>
      </w:pPr>
      <w:bookmarkStart w:id="1985" w:name="_Toc105054154"/>
      <w:bookmarkStart w:id="1986" w:name="bk101106585Leavewithoutpaytoaccompanysp"/>
      <w:bookmarkStart w:id="1987" w:name="bk101312585Leavewithoutpaytoaccompanysp"/>
      <w:bookmarkStart w:id="1988" w:name="bk110834585Leavewithoutpaytoaccompanysp"/>
      <w:bookmarkStart w:id="1989" w:name="bk111104585Leavewithoutpaytoaccompanysp"/>
      <w:bookmarkStart w:id="1990" w:name="bk111129585Leavewithoutpaytoaccompanysp"/>
      <w:bookmarkStart w:id="1991" w:name="bk111304585Leavewithoutpaytoaccompanysp"/>
      <w:bookmarkStart w:id="1992" w:name="bk102144585Leavewithoutpaytoaccompanysp"/>
      <w:bookmarkStart w:id="1993" w:name="bk102249585Leavewithoutpaytoaccompanysp"/>
      <w:bookmarkStart w:id="1994" w:name="bk132410585Leavewithoutpaytoaccompanysp"/>
      <w:bookmarkStart w:id="1995" w:name="bk145326585Leavewithoutpaytoaccompanysp"/>
      <w:bookmarkStart w:id="1996" w:name="bk115249585Leavewithoutpaytoaccompanysp"/>
      <w:r w:rsidRPr="00C9343F">
        <w:t>5.10.5</w:t>
      </w:r>
      <w:r w:rsidR="00D94006" w:rsidRPr="00C9343F">
        <w:t>    </w:t>
      </w:r>
      <w:r w:rsidRPr="00C9343F">
        <w:t>Leave without pay to accompany spouse or partner on posting</w:t>
      </w:r>
      <w:bookmarkEnd w:id="1985"/>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6374969B" w14:textId="77777777" w:rsidTr="008B4402">
        <w:tc>
          <w:tcPr>
            <w:tcW w:w="992" w:type="dxa"/>
          </w:tcPr>
          <w:bookmarkEnd w:id="1986"/>
          <w:bookmarkEnd w:id="1987"/>
          <w:bookmarkEnd w:id="1988"/>
          <w:bookmarkEnd w:id="1989"/>
          <w:bookmarkEnd w:id="1990"/>
          <w:bookmarkEnd w:id="1991"/>
          <w:bookmarkEnd w:id="1992"/>
          <w:bookmarkEnd w:id="1993"/>
          <w:bookmarkEnd w:id="1994"/>
          <w:bookmarkEnd w:id="1995"/>
          <w:bookmarkEnd w:id="1996"/>
          <w:p w14:paraId="1F99EBA8" w14:textId="77777777" w:rsidR="008B4402" w:rsidRPr="00C9343F" w:rsidRDefault="008B4402" w:rsidP="00F66D98">
            <w:pPr>
              <w:pStyle w:val="BlockText-Plain"/>
              <w:jc w:val="center"/>
            </w:pPr>
            <w:r w:rsidRPr="00C9343F">
              <w:t>1.</w:t>
            </w:r>
          </w:p>
        </w:tc>
        <w:tc>
          <w:tcPr>
            <w:tcW w:w="8363" w:type="dxa"/>
            <w:gridSpan w:val="2"/>
          </w:tcPr>
          <w:p w14:paraId="6EF260B3" w14:textId="77777777" w:rsidR="008B4402" w:rsidRPr="00C9343F" w:rsidRDefault="008B4402" w:rsidP="00F66D98">
            <w:pPr>
              <w:pStyle w:val="BlockText-Plain"/>
            </w:pPr>
            <w:r w:rsidRPr="00C9343F">
              <w:t>This section applies to a member who meets all these conditions.</w:t>
            </w:r>
          </w:p>
        </w:tc>
      </w:tr>
      <w:tr w:rsidR="008B4402" w:rsidRPr="00C9343F" w14:paraId="72E2501C" w14:textId="77777777" w:rsidTr="008B4402">
        <w:trPr>
          <w:cantSplit/>
        </w:trPr>
        <w:tc>
          <w:tcPr>
            <w:tcW w:w="992" w:type="dxa"/>
          </w:tcPr>
          <w:p w14:paraId="0AC2A196" w14:textId="77777777" w:rsidR="008B4402" w:rsidRPr="00C9343F" w:rsidRDefault="008B4402" w:rsidP="00F66D98">
            <w:pPr>
              <w:pStyle w:val="BlockText-Plain"/>
            </w:pPr>
            <w:bookmarkStart w:id="1997" w:name="bk101106586Entitlementsduringleavewitho"/>
            <w:bookmarkStart w:id="1998" w:name="bk101312586Allowancesduringleavewithout"/>
            <w:bookmarkStart w:id="1999" w:name="bk110834586Allowancesduringleavewithout"/>
            <w:bookmarkStart w:id="2000" w:name="bk111104586Allowancesduringleavewithout"/>
            <w:bookmarkStart w:id="2001" w:name="bk111129586Allowancesduringleavewithout"/>
            <w:bookmarkStart w:id="2002" w:name="bk111304586Allowancesduringleavewithout"/>
            <w:bookmarkStart w:id="2003" w:name="bk102144586Allowancesduringleavewithout"/>
            <w:bookmarkStart w:id="2004" w:name="bk102249586Allowancesduringleavewithout"/>
            <w:bookmarkStart w:id="2005" w:name="bk132410586Allowancesduringleavewithout"/>
            <w:bookmarkStart w:id="2006" w:name="bk145326586Allowancesduringleavewithout"/>
            <w:bookmarkStart w:id="2007" w:name="bk115249586Allowancesduringleavewithout"/>
          </w:p>
        </w:tc>
        <w:tc>
          <w:tcPr>
            <w:tcW w:w="567" w:type="dxa"/>
          </w:tcPr>
          <w:p w14:paraId="67BDB2D5" w14:textId="77777777" w:rsidR="008B4402" w:rsidRPr="00C9343F" w:rsidRDefault="008B4402" w:rsidP="005849DD">
            <w:pPr>
              <w:pStyle w:val="BlockText-Plain"/>
              <w:jc w:val="center"/>
            </w:pPr>
            <w:r w:rsidRPr="00C9343F">
              <w:t>a.</w:t>
            </w:r>
          </w:p>
        </w:tc>
        <w:tc>
          <w:tcPr>
            <w:tcW w:w="7796" w:type="dxa"/>
          </w:tcPr>
          <w:p w14:paraId="7382902F" w14:textId="77777777" w:rsidR="008B4402" w:rsidRPr="00C9343F" w:rsidRDefault="008B4402" w:rsidP="00F66D98">
            <w:pPr>
              <w:pStyle w:val="BlockText-Plain"/>
            </w:pPr>
            <w:r w:rsidRPr="00C9343F">
              <w:t>They have a spouse or partner.</w:t>
            </w:r>
          </w:p>
        </w:tc>
      </w:tr>
      <w:tr w:rsidR="008B4402" w:rsidRPr="00C9343F" w14:paraId="4B7EF4EC" w14:textId="77777777" w:rsidTr="008B4402">
        <w:trPr>
          <w:cantSplit/>
        </w:trPr>
        <w:tc>
          <w:tcPr>
            <w:tcW w:w="992" w:type="dxa"/>
          </w:tcPr>
          <w:p w14:paraId="6F2837E2" w14:textId="77777777" w:rsidR="008B4402" w:rsidRPr="00C9343F" w:rsidRDefault="008B4402" w:rsidP="00F66D98">
            <w:pPr>
              <w:pStyle w:val="BlockText-Plain"/>
            </w:pPr>
          </w:p>
        </w:tc>
        <w:tc>
          <w:tcPr>
            <w:tcW w:w="567" w:type="dxa"/>
          </w:tcPr>
          <w:p w14:paraId="74F4C0B9" w14:textId="77777777" w:rsidR="008B4402" w:rsidRPr="00C9343F" w:rsidRDefault="008B4402" w:rsidP="005849DD">
            <w:pPr>
              <w:pStyle w:val="BlockText-Plain"/>
              <w:jc w:val="center"/>
            </w:pPr>
            <w:r w:rsidRPr="00C9343F">
              <w:t>b.</w:t>
            </w:r>
          </w:p>
        </w:tc>
        <w:tc>
          <w:tcPr>
            <w:tcW w:w="7796" w:type="dxa"/>
          </w:tcPr>
          <w:p w14:paraId="6C928180" w14:textId="77777777" w:rsidR="008B4402" w:rsidRPr="00C9343F" w:rsidRDefault="008B4402" w:rsidP="00F66D98">
            <w:pPr>
              <w:pStyle w:val="BlockText-Plain"/>
            </w:pPr>
            <w:r w:rsidRPr="00C9343F">
              <w:t>The member's spouse or partner is also a member.</w:t>
            </w:r>
          </w:p>
        </w:tc>
      </w:tr>
      <w:tr w:rsidR="008B4402" w:rsidRPr="00C9343F" w14:paraId="358ED8AE" w14:textId="77777777" w:rsidTr="008B4402">
        <w:trPr>
          <w:cantSplit/>
        </w:trPr>
        <w:tc>
          <w:tcPr>
            <w:tcW w:w="992" w:type="dxa"/>
          </w:tcPr>
          <w:p w14:paraId="6086F173" w14:textId="77777777" w:rsidR="008B4402" w:rsidRPr="00C9343F" w:rsidRDefault="008B4402" w:rsidP="00F66D98">
            <w:pPr>
              <w:pStyle w:val="BlockText-Plain"/>
            </w:pPr>
          </w:p>
        </w:tc>
        <w:tc>
          <w:tcPr>
            <w:tcW w:w="567" w:type="dxa"/>
          </w:tcPr>
          <w:p w14:paraId="33E9C250" w14:textId="77777777" w:rsidR="008B4402" w:rsidRPr="00C9343F" w:rsidRDefault="008B4402" w:rsidP="005849DD">
            <w:pPr>
              <w:pStyle w:val="BlockText-Plain"/>
              <w:jc w:val="center"/>
            </w:pPr>
            <w:r w:rsidRPr="00C9343F">
              <w:t>c.</w:t>
            </w:r>
          </w:p>
        </w:tc>
        <w:tc>
          <w:tcPr>
            <w:tcW w:w="7796" w:type="dxa"/>
          </w:tcPr>
          <w:p w14:paraId="29D0425E" w14:textId="77777777" w:rsidR="008B4402" w:rsidRPr="00C9343F" w:rsidRDefault="008B4402" w:rsidP="00F66D98">
            <w:pPr>
              <w:pStyle w:val="BlockText-Plain"/>
            </w:pPr>
            <w:r w:rsidRPr="00C9343F">
              <w:t>The member is granted a period of leave without pay to accompany the spouse or partner to a new posting location.</w:t>
            </w:r>
          </w:p>
        </w:tc>
      </w:tr>
      <w:tr w:rsidR="008B4402" w:rsidRPr="00C9343F" w14:paraId="467016B4" w14:textId="77777777" w:rsidTr="008B4402">
        <w:tc>
          <w:tcPr>
            <w:tcW w:w="992" w:type="dxa"/>
          </w:tcPr>
          <w:p w14:paraId="441B5E75" w14:textId="77777777" w:rsidR="008B4402" w:rsidRPr="00C9343F" w:rsidRDefault="008B4402" w:rsidP="00F66D98">
            <w:pPr>
              <w:pStyle w:val="BlockText-Plain"/>
              <w:jc w:val="center"/>
            </w:pPr>
            <w:r w:rsidRPr="00C9343F">
              <w:t>2.</w:t>
            </w:r>
          </w:p>
        </w:tc>
        <w:tc>
          <w:tcPr>
            <w:tcW w:w="8363" w:type="dxa"/>
            <w:gridSpan w:val="2"/>
          </w:tcPr>
          <w:p w14:paraId="690380C6" w14:textId="77777777" w:rsidR="008B4402" w:rsidRPr="00C9343F" w:rsidRDefault="008B4402" w:rsidP="00F66D98">
            <w:pPr>
              <w:pStyle w:val="BlockText-Plain"/>
            </w:pPr>
            <w:r w:rsidRPr="00C9343F">
              <w:t>The member's period of leave ends on the earlier of these two days.</w:t>
            </w:r>
          </w:p>
        </w:tc>
      </w:tr>
      <w:tr w:rsidR="008B4402" w:rsidRPr="00C9343F" w14:paraId="213968ED" w14:textId="77777777" w:rsidTr="008B4402">
        <w:trPr>
          <w:cantSplit/>
        </w:trPr>
        <w:tc>
          <w:tcPr>
            <w:tcW w:w="992" w:type="dxa"/>
          </w:tcPr>
          <w:p w14:paraId="5523CB02" w14:textId="77777777" w:rsidR="008B4402" w:rsidRPr="00C9343F" w:rsidRDefault="008B4402" w:rsidP="00F66D98">
            <w:pPr>
              <w:pStyle w:val="BlockText-Plain"/>
            </w:pPr>
          </w:p>
        </w:tc>
        <w:tc>
          <w:tcPr>
            <w:tcW w:w="567" w:type="dxa"/>
          </w:tcPr>
          <w:p w14:paraId="593000D7" w14:textId="77777777" w:rsidR="008B4402" w:rsidRPr="00C9343F" w:rsidRDefault="008B4402" w:rsidP="005849DD">
            <w:pPr>
              <w:pStyle w:val="BlockText-Plain"/>
              <w:jc w:val="center"/>
            </w:pPr>
            <w:r w:rsidRPr="00C9343F">
              <w:t>a.</w:t>
            </w:r>
          </w:p>
        </w:tc>
        <w:tc>
          <w:tcPr>
            <w:tcW w:w="7796" w:type="dxa"/>
          </w:tcPr>
          <w:p w14:paraId="219D0E46" w14:textId="77777777" w:rsidR="008B4402" w:rsidRPr="00C9343F" w:rsidRDefault="008B4402" w:rsidP="00F66D98">
            <w:pPr>
              <w:pStyle w:val="BlockText-Plain"/>
            </w:pPr>
            <w:r w:rsidRPr="00C9343F">
              <w:t>The day a suitable posting becomes available for the member at that location.</w:t>
            </w:r>
          </w:p>
        </w:tc>
      </w:tr>
      <w:tr w:rsidR="008B4402" w:rsidRPr="00C9343F" w14:paraId="1DDC7BA1" w14:textId="77777777" w:rsidTr="008B4402">
        <w:trPr>
          <w:cantSplit/>
        </w:trPr>
        <w:tc>
          <w:tcPr>
            <w:tcW w:w="992" w:type="dxa"/>
          </w:tcPr>
          <w:p w14:paraId="327B093E" w14:textId="77777777" w:rsidR="008B4402" w:rsidRPr="00C9343F" w:rsidRDefault="008B4402" w:rsidP="00F66D98">
            <w:pPr>
              <w:pStyle w:val="BlockText-Plain"/>
            </w:pPr>
          </w:p>
        </w:tc>
        <w:tc>
          <w:tcPr>
            <w:tcW w:w="567" w:type="dxa"/>
          </w:tcPr>
          <w:p w14:paraId="351E4B64" w14:textId="77777777" w:rsidR="008B4402" w:rsidRPr="00C9343F" w:rsidRDefault="008B4402" w:rsidP="005849DD">
            <w:pPr>
              <w:pStyle w:val="BlockText-Plain"/>
              <w:jc w:val="center"/>
            </w:pPr>
            <w:r w:rsidRPr="00C9343F">
              <w:t>b.</w:t>
            </w:r>
          </w:p>
        </w:tc>
        <w:tc>
          <w:tcPr>
            <w:tcW w:w="7796" w:type="dxa"/>
          </w:tcPr>
          <w:p w14:paraId="663F1A2F" w14:textId="77777777" w:rsidR="008B4402" w:rsidRPr="00C9343F" w:rsidRDefault="008B4402" w:rsidP="00F66D98">
            <w:pPr>
              <w:pStyle w:val="BlockText-Plain"/>
            </w:pPr>
            <w:r w:rsidRPr="00C9343F">
              <w:t>The day their spouse or partner's posting ends.</w:t>
            </w:r>
          </w:p>
        </w:tc>
      </w:tr>
    </w:tbl>
    <w:p w14:paraId="2E7FA150" w14:textId="6239EBD3" w:rsidR="008B4402" w:rsidRPr="00C9343F" w:rsidRDefault="008B4402" w:rsidP="00F66D98">
      <w:pPr>
        <w:pStyle w:val="Heading5"/>
      </w:pPr>
      <w:bookmarkStart w:id="2008" w:name="_Toc105054155"/>
      <w:r w:rsidRPr="00C9343F">
        <w:t>5.10.6</w:t>
      </w:r>
      <w:r w:rsidR="00D94006" w:rsidRPr="00C9343F">
        <w:t>    </w:t>
      </w:r>
      <w:r w:rsidRPr="00C9343F">
        <w:t>Allowances during leave without pay</w:t>
      </w:r>
      <w:bookmarkEnd w:id="2008"/>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1A4BA4B2" w14:textId="77777777" w:rsidTr="008A3831">
        <w:tc>
          <w:tcPr>
            <w:tcW w:w="992" w:type="dxa"/>
          </w:tcPr>
          <w:bookmarkEnd w:id="1997"/>
          <w:bookmarkEnd w:id="1998"/>
          <w:bookmarkEnd w:id="1999"/>
          <w:bookmarkEnd w:id="2000"/>
          <w:bookmarkEnd w:id="2001"/>
          <w:bookmarkEnd w:id="2002"/>
          <w:bookmarkEnd w:id="2003"/>
          <w:bookmarkEnd w:id="2004"/>
          <w:bookmarkEnd w:id="2005"/>
          <w:bookmarkEnd w:id="2006"/>
          <w:bookmarkEnd w:id="2007"/>
          <w:p w14:paraId="715C3B06" w14:textId="77777777" w:rsidR="008B4402" w:rsidRPr="00C9343F" w:rsidRDefault="008B4402" w:rsidP="00F66D98">
            <w:pPr>
              <w:pStyle w:val="BlockText-Plain"/>
              <w:jc w:val="center"/>
            </w:pPr>
            <w:r w:rsidRPr="00C9343F">
              <w:t>1.</w:t>
            </w:r>
          </w:p>
        </w:tc>
        <w:tc>
          <w:tcPr>
            <w:tcW w:w="8363" w:type="dxa"/>
            <w:gridSpan w:val="2"/>
          </w:tcPr>
          <w:p w14:paraId="7A514186" w14:textId="77777777" w:rsidR="001D2F95" w:rsidRPr="00C9343F" w:rsidRDefault="008B4402" w:rsidP="00F66D98">
            <w:pPr>
              <w:pStyle w:val="BlockText-Plain"/>
            </w:pPr>
            <w:r w:rsidRPr="00C9343F">
              <w:t>A member granted leave without pay under this Division is not eligible for an allowance during the period of leave. This is unless subsection 2 applies.</w:t>
            </w:r>
          </w:p>
        </w:tc>
      </w:tr>
      <w:tr w:rsidR="008B4402" w:rsidRPr="00C9343F" w14:paraId="5BB58B37" w14:textId="77777777" w:rsidTr="008A3831">
        <w:tc>
          <w:tcPr>
            <w:tcW w:w="992" w:type="dxa"/>
          </w:tcPr>
          <w:p w14:paraId="62FA139C" w14:textId="77777777" w:rsidR="008B4402" w:rsidRPr="00C9343F" w:rsidRDefault="008B4402" w:rsidP="00F66D98">
            <w:pPr>
              <w:pStyle w:val="BlockText-Plain"/>
              <w:jc w:val="center"/>
            </w:pPr>
            <w:r w:rsidRPr="00C9343F">
              <w:t>2.</w:t>
            </w:r>
          </w:p>
        </w:tc>
        <w:tc>
          <w:tcPr>
            <w:tcW w:w="8363" w:type="dxa"/>
            <w:gridSpan w:val="2"/>
          </w:tcPr>
          <w:p w14:paraId="2ECF246F" w14:textId="77777777" w:rsidR="008B4402" w:rsidRPr="00C9343F" w:rsidRDefault="008B4402" w:rsidP="00F66D98">
            <w:pPr>
              <w:pStyle w:val="BlockText-Plain"/>
            </w:pPr>
            <w:r w:rsidRPr="00C9343F">
              <w:t xml:space="preserve">The CDF may approve payment of an allowance during all or part of a period of leave without pay. </w:t>
            </w:r>
          </w:p>
        </w:tc>
      </w:tr>
      <w:tr w:rsidR="008B4402" w:rsidRPr="00C9343F" w14:paraId="6A4B2F09" w14:textId="77777777" w:rsidTr="008A3831">
        <w:tc>
          <w:tcPr>
            <w:tcW w:w="992" w:type="dxa"/>
          </w:tcPr>
          <w:p w14:paraId="5EAAB577" w14:textId="77777777" w:rsidR="008B4402" w:rsidRPr="00C9343F" w:rsidRDefault="008B4402" w:rsidP="00F66D98">
            <w:pPr>
              <w:pStyle w:val="BlockText-Plain"/>
              <w:jc w:val="center"/>
            </w:pPr>
            <w:r w:rsidRPr="00C9343F">
              <w:t>3.</w:t>
            </w:r>
          </w:p>
        </w:tc>
        <w:tc>
          <w:tcPr>
            <w:tcW w:w="8363" w:type="dxa"/>
            <w:gridSpan w:val="2"/>
          </w:tcPr>
          <w:p w14:paraId="56007311" w14:textId="77777777" w:rsidR="008B4402" w:rsidRPr="00C9343F" w:rsidRDefault="008B4402" w:rsidP="00F66D98">
            <w:pPr>
              <w:pStyle w:val="BlockText-Plain"/>
            </w:pPr>
            <w:r w:rsidRPr="00C9343F">
              <w:t xml:space="preserve">For subsection 2, the CDF must consider all of these criteria. </w:t>
            </w:r>
          </w:p>
        </w:tc>
      </w:tr>
      <w:tr w:rsidR="008A3831" w:rsidRPr="00C9343F" w14:paraId="3984A02F" w14:textId="77777777" w:rsidTr="008A3831">
        <w:trPr>
          <w:cantSplit/>
        </w:trPr>
        <w:tc>
          <w:tcPr>
            <w:tcW w:w="992" w:type="dxa"/>
          </w:tcPr>
          <w:p w14:paraId="615860A2" w14:textId="77777777" w:rsidR="008A3831" w:rsidRPr="00C9343F" w:rsidRDefault="008A3831" w:rsidP="00F66D98">
            <w:pPr>
              <w:pStyle w:val="BlockText-Plain"/>
            </w:pPr>
          </w:p>
        </w:tc>
        <w:tc>
          <w:tcPr>
            <w:tcW w:w="567" w:type="dxa"/>
          </w:tcPr>
          <w:p w14:paraId="16800411" w14:textId="7BDEAC9D" w:rsidR="008A3831" w:rsidRPr="00C9343F" w:rsidRDefault="008A3831" w:rsidP="005849DD">
            <w:pPr>
              <w:pStyle w:val="BlockText-Plain"/>
              <w:jc w:val="center"/>
            </w:pPr>
            <w:r w:rsidRPr="00C9343F">
              <w:rPr>
                <w:iCs/>
              </w:rPr>
              <w:t>a.</w:t>
            </w:r>
          </w:p>
        </w:tc>
        <w:tc>
          <w:tcPr>
            <w:tcW w:w="7796" w:type="dxa"/>
          </w:tcPr>
          <w:p w14:paraId="5C4761ED" w14:textId="5E10AEA9" w:rsidR="008A3831" w:rsidRPr="00C9343F" w:rsidRDefault="008A3831" w:rsidP="00F66D98">
            <w:pPr>
              <w:pStyle w:val="BlockText-Plain"/>
            </w:pPr>
            <w:r w:rsidRPr="00C9343F">
              <w:t>Whether it would severely disadvantage a member or their dependants if they ceased to be eligible for an allowance during a period.</w:t>
            </w:r>
          </w:p>
        </w:tc>
      </w:tr>
      <w:tr w:rsidR="008B4402" w:rsidRPr="00C9343F" w14:paraId="15E84078" w14:textId="77777777" w:rsidTr="008A3831">
        <w:trPr>
          <w:cantSplit/>
        </w:trPr>
        <w:tc>
          <w:tcPr>
            <w:tcW w:w="992" w:type="dxa"/>
          </w:tcPr>
          <w:p w14:paraId="3001F1CF" w14:textId="77777777" w:rsidR="008B4402" w:rsidRPr="00C9343F" w:rsidRDefault="008B4402" w:rsidP="00F66D98">
            <w:pPr>
              <w:pStyle w:val="BlockText-Plain"/>
            </w:pPr>
          </w:p>
        </w:tc>
        <w:tc>
          <w:tcPr>
            <w:tcW w:w="567" w:type="dxa"/>
          </w:tcPr>
          <w:p w14:paraId="55A657A8" w14:textId="77777777" w:rsidR="008B4402" w:rsidRPr="00C9343F" w:rsidRDefault="008B4402" w:rsidP="005849DD">
            <w:pPr>
              <w:pStyle w:val="BlockText-Plain"/>
              <w:jc w:val="center"/>
            </w:pPr>
            <w:r w:rsidRPr="00C9343F">
              <w:t>b.</w:t>
            </w:r>
          </w:p>
        </w:tc>
        <w:tc>
          <w:tcPr>
            <w:tcW w:w="7796" w:type="dxa"/>
          </w:tcPr>
          <w:p w14:paraId="697DB07B" w14:textId="77777777" w:rsidR="008B4402" w:rsidRPr="00C9343F" w:rsidRDefault="008B4402" w:rsidP="00F66D98">
            <w:pPr>
              <w:pStyle w:val="BlockText-Plain"/>
            </w:pPr>
            <w:r w:rsidRPr="00C9343F">
              <w:t>The member’s eligibility for the allowance immediately before the period of leave and whether the allowance would have continued if they were not on leave.</w:t>
            </w:r>
          </w:p>
        </w:tc>
      </w:tr>
      <w:tr w:rsidR="008B4402" w:rsidRPr="00C9343F" w14:paraId="14018B5D" w14:textId="77777777" w:rsidTr="008A3831">
        <w:trPr>
          <w:cantSplit/>
          <w:trHeight w:val="377"/>
        </w:trPr>
        <w:tc>
          <w:tcPr>
            <w:tcW w:w="992" w:type="dxa"/>
          </w:tcPr>
          <w:p w14:paraId="09FDF0A6" w14:textId="77777777" w:rsidR="008B4402" w:rsidRPr="00C9343F" w:rsidRDefault="008B4402" w:rsidP="00F66D98">
            <w:pPr>
              <w:pStyle w:val="BlockText-Plain"/>
            </w:pPr>
          </w:p>
        </w:tc>
        <w:tc>
          <w:tcPr>
            <w:tcW w:w="567" w:type="dxa"/>
          </w:tcPr>
          <w:p w14:paraId="6E05B47E" w14:textId="77777777" w:rsidR="008B4402" w:rsidRPr="00C9343F" w:rsidRDefault="008B4402" w:rsidP="005849DD">
            <w:pPr>
              <w:pStyle w:val="BlockText-Plain"/>
              <w:jc w:val="center"/>
            </w:pPr>
            <w:r w:rsidRPr="00C9343F">
              <w:t>c.</w:t>
            </w:r>
          </w:p>
        </w:tc>
        <w:tc>
          <w:tcPr>
            <w:tcW w:w="7796" w:type="dxa"/>
          </w:tcPr>
          <w:p w14:paraId="6BEA3BB5" w14:textId="77777777" w:rsidR="008B4402" w:rsidRPr="00C9343F" w:rsidRDefault="008B4402" w:rsidP="00F66D98">
            <w:pPr>
              <w:pStyle w:val="BlockText-Plain"/>
            </w:pPr>
            <w:r w:rsidRPr="00C9343F">
              <w:t>The personal circumstances of the member or their dependants.</w:t>
            </w:r>
          </w:p>
        </w:tc>
      </w:tr>
      <w:tr w:rsidR="008B4402" w:rsidRPr="00C9343F" w14:paraId="2C628649" w14:textId="77777777" w:rsidTr="008A3831">
        <w:trPr>
          <w:cantSplit/>
        </w:trPr>
        <w:tc>
          <w:tcPr>
            <w:tcW w:w="992" w:type="dxa"/>
          </w:tcPr>
          <w:p w14:paraId="1A4C24F6" w14:textId="77777777" w:rsidR="008B4402" w:rsidRPr="00C9343F" w:rsidRDefault="008B4402" w:rsidP="00F66D98">
            <w:pPr>
              <w:pStyle w:val="BlockText-Plain"/>
            </w:pPr>
          </w:p>
        </w:tc>
        <w:tc>
          <w:tcPr>
            <w:tcW w:w="567" w:type="dxa"/>
          </w:tcPr>
          <w:p w14:paraId="7632B15A" w14:textId="77777777" w:rsidR="008B4402" w:rsidRPr="00C9343F" w:rsidRDefault="008B4402" w:rsidP="005849DD">
            <w:pPr>
              <w:pStyle w:val="BlockText-Plain"/>
              <w:jc w:val="center"/>
            </w:pPr>
            <w:r w:rsidRPr="00C9343F">
              <w:t>d.</w:t>
            </w:r>
          </w:p>
        </w:tc>
        <w:tc>
          <w:tcPr>
            <w:tcW w:w="7796" w:type="dxa"/>
          </w:tcPr>
          <w:p w14:paraId="11CACE8C" w14:textId="77777777" w:rsidR="008B4402" w:rsidRPr="00C9343F" w:rsidRDefault="008B4402" w:rsidP="00F66D98">
            <w:pPr>
              <w:pStyle w:val="BlockText-Plain"/>
            </w:pPr>
            <w:r w:rsidRPr="00C9343F">
              <w:t>The nature and status of any claim by the member against the Commonwealth for compensation or veterans’ entitlement.</w:t>
            </w:r>
          </w:p>
        </w:tc>
      </w:tr>
      <w:tr w:rsidR="008B4402" w:rsidRPr="00C9343F" w14:paraId="7216D280" w14:textId="77777777" w:rsidTr="008A3831">
        <w:trPr>
          <w:cantSplit/>
        </w:trPr>
        <w:tc>
          <w:tcPr>
            <w:tcW w:w="992" w:type="dxa"/>
          </w:tcPr>
          <w:p w14:paraId="5AC6658D" w14:textId="77777777" w:rsidR="008B4402" w:rsidRPr="00C9343F" w:rsidRDefault="008B4402" w:rsidP="00F66D98">
            <w:pPr>
              <w:pStyle w:val="BlockText-Plain"/>
            </w:pPr>
          </w:p>
        </w:tc>
        <w:tc>
          <w:tcPr>
            <w:tcW w:w="567" w:type="dxa"/>
          </w:tcPr>
          <w:p w14:paraId="0832B38F" w14:textId="77777777" w:rsidR="008B4402" w:rsidRPr="00C9343F" w:rsidRDefault="008B4402" w:rsidP="005849DD">
            <w:pPr>
              <w:pStyle w:val="BlockText-Plain"/>
              <w:jc w:val="center"/>
            </w:pPr>
            <w:r w:rsidRPr="00C9343F">
              <w:t>e.</w:t>
            </w:r>
          </w:p>
        </w:tc>
        <w:tc>
          <w:tcPr>
            <w:tcW w:w="7796" w:type="dxa"/>
          </w:tcPr>
          <w:p w14:paraId="1C1F268E" w14:textId="77777777" w:rsidR="008B4402" w:rsidRPr="00C9343F" w:rsidRDefault="008B4402" w:rsidP="00F66D98">
            <w:pPr>
              <w:pStyle w:val="BlockText-Plain"/>
            </w:pPr>
            <w:r w:rsidRPr="00C9343F">
              <w:t>Any other factor relevant to the member’s eligibility for the allowance.</w:t>
            </w:r>
          </w:p>
        </w:tc>
      </w:tr>
      <w:tr w:rsidR="008B4402" w:rsidRPr="00C9343F" w14:paraId="5D00C51F" w14:textId="77777777" w:rsidTr="008A3831">
        <w:tc>
          <w:tcPr>
            <w:tcW w:w="992" w:type="dxa"/>
          </w:tcPr>
          <w:p w14:paraId="70966C30" w14:textId="77777777" w:rsidR="008B4402" w:rsidRPr="00C9343F" w:rsidRDefault="008B4402" w:rsidP="00F66D98">
            <w:pPr>
              <w:pStyle w:val="BlockText-Plain"/>
              <w:jc w:val="center"/>
            </w:pPr>
            <w:r w:rsidRPr="00C9343F">
              <w:t>4.</w:t>
            </w:r>
          </w:p>
        </w:tc>
        <w:tc>
          <w:tcPr>
            <w:tcW w:w="8363" w:type="dxa"/>
            <w:gridSpan w:val="2"/>
          </w:tcPr>
          <w:p w14:paraId="75732288" w14:textId="49A99750" w:rsidR="008B4402" w:rsidRPr="00C9343F" w:rsidRDefault="008B4402" w:rsidP="00F66D98">
            <w:pPr>
              <w:pStyle w:val="BlockText-Plain"/>
            </w:pPr>
            <w:r w:rsidRPr="00C9343F">
              <w:t>In this section, allowance includes reimbursement for costs paid.</w:t>
            </w:r>
          </w:p>
        </w:tc>
      </w:tr>
    </w:tbl>
    <w:p w14:paraId="01973113" w14:textId="389B661A" w:rsidR="008B4402" w:rsidRPr="00C9343F" w:rsidRDefault="008B4402" w:rsidP="00F66D98">
      <w:pPr>
        <w:pStyle w:val="Heading5"/>
      </w:pPr>
      <w:bookmarkStart w:id="2009" w:name="_Toc105054156"/>
      <w:bookmarkStart w:id="2010" w:name="bk110834587Effectsofleavewithoutpayonco"/>
      <w:bookmarkStart w:id="2011" w:name="bk111104587Effectsofleavewithoutpayonot"/>
      <w:bookmarkStart w:id="2012" w:name="bk111129587Effectsonotherconditionsofse"/>
      <w:bookmarkStart w:id="2013" w:name="bk111304587Effectsonotherconditionsofse"/>
      <w:bookmarkStart w:id="2014" w:name="bk102144587Effectsonotherconditionsofse"/>
      <w:bookmarkStart w:id="2015" w:name="bk102249587Effectsonotherconditionsofse"/>
      <w:bookmarkStart w:id="2016" w:name="bk132410587Effectsonotherconditionsofse"/>
      <w:bookmarkStart w:id="2017" w:name="bk145326587Effectsonotherconditionsofse"/>
      <w:bookmarkStart w:id="2018" w:name="bk115249587Effectsonotherconditionsofse"/>
      <w:r w:rsidRPr="00C9343F">
        <w:t>5.10.7</w:t>
      </w:r>
      <w:r w:rsidR="00D94006" w:rsidRPr="00C9343F">
        <w:t>    </w:t>
      </w:r>
      <w:r w:rsidRPr="00C9343F">
        <w:t>Effects on other conditions of service – summary</w:t>
      </w:r>
      <w:bookmarkEnd w:id="2009"/>
    </w:p>
    <w:tbl>
      <w:tblPr>
        <w:tblW w:w="9364" w:type="dxa"/>
        <w:tblInd w:w="108" w:type="dxa"/>
        <w:tblLayout w:type="fixed"/>
        <w:tblLook w:val="0000" w:firstRow="0" w:lastRow="0" w:firstColumn="0" w:lastColumn="0" w:noHBand="0" w:noVBand="0"/>
      </w:tblPr>
      <w:tblGrid>
        <w:gridCol w:w="995"/>
        <w:gridCol w:w="567"/>
        <w:gridCol w:w="31"/>
        <w:gridCol w:w="7771"/>
      </w:tblGrid>
      <w:tr w:rsidR="008A3831" w:rsidRPr="00C9343F" w14:paraId="7E8836AD" w14:textId="77777777" w:rsidTr="008A3831">
        <w:tc>
          <w:tcPr>
            <w:tcW w:w="995" w:type="dxa"/>
          </w:tcPr>
          <w:bookmarkEnd w:id="2010"/>
          <w:bookmarkEnd w:id="2011"/>
          <w:bookmarkEnd w:id="2012"/>
          <w:bookmarkEnd w:id="2013"/>
          <w:bookmarkEnd w:id="2014"/>
          <w:bookmarkEnd w:id="2015"/>
          <w:bookmarkEnd w:id="2016"/>
          <w:bookmarkEnd w:id="2017"/>
          <w:bookmarkEnd w:id="2018"/>
          <w:p w14:paraId="55C517A2" w14:textId="77777777" w:rsidR="008A3831" w:rsidRPr="00C9343F" w:rsidRDefault="008A3831" w:rsidP="00F66D98">
            <w:pPr>
              <w:pStyle w:val="Sectiontext0"/>
              <w:jc w:val="center"/>
            </w:pPr>
            <w:r w:rsidRPr="00C9343F">
              <w:t>1.</w:t>
            </w:r>
          </w:p>
        </w:tc>
        <w:tc>
          <w:tcPr>
            <w:tcW w:w="8369" w:type="dxa"/>
            <w:gridSpan w:val="3"/>
          </w:tcPr>
          <w:p w14:paraId="05288523" w14:textId="77777777" w:rsidR="008A3831" w:rsidRPr="00C9343F" w:rsidRDefault="008A3831" w:rsidP="00F66D98">
            <w:pPr>
              <w:pStyle w:val="Sectiontext0"/>
              <w:rPr>
                <w:iCs/>
              </w:rPr>
            </w:pPr>
            <w:r w:rsidRPr="00C9343F">
              <w:rPr>
                <w:iCs/>
              </w:rPr>
              <w:t>A period of leave without pay does not count as qualifying service for any of the following.</w:t>
            </w:r>
          </w:p>
        </w:tc>
      </w:tr>
      <w:tr w:rsidR="008A3831" w:rsidRPr="00C9343F" w14:paraId="7295CC1E" w14:textId="77777777" w:rsidTr="008A3831">
        <w:tc>
          <w:tcPr>
            <w:tcW w:w="995" w:type="dxa"/>
          </w:tcPr>
          <w:p w14:paraId="4AA67612" w14:textId="77777777" w:rsidR="008A3831" w:rsidRPr="00C9343F" w:rsidRDefault="008A3831" w:rsidP="00F66D98">
            <w:pPr>
              <w:pStyle w:val="Sectiontext0"/>
              <w:jc w:val="center"/>
            </w:pPr>
          </w:p>
        </w:tc>
        <w:tc>
          <w:tcPr>
            <w:tcW w:w="598" w:type="dxa"/>
            <w:gridSpan w:val="2"/>
          </w:tcPr>
          <w:p w14:paraId="6F0C67AE" w14:textId="77777777" w:rsidR="008A3831" w:rsidRPr="00C9343F" w:rsidRDefault="008A3831" w:rsidP="00F66D98">
            <w:pPr>
              <w:pStyle w:val="Sectiontext0"/>
              <w:jc w:val="center"/>
              <w:rPr>
                <w:iCs/>
              </w:rPr>
            </w:pPr>
            <w:r w:rsidRPr="00C9343F">
              <w:rPr>
                <w:iCs/>
              </w:rPr>
              <w:t>a.</w:t>
            </w:r>
          </w:p>
        </w:tc>
        <w:tc>
          <w:tcPr>
            <w:tcW w:w="7771" w:type="dxa"/>
          </w:tcPr>
          <w:p w14:paraId="49F26191" w14:textId="77777777" w:rsidR="008A3831" w:rsidRPr="00C9343F" w:rsidRDefault="008A3831" w:rsidP="00F66D98">
            <w:pPr>
              <w:pStyle w:val="Sectiontext0"/>
              <w:rPr>
                <w:iCs/>
              </w:rPr>
            </w:pPr>
            <w:r w:rsidRPr="00C9343F">
              <w:rPr>
                <w:iCs/>
              </w:rPr>
              <w:t>Salary increments under Chapter 3 Part 2 Division 3.</w:t>
            </w:r>
          </w:p>
        </w:tc>
      </w:tr>
      <w:tr w:rsidR="008A3831" w:rsidRPr="00C9343F" w14:paraId="45C3988C" w14:textId="77777777" w:rsidTr="008A3831">
        <w:tc>
          <w:tcPr>
            <w:tcW w:w="995" w:type="dxa"/>
          </w:tcPr>
          <w:p w14:paraId="77C48FEF" w14:textId="77777777" w:rsidR="008A3831" w:rsidRPr="00C9343F" w:rsidRDefault="008A3831" w:rsidP="00F66D98">
            <w:pPr>
              <w:pStyle w:val="Sectiontext0"/>
              <w:jc w:val="center"/>
            </w:pPr>
          </w:p>
        </w:tc>
        <w:tc>
          <w:tcPr>
            <w:tcW w:w="598" w:type="dxa"/>
            <w:gridSpan w:val="2"/>
          </w:tcPr>
          <w:p w14:paraId="4AD2B989" w14:textId="77777777" w:rsidR="008A3831" w:rsidRPr="00C9343F" w:rsidRDefault="008A3831" w:rsidP="00F66D98">
            <w:pPr>
              <w:pStyle w:val="Sectiontext0"/>
              <w:jc w:val="center"/>
              <w:rPr>
                <w:iCs/>
              </w:rPr>
            </w:pPr>
            <w:r w:rsidRPr="00C9343F">
              <w:rPr>
                <w:iCs/>
              </w:rPr>
              <w:t>b.</w:t>
            </w:r>
          </w:p>
        </w:tc>
        <w:tc>
          <w:tcPr>
            <w:tcW w:w="7771" w:type="dxa"/>
          </w:tcPr>
          <w:p w14:paraId="1124A466" w14:textId="77777777" w:rsidR="008A3831" w:rsidRPr="00C9343F" w:rsidRDefault="008A3831" w:rsidP="00F66D98">
            <w:pPr>
              <w:pStyle w:val="Sectiontext0"/>
              <w:rPr>
                <w:iCs/>
              </w:rPr>
            </w:pPr>
            <w:r w:rsidRPr="00C9343F">
              <w:rPr>
                <w:iCs/>
              </w:rPr>
              <w:t>Recreation leave under section 5.4.8 if the leave without pay is for longer than 24 hours.</w:t>
            </w:r>
          </w:p>
        </w:tc>
      </w:tr>
      <w:tr w:rsidR="008A3831" w:rsidRPr="00C9343F" w14:paraId="1E5E0A37" w14:textId="77777777" w:rsidTr="008A3831">
        <w:tc>
          <w:tcPr>
            <w:tcW w:w="995" w:type="dxa"/>
          </w:tcPr>
          <w:p w14:paraId="7BC0153D" w14:textId="77777777" w:rsidR="008A3831" w:rsidRPr="00C9343F" w:rsidRDefault="008A3831" w:rsidP="00F66D98">
            <w:pPr>
              <w:pStyle w:val="Sectiontext0"/>
              <w:jc w:val="center"/>
            </w:pPr>
          </w:p>
        </w:tc>
        <w:tc>
          <w:tcPr>
            <w:tcW w:w="598" w:type="dxa"/>
            <w:gridSpan w:val="2"/>
          </w:tcPr>
          <w:p w14:paraId="12FBB1F6" w14:textId="77777777" w:rsidR="008A3831" w:rsidRPr="00C9343F" w:rsidRDefault="008A3831" w:rsidP="00F66D98">
            <w:pPr>
              <w:pStyle w:val="Sectiontext0"/>
              <w:jc w:val="center"/>
              <w:rPr>
                <w:iCs/>
              </w:rPr>
            </w:pPr>
            <w:r w:rsidRPr="00C9343F">
              <w:rPr>
                <w:iCs/>
              </w:rPr>
              <w:t>c.</w:t>
            </w:r>
          </w:p>
        </w:tc>
        <w:tc>
          <w:tcPr>
            <w:tcW w:w="7771" w:type="dxa"/>
          </w:tcPr>
          <w:p w14:paraId="5CE6D3F3" w14:textId="77777777" w:rsidR="008A3831" w:rsidRPr="00C9343F" w:rsidRDefault="008A3831" w:rsidP="00F66D98">
            <w:pPr>
              <w:pStyle w:val="Sectiontext0"/>
              <w:rPr>
                <w:iCs/>
              </w:rPr>
            </w:pPr>
            <w:r w:rsidRPr="00C9343F">
              <w:rPr>
                <w:iCs/>
              </w:rPr>
              <w:t>Long service leave under section 5.5.18 if the leave without pay is not for illness and is for more than three months.</w:t>
            </w:r>
          </w:p>
        </w:tc>
      </w:tr>
      <w:tr w:rsidR="008B4402" w:rsidRPr="00C9343F" w14:paraId="0B21D8A9" w14:textId="77777777" w:rsidTr="008A3831">
        <w:tc>
          <w:tcPr>
            <w:tcW w:w="995" w:type="dxa"/>
          </w:tcPr>
          <w:p w14:paraId="07D0B48F" w14:textId="77777777" w:rsidR="008B4402" w:rsidRPr="00C9343F" w:rsidRDefault="008B4402" w:rsidP="00F66D98">
            <w:pPr>
              <w:pStyle w:val="BlockText-Plain"/>
              <w:jc w:val="center"/>
            </w:pPr>
            <w:r w:rsidRPr="00C9343F">
              <w:t>2.</w:t>
            </w:r>
          </w:p>
        </w:tc>
        <w:tc>
          <w:tcPr>
            <w:tcW w:w="8369" w:type="dxa"/>
            <w:gridSpan w:val="3"/>
          </w:tcPr>
          <w:p w14:paraId="6CAB8533" w14:textId="77777777" w:rsidR="008B4402" w:rsidRPr="00C9343F" w:rsidRDefault="008B4402" w:rsidP="00F66D98">
            <w:pPr>
              <w:pStyle w:val="BlockText-Plain"/>
            </w:pPr>
            <w:r w:rsidRPr="00C9343F">
              <w:t xml:space="preserve">This subsection applies to either of these periods of leave without pay. </w:t>
            </w:r>
          </w:p>
        </w:tc>
      </w:tr>
      <w:tr w:rsidR="008B4402" w:rsidRPr="00C9343F" w14:paraId="75520E65" w14:textId="77777777" w:rsidTr="008A3831">
        <w:trPr>
          <w:cantSplit/>
        </w:trPr>
        <w:tc>
          <w:tcPr>
            <w:tcW w:w="995" w:type="dxa"/>
          </w:tcPr>
          <w:p w14:paraId="2C818ADC" w14:textId="77777777" w:rsidR="008B4402" w:rsidRPr="00C9343F" w:rsidRDefault="008B4402" w:rsidP="00F66D98">
            <w:pPr>
              <w:pStyle w:val="BlockText-Plain"/>
            </w:pPr>
          </w:p>
        </w:tc>
        <w:tc>
          <w:tcPr>
            <w:tcW w:w="567" w:type="dxa"/>
          </w:tcPr>
          <w:p w14:paraId="00B8EDFF" w14:textId="77777777" w:rsidR="008B4402" w:rsidRPr="00C9343F" w:rsidRDefault="008B4402" w:rsidP="00F66D98">
            <w:pPr>
              <w:pStyle w:val="BlockText-Plain"/>
              <w:jc w:val="center"/>
            </w:pPr>
            <w:r w:rsidRPr="00C9343F">
              <w:t>a.</w:t>
            </w:r>
          </w:p>
        </w:tc>
        <w:tc>
          <w:tcPr>
            <w:tcW w:w="7802" w:type="dxa"/>
            <w:gridSpan w:val="2"/>
          </w:tcPr>
          <w:p w14:paraId="518EFB78" w14:textId="77777777" w:rsidR="008B4402" w:rsidRPr="00C9343F" w:rsidRDefault="008B4402" w:rsidP="00F66D98">
            <w:pPr>
              <w:pStyle w:val="BlockText-Plain"/>
            </w:pPr>
            <w:r w:rsidRPr="00C9343F">
              <w:t>A period longer than 21 consecutive days.</w:t>
            </w:r>
          </w:p>
        </w:tc>
      </w:tr>
      <w:tr w:rsidR="008B4402" w:rsidRPr="00C9343F" w14:paraId="7B3F0DC7" w14:textId="77777777" w:rsidTr="008A3831">
        <w:trPr>
          <w:cantSplit/>
        </w:trPr>
        <w:tc>
          <w:tcPr>
            <w:tcW w:w="995" w:type="dxa"/>
          </w:tcPr>
          <w:p w14:paraId="67FF4242" w14:textId="77777777" w:rsidR="008B4402" w:rsidRPr="00C9343F" w:rsidRDefault="008B4402" w:rsidP="00F66D98">
            <w:pPr>
              <w:pStyle w:val="BlockText-Plain"/>
            </w:pPr>
          </w:p>
        </w:tc>
        <w:tc>
          <w:tcPr>
            <w:tcW w:w="567" w:type="dxa"/>
          </w:tcPr>
          <w:p w14:paraId="469DCAB3" w14:textId="77777777" w:rsidR="008B4402" w:rsidRPr="00C9343F" w:rsidRDefault="008B4402" w:rsidP="00F66D98">
            <w:pPr>
              <w:pStyle w:val="BlockText-Plain"/>
              <w:jc w:val="center"/>
            </w:pPr>
            <w:r w:rsidRPr="00C9343F">
              <w:t>b.</w:t>
            </w:r>
          </w:p>
        </w:tc>
        <w:tc>
          <w:tcPr>
            <w:tcW w:w="7802" w:type="dxa"/>
            <w:gridSpan w:val="2"/>
          </w:tcPr>
          <w:p w14:paraId="7F9E696A" w14:textId="16111956" w:rsidR="008B4402" w:rsidRPr="00C9343F" w:rsidRDefault="008B4402" w:rsidP="00F66D98">
            <w:pPr>
              <w:pStyle w:val="BlockText-Plain"/>
            </w:pPr>
            <w:r w:rsidRPr="00C9343F">
              <w:t>A period totalling more than 21 days, if the member takes leave without pay immediately before or after another period that salary is not payable for.</w:t>
            </w:r>
          </w:p>
        </w:tc>
      </w:tr>
      <w:tr w:rsidR="008B4402" w:rsidRPr="00C9343F" w14:paraId="6A98D273" w14:textId="77777777" w:rsidTr="008A3831">
        <w:tc>
          <w:tcPr>
            <w:tcW w:w="995" w:type="dxa"/>
          </w:tcPr>
          <w:p w14:paraId="3D007850" w14:textId="77777777" w:rsidR="008B4402" w:rsidRPr="00C9343F" w:rsidRDefault="008B4402" w:rsidP="00F66D98">
            <w:pPr>
              <w:pStyle w:val="BlockText-Plain"/>
              <w:jc w:val="center"/>
            </w:pPr>
            <w:r w:rsidRPr="00C9343F">
              <w:t>3.</w:t>
            </w:r>
          </w:p>
        </w:tc>
        <w:tc>
          <w:tcPr>
            <w:tcW w:w="8369" w:type="dxa"/>
            <w:gridSpan w:val="3"/>
          </w:tcPr>
          <w:p w14:paraId="561479FD" w14:textId="77777777" w:rsidR="008B4402" w:rsidRPr="00C9343F" w:rsidRDefault="008B4402" w:rsidP="00F66D98">
            <w:pPr>
              <w:pStyle w:val="BlockText-Plain"/>
            </w:pPr>
            <w:r w:rsidRPr="00C9343F">
              <w:t>The periods in paragraphs 2.a and 2.b do not count as qualifying service for any of the following.</w:t>
            </w:r>
          </w:p>
        </w:tc>
      </w:tr>
      <w:tr w:rsidR="008B4402" w:rsidRPr="00C9343F" w14:paraId="72D8F303" w14:textId="77777777" w:rsidTr="008A3831">
        <w:trPr>
          <w:cantSplit/>
        </w:trPr>
        <w:tc>
          <w:tcPr>
            <w:tcW w:w="995" w:type="dxa"/>
          </w:tcPr>
          <w:p w14:paraId="03CE6311" w14:textId="77777777" w:rsidR="008B4402" w:rsidRPr="00C9343F" w:rsidRDefault="008B4402" w:rsidP="00F66D98">
            <w:pPr>
              <w:pStyle w:val="BlockText-Plain"/>
            </w:pPr>
          </w:p>
        </w:tc>
        <w:tc>
          <w:tcPr>
            <w:tcW w:w="567" w:type="dxa"/>
          </w:tcPr>
          <w:p w14:paraId="1FBB3C20" w14:textId="77777777" w:rsidR="008B4402" w:rsidRPr="00C9343F" w:rsidRDefault="008B4402" w:rsidP="00F66D98">
            <w:pPr>
              <w:pStyle w:val="BlockText-Plain"/>
              <w:jc w:val="center"/>
            </w:pPr>
            <w:r w:rsidRPr="00C9343F">
              <w:t>a.</w:t>
            </w:r>
          </w:p>
        </w:tc>
        <w:tc>
          <w:tcPr>
            <w:tcW w:w="7802" w:type="dxa"/>
            <w:gridSpan w:val="2"/>
          </w:tcPr>
          <w:p w14:paraId="6CFE4CE6" w14:textId="77777777" w:rsidR="008B4402" w:rsidRPr="00C9343F" w:rsidRDefault="008B4402" w:rsidP="00F66D98">
            <w:pPr>
              <w:pStyle w:val="BlockText-Plain"/>
            </w:pPr>
            <w:r w:rsidRPr="00C9343F">
              <w:t>Defence Force Retirement and Death Benefit (DFRDB) purposes. There is still cover for invalidity benefits during the period.</w:t>
            </w:r>
          </w:p>
        </w:tc>
      </w:tr>
      <w:tr w:rsidR="008B4402" w:rsidRPr="00C9343F" w14:paraId="4843972B" w14:textId="77777777" w:rsidTr="008A3831">
        <w:trPr>
          <w:cantSplit/>
        </w:trPr>
        <w:tc>
          <w:tcPr>
            <w:tcW w:w="995" w:type="dxa"/>
          </w:tcPr>
          <w:p w14:paraId="1BDEEFE1" w14:textId="77777777" w:rsidR="008B4402" w:rsidRPr="00C9343F" w:rsidRDefault="008B4402" w:rsidP="00F66D98">
            <w:pPr>
              <w:pStyle w:val="BlockText-Plain"/>
            </w:pPr>
          </w:p>
        </w:tc>
        <w:tc>
          <w:tcPr>
            <w:tcW w:w="567" w:type="dxa"/>
          </w:tcPr>
          <w:p w14:paraId="52A53E23" w14:textId="77777777" w:rsidR="008B4402" w:rsidRPr="00C9343F" w:rsidRDefault="008B4402" w:rsidP="00F66D98">
            <w:pPr>
              <w:pStyle w:val="BlockText-Plain"/>
              <w:jc w:val="center"/>
            </w:pPr>
            <w:r w:rsidRPr="00C9343F">
              <w:t>c.</w:t>
            </w:r>
          </w:p>
        </w:tc>
        <w:tc>
          <w:tcPr>
            <w:tcW w:w="7802" w:type="dxa"/>
            <w:gridSpan w:val="2"/>
          </w:tcPr>
          <w:p w14:paraId="284DB5C9" w14:textId="77777777" w:rsidR="008B4402" w:rsidRPr="00C9343F" w:rsidRDefault="008B4402" w:rsidP="00F66D98">
            <w:pPr>
              <w:pStyle w:val="BlockText-Plain"/>
            </w:pPr>
            <w:r w:rsidRPr="00C9343F">
              <w:t>A Defence Service Home Loan, for a member who must serve an initial qualifying period to get a loan.</w:t>
            </w:r>
          </w:p>
        </w:tc>
      </w:tr>
      <w:tr w:rsidR="008B4402" w:rsidRPr="00C9343F" w14:paraId="2C010B77" w14:textId="77777777" w:rsidTr="008A3831">
        <w:trPr>
          <w:cantSplit/>
        </w:trPr>
        <w:tc>
          <w:tcPr>
            <w:tcW w:w="995" w:type="dxa"/>
          </w:tcPr>
          <w:p w14:paraId="640B1A78" w14:textId="77777777" w:rsidR="008B4402" w:rsidRPr="00C9343F" w:rsidRDefault="008B4402" w:rsidP="00F66D98">
            <w:pPr>
              <w:pStyle w:val="BlockText-Plain"/>
            </w:pPr>
          </w:p>
        </w:tc>
        <w:tc>
          <w:tcPr>
            <w:tcW w:w="567" w:type="dxa"/>
          </w:tcPr>
          <w:p w14:paraId="1903633C" w14:textId="77777777" w:rsidR="008B4402" w:rsidRPr="00C9343F" w:rsidRDefault="008B4402" w:rsidP="00F66D98">
            <w:pPr>
              <w:pStyle w:val="BlockText-Plain"/>
              <w:jc w:val="center"/>
            </w:pPr>
            <w:r w:rsidRPr="00C9343F">
              <w:t>d.</w:t>
            </w:r>
          </w:p>
        </w:tc>
        <w:tc>
          <w:tcPr>
            <w:tcW w:w="7802" w:type="dxa"/>
            <w:gridSpan w:val="2"/>
          </w:tcPr>
          <w:p w14:paraId="3202AF04" w14:textId="77777777" w:rsidR="008B4402" w:rsidRPr="00C9343F" w:rsidRDefault="008B4402" w:rsidP="00F66D98">
            <w:pPr>
              <w:pStyle w:val="BlockText-Plain"/>
            </w:pPr>
            <w:r w:rsidRPr="00C9343F">
              <w:t xml:space="preserve">A benefit under the </w:t>
            </w:r>
            <w:r w:rsidRPr="00C9343F">
              <w:rPr>
                <w:i/>
              </w:rPr>
              <w:t>Veterans’ Entitlements Act 1986</w:t>
            </w:r>
            <w:r w:rsidRPr="00C9343F">
              <w:t>. After qualifying for benefits under the Act, a member has no cover under the Act for an injury or illness that happens during leave without pay.</w:t>
            </w:r>
          </w:p>
        </w:tc>
      </w:tr>
      <w:tr w:rsidR="008B4402" w:rsidRPr="00C9343F" w14:paraId="36ECAB64" w14:textId="77777777" w:rsidTr="008A3831">
        <w:tc>
          <w:tcPr>
            <w:tcW w:w="995" w:type="dxa"/>
          </w:tcPr>
          <w:p w14:paraId="3F2193FF" w14:textId="77777777" w:rsidR="008B4402" w:rsidRPr="00C9343F" w:rsidRDefault="008B4402" w:rsidP="00F66D98">
            <w:pPr>
              <w:pStyle w:val="BlockText-Plain"/>
              <w:jc w:val="center"/>
            </w:pPr>
            <w:r w:rsidRPr="00C9343F">
              <w:t>4.</w:t>
            </w:r>
          </w:p>
        </w:tc>
        <w:tc>
          <w:tcPr>
            <w:tcW w:w="8369" w:type="dxa"/>
            <w:gridSpan w:val="3"/>
          </w:tcPr>
          <w:p w14:paraId="167F910F" w14:textId="6C101A87" w:rsidR="008B4402" w:rsidRPr="00C9343F" w:rsidRDefault="008B4402" w:rsidP="00F66D98">
            <w:pPr>
              <w:pStyle w:val="BlockText-Plain"/>
            </w:pPr>
            <w:r w:rsidRPr="00C9343F">
              <w:t xml:space="preserve">Leave without pay may affect maternity leave entitlements. </w:t>
            </w:r>
          </w:p>
        </w:tc>
      </w:tr>
      <w:tr w:rsidR="008B4402" w:rsidRPr="00C9343F" w14:paraId="2AB07241" w14:textId="77777777" w:rsidTr="008A3831">
        <w:tc>
          <w:tcPr>
            <w:tcW w:w="995" w:type="dxa"/>
          </w:tcPr>
          <w:p w14:paraId="3077E4FC" w14:textId="77777777" w:rsidR="008B4402" w:rsidRPr="00C9343F" w:rsidRDefault="008B4402" w:rsidP="00F66D98">
            <w:pPr>
              <w:pStyle w:val="BlockText-Plain"/>
              <w:jc w:val="center"/>
            </w:pPr>
            <w:r w:rsidRPr="00C9343F">
              <w:t>5.</w:t>
            </w:r>
          </w:p>
        </w:tc>
        <w:tc>
          <w:tcPr>
            <w:tcW w:w="8369" w:type="dxa"/>
            <w:gridSpan w:val="3"/>
          </w:tcPr>
          <w:p w14:paraId="0298603B" w14:textId="77777777" w:rsidR="008B4402" w:rsidRPr="00C9343F" w:rsidRDefault="008B4402" w:rsidP="00F66D98">
            <w:pPr>
              <w:pStyle w:val="BlockText-Plain"/>
            </w:pPr>
            <w:r w:rsidRPr="00C9343F">
              <w:t>Continuity of service for a particular benefit will not be broken by leave without pay if the conditions for the benefit are met.</w:t>
            </w:r>
          </w:p>
        </w:tc>
      </w:tr>
      <w:tr w:rsidR="008B4402" w:rsidRPr="00C9343F" w14:paraId="4FD98651" w14:textId="77777777" w:rsidTr="008A3831">
        <w:tc>
          <w:tcPr>
            <w:tcW w:w="995" w:type="dxa"/>
          </w:tcPr>
          <w:p w14:paraId="4E1BF1A5" w14:textId="77777777" w:rsidR="008B4402" w:rsidRPr="00C9343F" w:rsidRDefault="008B4402" w:rsidP="00F66D98">
            <w:pPr>
              <w:pStyle w:val="BlockText-Plain"/>
              <w:jc w:val="center"/>
            </w:pPr>
            <w:r w:rsidRPr="00C9343F">
              <w:t>6.</w:t>
            </w:r>
          </w:p>
        </w:tc>
        <w:tc>
          <w:tcPr>
            <w:tcW w:w="8369" w:type="dxa"/>
            <w:gridSpan w:val="3"/>
          </w:tcPr>
          <w:p w14:paraId="2112231B" w14:textId="6E9ADE5E" w:rsidR="008B4402" w:rsidRPr="00C9343F" w:rsidRDefault="008B4402" w:rsidP="008169EA">
            <w:pPr>
              <w:pStyle w:val="BlockText-Plain"/>
            </w:pPr>
            <w:r w:rsidRPr="00C9343F">
              <w:t xml:space="preserve">A member continues to be entitled </w:t>
            </w:r>
            <w:r w:rsidR="008169EA" w:rsidRPr="00C9343F">
              <w:t>to medical and dental treatment</w:t>
            </w:r>
            <w:r w:rsidRPr="00C9343F">
              <w:t xml:space="preserve"> while they are on leave without pay. They are not entitled to salary while they are in hospital, undergoing medical treatment, or on convalescence or absence for illness.</w:t>
            </w:r>
          </w:p>
        </w:tc>
      </w:tr>
      <w:tr w:rsidR="008B4402" w:rsidRPr="00C9343F" w14:paraId="75CB9E6A" w14:textId="77777777" w:rsidTr="008A3831">
        <w:tc>
          <w:tcPr>
            <w:tcW w:w="995" w:type="dxa"/>
          </w:tcPr>
          <w:p w14:paraId="6702C483" w14:textId="77777777" w:rsidR="008B4402" w:rsidRPr="00C9343F" w:rsidRDefault="008B4402" w:rsidP="00F66D98">
            <w:pPr>
              <w:pStyle w:val="BlockText-Plain"/>
              <w:jc w:val="center"/>
            </w:pPr>
            <w:r w:rsidRPr="00C9343F">
              <w:t>7.</w:t>
            </w:r>
          </w:p>
        </w:tc>
        <w:tc>
          <w:tcPr>
            <w:tcW w:w="8369" w:type="dxa"/>
            <w:gridSpan w:val="3"/>
          </w:tcPr>
          <w:p w14:paraId="7039D5CA" w14:textId="77777777" w:rsidR="008B4402" w:rsidRPr="00C9343F" w:rsidRDefault="008B4402" w:rsidP="00F66D98">
            <w:pPr>
              <w:pStyle w:val="BlockText-Plain"/>
            </w:pPr>
            <w:r w:rsidRPr="00C9343F">
              <w:t>A member is not covered by compensation legislation for injuries they suffer during a period of leave without pay.</w:t>
            </w:r>
          </w:p>
        </w:tc>
      </w:tr>
      <w:tr w:rsidR="008B4402" w:rsidRPr="00C9343F" w14:paraId="08003A16" w14:textId="77777777" w:rsidTr="008A3831">
        <w:tc>
          <w:tcPr>
            <w:tcW w:w="995" w:type="dxa"/>
          </w:tcPr>
          <w:p w14:paraId="1F89486A" w14:textId="77777777" w:rsidR="008B4402" w:rsidRPr="00C9343F" w:rsidRDefault="008B4402" w:rsidP="00F66D98">
            <w:pPr>
              <w:pStyle w:val="BlockText-Plain"/>
              <w:jc w:val="center"/>
            </w:pPr>
            <w:r w:rsidRPr="00C9343F">
              <w:t>8.</w:t>
            </w:r>
          </w:p>
        </w:tc>
        <w:tc>
          <w:tcPr>
            <w:tcW w:w="8369" w:type="dxa"/>
            <w:gridSpan w:val="3"/>
          </w:tcPr>
          <w:p w14:paraId="70ABC061" w14:textId="1D827AAC" w:rsidR="008B4402" w:rsidRPr="00C9343F" w:rsidRDefault="008B4402" w:rsidP="008169EA">
            <w:pPr>
              <w:pStyle w:val="BlockText-Plain"/>
            </w:pPr>
            <w:r w:rsidRPr="00C9343F">
              <w:t>A member’s furniture and effects are not to be stored for the period of leave without pay.</w:t>
            </w:r>
          </w:p>
        </w:tc>
      </w:tr>
      <w:tr w:rsidR="008B4402" w:rsidRPr="00C9343F" w14:paraId="44228D05" w14:textId="77777777" w:rsidTr="008A3831">
        <w:tc>
          <w:tcPr>
            <w:tcW w:w="995" w:type="dxa"/>
          </w:tcPr>
          <w:p w14:paraId="0BC10063" w14:textId="77777777" w:rsidR="008B4402" w:rsidRPr="00C9343F" w:rsidRDefault="008B4402" w:rsidP="00F66D98">
            <w:pPr>
              <w:pStyle w:val="BlockText-Plain"/>
              <w:jc w:val="center"/>
            </w:pPr>
            <w:r w:rsidRPr="00C9343F">
              <w:t>9.</w:t>
            </w:r>
          </w:p>
        </w:tc>
        <w:tc>
          <w:tcPr>
            <w:tcW w:w="8369" w:type="dxa"/>
            <w:gridSpan w:val="3"/>
          </w:tcPr>
          <w:p w14:paraId="063897C1" w14:textId="77777777" w:rsidR="008B4402" w:rsidRPr="00C9343F" w:rsidRDefault="008B4402" w:rsidP="00F66D98">
            <w:pPr>
              <w:pStyle w:val="BlockText-Plain"/>
            </w:pPr>
            <w:r w:rsidRPr="00C9343F">
              <w:t>A member on leave without pay has no eligibility for compassionate or carer's leave. This is because they are already on leave.</w:t>
            </w:r>
          </w:p>
        </w:tc>
      </w:tr>
      <w:tr w:rsidR="008B4402" w:rsidRPr="00C9343F" w14:paraId="44BEF99E" w14:textId="77777777" w:rsidTr="008A3831">
        <w:tc>
          <w:tcPr>
            <w:tcW w:w="995" w:type="dxa"/>
          </w:tcPr>
          <w:p w14:paraId="7C88E4B6" w14:textId="77777777" w:rsidR="008B4402" w:rsidRPr="00C9343F" w:rsidRDefault="008B4402" w:rsidP="00F66D98">
            <w:pPr>
              <w:pStyle w:val="BlockText-Plain"/>
              <w:jc w:val="center"/>
            </w:pPr>
            <w:r w:rsidRPr="00C9343F">
              <w:t>10.</w:t>
            </w:r>
          </w:p>
        </w:tc>
        <w:tc>
          <w:tcPr>
            <w:tcW w:w="8369" w:type="dxa"/>
            <w:gridSpan w:val="3"/>
          </w:tcPr>
          <w:p w14:paraId="6469AA81" w14:textId="2BB20513" w:rsidR="008B4402" w:rsidRPr="00C9343F" w:rsidRDefault="008B4402" w:rsidP="00F66D98">
            <w:pPr>
              <w:pStyle w:val="BlockText-Plain"/>
            </w:pPr>
            <w:r w:rsidRPr="00C9343F">
              <w:t>Leave without pay may affect qualifying service for the Military Superannuation and Benefits Scheme (MSBS) retention benefit.</w:t>
            </w:r>
          </w:p>
        </w:tc>
      </w:tr>
      <w:tr w:rsidR="008B4402" w:rsidRPr="00C9343F" w14:paraId="36C9D73F" w14:textId="77777777" w:rsidTr="008A3831">
        <w:tc>
          <w:tcPr>
            <w:tcW w:w="995" w:type="dxa"/>
          </w:tcPr>
          <w:p w14:paraId="6D7B0BAC" w14:textId="77777777" w:rsidR="008B4402" w:rsidRPr="00C9343F" w:rsidRDefault="008B4402" w:rsidP="00F66D98">
            <w:pPr>
              <w:pStyle w:val="BlockText-Plain"/>
              <w:jc w:val="center"/>
            </w:pPr>
            <w:bookmarkStart w:id="2019" w:name="bk102249589PaymentofchargestotheCommonw"/>
            <w:bookmarkStart w:id="2020" w:name="bk132410589PaymentofchargestotheCommonw"/>
            <w:bookmarkStart w:id="2021" w:name="bk145326588PaymentofchargestotheCommonw"/>
            <w:r w:rsidRPr="00C9343F">
              <w:t>11.</w:t>
            </w:r>
          </w:p>
        </w:tc>
        <w:tc>
          <w:tcPr>
            <w:tcW w:w="8369" w:type="dxa"/>
            <w:gridSpan w:val="3"/>
          </w:tcPr>
          <w:p w14:paraId="247BA731" w14:textId="77777777" w:rsidR="008B4402" w:rsidRPr="00C9343F" w:rsidRDefault="008B4402" w:rsidP="00F66D98">
            <w:pPr>
              <w:pStyle w:val="BlockText-Plain"/>
            </w:pPr>
            <w:r w:rsidRPr="00C9343F">
              <w:t>A member on leave without pay is not required to stay fit or deployable.</w:t>
            </w:r>
          </w:p>
        </w:tc>
      </w:tr>
    </w:tbl>
    <w:p w14:paraId="78535A8F" w14:textId="092182A0" w:rsidR="008B4402" w:rsidRPr="00C9343F" w:rsidRDefault="008B4402" w:rsidP="00F66D98">
      <w:pPr>
        <w:pStyle w:val="Heading5"/>
      </w:pPr>
      <w:bookmarkStart w:id="2022" w:name="_Toc105054157"/>
      <w:bookmarkStart w:id="2023" w:name="bk115249588PaymentofchargestotheCommonw"/>
      <w:r w:rsidRPr="00C9343F">
        <w:t>5.10.8</w:t>
      </w:r>
      <w:r w:rsidR="00D94006" w:rsidRPr="00C9343F">
        <w:t>    </w:t>
      </w:r>
      <w:r w:rsidRPr="00C9343F">
        <w:t>Payment of charges</w:t>
      </w:r>
      <w:bookmarkEnd w:id="2022"/>
    </w:p>
    <w:tbl>
      <w:tblPr>
        <w:tblW w:w="0" w:type="auto"/>
        <w:tblInd w:w="113" w:type="dxa"/>
        <w:tblLayout w:type="fixed"/>
        <w:tblLook w:val="0000" w:firstRow="0" w:lastRow="0" w:firstColumn="0" w:lastColumn="0" w:noHBand="0" w:noVBand="0"/>
      </w:tblPr>
      <w:tblGrid>
        <w:gridCol w:w="992"/>
        <w:gridCol w:w="8363"/>
      </w:tblGrid>
      <w:tr w:rsidR="008B4402" w:rsidRPr="00C9343F" w14:paraId="3F79196B" w14:textId="77777777" w:rsidTr="008B4402">
        <w:tc>
          <w:tcPr>
            <w:tcW w:w="992" w:type="dxa"/>
          </w:tcPr>
          <w:p w14:paraId="30C61583" w14:textId="77777777" w:rsidR="008B4402" w:rsidRPr="00C9343F" w:rsidRDefault="008B4402" w:rsidP="00F66D98">
            <w:pPr>
              <w:pStyle w:val="BlockText-Plain"/>
              <w:jc w:val="center"/>
            </w:pPr>
            <w:bookmarkStart w:id="2024" w:name="_Hlt79205493"/>
            <w:bookmarkEnd w:id="2019"/>
            <w:bookmarkEnd w:id="2020"/>
            <w:bookmarkEnd w:id="2021"/>
            <w:bookmarkEnd w:id="2023"/>
            <w:bookmarkEnd w:id="2024"/>
            <w:r w:rsidRPr="00C9343F">
              <w:t>1.</w:t>
            </w:r>
          </w:p>
        </w:tc>
        <w:tc>
          <w:tcPr>
            <w:tcW w:w="8363" w:type="dxa"/>
          </w:tcPr>
          <w:p w14:paraId="01414177" w14:textId="04230E73" w:rsidR="008B4402" w:rsidRPr="00C9343F" w:rsidRDefault="008B4402" w:rsidP="007C49DF">
            <w:pPr>
              <w:pStyle w:val="BlockText-Plain"/>
            </w:pPr>
            <w:r w:rsidRPr="00C9343F">
              <w:t>A member must continue to pay for services or facilities they continue to receive while they are on leave without pay.</w:t>
            </w:r>
            <w:r w:rsidR="00354590" w:rsidRPr="00C9343F">
              <w:t xml:space="preserve"> </w:t>
            </w:r>
          </w:p>
        </w:tc>
      </w:tr>
      <w:tr w:rsidR="008B4402" w:rsidRPr="00C9343F" w14:paraId="2E03CB19" w14:textId="77777777" w:rsidTr="008B4402">
        <w:tc>
          <w:tcPr>
            <w:tcW w:w="992" w:type="dxa"/>
          </w:tcPr>
          <w:p w14:paraId="23D0F7A3" w14:textId="77777777" w:rsidR="008B4402" w:rsidRPr="00C9343F" w:rsidRDefault="008B4402" w:rsidP="00F66D98">
            <w:pPr>
              <w:pStyle w:val="BlockText-Plain"/>
              <w:jc w:val="center"/>
            </w:pPr>
            <w:r w:rsidRPr="00C9343F">
              <w:t>2.</w:t>
            </w:r>
          </w:p>
        </w:tc>
        <w:tc>
          <w:tcPr>
            <w:tcW w:w="8363" w:type="dxa"/>
          </w:tcPr>
          <w:p w14:paraId="22B8FE62" w14:textId="77777777" w:rsidR="008B4402" w:rsidRPr="00C9343F" w:rsidRDefault="008B4402" w:rsidP="00F66D98">
            <w:pPr>
              <w:pStyle w:val="BlockText-Plain"/>
            </w:pPr>
            <w:r w:rsidRPr="00C9343F">
              <w:t>A member who has been granted leave without pay must notify the Defence Housing Australia in writing. This allows the member to arrange housing contribution payments during the leave.</w:t>
            </w:r>
          </w:p>
        </w:tc>
      </w:tr>
    </w:tbl>
    <w:p w14:paraId="6EDCEB1A" w14:textId="189772EB" w:rsidR="008B4402" w:rsidRPr="00C9343F" w:rsidRDefault="008B4402" w:rsidP="00F66D98">
      <w:pPr>
        <w:pStyle w:val="Heading3"/>
        <w:pageBreakBefore/>
      </w:pPr>
      <w:bookmarkStart w:id="2025" w:name="_Toc105054158"/>
      <w:r w:rsidRPr="00C9343F">
        <w:t>Part 11: Short absence</w:t>
      </w:r>
      <w:bookmarkEnd w:id="2025"/>
    </w:p>
    <w:p w14:paraId="1B493245" w14:textId="1A04549D" w:rsidR="008B4402" w:rsidRPr="00C9343F" w:rsidRDefault="008B4402" w:rsidP="00F66D98">
      <w:pPr>
        <w:pStyle w:val="Heading4"/>
      </w:pPr>
      <w:bookmarkStart w:id="2026" w:name="_Toc105054159"/>
      <w:r w:rsidRPr="00C9343F">
        <w:t>Division 1: Short absence from duty</w:t>
      </w:r>
      <w:bookmarkEnd w:id="2026"/>
    </w:p>
    <w:p w14:paraId="621A4579" w14:textId="19756AE1" w:rsidR="008B4402" w:rsidRPr="00C9343F" w:rsidRDefault="008B4402" w:rsidP="00F66D98">
      <w:pPr>
        <w:pStyle w:val="Heading5"/>
      </w:pPr>
      <w:bookmarkStart w:id="2027" w:name="_Toc105054160"/>
      <w:r w:rsidRPr="00C9343F">
        <w:t>5.11.3</w:t>
      </w:r>
      <w:r w:rsidR="00D94006" w:rsidRPr="00C9343F">
        <w:t>    </w:t>
      </w:r>
      <w:r w:rsidRPr="00C9343F">
        <w:t>Purpose</w:t>
      </w:r>
      <w:bookmarkEnd w:id="2027"/>
      <w:r w:rsidRPr="00C9343F">
        <w:t xml:space="preserve"> </w:t>
      </w:r>
    </w:p>
    <w:tbl>
      <w:tblPr>
        <w:tblW w:w="9386" w:type="dxa"/>
        <w:tblInd w:w="108" w:type="dxa"/>
        <w:tblLayout w:type="fixed"/>
        <w:tblLook w:val="0000" w:firstRow="0" w:lastRow="0" w:firstColumn="0" w:lastColumn="0" w:noHBand="0" w:noVBand="0"/>
      </w:tblPr>
      <w:tblGrid>
        <w:gridCol w:w="997"/>
        <w:gridCol w:w="567"/>
        <w:gridCol w:w="7822"/>
      </w:tblGrid>
      <w:tr w:rsidR="008B4402" w:rsidRPr="00C9343F" w14:paraId="75ACA823" w14:textId="77777777" w:rsidTr="008B4402">
        <w:tc>
          <w:tcPr>
            <w:tcW w:w="997" w:type="dxa"/>
          </w:tcPr>
          <w:p w14:paraId="24E82CF1" w14:textId="77777777" w:rsidR="008B4402" w:rsidRPr="00C9343F" w:rsidRDefault="008B4402" w:rsidP="00F66D98">
            <w:pPr>
              <w:pStyle w:val="BlockText-Plain"/>
              <w:spacing w:before="20"/>
              <w:jc w:val="center"/>
              <w:rPr>
                <w:rFonts w:ascii="Arial (W1)" w:hAnsi="Arial (W1)"/>
              </w:rPr>
            </w:pPr>
          </w:p>
        </w:tc>
        <w:tc>
          <w:tcPr>
            <w:tcW w:w="8389" w:type="dxa"/>
            <w:gridSpan w:val="2"/>
          </w:tcPr>
          <w:p w14:paraId="7A10E84C" w14:textId="77777777" w:rsidR="008B4402" w:rsidRPr="00C9343F" w:rsidRDefault="008B4402" w:rsidP="00F66D98">
            <w:pPr>
              <w:pStyle w:val="BlockText-Plain"/>
              <w:spacing w:before="20"/>
              <w:rPr>
                <w:rFonts w:ascii="Arial (W1)" w:hAnsi="Arial (W1)"/>
              </w:rPr>
            </w:pPr>
            <w:r w:rsidRPr="00C9343F">
              <w:t>Short absence from duty has the following purposes.</w:t>
            </w:r>
          </w:p>
        </w:tc>
      </w:tr>
      <w:tr w:rsidR="008B4402" w:rsidRPr="00C9343F" w14:paraId="3D85F499" w14:textId="77777777" w:rsidTr="008B4402">
        <w:trPr>
          <w:cantSplit/>
        </w:trPr>
        <w:tc>
          <w:tcPr>
            <w:tcW w:w="997" w:type="dxa"/>
          </w:tcPr>
          <w:p w14:paraId="7BBB42B8" w14:textId="77777777" w:rsidR="008B4402" w:rsidRPr="00C9343F" w:rsidRDefault="008B4402" w:rsidP="00F66D98">
            <w:pPr>
              <w:pStyle w:val="BlockText-Plain"/>
              <w:spacing w:before="20"/>
              <w:rPr>
                <w:rFonts w:cs="Arial"/>
              </w:rPr>
            </w:pPr>
          </w:p>
        </w:tc>
        <w:tc>
          <w:tcPr>
            <w:tcW w:w="567" w:type="dxa"/>
          </w:tcPr>
          <w:p w14:paraId="59FB7E5C" w14:textId="77777777" w:rsidR="008B4402" w:rsidRPr="00C9343F" w:rsidRDefault="008B4402" w:rsidP="005849DD">
            <w:pPr>
              <w:spacing w:before="20" w:after="200"/>
              <w:jc w:val="center"/>
              <w:rPr>
                <w:rFonts w:cs="Arial"/>
                <w:sz w:val="20"/>
              </w:rPr>
            </w:pPr>
            <w:r w:rsidRPr="00C9343F">
              <w:rPr>
                <w:rFonts w:cs="Arial"/>
                <w:sz w:val="20"/>
              </w:rPr>
              <w:t>a.</w:t>
            </w:r>
          </w:p>
        </w:tc>
        <w:tc>
          <w:tcPr>
            <w:tcW w:w="7822" w:type="dxa"/>
          </w:tcPr>
          <w:p w14:paraId="202B7075" w14:textId="77777777" w:rsidR="008B4402" w:rsidRPr="00C9343F" w:rsidRDefault="008B4402" w:rsidP="00F66D98">
            <w:pPr>
              <w:spacing w:before="20" w:after="200"/>
              <w:rPr>
                <w:rFonts w:cs="Arial"/>
                <w:sz w:val="20"/>
              </w:rPr>
            </w:pPr>
            <w:r w:rsidRPr="00C9343F">
              <w:rPr>
                <w:rFonts w:cs="Arial"/>
                <w:sz w:val="20"/>
              </w:rPr>
              <w:t>For the member to rest and recover from long or unusual duty.</w:t>
            </w:r>
          </w:p>
        </w:tc>
      </w:tr>
      <w:tr w:rsidR="008B4402" w:rsidRPr="00C9343F" w14:paraId="3BBCB30D" w14:textId="77777777" w:rsidTr="008B4402">
        <w:trPr>
          <w:cantSplit/>
        </w:trPr>
        <w:tc>
          <w:tcPr>
            <w:tcW w:w="997" w:type="dxa"/>
          </w:tcPr>
          <w:p w14:paraId="57055EFB" w14:textId="77777777" w:rsidR="008B4402" w:rsidRPr="00C9343F" w:rsidRDefault="008B4402" w:rsidP="00F66D98">
            <w:pPr>
              <w:pStyle w:val="BlockText-Plain"/>
              <w:spacing w:before="20"/>
              <w:rPr>
                <w:rFonts w:cs="Arial"/>
              </w:rPr>
            </w:pPr>
          </w:p>
        </w:tc>
        <w:tc>
          <w:tcPr>
            <w:tcW w:w="567" w:type="dxa"/>
          </w:tcPr>
          <w:p w14:paraId="0419B561" w14:textId="77777777" w:rsidR="008B4402" w:rsidRPr="00C9343F" w:rsidRDefault="008B4402" w:rsidP="005849DD">
            <w:pPr>
              <w:spacing w:before="20" w:after="200"/>
              <w:jc w:val="center"/>
              <w:rPr>
                <w:rFonts w:cs="Arial"/>
                <w:sz w:val="20"/>
              </w:rPr>
            </w:pPr>
            <w:r w:rsidRPr="00C9343F">
              <w:rPr>
                <w:rFonts w:cs="Arial"/>
                <w:sz w:val="20"/>
              </w:rPr>
              <w:t>b.</w:t>
            </w:r>
          </w:p>
        </w:tc>
        <w:tc>
          <w:tcPr>
            <w:tcW w:w="7822" w:type="dxa"/>
          </w:tcPr>
          <w:p w14:paraId="694FF6D2" w14:textId="77777777" w:rsidR="008B4402" w:rsidRPr="00C9343F" w:rsidRDefault="008B4402" w:rsidP="00F66D98">
            <w:pPr>
              <w:spacing w:before="20" w:after="200"/>
              <w:rPr>
                <w:rFonts w:cs="Arial"/>
                <w:sz w:val="20"/>
              </w:rPr>
            </w:pPr>
            <w:r w:rsidRPr="00C9343F">
              <w:rPr>
                <w:rFonts w:cs="Arial"/>
                <w:sz w:val="20"/>
              </w:rPr>
              <w:t>For the member to attend to urgent personal matters if Service requirements prevent them from dealing with the matter without the short absence.</w:t>
            </w:r>
          </w:p>
        </w:tc>
      </w:tr>
    </w:tbl>
    <w:p w14:paraId="512DCE9E" w14:textId="02C561B1" w:rsidR="008B4402" w:rsidRPr="00C9343F" w:rsidRDefault="008B4402" w:rsidP="00F66D98">
      <w:pPr>
        <w:pStyle w:val="Heading5"/>
      </w:pPr>
      <w:bookmarkStart w:id="2028" w:name="_Toc105054161"/>
      <w:r w:rsidRPr="00C9343F">
        <w:t>5.11.4</w:t>
      </w:r>
      <w:r w:rsidR="00D94006" w:rsidRPr="00C9343F">
        <w:t>    </w:t>
      </w:r>
      <w:r w:rsidRPr="00C9343F">
        <w:t>Decision-maker and time limits</w:t>
      </w:r>
      <w:bookmarkEnd w:id="2028"/>
    </w:p>
    <w:tbl>
      <w:tblPr>
        <w:tblW w:w="0" w:type="auto"/>
        <w:tblInd w:w="113" w:type="dxa"/>
        <w:tblLayout w:type="fixed"/>
        <w:tblLook w:val="0000" w:firstRow="0" w:lastRow="0" w:firstColumn="0" w:lastColumn="0" w:noHBand="0" w:noVBand="0"/>
      </w:tblPr>
      <w:tblGrid>
        <w:gridCol w:w="992"/>
        <w:gridCol w:w="567"/>
        <w:gridCol w:w="567"/>
        <w:gridCol w:w="7233"/>
      </w:tblGrid>
      <w:tr w:rsidR="008B4402" w:rsidRPr="00C9343F" w14:paraId="7F5E3007" w14:textId="77777777" w:rsidTr="00A12E26">
        <w:tc>
          <w:tcPr>
            <w:tcW w:w="992" w:type="dxa"/>
          </w:tcPr>
          <w:p w14:paraId="655C5585" w14:textId="77777777" w:rsidR="008B4402" w:rsidRPr="00C9343F" w:rsidRDefault="008B4402" w:rsidP="00F66D98">
            <w:pPr>
              <w:pStyle w:val="BlockText-Plain"/>
              <w:jc w:val="center"/>
            </w:pPr>
            <w:r w:rsidRPr="00C9343F">
              <w:t>1.</w:t>
            </w:r>
          </w:p>
        </w:tc>
        <w:tc>
          <w:tcPr>
            <w:tcW w:w="8367" w:type="dxa"/>
            <w:gridSpan w:val="3"/>
          </w:tcPr>
          <w:p w14:paraId="2249AC28" w14:textId="77777777" w:rsidR="008B4402" w:rsidRPr="00C9343F" w:rsidRDefault="008B4402" w:rsidP="00F66D98">
            <w:pPr>
              <w:pStyle w:val="BlockText-Plain"/>
            </w:pPr>
            <w:r w:rsidRPr="00C9343F">
              <w:t>In this Division, a decision-maker is a person who can approve short absence from duty because they meet the conditions set out in subsections 2, 3 or 4.</w:t>
            </w:r>
          </w:p>
        </w:tc>
      </w:tr>
      <w:tr w:rsidR="008B4402" w:rsidRPr="00C9343F" w14:paraId="43AB06FC" w14:textId="77777777" w:rsidTr="00A12E26">
        <w:tc>
          <w:tcPr>
            <w:tcW w:w="992" w:type="dxa"/>
          </w:tcPr>
          <w:p w14:paraId="5B6570E8" w14:textId="77777777" w:rsidR="008B4402" w:rsidRPr="00C9343F" w:rsidRDefault="008B4402" w:rsidP="00F66D98">
            <w:pPr>
              <w:pStyle w:val="BlockText-Plain"/>
              <w:jc w:val="center"/>
            </w:pPr>
            <w:r w:rsidRPr="00C9343F">
              <w:t>2.</w:t>
            </w:r>
          </w:p>
        </w:tc>
        <w:tc>
          <w:tcPr>
            <w:tcW w:w="8367" w:type="dxa"/>
            <w:gridSpan w:val="3"/>
          </w:tcPr>
          <w:p w14:paraId="5DA95191" w14:textId="77777777" w:rsidR="008B4402" w:rsidRPr="00C9343F" w:rsidRDefault="008B4402" w:rsidP="00F66D98">
            <w:pPr>
              <w:pStyle w:val="BlockText-Plain"/>
            </w:pPr>
            <w:r w:rsidRPr="00C9343F">
              <w:t>A person who meets both the following conditions is the decision-maker for up to three consecutive working days of short absence.</w:t>
            </w:r>
          </w:p>
        </w:tc>
      </w:tr>
      <w:tr w:rsidR="008B4402" w:rsidRPr="00C9343F" w14:paraId="62EA1166" w14:textId="77777777" w:rsidTr="00A12E26">
        <w:trPr>
          <w:cantSplit/>
        </w:trPr>
        <w:tc>
          <w:tcPr>
            <w:tcW w:w="992" w:type="dxa"/>
          </w:tcPr>
          <w:p w14:paraId="1337CD30" w14:textId="77777777" w:rsidR="008B4402" w:rsidRPr="00C9343F" w:rsidRDefault="008B4402" w:rsidP="00F66D98">
            <w:pPr>
              <w:pStyle w:val="BlockText-Plain"/>
            </w:pPr>
          </w:p>
        </w:tc>
        <w:tc>
          <w:tcPr>
            <w:tcW w:w="567" w:type="dxa"/>
          </w:tcPr>
          <w:p w14:paraId="5EC76388" w14:textId="77777777" w:rsidR="008B4402" w:rsidRPr="00C9343F" w:rsidRDefault="008B4402" w:rsidP="005849DD">
            <w:pPr>
              <w:pStyle w:val="BlockText-Plain"/>
              <w:jc w:val="center"/>
            </w:pPr>
            <w:r w:rsidRPr="00C9343F">
              <w:t>a.</w:t>
            </w:r>
          </w:p>
        </w:tc>
        <w:tc>
          <w:tcPr>
            <w:tcW w:w="7800" w:type="dxa"/>
            <w:gridSpan w:val="2"/>
          </w:tcPr>
          <w:p w14:paraId="224241FB" w14:textId="77777777" w:rsidR="008B4402" w:rsidRPr="00C9343F" w:rsidRDefault="008B4402" w:rsidP="00F66D98">
            <w:pPr>
              <w:pStyle w:val="BlockText-Plain"/>
            </w:pPr>
            <w:r w:rsidRPr="00C9343F">
              <w:t>They are a supervisor in the member's direct chain of command.</w:t>
            </w:r>
          </w:p>
        </w:tc>
      </w:tr>
      <w:tr w:rsidR="008B4402" w:rsidRPr="00C9343F" w14:paraId="3B3F9FAF" w14:textId="77777777" w:rsidTr="00A12E26">
        <w:trPr>
          <w:cantSplit/>
        </w:trPr>
        <w:tc>
          <w:tcPr>
            <w:tcW w:w="992" w:type="dxa"/>
          </w:tcPr>
          <w:p w14:paraId="48AA6061" w14:textId="77777777" w:rsidR="008B4402" w:rsidRPr="00C9343F" w:rsidRDefault="008B4402" w:rsidP="00F66D98">
            <w:pPr>
              <w:pStyle w:val="BlockText-Plain"/>
            </w:pPr>
          </w:p>
        </w:tc>
        <w:tc>
          <w:tcPr>
            <w:tcW w:w="567" w:type="dxa"/>
          </w:tcPr>
          <w:p w14:paraId="4B403969" w14:textId="77777777" w:rsidR="008B4402" w:rsidRPr="00C9343F" w:rsidRDefault="008B4402" w:rsidP="005849DD">
            <w:pPr>
              <w:pStyle w:val="BlockText-Plain"/>
              <w:jc w:val="center"/>
            </w:pPr>
            <w:r w:rsidRPr="00C9343F">
              <w:t>b.</w:t>
            </w:r>
          </w:p>
        </w:tc>
        <w:tc>
          <w:tcPr>
            <w:tcW w:w="7800" w:type="dxa"/>
            <w:gridSpan w:val="2"/>
          </w:tcPr>
          <w:p w14:paraId="79E7589E" w14:textId="77777777" w:rsidR="008B4402" w:rsidRPr="00C9343F" w:rsidRDefault="008B4402" w:rsidP="00F66D98">
            <w:pPr>
              <w:pStyle w:val="BlockText-Plain"/>
            </w:pPr>
            <w:r w:rsidRPr="00C9343F">
              <w:t>They are not below the following rank or APS classification.</w:t>
            </w:r>
          </w:p>
        </w:tc>
      </w:tr>
      <w:tr w:rsidR="008B4402" w:rsidRPr="00C9343F" w14:paraId="7F890145" w14:textId="77777777" w:rsidTr="00A12E26">
        <w:trPr>
          <w:cantSplit/>
        </w:trPr>
        <w:tc>
          <w:tcPr>
            <w:tcW w:w="1559" w:type="dxa"/>
            <w:gridSpan w:val="2"/>
          </w:tcPr>
          <w:p w14:paraId="12DDC0D6" w14:textId="77777777" w:rsidR="008B4402" w:rsidRPr="00C9343F" w:rsidRDefault="008B4402" w:rsidP="00F66D98">
            <w:pPr>
              <w:pStyle w:val="BlockText-Plain"/>
            </w:pPr>
          </w:p>
        </w:tc>
        <w:tc>
          <w:tcPr>
            <w:tcW w:w="567" w:type="dxa"/>
          </w:tcPr>
          <w:p w14:paraId="603B976D" w14:textId="77777777" w:rsidR="008B4402" w:rsidRPr="00C9343F" w:rsidRDefault="008B4402" w:rsidP="005849DD">
            <w:pPr>
              <w:pStyle w:val="BlockText-Plain"/>
            </w:pPr>
            <w:r w:rsidRPr="00C9343F">
              <w:t>i.</w:t>
            </w:r>
          </w:p>
        </w:tc>
        <w:tc>
          <w:tcPr>
            <w:tcW w:w="7233" w:type="dxa"/>
          </w:tcPr>
          <w:p w14:paraId="692D0796" w14:textId="77777777" w:rsidR="008B4402" w:rsidRPr="00C9343F" w:rsidRDefault="008B4402" w:rsidP="00F66D98">
            <w:pPr>
              <w:pStyle w:val="BlockText-Plain"/>
            </w:pPr>
            <w:r w:rsidRPr="00C9343F">
              <w:t>Warrant Officer Class 2.</w:t>
            </w:r>
          </w:p>
        </w:tc>
      </w:tr>
      <w:tr w:rsidR="008B4402" w:rsidRPr="00C9343F" w14:paraId="06F15A4B" w14:textId="77777777" w:rsidTr="00A12E26">
        <w:trPr>
          <w:cantSplit/>
        </w:trPr>
        <w:tc>
          <w:tcPr>
            <w:tcW w:w="1559" w:type="dxa"/>
            <w:gridSpan w:val="2"/>
          </w:tcPr>
          <w:p w14:paraId="4602B6F7" w14:textId="77777777" w:rsidR="008B4402" w:rsidRPr="00C9343F" w:rsidRDefault="008B4402" w:rsidP="00F66D98">
            <w:pPr>
              <w:pStyle w:val="BlockText-Plain"/>
            </w:pPr>
          </w:p>
        </w:tc>
        <w:tc>
          <w:tcPr>
            <w:tcW w:w="567" w:type="dxa"/>
          </w:tcPr>
          <w:p w14:paraId="71320828" w14:textId="77777777" w:rsidR="008B4402" w:rsidRPr="00C9343F" w:rsidRDefault="008B4402" w:rsidP="005849DD">
            <w:pPr>
              <w:pStyle w:val="BlockText-Plain"/>
            </w:pPr>
            <w:r w:rsidRPr="00C9343F">
              <w:t>ii.</w:t>
            </w:r>
          </w:p>
        </w:tc>
        <w:tc>
          <w:tcPr>
            <w:tcW w:w="7233" w:type="dxa"/>
          </w:tcPr>
          <w:p w14:paraId="276FCBFC" w14:textId="77777777" w:rsidR="008B4402" w:rsidRPr="00C9343F" w:rsidRDefault="008B4402" w:rsidP="00F66D98">
            <w:pPr>
              <w:pStyle w:val="BlockText-Plain"/>
            </w:pPr>
            <w:r w:rsidRPr="00C9343F">
              <w:t>APS 4.</w:t>
            </w:r>
          </w:p>
        </w:tc>
      </w:tr>
      <w:tr w:rsidR="008B4402" w:rsidRPr="00C9343F" w14:paraId="76519BEE" w14:textId="77777777" w:rsidTr="00A12E26">
        <w:tc>
          <w:tcPr>
            <w:tcW w:w="992" w:type="dxa"/>
          </w:tcPr>
          <w:p w14:paraId="74219741" w14:textId="77777777" w:rsidR="008B4402" w:rsidRPr="00C9343F" w:rsidRDefault="008B4402" w:rsidP="00F66D98">
            <w:pPr>
              <w:pStyle w:val="BlockText-Plain"/>
              <w:jc w:val="center"/>
            </w:pPr>
            <w:r w:rsidRPr="00C9343F">
              <w:t>3.</w:t>
            </w:r>
          </w:p>
        </w:tc>
        <w:tc>
          <w:tcPr>
            <w:tcW w:w="8367" w:type="dxa"/>
            <w:gridSpan w:val="3"/>
          </w:tcPr>
          <w:p w14:paraId="47B498AA" w14:textId="77777777" w:rsidR="008B4402" w:rsidRPr="00C9343F" w:rsidRDefault="008B4402" w:rsidP="00F66D98">
            <w:pPr>
              <w:pStyle w:val="BlockText-Plain"/>
            </w:pPr>
            <w:r w:rsidRPr="00C9343F">
              <w:t>A person who meets both these conditions is the decision-maker for up to five consecutive working days of short absence.</w:t>
            </w:r>
          </w:p>
        </w:tc>
      </w:tr>
      <w:tr w:rsidR="008B4402" w:rsidRPr="00C9343F" w14:paraId="44A93C33" w14:textId="77777777" w:rsidTr="00A12E26">
        <w:trPr>
          <w:cantSplit/>
        </w:trPr>
        <w:tc>
          <w:tcPr>
            <w:tcW w:w="992" w:type="dxa"/>
          </w:tcPr>
          <w:p w14:paraId="33D7E210" w14:textId="77777777" w:rsidR="008B4402" w:rsidRPr="00C9343F" w:rsidRDefault="008B4402" w:rsidP="00F66D98">
            <w:pPr>
              <w:pStyle w:val="BlockText-Plain"/>
            </w:pPr>
          </w:p>
        </w:tc>
        <w:tc>
          <w:tcPr>
            <w:tcW w:w="567" w:type="dxa"/>
          </w:tcPr>
          <w:p w14:paraId="7C08492A" w14:textId="77777777" w:rsidR="008B4402" w:rsidRPr="00C9343F" w:rsidRDefault="008B4402" w:rsidP="005849DD">
            <w:pPr>
              <w:pStyle w:val="BlockText-Plain"/>
              <w:jc w:val="center"/>
            </w:pPr>
            <w:r w:rsidRPr="00C9343F">
              <w:t>a.</w:t>
            </w:r>
          </w:p>
        </w:tc>
        <w:tc>
          <w:tcPr>
            <w:tcW w:w="7800" w:type="dxa"/>
            <w:gridSpan w:val="2"/>
          </w:tcPr>
          <w:p w14:paraId="64EBC9CA" w14:textId="77777777" w:rsidR="008B4402" w:rsidRPr="00C9343F" w:rsidRDefault="008B4402" w:rsidP="00F66D98">
            <w:pPr>
              <w:pStyle w:val="BlockText-Plain"/>
            </w:pPr>
            <w:r w:rsidRPr="00C9343F">
              <w:t>They are in the member's direct chain of command or supervision.</w:t>
            </w:r>
          </w:p>
        </w:tc>
      </w:tr>
      <w:tr w:rsidR="008B4402" w:rsidRPr="00C9343F" w14:paraId="00AB0651" w14:textId="77777777" w:rsidTr="00A12E26">
        <w:trPr>
          <w:cantSplit/>
        </w:trPr>
        <w:tc>
          <w:tcPr>
            <w:tcW w:w="992" w:type="dxa"/>
          </w:tcPr>
          <w:p w14:paraId="2B7746FF" w14:textId="77777777" w:rsidR="008B4402" w:rsidRPr="00C9343F" w:rsidRDefault="008B4402" w:rsidP="00F66D98">
            <w:pPr>
              <w:pStyle w:val="BlockText-Plain"/>
            </w:pPr>
          </w:p>
        </w:tc>
        <w:tc>
          <w:tcPr>
            <w:tcW w:w="567" w:type="dxa"/>
          </w:tcPr>
          <w:p w14:paraId="19EB6FA5" w14:textId="77777777" w:rsidR="008B4402" w:rsidRPr="00C9343F" w:rsidRDefault="008B4402" w:rsidP="005849DD">
            <w:pPr>
              <w:pStyle w:val="BlockText-Plain"/>
              <w:jc w:val="center"/>
            </w:pPr>
            <w:r w:rsidRPr="00C9343F">
              <w:t>b.</w:t>
            </w:r>
          </w:p>
        </w:tc>
        <w:tc>
          <w:tcPr>
            <w:tcW w:w="7800" w:type="dxa"/>
            <w:gridSpan w:val="2"/>
          </w:tcPr>
          <w:p w14:paraId="7826B998" w14:textId="77777777" w:rsidR="008B4402" w:rsidRPr="00C9343F" w:rsidRDefault="008B4402" w:rsidP="00F66D98">
            <w:pPr>
              <w:pStyle w:val="BlockText-Plain"/>
            </w:pPr>
            <w:r w:rsidRPr="00C9343F">
              <w:t>They are not below the following rank or APS classification.</w:t>
            </w:r>
          </w:p>
        </w:tc>
      </w:tr>
      <w:tr w:rsidR="008B4402" w:rsidRPr="00C9343F" w14:paraId="4AEEFFFE" w14:textId="77777777" w:rsidTr="00A12E26">
        <w:trPr>
          <w:cantSplit/>
        </w:trPr>
        <w:tc>
          <w:tcPr>
            <w:tcW w:w="1559" w:type="dxa"/>
            <w:gridSpan w:val="2"/>
          </w:tcPr>
          <w:p w14:paraId="3C1DFBE9" w14:textId="77777777" w:rsidR="008B4402" w:rsidRPr="00C9343F" w:rsidRDefault="008B4402" w:rsidP="00F66D98">
            <w:pPr>
              <w:pStyle w:val="BlockText-Plain"/>
            </w:pPr>
          </w:p>
        </w:tc>
        <w:tc>
          <w:tcPr>
            <w:tcW w:w="567" w:type="dxa"/>
          </w:tcPr>
          <w:p w14:paraId="6555F31C" w14:textId="77777777" w:rsidR="008B4402" w:rsidRPr="00C9343F" w:rsidRDefault="008B4402" w:rsidP="005849DD">
            <w:pPr>
              <w:pStyle w:val="BlockText-Plain"/>
            </w:pPr>
            <w:r w:rsidRPr="00C9343F">
              <w:t>i.</w:t>
            </w:r>
          </w:p>
        </w:tc>
        <w:tc>
          <w:tcPr>
            <w:tcW w:w="7233" w:type="dxa"/>
          </w:tcPr>
          <w:p w14:paraId="2D5C59D5" w14:textId="77777777" w:rsidR="008B4402" w:rsidRPr="00C9343F" w:rsidRDefault="008B4402" w:rsidP="00F66D98">
            <w:pPr>
              <w:pStyle w:val="BlockText-Plain"/>
            </w:pPr>
            <w:r w:rsidRPr="00C9343F">
              <w:t>Major.</w:t>
            </w:r>
          </w:p>
        </w:tc>
      </w:tr>
      <w:tr w:rsidR="008B4402" w:rsidRPr="00C9343F" w14:paraId="142ECB45" w14:textId="77777777" w:rsidTr="00A12E26">
        <w:trPr>
          <w:cantSplit/>
        </w:trPr>
        <w:tc>
          <w:tcPr>
            <w:tcW w:w="1559" w:type="dxa"/>
            <w:gridSpan w:val="2"/>
          </w:tcPr>
          <w:p w14:paraId="4DDF9547" w14:textId="77777777" w:rsidR="008B4402" w:rsidRPr="00C9343F" w:rsidRDefault="008B4402" w:rsidP="00F66D98">
            <w:pPr>
              <w:pStyle w:val="BlockText-Plain"/>
            </w:pPr>
          </w:p>
        </w:tc>
        <w:tc>
          <w:tcPr>
            <w:tcW w:w="567" w:type="dxa"/>
          </w:tcPr>
          <w:p w14:paraId="156EB51D" w14:textId="77777777" w:rsidR="008B4402" w:rsidRPr="00C9343F" w:rsidRDefault="008B4402" w:rsidP="005849DD">
            <w:pPr>
              <w:pStyle w:val="BlockText-Plain"/>
            </w:pPr>
            <w:r w:rsidRPr="00C9343F">
              <w:t>ii.</w:t>
            </w:r>
          </w:p>
        </w:tc>
        <w:tc>
          <w:tcPr>
            <w:tcW w:w="7233" w:type="dxa"/>
          </w:tcPr>
          <w:p w14:paraId="5326D7BA" w14:textId="77777777" w:rsidR="008B4402" w:rsidRPr="00C9343F" w:rsidRDefault="008B4402" w:rsidP="00F66D98">
            <w:pPr>
              <w:pStyle w:val="BlockText-Plain"/>
            </w:pPr>
            <w:r w:rsidRPr="00C9343F">
              <w:t>APS 6.</w:t>
            </w:r>
          </w:p>
        </w:tc>
      </w:tr>
      <w:tr w:rsidR="008B4402" w:rsidRPr="00C9343F" w14:paraId="3D3630EA" w14:textId="77777777" w:rsidTr="00A12E26">
        <w:tc>
          <w:tcPr>
            <w:tcW w:w="992" w:type="dxa"/>
          </w:tcPr>
          <w:p w14:paraId="6238E198" w14:textId="77777777" w:rsidR="008B4402" w:rsidRPr="00C9343F" w:rsidRDefault="008B4402" w:rsidP="00F66D98">
            <w:pPr>
              <w:pStyle w:val="BlockText-Plain"/>
              <w:jc w:val="center"/>
            </w:pPr>
            <w:r w:rsidRPr="00C9343F">
              <w:t>4.</w:t>
            </w:r>
          </w:p>
        </w:tc>
        <w:tc>
          <w:tcPr>
            <w:tcW w:w="8367" w:type="dxa"/>
            <w:gridSpan w:val="3"/>
          </w:tcPr>
          <w:p w14:paraId="3B3361A8" w14:textId="77777777" w:rsidR="008B4402" w:rsidRPr="00C9343F" w:rsidRDefault="008B4402" w:rsidP="00F66D98">
            <w:pPr>
              <w:pStyle w:val="BlockText-Plain"/>
            </w:pPr>
            <w:r w:rsidRPr="00C9343F">
              <w:t>A person who meets both these conditions is the decision-maker for up to 20 consecutive working days of short absence.</w:t>
            </w:r>
          </w:p>
        </w:tc>
      </w:tr>
      <w:tr w:rsidR="008B4402" w:rsidRPr="00C9343F" w14:paraId="355B987A" w14:textId="77777777" w:rsidTr="00A12E26">
        <w:trPr>
          <w:cantSplit/>
        </w:trPr>
        <w:tc>
          <w:tcPr>
            <w:tcW w:w="992" w:type="dxa"/>
          </w:tcPr>
          <w:p w14:paraId="62FF5467" w14:textId="77777777" w:rsidR="008B4402" w:rsidRPr="00C9343F" w:rsidRDefault="008B4402" w:rsidP="00F66D98">
            <w:pPr>
              <w:pStyle w:val="BlockText-Plain"/>
            </w:pPr>
          </w:p>
        </w:tc>
        <w:tc>
          <w:tcPr>
            <w:tcW w:w="567" w:type="dxa"/>
          </w:tcPr>
          <w:p w14:paraId="7855D39F" w14:textId="77777777" w:rsidR="008B4402" w:rsidRPr="00C9343F" w:rsidRDefault="008B4402" w:rsidP="005849DD">
            <w:pPr>
              <w:pStyle w:val="BlockText-Plain"/>
              <w:jc w:val="center"/>
            </w:pPr>
            <w:r w:rsidRPr="00C9343F">
              <w:t>a.</w:t>
            </w:r>
          </w:p>
        </w:tc>
        <w:tc>
          <w:tcPr>
            <w:tcW w:w="7800" w:type="dxa"/>
            <w:gridSpan w:val="2"/>
          </w:tcPr>
          <w:p w14:paraId="0FA483A9" w14:textId="77777777" w:rsidR="008B4402" w:rsidRPr="00C9343F" w:rsidRDefault="008B4402" w:rsidP="00F66D98">
            <w:pPr>
              <w:pStyle w:val="BlockText-Plain"/>
            </w:pPr>
            <w:r w:rsidRPr="00C9343F">
              <w:t>They are in the member's direct chain of command or supervision.</w:t>
            </w:r>
          </w:p>
        </w:tc>
      </w:tr>
      <w:tr w:rsidR="008B4402" w:rsidRPr="00C9343F" w14:paraId="42C85830" w14:textId="77777777" w:rsidTr="00A12E26">
        <w:trPr>
          <w:cantSplit/>
        </w:trPr>
        <w:tc>
          <w:tcPr>
            <w:tcW w:w="992" w:type="dxa"/>
          </w:tcPr>
          <w:p w14:paraId="15F54EFF" w14:textId="77777777" w:rsidR="008B4402" w:rsidRPr="00C9343F" w:rsidRDefault="008B4402" w:rsidP="00F66D98">
            <w:pPr>
              <w:pStyle w:val="BlockText-Plain"/>
            </w:pPr>
          </w:p>
        </w:tc>
        <w:tc>
          <w:tcPr>
            <w:tcW w:w="567" w:type="dxa"/>
          </w:tcPr>
          <w:p w14:paraId="7EE45BD5" w14:textId="77777777" w:rsidR="008B4402" w:rsidRPr="00C9343F" w:rsidRDefault="008B4402" w:rsidP="005849DD">
            <w:pPr>
              <w:pStyle w:val="BlockText-Plain"/>
              <w:jc w:val="center"/>
            </w:pPr>
            <w:r w:rsidRPr="00C9343F">
              <w:t>b.</w:t>
            </w:r>
          </w:p>
        </w:tc>
        <w:tc>
          <w:tcPr>
            <w:tcW w:w="7800" w:type="dxa"/>
            <w:gridSpan w:val="2"/>
          </w:tcPr>
          <w:p w14:paraId="19A3FA5C" w14:textId="77777777" w:rsidR="008B4402" w:rsidRPr="00C9343F" w:rsidRDefault="008B4402" w:rsidP="00F66D98">
            <w:pPr>
              <w:pStyle w:val="BlockText-Plain"/>
            </w:pPr>
            <w:r w:rsidRPr="00C9343F">
              <w:t>They are not below the following rank or APS classification.</w:t>
            </w:r>
          </w:p>
        </w:tc>
      </w:tr>
      <w:tr w:rsidR="008B4402" w:rsidRPr="00C9343F" w14:paraId="5343943A" w14:textId="77777777" w:rsidTr="00A12E26">
        <w:trPr>
          <w:cantSplit/>
        </w:trPr>
        <w:tc>
          <w:tcPr>
            <w:tcW w:w="1559" w:type="dxa"/>
            <w:gridSpan w:val="2"/>
          </w:tcPr>
          <w:p w14:paraId="1AEC0F31" w14:textId="77777777" w:rsidR="008B4402" w:rsidRPr="00C9343F" w:rsidRDefault="008B4402" w:rsidP="00F66D98">
            <w:pPr>
              <w:pStyle w:val="BlockText-Plain"/>
            </w:pPr>
          </w:p>
        </w:tc>
        <w:tc>
          <w:tcPr>
            <w:tcW w:w="567" w:type="dxa"/>
          </w:tcPr>
          <w:p w14:paraId="6D0F97E6" w14:textId="77777777" w:rsidR="008B4402" w:rsidRPr="00C9343F" w:rsidRDefault="008B4402" w:rsidP="005849DD">
            <w:pPr>
              <w:pStyle w:val="BlockText-Plain"/>
            </w:pPr>
            <w:r w:rsidRPr="00C9343F">
              <w:t>i.</w:t>
            </w:r>
          </w:p>
        </w:tc>
        <w:tc>
          <w:tcPr>
            <w:tcW w:w="7233" w:type="dxa"/>
          </w:tcPr>
          <w:p w14:paraId="0A434F3D" w14:textId="77777777" w:rsidR="008B4402" w:rsidRPr="00C9343F" w:rsidRDefault="008B4402" w:rsidP="00F66D98">
            <w:pPr>
              <w:pStyle w:val="BlockText-Plain"/>
            </w:pPr>
            <w:r w:rsidRPr="00C9343F">
              <w:t>Brigadier.</w:t>
            </w:r>
          </w:p>
        </w:tc>
      </w:tr>
      <w:tr w:rsidR="008B4402" w:rsidRPr="00C9343F" w14:paraId="058BC202" w14:textId="77777777" w:rsidTr="00A12E26">
        <w:trPr>
          <w:cantSplit/>
        </w:trPr>
        <w:tc>
          <w:tcPr>
            <w:tcW w:w="1559" w:type="dxa"/>
            <w:gridSpan w:val="2"/>
          </w:tcPr>
          <w:p w14:paraId="629A5055" w14:textId="77777777" w:rsidR="008B4402" w:rsidRPr="00C9343F" w:rsidRDefault="008B4402" w:rsidP="00F66D98">
            <w:pPr>
              <w:pStyle w:val="BlockText-Plain"/>
            </w:pPr>
          </w:p>
        </w:tc>
        <w:tc>
          <w:tcPr>
            <w:tcW w:w="567" w:type="dxa"/>
          </w:tcPr>
          <w:p w14:paraId="5508AFDC" w14:textId="77777777" w:rsidR="008B4402" w:rsidRPr="00C9343F" w:rsidRDefault="008B4402" w:rsidP="005849DD">
            <w:pPr>
              <w:pStyle w:val="BlockText-Plain"/>
            </w:pPr>
            <w:r w:rsidRPr="00C9343F">
              <w:t>ii.</w:t>
            </w:r>
          </w:p>
        </w:tc>
        <w:tc>
          <w:tcPr>
            <w:tcW w:w="7233" w:type="dxa"/>
          </w:tcPr>
          <w:p w14:paraId="494F62BD" w14:textId="77777777" w:rsidR="008B4402" w:rsidRPr="00C9343F" w:rsidRDefault="008B4402" w:rsidP="00F66D98">
            <w:pPr>
              <w:pStyle w:val="BlockText-Plain"/>
            </w:pPr>
            <w:r w:rsidRPr="00C9343F">
              <w:t>SES Band 1.</w:t>
            </w:r>
          </w:p>
        </w:tc>
      </w:tr>
    </w:tbl>
    <w:p w14:paraId="5D9E75EE" w14:textId="6BE404F0" w:rsidR="008B4402" w:rsidRPr="00C9343F" w:rsidRDefault="008B4402" w:rsidP="00F66D98">
      <w:pPr>
        <w:pStyle w:val="Heading5"/>
      </w:pPr>
      <w:bookmarkStart w:id="2029" w:name="_Toc105054162"/>
      <w:r w:rsidRPr="00C9343F">
        <w:t>5.11.5</w:t>
      </w:r>
      <w:r w:rsidR="00D94006" w:rsidRPr="00C9343F">
        <w:t>    </w:t>
      </w:r>
      <w:r w:rsidRPr="00C9343F">
        <w:t>Approval of absence</w:t>
      </w:r>
      <w:bookmarkEnd w:id="2029"/>
      <w:r w:rsidRPr="00C9343F">
        <w:t xml:space="preserve"> </w:t>
      </w:r>
    </w:p>
    <w:tbl>
      <w:tblPr>
        <w:tblW w:w="9072" w:type="dxa"/>
        <w:tblInd w:w="108" w:type="dxa"/>
        <w:tblLayout w:type="fixed"/>
        <w:tblLook w:val="0000" w:firstRow="0" w:lastRow="0" w:firstColumn="0" w:lastColumn="0" w:noHBand="0" w:noVBand="0"/>
      </w:tblPr>
      <w:tblGrid>
        <w:gridCol w:w="996"/>
        <w:gridCol w:w="567"/>
        <w:gridCol w:w="567"/>
        <w:gridCol w:w="6942"/>
      </w:tblGrid>
      <w:tr w:rsidR="00C93394" w:rsidRPr="00C9343F" w14:paraId="669C630E" w14:textId="77777777" w:rsidTr="00B40FAF">
        <w:tc>
          <w:tcPr>
            <w:tcW w:w="996" w:type="dxa"/>
          </w:tcPr>
          <w:p w14:paraId="231F15F0" w14:textId="77777777" w:rsidR="00C93394" w:rsidRPr="00C9343F" w:rsidRDefault="00C93394" w:rsidP="00F66D98">
            <w:pPr>
              <w:spacing w:after="200"/>
              <w:jc w:val="center"/>
              <w:rPr>
                <w:rFonts w:ascii="Arial (W1)" w:hAnsi="Arial (W1)"/>
                <w:sz w:val="20"/>
              </w:rPr>
            </w:pPr>
            <w:r w:rsidRPr="00C9343F">
              <w:rPr>
                <w:rFonts w:ascii="Arial (W1)" w:hAnsi="Arial (W1)"/>
                <w:sz w:val="20"/>
              </w:rPr>
              <w:t>1.</w:t>
            </w:r>
          </w:p>
        </w:tc>
        <w:tc>
          <w:tcPr>
            <w:tcW w:w="8076" w:type="dxa"/>
            <w:gridSpan w:val="3"/>
          </w:tcPr>
          <w:p w14:paraId="7A994FEE" w14:textId="77777777" w:rsidR="00C93394" w:rsidRPr="00C9343F" w:rsidRDefault="00C93394" w:rsidP="00F66D98">
            <w:pPr>
              <w:spacing w:after="200"/>
              <w:rPr>
                <w:rFonts w:ascii="Arial (W1)" w:hAnsi="Arial (W1)"/>
                <w:sz w:val="20"/>
              </w:rPr>
            </w:pPr>
            <w:r w:rsidRPr="00C9343F">
              <w:rPr>
                <w:rFonts w:ascii="Arial (W1)" w:hAnsi="Arial (W1)"/>
                <w:sz w:val="20"/>
              </w:rPr>
              <w:t>A decision maker may grant a member short absence from duty if they consider that both the following conditions are met.</w:t>
            </w:r>
          </w:p>
        </w:tc>
      </w:tr>
      <w:tr w:rsidR="00C93394" w:rsidRPr="00C9343F" w14:paraId="2A750F42" w14:textId="77777777" w:rsidTr="00B40FAF">
        <w:trPr>
          <w:cantSplit/>
        </w:trPr>
        <w:tc>
          <w:tcPr>
            <w:tcW w:w="996" w:type="dxa"/>
          </w:tcPr>
          <w:p w14:paraId="18910B32" w14:textId="77777777" w:rsidR="00C93394" w:rsidRPr="00C9343F" w:rsidRDefault="00C93394" w:rsidP="00F66D98">
            <w:pPr>
              <w:pStyle w:val="BlockText-Plain"/>
              <w:rPr>
                <w:rFonts w:ascii="Arial (W1)" w:hAnsi="Arial (W1)"/>
              </w:rPr>
            </w:pPr>
          </w:p>
        </w:tc>
        <w:tc>
          <w:tcPr>
            <w:tcW w:w="567" w:type="dxa"/>
          </w:tcPr>
          <w:p w14:paraId="0F67415A" w14:textId="77777777" w:rsidR="00C93394" w:rsidRPr="00C9343F" w:rsidRDefault="00C93394" w:rsidP="005849DD">
            <w:pPr>
              <w:pStyle w:val="BlockText-Plain"/>
              <w:jc w:val="center"/>
              <w:rPr>
                <w:rFonts w:ascii="Arial (W1)" w:hAnsi="Arial (W1)"/>
              </w:rPr>
            </w:pPr>
            <w:r w:rsidRPr="00C9343F">
              <w:rPr>
                <w:rFonts w:ascii="Arial (W1)" w:hAnsi="Arial (W1)"/>
              </w:rPr>
              <w:t>a.</w:t>
            </w:r>
          </w:p>
        </w:tc>
        <w:tc>
          <w:tcPr>
            <w:tcW w:w="7509" w:type="dxa"/>
            <w:gridSpan w:val="2"/>
          </w:tcPr>
          <w:p w14:paraId="0742D86A" w14:textId="77777777" w:rsidR="00C93394" w:rsidRPr="00C9343F" w:rsidRDefault="00C93394" w:rsidP="00F66D98">
            <w:pPr>
              <w:pStyle w:val="BlockText-Plain"/>
              <w:rPr>
                <w:rFonts w:ascii="Arial (W1)" w:hAnsi="Arial (W1)"/>
              </w:rPr>
            </w:pPr>
            <w:r w:rsidRPr="00C9343F">
              <w:rPr>
                <w:rFonts w:ascii="Arial (W1)" w:hAnsi="Arial (W1)"/>
              </w:rPr>
              <w:t>The member needs the absence for either of the following reasons.</w:t>
            </w:r>
          </w:p>
        </w:tc>
      </w:tr>
      <w:tr w:rsidR="00C93394" w:rsidRPr="00C9343F" w14:paraId="30B36AB5" w14:textId="77777777" w:rsidTr="00B40FAF">
        <w:trPr>
          <w:cantSplit/>
        </w:trPr>
        <w:tc>
          <w:tcPr>
            <w:tcW w:w="1563" w:type="dxa"/>
            <w:gridSpan w:val="2"/>
          </w:tcPr>
          <w:p w14:paraId="67D72C05" w14:textId="77777777" w:rsidR="00C93394" w:rsidRPr="00C9343F" w:rsidRDefault="00C93394" w:rsidP="00F66D98">
            <w:pPr>
              <w:pStyle w:val="BlockText-Plain"/>
            </w:pPr>
          </w:p>
        </w:tc>
        <w:tc>
          <w:tcPr>
            <w:tcW w:w="567" w:type="dxa"/>
          </w:tcPr>
          <w:p w14:paraId="44C09BE0" w14:textId="77777777" w:rsidR="00C93394" w:rsidRPr="00C9343F" w:rsidRDefault="00C93394" w:rsidP="005849DD">
            <w:pPr>
              <w:pStyle w:val="BlockText-Plain"/>
            </w:pPr>
            <w:r w:rsidRPr="00C9343F">
              <w:t>i.</w:t>
            </w:r>
          </w:p>
        </w:tc>
        <w:tc>
          <w:tcPr>
            <w:tcW w:w="6942" w:type="dxa"/>
          </w:tcPr>
          <w:p w14:paraId="2C28B4F8" w14:textId="77777777" w:rsidR="00C93394" w:rsidRPr="00C9343F" w:rsidRDefault="00C93394" w:rsidP="00F66D98">
            <w:pPr>
              <w:pStyle w:val="BlockText-Plain"/>
            </w:pPr>
            <w:r w:rsidRPr="00C9343F">
              <w:t>To rest and recover from long or unusual duty.</w:t>
            </w:r>
          </w:p>
        </w:tc>
      </w:tr>
      <w:tr w:rsidR="00C93394" w:rsidRPr="00C9343F" w14:paraId="64423236" w14:textId="77777777" w:rsidTr="00B40FAF">
        <w:trPr>
          <w:cantSplit/>
        </w:trPr>
        <w:tc>
          <w:tcPr>
            <w:tcW w:w="1563" w:type="dxa"/>
            <w:gridSpan w:val="2"/>
          </w:tcPr>
          <w:p w14:paraId="6E1168B5" w14:textId="77777777" w:rsidR="00C93394" w:rsidRPr="00C9343F" w:rsidRDefault="00C93394" w:rsidP="00F66D98">
            <w:pPr>
              <w:pStyle w:val="BlockText-Plain"/>
            </w:pPr>
          </w:p>
        </w:tc>
        <w:tc>
          <w:tcPr>
            <w:tcW w:w="567" w:type="dxa"/>
          </w:tcPr>
          <w:p w14:paraId="2CEAE87B" w14:textId="77777777" w:rsidR="00C93394" w:rsidRPr="00C9343F" w:rsidRDefault="00C93394" w:rsidP="005849DD">
            <w:pPr>
              <w:pStyle w:val="BlockText-Plain"/>
            </w:pPr>
            <w:r w:rsidRPr="00C9343F">
              <w:t>ii.</w:t>
            </w:r>
          </w:p>
        </w:tc>
        <w:tc>
          <w:tcPr>
            <w:tcW w:w="6942" w:type="dxa"/>
          </w:tcPr>
          <w:p w14:paraId="4AE592EC" w14:textId="77777777" w:rsidR="00C93394" w:rsidRPr="00C9343F" w:rsidRDefault="00C93394" w:rsidP="00F66D98">
            <w:pPr>
              <w:pStyle w:val="BlockText-Plain"/>
            </w:pPr>
            <w:r w:rsidRPr="00C9343F">
              <w:t>To attend to urgent personal matters. This is only if Service requirements prevent the member from dealing with the matter without the short absence.</w:t>
            </w:r>
          </w:p>
        </w:tc>
      </w:tr>
      <w:tr w:rsidR="00C93394" w:rsidRPr="00C9343F" w14:paraId="6F44FF9C" w14:textId="77777777" w:rsidTr="00B40FAF">
        <w:trPr>
          <w:cantSplit/>
        </w:trPr>
        <w:tc>
          <w:tcPr>
            <w:tcW w:w="996" w:type="dxa"/>
          </w:tcPr>
          <w:p w14:paraId="305E40B5" w14:textId="77777777" w:rsidR="00C93394" w:rsidRPr="00C9343F" w:rsidRDefault="00C93394" w:rsidP="00F66D98">
            <w:pPr>
              <w:pStyle w:val="BlockText-Plain"/>
              <w:rPr>
                <w:rFonts w:ascii="Arial (W1)" w:hAnsi="Arial (W1)"/>
              </w:rPr>
            </w:pPr>
          </w:p>
        </w:tc>
        <w:tc>
          <w:tcPr>
            <w:tcW w:w="567" w:type="dxa"/>
          </w:tcPr>
          <w:p w14:paraId="2AE524C4" w14:textId="77777777" w:rsidR="00C93394" w:rsidRPr="00C9343F" w:rsidRDefault="00C93394" w:rsidP="005849DD">
            <w:pPr>
              <w:pStyle w:val="BlockText-Plain"/>
              <w:jc w:val="center"/>
              <w:rPr>
                <w:rFonts w:ascii="Arial (W1)" w:hAnsi="Arial (W1)"/>
              </w:rPr>
            </w:pPr>
            <w:r w:rsidRPr="00C9343F">
              <w:rPr>
                <w:rFonts w:ascii="Arial (W1)" w:hAnsi="Arial (W1)"/>
              </w:rPr>
              <w:t>b.</w:t>
            </w:r>
          </w:p>
        </w:tc>
        <w:tc>
          <w:tcPr>
            <w:tcW w:w="7509" w:type="dxa"/>
            <w:gridSpan w:val="2"/>
          </w:tcPr>
          <w:p w14:paraId="33C031D8" w14:textId="77777777" w:rsidR="00C93394" w:rsidRPr="00C9343F" w:rsidRDefault="00C93394" w:rsidP="00F66D98">
            <w:pPr>
              <w:pStyle w:val="BlockText-Plain"/>
              <w:rPr>
                <w:rFonts w:ascii="Arial (W1)" w:hAnsi="Arial (W1)"/>
              </w:rPr>
            </w:pPr>
            <w:r w:rsidRPr="00C9343F">
              <w:rPr>
                <w:rFonts w:ascii="Arial (W1)" w:hAnsi="Arial (W1)"/>
              </w:rPr>
              <w:t>There is no form of leave that can reasonably be used to provide the member with leave for the period. In considering what is reasonable the following considerations are relevant.</w:t>
            </w:r>
          </w:p>
        </w:tc>
      </w:tr>
      <w:tr w:rsidR="00C93394" w:rsidRPr="00C9343F" w14:paraId="5AFD5115" w14:textId="77777777" w:rsidTr="00B40FAF">
        <w:trPr>
          <w:cantSplit/>
        </w:trPr>
        <w:tc>
          <w:tcPr>
            <w:tcW w:w="1563" w:type="dxa"/>
            <w:gridSpan w:val="2"/>
          </w:tcPr>
          <w:p w14:paraId="450F0333" w14:textId="77777777" w:rsidR="00C93394" w:rsidRPr="00C9343F" w:rsidRDefault="00C93394" w:rsidP="00F66D98">
            <w:pPr>
              <w:pStyle w:val="BlockText-Plain"/>
              <w:rPr>
                <w:rFonts w:ascii="Arial (W1)" w:hAnsi="Arial (W1)"/>
              </w:rPr>
            </w:pPr>
          </w:p>
        </w:tc>
        <w:tc>
          <w:tcPr>
            <w:tcW w:w="567" w:type="dxa"/>
          </w:tcPr>
          <w:p w14:paraId="6BFA9B5C" w14:textId="77777777" w:rsidR="00C93394" w:rsidRPr="00C9343F" w:rsidRDefault="00C93394" w:rsidP="005849DD">
            <w:pPr>
              <w:pStyle w:val="BlockText-Plain"/>
              <w:rPr>
                <w:rFonts w:ascii="Arial (W1)" w:hAnsi="Arial (W1)"/>
              </w:rPr>
            </w:pPr>
            <w:r w:rsidRPr="00C9343F">
              <w:rPr>
                <w:rFonts w:ascii="Arial (W1)" w:hAnsi="Arial (W1)"/>
              </w:rPr>
              <w:t>i.</w:t>
            </w:r>
          </w:p>
        </w:tc>
        <w:tc>
          <w:tcPr>
            <w:tcW w:w="6942" w:type="dxa"/>
          </w:tcPr>
          <w:p w14:paraId="0826FE7A" w14:textId="77777777" w:rsidR="00C93394" w:rsidRPr="00C9343F" w:rsidRDefault="00C93394" w:rsidP="00F66D98">
            <w:pPr>
              <w:pStyle w:val="BlockText-Plain"/>
              <w:rPr>
                <w:rFonts w:ascii="Arial (W1)" w:hAnsi="Arial (W1)"/>
              </w:rPr>
            </w:pPr>
            <w:r w:rsidRPr="00C9343F">
              <w:rPr>
                <w:rFonts w:ascii="Arial (W1)" w:hAnsi="Arial (W1)"/>
              </w:rPr>
              <w:t>It is not reasonable to grant a member short absence from duty for an urgent personal matter if the member has recreation or other paid leave available.</w:t>
            </w:r>
          </w:p>
        </w:tc>
      </w:tr>
      <w:tr w:rsidR="00C93394" w:rsidRPr="00C9343F" w14:paraId="4C48FFC7" w14:textId="77777777" w:rsidTr="00B40FAF">
        <w:trPr>
          <w:cantSplit/>
        </w:trPr>
        <w:tc>
          <w:tcPr>
            <w:tcW w:w="1563" w:type="dxa"/>
            <w:gridSpan w:val="2"/>
          </w:tcPr>
          <w:p w14:paraId="431C6666" w14:textId="77777777" w:rsidR="00C93394" w:rsidRPr="00C9343F" w:rsidRDefault="00C93394" w:rsidP="00F66D98">
            <w:pPr>
              <w:pStyle w:val="BlockText-Plain"/>
              <w:rPr>
                <w:rFonts w:ascii="Arial (W1)" w:hAnsi="Arial (W1)"/>
              </w:rPr>
            </w:pPr>
          </w:p>
        </w:tc>
        <w:tc>
          <w:tcPr>
            <w:tcW w:w="567" w:type="dxa"/>
          </w:tcPr>
          <w:p w14:paraId="339133BE" w14:textId="77777777" w:rsidR="00C93394" w:rsidRPr="00C9343F" w:rsidRDefault="00C93394" w:rsidP="005849DD">
            <w:pPr>
              <w:pStyle w:val="BlockText-Plain"/>
              <w:rPr>
                <w:rFonts w:ascii="Arial (W1)" w:hAnsi="Arial (W1)"/>
              </w:rPr>
            </w:pPr>
            <w:r w:rsidRPr="00C9343F">
              <w:rPr>
                <w:rFonts w:ascii="Arial (W1)" w:hAnsi="Arial (W1)"/>
              </w:rPr>
              <w:t>ii.</w:t>
            </w:r>
          </w:p>
        </w:tc>
        <w:tc>
          <w:tcPr>
            <w:tcW w:w="6942" w:type="dxa"/>
          </w:tcPr>
          <w:p w14:paraId="563BB985" w14:textId="47D07120" w:rsidR="00C93394" w:rsidRPr="00C9343F" w:rsidRDefault="00C93394" w:rsidP="00F66D98">
            <w:pPr>
              <w:pStyle w:val="BlockText-Plain"/>
              <w:rPr>
                <w:rFonts w:ascii="Arial (W1)" w:hAnsi="Arial (W1)"/>
              </w:rPr>
            </w:pPr>
            <w:r w:rsidRPr="00C9343F">
              <w:rPr>
                <w:rFonts w:ascii="Arial (W1)" w:hAnsi="Arial (W1)"/>
              </w:rPr>
              <w:t>Leave without pay does not need to be considered.</w:t>
            </w:r>
          </w:p>
        </w:tc>
      </w:tr>
      <w:tr w:rsidR="00C93394" w:rsidRPr="00C9343F" w14:paraId="26C38645" w14:textId="77777777" w:rsidTr="00B40FAF">
        <w:trPr>
          <w:cantSplit/>
        </w:trPr>
        <w:tc>
          <w:tcPr>
            <w:tcW w:w="1563" w:type="dxa"/>
            <w:gridSpan w:val="2"/>
          </w:tcPr>
          <w:p w14:paraId="278954AE" w14:textId="77777777" w:rsidR="00C93394" w:rsidRPr="00C9343F" w:rsidRDefault="00C93394" w:rsidP="00F66D98">
            <w:pPr>
              <w:pStyle w:val="BlockText-Plain"/>
              <w:rPr>
                <w:rFonts w:ascii="Arial (W1)" w:hAnsi="Arial (W1)"/>
              </w:rPr>
            </w:pPr>
          </w:p>
        </w:tc>
        <w:tc>
          <w:tcPr>
            <w:tcW w:w="567" w:type="dxa"/>
          </w:tcPr>
          <w:p w14:paraId="5A825374" w14:textId="77777777" w:rsidR="00C93394" w:rsidRPr="00C9343F" w:rsidRDefault="00C93394" w:rsidP="005849DD">
            <w:pPr>
              <w:pStyle w:val="BlockText-Plain"/>
              <w:rPr>
                <w:rFonts w:ascii="Arial (W1)" w:hAnsi="Arial (W1)"/>
              </w:rPr>
            </w:pPr>
            <w:r w:rsidRPr="00C9343F">
              <w:rPr>
                <w:rFonts w:ascii="Arial (W1)" w:hAnsi="Arial (W1)"/>
              </w:rPr>
              <w:t>iii.</w:t>
            </w:r>
          </w:p>
        </w:tc>
        <w:tc>
          <w:tcPr>
            <w:tcW w:w="6942" w:type="dxa"/>
          </w:tcPr>
          <w:p w14:paraId="54C8647A" w14:textId="77777777" w:rsidR="00C93394" w:rsidRPr="00C9343F" w:rsidRDefault="00C93394" w:rsidP="00F66D98">
            <w:pPr>
              <w:pStyle w:val="BlockText-Plain"/>
              <w:rPr>
                <w:rFonts w:ascii="Arial (W1)" w:hAnsi="Arial (W1)"/>
              </w:rPr>
            </w:pPr>
            <w:r w:rsidRPr="00C9343F">
              <w:rPr>
                <w:rFonts w:ascii="Arial (W1)" w:hAnsi="Arial (W1)"/>
              </w:rPr>
              <w:t>Any other factors relevant to the reasonable use of leave.</w:t>
            </w:r>
          </w:p>
        </w:tc>
      </w:tr>
      <w:tr w:rsidR="00C93394" w:rsidRPr="00C9343F" w14:paraId="081FA479" w14:textId="77777777" w:rsidTr="00B40FAF">
        <w:tc>
          <w:tcPr>
            <w:tcW w:w="996" w:type="dxa"/>
          </w:tcPr>
          <w:p w14:paraId="5D1166D0" w14:textId="77777777" w:rsidR="00C93394" w:rsidRPr="00C9343F" w:rsidRDefault="00C93394" w:rsidP="00F66D98">
            <w:pPr>
              <w:pStyle w:val="BlockText-Plain"/>
              <w:jc w:val="center"/>
            </w:pPr>
            <w:r w:rsidRPr="00C9343F">
              <w:t>2.</w:t>
            </w:r>
          </w:p>
        </w:tc>
        <w:tc>
          <w:tcPr>
            <w:tcW w:w="8076" w:type="dxa"/>
            <w:gridSpan w:val="3"/>
          </w:tcPr>
          <w:p w14:paraId="7FA2157F" w14:textId="77777777" w:rsidR="00C93394" w:rsidRPr="00C9343F" w:rsidRDefault="00C93394" w:rsidP="00F66D98">
            <w:pPr>
              <w:pStyle w:val="BlockText-Plain"/>
            </w:pPr>
            <w:r w:rsidRPr="00C9343F">
              <w:t>Short absence from duty may not be granted for a period immediately before or after a period of recreation leave unless either of the following conditions are met.</w:t>
            </w:r>
          </w:p>
        </w:tc>
      </w:tr>
      <w:tr w:rsidR="00C93394" w:rsidRPr="00C9343F" w14:paraId="55718125" w14:textId="77777777" w:rsidTr="00B40FAF">
        <w:trPr>
          <w:cantSplit/>
        </w:trPr>
        <w:tc>
          <w:tcPr>
            <w:tcW w:w="996" w:type="dxa"/>
          </w:tcPr>
          <w:p w14:paraId="40F568D5" w14:textId="77777777" w:rsidR="00C93394" w:rsidRPr="00C9343F" w:rsidRDefault="00C93394" w:rsidP="00F66D98">
            <w:pPr>
              <w:pStyle w:val="BlockText-Plain"/>
            </w:pPr>
          </w:p>
        </w:tc>
        <w:tc>
          <w:tcPr>
            <w:tcW w:w="567" w:type="dxa"/>
          </w:tcPr>
          <w:p w14:paraId="21C39A08" w14:textId="77777777" w:rsidR="00C93394" w:rsidRPr="00C9343F" w:rsidRDefault="00C93394" w:rsidP="005849DD">
            <w:pPr>
              <w:pStyle w:val="BlockText-Plain"/>
              <w:jc w:val="center"/>
            </w:pPr>
            <w:r w:rsidRPr="00C9343F">
              <w:t>a.</w:t>
            </w:r>
          </w:p>
        </w:tc>
        <w:tc>
          <w:tcPr>
            <w:tcW w:w="7509" w:type="dxa"/>
            <w:gridSpan w:val="2"/>
          </w:tcPr>
          <w:p w14:paraId="67F8F8E6" w14:textId="77777777" w:rsidR="00C93394" w:rsidRPr="00C9343F" w:rsidRDefault="00C93394" w:rsidP="00F66D98">
            <w:pPr>
              <w:pStyle w:val="BlockText-Plain"/>
            </w:pPr>
            <w:r w:rsidRPr="00C9343F">
              <w:t>The decision maker considers that exceptional circumstances apply.</w:t>
            </w:r>
          </w:p>
        </w:tc>
      </w:tr>
      <w:tr w:rsidR="00C93394" w:rsidRPr="00C9343F" w14:paraId="0B9460A3" w14:textId="77777777" w:rsidTr="00B40FAF">
        <w:trPr>
          <w:cantSplit/>
        </w:trPr>
        <w:tc>
          <w:tcPr>
            <w:tcW w:w="996" w:type="dxa"/>
          </w:tcPr>
          <w:p w14:paraId="7E74505D" w14:textId="77777777" w:rsidR="00C93394" w:rsidRPr="00C9343F" w:rsidRDefault="00C93394" w:rsidP="00F66D98">
            <w:pPr>
              <w:pStyle w:val="BlockText-Plain"/>
            </w:pPr>
          </w:p>
        </w:tc>
        <w:tc>
          <w:tcPr>
            <w:tcW w:w="567" w:type="dxa"/>
          </w:tcPr>
          <w:p w14:paraId="4F3BFD84" w14:textId="77777777" w:rsidR="00C93394" w:rsidRPr="00C9343F" w:rsidRDefault="00C93394" w:rsidP="005849DD">
            <w:pPr>
              <w:pStyle w:val="BlockText-Plain"/>
              <w:jc w:val="center"/>
            </w:pPr>
            <w:r w:rsidRPr="00C9343F">
              <w:t>b.</w:t>
            </w:r>
          </w:p>
        </w:tc>
        <w:tc>
          <w:tcPr>
            <w:tcW w:w="7509" w:type="dxa"/>
            <w:gridSpan w:val="2"/>
          </w:tcPr>
          <w:p w14:paraId="0FA36CDF" w14:textId="409C5E6E" w:rsidR="00C93394" w:rsidRPr="00C9343F" w:rsidRDefault="00C93394" w:rsidP="00F66D98">
            <w:pPr>
              <w:pStyle w:val="BlockText-Plain"/>
            </w:pPr>
            <w:r w:rsidRPr="00C9343F">
              <w:t>Section 5.11.6 applies.</w:t>
            </w:r>
          </w:p>
        </w:tc>
      </w:tr>
      <w:tr w:rsidR="00C93394" w:rsidRPr="00C9343F" w14:paraId="763D58AA" w14:textId="77777777" w:rsidTr="00B40FAF">
        <w:tc>
          <w:tcPr>
            <w:tcW w:w="996" w:type="dxa"/>
          </w:tcPr>
          <w:p w14:paraId="564BF47A" w14:textId="77777777" w:rsidR="00C93394" w:rsidRPr="00C9343F" w:rsidRDefault="00C93394" w:rsidP="00F66D98">
            <w:pPr>
              <w:pStyle w:val="BlockText-Plain"/>
              <w:jc w:val="center"/>
            </w:pPr>
            <w:r w:rsidRPr="00C9343F">
              <w:t>3.</w:t>
            </w:r>
          </w:p>
        </w:tc>
        <w:tc>
          <w:tcPr>
            <w:tcW w:w="8076" w:type="dxa"/>
            <w:gridSpan w:val="3"/>
          </w:tcPr>
          <w:p w14:paraId="3AEECD0E" w14:textId="77777777" w:rsidR="00C93394" w:rsidRPr="00C9343F" w:rsidRDefault="00C93394" w:rsidP="00F66D98">
            <w:pPr>
              <w:pStyle w:val="BlockText-Plain"/>
            </w:pPr>
            <w:r w:rsidRPr="00C9343F">
              <w:t>If a member is on a flexible service determination, leave under this Part can only be granted a short absence from duty for a period during the member's pattern of service.</w:t>
            </w:r>
          </w:p>
        </w:tc>
      </w:tr>
    </w:tbl>
    <w:p w14:paraId="2A7F7602" w14:textId="0527751B" w:rsidR="008B4402" w:rsidRPr="00C9343F" w:rsidRDefault="008B4402" w:rsidP="00F66D98">
      <w:pPr>
        <w:pStyle w:val="Heading5"/>
      </w:pPr>
      <w:bookmarkStart w:id="2030" w:name="_Toc105054163"/>
      <w:r w:rsidRPr="00C9343F">
        <w:t>5.11.6</w:t>
      </w:r>
      <w:r w:rsidR="00D94006" w:rsidRPr="00C9343F">
        <w:t>    </w:t>
      </w:r>
      <w:r w:rsidRPr="00C9343F">
        <w:t>Short absence from duty and additional recreation leave</w:t>
      </w:r>
      <w:bookmarkEnd w:id="2030"/>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51D3FA3E" w14:textId="77777777" w:rsidTr="00BA7BB6">
        <w:tc>
          <w:tcPr>
            <w:tcW w:w="992" w:type="dxa"/>
          </w:tcPr>
          <w:p w14:paraId="76DEF521" w14:textId="77777777" w:rsidR="008B4402" w:rsidRPr="00C9343F" w:rsidRDefault="008B4402" w:rsidP="00F66D98">
            <w:pPr>
              <w:pStyle w:val="BlockText-Plain"/>
              <w:jc w:val="center"/>
            </w:pPr>
            <w:r w:rsidRPr="00C9343F">
              <w:t>1.</w:t>
            </w:r>
          </w:p>
        </w:tc>
        <w:tc>
          <w:tcPr>
            <w:tcW w:w="8363" w:type="dxa"/>
            <w:gridSpan w:val="2"/>
          </w:tcPr>
          <w:p w14:paraId="626EDAFD" w14:textId="77777777" w:rsidR="008B4402" w:rsidRPr="00C9343F" w:rsidRDefault="008B4402" w:rsidP="00F66D98">
            <w:pPr>
              <w:pStyle w:val="BlockText-Plain"/>
            </w:pPr>
            <w:r w:rsidRPr="00C9343F">
              <w:t>The additional conditions in this section apply if short absence is sought in relation to activity for which a member was granted additional recreation leave.</w:t>
            </w:r>
          </w:p>
        </w:tc>
      </w:tr>
      <w:tr w:rsidR="008B4402" w:rsidRPr="00C9343F" w14:paraId="5A71D484" w14:textId="77777777" w:rsidTr="00BA7BB6">
        <w:tc>
          <w:tcPr>
            <w:tcW w:w="992" w:type="dxa"/>
          </w:tcPr>
          <w:p w14:paraId="4C3410A9" w14:textId="77777777" w:rsidR="008B4402" w:rsidRPr="00C9343F" w:rsidRDefault="008B4402" w:rsidP="00F66D98">
            <w:pPr>
              <w:pStyle w:val="BlockText-Plain"/>
              <w:jc w:val="center"/>
            </w:pPr>
            <w:r w:rsidRPr="00C9343F">
              <w:t>2.</w:t>
            </w:r>
          </w:p>
        </w:tc>
        <w:tc>
          <w:tcPr>
            <w:tcW w:w="8363" w:type="dxa"/>
            <w:gridSpan w:val="2"/>
          </w:tcPr>
          <w:p w14:paraId="04701211" w14:textId="77777777" w:rsidR="008B4402" w:rsidRPr="00C9343F" w:rsidRDefault="008B4402" w:rsidP="00F66D98">
            <w:pPr>
              <w:pStyle w:val="BlockText-Plain"/>
            </w:pPr>
            <w:r w:rsidRPr="00C9343F">
              <w:t>Short absence from duty may not be granted for the member to recover from the activity, unless both the following conditions are met.</w:t>
            </w:r>
          </w:p>
        </w:tc>
      </w:tr>
      <w:tr w:rsidR="008B4402" w:rsidRPr="00C9343F" w14:paraId="30D61D8B" w14:textId="77777777" w:rsidTr="00BA7BB6">
        <w:trPr>
          <w:cantSplit/>
        </w:trPr>
        <w:tc>
          <w:tcPr>
            <w:tcW w:w="992" w:type="dxa"/>
          </w:tcPr>
          <w:p w14:paraId="5BF2AA96" w14:textId="77777777" w:rsidR="008B4402" w:rsidRPr="00C9343F" w:rsidRDefault="008B4402" w:rsidP="00F66D98">
            <w:pPr>
              <w:pStyle w:val="BlockText-Plain"/>
            </w:pPr>
          </w:p>
        </w:tc>
        <w:tc>
          <w:tcPr>
            <w:tcW w:w="567" w:type="dxa"/>
          </w:tcPr>
          <w:p w14:paraId="07872625" w14:textId="77777777" w:rsidR="008B4402" w:rsidRPr="00C9343F" w:rsidRDefault="008B4402" w:rsidP="005849DD">
            <w:pPr>
              <w:pStyle w:val="BlockText-Plain"/>
              <w:jc w:val="center"/>
            </w:pPr>
            <w:r w:rsidRPr="00C9343F">
              <w:t>a.</w:t>
            </w:r>
          </w:p>
        </w:tc>
        <w:tc>
          <w:tcPr>
            <w:tcW w:w="7796" w:type="dxa"/>
          </w:tcPr>
          <w:p w14:paraId="66CF1143" w14:textId="77777777" w:rsidR="008B4402" w:rsidRPr="00C9343F" w:rsidRDefault="008B4402" w:rsidP="00F66D98">
            <w:pPr>
              <w:pStyle w:val="BlockText-Plain"/>
            </w:pPr>
            <w:r w:rsidRPr="00C9343F">
              <w:t>The member will use all the additional recreation leave before the member takes the short absence from duty.</w:t>
            </w:r>
          </w:p>
        </w:tc>
      </w:tr>
      <w:tr w:rsidR="008B4402" w:rsidRPr="00C9343F" w14:paraId="726CA723" w14:textId="77777777" w:rsidTr="00BA7BB6">
        <w:trPr>
          <w:cantSplit/>
        </w:trPr>
        <w:tc>
          <w:tcPr>
            <w:tcW w:w="992" w:type="dxa"/>
          </w:tcPr>
          <w:p w14:paraId="21382E0C" w14:textId="77777777" w:rsidR="008B4402" w:rsidRPr="00C9343F" w:rsidRDefault="008B4402" w:rsidP="00F66D98">
            <w:pPr>
              <w:pStyle w:val="BlockText-Plain"/>
            </w:pPr>
          </w:p>
        </w:tc>
        <w:tc>
          <w:tcPr>
            <w:tcW w:w="567" w:type="dxa"/>
          </w:tcPr>
          <w:p w14:paraId="034B3FF4" w14:textId="77777777" w:rsidR="008B4402" w:rsidRPr="00C9343F" w:rsidRDefault="008B4402" w:rsidP="005849DD">
            <w:pPr>
              <w:pStyle w:val="BlockText-Plain"/>
              <w:jc w:val="center"/>
            </w:pPr>
            <w:r w:rsidRPr="00C9343F">
              <w:t>b.</w:t>
            </w:r>
          </w:p>
        </w:tc>
        <w:tc>
          <w:tcPr>
            <w:tcW w:w="7796" w:type="dxa"/>
          </w:tcPr>
          <w:p w14:paraId="78E132F4" w14:textId="77777777" w:rsidR="008B4402" w:rsidRPr="00C9343F" w:rsidRDefault="008B4402" w:rsidP="00F66D98">
            <w:pPr>
              <w:pStyle w:val="BlockText-Plain"/>
            </w:pPr>
            <w:r w:rsidRPr="00C9343F">
              <w:t>The decision-maker believes the additional recreation leave is not enough for the member to recover from the rigours of the activity.</w:t>
            </w:r>
          </w:p>
        </w:tc>
      </w:tr>
      <w:tr w:rsidR="00BA7BB6" w:rsidRPr="00C9343F" w14:paraId="11D39525" w14:textId="77777777" w:rsidTr="00BA7BB6">
        <w:tc>
          <w:tcPr>
            <w:tcW w:w="992" w:type="dxa"/>
          </w:tcPr>
          <w:p w14:paraId="681F6756" w14:textId="7A225BBD" w:rsidR="00BA7BB6" w:rsidRPr="00C9343F" w:rsidRDefault="00BA7BB6" w:rsidP="00F66D98">
            <w:pPr>
              <w:pStyle w:val="BlockText-Plain"/>
              <w:jc w:val="center"/>
            </w:pPr>
            <w:r w:rsidRPr="00C9343F">
              <w:t>3.</w:t>
            </w:r>
          </w:p>
        </w:tc>
        <w:tc>
          <w:tcPr>
            <w:tcW w:w="8363" w:type="dxa"/>
            <w:gridSpan w:val="2"/>
          </w:tcPr>
          <w:p w14:paraId="17CC4083" w14:textId="4020E8A7" w:rsidR="00BA7BB6" w:rsidRPr="00C9343F" w:rsidRDefault="00BA7BB6" w:rsidP="00F66D98">
            <w:pPr>
              <w:pStyle w:val="BlockText-Plain"/>
              <w:rPr>
                <w:b/>
              </w:rPr>
            </w:pPr>
            <w:r w:rsidRPr="00C9343F">
              <w:rPr>
                <w:iCs/>
              </w:rPr>
              <w:t xml:space="preserve">Before a member is granted short absence from duty with additional recreation leave section 5.11.5 must also be met. </w:t>
            </w:r>
          </w:p>
        </w:tc>
      </w:tr>
    </w:tbl>
    <w:p w14:paraId="7D0D5EB7" w14:textId="39D22A30" w:rsidR="008B4402" w:rsidRPr="00C9343F" w:rsidRDefault="008B4402" w:rsidP="00F66D98">
      <w:pPr>
        <w:pStyle w:val="Heading5"/>
      </w:pPr>
      <w:bookmarkStart w:id="2031" w:name="_Toc105054164"/>
      <w:r w:rsidRPr="00C9343F">
        <w:t>5.11.7</w:t>
      </w:r>
      <w:r w:rsidR="00D94006" w:rsidRPr="00C9343F">
        <w:t>    </w:t>
      </w:r>
      <w:r w:rsidRPr="00C9343F">
        <w:t>Conditions on grant of absence</w:t>
      </w:r>
      <w:bookmarkEnd w:id="2031"/>
      <w:r w:rsidRPr="00C9343F">
        <w:t xml:space="preserve"> </w:t>
      </w:r>
    </w:p>
    <w:tbl>
      <w:tblPr>
        <w:tblW w:w="9386" w:type="dxa"/>
        <w:tblInd w:w="108" w:type="dxa"/>
        <w:tblLayout w:type="fixed"/>
        <w:tblLook w:val="0000" w:firstRow="0" w:lastRow="0" w:firstColumn="0" w:lastColumn="0" w:noHBand="0" w:noVBand="0"/>
      </w:tblPr>
      <w:tblGrid>
        <w:gridCol w:w="999"/>
        <w:gridCol w:w="8387"/>
      </w:tblGrid>
      <w:tr w:rsidR="008B4402" w:rsidRPr="00C9343F" w14:paraId="0736886F" w14:textId="77777777" w:rsidTr="008B4402">
        <w:tc>
          <w:tcPr>
            <w:tcW w:w="999" w:type="dxa"/>
          </w:tcPr>
          <w:p w14:paraId="04F78E1E" w14:textId="77777777" w:rsidR="008B4402" w:rsidRPr="00C9343F" w:rsidRDefault="008B4402" w:rsidP="00F66D98">
            <w:pPr>
              <w:pStyle w:val="BlockText-Plain"/>
              <w:jc w:val="center"/>
            </w:pPr>
            <w:r w:rsidRPr="00C9343F">
              <w:t>1.</w:t>
            </w:r>
          </w:p>
        </w:tc>
        <w:tc>
          <w:tcPr>
            <w:tcW w:w="8387" w:type="dxa"/>
          </w:tcPr>
          <w:p w14:paraId="18516FB1" w14:textId="683CC6AD" w:rsidR="008B4402" w:rsidRPr="00C9343F" w:rsidRDefault="008B4402" w:rsidP="00F66D98">
            <w:pPr>
              <w:pStyle w:val="BlockText-Plain"/>
            </w:pPr>
            <w:r w:rsidRPr="00C9343F">
              <w:t>If short absence from duty is granted in relation to a Service event or activity, it must be taken as soon as Service requirements allow after the event or activity.</w:t>
            </w:r>
          </w:p>
        </w:tc>
      </w:tr>
      <w:tr w:rsidR="008B4402" w:rsidRPr="00C9343F" w14:paraId="07CDF532" w14:textId="77777777" w:rsidTr="008B4402">
        <w:tc>
          <w:tcPr>
            <w:tcW w:w="999" w:type="dxa"/>
          </w:tcPr>
          <w:p w14:paraId="695544A9" w14:textId="77777777" w:rsidR="008B4402" w:rsidRPr="00C9343F" w:rsidRDefault="008B4402" w:rsidP="00F66D98">
            <w:pPr>
              <w:pStyle w:val="BlockText-Plain"/>
              <w:jc w:val="center"/>
            </w:pPr>
            <w:r w:rsidRPr="00C9343F">
              <w:t>2.</w:t>
            </w:r>
          </w:p>
        </w:tc>
        <w:tc>
          <w:tcPr>
            <w:tcW w:w="8387" w:type="dxa"/>
          </w:tcPr>
          <w:p w14:paraId="0737EEB9" w14:textId="77777777" w:rsidR="008B4402" w:rsidRPr="00C9343F" w:rsidRDefault="008B4402" w:rsidP="00F66D98">
            <w:pPr>
              <w:pStyle w:val="BlockText-Plain"/>
            </w:pPr>
            <w:r w:rsidRPr="00C9343F">
              <w:t>Two periods of short absence from duty are not to be granted for one event.</w:t>
            </w:r>
          </w:p>
        </w:tc>
      </w:tr>
      <w:tr w:rsidR="008B4402" w:rsidRPr="00C9343F" w14:paraId="0F29C31B" w14:textId="77777777" w:rsidTr="008B4402">
        <w:tc>
          <w:tcPr>
            <w:tcW w:w="999" w:type="dxa"/>
          </w:tcPr>
          <w:p w14:paraId="0344254E" w14:textId="77777777" w:rsidR="008B4402" w:rsidRPr="00C9343F" w:rsidRDefault="008B4402" w:rsidP="00F66D98">
            <w:pPr>
              <w:pStyle w:val="BlockText-Plain"/>
              <w:jc w:val="center"/>
            </w:pPr>
            <w:r w:rsidRPr="00C9343F">
              <w:t>3.</w:t>
            </w:r>
          </w:p>
        </w:tc>
        <w:tc>
          <w:tcPr>
            <w:tcW w:w="8387" w:type="dxa"/>
          </w:tcPr>
          <w:p w14:paraId="6857E645" w14:textId="77777777" w:rsidR="008B4402" w:rsidRPr="00C9343F" w:rsidRDefault="008B4402" w:rsidP="00F66D98">
            <w:pPr>
              <w:pStyle w:val="BlockText-Plain"/>
            </w:pPr>
            <w:r w:rsidRPr="00C9343F">
              <w:t>The member or their supervisor must record any period of short absence from duty that is one day or more on PMKeyS. Recording the short absence from duty may be done before or after the period of absence.</w:t>
            </w:r>
          </w:p>
        </w:tc>
      </w:tr>
      <w:tr w:rsidR="008B4402" w:rsidRPr="00C9343F" w14:paraId="6F7DBDEB" w14:textId="77777777" w:rsidTr="008B4402">
        <w:tc>
          <w:tcPr>
            <w:tcW w:w="999" w:type="dxa"/>
          </w:tcPr>
          <w:p w14:paraId="502EABB7" w14:textId="77777777" w:rsidR="008B4402" w:rsidRPr="00C9343F" w:rsidRDefault="008B4402" w:rsidP="00F66D98">
            <w:pPr>
              <w:pStyle w:val="BlockText-Plain"/>
              <w:jc w:val="center"/>
            </w:pPr>
            <w:r w:rsidRPr="00C9343F">
              <w:t>4.</w:t>
            </w:r>
          </w:p>
        </w:tc>
        <w:tc>
          <w:tcPr>
            <w:tcW w:w="8387" w:type="dxa"/>
          </w:tcPr>
          <w:p w14:paraId="297E5B35" w14:textId="77777777" w:rsidR="008B4402" w:rsidRPr="00C9343F" w:rsidRDefault="008B4402" w:rsidP="00F66D98">
            <w:pPr>
              <w:pStyle w:val="BlockText-Plain"/>
            </w:pPr>
            <w:r w:rsidRPr="00C9343F">
              <w:t>The amount to be recorded is the duration of the absence, rounded down to the nearest whole day.</w:t>
            </w:r>
          </w:p>
        </w:tc>
      </w:tr>
    </w:tbl>
    <w:p w14:paraId="78238554" w14:textId="77777777" w:rsidR="008B4402" w:rsidRPr="00C9343F" w:rsidRDefault="008B4402" w:rsidP="00F66D98"/>
    <w:p w14:paraId="05BEEFD0" w14:textId="10CC5FEF" w:rsidR="008B4402" w:rsidRPr="00C9343F" w:rsidRDefault="008B4402" w:rsidP="00F66D98">
      <w:pPr>
        <w:pStyle w:val="Heading4"/>
        <w:pageBreakBefore/>
      </w:pPr>
      <w:bookmarkStart w:id="2032" w:name="_Toc105054165"/>
      <w:r w:rsidRPr="00C9343F">
        <w:t>Division 2: Short absence for removal purposes</w:t>
      </w:r>
      <w:bookmarkEnd w:id="2032"/>
    </w:p>
    <w:p w14:paraId="0902C1A1" w14:textId="44ED6F05" w:rsidR="008B4402" w:rsidRPr="00C9343F" w:rsidRDefault="008B4402" w:rsidP="00F66D98">
      <w:pPr>
        <w:pStyle w:val="Heading5"/>
      </w:pPr>
      <w:bookmarkStart w:id="2033" w:name="_Toc105054166"/>
      <w:r w:rsidRPr="00C9343F">
        <w:t>5.11.8</w:t>
      </w:r>
      <w:r w:rsidR="00D94006" w:rsidRPr="00C9343F">
        <w:t>    </w:t>
      </w:r>
      <w:r w:rsidRPr="00C9343F">
        <w:t>Purpose</w:t>
      </w:r>
      <w:bookmarkEnd w:id="2033"/>
    </w:p>
    <w:tbl>
      <w:tblPr>
        <w:tblW w:w="9414" w:type="dxa"/>
        <w:tblInd w:w="108" w:type="dxa"/>
        <w:tblLayout w:type="fixed"/>
        <w:tblLook w:val="0000" w:firstRow="0" w:lastRow="0" w:firstColumn="0" w:lastColumn="0" w:noHBand="0" w:noVBand="0"/>
      </w:tblPr>
      <w:tblGrid>
        <w:gridCol w:w="1002"/>
        <w:gridCol w:w="8412"/>
      </w:tblGrid>
      <w:tr w:rsidR="008B4402" w:rsidRPr="00C9343F" w14:paraId="0291AFFA" w14:textId="77777777" w:rsidTr="008B4402">
        <w:tc>
          <w:tcPr>
            <w:tcW w:w="997" w:type="dxa"/>
          </w:tcPr>
          <w:p w14:paraId="49CAE068" w14:textId="77777777" w:rsidR="008B4402" w:rsidRPr="00C9343F" w:rsidRDefault="008B4402" w:rsidP="00F66D98">
            <w:pPr>
              <w:pStyle w:val="BlockText-Plain"/>
              <w:jc w:val="center"/>
            </w:pPr>
          </w:p>
        </w:tc>
        <w:tc>
          <w:tcPr>
            <w:tcW w:w="8372" w:type="dxa"/>
          </w:tcPr>
          <w:p w14:paraId="070FC1FD" w14:textId="77777777" w:rsidR="008B4402" w:rsidRPr="00C9343F" w:rsidRDefault="008B4402" w:rsidP="00F66D98">
            <w:pPr>
              <w:pStyle w:val="BlockText-Plain"/>
            </w:pPr>
            <w:r w:rsidRPr="00C9343F">
              <w:t>Short absence for removal purposes allows a member time to carry out a variety of removal tasks.</w:t>
            </w:r>
          </w:p>
        </w:tc>
      </w:tr>
    </w:tbl>
    <w:p w14:paraId="2A18AB9D" w14:textId="0AC20890" w:rsidR="008B4402" w:rsidRPr="00C9343F" w:rsidRDefault="008B4402" w:rsidP="00F66D98">
      <w:pPr>
        <w:pStyle w:val="Heading5"/>
      </w:pPr>
      <w:bookmarkStart w:id="2034" w:name="_Toc105054167"/>
      <w:r w:rsidRPr="00C9343F">
        <w:t>5.11.9</w:t>
      </w:r>
      <w:r w:rsidR="00D94006" w:rsidRPr="00C9343F">
        <w:t>    </w:t>
      </w:r>
      <w:r w:rsidRPr="00C9343F">
        <w:t>Approval of absence</w:t>
      </w:r>
      <w:bookmarkEnd w:id="2034"/>
      <w:r w:rsidRPr="00C9343F">
        <w:t xml:space="preserve"> </w:t>
      </w:r>
    </w:p>
    <w:tbl>
      <w:tblPr>
        <w:tblW w:w="9414" w:type="dxa"/>
        <w:tblInd w:w="108" w:type="dxa"/>
        <w:tblLayout w:type="fixed"/>
        <w:tblLook w:val="0000" w:firstRow="0" w:lastRow="0" w:firstColumn="0" w:lastColumn="0" w:noHBand="0" w:noVBand="0"/>
      </w:tblPr>
      <w:tblGrid>
        <w:gridCol w:w="995"/>
        <w:gridCol w:w="567"/>
        <w:gridCol w:w="567"/>
        <w:gridCol w:w="7231"/>
        <w:gridCol w:w="17"/>
        <w:gridCol w:w="37"/>
      </w:tblGrid>
      <w:tr w:rsidR="008B4402" w:rsidRPr="00C9343F" w14:paraId="0B48D688" w14:textId="77777777" w:rsidTr="008A01FC">
        <w:trPr>
          <w:gridAfter w:val="2"/>
          <w:wAfter w:w="54" w:type="dxa"/>
        </w:trPr>
        <w:tc>
          <w:tcPr>
            <w:tcW w:w="995" w:type="dxa"/>
          </w:tcPr>
          <w:p w14:paraId="0F7C7CCF" w14:textId="77777777" w:rsidR="008B4402" w:rsidRPr="00C9343F" w:rsidRDefault="008B4402" w:rsidP="00F66D98">
            <w:pPr>
              <w:pStyle w:val="BlockText-Plain"/>
              <w:jc w:val="center"/>
            </w:pPr>
            <w:r w:rsidRPr="00C9343F">
              <w:t>1.</w:t>
            </w:r>
          </w:p>
        </w:tc>
        <w:tc>
          <w:tcPr>
            <w:tcW w:w="8365" w:type="dxa"/>
            <w:gridSpan w:val="3"/>
          </w:tcPr>
          <w:p w14:paraId="35CCC25A" w14:textId="77777777" w:rsidR="008B4402" w:rsidRPr="00C9343F" w:rsidRDefault="008B4402" w:rsidP="00F66D98">
            <w:pPr>
              <w:pStyle w:val="BlockText-Plain"/>
            </w:pPr>
            <w:r w:rsidRPr="00C9343F">
              <w:t>A member may apply for short absence for removal purposes.</w:t>
            </w:r>
          </w:p>
        </w:tc>
      </w:tr>
      <w:tr w:rsidR="008B4402" w:rsidRPr="00C9343F" w14:paraId="4648667F" w14:textId="77777777" w:rsidTr="008A01FC">
        <w:trPr>
          <w:gridAfter w:val="2"/>
          <w:wAfter w:w="54" w:type="dxa"/>
        </w:trPr>
        <w:tc>
          <w:tcPr>
            <w:tcW w:w="995" w:type="dxa"/>
          </w:tcPr>
          <w:p w14:paraId="045ADF19" w14:textId="77777777" w:rsidR="008B4402" w:rsidRPr="00C9343F" w:rsidRDefault="008B4402" w:rsidP="00F66D98">
            <w:pPr>
              <w:pStyle w:val="BlockText-Plain"/>
              <w:jc w:val="center"/>
            </w:pPr>
            <w:r w:rsidRPr="00C9343F">
              <w:t>2.</w:t>
            </w:r>
          </w:p>
        </w:tc>
        <w:tc>
          <w:tcPr>
            <w:tcW w:w="8365" w:type="dxa"/>
            <w:gridSpan w:val="3"/>
          </w:tcPr>
          <w:p w14:paraId="2D2D84B2" w14:textId="77777777" w:rsidR="008B4402" w:rsidRPr="00C9343F" w:rsidRDefault="008B4402" w:rsidP="00F66D98">
            <w:pPr>
              <w:pStyle w:val="BlockText-Plain"/>
            </w:pPr>
            <w:r w:rsidRPr="00C9343F">
              <w:t xml:space="preserve">A person who meets both the following requirements may decide to grant a member a short absence for removal, up to the limits set out in section 5.11.10. </w:t>
            </w:r>
          </w:p>
        </w:tc>
      </w:tr>
      <w:tr w:rsidR="008B4402" w:rsidRPr="00C9343F" w14:paraId="69A99991" w14:textId="77777777" w:rsidTr="008A01FC">
        <w:trPr>
          <w:cantSplit/>
        </w:trPr>
        <w:tc>
          <w:tcPr>
            <w:tcW w:w="995" w:type="dxa"/>
          </w:tcPr>
          <w:p w14:paraId="6290FB10" w14:textId="77777777" w:rsidR="008B4402" w:rsidRPr="00C9343F" w:rsidRDefault="008B4402" w:rsidP="00F66D98">
            <w:pPr>
              <w:pStyle w:val="BlockText-Plain"/>
            </w:pPr>
          </w:p>
        </w:tc>
        <w:tc>
          <w:tcPr>
            <w:tcW w:w="567" w:type="dxa"/>
          </w:tcPr>
          <w:p w14:paraId="6EFC8859" w14:textId="77777777" w:rsidR="008B4402" w:rsidRPr="00C9343F" w:rsidRDefault="008B4402" w:rsidP="005849DD">
            <w:pPr>
              <w:pStyle w:val="BlockText-Plain"/>
              <w:jc w:val="center"/>
            </w:pPr>
            <w:r w:rsidRPr="00C9343F">
              <w:t>a.</w:t>
            </w:r>
          </w:p>
        </w:tc>
        <w:tc>
          <w:tcPr>
            <w:tcW w:w="7852" w:type="dxa"/>
            <w:gridSpan w:val="4"/>
          </w:tcPr>
          <w:p w14:paraId="6907C1FB" w14:textId="77777777" w:rsidR="008B4402" w:rsidRPr="00C9343F" w:rsidRDefault="008B4402" w:rsidP="00F66D98">
            <w:pPr>
              <w:pStyle w:val="BlockText-Plain"/>
              <w:rPr>
                <w:rFonts w:ascii="Arial (W1)" w:hAnsi="Arial (W1)"/>
              </w:rPr>
            </w:pPr>
            <w:r w:rsidRPr="00C9343F">
              <w:rPr>
                <w:rFonts w:ascii="Arial (W1)" w:hAnsi="Arial (W1)"/>
              </w:rPr>
              <w:t>The person is the member's supervisor in the member's direct chain of command or supervision.</w:t>
            </w:r>
          </w:p>
        </w:tc>
      </w:tr>
      <w:tr w:rsidR="008B4402" w:rsidRPr="00C9343F" w14:paraId="1C92D30E" w14:textId="77777777" w:rsidTr="008A01FC">
        <w:trPr>
          <w:gridAfter w:val="1"/>
          <w:wAfter w:w="37" w:type="dxa"/>
          <w:cantSplit/>
        </w:trPr>
        <w:tc>
          <w:tcPr>
            <w:tcW w:w="995" w:type="dxa"/>
          </w:tcPr>
          <w:p w14:paraId="2A753248" w14:textId="77777777" w:rsidR="008B4402" w:rsidRPr="00C9343F" w:rsidRDefault="008B4402" w:rsidP="00F66D98">
            <w:pPr>
              <w:pStyle w:val="BlockText-Plain"/>
              <w:rPr>
                <w:rFonts w:ascii="Arial (W1)" w:hAnsi="Arial (W1)"/>
              </w:rPr>
            </w:pPr>
          </w:p>
        </w:tc>
        <w:tc>
          <w:tcPr>
            <w:tcW w:w="567" w:type="dxa"/>
          </w:tcPr>
          <w:p w14:paraId="6D16CF7E" w14:textId="77777777" w:rsidR="008B4402" w:rsidRPr="00C9343F" w:rsidRDefault="008B4402" w:rsidP="005849DD">
            <w:pPr>
              <w:pStyle w:val="BlockText-Plain"/>
              <w:jc w:val="center"/>
              <w:rPr>
                <w:rFonts w:ascii="Arial (W1)" w:hAnsi="Arial (W1)"/>
              </w:rPr>
            </w:pPr>
            <w:r w:rsidRPr="00C9343F">
              <w:rPr>
                <w:rFonts w:ascii="Arial (W1)" w:hAnsi="Arial (W1)"/>
              </w:rPr>
              <w:t>b.</w:t>
            </w:r>
          </w:p>
        </w:tc>
        <w:tc>
          <w:tcPr>
            <w:tcW w:w="7815" w:type="dxa"/>
            <w:gridSpan w:val="3"/>
          </w:tcPr>
          <w:p w14:paraId="1F22FEB9" w14:textId="77777777" w:rsidR="008B4402" w:rsidRPr="00C9343F" w:rsidRDefault="008B4402" w:rsidP="00F66D98">
            <w:pPr>
              <w:pStyle w:val="BlockText-Plain"/>
              <w:rPr>
                <w:rFonts w:ascii="Arial (W1)" w:hAnsi="Arial (W1)"/>
              </w:rPr>
            </w:pPr>
            <w:r w:rsidRPr="00C9343F">
              <w:rPr>
                <w:rFonts w:ascii="Arial (W1)" w:hAnsi="Arial (W1)"/>
              </w:rPr>
              <w:t>They are not below the following rank or APS classification.</w:t>
            </w:r>
          </w:p>
        </w:tc>
      </w:tr>
      <w:tr w:rsidR="008B4402" w:rsidRPr="00C9343F" w14:paraId="3EC807FA" w14:textId="77777777" w:rsidTr="008A01FC">
        <w:trPr>
          <w:gridAfter w:val="1"/>
          <w:wAfter w:w="37" w:type="dxa"/>
          <w:cantSplit/>
        </w:trPr>
        <w:tc>
          <w:tcPr>
            <w:tcW w:w="1562" w:type="dxa"/>
            <w:gridSpan w:val="2"/>
          </w:tcPr>
          <w:p w14:paraId="47B77D61" w14:textId="77777777" w:rsidR="008B4402" w:rsidRPr="00C9343F" w:rsidRDefault="008B4402" w:rsidP="00F66D98">
            <w:pPr>
              <w:pStyle w:val="BlockText-Plain"/>
              <w:rPr>
                <w:rFonts w:ascii="Arial (W1)" w:hAnsi="Arial (W1)"/>
              </w:rPr>
            </w:pPr>
          </w:p>
        </w:tc>
        <w:tc>
          <w:tcPr>
            <w:tcW w:w="567" w:type="dxa"/>
          </w:tcPr>
          <w:p w14:paraId="6551BC0A" w14:textId="77777777" w:rsidR="008B4402" w:rsidRPr="00C9343F" w:rsidRDefault="008B4402" w:rsidP="005849DD">
            <w:pPr>
              <w:pStyle w:val="BlockText-Plain"/>
              <w:rPr>
                <w:rFonts w:ascii="Arial (W1)" w:hAnsi="Arial (W1)"/>
              </w:rPr>
            </w:pPr>
            <w:r w:rsidRPr="00C9343F">
              <w:rPr>
                <w:rFonts w:ascii="Arial (W1)" w:hAnsi="Arial (W1)"/>
              </w:rPr>
              <w:t>i.</w:t>
            </w:r>
          </w:p>
        </w:tc>
        <w:tc>
          <w:tcPr>
            <w:tcW w:w="7248" w:type="dxa"/>
            <w:gridSpan w:val="2"/>
          </w:tcPr>
          <w:p w14:paraId="0BA7C89E" w14:textId="77777777" w:rsidR="008B4402" w:rsidRPr="00C9343F" w:rsidRDefault="008B4402" w:rsidP="00F66D98">
            <w:pPr>
              <w:pStyle w:val="BlockText-Plain"/>
              <w:rPr>
                <w:rFonts w:ascii="Arial (W1)" w:hAnsi="Arial (W1)"/>
              </w:rPr>
            </w:pPr>
            <w:r w:rsidRPr="00C9343F">
              <w:rPr>
                <w:rFonts w:ascii="Arial (W1)" w:hAnsi="Arial (W1)"/>
              </w:rPr>
              <w:t>Warrant Officer Class 2.</w:t>
            </w:r>
          </w:p>
        </w:tc>
      </w:tr>
      <w:tr w:rsidR="008B4402" w:rsidRPr="00C9343F" w14:paraId="19AB9526" w14:textId="77777777" w:rsidTr="008A01FC">
        <w:trPr>
          <w:gridAfter w:val="1"/>
          <w:wAfter w:w="37" w:type="dxa"/>
          <w:cantSplit/>
        </w:trPr>
        <w:tc>
          <w:tcPr>
            <w:tcW w:w="1562" w:type="dxa"/>
            <w:gridSpan w:val="2"/>
          </w:tcPr>
          <w:p w14:paraId="1AE6CC9A" w14:textId="77777777" w:rsidR="008B4402" w:rsidRPr="00C9343F" w:rsidRDefault="008B4402" w:rsidP="00F66D98">
            <w:pPr>
              <w:pStyle w:val="BlockText-Plain"/>
              <w:rPr>
                <w:rFonts w:ascii="Arial (W1)" w:hAnsi="Arial (W1)"/>
              </w:rPr>
            </w:pPr>
          </w:p>
        </w:tc>
        <w:tc>
          <w:tcPr>
            <w:tcW w:w="567" w:type="dxa"/>
          </w:tcPr>
          <w:p w14:paraId="2343EE10" w14:textId="77777777" w:rsidR="008B4402" w:rsidRPr="00C9343F" w:rsidRDefault="008B4402" w:rsidP="005849DD">
            <w:pPr>
              <w:pStyle w:val="BlockText-Plain"/>
              <w:rPr>
                <w:rFonts w:ascii="Arial (W1)" w:hAnsi="Arial (W1)"/>
              </w:rPr>
            </w:pPr>
            <w:r w:rsidRPr="00C9343F">
              <w:rPr>
                <w:rFonts w:ascii="Arial (W1)" w:hAnsi="Arial (W1)"/>
              </w:rPr>
              <w:t>ii.</w:t>
            </w:r>
          </w:p>
        </w:tc>
        <w:tc>
          <w:tcPr>
            <w:tcW w:w="7248" w:type="dxa"/>
            <w:gridSpan w:val="2"/>
          </w:tcPr>
          <w:p w14:paraId="0010A58C" w14:textId="77777777" w:rsidR="008B4402" w:rsidRPr="00C9343F" w:rsidRDefault="008B4402" w:rsidP="00F66D98">
            <w:pPr>
              <w:pStyle w:val="BlockText-Plain"/>
              <w:rPr>
                <w:rFonts w:ascii="Arial (W1)" w:hAnsi="Arial (W1)"/>
              </w:rPr>
            </w:pPr>
            <w:r w:rsidRPr="00C9343F">
              <w:rPr>
                <w:rFonts w:ascii="Arial (W1)" w:hAnsi="Arial (W1)"/>
              </w:rPr>
              <w:t>APS 4.</w:t>
            </w:r>
          </w:p>
        </w:tc>
      </w:tr>
    </w:tbl>
    <w:p w14:paraId="66858980" w14:textId="77777777" w:rsidR="008B4402" w:rsidRPr="00C9343F" w:rsidRDefault="008B4402" w:rsidP="00F66D98">
      <w:pPr>
        <w:pStyle w:val="Heading5"/>
      </w:pPr>
      <w:bookmarkStart w:id="2035" w:name="_Toc105054168"/>
      <w:r w:rsidRPr="00C9343F">
        <w:t>5.11.10  Conditions on grant of absence</w:t>
      </w:r>
      <w:bookmarkEnd w:id="2035"/>
      <w:r w:rsidRPr="00C9343F">
        <w:t xml:space="preserve"> </w:t>
      </w:r>
    </w:p>
    <w:tbl>
      <w:tblPr>
        <w:tblW w:w="9360" w:type="dxa"/>
        <w:tblInd w:w="108" w:type="dxa"/>
        <w:tblLayout w:type="fixed"/>
        <w:tblLook w:val="0000" w:firstRow="0" w:lastRow="0" w:firstColumn="0" w:lastColumn="0" w:noHBand="0" w:noVBand="0"/>
      </w:tblPr>
      <w:tblGrid>
        <w:gridCol w:w="997"/>
        <w:gridCol w:w="8363"/>
      </w:tblGrid>
      <w:tr w:rsidR="008B4402" w:rsidRPr="00C9343F" w14:paraId="447ABE55" w14:textId="77777777" w:rsidTr="008B4402">
        <w:tc>
          <w:tcPr>
            <w:tcW w:w="997" w:type="dxa"/>
          </w:tcPr>
          <w:p w14:paraId="2BF8F1ED" w14:textId="77777777" w:rsidR="008B4402" w:rsidRPr="00C9343F" w:rsidRDefault="008B4402" w:rsidP="00F66D98">
            <w:pPr>
              <w:pStyle w:val="BlockText-Plain"/>
              <w:jc w:val="center"/>
            </w:pPr>
            <w:r w:rsidRPr="00C9343F">
              <w:t>1.</w:t>
            </w:r>
          </w:p>
        </w:tc>
        <w:tc>
          <w:tcPr>
            <w:tcW w:w="8363" w:type="dxa"/>
          </w:tcPr>
          <w:p w14:paraId="0865CD1E" w14:textId="77777777" w:rsidR="008B4402" w:rsidRPr="00C9343F" w:rsidRDefault="008B4402" w:rsidP="00F66D98">
            <w:pPr>
              <w:pStyle w:val="BlockText-Plain"/>
            </w:pPr>
            <w:r w:rsidRPr="00C9343F">
              <w:t>The decision-maker must consider whether it is reasonable to grant the absence under section 5.11.9, having regard to operational needs.</w:t>
            </w:r>
          </w:p>
        </w:tc>
      </w:tr>
      <w:tr w:rsidR="008B4402" w:rsidRPr="00C9343F" w14:paraId="0500D7C7" w14:textId="77777777" w:rsidTr="008B4402">
        <w:tc>
          <w:tcPr>
            <w:tcW w:w="997" w:type="dxa"/>
          </w:tcPr>
          <w:p w14:paraId="33E492D4" w14:textId="77777777" w:rsidR="008B4402" w:rsidRPr="00C9343F" w:rsidRDefault="008B4402" w:rsidP="00F66D98">
            <w:pPr>
              <w:pStyle w:val="BlockText-Plain"/>
              <w:jc w:val="center"/>
            </w:pPr>
            <w:r w:rsidRPr="00C9343F">
              <w:t>2.</w:t>
            </w:r>
          </w:p>
        </w:tc>
        <w:tc>
          <w:tcPr>
            <w:tcW w:w="8363" w:type="dxa"/>
          </w:tcPr>
          <w:p w14:paraId="62E1A196" w14:textId="77777777" w:rsidR="008B4402" w:rsidRPr="00C9343F" w:rsidRDefault="008B4402" w:rsidP="00F66D98">
            <w:pPr>
              <w:pStyle w:val="BlockText-Plain"/>
            </w:pPr>
            <w:r w:rsidRPr="00C9343F">
              <w:t>The following table sets out how much short absence can be granted to a member for each removal.</w:t>
            </w:r>
          </w:p>
        </w:tc>
      </w:tr>
    </w:tbl>
    <w:p w14:paraId="0C62B06F" w14:textId="77777777" w:rsidR="008B4402" w:rsidRPr="00C9343F" w:rsidRDefault="008B4402"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3260"/>
        <w:gridCol w:w="4536"/>
      </w:tblGrid>
      <w:tr w:rsidR="008B4402" w:rsidRPr="00C9343F" w14:paraId="47F8A6A6"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41173C36" w14:textId="77777777" w:rsidR="008B4402" w:rsidRPr="00C9343F" w:rsidRDefault="008B4402" w:rsidP="00F66D98">
            <w:pPr>
              <w:pStyle w:val="TableHeaderArial"/>
            </w:pPr>
            <w:r w:rsidRPr="00C9343F">
              <w:t xml:space="preserve">Item </w:t>
            </w:r>
          </w:p>
        </w:tc>
        <w:tc>
          <w:tcPr>
            <w:tcW w:w="3260" w:type="dxa"/>
            <w:tcBorders>
              <w:top w:val="single" w:sz="6" w:space="0" w:color="auto"/>
              <w:left w:val="single" w:sz="6" w:space="0" w:color="auto"/>
              <w:bottom w:val="single" w:sz="6" w:space="0" w:color="auto"/>
              <w:right w:val="single" w:sz="6" w:space="0" w:color="auto"/>
            </w:tcBorders>
          </w:tcPr>
          <w:p w14:paraId="336DABB3" w14:textId="77777777" w:rsidR="008B4402" w:rsidRPr="00C9343F" w:rsidRDefault="008B4402" w:rsidP="00F66D98">
            <w:pPr>
              <w:pStyle w:val="TableHeaderArial"/>
            </w:pPr>
            <w:r w:rsidRPr="00C9343F">
              <w:t>If the member's removal is…</w:t>
            </w:r>
          </w:p>
        </w:tc>
        <w:tc>
          <w:tcPr>
            <w:tcW w:w="4536" w:type="dxa"/>
            <w:tcBorders>
              <w:top w:val="single" w:sz="6" w:space="0" w:color="auto"/>
              <w:left w:val="single" w:sz="6" w:space="0" w:color="auto"/>
              <w:bottom w:val="single" w:sz="6" w:space="0" w:color="auto"/>
              <w:right w:val="single" w:sz="6" w:space="0" w:color="auto"/>
            </w:tcBorders>
          </w:tcPr>
          <w:p w14:paraId="1160C1D4" w14:textId="77777777" w:rsidR="008B4402" w:rsidRPr="00C9343F" w:rsidRDefault="008B4402" w:rsidP="00F66D98">
            <w:pPr>
              <w:pStyle w:val="TableHeaderArial"/>
            </w:pPr>
            <w:r w:rsidRPr="00C9343F">
              <w:t>then they may be granted short absence of…</w:t>
            </w:r>
          </w:p>
        </w:tc>
      </w:tr>
      <w:tr w:rsidR="008B4402" w:rsidRPr="00C9343F" w14:paraId="130CB412"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291E16D5" w14:textId="77777777" w:rsidR="008B4402" w:rsidRPr="00C9343F" w:rsidRDefault="008B4402" w:rsidP="00F66D98">
            <w:pPr>
              <w:pStyle w:val="TableTextArial-left"/>
              <w:jc w:val="center"/>
            </w:pPr>
            <w:r w:rsidRPr="00C9343F">
              <w:t>1.</w:t>
            </w:r>
          </w:p>
        </w:tc>
        <w:tc>
          <w:tcPr>
            <w:tcW w:w="3260" w:type="dxa"/>
            <w:tcBorders>
              <w:top w:val="single" w:sz="6" w:space="0" w:color="auto"/>
              <w:left w:val="single" w:sz="6" w:space="0" w:color="auto"/>
              <w:bottom w:val="single" w:sz="6" w:space="0" w:color="auto"/>
              <w:right w:val="single" w:sz="6" w:space="0" w:color="auto"/>
            </w:tcBorders>
          </w:tcPr>
          <w:p w14:paraId="025EABC5" w14:textId="77777777" w:rsidR="008B4402" w:rsidRPr="00C9343F" w:rsidRDefault="008B4402" w:rsidP="00F66D98">
            <w:pPr>
              <w:pStyle w:val="TableTextArial-left"/>
            </w:pPr>
            <w:r w:rsidRPr="00C9343F">
              <w:t>between locations</w:t>
            </w:r>
          </w:p>
        </w:tc>
        <w:tc>
          <w:tcPr>
            <w:tcW w:w="4536" w:type="dxa"/>
            <w:tcBorders>
              <w:top w:val="single" w:sz="6" w:space="0" w:color="auto"/>
              <w:left w:val="single" w:sz="6" w:space="0" w:color="auto"/>
              <w:bottom w:val="single" w:sz="6" w:space="0" w:color="auto"/>
              <w:right w:val="single" w:sz="6" w:space="0" w:color="auto"/>
            </w:tcBorders>
          </w:tcPr>
          <w:p w14:paraId="04F05580" w14:textId="77777777" w:rsidR="008B4402" w:rsidRPr="00C9343F" w:rsidRDefault="008B4402" w:rsidP="00F66D98">
            <w:pPr>
              <w:pStyle w:val="TableTextNumbered"/>
            </w:pPr>
            <w:r w:rsidRPr="00C9343F">
              <w:t>two consecutive days at each location.</w:t>
            </w:r>
          </w:p>
        </w:tc>
      </w:tr>
      <w:tr w:rsidR="008B4402" w:rsidRPr="00C9343F" w14:paraId="274CA9E5"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6964D338" w14:textId="77777777" w:rsidR="008B4402" w:rsidRPr="00C9343F" w:rsidRDefault="008B4402" w:rsidP="00F66D98">
            <w:pPr>
              <w:pStyle w:val="TableTextArial-left"/>
              <w:jc w:val="center"/>
            </w:pPr>
            <w:r w:rsidRPr="00C9343F">
              <w:t>2.</w:t>
            </w:r>
          </w:p>
        </w:tc>
        <w:tc>
          <w:tcPr>
            <w:tcW w:w="3260" w:type="dxa"/>
            <w:tcBorders>
              <w:top w:val="single" w:sz="6" w:space="0" w:color="auto"/>
              <w:left w:val="single" w:sz="6" w:space="0" w:color="auto"/>
              <w:bottom w:val="single" w:sz="6" w:space="0" w:color="auto"/>
              <w:right w:val="single" w:sz="6" w:space="0" w:color="auto"/>
            </w:tcBorders>
          </w:tcPr>
          <w:p w14:paraId="5C08013E" w14:textId="77777777" w:rsidR="008B4402" w:rsidRPr="00C9343F" w:rsidRDefault="008B4402" w:rsidP="00F66D98">
            <w:pPr>
              <w:pStyle w:val="TableTextArial-left"/>
            </w:pPr>
            <w:r w:rsidRPr="00C9343F">
              <w:t>within the same location</w:t>
            </w:r>
          </w:p>
        </w:tc>
        <w:tc>
          <w:tcPr>
            <w:tcW w:w="4536" w:type="dxa"/>
            <w:tcBorders>
              <w:top w:val="single" w:sz="6" w:space="0" w:color="auto"/>
              <w:left w:val="single" w:sz="6" w:space="0" w:color="auto"/>
              <w:bottom w:val="single" w:sz="6" w:space="0" w:color="auto"/>
              <w:right w:val="single" w:sz="6" w:space="0" w:color="auto"/>
            </w:tcBorders>
          </w:tcPr>
          <w:p w14:paraId="3A248D47" w14:textId="77777777" w:rsidR="008B4402" w:rsidRPr="00C9343F" w:rsidRDefault="008B4402" w:rsidP="00F66D98">
            <w:pPr>
              <w:pStyle w:val="TableTextNumbered"/>
              <w:tabs>
                <w:tab w:val="clear" w:pos="284"/>
              </w:tabs>
              <w:ind w:left="0" w:firstLine="0"/>
            </w:pPr>
            <w:r w:rsidRPr="00C9343F">
              <w:t>three days in total.</w:t>
            </w:r>
          </w:p>
        </w:tc>
      </w:tr>
    </w:tbl>
    <w:p w14:paraId="431E8C82" w14:textId="77777777" w:rsidR="008B4402" w:rsidRPr="00C9343F" w:rsidRDefault="008B4402" w:rsidP="00F66D98"/>
    <w:tbl>
      <w:tblPr>
        <w:tblW w:w="0" w:type="auto"/>
        <w:tblInd w:w="108" w:type="dxa"/>
        <w:tblLayout w:type="fixed"/>
        <w:tblLook w:val="0000" w:firstRow="0" w:lastRow="0" w:firstColumn="0" w:lastColumn="0" w:noHBand="0" w:noVBand="0"/>
      </w:tblPr>
      <w:tblGrid>
        <w:gridCol w:w="997"/>
        <w:gridCol w:w="8363"/>
      </w:tblGrid>
      <w:tr w:rsidR="008B4402" w:rsidRPr="00C9343F" w14:paraId="01E1923B" w14:textId="77777777" w:rsidTr="008B4402">
        <w:tc>
          <w:tcPr>
            <w:tcW w:w="997" w:type="dxa"/>
          </w:tcPr>
          <w:p w14:paraId="06013AA9" w14:textId="77777777" w:rsidR="008B4402" w:rsidRPr="00C9343F" w:rsidRDefault="008B4402" w:rsidP="00F66D98">
            <w:pPr>
              <w:pStyle w:val="BlockText-Plain"/>
              <w:jc w:val="center"/>
            </w:pPr>
            <w:r w:rsidRPr="00C9343F">
              <w:t>3.</w:t>
            </w:r>
          </w:p>
        </w:tc>
        <w:tc>
          <w:tcPr>
            <w:tcW w:w="8363" w:type="dxa"/>
          </w:tcPr>
          <w:p w14:paraId="78341A4A" w14:textId="77777777" w:rsidR="008B4402" w:rsidRPr="00C9343F" w:rsidRDefault="008B4402" w:rsidP="00F66D98">
            <w:pPr>
              <w:pStyle w:val="BlockText-Plain"/>
            </w:pPr>
            <w:r w:rsidRPr="00C9343F">
              <w:t>The member may be granted one additional day consecutive to another day of short absence, if the decision-maker considers it reasonable.</w:t>
            </w:r>
          </w:p>
        </w:tc>
      </w:tr>
      <w:tr w:rsidR="008B4402" w:rsidRPr="00C9343F" w14:paraId="1874D2AA" w14:textId="77777777" w:rsidTr="008B4402">
        <w:tc>
          <w:tcPr>
            <w:tcW w:w="997" w:type="dxa"/>
          </w:tcPr>
          <w:p w14:paraId="45B392F6" w14:textId="77777777" w:rsidR="008B4402" w:rsidRPr="00C9343F" w:rsidRDefault="008B4402" w:rsidP="00F66D98">
            <w:pPr>
              <w:pStyle w:val="BlockText-Plain"/>
              <w:jc w:val="center"/>
            </w:pPr>
            <w:r w:rsidRPr="00C9343F">
              <w:t>4.</w:t>
            </w:r>
          </w:p>
        </w:tc>
        <w:tc>
          <w:tcPr>
            <w:tcW w:w="8363" w:type="dxa"/>
          </w:tcPr>
          <w:p w14:paraId="1519C3AF" w14:textId="77777777" w:rsidR="008B4402" w:rsidRPr="00C9343F" w:rsidRDefault="008B4402" w:rsidP="00F66D98">
            <w:pPr>
              <w:pStyle w:val="BlockText-Plain"/>
            </w:pPr>
            <w:r w:rsidRPr="00C9343F">
              <w:t>The member may take the absence on dates agreed with the decision-maker under section 5.11.9.</w:t>
            </w:r>
          </w:p>
        </w:tc>
      </w:tr>
    </w:tbl>
    <w:p w14:paraId="4495BCC3" w14:textId="3C62BADE" w:rsidR="008C3365" w:rsidRPr="00C9343F" w:rsidRDefault="008C3365" w:rsidP="00130031">
      <w:pPr>
        <w:pStyle w:val="Heading4"/>
        <w:pageBreakBefore/>
      </w:pPr>
      <w:bookmarkStart w:id="2036" w:name="_Toc105054169"/>
      <w:r w:rsidRPr="00C9343F">
        <w:t>Division 3: Short absence – Infectio</w:t>
      </w:r>
      <w:r w:rsidR="000D5814" w:rsidRPr="00C9343F">
        <w:t>u</w:t>
      </w:r>
      <w:r w:rsidRPr="00C9343F">
        <w:t>s diseases</w:t>
      </w:r>
      <w:bookmarkEnd w:id="2036"/>
    </w:p>
    <w:p w14:paraId="3F774F65" w14:textId="1648F832" w:rsidR="008C3365" w:rsidRPr="00C9343F" w:rsidRDefault="008C3365" w:rsidP="00F66D98">
      <w:pPr>
        <w:pStyle w:val="Heading5"/>
      </w:pPr>
      <w:bookmarkStart w:id="2037" w:name="_Toc105054170"/>
      <w:r w:rsidRPr="00C9343F">
        <w:t>5.11.11</w:t>
      </w:r>
      <w:r w:rsidR="00D94006" w:rsidRPr="00C9343F">
        <w:t>    </w:t>
      </w:r>
      <w:r w:rsidRPr="00C9343F">
        <w:t>Purpose</w:t>
      </w:r>
      <w:bookmarkEnd w:id="2037"/>
    </w:p>
    <w:tbl>
      <w:tblPr>
        <w:tblW w:w="9359" w:type="dxa"/>
        <w:tblInd w:w="113" w:type="dxa"/>
        <w:tblLayout w:type="fixed"/>
        <w:tblLook w:val="04A0" w:firstRow="1" w:lastRow="0" w:firstColumn="1" w:lastColumn="0" w:noHBand="0" w:noVBand="1"/>
      </w:tblPr>
      <w:tblGrid>
        <w:gridCol w:w="992"/>
        <w:gridCol w:w="8367"/>
      </w:tblGrid>
      <w:tr w:rsidR="008C3365" w:rsidRPr="00C9343F" w14:paraId="66141BA2" w14:textId="77777777" w:rsidTr="006C044B">
        <w:tc>
          <w:tcPr>
            <w:tcW w:w="992" w:type="dxa"/>
          </w:tcPr>
          <w:p w14:paraId="5F2DA544" w14:textId="77777777" w:rsidR="008C3365" w:rsidRPr="00C9343F" w:rsidRDefault="008C3365" w:rsidP="00F66D98">
            <w:pPr>
              <w:pStyle w:val="Sectiontext0"/>
              <w:jc w:val="center"/>
              <w:rPr>
                <w:rFonts w:cs="Arial"/>
                <w:lang w:eastAsia="en-US"/>
              </w:rPr>
            </w:pPr>
          </w:p>
        </w:tc>
        <w:tc>
          <w:tcPr>
            <w:tcW w:w="8367" w:type="dxa"/>
          </w:tcPr>
          <w:p w14:paraId="7529F7CB" w14:textId="3AB4BC88" w:rsidR="008C3365" w:rsidRPr="00C9343F" w:rsidRDefault="008C3365" w:rsidP="00F66D98">
            <w:pPr>
              <w:pStyle w:val="Sectiontext0"/>
              <w:rPr>
                <w:rFonts w:cs="Arial"/>
                <w:lang w:eastAsia="en-US"/>
              </w:rPr>
            </w:pPr>
            <w:r w:rsidRPr="00C9343F">
              <w:rPr>
                <w:rFonts w:cs="Arial"/>
              </w:rPr>
              <w:t>The purpose of this Division is to enable a member to take a short absence from duty if they are required to isolate themself for purposes relating to the control of an infectious disease.</w:t>
            </w:r>
          </w:p>
        </w:tc>
      </w:tr>
    </w:tbl>
    <w:p w14:paraId="6F8132C7" w14:textId="5AC47EF8" w:rsidR="008C3365" w:rsidRPr="00C9343F" w:rsidRDefault="008C3365" w:rsidP="00F66D98">
      <w:pPr>
        <w:pStyle w:val="Heading5"/>
      </w:pPr>
      <w:bookmarkStart w:id="2038" w:name="_Toc105054171"/>
      <w:r w:rsidRPr="00C9343F">
        <w:t>5.11.13</w:t>
      </w:r>
      <w:r w:rsidR="00D94006" w:rsidRPr="00C9343F">
        <w:t>    </w:t>
      </w:r>
      <w:r w:rsidRPr="00C9343F">
        <w:t>Member this Division applies to</w:t>
      </w:r>
      <w:bookmarkEnd w:id="2038"/>
    </w:p>
    <w:tbl>
      <w:tblPr>
        <w:tblW w:w="9359" w:type="dxa"/>
        <w:tblInd w:w="113" w:type="dxa"/>
        <w:tblLayout w:type="fixed"/>
        <w:tblLook w:val="04A0" w:firstRow="1" w:lastRow="0" w:firstColumn="1" w:lastColumn="0" w:noHBand="0" w:noVBand="1"/>
      </w:tblPr>
      <w:tblGrid>
        <w:gridCol w:w="992"/>
        <w:gridCol w:w="563"/>
        <w:gridCol w:w="7804"/>
      </w:tblGrid>
      <w:tr w:rsidR="008C3365" w:rsidRPr="00C9343F" w14:paraId="7D57D39A" w14:textId="77777777" w:rsidTr="006C044B">
        <w:tc>
          <w:tcPr>
            <w:tcW w:w="992" w:type="dxa"/>
          </w:tcPr>
          <w:p w14:paraId="4A85E677" w14:textId="77777777" w:rsidR="008C3365" w:rsidRPr="00C9343F" w:rsidRDefault="008C3365" w:rsidP="00F66D98">
            <w:pPr>
              <w:pStyle w:val="Sectiontext0"/>
              <w:jc w:val="center"/>
              <w:rPr>
                <w:rFonts w:cs="Arial"/>
                <w:lang w:eastAsia="en-US"/>
              </w:rPr>
            </w:pPr>
          </w:p>
        </w:tc>
        <w:tc>
          <w:tcPr>
            <w:tcW w:w="8367" w:type="dxa"/>
            <w:gridSpan w:val="2"/>
          </w:tcPr>
          <w:p w14:paraId="0DE74BE9" w14:textId="77777777" w:rsidR="008C3365" w:rsidRPr="00C9343F" w:rsidRDefault="008C3365" w:rsidP="00F66D98">
            <w:pPr>
              <w:pStyle w:val="Sectiontext0"/>
              <w:rPr>
                <w:rFonts w:cs="Arial"/>
                <w:lang w:eastAsia="en-US"/>
              </w:rPr>
            </w:pPr>
            <w:r w:rsidRPr="00C9343F">
              <w:rPr>
                <w:rFonts w:cs="Arial"/>
              </w:rPr>
              <w:t xml:space="preserve">This Division applies to a member required to do either of the following. </w:t>
            </w:r>
          </w:p>
        </w:tc>
      </w:tr>
      <w:tr w:rsidR="008C3365" w:rsidRPr="00C9343F" w14:paraId="0EE2E030" w14:textId="77777777" w:rsidTr="006C044B">
        <w:tc>
          <w:tcPr>
            <w:tcW w:w="992" w:type="dxa"/>
          </w:tcPr>
          <w:p w14:paraId="2D5DB05C" w14:textId="77777777" w:rsidR="008C3365" w:rsidRPr="00C9343F" w:rsidRDefault="008C3365" w:rsidP="00F66D98">
            <w:pPr>
              <w:pStyle w:val="Sectiontext0"/>
              <w:jc w:val="center"/>
              <w:rPr>
                <w:rFonts w:cs="Arial"/>
                <w:lang w:eastAsia="en-US"/>
              </w:rPr>
            </w:pPr>
          </w:p>
        </w:tc>
        <w:tc>
          <w:tcPr>
            <w:tcW w:w="563" w:type="dxa"/>
            <w:hideMark/>
          </w:tcPr>
          <w:p w14:paraId="7E43852C" w14:textId="77777777" w:rsidR="008C3365" w:rsidRPr="00C9343F" w:rsidRDefault="008C3365" w:rsidP="005849DD">
            <w:pPr>
              <w:pStyle w:val="Sectiontext0"/>
              <w:jc w:val="center"/>
              <w:rPr>
                <w:rFonts w:cs="Arial"/>
                <w:lang w:eastAsia="en-US"/>
              </w:rPr>
            </w:pPr>
            <w:r w:rsidRPr="00C9343F">
              <w:rPr>
                <w:rFonts w:cs="Arial"/>
                <w:lang w:eastAsia="en-US"/>
              </w:rPr>
              <w:t>a.</w:t>
            </w:r>
          </w:p>
        </w:tc>
        <w:tc>
          <w:tcPr>
            <w:tcW w:w="7804" w:type="dxa"/>
          </w:tcPr>
          <w:p w14:paraId="7F58DB52" w14:textId="77777777" w:rsidR="008C3365" w:rsidRPr="00C9343F" w:rsidRDefault="008C3365" w:rsidP="00F66D98">
            <w:pPr>
              <w:pStyle w:val="Sectiontext0"/>
              <w:rPr>
                <w:rFonts w:cs="Arial"/>
                <w:lang w:eastAsia="en-US"/>
              </w:rPr>
            </w:pPr>
            <w:r w:rsidRPr="00C9343F">
              <w:rPr>
                <w:rFonts w:cs="Arial"/>
              </w:rPr>
              <w:t>Isolate themself in response to an infectious disease.</w:t>
            </w:r>
          </w:p>
        </w:tc>
      </w:tr>
      <w:tr w:rsidR="008C3365" w:rsidRPr="00C9343F" w14:paraId="7B32BBB0" w14:textId="77777777" w:rsidTr="006C044B">
        <w:tc>
          <w:tcPr>
            <w:tcW w:w="992" w:type="dxa"/>
          </w:tcPr>
          <w:p w14:paraId="30BF4D9B" w14:textId="77777777" w:rsidR="008C3365" w:rsidRPr="00C9343F" w:rsidRDefault="008C3365" w:rsidP="00F66D98">
            <w:pPr>
              <w:pStyle w:val="Sectiontext0"/>
              <w:jc w:val="center"/>
              <w:rPr>
                <w:rFonts w:cs="Arial"/>
                <w:lang w:eastAsia="en-US"/>
              </w:rPr>
            </w:pPr>
          </w:p>
        </w:tc>
        <w:tc>
          <w:tcPr>
            <w:tcW w:w="563" w:type="dxa"/>
          </w:tcPr>
          <w:p w14:paraId="361107AE" w14:textId="77777777" w:rsidR="008C3365" w:rsidRPr="00C9343F" w:rsidRDefault="008C3365" w:rsidP="005849DD">
            <w:pPr>
              <w:pStyle w:val="Sectiontext0"/>
              <w:jc w:val="center"/>
              <w:rPr>
                <w:rFonts w:cs="Arial"/>
                <w:lang w:eastAsia="en-US"/>
              </w:rPr>
            </w:pPr>
            <w:r w:rsidRPr="00C9343F">
              <w:rPr>
                <w:rFonts w:cs="Arial"/>
                <w:lang w:eastAsia="en-US"/>
              </w:rPr>
              <w:t>b.</w:t>
            </w:r>
          </w:p>
        </w:tc>
        <w:tc>
          <w:tcPr>
            <w:tcW w:w="7804" w:type="dxa"/>
          </w:tcPr>
          <w:p w14:paraId="466065EB" w14:textId="77777777" w:rsidR="008C3365" w:rsidRPr="00C9343F" w:rsidRDefault="008C3365" w:rsidP="00F66D98">
            <w:pPr>
              <w:pStyle w:val="Sectiontext0"/>
              <w:rPr>
                <w:rFonts w:cs="Arial"/>
              </w:rPr>
            </w:pPr>
            <w:r w:rsidRPr="00C9343F">
              <w:rPr>
                <w:rFonts w:cs="Arial"/>
              </w:rPr>
              <w:t>Supervise a dependant who is a child who is required to isolate themself.</w:t>
            </w:r>
          </w:p>
        </w:tc>
      </w:tr>
    </w:tbl>
    <w:p w14:paraId="4FA39C94" w14:textId="295B3328" w:rsidR="00FF4FE6" w:rsidRPr="00C9343F" w:rsidRDefault="00FF4FE6" w:rsidP="00F66D98">
      <w:pPr>
        <w:pStyle w:val="Heading5"/>
        <w:rPr>
          <w:bCs/>
        </w:rPr>
      </w:pPr>
      <w:bookmarkStart w:id="2039" w:name="_Toc105054172"/>
      <w:r w:rsidRPr="00C9343F">
        <w:rPr>
          <w:bCs/>
        </w:rPr>
        <w:t>5.11.13A</w:t>
      </w:r>
      <w:r w:rsidR="00D94006" w:rsidRPr="00C9343F">
        <w:rPr>
          <w:bCs/>
        </w:rPr>
        <w:t>    </w:t>
      </w:r>
      <w:r w:rsidRPr="00C9343F">
        <w:rPr>
          <w:bCs/>
        </w:rPr>
        <w:t>Member this Division does not apply to</w:t>
      </w:r>
      <w:bookmarkEnd w:id="2039"/>
    </w:p>
    <w:tbl>
      <w:tblPr>
        <w:tblW w:w="9360" w:type="dxa"/>
        <w:tblInd w:w="113" w:type="dxa"/>
        <w:tblLayout w:type="fixed"/>
        <w:tblLook w:val="04A0" w:firstRow="1" w:lastRow="0" w:firstColumn="1" w:lastColumn="0" w:noHBand="0" w:noVBand="1"/>
      </w:tblPr>
      <w:tblGrid>
        <w:gridCol w:w="992"/>
        <w:gridCol w:w="567"/>
        <w:gridCol w:w="7801"/>
      </w:tblGrid>
      <w:tr w:rsidR="00FF4FE6" w:rsidRPr="00C9343F" w14:paraId="0961F3CE" w14:textId="77777777" w:rsidTr="00FF4FE6">
        <w:tc>
          <w:tcPr>
            <w:tcW w:w="992" w:type="dxa"/>
          </w:tcPr>
          <w:p w14:paraId="52BAAA8A" w14:textId="77777777" w:rsidR="00FF4FE6" w:rsidRPr="00C9343F" w:rsidRDefault="00FF4FE6" w:rsidP="00F66D98">
            <w:pPr>
              <w:pStyle w:val="Sectiontext0"/>
              <w:jc w:val="center"/>
            </w:pPr>
          </w:p>
        </w:tc>
        <w:tc>
          <w:tcPr>
            <w:tcW w:w="8368" w:type="dxa"/>
            <w:gridSpan w:val="2"/>
            <w:hideMark/>
          </w:tcPr>
          <w:p w14:paraId="5E2D42A1" w14:textId="77777777" w:rsidR="00FF4FE6" w:rsidRPr="00C9343F" w:rsidRDefault="00FF4FE6" w:rsidP="00F66D98">
            <w:pPr>
              <w:pStyle w:val="Sectiontext0"/>
            </w:pPr>
            <w:r w:rsidRPr="00C9343F">
              <w:t>This Division does not apply to a member who is required to isolate as a consequence of a private activity or private travel undertaken other than in connection with the following.</w:t>
            </w:r>
          </w:p>
        </w:tc>
      </w:tr>
      <w:tr w:rsidR="00FF4FE6" w:rsidRPr="00C9343F" w14:paraId="18B4AFC5" w14:textId="77777777" w:rsidTr="00FF4FE6">
        <w:tc>
          <w:tcPr>
            <w:tcW w:w="992" w:type="dxa"/>
          </w:tcPr>
          <w:p w14:paraId="0DD2ED19" w14:textId="77777777" w:rsidR="00FF4FE6" w:rsidRPr="00C9343F" w:rsidRDefault="00FF4FE6" w:rsidP="00F66D98">
            <w:pPr>
              <w:pStyle w:val="Sectiontext0"/>
              <w:rPr>
                <w:rFonts w:eastAsia="Arial"/>
              </w:rPr>
            </w:pPr>
          </w:p>
        </w:tc>
        <w:tc>
          <w:tcPr>
            <w:tcW w:w="567" w:type="dxa"/>
            <w:hideMark/>
          </w:tcPr>
          <w:p w14:paraId="6FDE8197" w14:textId="77777777" w:rsidR="00FF4FE6" w:rsidRPr="00C9343F" w:rsidRDefault="00FF4FE6" w:rsidP="00B02B54">
            <w:pPr>
              <w:pStyle w:val="Sectiontext0"/>
              <w:jc w:val="center"/>
              <w:rPr>
                <w:rFonts w:eastAsia="Arial"/>
              </w:rPr>
            </w:pPr>
            <w:r w:rsidRPr="00C9343F">
              <w:rPr>
                <w:rFonts w:eastAsia="Arial"/>
              </w:rPr>
              <w:t>a.</w:t>
            </w:r>
          </w:p>
        </w:tc>
        <w:tc>
          <w:tcPr>
            <w:tcW w:w="7801" w:type="dxa"/>
            <w:hideMark/>
          </w:tcPr>
          <w:p w14:paraId="461E6FD2" w14:textId="77777777" w:rsidR="00FF4FE6" w:rsidRPr="00C9343F" w:rsidRDefault="00FF4FE6" w:rsidP="00F66D98">
            <w:pPr>
              <w:pStyle w:val="Sectiontext0"/>
            </w:pPr>
            <w:r w:rsidRPr="00C9343F">
              <w:rPr>
                <w:rFonts w:eastAsia="Arial"/>
              </w:rPr>
              <w:t>Leave associated with reunion travel</w:t>
            </w:r>
            <w:r w:rsidRPr="00C9343F">
              <w:t xml:space="preserve"> under Chapter 9 Part 3 Division 4</w:t>
            </w:r>
            <w:r w:rsidRPr="00C9343F">
              <w:rPr>
                <w:rFonts w:eastAsia="Arial"/>
              </w:rPr>
              <w:t>.</w:t>
            </w:r>
          </w:p>
        </w:tc>
      </w:tr>
      <w:tr w:rsidR="00FF4FE6" w:rsidRPr="00C9343F" w14:paraId="7416DC09" w14:textId="77777777" w:rsidTr="00FF4FE6">
        <w:tc>
          <w:tcPr>
            <w:tcW w:w="992" w:type="dxa"/>
            <w:hideMark/>
          </w:tcPr>
          <w:p w14:paraId="66C7E24B" w14:textId="77777777" w:rsidR="00FF4FE6" w:rsidRPr="00C9343F" w:rsidRDefault="00FF4FE6" w:rsidP="00F66D98">
            <w:pPr>
              <w:pStyle w:val="Sectiontext0"/>
            </w:pPr>
            <w:r w:rsidRPr="00C9343F">
              <w:rPr>
                <w:rFonts w:eastAsia="Arial"/>
              </w:rPr>
              <w:t xml:space="preserve"> </w:t>
            </w:r>
          </w:p>
        </w:tc>
        <w:tc>
          <w:tcPr>
            <w:tcW w:w="567" w:type="dxa"/>
            <w:hideMark/>
          </w:tcPr>
          <w:p w14:paraId="1D414D43" w14:textId="77777777" w:rsidR="00FF4FE6" w:rsidRPr="00C9343F" w:rsidRDefault="00FF4FE6" w:rsidP="00B02B54">
            <w:pPr>
              <w:pStyle w:val="Sectiontext0"/>
              <w:jc w:val="center"/>
            </w:pPr>
            <w:r w:rsidRPr="00C9343F">
              <w:rPr>
                <w:rFonts w:eastAsia="Arial"/>
              </w:rPr>
              <w:t>b.</w:t>
            </w:r>
          </w:p>
        </w:tc>
        <w:tc>
          <w:tcPr>
            <w:tcW w:w="7801" w:type="dxa"/>
            <w:hideMark/>
          </w:tcPr>
          <w:p w14:paraId="6D3DBA09" w14:textId="77777777" w:rsidR="00FF4FE6" w:rsidRPr="00C9343F" w:rsidRDefault="00FF4FE6" w:rsidP="00F66D98">
            <w:pPr>
              <w:pStyle w:val="Sectiontext0"/>
            </w:pPr>
            <w:r w:rsidRPr="00C9343F">
              <w:t>Leave associated with compassionate travel under Chapter 9 Part 3 Division 8.</w:t>
            </w:r>
          </w:p>
        </w:tc>
      </w:tr>
    </w:tbl>
    <w:p w14:paraId="64574E8A" w14:textId="5BD1E6EB" w:rsidR="008C3365" w:rsidRPr="00C9343F" w:rsidRDefault="008C3365" w:rsidP="00F66D98">
      <w:pPr>
        <w:pStyle w:val="Heading5"/>
      </w:pPr>
      <w:bookmarkStart w:id="2040" w:name="_Toc105054173"/>
      <w:r w:rsidRPr="00C9343F">
        <w:t>5.11.14</w:t>
      </w:r>
      <w:r w:rsidR="00D94006" w:rsidRPr="00C9343F">
        <w:t>    </w:t>
      </w:r>
      <w:r w:rsidRPr="00C9343F">
        <w:t>Short absence from duty – isolation</w:t>
      </w:r>
      <w:bookmarkEnd w:id="2040"/>
    </w:p>
    <w:tbl>
      <w:tblPr>
        <w:tblW w:w="9359" w:type="dxa"/>
        <w:tblInd w:w="113" w:type="dxa"/>
        <w:tblLayout w:type="fixed"/>
        <w:tblLook w:val="04A0" w:firstRow="1" w:lastRow="0" w:firstColumn="1" w:lastColumn="0" w:noHBand="0" w:noVBand="1"/>
      </w:tblPr>
      <w:tblGrid>
        <w:gridCol w:w="992"/>
        <w:gridCol w:w="8367"/>
      </w:tblGrid>
      <w:tr w:rsidR="008C3365" w:rsidRPr="00C9343F" w14:paraId="4045CF92" w14:textId="77777777" w:rsidTr="006C044B">
        <w:tc>
          <w:tcPr>
            <w:tcW w:w="992" w:type="dxa"/>
          </w:tcPr>
          <w:p w14:paraId="046CEADD" w14:textId="77777777" w:rsidR="008C3365" w:rsidRPr="00C9343F" w:rsidRDefault="008C3365" w:rsidP="00F66D98">
            <w:pPr>
              <w:pStyle w:val="Sectiontext0"/>
              <w:jc w:val="center"/>
              <w:rPr>
                <w:rFonts w:cs="Arial"/>
                <w:lang w:eastAsia="en-US"/>
              </w:rPr>
            </w:pPr>
            <w:r w:rsidRPr="00C9343F">
              <w:rPr>
                <w:rFonts w:cs="Arial"/>
                <w:lang w:eastAsia="en-US"/>
              </w:rPr>
              <w:t>1.</w:t>
            </w:r>
          </w:p>
        </w:tc>
        <w:tc>
          <w:tcPr>
            <w:tcW w:w="8367" w:type="dxa"/>
          </w:tcPr>
          <w:p w14:paraId="617AD4E2" w14:textId="77777777" w:rsidR="008C3365" w:rsidRPr="00C9343F" w:rsidRDefault="008C3365" w:rsidP="00F66D98">
            <w:pPr>
              <w:pStyle w:val="Sectiontext0"/>
              <w:rPr>
                <w:rFonts w:cs="Arial"/>
                <w:lang w:eastAsia="en-US"/>
              </w:rPr>
            </w:pPr>
            <w:r w:rsidRPr="00C9343F">
              <w:rPr>
                <w:rFonts w:cs="Arial"/>
              </w:rPr>
              <w:t>Subject to subsection 2, a member is eligible for a short absence from duty for their isolation period.</w:t>
            </w:r>
          </w:p>
        </w:tc>
      </w:tr>
      <w:tr w:rsidR="008C3365" w:rsidRPr="00C9343F" w14:paraId="261B446F" w14:textId="77777777" w:rsidTr="006C044B">
        <w:tc>
          <w:tcPr>
            <w:tcW w:w="992" w:type="dxa"/>
          </w:tcPr>
          <w:p w14:paraId="5138FC57" w14:textId="77777777" w:rsidR="008C3365" w:rsidRPr="00C9343F" w:rsidRDefault="008C3365" w:rsidP="00F66D98">
            <w:pPr>
              <w:pStyle w:val="Sectiontext0"/>
              <w:jc w:val="center"/>
              <w:rPr>
                <w:rFonts w:cs="Arial"/>
                <w:lang w:eastAsia="en-US"/>
              </w:rPr>
            </w:pPr>
            <w:r w:rsidRPr="00C9343F">
              <w:rPr>
                <w:rFonts w:cs="Arial"/>
                <w:lang w:eastAsia="en-US"/>
              </w:rPr>
              <w:t>2.</w:t>
            </w:r>
          </w:p>
        </w:tc>
        <w:tc>
          <w:tcPr>
            <w:tcW w:w="8367" w:type="dxa"/>
          </w:tcPr>
          <w:p w14:paraId="12356974" w14:textId="77777777" w:rsidR="008C3365" w:rsidRPr="00C9343F" w:rsidRDefault="008C3365" w:rsidP="00F66D98">
            <w:pPr>
              <w:pStyle w:val="Sectiontext0"/>
              <w:rPr>
                <w:rFonts w:cs="Arial"/>
              </w:rPr>
            </w:pPr>
            <w:r w:rsidRPr="00C9343F">
              <w:rPr>
                <w:rFonts w:cs="Arial"/>
              </w:rPr>
              <w:t>If a member is required to perform duty at the place they are completing an isolation period, the member is not eligible for a short absence from duty for that period.</w:t>
            </w:r>
          </w:p>
        </w:tc>
      </w:tr>
    </w:tbl>
    <w:p w14:paraId="7F1D2020" w14:textId="29D39CAE" w:rsidR="008C3365" w:rsidRPr="00C9343F" w:rsidRDefault="008C3365" w:rsidP="00F66D98">
      <w:pPr>
        <w:pStyle w:val="Heading5"/>
      </w:pPr>
      <w:bookmarkStart w:id="2041" w:name="_Toc105054174"/>
      <w:r w:rsidRPr="00C9343F">
        <w:t>5.11.15</w:t>
      </w:r>
      <w:r w:rsidR="00D94006" w:rsidRPr="00C9343F">
        <w:t>    </w:t>
      </w:r>
      <w:r w:rsidRPr="00C9343F">
        <w:t>Short absence from duty – supervision</w:t>
      </w:r>
      <w:bookmarkEnd w:id="2041"/>
    </w:p>
    <w:tbl>
      <w:tblPr>
        <w:tblW w:w="9359" w:type="dxa"/>
        <w:tblInd w:w="113" w:type="dxa"/>
        <w:tblLayout w:type="fixed"/>
        <w:tblLook w:val="04A0" w:firstRow="1" w:lastRow="0" w:firstColumn="1" w:lastColumn="0" w:noHBand="0" w:noVBand="1"/>
      </w:tblPr>
      <w:tblGrid>
        <w:gridCol w:w="992"/>
        <w:gridCol w:w="563"/>
        <w:gridCol w:w="7804"/>
      </w:tblGrid>
      <w:tr w:rsidR="008C3365" w:rsidRPr="00C9343F" w14:paraId="0832F108" w14:textId="77777777" w:rsidTr="006C044B">
        <w:tc>
          <w:tcPr>
            <w:tcW w:w="992" w:type="dxa"/>
          </w:tcPr>
          <w:p w14:paraId="1B66689C" w14:textId="77777777" w:rsidR="008C3365" w:rsidRPr="00C9343F" w:rsidRDefault="008C3365" w:rsidP="00F66D98">
            <w:pPr>
              <w:pStyle w:val="Sectiontext0"/>
              <w:jc w:val="center"/>
              <w:rPr>
                <w:rFonts w:cs="Arial"/>
                <w:lang w:eastAsia="en-US"/>
              </w:rPr>
            </w:pPr>
            <w:r w:rsidRPr="00C9343F">
              <w:rPr>
                <w:rFonts w:cs="Arial"/>
                <w:lang w:eastAsia="en-US"/>
              </w:rPr>
              <w:t>1.</w:t>
            </w:r>
          </w:p>
        </w:tc>
        <w:tc>
          <w:tcPr>
            <w:tcW w:w="8367" w:type="dxa"/>
            <w:gridSpan w:val="2"/>
          </w:tcPr>
          <w:p w14:paraId="42C7DB40" w14:textId="77777777" w:rsidR="008C3365" w:rsidRPr="00C9343F" w:rsidRDefault="008C3365" w:rsidP="00F66D98">
            <w:pPr>
              <w:pStyle w:val="Sectiontext0"/>
              <w:rPr>
                <w:rFonts w:cs="Arial"/>
                <w:lang w:eastAsia="en-US"/>
              </w:rPr>
            </w:pPr>
            <w:r w:rsidRPr="00C9343F">
              <w:rPr>
                <w:rFonts w:cs="Arial"/>
              </w:rPr>
              <w:t>Subject to subsection 2, a member is eligible for a short absence from duty if they are required to supervise a dependant who is required to complete an isolation period.</w:t>
            </w:r>
          </w:p>
        </w:tc>
      </w:tr>
      <w:tr w:rsidR="008C3365" w:rsidRPr="00C9343F" w14:paraId="67483B4B" w14:textId="77777777" w:rsidTr="006C044B">
        <w:tc>
          <w:tcPr>
            <w:tcW w:w="992" w:type="dxa"/>
          </w:tcPr>
          <w:p w14:paraId="25557E06" w14:textId="77777777" w:rsidR="008C3365" w:rsidRPr="00C9343F" w:rsidRDefault="008C3365" w:rsidP="00F66D98">
            <w:pPr>
              <w:pStyle w:val="Sectiontext0"/>
              <w:jc w:val="center"/>
              <w:rPr>
                <w:rFonts w:cs="Arial"/>
                <w:lang w:eastAsia="en-US"/>
              </w:rPr>
            </w:pPr>
            <w:r w:rsidRPr="00C9343F">
              <w:rPr>
                <w:rFonts w:cs="Arial"/>
                <w:lang w:eastAsia="en-US"/>
              </w:rPr>
              <w:t>2.</w:t>
            </w:r>
          </w:p>
        </w:tc>
        <w:tc>
          <w:tcPr>
            <w:tcW w:w="8367" w:type="dxa"/>
            <w:gridSpan w:val="2"/>
          </w:tcPr>
          <w:p w14:paraId="5BD075E8" w14:textId="77777777" w:rsidR="008C3365" w:rsidRPr="00C9343F" w:rsidRDefault="008C3365" w:rsidP="00F66D98">
            <w:pPr>
              <w:pStyle w:val="Sectiontext0"/>
              <w:rPr>
                <w:rFonts w:cs="Arial"/>
              </w:rPr>
            </w:pPr>
            <w:r w:rsidRPr="00C9343F">
              <w:rPr>
                <w:rFonts w:cs="Arial"/>
              </w:rPr>
              <w:t>The following apply.</w:t>
            </w:r>
          </w:p>
        </w:tc>
      </w:tr>
      <w:tr w:rsidR="008C3365" w:rsidRPr="00C9343F" w14:paraId="0E5782C1" w14:textId="77777777" w:rsidTr="006C044B">
        <w:tc>
          <w:tcPr>
            <w:tcW w:w="992" w:type="dxa"/>
          </w:tcPr>
          <w:p w14:paraId="5917894E" w14:textId="77777777" w:rsidR="008C3365" w:rsidRPr="00C9343F" w:rsidRDefault="008C3365" w:rsidP="00F66D98">
            <w:pPr>
              <w:pStyle w:val="Sectiontext0"/>
              <w:jc w:val="center"/>
              <w:rPr>
                <w:rFonts w:cs="Arial"/>
                <w:lang w:eastAsia="en-US"/>
              </w:rPr>
            </w:pPr>
          </w:p>
        </w:tc>
        <w:tc>
          <w:tcPr>
            <w:tcW w:w="563" w:type="dxa"/>
            <w:hideMark/>
          </w:tcPr>
          <w:p w14:paraId="76FB661A" w14:textId="77777777" w:rsidR="008C3365" w:rsidRPr="00C9343F" w:rsidRDefault="008C3365" w:rsidP="005849DD">
            <w:pPr>
              <w:pStyle w:val="Sectiontext0"/>
              <w:jc w:val="center"/>
              <w:rPr>
                <w:rFonts w:cs="Arial"/>
                <w:lang w:eastAsia="en-US"/>
              </w:rPr>
            </w:pPr>
            <w:r w:rsidRPr="00C9343F">
              <w:rPr>
                <w:rFonts w:cs="Arial"/>
                <w:lang w:eastAsia="en-US"/>
              </w:rPr>
              <w:t>a.</w:t>
            </w:r>
          </w:p>
        </w:tc>
        <w:tc>
          <w:tcPr>
            <w:tcW w:w="7804" w:type="dxa"/>
          </w:tcPr>
          <w:p w14:paraId="2588DB73" w14:textId="77777777" w:rsidR="008C3365" w:rsidRPr="00C9343F" w:rsidRDefault="008C3365" w:rsidP="00F66D98">
            <w:pPr>
              <w:pStyle w:val="Sectiontext0"/>
              <w:rPr>
                <w:rFonts w:cs="Arial"/>
                <w:lang w:eastAsia="en-US"/>
              </w:rPr>
            </w:pPr>
            <w:r w:rsidRPr="00C9343F">
              <w:rPr>
                <w:rFonts w:cs="Arial"/>
              </w:rPr>
              <w:t>If a member is required to perform duty at the place they are completing an isolation period, the member is not eligible for a short absence from duty for that period.</w:t>
            </w:r>
          </w:p>
        </w:tc>
      </w:tr>
      <w:tr w:rsidR="008C3365" w:rsidRPr="00C9343F" w14:paraId="17E102E8" w14:textId="77777777" w:rsidTr="006C044B">
        <w:tc>
          <w:tcPr>
            <w:tcW w:w="992" w:type="dxa"/>
          </w:tcPr>
          <w:p w14:paraId="4E3FCD86" w14:textId="77777777" w:rsidR="008C3365" w:rsidRPr="00C9343F" w:rsidRDefault="008C3365" w:rsidP="00F66D98">
            <w:pPr>
              <w:pStyle w:val="Sectiontext0"/>
              <w:jc w:val="center"/>
              <w:rPr>
                <w:rFonts w:cs="Arial"/>
                <w:lang w:eastAsia="en-US"/>
              </w:rPr>
            </w:pPr>
          </w:p>
        </w:tc>
        <w:tc>
          <w:tcPr>
            <w:tcW w:w="563" w:type="dxa"/>
          </w:tcPr>
          <w:p w14:paraId="00BC7C5A" w14:textId="77777777" w:rsidR="008C3365" w:rsidRPr="00C9343F" w:rsidRDefault="008C3365" w:rsidP="005849DD">
            <w:pPr>
              <w:pStyle w:val="Sectiontext0"/>
              <w:jc w:val="center"/>
              <w:rPr>
                <w:rFonts w:cs="Arial"/>
                <w:lang w:eastAsia="en-US"/>
              </w:rPr>
            </w:pPr>
            <w:r w:rsidRPr="00C9343F">
              <w:rPr>
                <w:rFonts w:cs="Arial"/>
                <w:lang w:eastAsia="en-US"/>
              </w:rPr>
              <w:t>b.</w:t>
            </w:r>
          </w:p>
        </w:tc>
        <w:tc>
          <w:tcPr>
            <w:tcW w:w="7804" w:type="dxa"/>
          </w:tcPr>
          <w:p w14:paraId="59FB4709" w14:textId="77777777" w:rsidR="008C3365" w:rsidRPr="00C9343F" w:rsidRDefault="008C3365" w:rsidP="00F66D98">
            <w:pPr>
              <w:pStyle w:val="Sectiontext0"/>
              <w:rPr>
                <w:rFonts w:cs="Arial"/>
              </w:rPr>
            </w:pPr>
            <w:r w:rsidRPr="00C9343F">
              <w:rPr>
                <w:rFonts w:cs="Arial"/>
              </w:rPr>
              <w:t>If the member has a partner or spouse who is eligible for the same benefit or a similar benefit for the same purpose, the member is not eligible for short absence from duty under this section at the same time the spouse or partner is receiving the same benefit or a similar benefit.</w:t>
            </w:r>
          </w:p>
        </w:tc>
      </w:tr>
    </w:tbl>
    <w:p w14:paraId="674D0212" w14:textId="4779384E" w:rsidR="008C3365" w:rsidRPr="00C9343F" w:rsidRDefault="008C3365" w:rsidP="00130031">
      <w:pPr>
        <w:pStyle w:val="Heading4"/>
        <w:pageBreakBefore/>
      </w:pPr>
      <w:bookmarkStart w:id="2042" w:name="_Toc105054175"/>
      <w:r w:rsidRPr="00C9343F">
        <w:t xml:space="preserve">Division 4: Short absence – </w:t>
      </w:r>
      <w:r w:rsidR="00711693" w:rsidRPr="00C9343F">
        <w:t>supervision of children</w:t>
      </w:r>
      <w:bookmarkEnd w:id="2042"/>
    </w:p>
    <w:p w14:paraId="10556866" w14:textId="5DC924FB" w:rsidR="008C3365" w:rsidRPr="00C9343F" w:rsidRDefault="008C3365" w:rsidP="00F66D98">
      <w:pPr>
        <w:pStyle w:val="Heading5"/>
      </w:pPr>
      <w:bookmarkStart w:id="2043" w:name="_Toc105054176"/>
      <w:r w:rsidRPr="00C9343F">
        <w:t>5.11.16</w:t>
      </w:r>
      <w:r w:rsidR="00D94006" w:rsidRPr="00C9343F">
        <w:t>    </w:t>
      </w:r>
      <w:r w:rsidRPr="00C9343F">
        <w:t>Purpose</w:t>
      </w:r>
      <w:bookmarkEnd w:id="2043"/>
    </w:p>
    <w:tbl>
      <w:tblPr>
        <w:tblW w:w="9359" w:type="dxa"/>
        <w:tblInd w:w="113" w:type="dxa"/>
        <w:tblLayout w:type="fixed"/>
        <w:tblLook w:val="04A0" w:firstRow="1" w:lastRow="0" w:firstColumn="1" w:lastColumn="0" w:noHBand="0" w:noVBand="1"/>
      </w:tblPr>
      <w:tblGrid>
        <w:gridCol w:w="992"/>
        <w:gridCol w:w="8367"/>
      </w:tblGrid>
      <w:tr w:rsidR="008C3365" w:rsidRPr="00C9343F" w14:paraId="2E1C9F8D" w14:textId="77777777" w:rsidTr="006C044B">
        <w:tc>
          <w:tcPr>
            <w:tcW w:w="992" w:type="dxa"/>
          </w:tcPr>
          <w:p w14:paraId="3792CE32" w14:textId="77777777" w:rsidR="008C3365" w:rsidRPr="00C9343F" w:rsidRDefault="008C3365" w:rsidP="00F66D98">
            <w:pPr>
              <w:pStyle w:val="Sectiontext0"/>
              <w:jc w:val="center"/>
              <w:rPr>
                <w:rFonts w:cs="Arial"/>
                <w:lang w:eastAsia="en-US"/>
              </w:rPr>
            </w:pPr>
          </w:p>
        </w:tc>
        <w:tc>
          <w:tcPr>
            <w:tcW w:w="8367" w:type="dxa"/>
          </w:tcPr>
          <w:p w14:paraId="15FD3666" w14:textId="77777777" w:rsidR="008C3365" w:rsidRPr="00C9343F" w:rsidRDefault="008C3365" w:rsidP="00F66D98">
            <w:pPr>
              <w:pStyle w:val="Sectiontext0"/>
              <w:rPr>
                <w:rFonts w:cs="Arial"/>
                <w:lang w:eastAsia="en-US"/>
              </w:rPr>
            </w:pPr>
            <w:r w:rsidRPr="00C9343F">
              <w:rPr>
                <w:rFonts w:cs="Arial"/>
              </w:rPr>
              <w:t xml:space="preserve">The purpose of this Division is to enable a member to take a short absence from duty to supervise their child </w:t>
            </w:r>
            <w:r w:rsidR="00711693" w:rsidRPr="00C9343F">
              <w:rPr>
                <w:lang w:eastAsia="en-US"/>
              </w:rPr>
              <w:t>due to the implementation of COVID-19 control measures as advised by Commonwealth, State or Territory health authorities</w:t>
            </w:r>
            <w:r w:rsidRPr="00C9343F">
              <w:rPr>
                <w:rFonts w:cs="Arial"/>
              </w:rPr>
              <w:t xml:space="preserve">. </w:t>
            </w:r>
          </w:p>
        </w:tc>
      </w:tr>
    </w:tbl>
    <w:p w14:paraId="1B21BC6A" w14:textId="57DB6B3C" w:rsidR="00711693" w:rsidRPr="00C9343F" w:rsidRDefault="00711693" w:rsidP="00F66D98">
      <w:pPr>
        <w:pStyle w:val="Heading5"/>
      </w:pPr>
      <w:bookmarkStart w:id="2044" w:name="_Toc105054177"/>
      <w:r w:rsidRPr="00C9343F">
        <w:t>5.11.16A</w:t>
      </w:r>
      <w:r w:rsidR="00D94006" w:rsidRPr="00C9343F">
        <w:t>    </w:t>
      </w:r>
      <w:r w:rsidRPr="00C9343F">
        <w:t>Definitions</w:t>
      </w:r>
      <w:bookmarkEnd w:id="2044"/>
    </w:p>
    <w:tbl>
      <w:tblPr>
        <w:tblW w:w="9359" w:type="dxa"/>
        <w:tblInd w:w="113" w:type="dxa"/>
        <w:tblLayout w:type="fixed"/>
        <w:tblLook w:val="04A0" w:firstRow="1" w:lastRow="0" w:firstColumn="1" w:lastColumn="0" w:noHBand="0" w:noVBand="1"/>
      </w:tblPr>
      <w:tblGrid>
        <w:gridCol w:w="991"/>
        <w:gridCol w:w="8368"/>
      </w:tblGrid>
      <w:tr w:rsidR="00711693" w:rsidRPr="00C9343F" w14:paraId="58F38D87" w14:textId="77777777" w:rsidTr="003D7C49">
        <w:tc>
          <w:tcPr>
            <w:tcW w:w="991" w:type="dxa"/>
          </w:tcPr>
          <w:p w14:paraId="78460054" w14:textId="77777777" w:rsidR="00711693" w:rsidRPr="00C9343F" w:rsidRDefault="00711693" w:rsidP="00F66D98">
            <w:pPr>
              <w:pStyle w:val="Sectiontext0"/>
              <w:jc w:val="center"/>
              <w:rPr>
                <w:rFonts w:cs="Arial"/>
                <w:lang w:eastAsia="en-US"/>
              </w:rPr>
            </w:pPr>
          </w:p>
        </w:tc>
        <w:tc>
          <w:tcPr>
            <w:tcW w:w="8368" w:type="dxa"/>
          </w:tcPr>
          <w:p w14:paraId="30877DD8" w14:textId="049E7E3E" w:rsidR="00711693" w:rsidRPr="00C9343F" w:rsidRDefault="002953B2" w:rsidP="00F66D98">
            <w:pPr>
              <w:pStyle w:val="Sectiontext0"/>
              <w:rPr>
                <w:rFonts w:cs="Arial"/>
                <w:lang w:eastAsia="en-US"/>
              </w:rPr>
            </w:pPr>
            <w:r w:rsidRPr="00C9343F">
              <w:rPr>
                <w:rFonts w:cs="Arial"/>
              </w:rPr>
              <w:t>In</w:t>
            </w:r>
            <w:r w:rsidR="00711693" w:rsidRPr="00C9343F">
              <w:rPr>
                <w:rFonts w:cs="Arial"/>
              </w:rPr>
              <w:t xml:space="preserve"> this Division the following apply. </w:t>
            </w:r>
          </w:p>
        </w:tc>
      </w:tr>
      <w:tr w:rsidR="00711693" w:rsidRPr="00C9343F" w14:paraId="28A3AFC8" w14:textId="77777777" w:rsidTr="003D7C49">
        <w:tc>
          <w:tcPr>
            <w:tcW w:w="991" w:type="dxa"/>
          </w:tcPr>
          <w:p w14:paraId="12894784" w14:textId="77777777" w:rsidR="00711693" w:rsidRPr="00C9343F" w:rsidRDefault="00711693" w:rsidP="00F66D98">
            <w:pPr>
              <w:pStyle w:val="Sectiontext0"/>
              <w:jc w:val="center"/>
              <w:rPr>
                <w:rFonts w:cs="Arial"/>
                <w:lang w:eastAsia="en-US"/>
              </w:rPr>
            </w:pPr>
          </w:p>
        </w:tc>
        <w:tc>
          <w:tcPr>
            <w:tcW w:w="8368" w:type="dxa"/>
            <w:hideMark/>
          </w:tcPr>
          <w:p w14:paraId="378953C4" w14:textId="77777777" w:rsidR="00711693" w:rsidRPr="00C9343F" w:rsidRDefault="00711693" w:rsidP="00F66D98">
            <w:pPr>
              <w:pStyle w:val="Sectiontext0"/>
              <w:rPr>
                <w:rFonts w:cs="Arial"/>
                <w:lang w:eastAsia="en-US"/>
              </w:rPr>
            </w:pPr>
            <w:r w:rsidRPr="00C9343F">
              <w:rPr>
                <w:rFonts w:cs="Arial"/>
                <w:b/>
                <w:bCs/>
                <w:lang w:eastAsia="en-US"/>
              </w:rPr>
              <w:t xml:space="preserve">COVID-19 control measure </w:t>
            </w:r>
            <w:r w:rsidRPr="00C9343F">
              <w:rPr>
                <w:rFonts w:cs="Arial"/>
                <w:lang w:eastAsia="en-US"/>
              </w:rPr>
              <w:t>means a measure taken to limit the spread of COVID-19 issued by the Commonwealth government or a State or Territory government however described.</w:t>
            </w:r>
          </w:p>
          <w:p w14:paraId="2A5F649D" w14:textId="77777777" w:rsidR="00711693" w:rsidRPr="00C9343F" w:rsidRDefault="00711693" w:rsidP="00F66D98">
            <w:pPr>
              <w:pStyle w:val="Sectiontext0"/>
              <w:rPr>
                <w:rFonts w:cs="Arial"/>
                <w:lang w:eastAsia="en-US"/>
              </w:rPr>
            </w:pPr>
            <w:r w:rsidRPr="00C9343F">
              <w:rPr>
                <w:rFonts w:cs="Arial"/>
                <w:b/>
                <w:lang w:eastAsia="en-US"/>
              </w:rPr>
              <w:t>Note:</w:t>
            </w:r>
            <w:r w:rsidRPr="00C9343F">
              <w:rPr>
                <w:rFonts w:cs="Arial"/>
                <w:lang w:eastAsia="en-US"/>
              </w:rPr>
              <w:t xml:space="preserve"> A measure may be issued for example, in the form of guidance, a public health order or directive.</w:t>
            </w:r>
          </w:p>
        </w:tc>
      </w:tr>
    </w:tbl>
    <w:p w14:paraId="2A9B4FD8" w14:textId="606EA2B1" w:rsidR="008C3365" w:rsidRPr="00C9343F" w:rsidRDefault="008C3365" w:rsidP="00F66D98">
      <w:pPr>
        <w:pStyle w:val="Heading5"/>
      </w:pPr>
      <w:bookmarkStart w:id="2045" w:name="_Toc105054178"/>
      <w:r w:rsidRPr="00C9343F">
        <w:t>5.11.17</w:t>
      </w:r>
      <w:r w:rsidR="00D94006" w:rsidRPr="00C9343F">
        <w:t>    </w:t>
      </w:r>
      <w:r w:rsidRPr="00C9343F">
        <w:t>Member this Division applies to</w:t>
      </w:r>
      <w:bookmarkEnd w:id="2045"/>
    </w:p>
    <w:tbl>
      <w:tblPr>
        <w:tblW w:w="9359" w:type="dxa"/>
        <w:tblInd w:w="113" w:type="dxa"/>
        <w:tblLayout w:type="fixed"/>
        <w:tblLook w:val="04A0" w:firstRow="1" w:lastRow="0" w:firstColumn="1" w:lastColumn="0" w:noHBand="0" w:noVBand="1"/>
      </w:tblPr>
      <w:tblGrid>
        <w:gridCol w:w="992"/>
        <w:gridCol w:w="563"/>
        <w:gridCol w:w="7804"/>
      </w:tblGrid>
      <w:tr w:rsidR="008C3365" w:rsidRPr="00C9343F" w14:paraId="7507E47A" w14:textId="77777777" w:rsidTr="006C044B">
        <w:tc>
          <w:tcPr>
            <w:tcW w:w="992" w:type="dxa"/>
          </w:tcPr>
          <w:p w14:paraId="2352D030" w14:textId="77777777" w:rsidR="008C3365" w:rsidRPr="00C9343F" w:rsidRDefault="008C3365" w:rsidP="00F66D98">
            <w:pPr>
              <w:pStyle w:val="Sectiontext0"/>
              <w:jc w:val="center"/>
              <w:rPr>
                <w:rFonts w:cs="Arial"/>
                <w:lang w:eastAsia="en-US"/>
              </w:rPr>
            </w:pPr>
          </w:p>
        </w:tc>
        <w:tc>
          <w:tcPr>
            <w:tcW w:w="8367" w:type="dxa"/>
            <w:gridSpan w:val="2"/>
          </w:tcPr>
          <w:p w14:paraId="3B097630" w14:textId="77777777" w:rsidR="008C3365" w:rsidRPr="00C9343F" w:rsidRDefault="008C3365" w:rsidP="00F66D98">
            <w:pPr>
              <w:pStyle w:val="Sectiontext0"/>
              <w:rPr>
                <w:rFonts w:cs="Arial"/>
                <w:lang w:eastAsia="en-US"/>
              </w:rPr>
            </w:pPr>
            <w:r w:rsidRPr="00C9343F">
              <w:rPr>
                <w:rFonts w:cs="Arial"/>
              </w:rPr>
              <w:t>This Division applies to a member who has a dependant who is a child and who attends one of the following.</w:t>
            </w:r>
          </w:p>
        </w:tc>
      </w:tr>
      <w:tr w:rsidR="008C3365" w:rsidRPr="00C9343F" w14:paraId="035C4EFB" w14:textId="77777777" w:rsidTr="006C044B">
        <w:tc>
          <w:tcPr>
            <w:tcW w:w="992" w:type="dxa"/>
          </w:tcPr>
          <w:p w14:paraId="4AD522BE" w14:textId="77777777" w:rsidR="008C3365" w:rsidRPr="00C9343F" w:rsidRDefault="008C3365" w:rsidP="00F66D98">
            <w:pPr>
              <w:pStyle w:val="Sectiontext0"/>
              <w:jc w:val="center"/>
              <w:rPr>
                <w:rFonts w:cs="Arial"/>
                <w:lang w:eastAsia="en-US"/>
              </w:rPr>
            </w:pPr>
          </w:p>
        </w:tc>
        <w:tc>
          <w:tcPr>
            <w:tcW w:w="563" w:type="dxa"/>
            <w:hideMark/>
          </w:tcPr>
          <w:p w14:paraId="6DA2A7C4" w14:textId="77777777" w:rsidR="008C3365" w:rsidRPr="00C9343F" w:rsidRDefault="008C3365" w:rsidP="005849DD">
            <w:pPr>
              <w:pStyle w:val="Sectiontext0"/>
              <w:jc w:val="center"/>
              <w:rPr>
                <w:rFonts w:cs="Arial"/>
                <w:lang w:eastAsia="en-US"/>
              </w:rPr>
            </w:pPr>
            <w:r w:rsidRPr="00C9343F">
              <w:rPr>
                <w:rFonts w:cs="Arial"/>
                <w:lang w:eastAsia="en-US"/>
              </w:rPr>
              <w:t>a.</w:t>
            </w:r>
          </w:p>
        </w:tc>
        <w:tc>
          <w:tcPr>
            <w:tcW w:w="7804" w:type="dxa"/>
          </w:tcPr>
          <w:p w14:paraId="140AF4C1" w14:textId="77777777" w:rsidR="008C3365" w:rsidRPr="00C9343F" w:rsidRDefault="008C3365" w:rsidP="00F66D98">
            <w:pPr>
              <w:pStyle w:val="Sectiontext0"/>
              <w:rPr>
                <w:rFonts w:cs="Arial"/>
                <w:lang w:eastAsia="en-US"/>
              </w:rPr>
            </w:pPr>
            <w:r w:rsidRPr="00C9343F">
              <w:rPr>
                <w:rFonts w:cs="Arial"/>
              </w:rPr>
              <w:t>A secondary school.</w:t>
            </w:r>
          </w:p>
        </w:tc>
      </w:tr>
      <w:tr w:rsidR="008C3365" w:rsidRPr="00C9343F" w14:paraId="53B91E10" w14:textId="77777777" w:rsidTr="006C044B">
        <w:tc>
          <w:tcPr>
            <w:tcW w:w="992" w:type="dxa"/>
          </w:tcPr>
          <w:p w14:paraId="074EB5E0" w14:textId="77777777" w:rsidR="008C3365" w:rsidRPr="00C9343F" w:rsidRDefault="008C3365" w:rsidP="00F66D98">
            <w:pPr>
              <w:pStyle w:val="Sectiontext0"/>
              <w:jc w:val="center"/>
              <w:rPr>
                <w:rFonts w:cs="Arial"/>
                <w:lang w:eastAsia="en-US"/>
              </w:rPr>
            </w:pPr>
          </w:p>
        </w:tc>
        <w:tc>
          <w:tcPr>
            <w:tcW w:w="563" w:type="dxa"/>
          </w:tcPr>
          <w:p w14:paraId="71A3F8CF" w14:textId="77777777" w:rsidR="008C3365" w:rsidRPr="00C9343F" w:rsidRDefault="008C3365" w:rsidP="005849DD">
            <w:pPr>
              <w:pStyle w:val="Sectiontext0"/>
              <w:jc w:val="center"/>
              <w:rPr>
                <w:rFonts w:cs="Arial"/>
                <w:lang w:eastAsia="en-US"/>
              </w:rPr>
            </w:pPr>
            <w:r w:rsidRPr="00C9343F">
              <w:rPr>
                <w:rFonts w:cs="Arial"/>
                <w:lang w:eastAsia="en-US"/>
              </w:rPr>
              <w:t>b.</w:t>
            </w:r>
          </w:p>
        </w:tc>
        <w:tc>
          <w:tcPr>
            <w:tcW w:w="7804" w:type="dxa"/>
          </w:tcPr>
          <w:p w14:paraId="3A8D245F" w14:textId="77777777" w:rsidR="008C3365" w:rsidRPr="00C9343F" w:rsidRDefault="008C3365" w:rsidP="00F66D98">
            <w:pPr>
              <w:pStyle w:val="Sectiontext0"/>
              <w:rPr>
                <w:rFonts w:cs="Arial"/>
              </w:rPr>
            </w:pPr>
            <w:r w:rsidRPr="00C9343F">
              <w:rPr>
                <w:rFonts w:cs="Arial"/>
              </w:rPr>
              <w:t>A primary school.</w:t>
            </w:r>
          </w:p>
        </w:tc>
      </w:tr>
      <w:tr w:rsidR="008C3365" w:rsidRPr="00C9343F" w14:paraId="23C2FF9B" w14:textId="77777777" w:rsidTr="006C044B">
        <w:tc>
          <w:tcPr>
            <w:tcW w:w="992" w:type="dxa"/>
          </w:tcPr>
          <w:p w14:paraId="7FC32593" w14:textId="77777777" w:rsidR="008C3365" w:rsidRPr="00C9343F" w:rsidRDefault="008C3365" w:rsidP="00F66D98">
            <w:pPr>
              <w:pStyle w:val="Sectiontext0"/>
              <w:jc w:val="center"/>
              <w:rPr>
                <w:rFonts w:cs="Arial"/>
                <w:lang w:eastAsia="en-US"/>
              </w:rPr>
            </w:pPr>
          </w:p>
        </w:tc>
        <w:tc>
          <w:tcPr>
            <w:tcW w:w="563" w:type="dxa"/>
          </w:tcPr>
          <w:p w14:paraId="7C856977" w14:textId="77777777" w:rsidR="008C3365" w:rsidRPr="00C9343F" w:rsidRDefault="008C3365" w:rsidP="005849DD">
            <w:pPr>
              <w:pStyle w:val="Sectiontext0"/>
              <w:jc w:val="center"/>
              <w:rPr>
                <w:rFonts w:cs="Arial"/>
                <w:lang w:eastAsia="en-US"/>
              </w:rPr>
            </w:pPr>
            <w:r w:rsidRPr="00C9343F">
              <w:rPr>
                <w:rFonts w:cs="Arial"/>
                <w:lang w:eastAsia="en-US"/>
              </w:rPr>
              <w:t>c.</w:t>
            </w:r>
          </w:p>
        </w:tc>
        <w:tc>
          <w:tcPr>
            <w:tcW w:w="7804" w:type="dxa"/>
          </w:tcPr>
          <w:p w14:paraId="252BFE2E" w14:textId="77777777" w:rsidR="008C3365" w:rsidRPr="00C9343F" w:rsidRDefault="008C3365" w:rsidP="00F66D98">
            <w:pPr>
              <w:pStyle w:val="Sectiontext0"/>
              <w:rPr>
                <w:rFonts w:cs="Arial"/>
              </w:rPr>
            </w:pPr>
            <w:r w:rsidRPr="00C9343F">
              <w:rPr>
                <w:rFonts w:cs="Arial"/>
              </w:rPr>
              <w:t>A pre-school.</w:t>
            </w:r>
          </w:p>
        </w:tc>
      </w:tr>
      <w:tr w:rsidR="008C3365" w:rsidRPr="00C9343F" w14:paraId="24083A76" w14:textId="77777777" w:rsidTr="006C044B">
        <w:tc>
          <w:tcPr>
            <w:tcW w:w="992" w:type="dxa"/>
          </w:tcPr>
          <w:p w14:paraId="0AD4AF6F" w14:textId="77777777" w:rsidR="008C3365" w:rsidRPr="00C9343F" w:rsidRDefault="008C3365" w:rsidP="00F66D98">
            <w:pPr>
              <w:pStyle w:val="Sectiontext0"/>
              <w:jc w:val="center"/>
              <w:rPr>
                <w:rFonts w:cs="Arial"/>
                <w:lang w:eastAsia="en-US"/>
              </w:rPr>
            </w:pPr>
          </w:p>
        </w:tc>
        <w:tc>
          <w:tcPr>
            <w:tcW w:w="563" w:type="dxa"/>
          </w:tcPr>
          <w:p w14:paraId="1C5AEBCD" w14:textId="77777777" w:rsidR="008C3365" w:rsidRPr="00C9343F" w:rsidRDefault="008C3365" w:rsidP="005849DD">
            <w:pPr>
              <w:pStyle w:val="Sectiontext0"/>
              <w:jc w:val="center"/>
              <w:rPr>
                <w:rFonts w:cs="Arial"/>
                <w:lang w:eastAsia="en-US"/>
              </w:rPr>
            </w:pPr>
            <w:r w:rsidRPr="00C9343F">
              <w:rPr>
                <w:rFonts w:cs="Arial"/>
                <w:lang w:eastAsia="en-US"/>
              </w:rPr>
              <w:t>d.</w:t>
            </w:r>
          </w:p>
        </w:tc>
        <w:tc>
          <w:tcPr>
            <w:tcW w:w="7804" w:type="dxa"/>
          </w:tcPr>
          <w:p w14:paraId="6714CCF8" w14:textId="77777777" w:rsidR="008C3365" w:rsidRPr="00C9343F" w:rsidRDefault="008C3365" w:rsidP="00F66D98">
            <w:pPr>
              <w:pStyle w:val="Sectiontext0"/>
              <w:rPr>
                <w:rFonts w:cs="Arial"/>
              </w:rPr>
            </w:pPr>
            <w:r w:rsidRPr="00C9343F">
              <w:rPr>
                <w:rFonts w:cs="Arial"/>
              </w:rPr>
              <w:t>A kindergarten.</w:t>
            </w:r>
          </w:p>
        </w:tc>
      </w:tr>
      <w:tr w:rsidR="008C3365" w:rsidRPr="00C9343F" w14:paraId="57995A71" w14:textId="77777777" w:rsidTr="006C044B">
        <w:tc>
          <w:tcPr>
            <w:tcW w:w="992" w:type="dxa"/>
          </w:tcPr>
          <w:p w14:paraId="6AB777B6" w14:textId="77777777" w:rsidR="008C3365" w:rsidRPr="00C9343F" w:rsidRDefault="008C3365" w:rsidP="00F66D98">
            <w:pPr>
              <w:pStyle w:val="Sectiontext0"/>
              <w:jc w:val="center"/>
              <w:rPr>
                <w:rFonts w:cs="Arial"/>
                <w:lang w:eastAsia="en-US"/>
              </w:rPr>
            </w:pPr>
          </w:p>
        </w:tc>
        <w:tc>
          <w:tcPr>
            <w:tcW w:w="563" w:type="dxa"/>
          </w:tcPr>
          <w:p w14:paraId="1B787FD3" w14:textId="77777777" w:rsidR="008C3365" w:rsidRPr="00C9343F" w:rsidRDefault="008C3365" w:rsidP="005849DD">
            <w:pPr>
              <w:pStyle w:val="Sectiontext0"/>
              <w:jc w:val="center"/>
              <w:rPr>
                <w:rFonts w:cs="Arial"/>
                <w:lang w:eastAsia="en-US"/>
              </w:rPr>
            </w:pPr>
            <w:r w:rsidRPr="00C9343F">
              <w:rPr>
                <w:rFonts w:cs="Arial"/>
                <w:lang w:eastAsia="en-US"/>
              </w:rPr>
              <w:t>e.</w:t>
            </w:r>
          </w:p>
        </w:tc>
        <w:tc>
          <w:tcPr>
            <w:tcW w:w="7804" w:type="dxa"/>
          </w:tcPr>
          <w:p w14:paraId="78CC7B0B" w14:textId="77777777" w:rsidR="008C3365" w:rsidRPr="00C9343F" w:rsidRDefault="008C3365" w:rsidP="00F66D98">
            <w:pPr>
              <w:pStyle w:val="Sectiontext0"/>
              <w:rPr>
                <w:rFonts w:cs="Arial"/>
              </w:rPr>
            </w:pPr>
            <w:r w:rsidRPr="00C9343F">
              <w:rPr>
                <w:rFonts w:cs="Arial"/>
              </w:rPr>
              <w:t>A child care provider.</w:t>
            </w:r>
          </w:p>
        </w:tc>
      </w:tr>
    </w:tbl>
    <w:p w14:paraId="312F8E39" w14:textId="5E9306A5" w:rsidR="008C3365" w:rsidRPr="00C9343F" w:rsidRDefault="00FF2307" w:rsidP="00F66D98">
      <w:pPr>
        <w:pStyle w:val="Heading5"/>
      </w:pPr>
      <w:bookmarkStart w:id="2046" w:name="_Toc105054179"/>
      <w:r w:rsidRPr="00C9343F">
        <w:t>5.11.18</w:t>
      </w:r>
      <w:r w:rsidR="00D94006" w:rsidRPr="00C9343F">
        <w:t>    </w:t>
      </w:r>
      <w:r w:rsidRPr="00C9343F">
        <w:t xml:space="preserve">Short absence from duty – </w:t>
      </w:r>
      <w:r w:rsidR="00711693" w:rsidRPr="00C9343F">
        <w:rPr>
          <w:lang w:eastAsia="en-US"/>
        </w:rPr>
        <w:t>school and child care attendance</w:t>
      </w:r>
      <w:bookmarkEnd w:id="2046"/>
    </w:p>
    <w:tbl>
      <w:tblPr>
        <w:tblW w:w="9359" w:type="dxa"/>
        <w:tblInd w:w="113" w:type="dxa"/>
        <w:tblLayout w:type="fixed"/>
        <w:tblLook w:val="04A0" w:firstRow="1" w:lastRow="0" w:firstColumn="1" w:lastColumn="0" w:noHBand="0" w:noVBand="1"/>
      </w:tblPr>
      <w:tblGrid>
        <w:gridCol w:w="991"/>
        <w:gridCol w:w="567"/>
        <w:gridCol w:w="567"/>
        <w:gridCol w:w="7234"/>
      </w:tblGrid>
      <w:tr w:rsidR="00FF2307" w:rsidRPr="00C9343F" w14:paraId="30F1965E" w14:textId="77777777" w:rsidTr="006C044B">
        <w:tc>
          <w:tcPr>
            <w:tcW w:w="991" w:type="dxa"/>
          </w:tcPr>
          <w:p w14:paraId="086FED23" w14:textId="77777777" w:rsidR="00FF2307" w:rsidRPr="00C9343F" w:rsidRDefault="00FF2307" w:rsidP="00F66D98">
            <w:pPr>
              <w:pStyle w:val="Sectiontext0"/>
              <w:jc w:val="center"/>
              <w:rPr>
                <w:rFonts w:cs="Arial"/>
                <w:lang w:eastAsia="en-US"/>
              </w:rPr>
            </w:pPr>
            <w:r w:rsidRPr="00C9343F">
              <w:rPr>
                <w:rFonts w:cs="Arial"/>
                <w:lang w:eastAsia="en-US"/>
              </w:rPr>
              <w:t>1.</w:t>
            </w:r>
          </w:p>
        </w:tc>
        <w:tc>
          <w:tcPr>
            <w:tcW w:w="8368" w:type="dxa"/>
            <w:gridSpan w:val="3"/>
          </w:tcPr>
          <w:p w14:paraId="48E915AE" w14:textId="77777777" w:rsidR="00FF2307" w:rsidRPr="00C9343F" w:rsidRDefault="00FF2307" w:rsidP="00F66D98">
            <w:pPr>
              <w:pStyle w:val="Sectiontext0"/>
              <w:rPr>
                <w:rFonts w:cs="Arial"/>
              </w:rPr>
            </w:pPr>
            <w:r w:rsidRPr="00C9343F">
              <w:rPr>
                <w:rFonts w:cs="Arial"/>
              </w:rPr>
              <w:t xml:space="preserve">Subject to subsections 2, 4 and 5, a member is eligible for short absence from duty for an approved period if both the following apply. </w:t>
            </w:r>
          </w:p>
        </w:tc>
      </w:tr>
      <w:tr w:rsidR="00FF2307" w:rsidRPr="00C9343F" w14:paraId="4F7B05A7" w14:textId="77777777" w:rsidTr="006C044B">
        <w:tc>
          <w:tcPr>
            <w:tcW w:w="991" w:type="dxa"/>
          </w:tcPr>
          <w:p w14:paraId="3F226C0A" w14:textId="77777777" w:rsidR="00FF2307" w:rsidRPr="00C9343F" w:rsidRDefault="00FF2307" w:rsidP="00F66D98">
            <w:pPr>
              <w:pStyle w:val="Sectiontext0"/>
              <w:jc w:val="center"/>
              <w:rPr>
                <w:rFonts w:cs="Arial"/>
                <w:lang w:eastAsia="en-US"/>
              </w:rPr>
            </w:pPr>
          </w:p>
        </w:tc>
        <w:tc>
          <w:tcPr>
            <w:tcW w:w="567" w:type="dxa"/>
            <w:hideMark/>
          </w:tcPr>
          <w:p w14:paraId="269797F2" w14:textId="77777777" w:rsidR="00FF2307" w:rsidRPr="00C9343F" w:rsidRDefault="00FF2307" w:rsidP="005849DD">
            <w:pPr>
              <w:pStyle w:val="Sectiontext0"/>
              <w:jc w:val="center"/>
              <w:rPr>
                <w:rFonts w:cs="Arial"/>
                <w:lang w:eastAsia="en-US"/>
              </w:rPr>
            </w:pPr>
            <w:r w:rsidRPr="00C9343F">
              <w:rPr>
                <w:rFonts w:cs="Arial"/>
                <w:lang w:eastAsia="en-US"/>
              </w:rPr>
              <w:t>a.</w:t>
            </w:r>
          </w:p>
        </w:tc>
        <w:tc>
          <w:tcPr>
            <w:tcW w:w="7801" w:type="dxa"/>
            <w:gridSpan w:val="2"/>
          </w:tcPr>
          <w:p w14:paraId="20ACF05D" w14:textId="77777777" w:rsidR="00711693" w:rsidRPr="00C9343F" w:rsidRDefault="00711693" w:rsidP="00F66D98">
            <w:pPr>
              <w:pStyle w:val="Sectiontext0"/>
              <w:rPr>
                <w:lang w:eastAsia="en-US"/>
              </w:rPr>
            </w:pPr>
            <w:r w:rsidRPr="00C9343F">
              <w:rPr>
                <w:lang w:eastAsia="en-US"/>
              </w:rPr>
              <w:t>The dependant is unable to attend their school, kindergarten or child care provider because of a COVID-19 control measure.</w:t>
            </w:r>
          </w:p>
          <w:p w14:paraId="258DE446" w14:textId="77777777" w:rsidR="00FF2307" w:rsidRPr="00C9343F" w:rsidRDefault="00711693" w:rsidP="00F66D98">
            <w:pPr>
              <w:pStyle w:val="Sectiontext0"/>
              <w:rPr>
                <w:rFonts w:cs="Arial"/>
                <w:lang w:eastAsia="en-US"/>
              </w:rPr>
            </w:pPr>
            <w:r w:rsidRPr="00C9343F">
              <w:rPr>
                <w:rFonts w:cs="Arial"/>
                <w:b/>
                <w:lang w:eastAsia="en-US"/>
              </w:rPr>
              <w:t>Note:</w:t>
            </w:r>
            <w:r w:rsidRPr="00C9343F">
              <w:rPr>
                <w:rFonts w:cs="Arial"/>
                <w:lang w:eastAsia="en-US"/>
              </w:rPr>
              <w:t xml:space="preserve"> This does not include a period the child would not have otherwise attended school, such as school holidays.</w:t>
            </w:r>
          </w:p>
        </w:tc>
      </w:tr>
      <w:tr w:rsidR="00FF2307" w:rsidRPr="00C9343F" w14:paraId="160511CC" w14:textId="77777777" w:rsidTr="006C044B">
        <w:tc>
          <w:tcPr>
            <w:tcW w:w="991" w:type="dxa"/>
          </w:tcPr>
          <w:p w14:paraId="3D94C8A9" w14:textId="77777777" w:rsidR="00FF2307" w:rsidRPr="00C9343F" w:rsidRDefault="00FF2307" w:rsidP="00F66D98">
            <w:pPr>
              <w:pStyle w:val="Sectiontext0"/>
              <w:jc w:val="center"/>
              <w:rPr>
                <w:rFonts w:cs="Arial"/>
                <w:lang w:eastAsia="en-US"/>
              </w:rPr>
            </w:pPr>
          </w:p>
        </w:tc>
        <w:tc>
          <w:tcPr>
            <w:tcW w:w="567" w:type="dxa"/>
          </w:tcPr>
          <w:p w14:paraId="0FE2D1F1" w14:textId="77777777" w:rsidR="00FF2307" w:rsidRPr="00C9343F" w:rsidRDefault="00FF2307" w:rsidP="005849DD">
            <w:pPr>
              <w:pStyle w:val="Sectiontext0"/>
              <w:jc w:val="center"/>
              <w:rPr>
                <w:rFonts w:cs="Arial"/>
                <w:lang w:eastAsia="en-US"/>
              </w:rPr>
            </w:pPr>
            <w:r w:rsidRPr="00C9343F">
              <w:rPr>
                <w:rFonts w:cs="Arial"/>
                <w:lang w:eastAsia="en-US"/>
              </w:rPr>
              <w:t>b.</w:t>
            </w:r>
          </w:p>
        </w:tc>
        <w:tc>
          <w:tcPr>
            <w:tcW w:w="7801" w:type="dxa"/>
            <w:gridSpan w:val="2"/>
          </w:tcPr>
          <w:p w14:paraId="0B9CB62A" w14:textId="77777777" w:rsidR="00FF2307" w:rsidRPr="00C9343F" w:rsidRDefault="00FF2307" w:rsidP="00F66D98">
            <w:pPr>
              <w:pStyle w:val="Sectiontext0"/>
              <w:rPr>
                <w:rFonts w:cs="Arial"/>
              </w:rPr>
            </w:pPr>
            <w:r w:rsidRPr="00C9343F">
              <w:rPr>
                <w:rFonts w:cs="Arial"/>
              </w:rPr>
              <w:t>The member must supervise the dependant.</w:t>
            </w:r>
          </w:p>
        </w:tc>
      </w:tr>
      <w:tr w:rsidR="00FF2307" w:rsidRPr="00C9343F" w14:paraId="6027EDAB" w14:textId="77777777" w:rsidTr="006C044B">
        <w:tc>
          <w:tcPr>
            <w:tcW w:w="991" w:type="dxa"/>
          </w:tcPr>
          <w:p w14:paraId="5B887CD9" w14:textId="77777777" w:rsidR="00FF2307" w:rsidRPr="00C9343F" w:rsidRDefault="00FF2307" w:rsidP="00F66D98">
            <w:pPr>
              <w:pStyle w:val="Sectiontext0"/>
              <w:jc w:val="center"/>
              <w:rPr>
                <w:rFonts w:cs="Arial"/>
                <w:lang w:eastAsia="en-US"/>
              </w:rPr>
            </w:pPr>
            <w:r w:rsidRPr="00C9343F">
              <w:rPr>
                <w:rFonts w:cs="Arial"/>
                <w:lang w:eastAsia="en-US"/>
              </w:rPr>
              <w:t>2.</w:t>
            </w:r>
          </w:p>
        </w:tc>
        <w:tc>
          <w:tcPr>
            <w:tcW w:w="8368" w:type="dxa"/>
            <w:gridSpan w:val="3"/>
          </w:tcPr>
          <w:p w14:paraId="1E2A8473" w14:textId="77777777" w:rsidR="00FF2307" w:rsidRPr="00C9343F" w:rsidRDefault="00FF2307" w:rsidP="00F66D98">
            <w:pPr>
              <w:pStyle w:val="Sectiontext0"/>
              <w:rPr>
                <w:rFonts w:cs="Arial"/>
              </w:rPr>
            </w:pPr>
            <w:r w:rsidRPr="00C9343F">
              <w:rPr>
                <w:rFonts w:cs="Arial"/>
              </w:rPr>
              <w:t xml:space="preserve">An approved period is one of the following, but must not be longer than the duration of the </w:t>
            </w:r>
            <w:r w:rsidR="00711693" w:rsidRPr="00C9343F">
              <w:rPr>
                <w:lang w:eastAsia="en-US"/>
              </w:rPr>
              <w:t>dependant’s inability to attend their school, kindergarten or child care provider because of COVID-19 control measure</w:t>
            </w:r>
            <w:r w:rsidRPr="00C9343F">
              <w:rPr>
                <w:rFonts w:cs="Arial"/>
              </w:rPr>
              <w:t>.</w:t>
            </w:r>
          </w:p>
        </w:tc>
      </w:tr>
      <w:tr w:rsidR="00FF2307" w:rsidRPr="00C9343F" w14:paraId="6748EE21" w14:textId="77777777" w:rsidTr="006C044B">
        <w:tc>
          <w:tcPr>
            <w:tcW w:w="991" w:type="dxa"/>
          </w:tcPr>
          <w:p w14:paraId="76D5944E" w14:textId="77777777" w:rsidR="00FF2307" w:rsidRPr="00C9343F" w:rsidRDefault="00FF2307" w:rsidP="00F66D98">
            <w:pPr>
              <w:pStyle w:val="Sectiontext0"/>
              <w:jc w:val="center"/>
              <w:rPr>
                <w:rFonts w:cs="Arial"/>
                <w:lang w:eastAsia="en-US"/>
              </w:rPr>
            </w:pPr>
          </w:p>
        </w:tc>
        <w:tc>
          <w:tcPr>
            <w:tcW w:w="567" w:type="dxa"/>
            <w:hideMark/>
          </w:tcPr>
          <w:p w14:paraId="7AA776B5" w14:textId="77777777" w:rsidR="00FF2307" w:rsidRPr="00C9343F" w:rsidRDefault="00FF2307" w:rsidP="005849DD">
            <w:pPr>
              <w:pStyle w:val="Sectiontext0"/>
              <w:jc w:val="center"/>
              <w:rPr>
                <w:rFonts w:cs="Arial"/>
                <w:lang w:eastAsia="en-US"/>
              </w:rPr>
            </w:pPr>
            <w:r w:rsidRPr="00C9343F">
              <w:rPr>
                <w:rFonts w:cs="Arial"/>
                <w:lang w:eastAsia="en-US"/>
              </w:rPr>
              <w:t>a.</w:t>
            </w:r>
          </w:p>
        </w:tc>
        <w:tc>
          <w:tcPr>
            <w:tcW w:w="7801" w:type="dxa"/>
            <w:gridSpan w:val="2"/>
          </w:tcPr>
          <w:p w14:paraId="0582000F" w14:textId="77777777" w:rsidR="00FF2307" w:rsidRPr="00C9343F" w:rsidRDefault="00FF2307" w:rsidP="00F66D98">
            <w:pPr>
              <w:pStyle w:val="Sectiontext0"/>
              <w:rPr>
                <w:rFonts w:cs="Arial"/>
                <w:lang w:eastAsia="en-US"/>
              </w:rPr>
            </w:pPr>
            <w:r w:rsidRPr="00C9343F">
              <w:rPr>
                <w:rFonts w:cs="Arial"/>
                <w:lang w:eastAsia="en-US"/>
              </w:rPr>
              <w:t xml:space="preserve">A period approved by the member’s Commanding Officer that is less than a total of 28 days. </w:t>
            </w:r>
          </w:p>
        </w:tc>
      </w:tr>
      <w:tr w:rsidR="00FF2307" w:rsidRPr="00C9343F" w14:paraId="2D16964B" w14:textId="77777777" w:rsidTr="006C044B">
        <w:tc>
          <w:tcPr>
            <w:tcW w:w="991" w:type="dxa"/>
          </w:tcPr>
          <w:p w14:paraId="73E4480B" w14:textId="77777777" w:rsidR="00FF2307" w:rsidRPr="00C9343F" w:rsidRDefault="00FF2307" w:rsidP="00F66D98">
            <w:pPr>
              <w:pStyle w:val="Sectiontext0"/>
              <w:jc w:val="center"/>
              <w:rPr>
                <w:rFonts w:cs="Arial"/>
                <w:lang w:eastAsia="en-US"/>
              </w:rPr>
            </w:pPr>
          </w:p>
        </w:tc>
        <w:tc>
          <w:tcPr>
            <w:tcW w:w="567" w:type="dxa"/>
          </w:tcPr>
          <w:p w14:paraId="17ACC8F5" w14:textId="77777777" w:rsidR="00FF2307" w:rsidRPr="00C9343F" w:rsidRDefault="00FF2307" w:rsidP="005849DD">
            <w:pPr>
              <w:pStyle w:val="Sectiontext0"/>
              <w:jc w:val="center"/>
              <w:rPr>
                <w:rFonts w:cs="Arial"/>
                <w:lang w:eastAsia="en-US"/>
              </w:rPr>
            </w:pPr>
            <w:r w:rsidRPr="00C9343F">
              <w:rPr>
                <w:rFonts w:cs="Arial"/>
                <w:lang w:eastAsia="en-US"/>
              </w:rPr>
              <w:t>b.</w:t>
            </w:r>
          </w:p>
        </w:tc>
        <w:tc>
          <w:tcPr>
            <w:tcW w:w="7801" w:type="dxa"/>
            <w:gridSpan w:val="2"/>
          </w:tcPr>
          <w:p w14:paraId="308D0571" w14:textId="41A167A6" w:rsidR="00FF2307" w:rsidRPr="00C9343F" w:rsidRDefault="00FF2307" w:rsidP="00F66D98">
            <w:pPr>
              <w:pStyle w:val="Sectiontext0"/>
              <w:rPr>
                <w:rFonts w:cs="Arial"/>
              </w:rPr>
            </w:pPr>
            <w:r w:rsidRPr="00C9343F">
              <w:rPr>
                <w:rFonts w:cs="Arial"/>
              </w:rPr>
              <w:t>A greater period approved by a decision maker that is up to the duration of the closure.</w:t>
            </w:r>
          </w:p>
        </w:tc>
      </w:tr>
      <w:tr w:rsidR="00FF2307" w:rsidRPr="00C9343F" w14:paraId="48755352" w14:textId="77777777" w:rsidTr="006C044B">
        <w:tc>
          <w:tcPr>
            <w:tcW w:w="991" w:type="dxa"/>
          </w:tcPr>
          <w:p w14:paraId="569097B5" w14:textId="77777777" w:rsidR="00FF2307" w:rsidRPr="00C9343F" w:rsidRDefault="00FF2307" w:rsidP="00F66D98">
            <w:pPr>
              <w:pStyle w:val="Sectiontext0"/>
              <w:jc w:val="center"/>
              <w:rPr>
                <w:rFonts w:cs="Arial"/>
                <w:lang w:eastAsia="en-US"/>
              </w:rPr>
            </w:pPr>
            <w:r w:rsidRPr="00C9343F">
              <w:rPr>
                <w:rFonts w:cs="Arial"/>
                <w:lang w:eastAsia="en-US"/>
              </w:rPr>
              <w:t>3.</w:t>
            </w:r>
          </w:p>
        </w:tc>
        <w:tc>
          <w:tcPr>
            <w:tcW w:w="8368" w:type="dxa"/>
            <w:gridSpan w:val="3"/>
          </w:tcPr>
          <w:p w14:paraId="0418DA24" w14:textId="77777777" w:rsidR="00FF2307" w:rsidRPr="00C9343F" w:rsidRDefault="00FF2307" w:rsidP="00F66D98">
            <w:pPr>
              <w:pStyle w:val="Sectiontext0"/>
              <w:rPr>
                <w:rFonts w:cs="Arial"/>
              </w:rPr>
            </w:pPr>
            <w:r w:rsidRPr="00C9343F">
              <w:rPr>
                <w:rFonts w:cs="Arial"/>
              </w:rPr>
              <w:t>In approving a period of short absence from duty, the decision maker must consider the following.</w:t>
            </w:r>
          </w:p>
        </w:tc>
      </w:tr>
      <w:tr w:rsidR="00FF2307" w:rsidRPr="00C9343F" w14:paraId="6957BCCC" w14:textId="77777777" w:rsidTr="006C044B">
        <w:tc>
          <w:tcPr>
            <w:tcW w:w="991" w:type="dxa"/>
          </w:tcPr>
          <w:p w14:paraId="580A4C20" w14:textId="77777777" w:rsidR="00FF2307" w:rsidRPr="00C9343F" w:rsidRDefault="00FF2307" w:rsidP="00F66D98">
            <w:pPr>
              <w:pStyle w:val="Sectiontext0"/>
              <w:jc w:val="center"/>
              <w:rPr>
                <w:rFonts w:cs="Arial"/>
                <w:lang w:eastAsia="en-US"/>
              </w:rPr>
            </w:pPr>
          </w:p>
        </w:tc>
        <w:tc>
          <w:tcPr>
            <w:tcW w:w="567" w:type="dxa"/>
            <w:hideMark/>
          </w:tcPr>
          <w:p w14:paraId="1E175193" w14:textId="77777777" w:rsidR="00FF2307" w:rsidRPr="00C9343F" w:rsidRDefault="00FF2307" w:rsidP="005849DD">
            <w:pPr>
              <w:pStyle w:val="Sectiontext0"/>
              <w:jc w:val="center"/>
              <w:rPr>
                <w:rFonts w:cs="Arial"/>
                <w:lang w:eastAsia="en-US"/>
              </w:rPr>
            </w:pPr>
            <w:r w:rsidRPr="00C9343F">
              <w:rPr>
                <w:rFonts w:cs="Arial"/>
                <w:lang w:eastAsia="en-US"/>
              </w:rPr>
              <w:t>a.</w:t>
            </w:r>
          </w:p>
        </w:tc>
        <w:tc>
          <w:tcPr>
            <w:tcW w:w="7801" w:type="dxa"/>
            <w:gridSpan w:val="2"/>
          </w:tcPr>
          <w:p w14:paraId="7FA14818" w14:textId="77777777" w:rsidR="00FF2307" w:rsidRPr="00C9343F" w:rsidRDefault="00FF2307" w:rsidP="00F66D98">
            <w:pPr>
              <w:pStyle w:val="Sectiontext0"/>
              <w:rPr>
                <w:rFonts w:cs="Arial"/>
                <w:lang w:eastAsia="en-US"/>
              </w:rPr>
            </w:pPr>
            <w:r w:rsidRPr="00C9343F">
              <w:rPr>
                <w:rFonts w:cs="Arial"/>
                <w:lang w:eastAsia="en-US"/>
              </w:rPr>
              <w:t>The duration of the closure.</w:t>
            </w:r>
          </w:p>
        </w:tc>
      </w:tr>
      <w:tr w:rsidR="00FF2307" w:rsidRPr="00C9343F" w14:paraId="36897E13" w14:textId="77777777" w:rsidTr="006C044B">
        <w:tc>
          <w:tcPr>
            <w:tcW w:w="991" w:type="dxa"/>
          </w:tcPr>
          <w:p w14:paraId="65F2D684" w14:textId="77777777" w:rsidR="00FF2307" w:rsidRPr="00C9343F" w:rsidRDefault="00FF2307" w:rsidP="00F66D98">
            <w:pPr>
              <w:pStyle w:val="Sectiontext0"/>
              <w:jc w:val="center"/>
              <w:rPr>
                <w:rFonts w:cs="Arial"/>
                <w:lang w:eastAsia="en-US"/>
              </w:rPr>
            </w:pPr>
          </w:p>
        </w:tc>
        <w:tc>
          <w:tcPr>
            <w:tcW w:w="567" w:type="dxa"/>
          </w:tcPr>
          <w:p w14:paraId="301C822F" w14:textId="77777777" w:rsidR="00FF2307" w:rsidRPr="00C9343F" w:rsidRDefault="00FF2307" w:rsidP="005849DD">
            <w:pPr>
              <w:pStyle w:val="Sectiontext0"/>
              <w:jc w:val="center"/>
              <w:rPr>
                <w:rFonts w:cs="Arial"/>
                <w:lang w:eastAsia="en-US"/>
              </w:rPr>
            </w:pPr>
            <w:r w:rsidRPr="00C9343F">
              <w:rPr>
                <w:rFonts w:cs="Arial"/>
                <w:lang w:eastAsia="en-US"/>
              </w:rPr>
              <w:t>b.</w:t>
            </w:r>
          </w:p>
        </w:tc>
        <w:tc>
          <w:tcPr>
            <w:tcW w:w="7801" w:type="dxa"/>
            <w:gridSpan w:val="2"/>
          </w:tcPr>
          <w:p w14:paraId="50BB250F" w14:textId="77777777" w:rsidR="00FF2307" w:rsidRPr="00C9343F" w:rsidRDefault="00FF2307" w:rsidP="00F66D98">
            <w:pPr>
              <w:pStyle w:val="Sectiontext0"/>
              <w:rPr>
                <w:rFonts w:cs="Arial"/>
              </w:rPr>
            </w:pPr>
            <w:r w:rsidRPr="00C9343F">
              <w:rPr>
                <w:rFonts w:cs="Arial"/>
              </w:rPr>
              <w:t>The member’s ability to find alternative supervisory arrangements.</w:t>
            </w:r>
          </w:p>
        </w:tc>
      </w:tr>
      <w:tr w:rsidR="00FF2307" w:rsidRPr="00C9343F" w14:paraId="2318D9F8" w14:textId="77777777" w:rsidTr="006C044B">
        <w:tc>
          <w:tcPr>
            <w:tcW w:w="991" w:type="dxa"/>
          </w:tcPr>
          <w:p w14:paraId="53B67FA2" w14:textId="77777777" w:rsidR="00FF2307" w:rsidRPr="00C9343F" w:rsidRDefault="00FF2307" w:rsidP="00F66D98">
            <w:pPr>
              <w:pStyle w:val="Sectiontext0"/>
              <w:jc w:val="center"/>
              <w:rPr>
                <w:rFonts w:cs="Arial"/>
                <w:lang w:eastAsia="en-US"/>
              </w:rPr>
            </w:pPr>
            <w:r w:rsidRPr="00C9343F">
              <w:rPr>
                <w:rFonts w:cs="Arial"/>
                <w:lang w:eastAsia="en-US"/>
              </w:rPr>
              <w:t>4.</w:t>
            </w:r>
          </w:p>
        </w:tc>
        <w:tc>
          <w:tcPr>
            <w:tcW w:w="8368" w:type="dxa"/>
            <w:gridSpan w:val="3"/>
          </w:tcPr>
          <w:p w14:paraId="1B4B56CD" w14:textId="77777777" w:rsidR="00FF2307" w:rsidRPr="00C9343F" w:rsidRDefault="00FF2307" w:rsidP="00F66D98">
            <w:pPr>
              <w:pStyle w:val="Sectiontext0"/>
              <w:rPr>
                <w:rFonts w:cs="Arial"/>
              </w:rPr>
            </w:pPr>
            <w:r w:rsidRPr="00C9343F">
              <w:rPr>
                <w:rFonts w:cs="Arial"/>
              </w:rPr>
              <w:t>If a member is able to perform duty at the place where they are supervising the dependant having regard to the age and welfare of the child, the member is not eligible for a short absence from duty for that period.</w:t>
            </w:r>
          </w:p>
          <w:p w14:paraId="344DADFF" w14:textId="77777777" w:rsidR="00FF2307" w:rsidRPr="00C9343F" w:rsidRDefault="00FF2307" w:rsidP="00F66D98">
            <w:pPr>
              <w:pStyle w:val="Sectiontext0"/>
              <w:rPr>
                <w:rFonts w:cs="Arial"/>
              </w:rPr>
            </w:pPr>
            <w:r w:rsidRPr="00C9343F">
              <w:rPr>
                <w:rFonts w:cs="Arial"/>
                <w:b/>
              </w:rPr>
              <w:t>Note:</w:t>
            </w:r>
            <w:r w:rsidRPr="00C9343F">
              <w:rPr>
                <w:rFonts w:cs="Arial"/>
              </w:rPr>
              <w:t xml:space="preserve"> Commanding Officers should work with members to establish suitable work from home arrangements if possible.</w:t>
            </w:r>
          </w:p>
        </w:tc>
      </w:tr>
      <w:tr w:rsidR="00FF2307" w:rsidRPr="00C9343F" w14:paraId="78EA4102" w14:textId="77777777" w:rsidTr="006C044B">
        <w:tc>
          <w:tcPr>
            <w:tcW w:w="991" w:type="dxa"/>
          </w:tcPr>
          <w:p w14:paraId="0B6EB9C4" w14:textId="77777777" w:rsidR="00FF2307" w:rsidRPr="00C9343F" w:rsidRDefault="00FF2307" w:rsidP="00F66D98">
            <w:pPr>
              <w:pStyle w:val="Sectiontext0"/>
              <w:keepNext/>
              <w:keepLines/>
              <w:jc w:val="center"/>
              <w:rPr>
                <w:rFonts w:cs="Arial"/>
                <w:lang w:eastAsia="en-US"/>
              </w:rPr>
            </w:pPr>
            <w:r w:rsidRPr="00C9343F">
              <w:rPr>
                <w:rFonts w:cs="Arial"/>
                <w:lang w:eastAsia="en-US"/>
              </w:rPr>
              <w:t>5.</w:t>
            </w:r>
          </w:p>
        </w:tc>
        <w:tc>
          <w:tcPr>
            <w:tcW w:w="8368" w:type="dxa"/>
            <w:gridSpan w:val="3"/>
          </w:tcPr>
          <w:p w14:paraId="31D9504C" w14:textId="77777777" w:rsidR="00FF2307" w:rsidRPr="00C9343F" w:rsidRDefault="00FF2307" w:rsidP="00F66D98">
            <w:pPr>
              <w:pStyle w:val="Sectiontext0"/>
              <w:keepNext/>
              <w:keepLines/>
              <w:rPr>
                <w:rFonts w:cs="Arial"/>
              </w:rPr>
            </w:pPr>
            <w:r w:rsidRPr="00C9343F">
              <w:rPr>
                <w:rFonts w:cs="Arial"/>
              </w:rPr>
              <w:t>If the member has a partner or spouse who is eligible for the same benefit or a similar benefit for the same purpose, the member is not eligible for short absence leave under this section at the same time the spouse or partner is receiving the same benefit or a similar benefit.</w:t>
            </w:r>
          </w:p>
        </w:tc>
      </w:tr>
      <w:tr w:rsidR="00FF2307" w:rsidRPr="00C9343F" w14:paraId="558F9530" w14:textId="77777777" w:rsidTr="006C044B">
        <w:tc>
          <w:tcPr>
            <w:tcW w:w="991" w:type="dxa"/>
          </w:tcPr>
          <w:p w14:paraId="4DCCDBEB" w14:textId="77777777" w:rsidR="00FF2307" w:rsidRPr="00C9343F" w:rsidRDefault="00FF2307" w:rsidP="00F66D98">
            <w:pPr>
              <w:pStyle w:val="Sectiontext0"/>
              <w:jc w:val="center"/>
              <w:rPr>
                <w:rFonts w:cs="Arial"/>
                <w:lang w:eastAsia="en-US"/>
              </w:rPr>
            </w:pPr>
            <w:r w:rsidRPr="00C9343F">
              <w:rPr>
                <w:rFonts w:cs="Arial"/>
                <w:lang w:eastAsia="en-US"/>
              </w:rPr>
              <w:t>6.</w:t>
            </w:r>
          </w:p>
        </w:tc>
        <w:tc>
          <w:tcPr>
            <w:tcW w:w="8368" w:type="dxa"/>
            <w:gridSpan w:val="3"/>
          </w:tcPr>
          <w:p w14:paraId="471D9951" w14:textId="77777777" w:rsidR="00FF2307" w:rsidRPr="00C9343F" w:rsidRDefault="00FF2307" w:rsidP="00F66D98">
            <w:pPr>
              <w:pStyle w:val="Sectiontext0"/>
              <w:rPr>
                <w:rFonts w:cs="Arial"/>
              </w:rPr>
            </w:pPr>
            <w:r w:rsidRPr="00C9343F">
              <w:rPr>
                <w:rFonts w:cs="Arial"/>
              </w:rPr>
              <w:t>For the purpose of paragraph 2.b, the decision maker is a person holding, or performing the duties of, one of the following positions.</w:t>
            </w:r>
          </w:p>
        </w:tc>
      </w:tr>
      <w:tr w:rsidR="00FF2307" w:rsidRPr="00C9343F" w14:paraId="0B64F1FE" w14:textId="77777777" w:rsidTr="006C044B">
        <w:tc>
          <w:tcPr>
            <w:tcW w:w="991" w:type="dxa"/>
          </w:tcPr>
          <w:p w14:paraId="005B2756" w14:textId="77777777" w:rsidR="00FF2307" w:rsidRPr="00C9343F" w:rsidRDefault="00FF2307" w:rsidP="00F66D98">
            <w:pPr>
              <w:pStyle w:val="Sectiontext0"/>
              <w:rPr>
                <w:rFonts w:cs="Arial"/>
              </w:rPr>
            </w:pPr>
          </w:p>
        </w:tc>
        <w:tc>
          <w:tcPr>
            <w:tcW w:w="567" w:type="dxa"/>
            <w:hideMark/>
          </w:tcPr>
          <w:p w14:paraId="4400BA00" w14:textId="77777777" w:rsidR="00FF2307" w:rsidRPr="00C9343F" w:rsidRDefault="00FF2307" w:rsidP="005849DD">
            <w:pPr>
              <w:pStyle w:val="Sectiontext0"/>
              <w:jc w:val="center"/>
              <w:rPr>
                <w:rFonts w:cs="Arial"/>
              </w:rPr>
            </w:pPr>
            <w:r w:rsidRPr="00C9343F">
              <w:rPr>
                <w:rFonts w:cs="Arial"/>
              </w:rPr>
              <w:t>a.</w:t>
            </w:r>
          </w:p>
        </w:tc>
        <w:tc>
          <w:tcPr>
            <w:tcW w:w="7801" w:type="dxa"/>
            <w:gridSpan w:val="2"/>
          </w:tcPr>
          <w:p w14:paraId="6AEC6ED6" w14:textId="77777777" w:rsidR="00FF2307" w:rsidRPr="00C9343F" w:rsidRDefault="00FF2307" w:rsidP="00F66D98">
            <w:pPr>
              <w:pStyle w:val="Sectiontext0"/>
              <w:rPr>
                <w:rFonts w:cs="Arial"/>
              </w:rPr>
            </w:pPr>
            <w:r w:rsidRPr="00C9343F">
              <w:rPr>
                <w:rFonts w:cs="Arial"/>
              </w:rPr>
              <w:t>For a member in the Navy, one of the following.</w:t>
            </w:r>
          </w:p>
        </w:tc>
      </w:tr>
      <w:tr w:rsidR="00FF2307" w:rsidRPr="00C9343F" w14:paraId="246D2332" w14:textId="77777777" w:rsidTr="006C044B">
        <w:tc>
          <w:tcPr>
            <w:tcW w:w="991" w:type="dxa"/>
          </w:tcPr>
          <w:p w14:paraId="3AA466A1" w14:textId="77777777" w:rsidR="00FF2307" w:rsidRPr="00C9343F" w:rsidRDefault="00FF2307" w:rsidP="00F66D98">
            <w:pPr>
              <w:pStyle w:val="Sectiontext0"/>
              <w:rPr>
                <w:rFonts w:cs="Arial"/>
              </w:rPr>
            </w:pPr>
          </w:p>
        </w:tc>
        <w:tc>
          <w:tcPr>
            <w:tcW w:w="567" w:type="dxa"/>
          </w:tcPr>
          <w:p w14:paraId="500201A8" w14:textId="77777777" w:rsidR="00FF2307" w:rsidRPr="00C9343F" w:rsidRDefault="00FF2307" w:rsidP="00F66D98">
            <w:pPr>
              <w:pStyle w:val="Sectiontext0"/>
              <w:rPr>
                <w:rFonts w:cs="Arial"/>
              </w:rPr>
            </w:pPr>
          </w:p>
        </w:tc>
        <w:tc>
          <w:tcPr>
            <w:tcW w:w="567" w:type="dxa"/>
          </w:tcPr>
          <w:p w14:paraId="78067BB2" w14:textId="77777777" w:rsidR="00FF2307" w:rsidRPr="00C9343F" w:rsidRDefault="00FF2307" w:rsidP="005849DD">
            <w:pPr>
              <w:pStyle w:val="Sectiontext0"/>
              <w:rPr>
                <w:rFonts w:cs="Arial"/>
              </w:rPr>
            </w:pPr>
            <w:r w:rsidRPr="00C9343F">
              <w:rPr>
                <w:rFonts w:cs="Arial"/>
              </w:rPr>
              <w:t>i.</w:t>
            </w:r>
          </w:p>
        </w:tc>
        <w:tc>
          <w:tcPr>
            <w:tcW w:w="7234" w:type="dxa"/>
          </w:tcPr>
          <w:p w14:paraId="2BC44A8F" w14:textId="77777777" w:rsidR="00FF2307" w:rsidRPr="00C9343F" w:rsidRDefault="00FF2307" w:rsidP="00F66D98">
            <w:pPr>
              <w:pStyle w:val="Sectiontext0"/>
              <w:rPr>
                <w:rFonts w:cs="Arial"/>
              </w:rPr>
            </w:pPr>
            <w:r w:rsidRPr="00C9343F">
              <w:rPr>
                <w:rFonts w:cs="Arial"/>
              </w:rPr>
              <w:t>Director General Navy People.</w:t>
            </w:r>
          </w:p>
        </w:tc>
      </w:tr>
      <w:tr w:rsidR="00FF2307" w:rsidRPr="00C9343F" w14:paraId="0F40FD40" w14:textId="77777777" w:rsidTr="006C044B">
        <w:tc>
          <w:tcPr>
            <w:tcW w:w="991" w:type="dxa"/>
          </w:tcPr>
          <w:p w14:paraId="09EC0770" w14:textId="77777777" w:rsidR="00FF2307" w:rsidRPr="00C9343F" w:rsidRDefault="00FF2307" w:rsidP="00F66D98">
            <w:pPr>
              <w:pStyle w:val="Sectiontext0"/>
              <w:rPr>
                <w:rFonts w:cs="Arial"/>
              </w:rPr>
            </w:pPr>
          </w:p>
        </w:tc>
        <w:tc>
          <w:tcPr>
            <w:tcW w:w="567" w:type="dxa"/>
          </w:tcPr>
          <w:p w14:paraId="3EE61819" w14:textId="77777777" w:rsidR="00FF2307" w:rsidRPr="00C9343F" w:rsidRDefault="00FF2307" w:rsidP="00F66D98">
            <w:pPr>
              <w:pStyle w:val="Sectiontext0"/>
              <w:rPr>
                <w:rFonts w:cs="Arial"/>
              </w:rPr>
            </w:pPr>
          </w:p>
        </w:tc>
        <w:tc>
          <w:tcPr>
            <w:tcW w:w="567" w:type="dxa"/>
          </w:tcPr>
          <w:p w14:paraId="1C374AB4" w14:textId="77777777" w:rsidR="00FF2307" w:rsidRPr="00C9343F" w:rsidRDefault="00FF2307" w:rsidP="005849DD">
            <w:pPr>
              <w:pStyle w:val="Sectiontext0"/>
              <w:rPr>
                <w:rFonts w:cs="Arial"/>
              </w:rPr>
            </w:pPr>
            <w:r w:rsidRPr="00C9343F">
              <w:rPr>
                <w:rFonts w:cs="Arial"/>
              </w:rPr>
              <w:t>ii.</w:t>
            </w:r>
          </w:p>
        </w:tc>
        <w:tc>
          <w:tcPr>
            <w:tcW w:w="7234" w:type="dxa"/>
          </w:tcPr>
          <w:p w14:paraId="1039AA25" w14:textId="77777777" w:rsidR="00FF2307" w:rsidRPr="00C9343F" w:rsidRDefault="00FF2307" w:rsidP="00F66D98">
            <w:pPr>
              <w:pStyle w:val="Sectiontext0"/>
              <w:rPr>
                <w:rFonts w:cs="Arial"/>
              </w:rPr>
            </w:pPr>
            <w:r w:rsidRPr="00C9343F">
              <w:rPr>
                <w:rFonts w:cs="Arial"/>
              </w:rPr>
              <w:t>Director Navy Recruiting, Retention and Transitions.</w:t>
            </w:r>
          </w:p>
        </w:tc>
      </w:tr>
      <w:tr w:rsidR="00FF2307" w:rsidRPr="00C9343F" w14:paraId="28607405" w14:textId="77777777" w:rsidTr="006C044B">
        <w:tc>
          <w:tcPr>
            <w:tcW w:w="991" w:type="dxa"/>
          </w:tcPr>
          <w:p w14:paraId="4B402F61" w14:textId="77777777" w:rsidR="00FF2307" w:rsidRPr="00C9343F" w:rsidRDefault="00FF2307" w:rsidP="00F66D98">
            <w:pPr>
              <w:pStyle w:val="Sectiontext0"/>
              <w:rPr>
                <w:rFonts w:cs="Arial"/>
              </w:rPr>
            </w:pPr>
          </w:p>
        </w:tc>
        <w:tc>
          <w:tcPr>
            <w:tcW w:w="567" w:type="dxa"/>
          </w:tcPr>
          <w:p w14:paraId="78667FBD" w14:textId="77777777" w:rsidR="00FF2307" w:rsidRPr="00C9343F" w:rsidRDefault="00FF2307" w:rsidP="00F66D98">
            <w:pPr>
              <w:pStyle w:val="Sectiontext0"/>
              <w:rPr>
                <w:rFonts w:cs="Arial"/>
              </w:rPr>
            </w:pPr>
          </w:p>
        </w:tc>
        <w:tc>
          <w:tcPr>
            <w:tcW w:w="567" w:type="dxa"/>
          </w:tcPr>
          <w:p w14:paraId="0F3F7E42" w14:textId="77777777" w:rsidR="00FF2307" w:rsidRPr="00C9343F" w:rsidRDefault="00FF2307" w:rsidP="005849DD">
            <w:pPr>
              <w:pStyle w:val="Sectiontext0"/>
              <w:rPr>
                <w:rFonts w:cs="Arial"/>
              </w:rPr>
            </w:pPr>
            <w:r w:rsidRPr="00C9343F">
              <w:rPr>
                <w:rFonts w:cs="Arial"/>
              </w:rPr>
              <w:t>iii.</w:t>
            </w:r>
          </w:p>
        </w:tc>
        <w:tc>
          <w:tcPr>
            <w:tcW w:w="7234" w:type="dxa"/>
          </w:tcPr>
          <w:p w14:paraId="11DB628D" w14:textId="77777777" w:rsidR="00FF2307" w:rsidRPr="00C9343F" w:rsidRDefault="00FF2307" w:rsidP="00F66D98">
            <w:pPr>
              <w:pStyle w:val="Sectiontext0"/>
              <w:rPr>
                <w:rFonts w:cs="Arial"/>
              </w:rPr>
            </w:pPr>
            <w:r w:rsidRPr="00C9343F">
              <w:rPr>
                <w:rFonts w:cs="Arial"/>
              </w:rPr>
              <w:t>Deputy Director Navy Employment Conditions.</w:t>
            </w:r>
          </w:p>
        </w:tc>
      </w:tr>
      <w:tr w:rsidR="00FF2307" w:rsidRPr="00C9343F" w14:paraId="32146F09" w14:textId="77777777" w:rsidTr="006C044B">
        <w:tc>
          <w:tcPr>
            <w:tcW w:w="991" w:type="dxa"/>
          </w:tcPr>
          <w:p w14:paraId="174FB185" w14:textId="77777777" w:rsidR="00FF2307" w:rsidRPr="00C9343F" w:rsidRDefault="00FF2307" w:rsidP="00F66D98">
            <w:pPr>
              <w:pStyle w:val="Sectiontext0"/>
              <w:rPr>
                <w:rFonts w:cs="Arial"/>
              </w:rPr>
            </w:pPr>
          </w:p>
        </w:tc>
        <w:tc>
          <w:tcPr>
            <w:tcW w:w="567" w:type="dxa"/>
          </w:tcPr>
          <w:p w14:paraId="6759FCA7" w14:textId="77777777" w:rsidR="00FF2307" w:rsidRPr="00C9343F" w:rsidRDefault="00FF2307" w:rsidP="005849DD">
            <w:pPr>
              <w:pStyle w:val="Sectiontext0"/>
              <w:jc w:val="center"/>
              <w:rPr>
                <w:rFonts w:cs="Arial"/>
              </w:rPr>
            </w:pPr>
            <w:r w:rsidRPr="00C9343F">
              <w:rPr>
                <w:rFonts w:cs="Arial"/>
              </w:rPr>
              <w:t>b.</w:t>
            </w:r>
          </w:p>
        </w:tc>
        <w:tc>
          <w:tcPr>
            <w:tcW w:w="7801" w:type="dxa"/>
            <w:gridSpan w:val="2"/>
          </w:tcPr>
          <w:p w14:paraId="023E7B7F" w14:textId="77777777" w:rsidR="00FF2307" w:rsidRPr="00C9343F" w:rsidRDefault="00FF2307" w:rsidP="00F66D98">
            <w:pPr>
              <w:pStyle w:val="Sectiontext0"/>
              <w:rPr>
                <w:rFonts w:cs="Arial"/>
              </w:rPr>
            </w:pPr>
            <w:r w:rsidRPr="00C9343F">
              <w:rPr>
                <w:rFonts w:cs="Arial"/>
              </w:rPr>
              <w:t>For a member in the Army, one of the following.</w:t>
            </w:r>
          </w:p>
        </w:tc>
      </w:tr>
      <w:tr w:rsidR="00FF2307" w:rsidRPr="00C9343F" w14:paraId="30598E15" w14:textId="77777777" w:rsidTr="006C044B">
        <w:tc>
          <w:tcPr>
            <w:tcW w:w="991" w:type="dxa"/>
          </w:tcPr>
          <w:p w14:paraId="54F47314" w14:textId="77777777" w:rsidR="00FF2307" w:rsidRPr="00C9343F" w:rsidRDefault="00FF2307" w:rsidP="00F66D98">
            <w:pPr>
              <w:pStyle w:val="Sectiontext0"/>
              <w:rPr>
                <w:rFonts w:cs="Arial"/>
              </w:rPr>
            </w:pPr>
          </w:p>
        </w:tc>
        <w:tc>
          <w:tcPr>
            <w:tcW w:w="567" w:type="dxa"/>
          </w:tcPr>
          <w:p w14:paraId="40EFA9B2" w14:textId="77777777" w:rsidR="00FF2307" w:rsidRPr="00C9343F" w:rsidRDefault="00FF2307" w:rsidP="00F66D98">
            <w:pPr>
              <w:pStyle w:val="Sectiontext0"/>
              <w:rPr>
                <w:rFonts w:cs="Arial"/>
              </w:rPr>
            </w:pPr>
          </w:p>
        </w:tc>
        <w:tc>
          <w:tcPr>
            <w:tcW w:w="567" w:type="dxa"/>
          </w:tcPr>
          <w:p w14:paraId="454DECED" w14:textId="77777777" w:rsidR="00FF2307" w:rsidRPr="00C9343F" w:rsidRDefault="00FF2307" w:rsidP="00F66D98">
            <w:pPr>
              <w:pStyle w:val="Sectiontext0"/>
              <w:rPr>
                <w:rFonts w:cs="Arial"/>
              </w:rPr>
            </w:pPr>
            <w:r w:rsidRPr="00C9343F">
              <w:rPr>
                <w:rFonts w:cs="Arial"/>
              </w:rPr>
              <w:t>i.</w:t>
            </w:r>
          </w:p>
        </w:tc>
        <w:tc>
          <w:tcPr>
            <w:tcW w:w="7234" w:type="dxa"/>
          </w:tcPr>
          <w:p w14:paraId="59872314" w14:textId="77777777" w:rsidR="00FF2307" w:rsidRPr="00C9343F" w:rsidRDefault="00FF2307" w:rsidP="00F66D98">
            <w:pPr>
              <w:pStyle w:val="Sectiontext0"/>
              <w:rPr>
                <w:rFonts w:cs="Arial"/>
              </w:rPr>
            </w:pPr>
            <w:r w:rsidRPr="00C9343F">
              <w:rPr>
                <w:rFonts w:cs="Arial"/>
              </w:rPr>
              <w:t>Director General Army People Capability.</w:t>
            </w:r>
          </w:p>
        </w:tc>
      </w:tr>
      <w:tr w:rsidR="00FF2307" w:rsidRPr="00C9343F" w14:paraId="6D37F775" w14:textId="77777777" w:rsidTr="006C044B">
        <w:tc>
          <w:tcPr>
            <w:tcW w:w="991" w:type="dxa"/>
          </w:tcPr>
          <w:p w14:paraId="76AC90F8" w14:textId="77777777" w:rsidR="00FF2307" w:rsidRPr="00C9343F" w:rsidRDefault="00FF2307" w:rsidP="00F66D98">
            <w:pPr>
              <w:pStyle w:val="Sectiontext0"/>
              <w:rPr>
                <w:rFonts w:cs="Arial"/>
              </w:rPr>
            </w:pPr>
          </w:p>
        </w:tc>
        <w:tc>
          <w:tcPr>
            <w:tcW w:w="567" w:type="dxa"/>
          </w:tcPr>
          <w:p w14:paraId="55427606" w14:textId="77777777" w:rsidR="00FF2307" w:rsidRPr="00C9343F" w:rsidRDefault="00FF2307" w:rsidP="00F66D98">
            <w:pPr>
              <w:pStyle w:val="Sectiontext0"/>
              <w:rPr>
                <w:rFonts w:cs="Arial"/>
              </w:rPr>
            </w:pPr>
          </w:p>
        </w:tc>
        <w:tc>
          <w:tcPr>
            <w:tcW w:w="567" w:type="dxa"/>
          </w:tcPr>
          <w:p w14:paraId="71B6AECD" w14:textId="77777777" w:rsidR="00FF2307" w:rsidRPr="00C9343F" w:rsidRDefault="00FF2307" w:rsidP="00F66D98">
            <w:pPr>
              <w:pStyle w:val="Sectiontext0"/>
              <w:rPr>
                <w:rFonts w:cs="Arial"/>
              </w:rPr>
            </w:pPr>
            <w:r w:rsidRPr="00C9343F">
              <w:rPr>
                <w:rFonts w:cs="Arial"/>
              </w:rPr>
              <w:t>ii.</w:t>
            </w:r>
          </w:p>
        </w:tc>
        <w:tc>
          <w:tcPr>
            <w:tcW w:w="7234" w:type="dxa"/>
          </w:tcPr>
          <w:p w14:paraId="085CDA86" w14:textId="77777777" w:rsidR="00FF2307" w:rsidRPr="00C9343F" w:rsidRDefault="00FF2307" w:rsidP="00F66D98">
            <w:pPr>
              <w:pStyle w:val="Sectiontext0"/>
              <w:rPr>
                <w:rFonts w:cs="Arial"/>
              </w:rPr>
            </w:pPr>
            <w:r w:rsidRPr="00C9343F">
              <w:rPr>
                <w:rFonts w:cs="Arial"/>
              </w:rPr>
              <w:t>Director Personnel Policy – Army.</w:t>
            </w:r>
          </w:p>
        </w:tc>
      </w:tr>
      <w:tr w:rsidR="00FF2307" w:rsidRPr="00C9343F" w14:paraId="1D4B23D0" w14:textId="77777777" w:rsidTr="006C044B">
        <w:tc>
          <w:tcPr>
            <w:tcW w:w="991" w:type="dxa"/>
          </w:tcPr>
          <w:p w14:paraId="171D26DD" w14:textId="77777777" w:rsidR="00FF2307" w:rsidRPr="00C9343F" w:rsidRDefault="00FF2307" w:rsidP="00F66D98">
            <w:pPr>
              <w:pStyle w:val="Sectiontext0"/>
              <w:rPr>
                <w:rFonts w:cs="Arial"/>
              </w:rPr>
            </w:pPr>
          </w:p>
        </w:tc>
        <w:tc>
          <w:tcPr>
            <w:tcW w:w="567" w:type="dxa"/>
          </w:tcPr>
          <w:p w14:paraId="54689A5D" w14:textId="77777777" w:rsidR="00FF2307" w:rsidRPr="00C9343F" w:rsidRDefault="00FF2307" w:rsidP="00F66D98">
            <w:pPr>
              <w:pStyle w:val="Sectiontext0"/>
              <w:rPr>
                <w:rFonts w:cs="Arial"/>
              </w:rPr>
            </w:pPr>
          </w:p>
        </w:tc>
        <w:tc>
          <w:tcPr>
            <w:tcW w:w="567" w:type="dxa"/>
          </w:tcPr>
          <w:p w14:paraId="4BF6D6D3" w14:textId="77777777" w:rsidR="00FF2307" w:rsidRPr="00C9343F" w:rsidRDefault="00FF2307" w:rsidP="00F66D98">
            <w:pPr>
              <w:pStyle w:val="Sectiontext0"/>
              <w:rPr>
                <w:rFonts w:cs="Arial"/>
              </w:rPr>
            </w:pPr>
            <w:r w:rsidRPr="00C9343F">
              <w:rPr>
                <w:rFonts w:cs="Arial"/>
              </w:rPr>
              <w:t>iii.</w:t>
            </w:r>
          </w:p>
        </w:tc>
        <w:tc>
          <w:tcPr>
            <w:tcW w:w="7234" w:type="dxa"/>
          </w:tcPr>
          <w:p w14:paraId="579C2BDA" w14:textId="77777777" w:rsidR="00FF2307" w:rsidRPr="00C9343F" w:rsidRDefault="00FF2307" w:rsidP="00F66D98">
            <w:pPr>
              <w:pStyle w:val="Sectiontext0"/>
              <w:rPr>
                <w:rFonts w:cs="Arial"/>
              </w:rPr>
            </w:pPr>
            <w:r w:rsidRPr="00C9343F">
              <w:rPr>
                <w:rFonts w:cs="Arial"/>
              </w:rPr>
              <w:t>Staff Officer Grade 1 – Personnel Policy – Army.</w:t>
            </w:r>
          </w:p>
        </w:tc>
      </w:tr>
      <w:tr w:rsidR="00FF2307" w:rsidRPr="00C9343F" w14:paraId="0FE9D2F1" w14:textId="77777777" w:rsidTr="006C044B">
        <w:tc>
          <w:tcPr>
            <w:tcW w:w="991" w:type="dxa"/>
          </w:tcPr>
          <w:p w14:paraId="66A99F54" w14:textId="77777777" w:rsidR="00FF2307" w:rsidRPr="00C9343F" w:rsidRDefault="00FF2307" w:rsidP="00F66D98">
            <w:pPr>
              <w:pStyle w:val="Sectiontext0"/>
              <w:rPr>
                <w:rFonts w:cs="Arial"/>
              </w:rPr>
            </w:pPr>
          </w:p>
        </w:tc>
        <w:tc>
          <w:tcPr>
            <w:tcW w:w="567" w:type="dxa"/>
          </w:tcPr>
          <w:p w14:paraId="14523F45" w14:textId="77777777" w:rsidR="00FF2307" w:rsidRPr="00C9343F" w:rsidRDefault="00FF2307" w:rsidP="005849DD">
            <w:pPr>
              <w:pStyle w:val="Sectiontext0"/>
              <w:jc w:val="center"/>
              <w:rPr>
                <w:rFonts w:cs="Arial"/>
              </w:rPr>
            </w:pPr>
            <w:r w:rsidRPr="00C9343F">
              <w:rPr>
                <w:rFonts w:cs="Arial"/>
              </w:rPr>
              <w:t>c.</w:t>
            </w:r>
          </w:p>
        </w:tc>
        <w:tc>
          <w:tcPr>
            <w:tcW w:w="7801" w:type="dxa"/>
            <w:gridSpan w:val="2"/>
          </w:tcPr>
          <w:p w14:paraId="3252072B" w14:textId="77777777" w:rsidR="00FF2307" w:rsidRPr="00C9343F" w:rsidRDefault="00FF2307" w:rsidP="00F66D98">
            <w:pPr>
              <w:pStyle w:val="Sectiontext0"/>
              <w:rPr>
                <w:rFonts w:cs="Arial"/>
              </w:rPr>
            </w:pPr>
            <w:r w:rsidRPr="00C9343F">
              <w:rPr>
                <w:rFonts w:cs="Arial"/>
              </w:rPr>
              <w:t>For a member in the Air Force, one of the following.</w:t>
            </w:r>
          </w:p>
        </w:tc>
      </w:tr>
      <w:tr w:rsidR="00FF2307" w:rsidRPr="00C9343F" w14:paraId="41C3DFA5" w14:textId="77777777" w:rsidTr="006C044B">
        <w:tc>
          <w:tcPr>
            <w:tcW w:w="991" w:type="dxa"/>
          </w:tcPr>
          <w:p w14:paraId="184E249F" w14:textId="77777777" w:rsidR="00FF2307" w:rsidRPr="00C9343F" w:rsidRDefault="00FF2307" w:rsidP="00F66D98">
            <w:pPr>
              <w:pStyle w:val="Sectiontext0"/>
              <w:rPr>
                <w:rFonts w:cs="Arial"/>
              </w:rPr>
            </w:pPr>
          </w:p>
        </w:tc>
        <w:tc>
          <w:tcPr>
            <w:tcW w:w="567" w:type="dxa"/>
          </w:tcPr>
          <w:p w14:paraId="08DF9CAA" w14:textId="77777777" w:rsidR="00FF2307" w:rsidRPr="00C9343F" w:rsidRDefault="00FF2307" w:rsidP="00F66D98">
            <w:pPr>
              <w:pStyle w:val="Sectiontext0"/>
              <w:rPr>
                <w:rFonts w:cs="Arial"/>
              </w:rPr>
            </w:pPr>
          </w:p>
        </w:tc>
        <w:tc>
          <w:tcPr>
            <w:tcW w:w="567" w:type="dxa"/>
          </w:tcPr>
          <w:p w14:paraId="0589E261" w14:textId="77777777" w:rsidR="00FF2307" w:rsidRPr="00C9343F" w:rsidRDefault="00FF2307" w:rsidP="00F66D98">
            <w:pPr>
              <w:pStyle w:val="Sectiontext0"/>
              <w:rPr>
                <w:rFonts w:cs="Arial"/>
              </w:rPr>
            </w:pPr>
            <w:r w:rsidRPr="00C9343F">
              <w:rPr>
                <w:rFonts w:cs="Arial"/>
              </w:rPr>
              <w:t>i.</w:t>
            </w:r>
          </w:p>
        </w:tc>
        <w:tc>
          <w:tcPr>
            <w:tcW w:w="7234" w:type="dxa"/>
          </w:tcPr>
          <w:p w14:paraId="15BE54B2" w14:textId="77777777" w:rsidR="00FF2307" w:rsidRPr="00C9343F" w:rsidRDefault="00FF2307" w:rsidP="00F66D98">
            <w:pPr>
              <w:pStyle w:val="Sectiontext0"/>
              <w:rPr>
                <w:rFonts w:cs="Arial"/>
              </w:rPr>
            </w:pPr>
            <w:r w:rsidRPr="00C9343F">
              <w:rPr>
                <w:rFonts w:cs="Arial"/>
              </w:rPr>
              <w:t>Director General Personnel – Air Force.</w:t>
            </w:r>
          </w:p>
        </w:tc>
      </w:tr>
      <w:tr w:rsidR="00FF2307" w:rsidRPr="00C9343F" w14:paraId="57C0EBF2" w14:textId="77777777" w:rsidTr="006C044B">
        <w:tc>
          <w:tcPr>
            <w:tcW w:w="991" w:type="dxa"/>
          </w:tcPr>
          <w:p w14:paraId="12679283" w14:textId="77777777" w:rsidR="00FF2307" w:rsidRPr="00C9343F" w:rsidRDefault="00FF2307" w:rsidP="00F66D98">
            <w:pPr>
              <w:pStyle w:val="Sectiontext0"/>
              <w:rPr>
                <w:rFonts w:cs="Arial"/>
              </w:rPr>
            </w:pPr>
          </w:p>
        </w:tc>
        <w:tc>
          <w:tcPr>
            <w:tcW w:w="567" w:type="dxa"/>
          </w:tcPr>
          <w:p w14:paraId="2A6C6FB4" w14:textId="77777777" w:rsidR="00FF2307" w:rsidRPr="00C9343F" w:rsidRDefault="00FF2307" w:rsidP="00F66D98">
            <w:pPr>
              <w:pStyle w:val="Sectiontext0"/>
              <w:rPr>
                <w:rFonts w:cs="Arial"/>
              </w:rPr>
            </w:pPr>
          </w:p>
        </w:tc>
        <w:tc>
          <w:tcPr>
            <w:tcW w:w="567" w:type="dxa"/>
          </w:tcPr>
          <w:p w14:paraId="1D060424" w14:textId="77777777" w:rsidR="00FF2307" w:rsidRPr="00C9343F" w:rsidRDefault="00FF2307" w:rsidP="00F66D98">
            <w:pPr>
              <w:pStyle w:val="Sectiontext0"/>
              <w:rPr>
                <w:rFonts w:cs="Arial"/>
              </w:rPr>
            </w:pPr>
            <w:r w:rsidRPr="00C9343F">
              <w:rPr>
                <w:rFonts w:cs="Arial"/>
              </w:rPr>
              <w:t>ii.</w:t>
            </w:r>
          </w:p>
        </w:tc>
        <w:tc>
          <w:tcPr>
            <w:tcW w:w="7234" w:type="dxa"/>
          </w:tcPr>
          <w:p w14:paraId="0AD991F4" w14:textId="77777777" w:rsidR="00FF2307" w:rsidRPr="00C9343F" w:rsidRDefault="00FF2307" w:rsidP="00F66D98">
            <w:pPr>
              <w:pStyle w:val="Sectiontext0"/>
              <w:rPr>
                <w:rFonts w:cs="Arial"/>
              </w:rPr>
            </w:pPr>
            <w:r w:rsidRPr="00C9343F">
              <w:rPr>
                <w:rFonts w:cs="Arial"/>
              </w:rPr>
              <w:t>Director Personnel Policy – Air Force.</w:t>
            </w:r>
          </w:p>
        </w:tc>
      </w:tr>
      <w:tr w:rsidR="00FF2307" w:rsidRPr="00C9343F" w14:paraId="48E40D1B" w14:textId="77777777" w:rsidTr="006C044B">
        <w:tc>
          <w:tcPr>
            <w:tcW w:w="991" w:type="dxa"/>
          </w:tcPr>
          <w:p w14:paraId="1F28867F" w14:textId="77777777" w:rsidR="00FF2307" w:rsidRPr="00C9343F" w:rsidRDefault="00FF2307" w:rsidP="00F66D98">
            <w:pPr>
              <w:pStyle w:val="Sectiontext0"/>
              <w:rPr>
                <w:rFonts w:cs="Arial"/>
              </w:rPr>
            </w:pPr>
          </w:p>
        </w:tc>
        <w:tc>
          <w:tcPr>
            <w:tcW w:w="567" w:type="dxa"/>
          </w:tcPr>
          <w:p w14:paraId="70BC78F8" w14:textId="77777777" w:rsidR="00FF2307" w:rsidRPr="00C9343F" w:rsidRDefault="00FF2307" w:rsidP="00F66D98">
            <w:pPr>
              <w:pStyle w:val="Sectiontext0"/>
              <w:rPr>
                <w:rFonts w:cs="Arial"/>
              </w:rPr>
            </w:pPr>
          </w:p>
        </w:tc>
        <w:tc>
          <w:tcPr>
            <w:tcW w:w="567" w:type="dxa"/>
          </w:tcPr>
          <w:p w14:paraId="0979C333" w14:textId="77777777" w:rsidR="00FF2307" w:rsidRPr="00C9343F" w:rsidRDefault="00FF2307" w:rsidP="00F66D98">
            <w:pPr>
              <w:pStyle w:val="Sectiontext0"/>
              <w:rPr>
                <w:rFonts w:cs="Arial"/>
              </w:rPr>
            </w:pPr>
            <w:r w:rsidRPr="00C9343F">
              <w:rPr>
                <w:rFonts w:cs="Arial"/>
              </w:rPr>
              <w:t>iii.</w:t>
            </w:r>
          </w:p>
        </w:tc>
        <w:tc>
          <w:tcPr>
            <w:tcW w:w="7234" w:type="dxa"/>
          </w:tcPr>
          <w:p w14:paraId="1F422DCE" w14:textId="77777777" w:rsidR="00FF2307" w:rsidRPr="00C9343F" w:rsidRDefault="00FF2307" w:rsidP="00F66D98">
            <w:pPr>
              <w:pStyle w:val="Sectiontext0"/>
              <w:rPr>
                <w:rFonts w:cs="Arial"/>
              </w:rPr>
            </w:pPr>
            <w:r w:rsidRPr="00C9343F">
              <w:rPr>
                <w:rFonts w:cs="Arial"/>
              </w:rPr>
              <w:t>Deputy Director Personnel Policy – Air Force.</w:t>
            </w:r>
          </w:p>
        </w:tc>
      </w:tr>
      <w:tr w:rsidR="00FF2307" w:rsidRPr="00C9343F" w14:paraId="05B36CE0" w14:textId="77777777" w:rsidTr="006C044B">
        <w:tc>
          <w:tcPr>
            <w:tcW w:w="991" w:type="dxa"/>
          </w:tcPr>
          <w:p w14:paraId="6FD79368" w14:textId="77777777" w:rsidR="00FF2307" w:rsidRPr="00C9343F" w:rsidRDefault="00FF2307" w:rsidP="00F66D98">
            <w:pPr>
              <w:pStyle w:val="Sectiontext0"/>
              <w:rPr>
                <w:rFonts w:cs="Arial"/>
              </w:rPr>
            </w:pPr>
          </w:p>
        </w:tc>
        <w:tc>
          <w:tcPr>
            <w:tcW w:w="567" w:type="dxa"/>
          </w:tcPr>
          <w:p w14:paraId="3C3EEB60" w14:textId="77777777" w:rsidR="00FF2307" w:rsidRPr="00C9343F" w:rsidRDefault="00FF2307" w:rsidP="00F66D98">
            <w:pPr>
              <w:pStyle w:val="Sectiontext0"/>
              <w:rPr>
                <w:rFonts w:cs="Arial"/>
              </w:rPr>
            </w:pPr>
          </w:p>
        </w:tc>
        <w:tc>
          <w:tcPr>
            <w:tcW w:w="567" w:type="dxa"/>
          </w:tcPr>
          <w:p w14:paraId="54D89F9C" w14:textId="77777777" w:rsidR="00FF2307" w:rsidRPr="00C9343F" w:rsidRDefault="00FF2307" w:rsidP="00F66D98">
            <w:pPr>
              <w:pStyle w:val="Sectiontext0"/>
              <w:rPr>
                <w:rFonts w:cs="Arial"/>
              </w:rPr>
            </w:pPr>
            <w:r w:rsidRPr="00C9343F">
              <w:rPr>
                <w:rFonts w:cs="Arial"/>
              </w:rPr>
              <w:t>iv.</w:t>
            </w:r>
          </w:p>
        </w:tc>
        <w:tc>
          <w:tcPr>
            <w:tcW w:w="7234" w:type="dxa"/>
          </w:tcPr>
          <w:p w14:paraId="1570066E" w14:textId="77777777" w:rsidR="00FF2307" w:rsidRPr="00C9343F" w:rsidRDefault="00FF2307" w:rsidP="00F66D98">
            <w:pPr>
              <w:pStyle w:val="Sectiontext0"/>
              <w:rPr>
                <w:rFonts w:cs="Arial"/>
              </w:rPr>
            </w:pPr>
            <w:r w:rsidRPr="00C9343F">
              <w:rPr>
                <w:rFonts w:cs="Arial"/>
              </w:rPr>
              <w:t>Deputy Director Service Conditions – Air Force.</w:t>
            </w:r>
          </w:p>
        </w:tc>
      </w:tr>
    </w:tbl>
    <w:p w14:paraId="7E66188E" w14:textId="06BD69F2" w:rsidR="008B4402" w:rsidRPr="00C9343F" w:rsidRDefault="000F64E1" w:rsidP="00F66D98">
      <w:pPr>
        <w:pStyle w:val="Heading3"/>
      </w:pPr>
      <w:bookmarkStart w:id="2047" w:name="_Toc105054180"/>
      <w:r w:rsidRPr="00C9343F">
        <w:t>P</w:t>
      </w:r>
      <w:r w:rsidR="008B4402" w:rsidRPr="00C9343F">
        <w:t>art 12: Public holidays – Australia</w:t>
      </w:r>
      <w:bookmarkEnd w:id="2047"/>
    </w:p>
    <w:p w14:paraId="2DC8F526" w14:textId="1DF3FFDB" w:rsidR="008B4402" w:rsidRPr="00C9343F" w:rsidRDefault="008B4402" w:rsidP="00F66D98">
      <w:pPr>
        <w:pStyle w:val="Heading5"/>
      </w:pPr>
      <w:bookmarkStart w:id="2048" w:name="_Toc105054181"/>
      <w:bookmarkStart w:id="2049" w:name="bk1332345101Publicholidays"/>
      <w:bookmarkStart w:id="2050" w:name="bk1615175101Publicholidays"/>
      <w:bookmarkStart w:id="2051" w:name="bk929585101Publicholidays"/>
      <w:r w:rsidRPr="00C9343F">
        <w:t>5.12.1</w:t>
      </w:r>
      <w:r w:rsidR="00D94006" w:rsidRPr="00C9343F">
        <w:t>    </w:t>
      </w:r>
      <w:r w:rsidRPr="00C9343F">
        <w:t>Public holidays</w:t>
      </w:r>
      <w:bookmarkEnd w:id="2048"/>
    </w:p>
    <w:tbl>
      <w:tblPr>
        <w:tblW w:w="0" w:type="auto"/>
        <w:tblInd w:w="113" w:type="dxa"/>
        <w:tblLayout w:type="fixed"/>
        <w:tblLook w:val="0000" w:firstRow="0" w:lastRow="0" w:firstColumn="0" w:lastColumn="0" w:noHBand="0" w:noVBand="0"/>
      </w:tblPr>
      <w:tblGrid>
        <w:gridCol w:w="992"/>
        <w:gridCol w:w="8363"/>
      </w:tblGrid>
      <w:tr w:rsidR="008B4402" w:rsidRPr="00C9343F" w14:paraId="285FF7A5" w14:textId="77777777" w:rsidTr="008B4402">
        <w:tc>
          <w:tcPr>
            <w:tcW w:w="992" w:type="dxa"/>
          </w:tcPr>
          <w:bookmarkEnd w:id="2049"/>
          <w:bookmarkEnd w:id="2050"/>
          <w:bookmarkEnd w:id="2051"/>
          <w:p w14:paraId="11718C7F" w14:textId="77777777" w:rsidR="008B4402" w:rsidRPr="00C9343F" w:rsidRDefault="008B4402" w:rsidP="00F66D98">
            <w:pPr>
              <w:pStyle w:val="BlockText-PlainNoSpacing"/>
              <w:jc w:val="center"/>
            </w:pPr>
            <w:r w:rsidRPr="00C9343F">
              <w:t>1.</w:t>
            </w:r>
          </w:p>
        </w:tc>
        <w:tc>
          <w:tcPr>
            <w:tcW w:w="8363" w:type="dxa"/>
          </w:tcPr>
          <w:p w14:paraId="4C27A7DF" w14:textId="77777777" w:rsidR="008B4402" w:rsidRPr="00C9343F" w:rsidRDefault="008B4402" w:rsidP="00F66D98">
            <w:pPr>
              <w:pStyle w:val="BlockText-Plain"/>
            </w:pPr>
            <w:r w:rsidRPr="00C9343F">
              <w:t>A member performing duty in Australia must observe certain days as public holidays, unless required for duty.</w:t>
            </w:r>
          </w:p>
        </w:tc>
      </w:tr>
      <w:tr w:rsidR="008B4402" w:rsidRPr="00C9343F" w14:paraId="7C084817" w14:textId="77777777" w:rsidTr="008B4402">
        <w:tc>
          <w:tcPr>
            <w:tcW w:w="992" w:type="dxa"/>
          </w:tcPr>
          <w:p w14:paraId="04AC426C" w14:textId="77777777" w:rsidR="008B4402" w:rsidRPr="00C9343F" w:rsidRDefault="008B4402" w:rsidP="00F66D98">
            <w:pPr>
              <w:pStyle w:val="BlockText-PlainNoSpacing"/>
              <w:jc w:val="center"/>
            </w:pPr>
            <w:r w:rsidRPr="00C9343F">
              <w:t>2.</w:t>
            </w:r>
          </w:p>
        </w:tc>
        <w:tc>
          <w:tcPr>
            <w:tcW w:w="8363" w:type="dxa"/>
          </w:tcPr>
          <w:p w14:paraId="39BF540D" w14:textId="2E644349" w:rsidR="008B4402" w:rsidRPr="00C9343F" w:rsidRDefault="008B4402" w:rsidP="00F66D98">
            <w:pPr>
              <w:pStyle w:val="BlockText-Plain"/>
            </w:pPr>
            <w:r w:rsidRPr="00C9343F">
              <w:t xml:space="preserve">A member is eligible for the same public holidays as an APS employee of the Department of Defence, at the location where the member performs duty.  </w:t>
            </w:r>
          </w:p>
        </w:tc>
      </w:tr>
      <w:tr w:rsidR="008B4402" w:rsidRPr="00C9343F" w14:paraId="16CF5D75" w14:textId="77777777" w:rsidTr="008B4402">
        <w:tc>
          <w:tcPr>
            <w:tcW w:w="992" w:type="dxa"/>
          </w:tcPr>
          <w:p w14:paraId="64C2A499" w14:textId="77777777" w:rsidR="008B4402" w:rsidRPr="00C9343F" w:rsidRDefault="008B4402" w:rsidP="00F66D98">
            <w:pPr>
              <w:pStyle w:val="BlockText-PlainNoSpacing"/>
              <w:jc w:val="center"/>
            </w:pPr>
            <w:r w:rsidRPr="00C9343F">
              <w:t>3.</w:t>
            </w:r>
          </w:p>
        </w:tc>
        <w:tc>
          <w:tcPr>
            <w:tcW w:w="8363" w:type="dxa"/>
          </w:tcPr>
          <w:p w14:paraId="734AC75E" w14:textId="727E510C" w:rsidR="008B4402" w:rsidRPr="00C9343F" w:rsidRDefault="008B4402" w:rsidP="00F66D98">
            <w:pPr>
              <w:pStyle w:val="BlockText-Plain"/>
            </w:pPr>
            <w:r w:rsidRPr="00C9343F">
              <w:t xml:space="preserve">A member might be performing duty away from their posting location. They observe a public holiday at the location where they are actually performing duty. </w:t>
            </w:r>
          </w:p>
        </w:tc>
      </w:tr>
      <w:tr w:rsidR="008B4402" w:rsidRPr="00C9343F" w14:paraId="043C91B5" w14:textId="77777777" w:rsidTr="008B4402">
        <w:tc>
          <w:tcPr>
            <w:tcW w:w="992" w:type="dxa"/>
          </w:tcPr>
          <w:p w14:paraId="2C41122B" w14:textId="77777777" w:rsidR="008B4402" w:rsidRPr="00C9343F" w:rsidRDefault="008B4402" w:rsidP="00F66D98">
            <w:pPr>
              <w:pStyle w:val="BlockText-PlainNoSpacing"/>
              <w:jc w:val="center"/>
            </w:pPr>
            <w:r w:rsidRPr="00C9343F">
              <w:t>4.</w:t>
            </w:r>
          </w:p>
        </w:tc>
        <w:tc>
          <w:tcPr>
            <w:tcW w:w="8363" w:type="dxa"/>
          </w:tcPr>
          <w:p w14:paraId="5762CC18" w14:textId="77777777" w:rsidR="008B4402" w:rsidRPr="00C9343F" w:rsidRDefault="008B4402" w:rsidP="00F66D98">
            <w:pPr>
              <w:pStyle w:val="BlockText-Plain"/>
            </w:pPr>
            <w:r w:rsidRPr="00C9343F">
              <w:t>A member on recreation leave will not have their leave credit debited for public holidays that occur during the leave period. The public holidays observed will be those at the location where the member normally performs duty.</w:t>
            </w:r>
          </w:p>
        </w:tc>
      </w:tr>
      <w:tr w:rsidR="002371C2" w:rsidRPr="00C9343F" w14:paraId="791DE4E8" w14:textId="77777777" w:rsidTr="008B4402">
        <w:tc>
          <w:tcPr>
            <w:tcW w:w="992" w:type="dxa"/>
          </w:tcPr>
          <w:p w14:paraId="22AE9031" w14:textId="77777777" w:rsidR="002371C2" w:rsidRPr="00C9343F" w:rsidRDefault="002371C2" w:rsidP="00F66D98">
            <w:pPr>
              <w:pStyle w:val="BlockText-PlainNoSpacing"/>
              <w:jc w:val="center"/>
            </w:pPr>
            <w:r w:rsidRPr="00C9343F">
              <w:t>5.</w:t>
            </w:r>
          </w:p>
        </w:tc>
        <w:tc>
          <w:tcPr>
            <w:tcW w:w="8363" w:type="dxa"/>
          </w:tcPr>
          <w:p w14:paraId="1DDE6D90" w14:textId="77777777" w:rsidR="002371C2" w:rsidRPr="00C9343F" w:rsidRDefault="002371C2" w:rsidP="00F66D98">
            <w:pPr>
              <w:pStyle w:val="BlockText-Plain"/>
            </w:pPr>
            <w:r w:rsidRPr="00C9343F">
              <w:t>A member on a flexible service determination may only observe those public holidays that fall within the working days in their pattern of service.</w:t>
            </w:r>
          </w:p>
        </w:tc>
      </w:tr>
    </w:tbl>
    <w:p w14:paraId="0AE38FF2" w14:textId="0BC6294D" w:rsidR="008B4402" w:rsidRPr="00C9343F" w:rsidRDefault="008B4402" w:rsidP="00F66D98">
      <w:pPr>
        <w:pStyle w:val="Heading5"/>
      </w:pPr>
      <w:bookmarkStart w:id="2052" w:name="_Toc105054182"/>
      <w:bookmarkStart w:id="2053" w:name="bk1332345102Substitutionofpublicholiday"/>
      <w:bookmarkStart w:id="2054" w:name="bk1615175102Substitutionofpublicholiday"/>
      <w:bookmarkStart w:id="2055" w:name="bk929585102Substitutionofpublicholidays"/>
      <w:r w:rsidRPr="00C9343F">
        <w:t>5.12.2</w:t>
      </w:r>
      <w:r w:rsidR="00D94006" w:rsidRPr="00C9343F">
        <w:t>    </w:t>
      </w:r>
      <w:r w:rsidRPr="00C9343F">
        <w:t>Substitution of public holidays</w:t>
      </w:r>
      <w:bookmarkEnd w:id="2052"/>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503EC8CC" w14:textId="77777777" w:rsidTr="008B4402">
        <w:tc>
          <w:tcPr>
            <w:tcW w:w="992" w:type="dxa"/>
          </w:tcPr>
          <w:bookmarkEnd w:id="2053"/>
          <w:bookmarkEnd w:id="2054"/>
          <w:bookmarkEnd w:id="2055"/>
          <w:p w14:paraId="5715ED89" w14:textId="77777777" w:rsidR="008B4402" w:rsidRPr="00C9343F" w:rsidRDefault="008B4402" w:rsidP="00F66D98">
            <w:pPr>
              <w:pStyle w:val="BlockText-PlainNoSpacing"/>
              <w:jc w:val="center"/>
            </w:pPr>
            <w:r w:rsidRPr="00C9343F">
              <w:t>1.</w:t>
            </w:r>
          </w:p>
        </w:tc>
        <w:tc>
          <w:tcPr>
            <w:tcW w:w="8363" w:type="dxa"/>
            <w:gridSpan w:val="2"/>
          </w:tcPr>
          <w:p w14:paraId="7F468A91" w14:textId="77777777" w:rsidR="008B4402" w:rsidRPr="00C9343F" w:rsidRDefault="008B4402" w:rsidP="00F66D98">
            <w:pPr>
              <w:pStyle w:val="BlockText-Plain"/>
            </w:pPr>
            <w:r w:rsidRPr="00C9343F">
              <w:t>A member may apply to the CDF to substitute a different day for a public holiday that they would otherwise observe.</w:t>
            </w:r>
          </w:p>
        </w:tc>
      </w:tr>
      <w:tr w:rsidR="008B4402" w:rsidRPr="00C9343F" w14:paraId="17CCC78C" w14:textId="77777777" w:rsidTr="008B4402">
        <w:tc>
          <w:tcPr>
            <w:tcW w:w="992" w:type="dxa"/>
          </w:tcPr>
          <w:p w14:paraId="13AA1826" w14:textId="77777777" w:rsidR="008B4402" w:rsidRPr="00C9343F" w:rsidRDefault="008B4402" w:rsidP="00F66D98">
            <w:pPr>
              <w:pStyle w:val="BlockText-PlainNoSpacing"/>
              <w:jc w:val="center"/>
            </w:pPr>
            <w:r w:rsidRPr="00C9343F">
              <w:t>2.</w:t>
            </w:r>
          </w:p>
        </w:tc>
        <w:tc>
          <w:tcPr>
            <w:tcW w:w="8363" w:type="dxa"/>
            <w:gridSpan w:val="2"/>
          </w:tcPr>
          <w:p w14:paraId="7F6D1BB4" w14:textId="77777777" w:rsidR="008B4402" w:rsidRPr="00C9343F" w:rsidRDefault="008B4402" w:rsidP="00F66D98">
            <w:pPr>
              <w:pStyle w:val="BlockText-Plain"/>
            </w:pPr>
            <w:r w:rsidRPr="00C9343F">
              <w:t>In deciding whether to grant the member’s application, the CDF must consider both of these criteria.</w:t>
            </w:r>
          </w:p>
        </w:tc>
      </w:tr>
      <w:tr w:rsidR="008B4402" w:rsidRPr="00C9343F" w14:paraId="38B9C3D4" w14:textId="77777777" w:rsidTr="008B4402">
        <w:trPr>
          <w:cantSplit/>
        </w:trPr>
        <w:tc>
          <w:tcPr>
            <w:tcW w:w="992" w:type="dxa"/>
          </w:tcPr>
          <w:p w14:paraId="261002C7" w14:textId="77777777" w:rsidR="008B4402" w:rsidRPr="00C9343F" w:rsidRDefault="008B4402" w:rsidP="00F66D98">
            <w:pPr>
              <w:pStyle w:val="BlockText-Plain"/>
            </w:pPr>
          </w:p>
        </w:tc>
        <w:tc>
          <w:tcPr>
            <w:tcW w:w="567" w:type="dxa"/>
          </w:tcPr>
          <w:p w14:paraId="4F47599E" w14:textId="77777777" w:rsidR="008B4402" w:rsidRPr="00C9343F" w:rsidRDefault="008B4402" w:rsidP="00490D6D">
            <w:pPr>
              <w:pStyle w:val="BlockText-Plain"/>
              <w:jc w:val="center"/>
            </w:pPr>
            <w:r w:rsidRPr="00C9343F">
              <w:t>a.</w:t>
            </w:r>
          </w:p>
        </w:tc>
        <w:tc>
          <w:tcPr>
            <w:tcW w:w="7796" w:type="dxa"/>
          </w:tcPr>
          <w:p w14:paraId="7F45ED9E" w14:textId="77777777" w:rsidR="008B4402" w:rsidRPr="00C9343F" w:rsidRDefault="008B4402" w:rsidP="00F66D98">
            <w:pPr>
              <w:pStyle w:val="BlockText-Plain"/>
            </w:pPr>
            <w:r w:rsidRPr="00C9343F">
              <w:t>Any Service requirement that the member remain on duty that day.</w:t>
            </w:r>
          </w:p>
        </w:tc>
      </w:tr>
      <w:tr w:rsidR="008B4402" w:rsidRPr="00C9343F" w14:paraId="5080E82D" w14:textId="77777777" w:rsidTr="008B4402">
        <w:trPr>
          <w:cantSplit/>
        </w:trPr>
        <w:tc>
          <w:tcPr>
            <w:tcW w:w="992" w:type="dxa"/>
          </w:tcPr>
          <w:p w14:paraId="499A788D" w14:textId="77777777" w:rsidR="008B4402" w:rsidRPr="00C9343F" w:rsidRDefault="008B4402" w:rsidP="00F66D98">
            <w:pPr>
              <w:pStyle w:val="BlockText-Plain"/>
            </w:pPr>
          </w:p>
        </w:tc>
        <w:tc>
          <w:tcPr>
            <w:tcW w:w="567" w:type="dxa"/>
          </w:tcPr>
          <w:p w14:paraId="460F9F93" w14:textId="77777777" w:rsidR="008B4402" w:rsidRPr="00C9343F" w:rsidRDefault="008B4402" w:rsidP="00490D6D">
            <w:pPr>
              <w:pStyle w:val="BlockText-Plain"/>
              <w:jc w:val="center"/>
            </w:pPr>
            <w:r w:rsidRPr="00C9343F">
              <w:t>b.</w:t>
            </w:r>
          </w:p>
        </w:tc>
        <w:tc>
          <w:tcPr>
            <w:tcW w:w="7796" w:type="dxa"/>
          </w:tcPr>
          <w:p w14:paraId="6069A8E3" w14:textId="77777777" w:rsidR="008B4402" w:rsidRPr="00C9343F" w:rsidRDefault="008B4402" w:rsidP="00F66D98">
            <w:pPr>
              <w:pStyle w:val="BlockText-Plain"/>
            </w:pPr>
            <w:r w:rsidRPr="00C9343F">
              <w:t>If the substitute day is of cultural or religious significance to the member.</w:t>
            </w:r>
          </w:p>
        </w:tc>
      </w:tr>
    </w:tbl>
    <w:p w14:paraId="7C57ECC5" w14:textId="6015A436" w:rsidR="008B4402" w:rsidRPr="00C9343F" w:rsidRDefault="008B4402" w:rsidP="00F66D98">
      <w:pPr>
        <w:pStyle w:val="Heading5"/>
      </w:pPr>
      <w:bookmarkStart w:id="2056" w:name="_Toc105054183"/>
      <w:r w:rsidRPr="00C9343F">
        <w:t>5.12.3</w:t>
      </w:r>
      <w:r w:rsidR="00D94006" w:rsidRPr="00C9343F">
        <w:t>    </w:t>
      </w:r>
      <w:r w:rsidRPr="00C9343F">
        <w:t>Christmas stand-down</w:t>
      </w:r>
      <w:bookmarkEnd w:id="2056"/>
      <w:r w:rsidRPr="00C9343F">
        <w:t xml:space="preserve"> </w:t>
      </w:r>
    </w:p>
    <w:tbl>
      <w:tblPr>
        <w:tblW w:w="9373" w:type="dxa"/>
        <w:tblInd w:w="108" w:type="dxa"/>
        <w:tblLayout w:type="fixed"/>
        <w:tblLook w:val="0000" w:firstRow="0" w:lastRow="0" w:firstColumn="0" w:lastColumn="0" w:noHBand="0" w:noVBand="0"/>
      </w:tblPr>
      <w:tblGrid>
        <w:gridCol w:w="997"/>
        <w:gridCol w:w="567"/>
        <w:gridCol w:w="7800"/>
        <w:gridCol w:w="9"/>
      </w:tblGrid>
      <w:tr w:rsidR="008B4402" w:rsidRPr="00C9343F" w14:paraId="1CB47E59" w14:textId="77777777" w:rsidTr="0062428A">
        <w:trPr>
          <w:gridAfter w:val="1"/>
          <w:wAfter w:w="9" w:type="dxa"/>
        </w:trPr>
        <w:tc>
          <w:tcPr>
            <w:tcW w:w="997" w:type="dxa"/>
          </w:tcPr>
          <w:p w14:paraId="54234D62" w14:textId="77777777" w:rsidR="008B4402" w:rsidRPr="00C9343F" w:rsidRDefault="008B4402" w:rsidP="00F66D98">
            <w:pPr>
              <w:pStyle w:val="BlockText-Plain"/>
              <w:jc w:val="center"/>
            </w:pPr>
            <w:r w:rsidRPr="00C9343F">
              <w:t>1.</w:t>
            </w:r>
          </w:p>
        </w:tc>
        <w:tc>
          <w:tcPr>
            <w:tcW w:w="8367" w:type="dxa"/>
            <w:gridSpan w:val="2"/>
          </w:tcPr>
          <w:p w14:paraId="695C8057" w14:textId="0913FE9D" w:rsidR="008B4402" w:rsidRPr="00C9343F" w:rsidRDefault="0062428A" w:rsidP="00F66D98">
            <w:pPr>
              <w:pStyle w:val="BlockText-Plain"/>
            </w:pPr>
            <w:r w:rsidRPr="00C9343F">
              <w:rPr>
                <w:iCs/>
              </w:rPr>
              <w:t>A member is eligible for Christmas stand-down on the following days</w:t>
            </w:r>
          </w:p>
        </w:tc>
      </w:tr>
      <w:tr w:rsidR="00A26FC9" w:rsidRPr="00C9343F" w14:paraId="466A623D" w14:textId="77777777" w:rsidTr="0062428A">
        <w:trPr>
          <w:gridAfter w:val="1"/>
          <w:wAfter w:w="9" w:type="dxa"/>
          <w:cantSplit/>
        </w:trPr>
        <w:tc>
          <w:tcPr>
            <w:tcW w:w="997" w:type="dxa"/>
          </w:tcPr>
          <w:p w14:paraId="535FCFA8" w14:textId="77777777" w:rsidR="00A26FC9" w:rsidRPr="00C9343F" w:rsidRDefault="00A26FC9" w:rsidP="00F66D98">
            <w:pPr>
              <w:pStyle w:val="BlockText-Plain"/>
            </w:pPr>
          </w:p>
        </w:tc>
        <w:tc>
          <w:tcPr>
            <w:tcW w:w="567" w:type="dxa"/>
          </w:tcPr>
          <w:p w14:paraId="1DAE4A22" w14:textId="77777777" w:rsidR="00A26FC9" w:rsidRPr="00C9343F" w:rsidRDefault="00A26FC9" w:rsidP="00490D6D">
            <w:pPr>
              <w:pStyle w:val="BlockText-Plain"/>
              <w:jc w:val="center"/>
            </w:pPr>
            <w:r w:rsidRPr="00C9343F">
              <w:t>a.</w:t>
            </w:r>
          </w:p>
        </w:tc>
        <w:tc>
          <w:tcPr>
            <w:tcW w:w="7800" w:type="dxa"/>
          </w:tcPr>
          <w:p w14:paraId="425EB59F" w14:textId="5F1B786B" w:rsidR="00A26FC9" w:rsidRPr="00C9343F" w:rsidRDefault="0062428A" w:rsidP="00F66D98">
            <w:pPr>
              <w:pStyle w:val="BlockText-Plain"/>
            </w:pPr>
            <w:r w:rsidRPr="00C9343F">
              <w:t>24 December 2020 – 1 January 2021 inclusive.</w:t>
            </w:r>
          </w:p>
        </w:tc>
      </w:tr>
      <w:tr w:rsidR="00490D6D" w:rsidRPr="00C9343F" w14:paraId="3A4DC08A" w14:textId="77777777" w:rsidTr="0062428A">
        <w:trPr>
          <w:gridAfter w:val="1"/>
          <w:wAfter w:w="9" w:type="dxa"/>
          <w:cantSplit/>
        </w:trPr>
        <w:tc>
          <w:tcPr>
            <w:tcW w:w="997" w:type="dxa"/>
          </w:tcPr>
          <w:p w14:paraId="7A4790F4" w14:textId="77777777" w:rsidR="00490D6D" w:rsidRPr="00C9343F" w:rsidRDefault="00490D6D" w:rsidP="00490D6D">
            <w:pPr>
              <w:pStyle w:val="BlockText-Plain"/>
            </w:pPr>
          </w:p>
        </w:tc>
        <w:tc>
          <w:tcPr>
            <w:tcW w:w="567" w:type="dxa"/>
          </w:tcPr>
          <w:p w14:paraId="2690D5D5" w14:textId="5A87ABC2" w:rsidR="00490D6D" w:rsidRPr="00C9343F" w:rsidRDefault="00490D6D" w:rsidP="00490D6D">
            <w:pPr>
              <w:pStyle w:val="BlockText-Plain"/>
              <w:jc w:val="center"/>
            </w:pPr>
            <w:r w:rsidRPr="00C9343F">
              <w:rPr>
                <w:rFonts w:cs="Arial"/>
                <w:lang w:eastAsia="en-US"/>
              </w:rPr>
              <w:t>b.</w:t>
            </w:r>
          </w:p>
        </w:tc>
        <w:tc>
          <w:tcPr>
            <w:tcW w:w="7800" w:type="dxa"/>
          </w:tcPr>
          <w:p w14:paraId="1D680327" w14:textId="08DD2909" w:rsidR="00490D6D" w:rsidRPr="00C9343F" w:rsidRDefault="00490D6D" w:rsidP="00490D6D">
            <w:pPr>
              <w:pStyle w:val="BlockText-Plain"/>
            </w:pPr>
            <w:r w:rsidRPr="00C9343F">
              <w:rPr>
                <w:rFonts w:cs="Arial"/>
                <w:lang w:eastAsia="en-US"/>
              </w:rPr>
              <w:t>24 December 2021 – 3 January 2022 inclusive.</w:t>
            </w:r>
          </w:p>
        </w:tc>
      </w:tr>
      <w:tr w:rsidR="0062428A" w:rsidRPr="00C9343F" w14:paraId="42F8C4DE" w14:textId="77777777" w:rsidTr="0062428A">
        <w:trPr>
          <w:gridAfter w:val="1"/>
          <w:wAfter w:w="9" w:type="dxa"/>
          <w:cantSplit/>
        </w:trPr>
        <w:tc>
          <w:tcPr>
            <w:tcW w:w="997" w:type="dxa"/>
          </w:tcPr>
          <w:p w14:paraId="012293A3" w14:textId="77777777" w:rsidR="0062428A" w:rsidRPr="00C9343F" w:rsidRDefault="0062428A" w:rsidP="00F66D98">
            <w:pPr>
              <w:pStyle w:val="BlockText-Plain"/>
            </w:pPr>
          </w:p>
        </w:tc>
        <w:tc>
          <w:tcPr>
            <w:tcW w:w="567" w:type="dxa"/>
          </w:tcPr>
          <w:p w14:paraId="26868AC4" w14:textId="2BA6475D" w:rsidR="0062428A" w:rsidRPr="00C9343F" w:rsidRDefault="0062428A" w:rsidP="00490D6D">
            <w:pPr>
              <w:pStyle w:val="BlockText-Plain"/>
              <w:jc w:val="center"/>
            </w:pPr>
            <w:r w:rsidRPr="00C9343F">
              <w:t>c.</w:t>
            </w:r>
          </w:p>
        </w:tc>
        <w:tc>
          <w:tcPr>
            <w:tcW w:w="7800" w:type="dxa"/>
          </w:tcPr>
          <w:p w14:paraId="12863DAD" w14:textId="6A1F9C4F" w:rsidR="0062428A" w:rsidRPr="00C9343F" w:rsidRDefault="0062428A" w:rsidP="00F66D98">
            <w:pPr>
              <w:pStyle w:val="BlockText-Plain"/>
            </w:pPr>
            <w:r w:rsidRPr="00C9343F">
              <w:t>28 December 2022 – 3 January 2023 inclusive.</w:t>
            </w:r>
          </w:p>
        </w:tc>
      </w:tr>
      <w:tr w:rsidR="008B4402" w:rsidRPr="00C9343F" w14:paraId="0EB251BB" w14:textId="77777777" w:rsidTr="0062428A">
        <w:tc>
          <w:tcPr>
            <w:tcW w:w="997" w:type="dxa"/>
          </w:tcPr>
          <w:p w14:paraId="53E05203" w14:textId="77777777" w:rsidR="008B4402" w:rsidRPr="00C9343F" w:rsidRDefault="008B4402" w:rsidP="00F66D98">
            <w:pPr>
              <w:pStyle w:val="BlockText-Plain"/>
              <w:jc w:val="center"/>
            </w:pPr>
            <w:r w:rsidRPr="00C9343F">
              <w:t>2.</w:t>
            </w:r>
          </w:p>
        </w:tc>
        <w:tc>
          <w:tcPr>
            <w:tcW w:w="8376" w:type="dxa"/>
            <w:gridSpan w:val="3"/>
          </w:tcPr>
          <w:p w14:paraId="5FB71BCC" w14:textId="77777777" w:rsidR="008B4402" w:rsidRPr="00C9343F" w:rsidRDefault="008B4402" w:rsidP="00F66D98">
            <w:pPr>
              <w:pStyle w:val="BlockText-Plain"/>
            </w:pPr>
            <w:r w:rsidRPr="00C9343F">
              <w:t>The periods in subsection 1 include public holidays that fall within the period.</w:t>
            </w:r>
          </w:p>
        </w:tc>
      </w:tr>
      <w:tr w:rsidR="008B4402" w:rsidRPr="00C9343F" w14:paraId="429E77FD" w14:textId="77777777" w:rsidTr="0062428A">
        <w:tc>
          <w:tcPr>
            <w:tcW w:w="997" w:type="dxa"/>
          </w:tcPr>
          <w:p w14:paraId="69F626A2" w14:textId="77777777" w:rsidR="008B4402" w:rsidRPr="00C9343F" w:rsidRDefault="008B4402" w:rsidP="00F66D98">
            <w:pPr>
              <w:pStyle w:val="BlockText-Plain"/>
              <w:jc w:val="center"/>
            </w:pPr>
            <w:r w:rsidRPr="00C9343F">
              <w:t>3.</w:t>
            </w:r>
          </w:p>
        </w:tc>
        <w:tc>
          <w:tcPr>
            <w:tcW w:w="8376" w:type="dxa"/>
            <w:gridSpan w:val="3"/>
          </w:tcPr>
          <w:p w14:paraId="2334FB6E" w14:textId="77777777" w:rsidR="008B4402" w:rsidRPr="00C9343F" w:rsidRDefault="008B4402" w:rsidP="00F66D98">
            <w:pPr>
              <w:pStyle w:val="BlockText-Plain"/>
            </w:pPr>
            <w:r w:rsidRPr="00C9343F">
              <w:t>A Commanding Officer may determine that the member must perform duty on a day listed in subsection 1. The Commanding Officer should consider if there are pressing operational, preparatory or safety needs that prevent the member from being absent.</w:t>
            </w:r>
          </w:p>
        </w:tc>
      </w:tr>
      <w:tr w:rsidR="008B4402" w:rsidRPr="00C9343F" w14:paraId="15DD58F7" w14:textId="77777777" w:rsidTr="0062428A">
        <w:tc>
          <w:tcPr>
            <w:tcW w:w="997" w:type="dxa"/>
          </w:tcPr>
          <w:p w14:paraId="19406F88" w14:textId="77777777" w:rsidR="008B4402" w:rsidRPr="00C9343F" w:rsidRDefault="008B4402" w:rsidP="00F66D98">
            <w:pPr>
              <w:pStyle w:val="BlockText-Plain"/>
              <w:jc w:val="center"/>
            </w:pPr>
            <w:r w:rsidRPr="00C9343F">
              <w:t>4.</w:t>
            </w:r>
          </w:p>
        </w:tc>
        <w:tc>
          <w:tcPr>
            <w:tcW w:w="8376" w:type="dxa"/>
            <w:gridSpan w:val="3"/>
          </w:tcPr>
          <w:p w14:paraId="580368EE" w14:textId="77777777" w:rsidR="008B4402" w:rsidRPr="00C9343F" w:rsidRDefault="008B4402" w:rsidP="00F66D98">
            <w:pPr>
              <w:pStyle w:val="BlockText-Plain"/>
            </w:pPr>
            <w:r w:rsidRPr="00C9343F">
              <w:t>Absences are treated in accordance with the following table.</w:t>
            </w:r>
          </w:p>
        </w:tc>
      </w:tr>
    </w:tbl>
    <w:p w14:paraId="67AAC1C9" w14:textId="77777777" w:rsidR="008B4402" w:rsidRPr="00C9343F" w:rsidRDefault="008B4402" w:rsidP="00F66D98"/>
    <w:tbl>
      <w:tblPr>
        <w:tblW w:w="0" w:type="auto"/>
        <w:tblInd w:w="1049" w:type="dxa"/>
        <w:tblLayout w:type="fixed"/>
        <w:tblCellMar>
          <w:left w:w="56" w:type="dxa"/>
          <w:right w:w="56" w:type="dxa"/>
        </w:tblCellMar>
        <w:tblLook w:val="0000" w:firstRow="0" w:lastRow="0" w:firstColumn="0" w:lastColumn="0" w:noHBand="0" w:noVBand="0"/>
      </w:tblPr>
      <w:tblGrid>
        <w:gridCol w:w="567"/>
        <w:gridCol w:w="3898"/>
        <w:gridCol w:w="3898"/>
      </w:tblGrid>
      <w:tr w:rsidR="008B4402" w:rsidRPr="00C9343F" w14:paraId="541C4F7A"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1CD935DB" w14:textId="77777777" w:rsidR="008B4402" w:rsidRPr="00C9343F" w:rsidRDefault="008B4402" w:rsidP="00F66D98">
            <w:pPr>
              <w:pStyle w:val="TableHeaderArial"/>
            </w:pPr>
            <w:r w:rsidRPr="00C9343F">
              <w:t>Item</w:t>
            </w:r>
          </w:p>
        </w:tc>
        <w:tc>
          <w:tcPr>
            <w:tcW w:w="3898" w:type="dxa"/>
            <w:tcBorders>
              <w:top w:val="single" w:sz="6" w:space="0" w:color="auto"/>
              <w:left w:val="single" w:sz="6" w:space="0" w:color="auto"/>
              <w:bottom w:val="single" w:sz="6" w:space="0" w:color="auto"/>
              <w:right w:val="single" w:sz="6" w:space="0" w:color="auto"/>
            </w:tcBorders>
          </w:tcPr>
          <w:p w14:paraId="53F3D35F" w14:textId="40F09C94" w:rsidR="008B4402" w:rsidRPr="00C9343F" w:rsidRDefault="008B4402" w:rsidP="00F66D98">
            <w:pPr>
              <w:pStyle w:val="TableHeaderArial"/>
            </w:pPr>
            <w:r w:rsidRPr="00C9343F">
              <w:t>If the day</w:t>
            </w:r>
            <w:r w:rsidR="00D94006" w:rsidRPr="00C9343F">
              <w:t>    </w:t>
            </w:r>
          </w:p>
        </w:tc>
        <w:tc>
          <w:tcPr>
            <w:tcW w:w="3898" w:type="dxa"/>
            <w:tcBorders>
              <w:top w:val="single" w:sz="6" w:space="0" w:color="auto"/>
              <w:left w:val="single" w:sz="6" w:space="0" w:color="auto"/>
              <w:bottom w:val="single" w:sz="6" w:space="0" w:color="auto"/>
              <w:right w:val="single" w:sz="6" w:space="0" w:color="auto"/>
            </w:tcBorders>
          </w:tcPr>
          <w:p w14:paraId="4C00C1EC" w14:textId="2D295C8D" w:rsidR="008B4402" w:rsidRPr="00C9343F" w:rsidRDefault="008B4402" w:rsidP="00F66D98">
            <w:pPr>
              <w:pStyle w:val="TableHeaderArial"/>
            </w:pPr>
            <w:r w:rsidRPr="00C9343F">
              <w:t>the day is to be</w:t>
            </w:r>
            <w:r w:rsidR="00D94006" w:rsidRPr="00C9343F">
              <w:t>    </w:t>
            </w:r>
          </w:p>
        </w:tc>
      </w:tr>
      <w:tr w:rsidR="008B4402" w:rsidRPr="00C9343F" w14:paraId="1D726F75"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5D21E5DE" w14:textId="77777777" w:rsidR="008B4402" w:rsidRPr="00C9343F" w:rsidRDefault="008B4402" w:rsidP="00F66D98">
            <w:pPr>
              <w:pStyle w:val="TableTextArial-left"/>
              <w:jc w:val="center"/>
            </w:pPr>
            <w:r w:rsidRPr="00C9343F">
              <w:t>1.</w:t>
            </w:r>
          </w:p>
        </w:tc>
        <w:tc>
          <w:tcPr>
            <w:tcW w:w="3898" w:type="dxa"/>
            <w:tcBorders>
              <w:top w:val="single" w:sz="6" w:space="0" w:color="auto"/>
              <w:left w:val="single" w:sz="6" w:space="0" w:color="auto"/>
              <w:bottom w:val="single" w:sz="6" w:space="0" w:color="auto"/>
              <w:right w:val="single" w:sz="6" w:space="0" w:color="auto"/>
            </w:tcBorders>
          </w:tcPr>
          <w:p w14:paraId="787C5AB9" w14:textId="77777777" w:rsidR="008B4402" w:rsidRPr="00C9343F" w:rsidRDefault="008B4402" w:rsidP="00F66D98">
            <w:pPr>
              <w:pStyle w:val="TableTextArial-left"/>
            </w:pPr>
            <w:r w:rsidRPr="00C9343F">
              <w:t>is a public holiday</w:t>
            </w:r>
          </w:p>
        </w:tc>
        <w:tc>
          <w:tcPr>
            <w:tcW w:w="3898" w:type="dxa"/>
            <w:tcBorders>
              <w:top w:val="single" w:sz="6" w:space="0" w:color="auto"/>
              <w:left w:val="single" w:sz="6" w:space="0" w:color="auto"/>
              <w:bottom w:val="single" w:sz="6" w:space="0" w:color="auto"/>
              <w:right w:val="single" w:sz="6" w:space="0" w:color="auto"/>
            </w:tcBorders>
          </w:tcPr>
          <w:p w14:paraId="12A34A9F" w14:textId="3086802E" w:rsidR="008B4402" w:rsidRPr="00C9343F" w:rsidRDefault="008B4402" w:rsidP="00F66D98">
            <w:pPr>
              <w:pStyle w:val="TableTextArial-left"/>
              <w:spacing w:after="120"/>
            </w:pPr>
            <w:r w:rsidRPr="00C9343F">
              <w:t>granted under section 5.12.1.</w:t>
            </w:r>
          </w:p>
        </w:tc>
      </w:tr>
      <w:tr w:rsidR="008B4402" w:rsidRPr="00C9343F" w14:paraId="57599820" w14:textId="77777777" w:rsidTr="008B4402">
        <w:trPr>
          <w:cantSplit/>
        </w:trPr>
        <w:tc>
          <w:tcPr>
            <w:tcW w:w="567" w:type="dxa"/>
            <w:tcBorders>
              <w:top w:val="single" w:sz="6" w:space="0" w:color="auto"/>
              <w:left w:val="single" w:sz="6" w:space="0" w:color="auto"/>
              <w:bottom w:val="single" w:sz="6" w:space="0" w:color="auto"/>
              <w:right w:val="single" w:sz="6" w:space="0" w:color="auto"/>
            </w:tcBorders>
          </w:tcPr>
          <w:p w14:paraId="4A2AB019" w14:textId="77777777" w:rsidR="008B4402" w:rsidRPr="00C9343F" w:rsidRDefault="008B4402" w:rsidP="00F66D98">
            <w:pPr>
              <w:pStyle w:val="TableTextArial-left"/>
              <w:jc w:val="center"/>
            </w:pPr>
            <w:r w:rsidRPr="00C9343F">
              <w:t>2.</w:t>
            </w:r>
          </w:p>
        </w:tc>
        <w:tc>
          <w:tcPr>
            <w:tcW w:w="3898" w:type="dxa"/>
            <w:tcBorders>
              <w:top w:val="single" w:sz="6" w:space="0" w:color="auto"/>
              <w:left w:val="single" w:sz="6" w:space="0" w:color="auto"/>
              <w:bottom w:val="single" w:sz="6" w:space="0" w:color="auto"/>
              <w:right w:val="single" w:sz="6" w:space="0" w:color="auto"/>
            </w:tcBorders>
          </w:tcPr>
          <w:p w14:paraId="62B28BB1" w14:textId="77777777" w:rsidR="008B4402" w:rsidRPr="00C9343F" w:rsidRDefault="008B4402" w:rsidP="00F66D98">
            <w:pPr>
              <w:pStyle w:val="TableTextArial-left"/>
            </w:pPr>
            <w:r w:rsidRPr="00C9343F">
              <w:t>is not a public holiday</w:t>
            </w:r>
          </w:p>
        </w:tc>
        <w:tc>
          <w:tcPr>
            <w:tcW w:w="3898" w:type="dxa"/>
            <w:tcBorders>
              <w:top w:val="single" w:sz="6" w:space="0" w:color="auto"/>
              <w:left w:val="single" w:sz="6" w:space="0" w:color="auto"/>
              <w:bottom w:val="single" w:sz="6" w:space="0" w:color="auto"/>
              <w:right w:val="single" w:sz="6" w:space="0" w:color="auto"/>
            </w:tcBorders>
          </w:tcPr>
          <w:p w14:paraId="76A5F29E" w14:textId="77777777" w:rsidR="008B4402" w:rsidRPr="00C9343F" w:rsidRDefault="008B4402" w:rsidP="00F66D98">
            <w:pPr>
              <w:pStyle w:val="TableTextArial-left"/>
            </w:pPr>
            <w:r w:rsidRPr="00C9343F">
              <w:t>treated as short absence when not required for duty.</w:t>
            </w:r>
          </w:p>
        </w:tc>
      </w:tr>
    </w:tbl>
    <w:p w14:paraId="681FBD2D" w14:textId="545B827C" w:rsidR="00A9484D" w:rsidRPr="00C9343F" w:rsidRDefault="00A9484D" w:rsidP="00F66D98"/>
    <w:p w14:paraId="24A95DD0" w14:textId="45C2178E" w:rsidR="008B4402" w:rsidRPr="00C9343F" w:rsidRDefault="008B4402" w:rsidP="00F66D98">
      <w:pPr>
        <w:pStyle w:val="Heading3"/>
        <w:pageBreakBefore/>
      </w:pPr>
      <w:bookmarkStart w:id="2057" w:name="_Toc105054184"/>
      <w:r w:rsidRPr="00C9343F">
        <w:t>Part 13: Cancellation of, or recall from, leave</w:t>
      </w:r>
      <w:bookmarkEnd w:id="2057"/>
    </w:p>
    <w:p w14:paraId="1080AEB6" w14:textId="3E130E3D" w:rsidR="008B4402" w:rsidRPr="00C9343F" w:rsidRDefault="008B4402" w:rsidP="00F66D98">
      <w:pPr>
        <w:pStyle w:val="Heading5"/>
      </w:pPr>
      <w:bookmarkStart w:id="2058" w:name="_Toc105054185"/>
      <w:bookmarkStart w:id="2059" w:name="bk1152095111Purpose"/>
      <w:bookmarkStart w:id="2060" w:name="bk1152395111Purpose"/>
      <w:bookmarkStart w:id="2061" w:name="bk1321325111Purpose"/>
      <w:bookmarkStart w:id="2062" w:name="bk1151515111Purpose"/>
      <w:bookmarkStart w:id="2063" w:name="bk1151585111Purpose"/>
      <w:bookmarkStart w:id="2064" w:name="bk930045111Purpose"/>
      <w:bookmarkStart w:id="2065" w:name="bk931035111Purpose"/>
      <w:r w:rsidRPr="00C9343F">
        <w:t>5.13.1</w:t>
      </w:r>
      <w:r w:rsidR="00D94006" w:rsidRPr="00C9343F">
        <w:t>    </w:t>
      </w:r>
      <w:r w:rsidRPr="00C9343F">
        <w:t>Purpose</w:t>
      </w:r>
      <w:bookmarkEnd w:id="2058"/>
    </w:p>
    <w:bookmarkEnd w:id="2059"/>
    <w:bookmarkEnd w:id="2060"/>
    <w:bookmarkEnd w:id="2061"/>
    <w:bookmarkEnd w:id="2062"/>
    <w:bookmarkEnd w:id="2063"/>
    <w:bookmarkEnd w:id="2064"/>
    <w:bookmarkEnd w:id="2065"/>
    <w:tbl>
      <w:tblPr>
        <w:tblW w:w="0" w:type="auto"/>
        <w:tblInd w:w="113" w:type="dxa"/>
        <w:tblLayout w:type="fixed"/>
        <w:tblLook w:val="0000" w:firstRow="0" w:lastRow="0" w:firstColumn="0" w:lastColumn="0" w:noHBand="0" w:noVBand="0"/>
      </w:tblPr>
      <w:tblGrid>
        <w:gridCol w:w="992"/>
        <w:gridCol w:w="567"/>
        <w:gridCol w:w="7650"/>
      </w:tblGrid>
      <w:tr w:rsidR="008B4402" w:rsidRPr="00C9343F" w14:paraId="49BE35D7" w14:textId="77777777" w:rsidTr="008B4402">
        <w:tc>
          <w:tcPr>
            <w:tcW w:w="992" w:type="dxa"/>
          </w:tcPr>
          <w:p w14:paraId="33BB2DCC" w14:textId="77777777" w:rsidR="008B4402" w:rsidRPr="00C9343F" w:rsidRDefault="008B4402" w:rsidP="00F66D98">
            <w:pPr>
              <w:pStyle w:val="BlockText-PlainNoSpacing"/>
              <w:jc w:val="center"/>
            </w:pPr>
          </w:p>
        </w:tc>
        <w:tc>
          <w:tcPr>
            <w:tcW w:w="8217" w:type="dxa"/>
            <w:gridSpan w:val="2"/>
          </w:tcPr>
          <w:p w14:paraId="2ED8AEFF" w14:textId="77777777" w:rsidR="008B4402" w:rsidRPr="00C9343F" w:rsidRDefault="008B4402" w:rsidP="00F66D98">
            <w:pPr>
              <w:pStyle w:val="BlockText-Plain"/>
            </w:pPr>
            <w:r w:rsidRPr="00C9343F">
              <w:t xml:space="preserve">A member may be paid an amount for costs resulting from either of these events. </w:t>
            </w:r>
          </w:p>
        </w:tc>
      </w:tr>
      <w:tr w:rsidR="008B4402" w:rsidRPr="00C9343F" w14:paraId="1FCC2A62" w14:textId="77777777" w:rsidTr="008B4402">
        <w:trPr>
          <w:cantSplit/>
        </w:trPr>
        <w:tc>
          <w:tcPr>
            <w:tcW w:w="992" w:type="dxa"/>
          </w:tcPr>
          <w:p w14:paraId="212464B4" w14:textId="77777777" w:rsidR="008B4402" w:rsidRPr="00C9343F" w:rsidRDefault="008B4402" w:rsidP="00F66D98">
            <w:pPr>
              <w:pStyle w:val="BlockText-Plain"/>
            </w:pPr>
          </w:p>
        </w:tc>
        <w:tc>
          <w:tcPr>
            <w:tcW w:w="567" w:type="dxa"/>
          </w:tcPr>
          <w:p w14:paraId="0C3820F0" w14:textId="77777777" w:rsidR="008B4402" w:rsidRPr="00C9343F" w:rsidRDefault="008B4402" w:rsidP="005849DD">
            <w:pPr>
              <w:pStyle w:val="BlockText-Plain"/>
              <w:jc w:val="center"/>
            </w:pPr>
            <w:r w:rsidRPr="00C9343F">
              <w:t>a.</w:t>
            </w:r>
          </w:p>
        </w:tc>
        <w:tc>
          <w:tcPr>
            <w:tcW w:w="7650" w:type="dxa"/>
          </w:tcPr>
          <w:p w14:paraId="60545EF8" w14:textId="0202034A" w:rsidR="008B4402" w:rsidRPr="00C9343F" w:rsidRDefault="008B4402" w:rsidP="00F66D98">
            <w:pPr>
              <w:pStyle w:val="BlockText-Plain"/>
            </w:pPr>
            <w:r w:rsidRPr="00C9343F">
              <w:t>They are recalled from an approved period of leave</w:t>
            </w:r>
            <w:r w:rsidR="002B5DED" w:rsidRPr="00C9343F">
              <w:t xml:space="preserve"> </w:t>
            </w:r>
            <w:r w:rsidR="002B5DED" w:rsidRPr="00C9343F">
              <w:rPr>
                <w:iCs/>
              </w:rPr>
              <w:t>for operational reasons</w:t>
            </w:r>
            <w:r w:rsidRPr="00C9343F">
              <w:t>.</w:t>
            </w:r>
          </w:p>
        </w:tc>
      </w:tr>
      <w:tr w:rsidR="008B4402" w:rsidRPr="00C9343F" w14:paraId="00099FE8" w14:textId="77777777" w:rsidTr="008B4402">
        <w:trPr>
          <w:cantSplit/>
        </w:trPr>
        <w:tc>
          <w:tcPr>
            <w:tcW w:w="992" w:type="dxa"/>
          </w:tcPr>
          <w:p w14:paraId="7682C6B8" w14:textId="77777777" w:rsidR="008B4402" w:rsidRPr="00C9343F" w:rsidRDefault="008B4402" w:rsidP="00F66D98">
            <w:pPr>
              <w:pStyle w:val="BlockText-Plain"/>
            </w:pPr>
          </w:p>
        </w:tc>
        <w:tc>
          <w:tcPr>
            <w:tcW w:w="567" w:type="dxa"/>
          </w:tcPr>
          <w:p w14:paraId="120E67E0" w14:textId="77777777" w:rsidR="008B4402" w:rsidRPr="00C9343F" w:rsidRDefault="008B4402" w:rsidP="005849DD">
            <w:pPr>
              <w:pStyle w:val="BlockText-Plain"/>
              <w:jc w:val="center"/>
            </w:pPr>
            <w:r w:rsidRPr="00C9343F">
              <w:t>b.</w:t>
            </w:r>
          </w:p>
        </w:tc>
        <w:tc>
          <w:tcPr>
            <w:tcW w:w="7650" w:type="dxa"/>
          </w:tcPr>
          <w:p w14:paraId="4DB3A68F" w14:textId="77777777" w:rsidR="008B4402" w:rsidRPr="00C9343F" w:rsidRDefault="008B4402" w:rsidP="00F66D98">
            <w:pPr>
              <w:pStyle w:val="BlockText-Plain"/>
            </w:pPr>
            <w:r w:rsidRPr="00C9343F">
              <w:t>Their approved period of leave is cancelled.</w:t>
            </w:r>
          </w:p>
        </w:tc>
      </w:tr>
      <w:tr w:rsidR="008B4402" w:rsidRPr="00C9343F" w14:paraId="128951D7" w14:textId="77777777" w:rsidTr="008B4402">
        <w:tc>
          <w:tcPr>
            <w:tcW w:w="992" w:type="dxa"/>
          </w:tcPr>
          <w:p w14:paraId="0C484699" w14:textId="77777777" w:rsidR="008B4402" w:rsidRPr="00C9343F" w:rsidRDefault="008B4402" w:rsidP="00F66D98">
            <w:pPr>
              <w:pStyle w:val="BlockText-Plain"/>
              <w:jc w:val="center"/>
            </w:pPr>
            <w:bookmarkStart w:id="2066" w:name="bk1152095112Paymentsforcosts"/>
            <w:bookmarkStart w:id="2067" w:name="bk1152395112Paymentsforcosts"/>
          </w:p>
        </w:tc>
        <w:tc>
          <w:tcPr>
            <w:tcW w:w="8217" w:type="dxa"/>
            <w:gridSpan w:val="2"/>
          </w:tcPr>
          <w:p w14:paraId="7E1F5192" w14:textId="0E153621" w:rsidR="008B4402" w:rsidRPr="00C9343F" w:rsidRDefault="008B4402" w:rsidP="00F66D98">
            <w:pPr>
              <w:pStyle w:val="BlockText-Plain"/>
            </w:pPr>
            <w:r w:rsidRPr="00C9343F">
              <w:rPr>
                <w:b/>
              </w:rPr>
              <w:t>Note:</w:t>
            </w:r>
            <w:r w:rsidRPr="00C9343F">
              <w:t xml:space="preserve"> Members should be recalled from leave for operational reasons only. Payments under this Part are an operational cost.</w:t>
            </w:r>
          </w:p>
        </w:tc>
      </w:tr>
    </w:tbl>
    <w:p w14:paraId="39156C10" w14:textId="67529F0B" w:rsidR="008B4402" w:rsidRPr="00C9343F" w:rsidRDefault="008B4402" w:rsidP="00F66D98">
      <w:pPr>
        <w:pStyle w:val="Heading5"/>
      </w:pPr>
      <w:bookmarkStart w:id="2068" w:name="_Toc105054186"/>
      <w:bookmarkStart w:id="2069" w:name="bk1321325112Basis"/>
      <w:bookmarkStart w:id="2070" w:name="bk1151515112Basis"/>
      <w:bookmarkStart w:id="2071" w:name="bk1151585112Basis"/>
      <w:bookmarkStart w:id="2072" w:name="bk930045112Basis"/>
      <w:bookmarkStart w:id="2073" w:name="bk931035112Basis"/>
      <w:r w:rsidRPr="00C9343F">
        <w:t>5.13.2</w:t>
      </w:r>
      <w:r w:rsidR="00D94006" w:rsidRPr="00C9343F">
        <w:t>    </w:t>
      </w:r>
      <w:r w:rsidRPr="00C9343F">
        <w:t>Basis</w:t>
      </w:r>
      <w:bookmarkEnd w:id="2068"/>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791CD33A" w14:textId="77777777" w:rsidTr="008B4402">
        <w:tc>
          <w:tcPr>
            <w:tcW w:w="992" w:type="dxa"/>
          </w:tcPr>
          <w:bookmarkEnd w:id="2069"/>
          <w:bookmarkEnd w:id="2070"/>
          <w:bookmarkEnd w:id="2071"/>
          <w:bookmarkEnd w:id="2072"/>
          <w:bookmarkEnd w:id="2073"/>
          <w:p w14:paraId="05DF7C2E" w14:textId="77777777" w:rsidR="008B4402" w:rsidRPr="00C9343F" w:rsidRDefault="008B4402" w:rsidP="00F66D98">
            <w:pPr>
              <w:pStyle w:val="BlockText-Plain"/>
              <w:jc w:val="center"/>
            </w:pPr>
            <w:r w:rsidRPr="00C9343F">
              <w:t>1.</w:t>
            </w:r>
          </w:p>
        </w:tc>
        <w:tc>
          <w:tcPr>
            <w:tcW w:w="8363" w:type="dxa"/>
            <w:gridSpan w:val="2"/>
          </w:tcPr>
          <w:p w14:paraId="69ABA66F" w14:textId="77777777" w:rsidR="008B4402" w:rsidRPr="00C9343F" w:rsidRDefault="008B4402" w:rsidP="00F66D98">
            <w:pPr>
              <w:pStyle w:val="BlockText-Plain"/>
            </w:pPr>
            <w:r w:rsidRPr="00C9343F">
              <w:t>The basis of this condition is that a member should be reimbursed for costs associated with a recall from leave.</w:t>
            </w:r>
          </w:p>
        </w:tc>
      </w:tr>
      <w:tr w:rsidR="008B4402" w:rsidRPr="00C9343F" w14:paraId="5960C6D3" w14:textId="77777777" w:rsidTr="008B4402">
        <w:tc>
          <w:tcPr>
            <w:tcW w:w="992" w:type="dxa"/>
          </w:tcPr>
          <w:p w14:paraId="61E04F48" w14:textId="77777777" w:rsidR="008B4402" w:rsidRPr="00C9343F" w:rsidRDefault="008B4402" w:rsidP="00F66D98">
            <w:pPr>
              <w:pStyle w:val="BlockText-Plain"/>
              <w:jc w:val="center"/>
            </w:pPr>
            <w:r w:rsidRPr="00C9343F">
              <w:t>2.</w:t>
            </w:r>
          </w:p>
        </w:tc>
        <w:tc>
          <w:tcPr>
            <w:tcW w:w="8363" w:type="dxa"/>
            <w:gridSpan w:val="2"/>
          </w:tcPr>
          <w:p w14:paraId="754E56B1" w14:textId="77777777" w:rsidR="008B4402" w:rsidRPr="00C9343F" w:rsidRDefault="008B4402" w:rsidP="00F66D98">
            <w:pPr>
              <w:pStyle w:val="BlockText-PlainNoSpacing"/>
            </w:pPr>
            <w:r w:rsidRPr="00C9343F">
              <w:t>There are two types of costs.</w:t>
            </w:r>
          </w:p>
        </w:tc>
      </w:tr>
      <w:tr w:rsidR="008B4402" w:rsidRPr="00C9343F" w14:paraId="2B2218FF" w14:textId="77777777" w:rsidTr="008B4402">
        <w:trPr>
          <w:cantSplit/>
        </w:trPr>
        <w:tc>
          <w:tcPr>
            <w:tcW w:w="992" w:type="dxa"/>
          </w:tcPr>
          <w:p w14:paraId="70B876AC" w14:textId="77777777" w:rsidR="008B4402" w:rsidRPr="00C9343F" w:rsidRDefault="008B4402" w:rsidP="00F66D98">
            <w:pPr>
              <w:pStyle w:val="BlockText-Plain"/>
            </w:pPr>
          </w:p>
        </w:tc>
        <w:tc>
          <w:tcPr>
            <w:tcW w:w="567" w:type="dxa"/>
          </w:tcPr>
          <w:p w14:paraId="6FADA582" w14:textId="77777777" w:rsidR="008B4402" w:rsidRPr="00C9343F" w:rsidRDefault="008B4402" w:rsidP="005849DD">
            <w:pPr>
              <w:pStyle w:val="BlockText-Plain"/>
              <w:jc w:val="center"/>
            </w:pPr>
            <w:r w:rsidRPr="00C9343F">
              <w:t>a.</w:t>
            </w:r>
          </w:p>
        </w:tc>
        <w:tc>
          <w:tcPr>
            <w:tcW w:w="7796" w:type="dxa"/>
          </w:tcPr>
          <w:p w14:paraId="441D17AD" w14:textId="41541EF5" w:rsidR="008B4402" w:rsidRPr="00C9343F" w:rsidRDefault="008B4402" w:rsidP="00F66D98">
            <w:pPr>
              <w:pStyle w:val="BlockText-Plain"/>
            </w:pPr>
            <w:r w:rsidRPr="00C9343F">
              <w:t xml:space="preserve">Travel costs, in some circumstances. </w:t>
            </w:r>
          </w:p>
        </w:tc>
      </w:tr>
      <w:tr w:rsidR="008B4402" w:rsidRPr="00C9343F" w14:paraId="1FDE0896" w14:textId="77777777" w:rsidTr="008B4402">
        <w:trPr>
          <w:cantSplit/>
        </w:trPr>
        <w:tc>
          <w:tcPr>
            <w:tcW w:w="992" w:type="dxa"/>
          </w:tcPr>
          <w:p w14:paraId="5625BD9C" w14:textId="77777777" w:rsidR="008B4402" w:rsidRPr="00C9343F" w:rsidRDefault="008B4402" w:rsidP="00F66D98">
            <w:pPr>
              <w:pStyle w:val="BlockText-Plain"/>
            </w:pPr>
          </w:p>
        </w:tc>
        <w:tc>
          <w:tcPr>
            <w:tcW w:w="567" w:type="dxa"/>
          </w:tcPr>
          <w:p w14:paraId="00E7F4C0" w14:textId="77777777" w:rsidR="008B4402" w:rsidRPr="00C9343F" w:rsidRDefault="008B4402" w:rsidP="005849DD">
            <w:pPr>
              <w:pStyle w:val="BlockText-Plain"/>
              <w:jc w:val="center"/>
            </w:pPr>
            <w:r w:rsidRPr="00C9343F">
              <w:t>b.</w:t>
            </w:r>
          </w:p>
        </w:tc>
        <w:tc>
          <w:tcPr>
            <w:tcW w:w="7796" w:type="dxa"/>
          </w:tcPr>
          <w:p w14:paraId="5DA50C84" w14:textId="77777777" w:rsidR="008B4402" w:rsidRPr="00C9343F" w:rsidRDefault="008B4402" w:rsidP="00F66D98">
            <w:pPr>
              <w:pStyle w:val="BlockText-Plain"/>
            </w:pPr>
            <w:r w:rsidRPr="00C9343F">
              <w:t>The cost of services that could not be used because of the recall.</w:t>
            </w:r>
          </w:p>
        </w:tc>
      </w:tr>
      <w:tr w:rsidR="008B4402" w:rsidRPr="00C9343F" w14:paraId="591D2F09" w14:textId="77777777" w:rsidTr="008B4402">
        <w:tc>
          <w:tcPr>
            <w:tcW w:w="992" w:type="dxa"/>
          </w:tcPr>
          <w:p w14:paraId="23FC1F43" w14:textId="77777777" w:rsidR="008B4402" w:rsidRPr="00C9343F" w:rsidRDefault="008B4402" w:rsidP="00F66D98">
            <w:pPr>
              <w:pStyle w:val="BlockText-Plain"/>
              <w:jc w:val="center"/>
            </w:pPr>
            <w:r w:rsidRPr="00C9343F">
              <w:t>3.</w:t>
            </w:r>
          </w:p>
        </w:tc>
        <w:tc>
          <w:tcPr>
            <w:tcW w:w="8363" w:type="dxa"/>
            <w:gridSpan w:val="2"/>
          </w:tcPr>
          <w:p w14:paraId="1A480CBB" w14:textId="77777777" w:rsidR="008B4402" w:rsidRPr="00C9343F" w:rsidRDefault="008B4402" w:rsidP="00F66D98">
            <w:pPr>
              <w:pStyle w:val="BlockText-Plain"/>
            </w:pPr>
            <w:r w:rsidRPr="00C9343F">
              <w:t>The member can only be reimbursed the costs of the portion of a holiday that was not used.</w:t>
            </w:r>
          </w:p>
        </w:tc>
      </w:tr>
      <w:tr w:rsidR="008B4402" w:rsidRPr="00C9343F" w14:paraId="45F6D3FF" w14:textId="77777777" w:rsidTr="008B4402">
        <w:tc>
          <w:tcPr>
            <w:tcW w:w="992" w:type="dxa"/>
          </w:tcPr>
          <w:p w14:paraId="4FA24296" w14:textId="77777777" w:rsidR="008B4402" w:rsidRPr="00C9343F" w:rsidRDefault="008B4402" w:rsidP="00F66D98">
            <w:pPr>
              <w:pStyle w:val="BlockText-Plain"/>
              <w:jc w:val="center"/>
            </w:pPr>
            <w:r w:rsidRPr="00C9343F">
              <w:t>4.</w:t>
            </w:r>
          </w:p>
        </w:tc>
        <w:tc>
          <w:tcPr>
            <w:tcW w:w="8363" w:type="dxa"/>
            <w:gridSpan w:val="2"/>
          </w:tcPr>
          <w:p w14:paraId="1EE157ED" w14:textId="77777777" w:rsidR="008B4402" w:rsidRPr="00C9343F" w:rsidRDefault="008B4402" w:rsidP="00F66D98">
            <w:pPr>
              <w:pStyle w:val="BlockText-Plain"/>
            </w:pPr>
            <w:r w:rsidRPr="00C9343F">
              <w:t>The member can only be reimbursed costs that were not recoverable in other ways.</w:t>
            </w:r>
          </w:p>
        </w:tc>
      </w:tr>
      <w:tr w:rsidR="008B4402" w:rsidRPr="00C9343F" w14:paraId="3A552453" w14:textId="77777777" w:rsidTr="008B4402">
        <w:tc>
          <w:tcPr>
            <w:tcW w:w="992" w:type="dxa"/>
          </w:tcPr>
          <w:p w14:paraId="292FC09E" w14:textId="77777777" w:rsidR="008B4402" w:rsidRPr="00C9343F" w:rsidRDefault="008B4402" w:rsidP="00F66D98">
            <w:pPr>
              <w:pStyle w:val="BlockText-Plain"/>
              <w:jc w:val="center"/>
            </w:pPr>
            <w:r w:rsidRPr="00C9343F">
              <w:t>5.</w:t>
            </w:r>
          </w:p>
        </w:tc>
        <w:tc>
          <w:tcPr>
            <w:tcW w:w="8363" w:type="dxa"/>
            <w:gridSpan w:val="2"/>
          </w:tcPr>
          <w:p w14:paraId="27FD4537" w14:textId="77777777" w:rsidR="008B4402" w:rsidRPr="00C9343F" w:rsidRDefault="008B4402" w:rsidP="00F66D98">
            <w:pPr>
              <w:pStyle w:val="BlockText-Plain"/>
            </w:pPr>
            <w:r w:rsidRPr="00C9343F">
              <w:t>It is not compensation for the inconvenience of the recall.</w:t>
            </w:r>
          </w:p>
        </w:tc>
      </w:tr>
    </w:tbl>
    <w:p w14:paraId="30AAA35C" w14:textId="0DE11EA9" w:rsidR="008B4402" w:rsidRPr="00C9343F" w:rsidRDefault="008B4402" w:rsidP="00F66D98">
      <w:pPr>
        <w:pStyle w:val="Heading5"/>
      </w:pPr>
      <w:bookmarkStart w:id="2074" w:name="_Toc105054187"/>
      <w:bookmarkStart w:id="2075" w:name="bk1152095113Costswherememberrecalledfro"/>
      <w:bookmarkStart w:id="2076" w:name="bk1152395113Costswherememberrecalledfro"/>
      <w:bookmarkStart w:id="2077" w:name="bk1321325114Memberrecalledfrompostinglo"/>
      <w:bookmarkStart w:id="2078" w:name="bk1151515114Memberrecalledfrompostinglo"/>
      <w:bookmarkStart w:id="2079" w:name="bk1151585114Memberrecalledfrompostinglo"/>
      <w:bookmarkStart w:id="2080" w:name="bk930045114Memberrecalledfrompostingloc"/>
      <w:bookmarkStart w:id="2081" w:name="bk931045114Memberisrecalledfrompostingl"/>
      <w:bookmarkEnd w:id="2066"/>
      <w:bookmarkEnd w:id="2067"/>
      <w:r w:rsidRPr="00C9343F">
        <w:t>5.13.4</w:t>
      </w:r>
      <w:r w:rsidR="00D94006" w:rsidRPr="00C9343F">
        <w:t>    </w:t>
      </w:r>
      <w:r w:rsidRPr="00C9343F">
        <w:t>Member is recalled from posting location</w:t>
      </w:r>
      <w:bookmarkEnd w:id="2074"/>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64ED9117" w14:textId="77777777" w:rsidTr="008B4402">
        <w:tc>
          <w:tcPr>
            <w:tcW w:w="992" w:type="dxa"/>
          </w:tcPr>
          <w:bookmarkEnd w:id="2075"/>
          <w:bookmarkEnd w:id="2076"/>
          <w:bookmarkEnd w:id="2077"/>
          <w:bookmarkEnd w:id="2078"/>
          <w:bookmarkEnd w:id="2079"/>
          <w:bookmarkEnd w:id="2080"/>
          <w:bookmarkEnd w:id="2081"/>
          <w:p w14:paraId="1D49C549" w14:textId="77777777" w:rsidR="008B4402" w:rsidRPr="00C9343F" w:rsidRDefault="008B4402" w:rsidP="00F66D98">
            <w:pPr>
              <w:pStyle w:val="BlockText-Plain"/>
              <w:jc w:val="center"/>
            </w:pPr>
            <w:r w:rsidRPr="00C9343F">
              <w:t>1.</w:t>
            </w:r>
          </w:p>
        </w:tc>
        <w:tc>
          <w:tcPr>
            <w:tcW w:w="8363" w:type="dxa"/>
            <w:gridSpan w:val="2"/>
          </w:tcPr>
          <w:p w14:paraId="32223239" w14:textId="77777777" w:rsidR="008B4402" w:rsidRPr="00C9343F" w:rsidRDefault="008B4402" w:rsidP="00F66D98">
            <w:pPr>
              <w:pStyle w:val="BlockText-Plain"/>
            </w:pPr>
            <w:r w:rsidRPr="00C9343F">
              <w:t>This section applies to a member who meets all these conditions.</w:t>
            </w:r>
          </w:p>
        </w:tc>
      </w:tr>
      <w:tr w:rsidR="008B4402" w:rsidRPr="00C9343F" w14:paraId="337C9D8B" w14:textId="77777777" w:rsidTr="008B4402">
        <w:trPr>
          <w:cantSplit/>
        </w:trPr>
        <w:tc>
          <w:tcPr>
            <w:tcW w:w="992" w:type="dxa"/>
          </w:tcPr>
          <w:p w14:paraId="08E41E23" w14:textId="77777777" w:rsidR="008B4402" w:rsidRPr="00C9343F" w:rsidRDefault="008B4402" w:rsidP="00F66D98">
            <w:pPr>
              <w:pStyle w:val="BlockText-Plain"/>
            </w:pPr>
          </w:p>
        </w:tc>
        <w:tc>
          <w:tcPr>
            <w:tcW w:w="567" w:type="dxa"/>
          </w:tcPr>
          <w:p w14:paraId="3264E514" w14:textId="77777777" w:rsidR="008B4402" w:rsidRPr="00C9343F" w:rsidRDefault="008B4402" w:rsidP="005849DD">
            <w:pPr>
              <w:pStyle w:val="BlockText-Plain"/>
              <w:jc w:val="center"/>
            </w:pPr>
            <w:r w:rsidRPr="00C9343F">
              <w:t>a.</w:t>
            </w:r>
          </w:p>
        </w:tc>
        <w:tc>
          <w:tcPr>
            <w:tcW w:w="7796" w:type="dxa"/>
          </w:tcPr>
          <w:p w14:paraId="63B50B3A" w14:textId="77777777" w:rsidR="008B4402" w:rsidRPr="00C9343F" w:rsidRDefault="008B4402" w:rsidP="00F66D98">
            <w:pPr>
              <w:pStyle w:val="BlockText-Plain"/>
            </w:pPr>
            <w:r w:rsidRPr="00C9343F">
              <w:t xml:space="preserve">The member is on leave. </w:t>
            </w:r>
          </w:p>
        </w:tc>
      </w:tr>
      <w:tr w:rsidR="008B4402" w:rsidRPr="00C9343F" w14:paraId="16BA0F9A" w14:textId="77777777" w:rsidTr="008B4402">
        <w:trPr>
          <w:cantSplit/>
        </w:trPr>
        <w:tc>
          <w:tcPr>
            <w:tcW w:w="992" w:type="dxa"/>
          </w:tcPr>
          <w:p w14:paraId="4EB49F6F" w14:textId="77777777" w:rsidR="008B4402" w:rsidRPr="00C9343F" w:rsidRDefault="008B4402" w:rsidP="00F66D98">
            <w:pPr>
              <w:pStyle w:val="BlockText-Plain"/>
            </w:pPr>
          </w:p>
        </w:tc>
        <w:tc>
          <w:tcPr>
            <w:tcW w:w="567" w:type="dxa"/>
          </w:tcPr>
          <w:p w14:paraId="0255392C" w14:textId="77777777" w:rsidR="008B4402" w:rsidRPr="00C9343F" w:rsidRDefault="008B4402" w:rsidP="005849DD">
            <w:pPr>
              <w:pStyle w:val="BlockText-Plain"/>
              <w:jc w:val="center"/>
            </w:pPr>
            <w:r w:rsidRPr="00C9343F">
              <w:t>b.</w:t>
            </w:r>
          </w:p>
        </w:tc>
        <w:tc>
          <w:tcPr>
            <w:tcW w:w="7796" w:type="dxa"/>
          </w:tcPr>
          <w:p w14:paraId="1A7F0A47" w14:textId="77777777" w:rsidR="008B4402" w:rsidRPr="00C9343F" w:rsidRDefault="008B4402" w:rsidP="00F66D98">
            <w:pPr>
              <w:pStyle w:val="BlockText-Plain"/>
            </w:pPr>
            <w:r w:rsidRPr="00C9343F">
              <w:t>The member has not left their posting location.</w:t>
            </w:r>
          </w:p>
        </w:tc>
      </w:tr>
      <w:tr w:rsidR="008B4402" w:rsidRPr="00C9343F" w14:paraId="705834FB" w14:textId="77777777" w:rsidTr="008B4402">
        <w:trPr>
          <w:cantSplit/>
        </w:trPr>
        <w:tc>
          <w:tcPr>
            <w:tcW w:w="992" w:type="dxa"/>
          </w:tcPr>
          <w:p w14:paraId="7AF54E33" w14:textId="77777777" w:rsidR="008B4402" w:rsidRPr="00C9343F" w:rsidRDefault="008B4402" w:rsidP="00F66D98">
            <w:pPr>
              <w:pStyle w:val="BlockText-Plain"/>
            </w:pPr>
          </w:p>
        </w:tc>
        <w:tc>
          <w:tcPr>
            <w:tcW w:w="567" w:type="dxa"/>
          </w:tcPr>
          <w:p w14:paraId="2FC5F0C4" w14:textId="77777777" w:rsidR="008B4402" w:rsidRPr="00C9343F" w:rsidRDefault="008B4402" w:rsidP="005849DD">
            <w:pPr>
              <w:pStyle w:val="BlockText-Plain"/>
              <w:jc w:val="center"/>
            </w:pPr>
            <w:r w:rsidRPr="00C9343F">
              <w:t>c.</w:t>
            </w:r>
          </w:p>
        </w:tc>
        <w:tc>
          <w:tcPr>
            <w:tcW w:w="7796" w:type="dxa"/>
          </w:tcPr>
          <w:p w14:paraId="57B25AF4" w14:textId="77777777" w:rsidR="008B4402" w:rsidRPr="00C9343F" w:rsidRDefault="008B4402" w:rsidP="00F66D98">
            <w:pPr>
              <w:pStyle w:val="BlockText-Plain"/>
            </w:pPr>
            <w:r w:rsidRPr="00C9343F">
              <w:t>The member is recalled to duty.</w:t>
            </w:r>
          </w:p>
        </w:tc>
      </w:tr>
      <w:tr w:rsidR="008B4402" w:rsidRPr="00C9343F" w14:paraId="5204342E" w14:textId="77777777" w:rsidTr="008B4402">
        <w:tc>
          <w:tcPr>
            <w:tcW w:w="992" w:type="dxa"/>
          </w:tcPr>
          <w:p w14:paraId="02F56212" w14:textId="77777777" w:rsidR="008B4402" w:rsidRPr="00C9343F" w:rsidRDefault="008B4402" w:rsidP="00F66D98">
            <w:pPr>
              <w:pStyle w:val="BlockText-Plain"/>
              <w:jc w:val="center"/>
            </w:pPr>
            <w:r w:rsidRPr="00C9343F">
              <w:t xml:space="preserve">2. </w:t>
            </w:r>
          </w:p>
        </w:tc>
        <w:tc>
          <w:tcPr>
            <w:tcW w:w="8363" w:type="dxa"/>
            <w:gridSpan w:val="2"/>
          </w:tcPr>
          <w:p w14:paraId="1ABFFAC6" w14:textId="77777777" w:rsidR="008B4402" w:rsidRPr="00C9343F" w:rsidRDefault="008B4402" w:rsidP="00F66D98">
            <w:pPr>
              <w:pStyle w:val="BlockText-Plain"/>
            </w:pPr>
            <w:r w:rsidRPr="00C9343F">
              <w:t xml:space="preserve">The member has no eligibility for recall costs. </w:t>
            </w:r>
          </w:p>
        </w:tc>
      </w:tr>
    </w:tbl>
    <w:p w14:paraId="0652A6AD" w14:textId="28027A3F" w:rsidR="008B4402" w:rsidRPr="00C9343F" w:rsidRDefault="008B4402" w:rsidP="00F66D98">
      <w:pPr>
        <w:pStyle w:val="Heading5"/>
      </w:pPr>
      <w:bookmarkStart w:id="2082" w:name="_Toc105054188"/>
      <w:bookmarkStart w:id="2083" w:name="bk1152095114Costswherememberrecalledtem"/>
      <w:bookmarkStart w:id="2084" w:name="bk1152395114Costswherememberrecalledtem"/>
      <w:bookmarkStart w:id="2085" w:name="bk1321335115Membertemporarilyrecalledfr"/>
      <w:bookmarkStart w:id="2086" w:name="bk1151515115Membertemporarilyrecalledfr"/>
      <w:bookmarkStart w:id="2087" w:name="bk1151585115Membertemporarilyrecalledfr"/>
      <w:bookmarkStart w:id="2088" w:name="bk930045115Membertemporarilyrecalledfro"/>
      <w:bookmarkStart w:id="2089" w:name="bk931045115Memberistemporarilyrecalledf"/>
      <w:r w:rsidRPr="00C9343F">
        <w:t>5.13.5</w:t>
      </w:r>
      <w:r w:rsidR="00D94006" w:rsidRPr="00C9343F">
        <w:t>    </w:t>
      </w:r>
      <w:r w:rsidRPr="00C9343F">
        <w:t>Member is temporarily recalled from leave location</w:t>
      </w:r>
      <w:bookmarkEnd w:id="2082"/>
    </w:p>
    <w:tbl>
      <w:tblPr>
        <w:tblW w:w="0" w:type="auto"/>
        <w:tblInd w:w="113" w:type="dxa"/>
        <w:tblLayout w:type="fixed"/>
        <w:tblLook w:val="0000" w:firstRow="0" w:lastRow="0" w:firstColumn="0" w:lastColumn="0" w:noHBand="0" w:noVBand="0"/>
      </w:tblPr>
      <w:tblGrid>
        <w:gridCol w:w="992"/>
        <w:gridCol w:w="567"/>
        <w:gridCol w:w="7796"/>
      </w:tblGrid>
      <w:tr w:rsidR="008B4402" w:rsidRPr="00C9343F" w14:paraId="5064CB81" w14:textId="77777777" w:rsidTr="008B4402">
        <w:tc>
          <w:tcPr>
            <w:tcW w:w="992" w:type="dxa"/>
          </w:tcPr>
          <w:bookmarkEnd w:id="2083"/>
          <w:bookmarkEnd w:id="2084"/>
          <w:bookmarkEnd w:id="2085"/>
          <w:bookmarkEnd w:id="2086"/>
          <w:bookmarkEnd w:id="2087"/>
          <w:bookmarkEnd w:id="2088"/>
          <w:bookmarkEnd w:id="2089"/>
          <w:p w14:paraId="2BD0E5C8" w14:textId="77777777" w:rsidR="008B4402" w:rsidRPr="00C9343F" w:rsidRDefault="008B4402" w:rsidP="00F66D98">
            <w:pPr>
              <w:pStyle w:val="BlockText-PlainNoSpacing"/>
              <w:jc w:val="center"/>
            </w:pPr>
            <w:r w:rsidRPr="00C9343F">
              <w:t>1.</w:t>
            </w:r>
          </w:p>
        </w:tc>
        <w:tc>
          <w:tcPr>
            <w:tcW w:w="8363" w:type="dxa"/>
            <w:gridSpan w:val="2"/>
          </w:tcPr>
          <w:p w14:paraId="080C0692" w14:textId="77777777" w:rsidR="008B4402" w:rsidRPr="00C9343F" w:rsidRDefault="008B4402" w:rsidP="00F66D98">
            <w:pPr>
              <w:pStyle w:val="BlockText-PlainNoSpacing"/>
              <w:spacing w:after="200"/>
            </w:pPr>
            <w:r w:rsidRPr="00C9343F">
              <w:t>This section applies to a member who meets all of these conditions.</w:t>
            </w:r>
          </w:p>
        </w:tc>
      </w:tr>
      <w:tr w:rsidR="008B4402" w:rsidRPr="00C9343F" w14:paraId="5ABF2CBE" w14:textId="77777777" w:rsidTr="008B4402">
        <w:trPr>
          <w:cantSplit/>
        </w:trPr>
        <w:tc>
          <w:tcPr>
            <w:tcW w:w="992" w:type="dxa"/>
          </w:tcPr>
          <w:p w14:paraId="45E0041B" w14:textId="77777777" w:rsidR="008B4402" w:rsidRPr="00C9343F" w:rsidRDefault="008B4402" w:rsidP="00F66D98">
            <w:pPr>
              <w:pStyle w:val="BlockText-Plain"/>
            </w:pPr>
          </w:p>
        </w:tc>
        <w:tc>
          <w:tcPr>
            <w:tcW w:w="567" w:type="dxa"/>
          </w:tcPr>
          <w:p w14:paraId="3E0A5D65" w14:textId="77777777" w:rsidR="008B4402" w:rsidRPr="00C9343F" w:rsidRDefault="008B4402" w:rsidP="005849DD">
            <w:pPr>
              <w:pStyle w:val="BlockText-Plain"/>
              <w:jc w:val="center"/>
            </w:pPr>
            <w:r w:rsidRPr="00C9343F">
              <w:t>a.</w:t>
            </w:r>
          </w:p>
        </w:tc>
        <w:tc>
          <w:tcPr>
            <w:tcW w:w="7796" w:type="dxa"/>
          </w:tcPr>
          <w:p w14:paraId="2EADC083" w14:textId="77777777" w:rsidR="008B4402" w:rsidRPr="00C9343F" w:rsidRDefault="008B4402" w:rsidP="00F66D98">
            <w:pPr>
              <w:pStyle w:val="BlockText-Plain"/>
            </w:pPr>
            <w:r w:rsidRPr="00C9343F">
              <w:t>The member is on leave.</w:t>
            </w:r>
          </w:p>
        </w:tc>
      </w:tr>
      <w:tr w:rsidR="008B4402" w:rsidRPr="00C9343F" w14:paraId="08FB110E" w14:textId="77777777" w:rsidTr="008B4402">
        <w:trPr>
          <w:cantSplit/>
        </w:trPr>
        <w:tc>
          <w:tcPr>
            <w:tcW w:w="992" w:type="dxa"/>
          </w:tcPr>
          <w:p w14:paraId="732455FA" w14:textId="77777777" w:rsidR="008B4402" w:rsidRPr="00C9343F" w:rsidRDefault="008B4402" w:rsidP="00F66D98">
            <w:pPr>
              <w:pStyle w:val="BlockText-Plain"/>
            </w:pPr>
          </w:p>
        </w:tc>
        <w:tc>
          <w:tcPr>
            <w:tcW w:w="567" w:type="dxa"/>
          </w:tcPr>
          <w:p w14:paraId="540359AC" w14:textId="77777777" w:rsidR="008B4402" w:rsidRPr="00C9343F" w:rsidRDefault="008B4402" w:rsidP="005849DD">
            <w:pPr>
              <w:pStyle w:val="BlockText-Plain"/>
              <w:jc w:val="center"/>
            </w:pPr>
            <w:r w:rsidRPr="00C9343F">
              <w:t>b.</w:t>
            </w:r>
          </w:p>
        </w:tc>
        <w:tc>
          <w:tcPr>
            <w:tcW w:w="7796" w:type="dxa"/>
          </w:tcPr>
          <w:p w14:paraId="1F93ED15" w14:textId="77777777" w:rsidR="008B4402" w:rsidRPr="00C9343F" w:rsidRDefault="008B4402" w:rsidP="00F66D98">
            <w:pPr>
              <w:pStyle w:val="BlockText-Plain"/>
            </w:pPr>
            <w:r w:rsidRPr="00C9343F">
              <w:t>The member is away from their posting location because of the leave.</w:t>
            </w:r>
          </w:p>
        </w:tc>
      </w:tr>
      <w:tr w:rsidR="008B4402" w:rsidRPr="00C9343F" w14:paraId="76F84722" w14:textId="77777777" w:rsidTr="008B4402">
        <w:trPr>
          <w:cantSplit/>
        </w:trPr>
        <w:tc>
          <w:tcPr>
            <w:tcW w:w="992" w:type="dxa"/>
          </w:tcPr>
          <w:p w14:paraId="22C9F212" w14:textId="77777777" w:rsidR="008B4402" w:rsidRPr="00C9343F" w:rsidRDefault="008B4402" w:rsidP="00F66D98">
            <w:pPr>
              <w:pStyle w:val="BlockText-Plain"/>
            </w:pPr>
          </w:p>
        </w:tc>
        <w:tc>
          <w:tcPr>
            <w:tcW w:w="567" w:type="dxa"/>
          </w:tcPr>
          <w:p w14:paraId="385867EB" w14:textId="77777777" w:rsidR="008B4402" w:rsidRPr="00C9343F" w:rsidRDefault="008B4402" w:rsidP="005849DD">
            <w:pPr>
              <w:pStyle w:val="BlockText-Plain"/>
              <w:jc w:val="center"/>
            </w:pPr>
            <w:r w:rsidRPr="00C9343F">
              <w:t>c.</w:t>
            </w:r>
          </w:p>
        </w:tc>
        <w:tc>
          <w:tcPr>
            <w:tcW w:w="7796" w:type="dxa"/>
          </w:tcPr>
          <w:p w14:paraId="329771DF" w14:textId="77777777" w:rsidR="008B4402" w:rsidRPr="00C9343F" w:rsidRDefault="008B4402" w:rsidP="00F66D98">
            <w:pPr>
              <w:pStyle w:val="BlockText-Plain"/>
            </w:pPr>
            <w:r w:rsidRPr="00C9343F">
              <w:t>The member is temporarily recalled to duty.</w:t>
            </w:r>
          </w:p>
        </w:tc>
      </w:tr>
      <w:tr w:rsidR="008B4402" w:rsidRPr="00C9343F" w14:paraId="6BB4C468" w14:textId="77777777" w:rsidTr="008B4402">
        <w:trPr>
          <w:cantSplit/>
        </w:trPr>
        <w:tc>
          <w:tcPr>
            <w:tcW w:w="992" w:type="dxa"/>
          </w:tcPr>
          <w:p w14:paraId="2DCDDC5D" w14:textId="77777777" w:rsidR="008B4402" w:rsidRPr="00C9343F" w:rsidRDefault="008B4402" w:rsidP="00F66D98">
            <w:pPr>
              <w:pStyle w:val="BlockText-Plain"/>
            </w:pPr>
          </w:p>
        </w:tc>
        <w:tc>
          <w:tcPr>
            <w:tcW w:w="567" w:type="dxa"/>
          </w:tcPr>
          <w:p w14:paraId="4D8B9CBF" w14:textId="77777777" w:rsidR="008B4402" w:rsidRPr="00C9343F" w:rsidRDefault="008B4402" w:rsidP="005849DD">
            <w:pPr>
              <w:pStyle w:val="BlockText-Plain"/>
              <w:jc w:val="center"/>
            </w:pPr>
            <w:r w:rsidRPr="00C9343F">
              <w:t>d.</w:t>
            </w:r>
          </w:p>
        </w:tc>
        <w:tc>
          <w:tcPr>
            <w:tcW w:w="7796" w:type="dxa"/>
          </w:tcPr>
          <w:p w14:paraId="7CABF3CC" w14:textId="2E235763" w:rsidR="008B4402" w:rsidRPr="00C9343F" w:rsidRDefault="008B4402" w:rsidP="00F66D98">
            <w:pPr>
              <w:pStyle w:val="BlockText-Plain"/>
            </w:pPr>
            <w:r w:rsidRPr="00C9343F">
              <w:t>The member intends to return to the leave location at the end of the recall period.</w:t>
            </w:r>
          </w:p>
        </w:tc>
      </w:tr>
      <w:tr w:rsidR="008B4402" w:rsidRPr="00C9343F" w14:paraId="41DF8D58" w14:textId="77777777" w:rsidTr="008B4402">
        <w:tc>
          <w:tcPr>
            <w:tcW w:w="992" w:type="dxa"/>
          </w:tcPr>
          <w:p w14:paraId="10DFB59B" w14:textId="77777777" w:rsidR="008B4402" w:rsidRPr="00C9343F" w:rsidRDefault="008B4402" w:rsidP="00F66D98">
            <w:pPr>
              <w:pStyle w:val="BlockText-PlainNoSpacing"/>
              <w:jc w:val="center"/>
            </w:pPr>
            <w:r w:rsidRPr="00C9343F">
              <w:t>2.</w:t>
            </w:r>
          </w:p>
        </w:tc>
        <w:tc>
          <w:tcPr>
            <w:tcW w:w="8363" w:type="dxa"/>
            <w:gridSpan w:val="2"/>
          </w:tcPr>
          <w:p w14:paraId="7146BD78" w14:textId="77777777" w:rsidR="008B4402" w:rsidRPr="00C9343F" w:rsidRDefault="008B4402" w:rsidP="00F66D98">
            <w:pPr>
              <w:pStyle w:val="BlockText-PlainNoSpacing"/>
              <w:spacing w:after="200"/>
            </w:pPr>
            <w:r w:rsidRPr="00C9343F">
              <w:t xml:space="preserve">The CDF may pay a member an amount to recognise the following costs associated with the recall. </w:t>
            </w:r>
          </w:p>
        </w:tc>
      </w:tr>
      <w:tr w:rsidR="008B4402" w:rsidRPr="00C9343F" w14:paraId="12F975B7" w14:textId="77777777" w:rsidTr="008B4402">
        <w:trPr>
          <w:cantSplit/>
        </w:trPr>
        <w:tc>
          <w:tcPr>
            <w:tcW w:w="992" w:type="dxa"/>
          </w:tcPr>
          <w:p w14:paraId="383E4069" w14:textId="77777777" w:rsidR="008B4402" w:rsidRPr="00C9343F" w:rsidRDefault="008B4402" w:rsidP="00F66D98">
            <w:pPr>
              <w:pStyle w:val="BlockText-Plain"/>
            </w:pPr>
          </w:p>
        </w:tc>
        <w:tc>
          <w:tcPr>
            <w:tcW w:w="567" w:type="dxa"/>
          </w:tcPr>
          <w:p w14:paraId="4739D502" w14:textId="77777777" w:rsidR="008B4402" w:rsidRPr="00C9343F" w:rsidRDefault="008B4402" w:rsidP="005849DD">
            <w:pPr>
              <w:pStyle w:val="BlockText-Plain"/>
              <w:jc w:val="center"/>
            </w:pPr>
            <w:r w:rsidRPr="00C9343F">
              <w:t>a.</w:t>
            </w:r>
          </w:p>
        </w:tc>
        <w:tc>
          <w:tcPr>
            <w:tcW w:w="7796" w:type="dxa"/>
          </w:tcPr>
          <w:p w14:paraId="6D4F36E2" w14:textId="2B4C9255" w:rsidR="008B4402" w:rsidRPr="00C9343F" w:rsidRDefault="008B4402" w:rsidP="00F66D98">
            <w:pPr>
              <w:pStyle w:val="BlockText-Plain"/>
            </w:pPr>
            <w:r w:rsidRPr="00C9343F">
              <w:t>Transportation costs for the member for the journey from the leave location, and return. This is duty travel.</w:t>
            </w:r>
          </w:p>
        </w:tc>
      </w:tr>
      <w:tr w:rsidR="008B4402" w:rsidRPr="00C9343F" w14:paraId="70F9C12D" w14:textId="77777777" w:rsidTr="008B4402">
        <w:trPr>
          <w:cantSplit/>
        </w:trPr>
        <w:tc>
          <w:tcPr>
            <w:tcW w:w="992" w:type="dxa"/>
          </w:tcPr>
          <w:p w14:paraId="07259978" w14:textId="77777777" w:rsidR="008B4402" w:rsidRPr="00C9343F" w:rsidRDefault="008B4402" w:rsidP="00F66D98">
            <w:pPr>
              <w:pStyle w:val="BlockText-Plain"/>
            </w:pPr>
          </w:p>
        </w:tc>
        <w:tc>
          <w:tcPr>
            <w:tcW w:w="567" w:type="dxa"/>
          </w:tcPr>
          <w:p w14:paraId="487D359C" w14:textId="77777777" w:rsidR="008B4402" w:rsidRPr="00C9343F" w:rsidRDefault="008B4402" w:rsidP="005849DD">
            <w:pPr>
              <w:pStyle w:val="BlockText-Plain"/>
              <w:jc w:val="center"/>
            </w:pPr>
            <w:r w:rsidRPr="00C9343F">
              <w:t>b.</w:t>
            </w:r>
          </w:p>
        </w:tc>
        <w:tc>
          <w:tcPr>
            <w:tcW w:w="7796" w:type="dxa"/>
          </w:tcPr>
          <w:p w14:paraId="141B28D2" w14:textId="306C1F74" w:rsidR="008B4402" w:rsidRPr="00C9343F" w:rsidRDefault="008B4402" w:rsidP="00F66D98">
            <w:pPr>
              <w:pStyle w:val="BlockText-Plain"/>
            </w:pPr>
            <w:r w:rsidRPr="00C9343F">
              <w:t>Additional transportation costs for dependants. Approval may only be given on the condition that the member is a parent, and that the dependants return with the member.</w:t>
            </w:r>
          </w:p>
        </w:tc>
      </w:tr>
      <w:tr w:rsidR="008B4402" w:rsidRPr="00C9343F" w14:paraId="1EC0EEA8" w14:textId="77777777" w:rsidTr="008B4402">
        <w:trPr>
          <w:cantSplit/>
        </w:trPr>
        <w:tc>
          <w:tcPr>
            <w:tcW w:w="992" w:type="dxa"/>
          </w:tcPr>
          <w:p w14:paraId="3874C0BA" w14:textId="77777777" w:rsidR="008B4402" w:rsidRPr="00C9343F" w:rsidRDefault="008B4402" w:rsidP="00F66D98">
            <w:pPr>
              <w:pStyle w:val="BlockText-Plain"/>
            </w:pPr>
          </w:p>
        </w:tc>
        <w:tc>
          <w:tcPr>
            <w:tcW w:w="567" w:type="dxa"/>
          </w:tcPr>
          <w:p w14:paraId="72127044" w14:textId="77777777" w:rsidR="008B4402" w:rsidRPr="00C9343F" w:rsidRDefault="008B4402" w:rsidP="005849DD">
            <w:pPr>
              <w:pStyle w:val="BlockText-Plain"/>
              <w:jc w:val="center"/>
            </w:pPr>
            <w:r w:rsidRPr="00C9343F">
              <w:t>c.</w:t>
            </w:r>
          </w:p>
        </w:tc>
        <w:tc>
          <w:tcPr>
            <w:tcW w:w="7796" w:type="dxa"/>
          </w:tcPr>
          <w:p w14:paraId="4869D298" w14:textId="77777777" w:rsidR="008B4402" w:rsidRPr="00C9343F" w:rsidRDefault="008B4402" w:rsidP="00F66D98">
            <w:pPr>
              <w:pStyle w:val="BlockText-Plain"/>
            </w:pPr>
            <w:r w:rsidRPr="00C9343F">
              <w:t xml:space="preserve">Accommodation expenses for the journey from the leave location, and return. This may only be paid if an overnight break is justified. This includes dependants' accommodation expenses, if their travel was approved. </w:t>
            </w:r>
          </w:p>
        </w:tc>
      </w:tr>
      <w:tr w:rsidR="008B4402" w:rsidRPr="00C9343F" w14:paraId="69EFA0A7" w14:textId="77777777" w:rsidTr="008B4402">
        <w:trPr>
          <w:cantSplit/>
        </w:trPr>
        <w:tc>
          <w:tcPr>
            <w:tcW w:w="992" w:type="dxa"/>
          </w:tcPr>
          <w:p w14:paraId="6A9069E9" w14:textId="77777777" w:rsidR="008B4402" w:rsidRPr="00C9343F" w:rsidRDefault="008B4402" w:rsidP="00F66D98">
            <w:pPr>
              <w:pStyle w:val="BlockText-Plain"/>
            </w:pPr>
          </w:p>
        </w:tc>
        <w:tc>
          <w:tcPr>
            <w:tcW w:w="567" w:type="dxa"/>
          </w:tcPr>
          <w:p w14:paraId="413C0967" w14:textId="77777777" w:rsidR="008B4402" w:rsidRPr="00C9343F" w:rsidRDefault="008B4402" w:rsidP="005849DD">
            <w:pPr>
              <w:pStyle w:val="BlockText-Plain"/>
              <w:jc w:val="center"/>
            </w:pPr>
            <w:r w:rsidRPr="00C9343F">
              <w:t>d.</w:t>
            </w:r>
          </w:p>
        </w:tc>
        <w:tc>
          <w:tcPr>
            <w:tcW w:w="7796" w:type="dxa"/>
          </w:tcPr>
          <w:p w14:paraId="374194A0" w14:textId="77777777" w:rsidR="008B4402" w:rsidRPr="00C9343F" w:rsidRDefault="008B4402" w:rsidP="00F66D98">
            <w:pPr>
              <w:pStyle w:val="BlockText-Plain"/>
            </w:pPr>
            <w:r w:rsidRPr="00C9343F">
              <w:t>Meal expenses during the journey. This includes dependants' meal expenses, if their travel was approved.</w:t>
            </w:r>
          </w:p>
        </w:tc>
      </w:tr>
      <w:tr w:rsidR="008B4402" w:rsidRPr="00C9343F" w14:paraId="3C6BA149" w14:textId="77777777" w:rsidTr="008B4402">
        <w:trPr>
          <w:cantSplit/>
        </w:trPr>
        <w:tc>
          <w:tcPr>
            <w:tcW w:w="992" w:type="dxa"/>
          </w:tcPr>
          <w:p w14:paraId="28F32167" w14:textId="77777777" w:rsidR="008B4402" w:rsidRPr="00C9343F" w:rsidRDefault="008B4402" w:rsidP="00F66D98">
            <w:pPr>
              <w:pStyle w:val="BlockText-Plain"/>
            </w:pPr>
          </w:p>
        </w:tc>
        <w:tc>
          <w:tcPr>
            <w:tcW w:w="567" w:type="dxa"/>
          </w:tcPr>
          <w:p w14:paraId="12553421" w14:textId="77777777" w:rsidR="008B4402" w:rsidRPr="00C9343F" w:rsidRDefault="008B4402" w:rsidP="005849DD">
            <w:pPr>
              <w:pStyle w:val="BlockText-Plain"/>
              <w:jc w:val="center"/>
            </w:pPr>
            <w:r w:rsidRPr="00C9343F">
              <w:t>e.</w:t>
            </w:r>
          </w:p>
        </w:tc>
        <w:tc>
          <w:tcPr>
            <w:tcW w:w="7796" w:type="dxa"/>
          </w:tcPr>
          <w:p w14:paraId="32FD59D2" w14:textId="4D97EDC0" w:rsidR="008B4402" w:rsidRPr="00C9343F" w:rsidRDefault="008B4402" w:rsidP="00F66D98">
            <w:pPr>
              <w:pStyle w:val="BlockText-Plain"/>
            </w:pPr>
            <w:r w:rsidRPr="00C9343F">
              <w:t>Other holiday items that the member had paid for but was not able to benefit from, due to the recall.</w:t>
            </w:r>
          </w:p>
        </w:tc>
      </w:tr>
      <w:tr w:rsidR="008B4402" w:rsidRPr="00C9343F" w14:paraId="460D4798" w14:textId="77777777" w:rsidTr="008B4402">
        <w:trPr>
          <w:cantSplit/>
        </w:trPr>
        <w:tc>
          <w:tcPr>
            <w:tcW w:w="992" w:type="dxa"/>
          </w:tcPr>
          <w:p w14:paraId="081738C0" w14:textId="77777777" w:rsidR="008B4402" w:rsidRPr="00C9343F" w:rsidRDefault="008B4402" w:rsidP="00F66D98">
            <w:pPr>
              <w:pStyle w:val="BlockText-Plain"/>
            </w:pPr>
          </w:p>
        </w:tc>
        <w:tc>
          <w:tcPr>
            <w:tcW w:w="567" w:type="dxa"/>
          </w:tcPr>
          <w:p w14:paraId="7DE8DF4F" w14:textId="77777777" w:rsidR="008B4402" w:rsidRPr="00C9343F" w:rsidRDefault="008B4402" w:rsidP="005849DD">
            <w:pPr>
              <w:pStyle w:val="BlockText-Plain"/>
              <w:jc w:val="center"/>
            </w:pPr>
            <w:r w:rsidRPr="00C9343F">
              <w:t>f.</w:t>
            </w:r>
          </w:p>
        </w:tc>
        <w:tc>
          <w:tcPr>
            <w:tcW w:w="7796" w:type="dxa"/>
          </w:tcPr>
          <w:p w14:paraId="4C146902" w14:textId="38D5FAB8" w:rsidR="008B4402" w:rsidRPr="00C9343F" w:rsidRDefault="008B4402" w:rsidP="00F66D98">
            <w:pPr>
              <w:pStyle w:val="BlockText-Plain"/>
            </w:pPr>
            <w:r w:rsidRPr="00C9343F">
              <w:t>Other unavoidable costs to do with the recall from leave.</w:t>
            </w:r>
          </w:p>
        </w:tc>
      </w:tr>
      <w:tr w:rsidR="008B4402" w:rsidRPr="00C9343F" w14:paraId="7D2F62AF" w14:textId="77777777" w:rsidTr="008B4402">
        <w:tc>
          <w:tcPr>
            <w:tcW w:w="992" w:type="dxa"/>
          </w:tcPr>
          <w:p w14:paraId="06807235" w14:textId="77777777" w:rsidR="008B4402" w:rsidRPr="00C9343F" w:rsidRDefault="008B4402" w:rsidP="00F66D98">
            <w:pPr>
              <w:pStyle w:val="BlockText-Plain"/>
              <w:keepNext/>
              <w:keepLines/>
              <w:jc w:val="center"/>
            </w:pPr>
            <w:r w:rsidRPr="00C9343F">
              <w:t>3.</w:t>
            </w:r>
          </w:p>
        </w:tc>
        <w:tc>
          <w:tcPr>
            <w:tcW w:w="8363" w:type="dxa"/>
            <w:gridSpan w:val="2"/>
          </w:tcPr>
          <w:p w14:paraId="08AA0285" w14:textId="77777777" w:rsidR="008B4402" w:rsidRPr="00C9343F" w:rsidRDefault="008B4402" w:rsidP="00F66D98">
            <w:pPr>
              <w:pStyle w:val="BlockText-Plain"/>
              <w:keepNext/>
              <w:keepLines/>
            </w:pPr>
            <w:r w:rsidRPr="00C9343F">
              <w:t>In assessing the amount of payment under subsection 2, the CDF must consider these criteria.</w:t>
            </w:r>
          </w:p>
        </w:tc>
      </w:tr>
      <w:tr w:rsidR="008B4402" w:rsidRPr="00C9343F" w14:paraId="07272629" w14:textId="77777777" w:rsidTr="008B4402">
        <w:trPr>
          <w:cantSplit/>
        </w:trPr>
        <w:tc>
          <w:tcPr>
            <w:tcW w:w="992" w:type="dxa"/>
          </w:tcPr>
          <w:p w14:paraId="1DE9C086" w14:textId="77777777" w:rsidR="008B4402" w:rsidRPr="00C9343F" w:rsidRDefault="008B4402" w:rsidP="00F66D98">
            <w:pPr>
              <w:pStyle w:val="BlockText-Plain"/>
              <w:keepNext/>
              <w:keepLines/>
            </w:pPr>
          </w:p>
        </w:tc>
        <w:tc>
          <w:tcPr>
            <w:tcW w:w="567" w:type="dxa"/>
          </w:tcPr>
          <w:p w14:paraId="2B8B8C5A" w14:textId="77777777" w:rsidR="008B4402" w:rsidRPr="00C9343F" w:rsidRDefault="008B4402" w:rsidP="005849DD">
            <w:pPr>
              <w:pStyle w:val="BlockText-Plain"/>
              <w:keepNext/>
              <w:keepLines/>
              <w:jc w:val="center"/>
            </w:pPr>
            <w:r w:rsidRPr="00C9343F">
              <w:t>a.</w:t>
            </w:r>
          </w:p>
        </w:tc>
        <w:tc>
          <w:tcPr>
            <w:tcW w:w="7796" w:type="dxa"/>
          </w:tcPr>
          <w:p w14:paraId="239430F7" w14:textId="77777777" w:rsidR="008B4402" w:rsidRPr="00C9343F" w:rsidRDefault="008B4402" w:rsidP="00F66D98">
            <w:pPr>
              <w:pStyle w:val="BlockText-Plain"/>
              <w:keepNext/>
              <w:keepLines/>
            </w:pPr>
            <w:r w:rsidRPr="00C9343F">
              <w:t>The time available for the return journey.</w:t>
            </w:r>
          </w:p>
        </w:tc>
      </w:tr>
      <w:tr w:rsidR="008B4402" w:rsidRPr="00C9343F" w14:paraId="5465DCCD" w14:textId="77777777" w:rsidTr="008B4402">
        <w:trPr>
          <w:cantSplit/>
        </w:trPr>
        <w:tc>
          <w:tcPr>
            <w:tcW w:w="992" w:type="dxa"/>
          </w:tcPr>
          <w:p w14:paraId="03EFAFBE" w14:textId="77777777" w:rsidR="008B4402" w:rsidRPr="00C9343F" w:rsidRDefault="008B4402" w:rsidP="00F66D98">
            <w:pPr>
              <w:pStyle w:val="BlockText-Plain"/>
              <w:keepNext/>
              <w:keepLines/>
            </w:pPr>
          </w:p>
        </w:tc>
        <w:tc>
          <w:tcPr>
            <w:tcW w:w="567" w:type="dxa"/>
          </w:tcPr>
          <w:p w14:paraId="1D35AC05" w14:textId="77777777" w:rsidR="008B4402" w:rsidRPr="00C9343F" w:rsidRDefault="008B4402" w:rsidP="005849DD">
            <w:pPr>
              <w:pStyle w:val="BlockText-Plain"/>
              <w:keepNext/>
              <w:keepLines/>
              <w:jc w:val="center"/>
            </w:pPr>
            <w:r w:rsidRPr="00C9343F">
              <w:t>b.</w:t>
            </w:r>
          </w:p>
        </w:tc>
        <w:tc>
          <w:tcPr>
            <w:tcW w:w="7796" w:type="dxa"/>
          </w:tcPr>
          <w:p w14:paraId="2F1504CC" w14:textId="77777777" w:rsidR="008B4402" w:rsidRPr="00C9343F" w:rsidRDefault="008B4402" w:rsidP="00F66D98">
            <w:pPr>
              <w:pStyle w:val="BlockText-Plain"/>
              <w:keepNext/>
              <w:keepLines/>
            </w:pPr>
            <w:r w:rsidRPr="00C9343F">
              <w:t>The number of people who were required to return.</w:t>
            </w:r>
          </w:p>
        </w:tc>
      </w:tr>
      <w:tr w:rsidR="008B4402" w:rsidRPr="00C9343F" w14:paraId="5985C2E6" w14:textId="77777777" w:rsidTr="008B4402">
        <w:trPr>
          <w:cantSplit/>
        </w:trPr>
        <w:tc>
          <w:tcPr>
            <w:tcW w:w="992" w:type="dxa"/>
          </w:tcPr>
          <w:p w14:paraId="62D48461" w14:textId="77777777" w:rsidR="008B4402" w:rsidRPr="00C9343F" w:rsidRDefault="008B4402" w:rsidP="00F66D98">
            <w:pPr>
              <w:pStyle w:val="BlockText-Plain"/>
            </w:pPr>
          </w:p>
        </w:tc>
        <w:tc>
          <w:tcPr>
            <w:tcW w:w="567" w:type="dxa"/>
          </w:tcPr>
          <w:p w14:paraId="0DE76A43" w14:textId="77777777" w:rsidR="008B4402" w:rsidRPr="00C9343F" w:rsidRDefault="008B4402" w:rsidP="005849DD">
            <w:pPr>
              <w:pStyle w:val="BlockText-Plain"/>
              <w:jc w:val="center"/>
            </w:pPr>
            <w:r w:rsidRPr="00C9343F">
              <w:t>c.</w:t>
            </w:r>
          </w:p>
        </w:tc>
        <w:tc>
          <w:tcPr>
            <w:tcW w:w="7796" w:type="dxa"/>
          </w:tcPr>
          <w:p w14:paraId="2E179397" w14:textId="19AB56F3" w:rsidR="008B4402" w:rsidRPr="00C9343F" w:rsidRDefault="008B4402" w:rsidP="00F66D98">
            <w:pPr>
              <w:pStyle w:val="BlockText-Plain"/>
            </w:pPr>
            <w:r w:rsidRPr="00C9343F">
              <w:t>The amount of money the member had spent on holiday items that the member was not able to benefit from.</w:t>
            </w:r>
          </w:p>
        </w:tc>
      </w:tr>
      <w:tr w:rsidR="008B4402" w:rsidRPr="00C9343F" w14:paraId="4E03E46B" w14:textId="77777777" w:rsidTr="008B4402">
        <w:trPr>
          <w:cantSplit/>
        </w:trPr>
        <w:tc>
          <w:tcPr>
            <w:tcW w:w="992" w:type="dxa"/>
          </w:tcPr>
          <w:p w14:paraId="7B92E77D" w14:textId="77777777" w:rsidR="008B4402" w:rsidRPr="00C9343F" w:rsidRDefault="008B4402" w:rsidP="00F66D98">
            <w:pPr>
              <w:pStyle w:val="BlockText-Plain"/>
            </w:pPr>
          </w:p>
        </w:tc>
        <w:tc>
          <w:tcPr>
            <w:tcW w:w="567" w:type="dxa"/>
          </w:tcPr>
          <w:p w14:paraId="4DC7A2DE" w14:textId="77777777" w:rsidR="008B4402" w:rsidRPr="00C9343F" w:rsidRDefault="008B4402" w:rsidP="005849DD">
            <w:pPr>
              <w:pStyle w:val="BlockText-Plain"/>
              <w:jc w:val="center"/>
            </w:pPr>
            <w:r w:rsidRPr="00C9343F">
              <w:t>d.</w:t>
            </w:r>
          </w:p>
        </w:tc>
        <w:tc>
          <w:tcPr>
            <w:tcW w:w="7796" w:type="dxa"/>
          </w:tcPr>
          <w:p w14:paraId="23FD787C" w14:textId="50DDAB54" w:rsidR="008B4402" w:rsidRPr="00C9343F" w:rsidRDefault="008B4402" w:rsidP="00F66D98">
            <w:pPr>
              <w:pStyle w:val="BlockText-Plain"/>
            </w:pPr>
            <w:r w:rsidRPr="00C9343F">
              <w:t>If the costs are recoverable by other means.</w:t>
            </w:r>
          </w:p>
        </w:tc>
      </w:tr>
    </w:tbl>
    <w:p w14:paraId="065EBFA1" w14:textId="6F51F736" w:rsidR="008B4402" w:rsidRPr="00C9343F" w:rsidRDefault="008B4402" w:rsidP="00F66D98">
      <w:pPr>
        <w:pStyle w:val="Heading5"/>
      </w:pPr>
      <w:bookmarkStart w:id="2090" w:name="_Toc105054189"/>
      <w:bookmarkStart w:id="2091" w:name="bk1152095115Costswherememberrecalledfro"/>
      <w:bookmarkStart w:id="2092" w:name="bk1152395115Costswherememberrecalledfro"/>
      <w:bookmarkStart w:id="2093" w:name="bk1321335116Costswherememberrecalledfro"/>
      <w:bookmarkStart w:id="2094" w:name="bk1151515116Costswherememberrecalledfro"/>
      <w:bookmarkStart w:id="2095" w:name="bk1151595116Costswherememberrecalledfro"/>
      <w:bookmarkStart w:id="2096" w:name="bk930045116Costswherememberrecalledfrom"/>
      <w:bookmarkStart w:id="2097" w:name="bk931045116Costswherememberisrecalledfr"/>
      <w:r w:rsidRPr="00C9343F">
        <w:t>5.13.6</w:t>
      </w:r>
      <w:r w:rsidR="00D94006" w:rsidRPr="00C9343F">
        <w:t>    </w:t>
      </w:r>
      <w:r w:rsidRPr="00C9343F">
        <w:t xml:space="preserve">Costs </w:t>
      </w:r>
      <w:r w:rsidR="00E12508" w:rsidRPr="00C9343F">
        <w:t>if a</w:t>
      </w:r>
      <w:r w:rsidRPr="00C9343F">
        <w:t xml:space="preserve"> member is recalled from holiday location</w:t>
      </w:r>
      <w:bookmarkEnd w:id="2090"/>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1D404549" w14:textId="77777777" w:rsidTr="002B5DED">
        <w:tc>
          <w:tcPr>
            <w:tcW w:w="992" w:type="dxa"/>
          </w:tcPr>
          <w:bookmarkEnd w:id="2091"/>
          <w:bookmarkEnd w:id="2092"/>
          <w:bookmarkEnd w:id="2093"/>
          <w:bookmarkEnd w:id="2094"/>
          <w:bookmarkEnd w:id="2095"/>
          <w:bookmarkEnd w:id="2096"/>
          <w:bookmarkEnd w:id="2097"/>
          <w:p w14:paraId="7BEA4665" w14:textId="77777777" w:rsidR="008B4402" w:rsidRPr="00C9343F" w:rsidRDefault="008B4402" w:rsidP="00F66D98">
            <w:pPr>
              <w:pStyle w:val="BlockText-PlainNoSpacing"/>
              <w:jc w:val="center"/>
            </w:pPr>
            <w:r w:rsidRPr="00C9343F">
              <w:t>1.</w:t>
            </w:r>
          </w:p>
        </w:tc>
        <w:tc>
          <w:tcPr>
            <w:tcW w:w="8363" w:type="dxa"/>
            <w:gridSpan w:val="2"/>
          </w:tcPr>
          <w:p w14:paraId="659B98C2" w14:textId="77777777" w:rsidR="008B4402" w:rsidRPr="00C9343F" w:rsidRDefault="008B4402" w:rsidP="00F66D98">
            <w:pPr>
              <w:pStyle w:val="BlockText-PlainNoSpacing"/>
              <w:spacing w:after="200"/>
            </w:pPr>
            <w:r w:rsidRPr="00C9343F">
              <w:t>This section applies to a member who meets all of these conditions.</w:t>
            </w:r>
          </w:p>
        </w:tc>
      </w:tr>
      <w:tr w:rsidR="008B4402" w:rsidRPr="00C9343F" w14:paraId="7F60B62E" w14:textId="77777777" w:rsidTr="002B5DED">
        <w:trPr>
          <w:cantSplit/>
        </w:trPr>
        <w:tc>
          <w:tcPr>
            <w:tcW w:w="992" w:type="dxa"/>
          </w:tcPr>
          <w:p w14:paraId="45AED032" w14:textId="77777777" w:rsidR="008B4402" w:rsidRPr="00C9343F" w:rsidRDefault="008B4402" w:rsidP="00F66D98">
            <w:pPr>
              <w:pStyle w:val="BlockText-Plain"/>
            </w:pPr>
          </w:p>
        </w:tc>
        <w:tc>
          <w:tcPr>
            <w:tcW w:w="567" w:type="dxa"/>
          </w:tcPr>
          <w:p w14:paraId="5E75DD5D" w14:textId="77777777" w:rsidR="008B4402" w:rsidRPr="00C9343F" w:rsidRDefault="008B4402" w:rsidP="005849DD">
            <w:pPr>
              <w:pStyle w:val="BlockText-Plain"/>
              <w:jc w:val="center"/>
            </w:pPr>
            <w:r w:rsidRPr="00C9343F">
              <w:t>a.</w:t>
            </w:r>
          </w:p>
        </w:tc>
        <w:tc>
          <w:tcPr>
            <w:tcW w:w="7796" w:type="dxa"/>
          </w:tcPr>
          <w:p w14:paraId="6ABA1266" w14:textId="77777777" w:rsidR="008B4402" w:rsidRPr="00C9343F" w:rsidRDefault="008B4402" w:rsidP="00F66D98">
            <w:pPr>
              <w:pStyle w:val="BlockText-Plain"/>
            </w:pPr>
            <w:r w:rsidRPr="00C9343F">
              <w:t>The member is on leave, and living away from their posting location.</w:t>
            </w:r>
          </w:p>
        </w:tc>
      </w:tr>
      <w:tr w:rsidR="008B4402" w:rsidRPr="00C9343F" w14:paraId="1D66BE32" w14:textId="77777777" w:rsidTr="002B5DED">
        <w:trPr>
          <w:cantSplit/>
        </w:trPr>
        <w:tc>
          <w:tcPr>
            <w:tcW w:w="992" w:type="dxa"/>
          </w:tcPr>
          <w:p w14:paraId="3C3A0ED4" w14:textId="77777777" w:rsidR="008B4402" w:rsidRPr="00C9343F" w:rsidRDefault="008B4402" w:rsidP="00F66D98">
            <w:pPr>
              <w:pStyle w:val="BlockText-Plain"/>
            </w:pPr>
          </w:p>
        </w:tc>
        <w:tc>
          <w:tcPr>
            <w:tcW w:w="567" w:type="dxa"/>
          </w:tcPr>
          <w:p w14:paraId="1A57A845" w14:textId="77777777" w:rsidR="008B4402" w:rsidRPr="00C9343F" w:rsidRDefault="008B4402" w:rsidP="005849DD">
            <w:pPr>
              <w:pStyle w:val="BlockText-Plain"/>
              <w:jc w:val="center"/>
            </w:pPr>
            <w:r w:rsidRPr="00C9343F">
              <w:t>b.</w:t>
            </w:r>
          </w:p>
        </w:tc>
        <w:tc>
          <w:tcPr>
            <w:tcW w:w="7796" w:type="dxa"/>
          </w:tcPr>
          <w:p w14:paraId="2FDF1CF5" w14:textId="77777777" w:rsidR="008B4402" w:rsidRPr="00C9343F" w:rsidRDefault="008B4402" w:rsidP="00F66D98">
            <w:pPr>
              <w:pStyle w:val="BlockText-Plain"/>
            </w:pPr>
            <w:r w:rsidRPr="00C9343F">
              <w:t>The member is recalled to duty.</w:t>
            </w:r>
          </w:p>
        </w:tc>
      </w:tr>
      <w:tr w:rsidR="008B4402" w:rsidRPr="00C9343F" w14:paraId="52281D4A" w14:textId="77777777" w:rsidTr="002B5DED">
        <w:trPr>
          <w:cantSplit/>
        </w:trPr>
        <w:tc>
          <w:tcPr>
            <w:tcW w:w="992" w:type="dxa"/>
          </w:tcPr>
          <w:p w14:paraId="099B39D1" w14:textId="77777777" w:rsidR="008B4402" w:rsidRPr="00C9343F" w:rsidRDefault="008B4402" w:rsidP="00F66D98">
            <w:pPr>
              <w:pStyle w:val="BlockText-Plain"/>
            </w:pPr>
          </w:p>
        </w:tc>
        <w:tc>
          <w:tcPr>
            <w:tcW w:w="567" w:type="dxa"/>
          </w:tcPr>
          <w:p w14:paraId="2305BC80" w14:textId="77777777" w:rsidR="008B4402" w:rsidRPr="00C9343F" w:rsidRDefault="008B4402" w:rsidP="005849DD">
            <w:pPr>
              <w:pStyle w:val="BlockText-Plain"/>
              <w:jc w:val="center"/>
            </w:pPr>
            <w:r w:rsidRPr="00C9343F">
              <w:t>c.</w:t>
            </w:r>
          </w:p>
        </w:tc>
        <w:tc>
          <w:tcPr>
            <w:tcW w:w="7796" w:type="dxa"/>
          </w:tcPr>
          <w:p w14:paraId="357E87AF" w14:textId="11BF1205" w:rsidR="008B4402" w:rsidRPr="00C9343F" w:rsidRDefault="008B4402" w:rsidP="00F66D98">
            <w:pPr>
              <w:pStyle w:val="BlockText-Plain"/>
            </w:pPr>
            <w:r w:rsidRPr="00C9343F">
              <w:t>The member ends the leave to return to duty.</w:t>
            </w:r>
          </w:p>
        </w:tc>
      </w:tr>
      <w:tr w:rsidR="008B4402" w:rsidRPr="00C9343F" w14:paraId="209DF0A2" w14:textId="77777777" w:rsidTr="002B5DED">
        <w:tc>
          <w:tcPr>
            <w:tcW w:w="992" w:type="dxa"/>
          </w:tcPr>
          <w:p w14:paraId="67F87C1E" w14:textId="77777777" w:rsidR="008B4402" w:rsidRPr="00C9343F" w:rsidRDefault="008B4402" w:rsidP="00F66D98">
            <w:pPr>
              <w:pStyle w:val="BlockText-PlainNoSpacing"/>
              <w:jc w:val="center"/>
            </w:pPr>
            <w:r w:rsidRPr="00C9343F">
              <w:t>2.</w:t>
            </w:r>
          </w:p>
        </w:tc>
        <w:tc>
          <w:tcPr>
            <w:tcW w:w="8363" w:type="dxa"/>
            <w:gridSpan w:val="2"/>
          </w:tcPr>
          <w:p w14:paraId="42BE7BBE" w14:textId="77777777" w:rsidR="008B4402" w:rsidRPr="00C9343F" w:rsidRDefault="008B4402" w:rsidP="00F66D98">
            <w:pPr>
              <w:pStyle w:val="BlockText-PlainNoSpacing"/>
              <w:spacing w:after="200"/>
            </w:pPr>
            <w:r w:rsidRPr="00C9343F">
              <w:t xml:space="preserve">The CDF may pay the member an amount to recognise the following costs associated with the recall. </w:t>
            </w:r>
          </w:p>
        </w:tc>
      </w:tr>
      <w:tr w:rsidR="008B4402" w:rsidRPr="00C9343F" w14:paraId="2CE42B4C" w14:textId="77777777" w:rsidTr="002B5DED">
        <w:trPr>
          <w:cantSplit/>
        </w:trPr>
        <w:tc>
          <w:tcPr>
            <w:tcW w:w="992" w:type="dxa"/>
          </w:tcPr>
          <w:p w14:paraId="66252AB3" w14:textId="77777777" w:rsidR="008B4402" w:rsidRPr="00C9343F" w:rsidRDefault="008B4402" w:rsidP="00F66D98">
            <w:pPr>
              <w:pStyle w:val="BlockText-Plain"/>
              <w:rPr>
                <w:color w:val="0000FF"/>
              </w:rPr>
            </w:pPr>
          </w:p>
        </w:tc>
        <w:tc>
          <w:tcPr>
            <w:tcW w:w="567" w:type="dxa"/>
          </w:tcPr>
          <w:p w14:paraId="3AE4098B" w14:textId="77777777" w:rsidR="008B4402" w:rsidRPr="00C9343F" w:rsidRDefault="008B4402" w:rsidP="005849DD">
            <w:pPr>
              <w:pStyle w:val="BlockText-Plain"/>
              <w:jc w:val="center"/>
            </w:pPr>
            <w:r w:rsidRPr="00C9343F">
              <w:t>a.</w:t>
            </w:r>
          </w:p>
        </w:tc>
        <w:tc>
          <w:tcPr>
            <w:tcW w:w="7796" w:type="dxa"/>
          </w:tcPr>
          <w:p w14:paraId="3BF1234E" w14:textId="745EB279" w:rsidR="008B4402" w:rsidRPr="00C9343F" w:rsidRDefault="008B4402" w:rsidP="00F66D98">
            <w:pPr>
              <w:pStyle w:val="BlockText-Plain"/>
            </w:pPr>
            <w:r w:rsidRPr="00C9343F">
              <w:t>Additional transport costs due to the early return. Payment may also be made for dependants’ additional transport costs, if they return with the member. If transport costs were an expected or ordinary part of the return duty they will not be paid.</w:t>
            </w:r>
          </w:p>
        </w:tc>
      </w:tr>
      <w:tr w:rsidR="008B4402" w:rsidRPr="00C9343F" w14:paraId="0190F7B2" w14:textId="77777777" w:rsidTr="002B5DED">
        <w:trPr>
          <w:cantSplit/>
        </w:trPr>
        <w:tc>
          <w:tcPr>
            <w:tcW w:w="992" w:type="dxa"/>
          </w:tcPr>
          <w:p w14:paraId="485DD2C8" w14:textId="77777777" w:rsidR="008B4402" w:rsidRPr="00C9343F" w:rsidRDefault="008B4402" w:rsidP="00F66D98">
            <w:pPr>
              <w:pStyle w:val="BlockText-Plain"/>
            </w:pPr>
          </w:p>
        </w:tc>
        <w:tc>
          <w:tcPr>
            <w:tcW w:w="567" w:type="dxa"/>
          </w:tcPr>
          <w:p w14:paraId="526C2A22" w14:textId="77777777" w:rsidR="008B4402" w:rsidRPr="00C9343F" w:rsidRDefault="008B4402" w:rsidP="005849DD">
            <w:pPr>
              <w:pStyle w:val="BlockText-Plain"/>
              <w:jc w:val="center"/>
            </w:pPr>
            <w:r w:rsidRPr="00C9343F">
              <w:t>b.</w:t>
            </w:r>
          </w:p>
        </w:tc>
        <w:tc>
          <w:tcPr>
            <w:tcW w:w="7796" w:type="dxa"/>
          </w:tcPr>
          <w:p w14:paraId="1A992E46" w14:textId="77777777" w:rsidR="008B4402" w:rsidRPr="00C9343F" w:rsidRDefault="008B4402" w:rsidP="00F66D98">
            <w:pPr>
              <w:pStyle w:val="BlockText-Plain"/>
            </w:pPr>
            <w:r w:rsidRPr="00C9343F">
              <w:t xml:space="preserve">Accommodation expenses for the return journey, if a break is justified. This includes dependants' accommodation expenses, if they return with the member. </w:t>
            </w:r>
          </w:p>
        </w:tc>
      </w:tr>
      <w:tr w:rsidR="008B4402" w:rsidRPr="00C9343F" w14:paraId="13FDD8E0" w14:textId="77777777" w:rsidTr="002B5DED">
        <w:trPr>
          <w:cantSplit/>
        </w:trPr>
        <w:tc>
          <w:tcPr>
            <w:tcW w:w="992" w:type="dxa"/>
          </w:tcPr>
          <w:p w14:paraId="317B06FC" w14:textId="77777777" w:rsidR="008B4402" w:rsidRPr="00C9343F" w:rsidRDefault="008B4402" w:rsidP="00F66D98">
            <w:pPr>
              <w:pStyle w:val="BlockText-Plain"/>
            </w:pPr>
          </w:p>
        </w:tc>
        <w:tc>
          <w:tcPr>
            <w:tcW w:w="567" w:type="dxa"/>
          </w:tcPr>
          <w:p w14:paraId="57C7C88A" w14:textId="77777777" w:rsidR="008B4402" w:rsidRPr="00C9343F" w:rsidRDefault="008B4402" w:rsidP="005849DD">
            <w:pPr>
              <w:pStyle w:val="BlockText-Plain"/>
              <w:jc w:val="center"/>
            </w:pPr>
            <w:r w:rsidRPr="00C9343F">
              <w:t>c.</w:t>
            </w:r>
          </w:p>
        </w:tc>
        <w:tc>
          <w:tcPr>
            <w:tcW w:w="7796" w:type="dxa"/>
          </w:tcPr>
          <w:p w14:paraId="2665370E" w14:textId="77777777" w:rsidR="008B4402" w:rsidRPr="00C9343F" w:rsidRDefault="008B4402" w:rsidP="00F66D98">
            <w:pPr>
              <w:pStyle w:val="BlockText-Plain"/>
            </w:pPr>
            <w:r w:rsidRPr="00C9343F">
              <w:t>Meal expenses during the journey. This includes dependants' meal expenses, if they return with the member.</w:t>
            </w:r>
          </w:p>
        </w:tc>
      </w:tr>
      <w:tr w:rsidR="008B4402" w:rsidRPr="00C9343F" w14:paraId="42F18180" w14:textId="77777777" w:rsidTr="002B5DED">
        <w:trPr>
          <w:cantSplit/>
        </w:trPr>
        <w:tc>
          <w:tcPr>
            <w:tcW w:w="992" w:type="dxa"/>
          </w:tcPr>
          <w:p w14:paraId="0C75B31D" w14:textId="77777777" w:rsidR="008B4402" w:rsidRPr="00C9343F" w:rsidRDefault="008B4402" w:rsidP="00F66D98">
            <w:pPr>
              <w:pStyle w:val="BlockText-Plain"/>
            </w:pPr>
          </w:p>
        </w:tc>
        <w:tc>
          <w:tcPr>
            <w:tcW w:w="567" w:type="dxa"/>
          </w:tcPr>
          <w:p w14:paraId="1A6519AF" w14:textId="77777777" w:rsidR="008B4402" w:rsidRPr="00C9343F" w:rsidRDefault="008B4402" w:rsidP="005849DD">
            <w:pPr>
              <w:pStyle w:val="BlockText-Plain"/>
              <w:jc w:val="center"/>
            </w:pPr>
            <w:r w:rsidRPr="00C9343F">
              <w:t>d.</w:t>
            </w:r>
          </w:p>
        </w:tc>
        <w:tc>
          <w:tcPr>
            <w:tcW w:w="7796" w:type="dxa"/>
          </w:tcPr>
          <w:p w14:paraId="33970041" w14:textId="77777777" w:rsidR="008B4402" w:rsidRPr="00C9343F" w:rsidRDefault="008B4402" w:rsidP="00F66D98">
            <w:pPr>
              <w:pStyle w:val="BlockText-Plain"/>
            </w:pPr>
            <w:r w:rsidRPr="00C9343F">
              <w:t>Other holiday items that the member had paid for but was not able to benefit from, owing to the recall.</w:t>
            </w:r>
          </w:p>
        </w:tc>
      </w:tr>
      <w:tr w:rsidR="008B4402" w:rsidRPr="00C9343F" w14:paraId="14DAD321" w14:textId="77777777" w:rsidTr="002B5DED">
        <w:trPr>
          <w:cantSplit/>
        </w:trPr>
        <w:tc>
          <w:tcPr>
            <w:tcW w:w="992" w:type="dxa"/>
          </w:tcPr>
          <w:p w14:paraId="3FE1D4FE" w14:textId="77777777" w:rsidR="008B4402" w:rsidRPr="00C9343F" w:rsidRDefault="008B4402" w:rsidP="00F66D98">
            <w:pPr>
              <w:pStyle w:val="BlockText-Plain"/>
            </w:pPr>
          </w:p>
        </w:tc>
        <w:tc>
          <w:tcPr>
            <w:tcW w:w="567" w:type="dxa"/>
          </w:tcPr>
          <w:p w14:paraId="55B4FD3F" w14:textId="77777777" w:rsidR="008B4402" w:rsidRPr="00C9343F" w:rsidRDefault="008B4402" w:rsidP="005849DD">
            <w:pPr>
              <w:pStyle w:val="BlockText-Plain"/>
              <w:jc w:val="center"/>
            </w:pPr>
            <w:r w:rsidRPr="00C9343F">
              <w:t>e.</w:t>
            </w:r>
          </w:p>
        </w:tc>
        <w:tc>
          <w:tcPr>
            <w:tcW w:w="7796" w:type="dxa"/>
          </w:tcPr>
          <w:p w14:paraId="70E1788E" w14:textId="316B4432" w:rsidR="008B4402" w:rsidRPr="00C9343F" w:rsidRDefault="008B4402" w:rsidP="00F66D98">
            <w:pPr>
              <w:pStyle w:val="BlockText-Plain"/>
            </w:pPr>
            <w:r w:rsidRPr="00C9343F">
              <w:t>Other unavoidable costs to do with a recall from leave.</w:t>
            </w:r>
          </w:p>
        </w:tc>
      </w:tr>
      <w:tr w:rsidR="008B4402" w:rsidRPr="00C9343F" w14:paraId="57F34C0F" w14:textId="77777777" w:rsidTr="002B5DED">
        <w:tc>
          <w:tcPr>
            <w:tcW w:w="992" w:type="dxa"/>
          </w:tcPr>
          <w:p w14:paraId="29E25010" w14:textId="77777777" w:rsidR="008B4402" w:rsidRPr="00C9343F" w:rsidRDefault="008B4402" w:rsidP="00F66D98">
            <w:pPr>
              <w:pStyle w:val="BlockText-Plain"/>
              <w:jc w:val="center"/>
            </w:pPr>
            <w:r w:rsidRPr="00C9343F">
              <w:t>3.</w:t>
            </w:r>
          </w:p>
        </w:tc>
        <w:tc>
          <w:tcPr>
            <w:tcW w:w="8363" w:type="dxa"/>
            <w:gridSpan w:val="2"/>
          </w:tcPr>
          <w:p w14:paraId="6A263CB1" w14:textId="77777777" w:rsidR="008B4402" w:rsidRPr="00C9343F" w:rsidRDefault="008B4402" w:rsidP="00F66D98">
            <w:pPr>
              <w:pStyle w:val="BlockText-Plain"/>
            </w:pPr>
            <w:r w:rsidRPr="00C9343F">
              <w:t>In assessing the amount of payment under subsection 2, the CDF must consider all these criteria.</w:t>
            </w:r>
          </w:p>
        </w:tc>
      </w:tr>
      <w:tr w:rsidR="008B4402" w:rsidRPr="00C9343F" w14:paraId="42C43748" w14:textId="77777777" w:rsidTr="002B5DED">
        <w:trPr>
          <w:cantSplit/>
        </w:trPr>
        <w:tc>
          <w:tcPr>
            <w:tcW w:w="992" w:type="dxa"/>
          </w:tcPr>
          <w:p w14:paraId="2BB9BBA9" w14:textId="77777777" w:rsidR="008B4402" w:rsidRPr="00C9343F" w:rsidRDefault="008B4402" w:rsidP="00F66D98">
            <w:pPr>
              <w:pStyle w:val="BlockText-Plain"/>
            </w:pPr>
          </w:p>
        </w:tc>
        <w:tc>
          <w:tcPr>
            <w:tcW w:w="567" w:type="dxa"/>
          </w:tcPr>
          <w:p w14:paraId="0F60FE91" w14:textId="77777777" w:rsidR="008B4402" w:rsidRPr="00C9343F" w:rsidRDefault="008B4402" w:rsidP="005849DD">
            <w:pPr>
              <w:pStyle w:val="BlockText-Plain"/>
              <w:jc w:val="center"/>
            </w:pPr>
            <w:r w:rsidRPr="00C9343F">
              <w:t>a.</w:t>
            </w:r>
          </w:p>
        </w:tc>
        <w:tc>
          <w:tcPr>
            <w:tcW w:w="7796" w:type="dxa"/>
          </w:tcPr>
          <w:p w14:paraId="1712AEAF" w14:textId="77777777" w:rsidR="008B4402" w:rsidRPr="00C9343F" w:rsidRDefault="008B4402" w:rsidP="00F66D98">
            <w:pPr>
              <w:pStyle w:val="BlockText-Plain"/>
            </w:pPr>
            <w:r w:rsidRPr="00C9343F">
              <w:t>The time available for the return journey.</w:t>
            </w:r>
          </w:p>
        </w:tc>
      </w:tr>
      <w:tr w:rsidR="008B4402" w:rsidRPr="00C9343F" w14:paraId="2A552CD0" w14:textId="77777777" w:rsidTr="002B5DED">
        <w:trPr>
          <w:cantSplit/>
        </w:trPr>
        <w:tc>
          <w:tcPr>
            <w:tcW w:w="992" w:type="dxa"/>
          </w:tcPr>
          <w:p w14:paraId="7C899879" w14:textId="77777777" w:rsidR="008B4402" w:rsidRPr="00C9343F" w:rsidRDefault="008B4402" w:rsidP="00F66D98">
            <w:pPr>
              <w:pStyle w:val="BlockText-Plain"/>
            </w:pPr>
          </w:p>
        </w:tc>
        <w:tc>
          <w:tcPr>
            <w:tcW w:w="567" w:type="dxa"/>
          </w:tcPr>
          <w:p w14:paraId="45AB598F" w14:textId="77777777" w:rsidR="008B4402" w:rsidRPr="00C9343F" w:rsidRDefault="008B4402" w:rsidP="005849DD">
            <w:pPr>
              <w:pStyle w:val="BlockText-Plain"/>
              <w:jc w:val="center"/>
            </w:pPr>
            <w:r w:rsidRPr="00C9343F">
              <w:t>b.</w:t>
            </w:r>
          </w:p>
        </w:tc>
        <w:tc>
          <w:tcPr>
            <w:tcW w:w="7796" w:type="dxa"/>
          </w:tcPr>
          <w:p w14:paraId="5997A9AD" w14:textId="77777777" w:rsidR="008B4402" w:rsidRPr="00C9343F" w:rsidRDefault="008B4402" w:rsidP="00F66D98">
            <w:pPr>
              <w:pStyle w:val="BlockText-Plain"/>
            </w:pPr>
            <w:r w:rsidRPr="00C9343F">
              <w:t>The number of people who returned.</w:t>
            </w:r>
          </w:p>
        </w:tc>
      </w:tr>
      <w:tr w:rsidR="008B4402" w:rsidRPr="00C9343F" w14:paraId="25DD67FF" w14:textId="77777777" w:rsidTr="002B5DED">
        <w:trPr>
          <w:cantSplit/>
        </w:trPr>
        <w:tc>
          <w:tcPr>
            <w:tcW w:w="992" w:type="dxa"/>
          </w:tcPr>
          <w:p w14:paraId="20A4EEAC" w14:textId="77777777" w:rsidR="008B4402" w:rsidRPr="00C9343F" w:rsidRDefault="008B4402" w:rsidP="00F66D98">
            <w:pPr>
              <w:pStyle w:val="BlockText-Plain"/>
            </w:pPr>
          </w:p>
        </w:tc>
        <w:tc>
          <w:tcPr>
            <w:tcW w:w="567" w:type="dxa"/>
          </w:tcPr>
          <w:p w14:paraId="7264FE6B" w14:textId="77777777" w:rsidR="008B4402" w:rsidRPr="00C9343F" w:rsidRDefault="008B4402" w:rsidP="005849DD">
            <w:pPr>
              <w:pStyle w:val="BlockText-Plain"/>
              <w:jc w:val="center"/>
            </w:pPr>
            <w:r w:rsidRPr="00C9343F">
              <w:t>c.</w:t>
            </w:r>
          </w:p>
        </w:tc>
        <w:tc>
          <w:tcPr>
            <w:tcW w:w="7796" w:type="dxa"/>
          </w:tcPr>
          <w:p w14:paraId="27814915" w14:textId="77777777" w:rsidR="008B4402" w:rsidRPr="00C9343F" w:rsidRDefault="008B4402" w:rsidP="00F66D98">
            <w:pPr>
              <w:pStyle w:val="BlockText-Plain"/>
            </w:pPr>
            <w:r w:rsidRPr="00C9343F">
              <w:t>The amount of money the member had spent on holiday items that the member was not able to benefit from.</w:t>
            </w:r>
          </w:p>
        </w:tc>
      </w:tr>
      <w:tr w:rsidR="008B4402" w:rsidRPr="00C9343F" w14:paraId="227C67A7" w14:textId="77777777" w:rsidTr="002B5DED">
        <w:trPr>
          <w:cantSplit/>
        </w:trPr>
        <w:tc>
          <w:tcPr>
            <w:tcW w:w="992" w:type="dxa"/>
          </w:tcPr>
          <w:p w14:paraId="39EB7269" w14:textId="77777777" w:rsidR="008B4402" w:rsidRPr="00C9343F" w:rsidRDefault="008B4402" w:rsidP="00F66D98">
            <w:pPr>
              <w:pStyle w:val="BlockText-Plain"/>
            </w:pPr>
          </w:p>
        </w:tc>
        <w:tc>
          <w:tcPr>
            <w:tcW w:w="567" w:type="dxa"/>
          </w:tcPr>
          <w:p w14:paraId="1890F8A5" w14:textId="77777777" w:rsidR="008B4402" w:rsidRPr="00C9343F" w:rsidRDefault="008B4402" w:rsidP="005849DD">
            <w:pPr>
              <w:pStyle w:val="BlockText-Plain"/>
              <w:jc w:val="center"/>
            </w:pPr>
            <w:r w:rsidRPr="00C9343F">
              <w:t>d.</w:t>
            </w:r>
          </w:p>
        </w:tc>
        <w:tc>
          <w:tcPr>
            <w:tcW w:w="7796" w:type="dxa"/>
          </w:tcPr>
          <w:p w14:paraId="5EBA0C72" w14:textId="0D8EDFB5" w:rsidR="008B4402" w:rsidRPr="00C9343F" w:rsidRDefault="008B4402" w:rsidP="00F66D98">
            <w:pPr>
              <w:pStyle w:val="BlockText-Plain"/>
            </w:pPr>
            <w:r w:rsidRPr="00C9343F">
              <w:t>If the costs are recoverable by other means.</w:t>
            </w:r>
          </w:p>
        </w:tc>
      </w:tr>
      <w:tr w:rsidR="008B4402" w:rsidRPr="00C9343F" w14:paraId="3AD3BE9D" w14:textId="77777777" w:rsidTr="002B5DED">
        <w:trPr>
          <w:cantSplit/>
        </w:trPr>
        <w:tc>
          <w:tcPr>
            <w:tcW w:w="992" w:type="dxa"/>
          </w:tcPr>
          <w:p w14:paraId="19A13D46" w14:textId="77777777" w:rsidR="008B4402" w:rsidRPr="00C9343F" w:rsidRDefault="008B4402" w:rsidP="00F66D98">
            <w:pPr>
              <w:pStyle w:val="BlockText-Plain"/>
            </w:pPr>
          </w:p>
        </w:tc>
        <w:tc>
          <w:tcPr>
            <w:tcW w:w="567" w:type="dxa"/>
          </w:tcPr>
          <w:p w14:paraId="59B86478" w14:textId="77777777" w:rsidR="008B4402" w:rsidRPr="00C9343F" w:rsidRDefault="008B4402" w:rsidP="005849DD">
            <w:pPr>
              <w:pStyle w:val="BlockText-Plain"/>
              <w:jc w:val="center"/>
            </w:pPr>
            <w:r w:rsidRPr="00C9343F">
              <w:t>e.</w:t>
            </w:r>
          </w:p>
        </w:tc>
        <w:tc>
          <w:tcPr>
            <w:tcW w:w="7796" w:type="dxa"/>
          </w:tcPr>
          <w:p w14:paraId="11F338B9" w14:textId="77777777" w:rsidR="008B4402" w:rsidRPr="00C9343F" w:rsidRDefault="008B4402" w:rsidP="00F66D98">
            <w:pPr>
              <w:pStyle w:val="BlockText-Plain"/>
            </w:pPr>
            <w:r w:rsidRPr="00C9343F">
              <w:t>Whether it was practical for the member to restart the holiday.</w:t>
            </w:r>
          </w:p>
        </w:tc>
      </w:tr>
    </w:tbl>
    <w:p w14:paraId="684469B8" w14:textId="5A440836" w:rsidR="008B4402" w:rsidRPr="00C9343F" w:rsidRDefault="008B4402" w:rsidP="00F66D98">
      <w:pPr>
        <w:pStyle w:val="Heading5"/>
      </w:pPr>
      <w:bookmarkStart w:id="2098" w:name="_Toc105054190"/>
      <w:bookmarkStart w:id="2099" w:name="bk1152095116Costswheremembersleavecance"/>
      <w:bookmarkStart w:id="2100" w:name="bk1152395116Costswheremembersleavecance"/>
      <w:bookmarkStart w:id="2101" w:name="bk1321335117Costswheremembersleavecance"/>
      <w:bookmarkStart w:id="2102" w:name="bk1151515117Costswheremembersleavecance"/>
      <w:bookmarkStart w:id="2103" w:name="bk1151595117Costswheremembersleavecance"/>
      <w:bookmarkStart w:id="2104" w:name="bk930045117Costswheremembersleavecancel"/>
      <w:bookmarkStart w:id="2105" w:name="bk931045117Costswheremembersleaveiscanc"/>
      <w:r w:rsidRPr="00C9343F">
        <w:t>5.13.7</w:t>
      </w:r>
      <w:r w:rsidR="00D94006" w:rsidRPr="00C9343F">
        <w:t>    </w:t>
      </w:r>
      <w:r w:rsidRPr="00C9343F">
        <w:t xml:space="preserve">Costs </w:t>
      </w:r>
      <w:r w:rsidR="00E12508" w:rsidRPr="00C9343F">
        <w:t>if a</w:t>
      </w:r>
      <w:r w:rsidRPr="00C9343F">
        <w:t xml:space="preserve"> member's leave is cancelled before it starts</w:t>
      </w:r>
      <w:bookmarkEnd w:id="2098"/>
    </w:p>
    <w:tbl>
      <w:tblPr>
        <w:tblW w:w="9355" w:type="dxa"/>
        <w:tblInd w:w="113" w:type="dxa"/>
        <w:tblLayout w:type="fixed"/>
        <w:tblLook w:val="0000" w:firstRow="0" w:lastRow="0" w:firstColumn="0" w:lastColumn="0" w:noHBand="0" w:noVBand="0"/>
      </w:tblPr>
      <w:tblGrid>
        <w:gridCol w:w="992"/>
        <w:gridCol w:w="567"/>
        <w:gridCol w:w="7796"/>
      </w:tblGrid>
      <w:tr w:rsidR="008B4402" w:rsidRPr="00C9343F" w14:paraId="17D625AF" w14:textId="77777777" w:rsidTr="002B5DED">
        <w:tc>
          <w:tcPr>
            <w:tcW w:w="992" w:type="dxa"/>
          </w:tcPr>
          <w:bookmarkEnd w:id="2099"/>
          <w:bookmarkEnd w:id="2100"/>
          <w:bookmarkEnd w:id="2101"/>
          <w:bookmarkEnd w:id="2102"/>
          <w:bookmarkEnd w:id="2103"/>
          <w:bookmarkEnd w:id="2104"/>
          <w:bookmarkEnd w:id="2105"/>
          <w:p w14:paraId="2398AC22" w14:textId="77777777" w:rsidR="008B4402" w:rsidRPr="00C9343F" w:rsidRDefault="008B4402" w:rsidP="00F66D98">
            <w:pPr>
              <w:pStyle w:val="BlockText-Plain"/>
              <w:jc w:val="center"/>
            </w:pPr>
            <w:r w:rsidRPr="00C9343F">
              <w:t>1.</w:t>
            </w:r>
          </w:p>
        </w:tc>
        <w:tc>
          <w:tcPr>
            <w:tcW w:w="8363" w:type="dxa"/>
            <w:gridSpan w:val="2"/>
          </w:tcPr>
          <w:p w14:paraId="33106A98" w14:textId="77777777" w:rsidR="008B4402" w:rsidRPr="00C9343F" w:rsidRDefault="008B4402" w:rsidP="00F66D98">
            <w:pPr>
              <w:pStyle w:val="BlockText-Plain"/>
            </w:pPr>
            <w:r w:rsidRPr="00C9343F">
              <w:t>A member may be reimbursed certain costs if their leave is cancelled before it begins. The leave must have been formally approved. The cancellation must be for Service reasons.</w:t>
            </w:r>
          </w:p>
        </w:tc>
      </w:tr>
      <w:tr w:rsidR="008B4402" w:rsidRPr="00C9343F" w14:paraId="258B99FE" w14:textId="77777777" w:rsidTr="002B5DED">
        <w:tc>
          <w:tcPr>
            <w:tcW w:w="992" w:type="dxa"/>
          </w:tcPr>
          <w:p w14:paraId="0D706399" w14:textId="77777777" w:rsidR="008B4402" w:rsidRPr="00C9343F" w:rsidRDefault="008B4402" w:rsidP="00F66D98">
            <w:pPr>
              <w:pStyle w:val="BlockText-Plain"/>
              <w:jc w:val="center"/>
            </w:pPr>
            <w:r w:rsidRPr="00C9343F">
              <w:t>2.</w:t>
            </w:r>
          </w:p>
        </w:tc>
        <w:tc>
          <w:tcPr>
            <w:tcW w:w="8363" w:type="dxa"/>
            <w:gridSpan w:val="2"/>
          </w:tcPr>
          <w:p w14:paraId="2BA9A0D3" w14:textId="77777777" w:rsidR="008B4402" w:rsidRPr="00C9343F" w:rsidRDefault="008B4402" w:rsidP="00F66D98">
            <w:pPr>
              <w:pStyle w:val="BlockText-PlainNoSpacing"/>
            </w:pPr>
            <w:r w:rsidRPr="00C9343F">
              <w:t>The costs must not be recoverable by other means.</w:t>
            </w:r>
          </w:p>
        </w:tc>
      </w:tr>
      <w:tr w:rsidR="008B4402" w:rsidRPr="00C9343F" w14:paraId="14FA32D2" w14:textId="77777777" w:rsidTr="002B5DED">
        <w:tc>
          <w:tcPr>
            <w:tcW w:w="992" w:type="dxa"/>
          </w:tcPr>
          <w:p w14:paraId="779F68DB" w14:textId="77777777" w:rsidR="008B4402" w:rsidRPr="00C9343F" w:rsidRDefault="008B4402" w:rsidP="00F66D98">
            <w:pPr>
              <w:pStyle w:val="BlockText-Plain"/>
              <w:jc w:val="center"/>
            </w:pPr>
            <w:r w:rsidRPr="00C9343F">
              <w:t>3.</w:t>
            </w:r>
          </w:p>
        </w:tc>
        <w:tc>
          <w:tcPr>
            <w:tcW w:w="8363" w:type="dxa"/>
            <w:gridSpan w:val="2"/>
          </w:tcPr>
          <w:p w14:paraId="3986939E" w14:textId="77777777" w:rsidR="008B4402" w:rsidRPr="00C9343F" w:rsidRDefault="008B4402" w:rsidP="00F66D98">
            <w:pPr>
              <w:pStyle w:val="BlockText-PlainNoSpacing"/>
            </w:pPr>
            <w:r w:rsidRPr="00C9343F">
              <w:t>These costs may be reimbursed.</w:t>
            </w:r>
          </w:p>
          <w:p w14:paraId="7AD9EA30" w14:textId="77777777" w:rsidR="008B4402" w:rsidRPr="00C9343F" w:rsidRDefault="008B4402" w:rsidP="00F66D98">
            <w:pPr>
              <w:pStyle w:val="BlockText-PlainNoSpacing"/>
            </w:pPr>
          </w:p>
        </w:tc>
      </w:tr>
      <w:tr w:rsidR="008B4402" w:rsidRPr="00C9343F" w14:paraId="48F63287" w14:textId="77777777" w:rsidTr="002B5DED">
        <w:trPr>
          <w:cantSplit/>
        </w:trPr>
        <w:tc>
          <w:tcPr>
            <w:tcW w:w="992" w:type="dxa"/>
          </w:tcPr>
          <w:p w14:paraId="5D7C4DAC" w14:textId="77777777" w:rsidR="008B4402" w:rsidRPr="00C9343F" w:rsidRDefault="008B4402" w:rsidP="00F66D98">
            <w:pPr>
              <w:pStyle w:val="BlockText-Plain"/>
            </w:pPr>
          </w:p>
        </w:tc>
        <w:tc>
          <w:tcPr>
            <w:tcW w:w="567" w:type="dxa"/>
          </w:tcPr>
          <w:p w14:paraId="04BC9FD9" w14:textId="77777777" w:rsidR="008B4402" w:rsidRPr="00C9343F" w:rsidRDefault="008B4402" w:rsidP="005849DD">
            <w:pPr>
              <w:pStyle w:val="BlockText-Plain"/>
              <w:jc w:val="center"/>
            </w:pPr>
            <w:r w:rsidRPr="00C9343F">
              <w:t>a.</w:t>
            </w:r>
          </w:p>
        </w:tc>
        <w:tc>
          <w:tcPr>
            <w:tcW w:w="7796" w:type="dxa"/>
          </w:tcPr>
          <w:p w14:paraId="534CEB92" w14:textId="77777777" w:rsidR="008B4402" w:rsidRPr="00C9343F" w:rsidRDefault="008B4402" w:rsidP="00F66D98">
            <w:pPr>
              <w:pStyle w:val="BlockText-Plain"/>
            </w:pPr>
            <w:r w:rsidRPr="00C9343F">
              <w:t>Accommodation deposits or tariffs.</w:t>
            </w:r>
          </w:p>
        </w:tc>
      </w:tr>
      <w:tr w:rsidR="008B4402" w:rsidRPr="00C9343F" w14:paraId="7EFDBEC9" w14:textId="77777777" w:rsidTr="002B5DED">
        <w:trPr>
          <w:cantSplit/>
        </w:trPr>
        <w:tc>
          <w:tcPr>
            <w:tcW w:w="992" w:type="dxa"/>
          </w:tcPr>
          <w:p w14:paraId="27FD53DD" w14:textId="77777777" w:rsidR="008B4402" w:rsidRPr="00C9343F" w:rsidRDefault="008B4402" w:rsidP="00F66D98">
            <w:pPr>
              <w:pStyle w:val="BlockText-Plain"/>
            </w:pPr>
          </w:p>
        </w:tc>
        <w:tc>
          <w:tcPr>
            <w:tcW w:w="567" w:type="dxa"/>
          </w:tcPr>
          <w:p w14:paraId="3C871190" w14:textId="77777777" w:rsidR="008B4402" w:rsidRPr="00C9343F" w:rsidRDefault="008B4402" w:rsidP="005849DD">
            <w:pPr>
              <w:pStyle w:val="BlockText-Plain"/>
              <w:jc w:val="center"/>
            </w:pPr>
            <w:r w:rsidRPr="00C9343F">
              <w:t>b.</w:t>
            </w:r>
          </w:p>
        </w:tc>
        <w:tc>
          <w:tcPr>
            <w:tcW w:w="7796" w:type="dxa"/>
          </w:tcPr>
          <w:p w14:paraId="24B997B5" w14:textId="77777777" w:rsidR="008B4402" w:rsidRPr="00C9343F" w:rsidRDefault="008B4402" w:rsidP="00F66D98">
            <w:pPr>
              <w:pStyle w:val="BlockText-Plain"/>
            </w:pPr>
            <w:r w:rsidRPr="00C9343F">
              <w:t>Fares or fare deposits.</w:t>
            </w:r>
          </w:p>
        </w:tc>
      </w:tr>
      <w:tr w:rsidR="008B4402" w:rsidRPr="00C9343F" w14:paraId="005AB584" w14:textId="77777777" w:rsidTr="002B5DED">
        <w:trPr>
          <w:cantSplit/>
        </w:trPr>
        <w:tc>
          <w:tcPr>
            <w:tcW w:w="992" w:type="dxa"/>
          </w:tcPr>
          <w:p w14:paraId="678D2286" w14:textId="77777777" w:rsidR="008B4402" w:rsidRPr="00C9343F" w:rsidRDefault="008B4402" w:rsidP="00F66D98">
            <w:pPr>
              <w:pStyle w:val="BlockText-Plain"/>
            </w:pPr>
          </w:p>
        </w:tc>
        <w:tc>
          <w:tcPr>
            <w:tcW w:w="567" w:type="dxa"/>
          </w:tcPr>
          <w:p w14:paraId="2C72521C" w14:textId="77777777" w:rsidR="008B4402" w:rsidRPr="00C9343F" w:rsidRDefault="008B4402" w:rsidP="005849DD">
            <w:pPr>
              <w:pStyle w:val="BlockText-Plain"/>
              <w:jc w:val="center"/>
            </w:pPr>
            <w:r w:rsidRPr="00C9343F">
              <w:t>c.</w:t>
            </w:r>
          </w:p>
        </w:tc>
        <w:tc>
          <w:tcPr>
            <w:tcW w:w="7796" w:type="dxa"/>
          </w:tcPr>
          <w:p w14:paraId="2C3E3C11" w14:textId="77777777" w:rsidR="002B5DED" w:rsidRPr="00C9343F" w:rsidRDefault="008B4402" w:rsidP="00F66D98">
            <w:pPr>
              <w:pStyle w:val="BlockText-Plain"/>
            </w:pPr>
            <w:r w:rsidRPr="00C9343F">
              <w:t>Other unavoidable costs to do with a recall from leave.</w:t>
            </w:r>
          </w:p>
          <w:p w14:paraId="24D7A827" w14:textId="743EE759" w:rsidR="008B4402" w:rsidRPr="00C9343F" w:rsidRDefault="008B4402" w:rsidP="00F66D98">
            <w:pPr>
              <w:pStyle w:val="BlockText-Plain"/>
            </w:pPr>
            <w:r w:rsidRPr="00C9343F">
              <w:rPr>
                <w:b/>
              </w:rPr>
              <w:t>Note:</w:t>
            </w:r>
            <w:r w:rsidRPr="00C9343F">
              <w:t xml:space="preserve"> No amount can be refunded to compensate a member for lost frequent flyer points. This is because they have no monetary value.</w:t>
            </w:r>
          </w:p>
        </w:tc>
      </w:tr>
    </w:tbl>
    <w:p w14:paraId="50F2655C" w14:textId="19B57137" w:rsidR="008B4402" w:rsidRPr="00C9343F" w:rsidRDefault="008B4402" w:rsidP="00F66D98">
      <w:pPr>
        <w:pStyle w:val="Heading5"/>
      </w:pPr>
      <w:bookmarkStart w:id="2106" w:name="_Toc105054191"/>
      <w:bookmarkStart w:id="2107" w:name="bk1152095117Claimingandacquitting"/>
      <w:bookmarkStart w:id="2108" w:name="bk1152395117Claimingandacquitting"/>
      <w:bookmarkStart w:id="2109" w:name="bk1321335118Claimingandacquitting"/>
      <w:bookmarkStart w:id="2110" w:name="bk1151515118Claimingandacquitting"/>
      <w:bookmarkStart w:id="2111" w:name="bk1151595118Claimingandacquitting"/>
      <w:bookmarkStart w:id="2112" w:name="bk930045118Claimingandacquitting"/>
      <w:bookmarkStart w:id="2113" w:name="bk931045118Claimingandacquitting"/>
      <w:r w:rsidRPr="00C9343F">
        <w:t>5.13.8</w:t>
      </w:r>
      <w:r w:rsidR="00D94006" w:rsidRPr="00C9343F">
        <w:t>    </w:t>
      </w:r>
      <w:r w:rsidRPr="00C9343F">
        <w:t xml:space="preserve">Claiming </w:t>
      </w:r>
      <w:r w:rsidR="009D3F2C" w:rsidRPr="00C9343F">
        <w:t>reimbursement</w:t>
      </w:r>
      <w:bookmarkEnd w:id="2106"/>
    </w:p>
    <w:tbl>
      <w:tblPr>
        <w:tblW w:w="0" w:type="auto"/>
        <w:tblInd w:w="113" w:type="dxa"/>
        <w:tblLayout w:type="fixed"/>
        <w:tblLook w:val="0000" w:firstRow="0" w:lastRow="0" w:firstColumn="0" w:lastColumn="0" w:noHBand="0" w:noVBand="0"/>
      </w:tblPr>
      <w:tblGrid>
        <w:gridCol w:w="992"/>
        <w:gridCol w:w="8367"/>
      </w:tblGrid>
      <w:tr w:rsidR="008B4402" w:rsidRPr="00C9343F" w14:paraId="14BD0D1C" w14:textId="77777777" w:rsidTr="008B4402">
        <w:tc>
          <w:tcPr>
            <w:tcW w:w="992" w:type="dxa"/>
          </w:tcPr>
          <w:p w14:paraId="7E275D79" w14:textId="77777777" w:rsidR="008B4402" w:rsidRPr="00C9343F" w:rsidRDefault="008B4402" w:rsidP="00F66D98">
            <w:pPr>
              <w:pStyle w:val="BlockText-Plain"/>
              <w:jc w:val="center"/>
            </w:pPr>
            <w:bookmarkStart w:id="2114" w:name="bk1152095118Recreditofleave"/>
            <w:bookmarkStart w:id="2115" w:name="bk1152395118Recreditofleave"/>
            <w:bookmarkStart w:id="2116" w:name="bk1321335119Recreditofleave"/>
            <w:bookmarkStart w:id="2117" w:name="bk1151515119Recreditofleave"/>
            <w:bookmarkStart w:id="2118" w:name="bk1151595119Recreditofleave"/>
            <w:bookmarkStart w:id="2119" w:name="bk930045119Recreditofleave"/>
            <w:bookmarkStart w:id="2120" w:name="bk931045119Recreditofleave"/>
            <w:bookmarkEnd w:id="2107"/>
            <w:bookmarkEnd w:id="2108"/>
            <w:bookmarkEnd w:id="2109"/>
            <w:bookmarkEnd w:id="2110"/>
            <w:bookmarkEnd w:id="2111"/>
            <w:bookmarkEnd w:id="2112"/>
            <w:bookmarkEnd w:id="2113"/>
            <w:r w:rsidRPr="00C9343F">
              <w:t>1.</w:t>
            </w:r>
          </w:p>
        </w:tc>
        <w:tc>
          <w:tcPr>
            <w:tcW w:w="8367" w:type="dxa"/>
          </w:tcPr>
          <w:p w14:paraId="4739F01B" w14:textId="77777777" w:rsidR="008B4402" w:rsidRPr="00C9343F" w:rsidRDefault="009D3F2C" w:rsidP="00F66D98">
            <w:pPr>
              <w:pStyle w:val="BlockText-Plain"/>
            </w:pPr>
            <w:r w:rsidRPr="00C9343F">
              <w:t>A member must use the approved form to claim reimbursement.</w:t>
            </w:r>
          </w:p>
        </w:tc>
      </w:tr>
    </w:tbl>
    <w:p w14:paraId="33ACA1B9" w14:textId="03CC78DD" w:rsidR="008B4402" w:rsidRPr="00C9343F" w:rsidRDefault="008B4402" w:rsidP="00F66D98">
      <w:pPr>
        <w:pStyle w:val="Heading5"/>
      </w:pPr>
      <w:bookmarkStart w:id="2121" w:name="_Toc105054192"/>
      <w:r w:rsidRPr="00C9343F">
        <w:t>5.13.9</w:t>
      </w:r>
      <w:r w:rsidR="00D94006" w:rsidRPr="00C9343F">
        <w:t>    </w:t>
      </w:r>
      <w:r w:rsidRPr="00C9343F">
        <w:t>Re-credit of leave</w:t>
      </w:r>
      <w:bookmarkEnd w:id="2121"/>
    </w:p>
    <w:tbl>
      <w:tblPr>
        <w:tblW w:w="9355" w:type="dxa"/>
        <w:tblInd w:w="113" w:type="dxa"/>
        <w:tblLayout w:type="fixed"/>
        <w:tblLook w:val="0000" w:firstRow="0" w:lastRow="0" w:firstColumn="0" w:lastColumn="0" w:noHBand="0" w:noVBand="0"/>
      </w:tblPr>
      <w:tblGrid>
        <w:gridCol w:w="992"/>
        <w:gridCol w:w="8363"/>
      </w:tblGrid>
      <w:tr w:rsidR="002B5DED" w:rsidRPr="00C9343F" w14:paraId="0B9927DB" w14:textId="77777777" w:rsidTr="002B5DED">
        <w:tc>
          <w:tcPr>
            <w:tcW w:w="992" w:type="dxa"/>
          </w:tcPr>
          <w:bookmarkEnd w:id="2114"/>
          <w:bookmarkEnd w:id="2115"/>
          <w:bookmarkEnd w:id="2116"/>
          <w:bookmarkEnd w:id="2117"/>
          <w:bookmarkEnd w:id="2118"/>
          <w:bookmarkEnd w:id="2119"/>
          <w:bookmarkEnd w:id="2120"/>
          <w:p w14:paraId="00C4F2AE" w14:textId="10D91116" w:rsidR="002B5DED" w:rsidRPr="00C9343F" w:rsidRDefault="002B5DED" w:rsidP="00F66D98">
            <w:pPr>
              <w:pStyle w:val="BlockText-Plain"/>
              <w:jc w:val="center"/>
            </w:pPr>
            <w:r w:rsidRPr="00C9343F">
              <w:t>1.</w:t>
            </w:r>
          </w:p>
        </w:tc>
        <w:tc>
          <w:tcPr>
            <w:tcW w:w="8363" w:type="dxa"/>
          </w:tcPr>
          <w:p w14:paraId="4688DD28" w14:textId="79C6D4A5" w:rsidR="002B5DED" w:rsidRPr="00C9343F" w:rsidRDefault="002B5DED" w:rsidP="00F66D98">
            <w:pPr>
              <w:pStyle w:val="BlockText-Plain"/>
            </w:pPr>
            <w:r w:rsidRPr="00C9343F">
              <w:rPr>
                <w:iCs/>
              </w:rPr>
              <w:t>A member will be re-credited unused leave under section 5.4.35 when the unused leave is a result of a recall from leave order.</w:t>
            </w:r>
          </w:p>
        </w:tc>
      </w:tr>
      <w:tr w:rsidR="008B4402" w:rsidRPr="00325E4A" w14:paraId="73D86393" w14:textId="77777777" w:rsidTr="002B5DED">
        <w:tc>
          <w:tcPr>
            <w:tcW w:w="992" w:type="dxa"/>
          </w:tcPr>
          <w:p w14:paraId="0D9AAFF6" w14:textId="77777777" w:rsidR="008B4402" w:rsidRPr="00C9343F" w:rsidRDefault="008B4402" w:rsidP="00F66D98">
            <w:pPr>
              <w:pStyle w:val="BlockText-Plain"/>
              <w:jc w:val="center"/>
            </w:pPr>
            <w:r w:rsidRPr="00C9343F">
              <w:t>2.</w:t>
            </w:r>
          </w:p>
        </w:tc>
        <w:tc>
          <w:tcPr>
            <w:tcW w:w="8363" w:type="dxa"/>
            <w:shd w:val="clear" w:color="auto" w:fill="auto"/>
          </w:tcPr>
          <w:p w14:paraId="4DAFFF0D" w14:textId="6BC781B1" w:rsidR="008B4402" w:rsidRPr="00325E4A" w:rsidRDefault="008B4402" w:rsidP="00F66D98">
            <w:pPr>
              <w:pStyle w:val="BlockText-Plain"/>
            </w:pPr>
            <w:r w:rsidRPr="00C9343F">
              <w:t>Additional leave travel may be granted if the conditions in Chapter 9 Part 4 Division 1 are met.</w:t>
            </w:r>
          </w:p>
        </w:tc>
      </w:tr>
    </w:tbl>
    <w:p w14:paraId="7D18E56D" w14:textId="259DE2D3" w:rsidR="00AF060B" w:rsidRPr="00D94BB2" w:rsidRDefault="00AF060B" w:rsidP="00D94BB2"/>
    <w:sectPr w:rsidR="00AF060B" w:rsidRPr="00D94BB2" w:rsidSect="00C0188F">
      <w:pgSz w:w="11907" w:h="16840" w:code="9"/>
      <w:pgMar w:top="1134" w:right="1134" w:bottom="99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A7C9" w14:textId="77777777" w:rsidR="00AA4E4D" w:rsidRDefault="00AA4E4D" w:rsidP="00834F3D">
      <w:r>
        <w:separator/>
      </w:r>
    </w:p>
  </w:endnote>
  <w:endnote w:type="continuationSeparator" w:id="0">
    <w:p w14:paraId="2AEC4B25" w14:textId="77777777" w:rsidR="00AA4E4D" w:rsidRDefault="00AA4E4D" w:rsidP="0083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B230" w14:textId="77777777" w:rsidR="00AA4E4D" w:rsidRDefault="00AA4E4D" w:rsidP="00834F3D">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3DB6" w14:textId="77777777" w:rsidR="00AA4E4D" w:rsidRPr="00313F01" w:rsidRDefault="00AA4E4D" w:rsidP="00834F3D">
    <w:pPr>
      <w:pStyle w:val="Footer"/>
      <w:pBdr>
        <w:top w:val="none" w:sz="0" w:space="0" w:color="auto"/>
      </w:pBdr>
    </w:pPr>
    <w:r>
      <w:t>Prepared by the Department of Defence</w:t>
    </w:r>
  </w:p>
  <w:p w14:paraId="5C8C22BE" w14:textId="77777777" w:rsidR="00AA4E4D" w:rsidRPr="00834F3D" w:rsidRDefault="00AA4E4D" w:rsidP="00834F3D">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807"/>
      <w:gridCol w:w="2920"/>
      <w:gridCol w:w="2653"/>
      <w:gridCol w:w="567"/>
      <w:gridCol w:w="142"/>
    </w:tblGrid>
    <w:tr w:rsidR="00AA4E4D" w:rsidRPr="003508F6" w14:paraId="20BF6967" w14:textId="77777777" w:rsidTr="00CF42D1">
      <w:tc>
        <w:tcPr>
          <w:tcW w:w="1383" w:type="dxa"/>
          <w:tcBorders>
            <w:top w:val="nil"/>
            <w:left w:val="nil"/>
            <w:bottom w:val="nil"/>
            <w:right w:val="nil"/>
          </w:tcBorders>
        </w:tcPr>
        <w:p w14:paraId="195AC200" w14:textId="47A1385A" w:rsidR="00AA4E4D" w:rsidRPr="003508F6" w:rsidRDefault="00AA4E4D" w:rsidP="00CF42D1">
          <w:pPr>
            <w:spacing w:line="240" w:lineRule="atLeast"/>
            <w:rPr>
              <w:rFonts w:cs="Arial"/>
              <w:sz w:val="18"/>
            </w:rPr>
          </w:pPr>
        </w:p>
      </w:tc>
      <w:tc>
        <w:tcPr>
          <w:tcW w:w="6380" w:type="dxa"/>
          <w:gridSpan w:val="3"/>
          <w:tcBorders>
            <w:top w:val="nil"/>
            <w:left w:val="nil"/>
            <w:bottom w:val="nil"/>
            <w:right w:val="nil"/>
          </w:tcBorders>
        </w:tcPr>
        <w:p w14:paraId="49D148F9" w14:textId="77777777" w:rsidR="00AA4E4D" w:rsidRPr="00E66054" w:rsidRDefault="00AA4E4D" w:rsidP="00CF42D1">
          <w:pPr>
            <w:spacing w:line="240" w:lineRule="atLeast"/>
            <w:jc w:val="center"/>
            <w:rPr>
              <w:rFonts w:cs="Arial"/>
              <w:i/>
              <w:sz w:val="20"/>
            </w:rPr>
          </w:pPr>
          <w:r w:rsidRPr="00E66054">
            <w:rPr>
              <w:rFonts w:cs="Arial"/>
              <w:i/>
              <w:sz w:val="20"/>
            </w:rPr>
            <w:t>Defence Determination 2016/19, Conditions of service</w:t>
          </w:r>
        </w:p>
        <w:p w14:paraId="7CE96387" w14:textId="77777777" w:rsidR="00AA4E4D" w:rsidRPr="003508F6" w:rsidRDefault="00AA4E4D" w:rsidP="00CF42D1">
          <w:pPr>
            <w:spacing w:line="240" w:lineRule="atLeast"/>
            <w:jc w:val="center"/>
            <w:rPr>
              <w:rFonts w:cs="Arial"/>
              <w:i/>
              <w:sz w:val="18"/>
            </w:rPr>
          </w:pPr>
        </w:p>
      </w:tc>
      <w:tc>
        <w:tcPr>
          <w:tcW w:w="709" w:type="dxa"/>
          <w:gridSpan w:val="2"/>
          <w:tcBorders>
            <w:top w:val="nil"/>
            <w:left w:val="nil"/>
            <w:bottom w:val="nil"/>
            <w:right w:val="nil"/>
          </w:tcBorders>
        </w:tcPr>
        <w:p w14:paraId="209C218A" w14:textId="71BD18F8" w:rsidR="00AA4E4D" w:rsidRPr="003508F6" w:rsidRDefault="00AA4E4D" w:rsidP="00CF42D1">
          <w:pPr>
            <w:spacing w:line="240" w:lineRule="atLeast"/>
            <w:jc w:val="right"/>
            <w:rPr>
              <w:rFonts w:cs="Arial"/>
              <w:sz w:val="18"/>
            </w:rPr>
          </w:pPr>
          <w:r w:rsidRPr="003508F6">
            <w:rPr>
              <w:rFonts w:cs="Arial"/>
              <w:i/>
              <w:sz w:val="18"/>
            </w:rPr>
            <w:fldChar w:fldCharType="begin"/>
          </w:r>
          <w:r w:rsidRPr="003508F6">
            <w:rPr>
              <w:rFonts w:cs="Arial"/>
              <w:i/>
              <w:sz w:val="18"/>
            </w:rPr>
            <w:instrText xml:space="preserve"> PAGE </w:instrText>
          </w:r>
          <w:r w:rsidRPr="003508F6">
            <w:rPr>
              <w:rFonts w:cs="Arial"/>
              <w:i/>
              <w:sz w:val="18"/>
            </w:rPr>
            <w:fldChar w:fldCharType="separate"/>
          </w:r>
          <w:r w:rsidR="00C9343F">
            <w:rPr>
              <w:rFonts w:cs="Arial"/>
              <w:i/>
              <w:noProof/>
              <w:sz w:val="18"/>
            </w:rPr>
            <w:t>184</w:t>
          </w:r>
          <w:r w:rsidRPr="003508F6">
            <w:rPr>
              <w:rFonts w:cs="Arial"/>
              <w:i/>
              <w:sz w:val="18"/>
            </w:rPr>
            <w:fldChar w:fldCharType="end"/>
          </w:r>
        </w:p>
      </w:tc>
    </w:tr>
    <w:tr w:rsidR="00AA4E4D" w:rsidRPr="003508F6" w14:paraId="579A7531" w14:textId="77777777" w:rsidTr="00CF4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14:paraId="6A3B45B8" w14:textId="4A0110A0" w:rsidR="00AA4E4D" w:rsidRPr="003508F6" w:rsidRDefault="00AA4E4D" w:rsidP="00577FEA">
          <w:pPr>
            <w:spacing w:before="120"/>
            <w:rPr>
              <w:rFonts w:cs="Arial"/>
              <w:sz w:val="16"/>
              <w:szCs w:val="16"/>
            </w:rPr>
          </w:pPr>
          <w:r>
            <w:rPr>
              <w:rFonts w:cs="Arial"/>
              <w:sz w:val="16"/>
              <w:szCs w:val="16"/>
            </w:rPr>
            <w:t>Compilation No. 99</w:t>
          </w:r>
        </w:p>
      </w:tc>
      <w:tc>
        <w:tcPr>
          <w:tcW w:w="2920" w:type="dxa"/>
        </w:tcPr>
        <w:p w14:paraId="7EEE919C" w14:textId="77777777" w:rsidR="00AA4E4D" w:rsidRPr="003508F6" w:rsidRDefault="00AA4E4D" w:rsidP="00CF42D1">
          <w:pPr>
            <w:spacing w:before="120"/>
            <w:jc w:val="center"/>
            <w:rPr>
              <w:rFonts w:cs="Arial"/>
              <w:sz w:val="16"/>
              <w:szCs w:val="16"/>
            </w:rPr>
          </w:pPr>
        </w:p>
      </w:tc>
      <w:tc>
        <w:tcPr>
          <w:tcW w:w="3220" w:type="dxa"/>
          <w:gridSpan w:val="2"/>
        </w:tcPr>
        <w:p w14:paraId="215511D9" w14:textId="2E426734" w:rsidR="00AA4E4D" w:rsidRPr="003508F6" w:rsidRDefault="00AA4E4D" w:rsidP="00D076A6">
          <w:pPr>
            <w:spacing w:before="120"/>
            <w:jc w:val="right"/>
            <w:rPr>
              <w:rFonts w:cs="Arial"/>
              <w:sz w:val="16"/>
              <w:szCs w:val="16"/>
            </w:rPr>
          </w:pPr>
          <w:r w:rsidRPr="003508F6">
            <w:rPr>
              <w:rFonts w:cs="Arial"/>
              <w:sz w:val="16"/>
              <w:szCs w:val="16"/>
            </w:rPr>
            <w:t xml:space="preserve">Compilation date: </w:t>
          </w:r>
          <w:r>
            <w:rPr>
              <w:rFonts w:cs="Arial"/>
              <w:sz w:val="16"/>
              <w:szCs w:val="16"/>
            </w:rPr>
            <w:t>9/6</w:t>
          </w:r>
          <w:r w:rsidRPr="00D80E4F">
            <w:rPr>
              <w:rFonts w:cs="Arial"/>
              <w:sz w:val="16"/>
              <w:szCs w:val="16"/>
            </w:rPr>
            <w:t>/2022</w:t>
          </w:r>
        </w:p>
      </w:tc>
    </w:tr>
  </w:tbl>
  <w:p w14:paraId="5B8EBDF4" w14:textId="77777777" w:rsidR="00AA4E4D" w:rsidRDefault="00AA4E4D" w:rsidP="00834F3D">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1461" w14:textId="77777777" w:rsidR="00AA4E4D" w:rsidRDefault="00AA4E4D" w:rsidP="00834F3D">
      <w:r>
        <w:separator/>
      </w:r>
    </w:p>
  </w:footnote>
  <w:footnote w:type="continuationSeparator" w:id="0">
    <w:p w14:paraId="0DFD5DC5" w14:textId="77777777" w:rsidR="00AA4E4D" w:rsidRDefault="00AA4E4D" w:rsidP="0083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E2A0" w14:textId="05F7DE33" w:rsidR="00AA4E4D" w:rsidRDefault="00AA4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FCFB" w14:textId="1113FD2F" w:rsidR="00AA4E4D" w:rsidRDefault="00AA4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9662" w14:textId="00B6F594" w:rsidR="00AA4E4D" w:rsidRDefault="00AA4E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E5FD" w14:textId="4D7F3A06" w:rsidR="00AA4E4D" w:rsidRDefault="00AA4E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9175" w14:textId="24E1CD00" w:rsidR="00AA4E4D" w:rsidRDefault="00AA4E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B9C3" w14:textId="46E4AAF4" w:rsidR="00AA4E4D" w:rsidRDefault="00AA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44.25pt" o:bullet="t">
        <v:imagedata r:id="rId1" o:title="corner"/>
      </v:shape>
    </w:pict>
  </w:numPicBullet>
  <w:abstractNum w:abstractNumId="0" w15:restartNumberingAfterBreak="0">
    <w:nsid w:val="FFFFFF7C"/>
    <w:multiLevelType w:val="singleLevel"/>
    <w:tmpl w:val="1AEE65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30AF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E22C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80F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B8A6D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1AA8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6AC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291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3CF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A48D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A6B77"/>
    <w:multiLevelType w:val="hybridMultilevel"/>
    <w:tmpl w:val="00587B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A07780"/>
    <w:multiLevelType w:val="hybridMultilevel"/>
    <w:tmpl w:val="E634DC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93106E"/>
    <w:multiLevelType w:val="singleLevel"/>
    <w:tmpl w:val="929CDC80"/>
    <w:lvl w:ilvl="0">
      <w:start w:val="1"/>
      <w:numFmt w:val="decimal"/>
      <w:pStyle w:val="AppendixList"/>
      <w:lvlText w:val="Appendix:"/>
      <w:lvlJc w:val="left"/>
      <w:pPr>
        <w:tabs>
          <w:tab w:val="num" w:pos="360"/>
        </w:tabs>
        <w:ind w:left="360" w:hanging="360"/>
      </w:pPr>
      <w:rPr>
        <w:b/>
      </w:rPr>
    </w:lvl>
  </w:abstractNum>
  <w:abstractNum w:abstractNumId="14" w15:restartNumberingAfterBreak="0">
    <w:nsid w:val="0E42385F"/>
    <w:multiLevelType w:val="singleLevel"/>
    <w:tmpl w:val="921811A8"/>
    <w:lvl w:ilvl="0">
      <w:start w:val="1"/>
      <w:numFmt w:val="none"/>
      <w:pStyle w:val="ScheduleList"/>
      <w:lvlText w:val="Schedule:"/>
      <w:lvlJc w:val="left"/>
      <w:pPr>
        <w:tabs>
          <w:tab w:val="num" w:pos="1080"/>
        </w:tabs>
        <w:ind w:left="720" w:hanging="720"/>
      </w:pPr>
      <w:rPr>
        <w:b/>
      </w:rPr>
    </w:lvl>
  </w:abstractNum>
  <w:abstractNum w:abstractNumId="15" w15:restartNumberingAfterBreak="0">
    <w:nsid w:val="0FB2533F"/>
    <w:multiLevelType w:val="multilevel"/>
    <w:tmpl w:val="51385FF2"/>
    <w:lvl w:ilvl="0">
      <w:start w:val="1"/>
      <w:numFmt w:val="decimal"/>
      <w:pStyle w:val="AnnexLvl1"/>
      <w:lvlText w:val="%1."/>
      <w:lvlJc w:val="left"/>
      <w:pPr>
        <w:tabs>
          <w:tab w:val="num" w:pos="851"/>
        </w:tabs>
        <w:ind w:left="851" w:hanging="851"/>
      </w:pPr>
      <w:rPr>
        <w:b/>
        <w:i w:val="0"/>
      </w:rPr>
    </w:lvl>
    <w:lvl w:ilvl="1">
      <w:start w:val="1"/>
      <w:numFmt w:val="lowerLetter"/>
      <w:lvlText w:val="%2."/>
      <w:lvlJc w:val="left"/>
      <w:pPr>
        <w:tabs>
          <w:tab w:val="num" w:pos="851"/>
        </w:tabs>
        <w:ind w:left="851" w:hanging="851"/>
      </w:pPr>
      <w:rPr>
        <w:b w:val="0"/>
        <w:i w:val="0"/>
      </w:rPr>
    </w:lvl>
    <w:lvl w:ilvl="2">
      <w:start w:val="1"/>
      <w:numFmt w:val="decimal"/>
      <w:lvlText w:val="(%3)"/>
      <w:lvlJc w:val="left"/>
      <w:pPr>
        <w:tabs>
          <w:tab w:val="num" w:pos="851"/>
        </w:tabs>
        <w:ind w:left="851" w:hanging="851"/>
      </w:pPr>
      <w:rPr>
        <w:b w:val="0"/>
      </w:rPr>
    </w:lvl>
    <w:lvl w:ilvl="3">
      <w:start w:val="1"/>
      <w:numFmt w:val="lowerLetter"/>
      <w:lvlText w:val="(%4)"/>
      <w:lvlJc w:val="left"/>
      <w:pPr>
        <w:tabs>
          <w:tab w:val="num" w:pos="851"/>
        </w:tabs>
        <w:ind w:left="851" w:hanging="851"/>
      </w:pPr>
      <w:rPr>
        <w:b w:val="0"/>
      </w:rPr>
    </w:lvl>
    <w:lvl w:ilvl="4">
      <w:start w:val="1"/>
      <w:numFmt w:val="lowerRoman"/>
      <w:lvlText w:val="%5."/>
      <w:lvlJc w:val="left"/>
      <w:pPr>
        <w:tabs>
          <w:tab w:val="num" w:pos="851"/>
        </w:tabs>
        <w:ind w:left="851" w:hanging="851"/>
      </w:pPr>
      <w:rPr>
        <w:b w:val="0"/>
      </w:rPr>
    </w:lvl>
    <w:lvl w:ilvl="5">
      <w:start w:val="100"/>
      <w:numFmt w:val="decimal"/>
      <w:lvlText w:val="1-%6."/>
      <w:lvlJc w:val="left"/>
      <w:pPr>
        <w:tabs>
          <w:tab w:val="num" w:pos="360"/>
        </w:tabs>
        <w:ind w:left="0" w:firstLine="0"/>
      </w:pPr>
      <w:rPr>
        <w:b/>
        <w:i w:val="0"/>
      </w:rPr>
    </w:lvl>
    <w:lvl w:ilvl="6">
      <w:start w:val="1"/>
      <w:numFmt w:val="lowerLetter"/>
      <w:lvlText w:val="%7."/>
      <w:lvlJc w:val="left"/>
      <w:pPr>
        <w:tabs>
          <w:tab w:val="num" w:pos="4253"/>
        </w:tabs>
        <w:ind w:left="4253" w:hanging="567"/>
      </w:pPr>
    </w:lvl>
    <w:lvl w:ilvl="7">
      <w:start w:val="1"/>
      <w:numFmt w:val="decimal"/>
      <w:lvlText w:val="(%8)"/>
      <w:lvlJc w:val="left"/>
      <w:pPr>
        <w:tabs>
          <w:tab w:val="num" w:pos="4820"/>
        </w:tabs>
        <w:ind w:left="4820" w:hanging="567"/>
      </w:pPr>
    </w:lvl>
    <w:lvl w:ilvl="8">
      <w:start w:val="1"/>
      <w:numFmt w:val="lowerLetter"/>
      <w:lvlText w:val="(%9)"/>
      <w:lvlJc w:val="left"/>
      <w:pPr>
        <w:tabs>
          <w:tab w:val="num" w:pos="0"/>
        </w:tabs>
        <w:ind w:left="5387" w:hanging="567"/>
      </w:pPr>
    </w:lvl>
  </w:abstractNum>
  <w:abstractNum w:abstractNumId="16" w15:restartNumberingAfterBreak="0">
    <w:nsid w:val="14110026"/>
    <w:multiLevelType w:val="hybridMultilevel"/>
    <w:tmpl w:val="C27209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7D6EA7"/>
    <w:multiLevelType w:val="singleLevel"/>
    <w:tmpl w:val="956A8136"/>
    <w:lvl w:ilvl="0">
      <w:start w:val="1"/>
      <w:numFmt w:val="upperLetter"/>
      <w:pStyle w:val="AnnexListEntry"/>
      <w:lvlText w:val="%1."/>
      <w:lvlJc w:val="left"/>
      <w:pPr>
        <w:tabs>
          <w:tab w:val="num" w:pos="360"/>
        </w:tabs>
        <w:ind w:left="360" w:hanging="360"/>
      </w:pPr>
    </w:lvl>
  </w:abstractNum>
  <w:abstractNum w:abstractNumId="19" w15:restartNumberingAfterBreak="0">
    <w:nsid w:val="21403B94"/>
    <w:multiLevelType w:val="hybridMultilevel"/>
    <w:tmpl w:val="7FFC87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B82746"/>
    <w:multiLevelType w:val="singleLevel"/>
    <w:tmpl w:val="1868BD24"/>
    <w:lvl w:ilvl="0">
      <w:start w:val="1"/>
      <w:numFmt w:val="bullet"/>
      <w:pStyle w:val="CDFBullets"/>
      <w:lvlText w:val=""/>
      <w:lvlJc w:val="left"/>
      <w:pPr>
        <w:tabs>
          <w:tab w:val="num" w:pos="360"/>
        </w:tabs>
        <w:ind w:left="360" w:hanging="360"/>
      </w:pPr>
      <w:rPr>
        <w:rFonts w:ascii="Symbol" w:hAnsi="Symbol" w:hint="default"/>
      </w:rPr>
    </w:lvl>
  </w:abstractNum>
  <w:abstractNum w:abstractNumId="21" w15:restartNumberingAfterBreak="0">
    <w:nsid w:val="23355694"/>
    <w:multiLevelType w:val="singleLevel"/>
    <w:tmpl w:val="A274B538"/>
    <w:lvl w:ilvl="0">
      <w:start w:val="1"/>
      <w:numFmt w:val="none"/>
      <w:pStyle w:val="EG"/>
      <w:lvlText w:val="For example:"/>
      <w:lvlJc w:val="left"/>
      <w:pPr>
        <w:tabs>
          <w:tab w:val="num" w:pos="1440"/>
        </w:tabs>
        <w:ind w:left="0" w:firstLine="0"/>
      </w:pPr>
      <w:rPr>
        <w:rFonts w:ascii="Arial" w:hAnsi="Arial" w:hint="default"/>
        <w:b/>
        <w:i w:val="0"/>
        <w:sz w:val="20"/>
      </w:rPr>
    </w:lvl>
  </w:abstractNum>
  <w:abstractNum w:abstractNumId="22" w15:restartNumberingAfterBreak="0">
    <w:nsid w:val="24B60F2D"/>
    <w:multiLevelType w:val="hybridMultilevel"/>
    <w:tmpl w:val="695EDC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637DD5"/>
    <w:multiLevelType w:val="multilevel"/>
    <w:tmpl w:val="F51845B0"/>
    <w:lvl w:ilvl="0">
      <w:start w:val="1"/>
      <w:numFmt w:val="decimal"/>
      <w:pStyle w:val="AnnexLvl5"/>
      <w:lvlText w:val="%1."/>
      <w:lvlJc w:val="left"/>
      <w:pPr>
        <w:tabs>
          <w:tab w:val="num" w:pos="851"/>
        </w:tabs>
        <w:ind w:left="851" w:hanging="851"/>
      </w:pPr>
      <w:rPr>
        <w:b/>
        <w:i w:val="0"/>
      </w:rPr>
    </w:lvl>
    <w:lvl w:ilvl="1">
      <w:start w:val="1"/>
      <w:numFmt w:val="lowerLetter"/>
      <w:lvlText w:val="%2."/>
      <w:lvlJc w:val="left"/>
      <w:pPr>
        <w:tabs>
          <w:tab w:val="num" w:pos="851"/>
        </w:tabs>
        <w:ind w:left="851" w:hanging="851"/>
      </w:pPr>
      <w:rPr>
        <w:b w:val="0"/>
        <w:i w:val="0"/>
      </w:rPr>
    </w:lvl>
    <w:lvl w:ilvl="2">
      <w:start w:val="1"/>
      <w:numFmt w:val="decimal"/>
      <w:lvlText w:val="(%3)"/>
      <w:lvlJc w:val="left"/>
      <w:pPr>
        <w:tabs>
          <w:tab w:val="num" w:pos="851"/>
        </w:tabs>
        <w:ind w:left="851" w:hanging="851"/>
      </w:pPr>
      <w:rPr>
        <w:b w:val="0"/>
      </w:rPr>
    </w:lvl>
    <w:lvl w:ilvl="3">
      <w:start w:val="1"/>
      <w:numFmt w:val="lowerLetter"/>
      <w:lvlText w:val="(%4)"/>
      <w:lvlJc w:val="left"/>
      <w:pPr>
        <w:tabs>
          <w:tab w:val="num" w:pos="851"/>
        </w:tabs>
        <w:ind w:left="851" w:hanging="851"/>
      </w:pPr>
      <w:rPr>
        <w:b w:val="0"/>
      </w:rPr>
    </w:lvl>
    <w:lvl w:ilvl="4">
      <w:start w:val="1"/>
      <w:numFmt w:val="lowerRoman"/>
      <w:lvlText w:val="%5."/>
      <w:lvlJc w:val="left"/>
      <w:pPr>
        <w:tabs>
          <w:tab w:val="num" w:pos="851"/>
        </w:tabs>
        <w:ind w:left="851" w:hanging="851"/>
      </w:pPr>
      <w:rPr>
        <w:b w:val="0"/>
      </w:rPr>
    </w:lvl>
    <w:lvl w:ilvl="5">
      <w:start w:val="100"/>
      <w:numFmt w:val="decimal"/>
      <w:lvlText w:val="1-%6."/>
      <w:lvlJc w:val="left"/>
      <w:pPr>
        <w:tabs>
          <w:tab w:val="num" w:pos="360"/>
        </w:tabs>
        <w:ind w:left="0" w:firstLine="0"/>
      </w:pPr>
      <w:rPr>
        <w:b/>
        <w:i w:val="0"/>
      </w:rPr>
    </w:lvl>
    <w:lvl w:ilvl="6">
      <w:start w:val="1"/>
      <w:numFmt w:val="lowerLetter"/>
      <w:lvlText w:val="%7."/>
      <w:lvlJc w:val="left"/>
      <w:pPr>
        <w:tabs>
          <w:tab w:val="num" w:pos="4253"/>
        </w:tabs>
        <w:ind w:left="4253" w:hanging="567"/>
      </w:pPr>
    </w:lvl>
    <w:lvl w:ilvl="7">
      <w:start w:val="1"/>
      <w:numFmt w:val="decimal"/>
      <w:lvlText w:val="(%8)"/>
      <w:lvlJc w:val="left"/>
      <w:pPr>
        <w:tabs>
          <w:tab w:val="num" w:pos="4820"/>
        </w:tabs>
        <w:ind w:left="4820" w:hanging="567"/>
      </w:pPr>
    </w:lvl>
    <w:lvl w:ilvl="8">
      <w:start w:val="1"/>
      <w:numFmt w:val="lowerLetter"/>
      <w:lvlText w:val="(%9)"/>
      <w:lvlJc w:val="left"/>
      <w:pPr>
        <w:tabs>
          <w:tab w:val="num" w:pos="0"/>
        </w:tabs>
        <w:ind w:left="5387" w:hanging="567"/>
      </w:pPr>
    </w:lvl>
  </w:abstractNum>
  <w:abstractNum w:abstractNumId="24" w15:restartNumberingAfterBreak="0">
    <w:nsid w:val="28870639"/>
    <w:multiLevelType w:val="singleLevel"/>
    <w:tmpl w:val="4B3815B8"/>
    <w:lvl w:ilvl="0">
      <w:start w:val="1"/>
      <w:numFmt w:val="bullet"/>
      <w:pStyle w:val="BulletText1"/>
      <w:lvlText w:val=""/>
      <w:lvlJc w:val="left"/>
      <w:pPr>
        <w:tabs>
          <w:tab w:val="num" w:pos="360"/>
        </w:tabs>
        <w:ind w:left="357" w:hanging="357"/>
      </w:pPr>
      <w:rPr>
        <w:rFonts w:ascii="Symbol" w:hAnsi="Symbol" w:hint="default"/>
        <w:sz w:val="20"/>
      </w:rPr>
    </w:lvl>
  </w:abstractNum>
  <w:abstractNum w:abstractNumId="25" w15:restartNumberingAfterBreak="0">
    <w:nsid w:val="2B34336B"/>
    <w:multiLevelType w:val="hybridMultilevel"/>
    <w:tmpl w:val="B7129F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110B28"/>
    <w:multiLevelType w:val="hybridMultilevel"/>
    <w:tmpl w:val="F9942650"/>
    <w:lvl w:ilvl="0" w:tplc="F356CD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D93286"/>
    <w:multiLevelType w:val="singleLevel"/>
    <w:tmpl w:val="DBB43C60"/>
    <w:lvl w:ilvl="0">
      <w:start w:val="1"/>
      <w:numFmt w:val="bullet"/>
      <w:pStyle w:val="paragraph"/>
      <w:lvlText w:val=""/>
      <w:lvlJc w:val="left"/>
      <w:pPr>
        <w:tabs>
          <w:tab w:val="num" w:pos="360"/>
        </w:tabs>
        <w:ind w:left="360" w:hanging="360"/>
      </w:pPr>
      <w:rPr>
        <w:rFonts w:ascii="Symbol" w:hAnsi="Symbol" w:hint="default"/>
      </w:r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3ED821AC"/>
    <w:multiLevelType w:val="hybridMultilevel"/>
    <w:tmpl w:val="1D50E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FA4F6D"/>
    <w:multiLevelType w:val="hybridMultilevel"/>
    <w:tmpl w:val="AE0450E6"/>
    <w:lvl w:ilvl="0" w:tplc="00BEFAF6">
      <w:start w:val="1"/>
      <w:numFmt w:val="bullet"/>
      <w:pStyle w:val="BulletText2Arial"/>
      <w:lvlText w:val=""/>
      <w:lvlJc w:val="left"/>
      <w:pPr>
        <w:tabs>
          <w:tab w:val="num" w:pos="1996"/>
        </w:tabs>
        <w:ind w:left="1996" w:hanging="360"/>
      </w:pPr>
      <w:rPr>
        <w:rFonts w:ascii="Wingdings" w:hAnsi="Wingdings" w:hint="default"/>
      </w:rPr>
    </w:lvl>
    <w:lvl w:ilvl="1" w:tplc="41EC5AC2" w:tentative="1">
      <w:start w:val="1"/>
      <w:numFmt w:val="bullet"/>
      <w:lvlText w:val="o"/>
      <w:lvlJc w:val="left"/>
      <w:pPr>
        <w:tabs>
          <w:tab w:val="num" w:pos="2716"/>
        </w:tabs>
        <w:ind w:left="2716" w:hanging="360"/>
      </w:pPr>
      <w:rPr>
        <w:rFonts w:ascii="Courier New" w:hAnsi="Courier New" w:cs="Courier New" w:hint="default"/>
      </w:rPr>
    </w:lvl>
    <w:lvl w:ilvl="2" w:tplc="5484C700" w:tentative="1">
      <w:start w:val="1"/>
      <w:numFmt w:val="bullet"/>
      <w:lvlText w:val=""/>
      <w:lvlJc w:val="left"/>
      <w:pPr>
        <w:tabs>
          <w:tab w:val="num" w:pos="3436"/>
        </w:tabs>
        <w:ind w:left="3436" w:hanging="360"/>
      </w:pPr>
      <w:rPr>
        <w:rFonts w:ascii="Wingdings" w:hAnsi="Wingdings" w:hint="default"/>
      </w:rPr>
    </w:lvl>
    <w:lvl w:ilvl="3" w:tplc="D004E058" w:tentative="1">
      <w:start w:val="1"/>
      <w:numFmt w:val="bullet"/>
      <w:lvlText w:val=""/>
      <w:lvlJc w:val="left"/>
      <w:pPr>
        <w:tabs>
          <w:tab w:val="num" w:pos="4156"/>
        </w:tabs>
        <w:ind w:left="4156" w:hanging="360"/>
      </w:pPr>
      <w:rPr>
        <w:rFonts w:ascii="Symbol" w:hAnsi="Symbol" w:hint="default"/>
      </w:rPr>
    </w:lvl>
    <w:lvl w:ilvl="4" w:tplc="51129EC2" w:tentative="1">
      <w:start w:val="1"/>
      <w:numFmt w:val="bullet"/>
      <w:lvlText w:val="o"/>
      <w:lvlJc w:val="left"/>
      <w:pPr>
        <w:tabs>
          <w:tab w:val="num" w:pos="4876"/>
        </w:tabs>
        <w:ind w:left="4876" w:hanging="360"/>
      </w:pPr>
      <w:rPr>
        <w:rFonts w:ascii="Courier New" w:hAnsi="Courier New" w:cs="Courier New" w:hint="default"/>
      </w:rPr>
    </w:lvl>
    <w:lvl w:ilvl="5" w:tplc="097A0E70" w:tentative="1">
      <w:start w:val="1"/>
      <w:numFmt w:val="bullet"/>
      <w:lvlText w:val=""/>
      <w:lvlJc w:val="left"/>
      <w:pPr>
        <w:tabs>
          <w:tab w:val="num" w:pos="5596"/>
        </w:tabs>
        <w:ind w:left="5596" w:hanging="360"/>
      </w:pPr>
      <w:rPr>
        <w:rFonts w:ascii="Wingdings" w:hAnsi="Wingdings" w:hint="default"/>
      </w:rPr>
    </w:lvl>
    <w:lvl w:ilvl="6" w:tplc="426C7898" w:tentative="1">
      <w:start w:val="1"/>
      <w:numFmt w:val="bullet"/>
      <w:lvlText w:val=""/>
      <w:lvlJc w:val="left"/>
      <w:pPr>
        <w:tabs>
          <w:tab w:val="num" w:pos="6316"/>
        </w:tabs>
        <w:ind w:left="6316" w:hanging="360"/>
      </w:pPr>
      <w:rPr>
        <w:rFonts w:ascii="Symbol" w:hAnsi="Symbol" w:hint="default"/>
      </w:rPr>
    </w:lvl>
    <w:lvl w:ilvl="7" w:tplc="D8E694DE" w:tentative="1">
      <w:start w:val="1"/>
      <w:numFmt w:val="bullet"/>
      <w:lvlText w:val="o"/>
      <w:lvlJc w:val="left"/>
      <w:pPr>
        <w:tabs>
          <w:tab w:val="num" w:pos="7036"/>
        </w:tabs>
        <w:ind w:left="7036" w:hanging="360"/>
      </w:pPr>
      <w:rPr>
        <w:rFonts w:ascii="Courier New" w:hAnsi="Courier New" w:cs="Courier New" w:hint="default"/>
      </w:rPr>
    </w:lvl>
    <w:lvl w:ilvl="8" w:tplc="A85A033C" w:tentative="1">
      <w:start w:val="1"/>
      <w:numFmt w:val="bullet"/>
      <w:lvlText w:val=""/>
      <w:lvlJc w:val="left"/>
      <w:pPr>
        <w:tabs>
          <w:tab w:val="num" w:pos="7756"/>
        </w:tabs>
        <w:ind w:left="7756" w:hanging="360"/>
      </w:pPr>
      <w:rPr>
        <w:rFonts w:ascii="Wingdings" w:hAnsi="Wingdings" w:hint="default"/>
      </w:rPr>
    </w:lvl>
  </w:abstractNum>
  <w:abstractNum w:abstractNumId="31" w15:restartNumberingAfterBreak="0">
    <w:nsid w:val="45ED60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FBB7BD5"/>
    <w:multiLevelType w:val="multilevel"/>
    <w:tmpl w:val="2BE2D9F0"/>
    <w:lvl w:ilvl="0">
      <w:start w:val="1"/>
      <w:numFmt w:val="decimal"/>
      <w:lvlText w:val="%1."/>
      <w:lvlJc w:val="left"/>
      <w:pPr>
        <w:tabs>
          <w:tab w:val="num" w:pos="851"/>
        </w:tabs>
        <w:ind w:left="851" w:hanging="851"/>
      </w:pPr>
      <w:rPr>
        <w:b/>
        <w:i w:val="0"/>
      </w:rPr>
    </w:lvl>
    <w:lvl w:ilvl="1">
      <w:start w:val="1"/>
      <w:numFmt w:val="lowerLetter"/>
      <w:lvlText w:val="%2."/>
      <w:lvlJc w:val="left"/>
      <w:pPr>
        <w:tabs>
          <w:tab w:val="num" w:pos="851"/>
        </w:tabs>
        <w:ind w:left="851" w:hanging="851"/>
      </w:pPr>
      <w:rPr>
        <w:b w:val="0"/>
        <w:i w:val="0"/>
      </w:rPr>
    </w:lvl>
    <w:lvl w:ilvl="2">
      <w:start w:val="1"/>
      <w:numFmt w:val="decimal"/>
      <w:pStyle w:val="AnnexLvl3"/>
      <w:lvlText w:val="(%3)"/>
      <w:lvlJc w:val="left"/>
      <w:pPr>
        <w:tabs>
          <w:tab w:val="num" w:pos="851"/>
        </w:tabs>
        <w:ind w:left="851" w:hanging="851"/>
      </w:pPr>
      <w:rPr>
        <w:b w:val="0"/>
      </w:rPr>
    </w:lvl>
    <w:lvl w:ilvl="3">
      <w:start w:val="1"/>
      <w:numFmt w:val="lowerLetter"/>
      <w:lvlText w:val="(%4)"/>
      <w:lvlJc w:val="left"/>
      <w:pPr>
        <w:tabs>
          <w:tab w:val="num" w:pos="851"/>
        </w:tabs>
        <w:ind w:left="851" w:hanging="851"/>
      </w:pPr>
      <w:rPr>
        <w:b w:val="0"/>
      </w:rPr>
    </w:lvl>
    <w:lvl w:ilvl="4">
      <w:start w:val="1"/>
      <w:numFmt w:val="lowerRoman"/>
      <w:lvlText w:val="%5."/>
      <w:lvlJc w:val="left"/>
      <w:pPr>
        <w:tabs>
          <w:tab w:val="num" w:pos="851"/>
        </w:tabs>
        <w:ind w:left="851" w:hanging="851"/>
      </w:pPr>
      <w:rPr>
        <w:b w:val="0"/>
      </w:rPr>
    </w:lvl>
    <w:lvl w:ilvl="5">
      <w:start w:val="100"/>
      <w:numFmt w:val="decimal"/>
      <w:lvlText w:val="1-%6."/>
      <w:lvlJc w:val="left"/>
      <w:pPr>
        <w:tabs>
          <w:tab w:val="num" w:pos="360"/>
        </w:tabs>
        <w:ind w:left="0" w:firstLine="0"/>
      </w:pPr>
      <w:rPr>
        <w:b/>
        <w:i w:val="0"/>
      </w:rPr>
    </w:lvl>
    <w:lvl w:ilvl="6">
      <w:start w:val="1"/>
      <w:numFmt w:val="lowerLetter"/>
      <w:lvlText w:val="%7."/>
      <w:lvlJc w:val="left"/>
      <w:pPr>
        <w:tabs>
          <w:tab w:val="num" w:pos="4253"/>
        </w:tabs>
        <w:ind w:left="4253" w:hanging="567"/>
      </w:pPr>
    </w:lvl>
    <w:lvl w:ilvl="7">
      <w:start w:val="1"/>
      <w:numFmt w:val="decimal"/>
      <w:lvlText w:val="(%8)"/>
      <w:lvlJc w:val="left"/>
      <w:pPr>
        <w:tabs>
          <w:tab w:val="num" w:pos="4820"/>
        </w:tabs>
        <w:ind w:left="4820" w:hanging="567"/>
      </w:pPr>
    </w:lvl>
    <w:lvl w:ilvl="8">
      <w:start w:val="1"/>
      <w:numFmt w:val="lowerLetter"/>
      <w:lvlText w:val="(%9)"/>
      <w:lvlJc w:val="left"/>
      <w:pPr>
        <w:tabs>
          <w:tab w:val="num" w:pos="0"/>
        </w:tabs>
        <w:ind w:left="5387" w:hanging="567"/>
      </w:pPr>
    </w:lvl>
  </w:abstractNum>
  <w:abstractNum w:abstractNumId="33" w15:restartNumberingAfterBreak="0">
    <w:nsid w:val="51BB2F02"/>
    <w:multiLevelType w:val="multilevel"/>
    <w:tmpl w:val="3FEA85C6"/>
    <w:styleLink w:val="PPRBulletList"/>
    <w:lvl w:ilvl="0">
      <w:start w:val="1"/>
      <w:numFmt w:val="bullet"/>
      <w:lvlText w:val=""/>
      <w:lvlPicBulletId w:val="0"/>
      <w:lvlJc w:val="left"/>
      <w:pPr>
        <w:tabs>
          <w:tab w:val="num" w:pos="624"/>
        </w:tabs>
        <w:ind w:left="624" w:hanging="624"/>
      </w:pPr>
      <w:rPr>
        <w:rFonts w:ascii="Symbol" w:hAnsi="Symbol" w:hint="default"/>
        <w:color w:val="auto"/>
      </w:rPr>
    </w:lvl>
    <w:lvl w:ilvl="1">
      <w:start w:val="1"/>
      <w:numFmt w:val="bullet"/>
      <w:lvlText w:val=""/>
      <w:lvlPicBulletId w:val="0"/>
      <w:lvlJc w:val="left"/>
      <w:pPr>
        <w:tabs>
          <w:tab w:val="num" w:pos="624"/>
        </w:tabs>
        <w:ind w:left="1247" w:hanging="62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E555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EA0CA3"/>
    <w:multiLevelType w:val="multilevel"/>
    <w:tmpl w:val="215E6794"/>
    <w:lvl w:ilvl="0">
      <w:start w:val="1"/>
      <w:numFmt w:val="bullet"/>
      <w:pStyle w:val="TableBullet1"/>
      <w:lvlText w:val=""/>
      <w:lvlJc w:val="left"/>
      <w:pPr>
        <w:tabs>
          <w:tab w:val="num" w:pos="283"/>
        </w:tabs>
        <w:ind w:left="283" w:hanging="283"/>
      </w:pPr>
      <w:rPr>
        <w:rFonts w:ascii="Wingdings" w:hAnsi="Wingdings" w:hint="default"/>
        <w:sz w:val="16"/>
      </w:rPr>
    </w:lvl>
    <w:lvl w:ilvl="1">
      <w:start w:val="1"/>
      <w:numFmt w:val="bullet"/>
      <w:pStyle w:val="TableBullet2"/>
      <w:lvlText w:val="-"/>
      <w:lvlJc w:val="left"/>
      <w:pPr>
        <w:tabs>
          <w:tab w:val="num" w:pos="567"/>
        </w:tabs>
        <w:ind w:left="567" w:hanging="284"/>
      </w:pPr>
      <w:rPr>
        <w:rFonts w:ascii="Times New Roman" w:hAnsi="Times New Roman" w:hint="default"/>
      </w:rPr>
    </w:lvl>
    <w:lvl w:ilvl="2">
      <w:start w:val="1"/>
      <w:numFmt w:val="bullet"/>
      <w:lvlText w:val="x"/>
      <w:lvlJc w:val="left"/>
      <w:pPr>
        <w:tabs>
          <w:tab w:val="num" w:pos="1701"/>
        </w:tabs>
        <w:ind w:left="1701" w:hanging="284"/>
      </w:pPr>
      <w:rPr>
        <w:rFonts w:ascii="Wingdings" w:hAnsi="Wingdings" w:hint="default"/>
        <w:strike/>
        <w:dstrike w:val="0"/>
      </w:rPr>
    </w:lvl>
    <w:lvl w:ilvl="3">
      <w:start w:val="1"/>
      <w:numFmt w:val="bullet"/>
      <w:lvlText w:val="x"/>
      <w:lvlJc w:val="left"/>
      <w:pPr>
        <w:tabs>
          <w:tab w:val="num" w:pos="1984"/>
        </w:tabs>
        <w:ind w:left="1984" w:hanging="283"/>
      </w:pPr>
      <w:rPr>
        <w:rFonts w:ascii="Wingdings" w:hAnsi="Wingdings" w:hint="default"/>
      </w:rPr>
    </w:lvl>
    <w:lvl w:ilvl="4">
      <w:start w:val="1"/>
      <w:numFmt w:val="bullet"/>
      <w:lvlText w:val="x"/>
      <w:lvlJc w:val="left"/>
      <w:pPr>
        <w:tabs>
          <w:tab w:val="num" w:pos="2268"/>
        </w:tabs>
        <w:ind w:left="2268" w:hanging="284"/>
      </w:pPr>
      <w:rPr>
        <w:rFonts w:ascii="Wingdings" w:hAnsi="Wingdings" w:hint="default"/>
      </w:rPr>
    </w:lvl>
    <w:lvl w:ilvl="5">
      <w:start w:val="1"/>
      <w:numFmt w:val="bullet"/>
      <w:lvlText w:val="x"/>
      <w:lvlJc w:val="left"/>
      <w:pPr>
        <w:tabs>
          <w:tab w:val="num" w:pos="2551"/>
        </w:tabs>
        <w:ind w:left="2551" w:hanging="283"/>
      </w:pPr>
      <w:rPr>
        <w:rFonts w:ascii="Wingdings" w:hAnsi="Wingdings" w:hint="default"/>
      </w:rPr>
    </w:lvl>
    <w:lvl w:ilvl="6">
      <w:start w:val="1"/>
      <w:numFmt w:val="bullet"/>
      <w:lvlText w:val="x"/>
      <w:lvlJc w:val="left"/>
      <w:pPr>
        <w:tabs>
          <w:tab w:val="num" w:pos="2835"/>
        </w:tabs>
        <w:ind w:left="2835" w:hanging="284"/>
      </w:pPr>
      <w:rPr>
        <w:rFonts w:ascii="Wingdings" w:hAnsi="Wingdings" w:hint="default"/>
      </w:rPr>
    </w:lvl>
    <w:lvl w:ilvl="7">
      <w:start w:val="1"/>
      <w:numFmt w:val="bullet"/>
      <w:lvlText w:val="x"/>
      <w:lvlJc w:val="left"/>
      <w:pPr>
        <w:tabs>
          <w:tab w:val="num" w:pos="3118"/>
        </w:tabs>
        <w:ind w:left="3118" w:hanging="283"/>
      </w:pPr>
      <w:rPr>
        <w:rFonts w:ascii="Wingdings" w:hAnsi="Wingdings" w:hint="default"/>
      </w:rPr>
    </w:lvl>
    <w:lvl w:ilvl="8">
      <w:start w:val="1"/>
      <w:numFmt w:val="bullet"/>
      <w:lvlText w:val="x"/>
      <w:lvlJc w:val="left"/>
      <w:pPr>
        <w:tabs>
          <w:tab w:val="num" w:pos="3402"/>
        </w:tabs>
        <w:ind w:left="3402" w:hanging="284"/>
      </w:pPr>
      <w:rPr>
        <w:rFonts w:ascii="Wingdings" w:hAnsi="Wingdings" w:hint="default"/>
      </w:rPr>
    </w:lvl>
  </w:abstractNum>
  <w:abstractNum w:abstractNumId="36" w15:restartNumberingAfterBreak="0">
    <w:nsid w:val="5FD945E4"/>
    <w:multiLevelType w:val="multilevel"/>
    <w:tmpl w:val="0AFCA1CC"/>
    <w:lvl w:ilvl="0">
      <w:start w:val="1"/>
      <w:numFmt w:val="decimal"/>
      <w:lvlText w:val="%1."/>
      <w:lvlJc w:val="left"/>
      <w:pPr>
        <w:tabs>
          <w:tab w:val="num" w:pos="851"/>
        </w:tabs>
        <w:ind w:left="851" w:hanging="851"/>
      </w:pPr>
      <w:rPr>
        <w:b/>
        <w:i w:val="0"/>
      </w:rPr>
    </w:lvl>
    <w:lvl w:ilvl="1">
      <w:start w:val="1"/>
      <w:numFmt w:val="lowerLetter"/>
      <w:pStyle w:val="AnnexLvl2"/>
      <w:lvlText w:val="%2."/>
      <w:lvlJc w:val="left"/>
      <w:pPr>
        <w:tabs>
          <w:tab w:val="num" w:pos="851"/>
        </w:tabs>
        <w:ind w:left="851" w:hanging="851"/>
      </w:pPr>
      <w:rPr>
        <w:b w:val="0"/>
        <w:i w:val="0"/>
      </w:rPr>
    </w:lvl>
    <w:lvl w:ilvl="2">
      <w:start w:val="1"/>
      <w:numFmt w:val="decimal"/>
      <w:lvlText w:val="(%3)"/>
      <w:lvlJc w:val="left"/>
      <w:pPr>
        <w:tabs>
          <w:tab w:val="num" w:pos="851"/>
        </w:tabs>
        <w:ind w:left="851" w:hanging="851"/>
      </w:pPr>
      <w:rPr>
        <w:b w:val="0"/>
      </w:rPr>
    </w:lvl>
    <w:lvl w:ilvl="3">
      <w:start w:val="1"/>
      <w:numFmt w:val="lowerLetter"/>
      <w:lvlText w:val="(%4)"/>
      <w:lvlJc w:val="left"/>
      <w:pPr>
        <w:tabs>
          <w:tab w:val="num" w:pos="851"/>
        </w:tabs>
        <w:ind w:left="851" w:hanging="851"/>
      </w:pPr>
      <w:rPr>
        <w:b w:val="0"/>
      </w:rPr>
    </w:lvl>
    <w:lvl w:ilvl="4">
      <w:start w:val="1"/>
      <w:numFmt w:val="lowerRoman"/>
      <w:lvlText w:val="%5."/>
      <w:lvlJc w:val="left"/>
      <w:pPr>
        <w:tabs>
          <w:tab w:val="num" w:pos="851"/>
        </w:tabs>
        <w:ind w:left="851" w:hanging="851"/>
      </w:pPr>
      <w:rPr>
        <w:b w:val="0"/>
      </w:rPr>
    </w:lvl>
    <w:lvl w:ilvl="5">
      <w:start w:val="100"/>
      <w:numFmt w:val="decimal"/>
      <w:lvlText w:val="1-%6."/>
      <w:lvlJc w:val="left"/>
      <w:pPr>
        <w:tabs>
          <w:tab w:val="num" w:pos="360"/>
        </w:tabs>
        <w:ind w:left="0" w:firstLine="0"/>
      </w:pPr>
      <w:rPr>
        <w:b/>
        <w:i w:val="0"/>
      </w:rPr>
    </w:lvl>
    <w:lvl w:ilvl="6">
      <w:start w:val="1"/>
      <w:numFmt w:val="lowerLetter"/>
      <w:lvlText w:val="%7."/>
      <w:lvlJc w:val="left"/>
      <w:pPr>
        <w:tabs>
          <w:tab w:val="num" w:pos="4253"/>
        </w:tabs>
        <w:ind w:left="4253" w:hanging="567"/>
      </w:pPr>
    </w:lvl>
    <w:lvl w:ilvl="7">
      <w:start w:val="1"/>
      <w:numFmt w:val="decimal"/>
      <w:lvlText w:val="(%8)"/>
      <w:lvlJc w:val="left"/>
      <w:pPr>
        <w:tabs>
          <w:tab w:val="num" w:pos="4820"/>
        </w:tabs>
        <w:ind w:left="4820" w:hanging="567"/>
      </w:pPr>
    </w:lvl>
    <w:lvl w:ilvl="8">
      <w:start w:val="1"/>
      <w:numFmt w:val="lowerLetter"/>
      <w:lvlText w:val="(%9)"/>
      <w:lvlJc w:val="left"/>
      <w:pPr>
        <w:tabs>
          <w:tab w:val="num" w:pos="0"/>
        </w:tabs>
        <w:ind w:left="5387" w:hanging="567"/>
      </w:pPr>
    </w:lvl>
  </w:abstractNum>
  <w:abstractNum w:abstractNumId="37" w15:restartNumberingAfterBreak="0">
    <w:nsid w:val="61A4237E"/>
    <w:multiLevelType w:val="singleLevel"/>
    <w:tmpl w:val="8E0AB0BE"/>
    <w:lvl w:ilvl="0">
      <w:start w:val="1"/>
      <w:numFmt w:val="bullet"/>
      <w:pStyle w:val="DotPoint1"/>
      <w:lvlText w:val=""/>
      <w:lvlJc w:val="left"/>
      <w:pPr>
        <w:tabs>
          <w:tab w:val="num" w:pos="851"/>
        </w:tabs>
        <w:ind w:left="851" w:hanging="851"/>
      </w:pPr>
      <w:rPr>
        <w:rFonts w:ascii="Symbol" w:hAnsi="Symbol" w:hint="default"/>
      </w:rPr>
    </w:lvl>
  </w:abstractNum>
  <w:abstractNum w:abstractNumId="38" w15:restartNumberingAfterBreak="0">
    <w:nsid w:val="620405AE"/>
    <w:multiLevelType w:val="singleLevel"/>
    <w:tmpl w:val="A7DE5C72"/>
    <w:lvl w:ilvl="0">
      <w:start w:val="1"/>
      <w:numFmt w:val="decimal"/>
      <w:pStyle w:val="ScheduleListEntry"/>
      <w:lvlText w:val="%1."/>
      <w:lvlJc w:val="left"/>
      <w:pPr>
        <w:tabs>
          <w:tab w:val="num" w:pos="360"/>
        </w:tabs>
        <w:ind w:left="360" w:hanging="360"/>
      </w:pPr>
    </w:lvl>
  </w:abstractNum>
  <w:abstractNum w:abstractNumId="39" w15:restartNumberingAfterBreak="0">
    <w:nsid w:val="677B1C70"/>
    <w:multiLevelType w:val="multilevel"/>
    <w:tmpl w:val="1332C648"/>
    <w:styleLink w:val="PPRBulletListIndented"/>
    <w:lvl w:ilvl="0">
      <w:start w:val="1"/>
      <w:numFmt w:val="bullet"/>
      <w:lvlText w:val=""/>
      <w:lvlPicBulletId w:val="0"/>
      <w:lvlJc w:val="left"/>
      <w:pPr>
        <w:tabs>
          <w:tab w:val="num" w:pos="1247"/>
        </w:tabs>
        <w:ind w:left="1247" w:hanging="623"/>
      </w:pPr>
      <w:rPr>
        <w:rFonts w:ascii="Symbol" w:hAnsi="Symbol" w:hint="default"/>
        <w:color w:val="auto"/>
      </w:rPr>
    </w:lvl>
    <w:lvl w:ilvl="1">
      <w:start w:val="1"/>
      <w:numFmt w:val="bullet"/>
      <w:lvlText w:val=""/>
      <w:lvlPicBulletId w:val="0"/>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3B6493"/>
    <w:multiLevelType w:val="multilevel"/>
    <w:tmpl w:val="479EFD04"/>
    <w:styleLink w:val="PPRBulletNumberedIndented"/>
    <w:lvl w:ilvl="0">
      <w:start w:val="1"/>
      <w:numFmt w:val="decimal"/>
      <w:lvlText w:val="%1."/>
      <w:lvlJc w:val="left"/>
      <w:pPr>
        <w:tabs>
          <w:tab w:val="num" w:pos="567"/>
        </w:tabs>
        <w:ind w:left="360" w:firstLine="264"/>
      </w:pPr>
      <w:rPr>
        <w:rFonts w:hint="default"/>
        <w:color w:val="EE3224"/>
      </w:rPr>
    </w:lvl>
    <w:lvl w:ilvl="1">
      <w:start w:val="1"/>
      <w:numFmt w:val="decimal"/>
      <w:lvlText w:val="%1.%2."/>
      <w:lvlJc w:val="left"/>
      <w:pPr>
        <w:tabs>
          <w:tab w:val="num" w:pos="1287"/>
        </w:tabs>
        <w:ind w:left="792" w:firstLine="189"/>
      </w:pPr>
      <w:rPr>
        <w:rFonts w:hint="default"/>
        <w:color w:val="EE3224"/>
      </w:rPr>
    </w:lvl>
    <w:lvl w:ilvl="2">
      <w:start w:val="1"/>
      <w:numFmt w:val="decimal"/>
      <w:lvlText w:val="%1.%2.%3."/>
      <w:lvlJc w:val="left"/>
      <w:pPr>
        <w:tabs>
          <w:tab w:val="num" w:pos="2007"/>
        </w:tabs>
        <w:ind w:left="1224" w:firstLine="120"/>
      </w:pPr>
      <w:rPr>
        <w:rFonts w:hint="default"/>
        <w:color w:val="EE3224"/>
      </w:rPr>
    </w:lvl>
    <w:lvl w:ilvl="3">
      <w:start w:val="1"/>
      <w:numFmt w:val="decimal"/>
      <w:lvlText w:val="%1.%2.%3.%4."/>
      <w:lvlJc w:val="left"/>
      <w:pPr>
        <w:tabs>
          <w:tab w:val="num" w:pos="2727"/>
        </w:tabs>
        <w:ind w:left="1728" w:hanging="27"/>
      </w:pPr>
      <w:rPr>
        <w:rFonts w:hint="default"/>
        <w:color w:val="EE3224"/>
      </w:rPr>
    </w:lvl>
    <w:lvl w:ilvl="4">
      <w:start w:val="1"/>
      <w:numFmt w:val="decimal"/>
      <w:lvlText w:val="%1.%2.%3.%4.%5."/>
      <w:lvlJc w:val="left"/>
      <w:pPr>
        <w:tabs>
          <w:tab w:val="num" w:pos="3805"/>
        </w:tabs>
        <w:ind w:left="2232" w:hanging="168"/>
      </w:pPr>
      <w:rPr>
        <w:rFonts w:hint="default"/>
        <w:color w:val="FA3224"/>
      </w:rPr>
    </w:lvl>
    <w:lvl w:ilvl="5">
      <w:start w:val="1"/>
      <w:numFmt w:val="decimal"/>
      <w:lvlText w:val="%1.%2.%3.%4.%5.%6."/>
      <w:lvlJc w:val="left"/>
      <w:pPr>
        <w:tabs>
          <w:tab w:val="num" w:pos="4680"/>
        </w:tabs>
        <w:ind w:left="2736" w:hanging="315"/>
      </w:pPr>
      <w:rPr>
        <w:rFonts w:hint="default"/>
      </w:rPr>
    </w:lvl>
    <w:lvl w:ilvl="6">
      <w:start w:val="1"/>
      <w:numFmt w:val="decimal"/>
      <w:lvlText w:val="%1.%2.%3.%4.%5.%6.%7."/>
      <w:lvlJc w:val="left"/>
      <w:pPr>
        <w:tabs>
          <w:tab w:val="num" w:pos="5400"/>
        </w:tabs>
        <w:ind w:left="3240" w:firstLine="49"/>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1" w15:restartNumberingAfterBreak="0">
    <w:nsid w:val="685F64DC"/>
    <w:multiLevelType w:val="multilevel"/>
    <w:tmpl w:val="EBF0FEA8"/>
    <w:styleLink w:val="PPRBulletNumbered"/>
    <w:lvl w:ilvl="0">
      <w:start w:val="1"/>
      <w:numFmt w:val="decimal"/>
      <w:lvlText w:val="%1."/>
      <w:lvlJc w:val="left"/>
      <w:pPr>
        <w:tabs>
          <w:tab w:val="num" w:pos="567"/>
        </w:tabs>
        <w:ind w:left="360" w:hanging="360"/>
      </w:pPr>
      <w:rPr>
        <w:rFonts w:hint="default"/>
        <w:color w:val="EE3224"/>
      </w:rPr>
    </w:lvl>
    <w:lvl w:ilvl="1">
      <w:start w:val="1"/>
      <w:numFmt w:val="decimal"/>
      <w:lvlText w:val="%1.%2."/>
      <w:lvlJc w:val="left"/>
      <w:pPr>
        <w:tabs>
          <w:tab w:val="num" w:pos="1287"/>
        </w:tabs>
        <w:ind w:left="792" w:hanging="432"/>
      </w:pPr>
      <w:rPr>
        <w:rFonts w:hint="default"/>
        <w:color w:val="EE3224"/>
      </w:rPr>
    </w:lvl>
    <w:lvl w:ilvl="2">
      <w:start w:val="1"/>
      <w:numFmt w:val="decimal"/>
      <w:lvlText w:val="%1.%2.%3."/>
      <w:lvlJc w:val="left"/>
      <w:pPr>
        <w:tabs>
          <w:tab w:val="num" w:pos="2007"/>
        </w:tabs>
        <w:ind w:left="1224" w:hanging="504"/>
      </w:pPr>
      <w:rPr>
        <w:rFonts w:hint="default"/>
        <w:color w:val="EE3224"/>
      </w:rPr>
    </w:lvl>
    <w:lvl w:ilvl="3">
      <w:start w:val="1"/>
      <w:numFmt w:val="decimal"/>
      <w:lvlText w:val="%1.%2.%3.%4."/>
      <w:lvlJc w:val="left"/>
      <w:pPr>
        <w:tabs>
          <w:tab w:val="num" w:pos="2727"/>
        </w:tabs>
        <w:ind w:left="1728" w:hanging="648"/>
      </w:pPr>
      <w:rPr>
        <w:rFonts w:hint="default"/>
        <w:color w:val="EE3224"/>
      </w:rPr>
    </w:lvl>
    <w:lvl w:ilvl="4">
      <w:start w:val="1"/>
      <w:numFmt w:val="decimal"/>
      <w:lvlText w:val="%1.%2.%3.%4.%5."/>
      <w:lvlJc w:val="left"/>
      <w:pPr>
        <w:tabs>
          <w:tab w:val="num" w:pos="3805"/>
        </w:tabs>
        <w:ind w:left="2232" w:hanging="792"/>
      </w:pPr>
      <w:rPr>
        <w:rFonts w:hint="default"/>
        <w:color w:val="FA3224"/>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6DFE72ED"/>
    <w:multiLevelType w:val="multilevel"/>
    <w:tmpl w:val="DAAA299E"/>
    <w:lvl w:ilvl="0">
      <w:start w:val="1"/>
      <w:numFmt w:val="decimal"/>
      <w:lvlText w:val="%1."/>
      <w:lvlJc w:val="left"/>
      <w:pPr>
        <w:tabs>
          <w:tab w:val="num" w:pos="851"/>
        </w:tabs>
        <w:ind w:left="851" w:hanging="851"/>
      </w:pPr>
      <w:rPr>
        <w:b/>
        <w:i w:val="0"/>
      </w:rPr>
    </w:lvl>
    <w:lvl w:ilvl="1">
      <w:start w:val="1"/>
      <w:numFmt w:val="lowerLetter"/>
      <w:lvlText w:val="%2."/>
      <w:lvlJc w:val="left"/>
      <w:pPr>
        <w:tabs>
          <w:tab w:val="num" w:pos="851"/>
        </w:tabs>
        <w:ind w:left="851" w:hanging="851"/>
      </w:pPr>
      <w:rPr>
        <w:b w:val="0"/>
        <w:i w:val="0"/>
      </w:rPr>
    </w:lvl>
    <w:lvl w:ilvl="2">
      <w:start w:val="1"/>
      <w:numFmt w:val="decimal"/>
      <w:lvlText w:val="(%3)"/>
      <w:lvlJc w:val="left"/>
      <w:pPr>
        <w:tabs>
          <w:tab w:val="num" w:pos="851"/>
        </w:tabs>
        <w:ind w:left="851" w:hanging="851"/>
      </w:pPr>
      <w:rPr>
        <w:b w:val="0"/>
      </w:rPr>
    </w:lvl>
    <w:lvl w:ilvl="3">
      <w:start w:val="1"/>
      <w:numFmt w:val="lowerLetter"/>
      <w:pStyle w:val="AnnexLvl4"/>
      <w:lvlText w:val="(%4)"/>
      <w:lvlJc w:val="left"/>
      <w:pPr>
        <w:tabs>
          <w:tab w:val="num" w:pos="851"/>
        </w:tabs>
        <w:ind w:left="851" w:hanging="851"/>
      </w:pPr>
      <w:rPr>
        <w:b w:val="0"/>
      </w:rPr>
    </w:lvl>
    <w:lvl w:ilvl="4">
      <w:start w:val="1"/>
      <w:numFmt w:val="lowerRoman"/>
      <w:lvlText w:val="%5."/>
      <w:lvlJc w:val="left"/>
      <w:pPr>
        <w:tabs>
          <w:tab w:val="num" w:pos="851"/>
        </w:tabs>
        <w:ind w:left="851" w:hanging="851"/>
      </w:pPr>
      <w:rPr>
        <w:b w:val="0"/>
      </w:rPr>
    </w:lvl>
    <w:lvl w:ilvl="5">
      <w:start w:val="100"/>
      <w:numFmt w:val="decimal"/>
      <w:lvlText w:val="1-%6."/>
      <w:lvlJc w:val="left"/>
      <w:pPr>
        <w:tabs>
          <w:tab w:val="num" w:pos="360"/>
        </w:tabs>
        <w:ind w:left="0" w:firstLine="0"/>
      </w:pPr>
      <w:rPr>
        <w:b/>
        <w:i w:val="0"/>
      </w:rPr>
    </w:lvl>
    <w:lvl w:ilvl="6">
      <w:start w:val="1"/>
      <w:numFmt w:val="lowerLetter"/>
      <w:lvlText w:val="%7."/>
      <w:lvlJc w:val="left"/>
      <w:pPr>
        <w:tabs>
          <w:tab w:val="num" w:pos="4253"/>
        </w:tabs>
        <w:ind w:left="4253" w:hanging="567"/>
      </w:pPr>
    </w:lvl>
    <w:lvl w:ilvl="7">
      <w:start w:val="1"/>
      <w:numFmt w:val="decimal"/>
      <w:lvlText w:val="(%8)"/>
      <w:lvlJc w:val="left"/>
      <w:pPr>
        <w:tabs>
          <w:tab w:val="num" w:pos="4820"/>
        </w:tabs>
        <w:ind w:left="4820" w:hanging="567"/>
      </w:pPr>
    </w:lvl>
    <w:lvl w:ilvl="8">
      <w:start w:val="1"/>
      <w:numFmt w:val="lowerLetter"/>
      <w:lvlText w:val="(%9)"/>
      <w:lvlJc w:val="left"/>
      <w:pPr>
        <w:tabs>
          <w:tab w:val="num" w:pos="0"/>
        </w:tabs>
        <w:ind w:left="5387" w:hanging="567"/>
      </w:pPr>
    </w:lvl>
  </w:abstractNum>
  <w:abstractNum w:abstractNumId="43" w15:restartNumberingAfterBreak="0">
    <w:nsid w:val="6EED5A4E"/>
    <w:multiLevelType w:val="hybridMultilevel"/>
    <w:tmpl w:val="38D23232"/>
    <w:lvl w:ilvl="0" w:tplc="8EBA16F8">
      <w:start w:val="1"/>
      <w:numFmt w:val="bullet"/>
      <w:pStyle w:val="BulletText1Arial"/>
      <w:lvlText w:val=""/>
      <w:lvlJc w:val="left"/>
      <w:pPr>
        <w:tabs>
          <w:tab w:val="num" w:pos="720"/>
        </w:tabs>
        <w:ind w:left="720" w:hanging="360"/>
      </w:pPr>
      <w:rPr>
        <w:rFonts w:ascii="Symbol" w:hAnsi="Symbol" w:hint="default"/>
      </w:rPr>
    </w:lvl>
    <w:lvl w:ilvl="1" w:tplc="7D48A066" w:tentative="1">
      <w:start w:val="1"/>
      <w:numFmt w:val="bullet"/>
      <w:lvlText w:val="o"/>
      <w:lvlJc w:val="left"/>
      <w:pPr>
        <w:tabs>
          <w:tab w:val="num" w:pos="1440"/>
        </w:tabs>
        <w:ind w:left="1440" w:hanging="360"/>
      </w:pPr>
      <w:rPr>
        <w:rFonts w:ascii="Courier New" w:hAnsi="Courier New" w:cs="Courier New" w:hint="default"/>
      </w:rPr>
    </w:lvl>
    <w:lvl w:ilvl="2" w:tplc="0990373E" w:tentative="1">
      <w:start w:val="1"/>
      <w:numFmt w:val="bullet"/>
      <w:lvlText w:val=""/>
      <w:lvlJc w:val="left"/>
      <w:pPr>
        <w:tabs>
          <w:tab w:val="num" w:pos="2160"/>
        </w:tabs>
        <w:ind w:left="2160" w:hanging="360"/>
      </w:pPr>
      <w:rPr>
        <w:rFonts w:ascii="Wingdings" w:hAnsi="Wingdings" w:hint="default"/>
      </w:rPr>
    </w:lvl>
    <w:lvl w:ilvl="3" w:tplc="D4A8E2B4" w:tentative="1">
      <w:start w:val="1"/>
      <w:numFmt w:val="bullet"/>
      <w:lvlText w:val=""/>
      <w:lvlJc w:val="left"/>
      <w:pPr>
        <w:tabs>
          <w:tab w:val="num" w:pos="2880"/>
        </w:tabs>
        <w:ind w:left="2880" w:hanging="360"/>
      </w:pPr>
      <w:rPr>
        <w:rFonts w:ascii="Symbol" w:hAnsi="Symbol" w:hint="default"/>
      </w:rPr>
    </w:lvl>
    <w:lvl w:ilvl="4" w:tplc="C7549186" w:tentative="1">
      <w:start w:val="1"/>
      <w:numFmt w:val="bullet"/>
      <w:lvlText w:val="o"/>
      <w:lvlJc w:val="left"/>
      <w:pPr>
        <w:tabs>
          <w:tab w:val="num" w:pos="3600"/>
        </w:tabs>
        <w:ind w:left="3600" w:hanging="360"/>
      </w:pPr>
      <w:rPr>
        <w:rFonts w:ascii="Courier New" w:hAnsi="Courier New" w:cs="Courier New" w:hint="default"/>
      </w:rPr>
    </w:lvl>
    <w:lvl w:ilvl="5" w:tplc="58C4B3AC" w:tentative="1">
      <w:start w:val="1"/>
      <w:numFmt w:val="bullet"/>
      <w:lvlText w:val=""/>
      <w:lvlJc w:val="left"/>
      <w:pPr>
        <w:tabs>
          <w:tab w:val="num" w:pos="4320"/>
        </w:tabs>
        <w:ind w:left="4320" w:hanging="360"/>
      </w:pPr>
      <w:rPr>
        <w:rFonts w:ascii="Wingdings" w:hAnsi="Wingdings" w:hint="default"/>
      </w:rPr>
    </w:lvl>
    <w:lvl w:ilvl="6" w:tplc="6C989096" w:tentative="1">
      <w:start w:val="1"/>
      <w:numFmt w:val="bullet"/>
      <w:lvlText w:val=""/>
      <w:lvlJc w:val="left"/>
      <w:pPr>
        <w:tabs>
          <w:tab w:val="num" w:pos="5040"/>
        </w:tabs>
        <w:ind w:left="5040" w:hanging="360"/>
      </w:pPr>
      <w:rPr>
        <w:rFonts w:ascii="Symbol" w:hAnsi="Symbol" w:hint="default"/>
      </w:rPr>
    </w:lvl>
    <w:lvl w:ilvl="7" w:tplc="6DA838DE" w:tentative="1">
      <w:start w:val="1"/>
      <w:numFmt w:val="bullet"/>
      <w:lvlText w:val="o"/>
      <w:lvlJc w:val="left"/>
      <w:pPr>
        <w:tabs>
          <w:tab w:val="num" w:pos="5760"/>
        </w:tabs>
        <w:ind w:left="5760" w:hanging="360"/>
      </w:pPr>
      <w:rPr>
        <w:rFonts w:ascii="Courier New" w:hAnsi="Courier New" w:cs="Courier New" w:hint="default"/>
      </w:rPr>
    </w:lvl>
    <w:lvl w:ilvl="8" w:tplc="1DB2A85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22DF0"/>
    <w:multiLevelType w:val="hybridMultilevel"/>
    <w:tmpl w:val="269235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7175D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B19474F"/>
    <w:multiLevelType w:val="hybridMultilevel"/>
    <w:tmpl w:val="00587B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3"/>
  </w:num>
  <w:num w:numId="3">
    <w:abstractNumId w:val="37"/>
  </w:num>
  <w:num w:numId="4">
    <w:abstractNumId w:val="21"/>
  </w:num>
  <w:num w:numId="5">
    <w:abstractNumId w:val="15"/>
  </w:num>
  <w:num w:numId="6">
    <w:abstractNumId w:val="36"/>
  </w:num>
  <w:num w:numId="7">
    <w:abstractNumId w:val="32"/>
  </w:num>
  <w:num w:numId="8">
    <w:abstractNumId w:val="42"/>
  </w:num>
  <w:num w:numId="9">
    <w:abstractNumId w:val="23"/>
  </w:num>
  <w:num w:numId="10">
    <w:abstractNumId w:val="27"/>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38"/>
  </w:num>
  <w:num w:numId="24">
    <w:abstractNumId w:val="35"/>
  </w:num>
  <w:num w:numId="25">
    <w:abstractNumId w:val="35"/>
  </w:num>
  <w:num w:numId="26">
    <w:abstractNumId w:val="43"/>
  </w:num>
  <w:num w:numId="27">
    <w:abstractNumId w:val="30"/>
  </w:num>
  <w:num w:numId="28">
    <w:abstractNumId w:val="24"/>
  </w:num>
  <w:num w:numId="29">
    <w:abstractNumId w:val="41"/>
  </w:num>
  <w:num w:numId="30">
    <w:abstractNumId w:val="31"/>
  </w:num>
  <w:num w:numId="31">
    <w:abstractNumId w:val="45"/>
  </w:num>
  <w:num w:numId="32">
    <w:abstractNumId w:val="34"/>
  </w:num>
  <w:num w:numId="33">
    <w:abstractNumId w:val="39"/>
  </w:num>
  <w:num w:numId="34">
    <w:abstractNumId w:val="33"/>
  </w:num>
  <w:num w:numId="35">
    <w:abstractNumId w:val="40"/>
  </w:num>
  <w:num w:numId="36">
    <w:abstractNumId w:val="22"/>
  </w:num>
  <w:num w:numId="37">
    <w:abstractNumId w:val="19"/>
  </w:num>
  <w:num w:numId="38">
    <w:abstractNumId w:val="28"/>
  </w:num>
  <w:num w:numId="39">
    <w:abstractNumId w:val="11"/>
  </w:num>
  <w:num w:numId="40">
    <w:abstractNumId w:val="17"/>
  </w:num>
  <w:num w:numId="41">
    <w:abstractNumId w:val="29"/>
  </w:num>
  <w:num w:numId="42">
    <w:abstractNumId w:val="16"/>
  </w:num>
  <w:num w:numId="43">
    <w:abstractNumId w:val="10"/>
  </w:num>
  <w:num w:numId="44">
    <w:abstractNumId w:val="25"/>
  </w:num>
  <w:num w:numId="45">
    <w:abstractNumId w:val="46"/>
  </w:num>
  <w:num w:numId="46">
    <w:abstractNumId w:val="44"/>
  </w:num>
  <w:num w:numId="47">
    <w:abstractNumId w:val="26"/>
  </w:num>
  <w:num w:numId="4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C2"/>
    <w:rsid w:val="00001F98"/>
    <w:rsid w:val="00002924"/>
    <w:rsid w:val="00002A7D"/>
    <w:rsid w:val="00003A66"/>
    <w:rsid w:val="00003CDC"/>
    <w:rsid w:val="0000408B"/>
    <w:rsid w:val="0000408E"/>
    <w:rsid w:val="000041C9"/>
    <w:rsid w:val="00005033"/>
    <w:rsid w:val="00005BF6"/>
    <w:rsid w:val="00010454"/>
    <w:rsid w:val="00010946"/>
    <w:rsid w:val="0001163E"/>
    <w:rsid w:val="000133E7"/>
    <w:rsid w:val="000136BF"/>
    <w:rsid w:val="00016F3B"/>
    <w:rsid w:val="00017AA2"/>
    <w:rsid w:val="00017AD9"/>
    <w:rsid w:val="000204B8"/>
    <w:rsid w:val="00020A90"/>
    <w:rsid w:val="0002167D"/>
    <w:rsid w:val="00021B75"/>
    <w:rsid w:val="00022231"/>
    <w:rsid w:val="0002291F"/>
    <w:rsid w:val="0002781C"/>
    <w:rsid w:val="00027E0D"/>
    <w:rsid w:val="000308C1"/>
    <w:rsid w:val="00033E24"/>
    <w:rsid w:val="0003558B"/>
    <w:rsid w:val="00035837"/>
    <w:rsid w:val="00036384"/>
    <w:rsid w:val="00036B24"/>
    <w:rsid w:val="00036C2A"/>
    <w:rsid w:val="00041F3A"/>
    <w:rsid w:val="000428D3"/>
    <w:rsid w:val="00043018"/>
    <w:rsid w:val="00043F3D"/>
    <w:rsid w:val="00044608"/>
    <w:rsid w:val="000465B9"/>
    <w:rsid w:val="00047F13"/>
    <w:rsid w:val="0005003D"/>
    <w:rsid w:val="00050C7D"/>
    <w:rsid w:val="00050FC7"/>
    <w:rsid w:val="00052B44"/>
    <w:rsid w:val="00053F9C"/>
    <w:rsid w:val="00054543"/>
    <w:rsid w:val="000560BD"/>
    <w:rsid w:val="00057091"/>
    <w:rsid w:val="000577E2"/>
    <w:rsid w:val="000608BD"/>
    <w:rsid w:val="00061A37"/>
    <w:rsid w:val="00062DD8"/>
    <w:rsid w:val="00065E52"/>
    <w:rsid w:val="00066C6F"/>
    <w:rsid w:val="0006723F"/>
    <w:rsid w:val="00067760"/>
    <w:rsid w:val="0007019D"/>
    <w:rsid w:val="0007034C"/>
    <w:rsid w:val="0007173F"/>
    <w:rsid w:val="000720FB"/>
    <w:rsid w:val="000729FD"/>
    <w:rsid w:val="00074D8A"/>
    <w:rsid w:val="0007593B"/>
    <w:rsid w:val="00077418"/>
    <w:rsid w:val="00083B82"/>
    <w:rsid w:val="00083C42"/>
    <w:rsid w:val="00085BD1"/>
    <w:rsid w:val="00086B11"/>
    <w:rsid w:val="00087B9F"/>
    <w:rsid w:val="0009032B"/>
    <w:rsid w:val="00090C1D"/>
    <w:rsid w:val="00092600"/>
    <w:rsid w:val="000928BC"/>
    <w:rsid w:val="000930D1"/>
    <w:rsid w:val="0009314D"/>
    <w:rsid w:val="00095EE2"/>
    <w:rsid w:val="00096E2A"/>
    <w:rsid w:val="00097B7E"/>
    <w:rsid w:val="000A0CA3"/>
    <w:rsid w:val="000A0D8A"/>
    <w:rsid w:val="000A1AC1"/>
    <w:rsid w:val="000A2286"/>
    <w:rsid w:val="000A4301"/>
    <w:rsid w:val="000A479B"/>
    <w:rsid w:val="000A57D4"/>
    <w:rsid w:val="000A5C23"/>
    <w:rsid w:val="000A5F27"/>
    <w:rsid w:val="000A79B2"/>
    <w:rsid w:val="000A7C23"/>
    <w:rsid w:val="000B0E4B"/>
    <w:rsid w:val="000B4EFE"/>
    <w:rsid w:val="000B5453"/>
    <w:rsid w:val="000B6050"/>
    <w:rsid w:val="000C0212"/>
    <w:rsid w:val="000C0C62"/>
    <w:rsid w:val="000C156E"/>
    <w:rsid w:val="000C6382"/>
    <w:rsid w:val="000D0DBE"/>
    <w:rsid w:val="000D35EF"/>
    <w:rsid w:val="000D47BF"/>
    <w:rsid w:val="000D4B34"/>
    <w:rsid w:val="000D5814"/>
    <w:rsid w:val="000E1BE1"/>
    <w:rsid w:val="000E2253"/>
    <w:rsid w:val="000E2874"/>
    <w:rsid w:val="000E33D8"/>
    <w:rsid w:val="000E6A6E"/>
    <w:rsid w:val="000E726E"/>
    <w:rsid w:val="000E7E44"/>
    <w:rsid w:val="000F36AA"/>
    <w:rsid w:val="000F3A59"/>
    <w:rsid w:val="000F3C69"/>
    <w:rsid w:val="000F57DC"/>
    <w:rsid w:val="000F64E1"/>
    <w:rsid w:val="000F744F"/>
    <w:rsid w:val="00100DD1"/>
    <w:rsid w:val="0010100C"/>
    <w:rsid w:val="0010253E"/>
    <w:rsid w:val="00103C66"/>
    <w:rsid w:val="00103F6B"/>
    <w:rsid w:val="00104033"/>
    <w:rsid w:val="00104683"/>
    <w:rsid w:val="001065B6"/>
    <w:rsid w:val="001103B1"/>
    <w:rsid w:val="00110804"/>
    <w:rsid w:val="001114D3"/>
    <w:rsid w:val="00111F99"/>
    <w:rsid w:val="00112D01"/>
    <w:rsid w:val="00112F50"/>
    <w:rsid w:val="001136CF"/>
    <w:rsid w:val="00113FD5"/>
    <w:rsid w:val="001145FB"/>
    <w:rsid w:val="00115333"/>
    <w:rsid w:val="00115DA2"/>
    <w:rsid w:val="00116B61"/>
    <w:rsid w:val="00117374"/>
    <w:rsid w:val="00117540"/>
    <w:rsid w:val="0011754B"/>
    <w:rsid w:val="0012067D"/>
    <w:rsid w:val="001209E2"/>
    <w:rsid w:val="00121919"/>
    <w:rsid w:val="00123046"/>
    <w:rsid w:val="00123912"/>
    <w:rsid w:val="0012649A"/>
    <w:rsid w:val="001273EE"/>
    <w:rsid w:val="001276F7"/>
    <w:rsid w:val="001277FC"/>
    <w:rsid w:val="00130031"/>
    <w:rsid w:val="00130339"/>
    <w:rsid w:val="00132D86"/>
    <w:rsid w:val="0013323F"/>
    <w:rsid w:val="0013345E"/>
    <w:rsid w:val="00133B37"/>
    <w:rsid w:val="00133F69"/>
    <w:rsid w:val="0013439B"/>
    <w:rsid w:val="001348D1"/>
    <w:rsid w:val="00134DCC"/>
    <w:rsid w:val="001412FD"/>
    <w:rsid w:val="0014199D"/>
    <w:rsid w:val="00141C4E"/>
    <w:rsid w:val="00142119"/>
    <w:rsid w:val="0014265F"/>
    <w:rsid w:val="00143739"/>
    <w:rsid w:val="00144D08"/>
    <w:rsid w:val="001450D7"/>
    <w:rsid w:val="0014535D"/>
    <w:rsid w:val="00150912"/>
    <w:rsid w:val="00151A2B"/>
    <w:rsid w:val="00152F2C"/>
    <w:rsid w:val="001556E7"/>
    <w:rsid w:val="00156A98"/>
    <w:rsid w:val="001573C4"/>
    <w:rsid w:val="0015746F"/>
    <w:rsid w:val="00157960"/>
    <w:rsid w:val="0016176D"/>
    <w:rsid w:val="00163273"/>
    <w:rsid w:val="0016593B"/>
    <w:rsid w:val="001667EE"/>
    <w:rsid w:val="0016777D"/>
    <w:rsid w:val="00170DC0"/>
    <w:rsid w:val="001739E1"/>
    <w:rsid w:val="001757FD"/>
    <w:rsid w:val="00176600"/>
    <w:rsid w:val="0017749D"/>
    <w:rsid w:val="00177D03"/>
    <w:rsid w:val="0018154D"/>
    <w:rsid w:val="0018285A"/>
    <w:rsid w:val="00183DB0"/>
    <w:rsid w:val="00185F38"/>
    <w:rsid w:val="001871B9"/>
    <w:rsid w:val="00190185"/>
    <w:rsid w:val="0019090D"/>
    <w:rsid w:val="001909D8"/>
    <w:rsid w:val="00191F5D"/>
    <w:rsid w:val="00195499"/>
    <w:rsid w:val="001978D2"/>
    <w:rsid w:val="001A0290"/>
    <w:rsid w:val="001A0534"/>
    <w:rsid w:val="001A08FB"/>
    <w:rsid w:val="001A1B65"/>
    <w:rsid w:val="001A1E61"/>
    <w:rsid w:val="001A6C96"/>
    <w:rsid w:val="001A74D2"/>
    <w:rsid w:val="001B149A"/>
    <w:rsid w:val="001B3665"/>
    <w:rsid w:val="001B3CCE"/>
    <w:rsid w:val="001B400D"/>
    <w:rsid w:val="001C036C"/>
    <w:rsid w:val="001C06E4"/>
    <w:rsid w:val="001C27F7"/>
    <w:rsid w:val="001C6863"/>
    <w:rsid w:val="001C71D4"/>
    <w:rsid w:val="001C7A88"/>
    <w:rsid w:val="001C7E08"/>
    <w:rsid w:val="001D1A69"/>
    <w:rsid w:val="001D2F95"/>
    <w:rsid w:val="001D30A3"/>
    <w:rsid w:val="001D3459"/>
    <w:rsid w:val="001D3953"/>
    <w:rsid w:val="001D4644"/>
    <w:rsid w:val="001D6300"/>
    <w:rsid w:val="001D66A8"/>
    <w:rsid w:val="001D6F85"/>
    <w:rsid w:val="001D76CF"/>
    <w:rsid w:val="001D7CFB"/>
    <w:rsid w:val="001E04B5"/>
    <w:rsid w:val="001E0854"/>
    <w:rsid w:val="001E2FD9"/>
    <w:rsid w:val="001E3591"/>
    <w:rsid w:val="001E3A88"/>
    <w:rsid w:val="001E48F4"/>
    <w:rsid w:val="001E4C5F"/>
    <w:rsid w:val="001E612C"/>
    <w:rsid w:val="001E65AE"/>
    <w:rsid w:val="001E6DFD"/>
    <w:rsid w:val="001E76CE"/>
    <w:rsid w:val="001F2D65"/>
    <w:rsid w:val="001F4211"/>
    <w:rsid w:val="001F443C"/>
    <w:rsid w:val="001F6921"/>
    <w:rsid w:val="0020015F"/>
    <w:rsid w:val="00200B42"/>
    <w:rsid w:val="0020175B"/>
    <w:rsid w:val="00202D91"/>
    <w:rsid w:val="0020343D"/>
    <w:rsid w:val="00204F89"/>
    <w:rsid w:val="0020552B"/>
    <w:rsid w:val="00205A23"/>
    <w:rsid w:val="00210130"/>
    <w:rsid w:val="002109F4"/>
    <w:rsid w:val="0021191D"/>
    <w:rsid w:val="00212194"/>
    <w:rsid w:val="00214979"/>
    <w:rsid w:val="00214E90"/>
    <w:rsid w:val="00216412"/>
    <w:rsid w:val="00216568"/>
    <w:rsid w:val="0021719E"/>
    <w:rsid w:val="00217913"/>
    <w:rsid w:val="00217E92"/>
    <w:rsid w:val="00220240"/>
    <w:rsid w:val="002208F9"/>
    <w:rsid w:val="00225866"/>
    <w:rsid w:val="00226E7D"/>
    <w:rsid w:val="00227D54"/>
    <w:rsid w:val="00232415"/>
    <w:rsid w:val="00236D2E"/>
    <w:rsid w:val="002371C2"/>
    <w:rsid w:val="00240FE5"/>
    <w:rsid w:val="002424D0"/>
    <w:rsid w:val="00242598"/>
    <w:rsid w:val="002434DE"/>
    <w:rsid w:val="00244C17"/>
    <w:rsid w:val="00244DA7"/>
    <w:rsid w:val="002458D4"/>
    <w:rsid w:val="00245DCD"/>
    <w:rsid w:val="00246373"/>
    <w:rsid w:val="00247200"/>
    <w:rsid w:val="002503D4"/>
    <w:rsid w:val="00250E6A"/>
    <w:rsid w:val="00250F4C"/>
    <w:rsid w:val="00253267"/>
    <w:rsid w:val="002535A9"/>
    <w:rsid w:val="00253E76"/>
    <w:rsid w:val="0025474A"/>
    <w:rsid w:val="002552CC"/>
    <w:rsid w:val="00260EF4"/>
    <w:rsid w:val="002630F4"/>
    <w:rsid w:val="00265C85"/>
    <w:rsid w:val="002662AA"/>
    <w:rsid w:val="0026767D"/>
    <w:rsid w:val="00270D7E"/>
    <w:rsid w:val="0027112A"/>
    <w:rsid w:val="00271952"/>
    <w:rsid w:val="002752E7"/>
    <w:rsid w:val="00277260"/>
    <w:rsid w:val="00282C98"/>
    <w:rsid w:val="00283374"/>
    <w:rsid w:val="0028406D"/>
    <w:rsid w:val="0028415A"/>
    <w:rsid w:val="00284C4A"/>
    <w:rsid w:val="002850C6"/>
    <w:rsid w:val="00290531"/>
    <w:rsid w:val="00290CE7"/>
    <w:rsid w:val="00292096"/>
    <w:rsid w:val="002939E8"/>
    <w:rsid w:val="00294BA5"/>
    <w:rsid w:val="002953B2"/>
    <w:rsid w:val="00296A0B"/>
    <w:rsid w:val="0029723E"/>
    <w:rsid w:val="00297D70"/>
    <w:rsid w:val="002A2A83"/>
    <w:rsid w:val="002A33F1"/>
    <w:rsid w:val="002A4B2E"/>
    <w:rsid w:val="002A4CA8"/>
    <w:rsid w:val="002A5097"/>
    <w:rsid w:val="002A54EE"/>
    <w:rsid w:val="002A5CC2"/>
    <w:rsid w:val="002B0383"/>
    <w:rsid w:val="002B047A"/>
    <w:rsid w:val="002B0674"/>
    <w:rsid w:val="002B37E0"/>
    <w:rsid w:val="002B54AB"/>
    <w:rsid w:val="002B56BC"/>
    <w:rsid w:val="002B5DED"/>
    <w:rsid w:val="002C057B"/>
    <w:rsid w:val="002C2237"/>
    <w:rsid w:val="002C2CD3"/>
    <w:rsid w:val="002C50FE"/>
    <w:rsid w:val="002C6183"/>
    <w:rsid w:val="002C675E"/>
    <w:rsid w:val="002D1410"/>
    <w:rsid w:val="002D2203"/>
    <w:rsid w:val="002D4747"/>
    <w:rsid w:val="002D476F"/>
    <w:rsid w:val="002D52F9"/>
    <w:rsid w:val="002D6ADE"/>
    <w:rsid w:val="002D6C9C"/>
    <w:rsid w:val="002D744D"/>
    <w:rsid w:val="002D77F8"/>
    <w:rsid w:val="002D7C9E"/>
    <w:rsid w:val="002E0C4C"/>
    <w:rsid w:val="002E3258"/>
    <w:rsid w:val="002E5444"/>
    <w:rsid w:val="002E588B"/>
    <w:rsid w:val="002F0AEB"/>
    <w:rsid w:val="002F519F"/>
    <w:rsid w:val="002F53D3"/>
    <w:rsid w:val="002F5C70"/>
    <w:rsid w:val="002F602D"/>
    <w:rsid w:val="002F68F8"/>
    <w:rsid w:val="002F7F63"/>
    <w:rsid w:val="00300EE1"/>
    <w:rsid w:val="00301536"/>
    <w:rsid w:val="003039DD"/>
    <w:rsid w:val="003050F1"/>
    <w:rsid w:val="00306E7D"/>
    <w:rsid w:val="00310042"/>
    <w:rsid w:val="0031092E"/>
    <w:rsid w:val="00310E3C"/>
    <w:rsid w:val="003128DF"/>
    <w:rsid w:val="003135AE"/>
    <w:rsid w:val="00315084"/>
    <w:rsid w:val="003150EF"/>
    <w:rsid w:val="00315694"/>
    <w:rsid w:val="003174C8"/>
    <w:rsid w:val="00317FAA"/>
    <w:rsid w:val="0032290B"/>
    <w:rsid w:val="003233DF"/>
    <w:rsid w:val="00324316"/>
    <w:rsid w:val="00324F4B"/>
    <w:rsid w:val="00325E4A"/>
    <w:rsid w:val="00325F80"/>
    <w:rsid w:val="003263A7"/>
    <w:rsid w:val="00326409"/>
    <w:rsid w:val="00326686"/>
    <w:rsid w:val="00327F21"/>
    <w:rsid w:val="00330A32"/>
    <w:rsid w:val="00330FEB"/>
    <w:rsid w:val="00331EAC"/>
    <w:rsid w:val="00333EF7"/>
    <w:rsid w:val="00334328"/>
    <w:rsid w:val="003343A7"/>
    <w:rsid w:val="00335B80"/>
    <w:rsid w:val="00337A73"/>
    <w:rsid w:val="00341B8A"/>
    <w:rsid w:val="00342683"/>
    <w:rsid w:val="00343FF2"/>
    <w:rsid w:val="00345591"/>
    <w:rsid w:val="00345CE1"/>
    <w:rsid w:val="0035033E"/>
    <w:rsid w:val="00352D0B"/>
    <w:rsid w:val="00354590"/>
    <w:rsid w:val="003549FF"/>
    <w:rsid w:val="00354AEB"/>
    <w:rsid w:val="00355AF2"/>
    <w:rsid w:val="00356616"/>
    <w:rsid w:val="00357740"/>
    <w:rsid w:val="00360337"/>
    <w:rsid w:val="00361428"/>
    <w:rsid w:val="003629B5"/>
    <w:rsid w:val="00363BB7"/>
    <w:rsid w:val="00365571"/>
    <w:rsid w:val="00365DE8"/>
    <w:rsid w:val="003678A2"/>
    <w:rsid w:val="00367938"/>
    <w:rsid w:val="00371D3D"/>
    <w:rsid w:val="0037208B"/>
    <w:rsid w:val="00372471"/>
    <w:rsid w:val="00372934"/>
    <w:rsid w:val="00372A02"/>
    <w:rsid w:val="00372A91"/>
    <w:rsid w:val="00373547"/>
    <w:rsid w:val="00374373"/>
    <w:rsid w:val="003746DB"/>
    <w:rsid w:val="00374F82"/>
    <w:rsid w:val="00375DCD"/>
    <w:rsid w:val="003774B8"/>
    <w:rsid w:val="00377AC0"/>
    <w:rsid w:val="00377E32"/>
    <w:rsid w:val="0038062E"/>
    <w:rsid w:val="00383E51"/>
    <w:rsid w:val="003854B9"/>
    <w:rsid w:val="00385CB5"/>
    <w:rsid w:val="003861FB"/>
    <w:rsid w:val="003864AF"/>
    <w:rsid w:val="003906D0"/>
    <w:rsid w:val="00390D76"/>
    <w:rsid w:val="003963B5"/>
    <w:rsid w:val="0039654D"/>
    <w:rsid w:val="00397338"/>
    <w:rsid w:val="003A1A91"/>
    <w:rsid w:val="003A32A5"/>
    <w:rsid w:val="003A3669"/>
    <w:rsid w:val="003A3B60"/>
    <w:rsid w:val="003A3C27"/>
    <w:rsid w:val="003A3CC3"/>
    <w:rsid w:val="003A4A89"/>
    <w:rsid w:val="003B1517"/>
    <w:rsid w:val="003B17AC"/>
    <w:rsid w:val="003B377A"/>
    <w:rsid w:val="003B6869"/>
    <w:rsid w:val="003C090B"/>
    <w:rsid w:val="003C1A24"/>
    <w:rsid w:val="003C40CC"/>
    <w:rsid w:val="003C5F7A"/>
    <w:rsid w:val="003C6ABE"/>
    <w:rsid w:val="003C6B8D"/>
    <w:rsid w:val="003C6D49"/>
    <w:rsid w:val="003C7CCB"/>
    <w:rsid w:val="003D1507"/>
    <w:rsid w:val="003D21AF"/>
    <w:rsid w:val="003D22F6"/>
    <w:rsid w:val="003D25CF"/>
    <w:rsid w:val="003D28DC"/>
    <w:rsid w:val="003D2B69"/>
    <w:rsid w:val="003D30B6"/>
    <w:rsid w:val="003D5B71"/>
    <w:rsid w:val="003D5C1C"/>
    <w:rsid w:val="003D64FF"/>
    <w:rsid w:val="003D6B7E"/>
    <w:rsid w:val="003D7C49"/>
    <w:rsid w:val="003D7FF8"/>
    <w:rsid w:val="003E0866"/>
    <w:rsid w:val="003E0B31"/>
    <w:rsid w:val="003E13E9"/>
    <w:rsid w:val="003E2198"/>
    <w:rsid w:val="003E34D8"/>
    <w:rsid w:val="003E426A"/>
    <w:rsid w:val="003F3769"/>
    <w:rsid w:val="003F47A6"/>
    <w:rsid w:val="003F4801"/>
    <w:rsid w:val="003F5FA9"/>
    <w:rsid w:val="003F779E"/>
    <w:rsid w:val="00401544"/>
    <w:rsid w:val="0040389D"/>
    <w:rsid w:val="004043FB"/>
    <w:rsid w:val="0040448D"/>
    <w:rsid w:val="00404ADE"/>
    <w:rsid w:val="004076F2"/>
    <w:rsid w:val="00407C0B"/>
    <w:rsid w:val="00410666"/>
    <w:rsid w:val="00410C41"/>
    <w:rsid w:val="00410CCA"/>
    <w:rsid w:val="00412439"/>
    <w:rsid w:val="00417E45"/>
    <w:rsid w:val="0042187D"/>
    <w:rsid w:val="00422642"/>
    <w:rsid w:val="004230D2"/>
    <w:rsid w:val="00423968"/>
    <w:rsid w:val="00426397"/>
    <w:rsid w:val="0042647F"/>
    <w:rsid w:val="00426B1E"/>
    <w:rsid w:val="00427BF8"/>
    <w:rsid w:val="00430ADF"/>
    <w:rsid w:val="00432C88"/>
    <w:rsid w:val="0043306D"/>
    <w:rsid w:val="0043336A"/>
    <w:rsid w:val="004343C3"/>
    <w:rsid w:val="004348E8"/>
    <w:rsid w:val="00434C78"/>
    <w:rsid w:val="00436414"/>
    <w:rsid w:val="0043651E"/>
    <w:rsid w:val="004412C5"/>
    <w:rsid w:val="00443826"/>
    <w:rsid w:val="004439C0"/>
    <w:rsid w:val="0044490C"/>
    <w:rsid w:val="00445FEB"/>
    <w:rsid w:val="004476C5"/>
    <w:rsid w:val="0045017D"/>
    <w:rsid w:val="0045161F"/>
    <w:rsid w:val="0045179A"/>
    <w:rsid w:val="004531F6"/>
    <w:rsid w:val="004570E1"/>
    <w:rsid w:val="00460C39"/>
    <w:rsid w:val="004654DB"/>
    <w:rsid w:val="00472C73"/>
    <w:rsid w:val="00476141"/>
    <w:rsid w:val="00477C05"/>
    <w:rsid w:val="00480F19"/>
    <w:rsid w:val="0048168F"/>
    <w:rsid w:val="00482098"/>
    <w:rsid w:val="004867E7"/>
    <w:rsid w:val="004901E5"/>
    <w:rsid w:val="00490D6D"/>
    <w:rsid w:val="00492F3A"/>
    <w:rsid w:val="0049356F"/>
    <w:rsid w:val="00494744"/>
    <w:rsid w:val="0049521F"/>
    <w:rsid w:val="00496918"/>
    <w:rsid w:val="00496CF5"/>
    <w:rsid w:val="004974D5"/>
    <w:rsid w:val="004A352E"/>
    <w:rsid w:val="004A3D39"/>
    <w:rsid w:val="004A425A"/>
    <w:rsid w:val="004A69EF"/>
    <w:rsid w:val="004B02E1"/>
    <w:rsid w:val="004B0FFD"/>
    <w:rsid w:val="004B2C2D"/>
    <w:rsid w:val="004B35E4"/>
    <w:rsid w:val="004B64C6"/>
    <w:rsid w:val="004B7A04"/>
    <w:rsid w:val="004B7F23"/>
    <w:rsid w:val="004C13FA"/>
    <w:rsid w:val="004C28DF"/>
    <w:rsid w:val="004C5ED5"/>
    <w:rsid w:val="004D0669"/>
    <w:rsid w:val="004D0BD0"/>
    <w:rsid w:val="004D1640"/>
    <w:rsid w:val="004D2FCF"/>
    <w:rsid w:val="004D309A"/>
    <w:rsid w:val="004D39EB"/>
    <w:rsid w:val="004D4A8E"/>
    <w:rsid w:val="004D772A"/>
    <w:rsid w:val="004E17B3"/>
    <w:rsid w:val="004E274A"/>
    <w:rsid w:val="004E3093"/>
    <w:rsid w:val="004E3337"/>
    <w:rsid w:val="004E36DC"/>
    <w:rsid w:val="004E4497"/>
    <w:rsid w:val="004E4CD8"/>
    <w:rsid w:val="004E5563"/>
    <w:rsid w:val="004E640C"/>
    <w:rsid w:val="004E6B23"/>
    <w:rsid w:val="004F39B3"/>
    <w:rsid w:val="004F63ED"/>
    <w:rsid w:val="004F6FCE"/>
    <w:rsid w:val="004F7110"/>
    <w:rsid w:val="004F717D"/>
    <w:rsid w:val="00504077"/>
    <w:rsid w:val="005041D5"/>
    <w:rsid w:val="00504302"/>
    <w:rsid w:val="00504A52"/>
    <w:rsid w:val="00504FEE"/>
    <w:rsid w:val="005060F8"/>
    <w:rsid w:val="00507C5E"/>
    <w:rsid w:val="00511F9C"/>
    <w:rsid w:val="00513406"/>
    <w:rsid w:val="005144FB"/>
    <w:rsid w:val="0051477F"/>
    <w:rsid w:val="005159EC"/>
    <w:rsid w:val="005176E0"/>
    <w:rsid w:val="005236CE"/>
    <w:rsid w:val="005250CA"/>
    <w:rsid w:val="005304D1"/>
    <w:rsid w:val="005310E6"/>
    <w:rsid w:val="005314C6"/>
    <w:rsid w:val="00532314"/>
    <w:rsid w:val="0053422B"/>
    <w:rsid w:val="00535F61"/>
    <w:rsid w:val="00536185"/>
    <w:rsid w:val="00537DED"/>
    <w:rsid w:val="00540791"/>
    <w:rsid w:val="005416D7"/>
    <w:rsid w:val="00545ACC"/>
    <w:rsid w:val="005468B3"/>
    <w:rsid w:val="00546D02"/>
    <w:rsid w:val="005506E2"/>
    <w:rsid w:val="00552960"/>
    <w:rsid w:val="0055302B"/>
    <w:rsid w:val="005549A5"/>
    <w:rsid w:val="005557DF"/>
    <w:rsid w:val="00555C27"/>
    <w:rsid w:val="00556756"/>
    <w:rsid w:val="00557D34"/>
    <w:rsid w:val="0056078D"/>
    <w:rsid w:val="00560984"/>
    <w:rsid w:val="005614CB"/>
    <w:rsid w:val="00561E1A"/>
    <w:rsid w:val="005627A3"/>
    <w:rsid w:val="00566775"/>
    <w:rsid w:val="00567DD0"/>
    <w:rsid w:val="0057048C"/>
    <w:rsid w:val="00571D11"/>
    <w:rsid w:val="0057274F"/>
    <w:rsid w:val="00573C94"/>
    <w:rsid w:val="005756BB"/>
    <w:rsid w:val="00577FEA"/>
    <w:rsid w:val="00580C86"/>
    <w:rsid w:val="00580CE2"/>
    <w:rsid w:val="00582E1C"/>
    <w:rsid w:val="005842E6"/>
    <w:rsid w:val="005849DD"/>
    <w:rsid w:val="00584C07"/>
    <w:rsid w:val="0058628F"/>
    <w:rsid w:val="00586607"/>
    <w:rsid w:val="00586925"/>
    <w:rsid w:val="00586DA0"/>
    <w:rsid w:val="00590AF1"/>
    <w:rsid w:val="00591960"/>
    <w:rsid w:val="0059201E"/>
    <w:rsid w:val="00592A28"/>
    <w:rsid w:val="00593B3D"/>
    <w:rsid w:val="00594579"/>
    <w:rsid w:val="00595948"/>
    <w:rsid w:val="00597168"/>
    <w:rsid w:val="005A1CEA"/>
    <w:rsid w:val="005A2D4D"/>
    <w:rsid w:val="005A35AB"/>
    <w:rsid w:val="005A476F"/>
    <w:rsid w:val="005A641F"/>
    <w:rsid w:val="005A6D70"/>
    <w:rsid w:val="005A6F27"/>
    <w:rsid w:val="005A715C"/>
    <w:rsid w:val="005A71B2"/>
    <w:rsid w:val="005A7294"/>
    <w:rsid w:val="005B4041"/>
    <w:rsid w:val="005B78D5"/>
    <w:rsid w:val="005C1173"/>
    <w:rsid w:val="005C1EDB"/>
    <w:rsid w:val="005C2783"/>
    <w:rsid w:val="005C3036"/>
    <w:rsid w:val="005C3F4C"/>
    <w:rsid w:val="005C693C"/>
    <w:rsid w:val="005C7266"/>
    <w:rsid w:val="005D226F"/>
    <w:rsid w:val="005D22EE"/>
    <w:rsid w:val="005D292C"/>
    <w:rsid w:val="005D5361"/>
    <w:rsid w:val="005E2258"/>
    <w:rsid w:val="005E243D"/>
    <w:rsid w:val="005E2861"/>
    <w:rsid w:val="005E2D85"/>
    <w:rsid w:val="005E640C"/>
    <w:rsid w:val="005E6487"/>
    <w:rsid w:val="005E7675"/>
    <w:rsid w:val="005F0477"/>
    <w:rsid w:val="005F44BC"/>
    <w:rsid w:val="005F4CED"/>
    <w:rsid w:val="005F4D17"/>
    <w:rsid w:val="005F5594"/>
    <w:rsid w:val="005F6504"/>
    <w:rsid w:val="00602BDC"/>
    <w:rsid w:val="0060384A"/>
    <w:rsid w:val="00603C37"/>
    <w:rsid w:val="00605016"/>
    <w:rsid w:val="006054E1"/>
    <w:rsid w:val="006056A9"/>
    <w:rsid w:val="00606AA2"/>
    <w:rsid w:val="00606E63"/>
    <w:rsid w:val="0060734F"/>
    <w:rsid w:val="00607DC8"/>
    <w:rsid w:val="00610581"/>
    <w:rsid w:val="0061097B"/>
    <w:rsid w:val="00610C7A"/>
    <w:rsid w:val="0061209E"/>
    <w:rsid w:val="006145DD"/>
    <w:rsid w:val="0061485D"/>
    <w:rsid w:val="00615E44"/>
    <w:rsid w:val="006163F0"/>
    <w:rsid w:val="00616B6A"/>
    <w:rsid w:val="00616B93"/>
    <w:rsid w:val="00616F36"/>
    <w:rsid w:val="00617269"/>
    <w:rsid w:val="00617395"/>
    <w:rsid w:val="006177B6"/>
    <w:rsid w:val="00617A95"/>
    <w:rsid w:val="0062066B"/>
    <w:rsid w:val="00621670"/>
    <w:rsid w:val="0062299C"/>
    <w:rsid w:val="0062428A"/>
    <w:rsid w:val="0062431A"/>
    <w:rsid w:val="0062595D"/>
    <w:rsid w:val="00626BBB"/>
    <w:rsid w:val="006270DC"/>
    <w:rsid w:val="00633432"/>
    <w:rsid w:val="0063587F"/>
    <w:rsid w:val="006359EC"/>
    <w:rsid w:val="00636EAD"/>
    <w:rsid w:val="00637CB2"/>
    <w:rsid w:val="006418F1"/>
    <w:rsid w:val="0064322C"/>
    <w:rsid w:val="00643F58"/>
    <w:rsid w:val="00644576"/>
    <w:rsid w:val="00644CAC"/>
    <w:rsid w:val="00645226"/>
    <w:rsid w:val="00646415"/>
    <w:rsid w:val="006507FE"/>
    <w:rsid w:val="00652C63"/>
    <w:rsid w:val="00653B36"/>
    <w:rsid w:val="006554E3"/>
    <w:rsid w:val="0065605C"/>
    <w:rsid w:val="0065631A"/>
    <w:rsid w:val="0065735A"/>
    <w:rsid w:val="00657592"/>
    <w:rsid w:val="00660F20"/>
    <w:rsid w:val="00662846"/>
    <w:rsid w:val="00663046"/>
    <w:rsid w:val="0066334C"/>
    <w:rsid w:val="00664A56"/>
    <w:rsid w:val="00665100"/>
    <w:rsid w:val="00665653"/>
    <w:rsid w:val="00670292"/>
    <w:rsid w:val="00675673"/>
    <w:rsid w:val="00681BFC"/>
    <w:rsid w:val="0068334A"/>
    <w:rsid w:val="0068358F"/>
    <w:rsid w:val="00683CB1"/>
    <w:rsid w:val="00685271"/>
    <w:rsid w:val="00690473"/>
    <w:rsid w:val="00690594"/>
    <w:rsid w:val="00693D4E"/>
    <w:rsid w:val="0069753C"/>
    <w:rsid w:val="00697580"/>
    <w:rsid w:val="00697F76"/>
    <w:rsid w:val="006A0439"/>
    <w:rsid w:val="006A0489"/>
    <w:rsid w:val="006A0D82"/>
    <w:rsid w:val="006A1299"/>
    <w:rsid w:val="006A3050"/>
    <w:rsid w:val="006A4096"/>
    <w:rsid w:val="006A40E7"/>
    <w:rsid w:val="006A4391"/>
    <w:rsid w:val="006A5689"/>
    <w:rsid w:val="006A6FC9"/>
    <w:rsid w:val="006A7079"/>
    <w:rsid w:val="006B12A7"/>
    <w:rsid w:val="006B156D"/>
    <w:rsid w:val="006B45B9"/>
    <w:rsid w:val="006B629F"/>
    <w:rsid w:val="006B7645"/>
    <w:rsid w:val="006C044B"/>
    <w:rsid w:val="006C1B10"/>
    <w:rsid w:val="006C2F9D"/>
    <w:rsid w:val="006C6BAE"/>
    <w:rsid w:val="006C6E00"/>
    <w:rsid w:val="006D1410"/>
    <w:rsid w:val="006D1E1C"/>
    <w:rsid w:val="006D35E1"/>
    <w:rsid w:val="006D3E3F"/>
    <w:rsid w:val="006D4875"/>
    <w:rsid w:val="006D68ED"/>
    <w:rsid w:val="006D73EA"/>
    <w:rsid w:val="006D79EE"/>
    <w:rsid w:val="006D7DDA"/>
    <w:rsid w:val="006E040B"/>
    <w:rsid w:val="006E07CB"/>
    <w:rsid w:val="006E085F"/>
    <w:rsid w:val="006E2324"/>
    <w:rsid w:val="006E29E1"/>
    <w:rsid w:val="006E3617"/>
    <w:rsid w:val="006E4D85"/>
    <w:rsid w:val="006E5056"/>
    <w:rsid w:val="006E5D2A"/>
    <w:rsid w:val="006E6286"/>
    <w:rsid w:val="006E6DDA"/>
    <w:rsid w:val="006E7BEA"/>
    <w:rsid w:val="006F071A"/>
    <w:rsid w:val="006F140C"/>
    <w:rsid w:val="006F4E50"/>
    <w:rsid w:val="006F546D"/>
    <w:rsid w:val="006F6DCE"/>
    <w:rsid w:val="006F6FC2"/>
    <w:rsid w:val="006F79C1"/>
    <w:rsid w:val="0070048D"/>
    <w:rsid w:val="00702C3A"/>
    <w:rsid w:val="00703AF9"/>
    <w:rsid w:val="007040C6"/>
    <w:rsid w:val="0070501A"/>
    <w:rsid w:val="00705DD1"/>
    <w:rsid w:val="00706051"/>
    <w:rsid w:val="00706539"/>
    <w:rsid w:val="00707098"/>
    <w:rsid w:val="00710211"/>
    <w:rsid w:val="00710756"/>
    <w:rsid w:val="00710F9F"/>
    <w:rsid w:val="00711298"/>
    <w:rsid w:val="007114B1"/>
    <w:rsid w:val="00711693"/>
    <w:rsid w:val="0071332E"/>
    <w:rsid w:val="00715248"/>
    <w:rsid w:val="00715861"/>
    <w:rsid w:val="007168CC"/>
    <w:rsid w:val="00717497"/>
    <w:rsid w:val="00717B0B"/>
    <w:rsid w:val="00717B50"/>
    <w:rsid w:val="00721283"/>
    <w:rsid w:val="0072367C"/>
    <w:rsid w:val="00723D3E"/>
    <w:rsid w:val="007240A0"/>
    <w:rsid w:val="00726302"/>
    <w:rsid w:val="00730935"/>
    <w:rsid w:val="00733ED9"/>
    <w:rsid w:val="0073496C"/>
    <w:rsid w:val="00736984"/>
    <w:rsid w:val="00737DD7"/>
    <w:rsid w:val="007400D4"/>
    <w:rsid w:val="007404CD"/>
    <w:rsid w:val="00740A93"/>
    <w:rsid w:val="00741A99"/>
    <w:rsid w:val="007440CB"/>
    <w:rsid w:val="007448DD"/>
    <w:rsid w:val="00745E31"/>
    <w:rsid w:val="00747093"/>
    <w:rsid w:val="0075028B"/>
    <w:rsid w:val="007524C6"/>
    <w:rsid w:val="00752CB3"/>
    <w:rsid w:val="00753A03"/>
    <w:rsid w:val="00755300"/>
    <w:rsid w:val="0075579B"/>
    <w:rsid w:val="00760D16"/>
    <w:rsid w:val="0076144A"/>
    <w:rsid w:val="00762D4B"/>
    <w:rsid w:val="00763347"/>
    <w:rsid w:val="00764BC5"/>
    <w:rsid w:val="00764EDD"/>
    <w:rsid w:val="00765273"/>
    <w:rsid w:val="00766427"/>
    <w:rsid w:val="00767EFA"/>
    <w:rsid w:val="0077011B"/>
    <w:rsid w:val="00770A66"/>
    <w:rsid w:val="00771366"/>
    <w:rsid w:val="00773437"/>
    <w:rsid w:val="00773DC4"/>
    <w:rsid w:val="00774AD9"/>
    <w:rsid w:val="0077692D"/>
    <w:rsid w:val="007807EB"/>
    <w:rsid w:val="00780A98"/>
    <w:rsid w:val="00781434"/>
    <w:rsid w:val="00781ACB"/>
    <w:rsid w:val="007824BF"/>
    <w:rsid w:val="00782707"/>
    <w:rsid w:val="00785EFD"/>
    <w:rsid w:val="00787D88"/>
    <w:rsid w:val="00791347"/>
    <w:rsid w:val="00792505"/>
    <w:rsid w:val="00793BC7"/>
    <w:rsid w:val="00793D3D"/>
    <w:rsid w:val="0079447E"/>
    <w:rsid w:val="00796E93"/>
    <w:rsid w:val="00797BDF"/>
    <w:rsid w:val="007A107D"/>
    <w:rsid w:val="007A1459"/>
    <w:rsid w:val="007A3F41"/>
    <w:rsid w:val="007A70FC"/>
    <w:rsid w:val="007A7836"/>
    <w:rsid w:val="007B0353"/>
    <w:rsid w:val="007B03AC"/>
    <w:rsid w:val="007B084A"/>
    <w:rsid w:val="007B2B99"/>
    <w:rsid w:val="007B309E"/>
    <w:rsid w:val="007B3121"/>
    <w:rsid w:val="007B3F30"/>
    <w:rsid w:val="007B6611"/>
    <w:rsid w:val="007C315A"/>
    <w:rsid w:val="007C3D9A"/>
    <w:rsid w:val="007C49DF"/>
    <w:rsid w:val="007C517F"/>
    <w:rsid w:val="007C63BD"/>
    <w:rsid w:val="007C6BD2"/>
    <w:rsid w:val="007D0D9F"/>
    <w:rsid w:val="007D12C0"/>
    <w:rsid w:val="007D26DF"/>
    <w:rsid w:val="007D31DE"/>
    <w:rsid w:val="007D483B"/>
    <w:rsid w:val="007D48BD"/>
    <w:rsid w:val="007D5D34"/>
    <w:rsid w:val="007E1622"/>
    <w:rsid w:val="007E19ED"/>
    <w:rsid w:val="007E34D4"/>
    <w:rsid w:val="007E3F01"/>
    <w:rsid w:val="007E5F99"/>
    <w:rsid w:val="007E6444"/>
    <w:rsid w:val="007F1296"/>
    <w:rsid w:val="007F1BAB"/>
    <w:rsid w:val="007F37EA"/>
    <w:rsid w:val="007F4318"/>
    <w:rsid w:val="007F550F"/>
    <w:rsid w:val="007F5789"/>
    <w:rsid w:val="007F7780"/>
    <w:rsid w:val="008018E4"/>
    <w:rsid w:val="00803066"/>
    <w:rsid w:val="008049BD"/>
    <w:rsid w:val="00805420"/>
    <w:rsid w:val="00806EE9"/>
    <w:rsid w:val="008110F6"/>
    <w:rsid w:val="008112F2"/>
    <w:rsid w:val="0081207E"/>
    <w:rsid w:val="008124D9"/>
    <w:rsid w:val="0081285D"/>
    <w:rsid w:val="0081695C"/>
    <w:rsid w:val="008169EA"/>
    <w:rsid w:val="00816FE4"/>
    <w:rsid w:val="0081783C"/>
    <w:rsid w:val="008234B1"/>
    <w:rsid w:val="00823EF6"/>
    <w:rsid w:val="00824600"/>
    <w:rsid w:val="00825BF6"/>
    <w:rsid w:val="0082653D"/>
    <w:rsid w:val="00826FBB"/>
    <w:rsid w:val="00827B31"/>
    <w:rsid w:val="00827C45"/>
    <w:rsid w:val="00827DBB"/>
    <w:rsid w:val="008317B7"/>
    <w:rsid w:val="00832ED7"/>
    <w:rsid w:val="00833E6E"/>
    <w:rsid w:val="00834E53"/>
    <w:rsid w:val="00834F3D"/>
    <w:rsid w:val="00835A83"/>
    <w:rsid w:val="00837207"/>
    <w:rsid w:val="0083748C"/>
    <w:rsid w:val="008400D4"/>
    <w:rsid w:val="0084087E"/>
    <w:rsid w:val="00840F4F"/>
    <w:rsid w:val="00841634"/>
    <w:rsid w:val="00841AD6"/>
    <w:rsid w:val="0084204D"/>
    <w:rsid w:val="00842756"/>
    <w:rsid w:val="008435CB"/>
    <w:rsid w:val="00843B1B"/>
    <w:rsid w:val="00843ECF"/>
    <w:rsid w:val="00845F15"/>
    <w:rsid w:val="00851313"/>
    <w:rsid w:val="00852474"/>
    <w:rsid w:val="008530F6"/>
    <w:rsid w:val="00853105"/>
    <w:rsid w:val="00853843"/>
    <w:rsid w:val="00853A24"/>
    <w:rsid w:val="00853CC5"/>
    <w:rsid w:val="008546DB"/>
    <w:rsid w:val="00855027"/>
    <w:rsid w:val="008559BA"/>
    <w:rsid w:val="0085629D"/>
    <w:rsid w:val="00860461"/>
    <w:rsid w:val="00861BF2"/>
    <w:rsid w:val="00863620"/>
    <w:rsid w:val="00865B5F"/>
    <w:rsid w:val="0086619A"/>
    <w:rsid w:val="008700E1"/>
    <w:rsid w:val="00870CB4"/>
    <w:rsid w:val="008730BC"/>
    <w:rsid w:val="00873405"/>
    <w:rsid w:val="00874FC8"/>
    <w:rsid w:val="00876AE2"/>
    <w:rsid w:val="00877951"/>
    <w:rsid w:val="00880169"/>
    <w:rsid w:val="00880933"/>
    <w:rsid w:val="00886200"/>
    <w:rsid w:val="008867BE"/>
    <w:rsid w:val="00886F00"/>
    <w:rsid w:val="00887E91"/>
    <w:rsid w:val="0089153E"/>
    <w:rsid w:val="00894963"/>
    <w:rsid w:val="00895160"/>
    <w:rsid w:val="008976D0"/>
    <w:rsid w:val="008A0013"/>
    <w:rsid w:val="008A01FC"/>
    <w:rsid w:val="008A2DF1"/>
    <w:rsid w:val="008A376B"/>
    <w:rsid w:val="008A3831"/>
    <w:rsid w:val="008A40C5"/>
    <w:rsid w:val="008A4743"/>
    <w:rsid w:val="008A4DD3"/>
    <w:rsid w:val="008A78AE"/>
    <w:rsid w:val="008B11DD"/>
    <w:rsid w:val="008B152E"/>
    <w:rsid w:val="008B1D68"/>
    <w:rsid w:val="008B1FAC"/>
    <w:rsid w:val="008B30D3"/>
    <w:rsid w:val="008B4402"/>
    <w:rsid w:val="008B5A6A"/>
    <w:rsid w:val="008C0236"/>
    <w:rsid w:val="008C1590"/>
    <w:rsid w:val="008C1DDE"/>
    <w:rsid w:val="008C2EFC"/>
    <w:rsid w:val="008C3365"/>
    <w:rsid w:val="008C3440"/>
    <w:rsid w:val="008C3755"/>
    <w:rsid w:val="008C7532"/>
    <w:rsid w:val="008D0858"/>
    <w:rsid w:val="008D0E8F"/>
    <w:rsid w:val="008D1538"/>
    <w:rsid w:val="008D1B5D"/>
    <w:rsid w:val="008D62B3"/>
    <w:rsid w:val="008D7C9E"/>
    <w:rsid w:val="008E0869"/>
    <w:rsid w:val="008E216F"/>
    <w:rsid w:val="008E4AF7"/>
    <w:rsid w:val="008E4F06"/>
    <w:rsid w:val="008E692D"/>
    <w:rsid w:val="008E74F4"/>
    <w:rsid w:val="008F02BA"/>
    <w:rsid w:val="008F1B91"/>
    <w:rsid w:val="008F2000"/>
    <w:rsid w:val="008F226D"/>
    <w:rsid w:val="008F2DCA"/>
    <w:rsid w:val="008F3B63"/>
    <w:rsid w:val="008F4502"/>
    <w:rsid w:val="008F5F9E"/>
    <w:rsid w:val="008F65F3"/>
    <w:rsid w:val="008F78C4"/>
    <w:rsid w:val="00900492"/>
    <w:rsid w:val="00902AA3"/>
    <w:rsid w:val="00904AAA"/>
    <w:rsid w:val="009055B4"/>
    <w:rsid w:val="009104F9"/>
    <w:rsid w:val="00910BE5"/>
    <w:rsid w:val="00911647"/>
    <w:rsid w:val="00911EB1"/>
    <w:rsid w:val="00912F02"/>
    <w:rsid w:val="00915C04"/>
    <w:rsid w:val="00915CA2"/>
    <w:rsid w:val="00916258"/>
    <w:rsid w:val="0092061D"/>
    <w:rsid w:val="0092435B"/>
    <w:rsid w:val="00925379"/>
    <w:rsid w:val="0092650C"/>
    <w:rsid w:val="0092747B"/>
    <w:rsid w:val="00927540"/>
    <w:rsid w:val="00930FC2"/>
    <w:rsid w:val="00931240"/>
    <w:rsid w:val="0093383D"/>
    <w:rsid w:val="00934C5F"/>
    <w:rsid w:val="0093534E"/>
    <w:rsid w:val="00935E42"/>
    <w:rsid w:val="009365E5"/>
    <w:rsid w:val="00940C16"/>
    <w:rsid w:val="00940FD7"/>
    <w:rsid w:val="00942A95"/>
    <w:rsid w:val="00943660"/>
    <w:rsid w:val="0094453B"/>
    <w:rsid w:val="0094491B"/>
    <w:rsid w:val="00944DCA"/>
    <w:rsid w:val="0094501B"/>
    <w:rsid w:val="00945284"/>
    <w:rsid w:val="0094637C"/>
    <w:rsid w:val="00946C58"/>
    <w:rsid w:val="0094752E"/>
    <w:rsid w:val="009502E4"/>
    <w:rsid w:val="00950794"/>
    <w:rsid w:val="009508B4"/>
    <w:rsid w:val="00950E66"/>
    <w:rsid w:val="00951861"/>
    <w:rsid w:val="009523D6"/>
    <w:rsid w:val="00955461"/>
    <w:rsid w:val="00957243"/>
    <w:rsid w:val="009623A3"/>
    <w:rsid w:val="009637CD"/>
    <w:rsid w:val="0096496D"/>
    <w:rsid w:val="00966980"/>
    <w:rsid w:val="00967072"/>
    <w:rsid w:val="00970C4D"/>
    <w:rsid w:val="00971FE8"/>
    <w:rsid w:val="00974247"/>
    <w:rsid w:val="0097435B"/>
    <w:rsid w:val="00975A99"/>
    <w:rsid w:val="0097643F"/>
    <w:rsid w:val="00977449"/>
    <w:rsid w:val="00977580"/>
    <w:rsid w:val="009776A0"/>
    <w:rsid w:val="00977867"/>
    <w:rsid w:val="009779A9"/>
    <w:rsid w:val="00980F06"/>
    <w:rsid w:val="00983004"/>
    <w:rsid w:val="00983E88"/>
    <w:rsid w:val="00984B2E"/>
    <w:rsid w:val="00986025"/>
    <w:rsid w:val="00990054"/>
    <w:rsid w:val="00990E0D"/>
    <w:rsid w:val="00991243"/>
    <w:rsid w:val="009917C5"/>
    <w:rsid w:val="00992529"/>
    <w:rsid w:val="0099314E"/>
    <w:rsid w:val="00994EA7"/>
    <w:rsid w:val="00994F45"/>
    <w:rsid w:val="00995204"/>
    <w:rsid w:val="00996300"/>
    <w:rsid w:val="00996C76"/>
    <w:rsid w:val="00997402"/>
    <w:rsid w:val="009A0336"/>
    <w:rsid w:val="009A11EB"/>
    <w:rsid w:val="009A12C5"/>
    <w:rsid w:val="009A1ABD"/>
    <w:rsid w:val="009A40B6"/>
    <w:rsid w:val="009A47C8"/>
    <w:rsid w:val="009A6907"/>
    <w:rsid w:val="009A6D37"/>
    <w:rsid w:val="009A6F07"/>
    <w:rsid w:val="009B0097"/>
    <w:rsid w:val="009B03ED"/>
    <w:rsid w:val="009B08CE"/>
    <w:rsid w:val="009B2471"/>
    <w:rsid w:val="009B29CB"/>
    <w:rsid w:val="009B34D2"/>
    <w:rsid w:val="009B3E76"/>
    <w:rsid w:val="009B58A6"/>
    <w:rsid w:val="009B5F43"/>
    <w:rsid w:val="009B623A"/>
    <w:rsid w:val="009C08CF"/>
    <w:rsid w:val="009C0D3B"/>
    <w:rsid w:val="009C15F8"/>
    <w:rsid w:val="009C1B2A"/>
    <w:rsid w:val="009C47B0"/>
    <w:rsid w:val="009C613F"/>
    <w:rsid w:val="009D268D"/>
    <w:rsid w:val="009D27F0"/>
    <w:rsid w:val="009D3B3E"/>
    <w:rsid w:val="009D3F2C"/>
    <w:rsid w:val="009D4885"/>
    <w:rsid w:val="009D4BC1"/>
    <w:rsid w:val="009D5EC1"/>
    <w:rsid w:val="009D755F"/>
    <w:rsid w:val="009D7BFF"/>
    <w:rsid w:val="009E0902"/>
    <w:rsid w:val="009E6428"/>
    <w:rsid w:val="009F0F1E"/>
    <w:rsid w:val="009F2066"/>
    <w:rsid w:val="009F38AE"/>
    <w:rsid w:val="009F4458"/>
    <w:rsid w:val="009F659D"/>
    <w:rsid w:val="00A007C8"/>
    <w:rsid w:val="00A02890"/>
    <w:rsid w:val="00A03344"/>
    <w:rsid w:val="00A049CD"/>
    <w:rsid w:val="00A0535A"/>
    <w:rsid w:val="00A07B56"/>
    <w:rsid w:val="00A07E83"/>
    <w:rsid w:val="00A11DC6"/>
    <w:rsid w:val="00A12292"/>
    <w:rsid w:val="00A12E26"/>
    <w:rsid w:val="00A164E2"/>
    <w:rsid w:val="00A1714C"/>
    <w:rsid w:val="00A179F1"/>
    <w:rsid w:val="00A17C90"/>
    <w:rsid w:val="00A20AB8"/>
    <w:rsid w:val="00A20FA0"/>
    <w:rsid w:val="00A2185A"/>
    <w:rsid w:val="00A21FB6"/>
    <w:rsid w:val="00A23BAC"/>
    <w:rsid w:val="00A2503E"/>
    <w:rsid w:val="00A25C2C"/>
    <w:rsid w:val="00A25DBF"/>
    <w:rsid w:val="00A260BD"/>
    <w:rsid w:val="00A2681F"/>
    <w:rsid w:val="00A26FC9"/>
    <w:rsid w:val="00A27250"/>
    <w:rsid w:val="00A30F9F"/>
    <w:rsid w:val="00A32492"/>
    <w:rsid w:val="00A32D8A"/>
    <w:rsid w:val="00A3365C"/>
    <w:rsid w:val="00A33B4A"/>
    <w:rsid w:val="00A3400A"/>
    <w:rsid w:val="00A355DF"/>
    <w:rsid w:val="00A40134"/>
    <w:rsid w:val="00A40EDC"/>
    <w:rsid w:val="00A41E9E"/>
    <w:rsid w:val="00A42C64"/>
    <w:rsid w:val="00A43739"/>
    <w:rsid w:val="00A44906"/>
    <w:rsid w:val="00A44BCF"/>
    <w:rsid w:val="00A45AD6"/>
    <w:rsid w:val="00A46172"/>
    <w:rsid w:val="00A476B9"/>
    <w:rsid w:val="00A477AE"/>
    <w:rsid w:val="00A50107"/>
    <w:rsid w:val="00A5047F"/>
    <w:rsid w:val="00A511F5"/>
    <w:rsid w:val="00A512F3"/>
    <w:rsid w:val="00A5313E"/>
    <w:rsid w:val="00A53270"/>
    <w:rsid w:val="00A53EAA"/>
    <w:rsid w:val="00A54CB4"/>
    <w:rsid w:val="00A56B3B"/>
    <w:rsid w:val="00A607CE"/>
    <w:rsid w:val="00A6087B"/>
    <w:rsid w:val="00A60B7C"/>
    <w:rsid w:val="00A61E0A"/>
    <w:rsid w:val="00A630FF"/>
    <w:rsid w:val="00A639B7"/>
    <w:rsid w:val="00A63BD6"/>
    <w:rsid w:val="00A64412"/>
    <w:rsid w:val="00A71C8E"/>
    <w:rsid w:val="00A72E80"/>
    <w:rsid w:val="00A75196"/>
    <w:rsid w:val="00A76C3D"/>
    <w:rsid w:val="00A808F8"/>
    <w:rsid w:val="00A81E9B"/>
    <w:rsid w:val="00A82063"/>
    <w:rsid w:val="00A82933"/>
    <w:rsid w:val="00A84C28"/>
    <w:rsid w:val="00A86F46"/>
    <w:rsid w:val="00A878E9"/>
    <w:rsid w:val="00A91709"/>
    <w:rsid w:val="00A92644"/>
    <w:rsid w:val="00A927DD"/>
    <w:rsid w:val="00A93596"/>
    <w:rsid w:val="00A947CD"/>
    <w:rsid w:val="00A9484D"/>
    <w:rsid w:val="00A950D9"/>
    <w:rsid w:val="00A95C89"/>
    <w:rsid w:val="00A969C9"/>
    <w:rsid w:val="00A97248"/>
    <w:rsid w:val="00AA0658"/>
    <w:rsid w:val="00AA25B7"/>
    <w:rsid w:val="00AA28FC"/>
    <w:rsid w:val="00AA3C6C"/>
    <w:rsid w:val="00AA4D37"/>
    <w:rsid w:val="00AA4D38"/>
    <w:rsid w:val="00AA4E4D"/>
    <w:rsid w:val="00AA78BB"/>
    <w:rsid w:val="00AB0148"/>
    <w:rsid w:val="00AB05C3"/>
    <w:rsid w:val="00AB1CF3"/>
    <w:rsid w:val="00AB3D72"/>
    <w:rsid w:val="00AB68D4"/>
    <w:rsid w:val="00AC270A"/>
    <w:rsid w:val="00AC4133"/>
    <w:rsid w:val="00AC4696"/>
    <w:rsid w:val="00AC4953"/>
    <w:rsid w:val="00AC4E5F"/>
    <w:rsid w:val="00AC7C42"/>
    <w:rsid w:val="00AD012D"/>
    <w:rsid w:val="00AD1282"/>
    <w:rsid w:val="00AD15AE"/>
    <w:rsid w:val="00AD231E"/>
    <w:rsid w:val="00AD4AA5"/>
    <w:rsid w:val="00AD54B6"/>
    <w:rsid w:val="00AE0314"/>
    <w:rsid w:val="00AE19E4"/>
    <w:rsid w:val="00AE1BDD"/>
    <w:rsid w:val="00AE2F48"/>
    <w:rsid w:val="00AE6240"/>
    <w:rsid w:val="00AE66B2"/>
    <w:rsid w:val="00AE7EA5"/>
    <w:rsid w:val="00AE7EBB"/>
    <w:rsid w:val="00AF060B"/>
    <w:rsid w:val="00AF1F6E"/>
    <w:rsid w:val="00AF1FCE"/>
    <w:rsid w:val="00AF399E"/>
    <w:rsid w:val="00AF6093"/>
    <w:rsid w:val="00AF684B"/>
    <w:rsid w:val="00AF6A27"/>
    <w:rsid w:val="00AF6B10"/>
    <w:rsid w:val="00AF6D67"/>
    <w:rsid w:val="00AF6EC9"/>
    <w:rsid w:val="00B00FF2"/>
    <w:rsid w:val="00B02B54"/>
    <w:rsid w:val="00B02BE9"/>
    <w:rsid w:val="00B02E82"/>
    <w:rsid w:val="00B03E03"/>
    <w:rsid w:val="00B06652"/>
    <w:rsid w:val="00B06FDC"/>
    <w:rsid w:val="00B0770F"/>
    <w:rsid w:val="00B078AF"/>
    <w:rsid w:val="00B1106B"/>
    <w:rsid w:val="00B12F67"/>
    <w:rsid w:val="00B15186"/>
    <w:rsid w:val="00B15A46"/>
    <w:rsid w:val="00B23624"/>
    <w:rsid w:val="00B2429C"/>
    <w:rsid w:val="00B2485C"/>
    <w:rsid w:val="00B25B17"/>
    <w:rsid w:val="00B26138"/>
    <w:rsid w:val="00B307E4"/>
    <w:rsid w:val="00B30840"/>
    <w:rsid w:val="00B30B05"/>
    <w:rsid w:val="00B31966"/>
    <w:rsid w:val="00B32292"/>
    <w:rsid w:val="00B3413F"/>
    <w:rsid w:val="00B3799A"/>
    <w:rsid w:val="00B37E59"/>
    <w:rsid w:val="00B40689"/>
    <w:rsid w:val="00B40FAF"/>
    <w:rsid w:val="00B41239"/>
    <w:rsid w:val="00B42668"/>
    <w:rsid w:val="00B43F12"/>
    <w:rsid w:val="00B44885"/>
    <w:rsid w:val="00B4505C"/>
    <w:rsid w:val="00B467F2"/>
    <w:rsid w:val="00B47892"/>
    <w:rsid w:val="00B501FC"/>
    <w:rsid w:val="00B51D49"/>
    <w:rsid w:val="00B534A0"/>
    <w:rsid w:val="00B541F4"/>
    <w:rsid w:val="00B55213"/>
    <w:rsid w:val="00B5646C"/>
    <w:rsid w:val="00B56492"/>
    <w:rsid w:val="00B568C8"/>
    <w:rsid w:val="00B56D89"/>
    <w:rsid w:val="00B578AF"/>
    <w:rsid w:val="00B613BA"/>
    <w:rsid w:val="00B626A7"/>
    <w:rsid w:val="00B62FBC"/>
    <w:rsid w:val="00B66191"/>
    <w:rsid w:val="00B6720A"/>
    <w:rsid w:val="00B67DD4"/>
    <w:rsid w:val="00B70210"/>
    <w:rsid w:val="00B71104"/>
    <w:rsid w:val="00B73318"/>
    <w:rsid w:val="00B74D65"/>
    <w:rsid w:val="00B75C11"/>
    <w:rsid w:val="00B76810"/>
    <w:rsid w:val="00B76B11"/>
    <w:rsid w:val="00B80318"/>
    <w:rsid w:val="00B8070D"/>
    <w:rsid w:val="00B809A8"/>
    <w:rsid w:val="00B80F0A"/>
    <w:rsid w:val="00B83B0A"/>
    <w:rsid w:val="00B85D6F"/>
    <w:rsid w:val="00B85DD2"/>
    <w:rsid w:val="00B8789E"/>
    <w:rsid w:val="00B902C5"/>
    <w:rsid w:val="00B911D4"/>
    <w:rsid w:val="00B91711"/>
    <w:rsid w:val="00B92281"/>
    <w:rsid w:val="00B92BEB"/>
    <w:rsid w:val="00B92F24"/>
    <w:rsid w:val="00B93096"/>
    <w:rsid w:val="00B95409"/>
    <w:rsid w:val="00B961ED"/>
    <w:rsid w:val="00BA009E"/>
    <w:rsid w:val="00BA2F25"/>
    <w:rsid w:val="00BA401D"/>
    <w:rsid w:val="00BA4027"/>
    <w:rsid w:val="00BA410C"/>
    <w:rsid w:val="00BA686E"/>
    <w:rsid w:val="00BA6A94"/>
    <w:rsid w:val="00BA7BB6"/>
    <w:rsid w:val="00BB0183"/>
    <w:rsid w:val="00BB26B1"/>
    <w:rsid w:val="00BB26F7"/>
    <w:rsid w:val="00BB35AB"/>
    <w:rsid w:val="00BB485F"/>
    <w:rsid w:val="00BB747F"/>
    <w:rsid w:val="00BB770F"/>
    <w:rsid w:val="00BC2B0B"/>
    <w:rsid w:val="00BC2BED"/>
    <w:rsid w:val="00BC3775"/>
    <w:rsid w:val="00BC51CC"/>
    <w:rsid w:val="00BC7E45"/>
    <w:rsid w:val="00BD0D2C"/>
    <w:rsid w:val="00BD10CC"/>
    <w:rsid w:val="00BD2E12"/>
    <w:rsid w:val="00BD359C"/>
    <w:rsid w:val="00BD372E"/>
    <w:rsid w:val="00BD3900"/>
    <w:rsid w:val="00BD3DB4"/>
    <w:rsid w:val="00BD3F72"/>
    <w:rsid w:val="00BD3F9A"/>
    <w:rsid w:val="00BD5E5A"/>
    <w:rsid w:val="00BD6C37"/>
    <w:rsid w:val="00BD6EE2"/>
    <w:rsid w:val="00BD7645"/>
    <w:rsid w:val="00BD766B"/>
    <w:rsid w:val="00BE0FFE"/>
    <w:rsid w:val="00BE1ABE"/>
    <w:rsid w:val="00BE23A8"/>
    <w:rsid w:val="00BE442D"/>
    <w:rsid w:val="00BE468F"/>
    <w:rsid w:val="00BE532E"/>
    <w:rsid w:val="00BE6383"/>
    <w:rsid w:val="00BE6AF0"/>
    <w:rsid w:val="00BE7F8C"/>
    <w:rsid w:val="00BF1C2C"/>
    <w:rsid w:val="00BF1D96"/>
    <w:rsid w:val="00BF1E5D"/>
    <w:rsid w:val="00BF30ED"/>
    <w:rsid w:val="00BF57A2"/>
    <w:rsid w:val="00BF5A1E"/>
    <w:rsid w:val="00BF7829"/>
    <w:rsid w:val="00C00B1E"/>
    <w:rsid w:val="00C011A2"/>
    <w:rsid w:val="00C0188F"/>
    <w:rsid w:val="00C020A8"/>
    <w:rsid w:val="00C03E26"/>
    <w:rsid w:val="00C067DD"/>
    <w:rsid w:val="00C078F6"/>
    <w:rsid w:val="00C12E0E"/>
    <w:rsid w:val="00C136A7"/>
    <w:rsid w:val="00C13F1E"/>
    <w:rsid w:val="00C14F68"/>
    <w:rsid w:val="00C15826"/>
    <w:rsid w:val="00C160F5"/>
    <w:rsid w:val="00C17D6F"/>
    <w:rsid w:val="00C24113"/>
    <w:rsid w:val="00C263C0"/>
    <w:rsid w:val="00C26709"/>
    <w:rsid w:val="00C30410"/>
    <w:rsid w:val="00C30AE5"/>
    <w:rsid w:val="00C317D9"/>
    <w:rsid w:val="00C31E7C"/>
    <w:rsid w:val="00C32058"/>
    <w:rsid w:val="00C326CC"/>
    <w:rsid w:val="00C32A17"/>
    <w:rsid w:val="00C33969"/>
    <w:rsid w:val="00C341DF"/>
    <w:rsid w:val="00C3465B"/>
    <w:rsid w:val="00C35662"/>
    <w:rsid w:val="00C35AD4"/>
    <w:rsid w:val="00C36203"/>
    <w:rsid w:val="00C36DD1"/>
    <w:rsid w:val="00C37163"/>
    <w:rsid w:val="00C3721C"/>
    <w:rsid w:val="00C373FE"/>
    <w:rsid w:val="00C4002D"/>
    <w:rsid w:val="00C4151D"/>
    <w:rsid w:val="00C42D78"/>
    <w:rsid w:val="00C43B99"/>
    <w:rsid w:val="00C43E84"/>
    <w:rsid w:val="00C4648D"/>
    <w:rsid w:val="00C538C2"/>
    <w:rsid w:val="00C53E71"/>
    <w:rsid w:val="00C57F1E"/>
    <w:rsid w:val="00C60E67"/>
    <w:rsid w:val="00C6115F"/>
    <w:rsid w:val="00C6251C"/>
    <w:rsid w:val="00C63860"/>
    <w:rsid w:val="00C646A1"/>
    <w:rsid w:val="00C66F77"/>
    <w:rsid w:val="00C704E8"/>
    <w:rsid w:val="00C724CF"/>
    <w:rsid w:val="00C735A2"/>
    <w:rsid w:val="00C744FF"/>
    <w:rsid w:val="00C747B0"/>
    <w:rsid w:val="00C751A4"/>
    <w:rsid w:val="00C76B61"/>
    <w:rsid w:val="00C83B88"/>
    <w:rsid w:val="00C841CB"/>
    <w:rsid w:val="00C84BB7"/>
    <w:rsid w:val="00C86CAD"/>
    <w:rsid w:val="00C86EAA"/>
    <w:rsid w:val="00C90CE9"/>
    <w:rsid w:val="00C91A1F"/>
    <w:rsid w:val="00C93042"/>
    <w:rsid w:val="00C93394"/>
    <w:rsid w:val="00C9343F"/>
    <w:rsid w:val="00C94205"/>
    <w:rsid w:val="00C94A5C"/>
    <w:rsid w:val="00C959DD"/>
    <w:rsid w:val="00C96A4C"/>
    <w:rsid w:val="00C971D6"/>
    <w:rsid w:val="00C97218"/>
    <w:rsid w:val="00C978D3"/>
    <w:rsid w:val="00C97CDA"/>
    <w:rsid w:val="00CA1B78"/>
    <w:rsid w:val="00CA1C44"/>
    <w:rsid w:val="00CA2281"/>
    <w:rsid w:val="00CA358B"/>
    <w:rsid w:val="00CA5AD4"/>
    <w:rsid w:val="00CA5F6B"/>
    <w:rsid w:val="00CA6E14"/>
    <w:rsid w:val="00CA709C"/>
    <w:rsid w:val="00CA71D4"/>
    <w:rsid w:val="00CA79E4"/>
    <w:rsid w:val="00CB03DB"/>
    <w:rsid w:val="00CB23F8"/>
    <w:rsid w:val="00CB247D"/>
    <w:rsid w:val="00CB473F"/>
    <w:rsid w:val="00CB5332"/>
    <w:rsid w:val="00CB63F0"/>
    <w:rsid w:val="00CB70F3"/>
    <w:rsid w:val="00CC01AE"/>
    <w:rsid w:val="00CC0805"/>
    <w:rsid w:val="00CC14F3"/>
    <w:rsid w:val="00CC1C09"/>
    <w:rsid w:val="00CC1ED0"/>
    <w:rsid w:val="00CC3A59"/>
    <w:rsid w:val="00CC5538"/>
    <w:rsid w:val="00CC5888"/>
    <w:rsid w:val="00CC656F"/>
    <w:rsid w:val="00CC69E0"/>
    <w:rsid w:val="00CC7367"/>
    <w:rsid w:val="00CD13A3"/>
    <w:rsid w:val="00CD226D"/>
    <w:rsid w:val="00CD391B"/>
    <w:rsid w:val="00CD5953"/>
    <w:rsid w:val="00CD78BB"/>
    <w:rsid w:val="00CD7D4E"/>
    <w:rsid w:val="00CE1A07"/>
    <w:rsid w:val="00CE1E6B"/>
    <w:rsid w:val="00CE2B21"/>
    <w:rsid w:val="00CE2D7F"/>
    <w:rsid w:val="00CE334F"/>
    <w:rsid w:val="00CE351B"/>
    <w:rsid w:val="00CE5802"/>
    <w:rsid w:val="00CE63E4"/>
    <w:rsid w:val="00CF09AB"/>
    <w:rsid w:val="00CF0B57"/>
    <w:rsid w:val="00CF1437"/>
    <w:rsid w:val="00CF1438"/>
    <w:rsid w:val="00CF1FE0"/>
    <w:rsid w:val="00CF42D1"/>
    <w:rsid w:val="00CF4B37"/>
    <w:rsid w:val="00CF5D3C"/>
    <w:rsid w:val="00CF606B"/>
    <w:rsid w:val="00D003D2"/>
    <w:rsid w:val="00D00FD4"/>
    <w:rsid w:val="00D01180"/>
    <w:rsid w:val="00D01CB5"/>
    <w:rsid w:val="00D05EA0"/>
    <w:rsid w:val="00D06CF9"/>
    <w:rsid w:val="00D076A6"/>
    <w:rsid w:val="00D11AEA"/>
    <w:rsid w:val="00D11E69"/>
    <w:rsid w:val="00D12621"/>
    <w:rsid w:val="00D1351F"/>
    <w:rsid w:val="00D15C20"/>
    <w:rsid w:val="00D16140"/>
    <w:rsid w:val="00D17342"/>
    <w:rsid w:val="00D17902"/>
    <w:rsid w:val="00D20345"/>
    <w:rsid w:val="00D20C9E"/>
    <w:rsid w:val="00D229B2"/>
    <w:rsid w:val="00D25200"/>
    <w:rsid w:val="00D257AA"/>
    <w:rsid w:val="00D2580E"/>
    <w:rsid w:val="00D25B22"/>
    <w:rsid w:val="00D27DD3"/>
    <w:rsid w:val="00D317FC"/>
    <w:rsid w:val="00D332F4"/>
    <w:rsid w:val="00D335D3"/>
    <w:rsid w:val="00D339E4"/>
    <w:rsid w:val="00D35697"/>
    <w:rsid w:val="00D36917"/>
    <w:rsid w:val="00D37DD9"/>
    <w:rsid w:val="00D4187C"/>
    <w:rsid w:val="00D42AC0"/>
    <w:rsid w:val="00D43F36"/>
    <w:rsid w:val="00D4424B"/>
    <w:rsid w:val="00D46033"/>
    <w:rsid w:val="00D47464"/>
    <w:rsid w:val="00D50A03"/>
    <w:rsid w:val="00D513D8"/>
    <w:rsid w:val="00D52C95"/>
    <w:rsid w:val="00D53BB2"/>
    <w:rsid w:val="00D55067"/>
    <w:rsid w:val="00D560B7"/>
    <w:rsid w:val="00D56145"/>
    <w:rsid w:val="00D562BF"/>
    <w:rsid w:val="00D574B4"/>
    <w:rsid w:val="00D6183E"/>
    <w:rsid w:val="00D61B8D"/>
    <w:rsid w:val="00D61F72"/>
    <w:rsid w:val="00D627E1"/>
    <w:rsid w:val="00D65E18"/>
    <w:rsid w:val="00D66AD4"/>
    <w:rsid w:val="00D66B23"/>
    <w:rsid w:val="00D723B6"/>
    <w:rsid w:val="00D73194"/>
    <w:rsid w:val="00D7433A"/>
    <w:rsid w:val="00D74E23"/>
    <w:rsid w:val="00D76C81"/>
    <w:rsid w:val="00D77D3D"/>
    <w:rsid w:val="00D80E4F"/>
    <w:rsid w:val="00D817E9"/>
    <w:rsid w:val="00D81B37"/>
    <w:rsid w:val="00D81CEA"/>
    <w:rsid w:val="00D853EF"/>
    <w:rsid w:val="00D85766"/>
    <w:rsid w:val="00D859E6"/>
    <w:rsid w:val="00D85C69"/>
    <w:rsid w:val="00D86892"/>
    <w:rsid w:val="00D86D41"/>
    <w:rsid w:val="00D90640"/>
    <w:rsid w:val="00D906AC"/>
    <w:rsid w:val="00D91B95"/>
    <w:rsid w:val="00D93183"/>
    <w:rsid w:val="00D9383A"/>
    <w:rsid w:val="00D93BAA"/>
    <w:rsid w:val="00D94006"/>
    <w:rsid w:val="00D94BB2"/>
    <w:rsid w:val="00D94CE3"/>
    <w:rsid w:val="00D95A71"/>
    <w:rsid w:val="00D96AAF"/>
    <w:rsid w:val="00DA36D0"/>
    <w:rsid w:val="00DA3B84"/>
    <w:rsid w:val="00DA6AFC"/>
    <w:rsid w:val="00DA714D"/>
    <w:rsid w:val="00DB2841"/>
    <w:rsid w:val="00DB5CF2"/>
    <w:rsid w:val="00DB785C"/>
    <w:rsid w:val="00DB7B15"/>
    <w:rsid w:val="00DC0E64"/>
    <w:rsid w:val="00DC4703"/>
    <w:rsid w:val="00DC49DD"/>
    <w:rsid w:val="00DC679B"/>
    <w:rsid w:val="00DC702A"/>
    <w:rsid w:val="00DC72EB"/>
    <w:rsid w:val="00DC74B0"/>
    <w:rsid w:val="00DC7C5E"/>
    <w:rsid w:val="00DD02CF"/>
    <w:rsid w:val="00DD0AA6"/>
    <w:rsid w:val="00DD39EF"/>
    <w:rsid w:val="00DD4030"/>
    <w:rsid w:val="00DD42B0"/>
    <w:rsid w:val="00DD70CC"/>
    <w:rsid w:val="00DD7887"/>
    <w:rsid w:val="00DE2D1A"/>
    <w:rsid w:val="00DE355C"/>
    <w:rsid w:val="00DE58A0"/>
    <w:rsid w:val="00DE6552"/>
    <w:rsid w:val="00DE6920"/>
    <w:rsid w:val="00DE6AFA"/>
    <w:rsid w:val="00DE6B76"/>
    <w:rsid w:val="00DE744F"/>
    <w:rsid w:val="00DE7656"/>
    <w:rsid w:val="00DF1C49"/>
    <w:rsid w:val="00DF2804"/>
    <w:rsid w:val="00DF289D"/>
    <w:rsid w:val="00DF383A"/>
    <w:rsid w:val="00DF394B"/>
    <w:rsid w:val="00DF575B"/>
    <w:rsid w:val="00DF7BB8"/>
    <w:rsid w:val="00E00B07"/>
    <w:rsid w:val="00E01316"/>
    <w:rsid w:val="00E036FE"/>
    <w:rsid w:val="00E04065"/>
    <w:rsid w:val="00E0418C"/>
    <w:rsid w:val="00E044BC"/>
    <w:rsid w:val="00E04ACF"/>
    <w:rsid w:val="00E05D8F"/>
    <w:rsid w:val="00E10A36"/>
    <w:rsid w:val="00E115DA"/>
    <w:rsid w:val="00E11B41"/>
    <w:rsid w:val="00E12508"/>
    <w:rsid w:val="00E13067"/>
    <w:rsid w:val="00E14962"/>
    <w:rsid w:val="00E15097"/>
    <w:rsid w:val="00E16472"/>
    <w:rsid w:val="00E1798A"/>
    <w:rsid w:val="00E21E25"/>
    <w:rsid w:val="00E2213A"/>
    <w:rsid w:val="00E22E56"/>
    <w:rsid w:val="00E24A4D"/>
    <w:rsid w:val="00E24CC2"/>
    <w:rsid w:val="00E25D05"/>
    <w:rsid w:val="00E26E9C"/>
    <w:rsid w:val="00E27F85"/>
    <w:rsid w:val="00E30D62"/>
    <w:rsid w:val="00E372FE"/>
    <w:rsid w:val="00E376E1"/>
    <w:rsid w:val="00E40403"/>
    <w:rsid w:val="00E40C87"/>
    <w:rsid w:val="00E40FE5"/>
    <w:rsid w:val="00E4451C"/>
    <w:rsid w:val="00E45B4C"/>
    <w:rsid w:val="00E45E06"/>
    <w:rsid w:val="00E504F3"/>
    <w:rsid w:val="00E515FE"/>
    <w:rsid w:val="00E51639"/>
    <w:rsid w:val="00E523DD"/>
    <w:rsid w:val="00E528BA"/>
    <w:rsid w:val="00E5397F"/>
    <w:rsid w:val="00E53BB2"/>
    <w:rsid w:val="00E5403F"/>
    <w:rsid w:val="00E578F7"/>
    <w:rsid w:val="00E602BB"/>
    <w:rsid w:val="00E60C1F"/>
    <w:rsid w:val="00E60FF8"/>
    <w:rsid w:val="00E620C3"/>
    <w:rsid w:val="00E62EB5"/>
    <w:rsid w:val="00E6361F"/>
    <w:rsid w:val="00E637E3"/>
    <w:rsid w:val="00E64A8F"/>
    <w:rsid w:val="00E65C97"/>
    <w:rsid w:val="00E66054"/>
    <w:rsid w:val="00E66542"/>
    <w:rsid w:val="00E67869"/>
    <w:rsid w:val="00E67DCB"/>
    <w:rsid w:val="00E67F08"/>
    <w:rsid w:val="00E70572"/>
    <w:rsid w:val="00E707ED"/>
    <w:rsid w:val="00E7102F"/>
    <w:rsid w:val="00E71703"/>
    <w:rsid w:val="00E71A9C"/>
    <w:rsid w:val="00E77758"/>
    <w:rsid w:val="00E8061B"/>
    <w:rsid w:val="00E80CFC"/>
    <w:rsid w:val="00E82CC4"/>
    <w:rsid w:val="00E840FE"/>
    <w:rsid w:val="00E84389"/>
    <w:rsid w:val="00E872B7"/>
    <w:rsid w:val="00E877BE"/>
    <w:rsid w:val="00E920AC"/>
    <w:rsid w:val="00E92E04"/>
    <w:rsid w:val="00E934AC"/>
    <w:rsid w:val="00E937B0"/>
    <w:rsid w:val="00E9487A"/>
    <w:rsid w:val="00E95F77"/>
    <w:rsid w:val="00E96DF3"/>
    <w:rsid w:val="00E97646"/>
    <w:rsid w:val="00EA00A0"/>
    <w:rsid w:val="00EA09AE"/>
    <w:rsid w:val="00EA132A"/>
    <w:rsid w:val="00EA43BE"/>
    <w:rsid w:val="00EA4B8F"/>
    <w:rsid w:val="00EA5D11"/>
    <w:rsid w:val="00EA5FA4"/>
    <w:rsid w:val="00EB0AB6"/>
    <w:rsid w:val="00EB1B04"/>
    <w:rsid w:val="00EB2E85"/>
    <w:rsid w:val="00EB3A0B"/>
    <w:rsid w:val="00EB3CE5"/>
    <w:rsid w:val="00EB4A1D"/>
    <w:rsid w:val="00EB5776"/>
    <w:rsid w:val="00EB5AE6"/>
    <w:rsid w:val="00EB5B49"/>
    <w:rsid w:val="00EC00B7"/>
    <w:rsid w:val="00EC071B"/>
    <w:rsid w:val="00EC1C28"/>
    <w:rsid w:val="00EC2C86"/>
    <w:rsid w:val="00EC432E"/>
    <w:rsid w:val="00EC4FCF"/>
    <w:rsid w:val="00EC5150"/>
    <w:rsid w:val="00EC5832"/>
    <w:rsid w:val="00EC6FC2"/>
    <w:rsid w:val="00EC744D"/>
    <w:rsid w:val="00EC7648"/>
    <w:rsid w:val="00EC795B"/>
    <w:rsid w:val="00ED0F7C"/>
    <w:rsid w:val="00ED1314"/>
    <w:rsid w:val="00ED1EA8"/>
    <w:rsid w:val="00ED360E"/>
    <w:rsid w:val="00ED3E3D"/>
    <w:rsid w:val="00ED3EB6"/>
    <w:rsid w:val="00ED5C86"/>
    <w:rsid w:val="00ED75A5"/>
    <w:rsid w:val="00EE28A3"/>
    <w:rsid w:val="00EE294E"/>
    <w:rsid w:val="00EE2D64"/>
    <w:rsid w:val="00EE3729"/>
    <w:rsid w:val="00EE3B04"/>
    <w:rsid w:val="00EE58EF"/>
    <w:rsid w:val="00EE7FDF"/>
    <w:rsid w:val="00EF2FBF"/>
    <w:rsid w:val="00EF3028"/>
    <w:rsid w:val="00EF3625"/>
    <w:rsid w:val="00EF4852"/>
    <w:rsid w:val="00EF4A97"/>
    <w:rsid w:val="00EF4BD9"/>
    <w:rsid w:val="00EF6739"/>
    <w:rsid w:val="00EF6CFD"/>
    <w:rsid w:val="00F00AD9"/>
    <w:rsid w:val="00F014D0"/>
    <w:rsid w:val="00F02088"/>
    <w:rsid w:val="00F02973"/>
    <w:rsid w:val="00F036DF"/>
    <w:rsid w:val="00F04E56"/>
    <w:rsid w:val="00F11422"/>
    <w:rsid w:val="00F11DE7"/>
    <w:rsid w:val="00F13553"/>
    <w:rsid w:val="00F137B0"/>
    <w:rsid w:val="00F15704"/>
    <w:rsid w:val="00F15CCE"/>
    <w:rsid w:val="00F169EA"/>
    <w:rsid w:val="00F209C7"/>
    <w:rsid w:val="00F23845"/>
    <w:rsid w:val="00F24085"/>
    <w:rsid w:val="00F2661A"/>
    <w:rsid w:val="00F26D1E"/>
    <w:rsid w:val="00F276F4"/>
    <w:rsid w:val="00F27C35"/>
    <w:rsid w:val="00F3180F"/>
    <w:rsid w:val="00F34120"/>
    <w:rsid w:val="00F3422A"/>
    <w:rsid w:val="00F347F2"/>
    <w:rsid w:val="00F34932"/>
    <w:rsid w:val="00F34EB4"/>
    <w:rsid w:val="00F3515B"/>
    <w:rsid w:val="00F357CF"/>
    <w:rsid w:val="00F36954"/>
    <w:rsid w:val="00F403AF"/>
    <w:rsid w:val="00F438B7"/>
    <w:rsid w:val="00F45CB5"/>
    <w:rsid w:val="00F502A9"/>
    <w:rsid w:val="00F51213"/>
    <w:rsid w:val="00F52578"/>
    <w:rsid w:val="00F53150"/>
    <w:rsid w:val="00F5486E"/>
    <w:rsid w:val="00F565F5"/>
    <w:rsid w:val="00F56703"/>
    <w:rsid w:val="00F57933"/>
    <w:rsid w:val="00F607BF"/>
    <w:rsid w:val="00F60F05"/>
    <w:rsid w:val="00F61EDD"/>
    <w:rsid w:val="00F6409F"/>
    <w:rsid w:val="00F66D98"/>
    <w:rsid w:val="00F66F9F"/>
    <w:rsid w:val="00F67407"/>
    <w:rsid w:val="00F678C0"/>
    <w:rsid w:val="00F72879"/>
    <w:rsid w:val="00F74B60"/>
    <w:rsid w:val="00F76DDB"/>
    <w:rsid w:val="00F80AB5"/>
    <w:rsid w:val="00F83301"/>
    <w:rsid w:val="00F83534"/>
    <w:rsid w:val="00F83EDE"/>
    <w:rsid w:val="00F84D49"/>
    <w:rsid w:val="00F8525D"/>
    <w:rsid w:val="00F87345"/>
    <w:rsid w:val="00F9044B"/>
    <w:rsid w:val="00F90699"/>
    <w:rsid w:val="00F90B0B"/>
    <w:rsid w:val="00F90FD9"/>
    <w:rsid w:val="00F92083"/>
    <w:rsid w:val="00F9277E"/>
    <w:rsid w:val="00F93A96"/>
    <w:rsid w:val="00F93E9A"/>
    <w:rsid w:val="00F945FD"/>
    <w:rsid w:val="00F958B3"/>
    <w:rsid w:val="00F95DE5"/>
    <w:rsid w:val="00F95F3A"/>
    <w:rsid w:val="00F96399"/>
    <w:rsid w:val="00F97C61"/>
    <w:rsid w:val="00FA0E31"/>
    <w:rsid w:val="00FA11C5"/>
    <w:rsid w:val="00FA31FC"/>
    <w:rsid w:val="00FA3308"/>
    <w:rsid w:val="00FA3814"/>
    <w:rsid w:val="00FA5052"/>
    <w:rsid w:val="00FA56DC"/>
    <w:rsid w:val="00FA6250"/>
    <w:rsid w:val="00FA6E87"/>
    <w:rsid w:val="00FA6F1A"/>
    <w:rsid w:val="00FB1B9A"/>
    <w:rsid w:val="00FB1CF1"/>
    <w:rsid w:val="00FB3270"/>
    <w:rsid w:val="00FB4ACC"/>
    <w:rsid w:val="00FB6537"/>
    <w:rsid w:val="00FB68C2"/>
    <w:rsid w:val="00FB7D61"/>
    <w:rsid w:val="00FC2297"/>
    <w:rsid w:val="00FC2821"/>
    <w:rsid w:val="00FC4621"/>
    <w:rsid w:val="00FC5024"/>
    <w:rsid w:val="00FC5EFD"/>
    <w:rsid w:val="00FC631C"/>
    <w:rsid w:val="00FC7027"/>
    <w:rsid w:val="00FC7ED3"/>
    <w:rsid w:val="00FD1868"/>
    <w:rsid w:val="00FD3794"/>
    <w:rsid w:val="00FD646E"/>
    <w:rsid w:val="00FD7790"/>
    <w:rsid w:val="00FE1BE3"/>
    <w:rsid w:val="00FE3F07"/>
    <w:rsid w:val="00FE42AE"/>
    <w:rsid w:val="00FE7962"/>
    <w:rsid w:val="00FE7EA8"/>
    <w:rsid w:val="00FF20BE"/>
    <w:rsid w:val="00FF2307"/>
    <w:rsid w:val="00FF397D"/>
    <w:rsid w:val="00FF3CB7"/>
    <w:rsid w:val="00FF43B6"/>
    <w:rsid w:val="00FF43CA"/>
    <w:rsid w:val="00FF4FE6"/>
    <w:rsid w:val="00FF7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889BA"/>
  <w15:chartTrackingRefBased/>
  <w15:docId w15:val="{0D86E1AD-07E1-4DA9-B91D-D943204C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60"/>
    <w:pPr>
      <w:keepLines/>
    </w:pPr>
    <w:rPr>
      <w:rFonts w:ascii="Arial" w:hAnsi="Arial"/>
      <w:sz w:val="22"/>
    </w:rPr>
  </w:style>
  <w:style w:type="paragraph" w:styleId="Heading1">
    <w:name w:val="heading 1"/>
    <w:aliases w:val="Document/Determination Title"/>
    <w:basedOn w:val="Normal"/>
    <w:next w:val="BlockTextArial"/>
    <w:link w:val="Heading1Char"/>
    <w:qFormat/>
    <w:pPr>
      <w:keepLines w:val="0"/>
      <w:widowControl w:val="0"/>
      <w:spacing w:after="240"/>
      <w:outlineLvl w:val="0"/>
    </w:pPr>
    <w:rPr>
      <w:b/>
      <w:sz w:val="36"/>
    </w:rPr>
  </w:style>
  <w:style w:type="paragraph" w:styleId="Heading2">
    <w:name w:val="heading 2"/>
    <w:aliases w:val="Chapter Title"/>
    <w:basedOn w:val="Normal"/>
    <w:next w:val="BlockTextArial"/>
    <w:link w:val="Heading2Char"/>
    <w:uiPriority w:val="9"/>
    <w:qFormat/>
    <w:rsid w:val="00B80F0A"/>
    <w:pPr>
      <w:keepNext/>
      <w:shd w:val="clear" w:color="FFFF00" w:fill="auto"/>
      <w:spacing w:after="240"/>
      <w:outlineLvl w:val="1"/>
    </w:pPr>
    <w:rPr>
      <w:b/>
      <w:color w:val="000000" w:themeColor="text1"/>
      <w:sz w:val="30"/>
    </w:rPr>
  </w:style>
  <w:style w:type="paragraph" w:styleId="Heading3">
    <w:name w:val="heading 3"/>
    <w:aliases w:val="Part/Section Title"/>
    <w:basedOn w:val="Normal"/>
    <w:next w:val="BlockTextArial"/>
    <w:link w:val="Heading3Char"/>
    <w:uiPriority w:val="9"/>
    <w:qFormat/>
    <w:rsid w:val="00B80F0A"/>
    <w:pPr>
      <w:keepNext/>
      <w:spacing w:after="120"/>
      <w:outlineLvl w:val="2"/>
    </w:pPr>
    <w:rPr>
      <w:rFonts w:ascii="Arial Bold" w:hAnsi="Arial Bold"/>
      <w:b/>
      <w:color w:val="000000" w:themeColor="text1"/>
      <w:sz w:val="27"/>
    </w:rPr>
  </w:style>
  <w:style w:type="paragraph" w:styleId="Heading4">
    <w:name w:val="heading 4"/>
    <w:aliases w:val="Division/Annex/Map Title"/>
    <w:basedOn w:val="Normal"/>
    <w:next w:val="BlockTextArial"/>
    <w:link w:val="Heading4Char"/>
    <w:qFormat/>
    <w:rsid w:val="00B80F0A"/>
    <w:pPr>
      <w:keepNext/>
      <w:spacing w:before="120" w:after="120"/>
      <w:outlineLvl w:val="3"/>
    </w:pPr>
    <w:rPr>
      <w:rFonts w:ascii="Arial Bold" w:hAnsi="Arial Bold"/>
      <w:b/>
      <w:color w:val="000000" w:themeColor="text1"/>
      <w:sz w:val="26"/>
    </w:rPr>
  </w:style>
  <w:style w:type="paragraph" w:styleId="Heading5">
    <w:name w:val="heading 5"/>
    <w:aliases w:val="Clause/Block Label"/>
    <w:basedOn w:val="Normal"/>
    <w:next w:val="BlockTextArial"/>
    <w:link w:val="Heading5Char"/>
    <w:qFormat/>
    <w:pPr>
      <w:keepNext/>
      <w:spacing w:before="360" w:after="120"/>
      <w:outlineLvl w:val="4"/>
    </w:pPr>
    <w:rPr>
      <w:b/>
    </w:rPr>
  </w:style>
  <w:style w:type="paragraph" w:styleId="Heading6">
    <w:name w:val="heading 6"/>
    <w:aliases w:val="Sub Block Label"/>
    <w:basedOn w:val="Normal"/>
    <w:next w:val="BlockTextArial"/>
    <w:link w:val="Heading6Char"/>
    <w:qFormat/>
    <w:pPr>
      <w:keepNext/>
      <w:spacing w:after="120"/>
      <w:outlineLvl w:val="5"/>
    </w:pPr>
    <w:rPr>
      <w:rFonts w:ascii="Arial Bold" w:hAnsi="Arial Bold"/>
      <w:b/>
      <w:color w:val="000080"/>
    </w:rPr>
  </w:style>
  <w:style w:type="paragraph" w:styleId="Heading7">
    <w:name w:val="heading 7"/>
    <w:basedOn w:val="Normal"/>
    <w:next w:val="BlockTextArial"/>
    <w:link w:val="Heading7Char"/>
    <w:uiPriority w:val="9"/>
    <w:qFormat/>
    <w:pPr>
      <w:spacing w:before="240" w:after="60"/>
      <w:outlineLvl w:val="6"/>
    </w:pPr>
  </w:style>
  <w:style w:type="paragraph" w:styleId="Heading8">
    <w:name w:val="heading 8"/>
    <w:aliases w:val="Section"/>
    <w:basedOn w:val="Normal"/>
    <w:next w:val="BlockTextArial"/>
    <w:link w:val="Heading8Char"/>
    <w:uiPriority w:val="9"/>
    <w:qFormat/>
    <w:pPr>
      <w:spacing w:before="240" w:after="60"/>
      <w:outlineLvl w:val="7"/>
    </w:pPr>
    <w:rPr>
      <w:i/>
    </w:rPr>
  </w:style>
  <w:style w:type="paragraph" w:styleId="Heading9">
    <w:name w:val="heading 9"/>
    <w:aliases w:val="Group"/>
    <w:basedOn w:val="Normal"/>
    <w:next w:val="BlockTextArial"/>
    <w:link w:val="Heading9Char"/>
    <w:uiPriority w:val="9"/>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Arial">
    <w:name w:val="Block Text (Arial)"/>
    <w:basedOn w:val="Normal"/>
    <w:pPr>
      <w:spacing w:before="120" w:after="120"/>
    </w:pPr>
  </w:style>
  <w:style w:type="paragraph" w:customStyle="1" w:styleId="AppendixListEntry">
    <w:name w:val="AppendixListEntry"/>
    <w:basedOn w:val="Normal"/>
    <w:pPr>
      <w:keepLines w:val="0"/>
      <w:tabs>
        <w:tab w:val="left" w:pos="851"/>
        <w:tab w:val="left" w:pos="1418"/>
        <w:tab w:val="left" w:pos="1985"/>
        <w:tab w:val="left" w:pos="3119"/>
      </w:tabs>
      <w:ind w:left="851" w:hanging="851"/>
    </w:pPr>
    <w:rPr>
      <w:sz w:val="20"/>
    </w:rPr>
  </w:style>
  <w:style w:type="paragraph" w:customStyle="1" w:styleId="BlockListArial">
    <w:name w:val="Block List (Arial)"/>
    <w:basedOn w:val="Normal"/>
    <w:pPr>
      <w:spacing w:after="40"/>
    </w:pPr>
  </w:style>
  <w:style w:type="paragraph" w:customStyle="1" w:styleId="BlockList-LinksArial">
    <w:name w:val="Block List- Links (Arial)"/>
    <w:basedOn w:val="Normal"/>
    <w:pPr>
      <w:spacing w:after="40"/>
    </w:pPr>
  </w:style>
  <w:style w:type="paragraph" w:styleId="BlockText">
    <w:name w:val="Block Text"/>
    <w:basedOn w:val="Normal"/>
    <w:rPr>
      <w:rFonts w:ascii="Times New Roman" w:hAnsi="Times New Roman"/>
      <w:noProof/>
    </w:rPr>
  </w:style>
  <w:style w:type="paragraph" w:customStyle="1" w:styleId="BlockText-PlainNoSpacing">
    <w:name w:val="Block Text - Plain (No Spacing)"/>
    <w:basedOn w:val="Normal"/>
    <w:link w:val="BlockText-PlainNoSpacingChar"/>
    <w:pPr>
      <w:keepNext/>
      <w:spacing w:before="20" w:after="20"/>
    </w:pPr>
    <w:rPr>
      <w:sz w:val="20"/>
    </w:rPr>
  </w:style>
  <w:style w:type="paragraph" w:customStyle="1" w:styleId="BlockText-Clause">
    <w:name w:val="Block Text- Clause"/>
    <w:basedOn w:val="Normal"/>
    <w:pPr>
      <w:spacing w:after="180"/>
      <w:ind w:left="993" w:hanging="1418"/>
    </w:pPr>
  </w:style>
  <w:style w:type="paragraph" w:customStyle="1" w:styleId="BlockTextNoSpacing-Plain">
    <w:name w:val="Block Text No Spacing - Plain"/>
    <w:basedOn w:val="Normal"/>
    <w:pPr>
      <w:keepNext/>
      <w:spacing w:before="20" w:after="20"/>
    </w:pPr>
    <w:rPr>
      <w:sz w:val="20"/>
    </w:rPr>
  </w:style>
  <w:style w:type="paragraph" w:customStyle="1" w:styleId="BlockText-Para">
    <w:name w:val="Block Text- Para"/>
    <w:basedOn w:val="Normal"/>
    <w:pPr>
      <w:spacing w:before="60" w:after="120"/>
      <w:ind w:hanging="1"/>
    </w:pPr>
  </w:style>
  <w:style w:type="paragraph" w:customStyle="1" w:styleId="BlockText-Plain">
    <w:name w:val="Block Text- Plain"/>
    <w:basedOn w:val="Normal"/>
    <w:pPr>
      <w:keepLines w:val="0"/>
      <w:spacing w:after="200"/>
    </w:pPr>
    <w:rPr>
      <w:sz w:val="20"/>
    </w:rPr>
  </w:style>
  <w:style w:type="paragraph" w:customStyle="1" w:styleId="BlockText-PlainArial">
    <w:name w:val="Block Text- Plain (Arial)"/>
    <w:basedOn w:val="Normal"/>
    <w:pPr>
      <w:spacing w:before="120" w:after="120"/>
      <w:ind w:left="992"/>
    </w:pPr>
  </w:style>
  <w:style w:type="paragraph" w:customStyle="1" w:styleId="BlockText-SubPara">
    <w:name w:val="Block Text- SubPara"/>
    <w:basedOn w:val="Normal"/>
    <w:pPr>
      <w:spacing w:before="60" w:after="60"/>
    </w:pPr>
  </w:style>
  <w:style w:type="paragraph" w:customStyle="1" w:styleId="BlockText-line">
    <w:name w:val="Block Text-line"/>
    <w:basedOn w:val="Normal"/>
    <w:pPr>
      <w:pBdr>
        <w:top w:val="single" w:sz="6" w:space="1" w:color="auto"/>
      </w:pBdr>
    </w:pPr>
    <w:rPr>
      <w:sz w:val="18"/>
      <w:lang w:val="en-US"/>
    </w:rPr>
  </w:style>
  <w:style w:type="paragraph" w:customStyle="1" w:styleId="BulletText1Arial">
    <w:name w:val="Bullet Text 1 (Arial)"/>
    <w:basedOn w:val="Normal"/>
    <w:pPr>
      <w:widowControl w:val="0"/>
      <w:numPr>
        <w:numId w:val="26"/>
      </w:numPr>
      <w:tabs>
        <w:tab w:val="clear" w:pos="720"/>
        <w:tab w:val="num" w:pos="360"/>
        <w:tab w:val="left" w:pos="1276"/>
      </w:tabs>
      <w:spacing w:after="60"/>
      <w:ind w:left="1276" w:hanging="284"/>
    </w:pPr>
    <w:rPr>
      <w:sz w:val="20"/>
    </w:rPr>
  </w:style>
  <w:style w:type="paragraph" w:customStyle="1" w:styleId="BulletText2Arial">
    <w:name w:val="Bullet Text 2 (Arial)"/>
    <w:basedOn w:val="Normal"/>
    <w:pPr>
      <w:widowControl w:val="0"/>
      <w:numPr>
        <w:numId w:val="27"/>
      </w:numPr>
      <w:tabs>
        <w:tab w:val="clear" w:pos="1996"/>
        <w:tab w:val="left" w:pos="1559"/>
      </w:tabs>
      <w:spacing w:after="40"/>
    </w:pPr>
    <w:rPr>
      <w:sz w:val="20"/>
    </w:rPr>
  </w:style>
  <w:style w:type="paragraph" w:customStyle="1" w:styleId="GuidanceHeading">
    <w:name w:val="Guidance Heading"/>
    <w:basedOn w:val="Normal"/>
    <w:next w:val="Normal"/>
    <w:pPr>
      <w:keepNext/>
      <w:outlineLvl w:val="5"/>
    </w:pPr>
    <w:rPr>
      <w:rFonts w:ascii="Arial Bold" w:hAnsi="Arial Bold"/>
      <w:b/>
      <w:color w:val="800080"/>
      <w:sz w:val="20"/>
    </w:rPr>
  </w:style>
  <w:style w:type="paragraph" w:customStyle="1" w:styleId="CDFHeading">
    <w:name w:val="CDF Heading"/>
    <w:basedOn w:val="GuidanceHeading"/>
    <w:next w:val="Normal"/>
    <w:pPr>
      <w:spacing w:before="200"/>
      <w:outlineLvl w:val="9"/>
    </w:pPr>
    <w:rPr>
      <w:rFonts w:ascii="Arial Narrow" w:hAnsi="Arial Narrow"/>
    </w:rPr>
  </w:style>
  <w:style w:type="paragraph" w:customStyle="1" w:styleId="CDFText">
    <w:name w:val="CDF Text"/>
    <w:basedOn w:val="CDFHeading"/>
    <w:pPr>
      <w:keepNext w:val="0"/>
      <w:spacing w:before="0" w:after="40"/>
    </w:pPr>
    <w:rPr>
      <w:b w:val="0"/>
    </w:rPr>
  </w:style>
  <w:style w:type="paragraph" w:customStyle="1" w:styleId="CDFBullets">
    <w:name w:val="CDF Bullets"/>
    <w:basedOn w:val="CDFText"/>
    <w:pPr>
      <w:numPr>
        <w:numId w:val="11"/>
      </w:numPr>
      <w:spacing w:after="0"/>
    </w:pPr>
  </w:style>
  <w:style w:type="paragraph" w:customStyle="1" w:styleId="Clause">
    <w:name w:val="Clause"/>
    <w:basedOn w:val="Normal"/>
    <w:pPr>
      <w:tabs>
        <w:tab w:val="right" w:pos="794"/>
      </w:tabs>
      <w:spacing w:before="40" w:after="80"/>
      <w:ind w:left="993" w:hanging="1418"/>
    </w:pPr>
    <w:rPr>
      <w:rFonts w:ascii="Times New Roman" w:hAnsi="Times New Roman"/>
      <w:sz w:val="24"/>
    </w:rPr>
  </w:style>
  <w:style w:type="paragraph" w:customStyle="1" w:styleId="ClauseHeading">
    <w:name w:val="Clause Heading"/>
    <w:basedOn w:val="Normal"/>
    <w:next w:val="Clause"/>
    <w:link w:val="ClauseHeadingChar"/>
    <w:pPr>
      <w:keepNext/>
      <w:tabs>
        <w:tab w:val="right" w:pos="794"/>
      </w:tabs>
      <w:spacing w:before="260"/>
      <w:ind w:left="993" w:hanging="1418"/>
      <w:jc w:val="both"/>
      <w:outlineLvl w:val="4"/>
    </w:pPr>
    <w:rPr>
      <w:b/>
      <w:sz w:val="23"/>
    </w:rPr>
  </w:style>
  <w:style w:type="paragraph" w:customStyle="1" w:styleId="Definition">
    <w:name w:val="Definition"/>
    <w:aliases w:val="dd"/>
    <w:basedOn w:val="Normal"/>
    <w:pPr>
      <w:keepLines w:val="0"/>
      <w:spacing w:before="80" w:line="260" w:lineRule="exact"/>
      <w:ind w:left="964"/>
    </w:pPr>
    <w:rPr>
      <w:rFonts w:ascii="Times New Roman" w:hAnsi="Times New Roman"/>
      <w:sz w:val="24"/>
    </w:rPr>
  </w:style>
  <w:style w:type="paragraph" w:customStyle="1" w:styleId="DivisionHeading">
    <w:name w:val="Division Heading"/>
    <w:aliases w:val="HD"/>
    <w:basedOn w:val="Normal"/>
    <w:next w:val="ClauseHeading"/>
    <w:pPr>
      <w:keepNext/>
      <w:keepLines w:val="0"/>
      <w:pageBreakBefore/>
      <w:tabs>
        <w:tab w:val="left" w:pos="1134"/>
      </w:tabs>
      <w:spacing w:before="500"/>
      <w:ind w:left="936" w:hanging="1361"/>
      <w:outlineLvl w:val="3"/>
    </w:pPr>
    <w:rPr>
      <w:rFonts w:ascii="Arial Bold" w:hAnsi="Arial Bold"/>
      <w:color w:val="000080"/>
      <w:sz w:val="26"/>
    </w:rPr>
  </w:style>
  <w:style w:type="paragraph" w:customStyle="1" w:styleId="EmbeddedText">
    <w:name w:val="Embedded Text"/>
    <w:basedOn w:val="Normal"/>
    <w:rPr>
      <w:rFonts w:ascii="Times" w:hAnsi="Times"/>
      <w:sz w:val="24"/>
      <w:lang w:val="en-U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styleId="FollowedHyperlink">
    <w:name w:val="FollowedHyperlink"/>
    <w:rPr>
      <w:color w:val="800080"/>
      <w:u w:val="single"/>
    </w:rPr>
  </w:style>
  <w:style w:type="paragraph" w:styleId="Footer">
    <w:name w:val="footer"/>
    <w:basedOn w:val="Normal"/>
    <w:link w:val="FooterChar"/>
    <w:uiPriority w:val="99"/>
    <w:pPr>
      <w:pBdr>
        <w:top w:val="single" w:sz="6" w:space="4" w:color="800000"/>
      </w:pBdr>
      <w:tabs>
        <w:tab w:val="center" w:pos="4395"/>
        <w:tab w:val="right" w:pos="8931"/>
      </w:tabs>
      <w:ind w:left="-425"/>
    </w:pPr>
    <w:rPr>
      <w:sz w:val="18"/>
    </w:rPr>
  </w:style>
  <w:style w:type="paragraph" w:customStyle="1" w:styleId="FooterTitle">
    <w:name w:val="Footer Title"/>
    <w:basedOn w:val="Normal"/>
    <w:next w:val="Normal"/>
    <w:pPr>
      <w:jc w:val="center"/>
    </w:pPr>
    <w:rPr>
      <w:sz w:val="18"/>
    </w:rPr>
  </w:style>
  <w:style w:type="character" w:styleId="FootnoteReference">
    <w:name w:val="footnote reference"/>
    <w:semiHidden/>
    <w:rPr>
      <w:vertAlign w:val="superscript"/>
    </w:rPr>
  </w:style>
  <w:style w:type="paragraph" w:styleId="FootnoteText">
    <w:name w:val="footnote text"/>
    <w:basedOn w:val="Normal"/>
    <w:semiHidden/>
    <w:pPr>
      <w:widowControl w:val="0"/>
    </w:pPr>
  </w:style>
  <w:style w:type="paragraph" w:customStyle="1" w:styleId="GuidanceBullet1">
    <w:name w:val="Guidance Bullet 1"/>
    <w:basedOn w:val="Normal"/>
    <w:pPr>
      <w:tabs>
        <w:tab w:val="left" w:pos="1247"/>
      </w:tabs>
      <w:spacing w:after="40"/>
      <w:ind w:left="1276" w:hanging="284"/>
    </w:pPr>
    <w:rPr>
      <w:color w:val="800080"/>
    </w:rPr>
  </w:style>
  <w:style w:type="paragraph" w:customStyle="1" w:styleId="GuidanceHeadingL1">
    <w:name w:val="Guidance Heading L1"/>
    <w:aliases w:val=" no TOC"/>
    <w:basedOn w:val="GuidanceHeading"/>
    <w:pPr>
      <w:spacing w:before="120"/>
      <w:outlineLvl w:val="9"/>
    </w:pPr>
  </w:style>
  <w:style w:type="paragraph" w:customStyle="1" w:styleId="GuidanceText">
    <w:name w:val="Guidance Text"/>
    <w:basedOn w:val="Normal"/>
    <w:pPr>
      <w:spacing w:before="60" w:after="48"/>
    </w:pPr>
    <w:rPr>
      <w:color w:val="800080"/>
      <w:sz w:val="20"/>
    </w:rPr>
  </w:style>
  <w:style w:type="paragraph" w:customStyle="1" w:styleId="GuidanceAdviceL1">
    <w:name w:val="GuidanceAdviceL1"/>
    <w:basedOn w:val="Normal"/>
    <w:pPr>
      <w:tabs>
        <w:tab w:val="num" w:pos="1701"/>
      </w:tabs>
      <w:spacing w:before="80" w:after="40"/>
      <w:ind w:left="992"/>
    </w:pPr>
    <w:rPr>
      <w:color w:val="800080"/>
      <w:sz w:val="20"/>
    </w:rPr>
  </w:style>
  <w:style w:type="paragraph" w:customStyle="1" w:styleId="GuidanceAdviceL1-nonum">
    <w:name w:val="GuidanceAdviceL1-no num"/>
    <w:basedOn w:val="GuidanceAdviceL1"/>
    <w:pPr>
      <w:tabs>
        <w:tab w:val="clear" w:pos="1701"/>
      </w:tabs>
      <w:spacing w:before="0"/>
    </w:pPr>
  </w:style>
  <w:style w:type="paragraph" w:customStyle="1" w:styleId="GuidanceAdviceL2">
    <w:name w:val="GuidanceAdviceL2"/>
    <w:basedOn w:val="GuidanceAdviceL1"/>
    <w:pPr>
      <w:tabs>
        <w:tab w:val="clear" w:pos="1701"/>
        <w:tab w:val="num" w:pos="360"/>
        <w:tab w:val="left" w:pos="1247"/>
      </w:tabs>
      <w:spacing w:before="0"/>
      <w:ind w:left="1276" w:hanging="284"/>
    </w:pPr>
  </w:style>
  <w:style w:type="paragraph" w:customStyle="1" w:styleId="GuidanceAdviceL3">
    <w:name w:val="GuidanceAdviceL3"/>
    <w:basedOn w:val="GuidanceAdviceL1"/>
    <w:pPr>
      <w:tabs>
        <w:tab w:val="clear" w:pos="1701"/>
        <w:tab w:val="num" w:pos="360"/>
        <w:tab w:val="left" w:pos="1985"/>
        <w:tab w:val="left" w:pos="2268"/>
      </w:tabs>
      <w:ind w:left="1985" w:hanging="851"/>
    </w:pPr>
  </w:style>
  <w:style w:type="paragraph" w:customStyle="1" w:styleId="H1">
    <w:name w:val="H1"/>
    <w:aliases w:val="Determination Title"/>
    <w:basedOn w:val="Heading1"/>
    <w:next w:val="BlockText-Clause"/>
    <w:pPr>
      <w:shd w:val="clear" w:color="FFFF00" w:fill="auto"/>
      <w:spacing w:after="120"/>
      <w:outlineLvl w:val="9"/>
    </w:pPr>
  </w:style>
  <w:style w:type="paragraph" w:styleId="Header">
    <w:name w:val="header"/>
    <w:basedOn w:val="Normal"/>
    <w:link w:val="HeaderChar"/>
    <w:uiPriority w:val="99"/>
    <w:pPr>
      <w:tabs>
        <w:tab w:val="center" w:pos="4153"/>
        <w:tab w:val="right" w:pos="8306"/>
      </w:tabs>
      <w:spacing w:before="40" w:after="40"/>
      <w:jc w:val="right"/>
    </w:pPr>
    <w:rPr>
      <w:sz w:val="18"/>
    </w:rPr>
  </w:style>
  <w:style w:type="paragraph" w:customStyle="1" w:styleId="Header1">
    <w:name w:val="Header1"/>
    <w:aliases w:val="small"/>
    <w:basedOn w:val="Header"/>
    <w:pPr>
      <w:keepLines w:val="0"/>
      <w:widowControl w:val="0"/>
      <w:tabs>
        <w:tab w:val="clear" w:pos="4153"/>
        <w:tab w:val="clear" w:pos="8306"/>
      </w:tabs>
      <w:spacing w:before="0" w:after="0"/>
    </w:pPr>
  </w:style>
  <w:style w:type="paragraph" w:customStyle="1" w:styleId="Header2">
    <w:name w:val="Header2"/>
    <w:aliases w:val="large"/>
    <w:basedOn w:val="Normal"/>
    <w:next w:val="Normal"/>
    <w:pPr>
      <w:pBdr>
        <w:bottom w:val="single" w:sz="6" w:space="1" w:color="800000"/>
      </w:pBdr>
      <w:spacing w:before="120" w:after="240"/>
    </w:pPr>
    <w:rPr>
      <w:b/>
      <w:color w:val="000080"/>
      <w:sz w:val="24"/>
      <w:lang w:val="en-US"/>
    </w:rPr>
  </w:style>
  <w:style w:type="character" w:styleId="Hyperlink">
    <w:name w:val="Hyperlink"/>
    <w:rPr>
      <w:color w:val="0000FF"/>
      <w:u w:val="single"/>
    </w:rPr>
  </w:style>
  <w:style w:type="paragraph" w:styleId="ListBullet">
    <w:name w:val="List Bullet"/>
    <w:basedOn w:val="Normal"/>
    <w:autoRedefine/>
    <w:pPr>
      <w:numPr>
        <w:numId w:val="12"/>
      </w:numPr>
    </w:pPr>
  </w:style>
  <w:style w:type="paragraph" w:styleId="ListBullet2">
    <w:name w:val="List Bullet 2"/>
    <w:basedOn w:val="Normal"/>
    <w:autoRedefine/>
    <w:pPr>
      <w:keepLines w:val="0"/>
      <w:numPr>
        <w:numId w:val="13"/>
      </w:numPr>
    </w:pPr>
    <w:rPr>
      <w:rFonts w:ascii="Times New Roman" w:hAnsi="Times New Roman"/>
      <w:sz w:val="24"/>
    </w:rPr>
  </w:style>
  <w:style w:type="paragraph" w:styleId="ListBullet3">
    <w:name w:val="List Bullet 3"/>
    <w:basedOn w:val="Normal"/>
    <w:autoRedefine/>
    <w:pPr>
      <w:keepLines w:val="0"/>
      <w:numPr>
        <w:numId w:val="14"/>
      </w:numPr>
    </w:pPr>
    <w:rPr>
      <w:rFonts w:ascii="Times New Roman" w:hAnsi="Times New Roman"/>
      <w:sz w:val="24"/>
    </w:rPr>
  </w:style>
  <w:style w:type="paragraph" w:styleId="ListBullet4">
    <w:name w:val="List Bullet 4"/>
    <w:basedOn w:val="Normal"/>
    <w:autoRedefine/>
    <w:pPr>
      <w:keepLines w:val="0"/>
      <w:numPr>
        <w:numId w:val="15"/>
      </w:numPr>
    </w:pPr>
    <w:rPr>
      <w:rFonts w:ascii="Times New Roman" w:hAnsi="Times New Roman"/>
      <w:sz w:val="24"/>
    </w:rPr>
  </w:style>
  <w:style w:type="paragraph" w:styleId="ListBullet5">
    <w:name w:val="List Bullet 5"/>
    <w:basedOn w:val="Normal"/>
    <w:autoRedefine/>
    <w:pPr>
      <w:keepLines w:val="0"/>
      <w:numPr>
        <w:numId w:val="16"/>
      </w:numPr>
    </w:pPr>
    <w:rPr>
      <w:rFonts w:ascii="Times New Roman" w:hAnsi="Times New Roman"/>
      <w:sz w:val="24"/>
    </w:rPr>
  </w:style>
  <w:style w:type="paragraph" w:styleId="ListNumber">
    <w:name w:val="List Number"/>
    <w:basedOn w:val="Normal"/>
    <w:pPr>
      <w:keepLines w:val="0"/>
      <w:numPr>
        <w:numId w:val="17"/>
      </w:numPr>
    </w:pPr>
    <w:rPr>
      <w:rFonts w:ascii="Times New Roman" w:hAnsi="Times New Roman"/>
      <w:sz w:val="24"/>
    </w:rPr>
  </w:style>
  <w:style w:type="paragraph" w:styleId="ListNumber2">
    <w:name w:val="List Number 2"/>
    <w:basedOn w:val="Normal"/>
    <w:pPr>
      <w:keepLines w:val="0"/>
      <w:numPr>
        <w:numId w:val="18"/>
      </w:numPr>
    </w:pPr>
    <w:rPr>
      <w:rFonts w:ascii="Times New Roman" w:hAnsi="Times New Roman"/>
      <w:sz w:val="24"/>
    </w:rPr>
  </w:style>
  <w:style w:type="paragraph" w:styleId="ListNumber3">
    <w:name w:val="List Number 3"/>
    <w:basedOn w:val="Normal"/>
    <w:pPr>
      <w:keepLines w:val="0"/>
      <w:numPr>
        <w:numId w:val="19"/>
      </w:numPr>
    </w:pPr>
    <w:rPr>
      <w:rFonts w:ascii="Times New Roman" w:hAnsi="Times New Roman"/>
      <w:sz w:val="24"/>
    </w:rPr>
  </w:style>
  <w:style w:type="paragraph" w:styleId="ListNumber4">
    <w:name w:val="List Number 4"/>
    <w:basedOn w:val="Normal"/>
    <w:pPr>
      <w:keepLines w:val="0"/>
      <w:numPr>
        <w:numId w:val="20"/>
      </w:numPr>
    </w:pPr>
    <w:rPr>
      <w:rFonts w:ascii="Times New Roman" w:hAnsi="Times New Roman"/>
      <w:sz w:val="24"/>
    </w:rPr>
  </w:style>
  <w:style w:type="paragraph" w:styleId="ListNumber5">
    <w:name w:val="List Number 5"/>
    <w:basedOn w:val="Normal"/>
    <w:pPr>
      <w:keepLines w:val="0"/>
      <w:numPr>
        <w:numId w:val="21"/>
      </w:numPr>
    </w:pPr>
    <w:rPr>
      <w:rFonts w:ascii="Times New Roman" w:hAnsi="Times New Roman"/>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styleId="PageNumber">
    <w:name w:val="page number"/>
    <w:basedOn w:val="DefaultParagraphFont"/>
  </w:style>
  <w:style w:type="paragraph" w:customStyle="1" w:styleId="Paraa">
    <w:name w:val="Para (a)"/>
    <w:basedOn w:val="Normal"/>
    <w:pPr>
      <w:ind w:left="1417" w:hanging="425"/>
    </w:pPr>
    <w:rPr>
      <w:rFonts w:ascii="Times New Roman" w:hAnsi="Times New Roman"/>
      <w:sz w:val="24"/>
    </w:rPr>
  </w:style>
  <w:style w:type="character" w:customStyle="1" w:styleId="Query">
    <w:name w:val="Query"/>
    <w:rPr>
      <w:rFonts w:ascii="Arial" w:hAnsi="Arial"/>
      <w:b/>
      <w:smallCaps/>
      <w:color w:val="990099"/>
      <w:sz w:val="20"/>
    </w:rPr>
  </w:style>
  <w:style w:type="paragraph" w:customStyle="1" w:styleId="ScheduleList">
    <w:name w:val="ScheduleList"/>
    <w:basedOn w:val="Normal"/>
    <w:next w:val="Normal"/>
    <w:pPr>
      <w:keepLines w:val="0"/>
      <w:numPr>
        <w:numId w:val="22"/>
      </w:numPr>
      <w:tabs>
        <w:tab w:val="left" w:pos="851"/>
        <w:tab w:val="left" w:pos="1985"/>
        <w:tab w:val="left" w:pos="2552"/>
        <w:tab w:val="left" w:pos="3119"/>
      </w:tabs>
      <w:jc w:val="both"/>
    </w:pPr>
    <w:rPr>
      <w:sz w:val="20"/>
    </w:rPr>
  </w:style>
  <w:style w:type="paragraph" w:customStyle="1" w:styleId="ScheduleListEntry">
    <w:name w:val="ScheduleListEntry"/>
    <w:basedOn w:val="Normal"/>
    <w:pPr>
      <w:keepLines w:val="0"/>
      <w:numPr>
        <w:numId w:val="23"/>
      </w:numPr>
      <w:tabs>
        <w:tab w:val="clear" w:pos="360"/>
        <w:tab w:val="left" w:pos="851"/>
        <w:tab w:val="left" w:pos="1418"/>
        <w:tab w:val="left" w:pos="1985"/>
        <w:tab w:val="left" w:pos="3119"/>
      </w:tabs>
      <w:ind w:left="851" w:hanging="851"/>
      <w:jc w:val="both"/>
    </w:pPr>
    <w:rPr>
      <w:sz w:val="20"/>
    </w:rPr>
  </w:style>
  <w:style w:type="character" w:styleId="Strong">
    <w:name w:val="Strong"/>
    <w:uiPriority w:val="22"/>
    <w:qFormat/>
    <w:rPr>
      <w:b/>
    </w:rPr>
  </w:style>
  <w:style w:type="paragraph" w:customStyle="1" w:styleId="TableBullet1">
    <w:name w:val="Table Bullet 1"/>
    <w:basedOn w:val="Normal"/>
    <w:pPr>
      <w:numPr>
        <w:numId w:val="24"/>
      </w:numPr>
      <w:spacing w:before="60" w:after="30"/>
    </w:pPr>
    <w:rPr>
      <w:sz w:val="20"/>
    </w:rPr>
  </w:style>
  <w:style w:type="paragraph" w:customStyle="1" w:styleId="TableBullet2">
    <w:name w:val="Table Bullet 2"/>
    <w:basedOn w:val="TableBullet1"/>
    <w:pPr>
      <w:numPr>
        <w:ilvl w:val="1"/>
        <w:numId w:val="25"/>
      </w:numPr>
      <w:spacing w:before="0"/>
    </w:pPr>
  </w:style>
  <w:style w:type="paragraph" w:customStyle="1" w:styleId="TableHeaderArial">
    <w:name w:val="Table Header (Arial)"/>
    <w:basedOn w:val="Normal"/>
    <w:pPr>
      <w:keepNext/>
      <w:spacing w:before="40" w:after="20"/>
      <w:jc w:val="center"/>
    </w:pPr>
    <w:rPr>
      <w:b/>
      <w:sz w:val="20"/>
    </w:rPr>
  </w:style>
  <w:style w:type="paragraph" w:customStyle="1" w:styleId="TableTextArial-ctrd">
    <w:name w:val="Table Text (Arial - ctrd)"/>
    <w:basedOn w:val="Normal"/>
    <w:pPr>
      <w:keepLines w:val="0"/>
      <w:widowControl w:val="0"/>
      <w:numPr>
        <w:ilvl w:val="12"/>
      </w:numPr>
      <w:spacing w:before="20"/>
      <w:jc w:val="center"/>
    </w:pPr>
    <w:rPr>
      <w:sz w:val="20"/>
    </w:rPr>
  </w:style>
  <w:style w:type="paragraph" w:customStyle="1" w:styleId="TableTextArial-Ctrd0">
    <w:name w:val="Table Text (Arial - Ctrd)"/>
    <w:basedOn w:val="Normal"/>
    <w:pPr>
      <w:keepLines w:val="0"/>
      <w:widowControl w:val="0"/>
      <w:numPr>
        <w:ilvl w:val="12"/>
      </w:numPr>
      <w:spacing w:before="20"/>
      <w:jc w:val="center"/>
    </w:pPr>
    <w:rPr>
      <w:sz w:val="20"/>
    </w:rPr>
  </w:style>
  <w:style w:type="paragraph" w:customStyle="1" w:styleId="TableTextArial-left">
    <w:name w:val="Table Text (Arial - left)"/>
    <w:basedOn w:val="Normal"/>
    <w:pPr>
      <w:keepLines w:val="0"/>
      <w:spacing w:before="20" w:after="20"/>
    </w:pPr>
    <w:rPr>
      <w:sz w:val="20"/>
    </w:rPr>
  </w:style>
  <w:style w:type="paragraph" w:customStyle="1" w:styleId="TableTextNumbered">
    <w:name w:val="Table Text (Numbered)"/>
    <w:basedOn w:val="Normal"/>
    <w:pPr>
      <w:tabs>
        <w:tab w:val="left" w:pos="284"/>
      </w:tabs>
      <w:spacing w:before="40" w:after="20"/>
      <w:ind w:left="284" w:hanging="284"/>
    </w:pPr>
    <w:rPr>
      <w:sz w:val="20"/>
    </w:rPr>
  </w:style>
  <w:style w:type="paragraph" w:customStyle="1" w:styleId="TOC">
    <w:name w:val="TOC"/>
    <w:basedOn w:val="Normal"/>
    <w:pPr>
      <w:keepLines w:val="0"/>
    </w:pPr>
    <w:rPr>
      <w:rFonts w:ascii="Times New Roman" w:hAnsi="Times New Roman"/>
      <w:sz w:val="24"/>
    </w:rPr>
  </w:style>
  <w:style w:type="paragraph" w:styleId="TOC1">
    <w:name w:val="toc 1"/>
    <w:basedOn w:val="Normal"/>
    <w:next w:val="Normal"/>
    <w:autoRedefine/>
    <w:uiPriority w:val="39"/>
    <w:rsid w:val="00FD1868"/>
    <w:pPr>
      <w:keepNext/>
      <w:tabs>
        <w:tab w:val="left" w:pos="1701"/>
        <w:tab w:val="right" w:pos="9027"/>
      </w:tabs>
      <w:spacing w:before="120"/>
      <w:ind w:left="1701" w:right="1134" w:hanging="1701"/>
    </w:pPr>
    <w:rPr>
      <w:b/>
      <w:noProof/>
      <w:color w:val="0000FF"/>
      <w:sz w:val="28"/>
    </w:rPr>
  </w:style>
  <w:style w:type="paragraph" w:styleId="TOC2">
    <w:name w:val="toc 2"/>
    <w:basedOn w:val="Normal"/>
    <w:next w:val="Normal"/>
    <w:link w:val="TOC2Char"/>
    <w:autoRedefine/>
    <w:uiPriority w:val="39"/>
    <w:rsid w:val="00CA1B78"/>
    <w:pPr>
      <w:widowControl w:val="0"/>
      <w:tabs>
        <w:tab w:val="right" w:pos="9072"/>
      </w:tabs>
      <w:spacing w:before="60" w:after="60"/>
      <w:ind w:right="1134"/>
    </w:pPr>
    <w:rPr>
      <w:rFonts w:cs="Arial"/>
      <w:b/>
      <w:sz w:val="21"/>
      <w:szCs w:val="24"/>
    </w:rPr>
  </w:style>
  <w:style w:type="paragraph" w:styleId="TOC3">
    <w:name w:val="toc 3"/>
    <w:basedOn w:val="Normal"/>
    <w:next w:val="Normal"/>
    <w:autoRedefine/>
    <w:uiPriority w:val="39"/>
    <w:rsid w:val="003C1A24"/>
    <w:pPr>
      <w:widowControl w:val="0"/>
      <w:tabs>
        <w:tab w:val="left" w:pos="1701"/>
        <w:tab w:val="right" w:leader="dot" w:pos="9072"/>
      </w:tabs>
      <w:spacing w:before="60" w:after="60"/>
      <w:ind w:left="284" w:right="1134"/>
    </w:pPr>
    <w:rPr>
      <w:b/>
      <w:noProof/>
      <w:sz w:val="20"/>
    </w:rPr>
  </w:style>
  <w:style w:type="paragraph" w:styleId="TOC4">
    <w:name w:val="toc 4"/>
    <w:basedOn w:val="Normal"/>
    <w:next w:val="Normal"/>
    <w:autoRedefine/>
    <w:uiPriority w:val="39"/>
    <w:rsid w:val="00422642"/>
    <w:pPr>
      <w:keepNext/>
      <w:widowControl w:val="0"/>
      <w:tabs>
        <w:tab w:val="right" w:leader="dot" w:pos="9072"/>
      </w:tabs>
      <w:spacing w:before="60" w:after="60"/>
      <w:ind w:left="567" w:right="567"/>
    </w:pPr>
    <w:rPr>
      <w:noProof/>
      <w:sz w:val="20"/>
    </w:rPr>
  </w:style>
  <w:style w:type="paragraph" w:styleId="TOC5">
    <w:name w:val="toc 5"/>
    <w:basedOn w:val="Normal"/>
    <w:next w:val="Normal"/>
    <w:link w:val="TOC5Char"/>
    <w:autoRedefine/>
    <w:uiPriority w:val="39"/>
    <w:rsid w:val="006054E1"/>
    <w:pPr>
      <w:widowControl w:val="0"/>
      <w:tabs>
        <w:tab w:val="right" w:leader="dot" w:pos="9072"/>
      </w:tabs>
      <w:spacing w:before="60" w:after="60"/>
      <w:ind w:left="567" w:right="1134"/>
    </w:pPr>
    <w:rPr>
      <w:noProof/>
      <w:sz w:val="20"/>
    </w:rPr>
  </w:style>
  <w:style w:type="paragraph" w:styleId="TOC6">
    <w:name w:val="toc 6"/>
    <w:basedOn w:val="Normal"/>
    <w:next w:val="Normal"/>
    <w:autoRedefine/>
    <w:uiPriority w:val="39"/>
    <w:pPr>
      <w:tabs>
        <w:tab w:val="right" w:pos="8505"/>
      </w:tabs>
      <w:spacing w:before="40"/>
      <w:ind w:left="1701" w:right="1701"/>
    </w:pPr>
    <w:rPr>
      <w:noProof/>
      <w:color w:val="800080"/>
      <w:sz w:val="20"/>
    </w:rPr>
  </w:style>
  <w:style w:type="paragraph" w:styleId="TOC7">
    <w:name w:val="toc 7"/>
    <w:basedOn w:val="Normal"/>
    <w:next w:val="Normal"/>
    <w:autoRedefine/>
    <w:uiPriority w:val="39"/>
    <w:pPr>
      <w:ind w:left="1440"/>
    </w:pPr>
    <w:rPr>
      <w:color w:val="0000FF"/>
    </w:rPr>
  </w:style>
  <w:style w:type="paragraph" w:styleId="TOC8">
    <w:name w:val="toc 8"/>
    <w:basedOn w:val="Normal"/>
    <w:next w:val="Normal"/>
    <w:autoRedefine/>
    <w:uiPriority w:val="39"/>
    <w:pPr>
      <w:ind w:left="1680"/>
    </w:pPr>
    <w:rPr>
      <w:color w:val="0000FF"/>
    </w:rPr>
  </w:style>
  <w:style w:type="paragraph" w:styleId="TOC9">
    <w:name w:val="toc 9"/>
    <w:basedOn w:val="Normal"/>
    <w:next w:val="Normal"/>
    <w:autoRedefine/>
    <w:uiPriority w:val="39"/>
    <w:pPr>
      <w:ind w:left="1920"/>
    </w:pPr>
    <w:rPr>
      <w:color w:val="0000FF"/>
    </w:rPr>
  </w:style>
  <w:style w:type="paragraph" w:styleId="TOCHeading">
    <w:name w:val="TOC Heading"/>
    <w:basedOn w:val="Normal"/>
    <w:next w:val="Normal"/>
    <w:qFormat/>
    <w:pPr>
      <w:tabs>
        <w:tab w:val="left" w:pos="1985"/>
      </w:tabs>
      <w:spacing w:before="240"/>
      <w:ind w:left="1984" w:hanging="992"/>
    </w:pPr>
    <w:rPr>
      <w:b/>
    </w:rPr>
  </w:style>
  <w:style w:type="paragraph" w:customStyle="1" w:styleId="TOCText1Arial">
    <w:name w:val="TOC Text 1 (Arial)"/>
    <w:basedOn w:val="Normal"/>
    <w:pPr>
      <w:tabs>
        <w:tab w:val="left" w:pos="1276"/>
        <w:tab w:val="left" w:pos="3119"/>
      </w:tabs>
      <w:spacing w:before="120"/>
      <w:ind w:left="3119" w:hanging="1134"/>
    </w:pPr>
  </w:style>
  <w:style w:type="paragraph" w:customStyle="1" w:styleId="Updated">
    <w:name w:val="Updated"/>
    <w:basedOn w:val="Normal"/>
    <w:next w:val="Normal"/>
    <w:pPr>
      <w:jc w:val="right"/>
    </w:pPr>
    <w:rPr>
      <w:i/>
      <w:sz w:val="18"/>
    </w:rPr>
  </w:style>
  <w:style w:type="paragraph" w:styleId="DocumentMap">
    <w:name w:val="Document Map"/>
    <w:basedOn w:val="Normal"/>
    <w:semiHidden/>
    <w:pPr>
      <w:shd w:val="clear" w:color="auto" w:fill="000080"/>
    </w:pPr>
    <w:rPr>
      <w:rFonts w:ascii="Tahoma" w:hAnsi="Tahoma"/>
    </w:rPr>
  </w:style>
  <w:style w:type="paragraph" w:customStyle="1" w:styleId="tabletext">
    <w:name w:val="table text"/>
    <w:basedOn w:val="Normal"/>
    <w:pPr>
      <w:keepLines w:val="0"/>
      <w:tabs>
        <w:tab w:val="left" w:pos="1418"/>
        <w:tab w:val="right" w:pos="9072"/>
      </w:tabs>
      <w:spacing w:before="120"/>
      <w:ind w:left="2977" w:hanging="2977"/>
    </w:pPr>
    <w:rPr>
      <w:sz w:val="20"/>
    </w:rPr>
  </w:style>
  <w:style w:type="paragraph" w:customStyle="1" w:styleId="BulletText1">
    <w:name w:val="Bullet Text 1"/>
    <w:basedOn w:val="Normal"/>
    <w:pPr>
      <w:numPr>
        <w:numId w:val="28"/>
      </w:numPr>
    </w:pPr>
  </w:style>
  <w:style w:type="paragraph" w:customStyle="1" w:styleId="Guidancadvice">
    <w:name w:val="Guidanc advice"/>
    <w:basedOn w:val="Normal"/>
    <w:pPr>
      <w:keepLines w:val="0"/>
      <w:tabs>
        <w:tab w:val="left" w:pos="1134"/>
      </w:tabs>
      <w:spacing w:before="120"/>
      <w:outlineLvl w:val="0"/>
    </w:pPr>
    <w:rPr>
      <w:color w:val="0000FF"/>
      <w:sz w:val="20"/>
    </w:rPr>
  </w:style>
  <w:style w:type="paragraph" w:customStyle="1" w:styleId="Clause2">
    <w:name w:val="Clause (2)"/>
    <w:basedOn w:val="Normal"/>
    <w:pPr>
      <w:keepLines w:val="0"/>
      <w:tabs>
        <w:tab w:val="right" w:pos="794"/>
      </w:tabs>
      <w:spacing w:before="180" w:line="260" w:lineRule="exact"/>
      <w:ind w:left="964" w:hanging="964"/>
      <w:jc w:val="both"/>
    </w:pPr>
    <w:rPr>
      <w:rFonts w:ascii="Times New Roman" w:hAnsi="Times New Roman"/>
      <w:sz w:val="24"/>
    </w:rPr>
  </w:style>
  <w:style w:type="paragraph" w:customStyle="1" w:styleId="Clausenoteheading">
    <w:name w:val="Clause note heading"/>
    <w:basedOn w:val="Heading4"/>
    <w:pPr>
      <w:keepLines w:val="0"/>
      <w:tabs>
        <w:tab w:val="left" w:pos="794"/>
      </w:tabs>
      <w:spacing w:before="0" w:after="0"/>
      <w:ind w:left="964" w:hanging="964"/>
      <w:jc w:val="center"/>
    </w:pPr>
    <w:rPr>
      <w:rFonts w:ascii="Times New Roman" w:hAnsi="Times New Roman"/>
      <w:b w:val="0"/>
      <w:color w:val="auto"/>
      <w:sz w:val="24"/>
    </w:rPr>
  </w:style>
  <w:style w:type="paragraph" w:customStyle="1" w:styleId="AppendixList">
    <w:name w:val="AppendixList"/>
    <w:basedOn w:val="Normal"/>
    <w:next w:val="Normal"/>
    <w:pPr>
      <w:keepLines w:val="0"/>
      <w:numPr>
        <w:numId w:val="2"/>
      </w:numPr>
      <w:tabs>
        <w:tab w:val="left" w:pos="851"/>
        <w:tab w:val="left" w:pos="1418"/>
        <w:tab w:val="left" w:pos="1985"/>
        <w:tab w:val="left" w:pos="2552"/>
        <w:tab w:val="left" w:pos="3119"/>
      </w:tabs>
      <w:ind w:left="0" w:firstLine="0"/>
      <w:jc w:val="both"/>
    </w:pPr>
    <w:rPr>
      <w:b/>
      <w:sz w:val="20"/>
    </w:rPr>
  </w:style>
  <w:style w:type="paragraph" w:customStyle="1" w:styleId="SecCDFEntry">
    <w:name w:val="SecCDFEntry"/>
    <w:basedOn w:val="Normal"/>
    <w:pPr>
      <w:keepLines w:val="0"/>
      <w:tabs>
        <w:tab w:val="left" w:pos="794"/>
      </w:tabs>
      <w:spacing w:after="120"/>
      <w:ind w:left="1134" w:hanging="567"/>
    </w:pPr>
    <w:rPr>
      <w:color w:val="0000FF"/>
      <w:sz w:val="20"/>
    </w:rPr>
  </w:style>
  <w:style w:type="paragraph" w:customStyle="1" w:styleId="SecCDF">
    <w:name w:val="SecCDF"/>
    <w:basedOn w:val="SecCDFEntry"/>
    <w:next w:val="SecCDFEntry"/>
    <w:pPr>
      <w:spacing w:before="120" w:after="0"/>
      <w:ind w:left="0" w:firstLine="0"/>
    </w:pPr>
    <w:rPr>
      <w:b/>
    </w:rPr>
  </w:style>
  <w:style w:type="paragraph" w:customStyle="1" w:styleId="DFRTparalevel2">
    <w:name w:val="DFRT para level2"/>
    <w:basedOn w:val="Normal"/>
    <w:pPr>
      <w:keepLines w:val="0"/>
      <w:tabs>
        <w:tab w:val="left" w:pos="794"/>
        <w:tab w:val="left" w:pos="1418"/>
        <w:tab w:val="left" w:pos="1985"/>
      </w:tabs>
      <w:ind w:left="1418"/>
    </w:pPr>
    <w:rPr>
      <w:rFonts w:ascii="Times New Roman" w:hAnsi="Times New Roman"/>
      <w:sz w:val="24"/>
    </w:rPr>
  </w:style>
  <w:style w:type="paragraph" w:customStyle="1" w:styleId="clause0">
    <w:name w:val="clause"/>
    <w:basedOn w:val="Normal"/>
    <w:pPr>
      <w:keepLines w:val="0"/>
      <w:tabs>
        <w:tab w:val="right" w:pos="851"/>
        <w:tab w:val="right" w:pos="9072"/>
      </w:tabs>
      <w:spacing w:before="180" w:line="260" w:lineRule="exact"/>
      <w:ind w:left="964" w:hanging="964"/>
    </w:pPr>
    <w:rPr>
      <w:rFonts w:ascii="Times New Roman" w:hAnsi="Times New Roman"/>
      <w:sz w:val="24"/>
    </w:rPr>
  </w:style>
  <w:style w:type="paragraph" w:customStyle="1" w:styleId="paraa0">
    <w:name w:val="para (a)"/>
    <w:basedOn w:val="Normal"/>
    <w:pPr>
      <w:keepLines w:val="0"/>
      <w:tabs>
        <w:tab w:val="right" w:pos="1191"/>
      </w:tabs>
      <w:spacing w:before="60" w:line="260" w:lineRule="exact"/>
      <w:ind w:left="1418" w:hanging="1418"/>
    </w:pPr>
    <w:rPr>
      <w:rFonts w:ascii="Times New Roman" w:hAnsi="Times New Roman"/>
      <w:sz w:val="24"/>
    </w:rPr>
  </w:style>
  <w:style w:type="paragraph" w:customStyle="1" w:styleId="Note">
    <w:name w:val="Note"/>
    <w:basedOn w:val="Normal"/>
    <w:next w:val="Normal"/>
    <w:pPr>
      <w:keepLines w:val="0"/>
      <w:spacing w:before="120" w:line="220" w:lineRule="exact"/>
      <w:ind w:left="964"/>
    </w:pPr>
    <w:rPr>
      <w:rFonts w:ascii="Times New Roman" w:hAnsi="Times New Roman"/>
      <w:sz w:val="20"/>
    </w:rPr>
  </w:style>
  <w:style w:type="paragraph" w:customStyle="1" w:styleId="Unpara1">
    <w:name w:val="Unpara1"/>
    <w:basedOn w:val="Normal"/>
    <w:pPr>
      <w:keepLines w:val="0"/>
    </w:pPr>
    <w:rPr>
      <w:sz w:val="20"/>
    </w:rPr>
  </w:style>
  <w:style w:type="paragraph" w:customStyle="1" w:styleId="Chapter">
    <w:name w:val="Chapter"/>
    <w:basedOn w:val="Heading7"/>
    <w:pPr>
      <w:keepNext/>
      <w:keepLines w:val="0"/>
      <w:spacing w:after="0"/>
      <w:ind w:left="360"/>
      <w:jc w:val="center"/>
      <w:outlineLvl w:val="9"/>
    </w:pPr>
    <w:rPr>
      <w:b/>
      <w:caps/>
      <w:sz w:val="20"/>
    </w:rPr>
  </w:style>
  <w:style w:type="paragraph" w:customStyle="1" w:styleId="Table">
    <w:name w:val="Table"/>
    <w:basedOn w:val="Normal"/>
    <w:pPr>
      <w:keepLines w:val="0"/>
    </w:pPr>
    <w:rPr>
      <w:sz w:val="20"/>
    </w:rPr>
  </w:style>
  <w:style w:type="paragraph" w:customStyle="1" w:styleId="TableColumnHeading">
    <w:name w:val="Table Column Heading"/>
    <w:basedOn w:val="Normal"/>
    <w:pPr>
      <w:keepLines w:val="0"/>
      <w:spacing w:before="180"/>
    </w:pPr>
    <w:rPr>
      <w:b/>
      <w:sz w:val="18"/>
    </w:rPr>
  </w:style>
  <w:style w:type="paragraph" w:customStyle="1" w:styleId="ADF">
    <w:name w:val="ADF"/>
    <w:basedOn w:val="SecCDF"/>
    <w:next w:val="ADFEntry"/>
    <w:pPr>
      <w:tabs>
        <w:tab w:val="clear" w:pos="794"/>
      </w:tabs>
    </w:pPr>
  </w:style>
  <w:style w:type="paragraph" w:customStyle="1" w:styleId="ADFEntry">
    <w:name w:val="ADFEntry"/>
    <w:basedOn w:val="GuidanceAdviceL1"/>
    <w:pPr>
      <w:keepLines w:val="0"/>
      <w:pBdr>
        <w:left w:val="single" w:sz="4" w:space="4" w:color="auto"/>
      </w:pBdr>
      <w:tabs>
        <w:tab w:val="clear" w:pos="1701"/>
        <w:tab w:val="left" w:pos="1134"/>
      </w:tabs>
      <w:spacing w:before="120" w:after="120"/>
      <w:ind w:left="0"/>
      <w:outlineLvl w:val="0"/>
    </w:pPr>
    <w:rPr>
      <w:color w:val="0000FF"/>
    </w:rPr>
  </w:style>
  <w:style w:type="paragraph" w:customStyle="1" w:styleId="AnnexGroup">
    <w:name w:val="AnnexGroup"/>
    <w:basedOn w:val="Normal"/>
    <w:pPr>
      <w:keepLines w:val="0"/>
      <w:pBdr>
        <w:left w:val="single" w:sz="4" w:space="4" w:color="auto"/>
      </w:pBdr>
      <w:spacing w:before="120" w:after="120"/>
    </w:pPr>
    <w:rPr>
      <w:b/>
      <w:color w:val="0000FF"/>
      <w:sz w:val="20"/>
    </w:rPr>
  </w:style>
  <w:style w:type="paragraph" w:customStyle="1" w:styleId="AnnexList">
    <w:name w:val="AnnexList"/>
    <w:basedOn w:val="Normal"/>
    <w:next w:val="AppendixListEntry"/>
    <w:pPr>
      <w:keepLines w:val="0"/>
      <w:tabs>
        <w:tab w:val="num" w:pos="360"/>
        <w:tab w:val="left" w:pos="851"/>
        <w:tab w:val="left" w:pos="1418"/>
        <w:tab w:val="left" w:pos="1985"/>
        <w:tab w:val="left" w:pos="2552"/>
        <w:tab w:val="left" w:pos="3119"/>
      </w:tabs>
      <w:jc w:val="both"/>
    </w:pPr>
    <w:rPr>
      <w:sz w:val="20"/>
    </w:rPr>
  </w:style>
  <w:style w:type="paragraph" w:customStyle="1" w:styleId="AnnexListEntry">
    <w:name w:val="AnnexListEntry"/>
    <w:basedOn w:val="Normal"/>
    <w:pPr>
      <w:keepLines w:val="0"/>
      <w:numPr>
        <w:numId w:val="1"/>
      </w:numPr>
      <w:tabs>
        <w:tab w:val="clear" w:pos="360"/>
        <w:tab w:val="left" w:pos="851"/>
        <w:tab w:val="left" w:pos="1418"/>
        <w:tab w:val="left" w:pos="1985"/>
        <w:tab w:val="left" w:pos="3119"/>
      </w:tabs>
      <w:ind w:left="851" w:hanging="851"/>
    </w:pPr>
    <w:rPr>
      <w:sz w:val="20"/>
    </w:rPr>
  </w:style>
  <w:style w:type="paragraph" w:customStyle="1" w:styleId="AnnexTitle">
    <w:name w:val="AnnexTitle"/>
    <w:basedOn w:val="Normal"/>
    <w:next w:val="PartHeading"/>
    <w:autoRedefine/>
    <w:pPr>
      <w:keepNext/>
      <w:tabs>
        <w:tab w:val="left" w:pos="2268"/>
      </w:tabs>
      <w:spacing w:before="120"/>
      <w:ind w:left="2268" w:hanging="2268"/>
    </w:pPr>
    <w:rPr>
      <w:b/>
      <w:color w:val="0000FF"/>
      <w:sz w:val="28"/>
    </w:rPr>
  </w:style>
  <w:style w:type="paragraph" w:customStyle="1" w:styleId="PartHeading">
    <w:name w:val="Part Heading"/>
    <w:basedOn w:val="Normal"/>
    <w:next w:val="ClauseHeading"/>
    <w:rsid w:val="00E707ED"/>
    <w:pPr>
      <w:keepNext/>
      <w:keepLines w:val="0"/>
      <w:pageBreakBefore/>
      <w:spacing w:before="360"/>
      <w:ind w:left="2268" w:hanging="2268"/>
    </w:pPr>
    <w:rPr>
      <w:b/>
      <w:sz w:val="32"/>
    </w:rPr>
  </w:style>
  <w:style w:type="paragraph" w:customStyle="1" w:styleId="Clause1">
    <w:name w:val="Clause (1)"/>
    <w:basedOn w:val="Normal"/>
    <w:pPr>
      <w:keepLines w:val="0"/>
      <w:tabs>
        <w:tab w:val="right" w:pos="794"/>
      </w:tabs>
      <w:spacing w:before="120" w:line="240" w:lineRule="exact"/>
      <w:ind w:left="964" w:hanging="964"/>
      <w:jc w:val="both"/>
    </w:pPr>
    <w:rPr>
      <w:rFonts w:ascii="Times New Roman" w:hAnsi="Times New Roman"/>
      <w:sz w:val="24"/>
    </w:rPr>
  </w:style>
  <w:style w:type="paragraph" w:customStyle="1" w:styleId="AppendixTitle">
    <w:name w:val="AppendixTitle"/>
    <w:basedOn w:val="Normal"/>
    <w:next w:val="PartHeading"/>
    <w:pPr>
      <w:keepNext/>
      <w:tabs>
        <w:tab w:val="left" w:pos="2268"/>
      </w:tabs>
      <w:spacing w:before="120"/>
    </w:pPr>
    <w:rPr>
      <w:b/>
      <w:sz w:val="28"/>
    </w:rPr>
  </w:style>
  <w:style w:type="paragraph" w:customStyle="1" w:styleId="Clausecontinued">
    <w:name w:val="Clause continued"/>
    <w:basedOn w:val="Normal"/>
    <w:next w:val="Clause2"/>
    <w:pPr>
      <w:keepLines w:val="0"/>
      <w:spacing w:before="60" w:line="260" w:lineRule="exact"/>
      <w:ind w:left="964"/>
      <w:jc w:val="both"/>
    </w:pPr>
    <w:rPr>
      <w:rFonts w:ascii="Times New Roman" w:hAnsi="Times New Roman"/>
      <w:sz w:val="24"/>
    </w:rPr>
  </w:style>
  <w:style w:type="paragraph" w:customStyle="1" w:styleId="Contents">
    <w:name w:val="Contents"/>
    <w:basedOn w:val="TOC"/>
    <w:pPr>
      <w:tabs>
        <w:tab w:val="center" w:pos="7371"/>
      </w:tabs>
      <w:spacing w:before="240"/>
    </w:pPr>
    <w:rPr>
      <w:rFonts w:ascii="Arial" w:hAnsi="Arial"/>
      <w:b/>
      <w:color w:val="0000FF"/>
      <w:sz w:val="20"/>
    </w:rPr>
  </w:style>
  <w:style w:type="paragraph" w:customStyle="1" w:styleId="ContentsSectionBreak">
    <w:name w:val="Contents Section Break"/>
    <w:basedOn w:val="Normal"/>
    <w:pPr>
      <w:keepLines w:val="0"/>
    </w:pPr>
    <w:rPr>
      <w:rFonts w:ascii="Times New Roman" w:hAnsi="Times New Roman"/>
      <w:sz w:val="24"/>
    </w:rPr>
  </w:style>
  <w:style w:type="paragraph" w:customStyle="1" w:styleId="DeterminationL1">
    <w:name w:val="DeterminationL1"/>
    <w:basedOn w:val="Normal"/>
    <w:pPr>
      <w:keepLines w:val="0"/>
      <w:ind w:left="567" w:hanging="567"/>
    </w:pPr>
    <w:rPr>
      <w:rFonts w:ascii="Times New Roman" w:hAnsi="Times New Roman"/>
      <w:sz w:val="24"/>
    </w:rPr>
  </w:style>
  <w:style w:type="paragraph" w:customStyle="1" w:styleId="DeterminationL2">
    <w:name w:val="DeterminationL2"/>
    <w:basedOn w:val="DeterminationL1"/>
    <w:pPr>
      <w:spacing w:before="120"/>
      <w:ind w:left="1418"/>
    </w:pPr>
  </w:style>
  <w:style w:type="paragraph" w:customStyle="1" w:styleId="DeterminationL3">
    <w:name w:val="DeterminationL3"/>
    <w:basedOn w:val="DeterminationL2"/>
    <w:pPr>
      <w:ind w:left="1985"/>
    </w:pPr>
  </w:style>
  <w:style w:type="paragraph" w:customStyle="1" w:styleId="DeterminationL4">
    <w:name w:val="DeterminationL4"/>
    <w:basedOn w:val="DeterminationL3"/>
    <w:pPr>
      <w:ind w:left="2552"/>
    </w:pPr>
  </w:style>
  <w:style w:type="paragraph" w:customStyle="1" w:styleId="DeterminationL5">
    <w:name w:val="DeterminationL5"/>
    <w:basedOn w:val="DeterminationL4"/>
    <w:pPr>
      <w:ind w:left="3119"/>
    </w:pPr>
  </w:style>
  <w:style w:type="paragraph" w:customStyle="1" w:styleId="DotPoint1">
    <w:name w:val="DotPoint1"/>
    <w:basedOn w:val="Normal"/>
    <w:autoRedefine/>
    <w:pPr>
      <w:keepLines w:val="0"/>
      <w:numPr>
        <w:numId w:val="3"/>
      </w:numPr>
      <w:tabs>
        <w:tab w:val="left" w:pos="3119"/>
      </w:tabs>
      <w:spacing w:before="240"/>
    </w:pPr>
    <w:rPr>
      <w:color w:val="0000FF"/>
      <w:sz w:val="20"/>
    </w:rPr>
  </w:style>
  <w:style w:type="paragraph" w:customStyle="1" w:styleId="DotPoint2">
    <w:name w:val="DotPoint2"/>
    <w:basedOn w:val="Normal"/>
    <w:autoRedefine/>
    <w:pPr>
      <w:keepLines w:val="0"/>
      <w:tabs>
        <w:tab w:val="left" w:pos="3119"/>
      </w:tabs>
      <w:spacing w:before="240"/>
      <w:ind w:left="1134" w:hanging="567"/>
      <w:jc w:val="both"/>
    </w:pPr>
    <w:rPr>
      <w:color w:val="0000FF"/>
      <w:sz w:val="20"/>
    </w:rPr>
  </w:style>
  <w:style w:type="paragraph" w:customStyle="1" w:styleId="DotPoint3">
    <w:name w:val="DotPoint3"/>
    <w:basedOn w:val="Normal"/>
    <w:autoRedefine/>
    <w:pPr>
      <w:keepLines w:val="0"/>
      <w:tabs>
        <w:tab w:val="left" w:pos="851"/>
        <w:tab w:val="left" w:pos="1418"/>
        <w:tab w:val="left" w:pos="1985"/>
        <w:tab w:val="left" w:pos="2552"/>
        <w:tab w:val="left" w:pos="3119"/>
      </w:tabs>
      <w:spacing w:before="240"/>
      <w:ind w:left="1701" w:hanging="567"/>
      <w:jc w:val="both"/>
    </w:pPr>
    <w:rPr>
      <w:color w:val="0000FF"/>
      <w:sz w:val="20"/>
    </w:rPr>
  </w:style>
  <w:style w:type="paragraph" w:customStyle="1" w:styleId="UnNumbered1">
    <w:name w:val="UnNumbered1"/>
    <w:basedOn w:val="Normal"/>
    <w:pPr>
      <w:keepLines w:val="0"/>
      <w:tabs>
        <w:tab w:val="left" w:pos="851"/>
        <w:tab w:val="left" w:pos="1418"/>
        <w:tab w:val="left" w:pos="1985"/>
        <w:tab w:val="left" w:pos="2552"/>
        <w:tab w:val="left" w:pos="3119"/>
      </w:tabs>
      <w:spacing w:before="240"/>
      <w:jc w:val="both"/>
    </w:pPr>
    <w:rPr>
      <w:sz w:val="20"/>
    </w:rPr>
  </w:style>
  <w:style w:type="paragraph" w:customStyle="1" w:styleId="EG">
    <w:name w:val="EG"/>
    <w:basedOn w:val="UnNumbered1"/>
    <w:next w:val="EGEntry"/>
    <w:pPr>
      <w:numPr>
        <w:numId w:val="4"/>
      </w:numPr>
      <w:spacing w:before="0"/>
    </w:pPr>
    <w:rPr>
      <w:color w:val="0000FF"/>
    </w:rPr>
  </w:style>
  <w:style w:type="paragraph" w:customStyle="1" w:styleId="EGEntry">
    <w:name w:val="EGEntry"/>
    <w:basedOn w:val="UnNumbered1"/>
    <w:rPr>
      <w:color w:val="0000FF"/>
    </w:rPr>
  </w:style>
  <w:style w:type="paragraph" w:customStyle="1" w:styleId="ExampleBody">
    <w:name w:val="Example Body"/>
    <w:basedOn w:val="Normal"/>
    <w:pPr>
      <w:keepLines w:val="0"/>
      <w:spacing w:before="60" w:line="220" w:lineRule="exact"/>
      <w:ind w:left="964"/>
      <w:jc w:val="both"/>
    </w:pPr>
    <w:rPr>
      <w:rFonts w:ascii="Times New Roman" w:hAnsi="Times New Roman"/>
      <w:sz w:val="24"/>
    </w:rPr>
  </w:style>
  <w:style w:type="paragraph" w:customStyle="1" w:styleId="ExampleHeading">
    <w:name w:val="Example Heading"/>
    <w:basedOn w:val="Normal"/>
    <w:next w:val="ExampleBody"/>
    <w:pPr>
      <w:keepNext/>
      <w:keepLines w:val="0"/>
      <w:spacing w:before="120" w:line="240" w:lineRule="exact"/>
      <w:ind w:left="964"/>
      <w:jc w:val="both"/>
    </w:pPr>
    <w:rPr>
      <w:rFonts w:ascii="Times New Roman" w:hAnsi="Times New Roman"/>
      <w:i/>
      <w:sz w:val="24"/>
    </w:rPr>
  </w:style>
  <w:style w:type="paragraph" w:customStyle="1" w:styleId="ObjectBreak">
    <w:name w:val="ObjectBreak"/>
    <w:basedOn w:val="Normal"/>
    <w:pPr>
      <w:keepLines w:val="0"/>
    </w:pPr>
    <w:rPr>
      <w:rFonts w:ascii="Times New Roman" w:hAnsi="Times New Roman"/>
      <w:sz w:val="24"/>
    </w:rPr>
  </w:style>
  <w:style w:type="paragraph" w:customStyle="1" w:styleId="Quotation">
    <w:name w:val="Quotation"/>
    <w:basedOn w:val="Normal"/>
    <w:pPr>
      <w:keepLines w:val="0"/>
      <w:ind w:left="567" w:right="567"/>
    </w:pPr>
    <w:rPr>
      <w:sz w:val="18"/>
    </w:rPr>
  </w:style>
  <w:style w:type="paragraph" w:styleId="Quote">
    <w:name w:val="Quote"/>
    <w:basedOn w:val="Normal"/>
    <w:qFormat/>
    <w:pPr>
      <w:keepLines w:val="0"/>
      <w:ind w:left="567" w:right="567"/>
    </w:pPr>
    <w:rPr>
      <w:i/>
      <w:sz w:val="20"/>
    </w:rPr>
  </w:style>
  <w:style w:type="paragraph" w:customStyle="1" w:styleId="SchPartHeading">
    <w:name w:val="Sch Part Heading"/>
    <w:basedOn w:val="Normal"/>
    <w:next w:val="ClauseHeading"/>
    <w:pPr>
      <w:keepLines w:val="0"/>
      <w:spacing w:before="360"/>
      <w:ind w:left="1559" w:hanging="1559"/>
    </w:pPr>
    <w:rPr>
      <w:b/>
      <w:sz w:val="28"/>
    </w:rPr>
  </w:style>
  <w:style w:type="paragraph" w:customStyle="1" w:styleId="ScheduleTitle">
    <w:name w:val="Schedule Title"/>
    <w:basedOn w:val="Normal"/>
    <w:next w:val="PartHeading"/>
    <w:pPr>
      <w:keepNext/>
      <w:keepLines w:val="0"/>
      <w:pageBreakBefore/>
      <w:tabs>
        <w:tab w:val="left" w:pos="2268"/>
      </w:tabs>
      <w:spacing w:before="120" w:line="320" w:lineRule="exact"/>
      <w:ind w:left="2410" w:hanging="2410"/>
    </w:pPr>
    <w:rPr>
      <w:b/>
      <w:sz w:val="32"/>
    </w:rPr>
  </w:style>
  <w:style w:type="paragraph" w:customStyle="1" w:styleId="Subparai">
    <w:name w:val="Subpara (i)"/>
    <w:basedOn w:val="Normal"/>
    <w:pPr>
      <w:keepLines w:val="0"/>
      <w:tabs>
        <w:tab w:val="right" w:pos="1644"/>
      </w:tabs>
      <w:spacing w:before="60" w:line="260" w:lineRule="exact"/>
      <w:ind w:left="1985" w:hanging="1985"/>
      <w:jc w:val="both"/>
    </w:pPr>
    <w:rPr>
      <w:rFonts w:ascii="Times New Roman" w:hAnsi="Times New Roman"/>
      <w:sz w:val="24"/>
    </w:rPr>
  </w:style>
  <w:style w:type="paragraph" w:customStyle="1" w:styleId="TableText0">
    <w:name w:val="Table Text"/>
    <w:basedOn w:val="Normal"/>
    <w:pPr>
      <w:keepLines w:val="0"/>
      <w:spacing w:before="40" w:line="200" w:lineRule="exact"/>
    </w:pPr>
    <w:rPr>
      <w:sz w:val="20"/>
    </w:rPr>
  </w:style>
  <w:style w:type="paragraph" w:customStyle="1" w:styleId="TOCHeader">
    <w:name w:val="TOCHeader"/>
    <w:basedOn w:val="PartHeading"/>
    <w:pPr>
      <w:spacing w:before="120"/>
      <w:ind w:left="0" w:firstLine="0"/>
      <w:jc w:val="center"/>
    </w:pPr>
    <w:rPr>
      <w:color w:val="0000FF"/>
      <w:sz w:val="24"/>
    </w:rPr>
  </w:style>
  <w:style w:type="paragraph" w:customStyle="1" w:styleId="UnNumbered2">
    <w:name w:val="UnNumbered2"/>
    <w:basedOn w:val="Normal"/>
    <w:pPr>
      <w:keepLines w:val="0"/>
      <w:tabs>
        <w:tab w:val="left" w:pos="851"/>
        <w:tab w:val="left" w:pos="1418"/>
        <w:tab w:val="left" w:pos="1985"/>
        <w:tab w:val="left" w:pos="2552"/>
        <w:tab w:val="left" w:pos="3119"/>
      </w:tabs>
      <w:spacing w:before="240"/>
      <w:ind w:left="851"/>
      <w:jc w:val="both"/>
    </w:pPr>
    <w:rPr>
      <w:sz w:val="20"/>
    </w:rPr>
  </w:style>
  <w:style w:type="paragraph" w:customStyle="1" w:styleId="UnNumbered3">
    <w:name w:val="UnNumbered3"/>
    <w:basedOn w:val="Normal"/>
    <w:pPr>
      <w:keepLines w:val="0"/>
      <w:tabs>
        <w:tab w:val="left" w:pos="851"/>
        <w:tab w:val="left" w:pos="1418"/>
        <w:tab w:val="left" w:pos="1985"/>
        <w:tab w:val="left" w:pos="2552"/>
        <w:tab w:val="left" w:pos="3119"/>
      </w:tabs>
      <w:spacing w:before="240"/>
      <w:ind w:left="1418"/>
      <w:jc w:val="both"/>
    </w:pPr>
    <w:rPr>
      <w:sz w:val="20"/>
    </w:rPr>
  </w:style>
  <w:style w:type="paragraph" w:customStyle="1" w:styleId="UnNumbered4">
    <w:name w:val="UnNumbered4"/>
    <w:basedOn w:val="Normal"/>
    <w:pPr>
      <w:keepLines w:val="0"/>
      <w:tabs>
        <w:tab w:val="left" w:pos="851"/>
        <w:tab w:val="left" w:pos="1418"/>
        <w:tab w:val="left" w:pos="1985"/>
        <w:tab w:val="left" w:pos="2552"/>
        <w:tab w:val="left" w:pos="3119"/>
      </w:tabs>
      <w:spacing w:before="240"/>
      <w:ind w:left="1985"/>
      <w:jc w:val="both"/>
    </w:pPr>
    <w:rPr>
      <w:sz w:val="20"/>
    </w:rPr>
  </w:style>
  <w:style w:type="paragraph" w:customStyle="1" w:styleId="Tag">
    <w:name w:val="Tag"/>
    <w:basedOn w:val="Normal"/>
    <w:pPr>
      <w:keepNext/>
      <w:keepLines w:val="0"/>
    </w:pPr>
    <w:rPr>
      <w:sz w:val="20"/>
    </w:rPr>
  </w:style>
  <w:style w:type="paragraph" w:customStyle="1" w:styleId="AnnexLvl1">
    <w:name w:val="AnnexLvl1"/>
    <w:basedOn w:val="Normal"/>
    <w:pPr>
      <w:keepLines w:val="0"/>
      <w:numPr>
        <w:numId w:val="5"/>
      </w:numPr>
      <w:spacing w:before="120" w:after="120"/>
      <w:outlineLvl w:val="0"/>
    </w:pPr>
    <w:rPr>
      <w:color w:val="0000FF"/>
      <w:sz w:val="20"/>
    </w:rPr>
  </w:style>
  <w:style w:type="paragraph" w:customStyle="1" w:styleId="AnnexLvl2">
    <w:name w:val="AnnexLvl2"/>
    <w:basedOn w:val="Normal"/>
    <w:pPr>
      <w:keepLines w:val="0"/>
      <w:numPr>
        <w:ilvl w:val="1"/>
        <w:numId w:val="6"/>
      </w:numPr>
      <w:spacing w:before="120" w:after="120"/>
      <w:outlineLvl w:val="1"/>
    </w:pPr>
    <w:rPr>
      <w:color w:val="0000FF"/>
      <w:sz w:val="20"/>
    </w:rPr>
  </w:style>
  <w:style w:type="paragraph" w:customStyle="1" w:styleId="AnnexLvl3">
    <w:name w:val="AnnexLvl3"/>
    <w:basedOn w:val="Normal"/>
    <w:pPr>
      <w:keepLines w:val="0"/>
      <w:numPr>
        <w:ilvl w:val="2"/>
        <w:numId w:val="7"/>
      </w:numPr>
      <w:spacing w:before="120" w:after="120"/>
      <w:outlineLvl w:val="2"/>
    </w:pPr>
    <w:rPr>
      <w:color w:val="0000FF"/>
      <w:sz w:val="20"/>
    </w:rPr>
  </w:style>
  <w:style w:type="paragraph" w:customStyle="1" w:styleId="AnnexLvl4">
    <w:name w:val="AnnexLvl4"/>
    <w:basedOn w:val="Normal"/>
    <w:pPr>
      <w:keepLines w:val="0"/>
      <w:numPr>
        <w:ilvl w:val="3"/>
        <w:numId w:val="8"/>
      </w:numPr>
      <w:outlineLvl w:val="3"/>
    </w:pPr>
    <w:rPr>
      <w:color w:val="0000FF"/>
      <w:sz w:val="20"/>
    </w:rPr>
  </w:style>
  <w:style w:type="paragraph" w:customStyle="1" w:styleId="AnnexLvl5">
    <w:name w:val="AnnexLvl5"/>
    <w:basedOn w:val="Normal"/>
    <w:pPr>
      <w:keepLines w:val="0"/>
      <w:numPr>
        <w:numId w:val="9"/>
      </w:numPr>
      <w:outlineLvl w:val="4"/>
    </w:pPr>
    <w:rPr>
      <w:color w:val="0000FF"/>
      <w:sz w:val="20"/>
    </w:rPr>
  </w:style>
  <w:style w:type="paragraph" w:customStyle="1" w:styleId="GuidanceHeader">
    <w:name w:val="GuidanceHeader"/>
    <w:basedOn w:val="Heading2"/>
    <w:autoRedefine/>
    <w:pPr>
      <w:keepLines w:val="0"/>
      <w:pBdr>
        <w:left w:val="single" w:sz="4" w:space="4" w:color="auto"/>
      </w:pBdr>
      <w:shd w:val="clear" w:color="auto" w:fill="auto"/>
      <w:tabs>
        <w:tab w:val="left" w:pos="2268"/>
      </w:tabs>
      <w:spacing w:before="240" w:after="0"/>
      <w:ind w:left="2268" w:hanging="2268"/>
      <w:outlineLvl w:val="9"/>
    </w:pPr>
    <w:rPr>
      <w:color w:val="0000FF"/>
      <w:sz w:val="20"/>
    </w:rPr>
  </w:style>
  <w:style w:type="paragraph" w:customStyle="1" w:styleId="DefinitionTerm">
    <w:name w:val="Definition Term"/>
    <w:basedOn w:val="Normal"/>
    <w:next w:val="DefinitionList"/>
    <w:pPr>
      <w:keepLines w:val="0"/>
    </w:pPr>
    <w:rPr>
      <w:rFonts w:ascii="Times New Roman" w:hAnsi="Times New Roman"/>
      <w:snapToGrid w:val="0"/>
      <w:sz w:val="24"/>
    </w:rPr>
  </w:style>
  <w:style w:type="paragraph" w:customStyle="1" w:styleId="DefinitionList">
    <w:name w:val="Definition List"/>
    <w:basedOn w:val="Normal"/>
    <w:next w:val="DefinitionTerm"/>
    <w:pPr>
      <w:keepLines w:val="0"/>
      <w:ind w:left="360"/>
    </w:pPr>
    <w:rPr>
      <w:rFonts w:ascii="Times New Roman" w:hAnsi="Times New Roman"/>
      <w:snapToGrid w:val="0"/>
      <w:sz w:val="24"/>
    </w:rPr>
  </w:style>
  <w:style w:type="paragraph" w:customStyle="1" w:styleId="TableTitle">
    <w:name w:val="TableTitle"/>
    <w:basedOn w:val="Normal"/>
    <w:pPr>
      <w:keepLines w:val="0"/>
      <w:jc w:val="center"/>
    </w:pPr>
    <w:rPr>
      <w:b/>
      <w:sz w:val="20"/>
    </w:rPr>
  </w:style>
  <w:style w:type="paragraph" w:customStyle="1" w:styleId="WPNormal">
    <w:name w:val="WP_Normal"/>
    <w:basedOn w:val="Normal"/>
    <w:pPr>
      <w:keepLines w:val="0"/>
    </w:pPr>
    <w:rPr>
      <w:rFonts w:ascii="Geneva" w:hAnsi="Geneva"/>
      <w:sz w:val="24"/>
      <w:lang w:val="en-GB"/>
    </w:rPr>
  </w:style>
  <w:style w:type="paragraph" w:customStyle="1" w:styleId="paragraph">
    <w:name w:val="paragraph"/>
    <w:aliases w:val="a"/>
    <w:basedOn w:val="Normal"/>
    <w:autoRedefine/>
    <w:pPr>
      <w:keepLines w:val="0"/>
      <w:numPr>
        <w:numId w:val="10"/>
      </w:numPr>
      <w:tabs>
        <w:tab w:val="left" w:pos="709"/>
        <w:tab w:val="left" w:pos="1418"/>
      </w:tabs>
      <w:spacing w:after="120"/>
    </w:pPr>
    <w:rPr>
      <w:sz w:val="20"/>
      <w:lang w:val="en-US"/>
    </w:rPr>
  </w:style>
  <w:style w:type="paragraph" w:customStyle="1" w:styleId="secc">
    <w:name w:val="secc"/>
    <w:basedOn w:val="GuidanceAdviceL1"/>
    <w:pPr>
      <w:keepLines w:val="0"/>
      <w:pBdr>
        <w:left w:val="single" w:sz="4" w:space="4" w:color="auto"/>
      </w:pBdr>
      <w:tabs>
        <w:tab w:val="clear" w:pos="1701"/>
        <w:tab w:val="left" w:pos="1134"/>
      </w:tabs>
      <w:spacing w:before="120" w:after="0"/>
      <w:ind w:left="0"/>
      <w:outlineLvl w:val="0"/>
    </w:pPr>
    <w:rPr>
      <w:b/>
      <w:color w:val="0000FF"/>
    </w:rPr>
  </w:style>
  <w:style w:type="paragraph" w:customStyle="1" w:styleId="AnnexTitle1">
    <w:name w:val="AnnexTitle1"/>
    <w:basedOn w:val="AppendixTitle"/>
    <w:autoRedefine/>
  </w:style>
  <w:style w:type="paragraph" w:styleId="BalloonText">
    <w:name w:val="Balloon Text"/>
    <w:basedOn w:val="Normal"/>
    <w:link w:val="BalloonTextChar"/>
    <w:uiPriority w:val="99"/>
    <w:semiHidden/>
    <w:rsid w:val="00E5397F"/>
    <w:rPr>
      <w:rFonts w:ascii="Tahoma" w:hAnsi="Tahoma" w:cs="Tahoma"/>
      <w:sz w:val="16"/>
      <w:szCs w:val="16"/>
    </w:rPr>
  </w:style>
  <w:style w:type="paragraph" w:customStyle="1" w:styleId="BlockText-PlainChar">
    <w:name w:val="Block Text- Plain Char"/>
    <w:basedOn w:val="Normal"/>
    <w:link w:val="BlockText-PlainCharChar"/>
    <w:rsid w:val="00A607CE"/>
    <w:pPr>
      <w:keepLines w:val="0"/>
      <w:spacing w:after="200"/>
    </w:pPr>
    <w:rPr>
      <w:sz w:val="20"/>
    </w:rPr>
  </w:style>
  <w:style w:type="character" w:customStyle="1" w:styleId="BlockText-PlainCharChar">
    <w:name w:val="Block Text- Plain Char Char"/>
    <w:link w:val="BlockText-PlainChar"/>
    <w:rsid w:val="00A607CE"/>
    <w:rPr>
      <w:rFonts w:ascii="Arial" w:hAnsi="Arial"/>
      <w:lang w:val="en-AU" w:eastAsia="en-AU" w:bidi="ar-SA"/>
    </w:rPr>
  </w:style>
  <w:style w:type="paragraph" w:customStyle="1" w:styleId="blocktext-plain0">
    <w:name w:val="blocktext-plain"/>
    <w:basedOn w:val="Normal"/>
    <w:rsid w:val="00B12F67"/>
    <w:pPr>
      <w:keepLines w:val="0"/>
      <w:spacing w:after="200"/>
    </w:pPr>
    <w:rPr>
      <w:rFonts w:cs="Arial"/>
      <w:sz w:val="20"/>
    </w:rPr>
  </w:style>
  <w:style w:type="character" w:customStyle="1" w:styleId="SC31408">
    <w:name w:val="SC.3.1408"/>
    <w:rsid w:val="009A0336"/>
    <w:rPr>
      <w:rFonts w:cs="Arial"/>
      <w:color w:val="000000"/>
      <w:sz w:val="20"/>
      <w:szCs w:val="20"/>
    </w:rPr>
  </w:style>
  <w:style w:type="character" w:styleId="CommentReference">
    <w:name w:val="annotation reference"/>
    <w:uiPriority w:val="99"/>
    <w:semiHidden/>
    <w:rsid w:val="001F6921"/>
    <w:rPr>
      <w:sz w:val="16"/>
      <w:szCs w:val="16"/>
    </w:rPr>
  </w:style>
  <w:style w:type="paragraph" w:styleId="CommentText">
    <w:name w:val="annotation text"/>
    <w:basedOn w:val="Normal"/>
    <w:link w:val="CommentTextChar"/>
    <w:uiPriority w:val="99"/>
    <w:rsid w:val="001F6921"/>
    <w:rPr>
      <w:sz w:val="20"/>
    </w:rPr>
  </w:style>
  <w:style w:type="paragraph" w:styleId="CommentSubject">
    <w:name w:val="annotation subject"/>
    <w:basedOn w:val="CommentText"/>
    <w:next w:val="CommentText"/>
    <w:link w:val="CommentSubjectChar"/>
    <w:uiPriority w:val="99"/>
    <w:semiHidden/>
    <w:rsid w:val="001F6921"/>
    <w:rPr>
      <w:b/>
      <w:bCs/>
    </w:rPr>
  </w:style>
  <w:style w:type="numbering" w:customStyle="1" w:styleId="PPRBulletNumbered">
    <w:name w:val="PPR Bullet Numbered"/>
    <w:basedOn w:val="NoList"/>
    <w:rsid w:val="00CA709C"/>
    <w:pPr>
      <w:numPr>
        <w:numId w:val="29"/>
      </w:numPr>
    </w:pPr>
  </w:style>
  <w:style w:type="character" w:customStyle="1" w:styleId="msoins0">
    <w:name w:val="msoins0"/>
    <w:basedOn w:val="DefaultParagraphFont"/>
    <w:rsid w:val="005F44BC"/>
  </w:style>
  <w:style w:type="character" w:customStyle="1" w:styleId="mlhTableHeadingChar">
    <w:name w:val="mlh Table Heading Char"/>
    <w:link w:val="mlhTableHeading"/>
    <w:rsid w:val="005F44BC"/>
    <w:rPr>
      <w:rFonts w:ascii="Arial (W1)" w:hAnsi="Arial (W1)" w:cs="Arial"/>
      <w:b/>
      <w:sz w:val="18"/>
      <w:szCs w:val="18"/>
      <w:lang w:val="en-US" w:eastAsia="en-AU" w:bidi="ar-SA"/>
    </w:rPr>
  </w:style>
  <w:style w:type="paragraph" w:customStyle="1" w:styleId="TableTextArial-leftCharCharChar">
    <w:name w:val="Table Text (Arial - left) Char Char Char"/>
    <w:basedOn w:val="Normal"/>
    <w:link w:val="TableTextArial-leftCharCharCharChar"/>
    <w:rsid w:val="005F44BC"/>
    <w:pPr>
      <w:keepLines w:val="0"/>
      <w:spacing w:before="20" w:after="20"/>
    </w:pPr>
    <w:rPr>
      <w:sz w:val="20"/>
    </w:rPr>
  </w:style>
  <w:style w:type="character" w:customStyle="1" w:styleId="TableTextArial-leftCharCharCharChar">
    <w:name w:val="Table Text (Arial - left) Char Char Char Char"/>
    <w:link w:val="TableTextArial-leftCharCharChar"/>
    <w:rsid w:val="005F44BC"/>
    <w:rPr>
      <w:rFonts w:ascii="Arial" w:hAnsi="Arial"/>
      <w:lang w:val="en-AU" w:eastAsia="en-AU" w:bidi="ar-SA"/>
    </w:rPr>
  </w:style>
  <w:style w:type="paragraph" w:customStyle="1" w:styleId="TableTextArial-leftChar">
    <w:name w:val="Table Text (Arial - left) Char"/>
    <w:basedOn w:val="Normal"/>
    <w:rsid w:val="005F44BC"/>
    <w:pPr>
      <w:keepLines w:val="0"/>
      <w:spacing w:before="20" w:after="20"/>
    </w:pPr>
  </w:style>
  <w:style w:type="table" w:styleId="TableGrid">
    <w:name w:val="Table Grid"/>
    <w:basedOn w:val="TableNormal"/>
    <w:uiPriority w:val="59"/>
    <w:rsid w:val="005F44B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Arial-leftCharChar">
    <w:name w:val="Table Text (Arial - left) Char Char"/>
    <w:basedOn w:val="Normal"/>
    <w:rsid w:val="005F44BC"/>
    <w:pPr>
      <w:keepLines w:val="0"/>
      <w:spacing w:before="20" w:after="20"/>
    </w:pPr>
  </w:style>
  <w:style w:type="paragraph" w:customStyle="1" w:styleId="TableTextArial-leftCharCharCharCharCharCharCharCharCharCharChar">
    <w:name w:val="Table Text (Arial - left) Char Char Char Char Char Char Char Char Char Char Char"/>
    <w:basedOn w:val="Normal"/>
    <w:link w:val="TableTextArial-leftCharCharCharCharCharCharCharCharCharCharCharChar"/>
    <w:rsid w:val="005F44BC"/>
    <w:pPr>
      <w:keepLines w:val="0"/>
      <w:spacing w:before="20" w:after="20"/>
    </w:pPr>
  </w:style>
  <w:style w:type="character" w:customStyle="1" w:styleId="SC21208">
    <w:name w:val="SC.2.1208"/>
    <w:rsid w:val="005F44BC"/>
    <w:rPr>
      <w:color w:val="000000"/>
      <w:sz w:val="20"/>
    </w:rPr>
  </w:style>
  <w:style w:type="character" w:customStyle="1" w:styleId="TableTextArial-leftCharCharCharCharCharCharCharCharCharCharCharChar">
    <w:name w:val="Table Text (Arial - left) Char Char Char Char Char Char Char Char Char Char Char Char"/>
    <w:link w:val="TableTextArial-leftCharCharCharCharCharCharCharCharCharCharChar"/>
    <w:rsid w:val="005F44BC"/>
    <w:rPr>
      <w:rFonts w:ascii="Arial" w:hAnsi="Arial"/>
      <w:sz w:val="22"/>
      <w:lang w:val="en-AU" w:eastAsia="en-AU" w:bidi="ar-SA"/>
    </w:rPr>
  </w:style>
  <w:style w:type="paragraph" w:customStyle="1" w:styleId="TableTextArial-leftCharCharCharCharCharCharCharCharCharChar">
    <w:name w:val="Table Text (Arial - left) Char Char Char Char Char Char Char Char Char Char"/>
    <w:basedOn w:val="Normal"/>
    <w:rsid w:val="005F44BC"/>
    <w:pPr>
      <w:keepLines w:val="0"/>
      <w:spacing w:before="20" w:after="20"/>
    </w:pPr>
    <w:rPr>
      <w:sz w:val="20"/>
    </w:rPr>
  </w:style>
  <w:style w:type="paragraph" w:customStyle="1" w:styleId="mlhTableHeading">
    <w:name w:val="mlh Table Heading"/>
    <w:basedOn w:val="Normal"/>
    <w:link w:val="mlhTableHeadingChar"/>
    <w:rsid w:val="005F44BC"/>
    <w:pPr>
      <w:keepLines w:val="0"/>
      <w:spacing w:before="120" w:after="120"/>
      <w:jc w:val="center"/>
    </w:pPr>
    <w:rPr>
      <w:rFonts w:ascii="Arial (W1)" w:hAnsi="Arial (W1)" w:cs="Arial"/>
      <w:b/>
      <w:sz w:val="18"/>
      <w:szCs w:val="18"/>
      <w:lang w:val="en-US"/>
    </w:rPr>
  </w:style>
  <w:style w:type="character" w:customStyle="1" w:styleId="Heading6Char">
    <w:name w:val="Heading 6 Char"/>
    <w:aliases w:val="Sub Block Label Char"/>
    <w:link w:val="Heading6"/>
    <w:rsid w:val="005F44BC"/>
    <w:rPr>
      <w:rFonts w:ascii="Arial Bold" w:hAnsi="Arial Bold"/>
      <w:b/>
      <w:color w:val="000080"/>
      <w:sz w:val="22"/>
      <w:lang w:val="en-AU" w:eastAsia="en-AU" w:bidi="ar-SA"/>
    </w:rPr>
  </w:style>
  <w:style w:type="paragraph" w:customStyle="1" w:styleId="BlockText-Plain1">
    <w:name w:val="Block Text - Plain"/>
    <w:basedOn w:val="BlockText-PlainNoSpacing"/>
    <w:rsid w:val="005F44BC"/>
  </w:style>
  <w:style w:type="paragraph" w:styleId="NormalWeb">
    <w:name w:val="Normal (Web)"/>
    <w:basedOn w:val="Normal"/>
    <w:uiPriority w:val="99"/>
    <w:rsid w:val="005F44BC"/>
    <w:pPr>
      <w:keepLines w:val="0"/>
    </w:pPr>
    <w:rPr>
      <w:rFonts w:ascii="Times New Roman" w:hAnsi="Times New Roman"/>
      <w:sz w:val="24"/>
      <w:szCs w:val="24"/>
      <w:lang w:eastAsia="en-US"/>
    </w:rPr>
  </w:style>
  <w:style w:type="paragraph" w:customStyle="1" w:styleId="Normal10pt">
    <w:name w:val="Normal + 10 pt"/>
    <w:basedOn w:val="Normal"/>
    <w:rsid w:val="005F44BC"/>
    <w:pPr>
      <w:keepNext/>
      <w:outlineLvl w:val="3"/>
    </w:pPr>
    <w:rPr>
      <w:b/>
      <w:sz w:val="20"/>
    </w:rPr>
  </w:style>
  <w:style w:type="character" w:customStyle="1" w:styleId="Heading4Char">
    <w:name w:val="Heading 4 Char"/>
    <w:aliases w:val="Division/Annex/Map Title Char"/>
    <w:link w:val="Heading4"/>
    <w:rsid w:val="00B80F0A"/>
    <w:rPr>
      <w:rFonts w:ascii="Arial Bold" w:hAnsi="Arial Bold"/>
      <w:b/>
      <w:color w:val="000000" w:themeColor="text1"/>
      <w:sz w:val="26"/>
    </w:rPr>
  </w:style>
  <w:style w:type="paragraph" w:customStyle="1" w:styleId="tabletextarial-left0">
    <w:name w:val="tabletextarial-left"/>
    <w:basedOn w:val="Normal"/>
    <w:rsid w:val="005F44BC"/>
    <w:pPr>
      <w:keepLines w:val="0"/>
      <w:spacing w:before="20" w:after="20"/>
    </w:pPr>
    <w:rPr>
      <w:rFonts w:cs="Arial"/>
      <w:sz w:val="20"/>
    </w:rPr>
  </w:style>
  <w:style w:type="paragraph" w:customStyle="1" w:styleId="tabletextarial-ctrd1">
    <w:name w:val="tabletextarial-ctrd"/>
    <w:basedOn w:val="Normal"/>
    <w:rsid w:val="005F44BC"/>
    <w:pPr>
      <w:keepLines w:val="0"/>
      <w:spacing w:before="20"/>
      <w:jc w:val="center"/>
    </w:pPr>
    <w:rPr>
      <w:rFonts w:cs="Arial"/>
      <w:sz w:val="20"/>
    </w:rPr>
  </w:style>
  <w:style w:type="paragraph" w:customStyle="1" w:styleId="mlhtableheading0">
    <w:name w:val="mlhtableheading"/>
    <w:basedOn w:val="Normal"/>
    <w:rsid w:val="005F44BC"/>
    <w:pPr>
      <w:keepLines w:val="0"/>
      <w:spacing w:before="120" w:after="120"/>
      <w:jc w:val="center"/>
    </w:pPr>
    <w:rPr>
      <w:rFonts w:ascii="Arial (W1)" w:hAnsi="Arial (W1)" w:cs="Arial (W1)"/>
      <w:b/>
      <w:bCs/>
      <w:sz w:val="18"/>
      <w:szCs w:val="18"/>
    </w:rPr>
  </w:style>
  <w:style w:type="paragraph" w:customStyle="1" w:styleId="blocktext-plainnospacing0">
    <w:name w:val="blocktext-plainnospacing"/>
    <w:basedOn w:val="Normal"/>
    <w:rsid w:val="005F44BC"/>
    <w:pPr>
      <w:keepNext/>
      <w:keepLines w:val="0"/>
      <w:spacing w:before="20" w:after="20"/>
    </w:pPr>
    <w:rPr>
      <w:rFonts w:cs="Arial"/>
      <w:sz w:val="20"/>
    </w:rPr>
  </w:style>
  <w:style w:type="character" w:customStyle="1" w:styleId="BlockText-PlainNoSpacingChar">
    <w:name w:val="Block Text - Plain (No Spacing) Char"/>
    <w:link w:val="BlockText-PlainNoSpacing"/>
    <w:rsid w:val="005F44BC"/>
    <w:rPr>
      <w:rFonts w:ascii="Arial" w:hAnsi="Arial"/>
      <w:lang w:val="en-AU" w:eastAsia="en-AU" w:bidi="ar-SA"/>
    </w:rPr>
  </w:style>
  <w:style w:type="character" w:customStyle="1" w:styleId="Heading5Char">
    <w:name w:val="Heading 5 Char"/>
    <w:aliases w:val="Clause/Block Label Char"/>
    <w:link w:val="Heading5"/>
    <w:rsid w:val="005F44BC"/>
    <w:rPr>
      <w:rFonts w:ascii="Arial" w:hAnsi="Arial"/>
      <w:b/>
      <w:sz w:val="22"/>
      <w:lang w:val="en-AU" w:eastAsia="en-AU" w:bidi="ar-SA"/>
    </w:rPr>
  </w:style>
  <w:style w:type="paragraph" w:customStyle="1" w:styleId="tableheaderarial0">
    <w:name w:val="tableheaderarial"/>
    <w:basedOn w:val="Normal"/>
    <w:rsid w:val="005F44BC"/>
    <w:pPr>
      <w:keepNext/>
      <w:keepLines w:val="0"/>
      <w:spacing w:before="40" w:after="20"/>
      <w:jc w:val="center"/>
    </w:pPr>
    <w:rPr>
      <w:rFonts w:cs="Arial"/>
      <w:b/>
      <w:bCs/>
      <w:sz w:val="20"/>
    </w:rPr>
  </w:style>
  <w:style w:type="paragraph" w:customStyle="1" w:styleId="appendixlistentry0">
    <w:name w:val="appendixlistentry"/>
    <w:basedOn w:val="Normal"/>
    <w:rsid w:val="005F44BC"/>
    <w:pPr>
      <w:keepLines w:val="0"/>
      <w:ind w:left="851" w:hanging="851"/>
    </w:pPr>
    <w:rPr>
      <w:rFonts w:cs="Arial"/>
      <w:sz w:val="20"/>
    </w:rPr>
  </w:style>
  <w:style w:type="paragraph" w:customStyle="1" w:styleId="blocktext-plain00">
    <w:name w:val="blocktext-plain0"/>
    <w:basedOn w:val="Normal"/>
    <w:rsid w:val="005F44BC"/>
    <w:pPr>
      <w:keepLines w:val="0"/>
      <w:spacing w:after="200"/>
    </w:pPr>
    <w:rPr>
      <w:rFonts w:cs="Arial"/>
      <w:sz w:val="20"/>
    </w:rPr>
  </w:style>
  <w:style w:type="paragraph" w:styleId="PlainText">
    <w:name w:val="Plain Text"/>
    <w:basedOn w:val="Normal"/>
    <w:rsid w:val="005F44BC"/>
    <w:pPr>
      <w:keepLines w:val="0"/>
    </w:pPr>
    <w:rPr>
      <w:rFonts w:cs="Courier New"/>
      <w:lang w:eastAsia="en-US"/>
    </w:rPr>
  </w:style>
  <w:style w:type="numbering" w:styleId="111111">
    <w:name w:val="Outline List 2"/>
    <w:basedOn w:val="NoList"/>
    <w:semiHidden/>
    <w:rsid w:val="005F44BC"/>
    <w:pPr>
      <w:numPr>
        <w:numId w:val="30"/>
      </w:numPr>
    </w:pPr>
  </w:style>
  <w:style w:type="numbering" w:styleId="1ai">
    <w:name w:val="Outline List 1"/>
    <w:basedOn w:val="NoList"/>
    <w:semiHidden/>
    <w:rsid w:val="005F44BC"/>
    <w:pPr>
      <w:numPr>
        <w:numId w:val="31"/>
      </w:numPr>
    </w:pPr>
  </w:style>
  <w:style w:type="numbering" w:styleId="ArticleSection">
    <w:name w:val="Outline List 3"/>
    <w:basedOn w:val="NoList"/>
    <w:semiHidden/>
    <w:rsid w:val="005F44BC"/>
    <w:pPr>
      <w:numPr>
        <w:numId w:val="32"/>
      </w:numPr>
    </w:pPr>
  </w:style>
  <w:style w:type="paragraph" w:styleId="BodyText">
    <w:name w:val="Body Text"/>
    <w:basedOn w:val="Normal"/>
    <w:semiHidden/>
    <w:rsid w:val="005F44BC"/>
    <w:pPr>
      <w:keepLines w:val="0"/>
      <w:spacing w:after="120"/>
    </w:pPr>
    <w:rPr>
      <w:szCs w:val="24"/>
      <w:lang w:eastAsia="en-US"/>
    </w:rPr>
  </w:style>
  <w:style w:type="paragraph" w:styleId="BodyText2">
    <w:name w:val="Body Text 2"/>
    <w:basedOn w:val="Normal"/>
    <w:semiHidden/>
    <w:rsid w:val="005F44BC"/>
    <w:pPr>
      <w:keepLines w:val="0"/>
      <w:spacing w:after="120" w:line="480" w:lineRule="auto"/>
    </w:pPr>
    <w:rPr>
      <w:szCs w:val="24"/>
      <w:lang w:eastAsia="en-US"/>
    </w:rPr>
  </w:style>
  <w:style w:type="paragraph" w:styleId="BodyText3">
    <w:name w:val="Body Text 3"/>
    <w:basedOn w:val="Normal"/>
    <w:semiHidden/>
    <w:rsid w:val="005F44BC"/>
    <w:pPr>
      <w:keepLines w:val="0"/>
      <w:spacing w:after="120"/>
    </w:pPr>
    <w:rPr>
      <w:sz w:val="16"/>
      <w:szCs w:val="16"/>
      <w:lang w:eastAsia="en-US"/>
    </w:rPr>
  </w:style>
  <w:style w:type="paragraph" w:styleId="BodyTextFirstIndent">
    <w:name w:val="Body Text First Indent"/>
    <w:basedOn w:val="BodyText"/>
    <w:semiHidden/>
    <w:rsid w:val="005F44BC"/>
    <w:pPr>
      <w:ind w:firstLine="210"/>
    </w:pPr>
  </w:style>
  <w:style w:type="paragraph" w:styleId="BodyTextIndent">
    <w:name w:val="Body Text Indent"/>
    <w:basedOn w:val="Normal"/>
    <w:semiHidden/>
    <w:rsid w:val="005F44BC"/>
    <w:pPr>
      <w:keepLines w:val="0"/>
      <w:spacing w:after="120"/>
      <w:ind w:left="283"/>
    </w:pPr>
    <w:rPr>
      <w:szCs w:val="24"/>
      <w:lang w:eastAsia="en-US"/>
    </w:rPr>
  </w:style>
  <w:style w:type="paragraph" w:styleId="BodyTextFirstIndent2">
    <w:name w:val="Body Text First Indent 2"/>
    <w:basedOn w:val="BodyTextIndent"/>
    <w:semiHidden/>
    <w:rsid w:val="005F44BC"/>
    <w:pPr>
      <w:ind w:firstLine="210"/>
    </w:pPr>
  </w:style>
  <w:style w:type="paragraph" w:styleId="BodyTextIndent2">
    <w:name w:val="Body Text Indent 2"/>
    <w:basedOn w:val="Normal"/>
    <w:semiHidden/>
    <w:rsid w:val="005F44BC"/>
    <w:pPr>
      <w:keepLines w:val="0"/>
      <w:spacing w:after="120" w:line="480" w:lineRule="auto"/>
      <w:ind w:left="283"/>
    </w:pPr>
    <w:rPr>
      <w:szCs w:val="24"/>
      <w:lang w:eastAsia="en-US"/>
    </w:rPr>
  </w:style>
  <w:style w:type="paragraph" w:styleId="BodyTextIndent3">
    <w:name w:val="Body Text Indent 3"/>
    <w:basedOn w:val="Normal"/>
    <w:semiHidden/>
    <w:rsid w:val="005F44BC"/>
    <w:pPr>
      <w:keepLines w:val="0"/>
      <w:spacing w:after="120"/>
      <w:ind w:left="283"/>
    </w:pPr>
    <w:rPr>
      <w:sz w:val="16"/>
      <w:szCs w:val="16"/>
      <w:lang w:eastAsia="en-US"/>
    </w:rPr>
  </w:style>
  <w:style w:type="paragraph" w:customStyle="1" w:styleId="CentredParagraph">
    <w:name w:val="Centred Paragraph"/>
    <w:basedOn w:val="Normal"/>
    <w:rsid w:val="005F44BC"/>
    <w:pPr>
      <w:keepLines w:val="0"/>
      <w:spacing w:line="288" w:lineRule="auto"/>
      <w:jc w:val="center"/>
    </w:pPr>
    <w:rPr>
      <w:szCs w:val="24"/>
      <w:lang w:eastAsia="en-US"/>
    </w:rPr>
  </w:style>
  <w:style w:type="paragraph" w:styleId="Closing">
    <w:name w:val="Closing"/>
    <w:basedOn w:val="Normal"/>
    <w:semiHidden/>
    <w:rsid w:val="005F44BC"/>
    <w:pPr>
      <w:keepLines w:val="0"/>
      <w:ind w:left="4252"/>
    </w:pPr>
    <w:rPr>
      <w:szCs w:val="24"/>
      <w:lang w:eastAsia="en-US"/>
    </w:rPr>
  </w:style>
  <w:style w:type="paragraph" w:styleId="Date">
    <w:name w:val="Date"/>
    <w:basedOn w:val="Normal"/>
    <w:next w:val="Normal"/>
    <w:semiHidden/>
    <w:rsid w:val="005F44BC"/>
    <w:pPr>
      <w:keepLines w:val="0"/>
    </w:pPr>
    <w:rPr>
      <w:szCs w:val="24"/>
      <w:lang w:eastAsia="en-US"/>
    </w:rPr>
  </w:style>
  <w:style w:type="paragraph" w:styleId="E-mailSignature">
    <w:name w:val="E-mail Signature"/>
    <w:basedOn w:val="Normal"/>
    <w:semiHidden/>
    <w:rsid w:val="005F44BC"/>
    <w:pPr>
      <w:keepLines w:val="0"/>
    </w:pPr>
    <w:rPr>
      <w:szCs w:val="24"/>
      <w:lang w:eastAsia="en-US"/>
    </w:rPr>
  </w:style>
  <w:style w:type="character" w:styleId="Emphasis">
    <w:name w:val="Emphasis"/>
    <w:aliases w:val="Italics"/>
    <w:uiPriority w:val="20"/>
    <w:qFormat/>
    <w:rsid w:val="005F44BC"/>
    <w:rPr>
      <w:rFonts w:ascii="Arial" w:hAnsi="Arial"/>
      <w:i/>
      <w:iCs/>
      <w:sz w:val="22"/>
      <w:szCs w:val="22"/>
    </w:rPr>
  </w:style>
  <w:style w:type="paragraph" w:styleId="EnvelopeAddress">
    <w:name w:val="envelope address"/>
    <w:basedOn w:val="Normal"/>
    <w:semiHidden/>
    <w:rsid w:val="005F44BC"/>
    <w:pPr>
      <w:keepLines w:val="0"/>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semiHidden/>
    <w:rsid w:val="005F44BC"/>
    <w:pPr>
      <w:keepLines w:val="0"/>
    </w:pPr>
    <w:rPr>
      <w:rFonts w:cs="Arial"/>
      <w:sz w:val="20"/>
      <w:lang w:eastAsia="en-US"/>
    </w:rPr>
  </w:style>
  <w:style w:type="character" w:styleId="HTMLAcronym">
    <w:name w:val="HTML Acronym"/>
    <w:basedOn w:val="DefaultParagraphFont"/>
    <w:semiHidden/>
    <w:rsid w:val="005F44BC"/>
  </w:style>
  <w:style w:type="paragraph" w:styleId="HTMLAddress">
    <w:name w:val="HTML Address"/>
    <w:basedOn w:val="Normal"/>
    <w:semiHidden/>
    <w:rsid w:val="005F44BC"/>
    <w:pPr>
      <w:keepLines w:val="0"/>
    </w:pPr>
    <w:rPr>
      <w:i/>
      <w:iCs/>
      <w:szCs w:val="24"/>
      <w:lang w:eastAsia="en-US"/>
    </w:rPr>
  </w:style>
  <w:style w:type="character" w:styleId="HTMLCite">
    <w:name w:val="HTML Cite"/>
    <w:semiHidden/>
    <w:rsid w:val="005F44BC"/>
    <w:rPr>
      <w:i/>
      <w:iCs/>
    </w:rPr>
  </w:style>
  <w:style w:type="character" w:styleId="HTMLCode">
    <w:name w:val="HTML Code"/>
    <w:semiHidden/>
    <w:rsid w:val="005F44BC"/>
    <w:rPr>
      <w:rFonts w:ascii="Courier New" w:hAnsi="Courier New" w:cs="Courier New"/>
      <w:sz w:val="20"/>
      <w:szCs w:val="20"/>
    </w:rPr>
  </w:style>
  <w:style w:type="character" w:styleId="HTMLDefinition">
    <w:name w:val="HTML Definition"/>
    <w:semiHidden/>
    <w:rsid w:val="005F44BC"/>
    <w:rPr>
      <w:i/>
      <w:iCs/>
    </w:rPr>
  </w:style>
  <w:style w:type="character" w:styleId="HTMLKeyboard">
    <w:name w:val="HTML Keyboard"/>
    <w:semiHidden/>
    <w:rsid w:val="005F44BC"/>
    <w:rPr>
      <w:rFonts w:ascii="Courier New" w:hAnsi="Courier New" w:cs="Courier New"/>
      <w:sz w:val="20"/>
      <w:szCs w:val="20"/>
    </w:rPr>
  </w:style>
  <w:style w:type="paragraph" w:styleId="HTMLPreformatted">
    <w:name w:val="HTML Preformatted"/>
    <w:basedOn w:val="Normal"/>
    <w:semiHidden/>
    <w:rsid w:val="005F44BC"/>
    <w:pPr>
      <w:keepLines w:val="0"/>
    </w:pPr>
    <w:rPr>
      <w:rFonts w:ascii="Courier New" w:hAnsi="Courier New" w:cs="Courier New"/>
      <w:sz w:val="20"/>
      <w:lang w:eastAsia="en-US"/>
    </w:rPr>
  </w:style>
  <w:style w:type="character" w:styleId="HTMLSample">
    <w:name w:val="HTML Sample"/>
    <w:semiHidden/>
    <w:rsid w:val="005F44BC"/>
    <w:rPr>
      <w:rFonts w:ascii="Courier New" w:hAnsi="Courier New" w:cs="Courier New"/>
    </w:rPr>
  </w:style>
  <w:style w:type="character" w:styleId="HTMLTypewriter">
    <w:name w:val="HTML Typewriter"/>
    <w:semiHidden/>
    <w:rsid w:val="005F44BC"/>
    <w:rPr>
      <w:rFonts w:ascii="Courier New" w:hAnsi="Courier New" w:cs="Courier New"/>
      <w:sz w:val="20"/>
      <w:szCs w:val="20"/>
    </w:rPr>
  </w:style>
  <w:style w:type="character" w:styleId="HTMLVariable">
    <w:name w:val="HTML Variable"/>
    <w:semiHidden/>
    <w:rsid w:val="005F44BC"/>
    <w:rPr>
      <w:i/>
      <w:iCs/>
    </w:rPr>
  </w:style>
  <w:style w:type="character" w:styleId="LineNumber">
    <w:name w:val="line number"/>
    <w:basedOn w:val="DefaultParagraphFont"/>
    <w:uiPriority w:val="99"/>
    <w:semiHidden/>
    <w:rsid w:val="005F44BC"/>
  </w:style>
  <w:style w:type="paragraph" w:styleId="List">
    <w:name w:val="List"/>
    <w:basedOn w:val="Normal"/>
    <w:semiHidden/>
    <w:rsid w:val="005F44BC"/>
    <w:pPr>
      <w:keepLines w:val="0"/>
      <w:ind w:left="283" w:hanging="283"/>
    </w:pPr>
    <w:rPr>
      <w:szCs w:val="24"/>
      <w:lang w:eastAsia="en-US"/>
    </w:rPr>
  </w:style>
  <w:style w:type="paragraph" w:styleId="List2">
    <w:name w:val="List 2"/>
    <w:basedOn w:val="Normal"/>
    <w:semiHidden/>
    <w:rsid w:val="005F44BC"/>
    <w:pPr>
      <w:keepLines w:val="0"/>
      <w:ind w:left="566" w:hanging="283"/>
    </w:pPr>
    <w:rPr>
      <w:szCs w:val="24"/>
      <w:lang w:eastAsia="en-US"/>
    </w:rPr>
  </w:style>
  <w:style w:type="paragraph" w:styleId="List3">
    <w:name w:val="List 3"/>
    <w:basedOn w:val="Normal"/>
    <w:semiHidden/>
    <w:rsid w:val="005F44BC"/>
    <w:pPr>
      <w:keepLines w:val="0"/>
      <w:ind w:left="849" w:hanging="283"/>
    </w:pPr>
    <w:rPr>
      <w:szCs w:val="24"/>
      <w:lang w:eastAsia="en-US"/>
    </w:rPr>
  </w:style>
  <w:style w:type="paragraph" w:styleId="List4">
    <w:name w:val="List 4"/>
    <w:basedOn w:val="Normal"/>
    <w:semiHidden/>
    <w:rsid w:val="005F44BC"/>
    <w:pPr>
      <w:keepLines w:val="0"/>
      <w:ind w:left="1132" w:hanging="283"/>
    </w:pPr>
    <w:rPr>
      <w:szCs w:val="24"/>
      <w:lang w:eastAsia="en-US"/>
    </w:rPr>
  </w:style>
  <w:style w:type="paragraph" w:styleId="List5">
    <w:name w:val="List 5"/>
    <w:basedOn w:val="Normal"/>
    <w:semiHidden/>
    <w:rsid w:val="005F44BC"/>
    <w:pPr>
      <w:keepLines w:val="0"/>
      <w:ind w:left="1415" w:hanging="283"/>
    </w:pPr>
    <w:rPr>
      <w:szCs w:val="24"/>
      <w:lang w:eastAsia="en-US"/>
    </w:rPr>
  </w:style>
  <w:style w:type="paragraph" w:styleId="ListContinue">
    <w:name w:val="List Continue"/>
    <w:basedOn w:val="Normal"/>
    <w:semiHidden/>
    <w:rsid w:val="005F44BC"/>
    <w:pPr>
      <w:keepLines w:val="0"/>
      <w:spacing w:after="120"/>
      <w:ind w:left="283"/>
    </w:pPr>
    <w:rPr>
      <w:szCs w:val="24"/>
      <w:lang w:eastAsia="en-US"/>
    </w:rPr>
  </w:style>
  <w:style w:type="paragraph" w:styleId="ListContinue2">
    <w:name w:val="List Continue 2"/>
    <w:basedOn w:val="Normal"/>
    <w:semiHidden/>
    <w:rsid w:val="005F44BC"/>
    <w:pPr>
      <w:keepLines w:val="0"/>
      <w:spacing w:after="120"/>
      <w:ind w:left="566"/>
    </w:pPr>
    <w:rPr>
      <w:szCs w:val="24"/>
      <w:lang w:eastAsia="en-US"/>
    </w:rPr>
  </w:style>
  <w:style w:type="paragraph" w:styleId="ListContinue3">
    <w:name w:val="List Continue 3"/>
    <w:basedOn w:val="Normal"/>
    <w:semiHidden/>
    <w:rsid w:val="005F44BC"/>
    <w:pPr>
      <w:keepLines w:val="0"/>
      <w:spacing w:after="120"/>
      <w:ind w:left="849"/>
    </w:pPr>
    <w:rPr>
      <w:szCs w:val="24"/>
      <w:lang w:eastAsia="en-US"/>
    </w:rPr>
  </w:style>
  <w:style w:type="paragraph" w:styleId="ListContinue4">
    <w:name w:val="List Continue 4"/>
    <w:basedOn w:val="Normal"/>
    <w:semiHidden/>
    <w:rsid w:val="005F44BC"/>
    <w:pPr>
      <w:keepLines w:val="0"/>
      <w:spacing w:after="120"/>
      <w:ind w:left="1132"/>
    </w:pPr>
    <w:rPr>
      <w:szCs w:val="24"/>
      <w:lang w:eastAsia="en-US"/>
    </w:rPr>
  </w:style>
  <w:style w:type="paragraph" w:styleId="ListContinue5">
    <w:name w:val="List Continue 5"/>
    <w:basedOn w:val="Normal"/>
    <w:semiHidden/>
    <w:rsid w:val="005F44BC"/>
    <w:pPr>
      <w:keepLines w:val="0"/>
      <w:spacing w:after="120"/>
      <w:ind w:left="1415"/>
    </w:pPr>
    <w:rPr>
      <w:szCs w:val="24"/>
      <w:lang w:eastAsia="en-US"/>
    </w:rPr>
  </w:style>
  <w:style w:type="paragraph" w:styleId="MessageHeader">
    <w:name w:val="Message Header"/>
    <w:basedOn w:val="Normal"/>
    <w:semiHidden/>
    <w:rsid w:val="005F44BC"/>
    <w:pPr>
      <w:keepLines w:val="0"/>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paragraph" w:styleId="NoteHeading">
    <w:name w:val="Note Heading"/>
    <w:basedOn w:val="Normal"/>
    <w:next w:val="Normal"/>
    <w:semiHidden/>
    <w:rsid w:val="005F44BC"/>
    <w:pPr>
      <w:keepLines w:val="0"/>
    </w:pPr>
    <w:rPr>
      <w:szCs w:val="24"/>
      <w:lang w:eastAsia="en-US"/>
    </w:rPr>
  </w:style>
  <w:style w:type="paragraph" w:customStyle="1" w:styleId="PPRBodyCopy11pt">
    <w:name w:val="PPR Body Copy 11pt"/>
    <w:basedOn w:val="Normal"/>
    <w:link w:val="PPRBodyCopy11ptChar"/>
    <w:rsid w:val="005F44BC"/>
    <w:pPr>
      <w:keepLines w:val="0"/>
      <w:spacing w:line="288" w:lineRule="auto"/>
      <w:ind w:right="227"/>
    </w:pPr>
    <w:rPr>
      <w:szCs w:val="24"/>
      <w:lang w:eastAsia="en-US"/>
    </w:rPr>
  </w:style>
  <w:style w:type="paragraph" w:customStyle="1" w:styleId="PPRAddressFooter">
    <w:name w:val="PPR Address Footer"/>
    <w:basedOn w:val="PPRBodyCopy11pt"/>
    <w:rsid w:val="005F44BC"/>
    <w:pPr>
      <w:spacing w:line="240" w:lineRule="auto"/>
    </w:pPr>
    <w:rPr>
      <w:sz w:val="18"/>
      <w:szCs w:val="18"/>
    </w:rPr>
  </w:style>
  <w:style w:type="character" w:customStyle="1" w:styleId="PPRBodyCopy11ptChar">
    <w:name w:val="PPR Body Copy 11pt Char"/>
    <w:link w:val="PPRBodyCopy11pt"/>
    <w:rsid w:val="005F44BC"/>
    <w:rPr>
      <w:rFonts w:ascii="Arial" w:hAnsi="Arial"/>
      <w:sz w:val="22"/>
      <w:szCs w:val="24"/>
      <w:lang w:val="en-AU" w:eastAsia="en-US" w:bidi="ar-SA"/>
    </w:rPr>
  </w:style>
  <w:style w:type="numbering" w:customStyle="1" w:styleId="PPRBulletListIndented">
    <w:name w:val="PPR Bullet List Indented"/>
    <w:basedOn w:val="NoList"/>
    <w:rsid w:val="005F44BC"/>
    <w:pPr>
      <w:numPr>
        <w:numId w:val="33"/>
      </w:numPr>
    </w:pPr>
  </w:style>
  <w:style w:type="numbering" w:customStyle="1" w:styleId="PPRBulletList">
    <w:name w:val="PPR Bullet List"/>
    <w:basedOn w:val="PPRBulletListIndented"/>
    <w:rsid w:val="005F44BC"/>
    <w:pPr>
      <w:numPr>
        <w:numId w:val="34"/>
      </w:numPr>
    </w:pPr>
  </w:style>
  <w:style w:type="paragraph" w:customStyle="1" w:styleId="PPRCopy10pt">
    <w:name w:val="PPR Copy 10pt"/>
    <w:basedOn w:val="PPRBodyCopy11pt"/>
    <w:rsid w:val="005F44BC"/>
    <w:rPr>
      <w:sz w:val="20"/>
    </w:rPr>
  </w:style>
  <w:style w:type="paragraph" w:customStyle="1" w:styleId="PPRDocumentFooter">
    <w:name w:val="PPR Document Footer"/>
    <w:basedOn w:val="PPRAddressFooter"/>
    <w:rsid w:val="005F44BC"/>
    <w:pPr>
      <w:tabs>
        <w:tab w:val="right" w:pos="4320"/>
      </w:tabs>
    </w:pPr>
    <w:rPr>
      <w:b/>
      <w:color w:val="CF2126"/>
    </w:rPr>
  </w:style>
  <w:style w:type="character" w:customStyle="1" w:styleId="PPRHighlightBodyCopy">
    <w:name w:val="PPR Highlight Body Copy"/>
    <w:rsid w:val="005F44BC"/>
    <w:rPr>
      <w:rFonts w:ascii="Arial Black" w:hAnsi="Arial Black"/>
      <w:color w:val="000000"/>
      <w:sz w:val="22"/>
      <w:szCs w:val="22"/>
    </w:rPr>
  </w:style>
  <w:style w:type="character" w:customStyle="1" w:styleId="PPRHighlightBodyCopyRed">
    <w:name w:val="PPR Highlight Body Copy Red"/>
    <w:rsid w:val="005F44BC"/>
    <w:rPr>
      <w:rFonts w:ascii="Arial Black" w:hAnsi="Arial Black"/>
      <w:color w:val="CF2126"/>
      <w:sz w:val="22"/>
      <w:szCs w:val="22"/>
    </w:rPr>
  </w:style>
  <w:style w:type="paragraph" w:customStyle="1" w:styleId="PPRMainHeader">
    <w:name w:val="PPR Main Header"/>
    <w:basedOn w:val="Heading1"/>
    <w:autoRedefine/>
    <w:rsid w:val="005F44BC"/>
    <w:pPr>
      <w:keepNext/>
      <w:widowControl/>
      <w:spacing w:after="0" w:line="288" w:lineRule="auto"/>
    </w:pPr>
    <w:rPr>
      <w:rFonts w:ascii="Arial Black" w:hAnsi="Arial Black" w:cs="Arial"/>
      <w:b w:val="0"/>
      <w:bCs/>
      <w:color w:val="CF2126"/>
      <w:kern w:val="32"/>
      <w:sz w:val="44"/>
      <w:szCs w:val="44"/>
      <w:lang w:eastAsia="en-US"/>
    </w:rPr>
  </w:style>
  <w:style w:type="paragraph" w:customStyle="1" w:styleId="PPRSubheader1">
    <w:name w:val="PPR Sub header 1"/>
    <w:basedOn w:val="Heading3"/>
    <w:autoRedefine/>
    <w:rsid w:val="005F44BC"/>
    <w:pPr>
      <w:keepLines w:val="0"/>
      <w:spacing w:after="0" w:line="288" w:lineRule="auto"/>
      <w:ind w:right="-62"/>
    </w:pPr>
    <w:rPr>
      <w:rFonts w:ascii="Arial" w:hAnsi="Arial" w:cs="Arial"/>
      <w:b w:val="0"/>
      <w:bCs/>
      <w:color w:val="000000"/>
      <w:sz w:val="28"/>
      <w:szCs w:val="28"/>
      <w:lang w:eastAsia="en-US"/>
    </w:rPr>
  </w:style>
  <w:style w:type="paragraph" w:customStyle="1" w:styleId="PPRSubheader1RED">
    <w:name w:val="PPR Sub header 1 RED"/>
    <w:basedOn w:val="Heading2"/>
    <w:rsid w:val="005F44BC"/>
    <w:pPr>
      <w:keepLines w:val="0"/>
      <w:shd w:val="clear" w:color="auto" w:fill="auto"/>
      <w:spacing w:after="0" w:line="288" w:lineRule="auto"/>
    </w:pPr>
    <w:rPr>
      <w:rFonts w:cs="Arial"/>
      <w:bCs/>
      <w:iCs/>
      <w:color w:val="CF2126"/>
      <w:sz w:val="28"/>
      <w:szCs w:val="44"/>
      <w:lang w:eastAsia="en-US"/>
    </w:rPr>
  </w:style>
  <w:style w:type="paragraph" w:customStyle="1" w:styleId="PPRSubheader2">
    <w:name w:val="PPR Sub header 2"/>
    <w:basedOn w:val="Heading5"/>
    <w:rsid w:val="005F44BC"/>
    <w:pPr>
      <w:keepNext w:val="0"/>
      <w:keepLines w:val="0"/>
      <w:spacing w:before="0" w:after="0"/>
    </w:pPr>
    <w:rPr>
      <w:bCs/>
      <w:iCs/>
      <w:color w:val="000000"/>
      <w:szCs w:val="22"/>
      <w:lang w:eastAsia="en-US"/>
    </w:rPr>
  </w:style>
  <w:style w:type="paragraph" w:customStyle="1" w:styleId="PPRSubheader2RED">
    <w:name w:val="PPR Sub header 2 RED"/>
    <w:basedOn w:val="Heading4"/>
    <w:autoRedefine/>
    <w:rsid w:val="005F44BC"/>
    <w:pPr>
      <w:keepLines w:val="0"/>
      <w:spacing w:before="0" w:after="0" w:line="288" w:lineRule="auto"/>
    </w:pPr>
    <w:rPr>
      <w:rFonts w:ascii="Arial" w:hAnsi="Arial"/>
      <w:b w:val="0"/>
      <w:bCs/>
      <w:color w:val="CF2126"/>
      <w:sz w:val="22"/>
      <w:szCs w:val="44"/>
      <w:lang w:eastAsia="en-US"/>
    </w:rPr>
  </w:style>
  <w:style w:type="table" w:customStyle="1" w:styleId="PPRTable">
    <w:name w:val="PPR Table"/>
    <w:basedOn w:val="TableNormal"/>
    <w:rsid w:val="005F44BC"/>
    <w:rPr>
      <w:rFonts w:ascii="Arial" w:hAnsi="Arial"/>
      <w:color w:val="000000"/>
      <w:sz w:val="22"/>
      <w:szCs w:val="22"/>
    </w:rPr>
    <w:tblP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cPr>
      <w:tcMar>
        <w:left w:w="57" w:type="dxa"/>
        <w:right w:w="57" w:type="dxa"/>
      </w:tcMar>
    </w:tcPr>
    <w:tblStylePr w:type="firstRow">
      <w:pPr>
        <w:jc w:val="left"/>
      </w:pPr>
      <w:rPr>
        <w:rFonts w:ascii="Yu Gothic" w:hAnsi="Yu Gothic"/>
        <w:b w:val="0"/>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solid" w:color="CF2126" w:fill="auto"/>
        <w:vAlign w:val="center"/>
      </w:tcPr>
    </w:tblStylePr>
  </w:style>
  <w:style w:type="table" w:customStyle="1" w:styleId="PPRTableGray">
    <w:name w:val="PPR Table Gray"/>
    <w:basedOn w:val="PPRTable"/>
    <w:rsid w:val="005F44BC"/>
    <w:tblPr/>
    <w:tblStylePr w:type="firstRow">
      <w:pPr>
        <w:jc w:val="left"/>
      </w:pPr>
      <w:rPr>
        <w:rFonts w:ascii="DengXian" w:hAnsi="DengXian"/>
        <w:b/>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clear" w:color="auto" w:fill="C0C0C0"/>
        <w:vAlign w:val="center"/>
      </w:tcPr>
    </w:tblStylePr>
  </w:style>
  <w:style w:type="paragraph" w:customStyle="1" w:styleId="PPRTableHeaderWhiteRightAligned">
    <w:name w:val="PPR Table Header White Right Aligned"/>
    <w:basedOn w:val="Normal"/>
    <w:rsid w:val="005F44BC"/>
    <w:pPr>
      <w:keepLines w:val="0"/>
      <w:shd w:val="solid" w:color="CF2126" w:fill="FFFFFF"/>
      <w:spacing w:line="288" w:lineRule="auto"/>
      <w:jc w:val="right"/>
    </w:pPr>
    <w:rPr>
      <w:rFonts w:ascii="Arial Black" w:hAnsi="Arial Black"/>
      <w:caps/>
      <w:color w:val="FFFFFF"/>
      <w:sz w:val="20"/>
      <w:lang w:eastAsia="en-US"/>
    </w:rPr>
  </w:style>
  <w:style w:type="paragraph" w:customStyle="1" w:styleId="PPRTableHeaderWhiteCentreAligned">
    <w:name w:val="PPR Table Header White Centre Aligned"/>
    <w:basedOn w:val="PPRTableHeaderWhiteRightAligned"/>
    <w:rsid w:val="005F44BC"/>
    <w:pPr>
      <w:spacing w:line="240" w:lineRule="auto"/>
      <w:jc w:val="center"/>
    </w:pPr>
  </w:style>
  <w:style w:type="paragraph" w:customStyle="1" w:styleId="PPRTableHeaderWhiteLeftAligned">
    <w:name w:val="PPR Table Header White Left Aligned"/>
    <w:basedOn w:val="PPRTableHeaderWhiteRightAligned"/>
    <w:rsid w:val="005F44BC"/>
    <w:pPr>
      <w:jc w:val="left"/>
    </w:pPr>
  </w:style>
  <w:style w:type="paragraph" w:styleId="Salutation">
    <w:name w:val="Salutation"/>
    <w:basedOn w:val="Normal"/>
    <w:next w:val="Normal"/>
    <w:semiHidden/>
    <w:rsid w:val="005F44BC"/>
    <w:pPr>
      <w:keepLines w:val="0"/>
    </w:pPr>
    <w:rPr>
      <w:szCs w:val="24"/>
      <w:lang w:eastAsia="en-US"/>
    </w:rPr>
  </w:style>
  <w:style w:type="paragraph" w:styleId="Signature">
    <w:name w:val="Signature"/>
    <w:basedOn w:val="Normal"/>
    <w:semiHidden/>
    <w:rsid w:val="005F44BC"/>
    <w:pPr>
      <w:keepLines w:val="0"/>
      <w:ind w:left="4252"/>
    </w:pPr>
    <w:rPr>
      <w:szCs w:val="24"/>
      <w:lang w:eastAsia="en-US"/>
    </w:rPr>
  </w:style>
  <w:style w:type="paragraph" w:styleId="Subtitle">
    <w:name w:val="Subtitle"/>
    <w:basedOn w:val="Normal"/>
    <w:qFormat/>
    <w:rsid w:val="005F44BC"/>
    <w:pPr>
      <w:keepLines w:val="0"/>
      <w:spacing w:after="60"/>
      <w:jc w:val="center"/>
      <w:outlineLvl w:val="1"/>
    </w:pPr>
    <w:rPr>
      <w:rFonts w:cs="Arial"/>
      <w:sz w:val="24"/>
      <w:szCs w:val="24"/>
      <w:lang w:eastAsia="en-US"/>
    </w:rPr>
  </w:style>
  <w:style w:type="character" w:customStyle="1" w:styleId="Superscript">
    <w:name w:val="Superscript"/>
    <w:rsid w:val="005F44BC"/>
    <w:rPr>
      <w:rFonts w:ascii="Arial" w:hAnsi="Arial"/>
      <w:color w:val="auto"/>
      <w:vertAlign w:val="superscript"/>
    </w:rPr>
  </w:style>
  <w:style w:type="table" w:styleId="Table3Deffects1">
    <w:name w:val="Table 3D effects 1"/>
    <w:basedOn w:val="TableNormal"/>
    <w:semiHidden/>
    <w:rsid w:val="005F44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F44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F44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44BC"/>
    <w:rPr>
      <w:rFonts w:ascii="Arial" w:hAnsi="Arial"/>
      <w:sz w:val="22"/>
      <w:szCs w:val="22"/>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shd w:val="clear" w:color="auto" w:fill="auto"/>
    </w:tcPr>
    <w:tblStylePr w:type="firstRow">
      <w:rPr>
        <w:rFonts w:ascii="Arial" w:hAnsi="Arial"/>
        <w:i w:val="0"/>
        <w:iCs/>
        <w:sz w:val="22"/>
        <w:szCs w:val="22"/>
      </w:rPr>
      <w:tblPr/>
      <w:tcPr>
        <w:tcBorders>
          <w:top w:val="nil"/>
          <w:left w:val="nil"/>
          <w:bottom w:val="nil"/>
          <w:right w:val="nil"/>
        </w:tcBorders>
        <w:shd w:val="clear" w:color="auto" w:fill="auto"/>
      </w:tcPr>
    </w:tblStylePr>
    <w:tblStylePr w:type="lastRow">
      <w:rPr>
        <w:color w:val="auto"/>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uto"/>
      </w:tcPr>
    </w:tblStylePr>
    <w:tblStylePr w:type="firstCol">
      <w:rPr>
        <w:rFonts w:ascii="Arial" w:hAnsi="Arial"/>
        <w:b w:val="0"/>
        <w:sz w:val="22"/>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table" w:styleId="TableClassic2">
    <w:name w:val="Table Classic 2"/>
    <w:basedOn w:val="TableNormal"/>
    <w:semiHidden/>
    <w:rsid w:val="005F44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F44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F44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F44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F44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F44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F44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F44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F44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F44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F44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F44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F44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F44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F44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F44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F44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F44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F44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F44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F44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F44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F44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F44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F44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F44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F44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F44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F44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F44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F44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F44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F44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F44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F44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F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F44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F44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F44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F44BC"/>
    <w:pPr>
      <w:keepLines w:val="0"/>
      <w:spacing w:before="240" w:after="60"/>
      <w:jc w:val="center"/>
      <w:outlineLvl w:val="0"/>
    </w:pPr>
    <w:rPr>
      <w:rFonts w:cs="Arial"/>
      <w:b/>
      <w:bCs/>
      <w:kern w:val="28"/>
      <w:sz w:val="32"/>
      <w:szCs w:val="32"/>
      <w:lang w:eastAsia="en-US"/>
    </w:rPr>
  </w:style>
  <w:style w:type="numbering" w:customStyle="1" w:styleId="PPRBulletNumberedIndented">
    <w:name w:val="PPR Bullet Numbered Indented"/>
    <w:basedOn w:val="PPRBulletNumbered"/>
    <w:rsid w:val="005F44BC"/>
    <w:pPr>
      <w:numPr>
        <w:numId w:val="35"/>
      </w:numPr>
    </w:pPr>
  </w:style>
  <w:style w:type="paragraph" w:customStyle="1" w:styleId="CDFNormal">
    <w:name w:val="CDFNormal"/>
    <w:basedOn w:val="Normal"/>
    <w:rsid w:val="005F44BC"/>
    <w:pPr>
      <w:keepLines w:val="0"/>
      <w:spacing w:after="120"/>
      <w:ind w:right="96"/>
    </w:pPr>
    <w:rPr>
      <w:rFonts w:ascii="Times New Roman" w:hAnsi="Times New Roman"/>
      <w:sz w:val="24"/>
      <w:szCs w:val="24"/>
    </w:rPr>
  </w:style>
  <w:style w:type="table" w:customStyle="1" w:styleId="TableGrid10">
    <w:name w:val="Table Grid1"/>
    <w:basedOn w:val="TableNormal"/>
    <w:next w:val="TableGrid"/>
    <w:rsid w:val="005F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Part/Section Title Char"/>
    <w:link w:val="Heading3"/>
    <w:uiPriority w:val="9"/>
    <w:rsid w:val="00B80F0A"/>
    <w:rPr>
      <w:rFonts w:ascii="Arial Bold" w:hAnsi="Arial Bold"/>
      <w:b/>
      <w:color w:val="000000" w:themeColor="text1"/>
      <w:sz w:val="27"/>
    </w:rPr>
  </w:style>
  <w:style w:type="character" w:customStyle="1" w:styleId="Heading2Char">
    <w:name w:val="Heading 2 Char"/>
    <w:aliases w:val="Chapter Title Char"/>
    <w:link w:val="Heading2"/>
    <w:uiPriority w:val="9"/>
    <w:rsid w:val="00B80F0A"/>
    <w:rPr>
      <w:rFonts w:ascii="Arial" w:hAnsi="Arial"/>
      <w:b/>
      <w:color w:val="000000" w:themeColor="text1"/>
      <w:sz w:val="30"/>
      <w:shd w:val="clear" w:color="FFFF00" w:fill="auto"/>
    </w:rPr>
  </w:style>
  <w:style w:type="paragraph" w:customStyle="1" w:styleId="blocklistarial0">
    <w:name w:val="blocklistarial"/>
    <w:basedOn w:val="Normal"/>
    <w:rsid w:val="005F44BC"/>
    <w:pPr>
      <w:keepLines w:val="0"/>
      <w:spacing w:after="40"/>
    </w:pPr>
    <w:rPr>
      <w:rFonts w:cs="Arial"/>
      <w:szCs w:val="22"/>
    </w:rPr>
  </w:style>
  <w:style w:type="paragraph" w:customStyle="1" w:styleId="bodytext0">
    <w:name w:val="bodytext"/>
    <w:basedOn w:val="Normal"/>
    <w:link w:val="bodytextChar"/>
    <w:rsid w:val="005F44BC"/>
    <w:pPr>
      <w:keepLines w:val="0"/>
      <w:spacing w:before="100" w:beforeAutospacing="1" w:after="100" w:afterAutospacing="1"/>
      <w:ind w:left="150"/>
    </w:pPr>
    <w:rPr>
      <w:rFonts w:ascii="Times New Roman" w:hAnsi="Times New Roman"/>
      <w:sz w:val="24"/>
      <w:szCs w:val="24"/>
    </w:rPr>
  </w:style>
  <w:style w:type="character" w:customStyle="1" w:styleId="bodytextChar">
    <w:name w:val="bodytext Char"/>
    <w:link w:val="bodytext0"/>
    <w:rsid w:val="005F44BC"/>
    <w:rPr>
      <w:sz w:val="24"/>
      <w:szCs w:val="24"/>
      <w:lang w:val="en-AU" w:eastAsia="en-AU" w:bidi="ar-SA"/>
    </w:rPr>
  </w:style>
  <w:style w:type="paragraph" w:customStyle="1" w:styleId="tablebullet10">
    <w:name w:val="tablebullet1"/>
    <w:basedOn w:val="Normal"/>
    <w:rsid w:val="006D1E1C"/>
    <w:pPr>
      <w:keepLines w:val="0"/>
      <w:spacing w:before="60" w:after="30"/>
      <w:ind w:left="283" w:hanging="283"/>
    </w:pPr>
    <w:rPr>
      <w:rFonts w:cs="Arial"/>
      <w:sz w:val="20"/>
    </w:rPr>
  </w:style>
  <w:style w:type="character" w:customStyle="1" w:styleId="ClauseHeadingChar">
    <w:name w:val="Clause Heading Char"/>
    <w:link w:val="ClauseHeading"/>
    <w:rsid w:val="006D1E1C"/>
    <w:rPr>
      <w:rFonts w:ascii="Arial" w:hAnsi="Arial"/>
      <w:b/>
      <w:sz w:val="23"/>
      <w:lang w:val="en-AU" w:eastAsia="en-AU" w:bidi="ar-SA"/>
    </w:rPr>
  </w:style>
  <w:style w:type="paragraph" w:customStyle="1" w:styleId="Default">
    <w:name w:val="Default"/>
    <w:rsid w:val="008B4402"/>
    <w:rPr>
      <w:rFonts w:ascii="ArialMT" w:hAnsi="ArialMT"/>
      <w:snapToGrid w:val="0"/>
      <w:lang w:eastAsia="en-US"/>
    </w:rPr>
  </w:style>
  <w:style w:type="paragraph" w:customStyle="1" w:styleId="SP2204843">
    <w:name w:val="SP.2.204843"/>
    <w:basedOn w:val="Default"/>
    <w:next w:val="Default"/>
    <w:rsid w:val="008B4402"/>
    <w:pPr>
      <w:spacing w:before="200"/>
    </w:pPr>
    <w:rPr>
      <w:sz w:val="24"/>
    </w:rPr>
  </w:style>
  <w:style w:type="paragraph" w:customStyle="1" w:styleId="Norml">
    <w:name w:val="Norml"/>
    <w:basedOn w:val="Heading4"/>
    <w:rsid w:val="008B4402"/>
  </w:style>
  <w:style w:type="paragraph" w:customStyle="1" w:styleId="Normal0">
    <w:name w:val="Normal'"/>
    <w:basedOn w:val="Norml"/>
    <w:rsid w:val="008B4402"/>
  </w:style>
  <w:style w:type="paragraph" w:customStyle="1" w:styleId="Mnormal">
    <w:name w:val="Mnormal"/>
    <w:basedOn w:val="Normal0"/>
    <w:rsid w:val="008B4402"/>
  </w:style>
  <w:style w:type="paragraph" w:customStyle="1" w:styleId="ShortT">
    <w:name w:val="ShortT"/>
    <w:basedOn w:val="Normal"/>
    <w:next w:val="Normal"/>
    <w:qFormat/>
    <w:rsid w:val="00EC432E"/>
    <w:pPr>
      <w:keepLines w:val="0"/>
    </w:pPr>
    <w:rPr>
      <w:rFonts w:ascii="Times New Roman" w:eastAsia="Calibri" w:hAnsi="Times New Roman"/>
      <w:b/>
      <w:sz w:val="40"/>
    </w:rPr>
  </w:style>
  <w:style w:type="character" w:customStyle="1" w:styleId="CharChapNo">
    <w:name w:val="CharChapNo"/>
    <w:uiPriority w:val="1"/>
    <w:qFormat/>
    <w:rsid w:val="00EC432E"/>
    <w:rPr>
      <w:rFonts w:cs="Times New Roman"/>
    </w:rPr>
  </w:style>
  <w:style w:type="character" w:customStyle="1" w:styleId="CharChapText">
    <w:name w:val="CharChapText"/>
    <w:uiPriority w:val="1"/>
    <w:qFormat/>
    <w:rsid w:val="00EC432E"/>
    <w:rPr>
      <w:rFonts w:cs="Times New Roman"/>
    </w:rPr>
  </w:style>
  <w:style w:type="character" w:customStyle="1" w:styleId="CharDivNo">
    <w:name w:val="CharDivNo"/>
    <w:uiPriority w:val="1"/>
    <w:qFormat/>
    <w:rsid w:val="00EC432E"/>
    <w:rPr>
      <w:rFonts w:cs="Times New Roman"/>
    </w:rPr>
  </w:style>
  <w:style w:type="character" w:customStyle="1" w:styleId="CharDivText">
    <w:name w:val="CharDivText"/>
    <w:uiPriority w:val="1"/>
    <w:qFormat/>
    <w:rsid w:val="00EC432E"/>
    <w:rPr>
      <w:rFonts w:cs="Times New Roman"/>
    </w:rPr>
  </w:style>
  <w:style w:type="character" w:customStyle="1" w:styleId="CharPartNo">
    <w:name w:val="CharPartNo"/>
    <w:uiPriority w:val="1"/>
    <w:qFormat/>
    <w:rsid w:val="00EC432E"/>
    <w:rPr>
      <w:rFonts w:cs="Times New Roman"/>
    </w:rPr>
  </w:style>
  <w:style w:type="character" w:customStyle="1" w:styleId="CharPartText">
    <w:name w:val="CharPartText"/>
    <w:uiPriority w:val="1"/>
    <w:qFormat/>
    <w:rsid w:val="00EC432E"/>
    <w:rPr>
      <w:rFonts w:cs="Times New Roman"/>
    </w:rPr>
  </w:style>
  <w:style w:type="character" w:customStyle="1" w:styleId="HeaderChar">
    <w:name w:val="Header Char"/>
    <w:link w:val="Header"/>
    <w:uiPriority w:val="99"/>
    <w:locked/>
    <w:rsid w:val="00EC432E"/>
    <w:rPr>
      <w:rFonts w:ascii="Arial" w:hAnsi="Arial"/>
      <w:sz w:val="18"/>
      <w:lang w:val="en-AU" w:eastAsia="en-AU" w:bidi="ar-SA"/>
    </w:rPr>
  </w:style>
  <w:style w:type="paragraph" w:customStyle="1" w:styleId="CompiledMadeUnder">
    <w:name w:val="CompiledMadeUnder"/>
    <w:basedOn w:val="Normal"/>
    <w:next w:val="Normal"/>
    <w:rsid w:val="00EC432E"/>
    <w:pPr>
      <w:keepLines w:val="0"/>
      <w:spacing w:line="260" w:lineRule="atLeast"/>
    </w:pPr>
    <w:rPr>
      <w:rFonts w:ascii="Times New Roman" w:eastAsia="Calibri" w:hAnsi="Times New Roman"/>
      <w:i/>
      <w:sz w:val="24"/>
      <w:szCs w:val="24"/>
    </w:rPr>
  </w:style>
  <w:style w:type="character" w:customStyle="1" w:styleId="apple-converted-space">
    <w:name w:val="apple-converted-space"/>
    <w:basedOn w:val="DefaultParagraphFont"/>
    <w:rsid w:val="001D2F95"/>
  </w:style>
  <w:style w:type="character" w:customStyle="1" w:styleId="charamschno">
    <w:name w:val="charamschno"/>
    <w:rsid w:val="003F3769"/>
  </w:style>
  <w:style w:type="paragraph" w:customStyle="1" w:styleId="acthead6">
    <w:name w:val="acthead6"/>
    <w:basedOn w:val="Normal"/>
    <w:rsid w:val="00324316"/>
    <w:pPr>
      <w:keepLines w:val="0"/>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D52C95"/>
    <w:rPr>
      <w:rFonts w:ascii="Arial" w:hAnsi="Arial"/>
      <w:sz w:val="18"/>
    </w:rPr>
  </w:style>
  <w:style w:type="paragraph" w:customStyle="1" w:styleId="tabletextnumbered0">
    <w:name w:val="tabletextnumbered"/>
    <w:basedOn w:val="Normal"/>
    <w:rsid w:val="00644576"/>
    <w:pPr>
      <w:keepLines w:val="0"/>
      <w:spacing w:before="100" w:beforeAutospacing="1" w:after="100" w:afterAutospacing="1"/>
    </w:pPr>
    <w:rPr>
      <w:rFonts w:ascii="Times New Roman" w:hAnsi="Times New Roman"/>
      <w:sz w:val="24"/>
      <w:szCs w:val="24"/>
    </w:rPr>
  </w:style>
  <w:style w:type="paragraph" w:customStyle="1" w:styleId="sectiontext">
    <w:name w:val="sectiontext"/>
    <w:basedOn w:val="Normal"/>
    <w:rsid w:val="00117374"/>
    <w:pPr>
      <w:keepLines w:val="0"/>
      <w:spacing w:before="100" w:beforeAutospacing="1" w:after="100" w:afterAutospacing="1"/>
    </w:pPr>
    <w:rPr>
      <w:rFonts w:ascii="Times New Roman" w:hAnsi="Times New Roman"/>
      <w:sz w:val="24"/>
      <w:szCs w:val="24"/>
    </w:rPr>
  </w:style>
  <w:style w:type="paragraph" w:customStyle="1" w:styleId="Sectiontext0">
    <w:name w:val="Section text"/>
    <w:basedOn w:val="Normal"/>
    <w:link w:val="SectiontextChar"/>
    <w:qFormat/>
    <w:rsid w:val="002939E8"/>
    <w:pPr>
      <w:keepLines w:val="0"/>
      <w:spacing w:after="200"/>
    </w:pPr>
    <w:rPr>
      <w:sz w:val="20"/>
    </w:rPr>
  </w:style>
  <w:style w:type="character" w:customStyle="1" w:styleId="SectiontextChar">
    <w:name w:val="Section text Char"/>
    <w:link w:val="Sectiontext0"/>
    <w:rsid w:val="002939E8"/>
    <w:rPr>
      <w:rFonts w:ascii="Arial" w:hAnsi="Arial"/>
    </w:rPr>
  </w:style>
  <w:style w:type="character" w:customStyle="1" w:styleId="CharAmSchNo0">
    <w:name w:val="CharAmSchNo"/>
    <w:uiPriority w:val="1"/>
    <w:qFormat/>
    <w:rsid w:val="00E4451C"/>
  </w:style>
  <w:style w:type="paragraph" w:customStyle="1" w:styleId="subsection">
    <w:name w:val="subsection"/>
    <w:aliases w:val="ss"/>
    <w:basedOn w:val="Normal"/>
    <w:link w:val="subsectionChar"/>
    <w:rsid w:val="00E14962"/>
    <w:pPr>
      <w:keepLines w:val="0"/>
      <w:tabs>
        <w:tab w:val="right" w:pos="1021"/>
      </w:tabs>
      <w:spacing w:before="180"/>
      <w:ind w:left="1134" w:hanging="1134"/>
    </w:pPr>
    <w:rPr>
      <w:rFonts w:ascii="Times New Roman" w:hAnsi="Times New Roman"/>
    </w:rPr>
  </w:style>
  <w:style w:type="character" w:customStyle="1" w:styleId="subsectionChar">
    <w:name w:val="subsection Char"/>
    <w:aliases w:val="ss Char"/>
    <w:link w:val="subsection"/>
    <w:locked/>
    <w:rsid w:val="00E14962"/>
    <w:rPr>
      <w:sz w:val="22"/>
    </w:rPr>
  </w:style>
  <w:style w:type="paragraph" w:customStyle="1" w:styleId="guidancetext0">
    <w:name w:val="guidancetext"/>
    <w:basedOn w:val="Normal"/>
    <w:rsid w:val="00B51D49"/>
    <w:pPr>
      <w:keepLines w:val="0"/>
      <w:spacing w:before="100" w:beforeAutospacing="1" w:after="100" w:afterAutospacing="1"/>
    </w:pPr>
    <w:rPr>
      <w:rFonts w:ascii="Times New Roman" w:hAnsi="Times New Roman"/>
      <w:sz w:val="24"/>
      <w:szCs w:val="24"/>
    </w:rPr>
  </w:style>
  <w:style w:type="character" w:customStyle="1" w:styleId="OPCCharBase">
    <w:name w:val="OPCCharBase"/>
    <w:uiPriority w:val="1"/>
    <w:qFormat/>
    <w:rsid w:val="00083B82"/>
  </w:style>
  <w:style w:type="paragraph" w:customStyle="1" w:styleId="OPCParaBase">
    <w:name w:val="OPCParaBase"/>
    <w:qFormat/>
    <w:rsid w:val="00083B82"/>
    <w:pPr>
      <w:spacing w:line="260" w:lineRule="atLeast"/>
    </w:pPr>
    <w:rPr>
      <w:sz w:val="22"/>
    </w:rPr>
  </w:style>
  <w:style w:type="paragraph" w:customStyle="1" w:styleId="ActHead1">
    <w:name w:val="ActHead 1"/>
    <w:aliases w:val="c"/>
    <w:basedOn w:val="OPCParaBase"/>
    <w:next w:val="Normal"/>
    <w:qFormat/>
    <w:rsid w:val="00083B8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83B8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83B8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3B8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83B82"/>
    <w:pPr>
      <w:keepNext/>
      <w:keepLines/>
      <w:spacing w:before="280" w:line="240" w:lineRule="auto"/>
      <w:ind w:left="1134" w:hanging="1134"/>
      <w:outlineLvl w:val="4"/>
    </w:pPr>
    <w:rPr>
      <w:b/>
      <w:kern w:val="28"/>
      <w:sz w:val="24"/>
    </w:rPr>
  </w:style>
  <w:style w:type="paragraph" w:customStyle="1" w:styleId="ActHead60">
    <w:name w:val="ActHead 6"/>
    <w:aliases w:val="as"/>
    <w:basedOn w:val="OPCParaBase"/>
    <w:next w:val="ActHead7"/>
    <w:qFormat/>
    <w:rsid w:val="00083B8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3B82"/>
    <w:pPr>
      <w:keepNext/>
      <w:keepLines/>
      <w:spacing w:before="280" w:line="240" w:lineRule="auto"/>
      <w:outlineLvl w:val="6"/>
    </w:pPr>
    <w:rPr>
      <w:b/>
      <w:kern w:val="28"/>
      <w:sz w:val="28"/>
    </w:rPr>
  </w:style>
  <w:style w:type="paragraph" w:customStyle="1" w:styleId="ActHead8">
    <w:name w:val="ActHead 8"/>
    <w:aliases w:val="ad"/>
    <w:basedOn w:val="OPCParaBase"/>
    <w:next w:val="ItemHead"/>
    <w:qFormat/>
    <w:rsid w:val="00083B8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3B82"/>
    <w:pPr>
      <w:keepNext/>
      <w:keepLines/>
      <w:spacing w:before="280" w:line="240" w:lineRule="auto"/>
      <w:ind w:left="1134" w:hanging="1134"/>
      <w:outlineLvl w:val="8"/>
    </w:pPr>
    <w:rPr>
      <w:rFonts w:ascii="Arial" w:hAnsi="Arial"/>
      <w:b/>
      <w:i/>
      <w:kern w:val="28"/>
      <w:sz w:val="28"/>
    </w:rPr>
  </w:style>
  <w:style w:type="paragraph" w:customStyle="1" w:styleId="Actno">
    <w:name w:val="Actno"/>
    <w:basedOn w:val="ShortT"/>
    <w:next w:val="Normal"/>
    <w:qFormat/>
    <w:rsid w:val="00083B82"/>
    <w:rPr>
      <w:rFonts w:eastAsia="Times New Roman"/>
    </w:rPr>
  </w:style>
  <w:style w:type="paragraph" w:customStyle="1" w:styleId="Blocks">
    <w:name w:val="Blocks"/>
    <w:aliases w:val="bb"/>
    <w:basedOn w:val="OPCParaBase"/>
    <w:qFormat/>
    <w:rsid w:val="00083B82"/>
    <w:pPr>
      <w:spacing w:line="240" w:lineRule="auto"/>
    </w:pPr>
    <w:rPr>
      <w:sz w:val="24"/>
    </w:rPr>
  </w:style>
  <w:style w:type="paragraph" w:customStyle="1" w:styleId="BoxText">
    <w:name w:val="BoxText"/>
    <w:aliases w:val="bt"/>
    <w:basedOn w:val="OPCParaBase"/>
    <w:qFormat/>
    <w:rsid w:val="00083B8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3B82"/>
    <w:rPr>
      <w:b/>
    </w:rPr>
  </w:style>
  <w:style w:type="paragraph" w:customStyle="1" w:styleId="BoxHeadItalic">
    <w:name w:val="BoxHeadItalic"/>
    <w:aliases w:val="bhi"/>
    <w:basedOn w:val="BoxText"/>
    <w:next w:val="BoxStep"/>
    <w:qFormat/>
    <w:rsid w:val="00083B82"/>
    <w:rPr>
      <w:i/>
    </w:rPr>
  </w:style>
  <w:style w:type="paragraph" w:customStyle="1" w:styleId="BoxList">
    <w:name w:val="BoxList"/>
    <w:aliases w:val="bl"/>
    <w:basedOn w:val="BoxText"/>
    <w:qFormat/>
    <w:rsid w:val="00083B82"/>
    <w:pPr>
      <w:ind w:left="1559" w:hanging="425"/>
    </w:pPr>
  </w:style>
  <w:style w:type="paragraph" w:customStyle="1" w:styleId="BoxNote">
    <w:name w:val="BoxNote"/>
    <w:aliases w:val="bn"/>
    <w:basedOn w:val="BoxText"/>
    <w:qFormat/>
    <w:rsid w:val="00083B82"/>
    <w:pPr>
      <w:tabs>
        <w:tab w:val="left" w:pos="1985"/>
      </w:tabs>
      <w:spacing w:before="122" w:line="198" w:lineRule="exact"/>
      <w:ind w:left="2948" w:hanging="1814"/>
    </w:pPr>
    <w:rPr>
      <w:sz w:val="18"/>
    </w:rPr>
  </w:style>
  <w:style w:type="paragraph" w:customStyle="1" w:styleId="BoxPara">
    <w:name w:val="BoxPara"/>
    <w:aliases w:val="bp"/>
    <w:basedOn w:val="BoxText"/>
    <w:qFormat/>
    <w:rsid w:val="00083B82"/>
    <w:pPr>
      <w:tabs>
        <w:tab w:val="right" w:pos="2268"/>
      </w:tabs>
      <w:ind w:left="2552" w:hanging="1418"/>
    </w:pPr>
  </w:style>
  <w:style w:type="paragraph" w:customStyle="1" w:styleId="BoxStep">
    <w:name w:val="BoxStep"/>
    <w:aliases w:val="bs"/>
    <w:basedOn w:val="BoxText"/>
    <w:qFormat/>
    <w:rsid w:val="00083B82"/>
    <w:pPr>
      <w:ind w:left="1985" w:hanging="851"/>
    </w:pPr>
  </w:style>
  <w:style w:type="character" w:customStyle="1" w:styleId="CharAmPartNo">
    <w:name w:val="CharAmPartNo"/>
    <w:uiPriority w:val="1"/>
    <w:qFormat/>
    <w:rsid w:val="00083B82"/>
  </w:style>
  <w:style w:type="character" w:customStyle="1" w:styleId="CharAmPartText">
    <w:name w:val="CharAmPartText"/>
    <w:uiPriority w:val="1"/>
    <w:qFormat/>
    <w:rsid w:val="00083B82"/>
  </w:style>
  <w:style w:type="character" w:customStyle="1" w:styleId="CharAmSchText">
    <w:name w:val="CharAmSchText"/>
    <w:uiPriority w:val="1"/>
    <w:qFormat/>
    <w:rsid w:val="00083B82"/>
  </w:style>
  <w:style w:type="character" w:customStyle="1" w:styleId="CharBoldItalic">
    <w:name w:val="CharBoldItalic"/>
    <w:uiPriority w:val="1"/>
    <w:qFormat/>
    <w:rsid w:val="00083B82"/>
    <w:rPr>
      <w:b/>
      <w:i/>
    </w:rPr>
  </w:style>
  <w:style w:type="character" w:customStyle="1" w:styleId="CharItalic">
    <w:name w:val="CharItalic"/>
    <w:uiPriority w:val="1"/>
    <w:qFormat/>
    <w:rsid w:val="00083B82"/>
    <w:rPr>
      <w:i/>
    </w:rPr>
  </w:style>
  <w:style w:type="character" w:customStyle="1" w:styleId="CharSectno">
    <w:name w:val="CharSectno"/>
    <w:qFormat/>
    <w:rsid w:val="00083B82"/>
  </w:style>
  <w:style w:type="character" w:customStyle="1" w:styleId="CharSubdNo">
    <w:name w:val="CharSubdNo"/>
    <w:uiPriority w:val="1"/>
    <w:qFormat/>
    <w:rsid w:val="00083B82"/>
  </w:style>
  <w:style w:type="character" w:customStyle="1" w:styleId="CharSubdText">
    <w:name w:val="CharSubdText"/>
    <w:uiPriority w:val="1"/>
    <w:qFormat/>
    <w:rsid w:val="00083B82"/>
  </w:style>
  <w:style w:type="paragraph" w:customStyle="1" w:styleId="CTA--">
    <w:name w:val="CTA --"/>
    <w:basedOn w:val="OPCParaBase"/>
    <w:next w:val="Normal"/>
    <w:rsid w:val="00083B82"/>
    <w:pPr>
      <w:spacing w:before="60" w:line="240" w:lineRule="atLeast"/>
      <w:ind w:left="142" w:hanging="142"/>
    </w:pPr>
    <w:rPr>
      <w:sz w:val="20"/>
    </w:rPr>
  </w:style>
  <w:style w:type="paragraph" w:customStyle="1" w:styleId="CTA-">
    <w:name w:val="CTA -"/>
    <w:basedOn w:val="OPCParaBase"/>
    <w:rsid w:val="00083B82"/>
    <w:pPr>
      <w:spacing w:before="60" w:line="240" w:lineRule="atLeast"/>
      <w:ind w:left="85" w:hanging="85"/>
    </w:pPr>
    <w:rPr>
      <w:sz w:val="20"/>
    </w:rPr>
  </w:style>
  <w:style w:type="paragraph" w:customStyle="1" w:styleId="CTA---">
    <w:name w:val="CTA ---"/>
    <w:basedOn w:val="OPCParaBase"/>
    <w:next w:val="Normal"/>
    <w:rsid w:val="00083B82"/>
    <w:pPr>
      <w:spacing w:before="60" w:line="240" w:lineRule="atLeast"/>
      <w:ind w:left="198" w:hanging="198"/>
    </w:pPr>
    <w:rPr>
      <w:sz w:val="20"/>
    </w:rPr>
  </w:style>
  <w:style w:type="paragraph" w:customStyle="1" w:styleId="CTA----">
    <w:name w:val="CTA ----"/>
    <w:basedOn w:val="OPCParaBase"/>
    <w:next w:val="Normal"/>
    <w:rsid w:val="00083B82"/>
    <w:pPr>
      <w:spacing w:before="60" w:line="240" w:lineRule="atLeast"/>
      <w:ind w:left="255" w:hanging="255"/>
    </w:pPr>
    <w:rPr>
      <w:sz w:val="20"/>
    </w:rPr>
  </w:style>
  <w:style w:type="paragraph" w:customStyle="1" w:styleId="CTA1a">
    <w:name w:val="CTA 1(a)"/>
    <w:basedOn w:val="OPCParaBase"/>
    <w:rsid w:val="00083B82"/>
    <w:pPr>
      <w:tabs>
        <w:tab w:val="right" w:pos="414"/>
      </w:tabs>
      <w:spacing w:before="40" w:line="240" w:lineRule="atLeast"/>
      <w:ind w:left="675" w:hanging="675"/>
    </w:pPr>
    <w:rPr>
      <w:sz w:val="20"/>
    </w:rPr>
  </w:style>
  <w:style w:type="paragraph" w:customStyle="1" w:styleId="CTA1ai">
    <w:name w:val="CTA 1(a)(i)"/>
    <w:basedOn w:val="OPCParaBase"/>
    <w:rsid w:val="00083B82"/>
    <w:pPr>
      <w:tabs>
        <w:tab w:val="right" w:pos="1004"/>
      </w:tabs>
      <w:spacing w:before="40" w:line="240" w:lineRule="atLeast"/>
      <w:ind w:left="1253" w:hanging="1253"/>
    </w:pPr>
    <w:rPr>
      <w:sz w:val="20"/>
    </w:rPr>
  </w:style>
  <w:style w:type="paragraph" w:customStyle="1" w:styleId="CTA2a">
    <w:name w:val="CTA 2(a)"/>
    <w:basedOn w:val="OPCParaBase"/>
    <w:rsid w:val="00083B82"/>
    <w:pPr>
      <w:tabs>
        <w:tab w:val="right" w:pos="482"/>
      </w:tabs>
      <w:spacing w:before="40" w:line="240" w:lineRule="atLeast"/>
      <w:ind w:left="748" w:hanging="748"/>
    </w:pPr>
    <w:rPr>
      <w:sz w:val="20"/>
    </w:rPr>
  </w:style>
  <w:style w:type="paragraph" w:customStyle="1" w:styleId="CTA2ai">
    <w:name w:val="CTA 2(a)(i)"/>
    <w:basedOn w:val="OPCParaBase"/>
    <w:rsid w:val="00083B82"/>
    <w:pPr>
      <w:tabs>
        <w:tab w:val="right" w:pos="1089"/>
      </w:tabs>
      <w:spacing w:before="40" w:line="240" w:lineRule="atLeast"/>
      <w:ind w:left="1327" w:hanging="1327"/>
    </w:pPr>
    <w:rPr>
      <w:sz w:val="20"/>
    </w:rPr>
  </w:style>
  <w:style w:type="paragraph" w:customStyle="1" w:styleId="CTA3a">
    <w:name w:val="CTA 3(a)"/>
    <w:basedOn w:val="OPCParaBase"/>
    <w:rsid w:val="00083B82"/>
    <w:pPr>
      <w:tabs>
        <w:tab w:val="right" w:pos="556"/>
      </w:tabs>
      <w:spacing w:before="40" w:line="240" w:lineRule="atLeast"/>
      <w:ind w:left="805" w:hanging="805"/>
    </w:pPr>
    <w:rPr>
      <w:sz w:val="20"/>
    </w:rPr>
  </w:style>
  <w:style w:type="paragraph" w:customStyle="1" w:styleId="CTA3ai">
    <w:name w:val="CTA 3(a)(i)"/>
    <w:basedOn w:val="OPCParaBase"/>
    <w:rsid w:val="00083B82"/>
    <w:pPr>
      <w:tabs>
        <w:tab w:val="right" w:pos="1140"/>
      </w:tabs>
      <w:spacing w:before="40" w:line="240" w:lineRule="atLeast"/>
      <w:ind w:left="1361" w:hanging="1361"/>
    </w:pPr>
    <w:rPr>
      <w:sz w:val="20"/>
    </w:rPr>
  </w:style>
  <w:style w:type="paragraph" w:customStyle="1" w:styleId="CTA4a">
    <w:name w:val="CTA 4(a)"/>
    <w:basedOn w:val="OPCParaBase"/>
    <w:rsid w:val="00083B82"/>
    <w:pPr>
      <w:tabs>
        <w:tab w:val="right" w:pos="624"/>
      </w:tabs>
      <w:spacing w:before="40" w:line="240" w:lineRule="atLeast"/>
      <w:ind w:left="873" w:hanging="873"/>
    </w:pPr>
    <w:rPr>
      <w:sz w:val="20"/>
    </w:rPr>
  </w:style>
  <w:style w:type="paragraph" w:customStyle="1" w:styleId="CTA4ai">
    <w:name w:val="CTA 4(a)(i)"/>
    <w:basedOn w:val="OPCParaBase"/>
    <w:rsid w:val="00083B82"/>
    <w:pPr>
      <w:tabs>
        <w:tab w:val="right" w:pos="1213"/>
      </w:tabs>
      <w:spacing w:before="40" w:line="240" w:lineRule="atLeast"/>
      <w:ind w:left="1452" w:hanging="1452"/>
    </w:pPr>
    <w:rPr>
      <w:sz w:val="20"/>
    </w:rPr>
  </w:style>
  <w:style w:type="paragraph" w:customStyle="1" w:styleId="CTACAPS">
    <w:name w:val="CTA CAPS"/>
    <w:basedOn w:val="OPCParaBase"/>
    <w:rsid w:val="00083B82"/>
    <w:pPr>
      <w:spacing w:before="60" w:line="240" w:lineRule="atLeast"/>
    </w:pPr>
    <w:rPr>
      <w:sz w:val="20"/>
    </w:rPr>
  </w:style>
  <w:style w:type="paragraph" w:customStyle="1" w:styleId="CTAright">
    <w:name w:val="CTA right"/>
    <w:basedOn w:val="OPCParaBase"/>
    <w:rsid w:val="00083B82"/>
    <w:pPr>
      <w:spacing w:before="60" w:line="240" w:lineRule="auto"/>
      <w:jc w:val="right"/>
    </w:pPr>
    <w:rPr>
      <w:sz w:val="20"/>
    </w:rPr>
  </w:style>
  <w:style w:type="paragraph" w:customStyle="1" w:styleId="ETAsubitem">
    <w:name w:val="ETA(subitem)"/>
    <w:basedOn w:val="OPCParaBase"/>
    <w:rsid w:val="00083B82"/>
    <w:pPr>
      <w:tabs>
        <w:tab w:val="right" w:pos="340"/>
      </w:tabs>
      <w:spacing w:before="60" w:line="240" w:lineRule="auto"/>
      <w:ind w:left="454" w:hanging="454"/>
    </w:pPr>
    <w:rPr>
      <w:sz w:val="20"/>
    </w:rPr>
  </w:style>
  <w:style w:type="paragraph" w:customStyle="1" w:styleId="ETApara">
    <w:name w:val="ETA(para)"/>
    <w:basedOn w:val="OPCParaBase"/>
    <w:rsid w:val="00083B82"/>
    <w:pPr>
      <w:tabs>
        <w:tab w:val="right" w:pos="754"/>
      </w:tabs>
      <w:spacing w:before="60" w:line="240" w:lineRule="auto"/>
      <w:ind w:left="828" w:hanging="828"/>
    </w:pPr>
    <w:rPr>
      <w:sz w:val="20"/>
    </w:rPr>
  </w:style>
  <w:style w:type="paragraph" w:customStyle="1" w:styleId="ETAsubpara">
    <w:name w:val="ETA(subpara)"/>
    <w:basedOn w:val="OPCParaBase"/>
    <w:rsid w:val="00083B82"/>
    <w:pPr>
      <w:tabs>
        <w:tab w:val="right" w:pos="1083"/>
      </w:tabs>
      <w:spacing w:before="60" w:line="240" w:lineRule="auto"/>
      <w:ind w:left="1191" w:hanging="1191"/>
    </w:pPr>
    <w:rPr>
      <w:sz w:val="20"/>
    </w:rPr>
  </w:style>
  <w:style w:type="paragraph" w:customStyle="1" w:styleId="ETAsub-subpara">
    <w:name w:val="ETA(sub-subpara)"/>
    <w:basedOn w:val="OPCParaBase"/>
    <w:rsid w:val="00083B82"/>
    <w:pPr>
      <w:tabs>
        <w:tab w:val="right" w:pos="1412"/>
      </w:tabs>
      <w:spacing w:before="60" w:line="240" w:lineRule="auto"/>
      <w:ind w:left="1525" w:hanging="1525"/>
    </w:pPr>
    <w:rPr>
      <w:sz w:val="20"/>
    </w:rPr>
  </w:style>
  <w:style w:type="paragraph" w:customStyle="1" w:styleId="Formula">
    <w:name w:val="Formula"/>
    <w:basedOn w:val="OPCParaBase"/>
    <w:rsid w:val="00083B82"/>
    <w:pPr>
      <w:spacing w:line="240" w:lineRule="auto"/>
      <w:ind w:left="1134"/>
    </w:pPr>
    <w:rPr>
      <w:sz w:val="20"/>
    </w:rPr>
  </w:style>
  <w:style w:type="paragraph" w:customStyle="1" w:styleId="House">
    <w:name w:val="House"/>
    <w:basedOn w:val="OPCParaBase"/>
    <w:rsid w:val="00083B82"/>
    <w:pPr>
      <w:spacing w:line="240" w:lineRule="auto"/>
    </w:pPr>
    <w:rPr>
      <w:sz w:val="28"/>
    </w:rPr>
  </w:style>
  <w:style w:type="paragraph" w:customStyle="1" w:styleId="Item">
    <w:name w:val="Item"/>
    <w:aliases w:val="i"/>
    <w:basedOn w:val="OPCParaBase"/>
    <w:next w:val="ItemHead"/>
    <w:rsid w:val="00083B82"/>
    <w:pPr>
      <w:keepLines/>
      <w:spacing w:before="80" w:line="240" w:lineRule="auto"/>
      <w:ind w:left="709"/>
    </w:pPr>
  </w:style>
  <w:style w:type="paragraph" w:customStyle="1" w:styleId="ItemHead">
    <w:name w:val="ItemHead"/>
    <w:aliases w:val="ih"/>
    <w:basedOn w:val="OPCParaBase"/>
    <w:next w:val="Item"/>
    <w:rsid w:val="00083B8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83B82"/>
    <w:pPr>
      <w:spacing w:line="240" w:lineRule="auto"/>
    </w:pPr>
    <w:rPr>
      <w:b/>
      <w:sz w:val="32"/>
    </w:rPr>
  </w:style>
  <w:style w:type="paragraph" w:customStyle="1" w:styleId="notedraft">
    <w:name w:val="note(draft)"/>
    <w:aliases w:val="nd"/>
    <w:basedOn w:val="OPCParaBase"/>
    <w:rsid w:val="00083B82"/>
    <w:pPr>
      <w:spacing w:before="240" w:line="240" w:lineRule="auto"/>
      <w:ind w:left="284" w:hanging="284"/>
    </w:pPr>
    <w:rPr>
      <w:i/>
      <w:sz w:val="24"/>
    </w:rPr>
  </w:style>
  <w:style w:type="paragraph" w:customStyle="1" w:styleId="notemargin">
    <w:name w:val="note(margin)"/>
    <w:aliases w:val="nm"/>
    <w:basedOn w:val="OPCParaBase"/>
    <w:rsid w:val="00083B82"/>
    <w:pPr>
      <w:tabs>
        <w:tab w:val="left" w:pos="709"/>
      </w:tabs>
      <w:spacing w:before="122" w:line="198" w:lineRule="exact"/>
      <w:ind w:left="709" w:hanging="709"/>
    </w:pPr>
    <w:rPr>
      <w:sz w:val="18"/>
    </w:rPr>
  </w:style>
  <w:style w:type="paragraph" w:customStyle="1" w:styleId="noteToPara">
    <w:name w:val="noteToPara"/>
    <w:aliases w:val="ntp"/>
    <w:basedOn w:val="OPCParaBase"/>
    <w:rsid w:val="00083B82"/>
    <w:pPr>
      <w:spacing w:before="122" w:line="198" w:lineRule="exact"/>
      <w:ind w:left="2353" w:hanging="709"/>
    </w:pPr>
    <w:rPr>
      <w:sz w:val="18"/>
    </w:rPr>
  </w:style>
  <w:style w:type="paragraph" w:customStyle="1" w:styleId="noteParlAmend">
    <w:name w:val="note(ParlAmend)"/>
    <w:aliases w:val="npp"/>
    <w:basedOn w:val="OPCParaBase"/>
    <w:next w:val="ParlAmend"/>
    <w:rsid w:val="00083B82"/>
    <w:pPr>
      <w:spacing w:line="240" w:lineRule="auto"/>
      <w:jc w:val="right"/>
    </w:pPr>
    <w:rPr>
      <w:rFonts w:ascii="Arial" w:hAnsi="Arial"/>
      <w:b/>
      <w:i/>
    </w:rPr>
  </w:style>
  <w:style w:type="paragraph" w:customStyle="1" w:styleId="notetext">
    <w:name w:val="note(text)"/>
    <w:aliases w:val="n"/>
    <w:basedOn w:val="OPCParaBase"/>
    <w:rsid w:val="00083B82"/>
    <w:pPr>
      <w:spacing w:before="122" w:line="198" w:lineRule="exact"/>
      <w:ind w:left="1985" w:hanging="851"/>
    </w:pPr>
    <w:rPr>
      <w:sz w:val="18"/>
    </w:rPr>
  </w:style>
  <w:style w:type="paragraph" w:customStyle="1" w:styleId="Page1">
    <w:name w:val="Page1"/>
    <w:basedOn w:val="OPCParaBase"/>
    <w:rsid w:val="00083B82"/>
    <w:pPr>
      <w:spacing w:before="5600" w:line="240" w:lineRule="auto"/>
    </w:pPr>
    <w:rPr>
      <w:b/>
      <w:sz w:val="32"/>
    </w:rPr>
  </w:style>
  <w:style w:type="paragraph" w:customStyle="1" w:styleId="PageBreak">
    <w:name w:val="PageBreak"/>
    <w:aliases w:val="pb"/>
    <w:basedOn w:val="OPCParaBase"/>
    <w:rsid w:val="00083B82"/>
    <w:pPr>
      <w:spacing w:line="240" w:lineRule="auto"/>
    </w:pPr>
    <w:rPr>
      <w:sz w:val="20"/>
    </w:rPr>
  </w:style>
  <w:style w:type="paragraph" w:customStyle="1" w:styleId="paragraphsub">
    <w:name w:val="paragraph(sub)"/>
    <w:aliases w:val="aa"/>
    <w:basedOn w:val="OPCParaBase"/>
    <w:rsid w:val="00083B82"/>
    <w:pPr>
      <w:tabs>
        <w:tab w:val="right" w:pos="1985"/>
      </w:tabs>
      <w:spacing w:before="40" w:line="240" w:lineRule="auto"/>
      <w:ind w:left="2098" w:hanging="2098"/>
    </w:pPr>
  </w:style>
  <w:style w:type="paragraph" w:customStyle="1" w:styleId="paragraphsub-sub">
    <w:name w:val="paragraph(sub-sub)"/>
    <w:aliases w:val="aaa"/>
    <w:basedOn w:val="OPCParaBase"/>
    <w:rsid w:val="00083B82"/>
    <w:pPr>
      <w:tabs>
        <w:tab w:val="right" w:pos="2722"/>
      </w:tabs>
      <w:spacing w:before="40" w:line="240" w:lineRule="auto"/>
      <w:ind w:left="2835" w:hanging="2835"/>
    </w:pPr>
  </w:style>
  <w:style w:type="paragraph" w:customStyle="1" w:styleId="ParlAmend">
    <w:name w:val="ParlAmend"/>
    <w:aliases w:val="pp"/>
    <w:basedOn w:val="OPCParaBase"/>
    <w:rsid w:val="00083B82"/>
    <w:pPr>
      <w:spacing w:before="240" w:line="240" w:lineRule="atLeast"/>
      <w:ind w:hanging="567"/>
    </w:pPr>
    <w:rPr>
      <w:sz w:val="24"/>
    </w:rPr>
  </w:style>
  <w:style w:type="paragraph" w:customStyle="1" w:styleId="Penalty">
    <w:name w:val="Penalty"/>
    <w:basedOn w:val="OPCParaBase"/>
    <w:rsid w:val="00083B82"/>
    <w:pPr>
      <w:tabs>
        <w:tab w:val="left" w:pos="2977"/>
      </w:tabs>
      <w:spacing w:before="180" w:line="240" w:lineRule="auto"/>
      <w:ind w:left="1985" w:hanging="851"/>
    </w:pPr>
  </w:style>
  <w:style w:type="paragraph" w:customStyle="1" w:styleId="Portfolio">
    <w:name w:val="Portfolio"/>
    <w:basedOn w:val="OPCParaBase"/>
    <w:rsid w:val="00083B82"/>
    <w:pPr>
      <w:spacing w:line="240" w:lineRule="auto"/>
    </w:pPr>
    <w:rPr>
      <w:i/>
      <w:sz w:val="20"/>
    </w:rPr>
  </w:style>
  <w:style w:type="paragraph" w:customStyle="1" w:styleId="Preamble">
    <w:name w:val="Preamble"/>
    <w:basedOn w:val="OPCParaBase"/>
    <w:next w:val="Normal"/>
    <w:rsid w:val="00083B8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3B82"/>
    <w:pPr>
      <w:spacing w:line="240" w:lineRule="auto"/>
    </w:pPr>
    <w:rPr>
      <w:i/>
      <w:sz w:val="20"/>
    </w:rPr>
  </w:style>
  <w:style w:type="paragraph" w:customStyle="1" w:styleId="Session">
    <w:name w:val="Session"/>
    <w:basedOn w:val="OPCParaBase"/>
    <w:rsid w:val="00083B82"/>
    <w:pPr>
      <w:spacing w:line="240" w:lineRule="auto"/>
    </w:pPr>
    <w:rPr>
      <w:sz w:val="28"/>
    </w:rPr>
  </w:style>
  <w:style w:type="paragraph" w:customStyle="1" w:styleId="Sponsor">
    <w:name w:val="Sponsor"/>
    <w:basedOn w:val="OPCParaBase"/>
    <w:rsid w:val="00083B82"/>
    <w:pPr>
      <w:spacing w:line="240" w:lineRule="auto"/>
    </w:pPr>
    <w:rPr>
      <w:i/>
    </w:rPr>
  </w:style>
  <w:style w:type="paragraph" w:customStyle="1" w:styleId="Subitem">
    <w:name w:val="Subitem"/>
    <w:aliases w:val="iss"/>
    <w:basedOn w:val="OPCParaBase"/>
    <w:rsid w:val="00083B82"/>
    <w:pPr>
      <w:spacing w:before="180" w:line="240" w:lineRule="auto"/>
      <w:ind w:left="709" w:hanging="709"/>
    </w:pPr>
  </w:style>
  <w:style w:type="paragraph" w:customStyle="1" w:styleId="SubitemHead">
    <w:name w:val="SubitemHead"/>
    <w:aliases w:val="issh"/>
    <w:basedOn w:val="OPCParaBase"/>
    <w:rsid w:val="00083B8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3B82"/>
    <w:pPr>
      <w:spacing w:before="40" w:line="240" w:lineRule="auto"/>
      <w:ind w:left="1134"/>
    </w:pPr>
  </w:style>
  <w:style w:type="paragraph" w:customStyle="1" w:styleId="SubsectionHead">
    <w:name w:val="SubsectionHead"/>
    <w:aliases w:val="ssh"/>
    <w:basedOn w:val="OPCParaBase"/>
    <w:next w:val="subsection"/>
    <w:rsid w:val="00083B82"/>
    <w:pPr>
      <w:keepNext/>
      <w:keepLines/>
      <w:spacing w:before="240" w:line="240" w:lineRule="auto"/>
      <w:ind w:left="1134"/>
    </w:pPr>
    <w:rPr>
      <w:i/>
    </w:rPr>
  </w:style>
  <w:style w:type="paragraph" w:customStyle="1" w:styleId="Tablea">
    <w:name w:val="Table(a)"/>
    <w:aliases w:val="ta"/>
    <w:basedOn w:val="OPCParaBase"/>
    <w:rsid w:val="00083B82"/>
    <w:pPr>
      <w:spacing w:before="60" w:line="240" w:lineRule="auto"/>
      <w:ind w:left="284" w:hanging="284"/>
    </w:pPr>
    <w:rPr>
      <w:sz w:val="20"/>
    </w:rPr>
  </w:style>
  <w:style w:type="paragraph" w:customStyle="1" w:styleId="TableAA">
    <w:name w:val="Table(AA)"/>
    <w:aliases w:val="taaa"/>
    <w:basedOn w:val="OPCParaBase"/>
    <w:rsid w:val="00083B8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83B82"/>
    <w:pPr>
      <w:tabs>
        <w:tab w:val="left" w:pos="-6543"/>
        <w:tab w:val="left" w:pos="-6260"/>
        <w:tab w:val="right" w:pos="970"/>
      </w:tabs>
      <w:spacing w:line="240" w:lineRule="exact"/>
      <w:ind w:left="828" w:hanging="284"/>
    </w:pPr>
    <w:rPr>
      <w:sz w:val="20"/>
    </w:rPr>
  </w:style>
  <w:style w:type="paragraph" w:customStyle="1" w:styleId="Tabletext1">
    <w:name w:val="Tabletext"/>
    <w:aliases w:val="tt"/>
    <w:basedOn w:val="OPCParaBase"/>
    <w:rsid w:val="00083B82"/>
    <w:pPr>
      <w:spacing w:before="60" w:line="240" w:lineRule="atLeast"/>
    </w:pPr>
    <w:rPr>
      <w:sz w:val="20"/>
    </w:rPr>
  </w:style>
  <w:style w:type="paragraph" w:customStyle="1" w:styleId="TLPBoxTextnote">
    <w:name w:val="TLPBoxText(note"/>
    <w:aliases w:val="right)"/>
    <w:basedOn w:val="OPCParaBase"/>
    <w:rsid w:val="00083B8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3B82"/>
    <w:pPr>
      <w:numPr>
        <w:numId w:val="3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3B82"/>
    <w:pPr>
      <w:spacing w:before="122" w:line="198" w:lineRule="exact"/>
      <w:ind w:left="1985" w:hanging="851"/>
      <w:jc w:val="right"/>
    </w:pPr>
    <w:rPr>
      <w:sz w:val="18"/>
    </w:rPr>
  </w:style>
  <w:style w:type="paragraph" w:customStyle="1" w:styleId="TLPTableBullet">
    <w:name w:val="TLPTableBullet"/>
    <w:aliases w:val="ttb"/>
    <w:basedOn w:val="OPCParaBase"/>
    <w:rsid w:val="00083B82"/>
    <w:pPr>
      <w:spacing w:line="240" w:lineRule="exact"/>
      <w:ind w:left="284" w:hanging="284"/>
    </w:pPr>
    <w:rPr>
      <w:sz w:val="20"/>
    </w:rPr>
  </w:style>
  <w:style w:type="paragraph" w:customStyle="1" w:styleId="TofSectsGroupHeading">
    <w:name w:val="TofSects(GroupHeading)"/>
    <w:basedOn w:val="OPCParaBase"/>
    <w:next w:val="TofSectsSection"/>
    <w:rsid w:val="00083B82"/>
    <w:pPr>
      <w:keepLines/>
      <w:spacing w:before="240" w:after="120" w:line="240" w:lineRule="auto"/>
      <w:ind w:left="794"/>
    </w:pPr>
    <w:rPr>
      <w:b/>
      <w:kern w:val="28"/>
      <w:sz w:val="20"/>
    </w:rPr>
  </w:style>
  <w:style w:type="paragraph" w:customStyle="1" w:styleId="TofSectsHeading">
    <w:name w:val="TofSects(Heading)"/>
    <w:basedOn w:val="OPCParaBase"/>
    <w:rsid w:val="00083B82"/>
    <w:pPr>
      <w:spacing w:before="240" w:after="120" w:line="240" w:lineRule="auto"/>
    </w:pPr>
    <w:rPr>
      <w:b/>
      <w:sz w:val="24"/>
    </w:rPr>
  </w:style>
  <w:style w:type="paragraph" w:customStyle="1" w:styleId="TofSectsSection">
    <w:name w:val="TofSects(Section)"/>
    <w:basedOn w:val="OPCParaBase"/>
    <w:rsid w:val="00083B82"/>
    <w:pPr>
      <w:keepLines/>
      <w:spacing w:before="40" w:line="240" w:lineRule="auto"/>
      <w:ind w:left="1588" w:hanging="794"/>
    </w:pPr>
    <w:rPr>
      <w:kern w:val="28"/>
      <w:sz w:val="18"/>
    </w:rPr>
  </w:style>
  <w:style w:type="paragraph" w:customStyle="1" w:styleId="TofSectsSubdiv">
    <w:name w:val="TofSects(Subdiv)"/>
    <w:basedOn w:val="OPCParaBase"/>
    <w:rsid w:val="00083B82"/>
    <w:pPr>
      <w:keepLines/>
      <w:spacing w:before="80" w:line="240" w:lineRule="auto"/>
      <w:ind w:left="1588" w:hanging="794"/>
    </w:pPr>
    <w:rPr>
      <w:kern w:val="28"/>
    </w:rPr>
  </w:style>
  <w:style w:type="paragraph" w:customStyle="1" w:styleId="WRStyle">
    <w:name w:val="WR Style"/>
    <w:aliases w:val="WR"/>
    <w:basedOn w:val="OPCParaBase"/>
    <w:rsid w:val="00083B82"/>
    <w:pPr>
      <w:spacing w:before="240" w:line="240" w:lineRule="auto"/>
      <w:ind w:left="284" w:hanging="284"/>
    </w:pPr>
    <w:rPr>
      <w:b/>
      <w:i/>
      <w:kern w:val="28"/>
      <w:sz w:val="24"/>
    </w:rPr>
  </w:style>
  <w:style w:type="paragraph" w:customStyle="1" w:styleId="notepara">
    <w:name w:val="note(para)"/>
    <w:aliases w:val="na"/>
    <w:basedOn w:val="OPCParaBase"/>
    <w:rsid w:val="00083B82"/>
    <w:pPr>
      <w:spacing w:before="40" w:line="198" w:lineRule="exact"/>
      <w:ind w:left="2354" w:hanging="369"/>
    </w:pPr>
    <w:rPr>
      <w:sz w:val="18"/>
    </w:rPr>
  </w:style>
  <w:style w:type="table" w:customStyle="1" w:styleId="CFlag">
    <w:name w:val="CFlag"/>
    <w:basedOn w:val="TableNormal"/>
    <w:uiPriority w:val="99"/>
    <w:rsid w:val="00083B82"/>
    <w:tblPr/>
  </w:style>
  <w:style w:type="character" w:customStyle="1" w:styleId="BalloonTextChar">
    <w:name w:val="Balloon Text Char"/>
    <w:link w:val="BalloonText"/>
    <w:uiPriority w:val="99"/>
    <w:semiHidden/>
    <w:rsid w:val="00083B82"/>
    <w:rPr>
      <w:rFonts w:ascii="Tahoma" w:hAnsi="Tahoma" w:cs="Tahoma"/>
      <w:sz w:val="16"/>
      <w:szCs w:val="16"/>
    </w:rPr>
  </w:style>
  <w:style w:type="paragraph" w:customStyle="1" w:styleId="InstNo">
    <w:name w:val="InstNo"/>
    <w:basedOn w:val="OPCParaBase"/>
    <w:next w:val="Normal"/>
    <w:rsid w:val="00083B82"/>
    <w:rPr>
      <w:b/>
      <w:sz w:val="28"/>
      <w:szCs w:val="32"/>
    </w:rPr>
  </w:style>
  <w:style w:type="paragraph" w:customStyle="1" w:styleId="LegislationMadeUnder">
    <w:name w:val="LegislationMadeUnder"/>
    <w:basedOn w:val="OPCParaBase"/>
    <w:next w:val="Normal"/>
    <w:rsid w:val="00083B82"/>
    <w:rPr>
      <w:i/>
      <w:sz w:val="32"/>
      <w:szCs w:val="32"/>
    </w:rPr>
  </w:style>
  <w:style w:type="paragraph" w:customStyle="1" w:styleId="SignCoverPageEnd">
    <w:name w:val="SignCoverPageEnd"/>
    <w:basedOn w:val="OPCParaBase"/>
    <w:next w:val="Normal"/>
    <w:rsid w:val="00083B82"/>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83B82"/>
    <w:pPr>
      <w:pBdr>
        <w:top w:val="single" w:sz="4" w:space="1" w:color="auto"/>
      </w:pBdr>
      <w:spacing w:before="360"/>
      <w:ind w:right="397"/>
      <w:jc w:val="both"/>
    </w:pPr>
  </w:style>
  <w:style w:type="paragraph" w:customStyle="1" w:styleId="NotesHeading1">
    <w:name w:val="NotesHeading 1"/>
    <w:basedOn w:val="OPCParaBase"/>
    <w:next w:val="Normal"/>
    <w:rsid w:val="00083B82"/>
    <w:rPr>
      <w:b/>
      <w:sz w:val="28"/>
      <w:szCs w:val="28"/>
    </w:rPr>
  </w:style>
  <w:style w:type="paragraph" w:customStyle="1" w:styleId="NotesHeading2">
    <w:name w:val="NotesHeading 2"/>
    <w:basedOn w:val="OPCParaBase"/>
    <w:next w:val="Normal"/>
    <w:rsid w:val="00083B82"/>
    <w:rPr>
      <w:b/>
      <w:sz w:val="28"/>
      <w:szCs w:val="28"/>
    </w:rPr>
  </w:style>
  <w:style w:type="paragraph" w:customStyle="1" w:styleId="ENotesText">
    <w:name w:val="ENotesText"/>
    <w:aliases w:val="Ent"/>
    <w:basedOn w:val="OPCParaBase"/>
    <w:next w:val="Normal"/>
    <w:rsid w:val="00083B82"/>
    <w:pPr>
      <w:spacing w:before="120"/>
    </w:pPr>
  </w:style>
  <w:style w:type="paragraph" w:customStyle="1" w:styleId="CompiledActNo">
    <w:name w:val="CompiledActNo"/>
    <w:basedOn w:val="OPCParaBase"/>
    <w:next w:val="Normal"/>
    <w:rsid w:val="00083B82"/>
    <w:rPr>
      <w:b/>
      <w:sz w:val="24"/>
      <w:szCs w:val="24"/>
    </w:rPr>
  </w:style>
  <w:style w:type="paragraph" w:customStyle="1" w:styleId="Paragraphsub-sub-sub">
    <w:name w:val="Paragraph(sub-sub-sub)"/>
    <w:aliases w:val="aaaa"/>
    <w:basedOn w:val="OPCParaBase"/>
    <w:rsid w:val="00083B8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83B8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3B8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3B8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3B8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83B82"/>
    <w:pPr>
      <w:keepLines w:val="0"/>
      <w:spacing w:before="60"/>
    </w:pPr>
    <w:rPr>
      <w:rFonts w:ascii="Times New Roman" w:eastAsia="Calibri" w:hAnsi="Times New Roman" w:cs="Arial"/>
      <w:sz w:val="20"/>
      <w:szCs w:val="22"/>
      <w:lang w:eastAsia="en-US"/>
    </w:rPr>
  </w:style>
  <w:style w:type="paragraph" w:customStyle="1" w:styleId="NoteToSubpara">
    <w:name w:val="NoteToSubpara"/>
    <w:aliases w:val="nts"/>
    <w:basedOn w:val="OPCParaBase"/>
    <w:rsid w:val="00083B82"/>
    <w:pPr>
      <w:spacing w:before="40" w:line="198" w:lineRule="exact"/>
      <w:ind w:left="2835" w:hanging="709"/>
    </w:pPr>
    <w:rPr>
      <w:sz w:val="18"/>
    </w:rPr>
  </w:style>
  <w:style w:type="paragraph" w:customStyle="1" w:styleId="ENoteTableHeading">
    <w:name w:val="ENoteTableHeading"/>
    <w:aliases w:val="enth"/>
    <w:basedOn w:val="OPCParaBase"/>
    <w:rsid w:val="00083B82"/>
    <w:pPr>
      <w:keepNext/>
      <w:spacing w:before="60" w:line="240" w:lineRule="atLeast"/>
    </w:pPr>
    <w:rPr>
      <w:rFonts w:ascii="Arial" w:hAnsi="Arial"/>
      <w:b/>
      <w:sz w:val="16"/>
    </w:rPr>
  </w:style>
  <w:style w:type="paragraph" w:customStyle="1" w:styleId="ENoteTTi">
    <w:name w:val="ENoteTTi"/>
    <w:aliases w:val="entti"/>
    <w:basedOn w:val="OPCParaBase"/>
    <w:rsid w:val="00083B82"/>
    <w:pPr>
      <w:keepNext/>
      <w:spacing w:before="60" w:line="240" w:lineRule="atLeast"/>
      <w:ind w:left="170"/>
    </w:pPr>
    <w:rPr>
      <w:sz w:val="16"/>
    </w:rPr>
  </w:style>
  <w:style w:type="paragraph" w:customStyle="1" w:styleId="ENotesHeading1">
    <w:name w:val="ENotesHeading 1"/>
    <w:aliases w:val="Enh1"/>
    <w:basedOn w:val="OPCParaBase"/>
    <w:next w:val="Normal"/>
    <w:rsid w:val="00083B82"/>
    <w:pPr>
      <w:spacing w:before="120"/>
      <w:outlineLvl w:val="1"/>
    </w:pPr>
    <w:rPr>
      <w:b/>
      <w:sz w:val="28"/>
      <w:szCs w:val="28"/>
    </w:rPr>
  </w:style>
  <w:style w:type="paragraph" w:customStyle="1" w:styleId="ENotesHeading2">
    <w:name w:val="ENotesHeading 2"/>
    <w:aliases w:val="Enh2"/>
    <w:basedOn w:val="OPCParaBase"/>
    <w:next w:val="Normal"/>
    <w:rsid w:val="00083B82"/>
    <w:pPr>
      <w:spacing w:before="120" w:after="120"/>
      <w:outlineLvl w:val="2"/>
    </w:pPr>
    <w:rPr>
      <w:b/>
      <w:sz w:val="24"/>
      <w:szCs w:val="28"/>
    </w:rPr>
  </w:style>
  <w:style w:type="paragraph" w:customStyle="1" w:styleId="ENoteTTIndentHeading">
    <w:name w:val="ENoteTTIndentHeading"/>
    <w:aliases w:val="enTTHi"/>
    <w:basedOn w:val="OPCParaBase"/>
    <w:rsid w:val="00083B8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83B82"/>
    <w:pPr>
      <w:spacing w:before="60" w:line="240" w:lineRule="atLeast"/>
    </w:pPr>
    <w:rPr>
      <w:sz w:val="16"/>
    </w:rPr>
  </w:style>
  <w:style w:type="paragraph" w:customStyle="1" w:styleId="MadeunderText">
    <w:name w:val="MadeunderText"/>
    <w:basedOn w:val="OPCParaBase"/>
    <w:next w:val="CompiledMadeUnder"/>
    <w:rsid w:val="00083B82"/>
    <w:pPr>
      <w:spacing w:before="240"/>
    </w:pPr>
    <w:rPr>
      <w:sz w:val="24"/>
      <w:szCs w:val="24"/>
    </w:rPr>
  </w:style>
  <w:style w:type="paragraph" w:customStyle="1" w:styleId="ENotesHeading3">
    <w:name w:val="ENotesHeading 3"/>
    <w:aliases w:val="Enh3"/>
    <w:basedOn w:val="OPCParaBase"/>
    <w:next w:val="Normal"/>
    <w:rsid w:val="00083B82"/>
    <w:pPr>
      <w:keepNext/>
      <w:spacing w:before="120" w:line="240" w:lineRule="auto"/>
      <w:outlineLvl w:val="4"/>
    </w:pPr>
    <w:rPr>
      <w:b/>
      <w:szCs w:val="24"/>
    </w:rPr>
  </w:style>
  <w:style w:type="paragraph" w:customStyle="1" w:styleId="SubPartCASA">
    <w:name w:val="SubPart(CASA)"/>
    <w:aliases w:val="csp"/>
    <w:basedOn w:val="OPCParaBase"/>
    <w:next w:val="ActHead3"/>
    <w:rsid w:val="00083B82"/>
    <w:pPr>
      <w:keepNext/>
      <w:keepLines/>
      <w:spacing w:before="280"/>
      <w:outlineLvl w:val="1"/>
    </w:pPr>
    <w:rPr>
      <w:b/>
      <w:kern w:val="28"/>
      <w:sz w:val="32"/>
    </w:rPr>
  </w:style>
  <w:style w:type="character" w:customStyle="1" w:styleId="CharSubPartTextCASA">
    <w:name w:val="CharSubPartText(CASA)"/>
    <w:uiPriority w:val="1"/>
    <w:rsid w:val="00083B82"/>
  </w:style>
  <w:style w:type="character" w:customStyle="1" w:styleId="CharSubPartNoCASA">
    <w:name w:val="CharSubPartNo(CASA)"/>
    <w:uiPriority w:val="1"/>
    <w:rsid w:val="00083B82"/>
  </w:style>
  <w:style w:type="paragraph" w:customStyle="1" w:styleId="ENoteTTIndentHeadingSub">
    <w:name w:val="ENoteTTIndentHeadingSub"/>
    <w:aliases w:val="enTTHis"/>
    <w:basedOn w:val="OPCParaBase"/>
    <w:rsid w:val="00083B82"/>
    <w:pPr>
      <w:keepNext/>
      <w:spacing w:before="60" w:line="240" w:lineRule="atLeast"/>
      <w:ind w:left="340"/>
    </w:pPr>
    <w:rPr>
      <w:b/>
      <w:sz w:val="16"/>
    </w:rPr>
  </w:style>
  <w:style w:type="paragraph" w:customStyle="1" w:styleId="ENoteTTiSub">
    <w:name w:val="ENoteTTiSub"/>
    <w:aliases w:val="enttis"/>
    <w:basedOn w:val="OPCParaBase"/>
    <w:rsid w:val="00083B82"/>
    <w:pPr>
      <w:keepNext/>
      <w:spacing w:before="60" w:line="240" w:lineRule="atLeast"/>
      <w:ind w:left="340"/>
    </w:pPr>
    <w:rPr>
      <w:sz w:val="16"/>
    </w:rPr>
  </w:style>
  <w:style w:type="paragraph" w:customStyle="1" w:styleId="SubDivisionMigration">
    <w:name w:val="SubDivisionMigration"/>
    <w:aliases w:val="sdm"/>
    <w:basedOn w:val="OPCParaBase"/>
    <w:rsid w:val="00083B8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3B82"/>
    <w:pPr>
      <w:keepNext/>
      <w:keepLines/>
      <w:spacing w:before="240" w:line="240" w:lineRule="auto"/>
      <w:ind w:left="1134" w:hanging="1134"/>
    </w:pPr>
    <w:rPr>
      <w:b/>
      <w:sz w:val="28"/>
    </w:rPr>
  </w:style>
  <w:style w:type="paragraph" w:customStyle="1" w:styleId="FreeForm">
    <w:name w:val="FreeForm"/>
    <w:rsid w:val="00083B82"/>
    <w:rPr>
      <w:rFonts w:ascii="Arial" w:eastAsia="Calibri" w:hAnsi="Arial"/>
      <w:sz w:val="22"/>
      <w:lang w:eastAsia="en-US"/>
    </w:rPr>
  </w:style>
  <w:style w:type="paragraph" w:customStyle="1" w:styleId="SOText">
    <w:name w:val="SO Text"/>
    <w:aliases w:val="sot"/>
    <w:link w:val="SOTextChar"/>
    <w:rsid w:val="00083B82"/>
    <w:pPr>
      <w:pBdr>
        <w:top w:val="single" w:sz="6" w:space="5" w:color="auto"/>
        <w:left w:val="single" w:sz="6" w:space="5" w:color="auto"/>
        <w:bottom w:val="single" w:sz="6" w:space="5" w:color="auto"/>
        <w:right w:val="single" w:sz="6" w:space="5" w:color="auto"/>
      </w:pBdr>
      <w:spacing w:before="240"/>
      <w:ind w:left="1134"/>
    </w:pPr>
    <w:rPr>
      <w:rFonts w:eastAsia="Calibri"/>
      <w:sz w:val="22"/>
      <w:lang w:eastAsia="en-US"/>
    </w:rPr>
  </w:style>
  <w:style w:type="character" w:customStyle="1" w:styleId="SOTextChar">
    <w:name w:val="SO Text Char"/>
    <w:aliases w:val="sot Char"/>
    <w:link w:val="SOText"/>
    <w:rsid w:val="00083B82"/>
    <w:rPr>
      <w:rFonts w:eastAsia="Calibri"/>
      <w:sz w:val="22"/>
      <w:lang w:eastAsia="en-US"/>
    </w:rPr>
  </w:style>
  <w:style w:type="paragraph" w:customStyle="1" w:styleId="SOTextNote">
    <w:name w:val="SO TextNote"/>
    <w:aliases w:val="sont"/>
    <w:basedOn w:val="SOText"/>
    <w:qFormat/>
    <w:rsid w:val="00083B82"/>
    <w:pPr>
      <w:spacing w:before="122" w:line="198" w:lineRule="exact"/>
      <w:ind w:left="1843" w:hanging="709"/>
    </w:pPr>
    <w:rPr>
      <w:sz w:val="18"/>
    </w:rPr>
  </w:style>
  <w:style w:type="paragraph" w:customStyle="1" w:styleId="SOPara">
    <w:name w:val="SO Para"/>
    <w:aliases w:val="soa"/>
    <w:basedOn w:val="SOText"/>
    <w:link w:val="SOParaChar"/>
    <w:qFormat/>
    <w:rsid w:val="00083B82"/>
    <w:pPr>
      <w:tabs>
        <w:tab w:val="right" w:pos="1786"/>
      </w:tabs>
      <w:spacing w:before="40"/>
      <w:ind w:left="2070" w:hanging="936"/>
    </w:pPr>
  </w:style>
  <w:style w:type="character" w:customStyle="1" w:styleId="SOParaChar">
    <w:name w:val="SO Para Char"/>
    <w:aliases w:val="soa Char"/>
    <w:link w:val="SOPara"/>
    <w:rsid w:val="00083B82"/>
    <w:rPr>
      <w:rFonts w:eastAsia="Calibri"/>
      <w:sz w:val="22"/>
      <w:lang w:eastAsia="en-US"/>
    </w:rPr>
  </w:style>
  <w:style w:type="paragraph" w:customStyle="1" w:styleId="FileName">
    <w:name w:val="FileName"/>
    <w:basedOn w:val="Normal"/>
    <w:rsid w:val="00083B82"/>
    <w:pPr>
      <w:keepLines w:val="0"/>
      <w:spacing w:line="260" w:lineRule="atLeast"/>
    </w:pPr>
    <w:rPr>
      <w:rFonts w:ascii="Times New Roman" w:eastAsia="Calibri" w:hAnsi="Times New Roman"/>
      <w:lang w:eastAsia="en-US"/>
    </w:rPr>
  </w:style>
  <w:style w:type="paragraph" w:customStyle="1" w:styleId="TableHeading">
    <w:name w:val="TableHeading"/>
    <w:aliases w:val="th"/>
    <w:basedOn w:val="OPCParaBase"/>
    <w:next w:val="Tabletext1"/>
    <w:rsid w:val="00083B82"/>
    <w:pPr>
      <w:keepNext/>
      <w:spacing w:before="60" w:line="240" w:lineRule="atLeast"/>
    </w:pPr>
    <w:rPr>
      <w:b/>
      <w:sz w:val="20"/>
    </w:rPr>
  </w:style>
  <w:style w:type="paragraph" w:customStyle="1" w:styleId="SOHeadBold">
    <w:name w:val="SO HeadBold"/>
    <w:aliases w:val="sohb"/>
    <w:basedOn w:val="SOText"/>
    <w:next w:val="SOText"/>
    <w:link w:val="SOHeadBoldChar"/>
    <w:qFormat/>
    <w:rsid w:val="00083B82"/>
    <w:rPr>
      <w:b/>
    </w:rPr>
  </w:style>
  <w:style w:type="character" w:customStyle="1" w:styleId="SOHeadBoldChar">
    <w:name w:val="SO HeadBold Char"/>
    <w:aliases w:val="sohb Char"/>
    <w:link w:val="SOHeadBold"/>
    <w:rsid w:val="00083B82"/>
    <w:rPr>
      <w:rFonts w:eastAsia="Calibri"/>
      <w:b/>
      <w:sz w:val="22"/>
      <w:lang w:eastAsia="en-US"/>
    </w:rPr>
  </w:style>
  <w:style w:type="paragraph" w:customStyle="1" w:styleId="SOHeadItalic">
    <w:name w:val="SO HeadItalic"/>
    <w:aliases w:val="sohi"/>
    <w:basedOn w:val="SOText"/>
    <w:next w:val="SOText"/>
    <w:link w:val="SOHeadItalicChar"/>
    <w:qFormat/>
    <w:rsid w:val="00083B82"/>
    <w:rPr>
      <w:i/>
    </w:rPr>
  </w:style>
  <w:style w:type="character" w:customStyle="1" w:styleId="SOHeadItalicChar">
    <w:name w:val="SO HeadItalic Char"/>
    <w:aliases w:val="sohi Char"/>
    <w:link w:val="SOHeadItalic"/>
    <w:rsid w:val="00083B82"/>
    <w:rPr>
      <w:rFonts w:eastAsia="Calibri"/>
      <w:i/>
      <w:sz w:val="22"/>
      <w:lang w:eastAsia="en-US"/>
    </w:rPr>
  </w:style>
  <w:style w:type="paragraph" w:customStyle="1" w:styleId="SOBullet">
    <w:name w:val="SO Bullet"/>
    <w:aliases w:val="sotb"/>
    <w:basedOn w:val="SOText"/>
    <w:link w:val="SOBulletChar"/>
    <w:qFormat/>
    <w:rsid w:val="00083B82"/>
    <w:pPr>
      <w:ind w:left="1559" w:hanging="425"/>
    </w:pPr>
  </w:style>
  <w:style w:type="character" w:customStyle="1" w:styleId="SOBulletChar">
    <w:name w:val="SO Bullet Char"/>
    <w:aliases w:val="sotb Char"/>
    <w:link w:val="SOBullet"/>
    <w:rsid w:val="00083B82"/>
    <w:rPr>
      <w:rFonts w:eastAsia="Calibri"/>
      <w:sz w:val="22"/>
      <w:lang w:eastAsia="en-US"/>
    </w:rPr>
  </w:style>
  <w:style w:type="paragraph" w:customStyle="1" w:styleId="SOBulletNote">
    <w:name w:val="SO BulletNote"/>
    <w:aliases w:val="sonb"/>
    <w:basedOn w:val="SOTextNote"/>
    <w:link w:val="SOBulletNoteChar"/>
    <w:qFormat/>
    <w:rsid w:val="00083B82"/>
    <w:pPr>
      <w:tabs>
        <w:tab w:val="left" w:pos="1560"/>
      </w:tabs>
      <w:ind w:left="2268" w:hanging="1134"/>
    </w:pPr>
  </w:style>
  <w:style w:type="character" w:customStyle="1" w:styleId="SOBulletNoteChar">
    <w:name w:val="SO BulletNote Char"/>
    <w:aliases w:val="sonb Char"/>
    <w:link w:val="SOBulletNote"/>
    <w:rsid w:val="00083B82"/>
    <w:rPr>
      <w:rFonts w:eastAsia="Calibri"/>
      <w:sz w:val="18"/>
      <w:lang w:eastAsia="en-US"/>
    </w:rPr>
  </w:style>
  <w:style w:type="paragraph" w:customStyle="1" w:styleId="BodyNum">
    <w:name w:val="BodyNum"/>
    <w:aliases w:val="b1"/>
    <w:basedOn w:val="OPCParaBase"/>
    <w:rsid w:val="00083B82"/>
    <w:pPr>
      <w:numPr>
        <w:numId w:val="40"/>
      </w:numPr>
      <w:spacing w:before="240" w:line="240" w:lineRule="auto"/>
    </w:pPr>
    <w:rPr>
      <w:sz w:val="24"/>
    </w:rPr>
  </w:style>
  <w:style w:type="paragraph" w:customStyle="1" w:styleId="BodyPara">
    <w:name w:val="BodyPara"/>
    <w:aliases w:val="ba"/>
    <w:basedOn w:val="OPCParaBase"/>
    <w:rsid w:val="00083B82"/>
    <w:pPr>
      <w:numPr>
        <w:ilvl w:val="1"/>
        <w:numId w:val="40"/>
      </w:numPr>
      <w:spacing w:before="240" w:line="240" w:lineRule="auto"/>
    </w:pPr>
    <w:rPr>
      <w:sz w:val="24"/>
    </w:rPr>
  </w:style>
  <w:style w:type="numbering" w:customStyle="1" w:styleId="OPCBodyList">
    <w:name w:val="OPCBodyList"/>
    <w:uiPriority w:val="99"/>
    <w:rsid w:val="00083B82"/>
    <w:pPr>
      <w:numPr>
        <w:numId w:val="40"/>
      </w:numPr>
    </w:pPr>
  </w:style>
  <w:style w:type="paragraph" w:customStyle="1" w:styleId="Head1">
    <w:name w:val="Head 1"/>
    <w:aliases w:val="1"/>
    <w:basedOn w:val="OPCParaBase"/>
    <w:next w:val="BodyNum"/>
    <w:rsid w:val="00083B82"/>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083B82"/>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083B82"/>
    <w:pPr>
      <w:keepNext/>
      <w:spacing w:before="240" w:after="60" w:line="240" w:lineRule="auto"/>
      <w:outlineLvl w:val="2"/>
    </w:pPr>
    <w:rPr>
      <w:rFonts w:ascii="Arial" w:hAnsi="Arial"/>
      <w:b/>
      <w:i/>
      <w:kern w:val="28"/>
      <w:sz w:val="26"/>
    </w:rPr>
  </w:style>
  <w:style w:type="character" w:customStyle="1" w:styleId="Heading1Char">
    <w:name w:val="Heading 1 Char"/>
    <w:aliases w:val="Document/Determination Title Char"/>
    <w:link w:val="Heading1"/>
    <w:rsid w:val="00083B82"/>
    <w:rPr>
      <w:rFonts w:ascii="Arial" w:hAnsi="Arial"/>
      <w:b/>
      <w:sz w:val="36"/>
    </w:rPr>
  </w:style>
  <w:style w:type="character" w:customStyle="1" w:styleId="Heading7Char">
    <w:name w:val="Heading 7 Char"/>
    <w:link w:val="Heading7"/>
    <w:uiPriority w:val="9"/>
    <w:rsid w:val="00083B82"/>
    <w:rPr>
      <w:rFonts w:ascii="Arial" w:hAnsi="Arial"/>
      <w:sz w:val="22"/>
    </w:rPr>
  </w:style>
  <w:style w:type="character" w:customStyle="1" w:styleId="Heading8Char">
    <w:name w:val="Heading 8 Char"/>
    <w:aliases w:val="Section Char"/>
    <w:link w:val="Heading8"/>
    <w:uiPriority w:val="9"/>
    <w:rsid w:val="00083B82"/>
    <w:rPr>
      <w:rFonts w:ascii="Arial" w:hAnsi="Arial"/>
      <w:i/>
      <w:sz w:val="22"/>
    </w:rPr>
  </w:style>
  <w:style w:type="character" w:customStyle="1" w:styleId="Heading9Char">
    <w:name w:val="Heading 9 Char"/>
    <w:aliases w:val="Group Char"/>
    <w:link w:val="Heading9"/>
    <w:uiPriority w:val="9"/>
    <w:rsid w:val="00083B82"/>
    <w:rPr>
      <w:rFonts w:ascii="Arial" w:hAnsi="Arial"/>
      <w:b/>
      <w:i/>
      <w:sz w:val="18"/>
    </w:rPr>
  </w:style>
  <w:style w:type="character" w:customStyle="1" w:styleId="CommentTextChar">
    <w:name w:val="Comment Text Char"/>
    <w:link w:val="CommentText"/>
    <w:uiPriority w:val="99"/>
    <w:rsid w:val="00083B82"/>
    <w:rPr>
      <w:rFonts w:ascii="Arial" w:hAnsi="Arial"/>
    </w:rPr>
  </w:style>
  <w:style w:type="character" w:customStyle="1" w:styleId="CommentSubjectChar">
    <w:name w:val="Comment Subject Char"/>
    <w:link w:val="CommentSubject"/>
    <w:uiPriority w:val="99"/>
    <w:semiHidden/>
    <w:rsid w:val="00083B82"/>
    <w:rPr>
      <w:rFonts w:ascii="Arial" w:hAnsi="Arial"/>
      <w:b/>
      <w:bCs/>
    </w:rPr>
  </w:style>
  <w:style w:type="character" w:styleId="PlaceholderText">
    <w:name w:val="Placeholder Text"/>
    <w:uiPriority w:val="99"/>
    <w:semiHidden/>
    <w:rsid w:val="00083B82"/>
    <w:rPr>
      <w:color w:val="808080"/>
    </w:rPr>
  </w:style>
  <w:style w:type="paragraph" w:styleId="Revision">
    <w:name w:val="Revision"/>
    <w:hidden/>
    <w:uiPriority w:val="99"/>
    <w:semiHidden/>
    <w:rsid w:val="00083B82"/>
    <w:rPr>
      <w:rFonts w:ascii="Arial" w:hAnsi="Arial"/>
      <w:sz w:val="22"/>
    </w:rPr>
  </w:style>
  <w:style w:type="character" w:customStyle="1" w:styleId="normaltextrun">
    <w:name w:val="normaltextrun"/>
    <w:rsid w:val="005E2D85"/>
  </w:style>
  <w:style w:type="character" w:customStyle="1" w:styleId="eop">
    <w:name w:val="eop"/>
    <w:rsid w:val="005E2D85"/>
  </w:style>
  <w:style w:type="character" w:customStyle="1" w:styleId="advancedproofingissue">
    <w:name w:val="advancedproofingissue"/>
    <w:rsid w:val="00646415"/>
  </w:style>
  <w:style w:type="character" w:customStyle="1" w:styleId="spellingerror">
    <w:name w:val="spellingerror"/>
    <w:rsid w:val="00646415"/>
  </w:style>
  <w:style w:type="character" w:customStyle="1" w:styleId="TOC2Char">
    <w:name w:val="TOC 2 Char"/>
    <w:link w:val="TOC2"/>
    <w:uiPriority w:val="39"/>
    <w:rsid w:val="00CA1B78"/>
    <w:rPr>
      <w:rFonts w:ascii="Arial" w:hAnsi="Arial" w:cs="Arial"/>
      <w:b/>
      <w:sz w:val="21"/>
      <w:szCs w:val="24"/>
    </w:rPr>
  </w:style>
  <w:style w:type="character" w:customStyle="1" w:styleId="TOC5Char">
    <w:name w:val="TOC 5 Char"/>
    <w:link w:val="TOC5"/>
    <w:uiPriority w:val="39"/>
    <w:rsid w:val="00D00FD4"/>
    <w:rPr>
      <w:rFonts w:ascii="Arial" w:hAnsi="Arial"/>
      <w:noProof/>
    </w:rPr>
  </w:style>
  <w:style w:type="paragraph" w:customStyle="1" w:styleId="StyleHeading5ClauseBlockLabelArialBold">
    <w:name w:val="Style Heading 5Clause/Block Label + Arial Bold"/>
    <w:basedOn w:val="Heading5"/>
    <w:rsid w:val="0093383D"/>
    <w:rPr>
      <w:rFonts w:ascii="Arial Bold" w:hAnsi="Arial Bold"/>
      <w:b w:val="0"/>
      <w:bCs/>
    </w:rPr>
  </w:style>
  <w:style w:type="paragraph" w:styleId="ListParagraph">
    <w:name w:val="List Paragraph"/>
    <w:basedOn w:val="Normal"/>
    <w:uiPriority w:val="34"/>
    <w:qFormat/>
    <w:rsid w:val="00C57F1E"/>
    <w:pPr>
      <w:keepLines w:val="0"/>
      <w:spacing w:line="260" w:lineRule="atLeast"/>
      <w:ind w:left="720"/>
      <w:contextualSpacing/>
    </w:pPr>
    <w:rPr>
      <w:rFonts w:ascii="Times New Roman" w:eastAsiaTheme="minorHAnsi"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67">
      <w:bodyDiv w:val="1"/>
      <w:marLeft w:val="0"/>
      <w:marRight w:val="0"/>
      <w:marTop w:val="0"/>
      <w:marBottom w:val="0"/>
      <w:divBdr>
        <w:top w:val="none" w:sz="0" w:space="0" w:color="auto"/>
        <w:left w:val="none" w:sz="0" w:space="0" w:color="auto"/>
        <w:bottom w:val="none" w:sz="0" w:space="0" w:color="auto"/>
        <w:right w:val="none" w:sz="0" w:space="0" w:color="auto"/>
      </w:divBdr>
    </w:div>
    <w:div w:id="78253209">
      <w:bodyDiv w:val="1"/>
      <w:marLeft w:val="0"/>
      <w:marRight w:val="0"/>
      <w:marTop w:val="0"/>
      <w:marBottom w:val="0"/>
      <w:divBdr>
        <w:top w:val="none" w:sz="0" w:space="0" w:color="auto"/>
        <w:left w:val="none" w:sz="0" w:space="0" w:color="auto"/>
        <w:bottom w:val="none" w:sz="0" w:space="0" w:color="auto"/>
        <w:right w:val="none" w:sz="0" w:space="0" w:color="auto"/>
      </w:divBdr>
    </w:div>
    <w:div w:id="79563263">
      <w:bodyDiv w:val="1"/>
      <w:marLeft w:val="0"/>
      <w:marRight w:val="0"/>
      <w:marTop w:val="0"/>
      <w:marBottom w:val="0"/>
      <w:divBdr>
        <w:top w:val="none" w:sz="0" w:space="0" w:color="auto"/>
        <w:left w:val="none" w:sz="0" w:space="0" w:color="auto"/>
        <w:bottom w:val="none" w:sz="0" w:space="0" w:color="auto"/>
        <w:right w:val="none" w:sz="0" w:space="0" w:color="auto"/>
      </w:divBdr>
    </w:div>
    <w:div w:id="88819597">
      <w:bodyDiv w:val="1"/>
      <w:marLeft w:val="0"/>
      <w:marRight w:val="0"/>
      <w:marTop w:val="0"/>
      <w:marBottom w:val="0"/>
      <w:divBdr>
        <w:top w:val="none" w:sz="0" w:space="0" w:color="auto"/>
        <w:left w:val="none" w:sz="0" w:space="0" w:color="auto"/>
        <w:bottom w:val="none" w:sz="0" w:space="0" w:color="auto"/>
        <w:right w:val="none" w:sz="0" w:space="0" w:color="auto"/>
      </w:divBdr>
    </w:div>
    <w:div w:id="121118276">
      <w:bodyDiv w:val="1"/>
      <w:marLeft w:val="0"/>
      <w:marRight w:val="0"/>
      <w:marTop w:val="0"/>
      <w:marBottom w:val="0"/>
      <w:divBdr>
        <w:top w:val="none" w:sz="0" w:space="0" w:color="auto"/>
        <w:left w:val="none" w:sz="0" w:space="0" w:color="auto"/>
        <w:bottom w:val="none" w:sz="0" w:space="0" w:color="auto"/>
        <w:right w:val="none" w:sz="0" w:space="0" w:color="auto"/>
      </w:divBdr>
    </w:div>
    <w:div w:id="160200382">
      <w:bodyDiv w:val="1"/>
      <w:marLeft w:val="0"/>
      <w:marRight w:val="0"/>
      <w:marTop w:val="0"/>
      <w:marBottom w:val="0"/>
      <w:divBdr>
        <w:top w:val="none" w:sz="0" w:space="0" w:color="auto"/>
        <w:left w:val="none" w:sz="0" w:space="0" w:color="auto"/>
        <w:bottom w:val="none" w:sz="0" w:space="0" w:color="auto"/>
        <w:right w:val="none" w:sz="0" w:space="0" w:color="auto"/>
      </w:divBdr>
    </w:div>
    <w:div w:id="179438047">
      <w:bodyDiv w:val="1"/>
      <w:marLeft w:val="0"/>
      <w:marRight w:val="0"/>
      <w:marTop w:val="0"/>
      <w:marBottom w:val="0"/>
      <w:divBdr>
        <w:top w:val="none" w:sz="0" w:space="0" w:color="auto"/>
        <w:left w:val="none" w:sz="0" w:space="0" w:color="auto"/>
        <w:bottom w:val="none" w:sz="0" w:space="0" w:color="auto"/>
        <w:right w:val="none" w:sz="0" w:space="0" w:color="auto"/>
      </w:divBdr>
    </w:div>
    <w:div w:id="294258700">
      <w:bodyDiv w:val="1"/>
      <w:marLeft w:val="0"/>
      <w:marRight w:val="0"/>
      <w:marTop w:val="0"/>
      <w:marBottom w:val="0"/>
      <w:divBdr>
        <w:top w:val="none" w:sz="0" w:space="0" w:color="auto"/>
        <w:left w:val="none" w:sz="0" w:space="0" w:color="auto"/>
        <w:bottom w:val="none" w:sz="0" w:space="0" w:color="auto"/>
        <w:right w:val="none" w:sz="0" w:space="0" w:color="auto"/>
      </w:divBdr>
    </w:div>
    <w:div w:id="353262536">
      <w:bodyDiv w:val="1"/>
      <w:marLeft w:val="0"/>
      <w:marRight w:val="0"/>
      <w:marTop w:val="0"/>
      <w:marBottom w:val="0"/>
      <w:divBdr>
        <w:top w:val="none" w:sz="0" w:space="0" w:color="auto"/>
        <w:left w:val="none" w:sz="0" w:space="0" w:color="auto"/>
        <w:bottom w:val="none" w:sz="0" w:space="0" w:color="auto"/>
        <w:right w:val="none" w:sz="0" w:space="0" w:color="auto"/>
      </w:divBdr>
      <w:divsChild>
        <w:div w:id="453644483">
          <w:marLeft w:val="0"/>
          <w:marRight w:val="0"/>
          <w:marTop w:val="0"/>
          <w:marBottom w:val="0"/>
          <w:divBdr>
            <w:top w:val="none" w:sz="0" w:space="0" w:color="auto"/>
            <w:left w:val="none" w:sz="0" w:space="0" w:color="auto"/>
            <w:bottom w:val="none" w:sz="0" w:space="0" w:color="auto"/>
            <w:right w:val="none" w:sz="0" w:space="0" w:color="auto"/>
          </w:divBdr>
          <w:divsChild>
            <w:div w:id="2079091517">
              <w:marLeft w:val="0"/>
              <w:marRight w:val="0"/>
              <w:marTop w:val="0"/>
              <w:marBottom w:val="0"/>
              <w:divBdr>
                <w:top w:val="none" w:sz="0" w:space="0" w:color="auto"/>
                <w:left w:val="none" w:sz="0" w:space="0" w:color="auto"/>
                <w:bottom w:val="none" w:sz="0" w:space="0" w:color="auto"/>
                <w:right w:val="none" w:sz="0" w:space="0" w:color="auto"/>
              </w:divBdr>
              <w:divsChild>
                <w:div w:id="1254702791">
                  <w:marLeft w:val="0"/>
                  <w:marRight w:val="0"/>
                  <w:marTop w:val="0"/>
                  <w:marBottom w:val="0"/>
                  <w:divBdr>
                    <w:top w:val="none" w:sz="0" w:space="0" w:color="auto"/>
                    <w:left w:val="none" w:sz="0" w:space="0" w:color="auto"/>
                    <w:bottom w:val="none" w:sz="0" w:space="0" w:color="auto"/>
                    <w:right w:val="none" w:sz="0" w:space="0" w:color="auto"/>
                  </w:divBdr>
                  <w:divsChild>
                    <w:div w:id="1034230291">
                      <w:marLeft w:val="0"/>
                      <w:marRight w:val="0"/>
                      <w:marTop w:val="0"/>
                      <w:marBottom w:val="0"/>
                      <w:divBdr>
                        <w:top w:val="none" w:sz="0" w:space="0" w:color="auto"/>
                        <w:left w:val="none" w:sz="0" w:space="0" w:color="auto"/>
                        <w:bottom w:val="none" w:sz="0" w:space="0" w:color="auto"/>
                        <w:right w:val="none" w:sz="0" w:space="0" w:color="auto"/>
                      </w:divBdr>
                      <w:divsChild>
                        <w:div w:id="1459687964">
                          <w:marLeft w:val="0"/>
                          <w:marRight w:val="0"/>
                          <w:marTop w:val="0"/>
                          <w:marBottom w:val="0"/>
                          <w:divBdr>
                            <w:top w:val="none" w:sz="0" w:space="0" w:color="auto"/>
                            <w:left w:val="none" w:sz="0" w:space="0" w:color="auto"/>
                            <w:bottom w:val="none" w:sz="0" w:space="0" w:color="auto"/>
                            <w:right w:val="none" w:sz="0" w:space="0" w:color="auto"/>
                          </w:divBdr>
                          <w:divsChild>
                            <w:div w:id="867063953">
                              <w:marLeft w:val="0"/>
                              <w:marRight w:val="0"/>
                              <w:marTop w:val="0"/>
                              <w:marBottom w:val="0"/>
                              <w:divBdr>
                                <w:top w:val="none" w:sz="0" w:space="0" w:color="auto"/>
                                <w:left w:val="none" w:sz="0" w:space="0" w:color="auto"/>
                                <w:bottom w:val="none" w:sz="0" w:space="0" w:color="auto"/>
                                <w:right w:val="none" w:sz="0" w:space="0" w:color="auto"/>
                              </w:divBdr>
                              <w:divsChild>
                                <w:div w:id="1202985023">
                                  <w:marLeft w:val="0"/>
                                  <w:marRight w:val="0"/>
                                  <w:marTop w:val="0"/>
                                  <w:marBottom w:val="0"/>
                                  <w:divBdr>
                                    <w:top w:val="none" w:sz="0" w:space="0" w:color="auto"/>
                                    <w:left w:val="none" w:sz="0" w:space="0" w:color="auto"/>
                                    <w:bottom w:val="none" w:sz="0" w:space="0" w:color="auto"/>
                                    <w:right w:val="none" w:sz="0" w:space="0" w:color="auto"/>
                                  </w:divBdr>
                                  <w:divsChild>
                                    <w:div w:id="455831628">
                                      <w:marLeft w:val="0"/>
                                      <w:marRight w:val="0"/>
                                      <w:marTop w:val="0"/>
                                      <w:marBottom w:val="0"/>
                                      <w:divBdr>
                                        <w:top w:val="none" w:sz="0" w:space="0" w:color="auto"/>
                                        <w:left w:val="none" w:sz="0" w:space="0" w:color="auto"/>
                                        <w:bottom w:val="none" w:sz="0" w:space="0" w:color="auto"/>
                                        <w:right w:val="none" w:sz="0" w:space="0" w:color="auto"/>
                                      </w:divBdr>
                                      <w:divsChild>
                                        <w:div w:id="415984705">
                                          <w:marLeft w:val="0"/>
                                          <w:marRight w:val="0"/>
                                          <w:marTop w:val="0"/>
                                          <w:marBottom w:val="0"/>
                                          <w:divBdr>
                                            <w:top w:val="none" w:sz="0" w:space="0" w:color="auto"/>
                                            <w:left w:val="none" w:sz="0" w:space="0" w:color="auto"/>
                                            <w:bottom w:val="none" w:sz="0" w:space="0" w:color="auto"/>
                                            <w:right w:val="none" w:sz="0" w:space="0" w:color="auto"/>
                                          </w:divBdr>
                                          <w:divsChild>
                                            <w:div w:id="287129628">
                                              <w:marLeft w:val="0"/>
                                              <w:marRight w:val="0"/>
                                              <w:marTop w:val="0"/>
                                              <w:marBottom w:val="0"/>
                                              <w:divBdr>
                                                <w:top w:val="none" w:sz="0" w:space="0" w:color="auto"/>
                                                <w:left w:val="none" w:sz="0" w:space="0" w:color="auto"/>
                                                <w:bottom w:val="none" w:sz="0" w:space="0" w:color="auto"/>
                                                <w:right w:val="none" w:sz="0" w:space="0" w:color="auto"/>
                                              </w:divBdr>
                                              <w:divsChild>
                                                <w:div w:id="1387601512">
                                                  <w:marLeft w:val="0"/>
                                                  <w:marRight w:val="0"/>
                                                  <w:marTop w:val="0"/>
                                                  <w:marBottom w:val="0"/>
                                                  <w:divBdr>
                                                    <w:top w:val="none" w:sz="0" w:space="0" w:color="auto"/>
                                                    <w:left w:val="none" w:sz="0" w:space="0" w:color="auto"/>
                                                    <w:bottom w:val="none" w:sz="0" w:space="0" w:color="auto"/>
                                                    <w:right w:val="none" w:sz="0" w:space="0" w:color="auto"/>
                                                  </w:divBdr>
                                                  <w:divsChild>
                                                    <w:div w:id="1696269514">
                                                      <w:marLeft w:val="0"/>
                                                      <w:marRight w:val="0"/>
                                                      <w:marTop w:val="0"/>
                                                      <w:marBottom w:val="0"/>
                                                      <w:divBdr>
                                                        <w:top w:val="none" w:sz="0" w:space="0" w:color="auto"/>
                                                        <w:left w:val="none" w:sz="0" w:space="0" w:color="auto"/>
                                                        <w:bottom w:val="none" w:sz="0" w:space="0" w:color="auto"/>
                                                        <w:right w:val="none" w:sz="0" w:space="0" w:color="auto"/>
                                                      </w:divBdr>
                                                      <w:divsChild>
                                                        <w:div w:id="1821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319411">
      <w:bodyDiv w:val="1"/>
      <w:marLeft w:val="0"/>
      <w:marRight w:val="0"/>
      <w:marTop w:val="0"/>
      <w:marBottom w:val="0"/>
      <w:divBdr>
        <w:top w:val="none" w:sz="0" w:space="0" w:color="auto"/>
        <w:left w:val="none" w:sz="0" w:space="0" w:color="auto"/>
        <w:bottom w:val="none" w:sz="0" w:space="0" w:color="auto"/>
        <w:right w:val="none" w:sz="0" w:space="0" w:color="auto"/>
      </w:divBdr>
    </w:div>
    <w:div w:id="389840894">
      <w:bodyDiv w:val="1"/>
      <w:marLeft w:val="0"/>
      <w:marRight w:val="0"/>
      <w:marTop w:val="0"/>
      <w:marBottom w:val="0"/>
      <w:divBdr>
        <w:top w:val="none" w:sz="0" w:space="0" w:color="auto"/>
        <w:left w:val="none" w:sz="0" w:space="0" w:color="auto"/>
        <w:bottom w:val="none" w:sz="0" w:space="0" w:color="auto"/>
        <w:right w:val="none" w:sz="0" w:space="0" w:color="auto"/>
      </w:divBdr>
    </w:div>
    <w:div w:id="502086264">
      <w:bodyDiv w:val="1"/>
      <w:marLeft w:val="0"/>
      <w:marRight w:val="0"/>
      <w:marTop w:val="0"/>
      <w:marBottom w:val="0"/>
      <w:divBdr>
        <w:top w:val="none" w:sz="0" w:space="0" w:color="auto"/>
        <w:left w:val="none" w:sz="0" w:space="0" w:color="auto"/>
        <w:bottom w:val="none" w:sz="0" w:space="0" w:color="auto"/>
        <w:right w:val="none" w:sz="0" w:space="0" w:color="auto"/>
      </w:divBdr>
    </w:div>
    <w:div w:id="515655625">
      <w:bodyDiv w:val="1"/>
      <w:marLeft w:val="0"/>
      <w:marRight w:val="0"/>
      <w:marTop w:val="0"/>
      <w:marBottom w:val="0"/>
      <w:divBdr>
        <w:top w:val="none" w:sz="0" w:space="0" w:color="auto"/>
        <w:left w:val="none" w:sz="0" w:space="0" w:color="auto"/>
        <w:bottom w:val="none" w:sz="0" w:space="0" w:color="auto"/>
        <w:right w:val="none" w:sz="0" w:space="0" w:color="auto"/>
      </w:divBdr>
    </w:div>
    <w:div w:id="526522463">
      <w:bodyDiv w:val="1"/>
      <w:marLeft w:val="0"/>
      <w:marRight w:val="0"/>
      <w:marTop w:val="0"/>
      <w:marBottom w:val="0"/>
      <w:divBdr>
        <w:top w:val="none" w:sz="0" w:space="0" w:color="auto"/>
        <w:left w:val="none" w:sz="0" w:space="0" w:color="auto"/>
        <w:bottom w:val="none" w:sz="0" w:space="0" w:color="auto"/>
        <w:right w:val="none" w:sz="0" w:space="0" w:color="auto"/>
      </w:divBdr>
    </w:div>
    <w:div w:id="536284399">
      <w:bodyDiv w:val="1"/>
      <w:marLeft w:val="0"/>
      <w:marRight w:val="0"/>
      <w:marTop w:val="0"/>
      <w:marBottom w:val="0"/>
      <w:divBdr>
        <w:top w:val="none" w:sz="0" w:space="0" w:color="auto"/>
        <w:left w:val="none" w:sz="0" w:space="0" w:color="auto"/>
        <w:bottom w:val="none" w:sz="0" w:space="0" w:color="auto"/>
        <w:right w:val="none" w:sz="0" w:space="0" w:color="auto"/>
      </w:divBdr>
    </w:div>
    <w:div w:id="615869961">
      <w:bodyDiv w:val="1"/>
      <w:marLeft w:val="0"/>
      <w:marRight w:val="0"/>
      <w:marTop w:val="0"/>
      <w:marBottom w:val="0"/>
      <w:divBdr>
        <w:top w:val="none" w:sz="0" w:space="0" w:color="auto"/>
        <w:left w:val="none" w:sz="0" w:space="0" w:color="auto"/>
        <w:bottom w:val="none" w:sz="0" w:space="0" w:color="auto"/>
        <w:right w:val="none" w:sz="0" w:space="0" w:color="auto"/>
      </w:divBdr>
    </w:div>
    <w:div w:id="625311652">
      <w:bodyDiv w:val="1"/>
      <w:marLeft w:val="0"/>
      <w:marRight w:val="0"/>
      <w:marTop w:val="0"/>
      <w:marBottom w:val="0"/>
      <w:divBdr>
        <w:top w:val="none" w:sz="0" w:space="0" w:color="auto"/>
        <w:left w:val="none" w:sz="0" w:space="0" w:color="auto"/>
        <w:bottom w:val="none" w:sz="0" w:space="0" w:color="auto"/>
        <w:right w:val="none" w:sz="0" w:space="0" w:color="auto"/>
      </w:divBdr>
    </w:div>
    <w:div w:id="643510137">
      <w:bodyDiv w:val="1"/>
      <w:marLeft w:val="0"/>
      <w:marRight w:val="0"/>
      <w:marTop w:val="0"/>
      <w:marBottom w:val="0"/>
      <w:divBdr>
        <w:top w:val="none" w:sz="0" w:space="0" w:color="auto"/>
        <w:left w:val="none" w:sz="0" w:space="0" w:color="auto"/>
        <w:bottom w:val="none" w:sz="0" w:space="0" w:color="auto"/>
        <w:right w:val="none" w:sz="0" w:space="0" w:color="auto"/>
      </w:divBdr>
    </w:div>
    <w:div w:id="661010781">
      <w:bodyDiv w:val="1"/>
      <w:marLeft w:val="0"/>
      <w:marRight w:val="0"/>
      <w:marTop w:val="0"/>
      <w:marBottom w:val="0"/>
      <w:divBdr>
        <w:top w:val="none" w:sz="0" w:space="0" w:color="auto"/>
        <w:left w:val="none" w:sz="0" w:space="0" w:color="auto"/>
        <w:bottom w:val="none" w:sz="0" w:space="0" w:color="auto"/>
        <w:right w:val="none" w:sz="0" w:space="0" w:color="auto"/>
      </w:divBdr>
    </w:div>
    <w:div w:id="731657583">
      <w:bodyDiv w:val="1"/>
      <w:marLeft w:val="0"/>
      <w:marRight w:val="0"/>
      <w:marTop w:val="0"/>
      <w:marBottom w:val="0"/>
      <w:divBdr>
        <w:top w:val="none" w:sz="0" w:space="0" w:color="auto"/>
        <w:left w:val="none" w:sz="0" w:space="0" w:color="auto"/>
        <w:bottom w:val="none" w:sz="0" w:space="0" w:color="auto"/>
        <w:right w:val="none" w:sz="0" w:space="0" w:color="auto"/>
      </w:divBdr>
    </w:div>
    <w:div w:id="925696060">
      <w:bodyDiv w:val="1"/>
      <w:marLeft w:val="0"/>
      <w:marRight w:val="0"/>
      <w:marTop w:val="0"/>
      <w:marBottom w:val="0"/>
      <w:divBdr>
        <w:top w:val="none" w:sz="0" w:space="0" w:color="auto"/>
        <w:left w:val="none" w:sz="0" w:space="0" w:color="auto"/>
        <w:bottom w:val="none" w:sz="0" w:space="0" w:color="auto"/>
        <w:right w:val="none" w:sz="0" w:space="0" w:color="auto"/>
      </w:divBdr>
    </w:div>
    <w:div w:id="957489282">
      <w:bodyDiv w:val="1"/>
      <w:marLeft w:val="0"/>
      <w:marRight w:val="0"/>
      <w:marTop w:val="0"/>
      <w:marBottom w:val="0"/>
      <w:divBdr>
        <w:top w:val="none" w:sz="0" w:space="0" w:color="auto"/>
        <w:left w:val="none" w:sz="0" w:space="0" w:color="auto"/>
        <w:bottom w:val="none" w:sz="0" w:space="0" w:color="auto"/>
        <w:right w:val="none" w:sz="0" w:space="0" w:color="auto"/>
      </w:divBdr>
    </w:div>
    <w:div w:id="1019508728">
      <w:bodyDiv w:val="1"/>
      <w:marLeft w:val="0"/>
      <w:marRight w:val="0"/>
      <w:marTop w:val="0"/>
      <w:marBottom w:val="0"/>
      <w:divBdr>
        <w:top w:val="none" w:sz="0" w:space="0" w:color="auto"/>
        <w:left w:val="none" w:sz="0" w:space="0" w:color="auto"/>
        <w:bottom w:val="none" w:sz="0" w:space="0" w:color="auto"/>
        <w:right w:val="none" w:sz="0" w:space="0" w:color="auto"/>
      </w:divBdr>
    </w:div>
    <w:div w:id="1103308391">
      <w:bodyDiv w:val="1"/>
      <w:marLeft w:val="45"/>
      <w:marRight w:val="45"/>
      <w:marTop w:val="0"/>
      <w:marBottom w:val="0"/>
      <w:divBdr>
        <w:top w:val="none" w:sz="0" w:space="0" w:color="auto"/>
        <w:left w:val="none" w:sz="0" w:space="0" w:color="auto"/>
        <w:bottom w:val="none" w:sz="0" w:space="0" w:color="auto"/>
        <w:right w:val="none" w:sz="0" w:space="0" w:color="auto"/>
      </w:divBdr>
    </w:div>
    <w:div w:id="1241410134">
      <w:bodyDiv w:val="1"/>
      <w:marLeft w:val="0"/>
      <w:marRight w:val="0"/>
      <w:marTop w:val="0"/>
      <w:marBottom w:val="0"/>
      <w:divBdr>
        <w:top w:val="none" w:sz="0" w:space="0" w:color="auto"/>
        <w:left w:val="none" w:sz="0" w:space="0" w:color="auto"/>
        <w:bottom w:val="none" w:sz="0" w:space="0" w:color="auto"/>
        <w:right w:val="none" w:sz="0" w:space="0" w:color="auto"/>
      </w:divBdr>
      <w:divsChild>
        <w:div w:id="1177502636">
          <w:marLeft w:val="0"/>
          <w:marRight w:val="0"/>
          <w:marTop w:val="30"/>
          <w:marBottom w:val="30"/>
          <w:divBdr>
            <w:top w:val="none" w:sz="0" w:space="0" w:color="auto"/>
            <w:left w:val="none" w:sz="0" w:space="0" w:color="auto"/>
            <w:bottom w:val="none" w:sz="0" w:space="0" w:color="auto"/>
            <w:right w:val="none" w:sz="0" w:space="0" w:color="auto"/>
          </w:divBdr>
          <w:divsChild>
            <w:div w:id="793713905">
              <w:marLeft w:val="0"/>
              <w:marRight w:val="0"/>
              <w:marTop w:val="0"/>
              <w:marBottom w:val="0"/>
              <w:divBdr>
                <w:top w:val="none" w:sz="0" w:space="0" w:color="auto"/>
                <w:left w:val="none" w:sz="0" w:space="0" w:color="auto"/>
                <w:bottom w:val="none" w:sz="0" w:space="0" w:color="auto"/>
                <w:right w:val="none" w:sz="0" w:space="0" w:color="auto"/>
              </w:divBdr>
              <w:divsChild>
                <w:div w:id="16540547">
                  <w:marLeft w:val="0"/>
                  <w:marRight w:val="0"/>
                  <w:marTop w:val="0"/>
                  <w:marBottom w:val="0"/>
                  <w:divBdr>
                    <w:top w:val="none" w:sz="0" w:space="0" w:color="auto"/>
                    <w:left w:val="none" w:sz="0" w:space="0" w:color="auto"/>
                    <w:bottom w:val="none" w:sz="0" w:space="0" w:color="auto"/>
                    <w:right w:val="none" w:sz="0" w:space="0" w:color="auto"/>
                  </w:divBdr>
                </w:div>
              </w:divsChild>
            </w:div>
            <w:div w:id="878708520">
              <w:marLeft w:val="0"/>
              <w:marRight w:val="0"/>
              <w:marTop w:val="0"/>
              <w:marBottom w:val="0"/>
              <w:divBdr>
                <w:top w:val="none" w:sz="0" w:space="0" w:color="auto"/>
                <w:left w:val="none" w:sz="0" w:space="0" w:color="auto"/>
                <w:bottom w:val="none" w:sz="0" w:space="0" w:color="auto"/>
                <w:right w:val="none" w:sz="0" w:space="0" w:color="auto"/>
              </w:divBdr>
              <w:divsChild>
                <w:div w:id="338508742">
                  <w:marLeft w:val="0"/>
                  <w:marRight w:val="0"/>
                  <w:marTop w:val="0"/>
                  <w:marBottom w:val="0"/>
                  <w:divBdr>
                    <w:top w:val="none" w:sz="0" w:space="0" w:color="auto"/>
                    <w:left w:val="none" w:sz="0" w:space="0" w:color="auto"/>
                    <w:bottom w:val="none" w:sz="0" w:space="0" w:color="auto"/>
                    <w:right w:val="none" w:sz="0" w:space="0" w:color="auto"/>
                  </w:divBdr>
                </w:div>
                <w:div w:id="1363477455">
                  <w:marLeft w:val="0"/>
                  <w:marRight w:val="0"/>
                  <w:marTop w:val="0"/>
                  <w:marBottom w:val="0"/>
                  <w:divBdr>
                    <w:top w:val="none" w:sz="0" w:space="0" w:color="auto"/>
                    <w:left w:val="none" w:sz="0" w:space="0" w:color="auto"/>
                    <w:bottom w:val="none" w:sz="0" w:space="0" w:color="auto"/>
                    <w:right w:val="none" w:sz="0" w:space="0" w:color="auto"/>
                  </w:divBdr>
                </w:div>
              </w:divsChild>
            </w:div>
            <w:div w:id="943463257">
              <w:marLeft w:val="0"/>
              <w:marRight w:val="0"/>
              <w:marTop w:val="0"/>
              <w:marBottom w:val="0"/>
              <w:divBdr>
                <w:top w:val="none" w:sz="0" w:space="0" w:color="auto"/>
                <w:left w:val="none" w:sz="0" w:space="0" w:color="auto"/>
                <w:bottom w:val="none" w:sz="0" w:space="0" w:color="auto"/>
                <w:right w:val="none" w:sz="0" w:space="0" w:color="auto"/>
              </w:divBdr>
              <w:divsChild>
                <w:div w:id="1264998544">
                  <w:marLeft w:val="0"/>
                  <w:marRight w:val="0"/>
                  <w:marTop w:val="0"/>
                  <w:marBottom w:val="0"/>
                  <w:divBdr>
                    <w:top w:val="none" w:sz="0" w:space="0" w:color="auto"/>
                    <w:left w:val="none" w:sz="0" w:space="0" w:color="auto"/>
                    <w:bottom w:val="none" w:sz="0" w:space="0" w:color="auto"/>
                    <w:right w:val="none" w:sz="0" w:space="0" w:color="auto"/>
                  </w:divBdr>
                </w:div>
              </w:divsChild>
            </w:div>
            <w:div w:id="984510677">
              <w:marLeft w:val="0"/>
              <w:marRight w:val="0"/>
              <w:marTop w:val="0"/>
              <w:marBottom w:val="0"/>
              <w:divBdr>
                <w:top w:val="none" w:sz="0" w:space="0" w:color="auto"/>
                <w:left w:val="none" w:sz="0" w:space="0" w:color="auto"/>
                <w:bottom w:val="none" w:sz="0" w:space="0" w:color="auto"/>
                <w:right w:val="none" w:sz="0" w:space="0" w:color="auto"/>
              </w:divBdr>
              <w:divsChild>
                <w:div w:id="181238647">
                  <w:marLeft w:val="0"/>
                  <w:marRight w:val="0"/>
                  <w:marTop w:val="0"/>
                  <w:marBottom w:val="0"/>
                  <w:divBdr>
                    <w:top w:val="none" w:sz="0" w:space="0" w:color="auto"/>
                    <w:left w:val="none" w:sz="0" w:space="0" w:color="auto"/>
                    <w:bottom w:val="none" w:sz="0" w:space="0" w:color="auto"/>
                    <w:right w:val="none" w:sz="0" w:space="0" w:color="auto"/>
                  </w:divBdr>
                </w:div>
              </w:divsChild>
            </w:div>
            <w:div w:id="1384981001">
              <w:marLeft w:val="0"/>
              <w:marRight w:val="0"/>
              <w:marTop w:val="0"/>
              <w:marBottom w:val="0"/>
              <w:divBdr>
                <w:top w:val="none" w:sz="0" w:space="0" w:color="auto"/>
                <w:left w:val="none" w:sz="0" w:space="0" w:color="auto"/>
                <w:bottom w:val="none" w:sz="0" w:space="0" w:color="auto"/>
                <w:right w:val="none" w:sz="0" w:space="0" w:color="auto"/>
              </w:divBdr>
              <w:divsChild>
                <w:div w:id="1868641032">
                  <w:marLeft w:val="0"/>
                  <w:marRight w:val="0"/>
                  <w:marTop w:val="0"/>
                  <w:marBottom w:val="0"/>
                  <w:divBdr>
                    <w:top w:val="none" w:sz="0" w:space="0" w:color="auto"/>
                    <w:left w:val="none" w:sz="0" w:space="0" w:color="auto"/>
                    <w:bottom w:val="none" w:sz="0" w:space="0" w:color="auto"/>
                    <w:right w:val="none" w:sz="0" w:space="0" w:color="auto"/>
                  </w:divBdr>
                </w:div>
              </w:divsChild>
            </w:div>
            <w:div w:id="1540362153">
              <w:marLeft w:val="0"/>
              <w:marRight w:val="0"/>
              <w:marTop w:val="0"/>
              <w:marBottom w:val="0"/>
              <w:divBdr>
                <w:top w:val="none" w:sz="0" w:space="0" w:color="auto"/>
                <w:left w:val="none" w:sz="0" w:space="0" w:color="auto"/>
                <w:bottom w:val="none" w:sz="0" w:space="0" w:color="auto"/>
                <w:right w:val="none" w:sz="0" w:space="0" w:color="auto"/>
              </w:divBdr>
              <w:divsChild>
                <w:div w:id="598828238">
                  <w:marLeft w:val="0"/>
                  <w:marRight w:val="0"/>
                  <w:marTop w:val="0"/>
                  <w:marBottom w:val="0"/>
                  <w:divBdr>
                    <w:top w:val="none" w:sz="0" w:space="0" w:color="auto"/>
                    <w:left w:val="none" w:sz="0" w:space="0" w:color="auto"/>
                    <w:bottom w:val="none" w:sz="0" w:space="0" w:color="auto"/>
                    <w:right w:val="none" w:sz="0" w:space="0" w:color="auto"/>
                  </w:divBdr>
                </w:div>
              </w:divsChild>
            </w:div>
            <w:div w:id="1669670279">
              <w:marLeft w:val="0"/>
              <w:marRight w:val="0"/>
              <w:marTop w:val="0"/>
              <w:marBottom w:val="0"/>
              <w:divBdr>
                <w:top w:val="none" w:sz="0" w:space="0" w:color="auto"/>
                <w:left w:val="none" w:sz="0" w:space="0" w:color="auto"/>
                <w:bottom w:val="none" w:sz="0" w:space="0" w:color="auto"/>
                <w:right w:val="none" w:sz="0" w:space="0" w:color="auto"/>
              </w:divBdr>
              <w:divsChild>
                <w:div w:id="1654334379">
                  <w:marLeft w:val="0"/>
                  <w:marRight w:val="0"/>
                  <w:marTop w:val="0"/>
                  <w:marBottom w:val="0"/>
                  <w:divBdr>
                    <w:top w:val="none" w:sz="0" w:space="0" w:color="auto"/>
                    <w:left w:val="none" w:sz="0" w:space="0" w:color="auto"/>
                    <w:bottom w:val="none" w:sz="0" w:space="0" w:color="auto"/>
                    <w:right w:val="none" w:sz="0" w:space="0" w:color="auto"/>
                  </w:divBdr>
                </w:div>
              </w:divsChild>
            </w:div>
            <w:div w:id="1819422556">
              <w:marLeft w:val="0"/>
              <w:marRight w:val="0"/>
              <w:marTop w:val="0"/>
              <w:marBottom w:val="0"/>
              <w:divBdr>
                <w:top w:val="none" w:sz="0" w:space="0" w:color="auto"/>
                <w:left w:val="none" w:sz="0" w:space="0" w:color="auto"/>
                <w:bottom w:val="none" w:sz="0" w:space="0" w:color="auto"/>
                <w:right w:val="none" w:sz="0" w:space="0" w:color="auto"/>
              </w:divBdr>
              <w:divsChild>
                <w:div w:id="12828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3152">
      <w:bodyDiv w:val="1"/>
      <w:marLeft w:val="0"/>
      <w:marRight w:val="0"/>
      <w:marTop w:val="0"/>
      <w:marBottom w:val="0"/>
      <w:divBdr>
        <w:top w:val="none" w:sz="0" w:space="0" w:color="auto"/>
        <w:left w:val="none" w:sz="0" w:space="0" w:color="auto"/>
        <w:bottom w:val="none" w:sz="0" w:space="0" w:color="auto"/>
        <w:right w:val="none" w:sz="0" w:space="0" w:color="auto"/>
      </w:divBdr>
    </w:div>
    <w:div w:id="1504510616">
      <w:bodyDiv w:val="1"/>
      <w:marLeft w:val="0"/>
      <w:marRight w:val="0"/>
      <w:marTop w:val="0"/>
      <w:marBottom w:val="0"/>
      <w:divBdr>
        <w:top w:val="none" w:sz="0" w:space="0" w:color="auto"/>
        <w:left w:val="none" w:sz="0" w:space="0" w:color="auto"/>
        <w:bottom w:val="none" w:sz="0" w:space="0" w:color="auto"/>
        <w:right w:val="none" w:sz="0" w:space="0" w:color="auto"/>
      </w:divBdr>
    </w:div>
    <w:div w:id="1526140053">
      <w:bodyDiv w:val="1"/>
      <w:marLeft w:val="0"/>
      <w:marRight w:val="0"/>
      <w:marTop w:val="0"/>
      <w:marBottom w:val="0"/>
      <w:divBdr>
        <w:top w:val="none" w:sz="0" w:space="0" w:color="auto"/>
        <w:left w:val="none" w:sz="0" w:space="0" w:color="auto"/>
        <w:bottom w:val="none" w:sz="0" w:space="0" w:color="auto"/>
        <w:right w:val="none" w:sz="0" w:space="0" w:color="auto"/>
      </w:divBdr>
    </w:div>
    <w:div w:id="1597522658">
      <w:bodyDiv w:val="1"/>
      <w:marLeft w:val="0"/>
      <w:marRight w:val="0"/>
      <w:marTop w:val="0"/>
      <w:marBottom w:val="0"/>
      <w:divBdr>
        <w:top w:val="none" w:sz="0" w:space="0" w:color="auto"/>
        <w:left w:val="none" w:sz="0" w:space="0" w:color="auto"/>
        <w:bottom w:val="none" w:sz="0" w:space="0" w:color="auto"/>
        <w:right w:val="none" w:sz="0" w:space="0" w:color="auto"/>
      </w:divBdr>
    </w:div>
    <w:div w:id="1814056102">
      <w:bodyDiv w:val="1"/>
      <w:marLeft w:val="0"/>
      <w:marRight w:val="0"/>
      <w:marTop w:val="0"/>
      <w:marBottom w:val="0"/>
      <w:divBdr>
        <w:top w:val="none" w:sz="0" w:space="0" w:color="auto"/>
        <w:left w:val="none" w:sz="0" w:space="0" w:color="auto"/>
        <w:bottom w:val="none" w:sz="0" w:space="0" w:color="auto"/>
        <w:right w:val="none" w:sz="0" w:space="0" w:color="auto"/>
      </w:divBdr>
    </w:div>
    <w:div w:id="1846554275">
      <w:bodyDiv w:val="1"/>
      <w:marLeft w:val="0"/>
      <w:marRight w:val="0"/>
      <w:marTop w:val="0"/>
      <w:marBottom w:val="0"/>
      <w:divBdr>
        <w:top w:val="none" w:sz="0" w:space="0" w:color="auto"/>
        <w:left w:val="none" w:sz="0" w:space="0" w:color="auto"/>
        <w:bottom w:val="none" w:sz="0" w:space="0" w:color="auto"/>
        <w:right w:val="none" w:sz="0" w:space="0" w:color="auto"/>
      </w:divBdr>
    </w:div>
    <w:div w:id="1921018171">
      <w:bodyDiv w:val="1"/>
      <w:marLeft w:val="0"/>
      <w:marRight w:val="0"/>
      <w:marTop w:val="0"/>
      <w:marBottom w:val="0"/>
      <w:divBdr>
        <w:top w:val="none" w:sz="0" w:space="0" w:color="auto"/>
        <w:left w:val="none" w:sz="0" w:space="0" w:color="auto"/>
        <w:bottom w:val="none" w:sz="0" w:space="0" w:color="auto"/>
        <w:right w:val="none" w:sz="0" w:space="0" w:color="auto"/>
      </w:divBdr>
    </w:div>
    <w:div w:id="1930502582">
      <w:bodyDiv w:val="1"/>
      <w:marLeft w:val="0"/>
      <w:marRight w:val="0"/>
      <w:marTop w:val="0"/>
      <w:marBottom w:val="0"/>
      <w:divBdr>
        <w:top w:val="none" w:sz="0" w:space="0" w:color="auto"/>
        <w:left w:val="none" w:sz="0" w:space="0" w:color="auto"/>
        <w:bottom w:val="none" w:sz="0" w:space="0" w:color="auto"/>
        <w:right w:val="none" w:sz="0" w:space="0" w:color="auto"/>
      </w:divBdr>
    </w:div>
    <w:div w:id="1946308573">
      <w:bodyDiv w:val="1"/>
      <w:marLeft w:val="0"/>
      <w:marRight w:val="0"/>
      <w:marTop w:val="0"/>
      <w:marBottom w:val="0"/>
      <w:divBdr>
        <w:top w:val="none" w:sz="0" w:space="0" w:color="auto"/>
        <w:left w:val="none" w:sz="0" w:space="0" w:color="auto"/>
        <w:bottom w:val="none" w:sz="0" w:space="0" w:color="auto"/>
        <w:right w:val="none" w:sz="0" w:space="0" w:color="auto"/>
      </w:divBdr>
    </w:div>
    <w:div w:id="1977568528">
      <w:bodyDiv w:val="1"/>
      <w:marLeft w:val="0"/>
      <w:marRight w:val="0"/>
      <w:marTop w:val="0"/>
      <w:marBottom w:val="0"/>
      <w:divBdr>
        <w:top w:val="none" w:sz="0" w:space="0" w:color="auto"/>
        <w:left w:val="none" w:sz="0" w:space="0" w:color="auto"/>
        <w:bottom w:val="none" w:sz="0" w:space="0" w:color="auto"/>
        <w:right w:val="none" w:sz="0" w:space="0" w:color="auto"/>
      </w:divBdr>
    </w:div>
    <w:div w:id="2023629829">
      <w:bodyDiv w:val="1"/>
      <w:marLeft w:val="0"/>
      <w:marRight w:val="0"/>
      <w:marTop w:val="0"/>
      <w:marBottom w:val="0"/>
      <w:divBdr>
        <w:top w:val="none" w:sz="0" w:space="0" w:color="auto"/>
        <w:left w:val="none" w:sz="0" w:space="0" w:color="auto"/>
        <w:bottom w:val="none" w:sz="0" w:space="0" w:color="auto"/>
        <w:right w:val="none" w:sz="0" w:space="0" w:color="auto"/>
      </w:divBdr>
    </w:div>
    <w:div w:id="20810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A4D2AC3D9C944A3BA2E3956678696" ma:contentTypeVersion="19" ma:contentTypeDescription="Create a new document." ma:contentTypeScope="" ma:versionID="f16467a35a7962543327fd4c0ae2f62f">
  <xsd:schema xmlns:xsd="http://www.w3.org/2001/XMLSchema" xmlns:xs="http://www.w3.org/2001/XMLSchema" xmlns:p="http://schemas.microsoft.com/office/2006/metadata/properties" xmlns:ns2="d4956981-af34-43b5-9bb9-127b84748104" xmlns:ns3="8a6f563f-2bdb-41f3-82d1-8dc8753557f6" targetNamespace="http://schemas.microsoft.com/office/2006/metadata/properties" ma:root="true" ma:fieldsID="036868ca51fd2b2b108cb6a3e0e1af30" ns2:_="" ns3:_="">
    <xsd:import namespace="d4956981-af34-43b5-9bb9-127b84748104"/>
    <xsd:import namespace="8a6f563f-2bdb-41f3-82d1-8dc8753557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_Flow_SignoffStatus" minOccurs="0"/>
                <xsd:element ref="ns2:MediaServiceLocation" minOccurs="0"/>
                <xsd:element ref="ns2:Draf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56981-af34-43b5-9bb9-127b84748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rafter" ma:index="21" nillable="true" ma:displayName="Drafter" ma:format="Dropdown" ma:internalName="Drafter">
      <xsd:complexType>
        <xsd:complexContent>
          <xsd:extension base="dms:MultiChoice">
            <xsd:sequence>
              <xsd:element name="Value" maxOccurs="unbounded" minOccurs="0" nillable="true">
                <xsd:simpleType>
                  <xsd:restriction base="dms:Choice">
                    <xsd:enumeration value="Jeremy"/>
                    <xsd:enumeration value="Yvette"/>
                    <xsd:enumeration value="Debbie"/>
                    <xsd:enumeration value="Karen"/>
                    <xsd:enumeration value="Jenn"/>
                    <xsd:enumeration value="David"/>
                    <xsd:enumeration value="Michael"/>
                    <xsd:enumeration value="Lea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6f563f-2bdb-41f3-82d1-8dc8753557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4956981-af34-43b5-9bb9-127b84748104" xsi:nil="true"/>
    <Drafter xmlns="d4956981-af34-43b5-9bb9-127b8474810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0F5E-4CD8-4AEF-8C24-E4CF572B1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56981-af34-43b5-9bb9-127b84748104"/>
    <ds:schemaRef ds:uri="8a6f563f-2bdb-41f3-82d1-8dc87535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C07F5-644D-4545-9C38-9667143DD167}">
  <ds:schemaRefs>
    <ds:schemaRef ds:uri="d4956981-af34-43b5-9bb9-127b84748104"/>
    <ds:schemaRef ds:uri="http://purl.org/dc/terms/"/>
    <ds:schemaRef ds:uri="http://schemas.openxmlformats.org/package/2006/metadata/core-properties"/>
    <ds:schemaRef ds:uri="8a6f563f-2bdb-41f3-82d1-8dc8753557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C950F4-B582-4F22-ADF3-1BC45945B8AC}">
  <ds:schemaRefs>
    <ds:schemaRef ds:uri="http://schemas.microsoft.com/sharepoint/v3/contenttype/forms"/>
  </ds:schemaRefs>
</ds:datastoreItem>
</file>

<file path=customXml/itemProps4.xml><?xml version="1.0" encoding="utf-8"?>
<ds:datastoreItem xmlns:ds="http://schemas.openxmlformats.org/officeDocument/2006/customXml" ds:itemID="{6A43111E-B5FF-4806-A784-F2C6AE7F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314</Pages>
  <Words>90375</Words>
  <Characters>483045</Characters>
  <Application>Microsoft Office Word</Application>
  <DocSecurity>4</DocSecurity>
  <Lines>4025</Lines>
  <Paragraphs>1144</Paragraphs>
  <ScaleCrop>false</ScaleCrop>
  <HeadingPairs>
    <vt:vector size="2" baseType="variant">
      <vt:variant>
        <vt:lpstr>Title</vt:lpstr>
      </vt:variant>
      <vt:variant>
        <vt:i4>1</vt:i4>
      </vt:variant>
    </vt:vector>
  </HeadingPairs>
  <TitlesOfParts>
    <vt:vector size="1" baseType="lpstr">
      <vt:lpstr>Chapter 1</vt:lpstr>
    </vt:vector>
  </TitlesOfParts>
  <Company>TACTICS Consulting</Company>
  <LinksUpToDate>false</LinksUpToDate>
  <CharactersWithSpaces>572276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KarenUrbani</dc:creator>
  <cp:keywords>Keywords not included in text of document, that users are likely to search for. Eg acronyms such as HDA, ARP.</cp:keywords>
  <cp:lastModifiedBy>Farrell, Jeremy MR</cp:lastModifiedBy>
  <cp:revision>2</cp:revision>
  <cp:lastPrinted>2020-02-10T20:37:00Z</cp:lastPrinted>
  <dcterms:created xsi:type="dcterms:W3CDTF">2022-06-07T21:54:00Z</dcterms:created>
  <dcterms:modified xsi:type="dcterms:W3CDTF">2022-06-07T21:54:00Z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AuthorPhone">
    <vt:lpwstr/>
  </property>
  <property fmtid="{D5CDD505-2E9C-101B-9397-08002B2CF9AE}" pid="4" name="AuthorLocation">
    <vt:lpwstr/>
  </property>
  <property fmtid="{D5CDD505-2E9C-101B-9397-08002B2CF9AE}" pid="5" name="ReviewDate">
    <vt:lpwstr/>
  </property>
  <property fmtid="{D5CDD505-2E9C-101B-9397-08002B2CF9AE}" pid="6" name="ExpiryDate">
    <vt:lpwstr/>
  </property>
  <property fmtid="{D5CDD505-2E9C-101B-9397-08002B2CF9AE}" pid="7" name="ReleaseDate">
    <vt:lpwstr/>
  </property>
  <property fmtid="{D5CDD505-2E9C-101B-9397-08002B2CF9AE}" pid="8" name="Objective-Comment">
    <vt:lpwstr/>
  </property>
  <property fmtid="{D5CDD505-2E9C-101B-9397-08002B2CF9AE}" pid="9" name="Objective-CreationStamp">
    <vt:filetime>2021-08-11T21:54:31Z</vt:filetime>
  </property>
  <property fmtid="{D5CDD505-2E9C-101B-9397-08002B2CF9AE}" pid="10" name="Objective-Id">
    <vt:lpwstr>BN34366632</vt:lpwstr>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2022-06-02T00:46:58Z</vt:filetime>
  </property>
  <property fmtid="{D5CDD505-2E9C-101B-9397-08002B2CF9AE}" pid="14" name="Objective-ModificationStamp">
    <vt:filetime>2022-06-02T00:46:58Z</vt:filetime>
  </property>
  <property fmtid="{D5CDD505-2E9C-101B-9397-08002B2CF9AE}" pid="15" name="Objective-Owner">
    <vt:lpwstr>Farrell, Jeremy MR</vt:lpwstr>
  </property>
  <property fmtid="{D5CDD505-2E9C-101B-9397-08002B2CF9AE}" pid="16" name="Objective-Path">
    <vt:lpwstr>Objective Global Folder - PROD:Defence Business Units:Associate Secretary Group:Defence People Group:People Policy &amp; Culture:PPEC : Personnel Policy and Employment Conditions:20 - Directorates:20 Drafting and Engagement:02. Legislative Drafting team:05. M</vt:lpwstr>
  </property>
  <property fmtid="{D5CDD505-2E9C-101B-9397-08002B2CF9AE}" pid="17" name="Objective-Parent">
    <vt:lpwstr>Compilation</vt:lpwstr>
  </property>
  <property fmtid="{D5CDD505-2E9C-101B-9397-08002B2CF9AE}" pid="18" name="Objective-State">
    <vt:lpwstr>Published</vt:lpwstr>
  </property>
  <property fmtid="{D5CDD505-2E9C-101B-9397-08002B2CF9AE}" pid="19" name="Objective-Title">
    <vt:lpwstr>58B_2016_19_Vol1</vt:lpwstr>
  </property>
  <property fmtid="{D5CDD505-2E9C-101B-9397-08002B2CF9AE}" pid="20" name="Objective-Version">
    <vt:lpwstr>11.0</vt:lpwstr>
  </property>
  <property fmtid="{D5CDD505-2E9C-101B-9397-08002B2CF9AE}" pid="21" name="Objective-VersionComment">
    <vt:lpwstr/>
  </property>
  <property fmtid="{D5CDD505-2E9C-101B-9397-08002B2CF9AE}" pid="22" name="Objective-VersionNumber">
    <vt:i4>69</vt:i4>
  </property>
  <property fmtid="{D5CDD505-2E9C-101B-9397-08002B2CF9AE}" pid="23" name="Objective-FileNumber">
    <vt:lpwstr/>
  </property>
  <property fmtid="{D5CDD505-2E9C-101B-9397-08002B2CF9AE}" pid="24" name="Objective-Classification">
    <vt:lpwstr>[Inherited - Unclassified]</vt:lpwstr>
  </property>
  <property fmtid="{D5CDD505-2E9C-101B-9397-08002B2CF9AE}" pid="25" name="Objective-Caveats">
    <vt:lpwstr/>
  </property>
  <property fmtid="{D5CDD505-2E9C-101B-9397-08002B2CF9AE}" pid="26" name="Objective-Document Type [system]">
    <vt:lpwstr/>
  </property>
  <property fmtid="{D5CDD505-2E9C-101B-9397-08002B2CF9AE}" pid="27" name="ContentTypeId">
    <vt:lpwstr>0x010100897A4D2AC3D9C944A3BA2E3956678696</vt:lpwstr>
  </property>
  <property fmtid="{D5CDD505-2E9C-101B-9397-08002B2CF9AE}" pid="28" name="Objective-Reason for Security Classification Change [system]">
    <vt:lpwstr/>
  </property>
</Properties>
</file>